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rPr>
          <w:rStyle w:val="29"/>
          <w:rFonts w:hint="eastAsia" w:ascii="宋体" w:hAnsi="宋体" w:eastAsia="宋体" w:cs="宋体"/>
          <w:b/>
          <w:sz w:val="32"/>
          <w:lang w:val="en-US" w:eastAsia="zh-CN"/>
        </w:rPr>
      </w:pPr>
      <w:r>
        <w:rPr>
          <w:rStyle w:val="29"/>
          <w:rFonts w:hint="eastAsia" w:ascii="宋体" w:hAnsi="宋体" w:cs="宋体"/>
          <w:b/>
          <w:sz w:val="32"/>
          <w:lang w:eastAsia="zh-CN"/>
        </w:rPr>
        <w:t>采购项目编号：</w:t>
      </w:r>
      <w:r>
        <w:rPr>
          <w:rFonts w:hint="eastAsia" w:ascii="宋体" w:hAnsi="宋体" w:cs="宋体"/>
          <w:b/>
          <w:color w:val="auto"/>
          <w:sz w:val="30"/>
          <w:szCs w:val="30"/>
          <w:lang w:eastAsia="zh-CN"/>
        </w:rPr>
        <w:t>WCYL2022-008</w:t>
      </w:r>
    </w:p>
    <w:p>
      <w:pPr>
        <w:rPr>
          <w:rStyle w:val="29"/>
          <w:rFonts w:hint="eastAsia" w:ascii="宋体" w:hAnsi="宋体" w:eastAsia="宋体" w:cs="宋体"/>
        </w:rPr>
      </w:pPr>
    </w:p>
    <w:p>
      <w:pPr>
        <w:jc w:val="center"/>
        <w:rPr>
          <w:rStyle w:val="29"/>
          <w:rFonts w:hint="eastAsia" w:ascii="宋体" w:hAnsi="宋体" w:eastAsia="宋体" w:cs="宋体"/>
          <w:b/>
          <w:sz w:val="52"/>
          <w:szCs w:val="52"/>
        </w:rPr>
      </w:pPr>
    </w:p>
    <w:p>
      <w:pPr>
        <w:rPr>
          <w:rStyle w:val="29"/>
          <w:rFonts w:hint="eastAsia" w:ascii="宋体" w:hAnsi="宋体" w:eastAsia="宋体" w:cs="宋体"/>
        </w:rPr>
      </w:pPr>
    </w:p>
    <w:p>
      <w:pPr>
        <w:pStyle w:val="19"/>
        <w:jc w:val="center"/>
        <w:rPr>
          <w:rStyle w:val="29"/>
          <w:rFonts w:hint="eastAsia" w:ascii="宋体" w:hAnsi="宋体" w:cs="宋体"/>
          <w:b/>
          <w:bCs/>
          <w:color w:val="auto"/>
          <w:sz w:val="48"/>
          <w:szCs w:val="20"/>
          <w:lang w:eastAsia="zh-CN"/>
        </w:rPr>
      </w:pPr>
      <w:r>
        <w:rPr>
          <w:rStyle w:val="29"/>
          <w:rFonts w:hint="eastAsia" w:ascii="宋体" w:hAnsi="宋体" w:cs="宋体"/>
          <w:b/>
          <w:bCs/>
          <w:color w:val="auto"/>
          <w:sz w:val="48"/>
          <w:szCs w:val="20"/>
          <w:lang w:eastAsia="zh-CN"/>
        </w:rPr>
        <w:t>榆佳经开区化工园区认定资料汇编</w:t>
      </w:r>
    </w:p>
    <w:p>
      <w:pPr>
        <w:pStyle w:val="19"/>
        <w:jc w:val="center"/>
        <w:rPr>
          <w:rStyle w:val="29"/>
          <w:rFonts w:hint="eastAsia" w:ascii="宋体" w:hAnsi="宋体" w:eastAsia="宋体" w:cs="宋体"/>
          <w:sz w:val="48"/>
        </w:rPr>
      </w:pPr>
      <w:r>
        <w:rPr>
          <w:rStyle w:val="29"/>
          <w:rFonts w:hint="eastAsia" w:ascii="宋体" w:hAnsi="宋体" w:cs="宋体"/>
          <w:b/>
          <w:bCs/>
          <w:color w:val="auto"/>
          <w:sz w:val="48"/>
          <w:szCs w:val="20"/>
          <w:lang w:eastAsia="zh-CN"/>
        </w:rPr>
        <w:t>采购项目（二次）</w:t>
      </w:r>
    </w:p>
    <w:p>
      <w:pPr>
        <w:rPr>
          <w:rStyle w:val="29"/>
          <w:rFonts w:hint="eastAsia" w:ascii="宋体" w:hAnsi="宋体" w:eastAsia="宋体" w:cs="宋体"/>
          <w:sz w:val="48"/>
        </w:rPr>
      </w:pPr>
    </w:p>
    <w:p>
      <w:pPr>
        <w:pStyle w:val="21"/>
        <w:rPr>
          <w:rFonts w:hint="eastAsia"/>
        </w:rPr>
      </w:pPr>
    </w:p>
    <w:p>
      <w:pPr>
        <w:rPr>
          <w:rFonts w:hint="eastAsia"/>
        </w:rPr>
      </w:pPr>
    </w:p>
    <w:p>
      <w:pPr>
        <w:jc w:val="center"/>
        <w:rPr>
          <w:rStyle w:val="29"/>
          <w:rFonts w:hint="eastAsia" w:ascii="宋体" w:hAnsi="宋体" w:eastAsia="宋体" w:cs="宋体"/>
          <w:b/>
          <w:sz w:val="84"/>
          <w:szCs w:val="84"/>
          <w:lang w:eastAsia="zh-CN"/>
        </w:rPr>
      </w:pPr>
    </w:p>
    <w:p>
      <w:pPr>
        <w:jc w:val="center"/>
        <w:rPr>
          <w:rStyle w:val="29"/>
          <w:rFonts w:hint="eastAsia" w:ascii="宋体" w:hAnsi="宋体" w:eastAsia="宋体" w:cs="宋体"/>
          <w:b/>
          <w:sz w:val="84"/>
          <w:szCs w:val="84"/>
          <w:lang w:eastAsia="zh-CN"/>
        </w:rPr>
      </w:pPr>
      <w:r>
        <w:rPr>
          <w:rStyle w:val="29"/>
          <w:rFonts w:hint="eastAsia" w:ascii="宋体" w:hAnsi="宋体" w:eastAsia="宋体" w:cs="宋体"/>
          <w:b/>
          <w:sz w:val="84"/>
          <w:szCs w:val="84"/>
          <w:lang w:eastAsia="zh-CN"/>
        </w:rPr>
        <w:t>竞争性磋商文件</w:t>
      </w:r>
    </w:p>
    <w:p>
      <w:pPr>
        <w:pStyle w:val="9"/>
        <w:ind w:firstLine="2389" w:firstLineChars="700"/>
        <w:rPr>
          <w:rFonts w:hint="eastAsia" w:ascii="宋体" w:hAnsi="宋体" w:eastAsia="宋体" w:cs="宋体"/>
          <w:b/>
          <w:kern w:val="2"/>
          <w:sz w:val="34"/>
          <w:szCs w:val="34"/>
          <w:lang w:val="en-US" w:eastAsia="zh-CN" w:bidi="ar-SA"/>
        </w:rPr>
      </w:pPr>
    </w:p>
    <w:p>
      <w:pPr>
        <w:pStyle w:val="9"/>
        <w:ind w:firstLine="2048" w:firstLineChars="600"/>
        <w:rPr>
          <w:rFonts w:hint="eastAsia" w:ascii="宋体" w:hAnsi="宋体" w:eastAsia="宋体" w:cs="宋体"/>
          <w:b/>
          <w:kern w:val="2"/>
          <w:sz w:val="34"/>
          <w:szCs w:val="34"/>
          <w:lang w:val="en-US" w:eastAsia="zh-CN" w:bidi="ar-SA"/>
        </w:rPr>
      </w:pPr>
    </w:p>
    <w:p>
      <w:pPr>
        <w:rPr>
          <w:rStyle w:val="29"/>
          <w:rFonts w:hint="eastAsia" w:ascii="宋体" w:hAnsi="宋体" w:eastAsia="宋体" w:cs="宋体"/>
          <w:sz w:val="32"/>
        </w:rPr>
      </w:pPr>
    </w:p>
    <w:p>
      <w:pPr>
        <w:spacing w:line="360" w:lineRule="auto"/>
        <w:rPr>
          <w:rStyle w:val="29"/>
          <w:rFonts w:hint="eastAsia" w:ascii="宋体" w:hAnsi="宋体" w:eastAsia="宋体" w:cs="宋体"/>
          <w:sz w:val="32"/>
          <w:u w:val="single"/>
        </w:rPr>
      </w:pPr>
    </w:p>
    <w:p>
      <w:pPr>
        <w:spacing w:line="360" w:lineRule="auto"/>
        <w:ind w:firstLine="1324" w:firstLineChars="388"/>
        <w:rPr>
          <w:rFonts w:hint="eastAsia" w:ascii="宋体" w:hAnsi="宋体" w:eastAsia="宋体" w:cs="宋体"/>
          <w:b/>
          <w:sz w:val="34"/>
          <w:szCs w:val="34"/>
          <w:lang w:eastAsia="zh-CN"/>
        </w:rPr>
      </w:pPr>
      <w:r>
        <w:rPr>
          <w:rFonts w:hint="eastAsia" w:ascii="宋体" w:hAnsi="宋体" w:eastAsia="宋体" w:cs="宋体"/>
          <w:b/>
          <w:sz w:val="34"/>
          <w:szCs w:val="34"/>
          <w:lang w:eastAsia="zh-CN"/>
        </w:rPr>
        <w:t xml:space="preserve">采  </w:t>
      </w:r>
      <w:r>
        <w:rPr>
          <w:rFonts w:hint="eastAsia" w:ascii="宋体" w:hAnsi="宋体" w:eastAsia="宋体" w:cs="宋体"/>
          <w:b/>
          <w:sz w:val="34"/>
          <w:szCs w:val="34"/>
          <w:lang w:val="en-US" w:eastAsia="zh-CN"/>
        </w:rPr>
        <w:t xml:space="preserve"> </w:t>
      </w:r>
      <w:r>
        <w:rPr>
          <w:rFonts w:hint="eastAsia" w:ascii="宋体" w:hAnsi="宋体" w:eastAsia="宋体" w:cs="宋体"/>
          <w:b/>
          <w:sz w:val="34"/>
          <w:szCs w:val="34"/>
          <w:lang w:eastAsia="zh-CN"/>
        </w:rPr>
        <w:t xml:space="preserve">购 </w:t>
      </w:r>
      <w:r>
        <w:rPr>
          <w:rFonts w:hint="eastAsia" w:ascii="宋体" w:hAnsi="宋体" w:eastAsia="宋体" w:cs="宋体"/>
          <w:b/>
          <w:sz w:val="34"/>
          <w:szCs w:val="34"/>
          <w:lang w:val="en-US" w:eastAsia="zh-CN"/>
        </w:rPr>
        <w:t xml:space="preserve"> </w:t>
      </w:r>
      <w:r>
        <w:rPr>
          <w:rFonts w:hint="eastAsia" w:ascii="宋体" w:hAnsi="宋体" w:eastAsia="宋体" w:cs="宋体"/>
          <w:b/>
          <w:sz w:val="34"/>
          <w:szCs w:val="34"/>
          <w:lang w:eastAsia="zh-CN"/>
        </w:rPr>
        <w:t xml:space="preserve"> 人：</w:t>
      </w:r>
      <w:r>
        <w:rPr>
          <w:rFonts w:hint="eastAsia" w:ascii="宋体" w:hAnsi="宋体" w:cs="宋体"/>
          <w:b/>
          <w:sz w:val="34"/>
          <w:szCs w:val="34"/>
          <w:lang w:eastAsia="zh-CN"/>
        </w:rPr>
        <w:t>榆佳经济技术开发区管理委员会</w:t>
      </w:r>
    </w:p>
    <w:p>
      <w:pPr>
        <w:spacing w:line="360" w:lineRule="auto"/>
        <w:ind w:firstLine="1324" w:firstLineChars="388"/>
        <w:rPr>
          <w:rFonts w:hint="eastAsia" w:ascii="宋体" w:hAnsi="宋体" w:eastAsia="宋体" w:cs="宋体"/>
          <w:b/>
          <w:sz w:val="34"/>
          <w:szCs w:val="34"/>
          <w:lang w:eastAsia="zh-CN"/>
        </w:rPr>
      </w:pPr>
    </w:p>
    <w:p>
      <w:pPr>
        <w:spacing w:line="360" w:lineRule="auto"/>
        <w:ind w:firstLine="1324" w:firstLineChars="388"/>
        <w:rPr>
          <w:rFonts w:hint="eastAsia" w:ascii="宋体" w:hAnsi="宋体" w:eastAsia="宋体" w:cs="宋体"/>
          <w:b/>
          <w:sz w:val="34"/>
          <w:szCs w:val="34"/>
          <w:lang w:eastAsia="zh-CN"/>
        </w:rPr>
      </w:pPr>
      <w:r>
        <w:rPr>
          <w:rFonts w:hint="eastAsia" w:ascii="宋体" w:hAnsi="宋体" w:eastAsia="宋体" w:cs="宋体"/>
          <w:b/>
          <w:sz w:val="34"/>
          <w:szCs w:val="34"/>
          <w:lang w:eastAsia="zh-CN"/>
        </w:rPr>
        <w:t>采购代理机构：伍诚工程咨询股份有限公司</w:t>
      </w:r>
    </w:p>
    <w:p>
      <w:pPr>
        <w:spacing w:line="360" w:lineRule="auto"/>
        <w:ind w:firstLine="1738" w:firstLineChars="541"/>
        <w:rPr>
          <w:rStyle w:val="29"/>
          <w:rFonts w:hint="eastAsia" w:ascii="宋体" w:hAnsi="宋体" w:eastAsia="宋体" w:cs="宋体"/>
          <w:b/>
          <w:sz w:val="32"/>
          <w:szCs w:val="21"/>
          <w:u w:val="single"/>
        </w:rPr>
      </w:pPr>
    </w:p>
    <w:p>
      <w:pPr>
        <w:spacing w:line="360" w:lineRule="auto"/>
        <w:ind w:firstLine="1324" w:firstLineChars="388"/>
        <w:rPr>
          <w:rFonts w:hint="eastAsia" w:ascii="宋体" w:hAnsi="宋体" w:cs="宋体"/>
          <w:b/>
          <w:sz w:val="34"/>
          <w:szCs w:val="34"/>
        </w:rPr>
      </w:pPr>
      <w:r>
        <w:rPr>
          <w:rFonts w:hint="eastAsia" w:ascii="宋体" w:hAnsi="宋体" w:cs="宋体"/>
          <w:b/>
          <w:sz w:val="34"/>
          <w:szCs w:val="34"/>
        </w:rPr>
        <w:t>时        间：</w:t>
      </w:r>
      <w:r>
        <w:rPr>
          <w:rFonts w:hint="eastAsia" w:ascii="宋体" w:hAnsi="宋体" w:cs="宋体"/>
          <w:b/>
          <w:sz w:val="34"/>
          <w:szCs w:val="34"/>
          <w:lang w:eastAsia="zh-CN"/>
        </w:rPr>
        <w:t>二零二</w:t>
      </w:r>
      <w:r>
        <w:rPr>
          <w:rFonts w:hint="eastAsia" w:ascii="宋体" w:hAnsi="宋体" w:cs="宋体"/>
          <w:b/>
          <w:sz w:val="34"/>
          <w:szCs w:val="34"/>
          <w:lang w:val="en-US" w:eastAsia="zh-CN"/>
        </w:rPr>
        <w:t>二</w:t>
      </w:r>
      <w:r>
        <w:rPr>
          <w:rFonts w:hint="eastAsia" w:ascii="宋体" w:hAnsi="宋体" w:cs="宋体"/>
          <w:b/>
          <w:sz w:val="34"/>
          <w:szCs w:val="34"/>
          <w:lang w:eastAsia="zh-CN"/>
        </w:rPr>
        <w:t>年六月</w:t>
      </w:r>
    </w:p>
    <w:p>
      <w:pPr>
        <w:spacing w:line="360" w:lineRule="auto"/>
        <w:jc w:val="center"/>
        <w:rPr>
          <w:rStyle w:val="29"/>
          <w:rFonts w:hint="eastAsia" w:ascii="宋体" w:hAnsi="宋体" w:eastAsia="宋体" w:cs="宋体"/>
          <w:b/>
          <w:sz w:val="36"/>
          <w:szCs w:val="36"/>
        </w:rPr>
      </w:pPr>
    </w:p>
    <w:p>
      <w:pPr>
        <w:spacing w:line="360" w:lineRule="auto"/>
        <w:jc w:val="center"/>
        <w:rPr>
          <w:rStyle w:val="29"/>
          <w:rFonts w:hint="eastAsia" w:ascii="宋体" w:hAnsi="宋体" w:eastAsia="宋体" w:cs="宋体"/>
          <w:b/>
          <w:sz w:val="36"/>
          <w:szCs w:val="36"/>
        </w:rPr>
      </w:pPr>
    </w:p>
    <w:p>
      <w:pPr>
        <w:spacing w:line="360" w:lineRule="auto"/>
        <w:jc w:val="center"/>
        <w:rPr>
          <w:rStyle w:val="29"/>
          <w:rFonts w:hint="eastAsia" w:ascii="宋体" w:hAnsi="宋体" w:eastAsia="宋体" w:cs="宋体"/>
          <w:b/>
          <w:sz w:val="36"/>
          <w:szCs w:val="36"/>
        </w:rPr>
      </w:pPr>
      <w:r>
        <w:rPr>
          <w:rStyle w:val="29"/>
          <w:rFonts w:hint="eastAsia" w:ascii="宋体" w:hAnsi="宋体" w:eastAsia="宋体" w:cs="宋体"/>
          <w:b/>
          <w:sz w:val="36"/>
          <w:szCs w:val="36"/>
        </w:rPr>
        <w:t>目</w:t>
      </w:r>
      <w:r>
        <w:rPr>
          <w:rStyle w:val="29"/>
          <w:rFonts w:hint="eastAsia" w:ascii="宋体" w:hAnsi="宋体" w:eastAsia="宋体" w:cs="宋体"/>
          <w:b/>
          <w:sz w:val="36"/>
          <w:szCs w:val="36"/>
          <w:lang w:val="en-US" w:eastAsia="zh-CN"/>
        </w:rPr>
        <w:t xml:space="preserve"> </w:t>
      </w:r>
      <w:r>
        <w:rPr>
          <w:rStyle w:val="29"/>
          <w:rFonts w:hint="eastAsia" w:ascii="宋体" w:hAnsi="宋体" w:eastAsia="宋体" w:cs="宋体"/>
          <w:b/>
          <w:sz w:val="36"/>
          <w:szCs w:val="36"/>
        </w:rPr>
        <w:t>录</w:t>
      </w:r>
    </w:p>
    <w:p>
      <w:pPr>
        <w:pStyle w:val="16"/>
        <w:rPr>
          <w:rFonts w:hint="eastAsia" w:ascii="宋体" w:hAnsi="宋体" w:eastAsia="宋体" w:cs="宋体"/>
        </w:rPr>
      </w:pPr>
    </w:p>
    <w:p>
      <w:pPr>
        <w:rPr>
          <w:rStyle w:val="29"/>
          <w:rFonts w:hint="eastAsia" w:ascii="宋体" w:hAnsi="宋体" w:eastAsia="宋体" w:cs="宋体"/>
          <w:sz w:val="28"/>
          <w:szCs w:val="28"/>
        </w:rPr>
      </w:pPr>
    </w:p>
    <w:sdt>
      <w:sdtPr>
        <w:rPr>
          <w:rFonts w:ascii="宋体" w:hAnsi="宋体" w:eastAsia="宋体" w:cs="黑体"/>
          <w:kern w:val="2"/>
          <w:sz w:val="21"/>
          <w:lang w:val="en-US" w:eastAsia="zh-CN" w:bidi="ar-SA"/>
        </w:rPr>
        <w:id w:val="147461119"/>
        <w15:color w:val="DBDBDB"/>
        <w:docPartObj>
          <w:docPartGallery w:val="Table of Contents"/>
          <w:docPartUnique/>
        </w:docPartObj>
      </w:sdtPr>
      <w:sdtEndPr>
        <w:rPr>
          <w:rFonts w:hint="eastAsia" w:ascii="宋体" w:hAnsi="宋体" w:eastAsia="宋体" w:cs="宋体"/>
          <w:kern w:val="2"/>
          <w:sz w:val="18"/>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sz w:val="28"/>
              <w:szCs w:val="28"/>
            </w:rPr>
          </w:pPr>
          <w:r>
            <w:rPr>
              <w:rStyle w:val="29"/>
              <w:rFonts w:hint="eastAsia" w:ascii="宋体" w:hAnsi="宋体" w:eastAsia="宋体" w:cs="宋体"/>
              <w:sz w:val="28"/>
              <w:szCs w:val="28"/>
            </w:rPr>
            <w:fldChar w:fldCharType="begin"/>
          </w:r>
          <w:r>
            <w:rPr>
              <w:rStyle w:val="29"/>
              <w:rFonts w:hint="eastAsia" w:ascii="宋体" w:hAnsi="宋体" w:eastAsia="宋体" w:cs="宋体"/>
              <w:sz w:val="28"/>
              <w:szCs w:val="28"/>
            </w:rPr>
            <w:instrText xml:space="preserve">TOC \o "1-1" \h \u </w:instrText>
          </w:r>
          <w:r>
            <w:rPr>
              <w:rStyle w:val="29"/>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_Toc24461 </w:instrText>
          </w:r>
          <w:r>
            <w:rPr>
              <w:rFonts w:hint="eastAsia" w:ascii="宋体" w:hAnsi="宋体" w:eastAsia="宋体" w:cs="宋体"/>
              <w:sz w:val="28"/>
              <w:szCs w:val="28"/>
            </w:rPr>
            <w:fldChar w:fldCharType="separate"/>
          </w:r>
          <w:r>
            <w:rPr>
              <w:rFonts w:hint="eastAsia"/>
              <w:sz w:val="28"/>
              <w:szCs w:val="28"/>
            </w:rPr>
            <w:t>第一部分</w:t>
          </w:r>
          <w:r>
            <w:rPr>
              <w:rFonts w:hint="eastAsia"/>
              <w:sz w:val="28"/>
              <w:szCs w:val="28"/>
              <w:lang w:val="en-US" w:eastAsia="zh-CN"/>
            </w:rPr>
            <w:t xml:space="preserve">  </w:t>
          </w:r>
          <w:r>
            <w:rPr>
              <w:rFonts w:hint="eastAsia"/>
              <w:sz w:val="28"/>
              <w:szCs w:val="28"/>
              <w:lang w:eastAsia="zh-CN"/>
            </w:rPr>
            <w:t>竞争性磋商</w:t>
          </w:r>
          <w:r>
            <w:rPr>
              <w:rFonts w:hint="eastAsia"/>
              <w:sz w:val="28"/>
              <w:szCs w:val="28"/>
            </w:rPr>
            <w:t>公告</w:t>
          </w:r>
          <w:r>
            <w:rPr>
              <w:sz w:val="28"/>
              <w:szCs w:val="28"/>
            </w:rPr>
            <w:tab/>
          </w:r>
          <w:r>
            <w:rPr>
              <w:sz w:val="28"/>
              <w:szCs w:val="28"/>
            </w:rPr>
            <w:fldChar w:fldCharType="begin"/>
          </w:r>
          <w:r>
            <w:rPr>
              <w:sz w:val="28"/>
              <w:szCs w:val="28"/>
            </w:rPr>
            <w:instrText xml:space="preserve"> PAGEREF _Toc24461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pPr>
            <w:pStyle w:val="1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_Toc11983 </w:instrText>
          </w:r>
          <w:r>
            <w:rPr>
              <w:rFonts w:hint="eastAsia" w:ascii="宋体" w:hAnsi="宋体" w:eastAsia="宋体" w:cs="宋体"/>
              <w:sz w:val="28"/>
              <w:szCs w:val="28"/>
            </w:rPr>
            <w:fldChar w:fldCharType="separate"/>
          </w:r>
          <w:r>
            <w:rPr>
              <w:rFonts w:hint="eastAsia"/>
              <w:sz w:val="28"/>
              <w:szCs w:val="28"/>
            </w:rPr>
            <w:t>第二部分</w:t>
          </w:r>
          <w:r>
            <w:rPr>
              <w:rFonts w:hint="eastAsia"/>
              <w:sz w:val="28"/>
              <w:szCs w:val="28"/>
              <w:lang w:val="en-US" w:eastAsia="zh-CN"/>
            </w:rPr>
            <w:t xml:space="preserve">  </w:t>
          </w:r>
          <w:r>
            <w:rPr>
              <w:rFonts w:hint="eastAsia"/>
              <w:sz w:val="28"/>
              <w:szCs w:val="28"/>
              <w:lang w:eastAsia="zh-CN"/>
            </w:rPr>
            <w:t>磋商</w:t>
          </w:r>
          <w:r>
            <w:rPr>
              <w:rFonts w:hint="eastAsia"/>
              <w:sz w:val="28"/>
              <w:szCs w:val="28"/>
            </w:rPr>
            <w:t>须知前附表</w:t>
          </w:r>
          <w:r>
            <w:rPr>
              <w:sz w:val="28"/>
              <w:szCs w:val="28"/>
            </w:rPr>
            <w:tab/>
          </w:r>
          <w:r>
            <w:rPr>
              <w:sz w:val="28"/>
              <w:szCs w:val="28"/>
            </w:rPr>
            <w:fldChar w:fldCharType="begin"/>
          </w:r>
          <w:r>
            <w:rPr>
              <w:sz w:val="28"/>
              <w:szCs w:val="28"/>
            </w:rPr>
            <w:instrText xml:space="preserve"> PAGEREF _Toc11983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pPr>
            <w:pStyle w:val="1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_Toc29149 </w:instrText>
          </w:r>
          <w:r>
            <w:rPr>
              <w:rFonts w:hint="eastAsia" w:ascii="宋体" w:hAnsi="宋体" w:eastAsia="宋体" w:cs="宋体"/>
              <w:sz w:val="28"/>
              <w:szCs w:val="28"/>
            </w:rPr>
            <w:fldChar w:fldCharType="separate"/>
          </w:r>
          <w:r>
            <w:rPr>
              <w:rFonts w:hint="eastAsia"/>
              <w:sz w:val="28"/>
              <w:szCs w:val="28"/>
            </w:rPr>
            <w:t>第三</w:t>
          </w:r>
          <w:r>
            <w:rPr>
              <w:rFonts w:hint="eastAsia"/>
              <w:sz w:val="28"/>
              <w:szCs w:val="28"/>
              <w:lang w:eastAsia="zh-CN"/>
            </w:rPr>
            <w:t>部分</w:t>
          </w:r>
          <w:r>
            <w:rPr>
              <w:rFonts w:hint="eastAsia"/>
              <w:sz w:val="28"/>
              <w:szCs w:val="28"/>
              <w:lang w:val="en-US" w:eastAsia="zh-CN"/>
            </w:rPr>
            <w:t xml:space="preserve"> </w:t>
          </w:r>
          <w:r>
            <w:rPr>
              <w:rFonts w:hint="eastAsia"/>
              <w:sz w:val="28"/>
              <w:szCs w:val="28"/>
            </w:rPr>
            <w:t xml:space="preserve"> </w:t>
          </w:r>
          <w:r>
            <w:rPr>
              <w:rFonts w:hint="eastAsia" w:eastAsia="宋体"/>
              <w:sz w:val="28"/>
              <w:szCs w:val="28"/>
            </w:rPr>
            <w:t xml:space="preserve"> 合同条款及格式</w:t>
          </w:r>
          <w:r>
            <w:rPr>
              <w:sz w:val="28"/>
              <w:szCs w:val="28"/>
            </w:rPr>
            <w:tab/>
          </w:r>
          <w:r>
            <w:rPr>
              <w:sz w:val="28"/>
              <w:szCs w:val="28"/>
            </w:rPr>
            <w:fldChar w:fldCharType="begin"/>
          </w:r>
          <w:r>
            <w:rPr>
              <w:sz w:val="28"/>
              <w:szCs w:val="28"/>
            </w:rPr>
            <w:instrText xml:space="preserve"> PAGEREF _Toc29149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sz w:val="28"/>
              <w:szCs w:val="28"/>
            </w:rPr>
            <w:fldChar w:fldCharType="end"/>
          </w:r>
        </w:p>
        <w:p>
          <w:pPr>
            <w:pStyle w:val="1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_Toc21093 </w:instrText>
          </w:r>
          <w:r>
            <w:rPr>
              <w:rFonts w:hint="eastAsia" w:ascii="宋体" w:hAnsi="宋体" w:eastAsia="宋体" w:cs="宋体"/>
              <w:sz w:val="28"/>
              <w:szCs w:val="28"/>
            </w:rPr>
            <w:fldChar w:fldCharType="separate"/>
          </w:r>
          <w:r>
            <w:rPr>
              <w:rFonts w:hint="eastAsia"/>
              <w:sz w:val="28"/>
              <w:szCs w:val="28"/>
            </w:rPr>
            <w:t>第四</w:t>
          </w:r>
          <w:r>
            <w:rPr>
              <w:rFonts w:hint="eastAsia"/>
              <w:sz w:val="28"/>
              <w:szCs w:val="28"/>
              <w:lang w:eastAsia="zh-CN"/>
            </w:rPr>
            <w:t>部分</w:t>
          </w:r>
          <w:r>
            <w:rPr>
              <w:rFonts w:hint="eastAsia"/>
              <w:sz w:val="28"/>
              <w:szCs w:val="28"/>
              <w:lang w:val="en-US" w:eastAsia="zh-CN"/>
            </w:rPr>
            <w:t xml:space="preserve"> </w:t>
          </w:r>
          <w:r>
            <w:rPr>
              <w:rFonts w:hint="eastAsia"/>
              <w:sz w:val="28"/>
              <w:szCs w:val="28"/>
            </w:rPr>
            <w:t xml:space="preserve"> 竞争性磋商内容及技术要求</w:t>
          </w:r>
          <w:r>
            <w:rPr>
              <w:sz w:val="28"/>
              <w:szCs w:val="28"/>
            </w:rPr>
            <w:tab/>
          </w:r>
          <w:r>
            <w:rPr>
              <w:sz w:val="28"/>
              <w:szCs w:val="28"/>
            </w:rPr>
            <w:fldChar w:fldCharType="begin"/>
          </w:r>
          <w:r>
            <w:rPr>
              <w:sz w:val="28"/>
              <w:szCs w:val="28"/>
            </w:rPr>
            <w:instrText xml:space="preserve"> PAGEREF _Toc21093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sz w:val="28"/>
              <w:szCs w:val="28"/>
            </w:rPr>
            <w:fldChar w:fldCharType="end"/>
          </w:r>
        </w:p>
        <w:p>
          <w:pPr>
            <w:pStyle w:val="1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_Toc23201 </w:instrText>
          </w:r>
          <w:r>
            <w:rPr>
              <w:rFonts w:hint="eastAsia" w:ascii="宋体" w:hAnsi="宋体" w:eastAsia="宋体" w:cs="宋体"/>
              <w:sz w:val="28"/>
              <w:szCs w:val="28"/>
            </w:rPr>
            <w:fldChar w:fldCharType="separate"/>
          </w:r>
          <w:r>
            <w:rPr>
              <w:rFonts w:hint="eastAsia"/>
              <w:sz w:val="28"/>
              <w:szCs w:val="28"/>
            </w:rPr>
            <w:t>第五</w:t>
          </w:r>
          <w:r>
            <w:rPr>
              <w:rFonts w:hint="eastAsia"/>
              <w:sz w:val="28"/>
              <w:szCs w:val="28"/>
              <w:lang w:eastAsia="zh-CN"/>
            </w:rPr>
            <w:t>部分</w:t>
          </w:r>
          <w:r>
            <w:rPr>
              <w:rFonts w:hint="eastAsia"/>
              <w:sz w:val="28"/>
              <w:szCs w:val="28"/>
              <w:lang w:val="en-US" w:eastAsia="zh-CN"/>
            </w:rPr>
            <w:t xml:space="preserve">  </w:t>
          </w:r>
          <w:r>
            <w:rPr>
              <w:rFonts w:hint="eastAsia"/>
              <w:sz w:val="28"/>
              <w:szCs w:val="28"/>
            </w:rPr>
            <w:t>评审方法</w:t>
          </w:r>
          <w:r>
            <w:rPr>
              <w:sz w:val="28"/>
              <w:szCs w:val="28"/>
            </w:rPr>
            <w:tab/>
          </w:r>
          <w:r>
            <w:rPr>
              <w:rFonts w:hint="eastAsia"/>
              <w:sz w:val="28"/>
              <w:szCs w:val="28"/>
              <w:lang w:val="en-US" w:eastAsia="zh-CN"/>
            </w:rPr>
            <w:t>4</w:t>
          </w:r>
          <w:r>
            <w:rPr>
              <w:rFonts w:hint="eastAsia" w:ascii="宋体" w:hAnsi="宋体" w:eastAsia="宋体" w:cs="宋体"/>
              <w:sz w:val="28"/>
              <w:szCs w:val="28"/>
            </w:rPr>
            <w:fldChar w:fldCharType="end"/>
          </w:r>
          <w:r>
            <w:rPr>
              <w:rFonts w:hint="eastAsia" w:ascii="宋体" w:hAnsi="宋体" w:cs="宋体"/>
              <w:sz w:val="28"/>
              <w:szCs w:val="28"/>
              <w:lang w:val="en-US" w:eastAsia="zh-CN"/>
            </w:rPr>
            <w:t>1</w:t>
          </w:r>
        </w:p>
        <w:p>
          <w:pPr>
            <w:pStyle w:val="116"/>
            <w:keepNext w:val="0"/>
            <w:keepLines w:val="0"/>
            <w:pageBreakBefore w:val="0"/>
            <w:widowControl/>
            <w:tabs>
              <w:tab w:val="right" w:leader="dot" w:pos="9072"/>
            </w:tabs>
            <w:kinsoku/>
            <w:wordWrap/>
            <w:overflowPunct/>
            <w:topLinePunct w:val="0"/>
            <w:autoSpaceDE/>
            <w:autoSpaceDN/>
            <w:bidi w:val="0"/>
            <w:adjustRightInd/>
            <w:snapToGrid/>
            <w:spacing w:line="480" w:lineRule="auto"/>
            <w:textAlignment w:val="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_Toc18209 </w:instrText>
          </w:r>
          <w:r>
            <w:rPr>
              <w:rFonts w:hint="eastAsia" w:ascii="宋体" w:hAnsi="宋体" w:eastAsia="宋体" w:cs="宋体"/>
              <w:sz w:val="28"/>
              <w:szCs w:val="28"/>
            </w:rPr>
            <w:fldChar w:fldCharType="separate"/>
          </w:r>
          <w:r>
            <w:rPr>
              <w:rFonts w:hint="eastAsia"/>
              <w:sz w:val="28"/>
              <w:szCs w:val="28"/>
            </w:rPr>
            <w:t>第六</w:t>
          </w:r>
          <w:r>
            <w:rPr>
              <w:rFonts w:hint="eastAsia"/>
              <w:sz w:val="28"/>
              <w:szCs w:val="28"/>
              <w:lang w:eastAsia="zh-CN"/>
            </w:rPr>
            <w:t>部分</w:t>
          </w:r>
          <w:r>
            <w:rPr>
              <w:rFonts w:hint="eastAsia"/>
              <w:sz w:val="28"/>
              <w:szCs w:val="28"/>
              <w:lang w:val="en-US" w:eastAsia="zh-CN"/>
            </w:rPr>
            <w:t xml:space="preserve"> </w:t>
          </w:r>
          <w:r>
            <w:rPr>
              <w:rFonts w:hint="eastAsia"/>
              <w:sz w:val="28"/>
              <w:szCs w:val="28"/>
            </w:rPr>
            <w:t xml:space="preserve"> 竞争性磋商响应文件格式</w:t>
          </w:r>
          <w:r>
            <w:rPr>
              <w:sz w:val="28"/>
              <w:szCs w:val="28"/>
            </w:rPr>
            <w:tab/>
          </w:r>
          <w:r>
            <w:rPr>
              <w:sz w:val="28"/>
              <w:szCs w:val="28"/>
            </w:rPr>
            <w:fldChar w:fldCharType="begin"/>
          </w:r>
          <w:r>
            <w:rPr>
              <w:sz w:val="28"/>
              <w:szCs w:val="28"/>
            </w:rPr>
            <w:instrText xml:space="preserve"> PAGEREF _Toc18209 </w:instrText>
          </w:r>
          <w:r>
            <w:rPr>
              <w:sz w:val="28"/>
              <w:szCs w:val="28"/>
            </w:rPr>
            <w:fldChar w:fldCharType="separate"/>
          </w:r>
          <w:r>
            <w:rPr>
              <w:sz w:val="28"/>
              <w:szCs w:val="28"/>
            </w:rPr>
            <w:t>55</w:t>
          </w:r>
          <w:r>
            <w:rPr>
              <w:sz w:val="28"/>
              <w:szCs w:val="28"/>
            </w:rPr>
            <w:fldChar w:fldCharType="end"/>
          </w:r>
          <w:r>
            <w:rPr>
              <w:rFonts w:hint="eastAsia" w:ascii="宋体" w:hAnsi="宋体" w:eastAsia="宋体" w:cs="宋体"/>
              <w:sz w:val="28"/>
              <w:szCs w:val="28"/>
            </w:rPr>
            <w:fldChar w:fldCharType="end"/>
          </w:r>
        </w:p>
        <w:p>
          <w:pPr>
            <w:pStyle w:val="16"/>
            <w:rPr>
              <w:rStyle w:val="29"/>
              <w:rFonts w:hint="eastAsia" w:ascii="宋体" w:hAnsi="宋体" w:eastAsia="宋体" w:cs="宋体"/>
              <w:sz w:val="28"/>
              <w:szCs w:val="28"/>
            </w:rPr>
          </w:pPr>
          <w:r>
            <w:rPr>
              <w:rFonts w:hint="eastAsia" w:ascii="宋体" w:hAnsi="宋体" w:eastAsia="宋体" w:cs="宋体"/>
              <w:szCs w:val="28"/>
            </w:rPr>
            <w:fldChar w:fldCharType="end"/>
          </w:r>
        </w:p>
      </w:sdtContent>
    </w:sdt>
    <w:p>
      <w:pPr>
        <w:pStyle w:val="16"/>
        <w:rPr>
          <w:rStyle w:val="29"/>
          <w:rFonts w:hint="eastAsia" w:ascii="宋体" w:hAnsi="宋体" w:eastAsia="宋体" w:cs="宋体"/>
          <w:sz w:val="28"/>
          <w:szCs w:val="28"/>
        </w:rPr>
      </w:pPr>
    </w:p>
    <w:p>
      <w:pPr>
        <w:pStyle w:val="16"/>
        <w:rPr>
          <w:rStyle w:val="29"/>
          <w:rFonts w:hint="eastAsia" w:ascii="宋体" w:hAnsi="宋体" w:eastAsia="宋体" w:cs="宋体"/>
          <w:sz w:val="28"/>
          <w:szCs w:val="28"/>
        </w:rPr>
      </w:pPr>
    </w:p>
    <w:p>
      <w:pPr>
        <w:pStyle w:val="16"/>
        <w:rPr>
          <w:rStyle w:val="29"/>
          <w:rFonts w:hint="eastAsia" w:ascii="宋体" w:hAnsi="宋体" w:eastAsia="宋体" w:cs="宋体"/>
          <w:sz w:val="28"/>
          <w:szCs w:val="28"/>
        </w:rPr>
      </w:pPr>
    </w:p>
    <w:p>
      <w:pPr>
        <w:keepNext/>
        <w:keepLines/>
        <w:spacing w:line="360" w:lineRule="auto"/>
        <w:jc w:val="center"/>
        <w:textAlignment w:val="auto"/>
        <w:rPr>
          <w:rStyle w:val="29"/>
          <w:rFonts w:hint="eastAsia" w:ascii="宋体" w:hAnsi="宋体" w:eastAsia="宋体" w:cs="宋体"/>
          <w:sz w:val="36"/>
          <w:szCs w:val="16"/>
        </w:rPr>
        <w:sectPr>
          <w:pgSz w:w="11906" w:h="16838"/>
          <w:pgMar w:top="1440" w:right="1417" w:bottom="1440" w:left="1417" w:header="1134" w:footer="1134" w:gutter="0"/>
          <w:pgNumType w:fmt="decimal"/>
          <w:cols w:space="720" w:num="1"/>
          <w:titlePg/>
          <w:docGrid w:type="lines" w:linePitch="312" w:charSpace="0"/>
        </w:sectPr>
      </w:pPr>
    </w:p>
    <w:p>
      <w:pPr>
        <w:pStyle w:val="3"/>
        <w:numPr>
          <w:ilvl w:val="0"/>
          <w:numId w:val="2"/>
        </w:numPr>
        <w:bidi w:val="0"/>
        <w:jc w:val="center"/>
        <w:rPr>
          <w:rFonts w:hint="eastAsia"/>
        </w:rPr>
      </w:pPr>
      <w:bookmarkStart w:id="0" w:name="_Toc24461"/>
      <w:r>
        <w:rPr>
          <w:rFonts w:hint="eastAsia"/>
          <w:lang w:val="en-US" w:eastAsia="zh-CN"/>
        </w:rPr>
        <w:t xml:space="preserve"> </w:t>
      </w:r>
      <w:r>
        <w:rPr>
          <w:rFonts w:hint="eastAsia"/>
          <w:lang w:eastAsia="zh-CN"/>
        </w:rPr>
        <w:t>竞争性磋商</w:t>
      </w:r>
      <w:r>
        <w:rPr>
          <w:rFonts w:hint="eastAsia"/>
        </w:rPr>
        <w:t>公告</w:t>
      </w:r>
      <w:bookmarkEnd w:id="0"/>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项目概况</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lang w:val="en-US" w:eastAsia="zh-CN"/>
        </w:rPr>
        <w:t>榆佳经开区化工园区认定资料汇编采购项目（二次）的</w:t>
      </w:r>
      <w:r>
        <w:rPr>
          <w:rFonts w:hint="eastAsia" w:asciiTheme="minorEastAsia" w:hAnsiTheme="minorEastAsia" w:eastAsiaTheme="minorEastAsia" w:cstheme="minorEastAsia"/>
          <w:color w:val="auto"/>
          <w:sz w:val="24"/>
          <w:szCs w:val="24"/>
        </w:rPr>
        <w:t>潜在的供应商可在</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z w:val="24"/>
          <w:szCs w:val="24"/>
          <w:lang w:val="en-US" w:eastAsia="zh-CN"/>
        </w:rPr>
        <w:t>CA 锁自行下载</w:t>
      </w:r>
      <w:r>
        <w:rPr>
          <w:rFonts w:hint="eastAsia" w:asciiTheme="minorEastAsia" w:hAnsiTheme="minorEastAsia" w:eastAsiaTheme="minorEastAsia" w:cstheme="minorEastAsia"/>
          <w:color w:val="auto"/>
          <w:sz w:val="24"/>
          <w:szCs w:val="24"/>
        </w:rPr>
        <w:t>获取采购文件，</w:t>
      </w:r>
      <w:r>
        <w:rPr>
          <w:rFonts w:hint="eastAsia" w:asciiTheme="minorEastAsia" w:hAnsiTheme="minorEastAsia" w:eastAsiaTheme="minorEastAsia" w:cstheme="minorEastAsia"/>
          <w:color w:val="auto"/>
          <w:sz w:val="24"/>
          <w:szCs w:val="24"/>
          <w:highlight w:val="none"/>
          <w:shd w:val="clear" w:color="auto" w:fill="auto"/>
        </w:rPr>
        <w:t>并于</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highlight w:val="none"/>
          <w:shd w:val="clear" w:color="auto" w:fill="auto"/>
          <w:lang w:val="en-US" w:eastAsia="zh-CN"/>
        </w:rPr>
        <w:t>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highlight w:val="none"/>
          <w:shd w:val="clear" w:color="auto" w:fill="auto"/>
          <w:lang w:val="en-US" w:eastAsia="zh-CN"/>
        </w:rPr>
        <w:t>月</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日 </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highlight w:val="none"/>
          <w:shd w:val="clear" w:color="auto" w:fill="auto"/>
          <w:lang w:val="en-US" w:eastAsia="zh-CN"/>
        </w:rPr>
        <w:t>时</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highlight w:val="none"/>
          <w:shd w:val="clear" w:color="auto" w:fill="auto"/>
          <w:lang w:val="en-US" w:eastAsia="zh-CN"/>
        </w:rPr>
        <w:t>分（北京时间）</w:t>
      </w:r>
      <w:r>
        <w:rPr>
          <w:rFonts w:hint="eastAsia" w:asciiTheme="minorEastAsia" w:hAnsiTheme="minorEastAsia" w:eastAsiaTheme="minorEastAsia" w:cstheme="minorEastAsia"/>
          <w:color w:val="auto"/>
          <w:sz w:val="24"/>
          <w:szCs w:val="24"/>
          <w:highlight w:val="none"/>
          <w:shd w:val="clear" w:color="auto" w:fill="auto"/>
        </w:rPr>
        <w:t>前</w:t>
      </w:r>
      <w:r>
        <w:rPr>
          <w:rFonts w:hint="eastAsia" w:asciiTheme="minorEastAsia" w:hAnsiTheme="minorEastAsia" w:eastAsiaTheme="minorEastAsia" w:cstheme="minorEastAsia"/>
          <w:color w:val="auto"/>
          <w:sz w:val="24"/>
          <w:szCs w:val="24"/>
          <w:highlight w:val="none"/>
          <w:shd w:val="clear" w:color="auto" w:fill="auto"/>
          <w:lang w:eastAsia="zh-CN"/>
        </w:rPr>
        <w:t>提交</w:t>
      </w:r>
      <w:r>
        <w:rPr>
          <w:rFonts w:hint="eastAsia" w:asciiTheme="minorEastAsia" w:hAnsiTheme="minorEastAsia" w:eastAsiaTheme="minorEastAsia" w:cstheme="minorEastAsia"/>
          <w:color w:val="auto"/>
          <w:sz w:val="24"/>
          <w:szCs w:val="24"/>
          <w:highlight w:val="none"/>
          <w:shd w:val="clear" w:color="auto" w:fill="auto"/>
        </w:rPr>
        <w:t>响应文件。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一、项目基本情况：</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WCYL2022-008</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val="en-US" w:eastAsia="zh-CN"/>
        </w:rPr>
        <w:t>榆佳经开区化工园区认定资料汇编采购项目（二次）</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采购方式：竞争性磋商</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szCs w:val="24"/>
        </w:rPr>
        <w:t>236,000.00</w:t>
      </w:r>
      <w:r>
        <w:rPr>
          <w:rFonts w:hint="eastAsia" w:asciiTheme="minorEastAsia" w:hAnsiTheme="minorEastAsia" w:eastAsiaTheme="minorEastAsia" w:cstheme="minorEastAsia"/>
          <w:color w:val="auto"/>
          <w:sz w:val="24"/>
          <w:szCs w:val="24"/>
          <w:lang w:val="en-US" w:eastAsia="zh-CN"/>
        </w:rPr>
        <w:t>元</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采购需求</w:t>
      </w:r>
    </w:p>
    <w:tbl>
      <w:tblPr>
        <w:tblStyle w:val="24"/>
        <w:tblpPr w:leftFromText="180" w:rightFromText="180" w:vertAnchor="text" w:horzAnchor="page" w:tblpX="1058" w:tblpY="117"/>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38"/>
        <w:gridCol w:w="1261"/>
        <w:gridCol w:w="1963"/>
        <w:gridCol w:w="195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合同包号</w:t>
            </w:r>
          </w:p>
        </w:tc>
        <w:tc>
          <w:tcPr>
            <w:tcW w:w="1738"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合同包名称</w:t>
            </w:r>
          </w:p>
        </w:tc>
        <w:tc>
          <w:tcPr>
            <w:tcW w:w="1261"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技术规格、参数及要求</w:t>
            </w:r>
          </w:p>
        </w:tc>
        <w:tc>
          <w:tcPr>
            <w:tcW w:w="1963"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预算金额（元）</w:t>
            </w:r>
          </w:p>
        </w:tc>
        <w:tc>
          <w:tcPr>
            <w:tcW w:w="1950"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是否接受联合体</w:t>
            </w:r>
          </w:p>
        </w:tc>
        <w:tc>
          <w:tcPr>
            <w:tcW w:w="1829"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left="719" w:leftChars="228" w:hanging="240" w:hanging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738"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240" w:firstLineChars="10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废水、气、土壤名录库和一般工业固废利用方案编制</w:t>
            </w:r>
          </w:p>
        </w:tc>
        <w:tc>
          <w:tcPr>
            <w:tcW w:w="1261"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详见采购文件</w:t>
            </w:r>
          </w:p>
        </w:tc>
        <w:tc>
          <w:tcPr>
            <w:tcW w:w="1963"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123，000</w:t>
            </w:r>
            <w:r>
              <w:rPr>
                <w:rFonts w:hint="eastAsia" w:asciiTheme="minorEastAsia" w:hAnsiTheme="minorEastAsia" w:eastAsiaTheme="minorEastAsia" w:cstheme="minorEastAsia"/>
                <w:color w:val="auto"/>
                <w:sz w:val="24"/>
                <w:szCs w:val="24"/>
                <w:lang w:val="en-US" w:eastAsia="zh-CN"/>
              </w:rPr>
              <w:t>.00</w:t>
            </w:r>
          </w:p>
        </w:tc>
        <w:tc>
          <w:tcPr>
            <w:tcW w:w="1950"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720" w:firstLineChars="3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否</w:t>
            </w:r>
          </w:p>
        </w:tc>
        <w:tc>
          <w:tcPr>
            <w:tcW w:w="1829"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自合同签订之日起1个月内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738"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240" w:firstLineChars="10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职业健康与环境质量检测编制</w:t>
            </w:r>
          </w:p>
        </w:tc>
        <w:tc>
          <w:tcPr>
            <w:tcW w:w="1261"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详见采购文件</w:t>
            </w:r>
          </w:p>
        </w:tc>
        <w:tc>
          <w:tcPr>
            <w:tcW w:w="1963"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113,000</w:t>
            </w:r>
            <w:r>
              <w:rPr>
                <w:rFonts w:hint="eastAsia" w:asciiTheme="minorEastAsia" w:hAnsiTheme="minorEastAsia" w:eastAsiaTheme="minorEastAsia" w:cstheme="minorEastAsia"/>
                <w:color w:val="auto"/>
                <w:sz w:val="24"/>
                <w:szCs w:val="24"/>
                <w:lang w:val="en-US" w:eastAsia="zh-CN"/>
              </w:rPr>
              <w:t>.00</w:t>
            </w:r>
          </w:p>
        </w:tc>
        <w:tc>
          <w:tcPr>
            <w:tcW w:w="1950"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720" w:firstLineChars="30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否</w:t>
            </w:r>
          </w:p>
        </w:tc>
        <w:tc>
          <w:tcPr>
            <w:tcW w:w="1829" w:type="dxa"/>
            <w:noWrap w:val="0"/>
            <w:vAlign w:val="center"/>
          </w:tcPr>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自合同签订之日起</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个月内</w:t>
            </w:r>
          </w:p>
        </w:tc>
      </w:tr>
    </w:tbl>
    <w:p>
      <w:pPr>
        <w:pStyle w:val="11"/>
        <w:keepNext w:val="0"/>
        <w:keepLines w:val="0"/>
        <w:pageBreakBefore w:val="0"/>
        <w:kinsoku/>
        <w:overflowPunct/>
        <w:topLinePunct w:val="0"/>
        <w:autoSpaceDE/>
        <w:autoSpaceDN/>
        <w:bidi w:val="0"/>
        <w:adjustRightInd/>
        <w:spacing w:line="360" w:lineRule="auto"/>
        <w:rPr>
          <w:rFonts w:hint="eastAsia" w:asciiTheme="minorEastAsia" w:hAnsiTheme="minorEastAsia" w:eastAsiaTheme="minorEastAsia" w:cstheme="minorEastAsia"/>
          <w:color w:val="auto"/>
          <w:sz w:val="24"/>
          <w:szCs w:val="24"/>
          <w:lang w:eastAsia="zh-CN"/>
        </w:rPr>
      </w:pP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二、 </w:t>
      </w:r>
      <w:r>
        <w:rPr>
          <w:rFonts w:hint="eastAsia" w:asciiTheme="minorEastAsia" w:hAnsiTheme="minorEastAsia" w:eastAsiaTheme="minorEastAsia" w:cstheme="minorEastAsia"/>
          <w:b/>
          <w:bCs/>
          <w:color w:val="auto"/>
          <w:sz w:val="24"/>
          <w:szCs w:val="24"/>
          <w:lang w:eastAsia="zh-CN"/>
        </w:rPr>
        <w:t>申请人</w:t>
      </w:r>
      <w:r>
        <w:rPr>
          <w:rFonts w:hint="eastAsia" w:asciiTheme="minorEastAsia" w:hAnsiTheme="minorEastAsia" w:eastAsiaTheme="minorEastAsia" w:cstheme="minorEastAsia"/>
          <w:b/>
          <w:bCs/>
          <w:color w:val="auto"/>
          <w:sz w:val="24"/>
          <w:szCs w:val="24"/>
        </w:rPr>
        <w:t>的资格要求</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2、落实政府采购政策需满足的资格要求：</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合同包1</w:t>
      </w:r>
      <w:r>
        <w:rPr>
          <w:rFonts w:hint="eastAsia" w:asciiTheme="minorEastAsia" w:hAnsiTheme="minorEastAsia" w:eastAsiaTheme="minorEastAsia" w:cstheme="minorEastAsia"/>
          <w:color w:val="auto"/>
          <w:sz w:val="24"/>
          <w:szCs w:val="24"/>
          <w:lang w:eastAsia="zh-CN"/>
        </w:rPr>
        <w:t>、合同包</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落实政府采购政策需满足的资格要求如下:</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政府采购促进中小企业发展管理办法</w:t>
      </w:r>
      <w:r>
        <w:rPr>
          <w:rFonts w:hint="eastAsia" w:asciiTheme="minorEastAsia" w:hAnsiTheme="minorEastAsia" w:eastAsiaTheme="minorEastAsia" w:cstheme="minorEastAsia"/>
          <w:color w:val="auto"/>
          <w:sz w:val="24"/>
          <w:szCs w:val="24"/>
        </w:rPr>
        <w:t xml:space="preserve">》（财库〔2020〕46号）；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《财政部司法部关于政府采购支持监狱企业发展有关问题的通知》（财库〔2014〕68号）；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《国务院办公厅关于建立政府强制采购节能产品制度的通知》（国办发〔2007〕51号）；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《环境标志产品政府采购实施的意见》（财库[2006]90号）；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《节能产品政府采购实施意见》（财库[2004] 185号）；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《财政部民政部中国残疾人联合会关于促进残疾人就业政府采购政策的通知》（财库〔2017〕141号）；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《关于在政府采购活动中查询及使用信用记录有关问题的通知》（财库〔2016〕125号）；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《陕西省中小企业政府采购信用融资办法》（陕财办采〔2018〕23号）。</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合同包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1(废</w:t>
      </w:r>
      <w:r>
        <w:rPr>
          <w:rFonts w:hint="eastAsia" w:asciiTheme="minorEastAsia" w:hAnsiTheme="minorEastAsia" w:eastAsiaTheme="minorEastAsia" w:cstheme="minorEastAsia"/>
          <w:color w:val="auto"/>
          <w:sz w:val="24"/>
          <w:szCs w:val="24"/>
          <w:lang w:eastAsia="zh-CN"/>
        </w:rPr>
        <w:t>水、气、土壤名录库和一般工业固废利用方案编制</w:t>
      </w:r>
      <w:r>
        <w:rPr>
          <w:rFonts w:hint="eastAsia" w:asciiTheme="minorEastAsia" w:hAnsiTheme="minorEastAsia" w:eastAsiaTheme="minorEastAsia" w:cstheme="minorEastAsia"/>
          <w:color w:val="0000FF"/>
          <w:sz w:val="24"/>
          <w:szCs w:val="24"/>
          <w:lang w:eastAsia="zh-CN"/>
        </w:rPr>
        <w:t>)</w:t>
      </w:r>
      <w:r>
        <w:rPr>
          <w:rFonts w:hint="eastAsia" w:asciiTheme="minorEastAsia" w:hAnsiTheme="minorEastAsia" w:eastAsiaTheme="minorEastAsia" w:cstheme="minorEastAsia"/>
          <w:color w:val="auto"/>
          <w:sz w:val="24"/>
          <w:szCs w:val="24"/>
          <w:lang w:eastAsia="zh-CN"/>
        </w:rPr>
        <w:t>特定资格要求如下:</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供应商</w:t>
      </w:r>
      <w:r>
        <w:rPr>
          <w:rFonts w:hint="eastAsia" w:asciiTheme="minorEastAsia" w:hAnsiTheme="minorEastAsia" w:eastAsiaTheme="minorEastAsia" w:cstheme="minorEastAsia"/>
          <w:b w:val="0"/>
          <w:bCs w:val="0"/>
          <w:color w:val="auto"/>
          <w:sz w:val="24"/>
          <w:szCs w:val="24"/>
          <w:lang w:eastAsia="zh-CN"/>
        </w:rPr>
        <w:t>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财务状况报告：提供2020年度的财务审计报告或财务报表（至少包括资产负债表、利润表、现金流量表等），成立时间至提交</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文件递交截止时间不足一年的，供应商须自行声明；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税收缴纳证明：提供202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年1月至今已缴纳的至少</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个月的纳税证明（银行缴费凭证）或完税证明，依法免税的单位应提供相关证明材料；</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参加政府采购活动前三年内，在经营活动中没有重大违法记录的书面声明</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得列入信用中国（http://www.creditchina.gov.cn/）被失信执行人、企业经营异常名录、重大违法税收违法案件当事人名单，不得列入中国政府采购网(www.ccgp.gov.cn)政府采购严重违法失信行为记录名单（网页查询截图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公章）；</w:t>
      </w:r>
      <w:r>
        <w:rPr>
          <w:rFonts w:hint="eastAsia" w:asciiTheme="minorEastAsia" w:hAnsiTheme="minorEastAsia" w:eastAsiaTheme="minorEastAsia" w:cstheme="minorEastAsia"/>
          <w:color w:val="auto"/>
          <w:sz w:val="24"/>
          <w:szCs w:val="24"/>
          <w:lang w:eastAsia="zh-CN"/>
        </w:rPr>
        <w:t>提供</w:t>
      </w:r>
      <w:r>
        <w:rPr>
          <w:rFonts w:hint="eastAsia" w:asciiTheme="minorEastAsia" w:hAnsiTheme="minorEastAsia" w:eastAsiaTheme="minorEastAsia" w:cstheme="minorEastAsia"/>
          <w:color w:val="auto"/>
          <w:sz w:val="24"/>
          <w:szCs w:val="24"/>
          <w:lang w:val="en-US" w:eastAsia="zh-CN"/>
        </w:rPr>
        <w:t>榆林市政府采购服务类项目供应商信用承诺书</w:t>
      </w:r>
      <w:r>
        <w:rPr>
          <w:rFonts w:hint="eastAsia" w:asciiTheme="minorEastAsia" w:hAnsiTheme="minorEastAsia" w:eastAsiaTheme="minorEastAsia" w:cstheme="minorEastAsia"/>
          <w:color w:val="auto"/>
          <w:sz w:val="24"/>
          <w:szCs w:val="24"/>
          <w:lang w:eastAsia="zh-CN"/>
        </w:rPr>
        <w:t>原件（格式见采购文件）；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本项目不接受联合体投标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单位负责人为同一人或者存在控股、管理关系的不同单位，不得参加同一标段投标或者未划分标段的同一招标项目投标。违反规定的，其投标均无效</w:t>
      </w:r>
      <w:r>
        <w:rPr>
          <w:rFonts w:hint="eastAsia" w:ascii="宋体" w:hAnsi="宋体" w:eastAsia="宋体" w:cs="宋体"/>
          <w:color w:val="auto"/>
          <w:sz w:val="24"/>
          <w:szCs w:val="24"/>
          <w:lang w:eastAsia="zh-CN"/>
        </w:rPr>
        <w:t>；</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333333"/>
          <w:spacing w:val="0"/>
          <w:sz w:val="24"/>
          <w:szCs w:val="24"/>
          <w:shd w:val="clear" w:color="auto" w:fill="FFFFFF"/>
          <w:vertAlign w:val="baseline"/>
        </w:rPr>
      </w:pPr>
      <w:r>
        <w:rPr>
          <w:rFonts w:hint="eastAsia" w:asciiTheme="minorEastAsia" w:hAnsiTheme="minorEastAsia" w:eastAsiaTheme="minorEastAsia" w:cstheme="minorEastAsia"/>
          <w:color w:val="auto"/>
          <w:sz w:val="24"/>
          <w:szCs w:val="24"/>
          <w:lang w:eastAsia="zh-CN"/>
        </w:rPr>
        <w:t>合同包</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(职业健康与环境质量检测编制)特定资格要求如下:</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eastAsia="zh-CN"/>
        </w:rPr>
        <w:t>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财务状况报告：提供2020年度的财务审计报告或财务报表（至少包括资产负债表、利润表、现金流量表等），成立时间至提交</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文件递交截止时间不足一年的，供应商须自行声明；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税收缴纳证明：提供202</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年1月至今已缴纳的至少</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个月的纳税证明（银行缴费凭证）或完税证明，依法免税的单位应提供相关证明材料；</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参加政府采购活动前三年内，在经营活动中没有重大违法记录的书面声明</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得列入信用中国（http://www.creditchina.gov.cn/）被失信执行人、企业经营异常名录、重大违法税收违法案件当事人名单，不得列入中国政府采购网(www.ccgp.gov.cn)政府采购严重违法失信行为记录名单（网页查询截图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公章）；</w:t>
      </w:r>
      <w:r>
        <w:rPr>
          <w:rFonts w:hint="eastAsia" w:asciiTheme="minorEastAsia" w:hAnsiTheme="minorEastAsia" w:eastAsiaTheme="minorEastAsia" w:cstheme="minorEastAsia"/>
          <w:color w:val="auto"/>
          <w:sz w:val="24"/>
          <w:szCs w:val="24"/>
          <w:lang w:eastAsia="zh-CN"/>
        </w:rPr>
        <w:t>提供</w:t>
      </w:r>
      <w:r>
        <w:rPr>
          <w:rFonts w:hint="eastAsia" w:asciiTheme="minorEastAsia" w:hAnsiTheme="minorEastAsia" w:eastAsiaTheme="minorEastAsia" w:cstheme="minorEastAsia"/>
          <w:color w:val="auto"/>
          <w:sz w:val="24"/>
          <w:szCs w:val="24"/>
          <w:lang w:val="en-US" w:eastAsia="zh-CN"/>
        </w:rPr>
        <w:t>榆林市政府采购服务类项目供应商信用承诺书</w:t>
      </w:r>
      <w:r>
        <w:rPr>
          <w:rFonts w:hint="eastAsia" w:asciiTheme="minorEastAsia" w:hAnsiTheme="minorEastAsia" w:eastAsiaTheme="minorEastAsia" w:cstheme="minorEastAsia"/>
          <w:color w:val="auto"/>
          <w:sz w:val="24"/>
          <w:szCs w:val="24"/>
          <w:lang w:eastAsia="zh-CN"/>
        </w:rPr>
        <w:t>原件（格式见采购文件）；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宋体" w:hAnsi="宋体" w:eastAsia="宋体" w:cs="宋体"/>
          <w:color w:val="auto"/>
          <w:sz w:val="24"/>
          <w:szCs w:val="24"/>
        </w:rPr>
        <w:t>本项目不接受联合体投标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单位负责人为同一人或者存在控股、管理关系的不同单位，不得参加同一标段投标或者未划分标段的同一招标项目投标。违反规定的，其投标均无效</w:t>
      </w:r>
      <w:r>
        <w:rPr>
          <w:rFonts w:hint="eastAsia" w:ascii="宋体" w:hAnsi="宋体" w:eastAsia="宋体" w:cs="宋体"/>
          <w:color w:val="auto"/>
          <w:sz w:val="24"/>
          <w:szCs w:val="24"/>
          <w:lang w:eastAsia="zh-CN"/>
        </w:rPr>
        <w:t>；</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 xml:space="preserve">三、 </w:t>
      </w:r>
      <w:r>
        <w:rPr>
          <w:rFonts w:hint="eastAsia" w:asciiTheme="minorEastAsia" w:hAnsiTheme="minorEastAsia" w:eastAsiaTheme="minorEastAsia" w:cstheme="minorEastAsia"/>
          <w:b/>
          <w:bCs/>
          <w:color w:val="auto"/>
          <w:sz w:val="24"/>
          <w:szCs w:val="24"/>
          <w:lang w:eastAsia="zh-CN"/>
        </w:rPr>
        <w:t>获取采购文件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022年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08</w:t>
      </w:r>
      <w:r>
        <w:rPr>
          <w:rFonts w:hint="eastAsia" w:asciiTheme="minorEastAsia" w:hAnsiTheme="minorEastAsia" w:eastAsiaTheme="minorEastAsia" w:cstheme="minorEastAsia"/>
          <w:color w:val="auto"/>
          <w:sz w:val="24"/>
          <w:szCs w:val="24"/>
        </w:rPr>
        <w:t>日至2022年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日 ，每天上午08:00:00至11:00:00</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下午14:00:00至17:00:00（北京时间,法定节假日除外）</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地点：CA 锁自行下载</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方式：在线获取</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售价：免费获取</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 响应文件</w:t>
      </w:r>
      <w:r>
        <w:rPr>
          <w:rFonts w:hint="eastAsia" w:asciiTheme="minorEastAsia" w:hAnsiTheme="minorEastAsia" w:eastAsiaTheme="minorEastAsia" w:cstheme="minorEastAsia"/>
          <w:b/>
          <w:bCs/>
          <w:color w:val="auto"/>
          <w:sz w:val="24"/>
          <w:szCs w:val="24"/>
          <w:lang w:eastAsia="zh-CN"/>
        </w:rPr>
        <w:t>提</w:t>
      </w:r>
      <w:r>
        <w:rPr>
          <w:rFonts w:hint="eastAsia" w:asciiTheme="minorEastAsia" w:hAnsiTheme="minorEastAsia" w:eastAsiaTheme="minorEastAsia" w:cstheme="minorEastAsia"/>
          <w:b/>
          <w:bCs/>
          <w:color w:val="auto"/>
          <w:sz w:val="24"/>
          <w:szCs w:val="24"/>
        </w:rPr>
        <w:t>交</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shd w:val="clear" w:color="auto" w:fill="FFFFFF"/>
        </w:rPr>
      </w:pPr>
      <w:r>
        <w:rPr>
          <w:rFonts w:hint="eastAsia" w:asciiTheme="minorEastAsia" w:hAnsiTheme="minorEastAsia" w:eastAsiaTheme="minorEastAsia" w:cstheme="minorEastAsia"/>
          <w:color w:val="auto"/>
          <w:sz w:val="24"/>
          <w:szCs w:val="24"/>
        </w:rPr>
        <w:t>截止时</w:t>
      </w:r>
      <w:r>
        <w:rPr>
          <w:rFonts w:hint="eastAsia" w:asciiTheme="minorEastAsia" w:hAnsiTheme="minorEastAsia" w:eastAsiaTheme="minorEastAsia" w:cstheme="minorEastAsia"/>
          <w:color w:val="auto"/>
          <w:sz w:val="24"/>
          <w:szCs w:val="24"/>
          <w:highlight w:val="none"/>
        </w:rPr>
        <w:t>间：</w:t>
      </w:r>
      <w:r>
        <w:rPr>
          <w:rFonts w:hint="eastAsia" w:asciiTheme="minorEastAsia" w:hAnsiTheme="minorEastAsia" w:eastAsiaTheme="minorEastAsia" w:cstheme="minorEastAsia"/>
          <w:color w:val="auto"/>
          <w:sz w:val="24"/>
          <w:szCs w:val="24"/>
          <w:lang w:eastAsia="zh-CN"/>
        </w:rPr>
        <w:t>2022年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 xml:space="preserve">日 </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lang w:eastAsia="zh-CN"/>
        </w:rPr>
        <w:t>时</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分00秒（北京时间）</w:t>
      </w:r>
    </w:p>
    <w:p>
      <w:pPr>
        <w:pStyle w:val="20"/>
        <w:spacing w:before="0" w:beforeAutospacing="0" w:after="0" w:afterAutospacing="0" w:line="360" w:lineRule="auto"/>
        <w:ind w:firstLine="42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榆林市公共资源交易中心（市民大厦）</w:t>
      </w:r>
      <w:r>
        <w:rPr>
          <w:rFonts w:hint="eastAsia" w:asciiTheme="minorEastAsia" w:hAnsiTheme="minorEastAsia" w:eastAsiaTheme="minorEastAsia" w:cstheme="minorEastAsia"/>
          <w:szCs w:val="24"/>
        </w:rPr>
        <w:t>十楼不见面开标7室</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五、</w:t>
      </w:r>
      <w:r>
        <w:rPr>
          <w:rFonts w:hint="eastAsia" w:asciiTheme="minorEastAsia" w:hAnsiTheme="minorEastAsia" w:eastAsiaTheme="minorEastAsia" w:cstheme="minorEastAsia"/>
          <w:b/>
          <w:bCs/>
          <w:color w:val="auto"/>
          <w:sz w:val="24"/>
          <w:szCs w:val="24"/>
          <w:lang w:eastAsia="zh-CN"/>
        </w:rPr>
        <w:t>开启</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时间：2022年0</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eastAsia="zh-CN"/>
        </w:rPr>
        <w:t>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lang w:eastAsia="zh-CN"/>
        </w:rPr>
        <w:t>时</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分00秒（北京时间）</w:t>
      </w:r>
    </w:p>
    <w:p>
      <w:pPr>
        <w:pStyle w:val="20"/>
        <w:spacing w:before="0" w:beforeAutospacing="0" w:after="0" w:afterAutospacing="0" w:line="360" w:lineRule="auto"/>
        <w:ind w:firstLine="42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 w:val="24"/>
          <w:szCs w:val="24"/>
          <w:lang w:eastAsia="zh-CN"/>
        </w:rPr>
        <w:t>地点：榆林市公共资源交易中心（市民大厦）</w:t>
      </w:r>
      <w:r>
        <w:rPr>
          <w:rFonts w:hint="eastAsia" w:asciiTheme="minorEastAsia" w:hAnsiTheme="minorEastAsia" w:eastAsiaTheme="minorEastAsia" w:cstheme="minorEastAsia"/>
          <w:szCs w:val="24"/>
        </w:rPr>
        <w:t>十楼不见面开标7室</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六、公告期限</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pPr>
        <w:pStyle w:val="20"/>
        <w:keepNext w:val="0"/>
        <w:keepLines w:val="0"/>
        <w:pageBreakBefore w:val="0"/>
        <w:numPr>
          <w:ilvl w:val="0"/>
          <w:numId w:val="0"/>
        </w:numPr>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七、</w:t>
      </w:r>
      <w:r>
        <w:rPr>
          <w:rFonts w:hint="eastAsia" w:asciiTheme="minorEastAsia" w:hAnsiTheme="minorEastAsia" w:eastAsiaTheme="minorEastAsia" w:cstheme="minorEastAsia"/>
          <w:b/>
          <w:bCs/>
          <w:color w:val="auto"/>
          <w:sz w:val="24"/>
          <w:szCs w:val="24"/>
        </w:rPr>
        <w:t>其他补充事宜</w:t>
      </w:r>
    </w:p>
    <w:p>
      <w:pPr>
        <w:keepNext w:val="0"/>
        <w:keepLines w:val="0"/>
        <w:pageBreakBefore w:val="0"/>
        <w:widowControl w:val="0"/>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szCs w:val="24"/>
        </w:rPr>
      </w:pPr>
      <w:r>
        <w:rPr>
          <w:rFonts w:hint="eastAsia" w:asciiTheme="minorEastAsia" w:hAnsiTheme="minorEastAsia" w:eastAsiaTheme="minorEastAsia" w:cstheme="minorEastAsia"/>
          <w:b w:val="0"/>
          <w:color w:val="auto"/>
          <w:kern w:val="0"/>
          <w:sz w:val="24"/>
          <w:szCs w:val="24"/>
          <w:lang w:val="en-US" w:eastAsia="zh-CN" w:bidi="ar"/>
        </w:rPr>
        <w:t>（</w:t>
      </w:r>
      <w:r>
        <w:rPr>
          <w:rFonts w:hint="eastAsia" w:asciiTheme="minorEastAsia" w:hAnsiTheme="minorEastAsia" w:eastAsiaTheme="minorEastAsia" w:cstheme="minorEastAsia"/>
          <w:color w:val="auto"/>
          <w:sz w:val="24"/>
          <w:szCs w:val="24"/>
          <w:lang w:val="en-US" w:eastAsia="zh-CN"/>
        </w:rPr>
        <w:t>1）平台报名：登录全国公共资源交易中心平台（陕西省）（http://www.sxggzyjy.cn/）,选择“电子交易平台→陕西政府采购交易系统→陕西省公共资源交易平台→投标人”进行登录，登录后选择“交易乙方”身份进入投标人界面进行报名并下采购文件。电子磋商文件在获取期内进行下载，逾期下载通道将关闭，未及时下载磋商文件将会影响后续开评标活动。</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特别提醒：本项目采用电子化招投标的方式（本项目将采取“不见面”开标的形式，供应商无须到达开标现场，即可在网上直接参与开标活动，具体操作方式详见磋商文件须知前附表），供应商使用CA锁对响应文件进行制作、签封、加密、递交、解密等相关招投标事宜，投标单位开标现场需携带CA锁，电子投标文件制作软件技术支持热线：400-998-0000， CA锁购买：榆林市市民大厦四楼窗口,联系电话：0912-3515031；</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磋商文件或旧版答疑文件制作的电子投标文件，系统将拒绝接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（5）请投标人按照陕西省财政厅关于政府采购供应商注册登记有关事项的通知中的要求，通过陕西省政府采购网（http://www.ccgp-shaanxi.gov.cn/）注册登记加入陕西省政府采购供应商库。</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240" w:firstLineChars="1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注：各供应商开标当天自行在电脑上进行二次报价</w:t>
      </w:r>
      <w:r>
        <w:rPr>
          <w:rFonts w:hint="eastAsia" w:asciiTheme="minorEastAsia" w:hAnsiTheme="minorEastAsia" w:eastAsiaTheme="minorEastAsia" w:cstheme="minorEastAsia"/>
          <w:b/>
          <w:bCs/>
          <w:color w:val="auto"/>
          <w:kern w:val="2"/>
          <w:sz w:val="24"/>
          <w:szCs w:val="24"/>
          <w:lang w:val="en-US" w:eastAsia="zh-CN" w:bidi="ar-SA"/>
        </w:rPr>
        <w:t>。</w:t>
      </w:r>
    </w:p>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eastAsia="zh-CN"/>
        </w:rPr>
        <w:t>八</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凡</w:t>
      </w:r>
      <w:r>
        <w:rPr>
          <w:rFonts w:hint="eastAsia" w:asciiTheme="minorEastAsia" w:hAnsiTheme="minorEastAsia" w:eastAsiaTheme="minorEastAsia" w:cstheme="minorEastAsia"/>
          <w:b/>
          <w:bCs/>
          <w:color w:val="auto"/>
          <w:sz w:val="24"/>
          <w:szCs w:val="24"/>
        </w:rPr>
        <w:t>对本次采购提出询问，请按以下方式联系。</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highlight w:val="none"/>
        </w:rPr>
        <w:t>采购人信息：</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lang w:val="en-US" w:eastAsia="zh-CN"/>
        </w:rPr>
        <w:t>榆佳经济技术开发区管理委员会</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cs="宋体"/>
          <w:color w:val="auto"/>
          <w:szCs w:val="22"/>
          <w:highlight w:val="none"/>
          <w:lang w:eastAsia="zh-CN"/>
        </w:rPr>
        <w:t>佳县榆佳工业园区</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cs="宋体"/>
          <w:color w:val="auto"/>
          <w:szCs w:val="24"/>
          <w:highlight w:val="none"/>
          <w:lang w:eastAsia="zh-CN"/>
        </w:rPr>
      </w:pP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eastAsia="zh-CN"/>
        </w:rPr>
        <w:t>方式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rPr>
        <w:t>18966967210</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3、采购代理机构信息</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名称：伍诚工程咨询股份有限公司</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Style w:val="29"/>
          <w:rFonts w:hint="eastAsia" w:asciiTheme="minorEastAsia" w:hAnsiTheme="minorEastAsia" w:eastAsiaTheme="minorEastAsia" w:cstheme="minorEastAsia"/>
          <w:color w:val="auto"/>
          <w:sz w:val="24"/>
          <w:szCs w:val="24"/>
        </w:rPr>
        <w:t>榆林市航宇路弘景国际B座718</w:t>
      </w:r>
      <w:r>
        <w:rPr>
          <w:rStyle w:val="29"/>
          <w:rFonts w:hint="eastAsia" w:asciiTheme="minorEastAsia" w:hAnsiTheme="minorEastAsia" w:eastAsiaTheme="minorEastAsia" w:cstheme="minorEastAsia"/>
          <w:color w:val="auto"/>
          <w:sz w:val="24"/>
          <w:szCs w:val="24"/>
          <w:lang w:val="en-US" w:eastAsia="zh-CN"/>
        </w:rPr>
        <w:t>-1</w:t>
      </w:r>
      <w:r>
        <w:rPr>
          <w:rStyle w:val="29"/>
          <w:rFonts w:hint="eastAsia" w:asciiTheme="minorEastAsia" w:hAnsiTheme="minorEastAsia" w:eastAsiaTheme="minorEastAsia" w:cstheme="minorEastAsia"/>
          <w:color w:val="auto"/>
          <w:sz w:val="24"/>
          <w:szCs w:val="24"/>
        </w:rPr>
        <w:t>室</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kern w:val="0"/>
          <w:sz w:val="24"/>
          <w:szCs w:val="24"/>
        </w:rPr>
        <w:t>09</w:t>
      </w:r>
      <w:r>
        <w:rPr>
          <w:rFonts w:hint="eastAsia" w:asciiTheme="minorEastAsia" w:hAnsiTheme="minorEastAsia" w:eastAsiaTheme="minorEastAsia" w:cstheme="minorEastAsia"/>
          <w:color w:val="auto"/>
          <w:sz w:val="24"/>
          <w:szCs w:val="24"/>
        </w:rPr>
        <w:t>12-3830132</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、项目联系方式</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项目联系人：高工</w:t>
      </w:r>
    </w:p>
    <w:p>
      <w:pPr>
        <w:keepNext w:val="0"/>
        <w:keepLines w:val="0"/>
        <w:pageBreakBefore w:val="0"/>
        <w:kinsoku/>
        <w:overflowPunct/>
        <w:topLinePunct w:val="0"/>
        <w:autoSpaceDE/>
        <w:autoSpaceDN/>
        <w:bidi w:val="0"/>
        <w:adjustRightInd/>
        <w:spacing w:line="360" w:lineRule="auto"/>
        <w:ind w:firstLine="480" w:firstLineChars="200"/>
        <w:rPr>
          <w:rFonts w:hint="eastAsia"/>
        </w:rPr>
      </w:pPr>
      <w:r>
        <w:rPr>
          <w:rFonts w:hint="eastAsia" w:asciiTheme="minorEastAsia" w:hAnsiTheme="minorEastAsia" w:eastAsiaTheme="minorEastAsia" w:cstheme="minorEastAsia"/>
          <w:color w:val="auto"/>
          <w:kern w:val="0"/>
          <w:sz w:val="24"/>
          <w:szCs w:val="24"/>
        </w:rPr>
        <w:t>电 话：</w:t>
      </w:r>
      <w:r>
        <w:rPr>
          <w:rFonts w:hint="eastAsia" w:asciiTheme="minorEastAsia" w:hAnsiTheme="minorEastAsia" w:eastAsiaTheme="minorEastAsia" w:cstheme="minorEastAsia"/>
          <w:color w:val="auto"/>
          <w:sz w:val="24"/>
          <w:szCs w:val="24"/>
        </w:rPr>
        <w:t>18098009261</w:t>
      </w:r>
    </w:p>
    <w:p>
      <w:pPr>
        <w:pStyle w:val="20"/>
        <w:spacing w:before="0" w:beforeAutospacing="0" w:after="0" w:afterAutospacing="0" w:line="360" w:lineRule="auto"/>
        <w:ind w:firstLine="6023" w:firstLineChars="2500"/>
        <w:jc w:val="both"/>
        <w:rPr>
          <w:rFonts w:hint="eastAsia" w:eastAsia="宋体"/>
          <w:b/>
          <w:bCs/>
          <w:color w:val="auto"/>
          <w:lang w:eastAsia="zh-CN"/>
        </w:rPr>
      </w:pPr>
      <w:r>
        <w:rPr>
          <w:rFonts w:hint="eastAsia"/>
          <w:b/>
          <w:bCs/>
          <w:color w:val="auto"/>
          <w:lang w:eastAsia="zh-CN"/>
        </w:rPr>
        <w:t>伍诚工程咨询股份有限公司</w:t>
      </w:r>
    </w:p>
    <w:p>
      <w:pPr>
        <w:pStyle w:val="20"/>
        <w:widowControl/>
        <w:wordWrap/>
        <w:adjustRightInd/>
        <w:snapToGrid/>
        <w:spacing w:before="0" w:beforeAutospacing="0" w:after="0" w:afterAutospacing="0" w:line="360" w:lineRule="auto"/>
        <w:ind w:left="0" w:right="0" w:firstLine="420"/>
        <w:jc w:val="center"/>
        <w:textAlignment w:val="auto"/>
        <w:rPr>
          <w:rFonts w:hint="eastAsia" w:ascii="宋体" w:hAnsi="宋体" w:eastAsia="宋体" w:cs="宋体"/>
          <w:b/>
          <w:bCs/>
          <w:color w:val="auto"/>
        </w:rPr>
      </w:pPr>
      <w:r>
        <w:rPr>
          <w:rFonts w:hint="eastAsia"/>
          <w:b/>
          <w:bCs/>
          <w:color w:val="auto"/>
        </w:rPr>
        <w:t xml:space="preserve">                                    </w:t>
      </w:r>
      <w:r>
        <w:rPr>
          <w:rFonts w:hint="eastAsia"/>
          <w:b/>
          <w:bCs/>
          <w:color w:val="auto"/>
          <w:highlight w:val="none"/>
        </w:rPr>
        <w:t xml:space="preserve">   </w:t>
      </w:r>
      <w:r>
        <w:rPr>
          <w:rFonts w:hint="eastAsia"/>
          <w:b/>
          <w:bCs/>
          <w:color w:val="auto"/>
          <w:highlight w:val="none"/>
          <w:lang w:val="en-US" w:eastAsia="zh-CN"/>
        </w:rPr>
        <w:t xml:space="preserve">     </w:t>
      </w:r>
      <w:r>
        <w:rPr>
          <w:rFonts w:hint="eastAsia"/>
          <w:b/>
          <w:bCs/>
          <w:color w:val="auto"/>
          <w:highlight w:val="none"/>
        </w:rPr>
        <w:t xml:space="preserve"> </w:t>
      </w:r>
      <w:r>
        <w:rPr>
          <w:rFonts w:hint="eastAsia" w:ascii="Times New Roman" w:hAnsi="Times New Roman" w:eastAsia="宋体" w:cs="宋体"/>
          <w:b/>
          <w:bCs/>
          <w:color w:val="auto"/>
          <w:lang w:eastAsia="zh-CN"/>
        </w:rPr>
        <w:t>202</w:t>
      </w:r>
      <w:r>
        <w:rPr>
          <w:rFonts w:hint="eastAsia" w:ascii="Times New Roman" w:hAnsi="Times New Roman" w:cs="宋体"/>
          <w:b/>
          <w:bCs/>
          <w:color w:val="auto"/>
          <w:lang w:val="en-US" w:eastAsia="zh-CN"/>
        </w:rPr>
        <w:t>2</w:t>
      </w:r>
      <w:r>
        <w:rPr>
          <w:rFonts w:hint="eastAsia" w:ascii="Times New Roman" w:hAnsi="Times New Roman" w:eastAsia="宋体" w:cs="宋体"/>
          <w:b/>
          <w:bCs/>
          <w:color w:val="auto"/>
          <w:lang w:eastAsia="zh-CN"/>
        </w:rPr>
        <w:t>年</w:t>
      </w:r>
      <w:r>
        <w:rPr>
          <w:rFonts w:hint="eastAsia" w:ascii="Times New Roman" w:hAnsi="Times New Roman" w:cs="宋体"/>
          <w:b/>
          <w:bCs/>
          <w:color w:val="auto"/>
          <w:lang w:val="en-US" w:eastAsia="zh-CN"/>
        </w:rPr>
        <w:t>06</w:t>
      </w:r>
      <w:r>
        <w:rPr>
          <w:rFonts w:hint="eastAsia" w:ascii="Times New Roman" w:hAnsi="Times New Roman" w:eastAsia="宋体" w:cs="宋体"/>
          <w:b/>
          <w:bCs/>
          <w:color w:val="auto"/>
          <w:lang w:eastAsia="zh-CN"/>
        </w:rPr>
        <w:t>月</w:t>
      </w:r>
      <w:r>
        <w:rPr>
          <w:rFonts w:hint="eastAsia" w:ascii="Times New Roman" w:hAnsi="Times New Roman" w:cs="宋体"/>
          <w:b/>
          <w:bCs/>
          <w:color w:val="auto"/>
          <w:lang w:val="en-US" w:eastAsia="zh-CN"/>
        </w:rPr>
        <w:t>07</w:t>
      </w:r>
      <w:r>
        <w:rPr>
          <w:rFonts w:hint="eastAsia" w:ascii="Times New Roman" w:hAnsi="Times New Roman" w:eastAsia="宋体" w:cs="宋体"/>
          <w:b/>
          <w:bCs/>
          <w:color w:val="auto"/>
          <w:lang w:eastAsia="zh-CN"/>
        </w:rPr>
        <w:t>日</w:t>
      </w:r>
    </w:p>
    <w:p>
      <w:pPr>
        <w:numPr>
          <w:ilvl w:val="0"/>
          <w:numId w:val="0"/>
        </w:numPr>
        <w:rPr>
          <w:rFonts w:hint="eastAsia"/>
        </w:rPr>
      </w:pPr>
    </w:p>
    <w:p>
      <w:pPr>
        <w:pStyle w:val="3"/>
        <w:bidi w:val="0"/>
        <w:jc w:val="center"/>
        <w:rPr>
          <w:rFonts w:hint="eastAsia"/>
        </w:rPr>
      </w:pPr>
      <w:bookmarkStart w:id="1" w:name="_Toc11983"/>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p>
    <w:p>
      <w:pPr>
        <w:pStyle w:val="3"/>
        <w:bidi w:val="0"/>
        <w:jc w:val="center"/>
        <w:rPr>
          <w:rFonts w:hint="eastAsia"/>
        </w:rPr>
      </w:pPr>
      <w:r>
        <w:rPr>
          <w:rFonts w:hint="eastAsia"/>
        </w:rPr>
        <w:t>第二部分</w:t>
      </w:r>
      <w:r>
        <w:rPr>
          <w:rFonts w:hint="eastAsia"/>
          <w:lang w:val="en-US" w:eastAsia="zh-CN"/>
        </w:rPr>
        <w:t xml:space="preserve">  </w:t>
      </w:r>
      <w:r>
        <w:rPr>
          <w:rFonts w:hint="eastAsia"/>
          <w:lang w:eastAsia="zh-CN"/>
        </w:rPr>
        <w:t>磋商</w:t>
      </w:r>
      <w:r>
        <w:rPr>
          <w:rFonts w:hint="eastAsia"/>
        </w:rPr>
        <w:t>须知前附表</w:t>
      </w:r>
      <w:bookmarkEnd w:id="1"/>
    </w:p>
    <w:tbl>
      <w:tblPr>
        <w:tblStyle w:val="23"/>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8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eastAsia" w:ascii="宋体" w:hAnsi="宋体" w:eastAsia="宋体" w:cs="宋体"/>
                <w:b/>
                <w:color w:val="000000"/>
                <w:sz w:val="24"/>
              </w:rPr>
            </w:pPr>
            <w:r>
              <w:rPr>
                <w:rStyle w:val="29"/>
                <w:rFonts w:hint="eastAsia" w:ascii="宋体" w:hAnsi="宋体" w:eastAsia="宋体" w:cs="宋体"/>
                <w:b/>
                <w:color w:val="000000"/>
                <w:sz w:val="24"/>
              </w:rPr>
              <w:t>项号</w:t>
            </w:r>
          </w:p>
        </w:tc>
        <w:tc>
          <w:tcPr>
            <w:tcW w:w="877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eastAsia" w:ascii="宋体" w:hAnsi="宋体" w:eastAsia="宋体" w:cs="宋体"/>
                <w:b/>
                <w:color w:val="000000"/>
                <w:sz w:val="24"/>
              </w:rPr>
            </w:pPr>
            <w:r>
              <w:rPr>
                <w:rStyle w:val="29"/>
                <w:rFonts w:hint="eastAsia" w:ascii="宋体" w:hAnsi="宋体" w:eastAsia="宋体" w:cs="宋体"/>
                <w:b/>
                <w:color w:val="00000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lang w:eastAsia="zh-CN"/>
              </w:rPr>
            </w:pPr>
            <w:r>
              <w:rPr>
                <w:rStyle w:val="29"/>
                <w:rFonts w:hint="eastAsia" w:ascii="宋体" w:hAnsi="宋体" w:eastAsia="宋体" w:cs="宋体"/>
                <w:color w:val="000000"/>
                <w:sz w:val="24"/>
                <w:lang w:eastAsia="zh-CN"/>
              </w:rPr>
              <w:t>1</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lang w:eastAsia="zh-CN"/>
              </w:rPr>
            </w:pPr>
            <w:r>
              <w:rPr>
                <w:rFonts w:hint="eastAsia"/>
                <w:lang w:eastAsia="zh-CN"/>
              </w:rPr>
              <w:t>采购项目名称：榆佳经开区化工园区认定资料汇编采购项目（二次）</w:t>
            </w:r>
          </w:p>
          <w:p>
            <w:pPr>
              <w:spacing w:line="360" w:lineRule="auto"/>
              <w:rPr>
                <w:rFonts w:hint="eastAsia"/>
                <w:lang w:eastAsia="zh-CN"/>
              </w:rPr>
            </w:pPr>
            <w:r>
              <w:rPr>
                <w:rFonts w:hint="eastAsia"/>
                <w:lang w:eastAsia="zh-CN"/>
              </w:rPr>
              <w:t>资金性质：财政资金</w:t>
            </w:r>
          </w:p>
          <w:p>
            <w:pPr>
              <w:spacing w:line="360" w:lineRule="auto"/>
              <w:rPr>
                <w:rFonts w:hint="eastAsia"/>
                <w:lang w:eastAsia="zh-CN"/>
              </w:rPr>
            </w:pPr>
            <w:r>
              <w:rPr>
                <w:rFonts w:hint="eastAsia"/>
                <w:lang w:eastAsia="zh-CN"/>
              </w:rPr>
              <w:t>预算金额：</w:t>
            </w:r>
            <w:r>
              <w:rPr>
                <w:rFonts w:hint="eastAsia" w:asciiTheme="minorEastAsia" w:hAnsiTheme="minorEastAsia" w:eastAsiaTheme="minorEastAsia" w:cstheme="minorEastAsia"/>
                <w:color w:val="auto"/>
                <w:szCs w:val="24"/>
              </w:rPr>
              <w:t>236,000.00</w:t>
            </w:r>
            <w:r>
              <w:rPr>
                <w:rFonts w:hint="eastAsia"/>
                <w:lang w:val="en-US" w:eastAsia="zh-CN"/>
              </w:rPr>
              <w:t>元</w:t>
            </w:r>
            <w:r>
              <w:rPr>
                <w:rFonts w:hint="eastAsia"/>
                <w:lang w:eastAsia="zh-CN"/>
              </w:rPr>
              <w:t>（超出预算金额的报价为无效报价）</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lang w:val="en-US" w:eastAsia="zh-CN"/>
              </w:rPr>
            </w:pPr>
            <w:r>
              <w:rPr>
                <w:rFonts w:hint="eastAsia"/>
                <w:lang w:val="en-US" w:eastAsia="zh-CN"/>
              </w:rPr>
              <w:t>合同包1：123000.00元</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center"/>
              <w:rPr>
                <w:rFonts w:hint="eastAsia"/>
                <w:lang w:val="en-US" w:eastAsia="zh-CN"/>
              </w:rPr>
            </w:pPr>
            <w:r>
              <w:rPr>
                <w:rFonts w:hint="eastAsia"/>
                <w:lang w:val="en-US" w:eastAsia="zh-CN"/>
              </w:rPr>
              <w:t>合同包2：113000.00元</w:t>
            </w:r>
          </w:p>
          <w:p>
            <w:pPr>
              <w:pStyle w:val="2"/>
              <w:rPr>
                <w:b/>
                <w:bCs/>
              </w:rPr>
            </w:pPr>
            <w:r>
              <w:rPr>
                <w:rFonts w:hint="eastAsia"/>
                <w:b/>
                <w:bCs/>
              </w:rPr>
              <w:t>注：</w:t>
            </w:r>
            <w:r>
              <w:rPr>
                <w:rFonts w:hint="eastAsia"/>
                <w:b/>
                <w:bCs/>
                <w:lang w:val="en-US" w:eastAsia="zh-CN"/>
              </w:rPr>
              <w:t>1、</w:t>
            </w:r>
            <w:r>
              <w:rPr>
                <w:b/>
                <w:bCs/>
              </w:rPr>
              <w:t>各</w:t>
            </w:r>
            <w:r>
              <w:rPr>
                <w:rFonts w:hint="eastAsia"/>
                <w:b/>
                <w:bCs/>
                <w:lang w:eastAsia="zh-CN"/>
              </w:rPr>
              <w:t>合同包</w:t>
            </w:r>
            <w:r>
              <w:rPr>
                <w:b/>
                <w:bCs/>
              </w:rPr>
              <w:t>供应商报价超出采购预算，作为不实质响应招标文件，按无投标文件处理。</w:t>
            </w:r>
          </w:p>
          <w:p>
            <w:pPr>
              <w:pStyle w:val="2"/>
              <w:rPr>
                <w:rFonts w:hint="eastAsia"/>
                <w:lang w:eastAsia="zh-CN"/>
              </w:rPr>
            </w:pPr>
            <w:r>
              <w:rPr>
                <w:rFonts w:hint="eastAsia"/>
                <w:b/>
                <w:bCs/>
                <w:lang w:val="en-US" w:eastAsia="zh-CN"/>
              </w:rPr>
              <w:t>2、</w:t>
            </w:r>
            <w:r>
              <w:rPr>
                <w:rFonts w:hint="eastAsia"/>
                <w:b/>
                <w:bCs/>
                <w:lang w:eastAsia="zh-CN"/>
              </w:rPr>
              <w:t>本项目总预算</w:t>
            </w:r>
            <w:r>
              <w:rPr>
                <w:rFonts w:hint="eastAsia"/>
                <w:b/>
                <w:bCs/>
                <w:lang w:val="en-US" w:eastAsia="zh-CN"/>
              </w:rPr>
              <w:t>1320000.00元，共分5个合同包，合同包3至包5已招，合同包1、包2现进行二次招标。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lang w:eastAsia="zh-CN"/>
              </w:rPr>
            </w:pPr>
            <w:r>
              <w:rPr>
                <w:rStyle w:val="29"/>
                <w:rFonts w:hint="eastAsia" w:ascii="宋体" w:hAnsi="宋体" w:eastAsia="宋体" w:cs="宋体"/>
                <w:color w:val="000000"/>
                <w:sz w:val="24"/>
                <w:lang w:eastAsia="zh-CN"/>
              </w:rPr>
              <w:t>2</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lang w:val="en-US" w:eastAsia="zh-CN"/>
              </w:rPr>
            </w:pPr>
            <w:r>
              <w:rPr>
                <w:rStyle w:val="29"/>
                <w:rFonts w:hint="eastAsia" w:ascii="宋体" w:hAnsi="宋体" w:cs="宋体"/>
                <w:color w:val="000000"/>
                <w:sz w:val="24"/>
                <w:lang w:eastAsia="zh-CN"/>
              </w:rPr>
              <w:t>采购项目编号：WCYL2022-008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3</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lang w:eastAsia="zh-CN"/>
              </w:rPr>
            </w:pPr>
            <w:r>
              <w:rPr>
                <w:rStyle w:val="29"/>
                <w:rFonts w:hint="eastAsia" w:ascii="宋体" w:hAnsi="宋体" w:eastAsia="宋体" w:cs="宋体"/>
                <w:color w:val="000000"/>
                <w:sz w:val="24"/>
              </w:rPr>
              <w:t>采购人：</w:t>
            </w:r>
            <w:r>
              <w:rPr>
                <w:rStyle w:val="29"/>
                <w:rFonts w:hint="eastAsia" w:ascii="宋体" w:hAnsi="宋体" w:cs="宋体"/>
                <w:color w:val="000000"/>
                <w:sz w:val="24"/>
                <w:lang w:eastAsia="zh-CN"/>
              </w:rPr>
              <w:t>榆佳经济技术开发区管理委员会</w:t>
            </w:r>
          </w:p>
          <w:p>
            <w:pPr>
              <w:spacing w:line="360" w:lineRule="auto"/>
              <w:rPr>
                <w:rStyle w:val="29"/>
                <w:rFonts w:hint="eastAsia" w:ascii="宋体" w:hAnsi="宋体" w:eastAsia="宋体" w:cs="宋体"/>
                <w:color w:val="000000"/>
                <w:sz w:val="24"/>
                <w:lang w:eastAsia="zh-CN"/>
              </w:rPr>
            </w:pPr>
            <w:r>
              <w:rPr>
                <w:rStyle w:val="29"/>
                <w:rFonts w:hint="eastAsia" w:ascii="宋体" w:hAnsi="宋体" w:eastAsia="宋体" w:cs="宋体"/>
                <w:color w:val="000000"/>
                <w:sz w:val="24"/>
              </w:rPr>
              <w:t>采购代理机构：</w:t>
            </w:r>
            <w:r>
              <w:rPr>
                <w:rStyle w:val="29"/>
                <w:rFonts w:hint="eastAsia" w:ascii="宋体" w:hAnsi="宋体" w:cs="宋体"/>
                <w:color w:val="000000"/>
                <w:sz w:val="24"/>
                <w:lang w:eastAsia="zh-CN"/>
              </w:rPr>
              <w:t>伍诚工程咨询股份有限公司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4</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960" w:hanging="960" w:hangingChars="400"/>
              <w:rPr>
                <w:rStyle w:val="29"/>
                <w:rFonts w:hint="eastAsia" w:ascii="宋体" w:hAnsi="宋体" w:eastAsia="宋体" w:cs="宋体"/>
                <w:color w:val="000000"/>
                <w:sz w:val="24"/>
              </w:rPr>
            </w:pPr>
            <w:r>
              <w:rPr>
                <w:rStyle w:val="29"/>
                <w:rFonts w:hint="eastAsia" w:ascii="宋体" w:hAnsi="宋体" w:eastAsia="宋体" w:cs="宋体"/>
                <w:color w:val="000000"/>
                <w:sz w:val="24"/>
              </w:rPr>
              <w:t>具体采购内容详见第</w:t>
            </w:r>
            <w:r>
              <w:rPr>
                <w:rStyle w:val="29"/>
                <w:rFonts w:hint="eastAsia" w:ascii="宋体" w:hAnsi="宋体" w:cs="宋体"/>
                <w:color w:val="000000"/>
                <w:sz w:val="24"/>
                <w:lang w:eastAsia="zh-CN"/>
              </w:rPr>
              <w:t>四</w:t>
            </w:r>
            <w:r>
              <w:rPr>
                <w:rStyle w:val="29"/>
                <w:rFonts w:hint="eastAsia" w:ascii="宋体" w:hAnsi="宋体" w:eastAsia="宋体" w:cs="宋体"/>
                <w:color w:val="000000"/>
                <w:sz w:val="24"/>
              </w:rPr>
              <w:t>部分采购内容及要求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5</w:t>
            </w:r>
          </w:p>
        </w:tc>
        <w:tc>
          <w:tcPr>
            <w:tcW w:w="877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kinsoku/>
              <w:wordWrap/>
              <w:overflowPunct/>
              <w:topLinePunct w:val="0"/>
              <w:autoSpaceDE/>
              <w:autoSpaceDN/>
              <w:bidi w:val="0"/>
              <w:adjustRightInd/>
              <w:spacing w:before="0" w:beforeAutospacing="0" w:after="0" w:afterAutospacing="0" w:line="360" w:lineRule="auto"/>
              <w:textAlignment w:val="baseline"/>
              <w:rPr>
                <w:rFonts w:hint="eastAsia"/>
                <w:color w:val="auto"/>
                <w:lang w:eastAsia="zh-CN"/>
              </w:rPr>
            </w:pPr>
            <w:r>
              <w:rPr>
                <w:rFonts w:hint="eastAsia"/>
                <w:color w:val="auto"/>
                <w:lang w:eastAsia="zh-CN"/>
              </w:rPr>
              <w:t>统一递交磋商响应文件截止时间、地点、方式：</w:t>
            </w:r>
          </w:p>
          <w:p>
            <w:pPr>
              <w:pStyle w:val="20"/>
              <w:keepNext w:val="0"/>
              <w:keepLines w:val="0"/>
              <w:pageBreakBefore w:val="0"/>
              <w:widowControl/>
              <w:kinsoku/>
              <w:wordWrap/>
              <w:overflowPunct/>
              <w:topLinePunct w:val="0"/>
              <w:autoSpaceDE/>
              <w:autoSpaceDN/>
              <w:bidi w:val="0"/>
              <w:adjustRightInd/>
              <w:spacing w:before="0" w:beforeAutospacing="0" w:after="0" w:afterAutospacing="0" w:line="360" w:lineRule="auto"/>
              <w:textAlignment w:val="baseline"/>
              <w:rPr>
                <w:rFonts w:hint="eastAsia"/>
                <w:color w:val="auto"/>
                <w:lang w:eastAsia="zh-CN"/>
              </w:rPr>
            </w:pPr>
            <w:r>
              <w:rPr>
                <w:rFonts w:hint="eastAsia"/>
                <w:color w:val="auto"/>
                <w:lang w:eastAsia="zh-CN"/>
              </w:rPr>
              <w:t>时间：2022年0</w:t>
            </w:r>
            <w:r>
              <w:rPr>
                <w:rFonts w:hint="eastAsia"/>
                <w:color w:val="auto"/>
                <w:lang w:val="en-US" w:eastAsia="zh-CN"/>
              </w:rPr>
              <w:t>6</w:t>
            </w:r>
            <w:r>
              <w:rPr>
                <w:rFonts w:hint="eastAsia"/>
                <w:color w:val="auto"/>
                <w:lang w:eastAsia="zh-CN"/>
              </w:rPr>
              <w:t>月</w:t>
            </w:r>
            <w:r>
              <w:rPr>
                <w:rFonts w:hint="eastAsia"/>
                <w:color w:val="auto"/>
                <w:lang w:val="en-US" w:eastAsia="zh-CN"/>
              </w:rPr>
              <w:t>30</w:t>
            </w:r>
            <w:r>
              <w:rPr>
                <w:rFonts w:hint="eastAsia"/>
                <w:color w:val="auto"/>
                <w:lang w:eastAsia="zh-CN"/>
              </w:rPr>
              <w:t>日</w:t>
            </w:r>
            <w:r>
              <w:rPr>
                <w:rFonts w:hint="eastAsia"/>
                <w:color w:val="auto"/>
                <w:lang w:val="en-US" w:eastAsia="zh-CN"/>
              </w:rPr>
              <w:t>09</w:t>
            </w:r>
            <w:r>
              <w:rPr>
                <w:rFonts w:hint="eastAsia"/>
                <w:color w:val="auto"/>
                <w:lang w:eastAsia="zh-CN"/>
              </w:rPr>
              <w:t>:30时（北京时间）</w:t>
            </w:r>
          </w:p>
          <w:p>
            <w:pPr>
              <w:pStyle w:val="20"/>
              <w:keepNext w:val="0"/>
              <w:keepLines w:val="0"/>
              <w:pageBreakBefore w:val="0"/>
              <w:widowControl/>
              <w:kinsoku/>
              <w:wordWrap/>
              <w:overflowPunct/>
              <w:topLinePunct w:val="0"/>
              <w:autoSpaceDE/>
              <w:autoSpaceDN/>
              <w:bidi w:val="0"/>
              <w:adjustRightInd/>
              <w:spacing w:before="0" w:beforeAutospacing="0" w:after="0" w:afterAutospacing="0" w:line="360" w:lineRule="auto"/>
              <w:textAlignment w:val="baseline"/>
              <w:rPr>
                <w:rFonts w:hint="eastAsia" w:eastAsia="宋体"/>
                <w:color w:val="auto"/>
                <w:lang w:val="en-US" w:eastAsia="zh-CN"/>
              </w:rPr>
            </w:pPr>
            <w:r>
              <w:rPr>
                <w:rFonts w:hint="eastAsia"/>
                <w:color w:val="auto"/>
              </w:rPr>
              <w:t>地点：</w:t>
            </w:r>
            <w:r>
              <w:rPr>
                <w:rFonts w:hint="eastAsia"/>
                <w:color w:val="auto"/>
                <w:lang w:eastAsia="zh-CN"/>
              </w:rPr>
              <w:t>榆林市公共资源交易中心（市民大厦）</w:t>
            </w:r>
            <w:r>
              <w:rPr>
                <w:rFonts w:hint="eastAsia" w:asciiTheme="minorEastAsia" w:hAnsiTheme="minorEastAsia" w:eastAsiaTheme="minorEastAsia" w:cstheme="minorEastAsia"/>
                <w:szCs w:val="24"/>
              </w:rPr>
              <w:t>十楼不见面开标7室</w:t>
            </w:r>
          </w:p>
          <w:p>
            <w:pPr>
              <w:pStyle w:val="11"/>
              <w:keepNext w:val="0"/>
              <w:keepLines w:val="0"/>
              <w:pageBreakBefore w:val="0"/>
              <w:widowControl/>
              <w:kinsoku/>
              <w:wordWrap/>
              <w:overflowPunct/>
              <w:topLinePunct w:val="0"/>
              <w:autoSpaceDE/>
              <w:autoSpaceDN/>
              <w:bidi w:val="0"/>
              <w:adjustRightInd/>
              <w:spacing w:line="360" w:lineRule="auto"/>
              <w:textAlignment w:val="baseline"/>
              <w:rPr>
                <w:rFonts w:hint="eastAsia"/>
                <w:color w:val="auto"/>
                <w:lang w:eastAsia="zh-CN"/>
              </w:rPr>
            </w:pPr>
            <w:r>
              <w:rPr>
                <w:rFonts w:hint="eastAsia" w:ascii="宋体" w:hAnsi="宋体" w:cs="宋体"/>
                <w:color w:val="auto"/>
                <w:kern w:val="0"/>
                <w:sz w:val="24"/>
                <w:szCs w:val="24"/>
                <w:lang w:val="en-US" w:eastAsia="zh-CN" w:bidi="ar"/>
              </w:rPr>
              <w:t>方式</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sz w:val="24"/>
                <w:szCs w:val="24"/>
                <w:lang w:val="en-US" w:eastAsia="zh-CN"/>
              </w:rPr>
              <w:t>供应商应于递交磋商文件截止时间前任意时段登录交易平台〖首页〉电子交易平台〉企业端〗在线提交电子投标文件，逾期提交系统间拒绝接收。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themeColor="text1"/>
                <w:sz w:val="24"/>
                <w14:textFill>
                  <w14:solidFill>
                    <w14:schemeClr w14:val="tx1"/>
                  </w14:solidFill>
                </w14:textFill>
              </w:rPr>
            </w:pPr>
            <w:r>
              <w:rPr>
                <w:rStyle w:val="29"/>
                <w:rFonts w:hint="eastAsia" w:ascii="宋体" w:hAnsi="宋体" w:eastAsia="宋体" w:cs="宋体"/>
                <w:color w:val="000000" w:themeColor="text1"/>
                <w:sz w:val="24"/>
                <w14:textFill>
                  <w14:solidFill>
                    <w14:schemeClr w14:val="tx1"/>
                  </w14:solidFill>
                </w14:textFill>
              </w:rPr>
              <w:t>6</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服务期：自合同签订之日起1个月内。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themeColor="text1"/>
                <w:sz w:val="24"/>
                <w14:textFill>
                  <w14:solidFill>
                    <w14:schemeClr w14:val="tx1"/>
                  </w14:solidFill>
                </w14:textFill>
              </w:rPr>
            </w:pPr>
            <w:r>
              <w:rPr>
                <w:rStyle w:val="29"/>
                <w:rFonts w:hint="eastAsia" w:ascii="宋体" w:hAnsi="宋体" w:eastAsia="宋体" w:cs="宋体"/>
                <w:color w:val="000000" w:themeColor="text1"/>
                <w:sz w:val="24"/>
                <w14:textFill>
                  <w14:solidFill>
                    <w14:schemeClr w14:val="tx1"/>
                  </w14:solidFill>
                </w14:textFill>
              </w:rPr>
              <w:t>7</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b w:val="0"/>
                <w:bCs w:val="0"/>
                <w:color w:val="000000" w:themeColor="text1"/>
                <w:sz w:val="24"/>
                <w14:textFill>
                  <w14:solidFill>
                    <w14:schemeClr w14:val="tx1"/>
                  </w14:solidFill>
                </w14:textFill>
              </w:rPr>
            </w:pPr>
            <w:r>
              <w:rPr>
                <w:rStyle w:val="29"/>
                <w:rFonts w:hint="eastAsia" w:ascii="宋体" w:hAnsi="宋体" w:eastAsia="宋体" w:cs="宋体"/>
                <w:b w:val="0"/>
                <w:bCs w:val="0"/>
                <w:color w:val="000000" w:themeColor="text1"/>
                <w:sz w:val="24"/>
                <w14:textFill>
                  <w14:solidFill>
                    <w14:schemeClr w14:val="tx1"/>
                  </w14:solidFill>
                </w14:textFill>
              </w:rPr>
              <w:t>付款方式：</w:t>
            </w:r>
          </w:p>
          <w:p>
            <w:pPr>
              <w:spacing w:line="360" w:lineRule="auto"/>
              <w:rPr>
                <w:rStyle w:val="29"/>
                <w:rFonts w:hint="eastAsia" w:ascii="宋体" w:hAnsi="宋体" w:eastAsia="宋体" w:cs="宋体"/>
                <w:color w:val="000000" w:themeColor="text1"/>
                <w:sz w:val="24"/>
                <w:highlight w:val="yellow"/>
                <w14:textFill>
                  <w14:solidFill>
                    <w14:schemeClr w14:val="tx1"/>
                  </w14:solidFill>
                </w14:textFill>
              </w:rPr>
            </w:pPr>
            <w:r>
              <w:rPr>
                <w:rStyle w:val="29"/>
                <w:rFonts w:hint="eastAsia" w:ascii="宋体" w:hAnsi="宋体" w:cs="宋体"/>
                <w:b w:val="0"/>
                <w:bCs w:val="0"/>
                <w:color w:val="000000" w:themeColor="text1"/>
                <w:sz w:val="24"/>
                <w:lang w:val="en-US" w:eastAsia="zh-CN"/>
                <w14:textFill>
                  <w14:solidFill>
                    <w14:schemeClr w14:val="tx1"/>
                  </w14:solidFill>
                </w14:textFill>
              </w:rPr>
              <w:t>交付成功后委托方向承接方付合同总价款的50%，剩余款项年底结清，付款前需向委托方开具相关发票。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themeColor="text1"/>
                <w:sz w:val="24"/>
                <w14:textFill>
                  <w14:solidFill>
                    <w14:schemeClr w14:val="tx1"/>
                  </w14:solidFill>
                </w14:textFill>
              </w:rPr>
            </w:pPr>
            <w:r>
              <w:rPr>
                <w:rStyle w:val="29"/>
                <w:rFonts w:hint="eastAsia" w:ascii="宋体" w:hAnsi="宋体" w:eastAsia="宋体" w:cs="宋体"/>
                <w:color w:val="000000" w:themeColor="text1"/>
                <w:sz w:val="24"/>
                <w14:textFill>
                  <w14:solidFill>
                    <w14:schemeClr w14:val="tx1"/>
                  </w14:solidFill>
                </w14:textFill>
              </w:rPr>
              <w:t>8</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themeColor="text1"/>
                <w:sz w:val="24"/>
                <w14:textFill>
                  <w14:solidFill>
                    <w14:schemeClr w14:val="tx1"/>
                  </w14:solidFill>
                </w14:textFill>
              </w:rPr>
            </w:pPr>
            <w:r>
              <w:rPr>
                <w:rStyle w:val="29"/>
                <w:rFonts w:hint="eastAsia" w:ascii="宋体" w:hAnsi="宋体" w:eastAsia="宋体" w:cs="宋体"/>
                <w:color w:val="000000" w:themeColor="text1"/>
                <w:sz w:val="24"/>
                <w:szCs w:val="24"/>
                <w14:textFill>
                  <w14:solidFill>
                    <w14:schemeClr w14:val="tx1"/>
                  </w14:solidFill>
                </w14:textFill>
              </w:rPr>
              <w:t>磋商报价：</w:t>
            </w:r>
            <w:r>
              <w:rPr>
                <w:rStyle w:val="29"/>
                <w:rFonts w:hint="eastAsia" w:ascii="宋体" w:hAnsi="宋体" w:cs="宋体"/>
                <w:color w:val="000000" w:themeColor="text1"/>
                <w:sz w:val="24"/>
                <w:szCs w:val="24"/>
                <w:lang w:eastAsia="zh-CN"/>
                <w14:textFill>
                  <w14:solidFill>
                    <w14:schemeClr w14:val="tx1"/>
                  </w14:solidFill>
                </w14:textFill>
              </w:rPr>
              <w:t>投</w:t>
            </w:r>
            <w:r>
              <w:rPr>
                <w:rFonts w:hint="eastAsia" w:ascii="宋体" w:hAnsi="宋体"/>
                <w:color w:val="000000" w:themeColor="text1"/>
                <w:sz w:val="24"/>
                <w14:textFill>
                  <w14:solidFill>
                    <w14:schemeClr w14:val="tx1"/>
                  </w14:solidFill>
                </w14:textFill>
              </w:rPr>
              <w:t>标报价是投标单位响应招标项目要求的全部工作内容的价格体现，包括完成采购内容所需的直接费、间接费、利润、税金及其它相关的一切费用。投标单位在报价时应充分考虑所有可能发生的费用，招标文件未列明，而投标单位认为应当计取的费用均应列入报价中。报价时不论是否计取，采购人均按已计取对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pStyle w:val="20"/>
              <w:spacing w:before="0" w:beforeAutospacing="0" w:after="0" w:afterAutospacing="0" w:line="360" w:lineRule="auto"/>
              <w:ind w:firstLine="42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8770" w:type="dxa"/>
            <w:tcBorders>
              <w:top w:val="single" w:color="000000" w:sz="4" w:space="0"/>
              <w:left w:val="single" w:color="000000" w:sz="4" w:space="0"/>
              <w:bottom w:val="single" w:color="000000" w:sz="4" w:space="0"/>
              <w:right w:val="single" w:color="000000" w:sz="4" w:space="0"/>
            </w:tcBorders>
            <w:vAlign w:val="center"/>
          </w:tcPr>
          <w:p>
            <w:pPr>
              <w:pStyle w:val="20"/>
              <w:spacing w:before="0" w:beforeAutospacing="0" w:after="0" w:afterAutospacing="0"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资质要求</w:t>
            </w:r>
            <w:r>
              <w:rPr>
                <w:rFonts w:hint="eastAsia" w:ascii="宋体" w:hAnsi="宋体" w:eastAsia="宋体" w:cs="宋体"/>
                <w:color w:val="000000" w:themeColor="text1"/>
                <w:sz w:val="24"/>
                <w:szCs w:val="24"/>
                <w:lang w:eastAsia="zh-CN"/>
                <w14:textFill>
                  <w14:solidFill>
                    <w14:schemeClr w14:val="tx1"/>
                  </w14:solidFill>
                </w14:textFill>
              </w:rPr>
              <w:t>：</w:t>
            </w:r>
          </w:p>
          <w:p>
            <w:pPr>
              <w:pStyle w:val="20"/>
              <w:spacing w:before="0" w:beforeAutospacing="0" w:after="0" w:afterAutospacing="0"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（一）符合《中华人民共和国政府采购法》第二十二条的规定</w:t>
            </w:r>
          </w:p>
          <w:p>
            <w:pPr>
              <w:pStyle w:val="20"/>
              <w:spacing w:before="0" w:beforeAutospacing="0" w:after="0" w:afterAutospacing="0"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特定</w:t>
            </w:r>
            <w:r>
              <w:rPr>
                <w:rFonts w:hint="eastAsia" w:ascii="宋体" w:hAnsi="宋体" w:eastAsia="宋体" w:cs="宋体"/>
                <w:color w:val="000000" w:themeColor="text1"/>
                <w:sz w:val="24"/>
                <w:szCs w:val="24"/>
                <w14:textFill>
                  <w14:solidFill>
                    <w14:schemeClr w14:val="tx1"/>
                  </w14:solidFill>
                </w14:textFill>
              </w:rPr>
              <w:t>资格条件：</w:t>
            </w:r>
          </w:p>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合同包1:</w:t>
            </w:r>
          </w:p>
          <w:p>
            <w:pPr>
              <w:pStyle w:val="20"/>
              <w:keepNext w:val="0"/>
              <w:keepLines w:val="0"/>
              <w:pageBreakBefore w:val="0"/>
              <w:numPr>
                <w:ilvl w:val="0"/>
                <w:numId w:val="3"/>
              </w:numPr>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财务状况报告：提供2020年度的财务审计报告或财务报表（至少包括资产负债表、利润表、现金流量表等），成立时间至提交</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文件递交截止时间不足一年的，供应商须自行声明；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税收缴纳证明：提供202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年1月至今已缴纳的至少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个月的纳税证明（银行缴费凭证）或完税证明，依法免税的单位应提供相关证明材料；</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参加政府采购活动前三年内，在经营活动中没有重大违法记录的书面声明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不得列入信用中国（http://www.creditchina.gov.cn/）被失信执行人、企业经营异常名录、重大违法税收违法案件当事人名单，不得列入中国政府采购网(www.ccgp.gov.cn)政府采购严重违法失信行为记录名单（网页查询截图并加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榆林市政府采购服务类项目供应商信用承诺书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原件（格式见采购文件）；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本项目不接受联合体投标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单位负责人为同一人或者存在控股、管理关系的不同单位，不得参加同一标段投标或者未划分标段的同一招标项目投标。违反规定的，其投标均无效</w:t>
            </w:r>
            <w:r>
              <w:rPr>
                <w:rFonts w:hint="eastAsia" w:ascii="宋体" w:hAnsi="宋体" w:eastAsia="宋体" w:cs="宋体"/>
                <w:color w:val="000000" w:themeColor="text1"/>
                <w:sz w:val="24"/>
                <w:szCs w:val="24"/>
                <w:lang w:eastAsia="zh-CN"/>
                <w14:textFill>
                  <w14:solidFill>
                    <w14:schemeClr w14:val="tx1"/>
                  </w14:solidFill>
                </w14:textFill>
              </w:rPr>
              <w:t>；</w:t>
            </w:r>
          </w:p>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合同包2:</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财务状况报告：提供2020年度的财务审计报告或财务报表（至少包括资产负债表、利润表、现金流量表等），成立时间至提交</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文件递交截止时间不足一年的，供应商须自行声明；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税收缴纳证明：提供202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年1月至今已缴纳的至少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个月的纳税证明（银行缴费凭证）或完税证明，依法免税的单位应提供相关证明材料；</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参加政府采购活动前三年内，在经营活动中没有重大违法记录的书面声明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不得列入信用中国（http://www.creditchina.gov.cn/）被失信执行人、企业经营异常名录、重大违法税收违法案件当事人名单，不得列入中国政府采购网(www.ccgp.gov.cn)政府采购严重违法失信行为记录名单（网页查询截图并加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榆林市政府采购服务类项目供应商信用承诺书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原件（格式见采购文件）；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本项目不接受联合体投标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单位负责人为同一人或者存在控股、管理关系的不同单位，不得参加同一标段投标或者未划分标段的同一招标项目投标。违反规定的，其投标均无效</w:t>
            </w:r>
            <w:r>
              <w:rPr>
                <w:rFonts w:hint="eastAsia" w:ascii="宋体" w:hAnsi="宋体" w:eastAsia="宋体" w:cs="宋体"/>
                <w:color w:val="auto"/>
                <w:sz w:val="24"/>
                <w:szCs w:val="24"/>
                <w:lang w:eastAsia="zh-CN"/>
              </w:rPr>
              <w:t>；</w:t>
            </w:r>
          </w:p>
          <w:p>
            <w:pPr>
              <w:pStyle w:val="20"/>
              <w:spacing w:before="0" w:beforeAutospacing="0" w:after="0" w:afterAutospacing="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有关</w:t>
            </w:r>
            <w:r>
              <w:rPr>
                <w:rFonts w:hint="eastAsia" w:ascii="宋体" w:hAnsi="宋体" w:eastAsia="宋体" w:cs="宋体"/>
                <w:b/>
                <w:bCs/>
                <w:color w:val="000000" w:themeColor="text1"/>
                <w:sz w:val="24"/>
                <w:szCs w:val="24"/>
                <w:lang w:eastAsia="zh-CN"/>
                <w14:textFill>
                  <w14:solidFill>
                    <w14:schemeClr w14:val="tx1"/>
                  </w14:solidFill>
                </w14:textFill>
              </w:rPr>
              <w:t>资格要求</w:t>
            </w:r>
            <w:r>
              <w:rPr>
                <w:rFonts w:hint="eastAsia" w:ascii="宋体" w:hAnsi="宋体" w:eastAsia="宋体" w:cs="宋体"/>
                <w:b/>
                <w:bCs/>
                <w:color w:val="000000" w:themeColor="text1"/>
                <w:sz w:val="24"/>
                <w:szCs w:val="24"/>
                <w14:textFill>
                  <w14:solidFill>
                    <w14:schemeClr w14:val="tx1"/>
                  </w14:solidFill>
                </w14:textFill>
              </w:rPr>
              <w:t>的特别说明：</w:t>
            </w:r>
          </w:p>
          <w:p>
            <w:pPr>
              <w:pStyle w:val="20"/>
              <w:spacing w:before="0" w:beforeAutospacing="0" w:after="0" w:afterAutospacing="0"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）供应商必须对所提供的资格要求的真实性和有效性负全部法律责任，供应商名称和营业执照等相关证件完全一致。</w:t>
            </w:r>
          </w:p>
          <w:p>
            <w:pPr>
              <w:pStyle w:val="20"/>
              <w:spacing w:before="0" w:beforeAutospacing="0" w:after="0" w:afterAutospacing="0"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 xml:space="preserve"> 以上</w:t>
            </w:r>
            <w:r>
              <w:rPr>
                <w:rFonts w:hint="eastAsia" w:ascii="宋体" w:hAnsi="宋体" w:eastAsia="宋体" w:cs="宋体"/>
                <w:color w:val="000000" w:themeColor="text1"/>
                <w:sz w:val="24"/>
                <w:szCs w:val="24"/>
                <w:lang w:val="en-US" w:eastAsia="zh-CN"/>
                <w14:textFill>
                  <w14:solidFill>
                    <w14:schemeClr w14:val="tx1"/>
                  </w14:solidFill>
                </w14:textFill>
              </w:rPr>
              <w:t>所列资格要求均为必备资格条件，投标人应在投标文件规定处附相关证明材料</w:t>
            </w:r>
            <w:r>
              <w:rPr>
                <w:rFonts w:hint="eastAsia" w:cs="宋体"/>
                <w:color w:val="000000" w:themeColor="text1"/>
                <w:sz w:val="24"/>
                <w:szCs w:val="24"/>
                <w:lang w:val="en-US" w:eastAsia="zh-CN"/>
                <w14:textFill>
                  <w14:solidFill>
                    <w14:schemeClr w14:val="tx1"/>
                  </w14:solidFill>
                </w14:textFill>
              </w:rPr>
              <w:t>复印件</w:t>
            </w:r>
            <w:r>
              <w:rPr>
                <w:rFonts w:hint="eastAsia" w:ascii="宋体" w:hAnsi="宋体" w:eastAsia="宋体" w:cs="宋体"/>
                <w:color w:val="000000" w:themeColor="text1"/>
                <w:sz w:val="24"/>
                <w:szCs w:val="24"/>
                <w:lang w:val="en-US" w:eastAsia="zh-CN"/>
                <w14:textFill>
                  <w14:solidFill>
                    <w14:schemeClr w14:val="tx1"/>
                  </w14:solidFill>
                </w14:textFill>
              </w:rPr>
              <w:t>并加盖企业公章，缺项、漏项或者符合性、有效性、真实性审核不合格的，供应商自动放弃采购活动资格，投标文件视为无效。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10</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sz w:val="24"/>
              </w:rPr>
            </w:pPr>
            <w:r>
              <w:rPr>
                <w:rStyle w:val="29"/>
                <w:rFonts w:hint="eastAsia" w:ascii="宋体" w:hAnsi="宋体" w:eastAsia="宋体" w:cs="宋体"/>
                <w:sz w:val="24"/>
                <w:szCs w:val="24"/>
                <w:lang w:eastAsia="zh-CN"/>
              </w:rPr>
              <w:t>磋商</w:t>
            </w:r>
            <w:r>
              <w:rPr>
                <w:rStyle w:val="29"/>
                <w:rFonts w:hint="eastAsia" w:ascii="宋体" w:hAnsi="宋体" w:eastAsia="宋体" w:cs="宋体"/>
                <w:sz w:val="24"/>
                <w:szCs w:val="24"/>
              </w:rPr>
              <w:t>有效期：</w:t>
            </w:r>
            <w:r>
              <w:rPr>
                <w:rStyle w:val="29"/>
                <w:rFonts w:hint="eastAsia" w:ascii="宋体" w:hAnsi="宋体" w:eastAsia="宋体" w:cs="宋体"/>
                <w:color w:val="000000"/>
                <w:sz w:val="24"/>
                <w:szCs w:val="24"/>
              </w:rPr>
              <w:t>从提交磋商响应文件的截止之日起 90 天</w:t>
            </w:r>
            <w:r>
              <w:rPr>
                <w:rStyle w:val="29"/>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11</w:t>
            </w:r>
          </w:p>
        </w:tc>
        <w:tc>
          <w:tcPr>
            <w:tcW w:w="8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4"/>
              </w:numPr>
              <w:kinsoku/>
              <w:wordWrap/>
              <w:overflowPunct/>
              <w:topLinePunct w:val="0"/>
              <w:autoSpaceDE/>
              <w:autoSpaceDN/>
              <w:bidi w:val="0"/>
              <w:adjustRightInd/>
              <w:snapToGrid/>
              <w:spacing w:afterAutospacing="0" w:line="360" w:lineRule="auto"/>
              <w:textAlignment w:val="baseline"/>
              <w:rPr>
                <w:rStyle w:val="29"/>
                <w:rFonts w:hint="eastAsia" w:ascii="宋体" w:hAnsi="宋体" w:eastAsia="宋体" w:cs="宋体"/>
                <w:color w:val="000000"/>
                <w:sz w:val="24"/>
                <w:szCs w:val="24"/>
              </w:rPr>
            </w:pPr>
            <w:r>
              <w:rPr>
                <w:rStyle w:val="29"/>
                <w:rFonts w:hint="eastAsia" w:ascii="宋体" w:hAnsi="宋体" w:eastAsia="宋体" w:cs="宋体"/>
                <w:color w:val="000000"/>
                <w:sz w:val="24"/>
                <w:szCs w:val="24"/>
              </w:rPr>
              <w:t>供应商缴纳的</w:t>
            </w:r>
            <w:r>
              <w:rPr>
                <w:rStyle w:val="29"/>
                <w:rFonts w:hint="eastAsia" w:ascii="宋体" w:hAnsi="宋体" w:eastAsia="宋体" w:cs="宋体"/>
                <w:color w:val="000000"/>
                <w:sz w:val="24"/>
                <w:szCs w:val="24"/>
                <w:lang w:eastAsia="zh-CN"/>
              </w:rPr>
              <w:t>磋商</w:t>
            </w:r>
            <w:r>
              <w:rPr>
                <w:rStyle w:val="29"/>
                <w:rFonts w:hint="eastAsia" w:ascii="宋体" w:hAnsi="宋体" w:eastAsia="宋体" w:cs="宋体"/>
                <w:color w:val="000000"/>
                <w:sz w:val="24"/>
                <w:szCs w:val="24"/>
              </w:rPr>
              <w:t>保证金：</w:t>
            </w:r>
            <w:r>
              <w:rPr>
                <w:rStyle w:val="29"/>
                <w:rFonts w:hint="eastAsia" w:ascii="宋体" w:hAnsi="宋体" w:cs="宋体"/>
                <w:color w:val="000000"/>
                <w:sz w:val="24"/>
                <w:szCs w:val="24"/>
                <w:lang w:val="en-US" w:eastAsia="zh-CN"/>
              </w:rPr>
              <w:t xml:space="preserve">  合同包1：</w:t>
            </w:r>
            <w:r>
              <w:rPr>
                <w:rStyle w:val="29"/>
                <w:rFonts w:hint="eastAsia" w:ascii="宋体" w:hAnsi="宋体" w:eastAsia="宋体" w:cs="宋体"/>
                <w:color w:val="000000"/>
                <w:sz w:val="24"/>
                <w:szCs w:val="24"/>
              </w:rPr>
              <w:t>人民币</w:t>
            </w:r>
            <w:r>
              <w:rPr>
                <w:rStyle w:val="29"/>
                <w:rFonts w:hint="eastAsia" w:ascii="宋体" w:hAnsi="宋体" w:cs="宋体"/>
                <w:color w:val="000000"/>
                <w:sz w:val="24"/>
                <w:szCs w:val="24"/>
                <w:lang w:eastAsia="zh-CN"/>
              </w:rPr>
              <w:t>贰仟元整</w:t>
            </w:r>
            <w:r>
              <w:rPr>
                <w:rStyle w:val="29"/>
                <w:rFonts w:hint="eastAsia" w:ascii="宋体" w:hAnsi="宋体" w:eastAsia="宋体" w:cs="宋体"/>
                <w:color w:val="000000"/>
                <w:sz w:val="24"/>
                <w:szCs w:val="24"/>
              </w:rPr>
              <w:t>（￥</w:t>
            </w:r>
            <w:r>
              <w:rPr>
                <w:rStyle w:val="29"/>
                <w:rFonts w:hint="eastAsia" w:ascii="宋体" w:hAnsi="宋体" w:cs="宋体"/>
                <w:color w:val="000000"/>
                <w:sz w:val="24"/>
                <w:szCs w:val="24"/>
                <w:lang w:val="en-US" w:eastAsia="zh-CN"/>
              </w:rPr>
              <w:t>2000</w:t>
            </w:r>
            <w:r>
              <w:rPr>
                <w:rStyle w:val="29"/>
                <w:rFonts w:hint="eastAsia" w:ascii="宋体" w:hAnsi="宋体" w:eastAsia="宋体" w:cs="宋体"/>
                <w:color w:val="000000"/>
                <w:sz w:val="24"/>
                <w:szCs w:val="24"/>
              </w:rPr>
              <w:t>.00元）</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textAlignment w:val="baseline"/>
              <w:rPr>
                <w:rStyle w:val="29"/>
                <w:rFonts w:hint="eastAsia" w:ascii="宋体" w:hAnsi="宋体" w:eastAsia="宋体" w:cs="宋体"/>
                <w:color w:val="000000"/>
                <w:sz w:val="24"/>
                <w:szCs w:val="24"/>
              </w:rPr>
            </w:pPr>
            <w:r>
              <w:rPr>
                <w:rFonts w:hint="eastAsia"/>
                <w:lang w:val="en-US" w:eastAsia="zh-CN"/>
              </w:rPr>
              <w:t xml:space="preserve">                                </w:t>
            </w:r>
            <w:r>
              <w:rPr>
                <w:rStyle w:val="29"/>
                <w:rFonts w:hint="eastAsia" w:ascii="宋体" w:hAnsi="宋体" w:cs="宋体"/>
                <w:color w:val="000000"/>
                <w:sz w:val="24"/>
                <w:szCs w:val="24"/>
                <w:lang w:val="en-US" w:eastAsia="zh-CN"/>
              </w:rPr>
              <w:t xml:space="preserve"> 合同包2：</w:t>
            </w:r>
            <w:r>
              <w:rPr>
                <w:rStyle w:val="29"/>
                <w:rFonts w:hint="eastAsia" w:ascii="宋体" w:hAnsi="宋体" w:eastAsia="宋体" w:cs="宋体"/>
                <w:color w:val="000000"/>
                <w:sz w:val="24"/>
                <w:szCs w:val="24"/>
              </w:rPr>
              <w:t>人民币</w:t>
            </w:r>
            <w:r>
              <w:rPr>
                <w:rStyle w:val="29"/>
                <w:rFonts w:hint="eastAsia" w:ascii="宋体" w:hAnsi="宋体" w:cs="宋体"/>
                <w:color w:val="000000"/>
                <w:sz w:val="24"/>
                <w:szCs w:val="24"/>
                <w:lang w:eastAsia="zh-CN"/>
              </w:rPr>
              <w:t>贰仟元整</w:t>
            </w:r>
            <w:r>
              <w:rPr>
                <w:rStyle w:val="29"/>
                <w:rFonts w:hint="eastAsia" w:ascii="宋体" w:hAnsi="宋体" w:eastAsia="宋体" w:cs="宋体"/>
                <w:color w:val="000000"/>
                <w:sz w:val="24"/>
                <w:szCs w:val="24"/>
              </w:rPr>
              <w:t>（￥</w:t>
            </w:r>
            <w:r>
              <w:rPr>
                <w:rStyle w:val="29"/>
                <w:rFonts w:hint="eastAsia" w:ascii="宋体" w:hAnsi="宋体" w:cs="宋体"/>
                <w:color w:val="000000"/>
                <w:sz w:val="24"/>
                <w:szCs w:val="24"/>
                <w:lang w:val="en-US" w:eastAsia="zh-CN"/>
              </w:rPr>
              <w:t>2000</w:t>
            </w:r>
            <w:r>
              <w:rPr>
                <w:rStyle w:val="29"/>
                <w:rFonts w:hint="eastAsia" w:ascii="宋体" w:hAnsi="宋体" w:eastAsia="宋体" w:cs="宋体"/>
                <w:color w:val="000000"/>
                <w:sz w:val="24"/>
                <w:szCs w:val="24"/>
              </w:rPr>
              <w:t>.00元）</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firstLine="3360" w:firstLineChars="1400"/>
              <w:textAlignment w:val="baseline"/>
              <w:rPr>
                <w:rStyle w:val="29"/>
                <w:rFonts w:hint="eastAsia" w:ascii="宋体" w:hAnsi="宋体" w:eastAsia="宋体" w:cs="宋体"/>
                <w:color w:val="000000"/>
                <w:sz w:val="24"/>
                <w:szCs w:val="24"/>
              </w:rPr>
            </w:pPr>
            <w:r>
              <w:rPr>
                <w:rStyle w:val="29"/>
                <w:rFonts w:hint="eastAsia" w:ascii="宋体" w:hAnsi="宋体" w:cs="宋体"/>
                <w:color w:val="000000"/>
                <w:sz w:val="24"/>
                <w:szCs w:val="24"/>
                <w:lang w:val="en-US" w:eastAsia="zh-CN"/>
              </w:rPr>
              <w:t xml:space="preserve"> 合同包3：</w:t>
            </w:r>
            <w:r>
              <w:rPr>
                <w:rStyle w:val="29"/>
                <w:rFonts w:hint="eastAsia" w:ascii="宋体" w:hAnsi="宋体" w:eastAsia="宋体" w:cs="宋体"/>
                <w:color w:val="000000"/>
                <w:sz w:val="24"/>
                <w:szCs w:val="24"/>
              </w:rPr>
              <w:t>人民币</w:t>
            </w:r>
            <w:r>
              <w:rPr>
                <w:rStyle w:val="29"/>
                <w:rFonts w:hint="eastAsia" w:ascii="宋体" w:hAnsi="宋体" w:cs="宋体"/>
                <w:color w:val="000000"/>
                <w:sz w:val="24"/>
                <w:szCs w:val="24"/>
                <w:lang w:eastAsia="zh-CN"/>
              </w:rPr>
              <w:t>伍仟元整</w:t>
            </w:r>
            <w:r>
              <w:rPr>
                <w:rStyle w:val="29"/>
                <w:rFonts w:hint="eastAsia" w:ascii="宋体" w:hAnsi="宋体" w:eastAsia="宋体" w:cs="宋体"/>
                <w:color w:val="000000"/>
                <w:sz w:val="24"/>
                <w:szCs w:val="24"/>
              </w:rPr>
              <w:t>（￥</w:t>
            </w:r>
            <w:r>
              <w:rPr>
                <w:rStyle w:val="29"/>
                <w:rFonts w:hint="eastAsia" w:ascii="宋体" w:hAnsi="宋体" w:cs="宋体"/>
                <w:color w:val="000000"/>
                <w:sz w:val="24"/>
                <w:szCs w:val="24"/>
                <w:lang w:val="en-US" w:eastAsia="zh-CN"/>
              </w:rPr>
              <w:t>5000</w:t>
            </w:r>
            <w:r>
              <w:rPr>
                <w:rStyle w:val="29"/>
                <w:rFonts w:hint="eastAsia" w:ascii="宋体" w:hAnsi="宋体" w:eastAsia="宋体" w:cs="宋体"/>
                <w:color w:val="000000"/>
                <w:sz w:val="24"/>
                <w:szCs w:val="24"/>
              </w:rPr>
              <w:t>.00元）</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firstLine="3360" w:firstLineChars="1400"/>
              <w:textAlignment w:val="baseline"/>
              <w:rPr>
                <w:rStyle w:val="29"/>
                <w:rFonts w:hint="eastAsia" w:ascii="宋体" w:hAnsi="宋体" w:eastAsia="宋体" w:cs="宋体"/>
                <w:color w:val="000000"/>
                <w:sz w:val="24"/>
                <w:szCs w:val="24"/>
              </w:rPr>
            </w:pPr>
            <w:r>
              <w:rPr>
                <w:rStyle w:val="29"/>
                <w:rFonts w:hint="eastAsia" w:ascii="宋体" w:hAnsi="宋体" w:cs="宋体"/>
                <w:color w:val="000000"/>
                <w:sz w:val="24"/>
                <w:szCs w:val="24"/>
                <w:lang w:val="en-US" w:eastAsia="zh-CN"/>
              </w:rPr>
              <w:t xml:space="preserve"> 合同包4：</w:t>
            </w:r>
            <w:r>
              <w:rPr>
                <w:rStyle w:val="29"/>
                <w:rFonts w:hint="eastAsia" w:ascii="宋体" w:hAnsi="宋体" w:eastAsia="宋体" w:cs="宋体"/>
                <w:color w:val="000000"/>
                <w:sz w:val="24"/>
                <w:szCs w:val="24"/>
              </w:rPr>
              <w:t>人民币</w:t>
            </w:r>
            <w:r>
              <w:rPr>
                <w:rStyle w:val="29"/>
                <w:rFonts w:hint="eastAsia" w:ascii="宋体" w:hAnsi="宋体" w:cs="宋体"/>
                <w:color w:val="000000"/>
                <w:sz w:val="24"/>
                <w:szCs w:val="24"/>
                <w:lang w:eastAsia="zh-CN"/>
              </w:rPr>
              <w:t>伍仟元整</w:t>
            </w:r>
            <w:r>
              <w:rPr>
                <w:rStyle w:val="29"/>
                <w:rFonts w:hint="eastAsia" w:ascii="宋体" w:hAnsi="宋体" w:eastAsia="宋体" w:cs="宋体"/>
                <w:color w:val="000000"/>
                <w:sz w:val="24"/>
                <w:szCs w:val="24"/>
              </w:rPr>
              <w:t>（￥</w:t>
            </w:r>
            <w:r>
              <w:rPr>
                <w:rStyle w:val="29"/>
                <w:rFonts w:hint="eastAsia" w:ascii="宋体" w:hAnsi="宋体" w:cs="宋体"/>
                <w:color w:val="000000"/>
                <w:sz w:val="24"/>
                <w:szCs w:val="24"/>
                <w:lang w:val="en-US" w:eastAsia="zh-CN"/>
              </w:rPr>
              <w:t>5000</w:t>
            </w:r>
            <w:r>
              <w:rPr>
                <w:rStyle w:val="29"/>
                <w:rFonts w:hint="eastAsia" w:ascii="宋体" w:hAnsi="宋体" w:eastAsia="宋体" w:cs="宋体"/>
                <w:color w:val="000000"/>
                <w:sz w:val="24"/>
                <w:szCs w:val="24"/>
              </w:rPr>
              <w:t>.00元）</w:t>
            </w:r>
          </w:p>
          <w:p>
            <w:pPr>
              <w:keepNext w:val="0"/>
              <w:keepLines w:val="0"/>
              <w:pageBreakBefore w:val="0"/>
              <w:widowControl/>
              <w:numPr>
                <w:ilvl w:val="0"/>
                <w:numId w:val="0"/>
              </w:numPr>
              <w:kinsoku/>
              <w:wordWrap/>
              <w:overflowPunct/>
              <w:topLinePunct w:val="0"/>
              <w:autoSpaceDE/>
              <w:autoSpaceDN/>
              <w:bidi w:val="0"/>
              <w:adjustRightInd/>
              <w:snapToGrid/>
              <w:spacing w:afterAutospacing="0" w:line="360" w:lineRule="auto"/>
              <w:ind w:firstLine="3360" w:firstLineChars="1400"/>
              <w:textAlignment w:val="baseline"/>
              <w:rPr>
                <w:rStyle w:val="29"/>
                <w:rFonts w:hint="eastAsia" w:ascii="宋体" w:hAnsi="宋体" w:eastAsia="宋体" w:cs="宋体"/>
                <w:color w:val="000000"/>
                <w:sz w:val="24"/>
                <w:szCs w:val="24"/>
              </w:rPr>
            </w:pPr>
            <w:r>
              <w:rPr>
                <w:rStyle w:val="29"/>
                <w:rFonts w:hint="eastAsia" w:ascii="宋体" w:hAnsi="宋体" w:cs="宋体"/>
                <w:color w:val="000000"/>
                <w:sz w:val="24"/>
                <w:szCs w:val="24"/>
                <w:lang w:val="en-US" w:eastAsia="zh-CN"/>
              </w:rPr>
              <w:t xml:space="preserve"> 合同包5：</w:t>
            </w:r>
            <w:r>
              <w:rPr>
                <w:rStyle w:val="29"/>
                <w:rFonts w:hint="eastAsia" w:ascii="宋体" w:hAnsi="宋体" w:eastAsia="宋体" w:cs="宋体"/>
                <w:color w:val="000000"/>
                <w:sz w:val="24"/>
                <w:szCs w:val="24"/>
              </w:rPr>
              <w:t>人民币</w:t>
            </w:r>
            <w:r>
              <w:rPr>
                <w:rStyle w:val="29"/>
                <w:rFonts w:hint="eastAsia" w:ascii="宋体" w:hAnsi="宋体" w:cs="宋体"/>
                <w:color w:val="000000"/>
                <w:sz w:val="24"/>
                <w:szCs w:val="24"/>
                <w:lang w:eastAsia="zh-CN"/>
              </w:rPr>
              <w:t>贰仟元整</w:t>
            </w:r>
            <w:r>
              <w:rPr>
                <w:rStyle w:val="29"/>
                <w:rFonts w:hint="eastAsia" w:ascii="宋体" w:hAnsi="宋体" w:eastAsia="宋体" w:cs="宋体"/>
                <w:color w:val="000000"/>
                <w:sz w:val="24"/>
                <w:szCs w:val="24"/>
              </w:rPr>
              <w:t>（￥</w:t>
            </w:r>
            <w:r>
              <w:rPr>
                <w:rStyle w:val="29"/>
                <w:rFonts w:hint="eastAsia" w:ascii="宋体" w:hAnsi="宋体" w:cs="宋体"/>
                <w:color w:val="000000"/>
                <w:sz w:val="24"/>
                <w:szCs w:val="24"/>
                <w:lang w:val="en-US" w:eastAsia="zh-CN"/>
              </w:rPr>
              <w:t>2000</w:t>
            </w:r>
            <w:r>
              <w:rPr>
                <w:rStyle w:val="29"/>
                <w:rFonts w:hint="eastAsia" w:ascii="宋体" w:hAnsi="宋体" w:eastAsia="宋体" w:cs="宋体"/>
                <w:color w:val="000000"/>
                <w:sz w:val="24"/>
                <w:szCs w:val="24"/>
              </w:rPr>
              <w:t>.00元）</w:t>
            </w:r>
          </w:p>
          <w:p>
            <w:pPr>
              <w:pStyle w:val="2"/>
              <w:rPr>
                <w:rFonts w:hint="eastAsia" w:eastAsia="宋体"/>
                <w:b/>
                <w:bCs/>
                <w:sz w:val="24"/>
                <w:szCs w:val="24"/>
                <w:lang w:eastAsia="zh-CN"/>
              </w:rPr>
            </w:pPr>
            <w:r>
              <w:rPr>
                <w:rFonts w:hint="eastAsia"/>
                <w:b/>
                <w:bCs/>
                <w:sz w:val="24"/>
                <w:szCs w:val="24"/>
                <w:lang w:eastAsia="zh-CN"/>
              </w:rPr>
              <w:t>注：投标文件中附磋商保证金交纳凭证或投标保函；</w:t>
            </w:r>
          </w:p>
          <w:p>
            <w:pPr>
              <w:keepNext w:val="0"/>
              <w:keepLines w:val="0"/>
              <w:pageBreakBefore w:val="0"/>
              <w:widowControl/>
              <w:kinsoku/>
              <w:wordWrap/>
              <w:overflowPunct/>
              <w:topLinePunct w:val="0"/>
              <w:autoSpaceDE/>
              <w:autoSpaceDN/>
              <w:bidi w:val="0"/>
              <w:adjustRightInd/>
              <w:snapToGrid/>
              <w:spacing w:afterAutospacing="0" w:line="360" w:lineRule="auto"/>
              <w:textAlignment w:val="baseline"/>
              <w:rPr>
                <w:rFonts w:hint="eastAsia" w:ascii="宋体" w:hAnsi="宋体" w:eastAsia="宋体" w:cs="宋体"/>
                <w:b w:val="0"/>
                <w:bCs/>
                <w:color w:val="auto"/>
                <w:kern w:val="2"/>
                <w:sz w:val="24"/>
                <w:szCs w:val="22"/>
                <w:lang w:val="en-US" w:eastAsia="zh-CN" w:bidi="ar-SA"/>
              </w:rPr>
            </w:pPr>
            <w:r>
              <w:rPr>
                <w:rFonts w:hint="eastAsia" w:ascii="宋体" w:hAnsi="宋体" w:cs="宋体"/>
                <w:b w:val="0"/>
                <w:bCs/>
                <w:color w:val="auto"/>
                <w:kern w:val="2"/>
                <w:sz w:val="24"/>
                <w:szCs w:val="22"/>
                <w:lang w:val="en-US" w:eastAsia="zh-CN" w:bidi="ar-SA"/>
              </w:rPr>
              <w:t>2、磋商</w:t>
            </w:r>
            <w:r>
              <w:rPr>
                <w:rFonts w:hint="eastAsia" w:ascii="宋体" w:hAnsi="宋体" w:eastAsia="宋体" w:cs="宋体"/>
                <w:b w:val="0"/>
                <w:bCs/>
                <w:color w:val="auto"/>
                <w:kern w:val="2"/>
                <w:sz w:val="24"/>
                <w:szCs w:val="22"/>
                <w:lang w:val="en-US" w:eastAsia="zh-CN" w:bidi="ar-SA"/>
              </w:rPr>
              <w:t>保证金缴纳形式：支票、汇票、本票、网上银行或担保机构保函等非现金形式交纳。</w:t>
            </w:r>
          </w:p>
          <w:p>
            <w:pPr>
              <w:pStyle w:val="41"/>
              <w:spacing w:line="360" w:lineRule="auto"/>
              <w:ind w:left="0" w:leftChars="0" w:firstLine="0" w:firstLineChars="0"/>
              <w:rPr>
                <w:rFonts w:ascii="宋体" w:hAnsi="宋体" w:eastAsia="宋体" w:cs="宋体"/>
                <w:color w:val="000000"/>
                <w:sz w:val="24"/>
                <w:szCs w:val="32"/>
              </w:rPr>
            </w:pPr>
            <w:r>
              <w:rPr>
                <w:rFonts w:hint="eastAsia" w:ascii="宋体" w:hAnsi="宋体" w:eastAsia="宋体" w:cs="宋体"/>
                <w:color w:val="000000"/>
                <w:sz w:val="24"/>
                <w:szCs w:val="32"/>
                <w:lang w:val="en-US" w:eastAsia="zh-CN"/>
              </w:rPr>
              <w:t>3、</w:t>
            </w:r>
            <w:r>
              <w:rPr>
                <w:rFonts w:hint="eastAsia" w:ascii="宋体" w:hAnsi="宋体" w:eastAsia="宋体" w:cs="宋体"/>
                <w:color w:val="000000"/>
                <w:sz w:val="24"/>
                <w:szCs w:val="32"/>
              </w:rPr>
              <w:t>电汇或银行转账方式：</w:t>
            </w:r>
          </w:p>
          <w:p>
            <w:pPr>
              <w:pStyle w:val="41"/>
              <w:spacing w:line="360" w:lineRule="auto"/>
              <w:ind w:firstLine="482"/>
              <w:rPr>
                <w:rFonts w:ascii="宋体" w:hAnsi="宋体" w:eastAsia="宋体" w:cs="宋体"/>
                <w:color w:val="000000"/>
                <w:sz w:val="24"/>
                <w:szCs w:val="32"/>
              </w:rPr>
            </w:pPr>
            <w:r>
              <w:rPr>
                <w:rFonts w:hint="eastAsia" w:ascii="宋体" w:hAnsi="宋体" w:eastAsia="宋体" w:cs="宋体"/>
                <w:b/>
                <w:bCs/>
                <w:color w:val="000000"/>
                <w:sz w:val="24"/>
                <w:szCs w:val="32"/>
              </w:rPr>
              <w:t>必须从</w:t>
            </w:r>
            <w:r>
              <w:rPr>
                <w:rFonts w:hint="eastAsia" w:ascii="宋体" w:hAnsi="宋体" w:cs="宋体"/>
                <w:b/>
                <w:bCs/>
                <w:color w:val="000000"/>
                <w:sz w:val="24"/>
                <w:szCs w:val="32"/>
                <w:lang w:eastAsia="zh-CN"/>
              </w:rPr>
              <w:t>投标</w:t>
            </w:r>
            <w:r>
              <w:rPr>
                <w:rFonts w:hint="eastAsia" w:ascii="宋体" w:hAnsi="宋体" w:eastAsia="宋体" w:cs="宋体"/>
                <w:b/>
                <w:bCs/>
                <w:color w:val="000000"/>
                <w:sz w:val="24"/>
                <w:szCs w:val="32"/>
              </w:rPr>
              <w:t>单位的基本账户转出，电汇或银行转账时，备注项目名称，保证金必须在竞争性</w:t>
            </w:r>
            <w:r>
              <w:rPr>
                <w:rFonts w:hint="eastAsia" w:ascii="宋体" w:hAnsi="宋体" w:cs="宋体"/>
                <w:b/>
                <w:bCs/>
                <w:color w:val="000000"/>
                <w:sz w:val="24"/>
                <w:szCs w:val="32"/>
                <w:lang w:eastAsia="zh-CN"/>
              </w:rPr>
              <w:t>磋商</w:t>
            </w:r>
            <w:r>
              <w:rPr>
                <w:rFonts w:hint="eastAsia" w:ascii="宋体" w:hAnsi="宋体" w:eastAsia="宋体" w:cs="宋体"/>
                <w:b/>
                <w:bCs/>
                <w:color w:val="000000"/>
                <w:sz w:val="24"/>
                <w:szCs w:val="32"/>
              </w:rPr>
              <w:t>响应文件递交截止时间前到账并持加盖公章的转账凭证；</w:t>
            </w:r>
            <w:r>
              <w:rPr>
                <w:rFonts w:hint="eastAsia" w:ascii="宋体" w:hAnsi="宋体" w:cs="宋体"/>
                <w:b/>
                <w:bCs/>
                <w:color w:val="000000"/>
                <w:sz w:val="24"/>
                <w:szCs w:val="32"/>
                <w:lang w:eastAsia="zh-CN"/>
              </w:rPr>
              <w:t>磋商</w:t>
            </w:r>
            <w:r>
              <w:rPr>
                <w:rFonts w:hint="eastAsia" w:ascii="宋体" w:hAnsi="宋体" w:eastAsia="宋体" w:cs="宋体"/>
                <w:b/>
                <w:bCs/>
                <w:color w:val="000000"/>
                <w:sz w:val="24"/>
                <w:szCs w:val="32"/>
              </w:rPr>
              <w:t>单位应合理安排保证金缴纳时间，因异地转账、跨行转账、非工作日转账等原因导致保证金未能在规定时间内到达指定账户，视为未在规定时间内缴纳，责任由</w:t>
            </w:r>
            <w:r>
              <w:rPr>
                <w:rFonts w:hint="eastAsia" w:ascii="宋体" w:hAnsi="宋体" w:cs="宋体"/>
                <w:b/>
                <w:bCs/>
                <w:color w:val="000000"/>
                <w:sz w:val="24"/>
                <w:szCs w:val="32"/>
                <w:lang w:eastAsia="zh-CN"/>
              </w:rPr>
              <w:t>磋商</w:t>
            </w:r>
            <w:r>
              <w:rPr>
                <w:rFonts w:hint="eastAsia" w:ascii="宋体" w:hAnsi="宋体" w:eastAsia="宋体" w:cs="宋体"/>
                <w:b/>
                <w:bCs/>
                <w:color w:val="000000"/>
                <w:sz w:val="24"/>
                <w:szCs w:val="32"/>
              </w:rPr>
              <w:t>单位自行承担</w:t>
            </w:r>
            <w:r>
              <w:rPr>
                <w:rFonts w:hint="eastAsia" w:ascii="宋体" w:hAnsi="宋体" w:eastAsia="宋体" w:cs="宋体"/>
                <w:color w:val="000000"/>
                <w:sz w:val="24"/>
                <w:szCs w:val="32"/>
              </w:rPr>
              <w:t>。</w:t>
            </w:r>
          </w:p>
          <w:p>
            <w:pPr>
              <w:spacing w:line="360" w:lineRule="auto"/>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保证金专户：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开户银行：</w:t>
            </w:r>
            <w:r>
              <w:rPr>
                <w:rStyle w:val="29"/>
                <w:rFonts w:hint="eastAsia" w:ascii="宋体" w:hAnsi="宋体"/>
                <w:color w:val="auto"/>
                <w:sz w:val="24"/>
                <w:szCs w:val="24"/>
                <w:highlight w:val="none"/>
              </w:rPr>
              <w:t>中国建设银行股份有限公司榆林文化南路支行</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highlight w:val="none"/>
              </w:rPr>
              <w:t>账户名称：</w:t>
            </w:r>
            <w:r>
              <w:rPr>
                <w:rStyle w:val="29"/>
                <w:rFonts w:hint="eastAsia" w:ascii="宋体" w:hAnsi="宋体"/>
                <w:color w:val="auto"/>
                <w:sz w:val="24"/>
                <w:szCs w:val="24"/>
                <w:highlight w:val="none"/>
              </w:rPr>
              <w:t>伍</w:t>
            </w:r>
            <w:r>
              <w:rPr>
                <w:rStyle w:val="29"/>
                <w:rFonts w:hint="eastAsia" w:ascii="宋体" w:hAnsi="宋体"/>
                <w:color w:val="auto"/>
                <w:sz w:val="24"/>
                <w:szCs w:val="24"/>
              </w:rPr>
              <w:t>诚工程咨询股份有限公司榆林分公司</w:t>
            </w:r>
          </w:p>
          <w:p>
            <w:pPr>
              <w:spacing w:line="360" w:lineRule="auto"/>
              <w:ind w:firstLine="480" w:firstLineChars="200"/>
              <w:rPr>
                <w:rStyle w:val="29"/>
                <w:rFonts w:ascii="宋体" w:hAnsi="宋体"/>
                <w:color w:val="auto"/>
                <w:sz w:val="24"/>
                <w:szCs w:val="22"/>
              </w:rPr>
            </w:pPr>
            <w:r>
              <w:rPr>
                <w:rStyle w:val="29"/>
                <w:rFonts w:hint="eastAsia" w:ascii="宋体" w:hAnsi="宋体"/>
                <w:color w:val="auto"/>
                <w:sz w:val="24"/>
                <w:szCs w:val="22"/>
              </w:rPr>
              <w:t>账    号：</w:t>
            </w:r>
            <w:r>
              <w:rPr>
                <w:rStyle w:val="29"/>
                <w:rFonts w:hint="eastAsia" w:ascii="宋体" w:hAnsi="宋体"/>
                <w:color w:val="auto"/>
                <w:sz w:val="24"/>
                <w:szCs w:val="24"/>
              </w:rPr>
              <w:t>61050169901000001039</w:t>
            </w:r>
          </w:p>
          <w:p>
            <w:pPr>
              <w:spacing w:line="360" w:lineRule="auto"/>
              <w:ind w:firstLine="480" w:firstLineChars="200"/>
              <w:textAlignment w:val="auto"/>
              <w:rPr>
                <w:rStyle w:val="29"/>
                <w:rFonts w:ascii="宋体" w:hAnsi="宋体"/>
                <w:color w:val="000000"/>
                <w:sz w:val="24"/>
                <w:szCs w:val="24"/>
              </w:rPr>
            </w:pPr>
            <w:r>
              <w:rPr>
                <w:rStyle w:val="29"/>
                <w:rFonts w:hint="eastAsia" w:ascii="宋体" w:hAnsi="宋体"/>
                <w:sz w:val="24"/>
                <w:szCs w:val="24"/>
                <w:lang w:eastAsia="zh-CN"/>
              </w:rPr>
              <w:t>磋商</w:t>
            </w:r>
            <w:r>
              <w:rPr>
                <w:rStyle w:val="29"/>
                <w:rFonts w:ascii="宋体" w:hAnsi="宋体"/>
                <w:sz w:val="24"/>
                <w:szCs w:val="24"/>
              </w:rPr>
              <w:t>保证金到达采购代理机构指定账户后，供应商须与</w:t>
            </w:r>
            <w:r>
              <w:rPr>
                <w:rStyle w:val="29"/>
                <w:rFonts w:hint="eastAsia" w:ascii="宋体" w:hAnsi="宋体"/>
                <w:sz w:val="24"/>
                <w:szCs w:val="24"/>
                <w:lang w:eastAsia="zh-CN"/>
              </w:rPr>
              <w:t>伍诚工程咨询股份有限公司</w:t>
            </w:r>
            <w:r>
              <w:rPr>
                <w:rStyle w:val="29"/>
                <w:rFonts w:ascii="宋体" w:hAnsi="宋体"/>
                <w:sz w:val="24"/>
                <w:szCs w:val="24"/>
              </w:rPr>
              <w:t>财务部（联系电</w:t>
            </w:r>
            <w:r>
              <w:rPr>
                <w:rStyle w:val="29"/>
                <w:rFonts w:ascii="宋体" w:hAnsi="宋体"/>
                <w:color w:val="auto"/>
                <w:sz w:val="24"/>
                <w:szCs w:val="24"/>
              </w:rPr>
              <w:t>话：</w:t>
            </w:r>
            <w:r>
              <w:rPr>
                <w:rFonts w:hint="eastAsia" w:ascii="宋体" w:hAnsi="宋体" w:cs="宋体"/>
                <w:color w:val="auto"/>
                <w:sz w:val="24"/>
                <w:szCs w:val="24"/>
                <w:lang w:val="en-US" w:eastAsia="zh-CN"/>
              </w:rPr>
              <w:t>高</w:t>
            </w:r>
            <w:r>
              <w:rPr>
                <w:rFonts w:hint="eastAsia" w:ascii="宋体" w:hAnsi="宋体" w:cs="宋体"/>
                <w:color w:val="auto"/>
                <w:sz w:val="24"/>
                <w:szCs w:val="24"/>
              </w:rPr>
              <w:t>工，联系</w:t>
            </w:r>
            <w:r>
              <w:rPr>
                <w:rFonts w:hint="eastAsia" w:ascii="宋体" w:hAnsi="宋体" w:cs="宋体"/>
                <w:sz w:val="24"/>
                <w:szCs w:val="24"/>
              </w:rPr>
              <w:t>电话：</w:t>
            </w:r>
            <w:r>
              <w:rPr>
                <w:rFonts w:hint="eastAsia" w:ascii="宋体" w:hAnsi="宋体" w:cs="宋体"/>
                <w:sz w:val="24"/>
                <w:szCs w:val="24"/>
                <w:lang w:eastAsia="zh-CN"/>
              </w:rPr>
              <w:t>0912-3830132，</w:t>
            </w:r>
            <w:r>
              <w:rPr>
                <w:rFonts w:hint="eastAsia" w:ascii="宋体" w:hAnsi="宋体" w:cs="宋体"/>
                <w:sz w:val="24"/>
                <w:szCs w:val="24"/>
                <w:lang w:val="en-US" w:eastAsia="zh-CN"/>
              </w:rPr>
              <w:t>18098009261</w:t>
            </w:r>
            <w:r>
              <w:rPr>
                <w:rStyle w:val="29"/>
                <w:rFonts w:ascii="宋体" w:hAnsi="宋体"/>
                <w:sz w:val="24"/>
                <w:szCs w:val="24"/>
              </w:rPr>
              <w:t>）联系确认到</w:t>
            </w:r>
            <w:r>
              <w:rPr>
                <w:rStyle w:val="29"/>
                <w:rFonts w:ascii="宋体" w:hAnsi="宋体"/>
                <w:color w:val="000000"/>
                <w:sz w:val="24"/>
                <w:szCs w:val="24"/>
              </w:rPr>
              <w:t>帐。</w:t>
            </w:r>
          </w:p>
          <w:p>
            <w:pPr>
              <w:pStyle w:val="41"/>
              <w:spacing w:line="360" w:lineRule="auto"/>
              <w:ind w:left="0" w:leftChars="0" w:firstLine="0" w:firstLineChars="0"/>
              <w:rPr>
                <w:rFonts w:ascii="宋体" w:hAnsi="宋体" w:eastAsia="宋体" w:cs="宋体"/>
                <w:color w:val="000000"/>
                <w:sz w:val="24"/>
                <w:szCs w:val="32"/>
              </w:rPr>
            </w:pPr>
            <w:r>
              <w:rPr>
                <w:rStyle w:val="29"/>
                <w:rFonts w:hint="eastAsia" w:ascii="宋体" w:hAnsi="宋体"/>
                <w:color w:val="000000"/>
                <w:sz w:val="24"/>
                <w:szCs w:val="24"/>
                <w:lang w:val="en-US" w:eastAsia="zh-CN"/>
              </w:rPr>
              <w:t>5、</w:t>
            </w:r>
            <w:r>
              <w:rPr>
                <w:rFonts w:hint="eastAsia" w:ascii="宋体" w:hAnsi="宋体" w:cs="宋体"/>
                <w:color w:val="000000"/>
                <w:sz w:val="24"/>
                <w:szCs w:val="32"/>
                <w:lang w:eastAsia="zh-CN"/>
              </w:rPr>
              <w:t>磋商</w:t>
            </w:r>
            <w:r>
              <w:rPr>
                <w:rFonts w:hint="eastAsia" w:ascii="宋体" w:hAnsi="宋体" w:eastAsia="宋体" w:cs="宋体"/>
                <w:color w:val="000000"/>
                <w:sz w:val="24"/>
                <w:szCs w:val="32"/>
              </w:rPr>
              <w:t>担保方式：</w:t>
            </w:r>
          </w:p>
          <w:p>
            <w:pPr>
              <w:pStyle w:val="41"/>
              <w:spacing w:line="360" w:lineRule="auto"/>
              <w:ind w:firstLine="480"/>
              <w:rPr>
                <w:rStyle w:val="29"/>
                <w:rFonts w:hint="eastAsia" w:ascii="宋体" w:hAnsi="宋体" w:eastAsia="宋体" w:cs="宋体"/>
                <w:sz w:val="24"/>
                <w:szCs w:val="24"/>
              </w:rPr>
            </w:pPr>
            <w:r>
              <w:rPr>
                <w:rFonts w:hint="eastAsia" w:ascii="宋体" w:hAnsi="宋体" w:eastAsia="宋体" w:cs="宋体"/>
                <w:color w:val="000000"/>
                <w:sz w:val="24"/>
                <w:szCs w:val="32"/>
              </w:rPr>
              <w:t>必须在</w:t>
            </w:r>
            <w:r>
              <w:rPr>
                <w:rFonts w:hint="eastAsia" w:ascii="宋体" w:hAnsi="宋体" w:cs="宋体"/>
                <w:color w:val="000000"/>
                <w:sz w:val="24"/>
                <w:szCs w:val="32"/>
                <w:lang w:eastAsia="zh-CN"/>
              </w:rPr>
              <w:t>磋商</w:t>
            </w:r>
            <w:r>
              <w:rPr>
                <w:rFonts w:hint="eastAsia" w:ascii="宋体" w:hAnsi="宋体" w:eastAsia="宋体" w:cs="宋体"/>
                <w:color w:val="000000"/>
                <w:sz w:val="24"/>
                <w:szCs w:val="32"/>
              </w:rPr>
              <w:t>响应文件接收截止时间前将《政府采购投标担保函》正本递交至采购代理机构，未能在规定时间递交的，视为未在规定时间内缴纳，责任由</w:t>
            </w:r>
            <w:r>
              <w:rPr>
                <w:rFonts w:hint="eastAsia" w:ascii="宋体" w:hAnsi="宋体" w:cs="宋体"/>
                <w:color w:val="000000"/>
                <w:sz w:val="24"/>
                <w:szCs w:val="32"/>
                <w:lang w:eastAsia="zh-CN"/>
              </w:rPr>
              <w:t>磋商</w:t>
            </w:r>
            <w:r>
              <w:rPr>
                <w:rFonts w:hint="eastAsia" w:ascii="宋体" w:hAnsi="宋体" w:eastAsia="宋体" w:cs="宋体"/>
                <w:color w:val="000000"/>
                <w:sz w:val="24"/>
                <w:szCs w:val="32"/>
              </w:rPr>
              <w:t>单位自行承担</w:t>
            </w:r>
            <w:r>
              <w:rPr>
                <w:rFonts w:hint="eastAsia" w:ascii="宋体" w:hAnsi="宋体" w:cs="宋体"/>
                <w:color w:val="000000"/>
                <w:sz w:val="24"/>
                <w:szCs w:val="32"/>
                <w:lang w:eastAsia="zh-CN"/>
              </w:rPr>
              <w:t>，</w:t>
            </w:r>
            <w:r>
              <w:rPr>
                <w:rFonts w:hint="eastAsia" w:ascii="宋体" w:hAnsi="宋体" w:eastAsia="宋体" w:cs="宋体"/>
                <w:color w:val="000000"/>
                <w:sz w:val="24"/>
                <w:szCs w:val="32"/>
              </w:rPr>
              <w:t>《政府采购投标担保函》中</w:t>
            </w:r>
            <w:r>
              <w:rPr>
                <w:rFonts w:hint="eastAsia" w:ascii="宋体" w:hAnsi="宋体" w:cs="宋体"/>
                <w:color w:val="000000"/>
                <w:sz w:val="24"/>
                <w:szCs w:val="32"/>
                <w:lang w:eastAsia="zh-CN"/>
              </w:rPr>
              <w:t>磋商</w:t>
            </w:r>
            <w:r>
              <w:rPr>
                <w:rFonts w:hint="eastAsia" w:ascii="宋体" w:hAnsi="宋体" w:eastAsia="宋体" w:cs="宋体"/>
                <w:color w:val="000000"/>
                <w:sz w:val="24"/>
                <w:szCs w:val="32"/>
              </w:rPr>
              <w:t>保证金的有效期为</w:t>
            </w:r>
            <w:r>
              <w:rPr>
                <w:rFonts w:hint="eastAsia" w:ascii="宋体" w:hAnsi="宋体" w:cs="宋体"/>
                <w:color w:val="000000"/>
                <w:sz w:val="24"/>
                <w:szCs w:val="32"/>
                <w:lang w:eastAsia="zh-CN"/>
              </w:rPr>
              <w:t>磋商</w:t>
            </w:r>
            <w:r>
              <w:rPr>
                <w:rFonts w:hint="eastAsia" w:ascii="宋体" w:hAnsi="宋体" w:eastAsia="宋体" w:cs="宋体"/>
                <w:color w:val="000000"/>
                <w:sz w:val="24"/>
                <w:szCs w:val="32"/>
              </w:rPr>
              <w:t>响应文件有效期截止后90个日历天内有效。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12</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rPr>
                <w:rFonts w:hint="eastAsia" w:ascii="宋体" w:hAnsi="宋体" w:cs="宋体"/>
                <w:sz w:val="24"/>
                <w:szCs w:val="22"/>
              </w:rPr>
            </w:pPr>
            <w:r>
              <w:rPr>
                <w:rFonts w:hint="eastAsia" w:ascii="宋体" w:hAnsi="宋体" w:cs="宋体"/>
                <w:sz w:val="24"/>
                <w:szCs w:val="22"/>
              </w:rPr>
              <w:t>1、投标人须使用数字认证证书对电子化投标文件进行签章、加密、递交及开标时解密等相关招投标事宜。</w:t>
            </w:r>
          </w:p>
          <w:p>
            <w:pPr>
              <w:spacing w:line="360" w:lineRule="auto"/>
              <w:ind w:firstLine="480" w:firstLineChars="200"/>
              <w:rPr>
                <w:rFonts w:hint="eastAsia" w:ascii="宋体" w:hAnsi="宋体" w:cs="宋体"/>
                <w:sz w:val="24"/>
                <w:szCs w:val="22"/>
              </w:rPr>
            </w:pPr>
            <w:r>
              <w:rPr>
                <w:rFonts w:hint="eastAsia" w:ascii="宋体" w:hAnsi="宋体" w:cs="宋体"/>
                <w:sz w:val="24"/>
                <w:szCs w:val="22"/>
              </w:rPr>
              <w:t xml:space="preserve">2、制作电子投标文件。投标人须在“全国公共资源交易中心平台（陕西省）（http://www.sxggzyjy.cn/）”的“服务指南” 栏目“下载专区”中，免费下载“陕西省公共资源交易平台政府采购电子标书制作工具” 及“政府采购投标单位操作手册”， 并使用该客户端制作电子投标文件，制作扩展名为“.SXSTF”的电子响应文件。 </w:t>
            </w:r>
          </w:p>
          <w:p>
            <w:pPr>
              <w:spacing w:line="360" w:lineRule="auto"/>
              <w:ind w:firstLine="480" w:firstLineChars="200"/>
              <w:rPr>
                <w:rFonts w:hint="eastAsia" w:ascii="宋体" w:hAnsi="宋体" w:cs="宋体"/>
                <w:sz w:val="24"/>
                <w:szCs w:val="22"/>
              </w:rPr>
            </w:pPr>
            <w:r>
              <w:rPr>
                <w:rFonts w:hint="eastAsia" w:ascii="宋体" w:hAnsi="宋体" w:cs="宋体"/>
                <w:sz w:val="24"/>
                <w:szCs w:val="22"/>
              </w:rPr>
              <w:t>3、递交电子投标文件。登录陕西省公共资源交易中心平台（http://xxxq.sxggzyjy.cn/），选择“电子交易平台-陕西政府采购交易系统-陕西省公共资源交易平台-供应商”进行登录，登录后选择“交易乙方”身份进入，选择“上传投标文件”菜单页面，上传加密的电子化投标文件。上传成功后，电子化平台将予以记录。</w:t>
            </w:r>
          </w:p>
          <w:p>
            <w:pPr>
              <w:spacing w:line="360" w:lineRule="auto"/>
              <w:ind w:firstLine="480" w:firstLineChars="200"/>
              <w:rPr>
                <w:rStyle w:val="29"/>
                <w:rFonts w:hint="eastAsia" w:ascii="宋体" w:hAnsi="宋体" w:eastAsia="宋体" w:cs="宋体"/>
              </w:rPr>
            </w:pPr>
            <w:r>
              <w:rPr>
                <w:rFonts w:hint="eastAsia" w:ascii="宋体" w:hAnsi="宋体" w:cs="宋体"/>
                <w:sz w:val="24"/>
                <w:szCs w:val="22"/>
              </w:rPr>
              <w:t>4、投标文件中所有涉及签字、盖章的，各投标单位须将所有签字盖章完成后上传。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13</w:t>
            </w:r>
          </w:p>
        </w:tc>
        <w:tc>
          <w:tcPr>
            <w:tcW w:w="8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该项目采取“不见面”开标的形式，供应商无须到达开标现场，即可在网上直接参与开标活动。</w:t>
            </w:r>
          </w:p>
          <w:p>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color w:val="auto"/>
                <w:sz w:val="24"/>
                <w:szCs w:val="24"/>
                <w:lang w:val="en-US" w:eastAsia="zh-CN"/>
              </w:rPr>
              <w:t>疫情防控期间，为减少人员流动、避免交叉感染，该项目将采取“不见面”开标的形式，投标人无须到达开标现场，即可在网上直接参与开标活动。相关注意事项如下：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开标当日，请各供应商</w:t>
            </w:r>
            <w:r>
              <w:rPr>
                <w:rFonts w:hint="eastAsia" w:ascii="宋体" w:hAnsi="宋体" w:eastAsia="宋体" w:cs="宋体"/>
                <w:sz w:val="24"/>
                <w:szCs w:val="24"/>
                <w:lang w:val="en-US" w:eastAsia="zh-CN"/>
              </w:rPr>
              <w:t>在开标截止时间前</w:t>
            </w:r>
            <w:r>
              <w:rPr>
                <w:rFonts w:hint="eastAsia" w:ascii="宋体" w:hAnsi="宋体" w:eastAsia="宋体" w:cs="宋体"/>
                <w:sz w:val="24"/>
                <w:szCs w:val="24"/>
              </w:rPr>
              <w:t>至少提前半小时登录“不见面”开标系统</w:t>
            </w:r>
            <w:r>
              <w:rPr>
                <w:rFonts w:hint="eastAsia" w:ascii="宋体" w:hAnsi="宋体" w:eastAsia="宋体" w:cs="宋体"/>
                <w:sz w:val="24"/>
                <w:szCs w:val="24"/>
                <w:lang w:val="en-US" w:eastAsia="zh-CN"/>
              </w:rPr>
              <w:t>登录方式有以下几种：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1）IE浏览器输入网址：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"http://219.145.120.168:8082/BidOpeningHall/bidhall/default/login），"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http://111.20.184.126:8081/BidOpeningHallCS/bidhall/default/login</w:t>
            </w:r>
            <w:r>
              <w:rPr>
                <w:rFonts w:hint="eastAsia" w:ascii="宋体" w:hAnsi="宋体" w:eastAsia="宋体" w:cs="宋体"/>
                <w:sz w:val="24"/>
                <w:szCs w:val="24"/>
                <w:lang w:eastAsia="zh-CN"/>
              </w:rPr>
              <w:t>；</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在【全国公共资源交易平台（陕西省·</w:t>
            </w:r>
            <w:r>
              <w:rPr>
                <w:rFonts w:hint="eastAsia" w:ascii="宋体" w:hAnsi="宋体" w:eastAsia="宋体" w:cs="宋体"/>
                <w:sz w:val="24"/>
                <w:szCs w:val="24"/>
                <w:lang w:val="en-US" w:eastAsia="zh-CN"/>
              </w:rPr>
              <w:t>榆林</w:t>
            </w:r>
            <w:r>
              <w:rPr>
                <w:rFonts w:hint="eastAsia" w:ascii="宋体" w:hAnsi="宋体" w:eastAsia="宋体" w:cs="宋体"/>
                <w:sz w:val="24"/>
                <w:szCs w:val="24"/>
              </w:rPr>
              <w:t>市）】</w:t>
            </w:r>
            <w:r>
              <w:rPr>
                <w:rFonts w:hint="eastAsia" w:ascii="宋体" w:hAnsi="宋体" w:eastAsia="宋体" w:cs="宋体"/>
                <w:sz w:val="24"/>
                <w:szCs w:val="24"/>
                <w:lang w:val="en-US" w:eastAsia="zh-CN"/>
              </w:rPr>
              <w:t>网站首页点击不见面开标模块进入；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w:t>
            </w:r>
            <w:r>
              <w:rPr>
                <w:rFonts w:hint="eastAsia" w:ascii="宋体" w:hAnsi="宋体" w:eastAsia="宋体" w:cs="宋体"/>
                <w:sz w:val="24"/>
                <w:szCs w:val="24"/>
              </w:rPr>
              <w:t>【全国公共资源交易平台（陕西省）】</w:t>
            </w:r>
            <w:r>
              <w:rPr>
                <w:rFonts w:hint="eastAsia" w:ascii="宋体" w:hAnsi="宋体" w:eastAsia="宋体" w:cs="宋体"/>
                <w:sz w:val="24"/>
                <w:szCs w:val="24"/>
                <w:lang w:val="en-US" w:eastAsia="zh-CN"/>
              </w:rPr>
              <w:t>网站首页点击不见面开标模块选择榆林市进入。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注：登录不见面开标系统请选择IE11浏览器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供应商应</w:t>
            </w:r>
            <w:r>
              <w:rPr>
                <w:rFonts w:hint="eastAsia" w:ascii="宋体" w:hAnsi="宋体" w:eastAsia="宋体" w:cs="宋体"/>
                <w:sz w:val="24"/>
                <w:szCs w:val="24"/>
              </w:rPr>
              <w:t>按要求及时签到</w:t>
            </w: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签到时间为投标截止时间前1小时内，如果未签到将视为放弃投标资格</w:t>
            </w:r>
            <w:r>
              <w:rPr>
                <w:rFonts w:hint="eastAsia" w:ascii="宋体" w:hAnsi="宋体" w:eastAsia="宋体" w:cs="宋体"/>
                <w:sz w:val="24"/>
                <w:szCs w:val="24"/>
                <w:lang w:val="en-US" w:eastAsia="zh-CN"/>
              </w:rPr>
              <w:t>），</w:t>
            </w:r>
            <w:r>
              <w:rPr>
                <w:rFonts w:hint="eastAsia" w:ascii="宋体" w:hAnsi="宋体" w:eastAsia="宋体" w:cs="宋体"/>
                <w:sz w:val="24"/>
                <w:szCs w:val="24"/>
              </w:rPr>
              <w:t>评审过程中，评标委员会可能会就某些问题要求供应商进行在线澄清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请供应商</w:t>
            </w:r>
            <w:r>
              <w:rPr>
                <w:rFonts w:hint="eastAsia" w:ascii="宋体" w:hAnsi="宋体" w:eastAsia="宋体" w:cs="宋体"/>
                <w:sz w:val="24"/>
                <w:szCs w:val="24"/>
              </w:rPr>
              <w:t>保持在线直到评审结束；</w:t>
            </w:r>
          </w:p>
          <w:p>
            <w:pPr>
              <w:spacing w:line="360" w:lineRule="auto"/>
              <w:rPr>
                <w:rFonts w:hint="eastAsia"/>
              </w:rPr>
            </w:pPr>
            <w:r>
              <w:rPr>
                <w:rFonts w:hint="eastAsia" w:ascii="思源宋体 CN Light" w:hAnsi="思源宋体 CN Light" w:eastAsia="思源宋体 CN Light" w:cs="思源宋体 CN Light"/>
                <w:color w:val="auto"/>
                <w:sz w:val="24"/>
                <w:szCs w:val="24"/>
                <w:lang w:val="en-US" w:eastAsia="zh-CN"/>
              </w:rPr>
              <w:t>3</w:t>
            </w:r>
            <w:r>
              <w:rPr>
                <w:rFonts w:hint="eastAsia" w:ascii="思源宋体 CN Light" w:hAnsi="思源宋体 CN Light" w:eastAsia="思源宋体 CN Light" w:cs="思源宋体 CN Light"/>
                <w:color w:val="auto"/>
                <w:sz w:val="24"/>
                <w:szCs w:val="24"/>
              </w:rPr>
              <w:t>、</w:t>
            </w:r>
            <w:r>
              <w:rPr>
                <w:rFonts w:hint="eastAsia" w:ascii="思源宋体 CN Light" w:hAnsi="思源宋体 CN Light" w:eastAsia="思源宋体 CN Light" w:cs="思源宋体 CN Light"/>
                <w:sz w:val="24"/>
                <w:szCs w:val="24"/>
              </w:rPr>
              <w:t>投标供应商</w:t>
            </w:r>
            <w:r>
              <w:rPr>
                <w:rFonts w:hint="eastAsia" w:ascii="思源宋体 CN Light" w:hAnsi="思源宋体 CN Light" w:eastAsia="思源宋体 CN Light" w:cs="思源宋体 CN Light"/>
                <w:sz w:val="24"/>
                <w:szCs w:val="24"/>
                <w:lang w:eastAsia="zh-CN"/>
              </w:rPr>
              <w:t>在开标</w:t>
            </w:r>
            <w:r>
              <w:rPr>
                <w:rFonts w:hint="eastAsia" w:ascii="思源宋体 CN Light" w:hAnsi="思源宋体 CN Light" w:eastAsia="思源宋体 CN Light" w:cs="思源宋体 CN Light"/>
                <w:color w:val="auto"/>
                <w:sz w:val="24"/>
                <w:szCs w:val="24"/>
                <w:lang w:eastAsia="zh-CN"/>
              </w:rPr>
              <w:t>时</w:t>
            </w:r>
            <w:r>
              <w:rPr>
                <w:rFonts w:hint="eastAsia" w:ascii="思源宋体 CN Light" w:hAnsi="思源宋体 CN Light" w:eastAsia="思源宋体 CN Light" w:cs="思源宋体 CN Light"/>
                <w:color w:val="auto"/>
                <w:sz w:val="24"/>
                <w:szCs w:val="24"/>
              </w:rPr>
              <w:t>无需提交纸质</w:t>
            </w:r>
            <w:r>
              <w:rPr>
                <w:rFonts w:hint="eastAsia" w:ascii="思源宋体 CN Light" w:hAnsi="思源宋体 CN Light" w:eastAsia="思源宋体 CN Light" w:cs="思源宋体 CN Light"/>
                <w:color w:val="auto"/>
                <w:sz w:val="24"/>
                <w:szCs w:val="24"/>
                <w:lang w:eastAsia="zh-CN"/>
              </w:rPr>
              <w:t>投标文件</w:t>
            </w:r>
            <w:r>
              <w:rPr>
                <w:rFonts w:hint="eastAsia" w:ascii="思源宋体 CN Light" w:hAnsi="思源宋体 CN Light" w:eastAsia="思源宋体 CN Light" w:cs="思源宋体 CN Light"/>
                <w:color w:val="auto"/>
                <w:sz w:val="24"/>
                <w:szCs w:val="24"/>
              </w:rPr>
              <w:t>，待</w:t>
            </w:r>
            <w:r>
              <w:rPr>
                <w:rFonts w:hint="eastAsia" w:ascii="思源宋体 CN Light" w:hAnsi="思源宋体 CN Light" w:eastAsia="思源宋体 CN Light" w:cs="思源宋体 CN Light"/>
                <w:color w:val="auto"/>
                <w:sz w:val="24"/>
                <w:szCs w:val="24"/>
                <w:lang w:eastAsia="zh-CN"/>
              </w:rPr>
              <w:t>开标结束</w:t>
            </w:r>
            <w:r>
              <w:rPr>
                <w:rFonts w:hint="eastAsia" w:ascii="思源宋体 CN Light" w:hAnsi="思源宋体 CN Light" w:eastAsia="思源宋体 CN Light" w:cs="思源宋体 CN Light"/>
                <w:color w:val="auto"/>
                <w:sz w:val="24"/>
                <w:szCs w:val="24"/>
              </w:rPr>
              <w:t>后，</w:t>
            </w:r>
            <w:r>
              <w:rPr>
                <w:rFonts w:hint="eastAsia" w:ascii="宋体" w:hAnsi="宋体" w:cs="宋体"/>
                <w:b/>
                <w:bCs w:val="0"/>
                <w:color w:val="auto"/>
                <w:sz w:val="24"/>
                <w:szCs w:val="24"/>
                <w:highlight w:val="none"/>
                <w:lang w:eastAsia="zh-CN"/>
              </w:rPr>
              <w:t>所有供应商</w:t>
            </w:r>
            <w:r>
              <w:rPr>
                <w:rFonts w:hint="eastAsia" w:ascii="思源宋体 CN Light" w:hAnsi="思源宋体 CN Light" w:eastAsia="思源宋体 CN Light" w:cs="思源宋体 CN Light"/>
                <w:color w:val="auto"/>
                <w:sz w:val="24"/>
                <w:szCs w:val="24"/>
                <w:lang w:eastAsia="zh-CN"/>
              </w:rPr>
              <w:t>需邮寄补交一正两副纸质投标文件、电子版Word（U盘）一份及</w:t>
            </w:r>
            <w:r>
              <w:rPr>
                <w:rFonts w:hint="eastAsia" w:ascii="思源宋体 CN Light" w:hAnsi="思源宋体 CN Light" w:eastAsia="思源宋体 CN Light" w:cs="思源宋体 CN Light"/>
                <w:sz w:val="24"/>
                <w:szCs w:val="24"/>
                <w:lang w:eastAsia="zh-CN"/>
              </w:rPr>
              <w:t>招标文件要求需要单独递交的资料</w:t>
            </w:r>
            <w:r>
              <w:rPr>
                <w:rFonts w:hint="eastAsia" w:ascii="思源宋体 CN Light" w:hAnsi="思源宋体 CN Light" w:eastAsia="思源宋体 CN Light" w:cs="思源宋体 CN Light"/>
                <w:b/>
                <w:bCs/>
                <w:sz w:val="24"/>
                <w:szCs w:val="24"/>
                <w:lang w:eastAsia="zh-CN"/>
              </w:rPr>
              <w:t>（公示结果公告及备案用）特别提醒：纸质投标文件及招标文件要求需要单独递交的资料收到的时间直接影响结果公告时间）。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开</w:t>
            </w:r>
            <w:r>
              <w:rPr>
                <w:rFonts w:hint="eastAsia" w:ascii="宋体" w:hAnsi="宋体" w:eastAsia="宋体" w:cs="宋体"/>
                <w:sz w:val="24"/>
                <w:szCs w:val="24"/>
              </w:rPr>
              <w:t>标过程中，供应商在收到工作人员“开始解密”指令后，请及时使用CA对电子投标文件进行解密。解密时所用CA应与加密投标文件时所用CA相同；</w:t>
            </w:r>
            <w:r>
              <w:rPr>
                <w:rFonts w:hint="eastAsia" w:ascii="宋体" w:hAnsi="宋体" w:eastAsia="宋体" w:cs="宋体"/>
                <w:b/>
                <w:bCs/>
                <w:sz w:val="24"/>
                <w:szCs w:val="24"/>
                <w:lang w:val="en-US" w:eastAsia="zh-CN"/>
              </w:rPr>
              <w:t>注：竞争性磋商解密时间为30分钟，在解密时间内供应商全部解密完成后，可提前进入开标下一阶段。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、相关技术问题，请咨询软件开发商：技术支持热线：400-998-0000/400-928-0095</w:t>
            </w:r>
          </w:p>
          <w:p>
            <w:pPr>
              <w:spacing w:line="360" w:lineRule="auto"/>
              <w:rPr>
                <w:rStyle w:val="29"/>
                <w:rFonts w:hint="eastAsia" w:ascii="宋体" w:hAnsi="宋体" w:eastAsia="宋体" w:cs="宋体"/>
                <w:color w:val="000000"/>
                <w:sz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榆林</w:t>
            </w:r>
            <w:r>
              <w:rPr>
                <w:rFonts w:hint="eastAsia" w:ascii="宋体" w:hAnsi="宋体" w:eastAsia="宋体" w:cs="宋体"/>
                <w:sz w:val="24"/>
                <w:szCs w:val="24"/>
              </w:rPr>
              <w:t>不见面开标</w:t>
            </w:r>
            <w:r>
              <w:rPr>
                <w:rFonts w:hint="eastAsia" w:ascii="宋体" w:hAnsi="宋体" w:cs="宋体"/>
                <w:sz w:val="24"/>
                <w:szCs w:val="24"/>
                <w:lang w:val="en-US" w:eastAsia="zh-CN"/>
              </w:rPr>
              <w:t>/询标</w:t>
            </w:r>
            <w:r>
              <w:rPr>
                <w:rFonts w:hint="eastAsia" w:ascii="宋体" w:hAnsi="宋体" w:eastAsia="宋体" w:cs="宋体"/>
                <w:sz w:val="24"/>
                <w:szCs w:val="24"/>
                <w:lang w:val="en-US" w:eastAsia="zh-CN"/>
              </w:rPr>
              <w:t>系统</w:t>
            </w:r>
            <w:r>
              <w:rPr>
                <w:rFonts w:hint="eastAsia" w:ascii="宋体" w:hAnsi="宋体" w:eastAsia="宋体" w:cs="宋体"/>
                <w:sz w:val="24"/>
                <w:szCs w:val="24"/>
              </w:rPr>
              <w:t>操作手册</w:t>
            </w:r>
            <w:r>
              <w:rPr>
                <w:rFonts w:hint="eastAsia" w:ascii="宋体" w:hAnsi="宋体" w:eastAsia="宋体" w:cs="宋体"/>
                <w:sz w:val="24"/>
                <w:szCs w:val="24"/>
                <w:lang w:val="en-US" w:eastAsia="zh-CN"/>
              </w:rPr>
              <w:t>下载方式：登录</w:t>
            </w:r>
            <w:r>
              <w:rPr>
                <w:rFonts w:hint="eastAsia" w:ascii="宋体" w:hAnsi="宋体" w:eastAsia="宋体" w:cs="宋体"/>
                <w:sz w:val="24"/>
                <w:szCs w:val="24"/>
              </w:rPr>
              <w:t>【全国公共资源交易平台（陕西省·</w:t>
            </w:r>
            <w:r>
              <w:rPr>
                <w:rFonts w:hint="eastAsia" w:ascii="宋体" w:hAnsi="宋体" w:eastAsia="宋体" w:cs="宋体"/>
                <w:sz w:val="24"/>
                <w:szCs w:val="24"/>
                <w:lang w:val="en-US" w:eastAsia="zh-CN"/>
              </w:rPr>
              <w:t>榆林</w:t>
            </w:r>
            <w:r>
              <w:rPr>
                <w:rFonts w:hint="eastAsia" w:ascii="宋体" w:hAnsi="宋体" w:eastAsia="宋体" w:cs="宋体"/>
                <w:sz w:val="24"/>
                <w:szCs w:val="24"/>
              </w:rPr>
              <w:t>市）】</w:t>
            </w:r>
            <w:r>
              <w:rPr>
                <w:rFonts w:hint="eastAsia" w:ascii="宋体" w:hAnsi="宋体" w:eastAsia="宋体" w:cs="宋体"/>
                <w:sz w:val="24"/>
                <w:szCs w:val="24"/>
                <w:lang w:val="en-US" w:eastAsia="zh-CN"/>
              </w:rPr>
              <w:t>网站首页选择【服务指南】-【下载专区】-点击【</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宋体" w:hAnsi="宋体" w:eastAsia="宋体" w:cs="宋体"/>
                <w:sz w:val="24"/>
                <w:szCs w:val="24"/>
              </w:rPr>
              <w:fldChar w:fldCharType="separate"/>
            </w:r>
            <w:r>
              <w:rPr>
                <w:rFonts w:hint="eastAsia" w:ascii="宋体" w:hAnsi="宋体" w:eastAsia="宋体" w:cs="宋体"/>
                <w:sz w:val="24"/>
                <w:szCs w:val="24"/>
              </w:rPr>
              <w:t>榆林不见面开标系统操作手册（投标人）</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榆林不见面开标大厅投标人询标操作手册V1.0</w:t>
            </w:r>
            <w:r>
              <w:rPr>
                <w:rFonts w:hint="eastAsia" w:ascii="宋体" w:hAnsi="宋体" w:eastAsia="宋体" w:cs="宋体"/>
                <w:sz w:val="24"/>
                <w:szCs w:val="24"/>
                <w:lang w:val="en-US" w:eastAsia="zh-CN"/>
              </w:rPr>
              <w:t>】进行下载</w:t>
            </w:r>
            <w:r>
              <w:rPr>
                <w:rFonts w:hint="eastAsia" w:ascii="宋体" w:hAnsi="宋体" w:eastAsia="宋体" w:cs="宋体"/>
                <w:sz w:val="24"/>
                <w:szCs w:val="24"/>
              </w:rPr>
              <w:t>。请供应商仔细阅读操作手册，了解操作流程，熟练掌握不见面开标、不见面询标操作相关事宜，若无法正常投标，供应商自行承担责任</w:t>
            </w:r>
            <w:r>
              <w:rPr>
                <w:rFonts w:hint="eastAsia" w:ascii="宋体" w:hAnsi="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14</w:t>
            </w:r>
          </w:p>
        </w:tc>
        <w:tc>
          <w:tcPr>
            <w:tcW w:w="8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各供应商单位均应在信用中国“陕西榆林”网站进行注册、登录，自主上报信用承诺书（网址： hppts:credit.yl.gov.cn） ,交易中心不在收取纸质承诺书。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信用承诺操作相关事宜如下： 后附操作手册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进入信用中国“陕西榆林”页面，点击信用承诺，右上角显示主动上报， 在承诺事项选择相应的承诺事项，承诺事项的名称为原纸质版的标题名称。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承诺时间为当日，承诺事由为“</w:t>
            </w:r>
            <w:r>
              <w:rPr>
                <w:rFonts w:hint="eastAsia" w:ascii="宋体" w:hAnsi="宋体" w:eastAsia="宋体" w:cs="宋体"/>
                <w:sz w:val="24"/>
                <w:szCs w:val="24"/>
                <w:lang w:eastAsia="zh-CN"/>
              </w:rPr>
              <w:t>项目名称及标段</w:t>
            </w:r>
            <w:r>
              <w:rPr>
                <w:rFonts w:hint="eastAsia" w:ascii="宋体" w:hAnsi="宋体" w:eastAsia="宋体" w:cs="宋体"/>
                <w:sz w:val="24"/>
                <w:szCs w:val="24"/>
              </w:rPr>
              <w:t>”，受理部门为榆林市公共资源交易中心。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 供应商需上传</w:t>
            </w:r>
            <w:r>
              <w:rPr>
                <w:rFonts w:hint="eastAsia" w:ascii="宋体" w:hAnsi="宋体" w:eastAsia="宋体" w:cs="宋体"/>
                <w:sz w:val="24"/>
                <w:szCs w:val="24"/>
                <w:lang w:eastAsia="zh-CN"/>
              </w:rPr>
              <w:t>三</w:t>
            </w:r>
            <w:r>
              <w:rPr>
                <w:rFonts w:hint="eastAsia" w:ascii="宋体" w:hAnsi="宋体" w:eastAsia="宋体" w:cs="宋体"/>
                <w:sz w:val="24"/>
                <w:szCs w:val="24"/>
              </w:rPr>
              <w:t>项信用承诺： ①投标人信用承诺； ②委托代理人信用承诺</w:t>
            </w:r>
            <w:r>
              <w:rPr>
                <w:rFonts w:hint="eastAsia" w:ascii="宋体" w:hAnsi="宋体" w:eastAsia="宋体" w:cs="宋体"/>
                <w:sz w:val="24"/>
                <w:szCs w:val="24"/>
                <w:lang w:eastAsia="zh-CN"/>
              </w:rPr>
              <w:t>；③投标信用承诺书</w:t>
            </w:r>
            <w:r>
              <w:rPr>
                <w:rFonts w:hint="eastAsia" w:ascii="宋体" w:hAnsi="宋体" w:eastAsia="宋体" w:cs="宋体"/>
                <w:sz w:val="24"/>
                <w:szCs w:val="24"/>
              </w:rPr>
              <w:t>。（信用承诺书的格式详见投标文件格式中附件）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 所有账号问题在政务网中咨询或拨打029</w:t>
            </w:r>
            <w:r>
              <w:rPr>
                <w:rFonts w:hint="eastAsia" w:ascii="宋体" w:hAnsi="宋体" w:eastAsia="宋体" w:cs="宋体"/>
                <w:sz w:val="24"/>
                <w:szCs w:val="24"/>
                <w:lang w:val="en-US" w:eastAsia="zh-CN"/>
              </w:rPr>
              <w:t>-</w:t>
            </w:r>
            <w:r>
              <w:rPr>
                <w:rFonts w:hint="eastAsia" w:ascii="宋体" w:hAnsi="宋体" w:eastAsia="宋体" w:cs="宋体"/>
                <w:sz w:val="24"/>
                <w:szCs w:val="24"/>
              </w:rPr>
              <w:t>87382893、029-87382894。</w:t>
            </w:r>
          </w:p>
          <w:p>
            <w:pPr>
              <w:tabs>
                <w:tab w:val="left" w:pos="1620"/>
              </w:tabs>
              <w:spacing w:line="360" w:lineRule="auto"/>
              <w:ind w:right="-197" w:rightChars="-94"/>
              <w:jc w:val="left"/>
              <w:rPr>
                <w:rStyle w:val="29"/>
                <w:rFonts w:hint="eastAsia" w:ascii="宋体" w:hAnsi="宋体" w:eastAsia="宋体" w:cs="宋体"/>
                <w:color w:val="000000"/>
                <w:sz w:val="24"/>
              </w:rPr>
            </w:pPr>
            <w:r>
              <w:rPr>
                <w:rFonts w:hint="eastAsia" w:ascii="宋体" w:hAnsi="宋体" w:eastAsia="宋体" w:cs="宋体"/>
                <w:sz w:val="24"/>
                <w:szCs w:val="24"/>
              </w:rPr>
              <w:t>注： 如未按照上述要求办理，信用承诺公示迟报、漏报的列入不良行为记录。其投标将被否决，后果自负。</w:t>
            </w:r>
            <w:r>
              <w:rPr>
                <w:rFonts w:hint="eastAsia" w:ascii="宋体" w:hAnsi="宋体" w:eastAsia="宋体" w:cs="宋体"/>
                <w:sz w:val="24"/>
                <w:szCs w:val="24"/>
                <w:lang w:val="en-US" w:eastAsia="zh-CN"/>
              </w:rPr>
              <w:t>投标人请将申报截图附在投标文件投标人委托代理人员附件后</w:t>
            </w:r>
            <w:r>
              <w:rPr>
                <w:rFonts w:hint="eastAsia" w:ascii="宋体" w:hAnsi="宋体" w:eastAsia="宋体" w:cs="宋体"/>
                <w:sz w:val="24"/>
                <w:szCs w:val="24"/>
              </w:rPr>
              <w:t>， 如不执行由此带来的不利后果投标人自行承担。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15</w:t>
            </w:r>
          </w:p>
        </w:tc>
        <w:tc>
          <w:tcPr>
            <w:tcW w:w="8770" w:type="dxa"/>
            <w:tcBorders>
              <w:top w:val="single" w:color="000000" w:sz="4" w:space="0"/>
              <w:left w:val="single" w:color="000000" w:sz="4" w:space="0"/>
              <w:bottom w:val="single" w:color="000000" w:sz="4" w:space="0"/>
              <w:right w:val="single" w:color="000000" w:sz="4" w:space="0"/>
            </w:tcBorders>
            <w:vAlign w:val="center"/>
          </w:tcPr>
          <w:p>
            <w:pPr>
              <w:tabs>
                <w:tab w:val="left" w:pos="540"/>
                <w:tab w:val="left" w:pos="1155"/>
              </w:tabs>
              <w:spacing w:line="360" w:lineRule="auto"/>
              <w:rPr>
                <w:rStyle w:val="29"/>
                <w:rFonts w:hint="eastAsia" w:ascii="宋体" w:hAnsi="宋体" w:eastAsia="宋体" w:cs="宋体"/>
                <w:color w:val="000000"/>
                <w:sz w:val="24"/>
              </w:rPr>
            </w:pPr>
            <w:r>
              <w:rPr>
                <w:rStyle w:val="29"/>
                <w:rFonts w:hint="eastAsia" w:ascii="宋体" w:hAnsi="宋体" w:eastAsia="宋体" w:cs="宋体"/>
                <w:color w:val="000000"/>
                <w:sz w:val="24"/>
              </w:rPr>
              <w:t>未按</w:t>
            </w:r>
            <w:r>
              <w:rPr>
                <w:rStyle w:val="29"/>
                <w:rFonts w:hint="eastAsia" w:ascii="宋体" w:hAnsi="宋体" w:eastAsia="宋体" w:cs="宋体"/>
                <w:color w:val="000000"/>
                <w:sz w:val="24"/>
                <w:lang w:eastAsia="zh-CN"/>
              </w:rPr>
              <w:t>磋商</w:t>
            </w:r>
            <w:r>
              <w:rPr>
                <w:rStyle w:val="29"/>
                <w:rFonts w:hint="eastAsia" w:ascii="宋体" w:hAnsi="宋体" w:eastAsia="宋体" w:cs="宋体"/>
                <w:color w:val="000000"/>
                <w:sz w:val="24"/>
              </w:rPr>
              <w:t>文件规定的时间递交响应文件的供应商，将被视为自动放弃。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rPr>
            </w:pPr>
            <w:r>
              <w:rPr>
                <w:rStyle w:val="29"/>
                <w:rFonts w:hint="eastAsia" w:ascii="宋体" w:hAnsi="宋体" w:eastAsia="宋体" w:cs="宋体"/>
                <w:color w:val="000000"/>
                <w:sz w:val="24"/>
              </w:rPr>
              <w:t>16</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rPr>
            </w:pPr>
            <w:r>
              <w:rPr>
                <w:rStyle w:val="29"/>
                <w:rFonts w:hint="eastAsia" w:ascii="宋体" w:hAnsi="宋体" w:eastAsia="宋体" w:cs="宋体"/>
                <w:color w:val="000000"/>
                <w:sz w:val="24"/>
              </w:rPr>
              <w:t>合同签订：成交供应商与采购人签订合同。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eastAsia" w:ascii="宋体" w:hAnsi="宋体" w:eastAsia="宋体" w:cs="宋体"/>
                <w:color w:val="000000"/>
                <w:sz w:val="24"/>
                <w:lang w:val="en-US" w:eastAsia="zh-CN"/>
              </w:rPr>
            </w:pPr>
            <w:r>
              <w:rPr>
                <w:rStyle w:val="29"/>
                <w:rFonts w:hint="eastAsia" w:ascii="宋体" w:hAnsi="宋体" w:eastAsia="宋体" w:cs="宋体"/>
                <w:color w:val="000000"/>
                <w:sz w:val="24"/>
                <w:lang w:val="en-US" w:eastAsia="zh-CN"/>
              </w:rPr>
              <w:t>17</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rPr>
            </w:pPr>
            <w:r>
              <w:rPr>
                <w:rStyle w:val="29"/>
                <w:rFonts w:hint="eastAsia" w:ascii="宋体" w:hAnsi="宋体" w:eastAsia="宋体" w:cs="宋体"/>
                <w:color w:val="000000"/>
                <w:sz w:val="24"/>
              </w:rPr>
              <w:t>评审方法：综合评分法</w:t>
            </w:r>
            <w:r>
              <w:rPr>
                <w:rStyle w:val="29"/>
                <w:rFonts w:hint="eastAsia" w:ascii="宋体" w:hAnsi="宋体" w:eastAsia="宋体" w:cs="宋体"/>
                <w:color w:val="auto"/>
                <w:sz w:val="24"/>
              </w:rPr>
              <w:t>（详见第五</w:t>
            </w:r>
            <w:r>
              <w:rPr>
                <w:rStyle w:val="29"/>
                <w:rFonts w:hint="eastAsia" w:ascii="宋体" w:hAnsi="宋体" w:cs="宋体"/>
                <w:color w:val="auto"/>
                <w:sz w:val="24"/>
                <w:lang w:eastAsia="zh-CN"/>
              </w:rPr>
              <w:t>部分</w:t>
            </w:r>
            <w:r>
              <w:rPr>
                <w:rStyle w:val="29"/>
                <w:rFonts w:hint="eastAsia" w:ascii="宋体" w:hAnsi="宋体" w:eastAsia="宋体" w:cs="宋体"/>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pStyle w:val="21"/>
              <w:ind w:left="0"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18</w:t>
            </w:r>
          </w:p>
        </w:tc>
        <w:tc>
          <w:tcPr>
            <w:tcW w:w="8770" w:type="dxa"/>
            <w:tcBorders>
              <w:top w:val="single" w:color="000000" w:sz="4" w:space="0"/>
              <w:left w:val="single" w:color="000000" w:sz="4" w:space="0"/>
              <w:bottom w:val="single" w:color="000000" w:sz="4" w:space="0"/>
              <w:right w:val="single" w:color="000000" w:sz="4" w:space="0"/>
            </w:tcBorders>
            <w:vAlign w:val="center"/>
          </w:tcPr>
          <w:p>
            <w:pPr>
              <w:pStyle w:val="21"/>
              <w:ind w:left="0" w:leftChars="0" w:firstLine="0" w:firstLineChars="0"/>
              <w:rPr>
                <w:rFonts w:hint="eastAsia" w:ascii="宋体" w:hAnsi="宋体" w:cs="宋体"/>
                <w:color w:val="auto"/>
                <w:sz w:val="24"/>
                <w:szCs w:val="24"/>
                <w:lang w:eastAsia="zh-CN"/>
              </w:rPr>
            </w:pPr>
            <w:r>
              <w:rPr>
                <w:rFonts w:hint="eastAsia" w:ascii="宋体" w:hAnsi="宋体" w:cs="宋体"/>
                <w:color w:val="auto"/>
                <w:sz w:val="24"/>
                <w:szCs w:val="24"/>
                <w:lang w:eastAsia="zh-CN"/>
              </w:rPr>
              <w:t>本项目是否专门面向中小企业采购：</w:t>
            </w:r>
            <w:r>
              <w:rPr>
                <w:rStyle w:val="29"/>
                <w:rFonts w:hint="eastAsia" w:ascii="宋体" w:hAnsi="宋体" w:cs="宋体"/>
                <w:color w:val="000000"/>
                <w:sz w:val="24"/>
                <w:szCs w:val="24"/>
                <w:lang w:val="en-US" w:eastAsia="zh-CN"/>
              </w:rPr>
              <w:t>合同</w:t>
            </w:r>
            <w:r>
              <w:rPr>
                <w:rFonts w:hint="eastAsia" w:ascii="宋体" w:hAnsi="宋体" w:cs="宋体"/>
                <w:color w:val="auto"/>
                <w:sz w:val="24"/>
                <w:szCs w:val="24"/>
                <w:lang w:eastAsia="zh-CN"/>
              </w:rPr>
              <w:t>包</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是</w:t>
            </w:r>
          </w:p>
          <w:p>
            <w:pPr>
              <w:ind w:firstLine="3840" w:firstLineChars="1600"/>
              <w:rPr>
                <w:rFonts w:hint="eastAsia" w:ascii="宋体" w:hAnsi="宋体" w:cs="宋体"/>
                <w:color w:val="auto"/>
                <w:sz w:val="24"/>
                <w:szCs w:val="24"/>
                <w:lang w:eastAsia="zh-CN"/>
              </w:rPr>
            </w:pPr>
            <w:r>
              <w:rPr>
                <w:rStyle w:val="29"/>
                <w:rFonts w:hint="eastAsia" w:ascii="宋体" w:hAnsi="宋体" w:cs="宋体"/>
                <w:color w:val="000000"/>
                <w:sz w:val="24"/>
                <w:szCs w:val="24"/>
                <w:lang w:val="en-US" w:eastAsia="zh-CN"/>
              </w:rPr>
              <w:t>合同</w:t>
            </w:r>
            <w:r>
              <w:rPr>
                <w:rFonts w:hint="eastAsia" w:ascii="宋体" w:hAnsi="宋体" w:cs="宋体"/>
                <w:color w:val="auto"/>
                <w:sz w:val="24"/>
                <w:szCs w:val="24"/>
                <w:lang w:eastAsia="zh-CN"/>
              </w:rPr>
              <w:t>包</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是</w:t>
            </w:r>
          </w:p>
          <w:p>
            <w:pPr>
              <w:pStyle w:val="2"/>
              <w:ind w:firstLine="3840" w:firstLineChars="1600"/>
              <w:rPr>
                <w:rFonts w:hint="eastAsia" w:ascii="宋体" w:hAnsi="宋体" w:cs="宋体"/>
                <w:color w:val="auto"/>
                <w:sz w:val="24"/>
                <w:szCs w:val="24"/>
                <w:lang w:eastAsia="zh-CN"/>
              </w:rPr>
            </w:pPr>
            <w:r>
              <w:rPr>
                <w:rStyle w:val="29"/>
                <w:rFonts w:hint="eastAsia" w:ascii="宋体" w:hAnsi="宋体" w:cs="宋体"/>
                <w:color w:val="000000"/>
                <w:sz w:val="24"/>
                <w:szCs w:val="24"/>
                <w:lang w:val="en-US" w:eastAsia="zh-CN"/>
              </w:rPr>
              <w:t>合同</w:t>
            </w:r>
            <w:r>
              <w:rPr>
                <w:rFonts w:hint="eastAsia" w:ascii="宋体" w:hAnsi="宋体" w:cs="宋体"/>
                <w:color w:val="auto"/>
                <w:sz w:val="24"/>
                <w:szCs w:val="24"/>
                <w:lang w:eastAsia="zh-CN"/>
              </w:rPr>
              <w:t>包</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是</w:t>
            </w:r>
          </w:p>
          <w:p>
            <w:pPr>
              <w:pStyle w:val="2"/>
              <w:ind w:firstLine="3840" w:firstLineChars="1600"/>
              <w:rPr>
                <w:rFonts w:hint="eastAsia" w:ascii="宋体" w:hAnsi="宋体" w:cs="宋体"/>
                <w:color w:val="auto"/>
                <w:sz w:val="24"/>
                <w:szCs w:val="24"/>
                <w:lang w:eastAsia="zh-CN"/>
              </w:rPr>
            </w:pPr>
            <w:r>
              <w:rPr>
                <w:rStyle w:val="29"/>
                <w:rFonts w:hint="eastAsia" w:ascii="宋体" w:hAnsi="宋体" w:cs="宋体"/>
                <w:color w:val="000000"/>
                <w:sz w:val="24"/>
                <w:szCs w:val="24"/>
                <w:lang w:val="en-US" w:eastAsia="zh-CN"/>
              </w:rPr>
              <w:t>合同</w:t>
            </w:r>
            <w:r>
              <w:rPr>
                <w:rFonts w:hint="eastAsia" w:ascii="宋体" w:hAnsi="宋体" w:cs="宋体"/>
                <w:color w:val="auto"/>
                <w:sz w:val="24"/>
                <w:szCs w:val="24"/>
                <w:lang w:eastAsia="zh-CN"/>
              </w:rPr>
              <w:t>包</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是</w:t>
            </w:r>
          </w:p>
          <w:p>
            <w:pPr>
              <w:pStyle w:val="2"/>
              <w:ind w:firstLine="3840" w:firstLineChars="1600"/>
              <w:rPr>
                <w:rFonts w:hint="eastAsia"/>
                <w:color w:val="auto"/>
                <w:lang w:eastAsia="zh-CN"/>
              </w:rPr>
            </w:pPr>
            <w:r>
              <w:rPr>
                <w:rStyle w:val="29"/>
                <w:rFonts w:hint="eastAsia" w:ascii="宋体" w:hAnsi="宋体" w:cs="宋体"/>
                <w:color w:val="000000"/>
                <w:sz w:val="24"/>
                <w:szCs w:val="24"/>
                <w:lang w:val="en-US" w:eastAsia="zh-CN"/>
              </w:rPr>
              <w:t>合同</w:t>
            </w:r>
            <w:r>
              <w:rPr>
                <w:rFonts w:hint="eastAsia" w:ascii="宋体" w:hAnsi="宋体" w:cs="宋体"/>
                <w:color w:val="auto"/>
                <w:sz w:val="24"/>
                <w:szCs w:val="24"/>
                <w:lang w:eastAsia="zh-CN"/>
              </w:rPr>
              <w:t>包</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否</w:t>
            </w:r>
          </w:p>
          <w:p>
            <w:pPr>
              <w:pStyle w:val="21"/>
              <w:ind w:left="0" w:leftChars="0" w:firstLine="0" w:firstLineChars="0"/>
              <w:rPr>
                <w:rFonts w:hint="eastAsia" w:ascii="宋体" w:hAnsi="宋体" w:cs="宋体"/>
                <w:sz w:val="24"/>
                <w:szCs w:val="24"/>
                <w:lang w:eastAsia="zh-CN"/>
              </w:rPr>
            </w:pPr>
            <w:r>
              <w:rPr>
                <w:rFonts w:hint="eastAsia" w:ascii="宋体" w:hAnsi="宋体" w:cs="宋体"/>
                <w:color w:val="auto"/>
                <w:sz w:val="24"/>
                <w:szCs w:val="24"/>
                <w:lang w:eastAsia="zh-CN"/>
              </w:rPr>
              <w:t>注：享受扶持政策获得政府采购合同的，小微企业不得将合同分包给大中型企业，中型企业不得将合同分包给大型企业。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default" w:ascii="宋体" w:hAnsi="宋体" w:eastAsia="宋体" w:cs="宋体"/>
                <w:color w:val="000000"/>
                <w:sz w:val="24"/>
                <w:lang w:val="en-US" w:eastAsia="zh-CN"/>
              </w:rPr>
            </w:pPr>
            <w:r>
              <w:rPr>
                <w:rStyle w:val="29"/>
                <w:rFonts w:hint="eastAsia" w:ascii="宋体" w:hAnsi="宋体" w:cs="宋体"/>
                <w:color w:val="000000"/>
                <w:sz w:val="24"/>
                <w:lang w:val="en-US" w:eastAsia="zh-CN"/>
              </w:rPr>
              <w:t>19</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szCs w:val="22"/>
                <w:highlight w:val="yellow"/>
              </w:rPr>
            </w:pPr>
            <w:r>
              <w:rPr>
                <w:rStyle w:val="29"/>
                <w:rFonts w:hint="eastAsia" w:ascii="宋体" w:hAnsi="宋体" w:eastAsia="宋体" w:cs="宋体"/>
                <w:color w:val="000000"/>
                <w:sz w:val="24"/>
                <w:szCs w:val="22"/>
              </w:rPr>
              <w:t>招标代理服务费：参考国家标准收取。</w:t>
            </w:r>
          </w:p>
          <w:p>
            <w:pPr>
              <w:spacing w:line="360" w:lineRule="auto"/>
              <w:rPr>
                <w:rStyle w:val="29"/>
                <w:rFonts w:hint="eastAsia" w:ascii="宋体" w:hAnsi="宋体" w:eastAsia="宋体" w:cs="宋体"/>
                <w:color w:val="000000"/>
                <w:sz w:val="24"/>
                <w:szCs w:val="22"/>
              </w:rPr>
            </w:pPr>
            <w:r>
              <w:rPr>
                <w:rStyle w:val="29"/>
                <w:rFonts w:hint="eastAsia" w:ascii="宋体" w:hAnsi="宋体" w:eastAsia="宋体" w:cs="宋体"/>
                <w:color w:val="000000"/>
                <w:sz w:val="24"/>
                <w:szCs w:val="22"/>
              </w:rPr>
              <w:t>招标代理服务费的交纳方式：在领取成交通知书时，成交供应商向采购代理机构直接交纳服务费，采用现金或转账方式一次性交纳。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default" w:ascii="宋体" w:hAnsi="宋体" w:eastAsia="宋体" w:cs="宋体"/>
                <w:color w:val="000000"/>
                <w:sz w:val="24"/>
                <w:lang w:val="en-US" w:eastAsia="zh-CN"/>
              </w:rPr>
            </w:pPr>
            <w:r>
              <w:rPr>
                <w:rStyle w:val="29"/>
                <w:rFonts w:hint="eastAsia" w:ascii="宋体" w:hAnsi="宋体" w:cs="宋体"/>
                <w:color w:val="000000"/>
                <w:sz w:val="24"/>
                <w:lang w:val="en-US" w:eastAsia="zh-CN"/>
              </w:rPr>
              <w:t>20</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szCs w:val="22"/>
              </w:rPr>
            </w:pPr>
            <w:r>
              <w:rPr>
                <w:rFonts w:hint="eastAsia" w:hAnsi="宋体" w:cs="宋体"/>
                <w:b/>
                <w:bCs/>
                <w:sz w:val="24"/>
                <w:szCs w:val="24"/>
                <w:lang w:val="en-US" w:eastAsia="zh-CN"/>
              </w:rPr>
              <w:t>响应</w:t>
            </w:r>
            <w:r>
              <w:rPr>
                <w:rFonts w:hint="eastAsia" w:hAnsi="宋体" w:cs="宋体"/>
                <w:b/>
                <w:bCs/>
                <w:sz w:val="24"/>
                <w:szCs w:val="24"/>
                <w:lang w:eastAsia="zh-CN"/>
              </w:rPr>
              <w:t>文件</w:t>
            </w:r>
            <w:r>
              <w:rPr>
                <w:rFonts w:hint="eastAsia" w:ascii="宋体" w:hAnsi="宋体" w:cs="宋体"/>
                <w:b/>
                <w:bCs/>
                <w:sz w:val="24"/>
                <w:szCs w:val="24"/>
              </w:rPr>
              <w:t>中的复印件（含扫描件）必须加盖供应商公章（鲜章），否则按无效文件处理。所有复印件应是最新、有效、清晰的。因复印件不清晰而可能导致资料无效，由投标供应商自行负责。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default" w:ascii="宋体" w:hAnsi="宋体" w:eastAsia="宋体" w:cs="宋体"/>
                <w:color w:val="000000"/>
                <w:sz w:val="24"/>
                <w:lang w:val="en-US" w:eastAsia="zh-CN"/>
              </w:rPr>
            </w:pPr>
            <w:r>
              <w:rPr>
                <w:rStyle w:val="29"/>
                <w:rFonts w:hint="eastAsia" w:ascii="宋体" w:hAnsi="宋体" w:cs="宋体"/>
                <w:color w:val="000000"/>
                <w:sz w:val="24"/>
                <w:lang w:val="en-US" w:eastAsia="zh-CN"/>
              </w:rPr>
              <w:t>21</w:t>
            </w:r>
          </w:p>
        </w:tc>
        <w:tc>
          <w:tcPr>
            <w:tcW w:w="877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000000"/>
                <w:sz w:val="24"/>
              </w:rPr>
            </w:pPr>
            <w:r>
              <w:rPr>
                <w:rStyle w:val="29"/>
                <w:rFonts w:hint="eastAsia" w:ascii="宋体" w:hAnsi="宋体" w:eastAsia="宋体" w:cs="宋体"/>
                <w:color w:val="000000"/>
                <w:sz w:val="24"/>
              </w:rPr>
              <w:t>其他：</w:t>
            </w:r>
          </w:p>
          <w:p>
            <w:pPr>
              <w:spacing w:line="360" w:lineRule="auto"/>
              <w:rPr>
                <w:rStyle w:val="29"/>
                <w:rFonts w:hint="eastAsia" w:ascii="宋体" w:hAnsi="宋体" w:eastAsia="宋体" w:cs="宋体"/>
                <w:color w:val="0000FF"/>
                <w:sz w:val="24"/>
              </w:rPr>
            </w:pPr>
            <w:r>
              <w:rPr>
                <w:rStyle w:val="29"/>
                <w:rFonts w:hint="eastAsia" w:ascii="宋体" w:hAnsi="宋体" w:eastAsia="宋体" w:cs="宋体"/>
                <w:color w:val="000000"/>
                <w:sz w:val="24"/>
              </w:rPr>
              <w:t>1、供应商对</w:t>
            </w:r>
            <w:r>
              <w:rPr>
                <w:rStyle w:val="29"/>
                <w:rFonts w:hint="eastAsia" w:ascii="宋体" w:hAnsi="宋体" w:eastAsia="宋体" w:cs="宋体"/>
                <w:color w:val="000000"/>
                <w:sz w:val="24"/>
                <w:lang w:eastAsia="zh-CN"/>
              </w:rPr>
              <w:t>磋商</w:t>
            </w:r>
            <w:r>
              <w:rPr>
                <w:rStyle w:val="29"/>
                <w:rFonts w:hint="eastAsia" w:ascii="宋体" w:hAnsi="宋体" w:eastAsia="宋体" w:cs="宋体"/>
                <w:color w:val="000000"/>
                <w:sz w:val="24"/>
              </w:rPr>
              <w:t>响应文件有异议的，</w:t>
            </w:r>
            <w:r>
              <w:rPr>
                <w:rStyle w:val="29"/>
                <w:rFonts w:hint="eastAsia" w:ascii="宋体" w:hAnsi="宋体" w:eastAsia="宋体" w:cs="宋体"/>
                <w:color w:val="auto"/>
                <w:sz w:val="24"/>
              </w:rPr>
              <w:t>应当在</w:t>
            </w:r>
            <w:r>
              <w:rPr>
                <w:rStyle w:val="29"/>
                <w:rFonts w:hint="eastAsia" w:ascii="宋体" w:hAnsi="宋体" w:eastAsia="宋体" w:cs="宋体"/>
                <w:color w:val="auto"/>
                <w:sz w:val="24"/>
                <w:lang w:eastAsia="zh-CN"/>
              </w:rPr>
              <w:t>磋商</w:t>
            </w:r>
            <w:r>
              <w:rPr>
                <w:rStyle w:val="29"/>
                <w:rFonts w:hint="eastAsia" w:ascii="宋体" w:hAnsi="宋体" w:eastAsia="宋体" w:cs="宋体"/>
                <w:color w:val="auto"/>
                <w:sz w:val="24"/>
              </w:rPr>
              <w:t>截止时间</w:t>
            </w:r>
            <w:r>
              <w:rPr>
                <w:rStyle w:val="29"/>
                <w:rFonts w:hint="eastAsia" w:ascii="宋体" w:hAnsi="宋体" w:cs="宋体"/>
                <w:color w:val="auto"/>
                <w:sz w:val="24"/>
                <w:lang w:val="en-US" w:eastAsia="zh-CN"/>
              </w:rPr>
              <w:t>2</w:t>
            </w:r>
            <w:r>
              <w:rPr>
                <w:rStyle w:val="29"/>
                <w:rFonts w:hint="eastAsia" w:ascii="宋体" w:hAnsi="宋体" w:eastAsia="宋体" w:cs="宋体"/>
                <w:color w:val="auto"/>
                <w:sz w:val="24"/>
              </w:rPr>
              <w:t>日前提出。</w:t>
            </w:r>
          </w:p>
          <w:p>
            <w:pPr>
              <w:spacing w:line="360" w:lineRule="auto"/>
              <w:rPr>
                <w:rStyle w:val="29"/>
                <w:rFonts w:hint="eastAsia" w:ascii="宋体" w:hAnsi="宋体" w:eastAsia="宋体" w:cs="宋体"/>
                <w:color w:val="000000"/>
                <w:sz w:val="24"/>
              </w:rPr>
            </w:pPr>
            <w:r>
              <w:rPr>
                <w:rStyle w:val="29"/>
                <w:rFonts w:hint="eastAsia" w:ascii="宋体" w:hAnsi="宋体" w:eastAsia="宋体" w:cs="宋体"/>
                <w:color w:val="000000"/>
                <w:sz w:val="24"/>
              </w:rPr>
              <w:t>2、当供应商不足三家时，按相关文件执行。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6" w:hRule="atLeast"/>
          <w:jc w:val="center"/>
        </w:trPr>
        <w:tc>
          <w:tcPr>
            <w:tcW w:w="104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9"/>
                <w:rFonts w:hint="default" w:ascii="宋体" w:hAnsi="宋体" w:cs="宋体"/>
                <w:color w:val="000000"/>
                <w:sz w:val="24"/>
                <w:lang w:val="en-US" w:eastAsia="zh-CN"/>
              </w:rPr>
            </w:pPr>
            <w:r>
              <w:rPr>
                <w:rStyle w:val="29"/>
                <w:rFonts w:hint="eastAsia" w:ascii="宋体" w:hAnsi="宋体" w:cs="宋体"/>
                <w:color w:val="000000"/>
                <w:sz w:val="24"/>
                <w:lang w:val="en-US" w:eastAsia="zh-CN"/>
              </w:rPr>
              <w:t>22</w:t>
            </w:r>
          </w:p>
        </w:tc>
        <w:tc>
          <w:tcPr>
            <w:tcW w:w="8770" w:type="dxa"/>
            <w:tcBorders>
              <w:top w:val="single" w:color="000000" w:sz="4" w:space="0"/>
              <w:left w:val="single" w:color="000000" w:sz="4" w:space="0"/>
              <w:bottom w:val="single" w:color="000000" w:sz="4" w:space="0"/>
              <w:right w:val="single" w:color="000000" w:sz="4" w:space="0"/>
            </w:tcBorders>
            <w:vAlign w:val="center"/>
          </w:tcPr>
          <w:p>
            <w:pPr>
              <w:widowControl/>
              <w:tabs>
                <w:tab w:val="left" w:pos="1620"/>
              </w:tabs>
              <w:adjustRightInd w:val="0"/>
              <w:snapToGrid w:val="0"/>
              <w:spacing w:line="360" w:lineRule="auto"/>
              <w:ind w:firstLine="420" w:firstLineChars="175"/>
              <w:jc w:val="left"/>
              <w:rPr>
                <w:rFonts w:hint="eastAsia" w:ascii="宋体" w:hAnsi="宋体" w:cs="宋体"/>
                <w:bCs/>
                <w:kern w:val="0"/>
                <w:sz w:val="24"/>
              </w:rPr>
            </w:pPr>
            <w:r>
              <w:rPr>
                <w:rFonts w:hint="eastAsia" w:ascii="宋体" w:hAnsi="宋体" w:cs="宋体"/>
                <w:bCs/>
                <w:kern w:val="0"/>
                <w:sz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w:t>
            </w:r>
            <w:r>
              <w:rPr>
                <w:rFonts w:hint="eastAsia" w:ascii="宋体" w:hAnsi="宋体" w:cs="宋体"/>
                <w:bCs/>
                <w:kern w:val="0"/>
                <w:sz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Cs/>
                <w:kern w:val="0"/>
                <w:sz w:val="24"/>
              </w:rPr>
              <w:t>http://www.ccgp-shaanxi.gov.cn/zcdservice/zcd/shanxi/）在线申请，依法参加政府采购信用融资活动。</w:t>
            </w:r>
          </w:p>
          <w:p>
            <w:pPr>
              <w:widowControl/>
              <w:tabs>
                <w:tab w:val="left" w:pos="1620"/>
              </w:tabs>
              <w:adjustRightInd w:val="0"/>
              <w:snapToGrid w:val="0"/>
              <w:spacing w:line="360" w:lineRule="auto"/>
              <w:ind w:firstLine="420" w:firstLineChars="175"/>
              <w:jc w:val="left"/>
              <w:rPr>
                <w:rStyle w:val="29"/>
                <w:rFonts w:hint="eastAsia" w:ascii="宋体" w:hAnsi="宋体" w:eastAsia="宋体" w:cs="宋体"/>
                <w:color w:val="000000"/>
                <w:sz w:val="24"/>
              </w:rPr>
            </w:pPr>
            <w:r>
              <w:rPr>
                <w:rFonts w:hint="eastAsia" w:ascii="宋体" w:hAnsi="宋体" w:cs="宋体"/>
                <w:bCs/>
                <w:kern w:val="0"/>
                <w:sz w:val="24"/>
              </w:rPr>
              <w:t>目前的合作银行有：北京银行、中国建设银行、中信银行、中国平安银行、中国光大银行、浦发银行、兴业银行、中国工商银行、秦农银行、浙商银行、中国银行、西安银行、中国农业银行、中国邮政储蓄银行（排名不分先后）。</w:t>
            </w:r>
          </w:p>
        </w:tc>
      </w:tr>
    </w:tbl>
    <w:p>
      <w:pPr>
        <w:rPr>
          <w:rStyle w:val="29"/>
          <w:rFonts w:hint="eastAsia" w:ascii="宋体" w:hAnsi="宋体" w:eastAsia="宋体" w:cs="宋体"/>
        </w:rPr>
        <w:sectPr>
          <w:footerReference r:id="rId4" w:type="first"/>
          <w:footerReference r:id="rId3" w:type="default"/>
          <w:pgSz w:w="11906" w:h="16838"/>
          <w:pgMar w:top="1440" w:right="1417" w:bottom="1440" w:left="1417" w:header="1134" w:footer="1134" w:gutter="0"/>
          <w:pgNumType w:fmt="decimal" w:start="1"/>
          <w:cols w:space="720" w:num="1"/>
          <w:titlePg/>
          <w:docGrid w:type="lines" w:linePitch="312" w:charSpace="0"/>
        </w:sectPr>
      </w:pPr>
    </w:p>
    <w:p>
      <w:pPr>
        <w:pStyle w:val="45"/>
        <w:outlineLvl w:val="0"/>
        <w:rPr>
          <w:rStyle w:val="29"/>
          <w:rFonts w:hint="eastAsia" w:ascii="宋体" w:hAnsi="宋体" w:eastAsia="宋体" w:cs="宋体"/>
        </w:rPr>
      </w:pPr>
      <w:bookmarkStart w:id="2" w:name="_Toc27237"/>
      <w:r>
        <w:rPr>
          <w:rStyle w:val="29"/>
          <w:rFonts w:hint="eastAsia" w:ascii="宋体" w:hAnsi="宋体" w:eastAsia="宋体" w:cs="宋体"/>
        </w:rPr>
        <w:t>A总则</w:t>
      </w:r>
      <w:bookmarkEnd w:id="2"/>
    </w:p>
    <w:p>
      <w:pPr>
        <w:pStyle w:val="46"/>
        <w:jc w:val="left"/>
        <w:rPr>
          <w:rStyle w:val="29"/>
          <w:rFonts w:hint="eastAsia" w:ascii="宋体" w:hAnsi="宋体" w:eastAsia="宋体" w:cs="宋体"/>
          <w:b/>
          <w:bCs w:val="0"/>
        </w:rPr>
      </w:pPr>
      <w:r>
        <w:rPr>
          <w:rStyle w:val="29"/>
          <w:rFonts w:hint="eastAsia" w:ascii="宋体" w:hAnsi="宋体" w:eastAsia="宋体" w:cs="宋体"/>
          <w:b/>
          <w:bCs w:val="0"/>
        </w:rPr>
        <w:t>1适用范围</w:t>
      </w:r>
    </w:p>
    <w:p>
      <w:pPr>
        <w:spacing w:line="360" w:lineRule="auto"/>
        <w:ind w:firstLine="480" w:firstLineChars="200"/>
        <w:rPr>
          <w:rStyle w:val="29"/>
          <w:rFonts w:hint="eastAsia" w:ascii="宋体" w:hAnsi="宋体" w:eastAsia="宋体" w:cs="宋体"/>
          <w:sz w:val="24"/>
        </w:rPr>
      </w:pPr>
      <w:r>
        <w:rPr>
          <w:rStyle w:val="29"/>
          <w:rFonts w:hint="eastAsia" w:ascii="宋体" w:hAnsi="宋体" w:eastAsia="宋体" w:cs="宋体"/>
          <w:sz w:val="24"/>
        </w:rPr>
        <w:t>1.1本</w:t>
      </w:r>
      <w:r>
        <w:rPr>
          <w:rStyle w:val="29"/>
          <w:rFonts w:hint="eastAsia" w:ascii="宋体" w:hAnsi="宋体" w:eastAsia="宋体" w:cs="宋体"/>
          <w:sz w:val="24"/>
          <w:lang w:eastAsia="zh-CN"/>
        </w:rPr>
        <w:t>磋商</w:t>
      </w:r>
      <w:r>
        <w:rPr>
          <w:rStyle w:val="29"/>
          <w:rFonts w:hint="eastAsia" w:ascii="宋体" w:hAnsi="宋体" w:eastAsia="宋体" w:cs="宋体"/>
          <w:sz w:val="24"/>
        </w:rPr>
        <w:t>文件仅适用于本</w:t>
      </w:r>
      <w:r>
        <w:rPr>
          <w:rStyle w:val="29"/>
          <w:rFonts w:hint="eastAsia" w:ascii="宋体" w:hAnsi="宋体" w:eastAsia="宋体" w:cs="宋体"/>
          <w:sz w:val="24"/>
          <w:lang w:eastAsia="zh-CN"/>
        </w:rPr>
        <w:t>磋商</w:t>
      </w:r>
      <w:r>
        <w:rPr>
          <w:rStyle w:val="29"/>
          <w:rFonts w:hint="eastAsia" w:ascii="宋体" w:hAnsi="宋体" w:eastAsia="宋体" w:cs="宋体"/>
          <w:sz w:val="24"/>
        </w:rPr>
        <w:t>公告中所叙述项目的货物</w:t>
      </w:r>
      <w:r>
        <w:rPr>
          <w:rStyle w:val="29"/>
          <w:rFonts w:hint="eastAsia" w:ascii="宋体" w:hAnsi="宋体" w:cs="宋体"/>
          <w:sz w:val="24"/>
          <w:lang w:eastAsia="zh-CN"/>
        </w:rPr>
        <w:t>、服务</w:t>
      </w:r>
      <w:r>
        <w:rPr>
          <w:rStyle w:val="29"/>
          <w:rFonts w:hint="eastAsia" w:ascii="宋体" w:hAnsi="宋体" w:eastAsia="宋体" w:cs="宋体"/>
          <w:color w:val="000000"/>
          <w:sz w:val="24"/>
        </w:rPr>
        <w:t>采购</w:t>
      </w:r>
      <w:r>
        <w:rPr>
          <w:rStyle w:val="29"/>
          <w:rFonts w:hint="eastAsia" w:ascii="宋体" w:hAnsi="宋体" w:eastAsia="宋体" w:cs="宋体"/>
          <w:sz w:val="24"/>
        </w:rPr>
        <w:t>。</w:t>
      </w:r>
    </w:p>
    <w:p>
      <w:pPr>
        <w:spacing w:line="360" w:lineRule="auto"/>
        <w:ind w:firstLine="480" w:firstLineChars="200"/>
        <w:rPr>
          <w:rStyle w:val="29"/>
          <w:rFonts w:hint="eastAsia" w:ascii="宋体" w:hAnsi="宋体" w:eastAsia="宋体" w:cs="宋体"/>
          <w:sz w:val="24"/>
        </w:rPr>
      </w:pPr>
      <w:r>
        <w:rPr>
          <w:rStyle w:val="29"/>
          <w:rFonts w:hint="eastAsia" w:ascii="宋体" w:hAnsi="宋体" w:eastAsia="宋体" w:cs="宋体"/>
          <w:sz w:val="24"/>
        </w:rPr>
        <w:t>1.2本次采购属货物类政府采购，采购人，采购代理机构、供应商、</w:t>
      </w:r>
      <w:r>
        <w:rPr>
          <w:rStyle w:val="29"/>
          <w:rFonts w:hint="eastAsia" w:ascii="宋体" w:hAnsi="宋体" w:eastAsia="宋体" w:cs="宋体"/>
          <w:sz w:val="24"/>
          <w:lang w:eastAsia="zh-CN"/>
        </w:rPr>
        <w:t>磋商</w:t>
      </w:r>
      <w:r>
        <w:rPr>
          <w:rStyle w:val="29"/>
          <w:rFonts w:hint="eastAsia" w:ascii="宋体" w:hAnsi="宋体" w:eastAsia="宋体" w:cs="宋体"/>
          <w:sz w:val="24"/>
        </w:rPr>
        <w:t>小组的相关行为均受《中华人民共和国政府采购法》、《政府采购非招标采购方式管理办法》、财政部规章及政府采购项目所在地有关法规、规章的约束，其权利受到上述法律法规的保护。</w:t>
      </w:r>
    </w:p>
    <w:p>
      <w:pPr>
        <w:pStyle w:val="46"/>
        <w:jc w:val="left"/>
        <w:outlineLvl w:val="0"/>
        <w:rPr>
          <w:rStyle w:val="29"/>
          <w:rFonts w:hint="eastAsia" w:ascii="宋体" w:hAnsi="宋体" w:eastAsia="宋体" w:cs="宋体"/>
          <w:b/>
          <w:bCs w:val="0"/>
        </w:rPr>
      </w:pPr>
      <w:bookmarkStart w:id="3" w:name="_Toc25857"/>
      <w:r>
        <w:rPr>
          <w:rStyle w:val="29"/>
          <w:rFonts w:hint="eastAsia" w:ascii="宋体" w:hAnsi="宋体" w:eastAsia="宋体" w:cs="宋体"/>
          <w:b/>
          <w:bCs w:val="0"/>
        </w:rPr>
        <w:t>2</w:t>
      </w:r>
      <w:r>
        <w:rPr>
          <w:rStyle w:val="29"/>
          <w:rFonts w:hint="eastAsia" w:ascii="宋体" w:hAnsi="宋体" w:cs="宋体"/>
          <w:b/>
          <w:bCs w:val="0"/>
          <w:lang w:val="en-US" w:eastAsia="zh-CN"/>
        </w:rPr>
        <w:t>.</w:t>
      </w:r>
      <w:r>
        <w:rPr>
          <w:rStyle w:val="29"/>
          <w:rFonts w:hint="eastAsia" w:ascii="宋体" w:hAnsi="宋体" w:eastAsia="宋体" w:cs="宋体"/>
          <w:b/>
          <w:bCs w:val="0"/>
        </w:rPr>
        <w:t>定义</w:t>
      </w:r>
      <w:bookmarkEnd w:id="3"/>
    </w:p>
    <w:p>
      <w:pPr>
        <w:spacing w:line="360" w:lineRule="auto"/>
        <w:ind w:firstLine="480" w:firstLineChars="200"/>
        <w:rPr>
          <w:rStyle w:val="29"/>
          <w:rFonts w:hint="eastAsia" w:ascii="宋体" w:hAnsi="宋体" w:eastAsia="宋体" w:cs="宋体"/>
          <w:sz w:val="24"/>
        </w:rPr>
      </w:pPr>
      <w:r>
        <w:rPr>
          <w:rStyle w:val="29"/>
          <w:rFonts w:hint="eastAsia" w:ascii="宋体" w:hAnsi="宋体" w:eastAsia="宋体" w:cs="宋体"/>
          <w:sz w:val="24"/>
        </w:rPr>
        <w:t>2.1</w:t>
      </w:r>
      <w:r>
        <w:rPr>
          <w:rStyle w:val="29"/>
          <w:rFonts w:hint="eastAsia" w:ascii="宋体" w:hAnsi="宋体" w:eastAsia="宋体" w:cs="宋体"/>
          <w:color w:val="000000"/>
          <w:sz w:val="24"/>
        </w:rPr>
        <w:t>“采购人”系指</w:t>
      </w:r>
      <w:r>
        <w:rPr>
          <w:rStyle w:val="29"/>
          <w:rFonts w:hint="eastAsia" w:ascii="宋体" w:hAnsi="宋体" w:cs="宋体"/>
          <w:color w:val="000000"/>
          <w:sz w:val="24"/>
          <w:lang w:eastAsia="zh-CN"/>
        </w:rPr>
        <w:t>榆佳经济技术开发区管理委员会</w:t>
      </w:r>
      <w:r>
        <w:rPr>
          <w:rStyle w:val="29"/>
          <w:rFonts w:hint="eastAsia" w:ascii="宋体" w:hAnsi="宋体" w:eastAsia="宋体" w:cs="宋体"/>
          <w:color w:val="000000"/>
          <w:sz w:val="24"/>
        </w:rPr>
        <w:t>；</w:t>
      </w:r>
    </w:p>
    <w:p>
      <w:pPr>
        <w:spacing w:line="360" w:lineRule="auto"/>
        <w:ind w:firstLine="480" w:firstLineChars="200"/>
        <w:rPr>
          <w:rStyle w:val="29"/>
          <w:rFonts w:hint="eastAsia" w:ascii="宋体" w:hAnsi="宋体" w:eastAsia="宋体" w:cs="宋体"/>
          <w:sz w:val="24"/>
        </w:rPr>
      </w:pPr>
      <w:r>
        <w:rPr>
          <w:rStyle w:val="29"/>
          <w:rFonts w:hint="eastAsia" w:ascii="宋体" w:hAnsi="宋体" w:eastAsia="宋体" w:cs="宋体"/>
          <w:sz w:val="24"/>
        </w:rPr>
        <w:t>“采购代理机构”系指</w:t>
      </w:r>
      <w:r>
        <w:rPr>
          <w:rStyle w:val="29"/>
          <w:rFonts w:hint="eastAsia" w:ascii="宋体" w:hAnsi="宋体" w:cs="宋体"/>
          <w:sz w:val="24"/>
          <w:lang w:eastAsia="zh-CN"/>
        </w:rPr>
        <w:t>伍诚工程咨询股份有限公司</w:t>
      </w:r>
      <w:r>
        <w:rPr>
          <w:rStyle w:val="29"/>
          <w:rFonts w:hint="eastAsia" w:ascii="宋体" w:hAnsi="宋体" w:eastAsia="宋体" w:cs="宋体"/>
          <w:sz w:val="24"/>
        </w:rPr>
        <w:t>。</w:t>
      </w:r>
    </w:p>
    <w:p>
      <w:pPr>
        <w:spacing w:line="360" w:lineRule="auto"/>
        <w:ind w:firstLine="480" w:firstLineChars="200"/>
        <w:rPr>
          <w:rStyle w:val="29"/>
          <w:rFonts w:hint="eastAsia" w:ascii="宋体" w:hAnsi="宋体" w:eastAsia="宋体" w:cs="宋体"/>
          <w:sz w:val="24"/>
          <w:szCs w:val="22"/>
        </w:rPr>
      </w:pPr>
      <w:r>
        <w:rPr>
          <w:rStyle w:val="29"/>
          <w:rFonts w:hint="eastAsia" w:ascii="宋体" w:hAnsi="宋体" w:eastAsia="宋体" w:cs="宋体"/>
          <w:sz w:val="24"/>
        </w:rPr>
        <w:t>2.2“供应商”系指响应采购人要求，向采购人提交</w:t>
      </w:r>
      <w:r>
        <w:rPr>
          <w:rStyle w:val="29"/>
          <w:rFonts w:hint="eastAsia" w:ascii="宋体" w:hAnsi="宋体" w:eastAsia="宋体" w:cs="宋体"/>
          <w:sz w:val="24"/>
          <w:lang w:eastAsia="zh-CN"/>
        </w:rPr>
        <w:t>磋商</w:t>
      </w:r>
      <w:r>
        <w:rPr>
          <w:rStyle w:val="29"/>
          <w:rFonts w:hint="eastAsia" w:ascii="宋体" w:hAnsi="宋体" w:eastAsia="宋体" w:cs="宋体"/>
          <w:sz w:val="24"/>
        </w:rPr>
        <w:t>响应文件的独立法人、其他组</w:t>
      </w:r>
      <w:r>
        <w:rPr>
          <w:rStyle w:val="29"/>
          <w:rFonts w:hint="eastAsia" w:ascii="宋体" w:hAnsi="宋体" w:eastAsia="宋体" w:cs="宋体"/>
          <w:sz w:val="24"/>
          <w:szCs w:val="22"/>
        </w:rPr>
        <w:t>织或自然人。</w:t>
      </w:r>
    </w:p>
    <w:p>
      <w:pPr>
        <w:spacing w:line="360" w:lineRule="auto"/>
        <w:ind w:firstLine="480" w:firstLineChars="200"/>
        <w:rPr>
          <w:rStyle w:val="29"/>
          <w:rFonts w:hint="eastAsia" w:ascii="宋体" w:hAnsi="宋体" w:eastAsia="宋体" w:cs="宋体"/>
          <w:sz w:val="24"/>
          <w:szCs w:val="22"/>
        </w:rPr>
      </w:pPr>
      <w:r>
        <w:rPr>
          <w:rStyle w:val="29"/>
          <w:rFonts w:hint="eastAsia" w:ascii="宋体" w:hAnsi="宋体" w:eastAsia="宋体" w:cs="宋体"/>
          <w:sz w:val="24"/>
          <w:szCs w:val="22"/>
        </w:rPr>
        <w:t>2.3“货物”系指</w:t>
      </w:r>
      <w:r>
        <w:rPr>
          <w:rStyle w:val="29"/>
          <w:rFonts w:hint="eastAsia" w:ascii="宋体" w:hAnsi="宋体" w:eastAsia="宋体" w:cs="宋体"/>
          <w:sz w:val="24"/>
          <w:szCs w:val="22"/>
          <w:lang w:eastAsia="zh-CN"/>
        </w:rPr>
        <w:t>磋商</w:t>
      </w:r>
      <w:r>
        <w:rPr>
          <w:rStyle w:val="29"/>
          <w:rFonts w:hint="eastAsia" w:ascii="宋体" w:hAnsi="宋体" w:eastAsia="宋体" w:cs="宋体"/>
          <w:sz w:val="24"/>
          <w:szCs w:val="22"/>
        </w:rPr>
        <w:t>文件规定供应商须向采购人提供的产品。</w:t>
      </w:r>
    </w:p>
    <w:p>
      <w:pPr>
        <w:spacing w:line="360" w:lineRule="auto"/>
        <w:ind w:firstLine="480" w:firstLineChars="200"/>
        <w:rPr>
          <w:rStyle w:val="29"/>
          <w:rFonts w:hint="eastAsia" w:ascii="宋体" w:hAnsi="宋体" w:eastAsia="宋体" w:cs="宋体"/>
          <w:sz w:val="24"/>
          <w:szCs w:val="22"/>
        </w:rPr>
      </w:pPr>
      <w:r>
        <w:rPr>
          <w:rStyle w:val="29"/>
          <w:rFonts w:hint="eastAsia" w:ascii="宋体" w:hAnsi="宋体" w:eastAsia="宋体" w:cs="宋体"/>
          <w:sz w:val="24"/>
          <w:szCs w:val="22"/>
        </w:rPr>
        <w:t>2.4 “服务”系指</w:t>
      </w:r>
      <w:r>
        <w:rPr>
          <w:rStyle w:val="29"/>
          <w:rFonts w:hint="eastAsia" w:ascii="宋体" w:hAnsi="宋体" w:eastAsia="宋体" w:cs="宋体"/>
          <w:sz w:val="24"/>
          <w:szCs w:val="22"/>
          <w:lang w:eastAsia="zh-CN"/>
        </w:rPr>
        <w:t>磋商</w:t>
      </w:r>
      <w:r>
        <w:rPr>
          <w:rStyle w:val="29"/>
          <w:rFonts w:hint="eastAsia" w:ascii="宋体" w:hAnsi="宋体" w:eastAsia="宋体" w:cs="宋体"/>
          <w:sz w:val="24"/>
          <w:szCs w:val="22"/>
        </w:rPr>
        <w:t>文件规定供应商须承担交货、培训、售后等服务的义务。</w:t>
      </w:r>
    </w:p>
    <w:p>
      <w:pPr>
        <w:pStyle w:val="7"/>
        <w:tabs>
          <w:tab w:val="left" w:pos="843"/>
        </w:tabs>
        <w:spacing w:line="360" w:lineRule="auto"/>
        <w:ind w:left="0"/>
        <w:outlineLvl w:val="0"/>
        <w:rPr>
          <w:rFonts w:hint="eastAsia" w:ascii="宋体" w:hAnsi="宋体" w:eastAsia="宋体" w:cs="宋体"/>
        </w:rPr>
      </w:pPr>
      <w:bookmarkStart w:id="4" w:name="_Toc12484"/>
      <w:r>
        <w:rPr>
          <w:rFonts w:hint="eastAsia" w:ascii="宋体" w:hAnsi="宋体" w:eastAsia="宋体" w:cs="宋体"/>
        </w:rPr>
        <w:t>3.合格的供应商</w:t>
      </w:r>
      <w:bookmarkEnd w:id="4"/>
    </w:p>
    <w:p>
      <w:pPr>
        <w:pStyle w:val="75"/>
        <w:tabs>
          <w:tab w:val="left" w:pos="0"/>
        </w:tabs>
        <w:spacing w:before="0" w:line="360" w:lineRule="auto"/>
        <w:ind w:left="0" w:firstLineChars="200"/>
        <w:rPr>
          <w:rFonts w:hint="eastAsia" w:ascii="宋体" w:hAnsi="宋体" w:eastAsia="宋体" w:cs="宋体"/>
        </w:rPr>
      </w:pPr>
      <w:r>
        <w:rPr>
          <w:rFonts w:hint="eastAsia" w:ascii="宋体" w:hAnsi="宋体" w:eastAsia="宋体" w:cs="宋体"/>
          <w:sz w:val="24"/>
          <w:lang w:val="en-US"/>
        </w:rPr>
        <w:t xml:space="preserve">3.1 </w:t>
      </w:r>
      <w:r>
        <w:rPr>
          <w:rFonts w:hint="eastAsia" w:ascii="宋体" w:hAnsi="宋体" w:eastAsia="宋体" w:cs="宋体"/>
          <w:sz w:val="24"/>
        </w:rPr>
        <w:t>《政府采购法》第二十二条第一款规定的供应商基本资格条件:</w:t>
      </w:r>
    </w:p>
    <w:p>
      <w:pPr>
        <w:pStyle w:val="75"/>
        <w:tabs>
          <w:tab w:val="left" w:pos="440"/>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1）</w:t>
      </w:r>
      <w:r>
        <w:rPr>
          <w:rFonts w:hint="eastAsia" w:ascii="宋体" w:hAnsi="宋体" w:eastAsia="宋体" w:cs="宋体"/>
          <w:sz w:val="24"/>
        </w:rPr>
        <w:t>具有独立承担民事责任的能力；</w:t>
      </w:r>
    </w:p>
    <w:p>
      <w:pPr>
        <w:pStyle w:val="75"/>
        <w:tabs>
          <w:tab w:val="left" w:pos="440"/>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2）</w:t>
      </w:r>
      <w:r>
        <w:rPr>
          <w:rFonts w:hint="eastAsia" w:ascii="宋体" w:hAnsi="宋体" w:eastAsia="宋体" w:cs="宋体"/>
          <w:sz w:val="24"/>
        </w:rPr>
        <w:t>具有良好的商业信誉和健全的财务会计制度；</w:t>
      </w:r>
    </w:p>
    <w:p>
      <w:pPr>
        <w:pStyle w:val="75"/>
        <w:tabs>
          <w:tab w:val="left" w:pos="440"/>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具有履行合同所必需的设备和专业技术能力；</w:t>
      </w:r>
    </w:p>
    <w:p>
      <w:pPr>
        <w:pStyle w:val="75"/>
        <w:tabs>
          <w:tab w:val="left" w:pos="440"/>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4）</w:t>
      </w:r>
      <w:r>
        <w:rPr>
          <w:rFonts w:hint="eastAsia" w:ascii="宋体" w:hAnsi="宋体" w:eastAsia="宋体" w:cs="宋体"/>
          <w:sz w:val="24"/>
        </w:rPr>
        <w:t>有依法缴纳税收和社会保障资金的良好记录；</w:t>
      </w:r>
    </w:p>
    <w:p>
      <w:pPr>
        <w:pStyle w:val="75"/>
        <w:tabs>
          <w:tab w:val="left" w:pos="660"/>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参加政府采购活动前三年内，在经营活动中没有重大违法记录；</w:t>
      </w:r>
    </w:p>
    <w:p>
      <w:pPr>
        <w:pStyle w:val="75"/>
        <w:tabs>
          <w:tab w:val="left" w:pos="660"/>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法律、行政法规规定的其他条件；</w:t>
      </w:r>
    </w:p>
    <w:p>
      <w:pPr>
        <w:pStyle w:val="75"/>
        <w:tabs>
          <w:tab w:val="left" w:pos="1502"/>
        </w:tabs>
        <w:spacing w:before="0" w:line="360" w:lineRule="auto"/>
        <w:ind w:left="0" w:leftChars="0" w:firstLine="0" w:firstLineChars="0"/>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lang w:val="en-US"/>
        </w:rPr>
        <w:t xml:space="preserve">3.2 </w:t>
      </w:r>
      <w:r>
        <w:rPr>
          <w:rFonts w:hint="eastAsia" w:ascii="宋体" w:hAnsi="宋体" w:eastAsia="宋体" w:cs="宋体"/>
          <w:sz w:val="24"/>
        </w:rPr>
        <w:t>根据本次采购项目的特殊要求，规定的供应商特殊条件（</w:t>
      </w:r>
      <w:r>
        <w:rPr>
          <w:rFonts w:hint="eastAsia" w:ascii="宋体" w:hAnsi="宋体" w:eastAsia="宋体" w:cs="宋体"/>
          <w:spacing w:val="-2"/>
          <w:sz w:val="24"/>
        </w:rPr>
        <w:t>见供应商须知前附</w:t>
      </w:r>
      <w:r>
        <w:rPr>
          <w:rFonts w:hint="eastAsia" w:ascii="宋体" w:hAnsi="宋体" w:eastAsia="宋体" w:cs="宋体"/>
          <w:sz w:val="24"/>
        </w:rPr>
        <w:t>表</w:t>
      </w:r>
      <w:r>
        <w:rPr>
          <w:rFonts w:hint="eastAsia" w:ascii="宋体" w:hAnsi="宋体" w:eastAsia="宋体" w:cs="宋体"/>
          <w:spacing w:val="-120"/>
          <w:sz w:val="24"/>
        </w:rPr>
        <w:t>）</w:t>
      </w:r>
      <w:r>
        <w:rPr>
          <w:rFonts w:hint="eastAsia" w:ascii="宋体" w:hAnsi="宋体" w:eastAsia="宋体" w:cs="宋体"/>
          <w:sz w:val="24"/>
        </w:rPr>
        <w:t>。</w:t>
      </w:r>
    </w:p>
    <w:p>
      <w:pPr>
        <w:pStyle w:val="75"/>
        <w:tabs>
          <w:tab w:val="left" w:pos="1502"/>
        </w:tabs>
        <w:spacing w:before="0" w:line="360" w:lineRule="auto"/>
        <w:ind w:left="0" w:firstLine="476" w:firstLineChars="200"/>
        <w:rPr>
          <w:rFonts w:hint="eastAsia" w:ascii="宋体" w:hAnsi="宋体" w:eastAsia="宋体" w:cs="宋体"/>
          <w:sz w:val="24"/>
        </w:rPr>
      </w:pPr>
      <w:r>
        <w:rPr>
          <w:rFonts w:hint="eastAsia" w:ascii="宋体" w:hAnsi="宋体" w:eastAsia="宋体" w:cs="宋体"/>
          <w:spacing w:val="-1"/>
          <w:sz w:val="24"/>
          <w:lang w:val="en-US"/>
        </w:rPr>
        <w:t xml:space="preserve">3.3 </w:t>
      </w:r>
      <w:r>
        <w:rPr>
          <w:rFonts w:hint="eastAsia" w:ascii="宋体" w:hAnsi="宋体" w:eastAsia="宋体" w:cs="宋体"/>
          <w:spacing w:val="-1"/>
          <w:sz w:val="24"/>
        </w:rPr>
        <w:t>法定代表人为同一人的两个及两个以上的法人，母公司、全资子公司及其控</w:t>
      </w:r>
      <w:r>
        <w:rPr>
          <w:rFonts w:hint="eastAsia" w:ascii="宋体" w:hAnsi="宋体" w:eastAsia="宋体" w:cs="宋体"/>
          <w:spacing w:val="-7"/>
          <w:sz w:val="24"/>
        </w:rPr>
        <w:t>股公司，都不得在同一项目</w:t>
      </w:r>
      <w:r>
        <w:rPr>
          <w:rFonts w:hint="eastAsia" w:ascii="宋体" w:hAnsi="宋体" w:eastAsia="宋体" w:cs="宋体"/>
          <w:sz w:val="24"/>
        </w:rPr>
        <w:t>（分包的按包</w:t>
      </w:r>
      <w:r>
        <w:rPr>
          <w:rFonts w:hint="eastAsia" w:ascii="宋体" w:hAnsi="宋体" w:eastAsia="宋体" w:cs="宋体"/>
          <w:spacing w:val="-24"/>
          <w:sz w:val="24"/>
        </w:rPr>
        <w:t>）</w:t>
      </w:r>
      <w:r>
        <w:rPr>
          <w:rFonts w:hint="eastAsia" w:ascii="宋体" w:hAnsi="宋体" w:eastAsia="宋体" w:cs="宋体"/>
          <w:spacing w:val="-3"/>
          <w:sz w:val="24"/>
        </w:rPr>
        <w:t>的货物采购中同时参与磋商，否则均为无</w:t>
      </w:r>
      <w:r>
        <w:rPr>
          <w:rFonts w:hint="eastAsia" w:ascii="宋体" w:hAnsi="宋体" w:eastAsia="宋体" w:cs="宋体"/>
          <w:sz w:val="24"/>
        </w:rPr>
        <w:t>效磋商。</w:t>
      </w:r>
    </w:p>
    <w:p>
      <w:pPr>
        <w:pStyle w:val="75"/>
        <w:tabs>
          <w:tab w:val="left" w:pos="1502"/>
        </w:tabs>
        <w:spacing w:before="0" w:line="360" w:lineRule="auto"/>
        <w:ind w:left="0" w:firstLine="456" w:firstLineChars="200"/>
        <w:rPr>
          <w:rFonts w:hint="eastAsia" w:ascii="宋体" w:hAnsi="宋体" w:eastAsia="宋体" w:cs="宋体"/>
          <w:sz w:val="24"/>
        </w:rPr>
      </w:pPr>
      <w:r>
        <w:rPr>
          <w:rFonts w:hint="eastAsia" w:ascii="宋体" w:hAnsi="宋体" w:eastAsia="宋体" w:cs="宋体"/>
          <w:spacing w:val="-6"/>
          <w:sz w:val="24"/>
          <w:lang w:val="en-US"/>
        </w:rPr>
        <w:t xml:space="preserve">3.4 </w:t>
      </w:r>
      <w:r>
        <w:rPr>
          <w:rFonts w:hint="eastAsia" w:ascii="宋体" w:hAnsi="宋体" w:eastAsia="宋体" w:cs="宋体"/>
          <w:spacing w:val="-6"/>
          <w:sz w:val="24"/>
        </w:rPr>
        <w:t>供应商不得直接或间接地与采购单位</w:t>
      </w:r>
      <w:r>
        <w:rPr>
          <w:rFonts w:hint="eastAsia" w:ascii="宋体" w:hAnsi="宋体" w:eastAsia="宋体" w:cs="宋体"/>
          <w:sz w:val="24"/>
        </w:rPr>
        <w:t>（包括</w:t>
      </w:r>
      <w:r>
        <w:rPr>
          <w:rFonts w:hint="eastAsia" w:ascii="宋体" w:hAnsi="宋体" w:cs="宋体"/>
          <w:sz w:val="24"/>
          <w:lang w:eastAsia="zh-CN"/>
        </w:rPr>
        <w:t>伍诚工程咨询股份有限公司</w:t>
      </w:r>
      <w:r>
        <w:rPr>
          <w:rFonts w:hint="eastAsia" w:ascii="宋体" w:hAnsi="宋体" w:eastAsia="宋体" w:cs="宋体"/>
          <w:sz w:val="24"/>
        </w:rPr>
        <w:t>及采购人</w:t>
      </w:r>
      <w:r>
        <w:rPr>
          <w:rFonts w:hint="eastAsia" w:ascii="宋体" w:hAnsi="宋体" w:eastAsia="宋体" w:cs="宋体"/>
          <w:spacing w:val="-18"/>
          <w:sz w:val="24"/>
        </w:rPr>
        <w:t xml:space="preserve">） </w:t>
      </w:r>
      <w:r>
        <w:rPr>
          <w:rFonts w:hint="eastAsia" w:ascii="宋体" w:hAnsi="宋体" w:eastAsia="宋体" w:cs="宋体"/>
          <w:sz w:val="24"/>
        </w:rPr>
        <w:t>有任何关联，亦不得是采购单位的附属机构。如果供应商在磋商中隐瞒了上述关系， 一经证实，则该磋商无效。</w:t>
      </w:r>
    </w:p>
    <w:p>
      <w:pPr>
        <w:pStyle w:val="75"/>
        <w:tabs>
          <w:tab w:val="left" w:pos="1502"/>
        </w:tabs>
        <w:spacing w:before="0" w:line="360" w:lineRule="auto"/>
        <w:ind w:left="0" w:firstLine="476" w:firstLineChars="200"/>
        <w:rPr>
          <w:rFonts w:hint="eastAsia" w:ascii="宋体" w:hAnsi="宋体" w:eastAsia="宋体" w:cs="宋体"/>
          <w:sz w:val="24"/>
        </w:rPr>
      </w:pPr>
      <w:r>
        <w:rPr>
          <w:rFonts w:hint="eastAsia" w:ascii="宋体" w:hAnsi="宋体" w:eastAsia="宋体" w:cs="宋体"/>
          <w:spacing w:val="-1"/>
          <w:sz w:val="24"/>
          <w:lang w:val="en-US"/>
        </w:rPr>
        <w:t xml:space="preserve">3.5 </w:t>
      </w:r>
      <w:r>
        <w:rPr>
          <w:rFonts w:hint="eastAsia" w:ascii="宋体" w:hAnsi="宋体" w:eastAsia="宋体" w:cs="宋体"/>
          <w:spacing w:val="-1"/>
          <w:sz w:val="24"/>
        </w:rPr>
        <w:t>供应商必须在</w:t>
      </w:r>
      <w:r>
        <w:rPr>
          <w:rFonts w:hint="eastAsia" w:ascii="宋体" w:hAnsi="宋体" w:cs="宋体"/>
          <w:spacing w:val="-1"/>
          <w:sz w:val="24"/>
          <w:lang w:eastAsia="zh-CN"/>
        </w:rPr>
        <w:t>伍诚工程咨询股份有限公司获取</w:t>
      </w:r>
      <w:r>
        <w:rPr>
          <w:rFonts w:hint="eastAsia" w:ascii="宋体" w:hAnsi="宋体" w:eastAsia="宋体" w:cs="宋体"/>
          <w:spacing w:val="-1"/>
          <w:sz w:val="24"/>
        </w:rPr>
        <w:t>竞争性磋商文件，方可参加磋商。</w:t>
      </w:r>
    </w:p>
    <w:p>
      <w:pPr>
        <w:pStyle w:val="75"/>
        <w:tabs>
          <w:tab w:val="left" w:pos="1502"/>
        </w:tabs>
        <w:spacing w:before="0" w:line="360" w:lineRule="auto"/>
        <w:ind w:left="0" w:firstLineChars="200"/>
        <w:rPr>
          <w:rFonts w:hint="eastAsia" w:ascii="宋体" w:hAnsi="宋体" w:eastAsia="宋体" w:cs="宋体"/>
          <w:sz w:val="24"/>
        </w:rPr>
      </w:pPr>
      <w:r>
        <w:rPr>
          <w:rFonts w:hint="eastAsia" w:ascii="宋体" w:hAnsi="宋体" w:eastAsia="宋体" w:cs="宋体"/>
          <w:sz w:val="24"/>
          <w:lang w:val="en-US"/>
        </w:rPr>
        <w:t xml:space="preserve">3.6 </w:t>
      </w:r>
      <w:r>
        <w:rPr>
          <w:rFonts w:hint="eastAsia" w:ascii="宋体" w:hAnsi="宋体" w:eastAsia="宋体" w:cs="宋体"/>
          <w:sz w:val="24"/>
        </w:rPr>
        <w:t>联合体磋商</w:t>
      </w:r>
    </w:p>
    <w:p>
      <w:pPr>
        <w:pStyle w:val="75"/>
        <w:tabs>
          <w:tab w:val="left" w:pos="1502"/>
        </w:tabs>
        <w:spacing w:before="0" w:line="360" w:lineRule="auto"/>
        <w:ind w:left="0" w:firstLine="476" w:firstLineChars="200"/>
        <w:rPr>
          <w:rFonts w:hint="eastAsia" w:ascii="宋体" w:hAnsi="宋体" w:cs="宋体"/>
          <w:spacing w:val="-1"/>
          <w:sz w:val="24"/>
          <w:lang w:val="en-US" w:eastAsia="zh-CN"/>
        </w:rPr>
      </w:pPr>
      <w:r>
        <w:rPr>
          <w:rFonts w:hint="eastAsia" w:ascii="宋体" w:hAnsi="宋体" w:cs="宋体"/>
          <w:spacing w:val="-1"/>
          <w:sz w:val="24"/>
          <w:lang w:val="en-US" w:eastAsia="zh-CN"/>
        </w:rPr>
        <w:t>本项目不接受联合体磋商。</w:t>
      </w:r>
    </w:p>
    <w:p>
      <w:pPr>
        <w:pStyle w:val="75"/>
        <w:tabs>
          <w:tab w:val="left" w:pos="1502"/>
        </w:tabs>
        <w:spacing w:before="0" w:line="360" w:lineRule="auto"/>
        <w:ind w:left="0" w:firstLine="476" w:firstLineChars="200"/>
        <w:rPr>
          <w:rFonts w:hint="eastAsia" w:ascii="宋体" w:hAnsi="宋体" w:eastAsia="宋体" w:cs="宋体"/>
          <w:sz w:val="24"/>
        </w:rPr>
      </w:pPr>
      <w:r>
        <w:rPr>
          <w:rFonts w:hint="eastAsia" w:ascii="宋体" w:hAnsi="宋体" w:eastAsia="宋体" w:cs="宋体"/>
          <w:spacing w:val="-1"/>
          <w:sz w:val="24"/>
          <w:lang w:val="en-US"/>
        </w:rPr>
        <w:t xml:space="preserve">3.7 </w:t>
      </w:r>
      <w:r>
        <w:rPr>
          <w:rFonts w:hint="eastAsia" w:ascii="宋体" w:hAnsi="宋体" w:eastAsia="宋体" w:cs="宋体"/>
          <w:spacing w:val="-1"/>
          <w:sz w:val="24"/>
        </w:rPr>
        <w:t>磋商费用自理。不论磋商的结果如何，供应商均应自行承担所有与参加磋商</w:t>
      </w:r>
      <w:r>
        <w:rPr>
          <w:rFonts w:hint="eastAsia" w:ascii="宋体" w:hAnsi="宋体" w:eastAsia="宋体" w:cs="宋体"/>
          <w:sz w:val="24"/>
        </w:rPr>
        <w:t>有关的费用。</w:t>
      </w:r>
    </w:p>
    <w:p>
      <w:pPr>
        <w:pStyle w:val="75"/>
        <w:tabs>
          <w:tab w:val="left" w:pos="1502"/>
        </w:tabs>
        <w:spacing w:before="0" w:line="360" w:lineRule="auto"/>
        <w:ind w:left="0" w:right="737" w:firstLine="482" w:firstLineChars="200"/>
        <w:jc w:val="both"/>
        <w:outlineLvl w:val="0"/>
        <w:rPr>
          <w:rFonts w:hint="eastAsia" w:ascii="宋体" w:hAnsi="宋体" w:eastAsia="宋体" w:cs="宋体"/>
          <w:b/>
          <w:bCs/>
          <w:sz w:val="24"/>
          <w:szCs w:val="24"/>
        </w:rPr>
      </w:pPr>
      <w:bookmarkStart w:id="5" w:name="_Toc4003"/>
      <w:r>
        <w:rPr>
          <w:rFonts w:hint="eastAsia" w:ascii="宋体" w:hAnsi="宋体" w:eastAsia="宋体" w:cs="宋体"/>
          <w:b/>
          <w:bCs/>
          <w:sz w:val="24"/>
          <w:szCs w:val="24"/>
          <w:lang w:val="en-US"/>
        </w:rPr>
        <w:t>4</w:t>
      </w:r>
      <w:r>
        <w:rPr>
          <w:rFonts w:hint="eastAsia" w:ascii="宋体" w:hAnsi="宋体" w:eastAsia="宋体" w:cs="宋体"/>
          <w:b/>
          <w:bCs/>
          <w:sz w:val="24"/>
          <w:szCs w:val="24"/>
        </w:rPr>
        <w:t>.磋商设备的合格性和合法性</w:t>
      </w:r>
      <w:bookmarkEnd w:id="5"/>
    </w:p>
    <w:p>
      <w:pPr>
        <w:spacing w:line="360" w:lineRule="auto"/>
        <w:ind w:firstLine="480" w:firstLineChars="200"/>
        <w:rPr>
          <w:rFonts w:hint="eastAsia"/>
          <w:sz w:val="24"/>
          <w:szCs w:val="24"/>
        </w:rPr>
      </w:pPr>
      <w:r>
        <w:rPr>
          <w:rFonts w:hint="eastAsia"/>
          <w:sz w:val="24"/>
          <w:szCs w:val="24"/>
          <w:lang w:val="en-US"/>
        </w:rPr>
        <w:t xml:space="preserve">4.1 </w:t>
      </w:r>
      <w:r>
        <w:rPr>
          <w:rFonts w:hint="eastAsia"/>
          <w:sz w:val="24"/>
          <w:szCs w:val="24"/>
        </w:rPr>
        <w:t>磋商产品</w:t>
      </w:r>
      <w:r>
        <w:rPr>
          <w:rFonts w:hint="eastAsia"/>
          <w:sz w:val="24"/>
          <w:szCs w:val="24"/>
          <w:lang w:eastAsia="zh-CN"/>
        </w:rPr>
        <w:t>及服务</w:t>
      </w:r>
      <w:r>
        <w:rPr>
          <w:rFonts w:hint="eastAsia"/>
          <w:sz w:val="24"/>
          <w:szCs w:val="24"/>
        </w:rPr>
        <w:t>应满足竞争性磋商文件的要求并应符合国家法律法规、行业管理部门要求的其他强制性标准。并满足竞争性磋商文件规定的质量、价格、有效期、售后服务及供应商须承担的运输、配送、技术支持和竞争性磋商文件规定的其他伴随服务等要求。</w:t>
      </w:r>
    </w:p>
    <w:p>
      <w:pPr>
        <w:spacing w:line="360" w:lineRule="auto"/>
        <w:ind w:firstLine="480" w:firstLineChars="200"/>
        <w:rPr>
          <w:rFonts w:hint="eastAsia"/>
          <w:sz w:val="24"/>
          <w:szCs w:val="24"/>
        </w:rPr>
      </w:pPr>
      <w:r>
        <w:rPr>
          <w:rFonts w:hint="eastAsia"/>
          <w:sz w:val="24"/>
          <w:szCs w:val="24"/>
          <w:lang w:val="en-US"/>
        </w:rPr>
        <w:t xml:space="preserve">4.2 </w:t>
      </w:r>
      <w:r>
        <w:rPr>
          <w:rFonts w:hint="eastAsia"/>
          <w:sz w:val="24"/>
          <w:szCs w:val="24"/>
        </w:rPr>
        <w:t>采购人有权拒绝接受任何不合格的产品和服务，由此产生的费用及相关后果均由供应商自行承担。</w:t>
      </w:r>
    </w:p>
    <w:p>
      <w:pPr>
        <w:pStyle w:val="75"/>
        <w:tabs>
          <w:tab w:val="left" w:pos="1502"/>
        </w:tabs>
        <w:spacing w:before="0" w:line="360" w:lineRule="auto"/>
        <w:ind w:left="0" w:right="737" w:firstLineChars="200"/>
        <w:jc w:val="both"/>
        <w:outlineLvl w:val="0"/>
        <w:rPr>
          <w:rFonts w:hint="eastAsia" w:ascii="宋体" w:hAnsi="宋体" w:eastAsia="宋体" w:cs="宋体"/>
          <w:b/>
          <w:bCs/>
          <w:sz w:val="24"/>
          <w:szCs w:val="24"/>
        </w:rPr>
      </w:pPr>
      <w:bookmarkStart w:id="6" w:name="_Toc3521"/>
      <w:r>
        <w:rPr>
          <w:rFonts w:hint="eastAsia" w:ascii="宋体" w:hAnsi="宋体" w:eastAsia="宋体" w:cs="宋体"/>
          <w:b/>
          <w:bCs/>
          <w:spacing w:val="-1"/>
          <w:sz w:val="24"/>
          <w:szCs w:val="24"/>
          <w:lang w:val="en-US"/>
        </w:rPr>
        <w:t>5.</w:t>
      </w:r>
      <w:r>
        <w:rPr>
          <w:rFonts w:hint="eastAsia" w:ascii="宋体" w:hAnsi="宋体" w:eastAsia="宋体" w:cs="宋体"/>
          <w:b/>
          <w:bCs/>
          <w:spacing w:val="-1"/>
          <w:sz w:val="24"/>
          <w:szCs w:val="24"/>
        </w:rPr>
        <w:t>竞争</w:t>
      </w:r>
      <w:r>
        <w:rPr>
          <w:rFonts w:hint="eastAsia" w:ascii="宋体" w:hAnsi="宋体" w:eastAsia="宋体" w:cs="宋体"/>
          <w:b/>
          <w:bCs/>
          <w:sz w:val="24"/>
          <w:szCs w:val="24"/>
        </w:rPr>
        <w:t>性磋商响应文件内容的真实性</w:t>
      </w:r>
      <w:bookmarkEnd w:id="6"/>
    </w:p>
    <w:p>
      <w:pPr>
        <w:spacing w:line="360" w:lineRule="auto"/>
        <w:ind w:firstLine="480" w:firstLineChars="200"/>
        <w:rPr>
          <w:rFonts w:hint="eastAsia"/>
          <w:sz w:val="24"/>
          <w:szCs w:val="24"/>
        </w:rPr>
      </w:pPr>
      <w:r>
        <w:rPr>
          <w:rFonts w:hint="eastAsia"/>
          <w:sz w:val="24"/>
          <w:szCs w:val="24"/>
          <w:lang w:val="en-US"/>
        </w:rPr>
        <w:t xml:space="preserve">5.1 </w:t>
      </w:r>
      <w:r>
        <w:rPr>
          <w:rFonts w:hint="eastAsia"/>
          <w:sz w:val="24"/>
          <w:szCs w:val="24"/>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pStyle w:val="7"/>
        <w:tabs>
          <w:tab w:val="left" w:pos="843"/>
        </w:tabs>
        <w:spacing w:line="360" w:lineRule="auto"/>
        <w:ind w:left="0"/>
        <w:jc w:val="center"/>
        <w:rPr>
          <w:rFonts w:hint="eastAsia" w:ascii="宋体" w:hAnsi="宋体" w:eastAsia="宋体" w:cs="宋体"/>
          <w:sz w:val="28"/>
          <w:szCs w:val="28"/>
        </w:rPr>
      </w:pPr>
      <w:r>
        <w:rPr>
          <w:rFonts w:hint="eastAsia" w:ascii="宋体" w:hAnsi="宋体" w:eastAsia="宋体" w:cs="宋体"/>
          <w:sz w:val="28"/>
          <w:szCs w:val="28"/>
        </w:rPr>
        <w:t>二.竞争性磋商文件</w:t>
      </w:r>
    </w:p>
    <w:p>
      <w:pPr>
        <w:pStyle w:val="7"/>
        <w:tabs>
          <w:tab w:val="left" w:pos="843"/>
        </w:tabs>
        <w:spacing w:line="360" w:lineRule="auto"/>
        <w:ind w:left="0" w:firstLine="478" w:firstLineChars="200"/>
        <w:outlineLvl w:val="0"/>
        <w:rPr>
          <w:rFonts w:hint="eastAsia" w:ascii="宋体" w:hAnsi="宋体" w:eastAsia="宋体" w:cs="宋体"/>
          <w:spacing w:val="-1"/>
        </w:rPr>
      </w:pPr>
      <w:bookmarkStart w:id="7" w:name="_Toc24482"/>
      <w:r>
        <w:rPr>
          <w:rFonts w:hint="eastAsia" w:ascii="宋体" w:hAnsi="宋体" w:eastAsia="宋体" w:cs="宋体"/>
          <w:spacing w:val="-1"/>
          <w:lang w:val="en-US"/>
        </w:rPr>
        <w:t>6.</w:t>
      </w:r>
      <w:r>
        <w:rPr>
          <w:rFonts w:hint="eastAsia" w:ascii="宋体" w:hAnsi="宋体" w:eastAsia="宋体" w:cs="宋体"/>
          <w:spacing w:val="-1"/>
        </w:rPr>
        <w:t>竞争性磋商文件构成</w:t>
      </w:r>
      <w:bookmarkEnd w:id="7"/>
    </w:p>
    <w:p>
      <w:pPr>
        <w:spacing w:line="360" w:lineRule="auto"/>
        <w:ind w:firstLine="480" w:firstLineChars="200"/>
        <w:rPr>
          <w:rFonts w:hint="eastAsia"/>
          <w:sz w:val="24"/>
          <w:szCs w:val="24"/>
          <w:lang w:val="en-US"/>
        </w:rPr>
      </w:pPr>
      <w:r>
        <w:rPr>
          <w:rFonts w:hint="eastAsia"/>
          <w:sz w:val="24"/>
          <w:szCs w:val="24"/>
          <w:lang w:val="en-US"/>
        </w:rPr>
        <w:t>6.1 竞争性磋商文件规定了要求提供的产品和服务，磋商程序和合同条件在竞争性磋商文件中均有说明。竞争性磋商文件共六章，内容如下：</w:t>
      </w:r>
    </w:p>
    <w:p>
      <w:pPr>
        <w:pStyle w:val="75"/>
        <w:tabs>
          <w:tab w:val="left" w:pos="1502"/>
        </w:tabs>
        <w:spacing w:before="0" w:line="360" w:lineRule="auto"/>
        <w:ind w:left="382" w:leftChars="182" w:right="737" w:firstLineChars="200"/>
        <w:jc w:val="both"/>
        <w:rPr>
          <w:rFonts w:hint="eastAsia" w:ascii="宋体" w:hAnsi="宋体" w:eastAsia="宋体" w:cs="宋体"/>
          <w:sz w:val="24"/>
          <w:szCs w:val="24"/>
        </w:rPr>
      </w:pPr>
      <w:r>
        <w:rPr>
          <w:rFonts w:hint="eastAsia" w:ascii="宋体" w:hAnsi="宋体" w:eastAsia="宋体" w:cs="宋体"/>
          <w:sz w:val="24"/>
          <w:szCs w:val="24"/>
        </w:rPr>
        <w:t>第一章 竞争性磋商公告</w:t>
      </w:r>
    </w:p>
    <w:p>
      <w:pPr>
        <w:pStyle w:val="75"/>
        <w:tabs>
          <w:tab w:val="left" w:pos="1502"/>
        </w:tabs>
        <w:spacing w:before="0" w:line="360" w:lineRule="auto"/>
        <w:ind w:left="382" w:leftChars="182" w:right="737" w:firstLineChars="200"/>
        <w:jc w:val="both"/>
        <w:rPr>
          <w:rFonts w:hint="eastAsia" w:ascii="宋体" w:hAnsi="宋体" w:eastAsia="宋体" w:cs="宋体"/>
          <w:sz w:val="24"/>
          <w:szCs w:val="24"/>
        </w:rPr>
      </w:pPr>
      <w:r>
        <w:rPr>
          <w:rFonts w:hint="eastAsia" w:ascii="宋体" w:hAnsi="宋体" w:eastAsia="宋体" w:cs="宋体"/>
          <w:sz w:val="24"/>
          <w:szCs w:val="24"/>
        </w:rPr>
        <w:t>第二章 供应商须知</w:t>
      </w:r>
    </w:p>
    <w:p>
      <w:pPr>
        <w:pStyle w:val="75"/>
        <w:tabs>
          <w:tab w:val="left" w:pos="1502"/>
        </w:tabs>
        <w:spacing w:before="0" w:line="360" w:lineRule="auto"/>
        <w:ind w:left="382" w:leftChars="182" w:right="737" w:firstLineChars="200"/>
        <w:jc w:val="both"/>
        <w:rPr>
          <w:rFonts w:hint="eastAsia" w:ascii="宋体" w:hAnsi="宋体" w:eastAsia="宋体" w:cs="宋体"/>
          <w:sz w:val="24"/>
          <w:szCs w:val="24"/>
        </w:rPr>
      </w:pPr>
      <w:r>
        <w:rPr>
          <w:rFonts w:hint="eastAsia" w:ascii="宋体" w:hAnsi="宋体" w:eastAsia="宋体" w:cs="宋体"/>
          <w:sz w:val="24"/>
          <w:szCs w:val="24"/>
        </w:rPr>
        <w:t xml:space="preserve">第三章 合同条款及格式    </w:t>
      </w:r>
    </w:p>
    <w:p>
      <w:pPr>
        <w:pStyle w:val="75"/>
        <w:tabs>
          <w:tab w:val="left" w:pos="1502"/>
        </w:tabs>
        <w:spacing w:before="0" w:line="360" w:lineRule="auto"/>
        <w:ind w:left="382" w:leftChars="182" w:right="737" w:firstLineChars="200"/>
        <w:jc w:val="both"/>
        <w:rPr>
          <w:rFonts w:hint="eastAsia" w:ascii="宋体" w:hAnsi="宋体" w:eastAsia="宋体" w:cs="宋体"/>
          <w:sz w:val="24"/>
          <w:szCs w:val="24"/>
        </w:rPr>
      </w:pPr>
      <w:r>
        <w:rPr>
          <w:rFonts w:hint="eastAsia" w:ascii="宋体" w:hAnsi="宋体" w:eastAsia="宋体" w:cs="宋体"/>
          <w:sz w:val="24"/>
          <w:szCs w:val="24"/>
        </w:rPr>
        <w:t>第四章 磋商内容及技术要求</w:t>
      </w:r>
    </w:p>
    <w:p>
      <w:pPr>
        <w:pStyle w:val="75"/>
        <w:tabs>
          <w:tab w:val="left" w:pos="1502"/>
        </w:tabs>
        <w:spacing w:before="0" w:line="360" w:lineRule="auto"/>
        <w:ind w:left="382" w:leftChars="182" w:right="737" w:firstLineChars="200"/>
        <w:jc w:val="both"/>
        <w:rPr>
          <w:rFonts w:hint="eastAsia" w:ascii="宋体" w:hAnsi="宋体" w:eastAsia="宋体" w:cs="宋体"/>
          <w:sz w:val="24"/>
          <w:szCs w:val="24"/>
        </w:rPr>
      </w:pPr>
      <w:r>
        <w:rPr>
          <w:rFonts w:hint="eastAsia" w:ascii="宋体" w:hAnsi="宋体" w:eastAsia="宋体" w:cs="宋体"/>
          <w:sz w:val="24"/>
          <w:szCs w:val="24"/>
        </w:rPr>
        <w:t>第五章 评审方法</w:t>
      </w:r>
    </w:p>
    <w:p>
      <w:pPr>
        <w:pStyle w:val="75"/>
        <w:tabs>
          <w:tab w:val="left" w:pos="1502"/>
        </w:tabs>
        <w:spacing w:before="0" w:line="360" w:lineRule="auto"/>
        <w:ind w:left="382" w:leftChars="182" w:right="737" w:firstLineChars="200"/>
        <w:jc w:val="both"/>
        <w:rPr>
          <w:rFonts w:hint="eastAsia" w:ascii="宋体" w:hAnsi="宋体" w:eastAsia="宋体" w:cs="宋体"/>
          <w:sz w:val="24"/>
          <w:szCs w:val="24"/>
        </w:rPr>
      </w:pPr>
      <w:r>
        <w:rPr>
          <w:rFonts w:hint="eastAsia" w:ascii="宋体" w:hAnsi="宋体" w:eastAsia="宋体" w:cs="宋体"/>
          <w:sz w:val="24"/>
          <w:szCs w:val="24"/>
        </w:rPr>
        <w:t>第六章 竞争性磋商响应文件构成及格式</w:t>
      </w:r>
    </w:p>
    <w:p>
      <w:pPr>
        <w:spacing w:line="360" w:lineRule="auto"/>
        <w:ind w:firstLine="720" w:firstLineChars="300"/>
        <w:rPr>
          <w:rFonts w:hint="eastAsia"/>
          <w:sz w:val="24"/>
          <w:szCs w:val="24"/>
        </w:rPr>
      </w:pPr>
      <w:r>
        <w:rPr>
          <w:rFonts w:hint="eastAsia"/>
          <w:sz w:val="24"/>
          <w:szCs w:val="24"/>
        </w:rPr>
        <w:t>6.2 供应商下载磋商文件后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spacing w:line="360" w:lineRule="auto"/>
        <w:ind w:firstLine="720" w:firstLineChars="300"/>
        <w:rPr>
          <w:rFonts w:hint="eastAsia"/>
          <w:sz w:val="24"/>
          <w:szCs w:val="24"/>
        </w:rPr>
      </w:pPr>
      <w:r>
        <w:rPr>
          <w:rFonts w:hint="eastAsia"/>
          <w:sz w:val="24"/>
          <w:szCs w:val="24"/>
          <w:lang w:val="en-US" w:eastAsia="zh-CN"/>
        </w:rPr>
        <w:t>6.3</w:t>
      </w:r>
      <w:r>
        <w:rPr>
          <w:rFonts w:hint="eastAsia"/>
          <w:sz w:val="24"/>
          <w:szCs w:val="24"/>
        </w:rPr>
        <w:t>项目废标后重新组织磋商的，</w:t>
      </w:r>
      <w:r>
        <w:rPr>
          <w:rFonts w:hint="eastAsia"/>
          <w:sz w:val="24"/>
          <w:szCs w:val="24"/>
          <w:lang w:eastAsia="zh-CN"/>
        </w:rPr>
        <w:t>代理</w:t>
      </w:r>
      <w:r>
        <w:rPr>
          <w:rFonts w:hint="eastAsia"/>
          <w:sz w:val="24"/>
          <w:szCs w:val="24"/>
        </w:rPr>
        <w:t>机构将重新编制、发布新版磋商文件，服务商应按新版磋商文件重新编制响应文件。原磋商文件及响应文件失效。</w:t>
      </w:r>
    </w:p>
    <w:p>
      <w:pPr>
        <w:spacing w:line="360" w:lineRule="auto"/>
        <w:ind w:firstLine="720" w:firstLineChars="300"/>
        <w:rPr>
          <w:rFonts w:hint="eastAsia"/>
          <w:sz w:val="24"/>
          <w:szCs w:val="24"/>
        </w:rPr>
      </w:pPr>
      <w:r>
        <w:rPr>
          <w:rFonts w:hint="eastAsia"/>
          <w:sz w:val="24"/>
          <w:szCs w:val="24"/>
        </w:rPr>
        <w:t>响应文件封面、响应函以及法定代表人委托授权书三处的项目名称、项目编号、标段（项目未分标段的除外）应当与最新发布的磋商文件保持一致，否则将被视为无效响应文件。</w:t>
      </w:r>
    </w:p>
    <w:p>
      <w:pPr>
        <w:spacing w:line="360" w:lineRule="auto"/>
        <w:ind w:firstLine="720" w:firstLineChars="300"/>
        <w:rPr>
          <w:rFonts w:hint="eastAsia"/>
          <w:sz w:val="24"/>
          <w:szCs w:val="24"/>
        </w:rPr>
      </w:pPr>
      <w:r>
        <w:rPr>
          <w:rFonts w:hint="eastAsia"/>
          <w:sz w:val="24"/>
          <w:szCs w:val="24"/>
        </w:rPr>
        <w:t>6.</w:t>
      </w:r>
      <w:r>
        <w:rPr>
          <w:rFonts w:hint="eastAsia"/>
          <w:sz w:val="24"/>
          <w:szCs w:val="24"/>
          <w:lang w:val="en-US" w:eastAsia="zh-CN"/>
        </w:rPr>
        <w:t>4</w:t>
      </w:r>
      <w:r>
        <w:rPr>
          <w:rFonts w:hint="eastAsia"/>
          <w:sz w:val="24"/>
          <w:szCs w:val="24"/>
        </w:rPr>
        <w:t>本竞争性磋商文件的解释权归</w:t>
      </w:r>
      <w:r>
        <w:rPr>
          <w:rFonts w:hint="eastAsia"/>
          <w:sz w:val="24"/>
          <w:szCs w:val="24"/>
          <w:lang w:eastAsia="zh-CN"/>
        </w:rPr>
        <w:t>伍诚工程咨询股份有限公司</w:t>
      </w:r>
      <w:r>
        <w:rPr>
          <w:rFonts w:hint="eastAsia"/>
          <w:sz w:val="24"/>
          <w:szCs w:val="24"/>
        </w:rPr>
        <w:t>。</w:t>
      </w:r>
    </w:p>
    <w:p>
      <w:pPr>
        <w:pStyle w:val="75"/>
        <w:tabs>
          <w:tab w:val="left" w:pos="1502"/>
        </w:tabs>
        <w:spacing w:before="0" w:line="360" w:lineRule="auto"/>
        <w:ind w:left="0" w:right="737" w:firstLine="482" w:firstLineChars="200"/>
        <w:jc w:val="both"/>
        <w:outlineLvl w:val="0"/>
        <w:rPr>
          <w:rFonts w:hint="eastAsia" w:ascii="宋体" w:hAnsi="宋体" w:eastAsia="宋体" w:cs="宋体"/>
          <w:b/>
          <w:color w:val="auto"/>
          <w:sz w:val="24"/>
          <w:szCs w:val="24"/>
        </w:rPr>
      </w:pPr>
      <w:bookmarkStart w:id="8" w:name="_Toc28671"/>
      <w:r>
        <w:rPr>
          <w:rFonts w:hint="eastAsia" w:ascii="宋体" w:hAnsi="宋体" w:eastAsia="宋体" w:cs="宋体"/>
          <w:b/>
          <w:color w:val="auto"/>
          <w:sz w:val="24"/>
          <w:szCs w:val="24"/>
        </w:rPr>
        <w:t>7.竞争性磋商文件的修改和澄清</w:t>
      </w:r>
      <w:bookmarkEnd w:id="8"/>
    </w:p>
    <w:p>
      <w:pPr>
        <w:spacing w:line="360" w:lineRule="auto"/>
        <w:ind w:firstLine="480" w:firstLineChars="200"/>
        <w:rPr>
          <w:rFonts w:hint="eastAsia"/>
          <w:color w:val="auto"/>
          <w:sz w:val="24"/>
          <w:szCs w:val="24"/>
          <w:lang w:eastAsia="zh-CN"/>
        </w:rPr>
      </w:pPr>
      <w:r>
        <w:rPr>
          <w:rFonts w:hint="eastAsia"/>
          <w:color w:val="auto"/>
          <w:sz w:val="24"/>
          <w:szCs w:val="24"/>
        </w:rPr>
        <w:t>7.1</w:t>
      </w:r>
      <w:r>
        <w:rPr>
          <w:rFonts w:hint="eastAsia"/>
          <w:color w:val="auto"/>
          <w:sz w:val="24"/>
          <w:szCs w:val="24"/>
          <w:lang w:val="en-US"/>
        </w:rPr>
        <w:t xml:space="preserve"> </w:t>
      </w:r>
      <w:r>
        <w:rPr>
          <w:rFonts w:hint="eastAsia"/>
          <w:color w:val="auto"/>
          <w:sz w:val="24"/>
          <w:szCs w:val="24"/>
        </w:rPr>
        <w:t>在磋商截止时间</w:t>
      </w:r>
      <w:r>
        <w:rPr>
          <w:rFonts w:hint="eastAsia"/>
          <w:color w:val="auto"/>
          <w:sz w:val="24"/>
          <w:szCs w:val="24"/>
          <w:lang w:val="en-US"/>
        </w:rPr>
        <w:t>3</w:t>
      </w:r>
      <w:r>
        <w:rPr>
          <w:rFonts w:hint="eastAsia"/>
          <w:color w:val="auto"/>
          <w:sz w:val="24"/>
          <w:szCs w:val="24"/>
        </w:rPr>
        <w:t>个工作日前，采购代理机构可以视采购具体情况，延长竞争性磋商响应文件递交截止时间和磋商时间并在财政部门指定的媒体上发布变更公告</w:t>
      </w:r>
      <w:r>
        <w:rPr>
          <w:rFonts w:hint="eastAsia"/>
          <w:color w:val="auto"/>
          <w:sz w:val="24"/>
          <w:szCs w:val="24"/>
          <w:lang w:eastAsia="zh-CN"/>
        </w:rPr>
        <w:t>。</w:t>
      </w:r>
    </w:p>
    <w:p>
      <w:pPr>
        <w:spacing w:line="360" w:lineRule="auto"/>
        <w:ind w:firstLine="480" w:firstLineChars="200"/>
        <w:rPr>
          <w:rFonts w:hint="eastAsia"/>
          <w:sz w:val="24"/>
          <w:szCs w:val="24"/>
        </w:rPr>
      </w:pPr>
      <w:r>
        <w:rPr>
          <w:rFonts w:hint="eastAsia"/>
          <w:color w:val="auto"/>
          <w:sz w:val="24"/>
          <w:szCs w:val="24"/>
        </w:rPr>
        <w:t>7.2</w:t>
      </w:r>
      <w:r>
        <w:rPr>
          <w:rFonts w:hint="eastAsia"/>
          <w:color w:val="auto"/>
          <w:sz w:val="24"/>
          <w:szCs w:val="24"/>
          <w:lang w:val="en-US"/>
        </w:rPr>
        <w:t xml:space="preserve"> </w:t>
      </w:r>
      <w:r>
        <w:rPr>
          <w:rFonts w:hint="eastAsia"/>
          <w:color w:val="auto"/>
          <w:sz w:val="24"/>
          <w:szCs w:val="24"/>
        </w:rPr>
        <w:t>竞争性磋商采购单位如果</w:t>
      </w:r>
      <w:r>
        <w:rPr>
          <w:rFonts w:hint="eastAsia"/>
          <w:sz w:val="24"/>
          <w:szCs w:val="24"/>
        </w:rPr>
        <w:t>对已发出的竞争性磋商文件进行必要的澄清或者修改，将在竞争性磋商文件要求提交竞争性磋商响应文件截止时间</w:t>
      </w:r>
      <w:r>
        <w:rPr>
          <w:rFonts w:hint="eastAsia"/>
          <w:sz w:val="24"/>
          <w:szCs w:val="24"/>
          <w:lang w:val="en-US"/>
        </w:rPr>
        <w:t>3个工作日</w:t>
      </w:r>
      <w:r>
        <w:rPr>
          <w:rFonts w:hint="eastAsia"/>
          <w:sz w:val="24"/>
          <w:szCs w:val="24"/>
        </w:rPr>
        <w:t>前，</w:t>
      </w:r>
      <w:r>
        <w:rPr>
          <w:rFonts w:hint="eastAsia"/>
          <w:sz w:val="24"/>
          <w:szCs w:val="24"/>
          <w:lang w:eastAsia="zh-CN"/>
        </w:rPr>
        <w:t>在</w:t>
      </w:r>
      <w:r>
        <w:rPr>
          <w:rFonts w:hint="eastAsia" w:ascii="Times New Roman" w:hAnsi="Times New Roman"/>
          <w:sz w:val="24"/>
          <w:szCs w:val="24"/>
          <w:lang w:val="en-US"/>
        </w:rPr>
        <w:t>原公告发布媒体上发布澄清公告</w:t>
      </w:r>
      <w:r>
        <w:rPr>
          <w:rFonts w:hint="eastAsia"/>
          <w:sz w:val="24"/>
          <w:szCs w:val="24"/>
        </w:rPr>
        <w:t>，</w:t>
      </w:r>
      <w:r>
        <w:rPr>
          <w:rFonts w:hint="eastAsia"/>
          <w:sz w:val="24"/>
          <w:szCs w:val="24"/>
          <w:lang w:val="en-US"/>
        </w:rPr>
        <w:t>不足3个工作日的，应当顺延提交竞争性磋商响应文件截止时间。</w:t>
      </w:r>
      <w:r>
        <w:rPr>
          <w:rFonts w:hint="eastAsia"/>
          <w:sz w:val="24"/>
          <w:szCs w:val="24"/>
        </w:rPr>
        <w:t>该澄清或者修改的内容为竞争性磋商文件的组成部分。</w:t>
      </w:r>
    </w:p>
    <w:p>
      <w:pPr>
        <w:spacing w:line="360" w:lineRule="auto"/>
        <w:ind w:firstLine="480" w:firstLineChars="200"/>
        <w:rPr>
          <w:rFonts w:hint="eastAsia"/>
          <w:sz w:val="24"/>
          <w:szCs w:val="24"/>
        </w:rPr>
      </w:pPr>
      <w:r>
        <w:rPr>
          <w:rFonts w:hint="eastAsia"/>
          <w:sz w:val="24"/>
          <w:szCs w:val="24"/>
        </w:rPr>
        <w:t>7.3 已经购买竞争性磋商文件的供应商对竞争性磋商文件有疑问的，均应在磋商截止日期2日</w:t>
      </w:r>
      <w:r>
        <w:rPr>
          <w:rFonts w:hint="eastAsia"/>
          <w:color w:val="auto"/>
          <w:sz w:val="24"/>
          <w:szCs w:val="24"/>
        </w:rPr>
        <w:t>前以书面形式向采购代理机构提出。采购代理机构视情况必要时将书面答复</w:t>
      </w:r>
      <w:r>
        <w:rPr>
          <w:rFonts w:hint="eastAsia"/>
          <w:sz w:val="24"/>
          <w:szCs w:val="24"/>
        </w:rPr>
        <w:t>传送给每个购买竞争性磋商文件的供应商。对文件中有关表述不准确或难以理解或有疑义的内容，各供应商应及时与有关部门人员联系；否则，因此带来的一切不利后果由各供应商自负。</w:t>
      </w:r>
    </w:p>
    <w:p>
      <w:pPr>
        <w:spacing w:line="360" w:lineRule="auto"/>
        <w:ind w:firstLine="480" w:firstLineChars="200"/>
        <w:rPr>
          <w:rFonts w:hint="eastAsia"/>
          <w:sz w:val="24"/>
          <w:szCs w:val="24"/>
          <w:lang w:val="en-US"/>
        </w:rPr>
      </w:pPr>
      <w:r>
        <w:rPr>
          <w:rFonts w:hint="eastAsia"/>
          <w:sz w:val="24"/>
          <w:szCs w:val="24"/>
        </w:rPr>
        <w:t>7.4</w:t>
      </w:r>
      <w:r>
        <w:rPr>
          <w:rFonts w:hint="eastAsia"/>
          <w:sz w:val="24"/>
          <w:szCs w:val="24"/>
          <w:lang w:val="en-US"/>
        </w:rPr>
        <w:t xml:space="preserve"> </w:t>
      </w:r>
      <w:r>
        <w:rPr>
          <w:rFonts w:hint="eastAsia"/>
          <w:sz w:val="24"/>
          <w:szCs w:val="24"/>
        </w:rPr>
        <w:t>供应商在收到上述通知后，应立即向采购代理机构回函确认。如在</w:t>
      </w:r>
      <w:r>
        <w:rPr>
          <w:rFonts w:hint="eastAsia"/>
          <w:sz w:val="24"/>
          <w:szCs w:val="24"/>
          <w:lang w:val="en-US"/>
        </w:rPr>
        <w:t>24小时之内无书面回函则视为同意修改或澄清内容。</w:t>
      </w:r>
    </w:p>
    <w:p>
      <w:pPr>
        <w:spacing w:line="360" w:lineRule="auto"/>
        <w:ind w:firstLine="480" w:firstLineChars="200"/>
        <w:rPr>
          <w:rFonts w:hint="eastAsia"/>
          <w:b/>
          <w:bCs/>
          <w:sz w:val="24"/>
          <w:szCs w:val="24"/>
        </w:rPr>
      </w:pPr>
      <w:r>
        <w:rPr>
          <w:rFonts w:hint="eastAsia"/>
          <w:sz w:val="24"/>
          <w:szCs w:val="24"/>
          <w:lang w:val="en-US" w:eastAsia="zh-CN"/>
        </w:rPr>
        <w:t>7.5</w:t>
      </w:r>
      <w:r>
        <w:rPr>
          <w:rFonts w:hint="eastAsia"/>
          <w:sz w:val="24"/>
          <w:szCs w:val="24"/>
        </w:rPr>
        <w:t>各供应商在提交响应文件截止时间之前，应随时关注下列地址发布的变更公告，也可登录全国公共资源交易平台（陕西省）政府采购交易系统查看左上角的信息提醒，</w:t>
      </w:r>
      <w:r>
        <w:rPr>
          <w:rFonts w:hint="eastAsia"/>
          <w:sz w:val="24"/>
          <w:szCs w:val="24"/>
          <w:lang w:eastAsia="zh-CN"/>
        </w:rPr>
        <w:t>采购代理机构</w:t>
      </w:r>
      <w:r>
        <w:rPr>
          <w:rFonts w:hint="eastAsia"/>
          <w:b/>
          <w:bCs/>
          <w:sz w:val="24"/>
          <w:szCs w:val="24"/>
        </w:rPr>
        <w:t>不再单独通知</w:t>
      </w:r>
      <w:r>
        <w:rPr>
          <w:rFonts w:hint="eastAsia"/>
          <w:sz w:val="24"/>
          <w:szCs w:val="24"/>
        </w:rPr>
        <w:t>，</w:t>
      </w:r>
      <w:r>
        <w:rPr>
          <w:rFonts w:hint="eastAsia"/>
          <w:b/>
          <w:bCs/>
          <w:sz w:val="24"/>
          <w:szCs w:val="24"/>
        </w:rPr>
        <w:t>因供应商未及时关注所造成的一切后果由供应商自行承担：</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36"/>
          <w:rFonts w:hint="eastAsia" w:ascii="宋体" w:hAnsi="宋体" w:eastAsia="宋体" w:cs="宋体"/>
          <w:color w:val="auto"/>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（www.ccgp-shaanxi.gov.cn）】中的〖首页·〉省级公告·〉更正公告〗；</w:t>
      </w:r>
    </w:p>
    <w:p>
      <w:pPr>
        <w:spacing w:line="500" w:lineRule="exact"/>
        <w:ind w:firstLine="480" w:firstLineChars="200"/>
        <w:rPr>
          <w:rFonts w:hint="eastAsia"/>
        </w:rPr>
      </w:pPr>
      <w:r>
        <w:rPr>
          <w:rFonts w:hint="eastAsia" w:ascii="宋体" w:hAnsi="宋体" w:eastAsia="宋体" w:cs="宋体"/>
          <w:sz w:val="24"/>
          <w:szCs w:val="24"/>
        </w:rPr>
        <w:t>（2）【全国公共资源交易平台（陕西省）（http://www.sxggzyjy.cn/）】中的〖首页·〉交易大厅·〉政府采购〗。</w:t>
      </w:r>
    </w:p>
    <w:p>
      <w:pPr>
        <w:pStyle w:val="7"/>
        <w:tabs>
          <w:tab w:val="left" w:pos="962"/>
        </w:tabs>
        <w:spacing w:line="360" w:lineRule="auto"/>
        <w:ind w:left="0"/>
        <w:jc w:val="center"/>
        <w:rPr>
          <w:rFonts w:hint="eastAsia" w:ascii="宋体" w:hAnsi="宋体" w:eastAsia="宋体" w:cs="宋体"/>
          <w:sz w:val="28"/>
          <w:szCs w:val="28"/>
        </w:rPr>
      </w:pPr>
      <w:r>
        <w:rPr>
          <w:rFonts w:hint="eastAsia" w:ascii="宋体" w:hAnsi="宋体" w:eastAsia="宋体" w:cs="宋体"/>
          <w:sz w:val="28"/>
          <w:szCs w:val="28"/>
        </w:rPr>
        <w:t>三.磋商响应文件的编制</w:t>
      </w:r>
    </w:p>
    <w:p>
      <w:pPr>
        <w:pStyle w:val="7"/>
        <w:tabs>
          <w:tab w:val="left" w:pos="962"/>
        </w:tabs>
        <w:spacing w:line="360" w:lineRule="auto"/>
        <w:ind w:left="0" w:firstLine="470" w:firstLineChars="200"/>
        <w:outlineLvl w:val="0"/>
        <w:rPr>
          <w:rFonts w:hint="eastAsia" w:ascii="宋体" w:hAnsi="宋体" w:eastAsia="宋体" w:cs="宋体"/>
          <w:spacing w:val="-3"/>
        </w:rPr>
      </w:pPr>
      <w:bookmarkStart w:id="9" w:name="_Toc11482"/>
      <w:r>
        <w:rPr>
          <w:rFonts w:hint="eastAsia" w:ascii="宋体" w:hAnsi="宋体" w:eastAsia="宋体" w:cs="宋体"/>
          <w:spacing w:val="-3"/>
          <w:lang w:val="en-US"/>
        </w:rPr>
        <w:t xml:space="preserve">8. </w:t>
      </w:r>
      <w:r>
        <w:rPr>
          <w:rFonts w:hint="eastAsia" w:ascii="宋体" w:hAnsi="宋体" w:eastAsia="宋体" w:cs="宋体"/>
          <w:spacing w:val="-3"/>
        </w:rPr>
        <w:t>磋商语言和磋商货币</w:t>
      </w:r>
      <w:bookmarkEnd w:id="9"/>
    </w:p>
    <w:p>
      <w:pPr>
        <w:spacing w:line="360" w:lineRule="auto"/>
        <w:ind w:firstLine="480" w:firstLineChars="200"/>
        <w:rPr>
          <w:rFonts w:hint="eastAsia"/>
          <w:sz w:val="24"/>
          <w:szCs w:val="24"/>
          <w:lang w:val="en-US"/>
        </w:rPr>
      </w:pPr>
      <w:r>
        <w:rPr>
          <w:rFonts w:hint="eastAsia"/>
          <w:sz w:val="24"/>
          <w:szCs w:val="24"/>
          <w:lang w:val="en-US"/>
        </w:rPr>
        <w:t>8.1 供应商提交的竞争性磋商响应文件以及供应商与采购代理机构就有关磋商的所有来往函电均应使用中文。</w:t>
      </w:r>
    </w:p>
    <w:p>
      <w:pPr>
        <w:spacing w:line="360" w:lineRule="auto"/>
        <w:ind w:firstLine="480" w:firstLineChars="200"/>
        <w:rPr>
          <w:rFonts w:hint="eastAsia"/>
          <w:sz w:val="24"/>
          <w:szCs w:val="24"/>
          <w:lang w:val="en-US"/>
        </w:rPr>
      </w:pPr>
      <w:r>
        <w:rPr>
          <w:rFonts w:hint="eastAsia"/>
          <w:sz w:val="24"/>
          <w:szCs w:val="24"/>
          <w:lang w:val="en-US"/>
        </w:rPr>
        <w:t>8.2 磋商应以人民币报价。任何包含非人民币报价的磋商将按无效磋商处理。</w:t>
      </w:r>
    </w:p>
    <w:p>
      <w:pPr>
        <w:pStyle w:val="7"/>
        <w:tabs>
          <w:tab w:val="left" w:pos="962"/>
        </w:tabs>
        <w:spacing w:line="360" w:lineRule="auto"/>
        <w:ind w:left="0" w:firstLine="470" w:firstLineChars="200"/>
        <w:outlineLvl w:val="0"/>
        <w:rPr>
          <w:rFonts w:hint="eastAsia" w:ascii="宋体" w:hAnsi="宋体" w:eastAsia="宋体" w:cs="宋体"/>
          <w:spacing w:val="-3"/>
        </w:rPr>
      </w:pPr>
      <w:bookmarkStart w:id="10" w:name="_Toc27812"/>
      <w:r>
        <w:rPr>
          <w:rFonts w:hint="eastAsia" w:ascii="宋体" w:hAnsi="宋体" w:eastAsia="宋体" w:cs="宋体"/>
          <w:spacing w:val="-3"/>
          <w:lang w:val="en-US"/>
        </w:rPr>
        <w:t>9.</w:t>
      </w:r>
      <w:r>
        <w:rPr>
          <w:rFonts w:hint="eastAsia" w:ascii="宋体" w:hAnsi="宋体" w:eastAsia="宋体" w:cs="宋体"/>
          <w:spacing w:val="-3"/>
        </w:rPr>
        <w:t>竞争性磋商响应文件的构成</w:t>
      </w:r>
      <w:bookmarkEnd w:id="10"/>
    </w:p>
    <w:p>
      <w:pPr>
        <w:spacing w:line="360" w:lineRule="auto"/>
        <w:ind w:firstLine="480" w:firstLineChars="200"/>
        <w:rPr>
          <w:rFonts w:hint="eastAsia"/>
          <w:sz w:val="24"/>
          <w:szCs w:val="24"/>
        </w:rPr>
      </w:pPr>
      <w:r>
        <w:rPr>
          <w:rFonts w:hint="eastAsia"/>
          <w:sz w:val="24"/>
          <w:szCs w:val="24"/>
          <w:lang w:val="en-US"/>
        </w:rPr>
        <w:t xml:space="preserve">9.1 </w:t>
      </w:r>
      <w:r>
        <w:rPr>
          <w:rFonts w:hint="eastAsia"/>
          <w:sz w:val="24"/>
          <w:szCs w:val="24"/>
        </w:rPr>
        <w:t>供应商提交的竞争性磋商响应文件应包含下列部分的内容：</w:t>
      </w:r>
    </w:p>
    <w:p>
      <w:pPr>
        <w:spacing w:line="360" w:lineRule="auto"/>
        <w:ind w:firstLine="480" w:firstLineChars="200"/>
        <w:rPr>
          <w:rFonts w:hint="eastAsia"/>
          <w:sz w:val="24"/>
          <w:szCs w:val="24"/>
        </w:rPr>
      </w:pPr>
      <w:r>
        <w:rPr>
          <w:rFonts w:hint="eastAsia"/>
          <w:sz w:val="24"/>
          <w:szCs w:val="24"/>
          <w:lang w:val="en-US"/>
        </w:rPr>
        <w:t xml:space="preserve">1) </w:t>
      </w:r>
      <w:r>
        <w:rPr>
          <w:rFonts w:hint="eastAsia"/>
          <w:sz w:val="24"/>
          <w:szCs w:val="24"/>
        </w:rPr>
        <w:t>按照供应商须知的要求和竞争性磋商文件规定格式填写的竞争性磋商函、磋商报价表、法定代表人授权委托书。</w:t>
      </w:r>
    </w:p>
    <w:p>
      <w:pPr>
        <w:spacing w:line="360" w:lineRule="auto"/>
        <w:ind w:firstLine="480" w:firstLineChars="200"/>
        <w:rPr>
          <w:rFonts w:hint="eastAsia"/>
          <w:sz w:val="24"/>
          <w:szCs w:val="24"/>
        </w:rPr>
      </w:pPr>
      <w:r>
        <w:rPr>
          <w:rFonts w:hint="eastAsia"/>
          <w:sz w:val="24"/>
          <w:szCs w:val="24"/>
          <w:lang w:val="en-US"/>
        </w:rPr>
        <w:t xml:space="preserve">2) </w:t>
      </w:r>
      <w:r>
        <w:rPr>
          <w:rFonts w:hint="eastAsia"/>
          <w:sz w:val="24"/>
          <w:szCs w:val="24"/>
        </w:rPr>
        <w:t>按照竞争性磋商文件的要求编制的磋商响应方案说明书。</w:t>
      </w:r>
    </w:p>
    <w:p>
      <w:pPr>
        <w:spacing w:line="360" w:lineRule="auto"/>
        <w:ind w:firstLine="480" w:firstLineChars="200"/>
        <w:rPr>
          <w:rFonts w:hint="eastAsia"/>
          <w:sz w:val="24"/>
          <w:szCs w:val="24"/>
        </w:rPr>
      </w:pPr>
      <w:r>
        <w:rPr>
          <w:rFonts w:hint="eastAsia"/>
          <w:sz w:val="24"/>
          <w:szCs w:val="24"/>
          <w:lang w:val="en-US"/>
        </w:rPr>
        <w:t xml:space="preserve">3) </w:t>
      </w:r>
      <w:r>
        <w:rPr>
          <w:rFonts w:hint="eastAsia"/>
          <w:sz w:val="24"/>
          <w:szCs w:val="24"/>
        </w:rPr>
        <w:t>按照竞争性磋商文件供应商须知前附表的要求提交的资格证明文件。</w:t>
      </w:r>
    </w:p>
    <w:p>
      <w:pPr>
        <w:spacing w:line="360" w:lineRule="auto"/>
        <w:ind w:firstLine="480" w:firstLineChars="200"/>
        <w:rPr>
          <w:rFonts w:hint="eastAsia"/>
          <w:sz w:val="24"/>
          <w:szCs w:val="24"/>
        </w:rPr>
      </w:pPr>
      <w:r>
        <w:rPr>
          <w:rFonts w:hint="eastAsia"/>
          <w:sz w:val="24"/>
          <w:szCs w:val="24"/>
          <w:lang w:val="en-US"/>
        </w:rPr>
        <w:t>4）</w:t>
      </w:r>
      <w:r>
        <w:rPr>
          <w:rFonts w:hint="eastAsia"/>
          <w:sz w:val="24"/>
          <w:szCs w:val="24"/>
        </w:rPr>
        <w:t>按照竞争性磋商文件供应商须知前附表的</w:t>
      </w:r>
      <w:r>
        <w:rPr>
          <w:rFonts w:hint="eastAsia"/>
          <w:color w:val="auto"/>
          <w:sz w:val="24"/>
          <w:szCs w:val="24"/>
        </w:rPr>
        <w:t>要</w:t>
      </w:r>
      <w:r>
        <w:rPr>
          <w:rFonts w:hint="eastAsia"/>
          <w:sz w:val="24"/>
          <w:szCs w:val="24"/>
        </w:rPr>
        <w:t>求提交的磋商保证金。</w:t>
      </w:r>
    </w:p>
    <w:p>
      <w:pPr>
        <w:spacing w:line="360" w:lineRule="auto"/>
        <w:ind w:firstLine="480" w:firstLineChars="200"/>
        <w:rPr>
          <w:rFonts w:hint="eastAsia"/>
          <w:sz w:val="24"/>
          <w:szCs w:val="24"/>
        </w:rPr>
      </w:pPr>
      <w:r>
        <w:rPr>
          <w:rFonts w:hint="eastAsia"/>
          <w:sz w:val="24"/>
          <w:szCs w:val="24"/>
          <w:lang w:val="en-US"/>
        </w:rPr>
        <w:t>5）</w:t>
      </w:r>
      <w:r>
        <w:rPr>
          <w:rFonts w:hint="eastAsia"/>
          <w:sz w:val="24"/>
          <w:szCs w:val="24"/>
        </w:rPr>
        <w:t>竞争磋商文件中要求的其他证明文件。</w:t>
      </w:r>
    </w:p>
    <w:p>
      <w:pPr>
        <w:spacing w:line="360" w:lineRule="auto"/>
        <w:ind w:firstLine="480" w:firstLineChars="200"/>
        <w:rPr>
          <w:rFonts w:hint="eastAsia"/>
          <w:sz w:val="24"/>
          <w:szCs w:val="24"/>
        </w:rPr>
      </w:pPr>
      <w:r>
        <w:rPr>
          <w:rFonts w:hint="eastAsia"/>
          <w:sz w:val="24"/>
          <w:szCs w:val="24"/>
          <w:lang w:val="en-US"/>
        </w:rPr>
        <w:t xml:space="preserve">9.2 </w:t>
      </w:r>
      <w:r>
        <w:rPr>
          <w:rFonts w:hint="eastAsia"/>
          <w:sz w:val="24"/>
          <w:szCs w:val="24"/>
        </w:rPr>
        <w:t>如果在竞争性磋商文件中没有允许提供备选方案，则每个供应商只允许提交一个磋商响应方案，否则，其磋商将按照无效磋商处理。</w:t>
      </w:r>
    </w:p>
    <w:p>
      <w:pPr>
        <w:spacing w:line="360" w:lineRule="auto"/>
        <w:ind w:firstLine="480" w:firstLineChars="200"/>
        <w:rPr>
          <w:rFonts w:hint="eastAsia"/>
          <w:sz w:val="24"/>
          <w:szCs w:val="24"/>
        </w:rPr>
      </w:pPr>
      <w:r>
        <w:rPr>
          <w:rFonts w:hint="eastAsia"/>
          <w:sz w:val="24"/>
          <w:szCs w:val="24"/>
          <w:lang w:val="en-US"/>
        </w:rPr>
        <w:t xml:space="preserve">9.3 </w:t>
      </w:r>
      <w:r>
        <w:rPr>
          <w:rFonts w:hint="eastAsia"/>
          <w:sz w:val="24"/>
          <w:szCs w:val="24"/>
        </w:rPr>
        <w:t>本次磋商的最小单元为“项目”，供应商可根据自身的资质情况和经营范围对本次项目进行磋商，不得将其子目再行分解或只对本次项目中的品目进行不完全磋商，任何不完全的响应将会被拒绝。</w:t>
      </w:r>
    </w:p>
    <w:p>
      <w:pPr>
        <w:pStyle w:val="75"/>
        <w:tabs>
          <w:tab w:val="left" w:pos="1502"/>
        </w:tabs>
        <w:spacing w:before="0" w:line="360" w:lineRule="auto"/>
        <w:ind w:left="0" w:right="737" w:firstLine="470" w:firstLineChars="200"/>
        <w:jc w:val="both"/>
        <w:outlineLvl w:val="0"/>
        <w:rPr>
          <w:rFonts w:hint="eastAsia" w:ascii="宋体" w:hAnsi="宋体" w:eastAsia="宋体" w:cs="宋体"/>
          <w:b/>
          <w:bCs/>
          <w:spacing w:val="-3"/>
          <w:sz w:val="24"/>
          <w:szCs w:val="24"/>
        </w:rPr>
      </w:pPr>
      <w:bookmarkStart w:id="11" w:name="_Toc18857"/>
      <w:r>
        <w:rPr>
          <w:rFonts w:hint="eastAsia" w:ascii="宋体" w:hAnsi="宋体" w:eastAsia="宋体" w:cs="宋体"/>
          <w:b/>
          <w:bCs/>
          <w:spacing w:val="-3"/>
          <w:sz w:val="24"/>
          <w:szCs w:val="24"/>
          <w:lang w:val="en-US"/>
        </w:rPr>
        <w:t>10.</w:t>
      </w:r>
      <w:r>
        <w:rPr>
          <w:rFonts w:hint="eastAsia" w:ascii="宋体" w:hAnsi="宋体" w:eastAsia="宋体" w:cs="宋体"/>
          <w:b/>
          <w:bCs/>
          <w:spacing w:val="-3"/>
          <w:sz w:val="24"/>
          <w:szCs w:val="24"/>
        </w:rPr>
        <w:t>竞争性磋商响应文件格式</w:t>
      </w:r>
      <w:bookmarkEnd w:id="11"/>
    </w:p>
    <w:p>
      <w:pPr>
        <w:spacing w:line="360" w:lineRule="auto"/>
        <w:ind w:firstLine="480" w:firstLineChars="200"/>
        <w:rPr>
          <w:rFonts w:hint="eastAsia"/>
          <w:sz w:val="24"/>
          <w:szCs w:val="24"/>
          <w:lang w:val="en-US"/>
        </w:rPr>
      </w:pPr>
      <w:r>
        <w:rPr>
          <w:rFonts w:hint="eastAsia"/>
          <w:sz w:val="24"/>
          <w:szCs w:val="24"/>
          <w:lang w:val="en-US"/>
        </w:rPr>
        <w:t>10.1 供应商应按照竞争性磋商文件中第六章“竞争性磋商响应文件格式及构成”所提供的格式和要求制作竞争性磋商响应文件，明确表达磋商意愿，详细说明磋商响应方案、承诺及价格。</w:t>
      </w:r>
    </w:p>
    <w:p>
      <w:pPr>
        <w:spacing w:line="360" w:lineRule="auto"/>
        <w:ind w:firstLine="480" w:firstLineChars="200"/>
        <w:rPr>
          <w:rFonts w:hint="eastAsia" w:ascii="宋体" w:hAnsi="宋体" w:eastAsia="宋体" w:cs="宋体"/>
          <w:sz w:val="24"/>
        </w:rPr>
      </w:pPr>
      <w:r>
        <w:rPr>
          <w:rFonts w:hint="eastAsia"/>
          <w:sz w:val="24"/>
          <w:szCs w:val="24"/>
          <w:lang w:val="en-US"/>
        </w:rPr>
        <w:t xml:space="preserve">10.2 </w:t>
      </w:r>
      <w:r>
        <w:rPr>
          <w:rFonts w:hint="eastAsia"/>
          <w:sz w:val="24"/>
          <w:szCs w:val="24"/>
        </w:rPr>
        <w:t>按竞争性磋商文件第 9 条的内容及要求和第六章提供的格式和要求编写其竞争性磋商响应文件，供应商不得缺少或留空任何竞争性磋商文件要求填写的表格或提交的资料。</w:t>
      </w:r>
    </w:p>
    <w:p>
      <w:pPr>
        <w:pStyle w:val="75"/>
        <w:tabs>
          <w:tab w:val="left" w:pos="1502"/>
        </w:tabs>
        <w:spacing w:before="0" w:line="360" w:lineRule="auto"/>
        <w:ind w:left="0" w:right="737" w:firstLine="470" w:firstLineChars="200"/>
        <w:jc w:val="both"/>
        <w:outlineLvl w:val="0"/>
        <w:rPr>
          <w:rFonts w:hint="eastAsia" w:ascii="宋体" w:hAnsi="宋体" w:eastAsia="宋体" w:cs="宋体"/>
          <w:b/>
          <w:bCs/>
          <w:spacing w:val="-3"/>
          <w:sz w:val="24"/>
          <w:szCs w:val="24"/>
        </w:rPr>
      </w:pPr>
      <w:bookmarkStart w:id="12" w:name="_Toc7964"/>
      <w:r>
        <w:rPr>
          <w:rFonts w:hint="eastAsia" w:ascii="宋体" w:hAnsi="宋体" w:eastAsia="宋体" w:cs="宋体"/>
          <w:b/>
          <w:bCs/>
          <w:spacing w:val="-3"/>
          <w:sz w:val="24"/>
          <w:szCs w:val="24"/>
          <w:lang w:val="en-US"/>
        </w:rPr>
        <w:t>11.</w:t>
      </w:r>
      <w:r>
        <w:rPr>
          <w:rFonts w:hint="eastAsia" w:ascii="宋体" w:hAnsi="宋体" w:eastAsia="宋体" w:cs="宋体"/>
          <w:b/>
          <w:bCs/>
          <w:spacing w:val="-3"/>
          <w:sz w:val="24"/>
          <w:szCs w:val="24"/>
        </w:rPr>
        <w:t>磋商报价</w:t>
      </w:r>
      <w:bookmarkEnd w:id="12"/>
    </w:p>
    <w:p>
      <w:pPr>
        <w:spacing w:line="360" w:lineRule="auto"/>
        <w:rPr>
          <w:rFonts w:hint="eastAsia"/>
          <w:sz w:val="24"/>
          <w:szCs w:val="24"/>
          <w:lang w:val="en-US"/>
        </w:rPr>
      </w:pP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11.1</w:t>
      </w:r>
      <w:r>
        <w:rPr>
          <w:rFonts w:hint="eastAsia"/>
          <w:color w:val="auto"/>
          <w:sz w:val="24"/>
          <w:szCs w:val="24"/>
          <w:lang w:val="en-US"/>
        </w:rPr>
        <w:t>磋商报价</w:t>
      </w:r>
      <w:r>
        <w:rPr>
          <w:rFonts w:hint="eastAsia" w:ascii="宋体" w:hAnsi="宋体"/>
          <w:color w:val="auto"/>
          <w:sz w:val="24"/>
        </w:rPr>
        <w:t>是</w:t>
      </w:r>
      <w:r>
        <w:rPr>
          <w:rFonts w:hint="eastAsia" w:ascii="宋体" w:hAnsi="宋体"/>
          <w:sz w:val="24"/>
        </w:rPr>
        <w:t>投标单位响应招标项目要求的全部工作内容的价格体现，包括完成采购内容所需的直接费、间接费、利润、税金及其它相关的一切费用。投标单位在报价时应充分考虑所有可能发生的费用，招标文件未列明，而投标单位认为应当计取的费用均应列入报价中。报价时不论是否计取，采购人均按已计取对待。</w:t>
      </w:r>
      <w:r>
        <w:rPr>
          <w:rFonts w:hint="eastAsia"/>
          <w:sz w:val="24"/>
          <w:szCs w:val="24"/>
          <w:lang w:val="en-US"/>
        </w:rPr>
        <w:t>供应商在成交并签署合同后，服务期限内出现的任何遗漏，均由成交供应商负责，采购人将不再支付任何费用。</w:t>
      </w:r>
    </w:p>
    <w:p>
      <w:pPr>
        <w:spacing w:line="360" w:lineRule="auto"/>
        <w:ind w:firstLine="480" w:firstLineChars="200"/>
        <w:rPr>
          <w:rFonts w:hint="eastAsia"/>
          <w:sz w:val="24"/>
          <w:szCs w:val="24"/>
          <w:lang w:val="en-US"/>
        </w:rPr>
      </w:pPr>
      <w:r>
        <w:rPr>
          <w:rFonts w:hint="eastAsia"/>
          <w:sz w:val="24"/>
          <w:szCs w:val="24"/>
          <w:lang w:val="en-US"/>
        </w:rPr>
        <w:t>11.</w:t>
      </w:r>
      <w:r>
        <w:rPr>
          <w:rFonts w:hint="eastAsia"/>
          <w:sz w:val="24"/>
          <w:szCs w:val="24"/>
          <w:lang w:val="en-US" w:eastAsia="zh-CN"/>
        </w:rPr>
        <w:t>2</w:t>
      </w:r>
      <w:r>
        <w:rPr>
          <w:rFonts w:hint="eastAsia"/>
          <w:sz w:val="24"/>
          <w:szCs w:val="24"/>
          <w:lang w:val="en-US"/>
        </w:rPr>
        <w:t>磋商报价表中标明的价格应为履行合同的固定价格，不得以任何理由予以变更。以可调整的价格提交的竞争性磋商响应文件将按无效磋商响应文件处理。</w:t>
      </w:r>
    </w:p>
    <w:p>
      <w:pPr>
        <w:spacing w:line="360" w:lineRule="auto"/>
        <w:ind w:firstLine="480" w:firstLineChars="200"/>
        <w:rPr>
          <w:rFonts w:hint="eastAsia"/>
          <w:sz w:val="24"/>
          <w:szCs w:val="24"/>
          <w:lang w:val="en-US"/>
        </w:rPr>
      </w:pPr>
      <w:r>
        <w:rPr>
          <w:rFonts w:hint="eastAsia"/>
          <w:sz w:val="24"/>
          <w:szCs w:val="24"/>
          <w:lang w:val="en-US"/>
        </w:rPr>
        <w:t>11.</w:t>
      </w:r>
      <w:r>
        <w:rPr>
          <w:rFonts w:hint="eastAsia"/>
          <w:sz w:val="24"/>
          <w:szCs w:val="24"/>
          <w:lang w:val="en-US" w:eastAsia="zh-CN"/>
        </w:rPr>
        <w:t>2</w:t>
      </w:r>
      <w:r>
        <w:rPr>
          <w:rFonts w:hint="eastAsia"/>
          <w:sz w:val="24"/>
          <w:szCs w:val="24"/>
          <w:lang w:val="en-US"/>
        </w:rPr>
        <w:t xml:space="preserve"> 磋商报价：精确到小数点后二位。</w:t>
      </w:r>
    </w:p>
    <w:p>
      <w:pPr>
        <w:spacing w:line="360" w:lineRule="auto"/>
        <w:ind w:firstLine="470" w:firstLineChars="200"/>
        <w:outlineLvl w:val="0"/>
        <w:rPr>
          <w:rFonts w:hint="eastAsia" w:ascii="宋体" w:hAnsi="宋体" w:eastAsia="宋体" w:cs="宋体"/>
          <w:b/>
          <w:bCs/>
          <w:spacing w:val="-3"/>
          <w:sz w:val="24"/>
          <w:szCs w:val="24"/>
        </w:rPr>
      </w:pPr>
      <w:bookmarkStart w:id="13" w:name="_Toc21548"/>
      <w:r>
        <w:rPr>
          <w:rFonts w:hint="eastAsia" w:ascii="宋体" w:hAnsi="宋体" w:eastAsia="宋体" w:cs="宋体"/>
          <w:b/>
          <w:bCs/>
          <w:spacing w:val="-3"/>
          <w:sz w:val="24"/>
          <w:szCs w:val="24"/>
        </w:rPr>
        <w:t>12.证明供应商合格的资格证明文件</w:t>
      </w:r>
      <w:bookmarkEnd w:id="13"/>
    </w:p>
    <w:p>
      <w:pPr>
        <w:spacing w:line="360" w:lineRule="auto"/>
        <w:ind w:firstLine="480" w:firstLineChars="200"/>
        <w:rPr>
          <w:rFonts w:hint="eastAsia"/>
          <w:sz w:val="24"/>
          <w:szCs w:val="24"/>
          <w:lang w:val="en-US"/>
        </w:rPr>
      </w:pPr>
      <w:r>
        <w:rPr>
          <w:rFonts w:hint="eastAsia"/>
          <w:sz w:val="24"/>
          <w:szCs w:val="24"/>
          <w:lang w:val="en-US"/>
        </w:rPr>
        <w:t>12.1供应商应按照竞争性磋商文件供应商须知前附表的要求，在竞争性磋商响应文件中提交合格的资格证明文件。如果资格证明文件不全或不合格的，其磋商响应文件将被作无效文件处理。</w:t>
      </w:r>
    </w:p>
    <w:p>
      <w:pPr>
        <w:spacing w:line="360" w:lineRule="auto"/>
        <w:ind w:firstLine="482" w:firstLineChars="200"/>
        <w:outlineLvl w:val="0"/>
        <w:rPr>
          <w:rFonts w:hint="eastAsia" w:ascii="宋体" w:hAnsi="宋体" w:eastAsia="宋体" w:cs="宋体"/>
          <w:b/>
          <w:sz w:val="24"/>
          <w:szCs w:val="24"/>
        </w:rPr>
      </w:pPr>
      <w:bookmarkStart w:id="14" w:name="_Toc25582"/>
      <w:r>
        <w:rPr>
          <w:rFonts w:hint="eastAsia" w:ascii="宋体" w:hAnsi="宋体" w:eastAsia="宋体" w:cs="宋体"/>
          <w:b/>
          <w:sz w:val="24"/>
          <w:szCs w:val="24"/>
        </w:rPr>
        <w:t>13.证明的合格性和符合竞争性磋商文件规定的文件</w:t>
      </w:r>
      <w:bookmarkEnd w:id="14"/>
    </w:p>
    <w:p>
      <w:pPr>
        <w:spacing w:line="360" w:lineRule="auto"/>
        <w:ind w:firstLine="480" w:firstLineChars="200"/>
        <w:rPr>
          <w:rFonts w:hint="eastAsia"/>
          <w:sz w:val="24"/>
          <w:szCs w:val="24"/>
          <w:lang w:val="en-US"/>
        </w:rPr>
      </w:pPr>
      <w:r>
        <w:rPr>
          <w:rFonts w:hint="eastAsia"/>
          <w:sz w:val="24"/>
          <w:szCs w:val="24"/>
          <w:lang w:val="en-US"/>
        </w:rPr>
        <w:t>13.1供应商应按照磋商文件“供应商须知前附表”的要求，在磋商文件中提交合格的资格证明文件。如果资格证明文件不全或不合格的，其磋商将按无效磋商处理。</w:t>
      </w:r>
    </w:p>
    <w:p>
      <w:pPr>
        <w:spacing w:line="360" w:lineRule="auto"/>
        <w:ind w:firstLine="480" w:firstLineChars="200"/>
        <w:rPr>
          <w:rFonts w:hint="eastAsia" w:ascii="宋体" w:hAnsi="宋体" w:eastAsia="宋体" w:cs="宋体"/>
          <w:sz w:val="24"/>
          <w:szCs w:val="24"/>
          <w:lang w:val="en-US" w:eastAsia="zh-CN"/>
        </w:rPr>
      </w:pPr>
      <w:r>
        <w:rPr>
          <w:rFonts w:hint="eastAsia"/>
          <w:sz w:val="24"/>
          <w:szCs w:val="24"/>
          <w:lang w:val="en-US"/>
        </w:rPr>
        <w:t>13.2上述证明文件可以是文字资料、图纸、图片和数据</w:t>
      </w:r>
      <w:r>
        <w:rPr>
          <w:rFonts w:hint="eastAsia"/>
          <w:sz w:val="24"/>
          <w:szCs w:val="24"/>
          <w:lang w:val="en-US" w:eastAsia="zh-CN"/>
        </w:rPr>
        <w:t>。</w:t>
      </w:r>
    </w:p>
    <w:p>
      <w:pPr>
        <w:spacing w:line="360" w:lineRule="auto"/>
        <w:ind w:firstLine="470" w:firstLineChars="200"/>
        <w:outlineLvl w:val="0"/>
        <w:rPr>
          <w:rFonts w:hint="eastAsia" w:ascii="宋体" w:hAnsi="宋体" w:eastAsia="宋体" w:cs="宋体"/>
          <w:b/>
          <w:bCs/>
          <w:spacing w:val="-3"/>
          <w:sz w:val="24"/>
          <w:szCs w:val="24"/>
        </w:rPr>
      </w:pPr>
      <w:bookmarkStart w:id="15" w:name="_Toc31299"/>
      <w:r>
        <w:rPr>
          <w:rFonts w:hint="eastAsia" w:ascii="宋体" w:hAnsi="宋体" w:eastAsia="宋体" w:cs="宋体"/>
          <w:b/>
          <w:bCs/>
          <w:spacing w:val="-3"/>
          <w:sz w:val="24"/>
          <w:szCs w:val="24"/>
          <w:lang w:val="en-US"/>
        </w:rPr>
        <w:t>14.</w:t>
      </w:r>
      <w:r>
        <w:rPr>
          <w:rFonts w:hint="eastAsia" w:ascii="宋体" w:hAnsi="宋体" w:eastAsia="宋体" w:cs="宋体"/>
          <w:b/>
          <w:bCs/>
          <w:spacing w:val="-3"/>
          <w:sz w:val="24"/>
          <w:szCs w:val="24"/>
        </w:rPr>
        <w:t>磋商保证金</w:t>
      </w:r>
      <w:bookmarkEnd w:id="15"/>
    </w:p>
    <w:p>
      <w:pPr>
        <w:spacing w:line="360" w:lineRule="auto"/>
        <w:ind w:firstLine="480" w:firstLineChars="200"/>
        <w:rPr>
          <w:rFonts w:hint="eastAsia"/>
          <w:sz w:val="24"/>
          <w:szCs w:val="24"/>
          <w:lang w:val="en-US"/>
        </w:rPr>
      </w:pPr>
      <w:r>
        <w:rPr>
          <w:rFonts w:hint="eastAsia"/>
          <w:sz w:val="24"/>
          <w:szCs w:val="24"/>
          <w:lang w:val="en-US"/>
        </w:rPr>
        <w:t>14.1 供应商在磋商时应向</w:t>
      </w:r>
      <w:r>
        <w:rPr>
          <w:rFonts w:hint="eastAsia"/>
          <w:sz w:val="24"/>
          <w:szCs w:val="24"/>
          <w:lang w:val="en-US" w:eastAsia="zh-CN"/>
        </w:rPr>
        <w:t>伍诚工程咨询股份有限公司</w:t>
      </w:r>
      <w:r>
        <w:rPr>
          <w:rFonts w:hint="eastAsia"/>
          <w:sz w:val="24"/>
          <w:szCs w:val="24"/>
          <w:lang w:val="en-US"/>
        </w:rPr>
        <w:t>提交“供应商须知前附表”规定数额的磋商保证金,并作为其磋商的一部分。</w:t>
      </w:r>
    </w:p>
    <w:p>
      <w:pPr>
        <w:spacing w:line="360" w:lineRule="auto"/>
        <w:ind w:firstLine="480" w:firstLineChars="200"/>
        <w:rPr>
          <w:rFonts w:hint="eastAsia"/>
          <w:sz w:val="24"/>
          <w:szCs w:val="24"/>
          <w:lang w:val="en-US"/>
        </w:rPr>
      </w:pPr>
      <w:r>
        <w:rPr>
          <w:rFonts w:hint="eastAsia"/>
          <w:sz w:val="24"/>
          <w:szCs w:val="24"/>
          <w:lang w:val="en-US"/>
        </w:rPr>
        <w:t>14.2 磋商保证金是为了保护采购单位（包括</w:t>
      </w:r>
      <w:r>
        <w:rPr>
          <w:rFonts w:hint="eastAsia"/>
          <w:sz w:val="24"/>
          <w:szCs w:val="24"/>
          <w:lang w:val="en-US" w:eastAsia="zh-CN"/>
        </w:rPr>
        <w:t>伍诚工程咨询股份有限公司</w:t>
      </w:r>
      <w:r>
        <w:rPr>
          <w:rFonts w:hint="eastAsia"/>
          <w:sz w:val="24"/>
          <w:szCs w:val="24"/>
          <w:lang w:val="en-US"/>
        </w:rPr>
        <w:t>及采购人）免遭因供应商的行为而蒙受损失。采购单位在因供应商的行为受到损害时可根据本须知的规定没收供应商的磋商保证金。</w:t>
      </w:r>
    </w:p>
    <w:p>
      <w:pPr>
        <w:spacing w:line="360" w:lineRule="auto"/>
        <w:ind w:firstLine="480" w:firstLineChars="200"/>
        <w:rPr>
          <w:rFonts w:hint="eastAsia"/>
          <w:sz w:val="24"/>
          <w:szCs w:val="24"/>
          <w:lang w:val="en-US"/>
        </w:rPr>
      </w:pPr>
      <w:r>
        <w:rPr>
          <w:rFonts w:hint="eastAsia"/>
          <w:sz w:val="24"/>
          <w:szCs w:val="24"/>
          <w:lang w:val="en-US"/>
        </w:rPr>
        <w:t>14.3 磋商保证金可采取“供应商须知前附表”规定的任何一种形式。</w:t>
      </w:r>
    </w:p>
    <w:p>
      <w:pPr>
        <w:spacing w:line="360" w:lineRule="auto"/>
        <w:ind w:firstLine="480" w:firstLineChars="200"/>
        <w:rPr>
          <w:rFonts w:hint="eastAsia"/>
          <w:sz w:val="24"/>
          <w:szCs w:val="24"/>
          <w:lang w:val="en-US"/>
        </w:rPr>
      </w:pPr>
      <w:r>
        <w:rPr>
          <w:rFonts w:hint="eastAsia"/>
          <w:sz w:val="24"/>
          <w:szCs w:val="24"/>
          <w:lang w:val="en-US"/>
        </w:rPr>
        <w:t>14.4 磋商保证金必须按照竞争性磋商文件“供应商须知前附表”中规定的缴纳金额及方式办理。</w:t>
      </w:r>
    </w:p>
    <w:p>
      <w:pPr>
        <w:spacing w:line="360" w:lineRule="auto"/>
        <w:ind w:firstLine="480" w:firstLineChars="200"/>
        <w:rPr>
          <w:rFonts w:hint="eastAsia" w:ascii="宋体" w:hAnsi="宋体" w:eastAsia="宋体" w:cs="宋体"/>
          <w:sz w:val="24"/>
          <w:szCs w:val="24"/>
          <w:lang w:val="en-US"/>
        </w:rPr>
      </w:pPr>
      <w:r>
        <w:rPr>
          <w:rFonts w:hint="eastAsia"/>
          <w:sz w:val="24"/>
          <w:szCs w:val="24"/>
          <w:lang w:val="en-US"/>
        </w:rPr>
        <w:t>14.5 磋商后经审查，未提交磋商保证金、未按竞争性磋商文件规定时间提交磋商保证金或担保机构出具的保函正本未在采购代理机构备案的、磋商</w:t>
      </w:r>
      <w:r>
        <w:rPr>
          <w:rFonts w:hint="eastAsia" w:ascii="宋体" w:hAnsi="宋体" w:eastAsia="宋体" w:cs="宋体"/>
          <w:sz w:val="24"/>
          <w:szCs w:val="24"/>
          <w:lang w:val="en-US"/>
        </w:rPr>
        <w:t>保证金金额不足或磋商保证金转账凭证复印件/担保机构出具的保函正本复印件未附在磋商响应文件内的磋商将按无效磋商处理。</w:t>
      </w:r>
    </w:p>
    <w:p>
      <w:pPr>
        <w:spacing w:line="360" w:lineRule="auto"/>
        <w:ind w:firstLine="480" w:firstLineChars="200"/>
        <w:rPr>
          <w:rFonts w:hint="eastAsia"/>
          <w:sz w:val="24"/>
          <w:szCs w:val="24"/>
          <w:lang w:val="en-US"/>
        </w:rPr>
      </w:pPr>
      <w:r>
        <w:rPr>
          <w:rFonts w:hint="eastAsia"/>
          <w:sz w:val="24"/>
          <w:szCs w:val="24"/>
          <w:lang w:val="en-US"/>
        </w:rPr>
        <w:t>14.6 未成交供应商的磋商保证金，将在成交通知书发出后五个工作日内按原账户退还；成交供应商的磋商保证金，在采购合同签订并按规定交纳招标代理服务费后五个工作日内退还（退还时，须向采购代理机构提供采购合同原件壹份）。</w:t>
      </w:r>
    </w:p>
    <w:p>
      <w:pPr>
        <w:spacing w:line="360" w:lineRule="auto"/>
        <w:ind w:firstLine="480" w:firstLineChars="200"/>
        <w:rPr>
          <w:rFonts w:hint="eastAsia"/>
          <w:sz w:val="24"/>
          <w:szCs w:val="24"/>
          <w:lang w:val="en-US"/>
        </w:rPr>
      </w:pPr>
      <w:r>
        <w:rPr>
          <w:rFonts w:hint="eastAsia"/>
          <w:sz w:val="24"/>
          <w:szCs w:val="24"/>
          <w:lang w:val="en-US"/>
        </w:rPr>
        <w:t>14.7 供应商以担保机构保函形式缴纳磋商保证金的，磋商结束之后将担保机构保函原件退回（退还时间参照 14.6 条款）。供应商领取担保机构保函原件时需携带法人授权委托书原件。</w:t>
      </w:r>
    </w:p>
    <w:p>
      <w:pPr>
        <w:spacing w:line="360" w:lineRule="auto"/>
        <w:ind w:firstLine="480" w:firstLineChars="200"/>
        <w:rPr>
          <w:rFonts w:hint="eastAsia"/>
          <w:sz w:val="24"/>
          <w:szCs w:val="24"/>
          <w:lang w:val="en-US"/>
        </w:rPr>
      </w:pPr>
      <w:r>
        <w:rPr>
          <w:rFonts w:hint="eastAsia"/>
          <w:sz w:val="24"/>
          <w:szCs w:val="24"/>
          <w:lang w:val="en-US"/>
        </w:rPr>
        <w:t>14.8 下列任何情况发生时，视为供应商违约，其磋商保证金将被没收：</w:t>
      </w:r>
    </w:p>
    <w:p>
      <w:pPr>
        <w:spacing w:line="360" w:lineRule="auto"/>
        <w:ind w:firstLine="480" w:firstLineChars="200"/>
        <w:rPr>
          <w:rFonts w:hint="eastAsia"/>
          <w:sz w:val="24"/>
          <w:szCs w:val="24"/>
          <w:lang w:val="en-US"/>
        </w:rPr>
      </w:pPr>
      <w:r>
        <w:rPr>
          <w:rFonts w:hint="eastAsia"/>
          <w:sz w:val="24"/>
          <w:szCs w:val="24"/>
          <w:lang w:val="en-US"/>
        </w:rPr>
        <w:t>1) 供应商在磋商有效期内撤回其磋商响应文件；</w:t>
      </w:r>
    </w:p>
    <w:p>
      <w:pPr>
        <w:spacing w:line="360" w:lineRule="auto"/>
        <w:ind w:firstLine="480" w:firstLineChars="200"/>
        <w:rPr>
          <w:rFonts w:hint="eastAsia"/>
          <w:sz w:val="24"/>
          <w:szCs w:val="24"/>
          <w:lang w:val="en-US"/>
        </w:rPr>
      </w:pPr>
      <w:r>
        <w:rPr>
          <w:rFonts w:hint="eastAsia"/>
          <w:sz w:val="24"/>
          <w:szCs w:val="24"/>
          <w:lang w:val="en-US"/>
        </w:rPr>
        <w:t>2）供应商在响应文件中提供伪造、套改、虚假资料参加磋商的；</w:t>
      </w:r>
    </w:p>
    <w:p>
      <w:pPr>
        <w:spacing w:line="360" w:lineRule="auto"/>
        <w:ind w:firstLine="480" w:firstLineChars="200"/>
        <w:rPr>
          <w:rFonts w:hint="eastAsia"/>
          <w:sz w:val="24"/>
          <w:szCs w:val="24"/>
          <w:lang w:val="en-US"/>
        </w:rPr>
      </w:pPr>
      <w:r>
        <w:rPr>
          <w:rFonts w:hint="eastAsia"/>
          <w:sz w:val="24"/>
          <w:szCs w:val="24"/>
          <w:lang w:val="en-US"/>
        </w:rPr>
        <w:t>3)  供应商成交后放弃成交或除因不可抗力未能按规定签订合同；或未能按规定交纳招标代理服务费。</w:t>
      </w:r>
    </w:p>
    <w:p>
      <w:pPr>
        <w:spacing w:line="360" w:lineRule="auto"/>
        <w:ind w:firstLine="480" w:firstLineChars="200"/>
        <w:rPr>
          <w:rFonts w:hint="eastAsia"/>
          <w:sz w:val="24"/>
          <w:szCs w:val="24"/>
        </w:rPr>
      </w:pPr>
      <w:r>
        <w:rPr>
          <w:rFonts w:hint="eastAsia"/>
          <w:sz w:val="24"/>
          <w:szCs w:val="24"/>
          <w:lang w:val="en-US"/>
        </w:rPr>
        <w:t>供应商成交后将成交项目转让给他人，或者在响应文件中</w:t>
      </w:r>
      <w:r>
        <w:rPr>
          <w:rFonts w:hint="eastAsia"/>
          <w:sz w:val="24"/>
          <w:szCs w:val="24"/>
        </w:rPr>
        <w:t>未说明，且未经采购人同意，将成交项目分包给他人的。</w:t>
      </w:r>
    </w:p>
    <w:p>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供应商事先未通告无故不参加磋商活动的。</w:t>
      </w:r>
    </w:p>
    <w:p>
      <w:pPr>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供应商不按法定程序进行质疑和投诉，捏造事实，查无实据，造成恶劣影响，导致采购活动无法正常进行的。</w:t>
      </w:r>
    </w:p>
    <w:p>
      <w:pPr>
        <w:spacing w:line="360" w:lineRule="auto"/>
        <w:ind w:firstLine="480" w:firstLineChars="200"/>
        <w:rPr>
          <w:rFonts w:hint="eastAsia"/>
          <w:sz w:val="24"/>
          <w:szCs w:val="24"/>
        </w:rPr>
      </w:pPr>
      <w:r>
        <w:rPr>
          <w:rFonts w:hint="eastAsia"/>
          <w:sz w:val="24"/>
          <w:szCs w:val="24"/>
          <w:lang w:val="en-US"/>
        </w:rPr>
        <w:t>14.9 磋商保证金的有效期与磋商有效期一致。担保机构出具的保函的有效期为磋商有效期延长一个月。</w:t>
      </w:r>
    </w:p>
    <w:p>
      <w:pPr>
        <w:pStyle w:val="7"/>
        <w:tabs>
          <w:tab w:val="left" w:pos="963"/>
        </w:tabs>
        <w:spacing w:line="360" w:lineRule="auto"/>
        <w:ind w:left="0" w:firstLine="482" w:firstLineChars="200"/>
        <w:outlineLvl w:val="0"/>
        <w:rPr>
          <w:rFonts w:hint="eastAsia" w:ascii="宋体" w:hAnsi="宋体" w:eastAsia="宋体" w:cs="宋体"/>
        </w:rPr>
      </w:pPr>
      <w:bookmarkStart w:id="16" w:name="_Toc12070"/>
      <w:r>
        <w:rPr>
          <w:rFonts w:hint="eastAsia" w:ascii="宋体" w:hAnsi="宋体" w:eastAsia="宋体" w:cs="宋体"/>
          <w:lang w:val="en-US"/>
        </w:rPr>
        <w:t>15.</w:t>
      </w:r>
      <w:r>
        <w:rPr>
          <w:rFonts w:hint="eastAsia" w:ascii="宋体" w:hAnsi="宋体" w:eastAsia="宋体" w:cs="宋体"/>
        </w:rPr>
        <w:t>磋商有效期</w:t>
      </w:r>
      <w:bookmarkEnd w:id="16"/>
    </w:p>
    <w:p>
      <w:pPr>
        <w:spacing w:line="360" w:lineRule="auto"/>
        <w:ind w:firstLine="480" w:firstLineChars="200"/>
        <w:rPr>
          <w:rFonts w:hint="eastAsia"/>
          <w:sz w:val="24"/>
          <w:szCs w:val="24"/>
          <w:lang w:val="en-US"/>
        </w:rPr>
      </w:pPr>
      <w:r>
        <w:rPr>
          <w:rFonts w:hint="eastAsia"/>
          <w:sz w:val="24"/>
          <w:szCs w:val="24"/>
          <w:lang w:val="en-US"/>
        </w:rPr>
        <w:t>15.1 磋商响应文件的有效期（含授权有效期）在“供应商须知前附表”中规定的期限内保持有效。磋商有效期不满足规定有效期的磋商响应文件将被视为非响应性磋商而予以拒绝。</w:t>
      </w:r>
    </w:p>
    <w:p>
      <w:pPr>
        <w:spacing w:line="360" w:lineRule="auto"/>
        <w:ind w:firstLine="480" w:firstLineChars="200"/>
        <w:rPr>
          <w:rFonts w:hint="eastAsia" w:ascii="宋体" w:hAnsi="宋体" w:eastAsia="宋体" w:cs="宋体"/>
          <w:sz w:val="24"/>
          <w:szCs w:val="24"/>
          <w:lang w:val="en-US"/>
        </w:rPr>
      </w:pPr>
      <w:r>
        <w:rPr>
          <w:rFonts w:hint="eastAsia"/>
          <w:sz w:val="24"/>
          <w:szCs w:val="24"/>
          <w:lang w:val="en-US"/>
        </w:rPr>
        <w:t>15.2 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w:t>
      </w:r>
      <w:r>
        <w:rPr>
          <w:rFonts w:hint="eastAsia" w:ascii="宋体" w:hAnsi="宋体" w:eastAsia="宋体" w:cs="宋体"/>
          <w:sz w:val="24"/>
          <w:szCs w:val="24"/>
          <w:lang w:val="en-US"/>
        </w:rPr>
        <w:t>保证金的有效期。在这种情况下，本章第 14 条有关磋商保证金的退还和没收的规定将在延长了的有效期内继续有效。</w:t>
      </w:r>
    </w:p>
    <w:p>
      <w:pPr>
        <w:pStyle w:val="7"/>
        <w:tabs>
          <w:tab w:val="left" w:pos="963"/>
        </w:tabs>
        <w:spacing w:line="360" w:lineRule="auto"/>
        <w:ind w:left="0" w:firstLine="482" w:firstLineChars="200"/>
        <w:outlineLvl w:val="0"/>
        <w:rPr>
          <w:rFonts w:hint="eastAsia" w:ascii="宋体" w:hAnsi="宋体" w:eastAsia="宋体" w:cs="宋体"/>
          <w:lang w:val="en-US" w:eastAsia="zh-CN"/>
        </w:rPr>
      </w:pPr>
      <w:bookmarkStart w:id="17" w:name="_Toc3787"/>
      <w:r>
        <w:rPr>
          <w:rFonts w:hint="eastAsia" w:ascii="宋体" w:hAnsi="宋体" w:eastAsia="宋体" w:cs="宋体"/>
          <w:lang w:val="en-US"/>
        </w:rPr>
        <w:t>16.竞争性磋商响应文件的式样</w:t>
      </w:r>
      <w:bookmarkEnd w:id="17"/>
      <w:r>
        <w:rPr>
          <w:rFonts w:hint="eastAsia" w:ascii="宋体" w:hAnsi="宋体" w:cs="宋体"/>
          <w:lang w:val="en-US" w:eastAsia="zh-CN"/>
        </w:rPr>
        <w:t>和签署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 xml:space="preserve">.1 </w:t>
      </w:r>
      <w:r>
        <w:rPr>
          <w:rFonts w:hint="eastAsia" w:ascii="宋体" w:hAnsi="宋体" w:eastAsia="宋体" w:cs="宋体"/>
          <w:color w:val="000000"/>
          <w:kern w:val="0"/>
          <w:sz w:val="24"/>
          <w:szCs w:val="24"/>
          <w:lang w:val="en-US" w:eastAsia="zh-CN" w:bidi="ar"/>
        </w:rPr>
        <w:t>投标人须使用数字认证证书对电子化响应文件进行签章、加密、递交及开标时解密等相关招投标事宜。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lang w:val="en-US" w:eastAsia="zh-CN"/>
        </w:rPr>
        <w:t xml:space="preserve">16.2 </w:t>
      </w:r>
      <w:r>
        <w:rPr>
          <w:rFonts w:hint="eastAsia" w:ascii="宋体" w:hAnsi="宋体" w:cs="宋体"/>
          <w:sz w:val="24"/>
        </w:rPr>
        <w:t>编制电子投标文件时，应使用最新发布的电子招标文件及专用制作工具进行编制。并使用数字认证证书（CA 锁）对电子投标文件进行签章、加密、递交及开标时解密等相关招投标事宜。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宋体"/>
          <w:color w:val="auto"/>
          <w:sz w:val="24"/>
          <w:szCs w:val="24"/>
          <w:highlight w:val="none"/>
          <w:lang w:val="en-US" w:eastAsia="zh-CN"/>
        </w:rPr>
        <w:t xml:space="preserve">    16.3 投标</w:t>
      </w:r>
      <w:r>
        <w:rPr>
          <w:rFonts w:hint="eastAsia" w:hAnsi="宋体" w:cs="宋体"/>
          <w:sz w:val="24"/>
          <w:szCs w:val="24"/>
          <w:lang w:eastAsia="zh-CN"/>
        </w:rPr>
        <w:t>文件</w:t>
      </w:r>
      <w:r>
        <w:rPr>
          <w:rFonts w:hint="eastAsia" w:ascii="宋体" w:hAnsi="宋体" w:cs="宋体"/>
          <w:sz w:val="24"/>
          <w:szCs w:val="24"/>
        </w:rPr>
        <w:t>中的复印件（含扫描件）必须加盖供应商公章（鲜章），否则按无效文件处理。所有复印件应是最新、有效、清晰的。因复印件不清晰而可能导致资料无效，由投标供应商自行负责。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cs="宋体"/>
          <w:color w:val="auto"/>
          <w:sz w:val="24"/>
          <w:szCs w:val="22"/>
        </w:rPr>
      </w:pPr>
      <w:r>
        <w:rPr>
          <w:rFonts w:hint="eastAsia" w:ascii="宋体" w:hAnsi="宋体" w:cs="宋体"/>
          <w:sz w:val="24"/>
          <w:szCs w:val="22"/>
        </w:rPr>
        <w:t>1</w:t>
      </w:r>
      <w:r>
        <w:rPr>
          <w:rFonts w:hint="eastAsia" w:ascii="宋体" w:hAnsi="宋体" w:cs="宋体"/>
          <w:sz w:val="24"/>
          <w:szCs w:val="22"/>
          <w:lang w:val="en-US" w:eastAsia="zh-CN"/>
        </w:rPr>
        <w:t>6</w:t>
      </w:r>
      <w:r>
        <w:rPr>
          <w:rFonts w:hint="eastAsia" w:ascii="宋体" w:hAnsi="宋体" w:cs="宋体"/>
          <w:sz w:val="24"/>
          <w:szCs w:val="22"/>
        </w:rPr>
        <w:t>.</w:t>
      </w:r>
      <w:r>
        <w:rPr>
          <w:rFonts w:hint="eastAsia" w:ascii="宋体" w:hAnsi="宋体" w:cs="宋体"/>
          <w:sz w:val="24"/>
          <w:szCs w:val="22"/>
          <w:lang w:val="en-US" w:eastAsia="zh-CN"/>
        </w:rPr>
        <w:t>2</w:t>
      </w:r>
      <w:r>
        <w:rPr>
          <w:rFonts w:hint="eastAsia" w:ascii="宋体" w:hAnsi="宋体" w:cs="宋体"/>
          <w:sz w:val="24"/>
          <w:szCs w:val="22"/>
        </w:rPr>
        <w:t xml:space="preserve">  </w:t>
      </w:r>
      <w:r>
        <w:rPr>
          <w:rFonts w:hint="eastAsia" w:ascii="宋体" w:hAnsi="宋体" w:cs="宋体"/>
          <w:sz w:val="24"/>
        </w:rPr>
        <w:t>投标人</w:t>
      </w:r>
      <w:r>
        <w:rPr>
          <w:rFonts w:hint="eastAsia" w:ascii="宋体" w:hAnsi="宋体" w:cs="宋体"/>
          <w:sz w:val="24"/>
          <w:szCs w:val="22"/>
        </w:rPr>
        <w:t>名称应填写全称，</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文件应由供应商法定代表人或经法定代表人正式授权的供应商授权代表在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文件要</w:t>
      </w:r>
      <w:r>
        <w:rPr>
          <w:rFonts w:hint="eastAsia" w:ascii="宋体" w:hAnsi="宋体" w:eastAsia="宋体" w:cs="宋体"/>
          <w:color w:val="000000" w:themeColor="text1"/>
          <w:sz w:val="24"/>
          <w:szCs w:val="24"/>
          <w:highlight w:val="none"/>
          <w14:textFill>
            <w14:solidFill>
              <w14:schemeClr w14:val="tx1"/>
            </w14:solidFill>
          </w14:textFill>
        </w:rPr>
        <w:t>求</w:t>
      </w:r>
      <w:r>
        <w:rPr>
          <w:rFonts w:hint="eastAsia" w:ascii="宋体" w:hAnsi="宋体" w:eastAsia="宋体" w:cs="宋体"/>
          <w:color w:val="auto"/>
          <w:sz w:val="24"/>
          <w:szCs w:val="24"/>
          <w:highlight w:val="none"/>
        </w:rPr>
        <w:t>的地方签字并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非空白页的右下脚逐页加盖企业原色印章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最后</w:t>
      </w:r>
      <w:r>
        <w:rPr>
          <w:rFonts w:hint="eastAsia" w:ascii="宋体" w:hAnsi="宋体" w:cs="宋体"/>
          <w:color w:val="auto"/>
          <w:sz w:val="24"/>
          <w:szCs w:val="22"/>
        </w:rPr>
        <w:t>加盖骑缝章。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6.3 </w:t>
      </w:r>
      <w:r>
        <w:rPr>
          <w:rFonts w:hint="eastAsia" w:ascii="宋体" w:hAnsi="宋体" w:cs="宋体"/>
          <w:sz w:val="24"/>
        </w:rPr>
        <w:t xml:space="preserve"> 未按上述要求编制及签署的投标文件视为无效投标文件。</w:t>
      </w:r>
    </w:p>
    <w:p>
      <w:pPr>
        <w:pStyle w:val="6"/>
        <w:spacing w:before="0" w:line="360" w:lineRule="auto"/>
        <w:ind w:right="735"/>
        <w:jc w:val="center"/>
        <w:rPr>
          <w:rFonts w:hint="eastAsia" w:ascii="宋体" w:hAnsi="宋体" w:eastAsia="宋体" w:cs="宋体"/>
        </w:rPr>
      </w:pPr>
      <w:r>
        <w:rPr>
          <w:rFonts w:hint="eastAsia" w:ascii="宋体" w:hAnsi="宋体" w:eastAsia="宋体" w:cs="宋体"/>
        </w:rPr>
        <w:t>四.竞争性磋商响应文件的递交</w:t>
      </w:r>
    </w:p>
    <w:p>
      <w:pPr>
        <w:pStyle w:val="6"/>
        <w:spacing w:before="0" w:line="360" w:lineRule="auto"/>
        <w:ind w:left="0" w:leftChars="0" w:right="735" w:firstLine="0" w:firstLineChars="0"/>
        <w:jc w:val="both"/>
        <w:rPr>
          <w:rFonts w:hint="eastAsia" w:ascii="宋体" w:hAnsi="宋体" w:eastAsia="宋体" w:cs="宋体"/>
          <w:lang w:eastAsia="zh-CN"/>
        </w:rPr>
      </w:pPr>
      <w:r>
        <w:rPr>
          <w:rFonts w:hint="eastAsia" w:ascii="宋体" w:hAnsi="宋体" w:eastAsia="宋体" w:cs="宋体"/>
          <w:lang w:val="en-US" w:eastAsia="zh-CN"/>
        </w:rPr>
        <w:t xml:space="preserve"> 电子标要求：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本项目采用电子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文件的形式。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编制</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文件时，应使用最新发布的电子</w:t>
      </w:r>
      <w:r>
        <w:rPr>
          <w:rFonts w:hint="eastAsia" w:ascii="宋体" w:hAnsi="宋体" w:eastAsia="宋体" w:cs="宋体"/>
          <w:sz w:val="24"/>
          <w:szCs w:val="24"/>
          <w:lang w:val="en-US" w:eastAsia="zh-CN"/>
        </w:rPr>
        <w:t>招标</w:t>
      </w:r>
      <w:r>
        <w:rPr>
          <w:rFonts w:hint="eastAsia" w:ascii="宋体" w:hAnsi="宋体" w:eastAsia="宋体" w:cs="宋体"/>
          <w:sz w:val="24"/>
          <w:szCs w:val="24"/>
        </w:rPr>
        <w:t>文件及专用制作工具进行编制。并使用数字认证证书（CA 锁）对电子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文件进行签章、加密、递交及开标时解密等相关招投标事宜。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17.1</w:t>
      </w:r>
      <w:r>
        <w:rPr>
          <w:rFonts w:hint="eastAsia" w:ascii="宋体" w:hAnsi="宋体" w:eastAsia="宋体" w:cs="宋体"/>
          <w:sz w:val="24"/>
          <w:szCs w:val="24"/>
        </w:rPr>
        <w:t>、电子</w:t>
      </w:r>
      <w:r>
        <w:rPr>
          <w:rFonts w:hint="eastAsia" w:ascii="宋体" w:hAnsi="宋体" w:eastAsia="宋体" w:cs="宋体"/>
          <w:sz w:val="24"/>
          <w:szCs w:val="24"/>
          <w:lang w:val="en-US" w:eastAsia="zh-CN"/>
        </w:rPr>
        <w:t>招标</w:t>
      </w:r>
      <w:r>
        <w:rPr>
          <w:rFonts w:hint="eastAsia" w:ascii="宋体" w:hAnsi="宋体" w:eastAsia="宋体" w:cs="宋体"/>
          <w:sz w:val="24"/>
          <w:szCs w:val="24"/>
        </w:rPr>
        <w:t>文件下载。供应商登录全国公共资源交易平台（陕西省） 网站〖首页·〉电子交易平台·〉企业端〗后，在〖</w:t>
      </w:r>
      <w:r>
        <w:rPr>
          <w:rFonts w:hint="eastAsia" w:ascii="宋体" w:hAnsi="宋体" w:eastAsia="宋体" w:cs="宋体"/>
          <w:sz w:val="24"/>
          <w:szCs w:val="24"/>
          <w:lang w:val="en-US" w:eastAsia="zh-CN"/>
        </w:rPr>
        <w:t>招标</w:t>
      </w:r>
      <w:r>
        <w:rPr>
          <w:rFonts w:hint="eastAsia" w:ascii="宋体" w:hAnsi="宋体" w:eastAsia="宋体" w:cs="宋体"/>
          <w:sz w:val="24"/>
          <w:szCs w:val="24"/>
        </w:rPr>
        <w:t>公告/出让公告〗 模块中选择项目点击“我要投标”，参与投标活动。然后即可在〖我的项目〗中点击“项目流程&gt;交易文件下载”下载电子</w:t>
      </w:r>
      <w:r>
        <w:rPr>
          <w:rFonts w:hint="eastAsia" w:ascii="宋体" w:hAnsi="宋体" w:eastAsia="宋体" w:cs="宋体"/>
          <w:sz w:val="24"/>
          <w:szCs w:val="24"/>
          <w:lang w:val="en-US" w:eastAsia="zh-CN"/>
        </w:rPr>
        <w:t>招标</w:t>
      </w:r>
      <w:r>
        <w:rPr>
          <w:rFonts w:hint="eastAsia" w:ascii="宋体" w:hAnsi="宋体" w:eastAsia="宋体" w:cs="宋体"/>
          <w:sz w:val="24"/>
          <w:szCs w:val="24"/>
        </w:rPr>
        <w:t xml:space="preserve">文件。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2、电子</w:t>
      </w:r>
      <w:r>
        <w:rPr>
          <w:rFonts w:hint="eastAsia" w:ascii="宋体" w:hAnsi="宋体" w:eastAsia="宋体" w:cs="宋体"/>
          <w:sz w:val="24"/>
          <w:szCs w:val="24"/>
          <w:lang w:val="en-US" w:eastAsia="zh-CN"/>
        </w:rPr>
        <w:t>招标</w:t>
      </w:r>
      <w:r>
        <w:rPr>
          <w:rFonts w:hint="eastAsia" w:ascii="宋体" w:hAnsi="宋体" w:eastAsia="宋体" w:cs="宋体"/>
          <w:sz w:val="24"/>
          <w:szCs w:val="24"/>
        </w:rPr>
        <w:t>文件需要使用专用软件打开、浏览。供应商可在全国公共资源交易平台（陕西省）网站〖首页·〉服务指南·〉下载专区〗免费下载“陕西省公共资源交易平台政府采购电子标书制作工具(V8.0.0.2)”，并升级至最新版本，使用该客户端可以打开电子</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文件。软件操作手册详见全国公共资源交易平台（陕西省）网站〖首页·〉服务指南·〉下载专区〗中的《陕西省公共资源交易（政府采购类）</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文件制作软件操作手册》。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 xml:space="preserve">3、制作电子响应文件。电子响应文件同样需要使用上述软件进行编制。 在编制过程中，如有技术性问题，请先翻阅操作手册，或致电软件开发商。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技术支持热线：4009280095、4009980000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CA锁购买：榆林市市民大厦四楼窗口,电话：0912-3515031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17.4</w:t>
      </w:r>
      <w:r>
        <w:rPr>
          <w:rFonts w:hint="eastAsia" w:ascii="宋体" w:hAnsi="宋体" w:eastAsia="宋体" w:cs="宋体"/>
          <w:b w:val="0"/>
          <w:bCs w:val="0"/>
          <w:sz w:val="24"/>
          <w:szCs w:val="24"/>
        </w:rPr>
        <w:t>竞争性磋商</w:t>
      </w:r>
      <w:r>
        <w:rPr>
          <w:rFonts w:hint="eastAsia" w:ascii="宋体" w:hAnsi="宋体" w:eastAsia="宋体" w:cs="宋体"/>
          <w:b w:val="0"/>
          <w:bCs w:val="0"/>
          <w:sz w:val="24"/>
          <w:szCs w:val="24"/>
          <w:lang w:val="en-US" w:eastAsia="zh-CN"/>
        </w:rPr>
        <w:t>投标</w:t>
      </w:r>
      <w:r>
        <w:rPr>
          <w:rFonts w:hint="eastAsia" w:ascii="宋体" w:hAnsi="宋体" w:eastAsia="宋体" w:cs="宋体"/>
          <w:b w:val="0"/>
          <w:bCs w:val="0"/>
          <w:sz w:val="24"/>
          <w:szCs w:val="24"/>
        </w:rPr>
        <w:t>文件的提交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文件可于提交</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文件”，上传加密的电子</w:t>
      </w:r>
      <w:r>
        <w:rPr>
          <w:rFonts w:hint="eastAsia" w:ascii="宋体" w:hAnsi="宋体" w:eastAsia="宋体" w:cs="宋体"/>
          <w:sz w:val="24"/>
          <w:szCs w:val="24"/>
          <w:lang w:val="en-US" w:eastAsia="zh-CN"/>
        </w:rPr>
        <w:t>投标</w:t>
      </w:r>
      <w:r>
        <w:rPr>
          <w:rFonts w:hint="eastAsia" w:ascii="宋体" w:hAnsi="宋体" w:eastAsia="宋体" w:cs="宋体"/>
          <w:sz w:val="24"/>
          <w:szCs w:val="24"/>
        </w:rPr>
        <w:t>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响应文件的补充、修改和撤回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18.1、 </w:t>
      </w:r>
      <w:r>
        <w:rPr>
          <w:rFonts w:hint="eastAsia" w:ascii="宋体" w:hAnsi="宋体" w:eastAsia="宋体" w:cs="宋体"/>
          <w:sz w:val="24"/>
          <w:szCs w:val="24"/>
        </w:rPr>
        <w:t>供应商在递交响应文件后，且在提交响应文件截止时间前，可以对所提交的响应文件进行补充、修改或撤回。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rPr>
        <w:t xml:space="preserve">对电子响应文件进行补充、修改的，应先从电子交易平台上撤回旧版，再重新提交新版。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18.3、</w:t>
      </w:r>
      <w:r>
        <w:rPr>
          <w:rFonts w:hint="eastAsia" w:ascii="宋体" w:hAnsi="宋体" w:eastAsia="宋体" w:cs="宋体"/>
          <w:sz w:val="24"/>
          <w:szCs w:val="24"/>
        </w:rPr>
        <w:t>响应文件提交截止时间后，供应商不得对其响应文件做任何修改。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19供应商出现下列情况之一的，其响应文件视为无效文件：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19.1、逾期提交电子响应文件；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19.2、提交的响应文件与本项目不相符；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19.3、供应商拒绝对电子响应文件进行解密；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19.4、因供应商自身原因（如未带CA锁、或所带CA锁与制作电子响应文件使用的CA锁不一致、或沿用旧版招标文件编制投标文件等情形），导致在规定时间内无法解密响应文件；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19.5、上传的电子响应文件无法打开。</w:t>
      </w:r>
    </w:p>
    <w:p>
      <w:pPr>
        <w:pageBreakBefore w:val="0"/>
        <w:numPr>
          <w:ilvl w:val="0"/>
          <w:numId w:val="0"/>
        </w:numPr>
        <w:wordWrap/>
        <w:overflowPunct/>
        <w:autoSpaceDE/>
        <w:autoSpaceDN/>
        <w:bidi w:val="0"/>
        <w:adjustRightInd w:val="0"/>
        <w:snapToGrid w:val="0"/>
        <w:spacing w:line="360" w:lineRule="auto"/>
        <w:ind w:leftChars="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20</w:t>
      </w:r>
      <w:r>
        <w:rPr>
          <w:rFonts w:hint="eastAsia" w:ascii="宋体" w:hAnsi="宋体" w:eastAsia="宋体" w:cs="宋体"/>
          <w:b/>
          <w:color w:val="auto"/>
          <w:sz w:val="32"/>
          <w:szCs w:val="32"/>
        </w:rPr>
        <w:t>. 投标截止时间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20.1、 </w:t>
      </w:r>
      <w:r>
        <w:rPr>
          <w:rFonts w:hint="eastAsia"/>
          <w:color w:val="auto"/>
          <w:sz w:val="24"/>
          <w:szCs w:val="24"/>
          <w:lang w:val="en-US"/>
        </w:rPr>
        <w:t>竞争性磋商响应文件</w:t>
      </w:r>
      <w:r>
        <w:rPr>
          <w:rFonts w:hint="eastAsia" w:ascii="宋体" w:hAnsi="宋体" w:eastAsia="宋体" w:cs="宋体"/>
          <w:color w:val="auto"/>
          <w:sz w:val="24"/>
          <w:szCs w:val="24"/>
          <w:lang w:val="en-US" w:eastAsia="zh-CN"/>
        </w:rPr>
        <w:t>都必须按磋商文件中规定的统一递交投标文件时间递交；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 采购人将拒绝接收在投标文件递交时间之后收到的任何投标文件。</w:t>
      </w:r>
    </w:p>
    <w:p>
      <w:pPr>
        <w:pStyle w:val="6"/>
        <w:spacing w:before="0" w:line="360" w:lineRule="auto"/>
        <w:ind w:right="735"/>
        <w:jc w:val="center"/>
        <w:rPr>
          <w:rFonts w:hint="eastAsia" w:ascii="宋体" w:hAnsi="宋体" w:eastAsia="宋体" w:cs="宋体"/>
          <w:color w:val="auto"/>
        </w:rPr>
      </w:pPr>
    </w:p>
    <w:p>
      <w:pPr>
        <w:pStyle w:val="6"/>
        <w:spacing w:before="0" w:line="360" w:lineRule="auto"/>
        <w:ind w:right="735"/>
        <w:jc w:val="center"/>
        <w:rPr>
          <w:rFonts w:hint="eastAsia" w:ascii="宋体" w:hAnsi="宋体" w:eastAsia="宋体" w:cs="宋体"/>
          <w:color w:val="auto"/>
        </w:rPr>
      </w:pPr>
      <w:r>
        <w:rPr>
          <w:rFonts w:hint="eastAsia" w:ascii="宋体" w:hAnsi="宋体" w:eastAsia="宋体" w:cs="宋体"/>
          <w:color w:val="auto"/>
        </w:rPr>
        <w:t>五  磋商与评标</w:t>
      </w:r>
    </w:p>
    <w:p>
      <w:pPr>
        <w:pStyle w:val="7"/>
        <w:tabs>
          <w:tab w:val="left" w:pos="1143"/>
        </w:tabs>
        <w:spacing w:line="360" w:lineRule="auto"/>
        <w:ind w:left="0" w:firstLine="482" w:firstLineChars="200"/>
        <w:outlineLvl w:val="0"/>
        <w:rPr>
          <w:rFonts w:hint="eastAsia" w:ascii="宋体" w:hAnsi="宋体" w:eastAsia="宋体" w:cs="宋体"/>
          <w:color w:val="auto"/>
          <w:lang w:val="en-US"/>
        </w:rPr>
      </w:pPr>
      <w:bookmarkStart w:id="18" w:name="_Toc12915"/>
      <w:r>
        <w:rPr>
          <w:rFonts w:hint="eastAsia" w:ascii="宋体" w:hAnsi="宋体" w:eastAsia="宋体" w:cs="宋体"/>
          <w:color w:val="auto"/>
          <w:lang w:val="en-US"/>
        </w:rPr>
        <w:t>21.磋商</w:t>
      </w:r>
      <w:bookmarkEnd w:id="18"/>
    </w:p>
    <w:p>
      <w:pPr>
        <w:spacing w:line="360" w:lineRule="auto"/>
        <w:ind w:firstLine="480" w:firstLineChars="200"/>
        <w:rPr>
          <w:rFonts w:hint="eastAsia"/>
          <w:color w:val="auto"/>
          <w:sz w:val="24"/>
          <w:szCs w:val="24"/>
          <w:lang w:val="en-US"/>
        </w:rPr>
      </w:pPr>
      <w:r>
        <w:rPr>
          <w:rFonts w:hint="eastAsia"/>
          <w:color w:val="auto"/>
          <w:sz w:val="24"/>
          <w:szCs w:val="24"/>
          <w:lang w:val="en-US"/>
        </w:rPr>
        <w:t>21.1 采购代理机构在规定的时间和地点组织竞争性磋商。供应商必须在榆林市不见面开标大厅系统签名报到。</w:t>
      </w:r>
    </w:p>
    <w:p>
      <w:pPr>
        <w:spacing w:line="560" w:lineRule="exact"/>
        <w:ind w:firstLine="480" w:firstLineChars="200"/>
        <w:rPr>
          <w:rFonts w:hint="eastAsia"/>
          <w:color w:val="auto"/>
          <w:sz w:val="24"/>
          <w:szCs w:val="24"/>
          <w:lang w:val="en-US"/>
        </w:rPr>
      </w:pPr>
      <w:r>
        <w:rPr>
          <w:rFonts w:hint="eastAsia"/>
          <w:color w:val="auto"/>
          <w:sz w:val="24"/>
          <w:szCs w:val="24"/>
          <w:lang w:val="en-US"/>
        </w:rPr>
        <w:t>21.2 采购代理机构将做磋商记录，存档备查。</w:t>
      </w:r>
    </w:p>
    <w:p>
      <w:pPr>
        <w:spacing w:line="560" w:lineRule="exact"/>
        <w:ind w:firstLine="480" w:firstLineChars="200"/>
        <w:rPr>
          <w:rFonts w:hint="eastAsia" w:ascii="仿宋" w:hAnsi="仿宋" w:eastAsia="仿宋" w:cs="仿宋"/>
          <w:b/>
          <w:color w:val="auto"/>
          <w:sz w:val="28"/>
          <w:szCs w:val="28"/>
        </w:rPr>
      </w:pPr>
      <w:r>
        <w:rPr>
          <w:rFonts w:hint="eastAsia"/>
          <w:color w:val="auto"/>
          <w:sz w:val="24"/>
          <w:szCs w:val="24"/>
          <w:lang w:val="en-US" w:eastAsia="zh-CN"/>
        </w:rPr>
        <w:t>21.3</w:t>
      </w:r>
      <w:r>
        <w:rPr>
          <w:rFonts w:hint="eastAsia" w:ascii="仿宋" w:hAnsi="仿宋" w:eastAsia="仿宋" w:cs="仿宋"/>
          <w:b/>
          <w:color w:val="auto"/>
          <w:sz w:val="28"/>
          <w:szCs w:val="28"/>
        </w:rPr>
        <w:t>磋商程序</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主持人按下列程序进行开标：</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所有供应商应在开标时间前登录榆林市公共资源交易平台不见面开标系统进行在线签到，否则将视同为放弃投标。开标时间到后宣布开标会开始。</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1、介绍参加开标的采购人、采购代理机构、监督管理部门等各方工作人员。</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 xml:space="preserve">2、公示所有供应商的投标状态，包括磋商响应文件递交状态等。 </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3、发起解密环节，供应商按指示在规定时间内完成磋商响应文件解密。</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4、导入所有供应商的电子磋商响应文件。</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5、供应商如有异议，可按要求在线提出异议，采购人、采购代理机构应当及时处理。</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6、宣布开标会结束，进入评审环节。</w:t>
      </w:r>
    </w:p>
    <w:p>
      <w:pPr>
        <w:spacing w:line="560" w:lineRule="exact"/>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各供应商在项目开标、评审期间应保持在线状态，对未在规定时间和要求范围内完成签到、解密、答复、确认、澄清、磋商、二次报价等指令的，视为其放弃，由供应商自行承担相应后果。</w:t>
      </w:r>
    </w:p>
    <w:p>
      <w:pPr>
        <w:spacing w:line="360" w:lineRule="auto"/>
        <w:ind w:firstLine="480" w:firstLineChars="200"/>
        <w:rPr>
          <w:rFonts w:hint="eastAsia"/>
          <w:color w:val="auto"/>
          <w:sz w:val="24"/>
          <w:szCs w:val="24"/>
          <w:lang w:val="en-US"/>
        </w:rPr>
      </w:pPr>
    </w:p>
    <w:p>
      <w:pPr>
        <w:pStyle w:val="7"/>
        <w:tabs>
          <w:tab w:val="left" w:pos="1143"/>
        </w:tabs>
        <w:spacing w:line="360" w:lineRule="auto"/>
        <w:ind w:left="0" w:firstLine="482" w:firstLineChars="200"/>
        <w:outlineLvl w:val="0"/>
        <w:rPr>
          <w:rFonts w:hint="eastAsia" w:ascii="宋体" w:hAnsi="宋体" w:eastAsia="宋体" w:cs="宋体"/>
          <w:color w:val="auto"/>
          <w:lang w:val="en-US"/>
        </w:rPr>
      </w:pPr>
      <w:bookmarkStart w:id="19" w:name="_Toc1857"/>
      <w:r>
        <w:rPr>
          <w:rFonts w:hint="eastAsia" w:ascii="宋体" w:hAnsi="宋体" w:eastAsia="宋体" w:cs="宋体"/>
          <w:color w:val="auto"/>
          <w:lang w:val="en-US"/>
        </w:rPr>
        <w:t>22.评审组织及评审原则</w:t>
      </w:r>
      <w:bookmarkEnd w:id="19"/>
    </w:p>
    <w:p>
      <w:pPr>
        <w:spacing w:line="360" w:lineRule="auto"/>
        <w:ind w:firstLine="480" w:firstLineChars="200"/>
        <w:rPr>
          <w:rFonts w:hint="eastAsia"/>
          <w:color w:val="auto"/>
          <w:sz w:val="24"/>
          <w:szCs w:val="24"/>
          <w:lang w:val="en-US"/>
        </w:rPr>
      </w:pPr>
      <w:r>
        <w:rPr>
          <w:rFonts w:hint="eastAsia"/>
          <w:color w:val="auto"/>
          <w:sz w:val="24"/>
          <w:szCs w:val="24"/>
          <w:lang w:val="en-US"/>
        </w:rPr>
        <w:t>22.1 按照《中华人民共和国政府采购法》及实施条例和关于印发《政府采购竞争性磋商采购方式管理暂行办法》的通知（财库【2014】214 号），依法组建磋商小组。磋商小组由采购人代表和评审专家组成，成员人数应当为单数，其中采购人代表须持有法人授权书。磋商小组按照竞争性磋商文件规定的评审方法独立进行评审工作。</w:t>
      </w:r>
    </w:p>
    <w:p>
      <w:pPr>
        <w:spacing w:line="360" w:lineRule="auto"/>
        <w:ind w:firstLine="480" w:firstLineChars="200"/>
        <w:rPr>
          <w:rFonts w:hint="eastAsia"/>
          <w:color w:val="auto"/>
          <w:sz w:val="24"/>
          <w:szCs w:val="24"/>
          <w:lang w:val="en-US"/>
        </w:rPr>
      </w:pPr>
      <w:r>
        <w:rPr>
          <w:rFonts w:hint="eastAsia"/>
          <w:color w:val="auto"/>
          <w:sz w:val="24"/>
          <w:szCs w:val="24"/>
          <w:lang w:val="en-US"/>
        </w:rPr>
        <w:t>22.2 竞争性磋商文件和竞争性磋商响应文件是评审的依据。在评审中，不得改变竞争性磋商文件中规定的评审标准、方法和成交条件。</w:t>
      </w:r>
    </w:p>
    <w:p>
      <w:pPr>
        <w:spacing w:line="500" w:lineRule="exact"/>
        <w:ind w:firstLine="480" w:firstLineChars="200"/>
        <w:rPr>
          <w:rFonts w:ascii="仿宋" w:hAnsi="仿宋" w:cs="Times New Roman"/>
          <w:b w:val="0"/>
          <w:bCs w:val="0"/>
          <w:color w:val="auto"/>
        </w:rPr>
      </w:pPr>
      <w:r>
        <w:rPr>
          <w:rFonts w:hint="eastAsia"/>
          <w:color w:val="auto"/>
          <w:sz w:val="24"/>
          <w:szCs w:val="24"/>
          <w:lang w:val="en-US"/>
        </w:rPr>
        <w:t>22.3 在评审期间，对竞争性磋商响应文件中含义不明确、同类问题表述不一致或者有明显文字和计算错误的内容，磋商小组可以通过不见面电子询标要求供应商作出必要的澄清、说明或者纠正。供应商应当在规定的澄清时限内按谈判小组要求的方式提交。</w:t>
      </w:r>
    </w:p>
    <w:p>
      <w:pPr>
        <w:spacing w:line="360" w:lineRule="auto"/>
        <w:ind w:firstLine="480" w:firstLineChars="200"/>
        <w:rPr>
          <w:rFonts w:hint="eastAsia"/>
          <w:color w:val="auto"/>
          <w:sz w:val="24"/>
          <w:szCs w:val="24"/>
          <w:lang w:val="en-US"/>
        </w:rPr>
      </w:pPr>
      <w:r>
        <w:rPr>
          <w:rFonts w:hint="eastAsia"/>
          <w:color w:val="auto"/>
          <w:sz w:val="24"/>
          <w:szCs w:val="24"/>
          <w:lang w:val="en-US"/>
        </w:rPr>
        <w:t>供应商的澄清、说明或者补正不得超出竞争性磋商响应文件的范围或者改变竞争性磋商响应文件的实质性内容。</w:t>
      </w:r>
    </w:p>
    <w:p>
      <w:pPr>
        <w:spacing w:line="360" w:lineRule="auto"/>
        <w:ind w:firstLine="480" w:firstLineChars="200"/>
        <w:rPr>
          <w:rFonts w:hint="eastAsia"/>
          <w:color w:val="auto"/>
          <w:sz w:val="24"/>
          <w:szCs w:val="24"/>
          <w:lang w:val="en-US"/>
        </w:rPr>
      </w:pPr>
      <w:r>
        <w:rPr>
          <w:rFonts w:hint="eastAsia"/>
          <w:color w:val="auto"/>
          <w:sz w:val="24"/>
          <w:szCs w:val="24"/>
          <w:lang w:val="en-US"/>
        </w:rPr>
        <w:t>22.4 如果供应商在澄清规定期限内，未能答复或拒绝答复磋商小组提出的澄清要求，将由磋商小组根据其竞争性磋商响应文件按最大风险进行评审。</w:t>
      </w:r>
    </w:p>
    <w:p>
      <w:pPr>
        <w:spacing w:line="360" w:lineRule="auto"/>
        <w:ind w:firstLine="480" w:firstLineChars="200"/>
        <w:rPr>
          <w:rFonts w:hint="eastAsia"/>
          <w:color w:val="auto"/>
          <w:sz w:val="24"/>
          <w:szCs w:val="24"/>
          <w:lang w:val="en-US"/>
        </w:rPr>
      </w:pPr>
      <w:r>
        <w:rPr>
          <w:rFonts w:hint="eastAsia"/>
          <w:color w:val="auto"/>
          <w:sz w:val="24"/>
          <w:szCs w:val="24"/>
          <w:lang w:val="en-US"/>
        </w:rPr>
        <w:t>22.5 磋商过程中的实质性变动：</w:t>
      </w:r>
    </w:p>
    <w:p>
      <w:pPr>
        <w:spacing w:line="360" w:lineRule="auto"/>
        <w:ind w:firstLine="480" w:firstLineChars="200"/>
        <w:rPr>
          <w:rFonts w:hint="eastAsia"/>
          <w:color w:val="auto"/>
          <w:sz w:val="24"/>
          <w:szCs w:val="24"/>
          <w:lang w:val="en-US"/>
        </w:rPr>
      </w:pPr>
      <w:r>
        <w:rPr>
          <w:rFonts w:hint="eastAsia"/>
          <w:color w:val="auto"/>
          <w:sz w:val="24"/>
          <w:szCs w:val="24"/>
          <w:lang w:val="en-US"/>
        </w:rPr>
        <w:t>22.5.1 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int="eastAsia"/>
          <w:color w:val="auto"/>
          <w:sz w:val="24"/>
          <w:szCs w:val="24"/>
        </w:rPr>
      </w:pPr>
      <w:r>
        <w:rPr>
          <w:rFonts w:hint="eastAsia"/>
          <w:color w:val="auto"/>
          <w:sz w:val="24"/>
          <w:szCs w:val="24"/>
          <w:lang w:val="en-US"/>
        </w:rPr>
        <w:t>22.5.2 对竞争性磋商文件做出的实质性变动是磋商文件的有效组成部分，磋商小组应当及时以书面形式通知所有参加磋商的供应商。</w:t>
      </w:r>
    </w:p>
    <w:p>
      <w:pPr>
        <w:spacing w:line="360" w:lineRule="auto"/>
        <w:ind w:firstLine="480" w:firstLineChars="200"/>
        <w:rPr>
          <w:rFonts w:hint="eastAsia"/>
          <w:color w:val="auto"/>
          <w:sz w:val="24"/>
          <w:szCs w:val="24"/>
          <w:lang w:val="en-US"/>
        </w:rPr>
      </w:pPr>
      <w:r>
        <w:rPr>
          <w:rFonts w:hint="eastAsia"/>
          <w:color w:val="auto"/>
          <w:sz w:val="24"/>
          <w:szCs w:val="24"/>
          <w:lang w:val="en-US"/>
        </w:rPr>
        <w:t>22.6 竞争性磋商响应文件的初审（含资格性检查和符合性检查）</w:t>
      </w:r>
    </w:p>
    <w:p>
      <w:pPr>
        <w:spacing w:line="360" w:lineRule="auto"/>
        <w:ind w:firstLine="480" w:firstLineChars="200"/>
        <w:rPr>
          <w:rFonts w:hint="eastAsia"/>
          <w:sz w:val="24"/>
          <w:szCs w:val="24"/>
          <w:lang w:val="en-US"/>
        </w:rPr>
      </w:pPr>
      <w:r>
        <w:rPr>
          <w:rFonts w:hint="eastAsia"/>
          <w:sz w:val="24"/>
          <w:szCs w:val="24"/>
          <w:lang w:val="en-US"/>
        </w:rPr>
        <w:t>22.6.1 磋商小组将审查竞争性磋商响应文件是否完整、资格证明文件是否齐全， 磋商保证金是否合格、有无计算上的错误等。</w:t>
      </w:r>
    </w:p>
    <w:p>
      <w:pPr>
        <w:spacing w:line="360" w:lineRule="auto"/>
        <w:ind w:firstLine="480" w:firstLineChars="200"/>
        <w:rPr>
          <w:rFonts w:hint="eastAsia"/>
          <w:sz w:val="24"/>
          <w:szCs w:val="24"/>
        </w:rPr>
      </w:pPr>
      <w:r>
        <w:rPr>
          <w:rFonts w:hint="eastAsia"/>
          <w:sz w:val="24"/>
          <w:szCs w:val="24"/>
          <w:lang w:val="en-US"/>
        </w:rPr>
        <w:t>22.6.2 计算错误将按以下方法更正：</w:t>
      </w:r>
    </w:p>
    <w:p>
      <w:pPr>
        <w:spacing w:line="360" w:lineRule="auto"/>
        <w:ind w:firstLine="480" w:firstLineChars="200"/>
        <w:rPr>
          <w:rFonts w:hint="eastAsia"/>
          <w:sz w:val="24"/>
          <w:szCs w:val="24"/>
          <w:lang w:val="en-US"/>
        </w:rPr>
      </w:pPr>
      <w:r>
        <w:rPr>
          <w:rFonts w:hint="eastAsia"/>
          <w:sz w:val="24"/>
          <w:szCs w:val="24"/>
          <w:lang w:val="en-US"/>
        </w:rPr>
        <w:t>1）磋商响应文件中报价一览表(报价表)内容与磋商响应文件中相应内容不一致的，以报价一览表(报价表)为准；</w:t>
      </w:r>
    </w:p>
    <w:p>
      <w:pPr>
        <w:spacing w:line="360" w:lineRule="auto"/>
        <w:ind w:firstLine="480" w:firstLineChars="200"/>
        <w:rPr>
          <w:rFonts w:hint="eastAsia"/>
          <w:sz w:val="24"/>
          <w:szCs w:val="24"/>
          <w:lang w:val="en-US"/>
        </w:rPr>
      </w:pPr>
      <w:r>
        <w:rPr>
          <w:rFonts w:hint="eastAsia"/>
          <w:sz w:val="24"/>
          <w:szCs w:val="24"/>
          <w:lang w:val="en-US"/>
        </w:rPr>
        <w:t>2）磋商响应文件的大写金额和小写金额不一致的，以大写金额为准；</w:t>
      </w:r>
    </w:p>
    <w:p>
      <w:pPr>
        <w:spacing w:line="360" w:lineRule="auto"/>
        <w:ind w:firstLine="480" w:firstLineChars="200"/>
        <w:rPr>
          <w:rFonts w:hint="eastAsia"/>
          <w:sz w:val="24"/>
          <w:szCs w:val="24"/>
          <w:lang w:val="en-US"/>
        </w:rPr>
      </w:pPr>
      <w:r>
        <w:rPr>
          <w:rFonts w:hint="eastAsia"/>
          <w:sz w:val="24"/>
          <w:szCs w:val="24"/>
          <w:lang w:val="en-US"/>
        </w:rPr>
        <w:t>3）单价金额小数点或者百分比有明显错位的，以报价一览表的总价为准，并修改单价；</w:t>
      </w:r>
    </w:p>
    <w:p>
      <w:pPr>
        <w:spacing w:line="360" w:lineRule="auto"/>
        <w:ind w:firstLine="480" w:firstLineChars="200"/>
        <w:rPr>
          <w:rFonts w:hint="eastAsia"/>
          <w:sz w:val="24"/>
          <w:szCs w:val="24"/>
          <w:lang w:val="en-US"/>
        </w:rPr>
      </w:pPr>
      <w:r>
        <w:rPr>
          <w:rFonts w:hint="eastAsia"/>
          <w:sz w:val="24"/>
          <w:szCs w:val="24"/>
          <w:lang w:val="en-US"/>
        </w:rPr>
        <w:t>4）总价金额与按单价汇总金额不一致的，以单价金额计算结果为准；</w:t>
      </w:r>
    </w:p>
    <w:p>
      <w:pPr>
        <w:spacing w:line="360" w:lineRule="auto"/>
        <w:ind w:firstLine="480" w:firstLineChars="200"/>
        <w:rPr>
          <w:rFonts w:hint="eastAsia"/>
          <w:sz w:val="24"/>
          <w:szCs w:val="24"/>
          <w:lang w:val="en-US"/>
        </w:rPr>
      </w:pPr>
      <w:r>
        <w:rPr>
          <w:rFonts w:hint="eastAsia"/>
          <w:sz w:val="24"/>
          <w:szCs w:val="24"/>
          <w:lang w:val="en-US"/>
        </w:rPr>
        <w:t>5）按上述修正的顺序和方法调整的报价应对供应商具有约束力。如果供应商不接受修正后的价格，其响应文件将按无效响应处理。</w:t>
      </w:r>
    </w:p>
    <w:p>
      <w:pPr>
        <w:spacing w:line="360" w:lineRule="auto"/>
        <w:ind w:firstLine="480" w:firstLineChars="200"/>
        <w:rPr>
          <w:rFonts w:hint="eastAsia"/>
          <w:sz w:val="24"/>
          <w:szCs w:val="24"/>
          <w:lang w:val="en-US"/>
        </w:rPr>
      </w:pPr>
      <w:r>
        <w:rPr>
          <w:rFonts w:hint="eastAsia"/>
          <w:sz w:val="24"/>
          <w:szCs w:val="24"/>
          <w:lang w:val="en-US"/>
        </w:rPr>
        <w:t>22.6.3 对于竞争性磋商响应文件中明显的标点符号错误或不构成实质性偏差的不正规、不一致或不规则，采购人可以接受。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22.6.4 在详细评审之前，根据本须知第 22.6.5 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22.6.5 实质上没有响应竞争性磋商文件要求的磋商将被拒绝。供应商不得通过修正或撤销不合要求的偏离从而使其磋商成为实质性响应的磋商。如发现下列情况之一的，其磋商将构成非实质性响应，按无效磋商处理：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rPr>
        <w:t>1）</w:t>
      </w:r>
      <w:r>
        <w:rPr>
          <w:rFonts w:hint="eastAsia"/>
          <w:sz w:val="24"/>
          <w:szCs w:val="24"/>
        </w:rPr>
        <w:t>没有按照竞争性磋商文件要求提供的竞争性磋商响应文件或竞争性磋商响应文件构成有重大缺项；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rPr>
        <w:t>2）</w:t>
      </w:r>
      <w:r>
        <w:rPr>
          <w:rFonts w:hint="eastAsia"/>
          <w:sz w:val="24"/>
          <w:szCs w:val="24"/>
        </w:rPr>
        <w:t>竞争性磋商响应文件未按竞争性磋商文件要求密封、签署、盖章的；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rPr>
        <w:t>3）</w:t>
      </w:r>
      <w:r>
        <w:rPr>
          <w:rFonts w:hint="eastAsia"/>
          <w:sz w:val="24"/>
          <w:szCs w:val="24"/>
        </w:rPr>
        <w:t>供应商未提交有效的磋商保证金或金额不足的、磋商保证金形式不符合竞争性磋商文件要求的；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4</w:t>
      </w:r>
      <w:r>
        <w:rPr>
          <w:rFonts w:hint="eastAsia"/>
          <w:sz w:val="24"/>
          <w:szCs w:val="24"/>
          <w:lang w:val="en-US"/>
        </w:rPr>
        <w:t>）</w:t>
      </w:r>
      <w:r>
        <w:rPr>
          <w:rFonts w:hint="eastAsia"/>
          <w:sz w:val="24"/>
          <w:szCs w:val="24"/>
        </w:rPr>
        <w:t>竞争性磋商响应文件无供应商公章、无法定代表人签字或签字人无法定代表人有效委托书的；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5</w:t>
      </w:r>
      <w:r>
        <w:rPr>
          <w:rFonts w:hint="eastAsia"/>
          <w:sz w:val="24"/>
          <w:szCs w:val="24"/>
          <w:lang w:val="en-US"/>
        </w:rPr>
        <w:t>）</w:t>
      </w:r>
      <w:r>
        <w:rPr>
          <w:rFonts w:hint="eastAsia"/>
          <w:sz w:val="24"/>
          <w:szCs w:val="24"/>
        </w:rPr>
        <w:t>无磋商有效期或有效期达不到竞争性磋商文件要求的；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6</w:t>
      </w:r>
      <w:r>
        <w:rPr>
          <w:rFonts w:hint="eastAsia"/>
          <w:sz w:val="24"/>
          <w:szCs w:val="24"/>
          <w:lang w:val="en-US"/>
        </w:rPr>
        <w:t>）</w:t>
      </w:r>
      <w:r>
        <w:rPr>
          <w:rFonts w:hint="eastAsia"/>
          <w:sz w:val="24"/>
          <w:szCs w:val="24"/>
        </w:rPr>
        <w:t>供应商在同一份竞争性磋商响应文件中，有两个或多个报价的；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7</w:t>
      </w:r>
      <w:r>
        <w:rPr>
          <w:rFonts w:hint="eastAsia"/>
          <w:sz w:val="24"/>
          <w:szCs w:val="24"/>
          <w:lang w:val="en-US"/>
        </w:rPr>
        <w:t>）</w:t>
      </w:r>
      <w:r>
        <w:rPr>
          <w:rFonts w:hint="eastAsia"/>
          <w:sz w:val="24"/>
          <w:szCs w:val="24"/>
        </w:rPr>
        <w:t>存在有重大缺漏项和重大偏离的；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8</w:t>
      </w:r>
      <w:r>
        <w:rPr>
          <w:rFonts w:hint="eastAsia"/>
          <w:sz w:val="24"/>
          <w:szCs w:val="24"/>
          <w:lang w:val="en-US"/>
        </w:rPr>
        <w:t>）</w:t>
      </w:r>
      <w:r>
        <w:rPr>
          <w:rFonts w:hint="eastAsia"/>
          <w:sz w:val="24"/>
          <w:szCs w:val="24"/>
        </w:rPr>
        <w:t>供应商有串通磋商、以他人名义磋商、行贿、提供虚假证明（包括第三方提供的虚假证明），开具虚假资质，出现虚假应答的，除按无效文件处理外，还将按照政府采购的有关规定进行处罚；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9</w:t>
      </w:r>
      <w:r>
        <w:rPr>
          <w:rFonts w:hint="eastAsia"/>
          <w:sz w:val="24"/>
          <w:szCs w:val="24"/>
          <w:lang w:val="en-US"/>
        </w:rPr>
        <w:t>）</w:t>
      </w:r>
      <w:r>
        <w:rPr>
          <w:rFonts w:hint="eastAsia"/>
          <w:sz w:val="24"/>
          <w:szCs w:val="24"/>
        </w:rPr>
        <w:t>磋商总报价低于成本或者高于竞争性磋商文件公布的采购预算的。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rPr>
        <w:t>1</w:t>
      </w:r>
      <w:r>
        <w:rPr>
          <w:rFonts w:hint="eastAsia"/>
          <w:sz w:val="24"/>
          <w:szCs w:val="24"/>
          <w:lang w:val="en-US" w:eastAsia="zh-CN"/>
        </w:rPr>
        <w:t>0</w:t>
      </w:r>
      <w:r>
        <w:rPr>
          <w:rFonts w:hint="eastAsia"/>
          <w:sz w:val="24"/>
          <w:szCs w:val="24"/>
          <w:lang w:val="en-US"/>
        </w:rPr>
        <w:t>）</w:t>
      </w:r>
      <w:r>
        <w:rPr>
          <w:rFonts w:hint="eastAsia"/>
          <w:sz w:val="24"/>
          <w:szCs w:val="24"/>
        </w:rPr>
        <w:t>竞争性磋商响应文件含有采购人不能接受的附加条件的；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22.7 竞争性磋商响应文件的详细评审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22.7.1 磋商小组将按照本须知第 22.6.4 条规定，只对确定为实质性响应竞争性磋商文件要求的磋商响应文件进行详细评审。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22.7.2 详细评审按照“供应商须知前附表”的评审方法进行。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22.7.3 成交候选人的确定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磋商小组完成评审后，向采购人提出书面评审，并推荐3名成交候选人，标明排列顺序。</w:t>
      </w: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0" w:name="_Toc5384"/>
      <w:r>
        <w:rPr>
          <w:rFonts w:hint="eastAsia" w:ascii="宋体" w:hAnsi="宋体" w:eastAsia="宋体" w:cs="宋体"/>
          <w:lang w:val="en-US"/>
        </w:rPr>
        <w:t>23.评审过程的保密</w:t>
      </w:r>
      <w:bookmarkEnd w:id="20"/>
    </w:p>
    <w:p>
      <w:pPr>
        <w:spacing w:line="360" w:lineRule="auto"/>
        <w:ind w:firstLine="480" w:firstLineChars="200"/>
        <w:rPr>
          <w:rFonts w:hint="eastAsia"/>
          <w:sz w:val="24"/>
          <w:szCs w:val="24"/>
          <w:lang w:val="en-US"/>
        </w:rPr>
      </w:pPr>
      <w:r>
        <w:rPr>
          <w:rFonts w:hint="eastAsia"/>
          <w:sz w:val="24"/>
          <w:szCs w:val="24"/>
          <w:lang w:val="en-US"/>
        </w:rPr>
        <w:t>磋商小组成员和与评审活动有关的工作人员不得泄露有关竞争性磋商响应文件的评审和比较、成交候选人的推荐以及与评审有关的其他情况。</w:t>
      </w: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1" w:name="_Toc21261"/>
      <w:r>
        <w:rPr>
          <w:rFonts w:hint="eastAsia" w:ascii="宋体" w:hAnsi="宋体" w:eastAsia="宋体" w:cs="宋体"/>
          <w:lang w:val="en-US"/>
        </w:rPr>
        <w:t>24.评审方法</w:t>
      </w:r>
      <w:bookmarkEnd w:id="21"/>
    </w:p>
    <w:p>
      <w:pPr>
        <w:spacing w:line="360" w:lineRule="auto"/>
        <w:ind w:firstLine="480" w:firstLineChars="200"/>
        <w:rPr>
          <w:rFonts w:hint="eastAsia"/>
          <w:sz w:val="24"/>
          <w:szCs w:val="24"/>
          <w:lang w:val="en-US"/>
        </w:rPr>
      </w:pPr>
      <w:r>
        <w:rPr>
          <w:rFonts w:hint="eastAsia"/>
          <w:sz w:val="24"/>
          <w:szCs w:val="24"/>
          <w:lang w:val="en-US"/>
        </w:rPr>
        <w:t>按照按照《中华人民共和国政府采购法》及实施条例和关于印发《政府竞争性磋商采购方式管理暂行办法》的通知（财库【2014】214 号），本次评审采用综合评分法，即在全部满足竞争性磋商文件实质性要求前提下，磋商小组应当根据综合评分情况，按照评审得分高低顺序推存3名成交候选人。</w:t>
      </w: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2" w:name="_Toc32545"/>
      <w:r>
        <w:rPr>
          <w:rFonts w:hint="eastAsia" w:ascii="宋体" w:hAnsi="宋体" w:eastAsia="宋体" w:cs="宋体"/>
          <w:lang w:val="en-US"/>
        </w:rPr>
        <w:t>25.评审程序</w:t>
      </w:r>
      <w:bookmarkEnd w:id="22"/>
    </w:p>
    <w:p>
      <w:pPr>
        <w:spacing w:line="360" w:lineRule="auto"/>
        <w:ind w:firstLine="480" w:firstLineChars="200"/>
        <w:rPr>
          <w:rFonts w:hint="eastAsia"/>
          <w:sz w:val="24"/>
          <w:szCs w:val="24"/>
          <w:lang w:val="en-US"/>
        </w:rPr>
      </w:pPr>
      <w:r>
        <w:rPr>
          <w:rFonts w:hint="eastAsia"/>
          <w:sz w:val="24"/>
          <w:szCs w:val="24"/>
          <w:lang w:val="en-US"/>
        </w:rPr>
        <w:t>按照竞争性磋商响应文件初审、澄清有关问题、分别磋商、二次报价、比较与评审、推荐成交候选人名单的工作程序进行评审。在上一步评审中被认定为无效磋商者， 不进入下一步的评审。</w:t>
      </w:r>
    </w:p>
    <w:p>
      <w:pPr>
        <w:pStyle w:val="6"/>
        <w:spacing w:before="0" w:line="360" w:lineRule="auto"/>
        <w:ind w:right="735"/>
        <w:jc w:val="center"/>
        <w:rPr>
          <w:rFonts w:hint="eastAsia" w:ascii="宋体" w:hAnsi="宋体" w:eastAsia="宋体" w:cs="宋体"/>
        </w:rPr>
      </w:pPr>
      <w:r>
        <w:rPr>
          <w:rFonts w:hint="eastAsia" w:ascii="宋体" w:hAnsi="宋体" w:eastAsia="宋体" w:cs="宋体"/>
        </w:rPr>
        <w:t>六  成交、通知与签约</w:t>
      </w:r>
    </w:p>
    <w:p>
      <w:pPr>
        <w:spacing w:line="360" w:lineRule="auto"/>
        <w:rPr>
          <w:rFonts w:hint="eastAsia" w:ascii="宋体" w:hAnsi="宋体" w:eastAsia="宋体" w:cs="宋体"/>
        </w:rPr>
      </w:pP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3" w:name="_Toc13291"/>
      <w:r>
        <w:rPr>
          <w:rFonts w:hint="eastAsia" w:ascii="宋体" w:hAnsi="宋体" w:eastAsia="宋体" w:cs="宋体"/>
          <w:lang w:val="en-US"/>
        </w:rPr>
        <w:t>26.成交程序</w:t>
      </w:r>
      <w:bookmarkEnd w:id="2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26.1 磋商小组根据评审方法的规定对供应商进行评审排序，推荐3名成交候选人，作为评审结果。评审结果由全体磋商小组成员签字确认。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26.2 采购人根据磋商报告中推荐的成交候选人排列顺序，确定排名第一的为成交供应商。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26.3 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26.4 采购人也可以授权磋商小组评审后直接确定成交供应商。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26.5 成交供应商确定之后，成交结果将在财政部门指定的政府采购信息发布媒体上公告。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26.6 供应商或者其他利害关系人对评审结果有异议的，应当在法律规定的时间内提出。</w:t>
      </w: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4" w:name="_Toc26674"/>
      <w:r>
        <w:rPr>
          <w:rFonts w:hint="eastAsia" w:ascii="宋体" w:hAnsi="宋体" w:eastAsia="宋体" w:cs="宋体"/>
          <w:lang w:val="en-US"/>
        </w:rPr>
        <w:t>27.成交与落标通知</w:t>
      </w:r>
      <w:bookmarkEnd w:id="24"/>
    </w:p>
    <w:p>
      <w:pPr>
        <w:pageBreakBefore w:val="0"/>
        <w:wordWrap/>
        <w:overflowPunct/>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lang w:val="en-US"/>
        </w:rPr>
        <w:t>27.1 采购代理机构向成交供应商发出《成交通知书》</w:t>
      </w:r>
      <w:r>
        <w:rPr>
          <w:rFonts w:hint="eastAsia" w:ascii="宋体" w:hAnsi="宋体" w:cs="宋体"/>
          <w:sz w:val="24"/>
          <w:szCs w:val="24"/>
          <w:lang w:val="en-US" w:eastAsia="zh-CN"/>
        </w:rPr>
        <w:t>，</w:t>
      </w:r>
      <w:r>
        <w:rPr>
          <w:rFonts w:hint="eastAsia" w:ascii="宋体" w:hAnsi="宋体" w:eastAsia="宋体" w:cs="宋体"/>
          <w:sz w:val="24"/>
          <w:lang w:val="en-US" w:eastAsia="zh-CN"/>
        </w:rPr>
        <w:t>向未成交单位发出“未成交</w:t>
      </w:r>
      <w:r>
        <w:rPr>
          <w:rFonts w:hint="eastAsia" w:ascii="宋体" w:hAnsi="宋体" w:eastAsia="宋体" w:cs="宋体"/>
          <w:sz w:val="24"/>
          <w:szCs w:val="24"/>
          <w:lang w:val="en-US"/>
        </w:rPr>
        <w:t>通知书</w:t>
      </w:r>
      <w:r>
        <w:rPr>
          <w:rFonts w:hint="eastAsia" w:ascii="宋体" w:hAnsi="宋体" w:eastAsia="宋体" w:cs="宋体"/>
          <w:sz w:val="24"/>
          <w:lang w:val="en-US" w:eastAsia="zh-CN"/>
        </w:rPr>
        <w:t>”</w:t>
      </w:r>
      <w:r>
        <w:rPr>
          <w:rFonts w:hint="eastAsia" w:ascii="宋体" w:hAnsi="宋体" w:eastAsia="宋体" w:cs="宋体"/>
          <w:sz w:val="24"/>
        </w:rPr>
        <w:t>。</w:t>
      </w:r>
    </w:p>
    <w:p>
      <w:pPr>
        <w:spacing w:line="360" w:lineRule="auto"/>
        <w:ind w:firstLine="480" w:firstLineChars="200"/>
        <w:rPr>
          <w:rFonts w:hint="eastAsia"/>
          <w:sz w:val="24"/>
          <w:szCs w:val="24"/>
          <w:lang w:val="en-US"/>
        </w:rPr>
      </w:pPr>
      <w:r>
        <w:rPr>
          <w:rFonts w:hint="eastAsia"/>
          <w:sz w:val="24"/>
          <w:szCs w:val="24"/>
          <w:lang w:val="en-US"/>
        </w:rPr>
        <w:t>27.2 成交通知书对采购人和成交供应商具有同等法律效力。成交通知书发出之后，采购人改变成交结果，或者成交供应商放弃成交，应当承担相应的法律责任。</w:t>
      </w: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5" w:name="_Toc6750"/>
      <w:r>
        <w:rPr>
          <w:rFonts w:hint="eastAsia" w:ascii="宋体" w:hAnsi="宋体" w:eastAsia="宋体" w:cs="宋体"/>
          <w:lang w:val="en-US"/>
        </w:rPr>
        <w:t>28.成交合同的签订</w:t>
      </w:r>
      <w:bookmarkEnd w:id="25"/>
    </w:p>
    <w:p>
      <w:pPr>
        <w:spacing w:line="360" w:lineRule="auto"/>
        <w:ind w:firstLine="480" w:firstLineChars="200"/>
        <w:rPr>
          <w:rFonts w:hint="eastAsia"/>
          <w:sz w:val="24"/>
          <w:szCs w:val="24"/>
          <w:lang w:val="en-US"/>
        </w:rPr>
      </w:pPr>
      <w:r>
        <w:rPr>
          <w:rFonts w:hint="eastAsia"/>
          <w:sz w:val="24"/>
          <w:szCs w:val="24"/>
          <w:lang w:val="en-US"/>
        </w:rPr>
        <w:t>28.1 采购人应当自成交通知书发出之日起十</w:t>
      </w:r>
      <w:r>
        <w:rPr>
          <w:rFonts w:hint="eastAsia"/>
          <w:sz w:val="24"/>
          <w:szCs w:val="24"/>
          <w:lang w:val="en-US" w:eastAsia="zh-CN"/>
        </w:rPr>
        <w:t>个工作</w:t>
      </w:r>
      <w:r>
        <w:rPr>
          <w:rFonts w:hint="eastAsia"/>
          <w:sz w:val="24"/>
          <w:szCs w:val="24"/>
          <w:lang w:val="en-US"/>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int="eastAsia"/>
          <w:sz w:val="24"/>
          <w:szCs w:val="24"/>
          <w:lang w:val="en-US"/>
        </w:rPr>
      </w:pPr>
      <w:r>
        <w:rPr>
          <w:rFonts w:hint="eastAsia"/>
          <w:sz w:val="24"/>
          <w:szCs w:val="24"/>
          <w:lang w:val="en-US"/>
        </w:rPr>
        <w:t>28.2 采购人自采购合同签订之日起</w:t>
      </w:r>
      <w:r>
        <w:rPr>
          <w:rFonts w:hint="eastAsia"/>
          <w:sz w:val="24"/>
          <w:szCs w:val="24"/>
          <w:lang w:val="en-US" w:eastAsia="zh-CN"/>
        </w:rPr>
        <w:t>2</w:t>
      </w:r>
      <w:r>
        <w:rPr>
          <w:rFonts w:hint="eastAsia"/>
          <w:sz w:val="24"/>
          <w:szCs w:val="24"/>
          <w:lang w:val="en-US"/>
        </w:rPr>
        <w:t>个工作日内，将采购合同</w:t>
      </w:r>
      <w:r>
        <w:rPr>
          <w:rFonts w:hint="eastAsia"/>
          <w:sz w:val="24"/>
          <w:szCs w:val="24"/>
          <w:lang w:val="en-US" w:eastAsia="zh-CN"/>
        </w:rPr>
        <w:t>上传至陕西省政府采购网</w:t>
      </w:r>
      <w:r>
        <w:rPr>
          <w:rFonts w:hint="eastAsia"/>
          <w:sz w:val="24"/>
          <w:szCs w:val="24"/>
          <w:lang w:val="en-US"/>
        </w:rPr>
        <w:t>。</w:t>
      </w:r>
    </w:p>
    <w:p>
      <w:pPr>
        <w:pStyle w:val="7"/>
        <w:tabs>
          <w:tab w:val="left" w:pos="1143"/>
        </w:tabs>
        <w:spacing w:line="360" w:lineRule="auto"/>
        <w:ind w:left="0" w:firstLine="482" w:firstLineChars="200"/>
        <w:outlineLvl w:val="0"/>
        <w:rPr>
          <w:rFonts w:hint="eastAsia" w:ascii="宋体" w:hAnsi="宋体" w:eastAsia="宋体" w:cs="宋体"/>
          <w:lang w:val="en-US"/>
        </w:rPr>
      </w:pPr>
      <w:bookmarkStart w:id="26" w:name="_Toc517"/>
      <w:r>
        <w:rPr>
          <w:rFonts w:hint="eastAsia" w:ascii="宋体" w:hAnsi="宋体" w:eastAsia="宋体" w:cs="宋体"/>
          <w:lang w:val="en-US"/>
        </w:rPr>
        <w:t>29.成交代理服务费</w:t>
      </w:r>
      <w:bookmarkEnd w:id="26"/>
    </w:p>
    <w:p>
      <w:pPr>
        <w:spacing w:line="360" w:lineRule="auto"/>
        <w:ind w:firstLine="480" w:firstLineChars="200"/>
        <w:rPr>
          <w:rFonts w:hint="eastAsia"/>
          <w:sz w:val="24"/>
          <w:szCs w:val="24"/>
        </w:rPr>
      </w:pPr>
      <w:r>
        <w:rPr>
          <w:rFonts w:hint="eastAsia"/>
          <w:sz w:val="24"/>
          <w:szCs w:val="24"/>
          <w:lang w:val="en-US"/>
        </w:rPr>
        <w:t xml:space="preserve">29.1 </w:t>
      </w:r>
      <w:r>
        <w:rPr>
          <w:rFonts w:hint="eastAsia"/>
          <w:sz w:val="24"/>
          <w:szCs w:val="24"/>
        </w:rPr>
        <w:t>按照国家发展计划委员会计价格[2002]1980号文件及国家发展改革委员会办公厅颁发的《关于招标代理服务收费有关问题的通知》（发改办价格[2003]534号）的有关规定执行。</w:t>
      </w:r>
    </w:p>
    <w:p>
      <w:pPr>
        <w:spacing w:line="360" w:lineRule="auto"/>
        <w:ind w:firstLine="480" w:firstLineChars="200"/>
        <w:rPr>
          <w:rFonts w:hint="eastAsia"/>
          <w:sz w:val="24"/>
          <w:szCs w:val="24"/>
          <w:lang w:val="en-US"/>
        </w:rPr>
      </w:pPr>
      <w:r>
        <w:rPr>
          <w:rFonts w:hint="eastAsia"/>
          <w:sz w:val="24"/>
          <w:szCs w:val="24"/>
          <w:lang w:val="en-US"/>
        </w:rPr>
        <w:t>29.2 成交单位在领取成交通知书前，须向采购代理机构一次性支付成交代理服务费。</w:t>
      </w:r>
    </w:p>
    <w:p>
      <w:pPr>
        <w:pStyle w:val="7"/>
        <w:tabs>
          <w:tab w:val="left" w:pos="1143"/>
        </w:tabs>
        <w:spacing w:line="360" w:lineRule="auto"/>
        <w:ind w:left="0" w:leftChars="0" w:firstLine="482" w:firstLineChars="200"/>
        <w:outlineLvl w:val="0"/>
        <w:rPr>
          <w:rFonts w:hint="eastAsia" w:ascii="宋体" w:hAnsi="宋体" w:eastAsia="宋体" w:cs="宋体"/>
          <w:lang w:val="en-US"/>
        </w:rPr>
      </w:pPr>
      <w:bookmarkStart w:id="27" w:name="_Toc20217"/>
      <w:r>
        <w:rPr>
          <w:rFonts w:hint="eastAsia" w:ascii="宋体" w:hAnsi="宋体" w:eastAsia="宋体" w:cs="宋体"/>
          <w:lang w:val="en-US"/>
        </w:rPr>
        <w:t>30.质疑</w:t>
      </w:r>
      <w:bookmarkEnd w:id="27"/>
    </w:p>
    <w:p>
      <w:pPr>
        <w:pageBreakBefore w:val="0"/>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sz w:val="24"/>
          <w:szCs w:val="24"/>
        </w:rPr>
        <w:t>供应商认为采购文件、采购过程、中标或者成交结果使自己的权益受到损害的，可以在知道或者应知其权益受到损害之日起7个工作日内，以书面形式向采购人、采购代理机构提出质疑，</w:t>
      </w:r>
    </w:p>
    <w:p>
      <w:pPr>
        <w:pageBreakBefore w:val="0"/>
        <w:wordWrap/>
        <w:overflowPunct/>
        <w:autoSpaceDE/>
        <w:autoSpaceDN/>
        <w:bidi w:val="0"/>
        <w:adjustRightInd w:val="0"/>
        <w:snapToGrid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、供应商提</w:t>
      </w:r>
      <w:r>
        <w:rPr>
          <w:rFonts w:hint="eastAsia" w:ascii="宋体" w:hAnsi="宋体" w:eastAsia="宋体" w:cs="宋体"/>
          <w:color w:val="000000"/>
          <w:sz w:val="24"/>
          <w:szCs w:val="24"/>
          <w:highlight w:val="none"/>
        </w:rPr>
        <w:t>出质疑应当提交质疑函和必要的证明材料，并按财政部《质疑函范本》给定的格式进行填写，范本下载详见【财政部国库司（gks.mof.gov.cn）】网站〖首页•〉政府采购管理〗栏目中的《政府采购供应商质疑函范本》。</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《政府采购供应商质疑函范本》链接地址：</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http://www.mof.gov.cn/gp/xxgkml/gks/201802/t20180201_2804587.htm</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人为自然人的，应当由本人在《质疑函》上签字；质疑人为法人或者其他组织的，应当由法定代表人、主要负责人，或者其授权代表在《质疑函》上签字或者盖章，并加盖公章。授权代表办理质疑事项时，除提交《质疑函》外，还应当提交授权委托书及授权代表的有效身份证明，授权委托书应当载明委托代理的具体权限和事项。</w:t>
      </w:r>
    </w:p>
    <w:p>
      <w:pPr>
        <w:spacing w:line="360" w:lineRule="auto"/>
        <w:ind w:firstLine="720" w:firstLineChars="3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质疑函应当包括下列内容：</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zh-CN"/>
        </w:rPr>
        <w:t>投标人</w:t>
      </w:r>
      <w:r>
        <w:rPr>
          <w:rFonts w:hint="eastAsia" w:ascii="宋体" w:hAnsi="宋体" w:eastAsia="宋体" w:cs="宋体"/>
          <w:color w:val="000000"/>
          <w:sz w:val="24"/>
          <w:szCs w:val="24"/>
          <w:highlight w:val="none"/>
        </w:rPr>
        <w:t>的姓名或者名称、地址、邮编、联系人及联系电话；</w:t>
      </w:r>
    </w:p>
    <w:p>
      <w:pPr>
        <w:pStyle w:val="75"/>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质疑项目的名称、编号；</w:t>
      </w:r>
    </w:p>
    <w:p>
      <w:pPr>
        <w:pStyle w:val="75"/>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具体、明确的质疑事项和与质疑事项相关的请求；</w:t>
      </w:r>
    </w:p>
    <w:p>
      <w:pPr>
        <w:pStyle w:val="75"/>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事实依据；</w:t>
      </w:r>
    </w:p>
    <w:p>
      <w:pPr>
        <w:pStyle w:val="75"/>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必要的法律依据；</w:t>
      </w:r>
    </w:p>
    <w:p>
      <w:pPr>
        <w:pStyle w:val="75"/>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提出质疑的日期。 </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30.2</w:t>
      </w:r>
      <w:r>
        <w:rPr>
          <w:rFonts w:hint="eastAsia" w:ascii="宋体" w:hAnsi="宋体" w:eastAsia="宋体" w:cs="宋体"/>
          <w:color w:val="000000"/>
          <w:sz w:val="24"/>
          <w:szCs w:val="24"/>
          <w:highlight w:val="none"/>
        </w:rPr>
        <w:t>、在法定质疑期内，针对同一采购程序环节的质疑应当一次性提出。采购</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代理机构或采购人将在收到书面质疑后7个工作日内做出答复，并以书面形式通知质疑人和其他有关供应商。</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30.3</w:t>
      </w:r>
      <w:r>
        <w:rPr>
          <w:rFonts w:hint="eastAsia" w:ascii="宋体" w:hAnsi="宋体" w:eastAsia="宋体" w:cs="宋体"/>
          <w:color w:val="000000"/>
          <w:sz w:val="24"/>
          <w:szCs w:val="24"/>
          <w:highlight w:val="none"/>
        </w:rPr>
        <w:t>、有下列情形之一的，属于无效质疑，</w:t>
      </w:r>
      <w:r>
        <w:rPr>
          <w:rFonts w:hint="eastAsia" w:ascii="宋体" w:hAnsi="宋体" w:eastAsia="宋体" w:cs="宋体"/>
          <w:kern w:val="2"/>
          <w:sz w:val="24"/>
          <w:szCs w:val="24"/>
          <w:lang w:eastAsia="zh-CN"/>
        </w:rPr>
        <w:t>采购</w:t>
      </w:r>
      <w:r>
        <w:rPr>
          <w:rFonts w:hint="eastAsia" w:ascii="宋体" w:hAnsi="宋体" w:eastAsia="宋体" w:cs="宋体"/>
          <w:kern w:val="2"/>
          <w:sz w:val="24"/>
          <w:szCs w:val="24"/>
        </w:rPr>
        <w:t>代理机构</w:t>
      </w:r>
      <w:r>
        <w:rPr>
          <w:rFonts w:hint="eastAsia" w:ascii="宋体" w:hAnsi="宋体" w:eastAsia="宋体" w:cs="宋体"/>
          <w:color w:val="000000"/>
          <w:sz w:val="24"/>
          <w:szCs w:val="24"/>
          <w:highlight w:val="none"/>
        </w:rPr>
        <w:t>和采购人不予受理：</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（1）质疑人不是参与本次政府采购项目的供应商或潜在供应商；</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（2）质疑人与质疑事项不存在利害关系的；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（3）未在法定期限内提出质疑的；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（4）质疑未以书面形式提出，或质疑函主要内容构成不完整的，或缺乏必要的证明材料及证明材料不完整的；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（5）质疑函没有合法有效的签字、盖章或授权的；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（6）以非法手段取得证据、材料的；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（7）质疑答复后，同一质疑人就同一事项再次提出质疑的；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（8）不符合法律、法规、规章和政府采购监管机构规定的其他条件的。</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30.4</w:t>
      </w:r>
      <w:r>
        <w:rPr>
          <w:rFonts w:hint="eastAsia" w:ascii="宋体" w:hAnsi="宋体" w:eastAsia="宋体" w:cs="宋体"/>
          <w:color w:val="000000"/>
          <w:sz w:val="24"/>
          <w:szCs w:val="24"/>
          <w:highlight w:val="none"/>
        </w:rPr>
        <w:t>、质疑人对</w:t>
      </w:r>
      <w:r>
        <w:rPr>
          <w:rFonts w:hint="eastAsia" w:ascii="宋体" w:hAnsi="宋体" w:eastAsia="宋体" w:cs="宋体"/>
          <w:kern w:val="2"/>
          <w:sz w:val="24"/>
          <w:szCs w:val="24"/>
          <w:lang w:eastAsia="zh-CN"/>
        </w:rPr>
        <w:t>采购</w:t>
      </w:r>
      <w:r>
        <w:rPr>
          <w:rFonts w:hint="eastAsia" w:ascii="宋体" w:hAnsi="宋体" w:eastAsia="宋体" w:cs="宋体"/>
          <w:kern w:val="2"/>
          <w:sz w:val="24"/>
          <w:szCs w:val="24"/>
        </w:rPr>
        <w:t>代理机构</w:t>
      </w:r>
      <w:r>
        <w:rPr>
          <w:rFonts w:hint="eastAsia" w:ascii="宋体" w:hAnsi="宋体" w:eastAsia="宋体" w:cs="宋体"/>
          <w:color w:val="000000"/>
          <w:sz w:val="24"/>
          <w:szCs w:val="24"/>
          <w:highlight w:val="none"/>
        </w:rPr>
        <w:t>或采购人的答复不满意，以及</w:t>
      </w:r>
      <w:r>
        <w:rPr>
          <w:rFonts w:hint="eastAsia" w:ascii="宋体" w:hAnsi="宋体" w:eastAsia="宋体" w:cs="宋体"/>
          <w:kern w:val="2"/>
          <w:sz w:val="24"/>
          <w:szCs w:val="24"/>
          <w:lang w:eastAsia="zh-CN"/>
        </w:rPr>
        <w:t>采购</w:t>
      </w:r>
      <w:r>
        <w:rPr>
          <w:rFonts w:hint="eastAsia" w:ascii="宋体" w:hAnsi="宋体" w:eastAsia="宋体" w:cs="宋体"/>
          <w:kern w:val="2"/>
          <w:sz w:val="24"/>
          <w:szCs w:val="24"/>
        </w:rPr>
        <w:t>代理机构</w:t>
      </w:r>
      <w:r>
        <w:rPr>
          <w:rFonts w:hint="eastAsia" w:ascii="宋体" w:hAnsi="宋体" w:eastAsia="宋体" w:cs="宋体"/>
          <w:color w:val="000000"/>
          <w:sz w:val="24"/>
          <w:szCs w:val="24"/>
          <w:highlight w:val="none"/>
        </w:rPr>
        <w:t>或采购人未在规定时间内做出答复的，可以在答复期满后15个工作日内向政府采购监管机构提出投诉。</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30.5</w:t>
      </w:r>
      <w:r>
        <w:rPr>
          <w:rFonts w:hint="eastAsia" w:ascii="宋体" w:hAnsi="宋体" w:eastAsia="宋体" w:cs="宋体"/>
          <w:color w:val="000000"/>
          <w:sz w:val="24"/>
          <w:szCs w:val="24"/>
          <w:highlight w:val="none"/>
        </w:rPr>
        <w:t>、供应商投诉的事项不得超出已质疑事项的范围。</w:t>
      </w:r>
    </w:p>
    <w:p>
      <w:pPr>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lang w:val="en-US" w:eastAsia="zh-CN"/>
        </w:rPr>
        <w:t>30.6</w:t>
      </w:r>
      <w:r>
        <w:rPr>
          <w:rFonts w:hint="eastAsia" w:ascii="宋体" w:hAnsi="宋体" w:eastAsia="宋体" w:cs="宋体"/>
          <w:color w:val="000000"/>
          <w:sz w:val="24"/>
          <w:szCs w:val="24"/>
          <w:highlight w:val="none"/>
        </w:rPr>
        <w:t>、</w:t>
      </w:r>
      <w:r>
        <w:rPr>
          <w:rFonts w:hint="eastAsia" w:ascii="宋体" w:hAnsi="宋体" w:eastAsia="宋体" w:cs="宋体"/>
          <w:b w:val="0"/>
          <w:bCs/>
          <w:color w:val="000000"/>
          <w:sz w:val="24"/>
          <w:szCs w:val="24"/>
          <w:highlight w:val="none"/>
        </w:rPr>
        <w:t>对捏造事实、提供虚假材料进行质疑、投诉的行为予以严肃处理：</w:t>
      </w:r>
    </w:p>
    <w:p>
      <w:pPr>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依据《中华人民共和国政府采购法》及其实施条例、《政府采购质疑和投诉办法》等法律法规文件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hint="eastAsia" w:ascii="宋体" w:hAnsi="宋体" w:cs="宋体"/>
          <w:sz w:val="24"/>
          <w:szCs w:val="24"/>
        </w:rPr>
      </w:pPr>
      <w:r>
        <w:rPr>
          <w:rFonts w:hint="eastAsia" w:ascii="宋体" w:hAnsi="宋体" w:eastAsia="宋体" w:cs="宋体"/>
          <w:color w:val="000000"/>
          <w:sz w:val="24"/>
          <w:szCs w:val="24"/>
          <w:highlight w:val="none"/>
          <w:lang w:val="en-US" w:eastAsia="zh-CN"/>
        </w:rPr>
        <w:t>30.</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ascii="宋体" w:hAnsi="宋体" w:cs="宋体"/>
          <w:sz w:val="24"/>
          <w:szCs w:val="24"/>
        </w:rPr>
        <w:t>质疑人须在质疑书和相关证明材料每一页上加盖公章原件送至质疑函递交地址，扫描发送至</w:t>
      </w:r>
      <w:r>
        <w:rPr>
          <w:rFonts w:hint="eastAsia" w:ascii="宋体" w:hAnsi="宋体" w:cs="宋体"/>
          <w:sz w:val="24"/>
          <w:szCs w:val="24"/>
          <w:highlight w:val="none"/>
          <w:lang w:val="en-US" w:eastAsia="zh-CN"/>
        </w:rPr>
        <w:t>3035038231</w:t>
      </w:r>
      <w:r>
        <w:rPr>
          <w:rFonts w:hint="eastAsia" w:ascii="宋体" w:hAnsi="宋体" w:cs="宋体"/>
          <w:sz w:val="24"/>
          <w:szCs w:val="24"/>
          <w:highlight w:val="none"/>
        </w:rPr>
        <w:t>@qq.com。</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质疑提出时间：质疑需在有效期内提出，逾期不予受理。</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质疑函递交地址：</w:t>
      </w:r>
      <w:r>
        <w:rPr>
          <w:rFonts w:hint="eastAsia" w:ascii="宋体" w:hAnsi="宋体" w:cs="宋体"/>
          <w:color w:val="auto"/>
          <w:kern w:val="0"/>
          <w:sz w:val="24"/>
          <w:szCs w:val="24"/>
        </w:rPr>
        <w:t>榆林市航宇路弘景国际B座718</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室</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kern w:val="2"/>
          <w:sz w:val="24"/>
          <w:szCs w:val="24"/>
          <w:lang w:eastAsia="zh-CN"/>
        </w:rPr>
        <w:t>联系人：</w:t>
      </w:r>
      <w:r>
        <w:rPr>
          <w:rFonts w:hint="eastAsia" w:ascii="宋体" w:hAnsi="宋体" w:cs="宋体"/>
          <w:color w:val="auto"/>
          <w:sz w:val="24"/>
          <w:szCs w:val="24"/>
        </w:rPr>
        <w:t>高工（业务部）</w:t>
      </w:r>
    </w:p>
    <w:p>
      <w:pPr>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w:t>
      </w:r>
      <w:r>
        <w:rPr>
          <w:rFonts w:hint="eastAsia" w:ascii="宋体" w:hAnsi="宋体" w:eastAsia="宋体" w:cs="宋体"/>
          <w:kern w:val="2"/>
          <w:sz w:val="24"/>
          <w:szCs w:val="24"/>
          <w:lang w:eastAsia="zh-CN"/>
        </w:rPr>
        <w:t>方</w:t>
      </w:r>
      <w:r>
        <w:rPr>
          <w:rFonts w:hint="eastAsia" w:ascii="宋体" w:hAnsi="宋体" w:eastAsia="宋体" w:cs="宋体"/>
          <w:kern w:val="0"/>
          <w:sz w:val="24"/>
          <w:szCs w:val="24"/>
          <w:lang w:val="en-US" w:eastAsia="zh-CN" w:bidi="ar-SA"/>
        </w:rPr>
        <w:t>式</w:t>
      </w:r>
      <w:r>
        <w:rPr>
          <w:rFonts w:hint="eastAsia" w:ascii="宋体" w:hAnsi="宋体" w:eastAsia="宋体" w:cs="宋体"/>
          <w:color w:val="000000"/>
          <w:sz w:val="24"/>
          <w:szCs w:val="24"/>
          <w:highlight w:val="none"/>
        </w:rPr>
        <w:t>：</w:t>
      </w:r>
      <w:r>
        <w:rPr>
          <w:rFonts w:hint="eastAsia" w:ascii="宋体" w:hAnsi="宋体" w:cs="宋体"/>
          <w:color w:val="auto"/>
          <w:sz w:val="24"/>
          <w:szCs w:val="24"/>
        </w:rPr>
        <w:t>0912-3830132，18098009261</w:t>
      </w:r>
    </w:p>
    <w:p>
      <w:pPr>
        <w:rPr>
          <w:rFonts w:hint="default"/>
          <w:color w:val="auto"/>
          <w:lang w:val="en-US" w:eastAsia="zh-CN"/>
        </w:rPr>
      </w:pP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供应商和其他利害关系人认为本次</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活动违反法律、法规和规章规定的，有权向项目所在地财政局提出投诉，质疑是投诉的前置条件</w:t>
      </w:r>
      <w:r>
        <w:rPr>
          <w:rFonts w:hint="eastAsia" w:ascii="宋体" w:hAnsi="宋体" w:cs="宋体"/>
          <w:sz w:val="24"/>
          <w:szCs w:val="24"/>
          <w:lang w:val="en-US" w:eastAsia="zh-CN"/>
        </w:rPr>
        <w:t>。</w:t>
      </w:r>
    </w:p>
    <w:p>
      <w:pPr>
        <w:pStyle w:val="21"/>
        <w:rPr>
          <w:rFonts w:hint="eastAsia" w:ascii="宋体" w:hAnsi="宋体" w:cs="宋体"/>
          <w:sz w:val="24"/>
          <w:szCs w:val="24"/>
          <w:lang w:val="en-US" w:eastAsia="zh-CN"/>
        </w:rPr>
      </w:pPr>
    </w:p>
    <w:p>
      <w:pPr>
        <w:numPr>
          <w:ilvl w:val="0"/>
          <w:numId w:val="6"/>
        </w:numPr>
        <w:spacing w:line="360" w:lineRule="auto"/>
        <w:ind w:firstLine="482" w:firstLineChars="200"/>
        <w:rPr>
          <w:rFonts w:hint="eastAsia"/>
          <w:b/>
          <w:bCs/>
          <w:sz w:val="24"/>
          <w:szCs w:val="24"/>
        </w:rPr>
      </w:pPr>
      <w:bookmarkStart w:id="28" w:name="_Toc8465"/>
      <w:r>
        <w:rPr>
          <w:rFonts w:hint="eastAsia"/>
          <w:b/>
          <w:bCs/>
          <w:sz w:val="24"/>
          <w:szCs w:val="24"/>
        </w:rPr>
        <w:t>其他</w:t>
      </w:r>
      <w:bookmarkEnd w:id="28"/>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31.1 磋商步骤为：第一次报价---初步评审---分别磋商---第二次报价---综合评审推荐成交候选人。（以供应商递交的磋商响应文件中的总报价为第一次报价。分别磋商后，供应商</w:t>
      </w:r>
      <w:r>
        <w:rPr>
          <w:rFonts w:hint="eastAsia"/>
          <w:sz w:val="24"/>
          <w:szCs w:val="24"/>
          <w:lang w:val="en-US" w:eastAsia="zh-CN"/>
        </w:rPr>
        <w:t>网上</w:t>
      </w:r>
      <w:r>
        <w:rPr>
          <w:rFonts w:hint="eastAsia"/>
          <w:sz w:val="24"/>
          <w:szCs w:val="24"/>
          <w:lang w:val="en-US"/>
        </w:rPr>
        <w:t>填报的磋商响应总报价为第二次报价）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31.2 当第二次报价全部超过磋商文件规定的采购预算（或最高限价）或均低于公认的制作成本时，磋商小组有权决定是否磋商失败或进行</w:t>
      </w:r>
      <w:r>
        <w:rPr>
          <w:rFonts w:hint="eastAsia"/>
          <w:sz w:val="24"/>
          <w:szCs w:val="24"/>
          <w:lang w:val="en-US" w:eastAsia="zh-CN"/>
        </w:rPr>
        <w:t>最终</w:t>
      </w:r>
      <w:r>
        <w:rPr>
          <w:rFonts w:hint="eastAsia"/>
          <w:sz w:val="24"/>
          <w:szCs w:val="24"/>
          <w:lang w:val="en-US"/>
        </w:rPr>
        <w:t>报价。当</w:t>
      </w:r>
      <w:r>
        <w:rPr>
          <w:rFonts w:hint="eastAsia"/>
          <w:sz w:val="24"/>
          <w:szCs w:val="24"/>
          <w:lang w:val="en-US" w:eastAsia="zh-CN"/>
        </w:rPr>
        <w:t>最终</w:t>
      </w:r>
      <w:r>
        <w:rPr>
          <w:rFonts w:hint="eastAsia"/>
          <w:sz w:val="24"/>
          <w:szCs w:val="24"/>
          <w:lang w:val="en-US"/>
        </w:rPr>
        <w:t>报价若超出财政预算，且采购人又无力支付，磋商小组有权决定磋商失败。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rPr>
      </w:pPr>
      <w:r>
        <w:rPr>
          <w:rFonts w:hint="eastAsia"/>
          <w:sz w:val="24"/>
          <w:szCs w:val="24"/>
          <w:lang w:val="en-US"/>
        </w:rPr>
        <w:t>31.3 采用竞争性磋商采购方式采购的政府购买服务项目（含政府和社会资本合作项目），采购过程中符合要求的供应商（社会资本）只有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pPr>
        <w:pStyle w:val="21"/>
        <w:numPr>
          <w:ilvl w:val="0"/>
          <w:numId w:val="0"/>
        </w:numPr>
        <w:adjustRightInd w:val="0"/>
        <w:spacing w:after="120" w:afterLines="0" w:line="360" w:lineRule="auto"/>
        <w:ind w:firstLine="480" w:firstLineChars="200"/>
        <w:jc w:val="left"/>
        <w:textAlignment w:val="baseline"/>
        <w:rPr>
          <w:rFonts w:hint="eastAsia"/>
        </w:rPr>
        <w:sectPr>
          <w:headerReference r:id="rId5" w:type="default"/>
          <w:footerReference r:id="rId6" w:type="default"/>
          <w:pgSz w:w="11906" w:h="16838"/>
          <w:pgMar w:top="1440" w:right="1486" w:bottom="1440" w:left="1180" w:header="851" w:footer="992" w:gutter="0"/>
          <w:pgNumType w:fmt="decimal"/>
          <w:cols w:space="720" w:num="1"/>
          <w:docGrid w:type="lines" w:linePitch="312" w:charSpace="0"/>
        </w:sectPr>
      </w:pPr>
      <w:r>
        <w:rPr>
          <w:rFonts w:hint="eastAsia"/>
          <w:sz w:val="24"/>
          <w:szCs w:val="24"/>
          <w:lang w:val="en-US"/>
        </w:rPr>
        <w:t>31.4 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pPr>
        <w:keepNext w:val="0"/>
        <w:keepLines w:val="0"/>
        <w:pageBreakBefore w:val="0"/>
        <w:widowControl/>
        <w:kinsoku/>
        <w:wordWrap/>
        <w:overflowPunct/>
        <w:topLinePunct w:val="0"/>
        <w:autoSpaceDE/>
        <w:autoSpaceDN/>
        <w:bidi w:val="0"/>
        <w:adjustRightInd/>
        <w:snapToGrid/>
        <w:spacing w:line="360" w:lineRule="auto"/>
        <w:ind w:firstLine="1767" w:firstLineChars="400"/>
        <w:textAlignment w:val="baseline"/>
        <w:rPr>
          <w:rFonts w:hint="eastAsia"/>
          <w:b/>
          <w:bCs/>
          <w:sz w:val="44"/>
          <w:szCs w:val="44"/>
        </w:rPr>
      </w:pPr>
      <w:bookmarkStart w:id="29" w:name="_Toc22721383"/>
      <w:bookmarkStart w:id="30" w:name="_Toc29149"/>
      <w:bookmarkStart w:id="31" w:name="_Toc23335_WPSOffice_Level1"/>
      <w:bookmarkStart w:id="32" w:name="_Toc10844_WPSOffice_Level1"/>
      <w:r>
        <w:rPr>
          <w:rFonts w:hint="eastAsia"/>
          <w:b/>
          <w:bCs/>
          <w:sz w:val="44"/>
          <w:szCs w:val="44"/>
        </w:rPr>
        <w:t>第三</w:t>
      </w:r>
      <w:r>
        <w:rPr>
          <w:rFonts w:hint="eastAsia"/>
          <w:b/>
          <w:bCs/>
          <w:sz w:val="44"/>
          <w:szCs w:val="44"/>
          <w:lang w:eastAsia="zh-CN"/>
        </w:rPr>
        <w:t>部分</w:t>
      </w:r>
      <w:r>
        <w:rPr>
          <w:rFonts w:hint="eastAsia"/>
          <w:b/>
          <w:bCs/>
          <w:sz w:val="44"/>
          <w:szCs w:val="44"/>
        </w:rPr>
        <w:t xml:space="preserve"> </w:t>
      </w:r>
      <w:bookmarkEnd w:id="29"/>
      <w:bookmarkEnd w:id="30"/>
      <w:bookmarkEnd w:id="31"/>
      <w:bookmarkEnd w:id="32"/>
      <w:r>
        <w:rPr>
          <w:rFonts w:hint="eastAsia"/>
          <w:b/>
          <w:bCs/>
          <w:sz w:val="44"/>
          <w:szCs w:val="44"/>
        </w:rPr>
        <w:t>合同条款及格式</w:t>
      </w:r>
    </w:p>
    <w:p>
      <w:pPr>
        <w:pStyle w:val="4"/>
        <w:ind w:right="453" w:firstLine="3012" w:firstLineChars="1000"/>
        <w:rPr>
          <w:rFonts w:hint="eastAsia" w:ascii="宋体" w:hAnsi="宋体" w:eastAsia="宋体" w:cs="宋体"/>
          <w:b/>
          <w:sz w:val="36"/>
          <w:szCs w:val="22"/>
        </w:rPr>
      </w:pPr>
      <w:bookmarkStart w:id="33" w:name="合同条款及格式前附表"/>
      <w:bookmarkEnd w:id="33"/>
      <w:bookmarkStart w:id="34" w:name="_Toc22721384"/>
      <w:r>
        <w:rPr>
          <w:rFonts w:hint="eastAsia" w:ascii="宋体" w:hAnsi="宋体" w:eastAsia="宋体" w:cs="宋体"/>
        </w:rPr>
        <w:t>合同条款及格式前附表</w:t>
      </w:r>
      <w:bookmarkEnd w:id="34"/>
    </w:p>
    <w:tbl>
      <w:tblPr>
        <w:tblStyle w:val="23"/>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0"/>
        <w:gridCol w:w="8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8370" w:type="dxa"/>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87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7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r>
              <w:rPr>
                <w:rFonts w:hint="eastAsia" w:ascii="宋体" w:hAnsi="宋体" w:cs="宋体"/>
                <w:color w:val="auto"/>
                <w:sz w:val="24"/>
                <w:szCs w:val="24"/>
                <w:lang w:val="en-US" w:eastAsia="zh-CN"/>
              </w:rPr>
              <w:t>榆佳经济技术开发区管理委员会</w:t>
            </w: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lang w:val="en-US" w:eastAsia="zh-CN"/>
              </w:rPr>
              <w:t xml:space="preserve"> </w:t>
            </w:r>
          </w:p>
          <w:p>
            <w:pPr>
              <w:widowControl/>
              <w:adjustRightInd w:val="0"/>
              <w:snapToGrid w:val="0"/>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kern w:val="0"/>
                <w:sz w:val="24"/>
                <w:lang w:val="en-US" w:eastAsia="zh-CN" w:bidi="ar-SA"/>
              </w:rPr>
              <w:t>佳县榆佳工业园区</w:t>
            </w:r>
          </w:p>
          <w:p>
            <w:pPr>
              <w:pStyle w:val="20"/>
              <w:spacing w:before="0" w:beforeAutospacing="0" w:after="0" w:afterAutospacing="0" w:line="360" w:lineRule="auto"/>
              <w:rPr>
                <w:rFonts w:hint="eastAsia"/>
                <w:color w:val="000000"/>
                <w:lang w:eastAsia="zh-CN"/>
              </w:rPr>
            </w:pPr>
            <w:r>
              <w:rPr>
                <w:rFonts w:hint="eastAsia" w:ascii="宋体" w:hAnsi="宋体" w:eastAsia="宋体" w:cs="宋体"/>
                <w:color w:val="auto"/>
                <w:sz w:val="24"/>
                <w:szCs w:val="24"/>
                <w:lang w:eastAsia="zh-CN"/>
              </w:rPr>
              <w:t>采购项目名称：</w:t>
            </w:r>
            <w:r>
              <w:rPr>
                <w:rFonts w:hint="eastAsia" w:cs="宋体"/>
                <w:color w:val="auto"/>
                <w:lang w:val="en-US" w:eastAsia="zh-CN"/>
              </w:rPr>
              <w:t>榆佳经开区化工园区认定资料汇编采购项目（二次）</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资金来源：</w:t>
            </w:r>
            <w:r>
              <w:rPr>
                <w:rFonts w:hint="eastAsia" w:ascii="宋体" w:hAnsi="宋体" w:eastAsia="宋体" w:cs="宋体"/>
                <w:color w:val="000000"/>
                <w:kern w:val="0"/>
                <w:sz w:val="24"/>
                <w:szCs w:val="24"/>
                <w:lang w:bidi="ar"/>
              </w:rPr>
              <w:t>财政资金</w:t>
            </w:r>
            <w:r>
              <w:rPr>
                <w:rFonts w:hint="eastAsia" w:ascii="宋体" w:hAnsi="宋体" w:eastAsia="宋体" w:cs="宋体"/>
                <w:color w:val="auto"/>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70" w:type="dxa"/>
            <w:noWrap w:val="0"/>
            <w:vAlign w:val="center"/>
          </w:tcPr>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服务地点：</w:t>
            </w:r>
            <w:r>
              <w:rPr>
                <w:rFonts w:hint="eastAsia" w:ascii="宋体" w:hAnsi="宋体" w:cs="宋体"/>
                <w:kern w:val="0"/>
                <w:sz w:val="24"/>
                <w:szCs w:val="24"/>
                <w:lang w:bidi="ar"/>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370" w:type="dxa"/>
            <w:noWrap w:val="0"/>
            <w:vAlign w:val="center"/>
          </w:tcPr>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服务期：</w:t>
            </w:r>
            <w:r>
              <w:rPr>
                <w:rFonts w:hint="eastAsia" w:ascii="宋体" w:hAnsi="宋体" w:eastAsia="宋体" w:cs="宋体"/>
                <w:color w:val="auto"/>
                <w:sz w:val="24"/>
                <w:szCs w:val="24"/>
                <w:lang w:val="en-US" w:eastAsia="zh-CN"/>
              </w:rPr>
              <w:t>自合同签订之日起1个月内。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370" w:type="dxa"/>
            <w:noWrap w:val="0"/>
            <w:vAlign w:val="center"/>
          </w:tcPr>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投标有效期：投标截止日起，投标有效期为90天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8370" w:type="dxa"/>
            <w:noWrap w:val="0"/>
            <w:vAlign w:val="center"/>
          </w:tcPr>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1、合同总价即中标价，报价包含完成本次投标项目所包含的一切相关费用。</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2、合同总价一次包死，不受市场价变化或实际工作量变化的影响。</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3、付款方式：</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交付成功后委托方向承接方付合同总价款的50%，剩余款项年底结清，付款前需向委托方开具相关发票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17" w:hRule="atLeast"/>
          <w:jc w:val="center"/>
        </w:trPr>
        <w:tc>
          <w:tcPr>
            <w:tcW w:w="870" w:type="dxa"/>
            <w:noWrap w:val="0"/>
            <w:vAlign w:val="center"/>
          </w:tcPr>
          <w:p>
            <w:pPr>
              <w:pStyle w:val="13"/>
              <w:spacing w:line="360" w:lineRule="auto"/>
              <w:jc w:val="center"/>
              <w:rPr>
                <w:rFonts w:hint="eastAsia" w:ascii="宋体" w:hAnsi="宋体" w:eastAsia="宋体" w:cs="宋体"/>
                <w:color w:val="auto"/>
                <w:szCs w:val="24"/>
                <w:lang w:eastAsia="zh-CN"/>
              </w:rPr>
            </w:pPr>
            <w:r>
              <w:rPr>
                <w:rFonts w:hint="eastAsia" w:hAnsi="宋体" w:eastAsia="宋体" w:cs="宋体"/>
                <w:color w:val="auto"/>
                <w:szCs w:val="24"/>
                <w:lang w:val="en-US" w:eastAsia="zh-CN"/>
              </w:rPr>
              <w:t>6</w:t>
            </w:r>
          </w:p>
        </w:tc>
        <w:tc>
          <w:tcPr>
            <w:tcW w:w="8370" w:type="dxa"/>
            <w:noWrap w:val="0"/>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cs="宋体"/>
                <w:color w:val="auto"/>
                <w:sz w:val="24"/>
                <w:szCs w:val="24"/>
                <w:lang w:val="en-US" w:eastAsia="zh-CN"/>
              </w:rPr>
              <w:t>民法典</w:t>
            </w:r>
            <w:r>
              <w:rPr>
                <w:rFonts w:hint="eastAsia" w:ascii="宋体" w:hAnsi="宋体" w:eastAsia="宋体" w:cs="宋体"/>
                <w:color w:val="auto"/>
                <w:sz w:val="24"/>
                <w:szCs w:val="24"/>
              </w:rPr>
              <w:t>》中的相关条款执行。</w:t>
            </w:r>
          </w:p>
          <w:p>
            <w:pPr>
              <w:tabs>
                <w:tab w:val="left" w:pos="15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未按合同或招标文件要求提货物或供应的货物质量不能满足采购人技术要求，采购单位有权单方终止合同，甚至对供应商违约行为进行追究。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17" w:hRule="atLeast"/>
          <w:jc w:val="center"/>
        </w:trPr>
        <w:tc>
          <w:tcPr>
            <w:tcW w:w="870" w:type="dxa"/>
            <w:noWrap w:val="0"/>
            <w:vAlign w:val="center"/>
          </w:tcPr>
          <w:p>
            <w:pPr>
              <w:pStyle w:val="13"/>
              <w:spacing w:line="360" w:lineRule="auto"/>
              <w:jc w:val="center"/>
              <w:rPr>
                <w:rFonts w:hint="eastAsia" w:ascii="宋体" w:hAnsi="宋体" w:eastAsia="宋体" w:cs="宋体"/>
                <w:color w:val="auto"/>
                <w:szCs w:val="24"/>
                <w:lang w:val="en-US" w:eastAsia="zh-CN"/>
              </w:rPr>
            </w:pPr>
            <w:r>
              <w:rPr>
                <w:rFonts w:hint="eastAsia" w:hAnsi="宋体" w:eastAsia="宋体" w:cs="宋体"/>
                <w:color w:val="auto"/>
                <w:szCs w:val="24"/>
                <w:lang w:val="en-US" w:eastAsia="zh-CN"/>
              </w:rPr>
              <w:t>7</w:t>
            </w:r>
          </w:p>
        </w:tc>
        <w:tc>
          <w:tcPr>
            <w:tcW w:w="8370" w:type="dxa"/>
            <w:noWrap w:val="0"/>
            <w:vAlign w:val="center"/>
          </w:tcPr>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验收标准</w:t>
            </w:r>
          </w:p>
          <w:p>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榆佳经济技术开发区管理委员会</w:t>
            </w:r>
            <w:r>
              <w:rPr>
                <w:rFonts w:hint="eastAsia" w:ascii="宋体" w:hAnsi="宋体" w:eastAsia="宋体" w:cs="宋体"/>
                <w:color w:val="auto"/>
                <w:sz w:val="24"/>
                <w:szCs w:val="24"/>
              </w:rPr>
              <w:t>组织验收，乙方配合进行。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项目实施完毕后，由</w:t>
            </w:r>
            <w:r>
              <w:rPr>
                <w:rFonts w:hint="eastAsia" w:ascii="宋体" w:hAnsi="宋体" w:cs="宋体"/>
                <w:color w:val="auto"/>
                <w:sz w:val="24"/>
                <w:szCs w:val="24"/>
                <w:lang w:val="en-US" w:eastAsia="zh-CN"/>
              </w:rPr>
              <w:t>榆佳经济技术开发区管理委员会</w:t>
            </w:r>
            <w:r>
              <w:rPr>
                <w:rFonts w:hint="eastAsia" w:ascii="宋体" w:hAnsi="宋体" w:eastAsia="宋体" w:cs="宋体"/>
                <w:color w:val="auto"/>
                <w:sz w:val="24"/>
                <w:szCs w:val="24"/>
              </w:rPr>
              <w:t>或其委派的专家代表或第三方机构等对项目进行整体验收，验收合格后，出具《验收报告单》。</w:t>
            </w:r>
          </w:p>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验收依据：招标文件、投标文件、合同文本、国内相应的标准、规范。</w:t>
            </w:r>
          </w:p>
        </w:tc>
      </w:tr>
    </w:tbl>
    <w:p>
      <w:pPr>
        <w:pStyle w:val="8"/>
        <w:ind w:left="0" w:leftChars="0" w:firstLine="0" w:firstLineChars="0"/>
        <w:rPr>
          <w:rFonts w:hint="eastAsia" w:ascii="宋体" w:hAnsi="宋体" w:eastAsia="宋体" w:cs="宋体"/>
        </w:rPr>
      </w:pPr>
    </w:p>
    <w:p>
      <w:pPr>
        <w:pStyle w:val="9"/>
        <w:ind w:left="275" w:right="735"/>
        <w:jc w:val="both"/>
        <w:rPr>
          <w:rFonts w:hint="eastAsia" w:ascii="宋体" w:hAnsi="宋体" w:eastAsia="宋体" w:cs="宋体"/>
        </w:rPr>
      </w:pPr>
    </w:p>
    <w:p>
      <w:pPr>
        <w:pStyle w:val="3"/>
        <w:bidi w:val="0"/>
        <w:jc w:val="both"/>
        <w:rPr>
          <w:rFonts w:hint="eastAsia" w:ascii="宋体" w:hAnsi="宋体" w:eastAsia="宋体" w:cs="宋体"/>
          <w:sz w:val="36"/>
        </w:rPr>
      </w:pPr>
      <w:bookmarkStart w:id="35" w:name="_Toc22721385"/>
      <w:bookmarkStart w:id="36" w:name="_Toc30702_WPSOffice_Level1"/>
      <w:bookmarkStart w:id="37" w:name="_Toc12629_WPSOffice_Level1"/>
      <w:r>
        <w:rPr>
          <w:rFonts w:hint="eastAsia"/>
        </w:rPr>
        <w:t>合同</w:t>
      </w:r>
      <w:r>
        <w:rPr>
          <w:rFonts w:hint="eastAsia"/>
          <w:lang w:eastAsia="zh-CN"/>
        </w:rPr>
        <w:t>格式</w:t>
      </w:r>
    </w:p>
    <w:p>
      <w:pPr>
        <w:spacing w:before="120" w:line="360" w:lineRule="auto"/>
        <w:jc w:val="center"/>
        <w:rPr>
          <w:rFonts w:hint="eastAsia" w:ascii="宋体" w:hAnsi="宋体" w:eastAsia="宋体" w:cs="宋体"/>
          <w:b/>
          <w:bCs/>
          <w:sz w:val="36"/>
          <w:szCs w:val="36"/>
        </w:rPr>
      </w:pPr>
      <w:r>
        <w:rPr>
          <w:rFonts w:hint="eastAsia" w:ascii="宋体" w:hAnsi="宋体" w:eastAsia="宋体" w:cs="宋体"/>
          <w:sz w:val="36"/>
        </w:rPr>
        <w:t>（</w:t>
      </w:r>
      <w:r>
        <w:rPr>
          <w:rFonts w:hint="eastAsia" w:ascii="宋体" w:hAnsi="宋体" w:eastAsia="宋体" w:cs="宋体"/>
          <w:sz w:val="36"/>
          <w:lang w:eastAsia="zh-CN"/>
        </w:rPr>
        <w:t>仅供</w:t>
      </w:r>
      <w:r>
        <w:rPr>
          <w:rFonts w:hint="eastAsia" w:ascii="宋体" w:hAnsi="宋体" w:eastAsia="宋体" w:cs="宋体"/>
          <w:sz w:val="36"/>
        </w:rPr>
        <w:t>参考）</w:t>
      </w:r>
    </w:p>
    <w:p>
      <w:pPr>
        <w:spacing w:before="120" w:line="360" w:lineRule="auto"/>
        <w:jc w:val="center"/>
        <w:outlineLvl w:val="0"/>
        <w:rPr>
          <w:rFonts w:hint="eastAsia" w:ascii="宋体" w:hAnsi="宋体" w:eastAsia="宋体" w:cs="宋体"/>
          <w:b/>
          <w:bCs/>
          <w:sz w:val="36"/>
          <w:szCs w:val="36"/>
        </w:rPr>
      </w:pPr>
      <w:bookmarkStart w:id="38" w:name="_Toc22624"/>
      <w:bookmarkStart w:id="39" w:name="_Toc26845"/>
      <w:bookmarkStart w:id="40" w:name="_Toc20763"/>
      <w:r>
        <w:rPr>
          <w:rFonts w:hint="eastAsia" w:ascii="宋体" w:hAnsi="宋体" w:eastAsia="宋体" w:cs="宋体"/>
          <w:b/>
          <w:bCs/>
          <w:sz w:val="36"/>
          <w:szCs w:val="36"/>
        </w:rPr>
        <w:t>政 府 采 购 合 同</w:t>
      </w:r>
      <w:bookmarkEnd w:id="38"/>
      <w:bookmarkEnd w:id="39"/>
      <w:bookmarkEnd w:id="40"/>
    </w:p>
    <w:p>
      <w:pPr>
        <w:spacing w:before="120" w:line="360" w:lineRule="auto"/>
        <w:ind w:firstLine="3064" w:firstLineChars="1090"/>
        <w:rPr>
          <w:rFonts w:hint="eastAsia" w:ascii="宋体" w:hAnsi="宋体" w:eastAsia="宋体" w:cs="宋体"/>
          <w:b/>
          <w:bCs/>
          <w:sz w:val="28"/>
          <w:szCs w:val="28"/>
        </w:rPr>
      </w:pPr>
      <w:bookmarkStart w:id="41" w:name="_Toc109542396"/>
      <w:bookmarkStart w:id="42" w:name="_Toc109543216"/>
    </w:p>
    <w:p>
      <w:pPr>
        <w:pStyle w:val="21"/>
        <w:rPr>
          <w:rFonts w:hint="eastAsia" w:ascii="宋体" w:hAnsi="宋体" w:eastAsia="宋体" w:cs="宋体"/>
          <w:b/>
          <w:bCs/>
          <w:sz w:val="28"/>
          <w:szCs w:val="28"/>
        </w:rPr>
      </w:pPr>
    </w:p>
    <w:p>
      <w:pPr>
        <w:rPr>
          <w:rFonts w:hint="eastAsia"/>
        </w:rPr>
      </w:pPr>
    </w:p>
    <w:p>
      <w:pPr>
        <w:spacing w:before="120" w:line="360" w:lineRule="auto"/>
        <w:ind w:firstLine="3064" w:firstLineChars="1090"/>
        <w:outlineLvl w:val="0"/>
        <w:rPr>
          <w:rFonts w:hint="eastAsia" w:ascii="宋体" w:hAnsi="宋体" w:eastAsia="宋体" w:cs="宋体"/>
          <w:sz w:val="28"/>
          <w:szCs w:val="28"/>
        </w:rPr>
      </w:pPr>
      <w:bookmarkStart w:id="43" w:name="_Toc17458"/>
      <w:bookmarkStart w:id="44" w:name="_Toc26237"/>
      <w:bookmarkStart w:id="45" w:name="_Toc12802"/>
      <w:r>
        <w:rPr>
          <w:rFonts w:hint="eastAsia" w:ascii="宋体" w:hAnsi="宋体" w:eastAsia="宋体" w:cs="宋体"/>
          <w:b/>
          <w:bCs/>
          <w:sz w:val="28"/>
          <w:szCs w:val="28"/>
        </w:rPr>
        <w:t>合同编号：</w:t>
      </w:r>
      <w:bookmarkEnd w:id="41"/>
      <w:bookmarkEnd w:id="42"/>
      <w:bookmarkEnd w:id="43"/>
      <w:bookmarkEnd w:id="44"/>
      <w:bookmarkEnd w:id="45"/>
      <w:r>
        <w:rPr>
          <w:rFonts w:hint="eastAsia" w:ascii="宋体" w:hAnsi="宋体" w:eastAsia="宋体" w:cs="宋体"/>
          <w:b/>
          <w:bCs/>
          <w:sz w:val="28"/>
          <w:szCs w:val="28"/>
          <w:u w:val="single"/>
        </w:rPr>
        <w:t xml:space="preserve">            </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pStyle w:val="9"/>
        <w:rPr>
          <w:rFonts w:hint="eastAsia"/>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rPr>
      </w:pPr>
    </w:p>
    <w:p>
      <w:pPr>
        <w:spacing w:before="120" w:line="360" w:lineRule="auto"/>
        <w:ind w:left="960"/>
        <w:outlineLvl w:val="0"/>
        <w:rPr>
          <w:rFonts w:hint="eastAsia" w:ascii="宋体" w:hAnsi="宋体" w:eastAsia="宋体" w:cs="宋体"/>
          <w:b/>
          <w:bCs/>
          <w:sz w:val="28"/>
          <w:szCs w:val="28"/>
        </w:rPr>
      </w:pPr>
      <w:bookmarkStart w:id="46" w:name="_Toc9155"/>
      <w:bookmarkStart w:id="47" w:name="_Toc14526"/>
      <w:bookmarkStart w:id="48" w:name="_Toc6302"/>
      <w:r>
        <w:rPr>
          <w:rFonts w:hint="eastAsia" w:ascii="宋体" w:hAnsi="宋体" w:eastAsia="宋体" w:cs="宋体"/>
          <w:b/>
          <w:bCs/>
          <w:sz w:val="28"/>
          <w:szCs w:val="28"/>
        </w:rPr>
        <w:t>采购项目名称：</w:t>
      </w:r>
      <w:bookmarkEnd w:id="46"/>
      <w:bookmarkEnd w:id="47"/>
      <w:bookmarkEnd w:id="48"/>
      <w:r>
        <w:rPr>
          <w:rFonts w:hint="eastAsia" w:ascii="宋体" w:hAnsi="宋体" w:eastAsia="宋体" w:cs="宋体"/>
          <w:b/>
          <w:bCs/>
          <w:sz w:val="28"/>
          <w:szCs w:val="28"/>
          <w:u w:val="single"/>
        </w:rPr>
        <w:t xml:space="preserve">                                 </w:t>
      </w:r>
    </w:p>
    <w:p>
      <w:pPr>
        <w:spacing w:before="120" w:line="360" w:lineRule="auto"/>
        <w:ind w:left="960"/>
        <w:outlineLvl w:val="0"/>
        <w:rPr>
          <w:rFonts w:hint="eastAsia" w:ascii="宋体" w:hAnsi="宋体" w:eastAsia="宋体" w:cs="宋体"/>
          <w:b/>
          <w:bCs/>
          <w:sz w:val="28"/>
          <w:szCs w:val="28"/>
        </w:rPr>
      </w:pPr>
      <w:bookmarkStart w:id="49" w:name="_Toc28783"/>
      <w:bookmarkStart w:id="50" w:name="_Toc1522"/>
      <w:bookmarkStart w:id="51" w:name="_Toc26774"/>
      <w:r>
        <w:rPr>
          <w:rFonts w:hint="eastAsia" w:ascii="宋体" w:hAnsi="宋体" w:eastAsia="宋体" w:cs="宋体"/>
          <w:b/>
          <w:bCs/>
          <w:sz w:val="28"/>
          <w:szCs w:val="28"/>
        </w:rPr>
        <w:t>采  购  人：</w:t>
      </w:r>
      <w:bookmarkEnd w:id="49"/>
      <w:bookmarkEnd w:id="50"/>
      <w:bookmarkEnd w:id="51"/>
      <w:r>
        <w:rPr>
          <w:rFonts w:hint="eastAsia" w:ascii="宋体" w:hAnsi="宋体" w:eastAsia="宋体" w:cs="宋体"/>
          <w:b/>
          <w:bCs/>
          <w:sz w:val="28"/>
          <w:szCs w:val="28"/>
          <w:u w:val="single"/>
        </w:rPr>
        <w:t xml:space="preserve">                                    </w:t>
      </w:r>
    </w:p>
    <w:p>
      <w:pPr>
        <w:spacing w:before="120" w:line="360" w:lineRule="auto"/>
        <w:ind w:left="960"/>
        <w:outlineLvl w:val="0"/>
        <w:rPr>
          <w:rFonts w:hint="eastAsia" w:ascii="宋体" w:hAnsi="宋体" w:eastAsia="宋体" w:cs="宋体"/>
          <w:b/>
          <w:bCs/>
          <w:sz w:val="28"/>
          <w:szCs w:val="28"/>
          <w:u w:val="single"/>
        </w:rPr>
      </w:pPr>
      <w:bookmarkStart w:id="52" w:name="_Toc3014"/>
      <w:bookmarkStart w:id="53" w:name="_Toc21375"/>
      <w:bookmarkStart w:id="54" w:name="_Toc7182"/>
      <w:r>
        <w:rPr>
          <w:rFonts w:hint="eastAsia" w:ascii="宋体" w:hAnsi="宋体" w:eastAsia="宋体" w:cs="宋体"/>
          <w:b/>
          <w:bCs/>
          <w:sz w:val="28"/>
          <w:szCs w:val="28"/>
        </w:rPr>
        <w:t>供  应  商：</w:t>
      </w:r>
      <w:bookmarkEnd w:id="52"/>
      <w:bookmarkEnd w:id="53"/>
      <w:bookmarkEnd w:id="54"/>
      <w:r>
        <w:rPr>
          <w:rFonts w:hint="eastAsia" w:ascii="宋体" w:hAnsi="宋体" w:eastAsia="宋体" w:cs="宋体"/>
          <w:b/>
          <w:bCs/>
          <w:sz w:val="28"/>
          <w:szCs w:val="28"/>
          <w:u w:val="single"/>
        </w:rPr>
        <w:t xml:space="preserve">                                   </w:t>
      </w:r>
    </w:p>
    <w:p>
      <w:pPr>
        <w:spacing w:line="360" w:lineRule="auto"/>
        <w:ind w:firstLine="981" w:firstLineChars="349"/>
        <w:outlineLvl w:val="0"/>
        <w:rPr>
          <w:rFonts w:hint="eastAsia" w:ascii="宋体" w:hAnsi="宋体" w:eastAsia="宋体" w:cs="宋体"/>
          <w:b/>
          <w:bCs/>
          <w:sz w:val="24"/>
          <w:szCs w:val="24"/>
          <w:u w:val="single"/>
        </w:rPr>
      </w:pPr>
      <w:bookmarkStart w:id="55" w:name="_Toc17330"/>
      <w:bookmarkStart w:id="56" w:name="_Toc14459"/>
      <w:bookmarkStart w:id="57" w:name="_Toc631"/>
      <w:r>
        <w:rPr>
          <w:rFonts w:hint="eastAsia" w:ascii="宋体" w:hAnsi="宋体" w:eastAsia="宋体" w:cs="宋体"/>
          <w:b/>
          <w:bCs/>
          <w:sz w:val="28"/>
          <w:szCs w:val="28"/>
        </w:rPr>
        <w:t>签署日期：</w:t>
      </w:r>
      <w:bookmarkEnd w:id="55"/>
      <w:bookmarkEnd w:id="56"/>
      <w:bookmarkEnd w:id="57"/>
      <w:r>
        <w:rPr>
          <w:rFonts w:hint="eastAsia" w:ascii="宋体" w:hAnsi="宋体" w:eastAsia="宋体" w:cs="宋体"/>
          <w:b/>
          <w:bCs/>
          <w:sz w:val="24"/>
          <w:szCs w:val="24"/>
          <w:u w:val="single"/>
        </w:rPr>
        <w:t>　　　　　　　　　　　　　             　　</w:t>
      </w:r>
    </w:p>
    <w:p>
      <w:pPr>
        <w:widowControl/>
        <w:spacing w:after="150" w:line="360" w:lineRule="auto"/>
        <w:rPr>
          <w:rFonts w:hint="eastAsia" w:ascii="宋体" w:hAnsi="宋体" w:eastAsia="宋体" w:cs="宋体"/>
          <w:b/>
          <w:bCs/>
          <w:kern w:val="0"/>
          <w:sz w:val="24"/>
          <w:szCs w:val="24"/>
          <w:lang w:eastAsia="zh-Hans"/>
        </w:rPr>
      </w:pPr>
    </w:p>
    <w:p>
      <w:pPr>
        <w:widowControl/>
        <w:spacing w:after="150" w:line="360" w:lineRule="auto"/>
        <w:ind w:firstLine="482" w:firstLineChars="200"/>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甲方（</w:t>
      </w:r>
      <w:r>
        <w:rPr>
          <w:rFonts w:hint="eastAsia" w:ascii="宋体" w:hAnsi="宋体" w:eastAsia="宋体" w:cs="宋体"/>
          <w:b/>
          <w:bCs/>
          <w:kern w:val="0"/>
          <w:sz w:val="24"/>
          <w:szCs w:val="24"/>
          <w:lang w:eastAsia="zh-CN"/>
        </w:rPr>
        <w:t>采购人</w:t>
      </w:r>
      <w:r>
        <w:rPr>
          <w:rFonts w:hint="eastAsia" w:ascii="宋体" w:hAnsi="宋体" w:eastAsia="宋体" w:cs="宋体"/>
          <w:b/>
          <w:bCs/>
          <w:kern w:val="0"/>
          <w:sz w:val="24"/>
          <w:szCs w:val="24"/>
          <w:lang w:eastAsia="zh-Hans"/>
        </w:rPr>
        <w:t>）</w:t>
      </w:r>
      <w:r>
        <w:rPr>
          <w:rFonts w:hint="eastAsia" w:ascii="宋体" w:hAnsi="宋体" w:eastAsia="宋体" w:cs="宋体"/>
          <w:kern w:val="0"/>
          <w:sz w:val="24"/>
          <w:szCs w:val="24"/>
          <w:lang w:eastAsia="zh-Hans"/>
        </w:rPr>
        <w:t>：</w:t>
      </w:r>
      <w:r>
        <w:rPr>
          <w:rFonts w:hint="eastAsia" w:ascii="宋体" w:hAnsi="宋体" w:eastAsia="宋体" w:cs="宋体"/>
          <w:kern w:val="0"/>
          <w:sz w:val="24"/>
          <w:szCs w:val="24"/>
          <w:u w:val="single"/>
        </w:rPr>
        <w:t xml:space="preserve">                                      </w:t>
      </w:r>
    </w:p>
    <w:p>
      <w:pPr>
        <w:widowControl/>
        <w:spacing w:after="150" w:line="360" w:lineRule="auto"/>
        <w:ind w:firstLine="482" w:firstLineChars="200"/>
        <w:rPr>
          <w:rFonts w:hint="eastAsia" w:ascii="宋体" w:hAnsi="宋体" w:eastAsia="宋体" w:cs="宋体"/>
          <w:kern w:val="0"/>
          <w:sz w:val="24"/>
          <w:szCs w:val="24"/>
          <w:lang w:eastAsia="zh-Hans"/>
        </w:rPr>
      </w:pPr>
      <w:r>
        <w:rPr>
          <w:rFonts w:hint="eastAsia" w:ascii="宋体" w:hAnsi="宋体" w:eastAsia="宋体" w:cs="宋体"/>
          <w:b/>
          <w:bCs/>
          <w:kern w:val="0"/>
          <w:sz w:val="24"/>
          <w:szCs w:val="24"/>
          <w:lang w:eastAsia="zh-Hans"/>
        </w:rPr>
        <w:t>乙方（</w:t>
      </w:r>
      <w:r>
        <w:rPr>
          <w:rFonts w:hint="eastAsia" w:ascii="宋体" w:hAnsi="宋体" w:eastAsia="宋体" w:cs="宋体"/>
          <w:b/>
          <w:bCs/>
          <w:kern w:val="0"/>
          <w:sz w:val="24"/>
          <w:szCs w:val="24"/>
          <w:lang w:eastAsia="zh-CN"/>
        </w:rPr>
        <w:t>中标人</w:t>
      </w:r>
      <w:r>
        <w:rPr>
          <w:rFonts w:hint="eastAsia" w:ascii="宋体" w:hAnsi="宋体" w:eastAsia="宋体" w:cs="宋体"/>
          <w:b/>
          <w:bCs/>
          <w:kern w:val="0"/>
          <w:sz w:val="24"/>
          <w:szCs w:val="24"/>
          <w:lang w:eastAsia="zh-Hans"/>
        </w:rPr>
        <w:t>）</w:t>
      </w:r>
      <w:r>
        <w:rPr>
          <w:rFonts w:hint="eastAsia" w:ascii="宋体" w:hAnsi="宋体" w:eastAsia="宋体" w:cs="宋体"/>
          <w:kern w:val="0"/>
          <w:sz w:val="24"/>
          <w:szCs w:val="24"/>
          <w:lang w:eastAsia="zh-Hans"/>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Hans"/>
        </w:rPr>
        <w:t xml:space="preserve">             </w:t>
      </w:r>
      <w:r>
        <w:rPr>
          <w:rFonts w:hint="eastAsia" w:ascii="宋体" w:hAnsi="宋体" w:eastAsia="宋体" w:cs="宋体"/>
          <w:kern w:val="0"/>
          <w:sz w:val="24"/>
          <w:szCs w:val="24"/>
          <w:u w:val="single"/>
        </w:rPr>
        <w:t xml:space="preserve">                        </w:t>
      </w:r>
    </w:p>
    <w:p>
      <w:pPr>
        <w:pStyle w:val="20"/>
        <w:spacing w:before="0" w:beforeAutospacing="0" w:after="0" w:afterAutospacing="0" w:line="360" w:lineRule="auto"/>
        <w:rPr>
          <w:rFonts w:ascii="宋体" w:hAnsi="宋体" w:cs="华文仿宋"/>
          <w:sz w:val="24"/>
          <w:szCs w:val="24"/>
        </w:rPr>
      </w:pPr>
      <w:r>
        <w:rPr>
          <w:rFonts w:hint="eastAsia" w:ascii="宋体" w:hAnsi="宋体" w:cs="华文仿宋"/>
          <w:sz w:val="24"/>
          <w:szCs w:val="24"/>
        </w:rPr>
        <w:t>根据《中华人民共和国政府采购法》、《中华人民共和国合同法》等相关法律，甲、乙双方经平等协商一致，就“</w:t>
      </w:r>
      <w:r>
        <w:rPr>
          <w:rFonts w:hint="eastAsia" w:cs="宋体"/>
          <w:color w:val="auto"/>
          <w:lang w:val="en-US" w:eastAsia="zh-CN"/>
        </w:rPr>
        <w:t>榆佳经开区化工园区认定资料汇编采购项目（二次）</w:t>
      </w:r>
      <w:r>
        <w:rPr>
          <w:rFonts w:ascii="宋体" w:hAnsi="宋体" w:cs="华文仿宋"/>
          <w:color w:val="auto"/>
          <w:sz w:val="24"/>
          <w:szCs w:val="24"/>
        </w:rPr>
        <w:t>”</w:t>
      </w:r>
      <w:r>
        <w:rPr>
          <w:rFonts w:hint="eastAsia" w:ascii="宋体" w:hAnsi="宋体" w:cs="华文仿宋"/>
          <w:sz w:val="24"/>
          <w:szCs w:val="24"/>
        </w:rPr>
        <w:t>承办达成合同如下：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sz w:val="24"/>
          <w:szCs w:val="24"/>
        </w:rPr>
      </w:pPr>
      <w:r>
        <w:rPr>
          <w:rFonts w:hint="eastAsia" w:ascii="宋体" w:hAnsi="宋体" w:cs="华文仿宋"/>
          <w:b/>
          <w:sz w:val="24"/>
          <w:szCs w:val="24"/>
        </w:rPr>
        <w:t>一、合同文件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本合同所附下列文件是构成本合同不可分割的部分，组成合同的各项文件应互相解释，互为说明，解释合同文件的优先顺序如下：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1. </w:t>
      </w:r>
      <w:r>
        <w:rPr>
          <w:rFonts w:hint="eastAsia" w:ascii="宋体" w:hAnsi="宋体" w:cs="华文仿宋"/>
          <w:sz w:val="24"/>
          <w:szCs w:val="24"/>
        </w:rPr>
        <w:t>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2. </w:t>
      </w:r>
      <w:r>
        <w:rPr>
          <w:rFonts w:hint="eastAsia" w:ascii="宋体" w:hAnsi="宋体" w:cs="华文仿宋"/>
          <w:sz w:val="24"/>
          <w:szCs w:val="24"/>
        </w:rPr>
        <w:t>中标通知书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3. </w:t>
      </w:r>
      <w:r>
        <w:rPr>
          <w:rFonts w:hint="eastAsia" w:ascii="宋体" w:hAnsi="宋体" w:cs="华文仿宋"/>
          <w:sz w:val="24"/>
          <w:szCs w:val="24"/>
        </w:rPr>
        <w:t>中标人在评标过程中做出的有关澄清、说明、承诺或者补正文件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4. </w:t>
      </w:r>
      <w:r>
        <w:rPr>
          <w:rFonts w:hint="eastAsia" w:ascii="宋体" w:hAnsi="宋体" w:cs="华文仿宋"/>
          <w:sz w:val="24"/>
          <w:szCs w:val="24"/>
        </w:rPr>
        <w:t>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5. </w:t>
      </w:r>
      <w:r>
        <w:rPr>
          <w:rFonts w:hint="eastAsia" w:ascii="宋体" w:hAnsi="宋体" w:cs="华文仿宋"/>
          <w:sz w:val="24"/>
          <w:szCs w:val="24"/>
        </w:rPr>
        <w:t>中标人的投标文件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6. </w:t>
      </w:r>
      <w:r>
        <w:rPr>
          <w:rFonts w:hint="eastAsia" w:ascii="宋体" w:hAnsi="宋体" w:cs="华文仿宋"/>
          <w:sz w:val="24"/>
          <w:szCs w:val="24"/>
        </w:rPr>
        <w:t>本合同附件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同一层次的合同文件规定有矛盾的以较后时间制定的为准。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sz w:val="24"/>
          <w:szCs w:val="24"/>
        </w:rPr>
      </w:pPr>
      <w:r>
        <w:rPr>
          <w:rFonts w:hint="eastAsia" w:ascii="宋体" w:hAnsi="宋体" w:cs="华文仿宋"/>
          <w:b/>
          <w:sz w:val="24"/>
          <w:szCs w:val="24"/>
        </w:rPr>
        <w:t>二、合同的范围和条件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本合同的范围和条件应与上述合同文件的规定相一致。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sz w:val="24"/>
          <w:szCs w:val="24"/>
        </w:rPr>
      </w:pPr>
      <w:r>
        <w:rPr>
          <w:rFonts w:hint="eastAsia" w:ascii="宋体" w:hAnsi="宋体" w:cs="华文仿宋"/>
          <w:b/>
          <w:sz w:val="24"/>
          <w:szCs w:val="24"/>
        </w:rPr>
        <w:t>三、服务项目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本合同所提供的服务项目内容：（与报价文件中服务明细表一致）。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u w:val="single"/>
        </w:rPr>
      </w:pPr>
      <w:r>
        <w:rPr>
          <w:rFonts w:hint="eastAsia" w:ascii="宋体" w:hAnsi="宋体" w:cs="华文仿宋"/>
          <w:sz w:val="24"/>
          <w:szCs w:val="24"/>
          <w:u w:val="single"/>
        </w:rPr>
        <w:t xml:space="preserve">                                           </w:t>
      </w:r>
      <w:r>
        <w:rPr>
          <w:rFonts w:ascii="宋体" w:hAnsi="宋体" w:cs="华文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u w:val="single"/>
        </w:rPr>
      </w:pPr>
      <w:r>
        <w:rPr>
          <w:rFonts w:hint="eastAsia" w:ascii="宋体" w:hAnsi="宋体" w:cs="华文仿宋"/>
          <w:sz w:val="24"/>
          <w:szCs w:val="24"/>
          <w:u w:val="single"/>
        </w:rPr>
        <w:t xml:space="preserve">                                          </w:t>
      </w:r>
      <w:r>
        <w:rPr>
          <w:rFonts w:ascii="宋体" w:hAnsi="宋体" w:cs="华文仿宋"/>
          <w:sz w:val="24"/>
          <w:szCs w:val="24"/>
          <w:u w:val="single"/>
        </w:rPr>
        <w:t xml:space="preserve">             </w:t>
      </w:r>
      <w:r>
        <w:rPr>
          <w:rFonts w:hint="eastAsia" w:ascii="宋体" w:hAnsi="宋体" w:cs="华文仿宋"/>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sz w:val="24"/>
          <w:szCs w:val="24"/>
        </w:rPr>
      </w:pPr>
      <w:r>
        <w:rPr>
          <w:rFonts w:hint="eastAsia" w:ascii="宋体" w:hAnsi="宋体" w:cs="华文仿宋"/>
          <w:b/>
          <w:sz w:val="24"/>
          <w:szCs w:val="24"/>
        </w:rPr>
        <w:t>四、合同金额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合同金额为人民币大写</w:t>
      </w:r>
      <w:r>
        <w:rPr>
          <w:rFonts w:hint="eastAsia" w:ascii="宋体" w:hAnsi="宋体" w:cs="华文仿宋"/>
          <w:sz w:val="24"/>
          <w:szCs w:val="24"/>
          <w:u w:val="single"/>
        </w:rPr>
        <w:t xml:space="preserve">   </w:t>
      </w:r>
      <w:r>
        <w:rPr>
          <w:rFonts w:ascii="宋体" w:hAnsi="宋体" w:cs="华文仿宋"/>
          <w:sz w:val="24"/>
          <w:szCs w:val="24"/>
          <w:u w:val="single"/>
        </w:rPr>
        <w:t xml:space="preserve">     </w:t>
      </w:r>
      <w:r>
        <w:rPr>
          <w:rFonts w:hint="eastAsia" w:ascii="宋体" w:hAnsi="宋体" w:cs="华文仿宋"/>
          <w:sz w:val="24"/>
          <w:szCs w:val="24"/>
          <w:u w:val="single"/>
        </w:rPr>
        <w:t xml:space="preserve"> </w:t>
      </w:r>
      <w:r>
        <w:rPr>
          <w:rFonts w:hint="eastAsia" w:ascii="宋体" w:hAnsi="宋体" w:cs="华文仿宋"/>
          <w:sz w:val="24"/>
          <w:szCs w:val="24"/>
        </w:rPr>
        <w:t>元，(￥</w:t>
      </w:r>
      <w:r>
        <w:rPr>
          <w:rFonts w:hint="eastAsia" w:ascii="宋体" w:hAnsi="宋体" w:cs="华文仿宋"/>
          <w:sz w:val="24"/>
          <w:szCs w:val="24"/>
          <w:u w:val="single"/>
        </w:rPr>
        <w:t xml:space="preserve">   </w:t>
      </w:r>
      <w:r>
        <w:rPr>
          <w:rFonts w:ascii="宋体" w:hAnsi="宋体" w:cs="华文仿宋"/>
          <w:sz w:val="24"/>
          <w:szCs w:val="24"/>
          <w:u w:val="single"/>
        </w:rPr>
        <w:t xml:space="preserve">   </w:t>
      </w:r>
      <w:r>
        <w:rPr>
          <w:rFonts w:hint="eastAsia" w:ascii="宋体" w:hAnsi="宋体" w:cs="华文仿宋"/>
          <w:sz w:val="24"/>
          <w:szCs w:val="24"/>
          <w:u w:val="single"/>
        </w:rPr>
        <w:t xml:space="preserve"> </w:t>
      </w:r>
      <w:r>
        <w:rPr>
          <w:rFonts w:hint="eastAsia" w:ascii="宋体" w:hAnsi="宋体" w:cs="华文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sz w:val="24"/>
          <w:szCs w:val="24"/>
        </w:rPr>
      </w:pPr>
      <w:r>
        <w:rPr>
          <w:rFonts w:hint="eastAsia" w:ascii="宋体" w:hAnsi="宋体" w:cs="华文仿宋"/>
          <w:b/>
          <w:sz w:val="24"/>
          <w:szCs w:val="24"/>
        </w:rPr>
        <w:t>五、付款途径</w:t>
      </w:r>
      <w:r>
        <w:rPr>
          <w:rFonts w:hint="eastAsia" w:ascii="宋体" w:hAnsi="宋体" w:cs="华文仿宋"/>
          <w:sz w:val="24"/>
          <w:szCs w:val="24"/>
        </w:rPr>
        <w:t>：</w:t>
      </w:r>
      <w:r>
        <w:rPr>
          <w:rFonts w:hint="eastAsia" w:ascii="宋体" w:hAnsi="宋体" w:cs="华文仿宋"/>
          <w:sz w:val="24"/>
          <w:szCs w:val="24"/>
          <w:u w:val="single"/>
        </w:rPr>
        <w:t xml:space="preserve">                  </w:t>
      </w:r>
      <w:r>
        <w:rPr>
          <w:rFonts w:hint="eastAsia" w:ascii="宋体" w:hAnsi="宋体" w:cs="华文仿宋"/>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sz w:val="24"/>
          <w:szCs w:val="24"/>
          <w:u w:val="single"/>
        </w:rPr>
      </w:pPr>
      <w:r>
        <w:rPr>
          <w:rFonts w:hint="eastAsia" w:ascii="宋体" w:hAnsi="宋体" w:cs="华文仿宋"/>
          <w:b/>
          <w:sz w:val="24"/>
          <w:szCs w:val="24"/>
        </w:rPr>
        <w:t>六、付款方式</w:t>
      </w:r>
      <w:r>
        <w:rPr>
          <w:rFonts w:hint="eastAsia" w:ascii="宋体" w:hAnsi="宋体" w:cs="华文仿宋"/>
          <w:sz w:val="24"/>
          <w:szCs w:val="24"/>
        </w:rPr>
        <w:t>：</w:t>
      </w:r>
      <w:r>
        <w:rPr>
          <w:rFonts w:hint="eastAsia" w:ascii="宋体" w:hAnsi="宋体" w:cs="华文仿宋"/>
          <w:sz w:val="24"/>
          <w:szCs w:val="24"/>
          <w:lang w:val="en-US" w:eastAsia="zh-CN"/>
        </w:rPr>
        <w:t xml:space="preserve">   </w:t>
      </w:r>
      <w:r>
        <w:rPr>
          <w:rFonts w:hint="eastAsia" w:ascii="宋体" w:hAnsi="宋体" w:cs="华文仿宋"/>
          <w:sz w:val="24"/>
          <w:szCs w:val="24"/>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sz w:val="24"/>
          <w:szCs w:val="24"/>
        </w:rPr>
      </w:pPr>
      <w:r>
        <w:rPr>
          <w:rFonts w:hint="eastAsia" w:ascii="宋体" w:hAnsi="宋体" w:cs="华文仿宋"/>
          <w:b/>
          <w:sz w:val="24"/>
          <w:szCs w:val="24"/>
        </w:rPr>
        <w:t>七、知识产权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乙方应保证甲方所使用的服务成果免受第三方提出的侵犯其知识产权的诉讼。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bCs/>
          <w:sz w:val="24"/>
          <w:szCs w:val="24"/>
        </w:rPr>
      </w:pPr>
      <w:bookmarkStart w:id="58" w:name="_Toc223404485"/>
      <w:r>
        <w:rPr>
          <w:rFonts w:hint="eastAsia" w:ascii="宋体" w:hAnsi="宋体" w:cs="华文仿宋"/>
          <w:b/>
          <w:bCs/>
          <w:sz w:val="24"/>
          <w:szCs w:val="24"/>
        </w:rPr>
        <w:t>八、违约条款</w:t>
      </w:r>
      <w:bookmarkEnd w:id="5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1. </w:t>
      </w:r>
      <w:r>
        <w:rPr>
          <w:rFonts w:hint="eastAsia" w:ascii="宋体" w:hAnsi="宋体" w:cs="华文仿宋"/>
          <w:sz w:val="24"/>
          <w:szCs w:val="24"/>
        </w:rPr>
        <w:t>一方不按期履行合同，并经另一方提示后</w:t>
      </w:r>
      <w:r>
        <w:rPr>
          <w:rFonts w:hint="eastAsia" w:ascii="宋体" w:hAnsi="宋体" w:cs="华文仿宋"/>
          <w:sz w:val="24"/>
          <w:szCs w:val="24"/>
          <w:u w:val="single"/>
        </w:rPr>
        <w:t xml:space="preserve">  </w:t>
      </w:r>
      <w:r>
        <w:rPr>
          <w:rFonts w:hint="eastAsia" w:ascii="宋体" w:hAnsi="宋体" w:cs="华文仿宋"/>
          <w:sz w:val="24"/>
          <w:szCs w:val="24"/>
        </w:rPr>
        <w:t>日内仍不履行合同的，守约方有权解除合同，违约方要承担相应的法律责任。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2. </w:t>
      </w:r>
      <w:r>
        <w:rPr>
          <w:rFonts w:hint="eastAsia" w:ascii="宋体" w:hAnsi="宋体" w:cs="华文仿宋"/>
          <w:sz w:val="24"/>
          <w:szCs w:val="24"/>
        </w:rPr>
        <w:t>如因一方违约，双方未能就赔偿损失达成协议，引起诉讼或仲裁时，违约方除应赔偿对方经济损失外，还应承担因诉讼或仲裁所支付的律师代理费等相关费用。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3. </w:t>
      </w:r>
      <w:r>
        <w:rPr>
          <w:rFonts w:hint="eastAsia" w:ascii="宋体" w:hAnsi="宋体" w:cs="华文仿宋"/>
          <w:sz w:val="24"/>
          <w:szCs w:val="24"/>
        </w:rPr>
        <w:t>其它应承担的违约责任，以《中华人民共和国合同法》和其它有关法律、法规规定为准，无相关规定的，双方协商解决。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ascii="宋体" w:hAnsi="宋体" w:cs="华文仿宋"/>
          <w:sz w:val="24"/>
          <w:szCs w:val="24"/>
        </w:rPr>
        <w:t xml:space="preserve">4. </w:t>
      </w:r>
      <w:r>
        <w:rPr>
          <w:rFonts w:hint="eastAsia" w:ascii="宋体" w:hAnsi="宋体" w:cs="华文仿宋"/>
          <w:sz w:val="24"/>
          <w:szCs w:val="24"/>
        </w:rPr>
        <w:t>按照本合同规定应该偿付的违约金、赔偿金等，应当在明确责任后 7 日内，按银行规定或双方商定的结算办法付清，否则按逾期付款处理。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bCs/>
          <w:sz w:val="24"/>
          <w:szCs w:val="24"/>
        </w:rPr>
      </w:pPr>
      <w:bookmarkStart w:id="59" w:name="_Toc223404486"/>
      <w:r>
        <w:rPr>
          <w:rFonts w:hint="eastAsia" w:ascii="宋体" w:hAnsi="宋体" w:cs="华文仿宋"/>
          <w:b/>
          <w:bCs/>
          <w:sz w:val="24"/>
          <w:szCs w:val="24"/>
        </w:rPr>
        <w:t>九、不可抗力条款</w:t>
      </w:r>
      <w:bookmarkEnd w:id="5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bCs/>
          <w:sz w:val="24"/>
          <w:szCs w:val="24"/>
        </w:rPr>
      </w:pPr>
      <w:bookmarkStart w:id="60" w:name="_Toc223404487"/>
      <w:r>
        <w:rPr>
          <w:rFonts w:hint="eastAsia" w:ascii="宋体" w:hAnsi="宋体" w:cs="华文仿宋"/>
          <w:b/>
          <w:bCs/>
          <w:sz w:val="24"/>
          <w:szCs w:val="24"/>
        </w:rPr>
        <w:t>十、争议的解决方式</w:t>
      </w:r>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bCs/>
          <w:sz w:val="24"/>
          <w:szCs w:val="24"/>
        </w:rPr>
      </w:pPr>
      <w:bookmarkStart w:id="61" w:name="_Toc223404488"/>
      <w:r>
        <w:rPr>
          <w:rFonts w:hint="eastAsia" w:ascii="宋体" w:hAnsi="宋体" w:cs="华文仿宋"/>
          <w:b/>
          <w:bCs/>
          <w:sz w:val="24"/>
          <w:szCs w:val="24"/>
        </w:rPr>
        <w:t>十一、补充协议</w:t>
      </w:r>
      <w:bookmarkEnd w:id="6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合同未尽事宜，经双方协商可签订补充协议，所签订的补充协议与本合同具有同等的法律效力，补充协议的生效应符合本合同的有关规定。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华文仿宋"/>
          <w:b/>
          <w:sz w:val="24"/>
          <w:szCs w:val="24"/>
        </w:rPr>
      </w:pPr>
      <w:r>
        <w:rPr>
          <w:rFonts w:hint="eastAsia" w:ascii="宋体" w:hAnsi="宋体" w:cs="华文仿宋"/>
          <w:b/>
          <w:sz w:val="24"/>
          <w:szCs w:val="24"/>
        </w:rPr>
        <w:t>十二、合同生效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华文仿宋"/>
          <w:sz w:val="24"/>
          <w:szCs w:val="24"/>
        </w:rPr>
      </w:pPr>
      <w:r>
        <w:rPr>
          <w:rFonts w:hint="eastAsia" w:ascii="宋体" w:hAnsi="宋体" w:cs="华文仿宋"/>
          <w:sz w:val="24"/>
          <w:szCs w:val="24"/>
        </w:rPr>
        <w:t>1. 合同双方签订后生效。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rFonts w:hint="eastAsia" w:ascii="宋体" w:hAnsi="宋体" w:cs="华文仿宋"/>
          <w:sz w:val="24"/>
          <w:szCs w:val="24"/>
        </w:rPr>
        <w:t>2. 本合同一式六份，甲、乙双方各执两份，采购代理机构、监管机构各一份。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pPr>
        <w:keepNext w:val="0"/>
        <w:keepLines w:val="0"/>
        <w:pageBreakBefore w:val="0"/>
        <w:widowControl w:val="0"/>
        <w:tabs>
          <w:tab w:val="left" w:pos="607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地址：            </w:t>
      </w:r>
    </w:p>
    <w:p>
      <w:pPr>
        <w:keepNext w:val="0"/>
        <w:keepLines w:val="0"/>
        <w:pageBreakBefore w:val="0"/>
        <w:widowControl w:val="0"/>
        <w:tabs>
          <w:tab w:val="left" w:pos="5040"/>
          <w:tab w:val="left" w:pos="7200"/>
          <w:tab w:val="left" w:pos="828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法定代表人：     </w:t>
      </w:r>
    </w:p>
    <w:p>
      <w:pPr>
        <w:keepNext w:val="0"/>
        <w:keepLines w:val="0"/>
        <w:pageBreakBefore w:val="0"/>
        <w:widowControl w:val="0"/>
        <w:tabs>
          <w:tab w:val="left" w:pos="5040"/>
          <w:tab w:val="left" w:pos="828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委托代理人：                                    委托代理人：      </w:t>
      </w:r>
    </w:p>
    <w:p>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电话：            </w:t>
      </w:r>
    </w:p>
    <w:p>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账号：                                          账号：            </w:t>
      </w:r>
    </w:p>
    <w:p>
      <w:pPr>
        <w:keepNext w:val="0"/>
        <w:keepLines w:val="0"/>
        <w:pageBreakBefore w:val="0"/>
        <w:widowControl w:val="0"/>
        <w:tabs>
          <w:tab w:val="left" w:pos="8280"/>
        </w:tabs>
        <w:kinsoku/>
        <w:wordWrap/>
        <w:overflowPunct/>
        <w:topLinePunct w:val="0"/>
        <w:autoSpaceDE/>
        <w:autoSpaceDN/>
        <w:bidi w:val="0"/>
        <w:adjustRightInd w:val="0"/>
        <w:snapToGrid w:val="0"/>
        <w:spacing w:line="360" w:lineRule="auto"/>
        <w:ind w:right="-180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日期：年 月 日                                  日期：年 月 日    </w:t>
      </w:r>
    </w:p>
    <w:p>
      <w:pPr>
        <w:keepNext w:val="0"/>
        <w:keepLines w:val="0"/>
        <w:pageBreakBefore w:val="0"/>
        <w:widowControl w:val="0"/>
        <w:tabs>
          <w:tab w:val="left" w:pos="5040"/>
          <w:tab w:val="left" w:pos="828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合同签订地点： </w:t>
      </w:r>
    </w:p>
    <w:p>
      <w:pPr>
        <w:rPr>
          <w:rFonts w:hint="eastAsia"/>
        </w:rPr>
      </w:pPr>
    </w:p>
    <w:p>
      <w:pPr>
        <w:pStyle w:val="21"/>
        <w:rPr>
          <w:rFonts w:hint="eastAsia"/>
        </w:rPr>
      </w:pPr>
    </w:p>
    <w:p>
      <w:pPr>
        <w:pStyle w:val="3"/>
        <w:numPr>
          <w:ilvl w:val="0"/>
          <w:numId w:val="0"/>
        </w:numPr>
        <w:bidi w:val="0"/>
        <w:ind w:firstLine="482" w:firstLineChars="100"/>
        <w:jc w:val="both"/>
        <w:rPr>
          <w:rFonts w:hint="eastAsia"/>
        </w:rPr>
      </w:pPr>
      <w:bookmarkStart w:id="62" w:name="_Toc21093"/>
      <w:r>
        <w:rPr>
          <w:rFonts w:hint="eastAsia"/>
          <w:lang w:eastAsia="zh-CN"/>
        </w:rPr>
        <w:t>第四部分</w:t>
      </w:r>
      <w:r>
        <w:rPr>
          <w:rFonts w:hint="eastAsia"/>
          <w:lang w:val="en-US" w:eastAsia="zh-CN"/>
        </w:rPr>
        <w:t xml:space="preserve"> </w:t>
      </w:r>
      <w:r>
        <w:rPr>
          <w:rFonts w:hint="eastAsia"/>
        </w:rPr>
        <w:t>竞争性磋商内容及技术要求</w:t>
      </w:r>
      <w:bookmarkEnd w:id="35"/>
      <w:bookmarkEnd w:id="36"/>
      <w:bookmarkEnd w:id="62"/>
    </w:p>
    <w:p>
      <w:pPr>
        <w:spacing w:after="0" w:line="560" w:lineRule="exact"/>
        <w:jc w:val="both"/>
        <w:rPr>
          <w:rFonts w:hint="eastAsia" w:ascii="仿宋" w:hAnsi="仿宋" w:eastAsia="仿宋" w:cs="仿宋_GB2312"/>
          <w:b/>
          <w:bCs/>
          <w:color w:val="000000"/>
          <w:sz w:val="28"/>
          <w:szCs w:val="28"/>
          <w:lang w:val="en-US" w:eastAsia="zh-CN"/>
        </w:rPr>
      </w:pPr>
      <w:bookmarkStart w:id="63" w:name="_Toc13575_WPSOffice_Level1"/>
      <w:bookmarkStart w:id="64" w:name="_Toc22721386"/>
      <w:bookmarkStart w:id="65" w:name="_Toc23201"/>
    </w:p>
    <w:p>
      <w:pPr>
        <w:spacing w:after="0" w:line="560" w:lineRule="exact"/>
        <w:jc w:val="both"/>
        <w:rPr>
          <w:rFonts w:hint="eastAsia" w:ascii="仿宋" w:hAnsi="仿宋" w:eastAsia="仿宋" w:cs="仿宋_GB2312"/>
          <w:b/>
          <w:bCs/>
          <w:color w:val="000000"/>
          <w:sz w:val="28"/>
          <w:szCs w:val="28"/>
          <w:lang w:eastAsia="zh-CN"/>
        </w:rPr>
      </w:pPr>
      <w:r>
        <w:rPr>
          <w:rFonts w:hint="eastAsia" w:ascii="仿宋" w:hAnsi="仿宋" w:eastAsia="仿宋" w:cs="仿宋_GB2312"/>
          <w:b/>
          <w:bCs/>
          <w:color w:val="000000"/>
          <w:sz w:val="28"/>
          <w:szCs w:val="28"/>
          <w:lang w:val="en-US" w:eastAsia="zh-CN"/>
        </w:rPr>
        <w:t xml:space="preserve">合同包1： </w:t>
      </w:r>
      <w:r>
        <w:rPr>
          <w:rFonts w:hint="eastAsia" w:ascii="仿宋" w:hAnsi="仿宋" w:eastAsia="仿宋" w:cs="仿宋_GB2312"/>
          <w:b/>
          <w:bCs/>
          <w:color w:val="000000"/>
          <w:sz w:val="28"/>
          <w:szCs w:val="28"/>
          <w:lang w:eastAsia="zh-CN"/>
        </w:rPr>
        <w:t>废水、气、土壤名录库和一般工业固废利用方案编制；</w:t>
      </w:r>
    </w:p>
    <w:p>
      <w:pPr>
        <w:spacing w:after="0" w:line="560" w:lineRule="exact"/>
        <w:ind w:firstLine="1405" w:firstLineChars="5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预算金额</w:t>
      </w:r>
      <w:r>
        <w:rPr>
          <w:rFonts w:hint="eastAsia" w:ascii="宋体" w:hAnsi="宋体" w:eastAsia="宋体" w:cs="宋体"/>
          <w:b/>
          <w:bCs/>
          <w:color w:val="000000"/>
          <w:sz w:val="28"/>
          <w:szCs w:val="28"/>
          <w:lang w:val="en-US" w:eastAsia="zh-CN"/>
        </w:rPr>
        <w:t>123000.00元。</w:t>
      </w:r>
    </w:p>
    <w:p>
      <w:pPr>
        <w:spacing w:after="0" w:line="560" w:lineRule="exact"/>
        <w:ind w:firstLine="840" w:firstLineChars="300"/>
        <w:jc w:val="both"/>
        <w:rPr>
          <w:rFonts w:hint="eastAsia" w:ascii="宋体" w:hAnsi="宋体" w:eastAsia="宋体" w:cs="宋体"/>
          <w:b/>
          <w:bCs/>
          <w:color w:val="000000"/>
          <w:sz w:val="28"/>
          <w:szCs w:val="28"/>
          <w:lang w:val="en-US" w:eastAsia="zh-CN"/>
        </w:rPr>
      </w:pPr>
      <w:r>
        <w:rPr>
          <w:rFonts w:hint="eastAsia" w:ascii="宋体" w:hAnsi="宋体" w:eastAsia="宋体" w:cs="宋体"/>
          <w:color w:val="000000"/>
          <w:sz w:val="28"/>
          <w:szCs w:val="28"/>
          <w:lang w:eastAsia="zh-CN"/>
        </w:rPr>
        <w:t>根据中省市有关化工园区申报认定要求，为了尽快完善榆佳经济技术开发区化工园区相关方案，满足全省化工园区认定评估要求，早日认定通过，保障化工项目顺利落地建设，提升佳县工业发展水平，增强产业集聚，形成完备产业链，不断壮大县域工业经济规模和质量，实现工业强县的目标。现委托第三方专业公司为榆佳经济技术开发区编制《废水、废气和土壤特征污染物名录库》和《一般工业固体废物无害化处理及资源化利用方案》。</w:t>
      </w:r>
    </w:p>
    <w:p>
      <w:pPr>
        <w:spacing w:after="0" w:line="560" w:lineRule="exact"/>
        <w:jc w:val="both"/>
        <w:rPr>
          <w:rFonts w:hint="eastAsia" w:ascii="宋体" w:hAnsi="宋体" w:eastAsia="宋体" w:cs="宋体"/>
          <w:b/>
          <w:sz w:val="28"/>
          <w:szCs w:val="28"/>
          <w:lang w:eastAsia="zh-CN"/>
        </w:rPr>
      </w:pPr>
      <w:r>
        <w:rPr>
          <w:rFonts w:hint="eastAsia" w:ascii="宋体" w:hAnsi="宋体" w:eastAsia="宋体" w:cs="宋体"/>
          <w:b/>
          <w:bCs/>
          <w:color w:val="000000"/>
          <w:sz w:val="28"/>
          <w:szCs w:val="28"/>
          <w:lang w:val="en-US" w:eastAsia="zh-CN"/>
        </w:rPr>
        <w:t>合同包2： 职业健康与环境质量检测编制；</w:t>
      </w:r>
    </w:p>
    <w:p>
      <w:pPr>
        <w:spacing w:after="0" w:line="560" w:lineRule="exact"/>
        <w:ind w:firstLine="1405" w:firstLineChars="5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预算金额</w:t>
      </w:r>
      <w:r>
        <w:rPr>
          <w:rFonts w:hint="eastAsia" w:ascii="宋体" w:hAnsi="宋体" w:eastAsia="宋体" w:cs="宋体"/>
          <w:b/>
          <w:bCs/>
          <w:color w:val="000000"/>
          <w:sz w:val="28"/>
          <w:szCs w:val="28"/>
          <w:lang w:val="en-US" w:eastAsia="zh-CN"/>
        </w:rPr>
        <w:t>113000.00元。</w:t>
      </w:r>
    </w:p>
    <w:p>
      <w:pPr>
        <w:spacing w:after="0" w:line="560" w:lineRule="exact"/>
        <w:jc w:val="both"/>
        <w:rPr>
          <w:rFonts w:hint="eastAsia" w:ascii="宋体" w:hAnsi="宋体" w:eastAsia="宋体" w:cs="宋体"/>
          <w:b/>
          <w:bCs/>
          <w:color w:val="000000"/>
          <w:sz w:val="28"/>
          <w:szCs w:val="28"/>
          <w:lang w:val="en-US" w:eastAsia="zh-CN"/>
        </w:rPr>
      </w:pPr>
      <w:r>
        <w:rPr>
          <w:rFonts w:hint="eastAsia" w:ascii="宋体" w:hAnsi="宋体" w:eastAsia="宋体" w:cs="宋体"/>
          <w:sz w:val="28"/>
          <w:szCs w:val="28"/>
        </w:rPr>
        <w:t>根据中省市有关化工园区申报认定要求，为了尽快完善榆佳经济技术开发区化工园区相关方案，满足全省化工园区认定评估要求，早日认定通过，保障化工项目顺利落地建设，提升佳县工业发展水平，增强产业集聚，形成完备产业链，不断壮大县域工业经济规模和质量，实现工业强县的目标。现委托第三方专业公司为榆佳经济技术开发区编制《职业健康安全管理体系》和《环境质量定期监测计划》。</w:t>
      </w:r>
    </w:p>
    <w:p>
      <w:pPr>
        <w:spacing w:after="0" w:line="560" w:lineRule="exact"/>
        <w:jc w:val="both"/>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合同包3： 榆佳经开区应急预案编制；</w:t>
      </w:r>
    </w:p>
    <w:p>
      <w:pPr>
        <w:spacing w:after="0" w:line="560" w:lineRule="exact"/>
        <w:ind w:firstLine="1405" w:firstLineChars="5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预算金额</w:t>
      </w:r>
      <w:r>
        <w:rPr>
          <w:rFonts w:hint="eastAsia" w:ascii="宋体" w:hAnsi="宋体" w:eastAsia="宋体" w:cs="宋体"/>
          <w:b/>
          <w:bCs/>
          <w:color w:val="000000"/>
          <w:sz w:val="28"/>
          <w:szCs w:val="28"/>
          <w:lang w:val="en-US" w:eastAsia="zh-CN"/>
        </w:rPr>
        <w:t>346000.00元。</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国家突发环境事件应急预案》（国办函[2014]119号）、关于印发《企业事业单位突发环境事件应急预案备案管理办法（试行）的通知》（环发[2015]4号）、《陕西省人民政府办公厅关于印发省突发事件应急预案管理办法的通知》（陕政办发[2014]24号）等文件的要求，为了切实提高工业园区正确应对和有效处置突发环境事件的能力，保证园区正常安全运行，需编制《榆佳工业园区突发环境事件应急预案》和《榆佳经济技术开发区生产安全事故应急预案》。</w:t>
      </w:r>
    </w:p>
    <w:p>
      <w:pPr>
        <w:spacing w:after="0" w:line="560" w:lineRule="exact"/>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合同包4： 榆佳经济技术开发区化工园区安全整治提升服务；</w:t>
      </w:r>
    </w:p>
    <w:p>
      <w:pPr>
        <w:spacing w:after="0" w:line="560" w:lineRule="exact"/>
        <w:ind w:firstLine="843" w:firstLineChars="3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预算金额555000.00元。</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按照中省对化工园区安全整治提升工作安排部署要求以及根据《榆林市化工园区安全整治提升实施方案》（榆安委办发〔2022〕13号）文件精神，榆佳经济技术开发区必须开展化工园区安全整治提升工作，并与7月份完成省市验收，该项工作专业性强，必须有专业机构的指导才能顺利完成。</w:t>
      </w:r>
    </w:p>
    <w:p>
      <w:pPr>
        <w:spacing w:after="0" w:line="560" w:lineRule="exact"/>
        <w:jc w:val="both"/>
        <w:rPr>
          <w:rFonts w:hint="eastAsia" w:ascii="宋体" w:hAnsi="宋体" w:eastAsia="宋体" w:cs="宋体"/>
          <w:b/>
          <w:sz w:val="28"/>
          <w:szCs w:val="28"/>
          <w:lang w:eastAsia="zh-CN"/>
        </w:rPr>
      </w:pPr>
      <w:r>
        <w:rPr>
          <w:rFonts w:hint="eastAsia" w:ascii="宋体" w:hAnsi="宋体" w:eastAsia="宋体" w:cs="宋体"/>
          <w:b/>
          <w:bCs/>
          <w:color w:val="000000"/>
          <w:sz w:val="28"/>
          <w:szCs w:val="28"/>
          <w:lang w:val="en-US" w:eastAsia="zh-CN"/>
        </w:rPr>
        <w:t>合同包5： 榆佳经开区总体规划修编；</w:t>
      </w:r>
    </w:p>
    <w:p>
      <w:pPr>
        <w:spacing w:after="0" w:line="560" w:lineRule="exact"/>
        <w:ind w:firstLine="562"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预算金额</w:t>
      </w:r>
      <w:r>
        <w:rPr>
          <w:rFonts w:hint="eastAsia" w:ascii="宋体" w:hAnsi="宋体" w:eastAsia="宋体" w:cs="宋体"/>
          <w:b/>
          <w:bCs/>
          <w:color w:val="000000"/>
          <w:sz w:val="28"/>
          <w:szCs w:val="28"/>
          <w:lang w:val="en-US" w:eastAsia="zh-CN"/>
        </w:rPr>
        <w:t>183000.00元。</w:t>
      </w:r>
    </w:p>
    <w:p>
      <w:pPr>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榆佳经开区需申报化工园区及佳县国土空间总体规划编制客观影响因素，原规划方案需进行重大调整，主要是空间布局和用地规模发生了重大变化，规划控制范围面积26.86平方公里，建设用地规模12.25平方公里，采购服务对总体规划重新调整编制。</w:t>
      </w:r>
    </w:p>
    <w:p>
      <w:pPr>
        <w:pStyle w:val="3"/>
        <w:bidi w:val="0"/>
        <w:jc w:val="center"/>
        <w:rPr>
          <w:rFonts w:hint="eastAsia" w:ascii="宋体" w:hAnsi="宋体" w:eastAsia="宋体" w:cs="宋体"/>
        </w:rPr>
      </w:pPr>
    </w:p>
    <w:p>
      <w:pPr>
        <w:pStyle w:val="3"/>
        <w:bidi w:val="0"/>
        <w:jc w:val="center"/>
        <w:rPr>
          <w:rFonts w:hint="eastAsia" w:ascii="宋体" w:hAnsi="宋体" w:eastAsia="宋体" w:cs="宋体"/>
        </w:rPr>
      </w:pPr>
    </w:p>
    <w:p>
      <w:pPr>
        <w:pStyle w:val="3"/>
        <w:bidi w:val="0"/>
        <w:jc w:val="center"/>
        <w:rPr>
          <w:rFonts w:hint="eastAsia"/>
        </w:rPr>
      </w:pPr>
    </w:p>
    <w:p>
      <w:pPr>
        <w:pStyle w:val="3"/>
        <w:bidi w:val="0"/>
        <w:jc w:val="center"/>
        <w:rPr>
          <w:rFonts w:hint="eastAsia"/>
        </w:rPr>
      </w:pPr>
    </w:p>
    <w:p>
      <w:pPr>
        <w:pStyle w:val="3"/>
        <w:bidi w:val="0"/>
        <w:jc w:val="center"/>
        <w:rPr>
          <w:rFonts w:hint="eastAsia"/>
        </w:rPr>
      </w:pPr>
      <w:r>
        <w:rPr>
          <w:rFonts w:hint="eastAsia"/>
        </w:rPr>
        <w:t>第五</w:t>
      </w:r>
      <w:r>
        <w:rPr>
          <w:rFonts w:hint="eastAsia"/>
          <w:lang w:eastAsia="zh-CN"/>
        </w:rPr>
        <w:t>部分</w:t>
      </w:r>
      <w:r>
        <w:rPr>
          <w:rFonts w:hint="eastAsia"/>
        </w:rPr>
        <w:t xml:space="preserve"> 评审方法</w:t>
      </w:r>
      <w:bookmarkEnd w:id="37"/>
      <w:bookmarkEnd w:id="63"/>
      <w:bookmarkEnd w:id="64"/>
      <w:bookmarkEnd w:id="65"/>
    </w:p>
    <w:p>
      <w:pPr>
        <w:pStyle w:val="7"/>
        <w:spacing w:before="66"/>
        <w:ind w:left="0" w:leftChars="0" w:firstLine="0" w:firstLineChars="0"/>
        <w:rPr>
          <w:rFonts w:hint="eastAsia" w:ascii="宋体" w:hAnsi="宋体" w:eastAsia="宋体" w:cs="宋体"/>
        </w:rPr>
      </w:pPr>
      <w:r>
        <w:rPr>
          <w:rFonts w:hint="eastAsia" w:ascii="宋体" w:hAnsi="宋体" w:eastAsia="宋体" w:cs="宋体"/>
        </w:rPr>
        <w:t>一．评审方法：</w:t>
      </w:r>
    </w:p>
    <w:p>
      <w:pPr>
        <w:pStyle w:val="9"/>
        <w:spacing w:before="9"/>
        <w:ind w:firstLine="331" w:firstLineChars="183"/>
        <w:rPr>
          <w:rFonts w:hint="eastAsia" w:ascii="宋体" w:hAnsi="宋体" w:eastAsia="宋体" w:cs="宋体"/>
          <w:b/>
          <w:sz w:val="18"/>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eastAsia="zh-CN"/>
        </w:rPr>
      </w:pPr>
      <w:r>
        <w:rPr>
          <w:rFonts w:hint="eastAsia"/>
          <w:sz w:val="24"/>
          <w:szCs w:val="24"/>
          <w:lang w:val="en-US" w:eastAsia="zh-CN"/>
        </w:rPr>
        <w:t>按照《中华人民共和国政府采购法》及实施条例和关于印发《政府采购竞争性磋商采购方式管理暂行办法》的通知（财库【2014】214 号）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spacing w:val="-3"/>
          <w:kern w:val="2"/>
          <w:sz w:val="24"/>
          <w:lang w:val="en-US" w:eastAsia="zh-CN" w:bidi="ar-SA"/>
        </w:rPr>
      </w:pPr>
      <w:r>
        <w:rPr>
          <w:rFonts w:hint="eastAsia" w:ascii="宋体" w:hAnsi="宋体" w:eastAsia="宋体" w:cs="宋体"/>
          <w:spacing w:val="-3"/>
          <w:kern w:val="2"/>
          <w:sz w:val="24"/>
          <w:lang w:val="en-US" w:eastAsia="zh-CN" w:bidi="ar-SA"/>
        </w:rPr>
        <w:t>二、评审程序：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lang w:val="en-US" w:eastAsia="zh-CN"/>
        </w:rPr>
      </w:pPr>
      <w:r>
        <w:rPr>
          <w:rFonts w:hint="eastAsia"/>
          <w:sz w:val="24"/>
          <w:szCs w:val="24"/>
          <w:lang w:val="en-US" w:eastAsia="zh-CN"/>
        </w:rPr>
        <w:t>按照竞争性磋商响应文件初审、澄清有关问题、分别磋商、二次报价、比较与评审、推荐成交候选人名单。在上一步评审中被认定为无效磋商者，不进入下一步的评审。</w:t>
      </w:r>
    </w:p>
    <w:p>
      <w:pPr>
        <w:pStyle w:val="7"/>
        <w:keepNext w:val="0"/>
        <w:keepLines w:val="0"/>
        <w:pageBreakBefore w:val="0"/>
        <w:widowControl/>
        <w:kinsoku/>
        <w:wordWrap/>
        <w:overflowPunct/>
        <w:topLinePunct w:val="0"/>
        <w:autoSpaceDE/>
        <w:autoSpaceDN/>
        <w:bidi w:val="0"/>
        <w:adjustRightInd/>
        <w:snapToGrid/>
        <w:spacing w:line="304" w:lineRule="exact"/>
        <w:ind w:left="0" w:firstLine="482" w:firstLineChars="200"/>
        <w:textAlignment w:val="baseline"/>
        <w:rPr>
          <w:rFonts w:hint="eastAsia" w:ascii="宋体" w:hAnsi="宋体" w:eastAsia="宋体" w:cs="宋体"/>
        </w:rPr>
      </w:pPr>
      <w:r>
        <w:rPr>
          <w:rFonts w:hint="eastAsia" w:ascii="宋体" w:hAnsi="宋体" w:eastAsia="宋体" w:cs="宋体"/>
        </w:rPr>
        <w:t>1、对磋商响应文件的初审：</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sz w:val="24"/>
          <w:szCs w:val="24"/>
        </w:rPr>
      </w:pPr>
      <w:r>
        <w:rPr>
          <w:rFonts w:hint="eastAsia"/>
          <w:b/>
          <w:bCs/>
          <w:sz w:val="24"/>
          <w:szCs w:val="24"/>
          <w:lang w:val="en-US"/>
        </w:rPr>
        <w:t xml:space="preserve">1.1 </w:t>
      </w:r>
      <w:r>
        <w:rPr>
          <w:rFonts w:hint="eastAsia"/>
          <w:b/>
          <w:bCs/>
          <w:sz w:val="24"/>
          <w:szCs w:val="24"/>
        </w:rPr>
        <w:t>资格性审查</w:t>
      </w:r>
      <w:r>
        <w:rPr>
          <w:rFonts w:hint="eastAsia"/>
          <w:sz w:val="24"/>
          <w:szCs w:val="24"/>
        </w:rPr>
        <w:t>。磋商小组将依据磋商响应文件，按照磋商文件第二章供应商须知前附表 12.1 条所述资格要求进行资格性审查，如果供应商不满足磋商文件所规定的资格要求或提供资格证明文件不全,将被视为未实质性响应磋商文件。</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sz w:val="24"/>
          <w:szCs w:val="24"/>
        </w:rPr>
      </w:pPr>
      <w:r>
        <w:rPr>
          <w:rFonts w:hint="eastAsia"/>
          <w:b/>
          <w:bCs/>
          <w:sz w:val="24"/>
          <w:szCs w:val="24"/>
          <w:lang w:val="en-US"/>
        </w:rPr>
        <w:t xml:space="preserve">1.2 </w:t>
      </w:r>
      <w:r>
        <w:rPr>
          <w:rFonts w:hint="eastAsia"/>
          <w:b/>
          <w:bCs/>
          <w:sz w:val="24"/>
          <w:szCs w:val="24"/>
        </w:rPr>
        <w:t>符合性审查</w:t>
      </w:r>
      <w:r>
        <w:rPr>
          <w:rFonts w:hint="eastAsia"/>
          <w:sz w:val="24"/>
          <w:szCs w:val="24"/>
        </w:rPr>
        <w:t>。</w:t>
      </w:r>
    </w:p>
    <w:p>
      <w:pPr>
        <w:pStyle w:val="21"/>
        <w:rPr>
          <w:rFonts w:hint="eastAsia"/>
          <w:sz w:val="24"/>
          <w:szCs w:val="24"/>
        </w:rPr>
      </w:pPr>
    </w:p>
    <w:p>
      <w:pPr>
        <w:widowControl/>
        <w:spacing w:before="190" w:beforeLines="50" w:after="190" w:afterLines="50" w:line="400" w:lineRule="exact"/>
        <w:jc w:val="center"/>
        <w:outlineLvl w:val="2"/>
        <w:rPr>
          <w:rFonts w:hint="eastAsia" w:asciiTheme="minorEastAsia" w:hAnsiTheme="minorEastAsia" w:eastAsiaTheme="minorEastAsia" w:cstheme="minorEastAsia"/>
          <w:b/>
          <w:sz w:val="32"/>
          <w:szCs w:val="32"/>
          <w:u w:val="thick"/>
        </w:rPr>
      </w:pPr>
      <w:r>
        <w:rPr>
          <w:rFonts w:hint="eastAsia" w:asciiTheme="minorEastAsia" w:hAnsiTheme="minorEastAsia" w:eastAsiaTheme="minorEastAsia" w:cstheme="minorEastAsia"/>
          <w:b/>
          <w:sz w:val="32"/>
          <w:szCs w:val="32"/>
          <w:u w:val="thick"/>
        </w:rPr>
        <w:t>符合性审查表</w:t>
      </w:r>
    </w:p>
    <w:tbl>
      <w:tblPr>
        <w:tblStyle w:val="23"/>
        <w:tblW w:w="93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3827"/>
        <w:gridCol w:w="851"/>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F7CAAC"/>
            <w:vAlign w:val="center"/>
          </w:tcPr>
          <w:p>
            <w:pPr>
              <w:widowControl/>
              <w:spacing w:line="32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2410" w:type="dxa"/>
            <w:shd w:val="clear" w:color="auto" w:fill="F7CAAC"/>
            <w:vAlign w:val="center"/>
          </w:tcPr>
          <w:p>
            <w:pPr>
              <w:widowControl/>
              <w:spacing w:line="32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符合性审查项</w:t>
            </w:r>
          </w:p>
        </w:tc>
        <w:tc>
          <w:tcPr>
            <w:tcW w:w="3827" w:type="dxa"/>
            <w:shd w:val="clear" w:color="auto" w:fill="F7CAAC"/>
            <w:vAlign w:val="center"/>
          </w:tcPr>
          <w:p>
            <w:pPr>
              <w:widowControl/>
              <w:spacing w:line="32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通过条件</w:t>
            </w:r>
          </w:p>
        </w:tc>
        <w:tc>
          <w:tcPr>
            <w:tcW w:w="851" w:type="dxa"/>
            <w:shd w:val="clear" w:color="auto" w:fill="F7CAAC"/>
            <w:vAlign w:val="center"/>
          </w:tcPr>
          <w:p>
            <w:pPr>
              <w:widowControl/>
              <w:spacing w:line="32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结论</w:t>
            </w:r>
          </w:p>
        </w:tc>
        <w:tc>
          <w:tcPr>
            <w:tcW w:w="1559" w:type="dxa"/>
            <w:shd w:val="clear" w:color="auto" w:fill="F7CAAC"/>
            <w:vAlign w:val="center"/>
          </w:tcPr>
          <w:p>
            <w:pPr>
              <w:widowControl/>
              <w:spacing w:line="32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未通过原因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响应文件项目名称、项目编号、标段（未划分标段的除外）</w:t>
            </w:r>
          </w:p>
        </w:tc>
        <w:tc>
          <w:tcPr>
            <w:tcW w:w="3827"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响应文件以下三处的项目名称、项目编号、标段无遗漏，且与本项目一致：</w:t>
            </w:r>
          </w:p>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（1）封面；</w:t>
            </w:r>
          </w:p>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（2）响应函；</w:t>
            </w:r>
          </w:p>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（3）法定代表人委托授权书。</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响应文件组成</w:t>
            </w:r>
          </w:p>
        </w:tc>
        <w:tc>
          <w:tcPr>
            <w:tcW w:w="3827" w:type="dxa"/>
            <w:vAlign w:val="center"/>
          </w:tcPr>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响应文件</w:t>
            </w:r>
            <w:r>
              <w:rPr>
                <w:rFonts w:hint="eastAsia" w:asciiTheme="minorEastAsia" w:hAnsiTheme="minorEastAsia" w:eastAsiaTheme="minorEastAsia" w:cstheme="minorEastAsia"/>
                <w:szCs w:val="21"/>
              </w:rPr>
              <w:t>应包含以下内容：</w:t>
            </w:r>
          </w:p>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kern w:val="0"/>
                <w:szCs w:val="21"/>
              </w:rPr>
              <w:t>响应函</w:t>
            </w:r>
            <w:r>
              <w:rPr>
                <w:rFonts w:hint="eastAsia" w:asciiTheme="minorEastAsia" w:hAnsiTheme="minorEastAsia" w:eastAsiaTheme="minorEastAsia" w:cstheme="minorEastAsia"/>
                <w:szCs w:val="21"/>
              </w:rPr>
              <w:t>；</w:t>
            </w:r>
          </w:p>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（2）第一次磋商报价表、费用明细表（磋商文件未作要求的除外）；</w:t>
            </w:r>
          </w:p>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（3）资格证明文件；</w:t>
            </w:r>
          </w:p>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供应</w:t>
            </w:r>
            <w:r>
              <w:rPr>
                <w:rFonts w:hint="eastAsia" w:asciiTheme="minorEastAsia" w:hAnsiTheme="minorEastAsia" w:eastAsiaTheme="minorEastAsia" w:cstheme="minorEastAsia"/>
                <w:szCs w:val="21"/>
              </w:rPr>
              <w:t>商概况；</w:t>
            </w:r>
          </w:p>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CN"/>
              </w:rPr>
              <w:t>供应</w:t>
            </w:r>
            <w:r>
              <w:rPr>
                <w:rFonts w:hint="eastAsia" w:asciiTheme="minorEastAsia" w:hAnsiTheme="minorEastAsia" w:eastAsiaTheme="minorEastAsia" w:cstheme="minorEastAsia"/>
                <w:szCs w:val="21"/>
              </w:rPr>
              <w:t>商参加政府采购活动承诺书；</w:t>
            </w:r>
          </w:p>
          <w:p>
            <w:pPr>
              <w:widowControl/>
              <w:spacing w:line="320" w:lineRule="exac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（6）响应方案。</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响应文件签字、盖章</w:t>
            </w:r>
          </w:p>
        </w:tc>
        <w:tc>
          <w:tcPr>
            <w:tcW w:w="3827"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签字、盖章符合磋商文件要求，且无遗漏。</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响应文件的语言及计量单位</w:t>
            </w:r>
          </w:p>
        </w:tc>
        <w:tc>
          <w:tcPr>
            <w:tcW w:w="3827" w:type="dxa"/>
            <w:vAlign w:val="center"/>
          </w:tcPr>
          <w:p>
            <w:pPr>
              <w:widowControl/>
              <w:spacing w:line="320" w:lineRule="exact"/>
              <w:ind w:left="33"/>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均符合磋商文件的要求。</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响应文件有效期</w:t>
            </w:r>
          </w:p>
        </w:tc>
        <w:tc>
          <w:tcPr>
            <w:tcW w:w="3827" w:type="dxa"/>
            <w:vAlign w:val="center"/>
          </w:tcPr>
          <w:p>
            <w:pPr>
              <w:widowControl/>
              <w:spacing w:line="320" w:lineRule="exact"/>
              <w:ind w:left="33"/>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符合磋商文件的要求。</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磋商报价</w:t>
            </w:r>
          </w:p>
        </w:tc>
        <w:tc>
          <w:tcPr>
            <w:tcW w:w="3827" w:type="dxa"/>
            <w:vAlign w:val="center"/>
          </w:tcPr>
          <w:p>
            <w:pPr>
              <w:widowControl/>
              <w:spacing w:line="320" w:lineRule="exact"/>
              <w:ind w:right="21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同时满足以下条款：</w:t>
            </w:r>
          </w:p>
          <w:p>
            <w:pPr>
              <w:widowControl/>
              <w:spacing w:line="320" w:lineRule="exact"/>
              <w:ind w:right="21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（1）磋商报价符合唯一性要求；</w:t>
            </w:r>
          </w:p>
          <w:p>
            <w:pPr>
              <w:widowControl/>
              <w:spacing w:line="320" w:lineRule="exact"/>
              <w:ind w:right="21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（2）第一次磋商报价表填写符合要求；</w:t>
            </w:r>
          </w:p>
          <w:p>
            <w:pPr>
              <w:widowControl/>
              <w:spacing w:line="320" w:lineRule="exact"/>
              <w:ind w:right="21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（3）报价货币符合磋商文件要求；</w:t>
            </w:r>
          </w:p>
          <w:p>
            <w:pPr>
              <w:widowControl/>
              <w:spacing w:line="320" w:lineRule="exact"/>
              <w:ind w:right="2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（4）未超出采购预算或磋商文件规定的最高限价；</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7</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实质性条款响应</w:t>
            </w:r>
          </w:p>
        </w:tc>
        <w:tc>
          <w:tcPr>
            <w:tcW w:w="3827" w:type="dxa"/>
            <w:vAlign w:val="center"/>
          </w:tcPr>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完全响应磋商文件要求的各项技术/服务/商务实质性条款。</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8</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合同条款</w:t>
            </w:r>
          </w:p>
        </w:tc>
        <w:tc>
          <w:tcPr>
            <w:tcW w:w="3827" w:type="dxa"/>
            <w:vAlign w:val="center"/>
          </w:tcPr>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完全理解并接受磋商文件合同基本条款的要求。</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widowControl/>
              <w:spacing w:line="32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9</w:t>
            </w:r>
          </w:p>
        </w:tc>
        <w:tc>
          <w:tcPr>
            <w:tcW w:w="2410" w:type="dxa"/>
            <w:vAlign w:val="center"/>
          </w:tcPr>
          <w:p>
            <w:pPr>
              <w:widowControl/>
              <w:spacing w:line="320" w:lineRule="exac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其他</w:t>
            </w:r>
          </w:p>
        </w:tc>
        <w:tc>
          <w:tcPr>
            <w:tcW w:w="3827" w:type="dxa"/>
            <w:vAlign w:val="center"/>
          </w:tcPr>
          <w:p>
            <w:pPr>
              <w:widowControl/>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c>
          <w:tcPr>
            <w:tcW w:w="1559" w:type="dxa"/>
            <w:vAlign w:val="center"/>
          </w:tcPr>
          <w:p>
            <w:pPr>
              <w:widowControl/>
              <w:spacing w:line="320" w:lineRule="exact"/>
              <w:jc w:val="center"/>
              <w:rPr>
                <w:rFonts w:hint="eastAsia" w:asciiTheme="minorEastAsia" w:hAnsiTheme="minorEastAsia" w:eastAsiaTheme="minorEastAsia" w:cstheme="minorEastAsia"/>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351" w:type="dxa"/>
            <w:gridSpan w:val="5"/>
          </w:tcPr>
          <w:p>
            <w:pPr>
              <w:widowControl/>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磋商小组：（签字或盖章）</w:t>
            </w:r>
          </w:p>
        </w:tc>
      </w:tr>
    </w:tbl>
    <w:p>
      <w:pPr>
        <w:rPr>
          <w:rFonts w:hint="eastAsia"/>
          <w:sz w:val="24"/>
          <w:szCs w:val="24"/>
        </w:rPr>
      </w:pPr>
    </w:p>
    <w:p>
      <w:pPr>
        <w:pStyle w:val="75"/>
        <w:tabs>
          <w:tab w:val="left" w:pos="1802"/>
        </w:tabs>
        <w:spacing w:before="0" w:line="302" w:lineRule="exact"/>
        <w:ind w:left="0" w:leftChars="0" w:firstLine="0" w:firstLineChars="0"/>
        <w:jc w:val="both"/>
        <w:rPr>
          <w:rFonts w:hint="eastAsia" w:ascii="宋体" w:hAnsi="宋体" w:eastAsia="宋体" w:cs="宋体"/>
          <w:sz w:val="24"/>
        </w:rPr>
      </w:pPr>
    </w:p>
    <w:p>
      <w:pPr>
        <w:pStyle w:val="7"/>
        <w:numPr>
          <w:ilvl w:val="0"/>
          <w:numId w:val="7"/>
        </w:numPr>
        <w:ind w:left="0" w:firstLine="482" w:firstLineChars="200"/>
        <w:rPr>
          <w:rFonts w:hint="eastAsia" w:ascii="宋体" w:hAnsi="宋体" w:eastAsia="宋体" w:cs="宋体"/>
        </w:rPr>
      </w:pPr>
      <w:r>
        <w:rPr>
          <w:rFonts w:hint="eastAsia" w:ascii="宋体" w:hAnsi="宋体" w:eastAsia="宋体" w:cs="宋体"/>
        </w:rPr>
        <w:t>磋商响应文件的澄清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sz w:val="24"/>
          <w:szCs w:val="24"/>
          <w:lang w:val="en-US" w:eastAsia="zh-CN"/>
        </w:rPr>
        <w:t>1、</w:t>
      </w:r>
      <w:r>
        <w:rPr>
          <w:rFonts w:hint="eastAsia"/>
          <w:sz w:val="24"/>
          <w:szCs w:val="24"/>
        </w:rPr>
        <w:t>磋商小组发现供应商的报价明显低于其他磋商报价、或明显低于市场价格，使得其磋商报价可能低于其成本的，有可能影响产品质量或者不能诚信履约的，应当要求其在合理的时间</w:t>
      </w:r>
      <w:r>
        <w:rPr>
          <w:rFonts w:hint="eastAsia"/>
          <w:color w:val="auto"/>
          <w:sz w:val="24"/>
          <w:szCs w:val="24"/>
        </w:rPr>
        <w:t>内做出书面说明并提交相关证明材料。供应商不能证明其报价合理性的，由磋商小组认定该供应商以低于成本报价竞标，将其作为无效响应处理。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color w:val="auto"/>
          <w:sz w:val="24"/>
          <w:szCs w:val="24"/>
          <w:lang w:val="en-US" w:eastAsia="zh-CN"/>
        </w:rPr>
        <w:t>2、</w:t>
      </w:r>
      <w:r>
        <w:rPr>
          <w:rFonts w:hint="eastAsia"/>
          <w:color w:val="auto"/>
          <w:sz w:val="24"/>
          <w:szCs w:val="24"/>
        </w:rPr>
        <w:t>有效的书面澄清材料，</w:t>
      </w:r>
      <w:r>
        <w:rPr>
          <w:rFonts w:hint="eastAsia"/>
          <w:sz w:val="24"/>
          <w:szCs w:val="24"/>
        </w:rPr>
        <w:t>是磋商响应文件的补充材料，成为磋商响应文件的组成部分。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rPr>
        <w:t>3、磋商：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的内容，需经采购人代表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rPr>
        <w:t>4、综合评审：对于经初审合格的所有供应商，由磋商小组各成员依据磋商响应文件和最终报价，按照下列《评标要素和分值分解表》规定的内容独立进行综合评价、比较打分，然后汇总每个供应商的得分，从高到低依次排序，推荐成交候选人。</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spacing w:val="4"/>
          <w:sz w:val="24"/>
          <w:szCs w:val="22"/>
          <w:highlight w:val="none"/>
          <w:lang w:val="en-US" w:eastAsia="zh-CN"/>
        </w:rPr>
      </w:pPr>
      <w:r>
        <w:rPr>
          <w:rFonts w:hint="eastAsia" w:ascii="宋体" w:hAnsi="宋体" w:eastAsia="宋体" w:cs="宋体"/>
          <w:b/>
          <w:bCs/>
        </w:rPr>
        <w:t>三、</w:t>
      </w:r>
      <w:r>
        <w:rPr>
          <w:rFonts w:hint="eastAsia"/>
          <w:b/>
          <w:bCs/>
          <w:sz w:val="24"/>
          <w:szCs w:val="24"/>
        </w:rPr>
        <w:t>政策性扣减</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b/>
          <w:bCs/>
          <w:sz w:val="24"/>
          <w:szCs w:val="24"/>
        </w:rPr>
      </w:pPr>
      <w:r>
        <w:rPr>
          <w:rFonts w:hint="eastAsia"/>
          <w:b/>
          <w:bCs/>
          <w:sz w:val="24"/>
          <w:szCs w:val="24"/>
          <w:lang w:val="en-US" w:eastAsia="zh-CN"/>
        </w:rPr>
        <w:t>1</w:t>
      </w:r>
      <w:r>
        <w:rPr>
          <w:rFonts w:hint="eastAsia"/>
          <w:b/>
          <w:bCs/>
          <w:sz w:val="24"/>
          <w:szCs w:val="24"/>
        </w:rPr>
        <w:t>、政策性扣减范围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1.1</w:t>
      </w:r>
      <w:r>
        <w:rPr>
          <w:rFonts w:hint="eastAsia"/>
          <w:sz w:val="24"/>
          <w:szCs w:val="24"/>
        </w:rPr>
        <w:t>供应商符合小型、微型企业或监狱企业、残疾人福利性单位条件的，其磋商报价价格评审时将按相应比例进行扣减。</w:t>
      </w:r>
    </w:p>
    <w:p>
      <w:pPr>
        <w:pStyle w:val="20"/>
        <w:widowControl w:val="0"/>
        <w:adjustRightInd w:val="0"/>
        <w:snapToGrid w:val="0"/>
        <w:spacing w:before="0" w:beforeAutospacing="0" w:after="0" w:afterAutospacing="0" w:line="360" w:lineRule="auto"/>
        <w:ind w:firstLine="480" w:firstLineChars="200"/>
        <w:jc w:val="both"/>
        <w:rPr>
          <w:rFonts w:hint="eastAsia"/>
          <w:sz w:val="24"/>
          <w:szCs w:val="24"/>
        </w:rPr>
      </w:pPr>
      <w:r>
        <w:rPr>
          <w:rFonts w:hint="eastAsia" w:ascii="Times New Roman" w:hAnsi="Times New Roman" w:eastAsia="宋体" w:cs="黑体"/>
          <w:kern w:val="2"/>
          <w:sz w:val="24"/>
          <w:szCs w:val="24"/>
          <w:lang w:val="en-US" w:eastAsia="zh-CN" w:bidi="ar-SA"/>
        </w:rPr>
        <w:t>1.2</w:t>
      </w:r>
      <w:r>
        <w:rPr>
          <w:rFonts w:hint="eastAsia"/>
          <w:sz w:val="24"/>
          <w:szCs w:val="24"/>
        </w:rPr>
        <w:t>依照&lt;关于印发《</w:t>
      </w:r>
      <w:r>
        <w:rPr>
          <w:rFonts w:hint="eastAsia"/>
          <w:sz w:val="24"/>
          <w:szCs w:val="24"/>
          <w:lang w:eastAsia="zh-CN"/>
        </w:rPr>
        <w:t>政府采购促进中小企业发展管理办法</w:t>
      </w:r>
      <w:r>
        <w:rPr>
          <w:rFonts w:hint="eastAsia"/>
          <w:sz w:val="24"/>
          <w:szCs w:val="24"/>
        </w:rPr>
        <w:t>》</w:t>
      </w:r>
      <w:r>
        <w:rPr>
          <w:rFonts w:hint="eastAsia" w:cs="宋体"/>
          <w:spacing w:val="6"/>
          <w:kern w:val="2"/>
          <w:szCs w:val="24"/>
          <w:lang w:bidi="ar"/>
        </w:rPr>
        <w:t>（财库[2020]46号）</w:t>
      </w:r>
      <w:r>
        <w:rPr>
          <w:rFonts w:hint="eastAsia"/>
          <w:sz w:val="24"/>
          <w:szCs w:val="24"/>
        </w:rPr>
        <w:t>的规定，小型、微型企业应当同时符合以下条件：</w:t>
      </w:r>
    </w:p>
    <w:p>
      <w:pPr>
        <w:pStyle w:val="20"/>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1.2.1</w:t>
      </w:r>
      <w:r>
        <w:rPr>
          <w:rFonts w:hint="eastAsia" w:ascii="宋体" w:hAnsi="宋体" w:eastAsia="宋体" w:cs="宋体"/>
          <w:sz w:val="24"/>
          <w:szCs w:val="24"/>
        </w:rPr>
        <w:t>符合中小企业划分标准（中小企业划分标准是指国务院有关部门根据企业从业人员、营业收入、资产总额等指标制定的中小企业划型标准（工信部联企业〔2011〕300 号））。</w:t>
      </w:r>
    </w:p>
    <w:p>
      <w:pPr>
        <w:pStyle w:val="20"/>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1.2.2在货物采购项目中，货物由中小企业制造，即货物由中小企业生产且使用该中小企业商号或者注册商标；在工程采购项目中，工程由中小企业承建，即工程施工单位为中小企业；在服务采购项目中，服务由中小企业承接，即提 供服务的人员为中小企业依照《中华人民共和国劳动合同法》 订立劳动合同的从业人员。</w:t>
      </w:r>
    </w:p>
    <w:p>
      <w:pPr>
        <w:pStyle w:val="20"/>
        <w:widowControl w:val="0"/>
        <w:adjustRightInd w:val="0"/>
        <w:snapToGrid w:val="0"/>
        <w:spacing w:before="0" w:beforeAutospacing="0" w:after="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1.2.3在货物采购项目中，供应商提供的货物既有中小企业制造货物，也有大型企业制造货物的，不享受本办法规定的中小企业扶持政策。 以联合体形式参加政府采购活动，联合体各方均为中小 企业的，联合体视同中小企业。其中，联合体各方均为小微企业的，联合体视同小微企业。</w:t>
      </w:r>
    </w:p>
    <w:p>
      <w:pPr>
        <w:pStyle w:val="20"/>
        <w:widowControl w:val="0"/>
        <w:adjustRightInd w:val="0"/>
        <w:snapToGrid w:val="0"/>
        <w:spacing w:before="0" w:beforeAutospacing="0" w:after="0" w:afterAutospacing="0" w:line="360" w:lineRule="auto"/>
        <w:ind w:firstLine="480" w:firstLineChars="200"/>
        <w:jc w:val="both"/>
        <w:rPr>
          <w:rFonts w:hint="eastAsia"/>
          <w:sz w:val="24"/>
          <w:szCs w:val="24"/>
        </w:rPr>
      </w:pPr>
      <w:r>
        <w:rPr>
          <w:rFonts w:hint="eastAsia" w:ascii="宋体" w:hAnsi="宋体" w:eastAsia="宋体" w:cs="宋体"/>
          <w:sz w:val="24"/>
          <w:szCs w:val="24"/>
          <w:lang w:val="en-US" w:eastAsia="zh-CN"/>
        </w:rPr>
        <w:t>1.3采购人拟采购产品属于优</w:t>
      </w:r>
      <w:r>
        <w:rPr>
          <w:rFonts w:hint="eastAsia"/>
          <w:sz w:val="24"/>
          <w:szCs w:val="24"/>
        </w:rPr>
        <w:t>先采购节能环境标志产品范围的，应当优先采购节能环境标志产品，节能产品以财政部国家发展改革委关于调整公布最新一期节能产品政府采购清单所列产品为准。环保产品以财政部环境保护部关于调整公布最新一期环境标志产品政府采购清单所列产品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1.3.1</w:t>
      </w:r>
      <w:r>
        <w:rPr>
          <w:rFonts w:hint="eastAsia"/>
          <w:sz w:val="24"/>
          <w:szCs w:val="24"/>
        </w:rPr>
        <w:t>“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sz w:val="24"/>
          <w:szCs w:val="24"/>
        </w:rPr>
        <w:fldChar w:fldCharType="begin"/>
      </w:r>
      <w:r>
        <w:rPr>
          <w:rFonts w:hint="eastAsia"/>
          <w:sz w:val="24"/>
          <w:szCs w:val="24"/>
        </w:rPr>
        <w:instrText xml:space="preserve">HYPERLINK "http://www.ccgp.gov.cn/" </w:instrText>
      </w:r>
      <w:r>
        <w:rPr>
          <w:rFonts w:hint="eastAsia"/>
          <w:sz w:val="24"/>
          <w:szCs w:val="24"/>
        </w:rPr>
        <w:fldChar w:fldCharType="separate"/>
      </w:r>
      <w:r>
        <w:rPr>
          <w:rFonts w:hint="eastAsia"/>
          <w:sz w:val="24"/>
          <w:szCs w:val="24"/>
        </w:rPr>
        <w:t>http://www.ccgp.gov.cn/</w:t>
      </w:r>
      <w:r>
        <w:rPr>
          <w:rFonts w:hint="eastAsia"/>
          <w:sz w:val="24"/>
          <w:szCs w:val="24"/>
        </w:rPr>
        <w:fldChar w:fldCharType="end"/>
      </w:r>
      <w:r>
        <w:rPr>
          <w:rFonts w:hint="eastAsia"/>
          <w:sz w:val="24"/>
          <w:szCs w:val="24"/>
        </w:rPr>
        <w:t>）上查找。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1.3.2</w:t>
      </w:r>
      <w:r>
        <w:rPr>
          <w:rFonts w:hint="eastAsia"/>
          <w:sz w:val="24"/>
          <w:szCs w:val="24"/>
        </w:rPr>
        <w:t>“环境标志产品政府采购清单”：所投产品属于“环境标志产品政府采购清单”中品目的产品，需提供最新一期“环境标志产品政府采购清单”中磋商 产 品 所 在 清 单 页 并 加 盖 供 应 商 公 章 。 该 清 单 可 在 中 国 政 府 采 购 网（</w:t>
      </w:r>
      <w:r>
        <w:rPr>
          <w:rFonts w:hint="eastAsia"/>
          <w:sz w:val="24"/>
          <w:szCs w:val="24"/>
        </w:rPr>
        <w:fldChar w:fldCharType="begin"/>
      </w:r>
      <w:r>
        <w:rPr>
          <w:rFonts w:hint="eastAsia"/>
          <w:sz w:val="24"/>
          <w:szCs w:val="24"/>
        </w:rPr>
        <w:instrText xml:space="preserve">HYPERLINK "http://www.ccgp.gov.cn/" </w:instrText>
      </w:r>
      <w:r>
        <w:rPr>
          <w:rFonts w:hint="eastAsia"/>
          <w:sz w:val="24"/>
          <w:szCs w:val="24"/>
        </w:rPr>
        <w:fldChar w:fldCharType="separate"/>
      </w:r>
      <w:r>
        <w:rPr>
          <w:rFonts w:hint="eastAsia"/>
          <w:sz w:val="24"/>
          <w:szCs w:val="24"/>
        </w:rPr>
        <w:t>http://www.ccgp.gov.cn/</w:t>
      </w:r>
      <w:r>
        <w:rPr>
          <w:rFonts w:hint="eastAsia"/>
          <w:sz w:val="24"/>
          <w:szCs w:val="24"/>
        </w:rPr>
        <w:fldChar w:fldCharType="end"/>
      </w:r>
      <w:r>
        <w:rPr>
          <w:rFonts w:hint="eastAsia"/>
          <w:sz w:val="24"/>
          <w:szCs w:val="24"/>
        </w:rPr>
        <w:t>）上查找。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1.4</w:t>
      </w:r>
      <w:r>
        <w:rPr>
          <w:rFonts w:hint="eastAsia"/>
          <w:sz w:val="24"/>
          <w:szCs w:val="24"/>
        </w:rPr>
        <w:t>监狱企业参加政府采购活动时，应当提供由省级以上监狱管理局、戒毒管理局(含新疆生产建设兵团)出具的属于监狱企业的证明文件。监狱企业参加政府采购活动时，视同小型、微型企业。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1.5</w:t>
      </w:r>
      <w:r>
        <w:rPr>
          <w:rFonts w:hint="eastAsia"/>
          <w:sz w:val="24"/>
          <w:szCs w:val="24"/>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b/>
          <w:bCs/>
          <w:sz w:val="24"/>
          <w:szCs w:val="24"/>
        </w:rPr>
      </w:pPr>
      <w:r>
        <w:rPr>
          <w:rFonts w:hint="eastAsia"/>
          <w:b/>
          <w:bCs/>
          <w:sz w:val="24"/>
          <w:szCs w:val="24"/>
        </w:rPr>
        <w:t>2、政策性扣减方式：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sz w:val="24"/>
          <w:szCs w:val="24"/>
        </w:rPr>
      </w:pPr>
      <w:r>
        <w:rPr>
          <w:rFonts w:hint="eastAsia"/>
          <w:sz w:val="24"/>
          <w:szCs w:val="24"/>
          <w:lang w:val="en-US" w:eastAsia="zh-CN"/>
        </w:rPr>
        <w:t>2.1</w:t>
      </w:r>
      <w:r>
        <w:rPr>
          <w:rFonts w:hint="eastAsia"/>
          <w:sz w:val="24"/>
          <w:szCs w:val="24"/>
        </w:rPr>
        <w:t>供应商为非联合体参与磋商的情况：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sz w:val="24"/>
          <w:szCs w:val="24"/>
          <w:lang w:val="en-US" w:eastAsia="zh-CN"/>
        </w:rPr>
        <w:t>2.1.1</w:t>
      </w:r>
      <w:r>
        <w:rPr>
          <w:rFonts w:hint="eastAsia"/>
          <w:sz w:val="24"/>
          <w:szCs w:val="24"/>
        </w:rPr>
        <w:t>在磋商最终报价的基础上，小型企业或达到小型企业划分标准的监狱企业（或残疾人福利性单位），按“磋商最</w:t>
      </w:r>
      <w:r>
        <w:rPr>
          <w:rFonts w:hint="eastAsia"/>
          <w:color w:val="auto"/>
          <w:sz w:val="24"/>
          <w:szCs w:val="24"/>
        </w:rPr>
        <w:t>终报价×</w:t>
      </w:r>
      <w:r>
        <w:rPr>
          <w:rFonts w:hint="eastAsia"/>
          <w:color w:val="auto"/>
          <w:sz w:val="24"/>
          <w:szCs w:val="24"/>
          <w:lang w:val="en-US" w:eastAsia="zh-CN"/>
        </w:rPr>
        <w:t>10</w:t>
      </w:r>
      <w:r>
        <w:rPr>
          <w:rFonts w:hint="eastAsia"/>
          <w:color w:val="auto"/>
          <w:sz w:val="24"/>
          <w:szCs w:val="24"/>
        </w:rPr>
        <w:t>%”进行扣减；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color w:val="auto"/>
          <w:sz w:val="24"/>
          <w:szCs w:val="24"/>
        </w:rPr>
      </w:pPr>
      <w:r>
        <w:rPr>
          <w:rFonts w:hint="eastAsia"/>
          <w:color w:val="auto"/>
          <w:sz w:val="24"/>
          <w:szCs w:val="24"/>
          <w:lang w:val="en-US" w:eastAsia="zh-CN"/>
        </w:rPr>
        <w:t>2.1.2</w:t>
      </w:r>
      <w:r>
        <w:rPr>
          <w:rFonts w:hint="eastAsia"/>
          <w:color w:val="auto"/>
          <w:sz w:val="24"/>
          <w:szCs w:val="24"/>
        </w:rPr>
        <w:t>在磋商最终报价的基础上，注册资金在十五万元以上的微型企业或注册资金在十五万元以上达到微型企业划分标准的监狱企业（或残疾人福利性单位），按“磋商最终报价×</w:t>
      </w:r>
      <w:r>
        <w:rPr>
          <w:rFonts w:hint="eastAsia"/>
          <w:color w:val="auto"/>
          <w:sz w:val="24"/>
          <w:szCs w:val="24"/>
          <w:lang w:val="en-US" w:eastAsia="zh-CN"/>
        </w:rPr>
        <w:t>10</w:t>
      </w:r>
      <w:r>
        <w:rPr>
          <w:rFonts w:hint="eastAsia"/>
          <w:color w:val="auto"/>
          <w:sz w:val="24"/>
          <w:szCs w:val="24"/>
        </w:rPr>
        <w:t>%”进行扣减；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color w:val="auto"/>
          <w:sz w:val="24"/>
          <w:szCs w:val="24"/>
          <w:lang w:val="en-US" w:eastAsia="zh-CN"/>
        </w:rPr>
        <w:t>2.1.3</w:t>
      </w:r>
      <w:r>
        <w:rPr>
          <w:rFonts w:hint="eastAsia"/>
          <w:color w:val="auto"/>
          <w:sz w:val="24"/>
          <w:szCs w:val="24"/>
        </w:rPr>
        <w:t>在磋商最终报价的基础上，注册资金在十五万元以下的微型企业或注册资金在十五万元以下达到微型企业划分标准的监狱企业（或残疾人福利性单</w:t>
      </w:r>
      <w:r>
        <w:rPr>
          <w:rFonts w:hint="eastAsia" w:eastAsia="宋体"/>
          <w:color w:val="auto"/>
          <w:sz w:val="24"/>
          <w:szCs w:val="24"/>
        </w:rPr>
        <w:t>位），按“磋商最终报价×10%”进行扣减。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eastAsia="宋体"/>
          <w:color w:val="auto"/>
          <w:sz w:val="24"/>
          <w:szCs w:val="24"/>
          <w:lang w:val="en-US" w:eastAsia="zh-CN"/>
        </w:rPr>
        <w:t>2.2</w:t>
      </w:r>
      <w:r>
        <w:rPr>
          <w:rFonts w:hint="eastAsia" w:eastAsia="宋体"/>
          <w:color w:val="auto"/>
          <w:sz w:val="24"/>
          <w:szCs w:val="24"/>
        </w:rPr>
        <w:t>供应商为联合体参与磋商且联合协议中约定小型或微型企业的协议合同金额占到联合体协议合同总金额 30％以上的情况：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eastAsia="宋体"/>
          <w:color w:val="auto"/>
          <w:sz w:val="24"/>
          <w:szCs w:val="24"/>
          <w:lang w:val="en-US" w:eastAsia="zh-CN"/>
        </w:rPr>
        <w:t>2.2.1</w:t>
      </w:r>
      <w:r>
        <w:rPr>
          <w:rFonts w:hint="eastAsia" w:eastAsia="宋体"/>
          <w:color w:val="auto"/>
          <w:sz w:val="24"/>
          <w:szCs w:val="24"/>
        </w:rPr>
        <w:t>在磋商最终报价的基础上，与小型企业或达到小型企业划分标准的监狱企业（或残疾人福利性单位）联合的，按“磋商最终报价×2%”进行扣减；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eastAsia="宋体"/>
          <w:color w:val="auto"/>
          <w:sz w:val="24"/>
          <w:szCs w:val="24"/>
          <w:lang w:val="en-US" w:eastAsia="zh-CN"/>
        </w:rPr>
        <w:t>2.2.2</w:t>
      </w:r>
      <w:r>
        <w:rPr>
          <w:rFonts w:hint="eastAsia" w:eastAsia="宋体"/>
          <w:color w:val="auto"/>
          <w:sz w:val="24"/>
          <w:szCs w:val="24"/>
        </w:rPr>
        <w:t>在磋商最终报价的基础上，与微型企业或达到微型企业划分标准的监狱企业（或残疾人福利性单位）联合的，按“磋商最终报价×3%”进行扣减。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eastAsia="宋体"/>
          <w:color w:val="auto"/>
          <w:sz w:val="24"/>
          <w:szCs w:val="24"/>
          <w:lang w:val="en-US" w:eastAsia="zh-CN"/>
        </w:rPr>
        <w:t>2.2.3</w:t>
      </w:r>
      <w:r>
        <w:rPr>
          <w:rFonts w:hint="eastAsia" w:eastAsia="宋体"/>
          <w:color w:val="auto"/>
          <w:sz w:val="24"/>
          <w:szCs w:val="24"/>
        </w:rPr>
        <w:t>在磋商最终报价的基础上，同时与小型、微型企业或达到小型、微型企业划分标准的监狱企业（或残疾人福利性单位）组成两家以上的联合体的，仅按照“磋商最终报价×3%”进行扣减。不累计扣减。</w:t>
      </w:r>
    </w:p>
    <w:p>
      <w:pPr>
        <w:rPr>
          <w:rFonts w:hint="eastAsia"/>
          <w:color w:val="auto"/>
        </w:rPr>
        <w:sectPr>
          <w:footerReference r:id="rId7" w:type="default"/>
          <w:pgSz w:w="11910" w:h="16840"/>
          <w:pgMar w:top="1417" w:right="1417" w:bottom="1417" w:left="1434" w:header="907" w:footer="907" w:gutter="0"/>
          <w:pgNumType w:fmt="decimal"/>
          <w:cols w:space="0" w:num="1"/>
          <w:titlePg/>
          <w:rtlGutter w:val="0"/>
          <w:docGrid w:type="lines" w:linePitch="312" w:charSpace="0"/>
        </w:sectPr>
      </w:pPr>
    </w:p>
    <w:p>
      <w:pPr>
        <w:pStyle w:val="9"/>
        <w:keepNext w:val="0"/>
        <w:keepLines w:val="0"/>
        <w:pageBreakBefore w:val="0"/>
        <w:widowControl/>
        <w:kinsoku/>
        <w:wordWrap/>
        <w:overflowPunct/>
        <w:topLinePunct w:val="0"/>
        <w:autoSpaceDE/>
        <w:autoSpaceDN/>
        <w:bidi w:val="0"/>
        <w:adjustRightInd/>
        <w:snapToGrid/>
        <w:spacing w:before="1"/>
        <w:ind w:firstLine="160" w:firstLineChars="200"/>
        <w:textAlignment w:val="baseline"/>
        <w:rPr>
          <w:rFonts w:hint="eastAsia" w:ascii="宋体" w:hAnsi="宋体" w:eastAsia="宋体" w:cs="宋体"/>
          <w:sz w:val="8"/>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sz w:val="24"/>
          <w:szCs w:val="24"/>
        </w:rPr>
      </w:pPr>
      <w:r>
        <w:rPr>
          <w:rFonts w:hint="eastAsia" w:eastAsia="宋体"/>
          <w:sz w:val="24"/>
          <w:szCs w:val="24"/>
          <w:lang w:val="en-US" w:eastAsia="zh-CN"/>
        </w:rPr>
        <w:t>2.3</w:t>
      </w:r>
      <w:r>
        <w:rPr>
          <w:rFonts w:hint="eastAsia" w:eastAsia="宋体"/>
          <w:sz w:val="24"/>
          <w:szCs w:val="24"/>
        </w:rPr>
        <w:t>供应商享受支持中小型企业发展政策优惠的，可以同时享受节能、环境标志产品优先采购政策。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eastAsia="宋体"/>
          <w:sz w:val="24"/>
          <w:szCs w:val="24"/>
          <w:lang w:val="en-US" w:eastAsia="zh-CN"/>
        </w:rPr>
        <w:t>2.3.1</w:t>
      </w:r>
      <w:r>
        <w:rPr>
          <w:rFonts w:hint="eastAsia" w:eastAsia="宋体"/>
          <w:sz w:val="24"/>
          <w:szCs w:val="24"/>
        </w:rPr>
        <w:t>单个合同项为单一产品的，所投产品为节能、环境标志产品的在磋商最终报</w:t>
      </w:r>
      <w:r>
        <w:rPr>
          <w:rFonts w:hint="eastAsia" w:eastAsia="宋体"/>
          <w:color w:val="auto"/>
          <w:sz w:val="24"/>
          <w:szCs w:val="24"/>
        </w:rPr>
        <w:t>价的基础上，按“磋商最终报价×6%”进行扣减；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color w:val="auto"/>
          <w:sz w:val="24"/>
          <w:szCs w:val="24"/>
        </w:rPr>
      </w:pPr>
      <w:r>
        <w:rPr>
          <w:rFonts w:hint="eastAsia" w:eastAsia="宋体"/>
          <w:color w:val="auto"/>
          <w:sz w:val="24"/>
          <w:szCs w:val="24"/>
          <w:lang w:val="en-US" w:eastAsia="zh-CN"/>
        </w:rPr>
        <w:t>2.3.2</w:t>
      </w:r>
      <w:r>
        <w:rPr>
          <w:rFonts w:hint="eastAsia" w:eastAsia="宋体"/>
          <w:color w:val="auto"/>
          <w:sz w:val="24"/>
          <w:szCs w:val="24"/>
        </w:rPr>
        <w:t>单个合同项为多种产品的，所投产品为节能、环境标志产品报价占到总报价 30％以上的，在磋商最终报价的基础上，按“磋商最终报价×3%”进行扣减；在磋商最终报价时须对此类产品单独分项报价，计算出小计及占总价的百分比，未提供节能、环境标志产品报价明细表及 1.3.1 和 1.3.2 条规定的证明材料， 在评审时不享受政府采购优惠政策。</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eastAsia="宋体"/>
          <w:sz w:val="24"/>
          <w:szCs w:val="24"/>
        </w:rPr>
      </w:pPr>
      <w:r>
        <w:rPr>
          <w:rFonts w:hint="eastAsia"/>
          <w:b/>
          <w:bCs/>
          <w:sz w:val="24"/>
          <w:szCs w:val="24"/>
          <w:lang w:val="en-US" w:eastAsia="zh-CN"/>
        </w:rPr>
        <w:t>3、</w:t>
      </w:r>
      <w:r>
        <w:rPr>
          <w:rFonts w:hint="eastAsia" w:eastAsia="宋体"/>
          <w:sz w:val="24"/>
          <w:szCs w:val="24"/>
        </w:rPr>
        <w:t>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扫描件。未提供上述声明函/证明文件扫描件的，不能享受磋商文件规定的价格扣除，但不影响响应文件的有效性。</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eastAsia="宋体"/>
          <w:b/>
          <w:bCs/>
          <w:sz w:val="24"/>
          <w:szCs w:val="24"/>
        </w:rPr>
      </w:pPr>
      <w:r>
        <w:rPr>
          <w:rFonts w:hint="eastAsia"/>
          <w:b/>
          <w:bCs/>
          <w:sz w:val="24"/>
          <w:szCs w:val="24"/>
          <w:lang w:val="en-US" w:eastAsia="zh-CN"/>
        </w:rPr>
        <w:t>4</w:t>
      </w:r>
      <w:r>
        <w:rPr>
          <w:rFonts w:hint="eastAsia" w:eastAsia="宋体"/>
          <w:b/>
          <w:bCs/>
          <w:sz w:val="24"/>
          <w:szCs w:val="24"/>
        </w:rPr>
        <w:t>、成交价格=成交供应商的有效磋商报价。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eastAsia="宋体"/>
          <w:sz w:val="24"/>
          <w:szCs w:val="24"/>
        </w:rPr>
        <w:sectPr>
          <w:pgSz w:w="11910" w:h="16840"/>
          <w:pgMar w:top="1457" w:right="1417" w:bottom="1372" w:left="1378" w:header="794" w:footer="850" w:gutter="0"/>
          <w:pgNumType w:fmt="decimal"/>
          <w:cols w:space="720" w:num="1"/>
          <w:titlePg/>
          <w:docGrid w:type="lines" w:linePitch="312" w:charSpace="0"/>
        </w:sectPr>
      </w:pPr>
    </w:p>
    <w:p>
      <w:pPr>
        <w:pStyle w:val="7"/>
        <w:spacing w:before="90"/>
        <w:ind w:left="661"/>
        <w:rPr>
          <w:rFonts w:hint="eastAsia" w:ascii="宋体" w:hAnsi="宋体" w:eastAsia="宋体" w:cs="宋体"/>
          <w:b/>
          <w:spacing w:val="4"/>
          <w:sz w:val="24"/>
          <w:szCs w:val="24"/>
        </w:rPr>
      </w:pPr>
      <w:r>
        <w:rPr>
          <w:rFonts w:hint="eastAsia" w:ascii="宋体" w:hAnsi="宋体" w:eastAsia="宋体" w:cs="宋体"/>
        </w:rPr>
        <w:t>四、详细评审（总分 100 分）</w:t>
      </w:r>
    </w:p>
    <w:p>
      <w:pPr>
        <w:keepNext w:val="0"/>
        <w:keepLines w:val="0"/>
        <w:pageBreakBefore w:val="0"/>
        <w:widowControl w:val="0"/>
        <w:kinsoku/>
        <w:wordWrap/>
        <w:overflowPunct/>
        <w:topLinePunct w:val="0"/>
        <w:autoSpaceDE/>
        <w:autoSpaceDN/>
        <w:bidi w:val="0"/>
        <w:adjustRightInd w:val="0"/>
        <w:snapToGrid w:val="0"/>
        <w:spacing w:line="360" w:lineRule="auto"/>
        <w:ind w:firstLine="514" w:firstLineChars="200"/>
        <w:textAlignment w:val="auto"/>
        <w:rPr>
          <w:rFonts w:hint="eastAsia" w:ascii="宋体" w:hAnsi="宋体" w:cs="宋体"/>
          <w:b/>
          <w:spacing w:val="8"/>
          <w:sz w:val="24"/>
          <w:szCs w:val="24"/>
          <w:lang w:val="en-US" w:eastAsia="zh-CN"/>
        </w:rPr>
      </w:pPr>
      <w:r>
        <w:rPr>
          <w:rFonts w:hint="eastAsia" w:ascii="宋体" w:hAnsi="宋体" w:cs="宋体"/>
          <w:b/>
          <w:spacing w:val="8"/>
          <w:sz w:val="24"/>
          <w:szCs w:val="24"/>
          <w:lang w:val="en-US" w:eastAsia="zh-CN"/>
        </w:rPr>
        <w:t>合同包1：</w:t>
      </w:r>
    </w:p>
    <w:tbl>
      <w:tblPr>
        <w:tblStyle w:val="23"/>
        <w:tblW w:w="9536"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643"/>
        <w:gridCol w:w="1770"/>
        <w:gridCol w:w="595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08" w:type="dxa"/>
            <w:gridSpan w:val="2"/>
            <w:tcBorders>
              <w:tl2br w:val="nil"/>
              <w:tr2bl w:val="nil"/>
            </w:tcBorders>
            <w:vAlign w:val="center"/>
          </w:tcPr>
          <w:p>
            <w:pPr>
              <w:adjustRightInd w:val="0"/>
              <w:snapToGrid w:val="0"/>
              <w:jc w:val="center"/>
              <w:rPr>
                <w:rFonts w:ascii="宋体" w:hAnsi="宋体" w:cs="宋体"/>
                <w:b/>
                <w:bCs/>
                <w:szCs w:val="21"/>
              </w:rPr>
            </w:pPr>
            <w:r>
              <w:rPr>
                <w:rFonts w:hint="eastAsia" w:ascii="宋体" w:hAnsi="宋体" w:cs="仿宋_GB2312"/>
                <w:sz w:val="28"/>
                <w:szCs w:val="28"/>
              </w:rPr>
              <w:t>评审项目</w:t>
            </w:r>
          </w:p>
        </w:tc>
        <w:tc>
          <w:tcPr>
            <w:tcW w:w="7728" w:type="dxa"/>
            <w:gridSpan w:val="2"/>
            <w:tcBorders>
              <w:tl2br w:val="nil"/>
              <w:tr2bl w:val="nil"/>
            </w:tcBorders>
            <w:vAlign w:val="center"/>
          </w:tcPr>
          <w:p>
            <w:pPr>
              <w:adjustRightInd w:val="0"/>
              <w:snapToGrid w:val="0"/>
              <w:jc w:val="center"/>
              <w:rPr>
                <w:rFonts w:ascii="宋体" w:hAnsi="宋体" w:cs="宋体"/>
                <w:b/>
                <w:bCs/>
                <w:szCs w:val="21"/>
              </w:rPr>
            </w:pPr>
            <w:r>
              <w:rPr>
                <w:rFonts w:hint="eastAsia" w:ascii="宋体" w:hAnsi="宋体" w:cs="仿宋_GB2312"/>
                <w:sz w:val="28"/>
                <w:szCs w:val="28"/>
              </w:rPr>
              <w:t>评 分 标 准（总分100分）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165"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磋商报价</w:t>
            </w:r>
          </w:p>
        </w:tc>
        <w:tc>
          <w:tcPr>
            <w:tcW w:w="643"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7728" w:type="dxa"/>
            <w:gridSpan w:val="2"/>
            <w:tcBorders>
              <w:tl2br w:val="nil"/>
              <w:tr2bl w:val="nil"/>
            </w:tcBorders>
            <w:vAlign w:val="center"/>
          </w:tcPr>
          <w:p>
            <w:pPr>
              <w:spacing w:line="360" w:lineRule="auto"/>
              <w:jc w:val="left"/>
              <w:rPr>
                <w:rFonts w:ascii="宋体" w:hAnsi="宋体" w:cs="宋体"/>
                <w:bCs/>
                <w:szCs w:val="21"/>
              </w:rPr>
            </w:pPr>
            <w:r>
              <w:rPr>
                <w:rFonts w:hint="eastAsia" w:ascii="宋体" w:hAnsi="宋体" w:cs="宋体"/>
                <w:bCs/>
                <w:szCs w:val="21"/>
              </w:rPr>
              <w:t>1.经初审合格的磋商响应文件，通过符合性审查的磋商报价为有效投标价。对符合政策性扣减的有效磋商报价进行政策性扣减，并依据扣减后的价格（评审价格）进行价格评审。</w:t>
            </w:r>
          </w:p>
          <w:p>
            <w:pPr>
              <w:spacing w:line="360" w:lineRule="auto"/>
              <w:jc w:val="left"/>
              <w:rPr>
                <w:rFonts w:ascii="宋体" w:hAnsi="宋体" w:cs="宋体"/>
                <w:bCs/>
                <w:szCs w:val="21"/>
              </w:rPr>
            </w:pPr>
            <w:r>
              <w:rPr>
                <w:rFonts w:hint="eastAsia" w:ascii="宋体" w:hAnsi="宋体" w:cs="宋体"/>
                <w:bCs/>
                <w:szCs w:val="21"/>
              </w:rPr>
              <w:t>2.有效最低报价为基准价得10分。</w:t>
            </w:r>
          </w:p>
          <w:p>
            <w:pPr>
              <w:spacing w:line="360" w:lineRule="auto"/>
              <w:jc w:val="left"/>
              <w:rPr>
                <w:rFonts w:ascii="宋体" w:hAnsi="宋体" w:cs="宋体"/>
                <w:bCs/>
                <w:szCs w:val="21"/>
              </w:rPr>
            </w:pPr>
            <w:r>
              <w:rPr>
                <w:rFonts w:hint="eastAsia" w:ascii="宋体" w:hAnsi="宋体" w:cs="宋体"/>
                <w:bCs/>
                <w:szCs w:val="21"/>
              </w:rPr>
              <w:t>3.按（有效最低报价/有效磋商报价）×10的公式计算其得分。</w:t>
            </w:r>
          </w:p>
          <w:p>
            <w:pPr>
              <w:adjustRightInd w:val="0"/>
              <w:snapToGrid w:val="0"/>
              <w:spacing w:line="360" w:lineRule="auto"/>
              <w:rPr>
                <w:rFonts w:ascii="宋体" w:hAnsi="宋体" w:cs="宋体"/>
                <w:szCs w:val="21"/>
              </w:rPr>
            </w:pPr>
            <w:r>
              <w:rPr>
                <w:rFonts w:hint="eastAsia" w:ascii="宋体" w:hAnsi="宋体" w:cs="宋体"/>
                <w:bCs/>
                <w:szCs w:val="21"/>
              </w:rPr>
              <w:t>4.磋商报价不完整的，不进入评标基准价的计算，本项得0分。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65" w:type="dxa"/>
            <w:vMerge w:val="restart"/>
            <w:tcBorders>
              <w:tl2br w:val="nil"/>
              <w:tr2bl w:val="nil"/>
            </w:tcBorders>
            <w:vAlign w:val="center"/>
          </w:tcPr>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服务方案</w:t>
            </w:r>
          </w:p>
        </w:tc>
        <w:tc>
          <w:tcPr>
            <w:tcW w:w="643" w:type="dxa"/>
            <w:vMerge w:val="restart"/>
            <w:tcBorders>
              <w:tl2br w:val="nil"/>
              <w:tr2bl w:val="nil"/>
            </w:tcBorders>
            <w:vAlign w:val="center"/>
          </w:tcPr>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70</w:t>
            </w: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项目理解及分析</w:t>
            </w:r>
          </w:p>
          <w:p>
            <w:pPr>
              <w:adjustRightInd w:val="0"/>
              <w:snapToGrid w:val="0"/>
              <w:spacing w:line="360" w:lineRule="auto"/>
              <w:jc w:val="center"/>
              <w:rPr>
                <w:rFonts w:ascii="宋体" w:hAnsi="宋体" w:cs="宋体"/>
                <w:szCs w:val="21"/>
              </w:rPr>
            </w:pPr>
            <w:r>
              <w:rPr>
                <w:rFonts w:hint="eastAsia" w:ascii="宋体" w:hAnsi="宋体" w:cs="宋体"/>
                <w:szCs w:val="21"/>
              </w:rPr>
              <w:t>（10分）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供应商对本项目现状作出简要的梳理分析，磋商小组对供应商提供的现状分析内容按以下标准进行打分。</w:t>
            </w:r>
          </w:p>
          <w:p>
            <w:pPr>
              <w:adjustRightInd w:val="0"/>
              <w:snapToGrid w:val="0"/>
              <w:spacing w:line="360" w:lineRule="auto"/>
              <w:rPr>
                <w:rFonts w:ascii="宋体" w:hAnsi="宋体" w:cs="宋体"/>
                <w:szCs w:val="21"/>
              </w:rPr>
            </w:pPr>
            <w:r>
              <w:rPr>
                <w:rFonts w:hint="eastAsia" w:ascii="宋体" w:hAnsi="宋体" w:cs="宋体"/>
                <w:szCs w:val="21"/>
              </w:rPr>
              <w:t>（1）对本项目的出发点及工作目标理解透彻、基本思路清晰且贴合本项目要求、分析到位且解决方案合理可靠、现状分析内容贴合实际，思路清晰的计（8-10分）;</w:t>
            </w:r>
          </w:p>
          <w:p>
            <w:pPr>
              <w:adjustRightInd w:val="0"/>
              <w:snapToGrid w:val="0"/>
              <w:spacing w:line="360" w:lineRule="auto"/>
              <w:rPr>
                <w:rFonts w:ascii="宋体" w:hAnsi="宋体" w:cs="宋体"/>
                <w:szCs w:val="21"/>
              </w:rPr>
            </w:pPr>
            <w:r>
              <w:rPr>
                <w:rFonts w:hint="eastAsia" w:ascii="宋体" w:hAnsi="宋体" w:cs="宋体"/>
                <w:szCs w:val="21"/>
              </w:rPr>
              <w:t>（2）对本项目的出发点及工作目标理解不深入、基本思路不清晰、分析流于表面、现状分析内容脱离实际的计（5-7分）；</w:t>
            </w:r>
          </w:p>
          <w:p>
            <w:pPr>
              <w:adjustRightInd w:val="0"/>
              <w:snapToGrid w:val="0"/>
              <w:spacing w:line="360" w:lineRule="auto"/>
              <w:rPr>
                <w:rFonts w:ascii="宋体" w:hAnsi="宋体" w:cs="宋体"/>
                <w:szCs w:val="21"/>
              </w:rPr>
            </w:pPr>
            <w:r>
              <w:rPr>
                <w:rFonts w:hint="eastAsia" w:ascii="宋体" w:hAnsi="宋体" w:cs="宋体"/>
                <w:szCs w:val="21"/>
              </w:rPr>
              <w:t>（3）不符合上述情形的计(0-4分）。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实施方案</w:t>
            </w:r>
          </w:p>
          <w:p>
            <w:pPr>
              <w:adjustRightInd w:val="0"/>
              <w:snapToGrid w:val="0"/>
              <w:spacing w:line="360" w:lineRule="auto"/>
              <w:jc w:val="center"/>
              <w:rPr>
                <w:rFonts w:ascii="宋体" w:hAnsi="宋体" w:cs="宋体"/>
                <w:szCs w:val="21"/>
              </w:rPr>
            </w:pPr>
            <w:r>
              <w:rPr>
                <w:rFonts w:hint="eastAsia" w:ascii="宋体" w:hAnsi="宋体" w:cs="宋体"/>
                <w:szCs w:val="21"/>
              </w:rPr>
              <w:t>（10分）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供应商根据磋商文件的内容编制的实施方案，磋商小组对供应商提供的实施方案按以下标准进行打分。</w:t>
            </w:r>
          </w:p>
          <w:p>
            <w:pPr>
              <w:adjustRightInd w:val="0"/>
              <w:snapToGrid w:val="0"/>
              <w:spacing w:line="360" w:lineRule="auto"/>
              <w:rPr>
                <w:rFonts w:ascii="宋体" w:hAnsi="宋体" w:cs="宋体"/>
                <w:szCs w:val="21"/>
              </w:rPr>
            </w:pPr>
            <w:r>
              <w:rPr>
                <w:rFonts w:hint="eastAsia" w:ascii="宋体" w:hAnsi="宋体" w:cs="宋体"/>
                <w:szCs w:val="21"/>
              </w:rPr>
              <w:t>（1）供应商的方案合理，贴合本项目实际情况。对认定实施方案符合采购人目标并具有极高的可行性的计（8-10分）;</w:t>
            </w:r>
          </w:p>
          <w:p>
            <w:pPr>
              <w:adjustRightInd w:val="0"/>
              <w:snapToGrid w:val="0"/>
              <w:spacing w:line="360" w:lineRule="auto"/>
              <w:rPr>
                <w:rFonts w:ascii="宋体" w:hAnsi="宋体" w:cs="宋体"/>
                <w:szCs w:val="21"/>
              </w:rPr>
            </w:pPr>
            <w:r>
              <w:rPr>
                <w:rFonts w:hint="eastAsia" w:ascii="宋体" w:hAnsi="宋体" w:cs="宋体"/>
                <w:szCs w:val="21"/>
              </w:rPr>
              <w:t>（2）供应商的方案无针对性、内容不贴合本项目情况、对项目现状把握不准确、不能提出有效解决思路的计（5-7分）；</w:t>
            </w:r>
          </w:p>
          <w:p>
            <w:pPr>
              <w:adjustRightInd w:val="0"/>
              <w:snapToGrid w:val="0"/>
              <w:spacing w:line="360" w:lineRule="auto"/>
              <w:rPr>
                <w:rFonts w:ascii="宋体" w:hAnsi="宋体" w:cs="宋体"/>
                <w:szCs w:val="21"/>
              </w:rPr>
            </w:pPr>
            <w:r>
              <w:rPr>
                <w:rFonts w:hint="eastAsia" w:ascii="宋体" w:hAnsi="宋体" w:cs="宋体"/>
                <w:szCs w:val="21"/>
              </w:rPr>
              <w:t>（3）不符合上述两种情形的计(0-4分）。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项目组织、质量、进度保证措施（</w:t>
            </w:r>
            <w:r>
              <w:rPr>
                <w:rFonts w:hint="eastAsia" w:ascii="宋体" w:hAnsi="宋体" w:cs="宋体"/>
                <w:szCs w:val="21"/>
                <w:lang w:val="en-US" w:eastAsia="zh-CN"/>
              </w:rPr>
              <w:t>15</w:t>
            </w:r>
            <w:r>
              <w:rPr>
                <w:rFonts w:hint="eastAsia" w:ascii="宋体" w:hAnsi="宋体" w:cs="宋体"/>
                <w:szCs w:val="21"/>
              </w:rPr>
              <w:t>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供应商根据项目特点在满足磋商文件服务期限要求的前提下编制的项目组织、质量、进度控制和保证措施方案，磋商小组根据供应商编制内容按以下标准进行打分。</w:t>
            </w:r>
          </w:p>
          <w:p>
            <w:pPr>
              <w:adjustRightInd w:val="0"/>
              <w:snapToGrid w:val="0"/>
              <w:spacing w:line="360" w:lineRule="auto"/>
              <w:rPr>
                <w:rFonts w:ascii="宋体" w:hAnsi="宋体" w:cs="宋体"/>
                <w:szCs w:val="21"/>
              </w:rPr>
            </w:pPr>
            <w:r>
              <w:rPr>
                <w:rFonts w:hint="eastAsia" w:ascii="宋体" w:hAnsi="宋体" w:cs="宋体"/>
                <w:szCs w:val="21"/>
              </w:rPr>
              <w:t>（1）方案能结合本项目实际情况、组织合理高效，成果质量能根据采购人要求进行修改提升、进度掌控合理有效的计（</w:t>
            </w:r>
            <w:r>
              <w:rPr>
                <w:rFonts w:hint="eastAsia" w:ascii="宋体" w:hAnsi="宋体" w:cs="宋体"/>
                <w:szCs w:val="21"/>
                <w:lang w:val="en-US" w:eastAsia="zh-CN"/>
              </w:rPr>
              <w:t>11-15</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（2）项目组织，质量成果、进度能满足采购需求的计（</w:t>
            </w:r>
            <w:r>
              <w:rPr>
                <w:rFonts w:hint="eastAsia" w:ascii="宋体" w:hAnsi="宋体" w:cs="宋体"/>
                <w:szCs w:val="21"/>
                <w:lang w:val="en-US" w:eastAsia="zh-CN"/>
              </w:rPr>
              <w:t>6-10</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（3）不符合上述情形的计(0-</w:t>
            </w:r>
            <w:r>
              <w:rPr>
                <w:rFonts w:hint="eastAsia" w:ascii="宋体" w:hAnsi="宋体" w:cs="宋体"/>
                <w:szCs w:val="21"/>
                <w:lang w:val="en-US" w:eastAsia="zh-CN"/>
              </w:rPr>
              <w:t>5</w:t>
            </w:r>
            <w:r>
              <w:rPr>
                <w:rFonts w:hint="eastAsia" w:ascii="宋体" w:hAnsi="宋体" w:cs="宋体"/>
                <w:szCs w:val="21"/>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pStyle w:val="9"/>
              <w:jc w:val="center"/>
              <w:rPr>
                <w:rFonts w:ascii="宋体" w:hAnsi="宋体" w:cs="宋体"/>
                <w:szCs w:val="21"/>
              </w:rPr>
            </w:pPr>
            <w:r>
              <w:rPr>
                <w:rFonts w:hint="eastAsia" w:ascii="宋体" w:hAnsi="宋体" w:cs="宋体"/>
                <w:szCs w:val="21"/>
              </w:rPr>
              <w:t>重点、难点及解决措施</w:t>
            </w:r>
          </w:p>
          <w:p>
            <w:pPr>
              <w:pStyle w:val="9"/>
              <w:jc w:val="center"/>
              <w:rPr>
                <w:rFonts w:ascii="宋体" w:hAnsi="宋体" w:cs="宋体"/>
                <w:szCs w:val="21"/>
              </w:rPr>
            </w:pPr>
            <w:r>
              <w:rPr>
                <w:rFonts w:hint="eastAsia" w:ascii="宋体" w:hAnsi="宋体" w:cs="宋体"/>
                <w:szCs w:val="21"/>
              </w:rPr>
              <w:t>（10分）</w:t>
            </w:r>
          </w:p>
        </w:tc>
        <w:tc>
          <w:tcPr>
            <w:tcW w:w="5958" w:type="dxa"/>
            <w:tcBorders>
              <w:tl2br w:val="nil"/>
              <w:tr2bl w:val="nil"/>
            </w:tcBorders>
            <w:vAlign w:val="center"/>
          </w:tcPr>
          <w:p>
            <w:pPr>
              <w:spacing w:line="360" w:lineRule="auto"/>
              <w:rPr>
                <w:rFonts w:ascii="宋体" w:hAnsi="宋体" w:cs="宋体"/>
                <w:szCs w:val="21"/>
              </w:rPr>
            </w:pPr>
            <w:r>
              <w:rPr>
                <w:rFonts w:hint="eastAsia" w:ascii="宋体" w:hAnsi="宋体" w:cs="宋体"/>
                <w:szCs w:val="21"/>
              </w:rPr>
              <w:t>供应商针对本项目编写的重点、难点及解决措施，评委从①重、难点分析、②风险点分析③解决方案等方面赋分。</w:t>
            </w:r>
          </w:p>
          <w:p>
            <w:pPr>
              <w:spacing w:line="360" w:lineRule="auto"/>
              <w:rPr>
                <w:rFonts w:ascii="宋体" w:hAnsi="宋体" w:cs="宋体"/>
                <w:szCs w:val="21"/>
              </w:rPr>
            </w:pPr>
            <w:r>
              <w:rPr>
                <w:rFonts w:hint="eastAsia" w:ascii="宋体" w:hAnsi="宋体" w:cs="宋体"/>
                <w:szCs w:val="21"/>
              </w:rPr>
              <w:t>（1）供应商的措施合理有效、重难点分析有理有据、解决方案便捷有效的计（8-10分）;</w:t>
            </w:r>
          </w:p>
          <w:p>
            <w:pPr>
              <w:spacing w:line="360" w:lineRule="auto"/>
              <w:rPr>
                <w:rFonts w:ascii="宋体" w:hAnsi="宋体" w:cs="宋体"/>
                <w:szCs w:val="21"/>
              </w:rPr>
            </w:pPr>
            <w:r>
              <w:rPr>
                <w:rFonts w:hint="eastAsia" w:ascii="宋体" w:hAnsi="宋体" w:cs="宋体"/>
                <w:szCs w:val="21"/>
              </w:rPr>
              <w:t>（2）供应商的措施无实质性内容、重难点分析敷衍无针对性的计（5-7分）；</w:t>
            </w:r>
          </w:p>
          <w:p>
            <w:pPr>
              <w:spacing w:line="360" w:lineRule="auto"/>
              <w:rPr>
                <w:rFonts w:ascii="宋体" w:hAnsi="宋体" w:cs="宋体"/>
                <w:szCs w:val="21"/>
              </w:rPr>
            </w:pPr>
            <w:r>
              <w:rPr>
                <w:rFonts w:hint="eastAsia" w:ascii="宋体" w:hAnsi="宋体" w:cs="宋体"/>
                <w:szCs w:val="21"/>
              </w:rPr>
              <w:t>（3）不符合上述两种情形的计(0-4分）。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管理制度</w:t>
            </w:r>
          </w:p>
          <w:p>
            <w:pPr>
              <w:adjustRightInd w:val="0"/>
              <w:snapToGrid w:val="0"/>
              <w:spacing w:line="360" w:lineRule="auto"/>
              <w:jc w:val="center"/>
            </w:pPr>
            <w:r>
              <w:rPr>
                <w:rFonts w:hint="eastAsia" w:ascii="宋体" w:hAnsi="宋体" w:cs="宋体"/>
                <w:szCs w:val="21"/>
              </w:rPr>
              <w:t>（5分）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供应商的内部管理制度，评委从①人事管理制度、②业务及档案管理制度、③职业准则及行为规范管理制度等方面进行赋分。</w:t>
            </w:r>
          </w:p>
          <w:p>
            <w:pPr>
              <w:adjustRightInd w:val="0"/>
              <w:snapToGrid w:val="0"/>
              <w:spacing w:line="360" w:lineRule="auto"/>
              <w:rPr>
                <w:rFonts w:ascii="宋体" w:hAnsi="宋体" w:cs="宋体"/>
                <w:szCs w:val="21"/>
              </w:rPr>
            </w:pPr>
            <w:r>
              <w:rPr>
                <w:rFonts w:hint="eastAsia" w:ascii="宋体" w:hAnsi="宋体" w:cs="宋体"/>
                <w:szCs w:val="21"/>
              </w:rPr>
              <w:t>（1）供应商的管理制度完善、条理清晰，各方面制度详细完整合理能根据本项目实际情况调整的计（3-5分）;</w:t>
            </w:r>
          </w:p>
          <w:p>
            <w:pPr>
              <w:adjustRightInd w:val="0"/>
              <w:snapToGrid w:val="0"/>
              <w:spacing w:line="360" w:lineRule="auto"/>
              <w:rPr>
                <w:rFonts w:ascii="宋体" w:hAnsi="宋体" w:cs="宋体"/>
                <w:szCs w:val="21"/>
              </w:rPr>
            </w:pPr>
            <w:r>
              <w:rPr>
                <w:rFonts w:hint="eastAsia" w:ascii="宋体" w:hAnsi="宋体" w:cs="宋体"/>
                <w:szCs w:val="21"/>
              </w:rPr>
              <w:t>（2）供应商的管理制度敷衍、无实质性针对内容的计（0-2分）；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保密承诺及措施</w:t>
            </w:r>
          </w:p>
          <w:p>
            <w:pPr>
              <w:adjustRightInd w:val="0"/>
              <w:snapToGrid w:val="0"/>
              <w:spacing w:line="360" w:lineRule="auto"/>
              <w:jc w:val="center"/>
            </w:pPr>
            <w:r>
              <w:rPr>
                <w:rFonts w:hint="eastAsia" w:ascii="宋体" w:hAnsi="宋体" w:cs="宋体"/>
                <w:szCs w:val="21"/>
              </w:rPr>
              <w:t>（5分）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评委根据各供应商提供的保密承诺及措施，从保密手段、人员保密管理、技术保密措施等各个方面，进行综合赋分，并提供保密承诺。</w:t>
            </w:r>
          </w:p>
          <w:p>
            <w:pPr>
              <w:adjustRightInd w:val="0"/>
              <w:snapToGrid w:val="0"/>
              <w:spacing w:line="360" w:lineRule="auto"/>
              <w:rPr>
                <w:rFonts w:ascii="宋体" w:hAnsi="宋体" w:cs="宋体"/>
                <w:szCs w:val="21"/>
              </w:rPr>
            </w:pPr>
            <w:r>
              <w:rPr>
                <w:rFonts w:hint="eastAsia" w:ascii="宋体" w:hAnsi="宋体" w:cs="宋体"/>
                <w:szCs w:val="21"/>
              </w:rPr>
              <w:t xml:space="preserve">（1）供应商的保密措施完善、保密手段先进、人员保密管理制度及技术保密措施科学合理的计（3-5分）； </w:t>
            </w:r>
          </w:p>
          <w:p>
            <w:pPr>
              <w:adjustRightInd w:val="0"/>
              <w:snapToGrid w:val="0"/>
              <w:spacing w:line="360" w:lineRule="auto"/>
              <w:rPr>
                <w:rFonts w:ascii="宋体" w:hAnsi="宋体" w:cs="宋体"/>
                <w:szCs w:val="21"/>
              </w:rPr>
            </w:pPr>
            <w:r>
              <w:rPr>
                <w:rFonts w:hint="eastAsia" w:ascii="宋体" w:hAnsi="宋体" w:cs="宋体"/>
                <w:szCs w:val="21"/>
              </w:rPr>
              <w:t>（2）提供不完善或不提供计（0-2分）。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廉洁从业</w:t>
            </w:r>
          </w:p>
          <w:p>
            <w:pPr>
              <w:adjustRightInd w:val="0"/>
              <w:snapToGrid w:val="0"/>
              <w:spacing w:line="360" w:lineRule="auto"/>
              <w:jc w:val="center"/>
              <w:rPr>
                <w:rFonts w:ascii="宋体" w:hAnsi="宋体" w:cs="宋体"/>
                <w:szCs w:val="21"/>
              </w:rPr>
            </w:pPr>
            <w:r>
              <w:rPr>
                <w:rFonts w:hint="eastAsia" w:ascii="宋体" w:hAnsi="宋体" w:cs="宋体"/>
                <w:szCs w:val="21"/>
              </w:rPr>
              <w:t>保障措施</w:t>
            </w:r>
          </w:p>
          <w:p>
            <w:pPr>
              <w:adjustRightInd w:val="0"/>
              <w:snapToGrid w:val="0"/>
              <w:spacing w:line="360" w:lineRule="auto"/>
              <w:jc w:val="cente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供应商针对本项目的廉洁从业保障措施：评委从企业的廉洁从业及对参与本项目人员的管理等方面。</w:t>
            </w:r>
          </w:p>
          <w:p>
            <w:pPr>
              <w:adjustRightInd w:val="0"/>
              <w:snapToGrid w:val="0"/>
              <w:spacing w:line="360" w:lineRule="auto"/>
              <w:rPr>
                <w:rFonts w:ascii="宋体" w:hAnsi="宋体" w:cs="宋体"/>
                <w:szCs w:val="21"/>
              </w:rPr>
            </w:pPr>
            <w:r>
              <w:rPr>
                <w:rFonts w:hint="eastAsia" w:ascii="宋体" w:hAnsi="宋体" w:cs="宋体"/>
                <w:szCs w:val="21"/>
              </w:rPr>
              <w:t>（1）廉洁从业措施内容能贴合本项目实际，措施严格有效的计（</w:t>
            </w:r>
            <w:r>
              <w:rPr>
                <w:rFonts w:hint="eastAsia" w:ascii="宋体" w:hAnsi="宋体" w:cs="宋体"/>
                <w:szCs w:val="21"/>
                <w:lang w:val="en-US" w:eastAsia="zh-CN"/>
              </w:rPr>
              <w:t>6-10</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（2）其他情形的计（0-</w:t>
            </w:r>
            <w:r>
              <w:rPr>
                <w:rFonts w:hint="eastAsia" w:ascii="宋体" w:hAnsi="宋体" w:cs="宋体"/>
                <w:szCs w:val="21"/>
                <w:lang w:val="en-US" w:eastAsia="zh-CN"/>
              </w:rPr>
              <w:t>5</w:t>
            </w:r>
            <w:r>
              <w:rPr>
                <w:rFonts w:hint="eastAsia" w:ascii="宋体" w:hAnsi="宋体" w:cs="宋体"/>
                <w:szCs w:val="21"/>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服务承诺</w:t>
            </w:r>
          </w:p>
          <w:p>
            <w:pPr>
              <w:adjustRightInd w:val="0"/>
              <w:snapToGrid w:val="0"/>
              <w:spacing w:line="360" w:lineRule="auto"/>
              <w:jc w:val="center"/>
              <w:rPr>
                <w:rFonts w:ascii="宋体" w:hAnsi="宋体" w:cs="宋体"/>
                <w:szCs w:val="21"/>
              </w:rPr>
            </w:pPr>
            <w:r>
              <w:rPr>
                <w:rFonts w:hint="eastAsia" w:ascii="宋体" w:hAnsi="宋体" w:cs="宋体"/>
                <w:szCs w:val="21"/>
              </w:rPr>
              <w:t>（5分）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供应商对本项目的承诺（包括但不限于服务质量承诺、服务期限、人员到位、成交后项目实施等方面）综合考虑计1-5分。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人员配备</w:t>
            </w:r>
          </w:p>
        </w:tc>
        <w:tc>
          <w:tcPr>
            <w:tcW w:w="643" w:type="dxa"/>
            <w:tcBorders>
              <w:tl2br w:val="nil"/>
              <w:tr2bl w:val="nil"/>
            </w:tcBorders>
            <w:vAlign w:val="center"/>
          </w:tcPr>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7728" w:type="dxa"/>
            <w:gridSpan w:val="2"/>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 xml:space="preserve">根据供应商编写的人员配备计划，评委从人员架构、人员分工等方面进行打分； </w:t>
            </w:r>
          </w:p>
          <w:p>
            <w:pPr>
              <w:numPr>
                <w:ilvl w:val="0"/>
                <w:numId w:val="8"/>
              </w:numPr>
              <w:adjustRightInd w:val="0"/>
              <w:snapToGrid w:val="0"/>
              <w:spacing w:line="360" w:lineRule="auto"/>
              <w:rPr>
                <w:rFonts w:ascii="宋体" w:hAnsi="宋体" w:cs="宋体"/>
                <w:szCs w:val="21"/>
              </w:rPr>
            </w:pPr>
            <w:r>
              <w:rPr>
                <w:rFonts w:hint="eastAsia" w:ascii="宋体" w:hAnsi="宋体" w:cs="宋体"/>
                <w:szCs w:val="21"/>
              </w:rPr>
              <w:t>人员配备计划详细、架构合理、人员分工科学有效、符合实际情况的计（</w:t>
            </w:r>
            <w:r>
              <w:rPr>
                <w:rFonts w:hint="eastAsia" w:ascii="宋体" w:hAnsi="宋体" w:cs="宋体"/>
                <w:szCs w:val="21"/>
                <w:lang w:val="en-US" w:eastAsia="zh-CN"/>
              </w:rPr>
              <w:t>6-10</w:t>
            </w:r>
            <w:r>
              <w:rPr>
                <w:rFonts w:hint="eastAsia" w:ascii="宋体" w:hAnsi="宋体" w:cs="宋体"/>
                <w:szCs w:val="21"/>
              </w:rPr>
              <w:t>分）；</w:t>
            </w:r>
          </w:p>
          <w:p>
            <w:pPr>
              <w:numPr>
                <w:ilvl w:val="0"/>
                <w:numId w:val="8"/>
              </w:numPr>
              <w:adjustRightInd w:val="0"/>
              <w:snapToGrid w:val="0"/>
              <w:spacing w:line="360" w:lineRule="auto"/>
              <w:rPr>
                <w:rFonts w:ascii="宋体" w:hAnsi="宋体" w:cs="宋体"/>
                <w:szCs w:val="21"/>
              </w:rPr>
            </w:pPr>
            <w:r>
              <w:rPr>
                <w:rFonts w:hint="eastAsia" w:ascii="宋体" w:hAnsi="宋体" w:cs="宋体"/>
                <w:szCs w:val="21"/>
              </w:rPr>
              <w:t>人员配备计划粗糙、架构简单、人员分工不明确的计（0-</w:t>
            </w:r>
            <w:r>
              <w:rPr>
                <w:rFonts w:hint="eastAsia" w:ascii="宋体" w:hAnsi="宋体" w:cs="宋体"/>
                <w:szCs w:val="21"/>
                <w:lang w:val="en-US" w:eastAsia="zh-CN"/>
              </w:rPr>
              <w:t>5</w:t>
            </w:r>
            <w:r>
              <w:rPr>
                <w:rFonts w:hint="eastAsia" w:ascii="宋体" w:hAnsi="宋体" w:cs="宋体"/>
                <w:szCs w:val="21"/>
              </w:rPr>
              <w:t xml:space="preserve">分）；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业绩证明</w:t>
            </w:r>
          </w:p>
        </w:tc>
        <w:tc>
          <w:tcPr>
            <w:tcW w:w="643"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7728" w:type="dxa"/>
            <w:gridSpan w:val="2"/>
            <w:tcBorders>
              <w:tl2br w:val="nil"/>
              <w:tr2bl w:val="nil"/>
            </w:tcBorders>
            <w:vAlign w:val="center"/>
          </w:tcPr>
          <w:p>
            <w:pPr>
              <w:pStyle w:val="21"/>
              <w:ind w:firstLine="0"/>
              <w:rPr>
                <w:rFonts w:ascii="宋体" w:hAnsi="宋体" w:cs="宋体"/>
                <w:szCs w:val="21"/>
              </w:rPr>
            </w:pPr>
            <w:r>
              <w:rPr>
                <w:rFonts w:hint="eastAsia" w:ascii="宋体" w:hAnsi="宋体" w:cs="宋体"/>
                <w:szCs w:val="21"/>
              </w:rPr>
              <w:t>供应商提供2019年1月至今的相关类似项目业绩，每提供一个计2分，最多计10分。（以合同签订时间为准）</w:t>
            </w:r>
          </w:p>
        </w:tc>
      </w:tr>
    </w:tbl>
    <w:p>
      <w:pPr>
        <w:pStyle w:val="2"/>
        <w:rPr>
          <w:rFonts w:hint="eastAsia"/>
          <w:b/>
          <w:bCs/>
          <w:sz w:val="24"/>
          <w:szCs w:val="24"/>
          <w:lang w:val="en-US" w:eastAsia="zh-CN"/>
        </w:rPr>
      </w:pPr>
      <w:r>
        <w:rPr>
          <w:rFonts w:hint="eastAsia"/>
          <w:b/>
          <w:bCs/>
          <w:sz w:val="24"/>
          <w:szCs w:val="24"/>
          <w:lang w:val="en-US" w:eastAsia="zh-CN"/>
        </w:rPr>
        <w:t>合同包2：</w:t>
      </w:r>
    </w:p>
    <w:tbl>
      <w:tblPr>
        <w:tblStyle w:val="23"/>
        <w:tblW w:w="9536"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643"/>
        <w:gridCol w:w="1770"/>
        <w:gridCol w:w="595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08" w:type="dxa"/>
            <w:gridSpan w:val="2"/>
            <w:tcBorders>
              <w:tl2br w:val="nil"/>
              <w:tr2bl w:val="nil"/>
            </w:tcBorders>
            <w:vAlign w:val="center"/>
          </w:tcPr>
          <w:p>
            <w:pPr>
              <w:adjustRightInd w:val="0"/>
              <w:snapToGrid w:val="0"/>
              <w:jc w:val="center"/>
              <w:rPr>
                <w:rFonts w:ascii="宋体" w:hAnsi="宋体" w:cs="宋体"/>
                <w:b/>
                <w:bCs/>
                <w:szCs w:val="21"/>
              </w:rPr>
            </w:pPr>
            <w:r>
              <w:rPr>
                <w:rFonts w:hint="eastAsia" w:ascii="宋体" w:hAnsi="宋体" w:cs="仿宋_GB2312"/>
                <w:sz w:val="28"/>
                <w:szCs w:val="28"/>
              </w:rPr>
              <w:t>评审项目</w:t>
            </w:r>
          </w:p>
        </w:tc>
        <w:tc>
          <w:tcPr>
            <w:tcW w:w="7728" w:type="dxa"/>
            <w:gridSpan w:val="2"/>
            <w:tcBorders>
              <w:tl2br w:val="nil"/>
              <w:tr2bl w:val="nil"/>
            </w:tcBorders>
            <w:vAlign w:val="center"/>
          </w:tcPr>
          <w:p>
            <w:pPr>
              <w:adjustRightInd w:val="0"/>
              <w:snapToGrid w:val="0"/>
              <w:jc w:val="center"/>
              <w:rPr>
                <w:rFonts w:ascii="宋体" w:hAnsi="宋体" w:cs="宋体"/>
                <w:b/>
                <w:bCs/>
                <w:szCs w:val="21"/>
              </w:rPr>
            </w:pPr>
            <w:r>
              <w:rPr>
                <w:rFonts w:hint="eastAsia" w:ascii="宋体" w:hAnsi="宋体" w:cs="仿宋_GB2312"/>
                <w:sz w:val="28"/>
                <w:szCs w:val="28"/>
              </w:rPr>
              <w:t>评 分 标 准（总分100分）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165"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磋商报价</w:t>
            </w:r>
          </w:p>
        </w:tc>
        <w:tc>
          <w:tcPr>
            <w:tcW w:w="643"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7728" w:type="dxa"/>
            <w:gridSpan w:val="2"/>
            <w:tcBorders>
              <w:tl2br w:val="nil"/>
              <w:tr2bl w:val="nil"/>
            </w:tcBorders>
            <w:vAlign w:val="center"/>
          </w:tcPr>
          <w:p>
            <w:pPr>
              <w:spacing w:line="360" w:lineRule="auto"/>
              <w:jc w:val="left"/>
              <w:rPr>
                <w:rFonts w:ascii="宋体" w:hAnsi="宋体" w:cs="宋体"/>
                <w:bCs/>
                <w:szCs w:val="21"/>
              </w:rPr>
            </w:pPr>
            <w:r>
              <w:rPr>
                <w:rFonts w:hint="eastAsia" w:ascii="宋体" w:hAnsi="宋体" w:cs="宋体"/>
                <w:bCs/>
                <w:szCs w:val="21"/>
              </w:rPr>
              <w:t>1.经初审合格的磋商响应文件，通过符合性审查的磋商报价为有效投标价。对符合政策性扣减的有效磋商报价进行政策性扣减，并依据扣减后的价格（评审价格）进行价格评审。</w:t>
            </w:r>
          </w:p>
          <w:p>
            <w:pPr>
              <w:spacing w:line="360" w:lineRule="auto"/>
              <w:jc w:val="left"/>
              <w:rPr>
                <w:rFonts w:ascii="宋体" w:hAnsi="宋体" w:cs="宋体"/>
                <w:bCs/>
                <w:szCs w:val="21"/>
              </w:rPr>
            </w:pPr>
            <w:r>
              <w:rPr>
                <w:rFonts w:hint="eastAsia" w:ascii="宋体" w:hAnsi="宋体" w:cs="宋体"/>
                <w:bCs/>
                <w:szCs w:val="21"/>
              </w:rPr>
              <w:t>2.有效最低报价为基准价得10分。</w:t>
            </w:r>
          </w:p>
          <w:p>
            <w:pPr>
              <w:spacing w:line="360" w:lineRule="auto"/>
              <w:jc w:val="left"/>
              <w:rPr>
                <w:rFonts w:ascii="宋体" w:hAnsi="宋体" w:cs="宋体"/>
                <w:bCs/>
                <w:szCs w:val="21"/>
              </w:rPr>
            </w:pPr>
            <w:r>
              <w:rPr>
                <w:rFonts w:hint="eastAsia" w:ascii="宋体" w:hAnsi="宋体" w:cs="宋体"/>
                <w:bCs/>
                <w:szCs w:val="21"/>
              </w:rPr>
              <w:t>3.按（有效最低报价/有效磋商报价）×10的公式计算其得分。</w:t>
            </w:r>
          </w:p>
          <w:p>
            <w:pPr>
              <w:adjustRightInd w:val="0"/>
              <w:snapToGrid w:val="0"/>
              <w:spacing w:line="360" w:lineRule="auto"/>
              <w:rPr>
                <w:rFonts w:ascii="宋体" w:hAnsi="宋体" w:cs="宋体"/>
                <w:szCs w:val="21"/>
              </w:rPr>
            </w:pPr>
            <w:r>
              <w:rPr>
                <w:rFonts w:hint="eastAsia" w:ascii="宋体" w:hAnsi="宋体" w:cs="宋体"/>
                <w:bCs/>
                <w:szCs w:val="21"/>
              </w:rPr>
              <w:t>4.磋商报价不完整的，不进入评标基准价的计算，本项得0分。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65" w:type="dxa"/>
            <w:vMerge w:val="restart"/>
            <w:tcBorders>
              <w:tl2br w:val="nil"/>
              <w:tr2bl w:val="nil"/>
            </w:tcBorders>
            <w:vAlign w:val="center"/>
          </w:tcPr>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服务方案</w:t>
            </w:r>
          </w:p>
        </w:tc>
        <w:tc>
          <w:tcPr>
            <w:tcW w:w="643" w:type="dxa"/>
            <w:vMerge w:val="restart"/>
            <w:tcBorders>
              <w:tl2br w:val="nil"/>
              <w:tr2bl w:val="nil"/>
            </w:tcBorders>
            <w:vAlign w:val="center"/>
          </w:tcPr>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70</w:t>
            </w: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项目理解及分析</w:t>
            </w:r>
          </w:p>
          <w:p>
            <w:pPr>
              <w:adjustRightInd w:val="0"/>
              <w:snapToGrid w:val="0"/>
              <w:spacing w:line="360" w:lineRule="auto"/>
              <w:jc w:val="center"/>
              <w:rPr>
                <w:rFonts w:ascii="宋体" w:hAnsi="宋体" w:cs="宋体"/>
                <w:szCs w:val="21"/>
              </w:rPr>
            </w:pPr>
            <w:r>
              <w:rPr>
                <w:rFonts w:hint="eastAsia" w:ascii="宋体" w:hAnsi="宋体" w:cs="宋体"/>
                <w:szCs w:val="21"/>
              </w:rPr>
              <w:t>（10分）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供应商对本项目现状作出简要的梳理分析，磋商小组对供应商提供的现状分析内容按以下标准进行打分。</w:t>
            </w:r>
          </w:p>
          <w:p>
            <w:pPr>
              <w:adjustRightInd w:val="0"/>
              <w:snapToGrid w:val="0"/>
              <w:spacing w:line="360" w:lineRule="auto"/>
              <w:rPr>
                <w:rFonts w:ascii="宋体" w:hAnsi="宋体" w:cs="宋体"/>
                <w:szCs w:val="21"/>
              </w:rPr>
            </w:pPr>
            <w:r>
              <w:rPr>
                <w:rFonts w:hint="eastAsia" w:ascii="宋体" w:hAnsi="宋体" w:cs="宋体"/>
                <w:szCs w:val="21"/>
              </w:rPr>
              <w:t>（1）对本项目的出发点及工作目标理解透彻、基本思路清晰且贴合本项目要求、分析到位且解决方案合理可靠、现状分析内容贴合实际，思路清晰的计（8-10分）;</w:t>
            </w:r>
          </w:p>
          <w:p>
            <w:pPr>
              <w:adjustRightInd w:val="0"/>
              <w:snapToGrid w:val="0"/>
              <w:spacing w:line="360" w:lineRule="auto"/>
              <w:rPr>
                <w:rFonts w:ascii="宋体" w:hAnsi="宋体" w:cs="宋体"/>
                <w:szCs w:val="21"/>
              </w:rPr>
            </w:pPr>
            <w:r>
              <w:rPr>
                <w:rFonts w:hint="eastAsia" w:ascii="宋体" w:hAnsi="宋体" w:cs="宋体"/>
                <w:szCs w:val="21"/>
              </w:rPr>
              <w:t>（2）对本项目的出发点及工作目标理解不深入、基本思路不清晰、分析流于表面、现状分析内容脱离实际的计（5-7分）；</w:t>
            </w:r>
          </w:p>
          <w:p>
            <w:pPr>
              <w:adjustRightInd w:val="0"/>
              <w:snapToGrid w:val="0"/>
              <w:spacing w:line="360" w:lineRule="auto"/>
              <w:rPr>
                <w:rFonts w:ascii="宋体" w:hAnsi="宋体" w:cs="宋体"/>
                <w:szCs w:val="21"/>
              </w:rPr>
            </w:pPr>
            <w:r>
              <w:rPr>
                <w:rFonts w:hint="eastAsia" w:ascii="宋体" w:hAnsi="宋体" w:cs="宋体"/>
                <w:szCs w:val="21"/>
              </w:rPr>
              <w:t>（3）不符合上述情形的计(0-4分）。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实施方案</w:t>
            </w:r>
          </w:p>
          <w:p>
            <w:pPr>
              <w:adjustRightInd w:val="0"/>
              <w:snapToGrid w:val="0"/>
              <w:spacing w:line="360" w:lineRule="auto"/>
              <w:jc w:val="center"/>
              <w:rPr>
                <w:rFonts w:ascii="宋体" w:hAnsi="宋体" w:cs="宋体"/>
                <w:szCs w:val="21"/>
              </w:rPr>
            </w:pPr>
            <w:r>
              <w:rPr>
                <w:rFonts w:hint="eastAsia" w:ascii="宋体" w:hAnsi="宋体" w:cs="宋体"/>
                <w:szCs w:val="21"/>
              </w:rPr>
              <w:t>（10分）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供应商根据磋商文件的内容编制的实施方案，磋商小组对供应商提供的实施方案按以下标准进行打分。</w:t>
            </w:r>
          </w:p>
          <w:p>
            <w:pPr>
              <w:adjustRightInd w:val="0"/>
              <w:snapToGrid w:val="0"/>
              <w:spacing w:line="360" w:lineRule="auto"/>
              <w:rPr>
                <w:rFonts w:ascii="宋体" w:hAnsi="宋体" w:cs="宋体"/>
                <w:szCs w:val="21"/>
              </w:rPr>
            </w:pPr>
            <w:r>
              <w:rPr>
                <w:rFonts w:hint="eastAsia" w:ascii="宋体" w:hAnsi="宋体" w:cs="宋体"/>
                <w:szCs w:val="21"/>
              </w:rPr>
              <w:t>（1）供应商的方案合理，贴合本项目实际情况。对认定实施方案符合采购人目标并具有极高的可行性的计（8-10分）;</w:t>
            </w:r>
          </w:p>
          <w:p>
            <w:pPr>
              <w:adjustRightInd w:val="0"/>
              <w:snapToGrid w:val="0"/>
              <w:spacing w:line="360" w:lineRule="auto"/>
              <w:rPr>
                <w:rFonts w:ascii="宋体" w:hAnsi="宋体" w:cs="宋体"/>
                <w:szCs w:val="21"/>
              </w:rPr>
            </w:pPr>
            <w:r>
              <w:rPr>
                <w:rFonts w:hint="eastAsia" w:ascii="宋体" w:hAnsi="宋体" w:cs="宋体"/>
                <w:szCs w:val="21"/>
              </w:rPr>
              <w:t>（2）供应商的方案无针对性、内容不贴合本项目情况、对项目现状把握不准确、不能提出有效解决思路的计（5-7分）；</w:t>
            </w:r>
          </w:p>
          <w:p>
            <w:pPr>
              <w:adjustRightInd w:val="0"/>
              <w:snapToGrid w:val="0"/>
              <w:spacing w:line="360" w:lineRule="auto"/>
              <w:rPr>
                <w:rFonts w:ascii="宋体" w:hAnsi="宋体" w:cs="宋体"/>
                <w:szCs w:val="21"/>
              </w:rPr>
            </w:pPr>
            <w:r>
              <w:rPr>
                <w:rFonts w:hint="eastAsia" w:ascii="宋体" w:hAnsi="宋体" w:cs="宋体"/>
                <w:szCs w:val="21"/>
              </w:rPr>
              <w:t>（3）不符合上述两种情形的计(0-4分）。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项目组织、质量、进度保证措施（</w:t>
            </w:r>
            <w:r>
              <w:rPr>
                <w:rFonts w:hint="eastAsia" w:ascii="宋体" w:hAnsi="宋体" w:cs="宋体"/>
                <w:szCs w:val="21"/>
                <w:lang w:val="en-US" w:eastAsia="zh-CN"/>
              </w:rPr>
              <w:t>15</w:t>
            </w:r>
            <w:r>
              <w:rPr>
                <w:rFonts w:hint="eastAsia" w:ascii="宋体" w:hAnsi="宋体" w:cs="宋体"/>
                <w:szCs w:val="21"/>
              </w:rPr>
              <w:t>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供应商根据项目特点在满足磋商文件服务期限要求的前提下编制的项目组织、质量、进度控制和保证措施方案，磋商小组根据供应商编制内容按以下标准进行打分。</w:t>
            </w:r>
          </w:p>
          <w:p>
            <w:pPr>
              <w:adjustRightInd w:val="0"/>
              <w:snapToGrid w:val="0"/>
              <w:spacing w:line="360" w:lineRule="auto"/>
              <w:rPr>
                <w:rFonts w:ascii="宋体" w:hAnsi="宋体" w:cs="宋体"/>
                <w:szCs w:val="21"/>
              </w:rPr>
            </w:pPr>
            <w:r>
              <w:rPr>
                <w:rFonts w:hint="eastAsia" w:ascii="宋体" w:hAnsi="宋体" w:cs="宋体"/>
                <w:szCs w:val="21"/>
              </w:rPr>
              <w:t>（1）方案能结合本项目实际情况、组织合理高效，成果质量能根据采购人要求进行修改提升、进度掌控合理有效的计（</w:t>
            </w:r>
            <w:r>
              <w:rPr>
                <w:rFonts w:hint="eastAsia" w:ascii="宋体" w:hAnsi="宋体" w:cs="宋体"/>
                <w:szCs w:val="21"/>
                <w:lang w:val="en-US" w:eastAsia="zh-CN"/>
              </w:rPr>
              <w:t>11-15</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（2）项目组织，质量成果、进度能满足采购需求的计（</w:t>
            </w:r>
            <w:r>
              <w:rPr>
                <w:rFonts w:hint="eastAsia" w:ascii="宋体" w:hAnsi="宋体" w:cs="宋体"/>
                <w:szCs w:val="21"/>
                <w:lang w:val="en-US" w:eastAsia="zh-CN"/>
              </w:rPr>
              <w:t>6-10</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（3）不符合上述情形的计(0-</w:t>
            </w:r>
            <w:r>
              <w:rPr>
                <w:rFonts w:hint="eastAsia" w:ascii="宋体" w:hAnsi="宋体" w:cs="宋体"/>
                <w:szCs w:val="21"/>
                <w:lang w:val="en-US" w:eastAsia="zh-CN"/>
              </w:rPr>
              <w:t>5</w:t>
            </w:r>
            <w:r>
              <w:rPr>
                <w:rFonts w:hint="eastAsia" w:ascii="宋体" w:hAnsi="宋体" w:cs="宋体"/>
                <w:szCs w:val="21"/>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pStyle w:val="9"/>
              <w:jc w:val="center"/>
              <w:rPr>
                <w:rFonts w:ascii="宋体" w:hAnsi="宋体" w:cs="宋体"/>
                <w:szCs w:val="21"/>
              </w:rPr>
            </w:pPr>
            <w:r>
              <w:rPr>
                <w:rFonts w:hint="eastAsia" w:ascii="宋体" w:hAnsi="宋体" w:cs="宋体"/>
                <w:szCs w:val="21"/>
              </w:rPr>
              <w:t>重点、难点及解决措施</w:t>
            </w:r>
          </w:p>
          <w:p>
            <w:pPr>
              <w:pStyle w:val="9"/>
              <w:jc w:val="center"/>
              <w:rPr>
                <w:rFonts w:ascii="宋体" w:hAnsi="宋体" w:cs="宋体"/>
                <w:szCs w:val="21"/>
              </w:rPr>
            </w:pPr>
            <w:r>
              <w:rPr>
                <w:rFonts w:hint="eastAsia" w:ascii="宋体" w:hAnsi="宋体" w:cs="宋体"/>
                <w:szCs w:val="21"/>
              </w:rPr>
              <w:t>（10分）</w:t>
            </w:r>
          </w:p>
        </w:tc>
        <w:tc>
          <w:tcPr>
            <w:tcW w:w="5958" w:type="dxa"/>
            <w:tcBorders>
              <w:tl2br w:val="nil"/>
              <w:tr2bl w:val="nil"/>
            </w:tcBorders>
            <w:vAlign w:val="center"/>
          </w:tcPr>
          <w:p>
            <w:pPr>
              <w:spacing w:line="360" w:lineRule="auto"/>
              <w:rPr>
                <w:rFonts w:ascii="宋体" w:hAnsi="宋体" w:cs="宋体"/>
                <w:szCs w:val="21"/>
              </w:rPr>
            </w:pPr>
            <w:r>
              <w:rPr>
                <w:rFonts w:hint="eastAsia" w:ascii="宋体" w:hAnsi="宋体" w:cs="宋体"/>
                <w:szCs w:val="21"/>
              </w:rPr>
              <w:t>供应商针对本项目编写的重点、难点及解决措施，评委从①重、难点分析、②风险点分析③解决方案等方面赋分。</w:t>
            </w:r>
          </w:p>
          <w:p>
            <w:pPr>
              <w:spacing w:line="360" w:lineRule="auto"/>
              <w:rPr>
                <w:rFonts w:ascii="宋体" w:hAnsi="宋体" w:cs="宋体"/>
                <w:szCs w:val="21"/>
              </w:rPr>
            </w:pPr>
            <w:r>
              <w:rPr>
                <w:rFonts w:hint="eastAsia" w:ascii="宋体" w:hAnsi="宋体" w:cs="宋体"/>
                <w:szCs w:val="21"/>
              </w:rPr>
              <w:t>（1）供应商的措施合理有效、重难点分析有理有据、解决方案便捷有效的计（8-10分）;</w:t>
            </w:r>
          </w:p>
          <w:p>
            <w:pPr>
              <w:spacing w:line="360" w:lineRule="auto"/>
              <w:rPr>
                <w:rFonts w:ascii="宋体" w:hAnsi="宋体" w:cs="宋体"/>
                <w:szCs w:val="21"/>
              </w:rPr>
            </w:pPr>
            <w:r>
              <w:rPr>
                <w:rFonts w:hint="eastAsia" w:ascii="宋体" w:hAnsi="宋体" w:cs="宋体"/>
                <w:szCs w:val="21"/>
              </w:rPr>
              <w:t>（2）供应商的措施无实质性内容、重难点分析敷衍无针对性的计（5-7分）；</w:t>
            </w:r>
          </w:p>
          <w:p>
            <w:pPr>
              <w:spacing w:line="360" w:lineRule="auto"/>
              <w:rPr>
                <w:rFonts w:ascii="宋体" w:hAnsi="宋体" w:cs="宋体"/>
                <w:szCs w:val="21"/>
              </w:rPr>
            </w:pPr>
            <w:r>
              <w:rPr>
                <w:rFonts w:hint="eastAsia" w:ascii="宋体" w:hAnsi="宋体" w:cs="宋体"/>
                <w:szCs w:val="21"/>
              </w:rPr>
              <w:t>（3）不符合上述两种情形的计(0-4分）。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管理制度</w:t>
            </w:r>
          </w:p>
          <w:p>
            <w:pPr>
              <w:adjustRightInd w:val="0"/>
              <w:snapToGrid w:val="0"/>
              <w:spacing w:line="360" w:lineRule="auto"/>
              <w:jc w:val="center"/>
            </w:pPr>
            <w:r>
              <w:rPr>
                <w:rFonts w:hint="eastAsia" w:ascii="宋体" w:hAnsi="宋体" w:cs="宋体"/>
                <w:szCs w:val="21"/>
              </w:rPr>
              <w:t>（5分）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供应商的内部管理制度，评委从①人事管理制度、②业务及档案管理制度、③职业准则及行为规范管理制度等方面进行赋分。</w:t>
            </w:r>
          </w:p>
          <w:p>
            <w:pPr>
              <w:adjustRightInd w:val="0"/>
              <w:snapToGrid w:val="0"/>
              <w:spacing w:line="360" w:lineRule="auto"/>
              <w:rPr>
                <w:rFonts w:ascii="宋体" w:hAnsi="宋体" w:cs="宋体"/>
                <w:szCs w:val="21"/>
              </w:rPr>
            </w:pPr>
            <w:r>
              <w:rPr>
                <w:rFonts w:hint="eastAsia" w:ascii="宋体" w:hAnsi="宋体" w:cs="宋体"/>
                <w:szCs w:val="21"/>
              </w:rPr>
              <w:t>（1）供应商的管理制度完善、条理清晰，各方面制度详细完整合理能根据本项目实际情况调整的计（3-5分）;</w:t>
            </w:r>
          </w:p>
          <w:p>
            <w:pPr>
              <w:adjustRightInd w:val="0"/>
              <w:snapToGrid w:val="0"/>
              <w:spacing w:line="360" w:lineRule="auto"/>
              <w:rPr>
                <w:rFonts w:ascii="宋体" w:hAnsi="宋体" w:cs="宋体"/>
                <w:szCs w:val="21"/>
              </w:rPr>
            </w:pPr>
            <w:r>
              <w:rPr>
                <w:rFonts w:hint="eastAsia" w:ascii="宋体" w:hAnsi="宋体" w:cs="宋体"/>
                <w:szCs w:val="21"/>
              </w:rPr>
              <w:t>（2）供应商的管理制度敷衍、无实质性针对内容的计（0-2分）；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保密承诺及措施</w:t>
            </w:r>
          </w:p>
          <w:p>
            <w:pPr>
              <w:adjustRightInd w:val="0"/>
              <w:snapToGrid w:val="0"/>
              <w:spacing w:line="360" w:lineRule="auto"/>
              <w:jc w:val="center"/>
            </w:pPr>
            <w:r>
              <w:rPr>
                <w:rFonts w:hint="eastAsia" w:ascii="宋体" w:hAnsi="宋体" w:cs="宋体"/>
                <w:szCs w:val="21"/>
              </w:rPr>
              <w:t>（5分）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评委根据各供应商提供的保密承诺及措施，从保密手段、人员保密管理、技术保密措施等各个方面，进行综合赋分，并提供保密承诺。</w:t>
            </w:r>
          </w:p>
          <w:p>
            <w:pPr>
              <w:adjustRightInd w:val="0"/>
              <w:snapToGrid w:val="0"/>
              <w:spacing w:line="360" w:lineRule="auto"/>
              <w:rPr>
                <w:rFonts w:ascii="宋体" w:hAnsi="宋体" w:cs="宋体"/>
                <w:szCs w:val="21"/>
              </w:rPr>
            </w:pPr>
            <w:r>
              <w:rPr>
                <w:rFonts w:hint="eastAsia" w:ascii="宋体" w:hAnsi="宋体" w:cs="宋体"/>
                <w:szCs w:val="21"/>
              </w:rPr>
              <w:t xml:space="preserve">（1）供应商的保密措施完善、保密手段先进、人员保密管理制度及技术保密措施科学合理的计（3-5分）； </w:t>
            </w:r>
          </w:p>
          <w:p>
            <w:pPr>
              <w:adjustRightInd w:val="0"/>
              <w:snapToGrid w:val="0"/>
              <w:spacing w:line="360" w:lineRule="auto"/>
              <w:rPr>
                <w:rFonts w:ascii="宋体" w:hAnsi="宋体" w:cs="宋体"/>
                <w:szCs w:val="21"/>
              </w:rPr>
            </w:pPr>
            <w:r>
              <w:rPr>
                <w:rFonts w:hint="eastAsia" w:ascii="宋体" w:hAnsi="宋体" w:cs="宋体"/>
                <w:szCs w:val="21"/>
              </w:rPr>
              <w:t>（2）提供不完善或不提供计（0-2分）。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廉洁从业</w:t>
            </w:r>
          </w:p>
          <w:p>
            <w:pPr>
              <w:adjustRightInd w:val="0"/>
              <w:snapToGrid w:val="0"/>
              <w:spacing w:line="360" w:lineRule="auto"/>
              <w:jc w:val="center"/>
              <w:rPr>
                <w:rFonts w:ascii="宋体" w:hAnsi="宋体" w:cs="宋体"/>
                <w:szCs w:val="21"/>
              </w:rPr>
            </w:pPr>
            <w:r>
              <w:rPr>
                <w:rFonts w:hint="eastAsia" w:ascii="宋体" w:hAnsi="宋体" w:cs="宋体"/>
                <w:szCs w:val="21"/>
              </w:rPr>
              <w:t>保障措施</w:t>
            </w:r>
          </w:p>
          <w:p>
            <w:pPr>
              <w:adjustRightInd w:val="0"/>
              <w:snapToGrid w:val="0"/>
              <w:spacing w:line="360" w:lineRule="auto"/>
              <w:jc w:val="cente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供应商针对本项目的廉洁从业保障措施：评委从企业的廉洁从业及对参与本项目人员的管理等方面。</w:t>
            </w:r>
          </w:p>
          <w:p>
            <w:pPr>
              <w:adjustRightInd w:val="0"/>
              <w:snapToGrid w:val="0"/>
              <w:spacing w:line="360" w:lineRule="auto"/>
              <w:rPr>
                <w:rFonts w:ascii="宋体" w:hAnsi="宋体" w:cs="宋体"/>
                <w:szCs w:val="21"/>
              </w:rPr>
            </w:pPr>
            <w:r>
              <w:rPr>
                <w:rFonts w:hint="eastAsia" w:ascii="宋体" w:hAnsi="宋体" w:cs="宋体"/>
                <w:szCs w:val="21"/>
              </w:rPr>
              <w:t>（1）廉洁从业措施内容能贴合本项目实际，措施严格有效的计（</w:t>
            </w:r>
            <w:r>
              <w:rPr>
                <w:rFonts w:hint="eastAsia" w:ascii="宋体" w:hAnsi="宋体" w:cs="宋体"/>
                <w:szCs w:val="21"/>
                <w:lang w:val="en-US" w:eastAsia="zh-CN"/>
              </w:rPr>
              <w:t>6-10</w:t>
            </w:r>
            <w:r>
              <w:rPr>
                <w:rFonts w:hint="eastAsia" w:ascii="宋体" w:hAnsi="宋体" w:cs="宋体"/>
                <w:szCs w:val="21"/>
              </w:rPr>
              <w:t>分）；</w:t>
            </w:r>
          </w:p>
          <w:p>
            <w:pPr>
              <w:adjustRightInd w:val="0"/>
              <w:snapToGrid w:val="0"/>
              <w:spacing w:line="360" w:lineRule="auto"/>
              <w:rPr>
                <w:rFonts w:ascii="宋体" w:hAnsi="宋体" w:cs="宋体"/>
                <w:szCs w:val="21"/>
              </w:rPr>
            </w:pPr>
            <w:r>
              <w:rPr>
                <w:rFonts w:hint="eastAsia" w:ascii="宋体" w:hAnsi="宋体" w:cs="宋体"/>
                <w:szCs w:val="21"/>
              </w:rPr>
              <w:t>（2）其他情形的计（0-</w:t>
            </w:r>
            <w:r>
              <w:rPr>
                <w:rFonts w:hint="eastAsia" w:ascii="宋体" w:hAnsi="宋体" w:cs="宋体"/>
                <w:szCs w:val="21"/>
                <w:lang w:val="en-US" w:eastAsia="zh-CN"/>
              </w:rPr>
              <w:t>5</w:t>
            </w:r>
            <w:r>
              <w:rPr>
                <w:rFonts w:hint="eastAsia" w:ascii="宋体" w:hAnsi="宋体" w:cs="宋体"/>
                <w:szCs w:val="21"/>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65" w:type="dxa"/>
            <w:vMerge w:val="continue"/>
            <w:tcBorders>
              <w:tl2br w:val="nil"/>
              <w:tr2bl w:val="nil"/>
            </w:tcBorders>
            <w:vAlign w:val="center"/>
          </w:tcPr>
          <w:p>
            <w:pPr>
              <w:adjustRightInd w:val="0"/>
              <w:snapToGrid w:val="0"/>
              <w:spacing w:line="360" w:lineRule="auto"/>
            </w:pPr>
          </w:p>
        </w:tc>
        <w:tc>
          <w:tcPr>
            <w:tcW w:w="643" w:type="dxa"/>
            <w:vMerge w:val="continue"/>
            <w:tcBorders>
              <w:tl2br w:val="nil"/>
              <w:tr2bl w:val="nil"/>
            </w:tcBorders>
            <w:vAlign w:val="center"/>
          </w:tcPr>
          <w:p>
            <w:pPr>
              <w:adjustRightInd w:val="0"/>
              <w:snapToGrid w:val="0"/>
              <w:spacing w:line="360" w:lineRule="auto"/>
            </w:pPr>
          </w:p>
        </w:tc>
        <w:tc>
          <w:tcPr>
            <w:tcW w:w="1770"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服务承诺</w:t>
            </w:r>
          </w:p>
          <w:p>
            <w:pPr>
              <w:adjustRightInd w:val="0"/>
              <w:snapToGrid w:val="0"/>
              <w:spacing w:line="360" w:lineRule="auto"/>
              <w:jc w:val="center"/>
              <w:rPr>
                <w:rFonts w:ascii="宋体" w:hAnsi="宋体" w:cs="宋体"/>
                <w:szCs w:val="21"/>
              </w:rPr>
            </w:pPr>
            <w:r>
              <w:rPr>
                <w:rFonts w:hint="eastAsia" w:ascii="宋体" w:hAnsi="宋体" w:cs="宋体"/>
                <w:szCs w:val="21"/>
              </w:rPr>
              <w:t>（5分）</w:t>
            </w:r>
          </w:p>
        </w:tc>
        <w:tc>
          <w:tcPr>
            <w:tcW w:w="5958" w:type="dxa"/>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供应商对本项目的承诺（包括但不限于服务质量承诺、服务期限、人员到位、成交后项目实施等方面）综合考虑计1-5分。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人员配备</w:t>
            </w:r>
          </w:p>
        </w:tc>
        <w:tc>
          <w:tcPr>
            <w:tcW w:w="643" w:type="dxa"/>
            <w:tcBorders>
              <w:tl2br w:val="nil"/>
              <w:tr2bl w:val="nil"/>
            </w:tcBorders>
            <w:vAlign w:val="center"/>
          </w:tcPr>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7728" w:type="dxa"/>
            <w:gridSpan w:val="2"/>
            <w:tcBorders>
              <w:tl2br w:val="nil"/>
              <w:tr2bl w:val="nil"/>
            </w:tcBorders>
            <w:vAlign w:val="center"/>
          </w:tcPr>
          <w:p>
            <w:pPr>
              <w:adjustRightInd w:val="0"/>
              <w:snapToGrid w:val="0"/>
              <w:spacing w:line="360" w:lineRule="auto"/>
              <w:rPr>
                <w:rFonts w:ascii="宋体" w:hAnsi="宋体" w:cs="宋体"/>
                <w:szCs w:val="21"/>
              </w:rPr>
            </w:pPr>
            <w:r>
              <w:rPr>
                <w:rFonts w:hint="eastAsia" w:ascii="宋体" w:hAnsi="宋体" w:cs="宋体"/>
                <w:szCs w:val="21"/>
              </w:rPr>
              <w:t xml:space="preserve">根据供应商编写的人员配备计划，评委从人员架构、人员分工等方面进行打分； </w:t>
            </w:r>
          </w:p>
          <w:p>
            <w:pPr>
              <w:numPr>
                <w:ilvl w:val="0"/>
                <w:numId w:val="8"/>
              </w:numPr>
              <w:adjustRightInd w:val="0"/>
              <w:snapToGrid w:val="0"/>
              <w:spacing w:line="360" w:lineRule="auto"/>
              <w:rPr>
                <w:rFonts w:ascii="宋体" w:hAnsi="宋体" w:cs="宋体"/>
                <w:szCs w:val="21"/>
              </w:rPr>
            </w:pPr>
            <w:r>
              <w:rPr>
                <w:rFonts w:hint="eastAsia" w:ascii="宋体" w:hAnsi="宋体" w:cs="宋体"/>
                <w:szCs w:val="21"/>
              </w:rPr>
              <w:t>人员配备计划详细、架构合理、人员分工科学有效、符合实际情况的计（</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p>
            <w:pPr>
              <w:numPr>
                <w:ilvl w:val="0"/>
                <w:numId w:val="8"/>
              </w:numPr>
              <w:adjustRightInd w:val="0"/>
              <w:snapToGrid w:val="0"/>
              <w:spacing w:line="360" w:lineRule="auto"/>
              <w:rPr>
                <w:rFonts w:ascii="宋体" w:hAnsi="宋体" w:cs="宋体"/>
                <w:szCs w:val="21"/>
              </w:rPr>
            </w:pPr>
            <w:r>
              <w:rPr>
                <w:rFonts w:hint="eastAsia" w:ascii="宋体" w:hAnsi="宋体" w:cs="宋体"/>
                <w:szCs w:val="21"/>
              </w:rPr>
              <w:t>人员配备计划粗糙、架构简单、人员分工不明确的计（0-</w:t>
            </w:r>
            <w:r>
              <w:rPr>
                <w:rFonts w:hint="eastAsia" w:ascii="宋体" w:hAnsi="宋体" w:cs="宋体"/>
                <w:szCs w:val="21"/>
                <w:lang w:val="en-US" w:eastAsia="zh-CN"/>
              </w:rPr>
              <w:t>5</w:t>
            </w:r>
            <w:r>
              <w:rPr>
                <w:rFonts w:hint="eastAsia" w:ascii="宋体" w:hAnsi="宋体" w:cs="宋体"/>
                <w:szCs w:val="21"/>
              </w:rPr>
              <w:t xml:space="preserve">分）；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业绩证明</w:t>
            </w:r>
          </w:p>
        </w:tc>
        <w:tc>
          <w:tcPr>
            <w:tcW w:w="643" w:type="dxa"/>
            <w:tcBorders>
              <w:tl2br w:val="nil"/>
              <w:tr2bl w:val="nil"/>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7728" w:type="dxa"/>
            <w:gridSpan w:val="2"/>
            <w:tcBorders>
              <w:tl2br w:val="nil"/>
              <w:tr2bl w:val="nil"/>
            </w:tcBorders>
            <w:vAlign w:val="center"/>
          </w:tcPr>
          <w:p>
            <w:pPr>
              <w:pStyle w:val="21"/>
              <w:ind w:firstLine="0"/>
              <w:rPr>
                <w:rFonts w:ascii="宋体" w:hAnsi="宋体" w:cs="宋体"/>
                <w:szCs w:val="21"/>
              </w:rPr>
            </w:pPr>
            <w:r>
              <w:rPr>
                <w:rFonts w:hint="eastAsia" w:ascii="宋体" w:hAnsi="宋体" w:cs="宋体"/>
                <w:szCs w:val="21"/>
              </w:rPr>
              <w:t>供应商提供2019年1月至今的相关类似项目业绩，每提供一个计2分，最多计10分。（以合同签订时间为准）</w:t>
            </w:r>
          </w:p>
        </w:tc>
      </w:tr>
    </w:tbl>
    <w:p>
      <w:pPr>
        <w:rPr>
          <w:rFonts w:hint="default"/>
          <w:lang w:val="en-US" w:eastAsia="zh-CN"/>
        </w:rPr>
      </w:pPr>
    </w:p>
    <w:p>
      <w:pPr>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55" w:firstLineChars="177"/>
        <w:textAlignment w:val="auto"/>
        <w:rPr>
          <w:rFonts w:hint="eastAsia" w:ascii="宋体" w:hAnsi="宋体" w:eastAsia="宋体" w:cs="宋体"/>
          <w:bCs/>
          <w:sz w:val="24"/>
          <w:szCs w:val="24"/>
        </w:rPr>
      </w:pPr>
      <w:r>
        <w:rPr>
          <w:rFonts w:hint="eastAsia" w:ascii="宋体" w:hAnsi="宋体" w:eastAsia="宋体" w:cs="宋体"/>
          <w:b/>
          <w:spacing w:val="8"/>
          <w:sz w:val="24"/>
          <w:szCs w:val="24"/>
        </w:rPr>
        <w:t>注：</w:t>
      </w:r>
      <w:r>
        <w:rPr>
          <w:rFonts w:hint="eastAsia" w:ascii="宋体" w:hAnsi="宋体" w:eastAsia="宋体" w:cs="宋体"/>
          <w:b/>
          <w:bCs w:val="0"/>
          <w:sz w:val="24"/>
          <w:szCs w:val="24"/>
        </w:rPr>
        <w:t>招标文件要求的证明资料需在投标文件中附响应的复印件或扫描件</w:t>
      </w:r>
      <w:r>
        <w:rPr>
          <w:rFonts w:hint="eastAsia" w:ascii="宋体" w:hAnsi="宋体" w:eastAsia="宋体" w:cs="宋体"/>
          <w:b/>
          <w:bCs w:val="0"/>
          <w:sz w:val="24"/>
          <w:szCs w:val="24"/>
          <w:lang w:eastAsia="zh-CN"/>
        </w:rPr>
        <w:t>，</w:t>
      </w:r>
      <w:r>
        <w:rPr>
          <w:rFonts w:hint="eastAsia" w:hAnsi="宋体" w:cs="宋体"/>
          <w:b/>
          <w:bCs w:val="0"/>
          <w:sz w:val="24"/>
          <w:szCs w:val="24"/>
          <w:lang w:val="en-US" w:eastAsia="zh-CN"/>
        </w:rPr>
        <w:t>投标</w:t>
      </w:r>
      <w:r>
        <w:rPr>
          <w:rFonts w:hint="eastAsia" w:hAnsi="宋体" w:cs="宋体"/>
          <w:b/>
          <w:bCs w:val="0"/>
          <w:sz w:val="24"/>
          <w:szCs w:val="24"/>
          <w:lang w:eastAsia="zh-CN"/>
        </w:rPr>
        <w:t>文件</w:t>
      </w:r>
      <w:r>
        <w:rPr>
          <w:rFonts w:hint="eastAsia" w:ascii="宋体" w:hAnsi="宋体" w:cs="宋体"/>
          <w:b/>
          <w:bCs w:val="0"/>
          <w:sz w:val="24"/>
          <w:szCs w:val="24"/>
        </w:rPr>
        <w:t>中的复印件（含扫描件）必须加盖供应商公章（鲜章），否则按无效文件处理。所有复印件应是最新、有效、清晰的。因复印件不清晰而可能导致资料无效，由投标供应商自行负责</w:t>
      </w:r>
      <w:r>
        <w:rPr>
          <w:rFonts w:hint="eastAsia" w:ascii="宋体" w:hAnsi="宋体" w:eastAsia="宋体" w:cs="宋体"/>
          <w:bCs/>
          <w:sz w:val="24"/>
          <w:szCs w:val="24"/>
        </w:rPr>
        <w:t>。</w:t>
      </w:r>
    </w:p>
    <w:p>
      <w:pPr>
        <w:tabs>
          <w:tab w:val="left" w:pos="8974"/>
        </w:tabs>
        <w:spacing w:line="360" w:lineRule="auto"/>
        <w:rPr>
          <w:rFonts w:hint="eastAsia" w:ascii="宋体" w:hAnsi="宋体" w:eastAsia="宋体" w:cs="宋体"/>
          <w:b/>
          <w:spacing w:val="8"/>
          <w:sz w:val="24"/>
          <w:szCs w:val="24"/>
        </w:rPr>
      </w:pPr>
    </w:p>
    <w:p>
      <w:pPr>
        <w:pStyle w:val="7"/>
        <w:spacing w:before="1" w:line="360" w:lineRule="auto"/>
        <w:ind w:left="661"/>
        <w:rPr>
          <w:rFonts w:hint="eastAsia" w:ascii="宋体" w:hAnsi="宋体" w:eastAsia="宋体" w:cs="宋体"/>
        </w:rPr>
      </w:pPr>
      <w:r>
        <w:rPr>
          <w:rFonts w:hint="eastAsia" w:ascii="宋体" w:hAnsi="宋体" w:eastAsia="宋体" w:cs="宋体"/>
        </w:rPr>
        <w:t>五、成交：</w:t>
      </w:r>
    </w:p>
    <w:p>
      <w:pPr>
        <w:pStyle w:val="7"/>
        <w:spacing w:before="1" w:line="360" w:lineRule="auto"/>
        <w:ind w:left="661"/>
        <w:rPr>
          <w:rFonts w:hint="eastAsia" w:ascii="宋体" w:hAnsi="宋体" w:eastAsia="宋体" w:cs="宋体"/>
          <w:b w:val="0"/>
          <w:bCs w:val="0"/>
        </w:rPr>
      </w:pPr>
      <w:r>
        <w:rPr>
          <w:rFonts w:hint="eastAsia" w:ascii="宋体" w:hAnsi="宋体" w:eastAsia="宋体" w:cs="宋体"/>
          <w:b w:val="0"/>
          <w:bCs w:val="0"/>
        </w:rPr>
        <w:t>1、磋商结果报告由磋商小组全体成员签字确认。</w:t>
      </w:r>
    </w:p>
    <w:p>
      <w:pPr>
        <w:pStyle w:val="7"/>
        <w:spacing w:before="1" w:line="360" w:lineRule="auto"/>
        <w:ind w:left="661"/>
        <w:rPr>
          <w:rFonts w:hint="eastAsia" w:ascii="宋体" w:hAnsi="宋体" w:eastAsia="宋体" w:cs="宋体"/>
          <w:b w:val="0"/>
          <w:bCs w:val="0"/>
        </w:rPr>
      </w:pPr>
      <w:r>
        <w:rPr>
          <w:rFonts w:hint="eastAsia" w:ascii="宋体" w:hAnsi="宋体" w:eastAsia="宋体" w:cs="宋体"/>
          <w:b w:val="0"/>
          <w:bCs w:val="0"/>
        </w:rPr>
        <w:t>2、采购人根据磋商结果报告中推荐的成交候选人确定成交供应商，以复函通知采购代理机构。</w:t>
      </w:r>
    </w:p>
    <w:p>
      <w:pPr>
        <w:pStyle w:val="7"/>
        <w:spacing w:before="1" w:line="360" w:lineRule="auto"/>
        <w:ind w:left="661"/>
        <w:rPr>
          <w:rFonts w:hint="eastAsia" w:ascii="宋体" w:hAnsi="宋体" w:eastAsia="宋体" w:cs="宋体"/>
        </w:rPr>
      </w:pPr>
      <w:r>
        <w:rPr>
          <w:rFonts w:hint="eastAsia" w:ascii="宋体" w:hAnsi="宋体" w:eastAsia="宋体" w:cs="宋体"/>
        </w:rPr>
        <w:t>六、特殊情况的处理</w:t>
      </w:r>
    </w:p>
    <w:p>
      <w:pPr>
        <w:pStyle w:val="7"/>
        <w:spacing w:before="1" w:line="360" w:lineRule="auto"/>
        <w:ind w:left="661" w:firstLine="480" w:firstLineChars="200"/>
        <w:rPr>
          <w:rFonts w:hint="eastAsia" w:ascii="宋体" w:hAnsi="宋体" w:eastAsia="宋体" w:cs="宋体"/>
          <w:b w:val="0"/>
          <w:bCs w:val="0"/>
        </w:rPr>
        <w:sectPr>
          <w:pgSz w:w="11910" w:h="16840"/>
          <w:pgMar w:top="1400" w:right="680" w:bottom="1200" w:left="1040" w:header="907" w:footer="850" w:gutter="0"/>
          <w:pgNumType w:fmt="decimal"/>
          <w:cols w:space="720" w:num="1"/>
          <w:titlePg/>
          <w:docGrid w:type="lines" w:linePitch="312" w:charSpace="0"/>
        </w:sectPr>
      </w:pPr>
      <w:r>
        <w:rPr>
          <w:rFonts w:hint="eastAsia" w:ascii="宋体" w:hAnsi="宋体" w:eastAsia="宋体" w:cs="宋体"/>
          <w:b w:val="0"/>
          <w:bCs w:val="0"/>
        </w:rPr>
        <w:t>磋商过程中，若出现本评审方法以外的特殊情况时，将暂停评审，待磋商小组商榷后，再进行评定。</w:t>
      </w:r>
    </w:p>
    <w:p>
      <w:pPr>
        <w:pStyle w:val="3"/>
        <w:bidi w:val="0"/>
        <w:rPr>
          <w:rFonts w:hint="eastAsia"/>
        </w:rPr>
      </w:pPr>
      <w:bookmarkStart w:id="66" w:name="第五章_工程量清单（另册）"/>
      <w:bookmarkEnd w:id="66"/>
      <w:bookmarkStart w:id="67" w:name="_Toc18489_WPSOffice_Level1"/>
      <w:bookmarkStart w:id="68" w:name="_Toc22721387"/>
      <w:bookmarkStart w:id="69" w:name="_Toc1506_WPSOffice_Level1"/>
      <w:bookmarkStart w:id="70" w:name="_Toc18209"/>
      <w:r>
        <w:rPr>
          <w:rFonts w:hint="eastAsia"/>
        </w:rPr>
        <w:t>第六</w:t>
      </w:r>
      <w:r>
        <w:rPr>
          <w:rFonts w:hint="eastAsia"/>
          <w:lang w:eastAsia="zh-CN"/>
        </w:rPr>
        <w:t>部分</w:t>
      </w:r>
      <w:r>
        <w:rPr>
          <w:rFonts w:hint="eastAsia"/>
          <w:lang w:val="en-US" w:eastAsia="zh-CN"/>
        </w:rPr>
        <w:t xml:space="preserve"> </w:t>
      </w:r>
      <w:r>
        <w:rPr>
          <w:rFonts w:hint="eastAsia"/>
        </w:rPr>
        <w:t>竞争性磋商响应文件格式</w:t>
      </w:r>
      <w:bookmarkEnd w:id="67"/>
      <w:bookmarkEnd w:id="68"/>
      <w:bookmarkEnd w:id="69"/>
      <w:bookmarkEnd w:id="70"/>
    </w:p>
    <w:p>
      <w:pPr>
        <w:pStyle w:val="9"/>
        <w:outlineLvl w:val="0"/>
        <w:rPr>
          <w:rFonts w:hint="eastAsia" w:ascii="宋体" w:hAnsi="宋体" w:cs="宋体"/>
          <w:b/>
          <w:sz w:val="32"/>
          <w:szCs w:val="32"/>
          <w:lang w:eastAsia="zh-CN"/>
        </w:rPr>
      </w:pPr>
      <w:bookmarkStart w:id="71" w:name="_Toc26235"/>
    </w:p>
    <w:p>
      <w:pPr>
        <w:pStyle w:val="9"/>
        <w:outlineLvl w:val="0"/>
        <w:rPr>
          <w:rFonts w:hint="eastAsia" w:ascii="宋体" w:hAnsi="宋体" w:cs="宋体"/>
          <w:b/>
          <w:sz w:val="32"/>
          <w:szCs w:val="32"/>
          <w:lang w:val="en-US" w:eastAsia="zh-CN"/>
        </w:rPr>
      </w:pPr>
      <w:r>
        <w:rPr>
          <w:rFonts w:hint="eastAsia" w:ascii="宋体" w:hAnsi="宋体" w:cs="宋体"/>
          <w:b/>
          <w:sz w:val="32"/>
          <w:szCs w:val="32"/>
          <w:lang w:eastAsia="zh-CN"/>
        </w:rPr>
        <w:t>采购项目编号：</w:t>
      </w:r>
      <w:bookmarkEnd w:id="71"/>
    </w:p>
    <w:p>
      <w:pPr>
        <w:ind w:firstLine="6425" w:firstLineChars="1600"/>
        <w:jc w:val="both"/>
        <w:outlineLvl w:val="0"/>
        <w:rPr>
          <w:rFonts w:hint="eastAsia" w:ascii="宋体" w:hAnsi="宋体" w:eastAsia="宋体" w:cs="宋体"/>
          <w:b/>
          <w:sz w:val="40"/>
        </w:rPr>
      </w:pPr>
      <w:bookmarkStart w:id="72" w:name="_Toc15506"/>
      <w:bookmarkStart w:id="73" w:name="_Toc11391_WPSOffice_Level1"/>
      <w:bookmarkStart w:id="74" w:name="_Toc24517_WPSOffice_Level1"/>
      <w:bookmarkStart w:id="75" w:name="_Toc15758_WPSOffice_Level1"/>
      <w:bookmarkStart w:id="76" w:name="_Toc73_WPSOffice_Level1"/>
      <w:r>
        <w:rPr>
          <w:rFonts w:hint="eastAsia" w:ascii="宋体" w:hAnsi="宋体" w:eastAsia="宋体" w:cs="宋体"/>
          <w:b/>
          <w:sz w:val="40"/>
        </w:rPr>
        <w:t>（正本/副本）</w:t>
      </w:r>
      <w:bookmarkEnd w:id="72"/>
      <w:bookmarkEnd w:id="73"/>
      <w:bookmarkEnd w:id="74"/>
      <w:bookmarkEnd w:id="75"/>
      <w:bookmarkEnd w:id="76"/>
    </w:p>
    <w:p>
      <w:pPr>
        <w:pStyle w:val="19"/>
        <w:jc w:val="center"/>
        <w:rPr>
          <w:rStyle w:val="29"/>
          <w:rFonts w:hint="eastAsia" w:ascii="宋体" w:hAnsi="宋体" w:cs="宋体"/>
          <w:b/>
          <w:bCs/>
          <w:color w:val="auto"/>
          <w:sz w:val="48"/>
          <w:szCs w:val="20"/>
          <w:lang w:eastAsia="zh-CN"/>
        </w:rPr>
      </w:pPr>
      <w:r>
        <w:rPr>
          <w:rStyle w:val="29"/>
          <w:rFonts w:hint="eastAsia" w:ascii="宋体" w:hAnsi="宋体" w:cs="宋体"/>
          <w:b/>
          <w:bCs/>
          <w:color w:val="auto"/>
          <w:sz w:val="48"/>
          <w:szCs w:val="20"/>
          <w:lang w:eastAsia="zh-CN"/>
        </w:rPr>
        <w:t>榆佳经开区化工园区认定资料汇编</w:t>
      </w:r>
    </w:p>
    <w:p>
      <w:pPr>
        <w:pStyle w:val="19"/>
        <w:jc w:val="center"/>
        <w:rPr>
          <w:rFonts w:hint="default" w:ascii="宋体" w:hAnsi="宋体" w:eastAsia="宋体" w:cs="宋体"/>
          <w:b/>
          <w:sz w:val="55"/>
          <w:lang w:val="en-US"/>
        </w:rPr>
      </w:pPr>
      <w:r>
        <w:rPr>
          <w:rStyle w:val="29"/>
          <w:rFonts w:hint="eastAsia" w:ascii="宋体" w:hAnsi="宋体" w:cs="宋体"/>
          <w:b/>
          <w:bCs/>
          <w:color w:val="auto"/>
          <w:sz w:val="48"/>
          <w:szCs w:val="20"/>
          <w:lang w:eastAsia="zh-CN"/>
        </w:rPr>
        <w:t>采购项目（二次）</w:t>
      </w:r>
      <w:r>
        <w:rPr>
          <w:rFonts w:hint="eastAsia" w:ascii="宋体" w:hAnsi="宋体" w:cs="宋体"/>
          <w:b/>
          <w:sz w:val="48"/>
          <w:szCs w:val="16"/>
          <w:lang w:eastAsia="zh-CN"/>
        </w:rPr>
        <w:t>包</w:t>
      </w:r>
      <w:r>
        <w:rPr>
          <w:rFonts w:hint="eastAsia" w:ascii="宋体" w:hAnsi="宋体" w:cs="宋体"/>
          <w:b/>
          <w:sz w:val="48"/>
          <w:szCs w:val="16"/>
          <w:u w:val="single"/>
          <w:lang w:val="en-US" w:eastAsia="zh-CN"/>
        </w:rPr>
        <w:t xml:space="preserve">   </w:t>
      </w:r>
    </w:p>
    <w:p>
      <w:pPr>
        <w:pStyle w:val="8"/>
        <w:rPr>
          <w:rFonts w:hint="eastAsia" w:ascii="宋体" w:hAnsi="宋体" w:eastAsia="宋体" w:cs="宋体"/>
        </w:rPr>
      </w:pPr>
    </w:p>
    <w:p>
      <w:pPr>
        <w:ind w:right="735"/>
        <w:jc w:val="both"/>
        <w:outlineLvl w:val="0"/>
        <w:rPr>
          <w:rFonts w:hint="eastAsia" w:ascii="宋体" w:hAnsi="宋体" w:eastAsia="宋体" w:cs="宋体"/>
          <w:b/>
          <w:sz w:val="52"/>
        </w:rPr>
      </w:pPr>
      <w:bookmarkStart w:id="77" w:name="_Toc26282_WPSOffice_Level1"/>
      <w:bookmarkStart w:id="78" w:name="_Toc6637_WPSOffice_Level1"/>
      <w:bookmarkStart w:id="79" w:name="_Toc2718_WPSOffice_Level1"/>
      <w:bookmarkStart w:id="80" w:name="_Toc13048_WPSOffice_Level1"/>
      <w:bookmarkStart w:id="81" w:name="_Toc20429"/>
    </w:p>
    <w:p>
      <w:pPr>
        <w:ind w:right="735"/>
        <w:jc w:val="center"/>
        <w:outlineLvl w:val="0"/>
        <w:rPr>
          <w:rFonts w:hint="eastAsia" w:ascii="宋体" w:hAnsi="宋体" w:eastAsia="宋体" w:cs="宋体"/>
          <w:b/>
          <w:sz w:val="52"/>
        </w:rPr>
      </w:pPr>
      <w:r>
        <w:rPr>
          <w:rFonts w:hint="eastAsia" w:ascii="宋体" w:hAnsi="宋体" w:eastAsia="宋体" w:cs="宋体"/>
          <w:b/>
          <w:sz w:val="52"/>
        </w:rPr>
        <w:t>竞争性磋商响应文件</w:t>
      </w:r>
      <w:bookmarkEnd w:id="77"/>
      <w:bookmarkEnd w:id="78"/>
      <w:bookmarkEnd w:id="79"/>
      <w:bookmarkEnd w:id="80"/>
      <w:bookmarkEnd w:id="81"/>
    </w:p>
    <w:p>
      <w:pPr>
        <w:tabs>
          <w:tab w:val="left" w:pos="8640"/>
        </w:tabs>
        <w:ind w:firstLine="2168" w:firstLineChars="900"/>
        <w:rPr>
          <w:rFonts w:hint="eastAsia" w:ascii="宋体" w:hAnsi="宋体" w:eastAsia="宋体" w:cs="宋体"/>
          <w:b/>
          <w:kern w:val="2"/>
          <w:sz w:val="24"/>
          <w:szCs w:val="24"/>
          <w:lang w:val="en-US" w:eastAsia="zh-CN" w:bidi="ar-SA"/>
        </w:rPr>
      </w:pPr>
    </w:p>
    <w:p>
      <w:pPr>
        <w:spacing w:line="360" w:lineRule="auto"/>
        <w:ind w:firstLine="1928" w:firstLineChars="800"/>
        <w:jc w:val="both"/>
        <w:outlineLvl w:val="0"/>
        <w:rPr>
          <w:rFonts w:hint="eastAsia" w:ascii="宋体" w:hAnsi="宋体" w:eastAsia="宋体" w:cs="宋体"/>
          <w:b/>
          <w:kern w:val="2"/>
          <w:sz w:val="24"/>
          <w:szCs w:val="24"/>
          <w:lang w:val="en-US" w:eastAsia="zh-CN" w:bidi="ar-SA"/>
        </w:rPr>
      </w:pPr>
    </w:p>
    <w:p>
      <w:pPr>
        <w:rPr>
          <w:rFonts w:hint="eastAsia" w:ascii="宋体" w:hAnsi="宋体" w:eastAsia="宋体" w:cs="宋体"/>
          <w:b/>
          <w:sz w:val="57"/>
        </w:rPr>
      </w:pPr>
    </w:p>
    <w:p>
      <w:pPr>
        <w:spacing w:line="360" w:lineRule="auto"/>
        <w:ind w:firstLine="1687" w:firstLineChars="600"/>
        <w:outlineLvl w:val="0"/>
        <w:rPr>
          <w:rFonts w:hint="eastAsia" w:ascii="宋体" w:hAnsi="宋体" w:cs="宋体"/>
          <w:b/>
          <w:sz w:val="28"/>
          <w:u w:val="single"/>
        </w:rPr>
      </w:pPr>
      <w:bookmarkStart w:id="82" w:name="_Toc21455"/>
      <w:bookmarkStart w:id="83" w:name="_Toc19531"/>
      <w:bookmarkStart w:id="84" w:name="_Toc8436"/>
      <w:r>
        <w:rPr>
          <w:rFonts w:hint="eastAsia" w:ascii="宋体" w:hAnsi="宋体" w:cs="宋体"/>
          <w:b/>
          <w:sz w:val="28"/>
        </w:rPr>
        <w:t>投标人：</w:t>
      </w:r>
      <w:r>
        <w:rPr>
          <w:rFonts w:hint="eastAsia" w:ascii="宋体" w:hAnsi="宋体" w:cs="宋体"/>
          <w:b/>
          <w:sz w:val="28"/>
          <w:u w:val="single"/>
        </w:rPr>
        <w:t xml:space="preserve"> (公司名称、盖章)</w:t>
      </w:r>
      <w:bookmarkEnd w:id="82"/>
      <w:bookmarkEnd w:id="83"/>
      <w:bookmarkEnd w:id="84"/>
      <w:r>
        <w:rPr>
          <w:rFonts w:hint="eastAsia" w:ascii="宋体" w:hAnsi="宋体" w:cs="宋体"/>
          <w:b/>
          <w:sz w:val="28"/>
          <w:u w:val="single"/>
        </w:rPr>
        <w:t xml:space="preserve">             </w:t>
      </w:r>
    </w:p>
    <w:p>
      <w:pPr>
        <w:spacing w:line="360" w:lineRule="auto"/>
        <w:jc w:val="center"/>
        <w:rPr>
          <w:rFonts w:hint="eastAsia" w:ascii="宋体" w:hAnsi="宋体" w:cs="宋体"/>
          <w:b/>
          <w:sz w:val="28"/>
          <w:u w:val="single"/>
        </w:rPr>
      </w:pPr>
    </w:p>
    <w:p>
      <w:pPr>
        <w:spacing w:line="360" w:lineRule="auto"/>
        <w:outlineLvl w:val="0"/>
        <w:rPr>
          <w:rFonts w:hint="eastAsia" w:ascii="宋体" w:hAnsi="宋体" w:cs="宋体"/>
          <w:b/>
          <w:sz w:val="28"/>
        </w:rPr>
      </w:pPr>
      <w:r>
        <w:rPr>
          <w:rFonts w:hint="eastAsia" w:ascii="宋体" w:hAnsi="宋体" w:cs="宋体"/>
          <w:b/>
          <w:sz w:val="28"/>
        </w:rPr>
        <w:t xml:space="preserve">            </w:t>
      </w:r>
      <w:bookmarkStart w:id="85" w:name="_Toc17787"/>
      <w:bookmarkStart w:id="86" w:name="_Toc25084"/>
      <w:bookmarkStart w:id="87" w:name="_Toc3998"/>
      <w:r>
        <w:rPr>
          <w:rFonts w:hint="eastAsia" w:ascii="宋体" w:hAnsi="宋体" w:cs="宋体"/>
          <w:b/>
          <w:sz w:val="28"/>
        </w:rPr>
        <w:t>法定代表人或</w:t>
      </w:r>
      <w:bookmarkEnd w:id="85"/>
      <w:bookmarkEnd w:id="86"/>
      <w:bookmarkEnd w:id="87"/>
    </w:p>
    <w:p>
      <w:pPr>
        <w:spacing w:line="360" w:lineRule="auto"/>
        <w:outlineLvl w:val="0"/>
        <w:rPr>
          <w:rFonts w:hint="eastAsia" w:ascii="宋体" w:hAnsi="宋体" w:cs="宋体"/>
          <w:b/>
          <w:sz w:val="28"/>
        </w:rPr>
      </w:pPr>
      <w:r>
        <w:rPr>
          <w:rFonts w:hint="eastAsia" w:ascii="宋体" w:hAnsi="宋体" w:cs="宋体"/>
          <w:b/>
          <w:sz w:val="28"/>
        </w:rPr>
        <w:t xml:space="preserve">            </w:t>
      </w:r>
      <w:bookmarkStart w:id="88" w:name="_Toc24879"/>
      <w:bookmarkStart w:id="89" w:name="_Toc15953"/>
      <w:bookmarkStart w:id="90" w:name="_Toc24366"/>
      <w:r>
        <w:rPr>
          <w:rFonts w:hint="eastAsia" w:ascii="宋体" w:hAnsi="宋体" w:cs="宋体"/>
          <w:b/>
          <w:sz w:val="28"/>
        </w:rPr>
        <w:t>其授权代表签字或盖章：</w:t>
      </w:r>
      <w:bookmarkEnd w:id="88"/>
      <w:bookmarkEnd w:id="89"/>
      <w:bookmarkEnd w:id="90"/>
      <w:r>
        <w:rPr>
          <w:rFonts w:hint="eastAsia" w:ascii="宋体" w:hAnsi="宋体" w:cs="宋体"/>
          <w:b/>
          <w:sz w:val="28"/>
          <w:u w:val="single"/>
        </w:rPr>
        <w:t xml:space="preserve">                  </w:t>
      </w:r>
    </w:p>
    <w:p>
      <w:pPr>
        <w:spacing w:line="360" w:lineRule="auto"/>
        <w:jc w:val="center"/>
        <w:rPr>
          <w:rFonts w:hint="eastAsia" w:ascii="宋体" w:hAnsi="宋体" w:cs="宋体"/>
          <w:b/>
          <w:sz w:val="28"/>
          <w:u w:val="single"/>
        </w:rPr>
      </w:pPr>
    </w:p>
    <w:p>
      <w:pPr>
        <w:spacing w:line="360" w:lineRule="auto"/>
        <w:jc w:val="center"/>
        <w:outlineLvl w:val="0"/>
        <w:rPr>
          <w:rFonts w:hint="eastAsia" w:ascii="宋体" w:hAnsi="宋体" w:cs="宋体"/>
          <w:b/>
          <w:sz w:val="28"/>
        </w:rPr>
      </w:pPr>
      <w:r>
        <w:rPr>
          <w:rFonts w:hint="eastAsia" w:ascii="宋体" w:hAnsi="宋体" w:cs="宋体"/>
          <w:b/>
          <w:sz w:val="28"/>
          <w:u w:val="single"/>
        </w:rPr>
        <w:t xml:space="preserve">     </w:t>
      </w:r>
      <w:bookmarkStart w:id="91" w:name="_Toc4402"/>
      <w:bookmarkStart w:id="92" w:name="_Toc23484"/>
      <w:bookmarkStart w:id="93" w:name="_Toc26170"/>
      <w:r>
        <w:rPr>
          <w:rFonts w:hint="eastAsia" w:ascii="宋体" w:hAnsi="宋体" w:cs="宋体"/>
          <w:b/>
          <w:sz w:val="28"/>
        </w:rPr>
        <w:t>年</w:t>
      </w:r>
      <w:r>
        <w:rPr>
          <w:rFonts w:hint="eastAsia" w:ascii="宋体" w:hAnsi="宋体" w:cs="宋体"/>
          <w:b/>
          <w:sz w:val="28"/>
          <w:u w:val="single"/>
        </w:rPr>
        <w:t xml:space="preserve">   </w:t>
      </w:r>
      <w:r>
        <w:rPr>
          <w:rFonts w:hint="eastAsia" w:ascii="宋体" w:hAnsi="宋体" w:cs="宋体"/>
          <w:b/>
          <w:sz w:val="28"/>
        </w:rPr>
        <w:t>月</w:t>
      </w:r>
      <w:bookmarkEnd w:id="91"/>
      <w:bookmarkEnd w:id="92"/>
      <w:bookmarkEnd w:id="93"/>
    </w:p>
    <w:p>
      <w:pPr>
        <w:adjustRightInd w:val="0"/>
        <w:snapToGrid w:val="0"/>
        <w:spacing w:line="360" w:lineRule="auto"/>
        <w:rPr>
          <w:rFonts w:hint="eastAsia" w:ascii="宋体" w:hAnsi="宋体" w:eastAsia="宋体" w:cs="宋体"/>
          <w:sz w:val="24"/>
          <w:szCs w:val="24"/>
        </w:rPr>
      </w:pPr>
    </w:p>
    <w:p>
      <w:pPr>
        <w:rPr>
          <w:rFonts w:hint="eastAsia"/>
        </w:rPr>
      </w:pPr>
    </w:p>
    <w:p>
      <w:pPr>
        <w:pStyle w:val="21"/>
        <w:rPr>
          <w:rFonts w:hint="eastAsia"/>
        </w:rPr>
      </w:pPr>
    </w:p>
    <w:p>
      <w:pPr>
        <w:rPr>
          <w:rFonts w:hint="eastAsia"/>
        </w:rPr>
      </w:pPr>
    </w:p>
    <w:p>
      <w:pPr>
        <w:pStyle w:val="21"/>
        <w:rPr>
          <w:rFonts w:hint="eastAsia"/>
        </w:rPr>
      </w:pPr>
    </w:p>
    <w:p>
      <w:pPr>
        <w:tabs>
          <w:tab w:val="left" w:pos="1166"/>
        </w:tabs>
        <w:spacing w:before="39"/>
        <w:ind w:left="283"/>
        <w:jc w:val="center"/>
        <w:outlineLvl w:val="0"/>
        <w:rPr>
          <w:rFonts w:hint="eastAsia" w:ascii="宋体" w:hAnsi="宋体" w:eastAsia="宋体" w:cs="宋体"/>
          <w:b/>
          <w:sz w:val="44"/>
        </w:rPr>
      </w:pPr>
      <w:bookmarkStart w:id="94" w:name="_Toc15068_WPSOffice_Level1"/>
      <w:bookmarkStart w:id="95" w:name="_Toc22335_WPSOffice_Level1"/>
      <w:bookmarkStart w:id="96" w:name="_Toc18477"/>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bookmarkEnd w:id="94"/>
      <w:bookmarkEnd w:id="95"/>
      <w:bookmarkEnd w:id="96"/>
    </w:p>
    <w:p>
      <w:pPr>
        <w:pStyle w:val="9"/>
        <w:rPr>
          <w:rFonts w:hint="eastAsia" w:ascii="宋体" w:hAnsi="宋体" w:eastAsia="宋体" w:cs="宋体"/>
          <w:b/>
          <w:sz w:val="20"/>
        </w:rPr>
      </w:pPr>
    </w:p>
    <w:p>
      <w:pPr>
        <w:pStyle w:val="9"/>
        <w:rPr>
          <w:rFonts w:hint="eastAsia" w:ascii="宋体" w:hAnsi="宋体" w:eastAsia="宋体" w:cs="宋体"/>
          <w:b/>
          <w:sz w:val="20"/>
        </w:rPr>
      </w:pP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bookmarkStart w:id="97" w:name="_Toc17272_WPSOffice_Level1"/>
      <w:bookmarkStart w:id="98" w:name="_Toc32046_WPSOffice_Level1"/>
      <w:r>
        <w:rPr>
          <w:rFonts w:hint="eastAsia" w:asciiTheme="minorEastAsia" w:hAnsiTheme="minorEastAsia" w:eastAsiaTheme="minorEastAsia" w:cstheme="minorEastAsia"/>
          <w:sz w:val="36"/>
          <w:szCs w:val="28"/>
        </w:rPr>
        <w:t>第一部分  响应函</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sz w:val="36"/>
          <w:szCs w:val="28"/>
        </w:rPr>
        <w:t>第二部分  第一次磋商报价表</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sz w:val="36"/>
          <w:szCs w:val="28"/>
        </w:rPr>
        <w:t>第三部分  资格证明文件</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sz w:val="36"/>
          <w:szCs w:val="28"/>
        </w:rPr>
        <w:t xml:space="preserve">第四部分  </w:t>
      </w:r>
      <w:r>
        <w:rPr>
          <w:rFonts w:hint="eastAsia" w:asciiTheme="minorEastAsia" w:hAnsiTheme="minorEastAsia" w:eastAsiaTheme="minorEastAsia" w:cstheme="minorEastAsia"/>
          <w:sz w:val="36"/>
          <w:szCs w:val="28"/>
          <w:lang w:eastAsia="zh-CN"/>
        </w:rPr>
        <w:t>供应</w:t>
      </w:r>
      <w:r>
        <w:rPr>
          <w:rFonts w:hint="eastAsia" w:asciiTheme="minorEastAsia" w:hAnsiTheme="minorEastAsia" w:eastAsiaTheme="minorEastAsia" w:cstheme="minorEastAsia"/>
          <w:sz w:val="36"/>
          <w:szCs w:val="28"/>
        </w:rPr>
        <w:t>商概况</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sz w:val="36"/>
          <w:szCs w:val="28"/>
        </w:rPr>
        <w:t xml:space="preserve">第五部分  </w:t>
      </w:r>
      <w:r>
        <w:rPr>
          <w:rFonts w:hint="eastAsia" w:asciiTheme="minorEastAsia" w:hAnsiTheme="minorEastAsia" w:eastAsiaTheme="minorEastAsia" w:cstheme="minorEastAsia"/>
          <w:sz w:val="36"/>
          <w:szCs w:val="28"/>
          <w:lang w:eastAsia="zh-CN"/>
        </w:rPr>
        <w:t>供应</w:t>
      </w:r>
      <w:r>
        <w:rPr>
          <w:rFonts w:hint="eastAsia" w:asciiTheme="minorEastAsia" w:hAnsiTheme="minorEastAsia" w:eastAsiaTheme="minorEastAsia" w:cstheme="minorEastAsia"/>
          <w:sz w:val="36"/>
          <w:szCs w:val="28"/>
        </w:rPr>
        <w:t>商参加政府采购活动承诺书</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sz w:val="36"/>
          <w:szCs w:val="28"/>
        </w:rPr>
        <w:t>第六部分  响应方案</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widowControl/>
        <w:tabs>
          <w:tab w:val="right" w:leader="hyphen" w:pos="8504"/>
        </w:tabs>
        <w:ind w:left="2220" w:leftChars="200" w:right="630" w:rightChars="300" w:hanging="1800" w:hangingChars="500"/>
        <w:rPr>
          <w:rFonts w:hint="eastAsia" w:asciiTheme="minorEastAsia" w:hAnsiTheme="minorEastAsia" w:eastAsiaTheme="minorEastAsia" w:cstheme="minorEastAsia"/>
          <w:sz w:val="36"/>
          <w:szCs w:val="28"/>
        </w:rPr>
      </w:pPr>
      <w:r>
        <w:rPr>
          <w:rFonts w:hint="eastAsia" w:asciiTheme="minorEastAsia" w:hAnsiTheme="minorEastAsia" w:eastAsiaTheme="minorEastAsia" w:cstheme="minorEastAsia"/>
          <w:sz w:val="36"/>
          <w:szCs w:val="28"/>
        </w:rPr>
        <w:t>第</w:t>
      </w:r>
      <w:r>
        <w:rPr>
          <w:rFonts w:hint="eastAsia" w:asciiTheme="minorEastAsia" w:hAnsiTheme="minorEastAsia" w:eastAsiaTheme="minorEastAsia" w:cstheme="minorEastAsia"/>
          <w:sz w:val="36"/>
          <w:szCs w:val="28"/>
          <w:lang w:eastAsia="zh-CN"/>
        </w:rPr>
        <w:t>七</w:t>
      </w:r>
      <w:r>
        <w:rPr>
          <w:rFonts w:hint="eastAsia" w:asciiTheme="minorEastAsia" w:hAnsiTheme="minorEastAsia" w:eastAsiaTheme="minorEastAsia" w:cstheme="minorEastAsia"/>
          <w:sz w:val="36"/>
          <w:szCs w:val="28"/>
        </w:rPr>
        <w:t>部分  投标保证金退还信息表</w:t>
      </w:r>
      <w:r>
        <w:rPr>
          <w:rFonts w:hint="eastAsia" w:asciiTheme="minorEastAsia" w:hAnsiTheme="minorEastAsia" w:eastAsiaTheme="minorEastAsia" w:cstheme="minorEastAsia"/>
          <w:sz w:val="36"/>
          <w:szCs w:val="28"/>
        </w:rPr>
        <w:tab/>
      </w:r>
      <w:r>
        <w:rPr>
          <w:rFonts w:hint="eastAsia" w:asciiTheme="minorEastAsia" w:hAnsiTheme="minorEastAsia" w:eastAsiaTheme="minorEastAsia" w:cstheme="minorEastAsia"/>
          <w:sz w:val="36"/>
          <w:szCs w:val="28"/>
        </w:rPr>
        <w:t>X</w:t>
      </w:r>
    </w:p>
    <w:p>
      <w:pPr>
        <w:rPr>
          <w:rFonts w:hint="eastAsia" w:ascii="宋体" w:hAnsi="宋体" w:eastAsia="宋体" w:cs="宋体"/>
        </w:rPr>
      </w:pPr>
      <w:r>
        <w:rPr>
          <w:rFonts w:ascii="Calibri Light" w:hAnsi="Calibri Light" w:eastAsia="华文仿宋" w:cs="Calibri Light"/>
          <w:color w:val="1F4E79"/>
          <w:sz w:val="32"/>
          <w:szCs w:val="36"/>
        </w:rPr>
        <w:br w:type="page"/>
      </w:r>
      <w:bookmarkStart w:id="99" w:name="_Toc22721388"/>
      <w:bookmarkStart w:id="100" w:name="_Toc18845_WPSOffice_Level1"/>
      <w:bookmarkStart w:id="101" w:name="_Toc22721148"/>
      <w:bookmarkStart w:id="102" w:name="_Toc13548_WPSOffice_Level1"/>
      <w:bookmarkStart w:id="103" w:name="_Toc20888"/>
      <w:r>
        <w:rPr>
          <w:rFonts w:hint="eastAsia" w:ascii="Calibri Light" w:hAnsi="Calibri Light" w:eastAsia="华文仿宋" w:cs="Calibri Light"/>
          <w:color w:val="1F4E79"/>
          <w:sz w:val="32"/>
          <w:szCs w:val="36"/>
          <w:lang w:val="en-US" w:eastAsia="zh-CN"/>
        </w:rPr>
        <w:t xml:space="preserve">              </w:t>
      </w:r>
      <w:r>
        <w:rPr>
          <w:rFonts w:hint="eastAsia" w:ascii="Calibri Light" w:hAnsi="Calibri Light" w:eastAsia="华文仿宋" w:cs="Calibri Light"/>
          <w:b/>
          <w:bCs/>
          <w:color w:val="1F4E79"/>
          <w:sz w:val="36"/>
          <w:szCs w:val="36"/>
          <w:lang w:val="en-US" w:eastAsia="zh-CN"/>
        </w:rPr>
        <w:t xml:space="preserve">       </w:t>
      </w:r>
      <w:r>
        <w:rPr>
          <w:rFonts w:hint="eastAsia" w:ascii="宋体" w:hAnsi="宋体" w:eastAsia="宋体" w:cs="宋体"/>
          <w:b/>
          <w:bCs/>
          <w:sz w:val="36"/>
          <w:szCs w:val="36"/>
        </w:rPr>
        <w:t>第一部分</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响应函</w:t>
      </w:r>
      <w:bookmarkEnd w:id="97"/>
      <w:bookmarkEnd w:id="98"/>
      <w:bookmarkEnd w:id="99"/>
      <w:bookmarkEnd w:id="100"/>
      <w:bookmarkEnd w:id="101"/>
      <w:bookmarkEnd w:id="102"/>
      <w:bookmarkEnd w:id="103"/>
    </w:p>
    <w:p>
      <w:pPr>
        <w:pStyle w:val="9"/>
        <w:spacing w:before="9"/>
        <w:rPr>
          <w:rFonts w:hint="eastAsia" w:ascii="宋体" w:hAnsi="宋体" w:eastAsia="宋体" w:cs="宋体"/>
          <w:b/>
          <w:sz w:val="9"/>
        </w:rPr>
      </w:pPr>
    </w:p>
    <w:p>
      <w:pPr>
        <w:spacing w:line="360" w:lineRule="auto"/>
        <w:rPr>
          <w:rFonts w:hint="eastAsia" w:ascii="宋体" w:hAnsi="宋体" w:eastAsia="宋体" w:cs="宋体"/>
          <w:spacing w:val="4"/>
          <w:sz w:val="24"/>
          <w:szCs w:val="24"/>
        </w:rPr>
      </w:pPr>
      <w:bookmarkStart w:id="104" w:name="_Toc32659"/>
      <w:bookmarkStart w:id="105" w:name="_Toc22721389"/>
      <w:bookmarkStart w:id="106" w:name="_Toc22721149"/>
      <w:bookmarkStart w:id="107" w:name="_Toc4550_WPSOffice_Level1"/>
      <w:bookmarkStart w:id="108" w:name="_Toc11960_WPSOffice_Level1"/>
      <w:bookmarkStart w:id="109" w:name="_Toc6943_WPSOffice_Level1"/>
      <w:bookmarkStart w:id="110" w:name="_Toc3487_WPSOffice_Level1"/>
      <w:bookmarkStart w:id="111" w:name="_Toc14589_WPSOffice_Level1"/>
      <w:bookmarkStart w:id="112" w:name="_Toc12231_WPSOffice_Level1"/>
      <w:r>
        <w:rPr>
          <w:rFonts w:hint="eastAsia" w:ascii="宋体" w:hAnsi="宋体" w:eastAsia="宋体" w:cs="宋体"/>
          <w:spacing w:val="4"/>
          <w:sz w:val="24"/>
          <w:szCs w:val="24"/>
        </w:rPr>
        <w:t>致：</w:t>
      </w:r>
      <w:r>
        <w:rPr>
          <w:rFonts w:hint="eastAsia" w:ascii="宋体" w:hAnsi="宋体" w:cs="宋体"/>
          <w:spacing w:val="4"/>
          <w:sz w:val="24"/>
          <w:szCs w:val="24"/>
          <w:lang w:eastAsia="zh-CN"/>
        </w:rPr>
        <w:t>伍诚工程咨询股份有限公司</w:t>
      </w:r>
      <w:r>
        <w:rPr>
          <w:rFonts w:hint="eastAsia" w:ascii="宋体" w:hAnsi="宋体" w:eastAsia="宋体" w:cs="宋体"/>
          <w:spacing w:val="4"/>
          <w:sz w:val="24"/>
          <w:szCs w:val="24"/>
        </w:rPr>
        <w:t xml:space="preserve"> </w:t>
      </w:r>
    </w:p>
    <w:p>
      <w:pPr>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 xml:space="preserve">根据贵方“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”项目的磋商</w:t>
      </w:r>
      <w:r>
        <w:rPr>
          <w:rFonts w:hint="eastAsia" w:ascii="宋体" w:hAnsi="宋体" w:cs="宋体"/>
          <w:spacing w:val="4"/>
          <w:sz w:val="24"/>
          <w:szCs w:val="24"/>
          <w:lang w:eastAsia="zh-CN"/>
        </w:rPr>
        <w:t>文件</w:t>
      </w:r>
      <w:r>
        <w:rPr>
          <w:rFonts w:hint="eastAsia" w:ascii="宋体" w:hAnsi="宋体" w:eastAsia="宋体" w:cs="宋体"/>
          <w:spacing w:val="4"/>
          <w:sz w:val="24"/>
          <w:szCs w:val="24"/>
          <w:u w:val="single"/>
        </w:rPr>
        <w:t>(编号：           )</w:t>
      </w:r>
      <w:r>
        <w:rPr>
          <w:rFonts w:hint="eastAsia" w:ascii="宋体" w:hAnsi="宋体" w:eastAsia="宋体" w:cs="宋体"/>
          <w:spacing w:val="4"/>
          <w:sz w:val="24"/>
          <w:szCs w:val="24"/>
        </w:rPr>
        <w:t>，签字代表</w:t>
      </w:r>
      <w:r>
        <w:rPr>
          <w:rFonts w:hint="eastAsia" w:ascii="宋体" w:hAnsi="宋体" w:eastAsia="宋体" w:cs="宋体"/>
          <w:spacing w:val="4"/>
          <w:sz w:val="24"/>
          <w:szCs w:val="24"/>
          <w:u w:val="single"/>
        </w:rPr>
        <w:t>（全名、职务）</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(供应商名称、地址)</w:t>
      </w:r>
      <w:r>
        <w:rPr>
          <w:rFonts w:hint="eastAsia" w:ascii="宋体" w:hAnsi="宋体" w:eastAsia="宋体" w:cs="宋体"/>
          <w:spacing w:val="4"/>
          <w:sz w:val="24"/>
          <w:szCs w:val="24"/>
        </w:rPr>
        <w:t xml:space="preserve"> 提交竞争性磋商响应文件。并提交磋商保证金，金额为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p>
    <w:p>
      <w:pPr>
        <w:spacing w:line="360" w:lineRule="auto"/>
        <w:ind w:left="549" w:leftChars="251" w:hanging="22" w:hangingChars="9"/>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 xml:space="preserve">1）磋商总价为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（人民币</w:t>
      </w:r>
      <w:r>
        <w:rPr>
          <w:rFonts w:hint="eastAsia" w:ascii="宋体" w:hAnsi="宋体" w:eastAsia="宋体" w:cs="宋体"/>
          <w:spacing w:val="4"/>
          <w:sz w:val="24"/>
          <w:szCs w:val="24"/>
          <w:u w:val="single"/>
          <w:lang w:val="en-US"/>
        </w:rPr>
        <w:t xml:space="preserve">         </w:t>
      </w:r>
      <w:r>
        <w:rPr>
          <w:rFonts w:hint="eastAsia" w:ascii="宋体" w:hAnsi="宋体" w:eastAsia="宋体" w:cs="宋体"/>
          <w:spacing w:val="4"/>
          <w:sz w:val="24"/>
          <w:szCs w:val="24"/>
        </w:rPr>
        <w:t>）（用文字和数字表示的磋商总价）。</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2）如果成交，我们根据竞争性磋商文件的规定，履行合同的责任和义务。</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4）我们同意在磋商有效期内（</w:t>
      </w:r>
      <w:r>
        <w:rPr>
          <w:rFonts w:hint="eastAsia" w:ascii="宋体" w:hAnsi="宋体" w:eastAsia="宋体" w:cs="宋体"/>
          <w:spacing w:val="4"/>
          <w:sz w:val="24"/>
          <w:szCs w:val="24"/>
          <w:u w:val="single"/>
        </w:rPr>
        <w:t>自磋商之日起  天内</w:t>
      </w:r>
      <w:r>
        <w:rPr>
          <w:rFonts w:hint="eastAsia" w:ascii="宋体" w:hAnsi="宋体" w:eastAsia="宋体" w:cs="宋体"/>
          <w:spacing w:val="4"/>
          <w:sz w:val="24"/>
          <w:szCs w:val="24"/>
        </w:rPr>
        <w:t>），本磋商响应函对我方具有约束力。</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5）如果在磋商后规定的磋商有效期内撤回磋商，我们的磋商保证金可被贵方没收。</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 xml:space="preserve">6）同意无条件提供贵方可能另外要求的与本磋商有关的任何证据和资料。 </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7）我们同意，如果成交，向</w:t>
      </w:r>
      <w:r>
        <w:rPr>
          <w:rFonts w:hint="eastAsia" w:ascii="宋体" w:hAnsi="宋体" w:cs="宋体"/>
          <w:spacing w:val="4"/>
          <w:sz w:val="24"/>
          <w:szCs w:val="24"/>
          <w:lang w:eastAsia="zh-CN"/>
        </w:rPr>
        <w:t>伍诚工程咨询股份有限公司</w:t>
      </w:r>
      <w:r>
        <w:rPr>
          <w:rFonts w:hint="eastAsia" w:ascii="宋体" w:hAnsi="宋体" w:eastAsia="宋体" w:cs="宋体"/>
          <w:spacing w:val="4"/>
          <w:sz w:val="24"/>
          <w:szCs w:val="24"/>
        </w:rPr>
        <w:t>交纳成交代理服务费。</w:t>
      </w:r>
    </w:p>
    <w:p>
      <w:pPr>
        <w:tabs>
          <w:tab w:val="left" w:pos="2160"/>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8）与本磋商有关的一切正式往来通讯为：</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联系地址：</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邮政编码：</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电    话：</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传    真：</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供应商名称（盖章）：</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供应商法定代表人签字：</w:t>
      </w:r>
    </w:p>
    <w:p>
      <w:pPr>
        <w:spacing w:line="360" w:lineRule="auto"/>
        <w:ind w:firstLine="1240" w:firstLineChars="500"/>
        <w:rPr>
          <w:rFonts w:hint="eastAsia" w:ascii="宋体" w:hAnsi="宋体" w:eastAsia="宋体" w:cs="宋体"/>
          <w:spacing w:val="4"/>
          <w:sz w:val="24"/>
          <w:szCs w:val="24"/>
        </w:rPr>
      </w:pPr>
      <w:r>
        <w:rPr>
          <w:rFonts w:hint="eastAsia" w:ascii="宋体" w:hAnsi="宋体" w:eastAsia="宋体" w:cs="宋体"/>
          <w:spacing w:val="4"/>
          <w:sz w:val="24"/>
          <w:szCs w:val="24"/>
        </w:rPr>
        <w:t>日    期：</w:t>
      </w:r>
    </w:p>
    <w:p>
      <w:pPr>
        <w:spacing w:line="405" w:lineRule="auto"/>
        <w:rPr>
          <w:rFonts w:hint="eastAsia" w:ascii="宋体" w:hAnsi="宋体" w:eastAsia="宋体" w:cs="宋体"/>
        </w:rPr>
        <w:sectPr>
          <w:footerReference r:id="rId8" w:type="default"/>
          <w:pgSz w:w="11910" w:h="16840"/>
          <w:pgMar w:top="1417" w:right="1417" w:bottom="1417" w:left="1417" w:header="964" w:footer="850" w:gutter="0"/>
          <w:pgNumType w:fmt="decimal"/>
          <w:cols w:space="0" w:num="1"/>
          <w:titlePg/>
          <w:rtlGutter w:val="0"/>
          <w:docGrid w:type="lines" w:linePitch="312" w:charSpace="0"/>
        </w:sectPr>
      </w:pPr>
    </w:p>
    <w:p>
      <w:pPr>
        <w:pStyle w:val="4"/>
        <w:numPr>
          <w:ilvl w:val="0"/>
          <w:numId w:val="2"/>
        </w:numPr>
        <w:spacing w:before="106"/>
        <w:ind w:left="0" w:leftChars="0" w:firstLine="0" w:firstLineChars="0"/>
        <w:jc w:val="center"/>
        <w:outlineLvl w:val="0"/>
        <w:rPr>
          <w:rFonts w:hint="eastAsia" w:ascii="宋体" w:hAnsi="宋体" w:eastAsia="宋体" w:cs="宋体"/>
          <w:b/>
          <w:bCs w:val="0"/>
          <w:sz w:val="36"/>
          <w:szCs w:val="36"/>
        </w:rPr>
      </w:pPr>
      <w:r>
        <w:rPr>
          <w:rFonts w:ascii="Calibri Light" w:hAnsi="Calibri Light" w:eastAsia="华文仿宋" w:cs="Calibri Light"/>
          <w:b/>
          <w:bCs w:val="0"/>
          <w:sz w:val="36"/>
          <w:szCs w:val="36"/>
        </w:rPr>
        <w:t xml:space="preserve"> </w:t>
      </w:r>
      <w:r>
        <w:rPr>
          <w:rFonts w:hint="eastAsia" w:ascii="宋体" w:hAnsi="宋体" w:eastAsia="宋体" w:cs="宋体"/>
          <w:b/>
          <w:bCs w:val="0"/>
          <w:sz w:val="36"/>
          <w:szCs w:val="36"/>
        </w:rPr>
        <w:t>第一次磋商报价表</w:t>
      </w:r>
      <w:bookmarkEnd w:id="104"/>
      <w:bookmarkEnd w:id="105"/>
      <w:bookmarkEnd w:id="106"/>
      <w:bookmarkEnd w:id="107"/>
      <w:bookmarkEnd w:id="108"/>
      <w:bookmarkEnd w:id="109"/>
      <w:bookmarkEnd w:id="110"/>
    </w:p>
    <w:p>
      <w:pPr>
        <w:numPr>
          <w:ilvl w:val="0"/>
          <w:numId w:val="0"/>
        </w:numPr>
        <w:ind w:leftChars="0"/>
        <w:rPr>
          <w:rFonts w:hint="eastAsia"/>
        </w:rPr>
      </w:pPr>
    </w:p>
    <w:tbl>
      <w:tblPr>
        <w:tblStyle w:val="23"/>
        <w:tblW w:w="95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3"/>
        <w:gridCol w:w="7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4" w:hRule="atLeast"/>
          <w:jc w:val="center"/>
        </w:trPr>
        <w:tc>
          <w:tcPr>
            <w:tcW w:w="1733"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采购项目名称</w:t>
            </w:r>
          </w:p>
        </w:tc>
        <w:tc>
          <w:tcPr>
            <w:tcW w:w="7800" w:type="dxa"/>
            <w:noWrap w:val="0"/>
            <w:vAlign w:val="center"/>
          </w:tcPr>
          <w:p>
            <w:pPr>
              <w:pStyle w:val="19"/>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榆佳经开区化工园区认定资料汇编采购项目（二次）</w:t>
            </w:r>
            <w:r>
              <w:rPr>
                <w:rFonts w:hint="eastAsia" w:ascii="宋体" w:hAnsi="宋体" w:eastAsia="宋体" w:cs="宋体"/>
                <w:b/>
                <w:bCs/>
                <w:sz w:val="24"/>
                <w:szCs w:val="24"/>
                <w:lang w:eastAsia="zh-CN"/>
              </w:rPr>
              <w:t>包</w:t>
            </w:r>
            <w:r>
              <w:rPr>
                <w:rFonts w:hint="eastAsia" w:ascii="宋体" w:hAnsi="宋体" w:eastAsia="宋体" w:cs="宋体"/>
                <w:b/>
                <w:bCs/>
                <w:sz w:val="24"/>
                <w:szCs w:val="24"/>
                <w:lang w:val="en-US" w:eastAsia="zh-CN"/>
              </w:rPr>
              <w:t xml:space="preserve"> </w:t>
            </w:r>
            <w:r>
              <w:rPr>
                <w:rStyle w:val="29"/>
                <w:rFonts w:hint="eastAsia" w:ascii="宋体" w:hAnsi="宋体" w:cs="宋体"/>
                <w:b/>
                <w:bCs/>
                <w:color w:val="auto"/>
                <w:sz w:val="48"/>
                <w:szCs w:val="20"/>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6" w:hRule="atLeast"/>
          <w:jc w:val="center"/>
        </w:trPr>
        <w:tc>
          <w:tcPr>
            <w:tcW w:w="1733"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采购项目编号</w:t>
            </w:r>
          </w:p>
        </w:tc>
        <w:tc>
          <w:tcPr>
            <w:tcW w:w="7800" w:type="dxa"/>
            <w:noWrap w:val="0"/>
            <w:vAlign w:val="center"/>
          </w:tcPr>
          <w:p>
            <w:pPr>
              <w:widowControl/>
              <w:spacing w:line="360" w:lineRule="auto"/>
              <w:jc w:val="left"/>
              <w:rPr>
                <w:rFonts w:hint="eastAsia" w:ascii="宋体" w:hAnsi="宋体" w:cs="宋体"/>
                <w:b/>
                <w:bCs/>
                <w:kern w:val="0"/>
                <w:sz w:val="24"/>
                <w:szCs w:val="24"/>
              </w:rPr>
            </w:pPr>
          </w:p>
          <w:p>
            <w:pPr>
              <w:widowControl/>
              <w:spacing w:line="360" w:lineRule="auto"/>
              <w:jc w:val="center"/>
              <w:rPr>
                <w:rFonts w:hint="eastAsia" w:ascii="宋体" w:hAnsi="宋体" w:cs="宋体"/>
                <w:b/>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4" w:hRule="atLeast"/>
          <w:jc w:val="center"/>
        </w:trPr>
        <w:tc>
          <w:tcPr>
            <w:tcW w:w="1733"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投标人</w:t>
            </w:r>
          </w:p>
          <w:p>
            <w:pPr>
              <w:spacing w:line="360" w:lineRule="auto"/>
              <w:jc w:val="center"/>
              <w:rPr>
                <w:rFonts w:hint="eastAsia" w:ascii="宋体" w:hAnsi="宋体" w:cs="宋体"/>
                <w:b/>
                <w:bCs/>
                <w:sz w:val="24"/>
                <w:szCs w:val="24"/>
              </w:rPr>
            </w:pPr>
            <w:r>
              <w:rPr>
                <w:rFonts w:hint="eastAsia" w:ascii="宋体" w:hAnsi="宋体" w:cs="宋体"/>
                <w:b/>
                <w:bCs/>
                <w:sz w:val="24"/>
                <w:szCs w:val="24"/>
              </w:rPr>
              <w:t>（公司名称）</w:t>
            </w:r>
          </w:p>
        </w:tc>
        <w:tc>
          <w:tcPr>
            <w:tcW w:w="7800" w:type="dxa"/>
            <w:noWrap w:val="0"/>
            <w:vAlign w:val="center"/>
          </w:tcPr>
          <w:p>
            <w:pPr>
              <w:spacing w:line="360" w:lineRule="auto"/>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88" w:hRule="atLeast"/>
          <w:jc w:val="center"/>
        </w:trPr>
        <w:tc>
          <w:tcPr>
            <w:tcW w:w="1733"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投标报价</w:t>
            </w:r>
          </w:p>
          <w:p>
            <w:pPr>
              <w:spacing w:line="360" w:lineRule="auto"/>
              <w:jc w:val="center"/>
              <w:rPr>
                <w:rFonts w:hint="eastAsia" w:ascii="宋体" w:hAnsi="宋体" w:cs="宋体"/>
                <w:b/>
                <w:bCs/>
                <w:sz w:val="24"/>
                <w:szCs w:val="24"/>
              </w:rPr>
            </w:pPr>
            <w:r>
              <w:rPr>
                <w:rFonts w:hint="eastAsia" w:ascii="宋体" w:hAnsi="宋体" w:cs="宋体"/>
                <w:b/>
                <w:bCs/>
                <w:sz w:val="24"/>
                <w:szCs w:val="24"/>
              </w:rPr>
              <w:t>（人民币）</w:t>
            </w:r>
          </w:p>
        </w:tc>
        <w:tc>
          <w:tcPr>
            <w:tcW w:w="780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小写金额：</w:t>
            </w:r>
            <w:r>
              <w:rPr>
                <w:rFonts w:hint="eastAsia" w:ascii="宋体" w:hAnsi="宋体" w:cs="宋体"/>
                <w:sz w:val="24"/>
                <w:szCs w:val="24"/>
                <w:u w:val="single"/>
              </w:rPr>
              <w:t xml:space="preserve">                        </w:t>
            </w:r>
            <w:r>
              <w:rPr>
                <w:rFonts w:hint="eastAsia" w:ascii="宋体" w:hAnsi="宋体" w:cs="宋体"/>
                <w:sz w:val="24"/>
                <w:szCs w:val="24"/>
              </w:rPr>
              <w:t xml:space="preserve">元 </w:t>
            </w:r>
          </w:p>
          <w:p>
            <w:pPr>
              <w:spacing w:line="360" w:lineRule="auto"/>
              <w:rPr>
                <w:rFonts w:hint="eastAsia" w:ascii="宋体" w:hAnsi="宋体" w:cs="宋体"/>
                <w:sz w:val="24"/>
                <w:szCs w:val="24"/>
              </w:rPr>
            </w:pPr>
            <w:r>
              <w:rPr>
                <w:rFonts w:hint="eastAsia" w:ascii="宋体" w:hAnsi="宋体" w:cs="宋体"/>
                <w:sz w:val="24"/>
                <w:szCs w:val="24"/>
              </w:rPr>
              <w:t>大写金额：</w:t>
            </w:r>
            <w:r>
              <w:rPr>
                <w:rFonts w:hint="eastAsia" w:ascii="宋体" w:hAnsi="宋体" w:cs="宋体"/>
                <w:sz w:val="24"/>
                <w:szCs w:val="24"/>
                <w:u w:val="single"/>
              </w:rPr>
              <w:t xml:space="preserve">                        </w:t>
            </w:r>
            <w:r>
              <w:rPr>
                <w:rFonts w:hint="eastAsia" w:ascii="宋体" w:hAnsi="宋体" w:cs="宋体"/>
                <w:sz w:val="24"/>
                <w:szCs w:val="24"/>
              </w:rPr>
              <w:t xml:space="preserve">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6" w:hRule="atLeast"/>
          <w:jc w:val="center"/>
        </w:trPr>
        <w:tc>
          <w:tcPr>
            <w:tcW w:w="1733"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服务期</w:t>
            </w:r>
          </w:p>
        </w:tc>
        <w:tc>
          <w:tcPr>
            <w:tcW w:w="7800" w:type="dxa"/>
            <w:noWrap w:val="0"/>
            <w:vAlign w:val="center"/>
          </w:tcPr>
          <w:p>
            <w:pPr>
              <w:spacing w:line="360" w:lineRule="auto"/>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8" w:hRule="atLeast"/>
          <w:jc w:val="center"/>
        </w:trPr>
        <w:tc>
          <w:tcPr>
            <w:tcW w:w="1733" w:type="dxa"/>
            <w:noWrap w:val="0"/>
            <w:vAlign w:val="center"/>
          </w:tcPr>
          <w:p>
            <w:pPr>
              <w:spacing w:line="360" w:lineRule="auto"/>
              <w:jc w:val="center"/>
              <w:rPr>
                <w:rFonts w:hint="eastAsia" w:ascii="宋体" w:hAnsi="宋体" w:cs="宋体"/>
                <w:b/>
                <w:bCs/>
                <w:sz w:val="24"/>
              </w:rPr>
            </w:pPr>
            <w:r>
              <w:rPr>
                <w:rFonts w:hint="eastAsia" w:ascii="宋体" w:hAnsi="宋体" w:cs="宋体"/>
                <w:b/>
                <w:bCs/>
                <w:sz w:val="24"/>
              </w:rPr>
              <w:t>投标声明</w:t>
            </w:r>
          </w:p>
        </w:tc>
        <w:tc>
          <w:tcPr>
            <w:tcW w:w="7800" w:type="dxa"/>
            <w:noWrap w:val="0"/>
            <w:vAlign w:val="center"/>
          </w:tcPr>
          <w:p>
            <w:pPr>
              <w:spacing w:line="360" w:lineRule="auto"/>
              <w:rPr>
                <w:rFonts w:hint="eastAsia" w:ascii="宋体" w:hAnsi="宋体" w:cs="宋体"/>
                <w:sz w:val="24"/>
                <w:szCs w:val="24"/>
              </w:rPr>
            </w:pPr>
          </w:p>
        </w:tc>
      </w:tr>
    </w:tbl>
    <w:p>
      <w:pPr>
        <w:rPr>
          <w:rFonts w:hint="eastAsia"/>
          <w:sz w:val="24"/>
          <w:szCs w:val="24"/>
        </w:rPr>
      </w:pPr>
    </w:p>
    <w:p>
      <w:pPr>
        <w:pStyle w:val="21"/>
        <w:rPr>
          <w:rFonts w:hint="eastAsia"/>
          <w:sz w:val="24"/>
          <w:szCs w:val="24"/>
        </w:rPr>
      </w:pPr>
    </w:p>
    <w:p>
      <w:pPr>
        <w:rPr>
          <w:rFonts w:hint="eastAsia"/>
        </w:rPr>
      </w:pPr>
    </w:p>
    <w:p>
      <w:pPr>
        <w:rPr>
          <w:rFonts w:hint="eastAsia"/>
          <w:sz w:val="24"/>
          <w:szCs w:val="24"/>
        </w:rPr>
      </w:pPr>
      <w:r>
        <w:rPr>
          <w:rFonts w:hint="eastAsia"/>
          <w:sz w:val="24"/>
          <w:szCs w:val="24"/>
        </w:rPr>
        <w:t xml:space="preserve">供应商名称： </w:t>
      </w:r>
      <w:r>
        <w:rPr>
          <w:rFonts w:hint="eastAsia"/>
          <w:sz w:val="24"/>
          <w:szCs w:val="24"/>
        </w:rPr>
        <w:tab/>
      </w:r>
      <w:r>
        <w:rPr>
          <w:rFonts w:hint="eastAsia"/>
          <w:sz w:val="24"/>
          <w:szCs w:val="24"/>
        </w:rPr>
        <w:t>（加盖单位公章）</w:t>
      </w:r>
    </w:p>
    <w:p>
      <w:pPr>
        <w:rPr>
          <w:rFonts w:hint="eastAsia"/>
          <w:sz w:val="24"/>
          <w:szCs w:val="24"/>
        </w:rPr>
      </w:pPr>
    </w:p>
    <w:p>
      <w:pPr>
        <w:rPr>
          <w:rFonts w:hint="eastAsia"/>
          <w:sz w:val="24"/>
          <w:szCs w:val="24"/>
          <w:lang w:val="en-US" w:eastAsia="zh-CN"/>
        </w:rPr>
      </w:pPr>
      <w:r>
        <w:rPr>
          <w:rFonts w:hint="eastAsia"/>
          <w:sz w:val="24"/>
          <w:szCs w:val="24"/>
          <w:lang w:val="en-US" w:eastAsia="zh-CN"/>
        </w:rPr>
        <w:t>法定代表人或被授权人签字：</w:t>
      </w:r>
    </w:p>
    <w:p>
      <w:pPr>
        <w:rPr>
          <w:rFonts w:hint="eastAsia"/>
          <w:sz w:val="24"/>
          <w:szCs w:val="24"/>
        </w:rPr>
      </w:pPr>
    </w:p>
    <w:p>
      <w:pPr>
        <w:rPr>
          <w:rFonts w:hint="eastAsia"/>
          <w:sz w:val="24"/>
          <w:szCs w:val="24"/>
        </w:rPr>
      </w:pPr>
      <w:r>
        <w:rPr>
          <w:rFonts w:hint="eastAsia"/>
          <w:sz w:val="24"/>
          <w:szCs w:val="24"/>
        </w:rPr>
        <w:t>日</w:t>
      </w:r>
      <w:r>
        <w:rPr>
          <w:rFonts w:hint="eastAsia"/>
          <w:sz w:val="24"/>
          <w:szCs w:val="24"/>
        </w:rPr>
        <w:tab/>
      </w:r>
      <w:r>
        <w:rPr>
          <w:rFonts w:hint="eastAsia"/>
          <w:sz w:val="24"/>
          <w:szCs w:val="24"/>
        </w:rPr>
        <w:t>期：</w:t>
      </w:r>
    </w:p>
    <w:p>
      <w:pPr>
        <w:rPr>
          <w:rFonts w:hint="eastAsia" w:ascii="宋体" w:hAnsi="宋体" w:eastAsia="宋体" w:cs="宋体"/>
        </w:rPr>
      </w:pPr>
      <w:r>
        <w:rPr>
          <w:rFonts w:hint="eastAsia" w:ascii="宋体" w:hAnsi="宋体" w:eastAsia="宋体" w:cs="宋体"/>
        </w:rPr>
        <w:br w:type="page"/>
      </w:r>
    </w:p>
    <w:p>
      <w:pPr>
        <w:jc w:val="center"/>
        <w:outlineLvl w:val="0"/>
        <w:rPr>
          <w:rFonts w:hint="eastAsia" w:ascii="宋体" w:hAnsi="宋体" w:cs="宋体"/>
          <w:b/>
          <w:sz w:val="28"/>
          <w:lang w:eastAsia="zh-CN"/>
        </w:rPr>
      </w:pPr>
      <w:bookmarkStart w:id="113" w:name="_Toc9648"/>
      <w:r>
        <w:rPr>
          <w:rFonts w:hint="eastAsia" w:ascii="宋体" w:hAnsi="宋体" w:cs="宋体"/>
          <w:b/>
          <w:sz w:val="28"/>
          <w:lang w:eastAsia="zh-CN"/>
        </w:rPr>
        <w:t>分项报价</w:t>
      </w:r>
      <w:r>
        <w:rPr>
          <w:rFonts w:hint="eastAsia" w:ascii="宋体" w:hAnsi="宋体" w:eastAsia="宋体" w:cs="宋体"/>
          <w:b/>
          <w:sz w:val="28"/>
        </w:rPr>
        <w:t>表</w:t>
      </w:r>
      <w:bookmarkEnd w:id="113"/>
    </w:p>
    <w:p>
      <w:pPr>
        <w:pStyle w:val="21"/>
        <w:rPr>
          <w:rFonts w:hint="eastAsia" w:ascii="宋体" w:hAnsi="宋体" w:cs="宋体"/>
          <w:b/>
          <w:sz w:val="28"/>
          <w:lang w:eastAsia="zh-CN"/>
        </w:rPr>
      </w:pPr>
    </w:p>
    <w:p>
      <w:pPr>
        <w:rPr>
          <w:rFonts w:hint="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4"/>
        <w:gridCol w:w="774"/>
        <w:gridCol w:w="774"/>
        <w:gridCol w:w="774"/>
        <w:gridCol w:w="774"/>
        <w:gridCol w:w="774"/>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val="en-US" w:eastAsia="zh-CN"/>
              </w:rPr>
            </w:pPr>
            <w:bookmarkStart w:id="114" w:name="_Toc31098_WPSOffice_Level1"/>
            <w:bookmarkStart w:id="115" w:name="_Toc14671_WPSOffice_Level1"/>
            <w:bookmarkStart w:id="116" w:name="_Toc22721150"/>
            <w:bookmarkStart w:id="117" w:name="_Toc22721390"/>
            <w:r>
              <w:rPr>
                <w:rFonts w:hint="eastAsia" w:ascii="宋体" w:hAnsi="宋体" w:eastAsia="宋体" w:cs="宋体"/>
                <w:sz w:val="24"/>
                <w:szCs w:val="24"/>
                <w:vertAlign w:val="baseline"/>
                <w:lang w:val="en-US" w:eastAsia="zh-CN"/>
              </w:rPr>
              <w:t>序号</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品目名称</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标的名称</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服务范围</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服务时间</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服务标准</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计量单位</w:t>
            </w: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单价</w:t>
            </w: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4"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c>
          <w:tcPr>
            <w:tcW w:w="775" w:type="dxa"/>
            <w:vAlign w:val="center"/>
          </w:tcPr>
          <w:p>
            <w:pPr>
              <w:pStyle w:val="4"/>
              <w:widowControl w:val="0"/>
              <w:spacing w:before="118"/>
              <w:jc w:val="center"/>
              <w:outlineLvl w:val="9"/>
              <w:rPr>
                <w:rFonts w:hint="eastAsia" w:ascii="宋体" w:hAnsi="宋体" w:eastAsia="宋体" w:cs="宋体"/>
                <w:sz w:val="24"/>
                <w:szCs w:val="24"/>
                <w:vertAlign w:val="baseline"/>
              </w:rPr>
            </w:pPr>
          </w:p>
        </w:tc>
      </w:tr>
    </w:tbl>
    <w:p>
      <w:pPr>
        <w:pStyle w:val="4"/>
        <w:spacing w:before="118"/>
        <w:ind w:left="661"/>
        <w:jc w:val="center"/>
        <w:outlineLvl w:val="9"/>
        <w:rPr>
          <w:rFonts w:hint="eastAsia" w:ascii="宋体" w:hAnsi="宋体" w:eastAsia="宋体" w:cs="宋体"/>
        </w:rPr>
      </w:pPr>
    </w:p>
    <w:p>
      <w:pPr>
        <w:pStyle w:val="4"/>
        <w:spacing w:before="118"/>
        <w:ind w:left="661"/>
        <w:jc w:val="center"/>
        <w:outlineLvl w:val="9"/>
        <w:rPr>
          <w:rFonts w:hint="eastAsia" w:ascii="宋体" w:hAnsi="宋体" w:eastAsia="宋体" w:cs="宋体"/>
        </w:rPr>
      </w:pPr>
    </w:p>
    <w:p>
      <w:pPr>
        <w:pStyle w:val="4"/>
        <w:spacing w:before="118"/>
        <w:ind w:left="661"/>
        <w:jc w:val="center"/>
        <w:outlineLvl w:val="9"/>
        <w:rPr>
          <w:rFonts w:hint="eastAsia" w:ascii="宋体" w:hAnsi="宋体" w:eastAsia="宋体" w:cs="宋体"/>
        </w:rPr>
      </w:pPr>
    </w:p>
    <w:p>
      <w:pPr>
        <w:pStyle w:val="4"/>
        <w:spacing w:before="118"/>
        <w:ind w:left="661"/>
        <w:jc w:val="center"/>
        <w:outlineLvl w:val="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pStyle w:val="19"/>
        <w:rPr>
          <w:rFonts w:hint="eastAsia" w:ascii="宋体" w:hAnsi="宋体" w:eastAsia="宋体" w:cs="宋体"/>
        </w:rPr>
      </w:pPr>
    </w:p>
    <w:p>
      <w:pPr>
        <w:rPr>
          <w:rFonts w:hint="eastAsia" w:ascii="宋体" w:hAnsi="宋体" w:eastAsia="宋体" w:cs="宋体"/>
        </w:rPr>
      </w:pPr>
    </w:p>
    <w:p>
      <w:pPr>
        <w:widowControl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供应商</w:t>
      </w:r>
      <w:r>
        <w:rPr>
          <w:rFonts w:hint="eastAsia" w:ascii="宋体" w:hAnsi="宋体" w:eastAsia="宋体" w:cs="宋体"/>
          <w:sz w:val="24"/>
          <w:szCs w:val="24"/>
        </w:rPr>
        <w:t>须按照</w:t>
      </w:r>
      <w:r>
        <w:rPr>
          <w:rFonts w:hint="eastAsia" w:ascii="宋体" w:hAnsi="宋体" w:eastAsia="宋体" w:cs="宋体"/>
          <w:sz w:val="24"/>
          <w:szCs w:val="24"/>
          <w:lang w:eastAsia="zh-CN"/>
        </w:rPr>
        <w:t>招标文件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w:t>
      </w:r>
      <w:r>
        <w:rPr>
          <w:rFonts w:hint="eastAsia" w:ascii="宋体" w:hAnsi="宋体" w:eastAsia="宋体" w:cs="宋体"/>
          <w:sz w:val="24"/>
          <w:szCs w:val="24"/>
          <w:lang w:eastAsia="zh-CN"/>
        </w:rPr>
        <w:t>内容</w:t>
      </w:r>
      <w:r>
        <w:rPr>
          <w:rFonts w:hint="eastAsia" w:ascii="宋体" w:hAnsi="宋体" w:eastAsia="宋体" w:cs="宋体"/>
          <w:sz w:val="24"/>
          <w:szCs w:val="24"/>
        </w:rPr>
        <w:t>进行报价。</w:t>
      </w:r>
    </w:p>
    <w:p>
      <w:pPr>
        <w:widowControl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pPr>
        <w:widowControl w:val="0"/>
        <w:adjustRightInd w:val="0"/>
        <w:snapToGrid w:val="0"/>
        <w:spacing w:line="360" w:lineRule="auto"/>
        <w:ind w:left="792" w:leftChars="225" w:hanging="319" w:hangingChars="133"/>
        <w:rPr>
          <w:rFonts w:hint="eastAsia" w:ascii="宋体" w:hAnsi="宋体" w:eastAsia="宋体" w:cs="宋体"/>
          <w:sz w:val="21"/>
          <w:szCs w:val="20"/>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供应商</w:t>
      </w:r>
      <w:r>
        <w:rPr>
          <w:rFonts w:hint="eastAsia" w:ascii="宋体" w:hAnsi="宋体" w:eastAsia="宋体" w:cs="宋体"/>
          <w:sz w:val="24"/>
          <w:szCs w:val="24"/>
        </w:rPr>
        <w:t>为此项目所支付的一切费用，在整个合同期内不做调整。</w:t>
      </w:r>
    </w:p>
    <w:p>
      <w:pPr>
        <w:widowControl w:val="0"/>
        <w:spacing w:line="360" w:lineRule="auto"/>
        <w:ind w:right="-161" w:firstLine="2640" w:firstLineChars="1100"/>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供应商名称</w:t>
      </w:r>
      <w:r>
        <w:rPr>
          <w:rFonts w:hint="eastAsia" w:ascii="宋体" w:hAnsi="宋体" w:eastAsia="宋体" w:cs="宋体"/>
          <w:sz w:val="24"/>
          <w:szCs w:val="24"/>
          <w:u w:val="none"/>
          <w:lang w:eastAsia="zh-CN"/>
        </w:rPr>
        <w:t>（公章）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widowControl w:val="0"/>
        <w:spacing w:line="360" w:lineRule="auto"/>
        <w:ind w:right="-161" w:firstLine="2640" w:firstLineChars="1100"/>
        <w:rPr>
          <w:rFonts w:hint="eastAsia" w:ascii="宋体" w:hAnsi="宋体" w:eastAsia="宋体" w:cs="宋体"/>
          <w:sz w:val="24"/>
          <w:szCs w:val="24"/>
        </w:rPr>
      </w:pPr>
      <w:r>
        <w:rPr>
          <w:rFonts w:hint="eastAsia" w:ascii="宋体" w:hAnsi="宋体" w:eastAsia="宋体" w:cs="宋体"/>
          <w:sz w:val="24"/>
          <w:szCs w:val="24"/>
          <w:lang w:eastAsia="zh-CN"/>
        </w:rPr>
        <w:t>法定代表人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pPr>
        <w:pStyle w:val="9"/>
        <w:ind w:firstLine="2640" w:firstLineChars="1100"/>
        <w:rPr>
          <w:rFonts w:hint="eastAsia" w:ascii="宋体" w:hAnsi="宋体" w:eastAsia="宋体" w:cs="宋体"/>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19"/>
        <w:rPr>
          <w:rFonts w:hint="eastAsia" w:ascii="宋体" w:hAnsi="宋体" w:eastAsia="宋体" w:cs="宋体"/>
        </w:rPr>
      </w:pPr>
    </w:p>
    <w:p>
      <w:pPr>
        <w:rPr>
          <w:rFonts w:hint="eastAsia" w:ascii="宋体" w:hAnsi="宋体" w:eastAsia="宋体" w:cs="宋体"/>
        </w:rPr>
      </w:pPr>
    </w:p>
    <w:p>
      <w:pPr>
        <w:pStyle w:val="9"/>
        <w:rPr>
          <w:rFonts w:hint="eastAsia" w:ascii="宋体" w:hAnsi="宋体" w:eastAsia="宋体" w:cs="宋体"/>
        </w:rPr>
      </w:pPr>
    </w:p>
    <w:p>
      <w:pPr>
        <w:pStyle w:val="4"/>
        <w:spacing w:before="118"/>
        <w:ind w:firstLine="2530" w:firstLineChars="700"/>
        <w:jc w:val="both"/>
        <w:outlineLvl w:val="0"/>
        <w:rPr>
          <w:rFonts w:hint="eastAsia" w:ascii="宋体" w:hAnsi="宋体" w:eastAsia="宋体" w:cs="宋体"/>
        </w:rPr>
      </w:pPr>
      <w:bookmarkStart w:id="118" w:name="_Toc17311"/>
      <w:r>
        <w:rPr>
          <w:rFonts w:ascii="Calibri Light" w:hAnsi="Calibri Light" w:eastAsia="华文仿宋" w:cs="Calibri Light"/>
          <w:sz w:val="36"/>
          <w:szCs w:val="28"/>
        </w:rPr>
        <w:t>第三部分  资格证明文件</w:t>
      </w:r>
    </w:p>
    <w:p>
      <w:pPr>
        <w:rPr>
          <w:rFonts w:hint="eastAsia"/>
          <w:lang w:val="en-US" w:eastAsia="zh-CN"/>
        </w:rPr>
      </w:pPr>
    </w:p>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合同包1:</w:t>
      </w:r>
    </w:p>
    <w:p>
      <w:pPr>
        <w:pStyle w:val="20"/>
        <w:keepNext w:val="0"/>
        <w:keepLines w:val="0"/>
        <w:pageBreakBefore w:val="0"/>
        <w:numPr>
          <w:ilvl w:val="0"/>
          <w:numId w:val="3"/>
        </w:numPr>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财务状况报告：提供2020年度的财务审计报告或财务报表（至少包括资产负债表、利润表、现金流量表等），成立时间至提交</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文件递交截止时间不足一年的，供应商须自行声明；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税收缴纳证明：提供202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年1月至今已缴纳的至少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个月的纳税证明（银行缴费凭证）或完税证明，依法免税的单位应提供相关证明材料；</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参加政府采购活动前三年内，在经营活动中没有重大违法记录的书面声明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不得列入信用中国（http://www.creditchina.gov.cn/）被失信执行人、企业经营异常名录、重大违法税收违法案件当事人名单，不得列入中国政府采购网(www.ccgp.gov.cn)政府采购严重违法失信行为记录名单（网页查询截图并加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榆林市政府采购服务类项目供应商信用承诺书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原件（格式见采购文件）；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本项目不接受联合体投标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单位负责人为同一人或者存在控股、管理关系的不同单位，不得参加同一标段投标或者未划分标段的同一招标项目投标。违反规定的，其投标均无效</w:t>
      </w:r>
      <w:r>
        <w:rPr>
          <w:rFonts w:hint="eastAsia" w:ascii="宋体" w:hAnsi="宋体" w:eastAsia="宋体" w:cs="宋体"/>
          <w:color w:val="000000" w:themeColor="text1"/>
          <w:sz w:val="24"/>
          <w:szCs w:val="24"/>
          <w:lang w:eastAsia="zh-CN"/>
          <w14:textFill>
            <w14:solidFill>
              <w14:schemeClr w14:val="tx1"/>
            </w14:solidFill>
          </w14:textFill>
        </w:rPr>
        <w:t>；</w:t>
      </w:r>
    </w:p>
    <w:p>
      <w:pPr>
        <w:pStyle w:val="20"/>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合同包2:</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财务状况报告：提供2020年度的财务审计报告或财务报表（至少包括资产负债表、利润表、现金流量表等），成立时间至提交</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文件递交截止时间不足一年的，供应商须自行声明；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税收缴纳证明：提供202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年1月至今已缴纳的至少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个月的纳税证明（银行缴费凭证）或完税证明，依法免税的单位应提供相关证明材料；</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参加政府采购活动前三年内，在经营活动中没有重大违法记录的书面声明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不得列入信用中国（http://www.creditchina.gov.cn/）被失信执行人、企业经营异常名录、重大违法税收违法案件当事人名单，不得列入中国政府采购网(www.ccgp.gov.cn)政府采购严重违法失信行为记录名单（网页查询截图并加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公章）；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榆林市政府采购服务类项目供应商信用承诺书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原件（格式见采购文件）；</w:t>
      </w:r>
    </w:p>
    <w:p>
      <w:pPr>
        <w:pStyle w:val="20"/>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本项目不接受联合体投标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单位负责人为同一人或者存在控股、管理关系的不同单位，不得参加同一标段投标或者未划分标段的同一招标项目投标。违反规定的，其投标均无效</w:t>
      </w:r>
      <w:r>
        <w:rPr>
          <w:rFonts w:hint="eastAsia" w:ascii="宋体" w:hAnsi="宋体" w:eastAsia="宋体" w:cs="宋体"/>
          <w:color w:val="auto"/>
          <w:sz w:val="24"/>
          <w:szCs w:val="24"/>
          <w:lang w:eastAsia="zh-CN"/>
        </w:rPr>
        <w:t>；</w:t>
      </w:r>
    </w:p>
    <w:p>
      <w:pPr>
        <w:pStyle w:val="20"/>
        <w:spacing w:before="0" w:beforeAutospacing="0" w:after="0" w:afterAutospacing="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有关</w:t>
      </w:r>
      <w:r>
        <w:rPr>
          <w:rFonts w:hint="eastAsia" w:ascii="宋体" w:hAnsi="宋体" w:eastAsia="宋体" w:cs="宋体"/>
          <w:b/>
          <w:bCs/>
          <w:color w:val="000000" w:themeColor="text1"/>
          <w:sz w:val="24"/>
          <w:szCs w:val="24"/>
          <w:lang w:eastAsia="zh-CN"/>
          <w14:textFill>
            <w14:solidFill>
              <w14:schemeClr w14:val="tx1"/>
            </w14:solidFill>
          </w14:textFill>
        </w:rPr>
        <w:t>资格要求</w:t>
      </w:r>
      <w:r>
        <w:rPr>
          <w:rFonts w:hint="eastAsia" w:ascii="宋体" w:hAnsi="宋体" w:eastAsia="宋体" w:cs="宋体"/>
          <w:b/>
          <w:bCs/>
          <w:color w:val="000000" w:themeColor="text1"/>
          <w:sz w:val="24"/>
          <w:szCs w:val="24"/>
          <w14:textFill>
            <w14:solidFill>
              <w14:schemeClr w14:val="tx1"/>
            </w14:solidFill>
          </w14:textFill>
        </w:rPr>
        <w:t>的特别说明：</w:t>
      </w:r>
    </w:p>
    <w:p>
      <w:pPr>
        <w:pStyle w:val="20"/>
        <w:spacing w:before="0" w:beforeAutospacing="0" w:after="0" w:afterAutospacing="0" w:line="360" w:lineRule="auto"/>
        <w:ind w:firstLine="42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）供应商必须对所提供的资格要求的真实性和有效性负全部法律责任，供应商名称和营业执照等相关证件完全一致。</w:t>
      </w:r>
    </w:p>
    <w:p>
      <w:pPr>
        <w:adjustRightInd w:val="0"/>
        <w:snapToGrid w:val="0"/>
        <w:spacing w:line="360" w:lineRule="auto"/>
        <w:ind w:firstLine="480" w:firstLineChars="200"/>
        <w:rPr>
          <w:rFonts w:hint="eastAsia" w:ascii="宋体" w:hAnsi="宋体" w:cs="宋体"/>
          <w:b/>
          <w:sz w:val="28"/>
          <w:szCs w:val="28"/>
          <w:lang w:val="en-US" w:eastAsia="zh-CN"/>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 xml:space="preserve"> 以上</w:t>
      </w:r>
      <w:r>
        <w:rPr>
          <w:rFonts w:hint="eastAsia" w:ascii="宋体" w:hAnsi="宋体" w:eastAsia="宋体" w:cs="宋体"/>
          <w:color w:val="000000" w:themeColor="text1"/>
          <w:sz w:val="24"/>
          <w:szCs w:val="24"/>
          <w:lang w:val="en-US" w:eastAsia="zh-CN"/>
          <w14:textFill>
            <w14:solidFill>
              <w14:schemeClr w14:val="tx1"/>
            </w14:solidFill>
          </w14:textFill>
        </w:rPr>
        <w:t>所列资格要求均为必备资格条件，投标人应在投标文件规定处附相关证明材料</w:t>
      </w:r>
      <w:r>
        <w:rPr>
          <w:rFonts w:hint="eastAsia" w:cs="宋体"/>
          <w:color w:val="000000" w:themeColor="text1"/>
          <w:sz w:val="24"/>
          <w:szCs w:val="24"/>
          <w:lang w:val="en-US" w:eastAsia="zh-CN"/>
          <w14:textFill>
            <w14:solidFill>
              <w14:schemeClr w14:val="tx1"/>
            </w14:solidFill>
          </w14:textFill>
        </w:rPr>
        <w:t>复印件</w:t>
      </w:r>
      <w:r>
        <w:rPr>
          <w:rFonts w:hint="eastAsia" w:ascii="宋体" w:hAnsi="宋体" w:eastAsia="宋体" w:cs="宋体"/>
          <w:color w:val="000000" w:themeColor="text1"/>
          <w:sz w:val="24"/>
          <w:szCs w:val="24"/>
          <w:lang w:val="en-US" w:eastAsia="zh-CN"/>
          <w14:textFill>
            <w14:solidFill>
              <w14:schemeClr w14:val="tx1"/>
            </w14:solidFill>
          </w14:textFill>
        </w:rPr>
        <w:t>并加盖企业公章，缺项、漏项或者符合性、有效性、真实性审核不合格的，供应商自动放弃采购活动资格，投标文件视为无效。</w:t>
      </w: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
          <w:sz w:val="28"/>
          <w:szCs w:val="28"/>
        </w:rPr>
      </w:pPr>
      <w:r>
        <w:rPr>
          <w:rFonts w:hint="eastAsia" w:ascii="宋体" w:hAnsi="宋体" w:cs="宋体"/>
          <w:b/>
          <w:sz w:val="28"/>
          <w:szCs w:val="28"/>
          <w:lang w:val="en-US" w:eastAsia="zh-CN"/>
        </w:rPr>
        <w:t>3</w:t>
      </w:r>
      <w:r>
        <w:rPr>
          <w:rFonts w:hint="eastAsia" w:ascii="宋体" w:hAnsi="宋体" w:cs="宋体"/>
          <w:b/>
          <w:sz w:val="28"/>
          <w:szCs w:val="28"/>
        </w:rPr>
        <w:t>-</w:t>
      </w:r>
      <w:r>
        <w:rPr>
          <w:rFonts w:hint="eastAsia" w:ascii="宋体" w:hAnsi="宋体" w:cs="宋体"/>
          <w:b/>
          <w:sz w:val="28"/>
          <w:szCs w:val="28"/>
          <w:lang w:val="en-US" w:eastAsia="zh-CN"/>
        </w:rPr>
        <w:t>1</w:t>
      </w:r>
      <w:r>
        <w:rPr>
          <w:rFonts w:hint="eastAsia" w:ascii="宋体" w:hAnsi="宋体" w:cs="宋体"/>
          <w:b/>
          <w:sz w:val="28"/>
          <w:szCs w:val="28"/>
        </w:rPr>
        <w:t>、符合政策法规规定的投标人资格承诺函（格式）</w:t>
      </w:r>
    </w:p>
    <w:p>
      <w:pPr>
        <w:pStyle w:val="10"/>
        <w:adjustRightInd w:val="0"/>
        <w:snapToGrid w:val="0"/>
        <w:spacing w:line="360" w:lineRule="auto"/>
        <w:ind w:firstLine="482"/>
        <w:jc w:val="center"/>
        <w:rPr>
          <w:rFonts w:hint="eastAsia" w:cs="宋体"/>
          <w:kern w:val="0"/>
          <w:sz w:val="24"/>
        </w:rPr>
      </w:pPr>
      <w:r>
        <w:rPr>
          <w:rFonts w:hint="eastAsia" w:cs="宋体"/>
          <w:b/>
          <w:sz w:val="24"/>
        </w:rPr>
        <w:t>符合政策法规规定的投标人资格承诺函</w:t>
      </w:r>
    </w:p>
    <w:p>
      <w:pPr>
        <w:pStyle w:val="10"/>
        <w:adjustRightInd w:val="0"/>
        <w:snapToGrid w:val="0"/>
        <w:spacing w:line="360" w:lineRule="auto"/>
        <w:ind w:firstLine="0" w:firstLineChars="0"/>
        <w:rPr>
          <w:rFonts w:hint="eastAsia" w:cs="宋体"/>
          <w:sz w:val="24"/>
        </w:rPr>
      </w:pPr>
      <w:r>
        <w:rPr>
          <w:rFonts w:hint="eastAsia" w:cs="宋体"/>
          <w:sz w:val="24"/>
        </w:rPr>
        <w:t>致</w:t>
      </w:r>
      <w:r>
        <w:rPr>
          <w:rFonts w:hint="eastAsia" w:cs="宋体"/>
          <w:sz w:val="24"/>
          <w:u w:val="single"/>
        </w:rPr>
        <w:t xml:space="preserve">                 </w:t>
      </w:r>
      <w:r>
        <w:rPr>
          <w:rFonts w:hint="eastAsia" w:cs="宋体"/>
          <w:sz w:val="24"/>
        </w:rPr>
        <w:t xml:space="preserve">： </w:t>
      </w:r>
    </w:p>
    <w:p>
      <w:pPr>
        <w:pStyle w:val="10"/>
        <w:adjustRightInd w:val="0"/>
        <w:snapToGrid w:val="0"/>
        <w:spacing w:line="360" w:lineRule="auto"/>
        <w:rPr>
          <w:rFonts w:hint="eastAsia" w:cs="宋体"/>
          <w:sz w:val="24"/>
        </w:rPr>
      </w:pPr>
      <w:r>
        <w:rPr>
          <w:rFonts w:hint="eastAsia" w:cs="宋体"/>
          <w:sz w:val="24"/>
        </w:rPr>
        <w:t>本公司</w:t>
      </w:r>
      <w:r>
        <w:rPr>
          <w:rFonts w:hint="eastAsia" w:cs="宋体"/>
          <w:sz w:val="24"/>
          <w:u w:val="single"/>
        </w:rPr>
        <w:t xml:space="preserve">       （公司名称）</w:t>
      </w:r>
      <w:r>
        <w:rPr>
          <w:rFonts w:hint="eastAsia" w:cs="宋体"/>
          <w:sz w:val="24"/>
        </w:rPr>
        <w:t>参加</w:t>
      </w:r>
      <w:r>
        <w:rPr>
          <w:rFonts w:hint="eastAsia" w:cs="宋体"/>
          <w:sz w:val="24"/>
          <w:u w:val="single"/>
        </w:rPr>
        <w:t xml:space="preserve">           （项目名称、项目编号）</w:t>
      </w:r>
      <w:r>
        <w:rPr>
          <w:rFonts w:hint="eastAsia" w:cs="宋体"/>
          <w:sz w:val="24"/>
        </w:rPr>
        <w:t>的招标活动，现承诺：</w:t>
      </w:r>
    </w:p>
    <w:p>
      <w:pPr>
        <w:pStyle w:val="10"/>
        <w:adjustRightInd w:val="0"/>
        <w:snapToGrid w:val="0"/>
        <w:spacing w:line="360" w:lineRule="auto"/>
        <w:rPr>
          <w:rFonts w:hint="eastAsia" w:cs="宋体"/>
          <w:sz w:val="24"/>
        </w:rPr>
      </w:pPr>
      <w:r>
        <w:rPr>
          <w:rFonts w:hint="eastAsia" w:cs="宋体"/>
          <w:sz w:val="24"/>
        </w:rPr>
        <w:t>我公司满足</w:t>
      </w:r>
      <w:r>
        <w:rPr>
          <w:rFonts w:hint="eastAsia" w:cs="宋体"/>
          <w:kern w:val="0"/>
          <w:sz w:val="24"/>
        </w:rPr>
        <w:t>《中华人民共和国政府采购法》第二十二条及《中华人民共和国政府采购法实施条例》第十七条规定的</w:t>
      </w:r>
      <w:r>
        <w:rPr>
          <w:rFonts w:hint="eastAsia" w:cs="宋体"/>
          <w:kern w:val="0"/>
          <w:sz w:val="24"/>
          <w:lang w:eastAsia="zh-CN"/>
        </w:rPr>
        <w:t>磋商</w:t>
      </w:r>
      <w:r>
        <w:rPr>
          <w:rFonts w:hint="eastAsia" w:cs="宋体"/>
          <w:kern w:val="0"/>
          <w:sz w:val="24"/>
        </w:rPr>
        <w:t>供应商资格要求</w:t>
      </w:r>
      <w:r>
        <w:rPr>
          <w:rFonts w:hint="eastAsia" w:cs="宋体"/>
          <w:sz w:val="24"/>
        </w:rPr>
        <w:t>：</w:t>
      </w:r>
    </w:p>
    <w:p>
      <w:pPr>
        <w:adjustRightInd w:val="0"/>
        <w:snapToGrid w:val="0"/>
        <w:spacing w:line="360" w:lineRule="auto"/>
        <w:rPr>
          <w:rFonts w:hint="eastAsia" w:ascii="宋体" w:hAnsi="宋体" w:cs="宋体"/>
          <w:sz w:val="24"/>
        </w:rPr>
      </w:pPr>
      <w:r>
        <w:rPr>
          <w:rFonts w:hint="eastAsia" w:ascii="宋体" w:hAnsi="宋体" w:cs="宋体"/>
          <w:sz w:val="24"/>
        </w:rPr>
        <w:t>第二十二条　供应商参加政府采购活动应当具备下列条件：</w:t>
      </w:r>
    </w:p>
    <w:p>
      <w:pPr>
        <w:adjustRightInd w:val="0"/>
        <w:snapToGrid w:val="0"/>
        <w:spacing w:line="360" w:lineRule="auto"/>
        <w:rPr>
          <w:rFonts w:hint="eastAsia" w:ascii="宋体" w:hAnsi="宋体" w:cs="宋体"/>
          <w:sz w:val="24"/>
        </w:rPr>
      </w:pPr>
      <w:r>
        <w:rPr>
          <w:rFonts w:hint="eastAsia" w:ascii="宋体" w:hAnsi="宋体" w:cs="宋体"/>
          <w:sz w:val="24"/>
        </w:rPr>
        <w:t>　　（一）具有独立承担民事责任的能力；</w:t>
      </w:r>
    </w:p>
    <w:p>
      <w:pPr>
        <w:adjustRightInd w:val="0"/>
        <w:snapToGrid w:val="0"/>
        <w:spacing w:line="360" w:lineRule="auto"/>
        <w:rPr>
          <w:rFonts w:hint="eastAsia" w:ascii="宋体" w:hAnsi="宋体" w:cs="宋体"/>
          <w:sz w:val="24"/>
        </w:rPr>
      </w:pPr>
      <w:r>
        <w:rPr>
          <w:rFonts w:hint="eastAsia" w:ascii="宋体" w:hAnsi="宋体" w:cs="宋体"/>
          <w:sz w:val="24"/>
        </w:rPr>
        <w:t>　　（二）具有良好的商业信誉和健全的财务会计制度；</w:t>
      </w:r>
    </w:p>
    <w:p>
      <w:pPr>
        <w:adjustRightInd w:val="0"/>
        <w:snapToGrid w:val="0"/>
        <w:spacing w:line="360" w:lineRule="auto"/>
        <w:rPr>
          <w:rFonts w:hint="eastAsia" w:ascii="宋体" w:hAnsi="宋体" w:cs="宋体"/>
          <w:sz w:val="24"/>
        </w:rPr>
      </w:pPr>
      <w:r>
        <w:rPr>
          <w:rFonts w:hint="eastAsia" w:ascii="宋体" w:hAnsi="宋体" w:cs="宋体"/>
          <w:sz w:val="24"/>
        </w:rPr>
        <w:t>　　（三）具有履行合同所必需的设备和专业技术能力；</w:t>
      </w:r>
    </w:p>
    <w:p>
      <w:pPr>
        <w:adjustRightInd w:val="0"/>
        <w:snapToGrid w:val="0"/>
        <w:spacing w:line="360" w:lineRule="auto"/>
        <w:rPr>
          <w:rFonts w:hint="eastAsia" w:ascii="宋体" w:hAnsi="宋体" w:cs="宋体"/>
          <w:sz w:val="24"/>
        </w:rPr>
      </w:pPr>
      <w:r>
        <w:rPr>
          <w:rFonts w:hint="eastAsia" w:ascii="宋体" w:hAnsi="宋体" w:cs="宋体"/>
          <w:sz w:val="24"/>
        </w:rPr>
        <w:t>　　（四）有依法缴纳税收和社会保障资金的良好记录；</w:t>
      </w:r>
    </w:p>
    <w:p>
      <w:pPr>
        <w:adjustRightInd w:val="0"/>
        <w:snapToGrid w:val="0"/>
        <w:spacing w:line="360" w:lineRule="auto"/>
        <w:rPr>
          <w:rFonts w:hint="eastAsia" w:ascii="宋体" w:hAnsi="宋体" w:cs="宋体"/>
          <w:sz w:val="24"/>
        </w:rPr>
      </w:pPr>
      <w:r>
        <w:rPr>
          <w:rFonts w:hint="eastAsia" w:ascii="宋体" w:hAnsi="宋体" w:cs="宋体"/>
          <w:sz w:val="24"/>
        </w:rPr>
        <w:t>　　（五）参加政府采购活动前三年内，在经营活动中没有重大违法记录；</w:t>
      </w:r>
    </w:p>
    <w:p>
      <w:pPr>
        <w:adjustRightInd w:val="0"/>
        <w:snapToGrid w:val="0"/>
        <w:spacing w:line="360" w:lineRule="auto"/>
        <w:rPr>
          <w:rFonts w:hint="eastAsia" w:ascii="宋体" w:hAnsi="宋体" w:cs="宋体"/>
          <w:sz w:val="24"/>
        </w:rPr>
      </w:pPr>
      <w:r>
        <w:rPr>
          <w:rFonts w:hint="eastAsia" w:ascii="宋体" w:hAnsi="宋体" w:cs="宋体"/>
          <w:sz w:val="24"/>
        </w:rPr>
        <w:t>　　（六）法律、行政法规规定的其他条件。</w:t>
      </w:r>
    </w:p>
    <w:p>
      <w:pPr>
        <w:adjustRightInd w:val="0"/>
        <w:snapToGrid w:val="0"/>
        <w:spacing w:line="360" w:lineRule="auto"/>
        <w:rPr>
          <w:rFonts w:hint="eastAsia" w:ascii="宋体" w:hAnsi="宋体" w:cs="宋体"/>
          <w:sz w:val="24"/>
        </w:rPr>
      </w:pPr>
      <w:r>
        <w:rPr>
          <w:rFonts w:hint="eastAsia" w:ascii="宋体" w:hAnsi="宋体" w:cs="宋体"/>
          <w:bCs/>
          <w:sz w:val="24"/>
        </w:rPr>
        <w:t>第十七条</w:t>
      </w:r>
      <w:r>
        <w:rPr>
          <w:rFonts w:hint="eastAsia" w:ascii="宋体" w:hAnsi="宋体" w:cs="宋体"/>
          <w:sz w:val="24"/>
        </w:rPr>
        <w:t>　参加政府采购活动的供应商应当具备政府采购法第二十二条第一款规定的条件，提供下列材料：</w:t>
      </w:r>
      <w:r>
        <w:rPr>
          <w:rFonts w:hint="eastAsia" w:ascii="宋体" w:hAnsi="宋体" w:cs="宋体"/>
          <w:sz w:val="24"/>
        </w:rPr>
        <w:br w:type="textWrapping"/>
      </w:r>
      <w:r>
        <w:rPr>
          <w:rFonts w:hint="eastAsia" w:ascii="宋体" w:hAnsi="宋体" w:cs="宋体"/>
          <w:sz w:val="24"/>
        </w:rPr>
        <w:t>　　（一）法人或者其他组织的营业执照等证明文件，自然人的身份证明；</w:t>
      </w:r>
      <w:r>
        <w:rPr>
          <w:rFonts w:hint="eastAsia" w:ascii="宋体" w:hAnsi="宋体" w:cs="宋体"/>
          <w:sz w:val="24"/>
        </w:rPr>
        <w:br w:type="textWrapping"/>
      </w:r>
      <w:r>
        <w:rPr>
          <w:rFonts w:hint="eastAsia" w:ascii="宋体" w:hAnsi="宋体" w:cs="宋体"/>
          <w:sz w:val="24"/>
        </w:rPr>
        <w:t>　　（二）财务状况报告，依法缴纳税收和社会保障资金的相关材料；</w:t>
      </w:r>
      <w:r>
        <w:rPr>
          <w:rFonts w:hint="eastAsia" w:ascii="宋体" w:hAnsi="宋体" w:cs="宋体"/>
          <w:sz w:val="24"/>
        </w:rPr>
        <w:br w:type="textWrapping"/>
      </w:r>
      <w:r>
        <w:rPr>
          <w:rFonts w:hint="eastAsia" w:ascii="宋体" w:hAnsi="宋体" w:cs="宋体"/>
          <w:sz w:val="24"/>
        </w:rPr>
        <w:t>　　（三）具备履行合同所必需的设备和专业技术能力的证明材料；</w:t>
      </w:r>
      <w:r>
        <w:rPr>
          <w:rFonts w:hint="eastAsia" w:ascii="宋体" w:hAnsi="宋体" w:cs="宋体"/>
          <w:sz w:val="24"/>
        </w:rPr>
        <w:br w:type="textWrapping"/>
      </w:r>
      <w:r>
        <w:rPr>
          <w:rFonts w:hint="eastAsia" w:ascii="宋体" w:hAnsi="宋体" w:cs="宋体"/>
          <w:sz w:val="24"/>
        </w:rPr>
        <w:t>　　（四）参加政府采购活动前3年内在经营活动中没有重大违法记录的书面声明；</w:t>
      </w:r>
      <w:r>
        <w:rPr>
          <w:rFonts w:hint="eastAsia" w:ascii="宋体" w:hAnsi="宋体" w:cs="宋体"/>
          <w:sz w:val="24"/>
        </w:rPr>
        <w:br w:type="textWrapping"/>
      </w:r>
      <w:r>
        <w:rPr>
          <w:rFonts w:hint="eastAsia" w:ascii="宋体" w:hAnsi="宋体" w:cs="宋体"/>
          <w:sz w:val="24"/>
        </w:rPr>
        <w:t xml:space="preserve">　　（五）具备法律、行政法规规定的其他条件的证明材料。 </w:t>
      </w:r>
    </w:p>
    <w:p>
      <w:pPr>
        <w:pStyle w:val="10"/>
        <w:adjustRightInd w:val="0"/>
        <w:snapToGrid w:val="0"/>
        <w:spacing w:line="360" w:lineRule="auto"/>
        <w:rPr>
          <w:rFonts w:hint="eastAsia" w:cs="宋体"/>
          <w:sz w:val="24"/>
        </w:rPr>
      </w:pPr>
      <w:r>
        <w:rPr>
          <w:rFonts w:hint="eastAsia" w:cs="宋体"/>
          <w:sz w:val="24"/>
        </w:rPr>
        <w:t>同时也满足本项目法律法规规章规定关于</w:t>
      </w:r>
      <w:r>
        <w:rPr>
          <w:rFonts w:hint="eastAsia" w:cs="宋体"/>
          <w:sz w:val="24"/>
          <w:lang w:eastAsia="zh-CN"/>
        </w:rPr>
        <w:t>磋商</w:t>
      </w:r>
      <w:r>
        <w:rPr>
          <w:rFonts w:hint="eastAsia" w:cs="宋体"/>
          <w:sz w:val="24"/>
        </w:rPr>
        <w:t>供应商的其他资格性条件，未参与本采购项目前期咨询论证，不属于禁止参加投标的</w:t>
      </w:r>
      <w:r>
        <w:rPr>
          <w:rFonts w:hint="eastAsia" w:cs="宋体"/>
          <w:sz w:val="24"/>
          <w:lang w:eastAsia="zh-CN"/>
        </w:rPr>
        <w:t>磋商</w:t>
      </w:r>
      <w:r>
        <w:rPr>
          <w:rFonts w:hint="eastAsia" w:cs="宋体"/>
          <w:sz w:val="24"/>
        </w:rPr>
        <w:t>供应商。</w:t>
      </w:r>
    </w:p>
    <w:p>
      <w:pPr>
        <w:pStyle w:val="10"/>
        <w:adjustRightInd w:val="0"/>
        <w:snapToGrid w:val="0"/>
        <w:spacing w:line="360" w:lineRule="auto"/>
        <w:rPr>
          <w:rFonts w:hint="eastAsia" w:cs="宋体"/>
          <w:sz w:val="24"/>
        </w:rPr>
      </w:pPr>
      <w:r>
        <w:rPr>
          <w:rFonts w:hint="eastAsia" w:cs="宋体"/>
          <w:sz w:val="24"/>
        </w:rPr>
        <w:t>如违反以上承诺，本公司愿承担一切法律责任。</w:t>
      </w:r>
    </w:p>
    <w:p>
      <w:pPr>
        <w:adjustRightInd w:val="0"/>
        <w:snapToGrid w:val="0"/>
        <w:spacing w:line="360" w:lineRule="auto"/>
        <w:rPr>
          <w:rFonts w:hint="eastAsia" w:ascii="宋体" w:hAnsi="宋体" w:cs="宋体"/>
          <w:sz w:val="24"/>
        </w:rPr>
      </w:pPr>
      <w:r>
        <w:rPr>
          <w:rFonts w:hint="eastAsia" w:ascii="宋体" w:hAnsi="宋体" w:cs="宋体"/>
          <w:sz w:val="24"/>
          <w:lang w:eastAsia="zh-CN"/>
        </w:rPr>
        <w:t>磋商</w:t>
      </w:r>
      <w:r>
        <w:rPr>
          <w:rFonts w:hint="eastAsia" w:ascii="宋体" w:hAnsi="宋体" w:cs="宋体"/>
          <w:sz w:val="24"/>
        </w:rPr>
        <w:t>供应商（全称并加盖公章）：</w:t>
      </w:r>
      <w:r>
        <w:rPr>
          <w:rFonts w:hint="eastAsia" w:ascii="宋体" w:hAnsi="宋体" w:cs="宋体"/>
          <w:sz w:val="24"/>
          <w:u w:val="single"/>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法定代表人或授权代表（签字）</w:t>
      </w:r>
      <w:r>
        <w:rPr>
          <w:rFonts w:hint="eastAsia" w:ascii="宋体" w:hAnsi="宋体" w:cs="宋体"/>
          <w:bCs/>
          <w:sz w:val="24"/>
        </w:rPr>
        <w:t>：</w:t>
      </w:r>
      <w:r>
        <w:rPr>
          <w:rFonts w:hint="eastAsia" w:ascii="宋体" w:hAnsi="宋体" w:cs="宋体"/>
          <w:sz w:val="24"/>
          <w:u w:val="single"/>
        </w:rPr>
        <w:t xml:space="preserve">                            </w:t>
      </w:r>
    </w:p>
    <w:p>
      <w:pPr>
        <w:adjustRightInd w:val="0"/>
        <w:snapToGrid w:val="0"/>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w:t>
      </w:r>
      <w:r>
        <w:rPr>
          <w:rFonts w:hint="eastAsia" w:ascii="宋体" w:hAnsi="宋体" w:eastAsia="宋体" w:cs="宋体"/>
          <w:bCs/>
          <w:sz w:val="28"/>
          <w:szCs w:val="28"/>
          <w:lang w:val="en-US" w:eastAsia="zh-CN"/>
        </w:rPr>
        <w:t>2</w:t>
      </w:r>
      <w:r>
        <w:rPr>
          <w:rFonts w:hint="eastAsia" w:ascii="宋体" w:hAnsi="宋体" w:eastAsia="宋体" w:cs="宋体"/>
          <w:bCs/>
          <w:sz w:val="28"/>
          <w:szCs w:val="28"/>
        </w:rPr>
        <w:t>、供应商企业关联关系承诺书</w:t>
      </w:r>
    </w:p>
    <w:p>
      <w:pPr>
        <w:numPr>
          <w:ilvl w:val="0"/>
          <w:numId w:val="9"/>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供应商股东及股权证明。</w:t>
      </w:r>
    </w:p>
    <w:p>
      <w:pPr>
        <w:adjustRightInd w:val="0"/>
        <w:snapToGrid w:val="0"/>
        <w:spacing w:line="360" w:lineRule="auto"/>
        <w:rPr>
          <w:rFonts w:hint="eastAsia" w:ascii="宋体" w:hAnsi="宋体" w:eastAsia="宋体" w:cs="宋体"/>
          <w:color w:val="FF0000"/>
          <w:sz w:val="24"/>
          <w:szCs w:val="24"/>
        </w:rPr>
      </w:pPr>
      <w:r>
        <w:rPr>
          <w:rFonts w:hint="eastAsia" w:ascii="宋体" w:hAnsi="宋体" w:eastAsia="宋体" w:cs="宋体"/>
          <w:sz w:val="24"/>
          <w:szCs w:val="24"/>
        </w:rPr>
        <w:t>2、供应商在本磋商项目中，不存在与其它供应商负责人为同一人，有控股、管理等关联关系承诺。</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2-1、管理关系说明：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我单位管理的具有独立法人的下属单位有：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我单位的上级管理单位有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2-2、股权关系说明：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我单位控股的单位有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我单位被</w:t>
      </w:r>
      <w:r>
        <w:rPr>
          <w:rFonts w:hint="eastAsia" w:ascii="宋体" w:hAnsi="宋体" w:eastAsia="宋体" w:cs="宋体"/>
          <w:i/>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单位控股。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2-3、单位负责人：</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3、其他与本项目有关的利害关系说明：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我单位承诺以上说明真实有效，无虚假内容或隐瞒。</w:t>
      </w:r>
    </w:p>
    <w:p>
      <w:pPr>
        <w:adjustRightInd w:val="0"/>
        <w:snapToGrid w:val="0"/>
        <w:spacing w:line="360" w:lineRule="auto"/>
        <w:rPr>
          <w:rFonts w:hint="eastAsia" w:ascii="宋体" w:hAnsi="宋体" w:eastAsia="宋体" w:cs="宋体"/>
          <w:sz w:val="24"/>
          <w:szCs w:val="24"/>
        </w:rPr>
      </w:pPr>
    </w:p>
    <w:p>
      <w:pPr>
        <w:rPr>
          <w:rFonts w:hint="eastAsia"/>
          <w:sz w:val="24"/>
          <w:szCs w:val="24"/>
        </w:rPr>
      </w:pPr>
    </w:p>
    <w:p>
      <w:pPr>
        <w:rPr>
          <w:rFonts w:hint="eastAsia"/>
          <w:sz w:val="24"/>
          <w:szCs w:val="24"/>
        </w:rPr>
      </w:pPr>
      <w:r>
        <w:rPr>
          <w:rFonts w:hint="eastAsia"/>
          <w:sz w:val="24"/>
          <w:szCs w:val="24"/>
        </w:rPr>
        <w:t xml:space="preserve">供应商名称： </w:t>
      </w:r>
      <w:r>
        <w:rPr>
          <w:rFonts w:hint="eastAsia"/>
          <w:sz w:val="24"/>
          <w:szCs w:val="24"/>
        </w:rPr>
        <w:tab/>
      </w:r>
      <w:r>
        <w:rPr>
          <w:rFonts w:hint="eastAsia"/>
          <w:sz w:val="24"/>
          <w:szCs w:val="24"/>
        </w:rPr>
        <w:t>（加盖单位公章）</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法定代表人或被授权人签字： </w:t>
      </w:r>
    </w:p>
    <w:p>
      <w:pPr>
        <w:rPr>
          <w:rFonts w:hint="eastAsia"/>
          <w:sz w:val="24"/>
          <w:szCs w:val="24"/>
        </w:rPr>
      </w:pPr>
    </w:p>
    <w:p>
      <w:pPr>
        <w:rPr>
          <w:rFonts w:hint="eastAsia"/>
          <w:sz w:val="24"/>
          <w:szCs w:val="24"/>
        </w:rPr>
      </w:pPr>
      <w:r>
        <w:rPr>
          <w:rFonts w:hint="eastAsia"/>
          <w:sz w:val="24"/>
          <w:szCs w:val="24"/>
        </w:rPr>
        <w:t>日</w:t>
      </w:r>
      <w:r>
        <w:rPr>
          <w:rFonts w:hint="eastAsia"/>
          <w:sz w:val="24"/>
          <w:szCs w:val="24"/>
        </w:rPr>
        <w:tab/>
      </w:r>
      <w:r>
        <w:rPr>
          <w:rFonts w:hint="eastAsia"/>
          <w:sz w:val="24"/>
          <w:szCs w:val="24"/>
        </w:rPr>
        <w:t>期：</w:t>
      </w: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spacing w:line="360" w:lineRule="atLeast"/>
        <w:jc w:val="both"/>
        <w:outlineLvl w:val="0"/>
        <w:rPr>
          <w:rFonts w:hint="eastAsia" w:ascii="宋体" w:hAnsi="宋体" w:cs="宋体"/>
          <w:b/>
          <w:sz w:val="32"/>
          <w:szCs w:val="22"/>
        </w:rPr>
      </w:pPr>
      <w:bookmarkStart w:id="119" w:name="_Toc7824"/>
      <w:r>
        <w:rPr>
          <w:rFonts w:hint="eastAsia" w:ascii="宋体" w:hAnsi="宋体" w:cs="宋体"/>
          <w:b/>
          <w:sz w:val="28"/>
          <w:szCs w:val="28"/>
          <w:lang w:val="en-US" w:eastAsia="zh-CN"/>
        </w:rPr>
        <w:t xml:space="preserve">3-3 </w:t>
      </w:r>
      <w:r>
        <w:rPr>
          <w:rFonts w:hint="eastAsia" w:ascii="宋体" w:hAnsi="宋体" w:cs="宋体"/>
          <w:b/>
          <w:sz w:val="28"/>
          <w:szCs w:val="28"/>
        </w:rPr>
        <w:t>榆林市政府采购服务类项目供应商信用承诺书</w:t>
      </w:r>
      <w:bookmarkEnd w:id="119"/>
    </w:p>
    <w:p>
      <w:pPr>
        <w:pStyle w:val="125"/>
        <w:rPr>
          <w:rFonts w:hint="eastAsia" w:ascii="宋体" w:hAnsi="宋体" w:cs="宋体"/>
          <w:lang w:val="en-US"/>
        </w:rPr>
      </w:pPr>
    </w:p>
    <w:p>
      <w:pPr>
        <w:pStyle w:val="125"/>
        <w:rPr>
          <w:rFonts w:hint="eastAsia" w:ascii="宋体" w:hAnsi="宋体" w:cs="宋体"/>
          <w:lang w:val="en-US"/>
        </w:rPr>
      </w:pPr>
      <w:r>
        <w:rPr>
          <w:rFonts w:hint="eastAsia" w:ascii="宋体" w:hAnsi="宋体" w:cs="宋体"/>
          <w:lang w:val="en-US"/>
        </w:rPr>
        <w:t>市场主体名称：</w:t>
      </w:r>
    </w:p>
    <w:p>
      <w:pPr>
        <w:pStyle w:val="125"/>
        <w:rPr>
          <w:rFonts w:hint="eastAsia" w:ascii="宋体" w:hAnsi="宋体" w:cs="宋体"/>
          <w:lang w:val="en-US"/>
        </w:rPr>
      </w:pPr>
      <w:r>
        <w:rPr>
          <w:rFonts w:hint="eastAsia" w:ascii="宋体" w:hAnsi="宋体" w:cs="宋体"/>
          <w:lang w:val="en-US"/>
        </w:rPr>
        <w:t>证件类型：统一社会信用代码</w:t>
      </w:r>
    </w:p>
    <w:p>
      <w:pPr>
        <w:pStyle w:val="125"/>
        <w:rPr>
          <w:rFonts w:hint="eastAsia" w:ascii="宋体" w:hAnsi="宋体" w:cs="宋体"/>
          <w:lang w:val="en-US"/>
        </w:rPr>
      </w:pPr>
      <w:r>
        <w:rPr>
          <w:rFonts w:hint="eastAsia" w:ascii="宋体" w:hAnsi="宋体" w:cs="宋体"/>
          <w:lang w:val="en-US"/>
        </w:rPr>
        <w:t>证件号码：</w:t>
      </w:r>
    </w:p>
    <w:p>
      <w:pPr>
        <w:pStyle w:val="125"/>
        <w:rPr>
          <w:rFonts w:hint="eastAsia" w:ascii="宋体" w:hAnsi="宋体" w:cs="宋体"/>
          <w:lang w:val="en-US"/>
        </w:rPr>
      </w:pPr>
      <w:r>
        <w:rPr>
          <w:rFonts w:hint="eastAsia" w:ascii="宋体" w:hAnsi="宋体" w:cs="宋体"/>
          <w:lang w:val="en-US"/>
        </w:rPr>
        <w:t>法人代表：</w:t>
      </w:r>
    </w:p>
    <w:p>
      <w:pPr>
        <w:pStyle w:val="125"/>
        <w:rPr>
          <w:rFonts w:hint="eastAsia" w:ascii="宋体" w:hAnsi="宋体" w:cs="宋体"/>
          <w:lang w:val="en-US"/>
        </w:rPr>
      </w:pPr>
      <w:r>
        <w:rPr>
          <w:rFonts w:hint="eastAsia" w:ascii="宋体" w:hAnsi="宋体" w:cs="宋体"/>
          <w:lang w:val="en-US"/>
        </w:rPr>
        <w:t>承诺有效期限：     年      月      日—        年      月      日</w:t>
      </w:r>
    </w:p>
    <w:p>
      <w:pPr>
        <w:pStyle w:val="125"/>
        <w:rPr>
          <w:rFonts w:hint="eastAsia" w:ascii="宋体" w:hAnsi="宋体" w:cs="宋体"/>
          <w:lang w:val="en-US"/>
        </w:rPr>
      </w:pPr>
      <w:r>
        <w:rPr>
          <w:rFonts w:hint="eastAsia" w:ascii="宋体" w:hAnsi="宋体" w:cs="宋体"/>
          <w:lang w:val="en-US"/>
        </w:rPr>
        <w:t>承诺内容：</w:t>
      </w:r>
    </w:p>
    <w:p>
      <w:pPr>
        <w:pStyle w:val="125"/>
        <w:rPr>
          <w:rFonts w:hint="eastAsia" w:ascii="宋体" w:hAnsi="宋体" w:cs="宋体"/>
          <w:lang w:val="en-US"/>
        </w:rPr>
      </w:pPr>
      <w:r>
        <w:rPr>
          <w:rFonts w:hint="eastAsia" w:ascii="宋体" w:hAnsi="宋体" w:cs="宋体"/>
          <w:lang w:val="en-US"/>
        </w:rPr>
        <w:t>为维护公开、公平、公正的政府采购市场秩序，树立诚实守信的政府采购供应商形象，本单位自愿做出以下承诺：</w:t>
      </w:r>
    </w:p>
    <w:p>
      <w:pPr>
        <w:pStyle w:val="125"/>
        <w:rPr>
          <w:rFonts w:hint="eastAsia" w:ascii="宋体" w:hAnsi="宋体" w:cs="宋体"/>
          <w:lang w:val="en-US"/>
        </w:rPr>
      </w:pPr>
      <w:r>
        <w:rPr>
          <w:rFonts w:hint="eastAsia" w:ascii="宋体" w:hAnsi="宋体" w:cs="宋体"/>
          <w:lang w:val="en-US"/>
        </w:rPr>
        <w:t>一、承诺本单位严格遵守国家法律、法规和规章，全面履行应尽的责任和义务，全面做到履约守信，具备《政府采购法》第二十二条第一款规定的条件;</w:t>
      </w:r>
    </w:p>
    <w:p>
      <w:pPr>
        <w:pStyle w:val="125"/>
        <w:rPr>
          <w:rFonts w:hint="eastAsia" w:ascii="宋体" w:hAnsi="宋体" w:cs="宋体"/>
          <w:lang w:val="en-US"/>
        </w:rPr>
      </w:pPr>
      <w:r>
        <w:rPr>
          <w:rFonts w:hint="eastAsia" w:ascii="宋体" w:hAnsi="宋体" w:cs="宋体"/>
          <w:lang w:val="en-US"/>
        </w:rPr>
        <w:t>二、承诺本单位提供给注册登记部门、行业管理部门、司法部门、行业组织以及在政府采购活动中提交的所有资料均合法、真实、有效，无任何伪造、修改、虚假成份，并对所提供资料的真实性负责；</w:t>
      </w:r>
    </w:p>
    <w:p>
      <w:pPr>
        <w:pStyle w:val="125"/>
        <w:rPr>
          <w:rFonts w:hint="eastAsia" w:ascii="宋体" w:hAnsi="宋体" w:cs="宋体"/>
          <w:lang w:val="en-US"/>
        </w:rPr>
      </w:pPr>
      <w:r>
        <w:rPr>
          <w:rFonts w:hint="eastAsia" w:ascii="宋体" w:hAnsi="宋体" w:cs="宋体"/>
          <w:lang w:val="en-US"/>
        </w:rPr>
        <w:t>三、承诺本单位严格依法开展生产经营活动，主动接受行业监管，自愿接受依法开展的日常检查；违法失信经营后将自愿接受约束和惩戒，并依法承担相应责任；</w:t>
      </w:r>
    </w:p>
    <w:p>
      <w:pPr>
        <w:pStyle w:val="125"/>
        <w:rPr>
          <w:rFonts w:hint="eastAsia" w:ascii="宋体" w:hAnsi="宋体" w:cs="宋体"/>
          <w:lang w:val="en-US"/>
        </w:rPr>
      </w:pPr>
      <w:r>
        <w:rPr>
          <w:rFonts w:hint="eastAsia" w:ascii="宋体" w:hAnsi="宋体" w:cs="宋体"/>
          <w:lang w:val="en-US"/>
        </w:rPr>
        <w:t>四、承诺本单位自觉接受行政管理部门、行业组织、社会公众、新闻舆论的监督；</w:t>
      </w:r>
    </w:p>
    <w:p>
      <w:pPr>
        <w:pStyle w:val="125"/>
        <w:rPr>
          <w:rFonts w:hint="eastAsia" w:ascii="宋体" w:hAnsi="宋体" w:cs="宋体"/>
          <w:lang w:val="en-US"/>
        </w:rPr>
      </w:pPr>
      <w:r>
        <w:rPr>
          <w:rFonts w:hint="eastAsia" w:ascii="宋体" w:hAnsi="宋体" w:cs="宋体"/>
          <w:lang w:val="en-US"/>
        </w:rPr>
        <w:t>五、承诺本单位自我约束、自我管理，重合同、守信用，不制假售假、商标侵权、虚假宣传、违约毁约、恶意逃债、偷税漏税、价格欺诈、垄断和不正当竞争，维护经营者、消费者的合法权益；</w:t>
      </w:r>
    </w:p>
    <w:p>
      <w:pPr>
        <w:pStyle w:val="125"/>
        <w:rPr>
          <w:rFonts w:hint="eastAsia" w:ascii="宋体" w:hAnsi="宋体" w:cs="宋体"/>
          <w:lang w:val="en-US"/>
        </w:rPr>
      </w:pPr>
      <w:r>
        <w:rPr>
          <w:rFonts w:hint="eastAsia" w:ascii="宋体" w:hAnsi="宋体" w:cs="宋体"/>
          <w:lang w:val="en-US"/>
        </w:rPr>
        <w:t>六、承诺本单位提出政府采购质疑和投诉坚持依法依规、诚实信用原则，在全国范围12个月内没有三次以上查无实据的政府采购投诉；</w:t>
      </w:r>
    </w:p>
    <w:p>
      <w:pPr>
        <w:pStyle w:val="125"/>
        <w:rPr>
          <w:rFonts w:hint="eastAsia" w:ascii="宋体" w:hAnsi="宋体" w:cs="宋体"/>
          <w:u w:val="single"/>
          <w:lang w:val="en-US"/>
        </w:rPr>
      </w:pPr>
      <w:r>
        <w:rPr>
          <w:rFonts w:hint="eastAsia" w:ascii="宋体" w:hAnsi="宋体" w:cs="宋体"/>
          <w:lang w:val="en-US"/>
        </w:rPr>
        <w:t xml:space="preserve">七、根据政府采购相关法律法规的规定需要作出的其他承诺： </w:t>
      </w:r>
      <w:r>
        <w:rPr>
          <w:rFonts w:hint="eastAsia" w:ascii="宋体" w:hAnsi="宋体" w:cs="宋体"/>
          <w:u w:val="single"/>
          <w:lang w:val="en-US"/>
        </w:rPr>
        <w:t xml:space="preserve">              </w:t>
      </w:r>
    </w:p>
    <w:p>
      <w:pPr>
        <w:pStyle w:val="125"/>
        <w:rPr>
          <w:rFonts w:hint="eastAsia" w:ascii="宋体" w:hAnsi="宋体" w:cs="宋体"/>
          <w:u w:val="single"/>
          <w:lang w:val="en-US"/>
        </w:rPr>
      </w:pPr>
      <w:r>
        <w:rPr>
          <w:rFonts w:hint="eastAsia" w:ascii="宋体" w:hAnsi="宋体" w:cs="宋体"/>
          <w:u w:val="single"/>
          <w:lang w:val="en-US"/>
        </w:rPr>
        <w:t xml:space="preserve">                                                                    </w:t>
      </w:r>
    </w:p>
    <w:p>
      <w:pPr>
        <w:pStyle w:val="125"/>
        <w:rPr>
          <w:rFonts w:hint="eastAsia" w:ascii="宋体" w:hAnsi="宋体" w:cs="宋体"/>
          <w:u w:val="single"/>
          <w:lang w:val="en-US"/>
        </w:rPr>
      </w:pPr>
      <w:r>
        <w:rPr>
          <w:rFonts w:hint="eastAsia" w:ascii="宋体" w:hAnsi="宋体" w:cs="宋体"/>
          <w:u w:val="single"/>
          <w:lang w:val="en-US"/>
        </w:rPr>
        <w:t xml:space="preserve">                                                                   </w:t>
      </w:r>
    </w:p>
    <w:p>
      <w:pPr>
        <w:pStyle w:val="125"/>
        <w:rPr>
          <w:rFonts w:hint="eastAsia" w:ascii="宋体" w:hAnsi="宋体" w:cs="宋体"/>
          <w:u w:val="single"/>
          <w:lang w:val="en-US"/>
        </w:rPr>
      </w:pPr>
      <w:r>
        <w:rPr>
          <w:rFonts w:hint="eastAsia" w:ascii="宋体" w:hAnsi="宋体" w:cs="宋体"/>
          <w:u w:val="single"/>
          <w:lang w:val="en-US"/>
        </w:rPr>
        <w:t xml:space="preserve">                                                                  </w:t>
      </w:r>
    </w:p>
    <w:p>
      <w:pPr>
        <w:pStyle w:val="125"/>
        <w:rPr>
          <w:rFonts w:hint="eastAsia" w:ascii="宋体" w:hAnsi="宋体" w:cs="宋体"/>
          <w:lang w:val="en-US"/>
        </w:rPr>
      </w:pPr>
      <w:r>
        <w:rPr>
          <w:rFonts w:hint="eastAsia" w:ascii="宋体" w:hAnsi="宋体" w:cs="宋体"/>
          <w:u w:val="single"/>
          <w:lang w:val="en-US"/>
        </w:rPr>
        <w:t xml:space="preserve">                                                               </w:t>
      </w:r>
      <w:r>
        <w:rPr>
          <w:rFonts w:hint="eastAsia" w:ascii="宋体" w:hAnsi="宋体" w:cs="宋体"/>
          <w:lang w:val="en-US"/>
        </w:rPr>
        <w:t>   </w:t>
      </w:r>
    </w:p>
    <w:p>
      <w:pPr>
        <w:pStyle w:val="125"/>
        <w:rPr>
          <w:rFonts w:hint="eastAsia" w:ascii="宋体" w:hAnsi="宋体" w:cs="宋体"/>
          <w:lang w:val="en-US"/>
        </w:rPr>
      </w:pPr>
      <w:r>
        <w:rPr>
          <w:rFonts w:hint="eastAsia" w:ascii="宋体" w:hAnsi="宋体" w:cs="宋体"/>
          <w:lang w:val="en-US"/>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pStyle w:val="125"/>
        <w:rPr>
          <w:rFonts w:hint="eastAsia" w:ascii="宋体" w:hAnsi="宋体" w:cs="宋体"/>
          <w:lang w:val="en-US"/>
        </w:rPr>
      </w:pPr>
    </w:p>
    <w:p>
      <w:pPr>
        <w:pStyle w:val="125"/>
        <w:rPr>
          <w:rFonts w:hint="eastAsia" w:ascii="宋体" w:hAnsi="宋体" w:cs="宋体"/>
          <w:lang w:val="en-US"/>
        </w:rPr>
      </w:pPr>
      <w:r>
        <w:rPr>
          <w:rFonts w:hint="eastAsia" w:ascii="宋体" w:hAnsi="宋体" w:cs="宋体"/>
          <w:lang w:val="en-US"/>
        </w:rPr>
        <w:t>         承诺单位（盖章）：</w:t>
      </w:r>
    </w:p>
    <w:p>
      <w:pPr>
        <w:pStyle w:val="125"/>
        <w:rPr>
          <w:rFonts w:hint="eastAsia" w:ascii="宋体" w:hAnsi="宋体" w:cs="宋体"/>
          <w:lang w:val="en-US"/>
        </w:rPr>
      </w:pPr>
      <w:r>
        <w:rPr>
          <w:rFonts w:hint="eastAsia" w:ascii="宋体" w:hAnsi="宋体" w:cs="宋体"/>
          <w:lang w:val="en-US"/>
        </w:rPr>
        <w:t>       法定代表人（负责人）：</w:t>
      </w:r>
    </w:p>
    <w:p>
      <w:pPr>
        <w:pStyle w:val="125"/>
        <w:ind w:firstLine="1200" w:firstLineChars="500"/>
        <w:rPr>
          <w:rFonts w:hint="eastAsia" w:ascii="宋体" w:hAnsi="宋体" w:cs="宋体"/>
          <w:lang w:val="en-US"/>
        </w:rPr>
      </w:pPr>
      <w:r>
        <w:rPr>
          <w:rFonts w:hint="eastAsia" w:ascii="宋体" w:hAnsi="宋体" w:cs="宋体"/>
          <w:lang w:val="en-US"/>
        </w:rPr>
        <w:t>法定代表人（负责人）身份证号：</w:t>
      </w:r>
    </w:p>
    <w:p>
      <w:pPr>
        <w:pStyle w:val="125"/>
        <w:rPr>
          <w:rFonts w:hint="eastAsia" w:ascii="宋体" w:hAnsi="宋体" w:cs="宋体"/>
          <w:lang w:val="en-US"/>
        </w:rPr>
      </w:pPr>
      <w:r>
        <w:rPr>
          <w:rFonts w:hint="eastAsia" w:ascii="宋体" w:hAnsi="宋体" w:cs="宋体"/>
          <w:lang w:val="en-US"/>
        </w:rPr>
        <w:t>                 承诺日期：</w:t>
      </w:r>
    </w:p>
    <w:p>
      <w:pPr>
        <w:pStyle w:val="125"/>
        <w:rPr>
          <w:rFonts w:hint="eastAsia" w:ascii="宋体" w:hAnsi="宋体" w:cs="宋体"/>
          <w:lang w:val="en-US"/>
        </w:rPr>
      </w:pPr>
      <w:r>
        <w:rPr>
          <w:rFonts w:hint="eastAsia" w:ascii="宋体" w:hAnsi="宋体" w:cs="宋体"/>
          <w:lang w:val="en-US"/>
        </w:rPr>
        <w:t>注：法定代表人或负责人、主体名称发生变更的应当重新做出承诺。</w:t>
      </w: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spacing w:val="20"/>
          <w:kern w:val="2"/>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rPr>
        <w:t>法定代表人身份证明及法定代表人授权委托书</w:t>
      </w:r>
    </w:p>
    <w:p>
      <w:pPr>
        <w:adjustRightInd w:val="0"/>
        <w:spacing w:line="348" w:lineRule="auto"/>
        <w:jc w:val="center"/>
        <w:rPr>
          <w:rFonts w:hint="eastAsia" w:ascii="宋体" w:hAnsi="宋体" w:eastAsia="宋体" w:cs="宋体"/>
          <w:b/>
          <w:bCs/>
          <w:sz w:val="44"/>
          <w:szCs w:val="44"/>
        </w:rPr>
      </w:pPr>
      <w:r>
        <w:rPr>
          <w:rFonts w:hint="eastAsia" w:ascii="宋体" w:hAnsi="宋体" w:eastAsia="宋体" w:cs="宋体"/>
          <w:b/>
          <w:bCs/>
          <w:sz w:val="44"/>
          <w:szCs w:val="44"/>
        </w:rPr>
        <w:t xml:space="preserve"> </w:t>
      </w:r>
    </w:p>
    <w:p>
      <w:pPr>
        <w:pStyle w:val="76"/>
        <w:spacing w:before="120" w:after="120" w:line="360" w:lineRule="auto"/>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法定代表人身份证明</w:t>
      </w:r>
    </w:p>
    <w:p>
      <w:pPr>
        <w:snapToGrid w:val="0"/>
        <w:spacing w:beforeLines="50" w:afterLines="50" w:line="360" w:lineRule="auto"/>
        <w:rPr>
          <w:rFonts w:hint="eastAsia" w:ascii="宋体" w:hAnsi="宋体" w:eastAsia="宋体" w:cs="宋体"/>
          <w:b/>
          <w:sz w:val="24"/>
          <w:szCs w:val="24"/>
        </w:rPr>
      </w:pP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 位 性 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姓名：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性别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年龄 </w:t>
      </w:r>
      <w:r>
        <w:rPr>
          <w:rFonts w:hint="eastAsia" w:ascii="宋体" w:hAnsi="宋体" w:eastAsia="宋体" w:cs="宋体"/>
          <w:sz w:val="24"/>
          <w:szCs w:val="24"/>
          <w:u w:val="single"/>
        </w:rPr>
        <w:t xml:space="preserve">     </w:t>
      </w:r>
      <w:r>
        <w:rPr>
          <w:rFonts w:hint="eastAsia" w:ascii="宋体" w:hAnsi="宋体" w:eastAsia="宋体" w:cs="宋体"/>
          <w:sz w:val="24"/>
          <w:szCs w:val="24"/>
        </w:rPr>
        <w:t>职务系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的法定代表人。</w:t>
      </w: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 （单位盖章）</w:t>
      </w: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年    月    日</w:t>
      </w:r>
    </w:p>
    <w:p>
      <w:pPr>
        <w:adjustRightInd w:val="0"/>
        <w:spacing w:line="360" w:lineRule="auto"/>
        <w:jc w:val="center"/>
        <w:rPr>
          <w:rFonts w:hint="eastAsia" w:ascii="宋体" w:hAnsi="宋体" w:eastAsia="宋体" w:cs="宋体"/>
          <w:sz w:val="24"/>
          <w:szCs w:val="24"/>
        </w:rPr>
      </w:pPr>
    </w:p>
    <w:p>
      <w:pPr>
        <w:adjustRightInd w:val="0"/>
        <w:spacing w:line="360" w:lineRule="auto"/>
        <w:jc w:val="center"/>
        <w:rPr>
          <w:rFonts w:hint="eastAsia" w:ascii="宋体" w:hAnsi="宋体" w:eastAsia="宋体" w:cs="宋体"/>
          <w:b/>
          <w:bCs/>
          <w:sz w:val="24"/>
          <w:szCs w:val="24"/>
        </w:rPr>
      </w:pPr>
    </w:p>
    <w:p>
      <w:pPr>
        <w:adjustRightInd w:val="0"/>
        <w:spacing w:line="360" w:lineRule="auto"/>
        <w:rPr>
          <w:rFonts w:hint="eastAsia" w:ascii="宋体" w:hAnsi="宋体" w:eastAsia="宋体" w:cs="宋体"/>
          <w:b/>
          <w:bCs/>
          <w:sz w:val="24"/>
          <w:szCs w:val="24"/>
        </w:rPr>
      </w:pPr>
    </w:p>
    <w:p>
      <w:pPr>
        <w:adjustRightInd w:val="0"/>
        <w:spacing w:line="360" w:lineRule="auto"/>
        <w:jc w:val="cente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adjustRightIn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pPr>
        <w:adjustRightInd w:val="0"/>
        <w:spacing w:line="360" w:lineRule="auto"/>
        <w:jc w:val="center"/>
        <w:rPr>
          <w:rFonts w:hint="eastAsia" w:ascii="宋体" w:hAnsi="宋体" w:eastAsia="宋体" w:cs="宋体"/>
          <w:b/>
          <w:bCs/>
          <w:sz w:val="24"/>
          <w:szCs w:val="24"/>
        </w:rPr>
      </w:pPr>
    </w:p>
    <w:p>
      <w:pPr>
        <w:adjustRightInd w:val="0"/>
        <w:spacing w:line="360" w:lineRule="auto"/>
        <w:rPr>
          <w:rFonts w:hint="eastAsia" w:ascii="宋体" w:hAnsi="宋体" w:eastAsia="宋体" w:cs="宋体"/>
          <w:b/>
          <w:sz w:val="24"/>
          <w:szCs w:val="24"/>
        </w:rPr>
      </w:pPr>
      <w:r>
        <w:rPr>
          <w:rFonts w:hint="eastAsia" w:ascii="宋体" w:hAnsi="宋体" w:cs="宋体"/>
          <w:b/>
          <w:sz w:val="24"/>
          <w:szCs w:val="24"/>
          <w:lang w:eastAsia="zh-CN"/>
        </w:rPr>
        <w:t>伍诚工程咨询股份有限公司</w:t>
      </w:r>
      <w:r>
        <w:rPr>
          <w:rFonts w:hint="eastAsia" w:ascii="宋体" w:hAnsi="宋体" w:eastAsia="宋体" w:cs="宋体"/>
          <w:b/>
          <w:sz w:val="24"/>
          <w:szCs w:val="24"/>
        </w:rPr>
        <w:t>：</w:t>
      </w:r>
    </w:p>
    <w:p>
      <w:pPr>
        <w:adjustRightIn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注册于</w:t>
      </w:r>
      <w:r>
        <w:rPr>
          <w:rFonts w:hint="eastAsia" w:ascii="宋体" w:hAnsi="宋体" w:eastAsia="宋体" w:cs="宋体"/>
          <w:sz w:val="24"/>
          <w:szCs w:val="24"/>
          <w:u w:val="single"/>
        </w:rPr>
        <w:t>（工商行政管理局名称）</w:t>
      </w:r>
      <w:r>
        <w:rPr>
          <w:rFonts w:hint="eastAsia" w:ascii="宋体" w:hAnsi="宋体" w:eastAsia="宋体" w:cs="宋体"/>
          <w:sz w:val="24"/>
          <w:szCs w:val="24"/>
        </w:rPr>
        <w:t>之</w:t>
      </w:r>
      <w:r>
        <w:rPr>
          <w:rFonts w:hint="eastAsia" w:ascii="宋体" w:hAnsi="宋体" w:eastAsia="宋体" w:cs="宋体"/>
          <w:sz w:val="24"/>
          <w:szCs w:val="24"/>
          <w:u w:val="single"/>
        </w:rPr>
        <w:t>（供应商全称）</w:t>
      </w:r>
      <w:r>
        <w:rPr>
          <w:rFonts w:hint="eastAsia" w:ascii="宋体" w:hAnsi="宋体" w:eastAsia="宋体" w:cs="宋体"/>
          <w:sz w:val="24"/>
          <w:szCs w:val="24"/>
        </w:rPr>
        <w:t>法人代表</w:t>
      </w:r>
      <w:r>
        <w:rPr>
          <w:rFonts w:hint="eastAsia" w:ascii="宋体" w:hAnsi="宋体" w:eastAsia="宋体" w:cs="宋体"/>
          <w:sz w:val="24"/>
          <w:szCs w:val="24"/>
          <w:u w:val="single"/>
        </w:rPr>
        <w:t>（姓名、职务）</w:t>
      </w:r>
      <w:r>
        <w:rPr>
          <w:rFonts w:hint="eastAsia" w:ascii="宋体" w:hAnsi="宋体" w:eastAsia="宋体" w:cs="宋体"/>
          <w:sz w:val="24"/>
          <w:szCs w:val="24"/>
        </w:rPr>
        <w:t>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的磋商及合同的执行和完成，以本公司的名义处理一切与之有关的事宜。</w:t>
      </w:r>
    </w:p>
    <w:p>
      <w:pPr>
        <w:adjustRightIn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附：被授权人姓名：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p>
    <w:p>
      <w:pPr>
        <w:adjustRightIn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adjustRightIn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rPr>
        <w:t>通讯地址：</w:t>
      </w:r>
      <w:r>
        <w:rPr>
          <w:rFonts w:hint="eastAsia" w:ascii="宋体" w:hAnsi="宋体" w:eastAsia="宋体" w:cs="宋体"/>
          <w:sz w:val="24"/>
          <w:szCs w:val="24"/>
          <w:u w:val="single"/>
        </w:rPr>
        <w:t xml:space="preserve">                                      </w:t>
      </w:r>
    </w:p>
    <w:p>
      <w:pPr>
        <w:adjustRightIn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pPr>
        <w:adjustRightInd w:val="0"/>
        <w:spacing w:line="360" w:lineRule="auto"/>
        <w:ind w:firstLine="630"/>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法定代表人及授权代表身份证复印件</w:t>
      </w:r>
    </w:p>
    <w:tbl>
      <w:tblPr>
        <w:tblStyle w:val="23"/>
        <w:tblW w:w="7934" w:type="dxa"/>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9"/>
        <w:gridCol w:w="3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授权代表身份证复印件</w:t>
            </w:r>
          </w:p>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（正反面）</w:t>
            </w:r>
          </w:p>
        </w:tc>
      </w:tr>
    </w:tbl>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供应商                         法定代表人</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（公章）：                     （签字或盖章）：</w:t>
      </w:r>
    </w:p>
    <w:p>
      <w:pPr>
        <w:adjustRightInd w:val="0"/>
        <w:spacing w:line="360" w:lineRule="auto"/>
        <w:ind w:firstLine="630"/>
        <w:rPr>
          <w:rFonts w:hint="eastAsia" w:ascii="宋体" w:hAnsi="宋体" w:eastAsia="宋体" w:cs="宋体"/>
          <w:sz w:val="24"/>
          <w:szCs w:val="24"/>
        </w:rPr>
      </w:pPr>
      <w:r>
        <w:rPr>
          <w:rFonts w:hint="eastAsia" w:ascii="宋体" w:hAnsi="宋体" w:eastAsia="宋体" w:cs="宋体"/>
          <w:sz w:val="24"/>
          <w:szCs w:val="24"/>
        </w:rPr>
        <w:t>本授权有效期：    年    月   日至     年   月   日</w:t>
      </w:r>
    </w:p>
    <w:p>
      <w:pPr>
        <w:rPr>
          <w:rFonts w:hint="eastAsia" w:ascii="宋体" w:hAnsi="宋体" w:eastAsia="宋体" w:cs="宋体"/>
          <w:sz w:val="24"/>
          <w:szCs w:val="24"/>
        </w:rPr>
      </w:pPr>
      <w:r>
        <w:rPr>
          <w:rFonts w:hint="eastAsia" w:ascii="宋体" w:hAnsi="宋体" w:eastAsia="宋体" w:cs="宋体"/>
          <w:sz w:val="24"/>
          <w:szCs w:val="24"/>
        </w:rPr>
        <w:t>（须与磋商有效期一致，从提交磋商响应文件的截止之日起 90 天）</w:t>
      </w: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adjustRightInd w:val="0"/>
        <w:snapToGrid w:val="0"/>
        <w:spacing w:line="360" w:lineRule="auto"/>
        <w:rPr>
          <w:rFonts w:hint="eastAsia" w:ascii="宋体" w:hAnsi="宋体" w:cs="宋体"/>
          <w:b/>
          <w:sz w:val="24"/>
          <w:lang w:val="en-US" w:eastAsia="zh-CN"/>
        </w:rPr>
      </w:pPr>
    </w:p>
    <w:p>
      <w:pPr>
        <w:pStyle w:val="78"/>
        <w:widowControl w:val="0"/>
        <w:adjustRightInd w:val="0"/>
        <w:spacing w:before="0" w:beforeAutospacing="0" w:after="0" w:afterAutospacing="0" w:line="360" w:lineRule="auto"/>
        <w:jc w:val="both"/>
        <w:textAlignment w:val="baseline"/>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rPr>
        <w:t>、招标文件要求的其他资格证明文件</w:t>
      </w:r>
    </w:p>
    <w:p>
      <w:pPr>
        <w:adjustRightInd w:val="0"/>
        <w:snapToGrid w:val="0"/>
        <w:spacing w:line="360" w:lineRule="auto"/>
        <w:rPr>
          <w:rFonts w:hint="eastAsia" w:ascii="宋体" w:hAnsi="宋体" w:cs="宋体"/>
          <w:b/>
          <w:sz w:val="28"/>
          <w:szCs w:val="28"/>
          <w:lang w:val="en-US" w:eastAsia="zh-CN"/>
        </w:rPr>
      </w:pPr>
    </w:p>
    <w:p>
      <w:pPr>
        <w:adjustRightInd w:val="0"/>
        <w:snapToGrid w:val="0"/>
        <w:spacing w:line="360" w:lineRule="auto"/>
        <w:rPr>
          <w:rFonts w:hint="eastAsia" w:ascii="宋体" w:hAnsi="宋体" w:cs="宋体"/>
          <w:bCs/>
          <w:sz w:val="28"/>
          <w:szCs w:val="28"/>
        </w:rPr>
      </w:pPr>
      <w:r>
        <w:rPr>
          <w:rFonts w:hint="eastAsia" w:ascii="宋体" w:hAnsi="宋体" w:cs="宋体"/>
          <w:b/>
          <w:sz w:val="28"/>
          <w:szCs w:val="28"/>
          <w:lang w:val="en-US" w:eastAsia="zh-CN"/>
        </w:rPr>
        <w:t>3</w:t>
      </w:r>
      <w:r>
        <w:rPr>
          <w:rFonts w:hint="eastAsia" w:ascii="宋体" w:hAnsi="宋体" w:cs="宋体"/>
          <w:b/>
          <w:sz w:val="28"/>
          <w:szCs w:val="28"/>
        </w:rPr>
        <w:t>-</w:t>
      </w:r>
      <w:r>
        <w:rPr>
          <w:rFonts w:hint="eastAsia" w:ascii="宋体" w:hAnsi="宋体" w:cs="宋体"/>
          <w:b/>
          <w:sz w:val="28"/>
          <w:szCs w:val="28"/>
          <w:lang w:val="en-US" w:eastAsia="zh-CN"/>
        </w:rPr>
        <w:t>6</w:t>
      </w:r>
      <w:r>
        <w:rPr>
          <w:rFonts w:hint="eastAsia" w:ascii="宋体" w:hAnsi="宋体" w:cs="宋体"/>
          <w:b/>
          <w:sz w:val="28"/>
          <w:szCs w:val="28"/>
        </w:rPr>
        <w:t>、可以证明投标人实力的其他文件（如果有）</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widowControl/>
        <w:jc w:val="center"/>
        <w:outlineLvl w:val="1"/>
        <w:rPr>
          <w:rFonts w:ascii="黑体" w:hAnsi="黑体" w:eastAsia="黑体" w:cs="Calibri Light"/>
          <w:color w:val="auto"/>
          <w:sz w:val="32"/>
          <w:szCs w:val="36"/>
        </w:rPr>
      </w:pPr>
      <w:r>
        <w:rPr>
          <w:rFonts w:ascii="黑体" w:hAnsi="黑体" w:eastAsia="黑体" w:cs="Calibri Light"/>
          <w:color w:val="auto"/>
          <w:sz w:val="32"/>
          <w:szCs w:val="36"/>
        </w:rPr>
        <w:t xml:space="preserve">第四部分  </w:t>
      </w:r>
      <w:r>
        <w:rPr>
          <w:rFonts w:hint="eastAsia" w:ascii="黑体" w:hAnsi="黑体" w:eastAsia="黑体" w:cs="Calibri Light"/>
          <w:color w:val="auto"/>
          <w:sz w:val="32"/>
          <w:szCs w:val="36"/>
          <w:lang w:eastAsia="zh-CN"/>
        </w:rPr>
        <w:t>供应</w:t>
      </w:r>
      <w:r>
        <w:rPr>
          <w:rFonts w:ascii="黑体" w:hAnsi="黑体" w:eastAsia="黑体" w:cs="Calibri Light"/>
          <w:color w:val="auto"/>
          <w:sz w:val="32"/>
          <w:szCs w:val="36"/>
        </w:rPr>
        <w:t>商概况</w:t>
      </w:r>
    </w:p>
    <w:p>
      <w:pPr>
        <w:rPr>
          <w:rFonts w:hint="eastAsia" w:ascii="宋体" w:hAnsi="宋体" w:eastAsia="宋体" w:cs="宋体"/>
          <w:b/>
          <w:bCs/>
          <w:sz w:val="24"/>
          <w:szCs w:val="24"/>
        </w:rPr>
      </w:pPr>
    </w:p>
    <w:p>
      <w:pPr>
        <w:adjustRightInd w:val="0"/>
        <w:snapToGrid w:val="0"/>
        <w:spacing w:line="360" w:lineRule="auto"/>
        <w:rPr>
          <w:rFonts w:hint="eastAsia" w:ascii="宋体" w:hAnsi="宋体" w:cs="宋体"/>
          <w:b/>
          <w:sz w:val="28"/>
          <w:szCs w:val="28"/>
        </w:rPr>
      </w:pPr>
      <w:r>
        <w:rPr>
          <w:rFonts w:hint="eastAsia" w:ascii="宋体" w:hAnsi="宋体" w:cs="宋体"/>
          <w:b/>
          <w:sz w:val="28"/>
          <w:szCs w:val="28"/>
          <w:lang w:val="en-US" w:eastAsia="zh-CN"/>
        </w:rPr>
        <w:t>4</w:t>
      </w:r>
      <w:r>
        <w:rPr>
          <w:rFonts w:hint="eastAsia" w:ascii="宋体" w:hAnsi="宋体" w:cs="宋体"/>
          <w:b/>
          <w:sz w:val="28"/>
          <w:szCs w:val="28"/>
        </w:rPr>
        <w:t>-1、</w:t>
      </w:r>
      <w:r>
        <w:rPr>
          <w:rFonts w:hint="eastAsia" w:ascii="宋体" w:hAnsi="宋体" w:cs="宋体"/>
          <w:b/>
          <w:sz w:val="28"/>
          <w:szCs w:val="28"/>
          <w:lang w:eastAsia="zh-CN"/>
        </w:rPr>
        <w:t>磋商</w:t>
      </w:r>
      <w:r>
        <w:rPr>
          <w:rFonts w:hint="eastAsia" w:ascii="宋体" w:hAnsi="宋体" w:cs="宋体"/>
          <w:b/>
          <w:sz w:val="28"/>
          <w:szCs w:val="28"/>
        </w:rPr>
        <w:t>供应商的基本情况介绍和资格声明</w:t>
      </w:r>
    </w:p>
    <w:p>
      <w:pPr>
        <w:adjustRightInd w:val="0"/>
        <w:snapToGrid w:val="0"/>
        <w:spacing w:line="360" w:lineRule="auto"/>
        <w:jc w:val="center"/>
        <w:rPr>
          <w:rFonts w:hint="eastAsia" w:ascii="宋体" w:hAnsi="宋体" w:cs="宋体"/>
          <w:b/>
          <w:bCs/>
          <w:sz w:val="24"/>
          <w:szCs w:val="24"/>
        </w:rPr>
      </w:pPr>
      <w:r>
        <w:rPr>
          <w:rFonts w:hint="eastAsia" w:ascii="宋体" w:hAnsi="宋体" w:cs="宋体"/>
          <w:b/>
          <w:sz w:val="24"/>
          <w:szCs w:val="24"/>
        </w:rPr>
        <w:t>投标人资格声明</w:t>
      </w:r>
    </w:p>
    <w:p>
      <w:pPr>
        <w:numPr>
          <w:ilvl w:val="0"/>
          <w:numId w:val="10"/>
        </w:numPr>
        <w:adjustRightInd w:val="0"/>
        <w:snapToGrid w:val="0"/>
        <w:spacing w:line="360" w:lineRule="auto"/>
        <w:jc w:val="left"/>
        <w:rPr>
          <w:rFonts w:hint="eastAsia" w:ascii="宋体" w:hAnsi="宋体" w:cs="宋体"/>
          <w:sz w:val="24"/>
        </w:rPr>
      </w:pPr>
      <w:r>
        <w:rPr>
          <w:rFonts w:hint="eastAsia" w:ascii="宋体" w:hAnsi="宋体" w:cs="宋体"/>
          <w:sz w:val="24"/>
        </w:rPr>
        <w:t>名称及其它情况</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投标人名称：____________________________________</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电  话：</w:t>
      </w:r>
      <w:r>
        <w:rPr>
          <w:rFonts w:hint="eastAsia" w:ascii="宋体" w:hAnsi="宋体" w:cs="宋体"/>
          <w:sz w:val="24"/>
          <w:u w:val="single"/>
        </w:rPr>
        <w:t xml:space="preserve">             </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成立和注册日期：</w:t>
      </w:r>
      <w:r>
        <w:rPr>
          <w:rFonts w:hint="eastAsia" w:ascii="宋体" w:hAnsi="宋体" w:cs="宋体"/>
          <w:sz w:val="24"/>
          <w:u w:val="single"/>
        </w:rPr>
        <w:t xml:space="preserve">                                </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主管部门：</w:t>
      </w:r>
      <w:r>
        <w:rPr>
          <w:rFonts w:hint="eastAsia" w:ascii="宋体" w:hAnsi="宋体" w:cs="宋体"/>
          <w:sz w:val="24"/>
          <w:u w:val="single"/>
        </w:rPr>
        <w:t xml:space="preserve">                                      </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公司性质：</w:t>
      </w:r>
      <w:r>
        <w:rPr>
          <w:rFonts w:hint="eastAsia" w:ascii="宋体" w:hAnsi="宋体" w:cs="宋体"/>
          <w:sz w:val="24"/>
          <w:u w:val="single"/>
        </w:rPr>
        <w:t xml:space="preserve">                                      </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职工总人数：</w:t>
      </w:r>
      <w:r>
        <w:rPr>
          <w:rFonts w:hint="eastAsia" w:ascii="宋体" w:hAnsi="宋体" w:cs="宋体"/>
          <w:sz w:val="24"/>
          <w:u w:val="single"/>
        </w:rPr>
        <w:t xml:space="preserve">                                    </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工程技术及管理人员数分别为：</w:t>
      </w:r>
      <w:r>
        <w:rPr>
          <w:rFonts w:hint="eastAsia" w:ascii="宋体" w:hAnsi="宋体" w:cs="宋体"/>
          <w:sz w:val="24"/>
          <w:u w:val="single"/>
        </w:rPr>
        <w:t xml:space="preserve">                    </w:t>
      </w:r>
    </w:p>
    <w:p>
      <w:pPr>
        <w:numPr>
          <w:ilvl w:val="0"/>
          <w:numId w:val="11"/>
        </w:numPr>
        <w:adjustRightInd w:val="0"/>
        <w:snapToGrid w:val="0"/>
        <w:spacing w:line="360" w:lineRule="auto"/>
        <w:ind w:left="210" w:leftChars="100"/>
        <w:jc w:val="left"/>
        <w:rPr>
          <w:rFonts w:hint="eastAsia" w:ascii="宋体" w:hAnsi="宋体" w:cs="宋体"/>
          <w:sz w:val="24"/>
        </w:rPr>
      </w:pPr>
      <w:r>
        <w:rPr>
          <w:rFonts w:hint="eastAsia" w:ascii="宋体" w:hAnsi="宋体" w:cs="宋体"/>
          <w:sz w:val="24"/>
        </w:rPr>
        <w:t xml:space="preserve">本年度投标人的主要财务情况（到  </w:t>
      </w:r>
      <w:r>
        <w:rPr>
          <w:rFonts w:hint="eastAsia" w:ascii="宋体" w:hAnsi="宋体" w:cs="宋体"/>
          <w:sz w:val="24"/>
          <w:u w:val="single"/>
        </w:rPr>
        <w:t xml:space="preserve">年  月  日 </w:t>
      </w:r>
      <w:r>
        <w:rPr>
          <w:rFonts w:hint="eastAsia" w:ascii="宋体" w:hAnsi="宋体" w:cs="宋体"/>
          <w:sz w:val="24"/>
        </w:rPr>
        <w:t>止）</w:t>
      </w:r>
    </w:p>
    <w:p>
      <w:pPr>
        <w:numPr>
          <w:ilvl w:val="0"/>
          <w:numId w:val="12"/>
        </w:numPr>
        <w:adjustRightInd w:val="0"/>
        <w:snapToGrid w:val="0"/>
        <w:spacing w:line="360" w:lineRule="auto"/>
        <w:ind w:left="691" w:leftChars="329"/>
        <w:jc w:val="left"/>
        <w:rPr>
          <w:rFonts w:hint="eastAsia" w:ascii="宋体" w:hAnsi="宋体" w:cs="宋体"/>
          <w:sz w:val="24"/>
        </w:rPr>
      </w:pPr>
      <w:r>
        <w:rPr>
          <w:rFonts w:hint="eastAsia" w:ascii="宋体" w:hAnsi="宋体" w:cs="宋体"/>
          <w:sz w:val="24"/>
        </w:rPr>
        <w:t>注册资金：</w:t>
      </w:r>
      <w:r>
        <w:rPr>
          <w:rFonts w:hint="eastAsia" w:ascii="宋体" w:hAnsi="宋体" w:cs="宋体"/>
          <w:sz w:val="24"/>
          <w:u w:val="single"/>
        </w:rPr>
        <w:t xml:space="preserve">                </w:t>
      </w:r>
    </w:p>
    <w:p>
      <w:pPr>
        <w:numPr>
          <w:ilvl w:val="0"/>
          <w:numId w:val="12"/>
        </w:numPr>
        <w:adjustRightInd w:val="0"/>
        <w:snapToGrid w:val="0"/>
        <w:spacing w:line="360" w:lineRule="auto"/>
        <w:ind w:left="691" w:leftChars="329"/>
        <w:jc w:val="left"/>
        <w:rPr>
          <w:rFonts w:hint="eastAsia" w:ascii="宋体" w:hAnsi="宋体" w:cs="宋体"/>
          <w:sz w:val="24"/>
        </w:rPr>
      </w:pPr>
      <w:r>
        <w:rPr>
          <w:rFonts w:hint="eastAsia" w:ascii="宋体" w:hAnsi="宋体" w:cs="宋体"/>
          <w:sz w:val="24"/>
        </w:rPr>
        <w:t>固定资产：</w:t>
      </w:r>
      <w:r>
        <w:rPr>
          <w:rFonts w:hint="eastAsia" w:ascii="宋体" w:hAnsi="宋体" w:cs="宋体"/>
          <w:sz w:val="24"/>
          <w:u w:val="single"/>
        </w:rPr>
        <w:t xml:space="preserve">                </w:t>
      </w:r>
    </w:p>
    <w:p>
      <w:pPr>
        <w:adjustRightInd w:val="0"/>
        <w:snapToGrid w:val="0"/>
        <w:spacing w:line="360" w:lineRule="auto"/>
        <w:jc w:val="left"/>
        <w:rPr>
          <w:rFonts w:hint="eastAsia" w:ascii="宋体" w:hAnsi="宋体" w:cs="宋体"/>
          <w:sz w:val="24"/>
          <w:u w:val="single"/>
        </w:rPr>
      </w:pPr>
      <w:r>
        <w:rPr>
          <w:rFonts w:hint="eastAsia" w:ascii="宋体" w:hAnsi="宋体" w:cs="宋体"/>
          <w:sz w:val="24"/>
        </w:rPr>
        <w:t xml:space="preserve">      原    值：</w:t>
      </w:r>
      <w:r>
        <w:rPr>
          <w:rFonts w:hint="eastAsia" w:ascii="宋体" w:hAnsi="宋体" w:cs="宋体"/>
          <w:sz w:val="24"/>
          <w:u w:val="single"/>
        </w:rPr>
        <w:t xml:space="preserve">                      </w:t>
      </w:r>
    </w:p>
    <w:p>
      <w:pPr>
        <w:adjustRightInd w:val="0"/>
        <w:snapToGrid w:val="0"/>
        <w:spacing w:line="360" w:lineRule="auto"/>
        <w:jc w:val="left"/>
        <w:rPr>
          <w:rFonts w:hint="eastAsia" w:ascii="宋体" w:hAnsi="宋体" w:cs="宋体"/>
          <w:sz w:val="24"/>
        </w:rPr>
      </w:pPr>
      <w:r>
        <w:rPr>
          <w:rFonts w:hint="eastAsia" w:ascii="宋体" w:hAnsi="宋体" w:cs="宋体"/>
          <w:sz w:val="24"/>
        </w:rPr>
        <w:t xml:space="preserve">      净    值：</w:t>
      </w:r>
      <w:r>
        <w:rPr>
          <w:rFonts w:hint="eastAsia" w:ascii="宋体" w:hAnsi="宋体" w:cs="宋体"/>
          <w:sz w:val="24"/>
          <w:u w:val="single"/>
        </w:rPr>
        <w:t xml:space="preserve">                      </w:t>
      </w:r>
    </w:p>
    <w:p>
      <w:pPr>
        <w:numPr>
          <w:ilvl w:val="0"/>
          <w:numId w:val="12"/>
        </w:numPr>
        <w:adjustRightInd w:val="0"/>
        <w:snapToGrid w:val="0"/>
        <w:spacing w:line="360" w:lineRule="auto"/>
        <w:ind w:left="691" w:leftChars="329"/>
        <w:jc w:val="left"/>
        <w:rPr>
          <w:rFonts w:hint="eastAsia" w:ascii="宋体" w:hAnsi="宋体" w:cs="宋体"/>
          <w:sz w:val="24"/>
        </w:rPr>
      </w:pPr>
      <w:r>
        <w:rPr>
          <w:rFonts w:hint="eastAsia" w:ascii="宋体" w:hAnsi="宋体" w:cs="宋体"/>
          <w:sz w:val="24"/>
        </w:rPr>
        <w:t>流动资产：</w:t>
      </w:r>
      <w:r>
        <w:rPr>
          <w:rFonts w:hint="eastAsia" w:ascii="宋体" w:hAnsi="宋体" w:cs="宋体"/>
          <w:sz w:val="24"/>
          <w:u w:val="single"/>
        </w:rPr>
        <w:t xml:space="preserve">                 </w:t>
      </w:r>
    </w:p>
    <w:p>
      <w:pPr>
        <w:numPr>
          <w:ilvl w:val="0"/>
          <w:numId w:val="12"/>
        </w:numPr>
        <w:adjustRightInd w:val="0"/>
        <w:snapToGrid w:val="0"/>
        <w:spacing w:line="360" w:lineRule="auto"/>
        <w:ind w:left="691" w:leftChars="329"/>
        <w:jc w:val="left"/>
        <w:rPr>
          <w:rFonts w:hint="eastAsia" w:ascii="宋体" w:hAnsi="宋体" w:cs="宋体"/>
          <w:sz w:val="24"/>
        </w:rPr>
      </w:pPr>
      <w:r>
        <w:rPr>
          <w:rFonts w:hint="eastAsia" w:ascii="宋体" w:hAnsi="宋体" w:cs="宋体"/>
          <w:sz w:val="24"/>
        </w:rPr>
        <w:t>长期负债：</w:t>
      </w:r>
      <w:r>
        <w:rPr>
          <w:rFonts w:hint="eastAsia" w:ascii="宋体" w:hAnsi="宋体" w:cs="宋体"/>
          <w:sz w:val="24"/>
          <w:u w:val="single"/>
        </w:rPr>
        <w:t xml:space="preserve">                 </w:t>
      </w:r>
    </w:p>
    <w:p>
      <w:pPr>
        <w:numPr>
          <w:ilvl w:val="0"/>
          <w:numId w:val="12"/>
        </w:numPr>
        <w:adjustRightInd w:val="0"/>
        <w:snapToGrid w:val="0"/>
        <w:spacing w:line="360" w:lineRule="auto"/>
        <w:ind w:left="691" w:leftChars="329"/>
        <w:jc w:val="left"/>
        <w:rPr>
          <w:rFonts w:hint="eastAsia" w:ascii="宋体" w:hAnsi="宋体" w:cs="宋体"/>
          <w:sz w:val="24"/>
        </w:rPr>
      </w:pPr>
      <w:r>
        <w:rPr>
          <w:rFonts w:hint="eastAsia" w:ascii="宋体" w:hAnsi="宋体" w:cs="宋体"/>
          <w:sz w:val="24"/>
        </w:rPr>
        <w:t>短期负债：</w:t>
      </w:r>
      <w:r>
        <w:rPr>
          <w:rFonts w:hint="eastAsia" w:ascii="宋体" w:hAnsi="宋体" w:cs="宋体"/>
          <w:sz w:val="24"/>
          <w:u w:val="single"/>
        </w:rPr>
        <w:t xml:space="preserve">                 </w:t>
      </w:r>
    </w:p>
    <w:p>
      <w:pPr>
        <w:numPr>
          <w:ilvl w:val="0"/>
          <w:numId w:val="12"/>
        </w:numPr>
        <w:adjustRightInd w:val="0"/>
        <w:snapToGrid w:val="0"/>
        <w:spacing w:line="360" w:lineRule="auto"/>
        <w:ind w:left="691" w:leftChars="329"/>
        <w:jc w:val="left"/>
        <w:rPr>
          <w:rFonts w:hint="eastAsia" w:ascii="宋体" w:hAnsi="宋体" w:cs="宋体"/>
          <w:sz w:val="24"/>
        </w:rPr>
      </w:pPr>
      <w:r>
        <w:rPr>
          <w:rFonts w:hint="eastAsia" w:ascii="宋体" w:hAnsi="宋体" w:cs="宋体"/>
          <w:sz w:val="24"/>
        </w:rPr>
        <w:t>销售收入/主营业务收入：</w:t>
      </w:r>
      <w:r>
        <w:rPr>
          <w:rFonts w:hint="eastAsia" w:ascii="宋体" w:hAnsi="宋体" w:cs="宋体"/>
          <w:sz w:val="24"/>
          <w:u w:val="single"/>
        </w:rPr>
        <w:t xml:space="preserve">                   </w:t>
      </w:r>
    </w:p>
    <w:p>
      <w:pPr>
        <w:numPr>
          <w:ilvl w:val="0"/>
          <w:numId w:val="10"/>
        </w:numPr>
        <w:adjustRightInd w:val="0"/>
        <w:snapToGrid w:val="0"/>
        <w:spacing w:line="360" w:lineRule="auto"/>
        <w:jc w:val="left"/>
        <w:rPr>
          <w:rFonts w:hint="eastAsia" w:ascii="宋体" w:hAnsi="宋体" w:cs="宋体"/>
          <w:sz w:val="24"/>
        </w:rPr>
      </w:pPr>
      <w:r>
        <w:rPr>
          <w:rFonts w:hint="eastAsia" w:ascii="宋体" w:hAnsi="宋体" w:cs="宋体"/>
          <w:sz w:val="24"/>
        </w:rPr>
        <w:t>最近三年的年度总营业额：</w:t>
      </w:r>
      <w:r>
        <w:rPr>
          <w:rFonts w:hint="eastAsia" w:ascii="宋体" w:hAnsi="宋体" w:cs="宋体"/>
          <w:sz w:val="24"/>
          <w:u w:val="single"/>
        </w:rPr>
        <w:t xml:space="preserve">                   </w:t>
      </w:r>
    </w:p>
    <w:p>
      <w:pPr>
        <w:numPr>
          <w:ilvl w:val="0"/>
          <w:numId w:val="10"/>
        </w:numPr>
        <w:adjustRightInd w:val="0"/>
        <w:snapToGrid w:val="0"/>
        <w:spacing w:line="360" w:lineRule="auto"/>
        <w:jc w:val="left"/>
        <w:rPr>
          <w:rFonts w:hint="eastAsia" w:ascii="宋体" w:hAnsi="宋体" w:cs="宋体"/>
          <w:sz w:val="24"/>
        </w:rPr>
      </w:pPr>
      <w:r>
        <w:rPr>
          <w:rFonts w:hint="eastAsia" w:ascii="宋体" w:hAnsi="宋体" w:cs="宋体"/>
          <w:sz w:val="24"/>
        </w:rPr>
        <w:t>投标人最近三年法律纠纷情况</w:t>
      </w:r>
    </w:p>
    <w:tbl>
      <w:tblPr>
        <w:tblStyle w:val="23"/>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9"/>
        <w:gridCol w:w="1729"/>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时间</w:t>
            </w:r>
          </w:p>
        </w:tc>
        <w:tc>
          <w:tcPr>
            <w:tcW w:w="215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案由</w:t>
            </w:r>
          </w:p>
        </w:tc>
        <w:tc>
          <w:tcPr>
            <w:tcW w:w="1729"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涉及金额</w:t>
            </w:r>
          </w:p>
        </w:tc>
        <w:tc>
          <w:tcPr>
            <w:tcW w:w="2765"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adjustRightInd w:val="0"/>
              <w:snapToGrid w:val="0"/>
              <w:spacing w:line="360" w:lineRule="auto"/>
              <w:jc w:val="left"/>
              <w:rPr>
                <w:rFonts w:hint="eastAsia" w:ascii="宋体" w:hAnsi="宋体" w:cs="宋体"/>
                <w:sz w:val="24"/>
              </w:rPr>
            </w:pPr>
          </w:p>
        </w:tc>
        <w:tc>
          <w:tcPr>
            <w:tcW w:w="2159" w:type="dxa"/>
            <w:noWrap w:val="0"/>
            <w:vAlign w:val="top"/>
          </w:tcPr>
          <w:p>
            <w:pPr>
              <w:adjustRightInd w:val="0"/>
              <w:snapToGrid w:val="0"/>
              <w:spacing w:line="360" w:lineRule="auto"/>
              <w:jc w:val="left"/>
              <w:rPr>
                <w:rFonts w:hint="eastAsia" w:ascii="宋体" w:hAnsi="宋体" w:cs="宋体"/>
                <w:sz w:val="24"/>
              </w:rPr>
            </w:pPr>
          </w:p>
        </w:tc>
        <w:tc>
          <w:tcPr>
            <w:tcW w:w="1729" w:type="dxa"/>
            <w:noWrap w:val="0"/>
            <w:vAlign w:val="top"/>
          </w:tcPr>
          <w:p>
            <w:pPr>
              <w:adjustRightInd w:val="0"/>
              <w:snapToGrid w:val="0"/>
              <w:spacing w:line="360" w:lineRule="auto"/>
              <w:jc w:val="left"/>
              <w:rPr>
                <w:rFonts w:hint="eastAsia" w:ascii="宋体" w:hAnsi="宋体" w:cs="宋体"/>
                <w:sz w:val="24"/>
              </w:rPr>
            </w:pPr>
          </w:p>
        </w:tc>
        <w:tc>
          <w:tcPr>
            <w:tcW w:w="2765" w:type="dxa"/>
            <w:noWrap w:val="0"/>
            <w:vAlign w:val="top"/>
          </w:tcPr>
          <w:p>
            <w:pPr>
              <w:adjustRightInd w:val="0"/>
              <w:snapToGrid w:val="0"/>
              <w:spacing w:line="360"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adjustRightInd w:val="0"/>
              <w:snapToGrid w:val="0"/>
              <w:spacing w:line="360" w:lineRule="auto"/>
              <w:jc w:val="left"/>
              <w:rPr>
                <w:rFonts w:hint="eastAsia" w:ascii="宋体" w:hAnsi="宋体" w:cs="宋体"/>
                <w:sz w:val="24"/>
              </w:rPr>
            </w:pPr>
          </w:p>
        </w:tc>
        <w:tc>
          <w:tcPr>
            <w:tcW w:w="2159" w:type="dxa"/>
            <w:noWrap w:val="0"/>
            <w:vAlign w:val="top"/>
          </w:tcPr>
          <w:p>
            <w:pPr>
              <w:adjustRightInd w:val="0"/>
              <w:snapToGrid w:val="0"/>
              <w:spacing w:line="360" w:lineRule="auto"/>
              <w:jc w:val="left"/>
              <w:rPr>
                <w:rFonts w:hint="eastAsia" w:ascii="宋体" w:hAnsi="宋体" w:cs="宋体"/>
                <w:sz w:val="24"/>
              </w:rPr>
            </w:pPr>
          </w:p>
        </w:tc>
        <w:tc>
          <w:tcPr>
            <w:tcW w:w="1729" w:type="dxa"/>
            <w:noWrap w:val="0"/>
            <w:vAlign w:val="top"/>
          </w:tcPr>
          <w:p>
            <w:pPr>
              <w:adjustRightInd w:val="0"/>
              <w:snapToGrid w:val="0"/>
              <w:spacing w:line="360" w:lineRule="auto"/>
              <w:jc w:val="left"/>
              <w:rPr>
                <w:rFonts w:hint="eastAsia" w:ascii="宋体" w:hAnsi="宋体" w:cs="宋体"/>
                <w:sz w:val="24"/>
              </w:rPr>
            </w:pPr>
          </w:p>
        </w:tc>
        <w:tc>
          <w:tcPr>
            <w:tcW w:w="2765" w:type="dxa"/>
            <w:noWrap w:val="0"/>
            <w:vAlign w:val="top"/>
          </w:tcPr>
          <w:p>
            <w:pPr>
              <w:adjustRightInd w:val="0"/>
              <w:snapToGrid w:val="0"/>
              <w:spacing w:line="360"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5" w:type="dxa"/>
            <w:noWrap w:val="0"/>
            <w:vAlign w:val="top"/>
          </w:tcPr>
          <w:p>
            <w:pPr>
              <w:adjustRightInd w:val="0"/>
              <w:snapToGrid w:val="0"/>
              <w:spacing w:line="360" w:lineRule="auto"/>
              <w:jc w:val="left"/>
              <w:rPr>
                <w:rFonts w:hint="eastAsia" w:ascii="宋体" w:hAnsi="宋体" w:cs="宋体"/>
                <w:sz w:val="24"/>
              </w:rPr>
            </w:pPr>
          </w:p>
        </w:tc>
        <w:tc>
          <w:tcPr>
            <w:tcW w:w="2159" w:type="dxa"/>
            <w:noWrap w:val="0"/>
            <w:vAlign w:val="top"/>
          </w:tcPr>
          <w:p>
            <w:pPr>
              <w:adjustRightInd w:val="0"/>
              <w:snapToGrid w:val="0"/>
              <w:spacing w:line="360" w:lineRule="auto"/>
              <w:jc w:val="left"/>
              <w:rPr>
                <w:rFonts w:hint="eastAsia" w:ascii="宋体" w:hAnsi="宋体" w:cs="宋体"/>
                <w:sz w:val="24"/>
              </w:rPr>
            </w:pPr>
          </w:p>
        </w:tc>
        <w:tc>
          <w:tcPr>
            <w:tcW w:w="1729" w:type="dxa"/>
            <w:noWrap w:val="0"/>
            <w:vAlign w:val="top"/>
          </w:tcPr>
          <w:p>
            <w:pPr>
              <w:adjustRightInd w:val="0"/>
              <w:snapToGrid w:val="0"/>
              <w:spacing w:line="360" w:lineRule="auto"/>
              <w:jc w:val="left"/>
              <w:rPr>
                <w:rFonts w:hint="eastAsia" w:ascii="宋体" w:hAnsi="宋体" w:cs="宋体"/>
                <w:sz w:val="24"/>
              </w:rPr>
            </w:pPr>
          </w:p>
        </w:tc>
        <w:tc>
          <w:tcPr>
            <w:tcW w:w="2765" w:type="dxa"/>
            <w:noWrap w:val="0"/>
            <w:vAlign w:val="top"/>
          </w:tcPr>
          <w:p>
            <w:pPr>
              <w:adjustRightInd w:val="0"/>
              <w:snapToGrid w:val="0"/>
              <w:spacing w:line="360" w:lineRule="auto"/>
              <w:jc w:val="left"/>
              <w:rPr>
                <w:rFonts w:hint="eastAsia" w:ascii="宋体" w:hAnsi="宋体" w:cs="宋体"/>
                <w:sz w:val="24"/>
              </w:rPr>
            </w:pPr>
          </w:p>
        </w:tc>
      </w:tr>
    </w:tbl>
    <w:p>
      <w:pPr>
        <w:adjustRightInd w:val="0"/>
        <w:snapToGrid w:val="0"/>
        <w:spacing w:line="360" w:lineRule="auto"/>
        <w:jc w:val="left"/>
        <w:rPr>
          <w:rFonts w:hint="eastAsia" w:ascii="宋体" w:hAnsi="宋体" w:cs="宋体"/>
          <w:sz w:val="24"/>
        </w:rPr>
      </w:pPr>
      <w:r>
        <w:rPr>
          <w:rFonts w:hint="eastAsia" w:ascii="宋体" w:hAnsi="宋体" w:cs="宋体"/>
          <w:sz w:val="24"/>
        </w:rPr>
        <w:t>4、有关银行的名称和地址：</w:t>
      </w:r>
      <w:r>
        <w:rPr>
          <w:rFonts w:hint="eastAsia" w:ascii="宋体" w:hAnsi="宋体" w:cs="宋体"/>
          <w:sz w:val="24"/>
          <w:u w:val="single"/>
        </w:rPr>
        <w:t xml:space="preserve">                        </w:t>
      </w:r>
    </w:p>
    <w:p>
      <w:pPr>
        <w:adjustRightInd w:val="0"/>
        <w:snapToGrid w:val="0"/>
        <w:spacing w:line="360" w:lineRule="auto"/>
        <w:jc w:val="left"/>
        <w:rPr>
          <w:rFonts w:hint="eastAsia" w:ascii="宋体" w:hAnsi="宋体" w:cs="宋体"/>
          <w:sz w:val="24"/>
        </w:rPr>
      </w:pPr>
      <w:r>
        <w:rPr>
          <w:rFonts w:hint="eastAsia" w:ascii="宋体" w:hAnsi="宋体" w:cs="宋体"/>
          <w:sz w:val="24"/>
        </w:rPr>
        <w:t>5、其他情况：</w:t>
      </w:r>
      <w:r>
        <w:rPr>
          <w:rFonts w:hint="eastAsia" w:ascii="宋体" w:hAnsi="宋体" w:cs="宋体"/>
          <w:sz w:val="24"/>
          <w:u w:val="single"/>
        </w:rPr>
        <w:t xml:space="preserve">                                    </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我们保证上述声明是真实的、正确的，并提供了全部能提供的资料和数据；如贵方要求我们同意出示进一步证明文件。</w:t>
      </w:r>
    </w:p>
    <w:p>
      <w:pPr>
        <w:adjustRightInd w:val="0"/>
        <w:snapToGrid w:val="0"/>
        <w:spacing w:line="360" w:lineRule="auto"/>
        <w:jc w:val="left"/>
        <w:rPr>
          <w:rFonts w:hint="eastAsia"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p>
    <w:p>
      <w:pPr>
        <w:adjustRightInd w:val="0"/>
        <w:snapToGrid w:val="0"/>
        <w:spacing w:line="360" w:lineRule="auto"/>
        <w:jc w:val="left"/>
        <w:rPr>
          <w:rFonts w:hint="eastAsia" w:ascii="宋体" w:hAnsi="宋体" w:cs="宋体"/>
          <w:sz w:val="24"/>
        </w:rPr>
      </w:pPr>
      <w:r>
        <w:rPr>
          <w:rFonts w:hint="eastAsia" w:ascii="宋体" w:hAnsi="宋体" w:cs="宋体"/>
          <w:sz w:val="24"/>
        </w:rPr>
        <w:t>授权代表的职务：</w:t>
      </w:r>
      <w:r>
        <w:rPr>
          <w:rFonts w:hint="eastAsia" w:ascii="宋体" w:hAnsi="宋体" w:cs="宋体"/>
          <w:sz w:val="24"/>
          <w:u w:val="single"/>
        </w:rPr>
        <w:t xml:space="preserve">                    </w:t>
      </w:r>
    </w:p>
    <w:p>
      <w:pPr>
        <w:adjustRightInd w:val="0"/>
        <w:snapToGrid w:val="0"/>
        <w:spacing w:line="360" w:lineRule="auto"/>
        <w:jc w:val="left"/>
        <w:rPr>
          <w:rFonts w:hint="eastAsia" w:ascii="宋体" w:hAnsi="宋体" w:cs="宋体"/>
          <w:sz w:val="24"/>
        </w:rPr>
      </w:pPr>
      <w:r>
        <w:rPr>
          <w:rFonts w:hint="eastAsia" w:ascii="宋体" w:hAnsi="宋体" w:cs="宋体"/>
          <w:sz w:val="24"/>
        </w:rPr>
        <w:t>电话号和传真号：</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lang w:eastAsia="zh-CN"/>
        </w:rPr>
        <w:t>磋商</w:t>
      </w:r>
      <w:r>
        <w:rPr>
          <w:rFonts w:hint="eastAsia" w:ascii="宋体" w:hAnsi="宋体" w:cs="宋体"/>
          <w:sz w:val="24"/>
        </w:rPr>
        <w:t>供应商（公章）：</w:t>
      </w:r>
    </w:p>
    <w:p>
      <w:pPr>
        <w:adjustRightInd w:val="0"/>
        <w:snapToGrid w:val="0"/>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pStyle w:val="21"/>
        <w:rPr>
          <w:rFonts w:hint="eastAsia" w:ascii="宋体" w:hAnsi="宋体" w:eastAsia="宋体" w:cs="宋体"/>
          <w:b/>
          <w:bCs/>
          <w:sz w:val="24"/>
          <w:szCs w:val="24"/>
        </w:rPr>
      </w:pPr>
    </w:p>
    <w:p>
      <w:pPr>
        <w:rPr>
          <w:rFonts w:hint="eastAsia" w:ascii="宋体" w:hAnsi="宋体" w:eastAsia="宋体" w:cs="宋体"/>
          <w:b/>
          <w:bCs/>
          <w:sz w:val="24"/>
          <w:szCs w:val="24"/>
        </w:rPr>
      </w:pPr>
    </w:p>
    <w:p>
      <w:pPr>
        <w:adjustRightInd w:val="0"/>
        <w:snapToGrid w:val="0"/>
        <w:spacing w:line="360" w:lineRule="auto"/>
        <w:rPr>
          <w:rFonts w:hint="eastAsia" w:ascii="宋体" w:hAnsi="宋体" w:cs="宋体"/>
          <w:b/>
          <w:sz w:val="28"/>
          <w:szCs w:val="28"/>
        </w:rPr>
      </w:pPr>
      <w:r>
        <w:rPr>
          <w:rFonts w:hint="eastAsia" w:ascii="宋体" w:hAnsi="宋体" w:cs="宋体"/>
          <w:b/>
          <w:sz w:val="28"/>
          <w:szCs w:val="28"/>
          <w:lang w:val="en-US" w:eastAsia="zh-CN"/>
        </w:rPr>
        <w:t>4-2</w:t>
      </w:r>
      <w:r>
        <w:rPr>
          <w:rFonts w:hint="eastAsia" w:ascii="宋体" w:hAnsi="宋体" w:cs="宋体"/>
          <w:b/>
          <w:sz w:val="28"/>
          <w:szCs w:val="28"/>
          <w:lang w:eastAsia="zh-CN"/>
        </w:rPr>
        <w:t>供应</w:t>
      </w:r>
      <w:r>
        <w:rPr>
          <w:rFonts w:hint="eastAsia" w:ascii="宋体" w:hAnsi="宋体" w:cs="宋体"/>
          <w:b/>
          <w:sz w:val="28"/>
          <w:szCs w:val="28"/>
        </w:rPr>
        <w:t>商性质</w:t>
      </w:r>
    </w:p>
    <w:p>
      <w:pPr>
        <w:rPr>
          <w:rFonts w:hint="eastAsia" w:ascii="宋体" w:hAnsi="宋体" w:eastAsia="宋体" w:cs="宋体"/>
          <w:b/>
          <w:bCs/>
          <w:sz w:val="24"/>
          <w:szCs w:val="24"/>
        </w:rPr>
      </w:pPr>
    </w:p>
    <w:p>
      <w:pPr>
        <w:widowControl/>
        <w:spacing w:line="400" w:lineRule="exact"/>
        <w:ind w:firstLine="560" w:firstLineChars="200"/>
        <w:rPr>
          <w:rFonts w:ascii="Calibri Light" w:hAnsi="Calibri Light" w:eastAsia="华文仿宋" w:cs="Calibri Light"/>
          <w:color w:val="auto"/>
          <w:sz w:val="28"/>
          <w:szCs w:val="28"/>
        </w:rPr>
      </w:pPr>
      <w:r>
        <w:rPr>
          <w:rFonts w:hint="eastAsia" w:ascii="Calibri Light" w:hAnsi="Calibri Light" w:eastAsia="华文仿宋" w:cs="Calibri Light"/>
          <w:color w:val="000000"/>
          <w:sz w:val="28"/>
          <w:szCs w:val="28"/>
        </w:rPr>
        <w:t>1、</w:t>
      </w:r>
      <w:r>
        <w:rPr>
          <w:rFonts w:hint="eastAsia" w:ascii="Calibri Light" w:hAnsi="Calibri Light" w:eastAsia="华文仿宋" w:cs="Calibri Light"/>
          <w:color w:val="000000"/>
          <w:sz w:val="28"/>
          <w:szCs w:val="28"/>
          <w:lang w:eastAsia="zh-CN"/>
        </w:rPr>
        <w:t>供应</w:t>
      </w:r>
      <w:r>
        <w:rPr>
          <w:rFonts w:ascii="Calibri Light" w:hAnsi="Calibri Light" w:eastAsia="华文仿宋" w:cs="Calibri Light"/>
          <w:color w:val="000000"/>
          <w:sz w:val="28"/>
          <w:szCs w:val="28"/>
        </w:rPr>
        <w:t>商</w:t>
      </w:r>
      <w:r>
        <w:rPr>
          <w:rFonts w:hint="eastAsia" w:ascii="Calibri Light" w:hAnsi="Calibri Light" w:eastAsia="华文仿宋" w:cs="Calibri Light"/>
          <w:color w:val="000000"/>
          <w:sz w:val="28"/>
          <w:szCs w:val="28"/>
        </w:rPr>
        <w:t>为</w:t>
      </w:r>
      <w:r>
        <w:rPr>
          <w:rFonts w:ascii="Calibri Light" w:hAnsi="Calibri Light" w:eastAsia="华文仿宋" w:cs="Calibri Light"/>
          <w:color w:val="000000"/>
          <w:sz w:val="28"/>
          <w:szCs w:val="28"/>
        </w:rPr>
        <w:t>中小企业</w:t>
      </w:r>
      <w:r>
        <w:rPr>
          <w:rFonts w:hint="eastAsia" w:ascii="Calibri Light" w:hAnsi="Calibri Light" w:eastAsia="华文仿宋" w:cs="Calibri Light"/>
          <w:color w:val="000000"/>
          <w:sz w:val="28"/>
          <w:szCs w:val="28"/>
        </w:rPr>
        <w:t>或</w:t>
      </w:r>
      <w:r>
        <w:rPr>
          <w:rFonts w:ascii="Calibri Light" w:hAnsi="Calibri Light" w:eastAsia="华文仿宋" w:cs="Calibri Light"/>
          <w:color w:val="000000"/>
          <w:sz w:val="28"/>
          <w:szCs w:val="28"/>
        </w:rPr>
        <w:t>残疾人福利性单位</w:t>
      </w:r>
      <w:r>
        <w:rPr>
          <w:rFonts w:hint="eastAsia" w:ascii="Calibri Light" w:hAnsi="Calibri Light" w:eastAsia="华文仿宋" w:cs="Calibri Light"/>
          <w:color w:val="000000"/>
          <w:sz w:val="28"/>
          <w:szCs w:val="28"/>
        </w:rPr>
        <w:t>的</w:t>
      </w:r>
      <w:r>
        <w:rPr>
          <w:rFonts w:ascii="Calibri Light" w:hAnsi="Calibri Light" w:eastAsia="华文仿宋" w:cs="Calibri Light"/>
          <w:color w:val="000000"/>
          <w:sz w:val="28"/>
          <w:szCs w:val="28"/>
        </w:rPr>
        <w:t>，应</w:t>
      </w:r>
      <w:r>
        <w:rPr>
          <w:rFonts w:hint="eastAsia" w:ascii="Calibri Light" w:hAnsi="Calibri Light" w:eastAsia="华文仿宋" w:cs="Calibri Light"/>
          <w:color w:val="000000"/>
          <w:sz w:val="28"/>
          <w:szCs w:val="28"/>
        </w:rPr>
        <w:t>按</w:t>
      </w:r>
      <w:r>
        <w:rPr>
          <w:rFonts w:ascii="Calibri Light" w:hAnsi="Calibri Light" w:eastAsia="华文仿宋" w:cs="Calibri Light"/>
          <w:color w:val="000000"/>
          <w:sz w:val="28"/>
          <w:szCs w:val="28"/>
        </w:rPr>
        <w:t>下文给定格式填写声明函。未提供或未按给定格式提供</w:t>
      </w:r>
      <w:r>
        <w:rPr>
          <w:rFonts w:ascii="Calibri Light" w:hAnsi="Calibri Light" w:eastAsia="华文仿宋" w:cs="Calibri Light"/>
          <w:color w:val="auto"/>
          <w:sz w:val="28"/>
          <w:szCs w:val="28"/>
        </w:rPr>
        <w:t>声明函的，</w:t>
      </w:r>
      <w:r>
        <w:rPr>
          <w:rFonts w:hint="eastAsia" w:ascii="Calibri Light" w:hAnsi="Calibri Light" w:eastAsia="华文仿宋" w:cs="Calibri Light"/>
          <w:color w:val="auto"/>
          <w:sz w:val="28"/>
          <w:szCs w:val="28"/>
        </w:rPr>
        <w:t>将不能享受磋商文件规定的价格优惠政策，但不影响响应文件的有效性。</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auto"/>
          <w:sz w:val="28"/>
          <w:szCs w:val="28"/>
        </w:rPr>
        <w:t>2</w:t>
      </w:r>
      <w:r>
        <w:rPr>
          <w:rFonts w:hint="eastAsia" w:ascii="Calibri Light" w:hAnsi="Calibri Light" w:eastAsia="华文仿宋" w:cs="Calibri Light"/>
          <w:color w:val="auto"/>
          <w:sz w:val="28"/>
          <w:szCs w:val="28"/>
        </w:rPr>
        <w:t>、</w:t>
      </w:r>
      <w:r>
        <w:rPr>
          <w:rFonts w:hint="eastAsia" w:ascii="Calibri Light" w:hAnsi="Calibri Light" w:eastAsia="华文仿宋" w:cs="Calibri Light"/>
          <w:color w:val="auto"/>
          <w:sz w:val="28"/>
          <w:szCs w:val="28"/>
          <w:lang w:eastAsia="zh-CN"/>
        </w:rPr>
        <w:t>供应</w:t>
      </w:r>
      <w:r>
        <w:rPr>
          <w:rFonts w:ascii="Calibri Light" w:hAnsi="Calibri Light" w:eastAsia="华文仿宋" w:cs="Calibri Light"/>
          <w:color w:val="auto"/>
          <w:sz w:val="28"/>
          <w:szCs w:val="28"/>
        </w:rPr>
        <w:t>商为监狱企业</w:t>
      </w:r>
      <w:r>
        <w:rPr>
          <w:rFonts w:hint="eastAsia" w:ascii="Calibri Light" w:hAnsi="Calibri Light" w:eastAsia="华文仿宋" w:cs="Calibri Light"/>
          <w:color w:val="auto"/>
          <w:sz w:val="28"/>
          <w:szCs w:val="28"/>
        </w:rPr>
        <w:t>的</w:t>
      </w:r>
      <w:r>
        <w:rPr>
          <w:rFonts w:ascii="Calibri Light" w:hAnsi="Calibri Light" w:eastAsia="华文仿宋" w:cs="Calibri Light"/>
          <w:color w:val="auto"/>
          <w:sz w:val="28"/>
          <w:szCs w:val="28"/>
        </w:rPr>
        <w:t>，应当提供由省级以上监狱管理局、戒毒管理局（含新疆生产建设兵团）出具的属于监狱企业的证明</w:t>
      </w:r>
      <w:r>
        <w:rPr>
          <w:rFonts w:hint="eastAsia" w:ascii="Calibri Light" w:hAnsi="Calibri Light" w:eastAsia="华文仿宋" w:cs="Calibri Light"/>
          <w:color w:val="auto"/>
          <w:sz w:val="28"/>
          <w:szCs w:val="28"/>
        </w:rPr>
        <w:t>函</w:t>
      </w:r>
      <w:r>
        <w:rPr>
          <w:rFonts w:ascii="Calibri Light" w:hAnsi="Calibri Light" w:eastAsia="华文仿宋" w:cs="Calibri Light"/>
          <w:color w:val="auto"/>
          <w:sz w:val="28"/>
          <w:szCs w:val="28"/>
        </w:rPr>
        <w:t>（格式不</w:t>
      </w:r>
      <w:r>
        <w:rPr>
          <w:rFonts w:hint="eastAsia" w:ascii="Calibri Light" w:hAnsi="Calibri Light" w:eastAsia="华文仿宋" w:cs="Calibri Light"/>
          <w:color w:val="auto"/>
          <w:sz w:val="28"/>
          <w:szCs w:val="28"/>
        </w:rPr>
        <w:t>限定</w:t>
      </w:r>
      <w:r>
        <w:rPr>
          <w:rFonts w:ascii="Calibri Light" w:hAnsi="Calibri Light" w:eastAsia="华文仿宋" w:cs="Calibri Light"/>
          <w:color w:val="auto"/>
          <w:sz w:val="28"/>
          <w:szCs w:val="28"/>
        </w:rPr>
        <w:t>）。未提供证明</w:t>
      </w:r>
      <w:r>
        <w:rPr>
          <w:rFonts w:hint="eastAsia" w:ascii="Calibri Light" w:hAnsi="Calibri Light" w:eastAsia="华文仿宋" w:cs="Calibri Light"/>
          <w:color w:val="auto"/>
          <w:sz w:val="28"/>
          <w:szCs w:val="28"/>
        </w:rPr>
        <w:t>函</w:t>
      </w:r>
      <w:r>
        <w:rPr>
          <w:rFonts w:ascii="Calibri Light" w:hAnsi="Calibri Light" w:eastAsia="华文仿宋" w:cs="Calibri Light"/>
          <w:color w:val="auto"/>
          <w:sz w:val="28"/>
          <w:szCs w:val="28"/>
        </w:rPr>
        <w:t>的</w:t>
      </w:r>
      <w:r>
        <w:rPr>
          <w:rFonts w:hint="eastAsia" w:ascii="Calibri Light" w:hAnsi="Calibri Light" w:eastAsia="华文仿宋" w:cs="Calibri Light"/>
          <w:color w:val="auto"/>
          <w:sz w:val="28"/>
          <w:szCs w:val="28"/>
        </w:rPr>
        <w:t>，</w:t>
      </w:r>
      <w:r>
        <w:rPr>
          <w:rFonts w:ascii="Calibri Light" w:hAnsi="Calibri Light" w:eastAsia="华文仿宋" w:cs="Calibri Light"/>
          <w:color w:val="auto"/>
          <w:sz w:val="28"/>
          <w:szCs w:val="28"/>
        </w:rPr>
        <w:t>将不能享受磋商文件规定的价格</w:t>
      </w:r>
      <w:r>
        <w:rPr>
          <w:rFonts w:hint="eastAsia" w:ascii="Calibri Light" w:hAnsi="Calibri Light" w:eastAsia="华文仿宋" w:cs="Calibri Light"/>
          <w:color w:val="auto"/>
          <w:sz w:val="28"/>
          <w:szCs w:val="28"/>
        </w:rPr>
        <w:t>优惠</w:t>
      </w:r>
      <w:r>
        <w:rPr>
          <w:rFonts w:hint="eastAsia" w:ascii="Calibri Light" w:hAnsi="Calibri Light" w:eastAsia="华文仿宋" w:cs="Calibri Light"/>
          <w:color w:val="000000"/>
          <w:sz w:val="28"/>
          <w:szCs w:val="28"/>
        </w:rPr>
        <w:t>政策</w:t>
      </w:r>
      <w:r>
        <w:rPr>
          <w:rFonts w:ascii="Calibri Light" w:hAnsi="Calibri Light" w:eastAsia="华文仿宋" w:cs="Calibri Light"/>
          <w:color w:val="000000"/>
          <w:sz w:val="28"/>
          <w:szCs w:val="28"/>
        </w:rPr>
        <w:t>，但不影响响应文件的有效性。</w:t>
      </w:r>
    </w:p>
    <w:p>
      <w:pPr>
        <w:widowControl/>
        <w:spacing w:line="400" w:lineRule="exact"/>
        <w:ind w:firstLine="560" w:firstLineChars="200"/>
        <w:rPr>
          <w:rFonts w:ascii="Calibri Light" w:hAnsi="Calibri Light" w:eastAsia="华文仿宋" w:cs="Calibri Light"/>
          <w:color w:val="C00000"/>
          <w:sz w:val="28"/>
          <w:szCs w:val="28"/>
        </w:rPr>
      </w:pPr>
    </w:p>
    <w:p>
      <w:pPr>
        <w:widowControl/>
        <w:spacing w:line="400" w:lineRule="exact"/>
        <w:ind w:firstLine="562" w:firstLineChars="200"/>
        <w:rPr>
          <w:rFonts w:ascii="Calibri Light" w:hAnsi="Calibri Light" w:eastAsia="华文仿宋" w:cs="Calibri Light"/>
          <w:b/>
          <w:bCs/>
          <w:color w:val="auto"/>
          <w:sz w:val="30"/>
          <w:szCs w:val="30"/>
        </w:rPr>
      </w:pPr>
      <w:r>
        <w:rPr>
          <w:rFonts w:ascii="Calibri Light" w:hAnsi="Calibri Light" w:eastAsia="华文仿宋" w:cs="Calibri Light"/>
          <w:b/>
          <w:bCs/>
          <w:color w:val="auto"/>
          <w:sz w:val="28"/>
          <w:szCs w:val="28"/>
        </w:rPr>
        <w:t>特别提醒：</w:t>
      </w:r>
      <w:r>
        <w:rPr>
          <w:rFonts w:hint="eastAsia" w:ascii="Calibri Light" w:hAnsi="Calibri Light" w:eastAsia="华文仿宋" w:cs="Calibri Light"/>
          <w:b/>
          <w:bCs/>
          <w:color w:val="auto"/>
          <w:sz w:val="28"/>
          <w:szCs w:val="28"/>
        </w:rPr>
        <w:t>仅</w:t>
      </w:r>
      <w:r>
        <w:rPr>
          <w:rFonts w:ascii="Calibri Light" w:hAnsi="Calibri Light" w:eastAsia="华文仿宋" w:cs="Calibri Light"/>
          <w:b/>
          <w:bCs/>
          <w:color w:val="auto"/>
          <w:sz w:val="28"/>
          <w:szCs w:val="28"/>
        </w:rPr>
        <w:t>当</w:t>
      </w:r>
      <w:r>
        <w:rPr>
          <w:rFonts w:hint="eastAsia" w:ascii="Calibri Light" w:hAnsi="Calibri Light" w:eastAsia="华文仿宋" w:cs="Calibri Light"/>
          <w:b/>
          <w:bCs/>
          <w:color w:val="auto"/>
          <w:sz w:val="28"/>
          <w:szCs w:val="28"/>
        </w:rPr>
        <w:t>服务商</w:t>
      </w:r>
      <w:r>
        <w:rPr>
          <w:rFonts w:ascii="Calibri Light" w:hAnsi="Calibri Light" w:eastAsia="华文仿宋" w:cs="Calibri Light"/>
          <w:b/>
          <w:bCs/>
          <w:color w:val="auto"/>
          <w:sz w:val="28"/>
          <w:szCs w:val="28"/>
        </w:rPr>
        <w:t>属于中小微企业、</w:t>
      </w:r>
      <w:r>
        <w:rPr>
          <w:rFonts w:hint="eastAsia" w:ascii="Calibri Light" w:hAnsi="Calibri Light" w:eastAsia="华文仿宋" w:cs="Calibri Light"/>
          <w:b/>
          <w:bCs/>
          <w:color w:val="auto"/>
          <w:sz w:val="28"/>
          <w:szCs w:val="28"/>
        </w:rPr>
        <w:t>或</w:t>
      </w:r>
      <w:r>
        <w:rPr>
          <w:rFonts w:ascii="Calibri Light" w:hAnsi="Calibri Light" w:eastAsia="华文仿宋" w:cs="Calibri Light"/>
          <w:b/>
          <w:bCs/>
          <w:color w:val="auto"/>
          <w:sz w:val="28"/>
          <w:szCs w:val="28"/>
        </w:rPr>
        <w:t>残疾人福利性单位、</w:t>
      </w:r>
      <w:r>
        <w:rPr>
          <w:rFonts w:hint="eastAsia" w:ascii="Calibri Light" w:hAnsi="Calibri Light" w:eastAsia="华文仿宋" w:cs="Calibri Light"/>
          <w:b/>
          <w:bCs/>
          <w:color w:val="auto"/>
          <w:sz w:val="28"/>
          <w:szCs w:val="28"/>
        </w:rPr>
        <w:t>或监狱</w:t>
      </w:r>
      <w:r>
        <w:rPr>
          <w:rFonts w:ascii="Calibri Light" w:hAnsi="Calibri Light" w:eastAsia="华文仿宋" w:cs="Calibri Light"/>
          <w:b/>
          <w:bCs/>
          <w:color w:val="auto"/>
          <w:sz w:val="28"/>
          <w:szCs w:val="28"/>
        </w:rPr>
        <w:t>企业时</w:t>
      </w:r>
      <w:r>
        <w:rPr>
          <w:rFonts w:hint="eastAsia" w:ascii="Calibri Light" w:hAnsi="Calibri Light" w:eastAsia="华文仿宋" w:cs="Calibri Light"/>
          <w:b/>
          <w:bCs/>
          <w:color w:val="auto"/>
          <w:sz w:val="28"/>
          <w:szCs w:val="28"/>
        </w:rPr>
        <w:t>才</w:t>
      </w:r>
      <w:r>
        <w:rPr>
          <w:rFonts w:ascii="Calibri Light" w:hAnsi="Calibri Light" w:eastAsia="华文仿宋" w:cs="Calibri Light"/>
          <w:b/>
          <w:bCs/>
          <w:color w:val="auto"/>
          <w:sz w:val="28"/>
          <w:szCs w:val="28"/>
        </w:rPr>
        <w:t>需填写</w:t>
      </w:r>
      <w:r>
        <w:rPr>
          <w:rFonts w:hint="eastAsia" w:ascii="Calibri Light" w:hAnsi="Calibri Light" w:eastAsia="华文仿宋" w:cs="Calibri Light"/>
          <w:b/>
          <w:bCs/>
          <w:color w:val="auto"/>
          <w:sz w:val="28"/>
          <w:szCs w:val="28"/>
        </w:rPr>
        <w:t>相应</w:t>
      </w:r>
      <w:r>
        <w:rPr>
          <w:rFonts w:ascii="Calibri Light" w:hAnsi="Calibri Light" w:eastAsia="华文仿宋" w:cs="Calibri Light"/>
          <w:b/>
          <w:bCs/>
          <w:color w:val="auto"/>
          <w:sz w:val="28"/>
          <w:szCs w:val="28"/>
        </w:rPr>
        <w:t>的声明函</w:t>
      </w:r>
      <w:r>
        <w:rPr>
          <w:rFonts w:hint="eastAsia" w:ascii="Calibri Light" w:hAnsi="Calibri Light" w:eastAsia="华文仿宋" w:cs="Calibri Light"/>
          <w:b/>
          <w:bCs/>
          <w:color w:val="auto"/>
          <w:sz w:val="28"/>
          <w:szCs w:val="28"/>
        </w:rPr>
        <w:t>/证明函，</w:t>
      </w:r>
      <w:r>
        <w:rPr>
          <w:rFonts w:ascii="Calibri Light" w:hAnsi="Calibri Light" w:eastAsia="华文仿宋" w:cs="Calibri Light"/>
          <w:b/>
          <w:bCs/>
          <w:color w:val="auto"/>
          <w:sz w:val="28"/>
          <w:szCs w:val="28"/>
        </w:rPr>
        <w:t>否则应当将其留空或直接删除。</w:t>
      </w:r>
      <w:r>
        <w:rPr>
          <w:rFonts w:hint="eastAsia" w:ascii="Calibri Light" w:hAnsi="Calibri Light" w:eastAsia="华文仿宋" w:cs="Calibri Light"/>
          <w:b/>
          <w:bCs/>
          <w:color w:val="auto"/>
          <w:sz w:val="28"/>
          <w:szCs w:val="28"/>
          <w:lang w:eastAsia="zh-CN"/>
        </w:rPr>
        <w:t>供应</w:t>
      </w:r>
      <w:r>
        <w:rPr>
          <w:rFonts w:ascii="Calibri Light" w:hAnsi="Calibri Light" w:eastAsia="华文仿宋" w:cs="Calibri Light"/>
          <w:b/>
          <w:bCs/>
          <w:color w:val="auto"/>
          <w:sz w:val="28"/>
          <w:szCs w:val="28"/>
        </w:rPr>
        <w:t>商性质将随成交公告一同公布，接受社会监督。</w:t>
      </w:r>
    </w:p>
    <w:p>
      <w:pPr>
        <w:spacing w:before="120" w:beforeLines="50" w:after="240" w:afterLines="100"/>
        <w:ind w:firstLine="1606" w:firstLineChars="500"/>
        <w:jc w:val="both"/>
        <w:rPr>
          <w:rFonts w:hint="eastAsia" w:ascii="宋体" w:hAnsi="宋体" w:cs="宋体"/>
          <w:b/>
          <w:sz w:val="32"/>
          <w:szCs w:val="32"/>
        </w:rPr>
      </w:pPr>
      <w:r>
        <w:rPr>
          <w:rFonts w:hint="eastAsia" w:ascii="宋体" w:hAnsi="宋体" w:cs="宋体"/>
          <w:b/>
          <w:sz w:val="32"/>
          <w:szCs w:val="32"/>
        </w:rPr>
        <w:t xml:space="preserve"> </w:t>
      </w: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ind w:firstLine="1606" w:firstLineChars="500"/>
        <w:jc w:val="both"/>
        <w:rPr>
          <w:rFonts w:hint="eastAsia" w:ascii="宋体" w:hAnsi="宋体" w:cs="宋体"/>
          <w:b/>
          <w:sz w:val="32"/>
          <w:szCs w:val="32"/>
        </w:rPr>
      </w:pPr>
    </w:p>
    <w:p>
      <w:pPr>
        <w:pStyle w:val="21"/>
        <w:rPr>
          <w:rFonts w:hint="eastAsia" w:ascii="宋体" w:hAnsi="宋体" w:cs="宋体"/>
          <w:b/>
          <w:sz w:val="32"/>
          <w:szCs w:val="32"/>
        </w:rPr>
      </w:pPr>
    </w:p>
    <w:p>
      <w:pPr>
        <w:rPr>
          <w:rFonts w:hint="eastAsia" w:ascii="宋体" w:hAnsi="宋体" w:cs="宋体"/>
          <w:b/>
          <w:sz w:val="32"/>
          <w:szCs w:val="32"/>
        </w:rPr>
      </w:pPr>
    </w:p>
    <w:p>
      <w:pPr>
        <w:pStyle w:val="21"/>
        <w:rPr>
          <w:rFonts w:hint="eastAsia" w:ascii="宋体" w:hAnsi="宋体" w:cs="宋体"/>
          <w:b/>
          <w:sz w:val="32"/>
          <w:szCs w:val="32"/>
        </w:rPr>
      </w:pPr>
    </w:p>
    <w:p>
      <w:pPr>
        <w:rPr>
          <w:rFonts w:hint="eastAsia" w:ascii="宋体" w:hAnsi="宋体" w:cs="宋体"/>
          <w:b/>
          <w:sz w:val="32"/>
          <w:szCs w:val="32"/>
        </w:rPr>
      </w:pPr>
    </w:p>
    <w:p>
      <w:pPr>
        <w:pStyle w:val="21"/>
        <w:rPr>
          <w:rFonts w:hint="eastAsia"/>
        </w:rPr>
      </w:pPr>
    </w:p>
    <w:p>
      <w:pPr>
        <w:spacing w:before="120" w:beforeLines="50" w:after="240" w:afterLines="100"/>
        <w:ind w:firstLine="1606" w:firstLineChars="500"/>
        <w:jc w:val="both"/>
        <w:rPr>
          <w:rFonts w:hint="eastAsia" w:ascii="宋体" w:hAnsi="宋体" w:cs="宋体"/>
          <w:b/>
          <w:sz w:val="32"/>
          <w:szCs w:val="32"/>
        </w:rPr>
      </w:pPr>
    </w:p>
    <w:p>
      <w:pPr>
        <w:spacing w:before="120" w:beforeLines="50" w:after="240" w:afterLines="100"/>
        <w:jc w:val="center"/>
        <w:rPr>
          <w:rFonts w:hint="eastAsia" w:ascii="宋体" w:hAnsi="宋体" w:cs="宋体"/>
          <w:b/>
          <w:sz w:val="32"/>
          <w:szCs w:val="32"/>
        </w:rPr>
      </w:pPr>
      <w:r>
        <w:rPr>
          <w:rFonts w:hint="eastAsia" w:ascii="宋体" w:hAnsi="宋体" w:cs="宋体"/>
          <w:b/>
          <w:sz w:val="32"/>
          <w:szCs w:val="32"/>
        </w:rPr>
        <w:t>中小企业声明函</w:t>
      </w:r>
    </w:p>
    <w:p>
      <w:pPr>
        <w:widowControl/>
        <w:spacing w:line="360" w:lineRule="auto"/>
        <w:ind w:firstLine="720" w:firstLineChars="300"/>
        <w:jc w:val="left"/>
        <w:rPr>
          <w:rFonts w:hint="eastAsia" w:ascii="宋体" w:hAnsi="宋体" w:cs="宋体"/>
          <w:kern w:val="0"/>
          <w:sz w:val="24"/>
          <w:szCs w:val="24"/>
          <w:lang w:bidi="ar"/>
        </w:rPr>
      </w:pP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本公司郑重声明，根据《政府采购促进中小企业发展管理办法》（财库﹝2020﹞46 号）的规定，本公司参加</w:t>
      </w:r>
      <w:r>
        <w:rPr>
          <w:rFonts w:hint="eastAsia" w:ascii="宋体" w:hAnsi="宋体" w:cs="宋体"/>
          <w:iCs/>
          <w:kern w:val="0"/>
          <w:sz w:val="24"/>
          <w:szCs w:val="24"/>
          <w:u w:val="single"/>
          <w:lang w:bidi="ar"/>
        </w:rPr>
        <w:t>（单位名称）</w:t>
      </w:r>
      <w:r>
        <w:rPr>
          <w:rFonts w:hint="eastAsia" w:ascii="宋体" w:hAnsi="宋体" w:cs="宋体"/>
          <w:iCs/>
          <w:kern w:val="0"/>
          <w:sz w:val="24"/>
          <w:szCs w:val="24"/>
          <w:lang w:bidi="ar"/>
        </w:rPr>
        <w:t>的</w:t>
      </w:r>
      <w:r>
        <w:rPr>
          <w:rFonts w:hint="eastAsia" w:ascii="宋体" w:hAnsi="宋体" w:cs="宋体"/>
          <w:iCs/>
          <w:kern w:val="0"/>
          <w:sz w:val="24"/>
          <w:szCs w:val="24"/>
          <w:u w:val="single"/>
          <w:lang w:bidi="ar"/>
        </w:rPr>
        <w:t>（项目名称）</w:t>
      </w:r>
      <w:r>
        <w:rPr>
          <w:rFonts w:hint="eastAsia" w:ascii="宋体" w:hAnsi="宋体" w:cs="宋体"/>
          <w:iCs/>
          <w:kern w:val="0"/>
          <w:sz w:val="24"/>
          <w:szCs w:val="24"/>
          <w:lang w:bidi="ar"/>
        </w:rPr>
        <w:t>采购活动，工</w:t>
      </w:r>
      <w:r>
        <w:rPr>
          <w:rFonts w:hint="eastAsia" w:ascii="宋体" w:hAnsi="宋体" w:cs="宋体"/>
          <w:kern w:val="0"/>
          <w:sz w:val="24"/>
          <w:szCs w:val="24"/>
          <w:lang w:bidi="ar"/>
        </w:rPr>
        <w:t>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 xml:space="preserve"> （标的名称）</w:t>
      </w:r>
      <w:r>
        <w:rPr>
          <w:rFonts w:hint="eastAsia" w:ascii="宋体" w:hAnsi="宋体" w:cs="宋体"/>
          <w:kern w:val="0"/>
          <w:sz w:val="24"/>
          <w:szCs w:val="24"/>
          <w:lang w:bidi="ar"/>
        </w:rPr>
        <w:t xml:space="preserve"> ，属于</w:t>
      </w:r>
      <w:r>
        <w:rPr>
          <w:rFonts w:hint="eastAsia" w:ascii="宋体" w:hAnsi="宋体" w:cs="宋体"/>
          <w:kern w:val="0"/>
          <w:sz w:val="24"/>
          <w:szCs w:val="24"/>
          <w:u w:val="single"/>
          <w:lang w:bidi="ar"/>
        </w:rPr>
        <w:t>（采购文件中明确的所属行业）</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（企业名称）</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（中型企业、 小型企业、微型企业）</w:t>
      </w:r>
      <w:r>
        <w:rPr>
          <w:rFonts w:hint="eastAsia" w:ascii="宋体" w:hAnsi="宋体" w:cs="宋体"/>
          <w:kern w:val="0"/>
          <w:sz w:val="24"/>
          <w:szCs w:val="24"/>
          <w:lang w:bidi="ar"/>
        </w:rPr>
        <w:t xml:space="preserve">； </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2.</w:t>
      </w:r>
      <w:r>
        <w:rPr>
          <w:rFonts w:hint="eastAsia" w:ascii="宋体" w:hAnsi="宋体" w:cs="宋体"/>
          <w:kern w:val="0"/>
          <w:sz w:val="24"/>
          <w:szCs w:val="24"/>
          <w:u w:val="single"/>
          <w:lang w:bidi="ar"/>
        </w:rPr>
        <w:t xml:space="preserve">（标的名称） </w:t>
      </w:r>
      <w:r>
        <w:rPr>
          <w:rFonts w:hint="eastAsia" w:ascii="宋体" w:hAnsi="宋体" w:cs="宋体"/>
          <w:kern w:val="0"/>
          <w:sz w:val="24"/>
          <w:szCs w:val="24"/>
          <w:lang w:bidi="ar"/>
        </w:rPr>
        <w:t>，属于</w:t>
      </w:r>
      <w:r>
        <w:rPr>
          <w:rFonts w:hint="eastAsia" w:ascii="宋体" w:hAnsi="宋体" w:cs="宋体"/>
          <w:kern w:val="0"/>
          <w:sz w:val="24"/>
          <w:szCs w:val="24"/>
          <w:u w:val="single"/>
          <w:lang w:bidi="ar"/>
        </w:rPr>
        <w:t>（采购文件中明确的所属行业）</w:t>
      </w:r>
      <w:r>
        <w:rPr>
          <w:rFonts w:hint="eastAsia" w:ascii="宋体" w:hAnsi="宋体" w:cs="宋体"/>
          <w:kern w:val="0"/>
          <w:sz w:val="24"/>
          <w:szCs w:val="24"/>
          <w:lang w:bidi="ar"/>
        </w:rPr>
        <w:t>；承建（承接）企业为</w:t>
      </w:r>
      <w:r>
        <w:rPr>
          <w:rFonts w:hint="eastAsia" w:ascii="宋体" w:hAnsi="宋体" w:cs="宋体"/>
          <w:kern w:val="0"/>
          <w:sz w:val="24"/>
          <w:szCs w:val="24"/>
          <w:u w:val="single"/>
          <w:lang w:bidi="ar"/>
        </w:rPr>
        <w:t>（企业名称）</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（中型企业、小型企业、微型企业）</w:t>
      </w:r>
      <w:r>
        <w:rPr>
          <w:rFonts w:hint="eastAsia" w:ascii="宋体" w:hAnsi="宋体" w:cs="宋体"/>
          <w:kern w:val="0"/>
          <w:sz w:val="24"/>
          <w:szCs w:val="24"/>
          <w:lang w:bidi="ar"/>
        </w:rPr>
        <w:t xml:space="preserve">； </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pPr>
        <w:widowControl/>
        <w:spacing w:line="360" w:lineRule="auto"/>
        <w:ind w:firstLine="3120" w:firstLineChars="1300"/>
        <w:jc w:val="left"/>
        <w:rPr>
          <w:rFonts w:hint="eastAsia" w:ascii="宋体" w:hAnsi="宋体" w:cs="宋体"/>
          <w:sz w:val="24"/>
          <w:szCs w:val="24"/>
          <w:u w:val="single"/>
        </w:rPr>
      </w:pPr>
      <w:r>
        <w:rPr>
          <w:rFonts w:hint="eastAsia" w:ascii="宋体" w:hAnsi="宋体" w:cs="宋体"/>
          <w:kern w:val="0"/>
          <w:sz w:val="24"/>
          <w:szCs w:val="24"/>
          <w:lang w:bidi="ar"/>
        </w:rPr>
        <w:t>企业名称（盖章）：</w:t>
      </w:r>
      <w:r>
        <w:rPr>
          <w:rFonts w:hint="eastAsia" w:ascii="宋体" w:hAnsi="宋体" w:cs="宋体"/>
          <w:kern w:val="0"/>
          <w:sz w:val="24"/>
          <w:szCs w:val="24"/>
          <w:u w:val="single"/>
          <w:lang w:bidi="ar"/>
        </w:rPr>
        <w:t xml:space="preserve">                </w:t>
      </w:r>
    </w:p>
    <w:p>
      <w:pPr>
        <w:widowControl/>
        <w:spacing w:line="360" w:lineRule="auto"/>
        <w:ind w:firstLine="3120" w:firstLineChars="1300"/>
        <w:jc w:val="left"/>
        <w:rPr>
          <w:rFonts w:hint="eastAsia" w:ascii="宋体" w:hAnsi="宋体" w:cs="宋体"/>
          <w:sz w:val="24"/>
          <w:szCs w:val="24"/>
        </w:rPr>
      </w:pPr>
      <w:r>
        <w:rPr>
          <w:rFonts w:hint="eastAsia" w:ascii="宋体" w:hAnsi="宋体" w:cs="宋体"/>
          <w:kern w:val="0"/>
          <w:sz w:val="24"/>
          <w:szCs w:val="24"/>
          <w:lang w:bidi="ar"/>
        </w:rPr>
        <w:t>日 期：</w:t>
      </w:r>
      <w:r>
        <w:rPr>
          <w:rFonts w:hint="eastAsia" w:ascii="宋体" w:hAnsi="宋体" w:cs="宋体"/>
          <w:kern w:val="0"/>
          <w:sz w:val="24"/>
          <w:szCs w:val="24"/>
          <w:u w:val="single"/>
          <w:lang w:bidi="ar"/>
        </w:rPr>
        <w:t xml:space="preserve">                          </w:t>
      </w:r>
    </w:p>
    <w:p>
      <w:pPr>
        <w:widowControl/>
        <w:spacing w:line="360" w:lineRule="auto"/>
        <w:jc w:val="left"/>
        <w:rPr>
          <w:rFonts w:hint="eastAsia" w:ascii="宋体" w:hAnsi="宋体" w:cs="宋体"/>
          <w:kern w:val="0"/>
          <w:sz w:val="24"/>
          <w:szCs w:val="24"/>
          <w:lang w:bidi="ar"/>
        </w:rPr>
      </w:pPr>
      <w:r>
        <w:rPr>
          <w:rFonts w:hint="eastAsia" w:ascii="宋体" w:hAnsi="宋体" w:cs="宋体"/>
          <w:kern w:val="0"/>
          <w:sz w:val="24"/>
          <w:szCs w:val="24"/>
          <w:lang w:bidi="ar"/>
        </w:rPr>
        <w:t>注：从业人员、营业收入、资产总额填报上一年度数据，无上一年度数据的新成立企业可不填报。</w:t>
      </w:r>
    </w:p>
    <w:p>
      <w:pPr>
        <w:pStyle w:val="42"/>
        <w:ind w:left="0" w:leftChars="0" w:firstLine="0" w:firstLineChars="0"/>
        <w:rPr>
          <w:rFonts w:hint="eastAsia"/>
          <w:sz w:val="2"/>
          <w:szCs w:val="2"/>
        </w:rPr>
      </w:pPr>
    </w:p>
    <w:p>
      <w:pPr>
        <w:pStyle w:val="42"/>
        <w:ind w:left="0" w:leftChars="0" w:firstLine="0" w:firstLineChars="0"/>
        <w:rPr>
          <w:rFonts w:hint="eastAsia"/>
          <w:sz w:val="2"/>
          <w:szCs w:val="2"/>
        </w:rPr>
      </w:pPr>
    </w:p>
    <w:p>
      <w:pPr>
        <w:pStyle w:val="125"/>
        <w:wordWrap/>
        <w:jc w:val="both"/>
        <w:rPr>
          <w:rFonts w:hint="eastAsia" w:ascii="宋体" w:hAnsi="宋体" w:eastAsia="宋体" w:cs="宋体"/>
          <w:b/>
          <w:sz w:val="24"/>
          <w:lang w:eastAsia="zh-CN"/>
        </w:rPr>
      </w:pPr>
    </w:p>
    <w:p>
      <w:pPr>
        <w:pStyle w:val="125"/>
        <w:wordWrap/>
        <w:jc w:val="both"/>
        <w:rPr>
          <w:rFonts w:hint="eastAsia" w:ascii="宋体" w:hAnsi="宋体" w:eastAsia="宋体" w:cs="宋体"/>
          <w:b/>
          <w:sz w:val="24"/>
          <w:lang w:eastAsia="zh-CN"/>
        </w:rPr>
      </w:pPr>
    </w:p>
    <w:p>
      <w:pPr>
        <w:pStyle w:val="125"/>
        <w:wordWrap/>
        <w:jc w:val="both"/>
        <w:rPr>
          <w:rFonts w:hint="eastAsia" w:ascii="宋体" w:hAnsi="宋体" w:eastAsia="宋体" w:cs="宋体"/>
          <w:b/>
          <w:sz w:val="24"/>
          <w:lang w:eastAsia="zh-CN"/>
        </w:rPr>
      </w:pPr>
    </w:p>
    <w:p>
      <w:pPr>
        <w:pStyle w:val="125"/>
        <w:wordWrap/>
        <w:jc w:val="both"/>
        <w:rPr>
          <w:rFonts w:hint="eastAsia" w:ascii="宋体" w:hAnsi="宋体" w:eastAsia="宋体" w:cs="宋体"/>
          <w:b/>
          <w:sz w:val="24"/>
          <w:lang w:eastAsia="zh-CN"/>
        </w:rPr>
      </w:pPr>
    </w:p>
    <w:p>
      <w:pPr>
        <w:pStyle w:val="125"/>
        <w:wordWrap/>
        <w:jc w:val="both"/>
        <w:rPr>
          <w:rFonts w:hint="eastAsia" w:ascii="宋体" w:hAnsi="宋体" w:eastAsia="宋体" w:cs="宋体"/>
          <w:b/>
          <w:sz w:val="24"/>
          <w:lang w:eastAsia="zh-CN"/>
        </w:rPr>
      </w:pPr>
    </w:p>
    <w:p>
      <w:pPr>
        <w:tabs>
          <w:tab w:val="left" w:pos="1755"/>
        </w:tabs>
        <w:spacing w:line="360" w:lineRule="auto"/>
        <w:ind w:firstLine="1285" w:firstLineChars="400"/>
        <w:outlineLvl w:val="2"/>
        <w:rPr>
          <w:rFonts w:hint="eastAsia" w:ascii="宋体" w:hAnsi="宋体" w:cs="宋体"/>
          <w:b/>
          <w:kern w:val="0"/>
          <w:sz w:val="32"/>
          <w:szCs w:val="32"/>
          <w:lang w:val="zh-CN"/>
        </w:rPr>
      </w:pPr>
    </w:p>
    <w:p>
      <w:pPr>
        <w:tabs>
          <w:tab w:val="left" w:pos="1755"/>
        </w:tabs>
        <w:spacing w:line="360" w:lineRule="auto"/>
        <w:jc w:val="center"/>
        <w:outlineLvl w:val="2"/>
        <w:rPr>
          <w:rFonts w:hint="eastAsia" w:ascii="宋体" w:hAnsi="宋体" w:cs="宋体"/>
          <w:b/>
          <w:bCs/>
          <w:sz w:val="32"/>
          <w:szCs w:val="32"/>
        </w:rPr>
      </w:pPr>
      <w:r>
        <w:rPr>
          <w:rFonts w:hint="eastAsia" w:ascii="宋体" w:hAnsi="宋体" w:cs="宋体"/>
          <w:b/>
          <w:kern w:val="0"/>
          <w:sz w:val="32"/>
          <w:szCs w:val="32"/>
          <w:lang w:val="zh-CN"/>
        </w:rPr>
        <w:t>残疾人福利性单位声明函（</w:t>
      </w:r>
      <w:r>
        <w:rPr>
          <w:rFonts w:hint="eastAsia" w:ascii="宋体" w:hAnsi="宋体" w:cs="宋体"/>
          <w:b/>
          <w:sz w:val="32"/>
          <w:szCs w:val="32"/>
        </w:rPr>
        <w:t>如用，不用可删除</w:t>
      </w:r>
      <w:r>
        <w:rPr>
          <w:rFonts w:hint="eastAsia" w:ascii="宋体" w:hAnsi="宋体" w:cs="宋体"/>
          <w:b/>
          <w:kern w:val="0"/>
          <w:sz w:val="32"/>
          <w:szCs w:val="32"/>
          <w:lang w:val="zh-CN"/>
        </w:rPr>
        <w:t>）</w:t>
      </w:r>
    </w:p>
    <w:p>
      <w:pPr>
        <w:spacing w:line="360" w:lineRule="auto"/>
        <w:rPr>
          <w:rFonts w:hint="eastAsia" w:ascii="宋体" w:hAnsi="宋体" w:cs="宋体"/>
          <w:b/>
          <w:spacing w:val="6"/>
          <w:sz w:val="32"/>
          <w:szCs w:val="32"/>
          <w:shd w:val="pct10" w:color="auto" w:fill="FFFFFF"/>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 w:val="left" w:pos="8040"/>
          <w:tab w:val="left" w:pos="8160"/>
        </w:tabs>
        <w:spacing w:line="360" w:lineRule="auto"/>
        <w:ind w:right="862" w:firstLine="480" w:firstLineChars="200"/>
        <w:jc w:val="center"/>
        <w:rPr>
          <w:rFonts w:hint="eastAsia" w:ascii="宋体" w:hAnsi="宋体" w:cs="宋体"/>
          <w:sz w:val="24"/>
          <w:u w:val="single"/>
        </w:rPr>
      </w:pPr>
      <w:r>
        <w:rPr>
          <w:rFonts w:hint="eastAsia" w:ascii="宋体" w:hAnsi="宋体" w:cs="宋体"/>
          <w:sz w:val="24"/>
        </w:rPr>
        <w:t xml:space="preserve">      单位名称（盖章）：</w:t>
      </w:r>
      <w:r>
        <w:rPr>
          <w:rFonts w:hint="eastAsia" w:ascii="宋体" w:hAnsi="宋体" w:cs="宋体"/>
          <w:sz w:val="24"/>
          <w:u w:val="single"/>
        </w:rPr>
        <w:t xml:space="preserve">                   </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06" w:firstLineChars="200"/>
        <w:rPr>
          <w:rFonts w:hint="eastAsia" w:ascii="宋体" w:hAnsi="宋体" w:cs="宋体"/>
          <w:b/>
          <w:spacing w:val="6"/>
          <w:sz w:val="24"/>
          <w:shd w:val="pct10" w:color="auto" w:fill="FFFFFF"/>
        </w:rPr>
      </w:pPr>
    </w:p>
    <w:p>
      <w:pPr>
        <w:spacing w:line="360" w:lineRule="auto"/>
        <w:ind w:firstLine="506" w:firstLineChars="200"/>
        <w:rPr>
          <w:rFonts w:hint="eastAsia" w:ascii="宋体" w:hAnsi="宋体" w:cs="宋体"/>
          <w:b/>
          <w:spacing w:val="6"/>
          <w:sz w:val="24"/>
          <w:shd w:val="pct10" w:color="auto" w:fill="FFFFFF"/>
        </w:rPr>
      </w:pPr>
    </w:p>
    <w:p>
      <w:pPr>
        <w:kinsoku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备注：供应商提供的《残疾人福利性单位声明函》必须真实有效，如果被举报经查实出具虚假声明函的，将被取消投标资格，并按有关规定予以处理。</w:t>
      </w:r>
    </w:p>
    <w:p>
      <w:pPr>
        <w:pStyle w:val="125"/>
        <w:wordWrap/>
        <w:ind w:left="0" w:leftChars="0" w:firstLine="0" w:firstLineChars="0"/>
        <w:jc w:val="both"/>
        <w:rPr>
          <w:rFonts w:hint="eastAsia" w:ascii="宋体" w:hAnsi="宋体" w:eastAsia="宋体" w:cs="宋体"/>
          <w:b/>
          <w:sz w:val="24"/>
          <w:lang w:eastAsia="zh-CN"/>
        </w:rPr>
      </w:pPr>
    </w:p>
    <w:p>
      <w:pPr>
        <w:pStyle w:val="125"/>
        <w:wordWrap/>
        <w:ind w:left="0" w:leftChars="0" w:firstLine="0" w:firstLineChars="0"/>
        <w:jc w:val="both"/>
        <w:rPr>
          <w:rFonts w:hint="eastAsia" w:ascii="宋体" w:hAnsi="宋体" w:eastAsia="宋体" w:cs="宋体"/>
          <w:b/>
          <w:sz w:val="24"/>
          <w:lang w:eastAsia="zh-CN"/>
        </w:rPr>
      </w:pPr>
    </w:p>
    <w:p>
      <w:pPr>
        <w:rPr>
          <w:rFonts w:hint="eastAsia"/>
        </w:rPr>
      </w:pPr>
    </w:p>
    <w:p>
      <w:pPr>
        <w:pStyle w:val="21"/>
        <w:rPr>
          <w:rFonts w:hint="eastAsia"/>
        </w:rPr>
      </w:pPr>
    </w:p>
    <w:p>
      <w:pPr>
        <w:rPr>
          <w:rFonts w:hint="eastAsia"/>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hint="eastAsia" w:ascii="宋体" w:hAnsi="宋体" w:cs="宋体"/>
          <w:b/>
          <w:sz w:val="32"/>
          <w:szCs w:val="32"/>
        </w:rPr>
      </w:pPr>
    </w:p>
    <w:p>
      <w:pPr>
        <w:widowControl/>
        <w:ind w:firstLine="1606" w:firstLineChars="500"/>
        <w:jc w:val="both"/>
        <w:rPr>
          <w:rFonts w:ascii="Calibri Light" w:hAnsi="Calibri Light" w:eastAsia="华文仿宋" w:cs="Calibri Light"/>
          <w:b/>
          <w:color w:val="C00000"/>
          <w:sz w:val="30"/>
          <w:szCs w:val="30"/>
        </w:rPr>
      </w:pPr>
      <w:r>
        <w:rPr>
          <w:rFonts w:hint="eastAsia" w:ascii="宋体" w:hAnsi="宋体" w:cs="宋体"/>
          <w:b/>
          <w:sz w:val="32"/>
          <w:szCs w:val="32"/>
        </w:rPr>
        <w:t>监狱企业证明函</w:t>
      </w:r>
      <w:r>
        <w:rPr>
          <w:rFonts w:hint="eastAsia" w:ascii="宋体" w:hAnsi="宋体" w:cs="宋体"/>
          <w:b/>
          <w:sz w:val="32"/>
          <w:szCs w:val="32"/>
          <w:lang w:val="zh-CN"/>
        </w:rPr>
        <w:t>（</w:t>
      </w:r>
      <w:r>
        <w:rPr>
          <w:rFonts w:hint="eastAsia" w:ascii="宋体" w:hAnsi="宋体" w:cs="宋体"/>
          <w:b/>
          <w:sz w:val="32"/>
          <w:szCs w:val="32"/>
        </w:rPr>
        <w:t>如用，不用可删除</w:t>
      </w:r>
      <w:r>
        <w:rPr>
          <w:rFonts w:hint="eastAsia" w:ascii="宋体" w:hAnsi="宋体" w:cs="宋体"/>
          <w:b/>
          <w:kern w:val="0"/>
          <w:sz w:val="32"/>
          <w:szCs w:val="32"/>
          <w:lang w:val="zh-CN"/>
        </w:rPr>
        <w:t>）</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根据财政部、司法部《关于政府采购支持监狱企业发展有关问题的通知》（财库〔2014〕68号）的规定，</w:t>
      </w:r>
      <w:r>
        <w:rPr>
          <w:rFonts w:ascii="Calibri Light" w:hAnsi="Calibri Light" w:eastAsia="华文仿宋" w:cs="Calibri Light"/>
          <w:color w:val="000000" w:themeColor="text1"/>
          <w:sz w:val="28"/>
          <w:szCs w:val="28"/>
          <w14:textFill>
            <w14:solidFill>
              <w14:schemeClr w14:val="tx1"/>
            </w14:solidFill>
          </w14:textFill>
        </w:rPr>
        <w:t>监狱企业</w:t>
      </w:r>
      <w:r>
        <w:rPr>
          <w:rFonts w:ascii="Calibri Light" w:hAnsi="Calibri Light" w:eastAsia="华文仿宋"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监狱企业参加政府采购活动时，应当提供由省级以上监狱管理局、戒毒管理局（含新疆生产建设兵团）出具的属于监狱企业的证明文件。</w:t>
      </w:r>
    </w:p>
    <w:p>
      <w:pPr>
        <w:widowControl/>
        <w:spacing w:line="400" w:lineRule="exact"/>
        <w:jc w:val="left"/>
        <w:rPr>
          <w:rFonts w:hint="eastAsia" w:ascii="宋体" w:hAnsi="宋体" w:eastAsia="宋体" w:cs="宋体"/>
        </w:rPr>
      </w:pPr>
      <w:r>
        <w:rPr>
          <w:rFonts w:ascii="Calibri Light" w:hAnsi="Calibri Light" w:eastAsia="华文仿宋" w:cs="Calibri Light"/>
          <w:sz w:val="28"/>
          <w:szCs w:val="28"/>
        </w:rPr>
        <w:br w:type="page"/>
      </w:r>
    </w:p>
    <w:p>
      <w:pPr>
        <w:pStyle w:val="13"/>
        <w:ind w:firstLine="1606" w:firstLineChars="500"/>
        <w:jc w:val="both"/>
        <w:outlineLvl w:val="0"/>
        <w:rPr>
          <w:rFonts w:hint="eastAsia" w:hAnsi="宋体" w:cs="宋体"/>
          <w:b/>
          <w:sz w:val="32"/>
        </w:rPr>
      </w:pPr>
      <w:r>
        <w:rPr>
          <w:rFonts w:hint="eastAsia" w:hAnsi="宋体" w:cs="宋体"/>
          <w:b/>
          <w:sz w:val="32"/>
          <w:lang w:eastAsia="zh-CN"/>
        </w:rPr>
        <w:t>第五部分</w:t>
      </w:r>
      <w:r>
        <w:rPr>
          <w:rFonts w:hint="eastAsia" w:hAnsi="宋体" w:cs="宋体"/>
          <w:b/>
          <w:sz w:val="32"/>
          <w:lang w:val="en-US" w:eastAsia="zh-CN"/>
        </w:rPr>
        <w:t xml:space="preserve">  </w:t>
      </w:r>
      <w:r>
        <w:rPr>
          <w:rFonts w:hint="eastAsia" w:hAnsi="宋体" w:cs="宋体"/>
          <w:b/>
          <w:sz w:val="32"/>
          <w:lang w:eastAsia="zh-CN"/>
        </w:rPr>
        <w:t>供应</w:t>
      </w:r>
      <w:r>
        <w:rPr>
          <w:rFonts w:hint="eastAsia" w:hAnsi="宋体" w:cs="宋体"/>
          <w:b/>
          <w:sz w:val="32"/>
        </w:rPr>
        <w:t>商参加政府采购活动承诺书</w:t>
      </w:r>
    </w:p>
    <w:p>
      <w:pPr>
        <w:pStyle w:val="13"/>
        <w:ind w:firstLine="1928" w:firstLineChars="600"/>
        <w:jc w:val="both"/>
        <w:outlineLvl w:val="0"/>
        <w:rPr>
          <w:rFonts w:hint="eastAsia" w:hAnsi="宋体" w:cs="宋体"/>
          <w:b/>
          <w:sz w:val="32"/>
        </w:rPr>
      </w:pPr>
      <w:bookmarkStart w:id="120" w:name="_Toc30203"/>
      <w:bookmarkStart w:id="121" w:name="_Toc6450"/>
      <w:bookmarkStart w:id="122" w:name="_Toc13820"/>
      <w:r>
        <w:rPr>
          <w:rFonts w:hint="eastAsia" w:hAnsi="宋体" w:cs="宋体"/>
          <w:b/>
          <w:sz w:val="32"/>
        </w:rPr>
        <w:t>陕西省政府采购投标人拒绝政府采购领域</w:t>
      </w:r>
      <w:bookmarkEnd w:id="120"/>
      <w:bookmarkEnd w:id="121"/>
      <w:bookmarkEnd w:id="122"/>
    </w:p>
    <w:p>
      <w:pPr>
        <w:pStyle w:val="13"/>
        <w:jc w:val="center"/>
        <w:outlineLvl w:val="0"/>
        <w:rPr>
          <w:rFonts w:hint="eastAsia" w:hAnsi="宋体" w:cs="宋体"/>
          <w:b/>
          <w:sz w:val="32"/>
        </w:rPr>
      </w:pPr>
      <w:bookmarkStart w:id="123" w:name="_Toc2382"/>
      <w:bookmarkStart w:id="124" w:name="_Toc19249"/>
      <w:bookmarkStart w:id="125" w:name="_Toc22982"/>
      <w:r>
        <w:rPr>
          <w:rFonts w:hint="eastAsia" w:hAnsi="宋体" w:cs="宋体"/>
          <w:b/>
          <w:sz w:val="32"/>
        </w:rPr>
        <w:t>商业贿赂承诺书</w:t>
      </w:r>
      <w:r>
        <w:rPr>
          <w:rFonts w:hint="eastAsia" w:hAnsi="宋体" w:cs="宋体"/>
          <w:b/>
          <w:sz w:val="32"/>
          <w:szCs w:val="32"/>
        </w:rPr>
        <w:t>Ⅰ</w:t>
      </w:r>
      <w:bookmarkEnd w:id="123"/>
      <w:bookmarkEnd w:id="124"/>
      <w:bookmarkEnd w:id="125"/>
    </w:p>
    <w:p>
      <w:pPr>
        <w:rPr>
          <w:rFonts w:hint="eastAsia" w:ascii="宋体" w:hAnsi="宋体" w:cs="宋体"/>
        </w:rPr>
      </w:pPr>
    </w:p>
    <w:p>
      <w:pPr>
        <w:spacing w:line="360" w:lineRule="auto"/>
        <w:ind w:firstLine="360" w:firstLineChars="150"/>
        <w:rPr>
          <w:rFonts w:hint="eastAsia" w:ascii="宋体" w:hAnsi="宋体" w:cs="宋体"/>
          <w:sz w:val="24"/>
          <w:szCs w:val="28"/>
        </w:rPr>
      </w:pPr>
      <w:r>
        <w:rPr>
          <w:rFonts w:hint="eastAsia" w:ascii="宋体" w:hAnsi="宋体" w:cs="宋体"/>
          <w:sz w:val="24"/>
          <w:szCs w:val="28"/>
        </w:rPr>
        <w:t xml:space="preserve"> 为响应党中央、国务院关于治理政府采购领域商业贿赂行为的号召，我公司在此庄严承诺：</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2、不向政府采购单位、采购代理机构和政府采购评审专家进行任何形式的商业贿赂以谋取交易机会。</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3、不向政府采购代理机构和采购单位提供虚假资质文件或采用虚假应标方式参与政府采购市场竞争并谋取中标。</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5、不采取不正当手段诋毁、排挤其他投标单位。</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6、不在提供商品和服务时“偷梁换柱、以次充好”损害采购单位的合法权益。</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7、不与采购单位、采购代理机构政府采购评审专家或其它投标单位恶意串通，进行质疑和投诉，维护政府采购市场秩序。</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8、尊重和接受政府采购监督管理部门的监督和政府采购代理机构招标采购要求，承担因违约行为给采购单位造成的损失。</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9、不发生其他有悖于政府采购公开、公平、公正和诚信原则的行为。</w:t>
      </w:r>
    </w:p>
    <w:p>
      <w:pPr>
        <w:spacing w:line="360" w:lineRule="auto"/>
        <w:ind w:firstLine="480" w:firstLineChars="200"/>
        <w:rPr>
          <w:rFonts w:hint="eastAsia" w:ascii="宋体" w:hAnsi="宋体" w:cs="宋体"/>
          <w:sz w:val="24"/>
          <w:szCs w:val="28"/>
        </w:rPr>
      </w:pPr>
    </w:p>
    <w:p>
      <w:pPr>
        <w:spacing w:line="360" w:lineRule="auto"/>
        <w:ind w:firstLine="480" w:firstLineChars="200"/>
        <w:rPr>
          <w:rFonts w:hint="eastAsia" w:ascii="宋体" w:hAnsi="宋体" w:cs="宋体"/>
          <w:sz w:val="24"/>
          <w:szCs w:val="28"/>
        </w:rPr>
      </w:pPr>
      <w:r>
        <w:rPr>
          <w:rFonts w:hint="eastAsia" w:ascii="宋体" w:hAnsi="宋体" w:cs="宋体"/>
          <w:sz w:val="24"/>
          <w:szCs w:val="28"/>
        </w:rPr>
        <w:t>承诺单位：（盖章）</w:t>
      </w:r>
    </w:p>
    <w:p>
      <w:pPr>
        <w:spacing w:line="360" w:lineRule="auto"/>
        <w:ind w:firstLine="360" w:firstLineChars="150"/>
        <w:rPr>
          <w:rFonts w:hint="eastAsia" w:ascii="宋体" w:hAnsi="宋体" w:cs="宋体"/>
          <w:sz w:val="24"/>
          <w:szCs w:val="28"/>
        </w:rPr>
      </w:pPr>
    </w:p>
    <w:p>
      <w:pPr>
        <w:spacing w:line="360" w:lineRule="auto"/>
        <w:ind w:firstLine="480" w:firstLineChars="200"/>
        <w:rPr>
          <w:rFonts w:hint="eastAsia" w:ascii="宋体" w:hAnsi="宋体" w:cs="宋体"/>
          <w:sz w:val="24"/>
          <w:szCs w:val="28"/>
        </w:rPr>
      </w:pPr>
      <w:r>
        <w:rPr>
          <w:rFonts w:hint="eastAsia" w:ascii="宋体" w:hAnsi="宋体" w:cs="宋体"/>
          <w:sz w:val="24"/>
          <w:szCs w:val="28"/>
        </w:rPr>
        <w:t>全权代表：（签字）</w:t>
      </w:r>
    </w:p>
    <w:p>
      <w:pPr>
        <w:spacing w:line="360" w:lineRule="auto"/>
        <w:ind w:firstLine="360" w:firstLineChars="150"/>
        <w:rPr>
          <w:rFonts w:hint="eastAsia" w:ascii="宋体" w:hAnsi="宋体" w:cs="宋体"/>
          <w:sz w:val="24"/>
          <w:szCs w:val="28"/>
        </w:rPr>
      </w:pPr>
    </w:p>
    <w:p>
      <w:pPr>
        <w:spacing w:line="360" w:lineRule="auto"/>
        <w:ind w:firstLine="480" w:firstLineChars="200"/>
        <w:rPr>
          <w:rFonts w:hint="eastAsia" w:ascii="宋体" w:hAnsi="宋体" w:cs="宋体"/>
          <w:sz w:val="24"/>
          <w:szCs w:val="28"/>
        </w:rPr>
      </w:pPr>
      <w:r>
        <w:rPr>
          <w:rFonts w:hint="eastAsia" w:ascii="宋体" w:hAnsi="宋体" w:cs="宋体"/>
          <w:sz w:val="24"/>
          <w:szCs w:val="28"/>
        </w:rPr>
        <w:t>地址：                              邮编：</w:t>
      </w:r>
    </w:p>
    <w:p>
      <w:pPr>
        <w:spacing w:line="360" w:lineRule="auto"/>
        <w:ind w:firstLine="480" w:firstLineChars="200"/>
        <w:rPr>
          <w:rFonts w:hint="eastAsia" w:ascii="宋体" w:hAnsi="宋体" w:cs="宋体"/>
          <w:sz w:val="24"/>
          <w:szCs w:val="28"/>
        </w:rPr>
      </w:pPr>
    </w:p>
    <w:p>
      <w:pPr>
        <w:spacing w:line="360" w:lineRule="auto"/>
        <w:ind w:firstLine="480" w:firstLineChars="200"/>
        <w:rPr>
          <w:rFonts w:hint="eastAsia" w:ascii="宋体" w:hAnsi="宋体" w:cs="宋体"/>
          <w:sz w:val="24"/>
          <w:szCs w:val="28"/>
        </w:rPr>
      </w:pPr>
      <w:r>
        <w:rPr>
          <w:rFonts w:hint="eastAsia" w:ascii="宋体" w:hAnsi="宋体" w:cs="宋体"/>
          <w:sz w:val="24"/>
          <w:szCs w:val="28"/>
        </w:rPr>
        <w:t>电话：</w:t>
      </w:r>
    </w:p>
    <w:p>
      <w:pPr>
        <w:spacing w:line="360" w:lineRule="auto"/>
        <w:ind w:right="480" w:firstLine="360" w:firstLineChars="150"/>
        <w:jc w:val="center"/>
        <w:rPr>
          <w:rFonts w:hint="eastAsia" w:ascii="宋体" w:hAnsi="宋体" w:cs="宋体"/>
          <w:sz w:val="24"/>
          <w:szCs w:val="28"/>
        </w:rPr>
      </w:pPr>
      <w:r>
        <w:rPr>
          <w:rFonts w:hint="eastAsia" w:ascii="宋体" w:hAnsi="宋体" w:cs="宋体"/>
          <w:sz w:val="24"/>
          <w:szCs w:val="28"/>
        </w:rPr>
        <w:t xml:space="preserve">                                                 年  月  日</w:t>
      </w:r>
    </w:p>
    <w:p>
      <w:pPr>
        <w:spacing w:line="360" w:lineRule="atLeast"/>
        <w:jc w:val="center"/>
        <w:outlineLvl w:val="0"/>
        <w:rPr>
          <w:rFonts w:hint="eastAsia" w:ascii="宋体" w:hAnsi="宋体" w:cs="宋体"/>
          <w:b/>
          <w:sz w:val="32"/>
          <w:szCs w:val="32"/>
        </w:rPr>
      </w:pPr>
      <w:r>
        <w:rPr>
          <w:rFonts w:hint="eastAsia" w:ascii="宋体" w:hAnsi="宋体" w:cs="宋体"/>
          <w:b/>
          <w:sz w:val="32"/>
          <w:szCs w:val="32"/>
        </w:rPr>
        <w:br w:type="page"/>
      </w:r>
      <w:bookmarkStart w:id="126" w:name="_Toc14423"/>
      <w:bookmarkStart w:id="127" w:name="_Toc3612"/>
      <w:bookmarkStart w:id="128" w:name="_Toc23781"/>
      <w:r>
        <w:rPr>
          <w:rFonts w:hint="eastAsia" w:ascii="宋体" w:hAnsi="宋体" w:cs="宋体"/>
          <w:b/>
          <w:sz w:val="32"/>
          <w:szCs w:val="32"/>
        </w:rPr>
        <w:t>承诺书Ⅱ</w:t>
      </w:r>
      <w:bookmarkEnd w:id="126"/>
      <w:bookmarkEnd w:id="127"/>
      <w:bookmarkEnd w:id="12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宋体" w:hAnsi="宋体" w:cs="宋体"/>
                <w:sz w:val="24"/>
              </w:rPr>
            </w:pPr>
            <w:r>
              <w:rPr>
                <w:rFonts w:hint="eastAsia" w:ascii="宋体" w:hAnsi="宋体" w:cs="宋体"/>
                <w:sz w:val="24"/>
              </w:rPr>
              <w:t>致：</w:t>
            </w:r>
            <w:r>
              <w:rPr>
                <w:rFonts w:hint="eastAsia" w:ascii="宋体" w:hAnsi="宋体" w:cs="宋体"/>
                <w:sz w:val="24"/>
                <w:szCs w:val="22"/>
              </w:rPr>
              <w:t>伍诚工程咨询股份有限公司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rPr>
                <w:rFonts w:hint="eastAsia" w:ascii="宋体" w:hAnsi="宋体" w:cs="宋体"/>
                <w:sz w:val="24"/>
              </w:rPr>
            </w:pPr>
            <w:r>
              <w:rPr>
                <w:rFonts w:hint="eastAsia" w:ascii="宋体" w:hAnsi="宋体" w:cs="宋体"/>
                <w:sz w:val="24"/>
              </w:rPr>
              <w:t>作为参加贵公司组织的招标采购项目的投标单位，本公司承诺：在参加本项目招标之前不存在被依法禁止经营行为、财产被接管或冻结的情况，如有隐瞒实情，愿承担一切责任及后果。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投标单位</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法定代表人</w:t>
            </w:r>
          </w:p>
        </w:tc>
        <w:tc>
          <w:tcPr>
            <w:tcW w:w="2340" w:type="dxa"/>
            <w:noWrap w:val="0"/>
            <w:vAlign w:val="center"/>
          </w:tcPr>
          <w:p>
            <w:pPr>
              <w:spacing w:line="360" w:lineRule="atLeast"/>
              <w:jc w:val="center"/>
              <w:rPr>
                <w:rFonts w:hint="eastAsia"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（公章）</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（签字或盖章）</w:t>
            </w:r>
          </w:p>
        </w:tc>
        <w:tc>
          <w:tcPr>
            <w:tcW w:w="2340" w:type="dxa"/>
            <w:noWrap w:val="0"/>
            <w:vAlign w:val="center"/>
          </w:tcPr>
          <w:p>
            <w:pPr>
              <w:spacing w:line="360" w:lineRule="atLeast"/>
              <w:ind w:firstLine="240" w:firstLineChars="100"/>
              <w:jc w:val="center"/>
              <w:rPr>
                <w:rFonts w:hint="eastAsia" w:ascii="宋体" w:hAnsi="宋体" w:cs="宋体"/>
                <w:sz w:val="24"/>
              </w:rPr>
            </w:pPr>
            <w:r>
              <w:rPr>
                <w:rFonts w:hint="eastAsia" w:ascii="宋体" w:hAnsi="宋体" w:cs="宋体"/>
                <w:sz w:val="24"/>
              </w:rPr>
              <w:t>年  月  日</w:t>
            </w:r>
          </w:p>
        </w:tc>
      </w:tr>
    </w:tbl>
    <w:p>
      <w:pPr>
        <w:spacing w:line="360" w:lineRule="atLeast"/>
        <w:rPr>
          <w:rFonts w:hint="eastAsia" w:ascii="宋体" w:hAnsi="宋体" w:cs="宋体"/>
          <w:b/>
          <w:sz w:val="42"/>
          <w:szCs w:val="42"/>
        </w:rPr>
      </w:pPr>
    </w:p>
    <w:p>
      <w:pPr>
        <w:spacing w:line="360" w:lineRule="atLeast"/>
        <w:rPr>
          <w:rFonts w:hint="eastAsia" w:ascii="宋体" w:hAnsi="宋体" w:cs="宋体"/>
          <w:b/>
          <w:sz w:val="42"/>
          <w:szCs w:val="42"/>
        </w:rPr>
      </w:pPr>
    </w:p>
    <w:p>
      <w:pPr>
        <w:spacing w:line="360" w:lineRule="atLeast"/>
        <w:rPr>
          <w:rFonts w:hint="eastAsia" w:ascii="宋体" w:hAnsi="宋体" w:cs="宋体"/>
          <w:b/>
          <w:sz w:val="42"/>
          <w:szCs w:val="42"/>
        </w:rPr>
      </w:pPr>
    </w:p>
    <w:p>
      <w:pPr>
        <w:spacing w:line="360" w:lineRule="atLeast"/>
        <w:jc w:val="center"/>
        <w:outlineLvl w:val="0"/>
        <w:rPr>
          <w:rFonts w:hint="eastAsia" w:ascii="宋体" w:hAnsi="宋体" w:cs="宋体"/>
          <w:b/>
          <w:sz w:val="32"/>
          <w:szCs w:val="32"/>
        </w:rPr>
      </w:pPr>
      <w:bookmarkStart w:id="129" w:name="_Toc2861"/>
      <w:bookmarkStart w:id="130" w:name="_Toc14997"/>
      <w:bookmarkStart w:id="131" w:name="_Toc690"/>
      <w:r>
        <w:rPr>
          <w:rFonts w:hint="eastAsia" w:ascii="宋体" w:hAnsi="宋体" w:cs="宋体"/>
          <w:b/>
          <w:sz w:val="32"/>
          <w:szCs w:val="32"/>
        </w:rPr>
        <w:t>承诺书Ⅲ</w:t>
      </w:r>
      <w:bookmarkEnd w:id="129"/>
      <w:bookmarkEnd w:id="130"/>
      <w:bookmarkEnd w:id="13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宋体" w:hAnsi="宋体" w:cs="宋体"/>
                <w:sz w:val="24"/>
              </w:rPr>
            </w:pPr>
            <w:r>
              <w:rPr>
                <w:rFonts w:hint="eastAsia" w:ascii="宋体" w:hAnsi="宋体" w:cs="宋体"/>
                <w:sz w:val="24"/>
              </w:rPr>
              <w:t>致：</w:t>
            </w:r>
            <w:r>
              <w:rPr>
                <w:rFonts w:hint="eastAsia" w:ascii="宋体" w:hAnsi="宋体" w:cs="宋体"/>
                <w:sz w:val="24"/>
                <w:szCs w:val="22"/>
              </w:rPr>
              <w:t>伍诚工程咨询股份有限公司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rPr>
                <w:rFonts w:hint="eastAsia" w:ascii="宋体" w:hAnsi="宋体" w:cs="宋体"/>
                <w:sz w:val="24"/>
              </w:rPr>
            </w:pPr>
            <w:r>
              <w:rPr>
                <w:rFonts w:hint="eastAsia" w:ascii="宋体" w:hAnsi="宋体" w:cs="宋体"/>
                <w:sz w:val="24"/>
              </w:rPr>
              <w:t>作为参加贵公司组织的招标采购项目的投标单位，本公司郑重申告并承诺：近三年受到有关行政主管部门的行政处理、不良行为记录为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投标单位</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法定代表人</w:t>
            </w:r>
          </w:p>
        </w:tc>
        <w:tc>
          <w:tcPr>
            <w:tcW w:w="2340" w:type="dxa"/>
            <w:noWrap w:val="0"/>
            <w:vAlign w:val="center"/>
          </w:tcPr>
          <w:p>
            <w:pPr>
              <w:spacing w:line="360" w:lineRule="atLeast"/>
              <w:jc w:val="center"/>
              <w:rPr>
                <w:rFonts w:hint="eastAsia"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（公章）</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（签字或盖章）</w:t>
            </w:r>
          </w:p>
        </w:tc>
        <w:tc>
          <w:tcPr>
            <w:tcW w:w="2340" w:type="dxa"/>
            <w:noWrap w:val="0"/>
            <w:vAlign w:val="center"/>
          </w:tcPr>
          <w:p>
            <w:pPr>
              <w:spacing w:line="360" w:lineRule="atLeast"/>
              <w:ind w:firstLine="240" w:firstLineChars="100"/>
              <w:jc w:val="center"/>
              <w:rPr>
                <w:rFonts w:hint="eastAsia" w:ascii="宋体" w:hAnsi="宋体" w:cs="宋体"/>
                <w:sz w:val="24"/>
              </w:rPr>
            </w:pPr>
            <w:r>
              <w:rPr>
                <w:rFonts w:hint="eastAsia" w:ascii="宋体" w:hAnsi="宋体" w:cs="宋体"/>
                <w:sz w:val="24"/>
              </w:rPr>
              <w:t>年  月  日</w:t>
            </w:r>
          </w:p>
        </w:tc>
      </w:tr>
    </w:tbl>
    <w:p>
      <w:pPr>
        <w:spacing w:line="360" w:lineRule="atLeast"/>
        <w:rPr>
          <w:rFonts w:hint="eastAsia" w:ascii="宋体" w:hAnsi="宋体" w:cs="宋体"/>
          <w:b/>
          <w:sz w:val="32"/>
          <w:szCs w:val="32"/>
        </w:rPr>
      </w:pPr>
    </w:p>
    <w:p>
      <w:pPr>
        <w:spacing w:line="360" w:lineRule="atLeast"/>
        <w:ind w:firstLine="4176" w:firstLineChars="1300"/>
        <w:jc w:val="both"/>
        <w:outlineLvl w:val="0"/>
        <w:rPr>
          <w:rFonts w:hint="eastAsia" w:ascii="宋体" w:hAnsi="宋体" w:cs="宋体"/>
          <w:b/>
          <w:sz w:val="32"/>
          <w:szCs w:val="32"/>
        </w:rPr>
      </w:pPr>
      <w:bookmarkStart w:id="132" w:name="_Toc5051"/>
      <w:bookmarkStart w:id="133" w:name="_Toc7919"/>
      <w:bookmarkStart w:id="134" w:name="_Toc6336"/>
    </w:p>
    <w:p>
      <w:pPr>
        <w:spacing w:line="360" w:lineRule="atLeast"/>
        <w:ind w:firstLine="4176" w:firstLineChars="1300"/>
        <w:jc w:val="both"/>
        <w:outlineLvl w:val="0"/>
        <w:rPr>
          <w:rFonts w:hint="eastAsia" w:ascii="宋体" w:hAnsi="宋体" w:cs="宋体"/>
          <w:b/>
          <w:sz w:val="32"/>
          <w:szCs w:val="32"/>
        </w:rPr>
      </w:pPr>
      <w:r>
        <w:rPr>
          <w:rFonts w:hint="eastAsia" w:ascii="宋体" w:hAnsi="宋体" w:cs="宋体"/>
          <w:b/>
          <w:sz w:val="32"/>
          <w:szCs w:val="32"/>
        </w:rPr>
        <w:t>承诺书Ⅳ</w:t>
      </w:r>
      <w:bookmarkEnd w:id="132"/>
      <w:bookmarkEnd w:id="133"/>
      <w:bookmarkEnd w:id="134"/>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宋体" w:hAnsi="宋体" w:cs="宋体"/>
                <w:sz w:val="24"/>
              </w:rPr>
            </w:pPr>
            <w:r>
              <w:rPr>
                <w:rFonts w:hint="eastAsia" w:ascii="宋体" w:hAnsi="宋体" w:cs="宋体"/>
                <w:sz w:val="24"/>
              </w:rPr>
              <w:t>致：</w:t>
            </w:r>
            <w:r>
              <w:rPr>
                <w:rFonts w:hint="eastAsia" w:ascii="宋体" w:hAnsi="宋体" w:cs="宋体"/>
                <w:sz w:val="24"/>
                <w:szCs w:val="22"/>
              </w:rPr>
              <w:t>伍诚工程咨询股份有限公司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rPr>
                <w:rFonts w:hint="eastAsia" w:ascii="宋体" w:hAnsi="宋体" w:cs="宋体"/>
                <w:sz w:val="24"/>
              </w:rPr>
            </w:pPr>
            <w:r>
              <w:rPr>
                <w:rFonts w:hint="eastAsia" w:ascii="宋体" w:hAnsi="宋体" w:cs="宋体"/>
                <w:sz w:val="24"/>
              </w:rPr>
              <w:t>作为参加贵公司组织的招标采购项目的投标单位，本公司郑重申告：近三年因项目质量问题的不法行为记录为</w:t>
            </w:r>
            <w:r>
              <w:rPr>
                <w:rFonts w:hint="eastAsia" w:ascii="宋体" w:hAnsi="宋体" w:cs="宋体"/>
                <w:sz w:val="24"/>
                <w:u w:val="single"/>
              </w:rPr>
              <w:t xml:space="preserve">   </w:t>
            </w:r>
            <w:r>
              <w:rPr>
                <w:rFonts w:hint="eastAsia" w:ascii="宋体" w:hAnsi="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投标单位</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法定代表人</w:t>
            </w:r>
          </w:p>
        </w:tc>
        <w:tc>
          <w:tcPr>
            <w:tcW w:w="2340" w:type="dxa"/>
            <w:noWrap w:val="0"/>
            <w:vAlign w:val="center"/>
          </w:tcPr>
          <w:p>
            <w:pPr>
              <w:spacing w:line="360" w:lineRule="atLeast"/>
              <w:jc w:val="center"/>
              <w:rPr>
                <w:rFonts w:hint="eastAsia"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（公章）</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（签字或盖章）</w:t>
            </w:r>
          </w:p>
        </w:tc>
        <w:tc>
          <w:tcPr>
            <w:tcW w:w="2340" w:type="dxa"/>
            <w:noWrap w:val="0"/>
            <w:vAlign w:val="center"/>
          </w:tcPr>
          <w:p>
            <w:pPr>
              <w:spacing w:line="360" w:lineRule="atLeast"/>
              <w:ind w:firstLine="240" w:firstLineChars="100"/>
              <w:jc w:val="center"/>
              <w:rPr>
                <w:rFonts w:hint="eastAsia" w:ascii="宋体" w:hAnsi="宋体" w:cs="宋体"/>
                <w:sz w:val="24"/>
              </w:rPr>
            </w:pPr>
            <w:r>
              <w:rPr>
                <w:rFonts w:hint="eastAsia" w:ascii="宋体" w:hAnsi="宋体" w:cs="宋体"/>
                <w:sz w:val="24"/>
              </w:rPr>
              <w:t>年  月  日</w:t>
            </w:r>
          </w:p>
        </w:tc>
      </w:tr>
    </w:tbl>
    <w:p>
      <w:pPr>
        <w:spacing w:line="360" w:lineRule="auto"/>
        <w:ind w:right="480"/>
        <w:rPr>
          <w:rFonts w:hint="eastAsia" w:ascii="宋体" w:hAnsi="宋体" w:cs="宋体"/>
          <w:sz w:val="24"/>
          <w:szCs w:val="28"/>
        </w:rPr>
      </w:pPr>
    </w:p>
    <w:p>
      <w:pPr>
        <w:spacing w:line="360" w:lineRule="auto"/>
        <w:ind w:right="480"/>
        <w:rPr>
          <w:rFonts w:hint="eastAsia" w:ascii="宋体" w:hAnsi="宋体" w:cs="宋体"/>
          <w:sz w:val="24"/>
          <w:szCs w:val="28"/>
        </w:rPr>
      </w:pPr>
    </w:p>
    <w:p>
      <w:pPr>
        <w:spacing w:line="360" w:lineRule="auto"/>
        <w:ind w:right="480"/>
        <w:rPr>
          <w:rFonts w:hint="eastAsia" w:ascii="宋体" w:hAnsi="宋体" w:cs="宋体"/>
          <w:sz w:val="24"/>
          <w:szCs w:val="28"/>
        </w:rPr>
      </w:pPr>
    </w:p>
    <w:p>
      <w:pPr>
        <w:spacing w:line="360" w:lineRule="atLeast"/>
        <w:jc w:val="center"/>
        <w:outlineLvl w:val="0"/>
        <w:rPr>
          <w:rFonts w:hint="eastAsia" w:ascii="宋体" w:hAnsi="宋体" w:cs="宋体"/>
          <w:b/>
          <w:sz w:val="32"/>
          <w:szCs w:val="32"/>
        </w:rPr>
      </w:pPr>
      <w:bookmarkStart w:id="135" w:name="_Toc10420"/>
      <w:bookmarkStart w:id="136" w:name="_Toc9540"/>
      <w:bookmarkStart w:id="137" w:name="_Toc24516"/>
      <w:r>
        <w:rPr>
          <w:rFonts w:hint="eastAsia" w:ascii="宋体" w:hAnsi="宋体" w:cs="宋体"/>
          <w:b/>
          <w:sz w:val="32"/>
          <w:szCs w:val="32"/>
        </w:rPr>
        <w:t>承诺书</w:t>
      </w:r>
      <w:r>
        <w:rPr>
          <w:rFonts w:hint="eastAsia" w:ascii="宋体" w:hAnsi="宋体" w:cs="宋体"/>
          <w:b/>
          <w:sz w:val="36"/>
          <w:szCs w:val="36"/>
        </w:rPr>
        <w:fldChar w:fldCharType="begin"/>
      </w:r>
      <w:r>
        <w:rPr>
          <w:rFonts w:hint="eastAsia" w:ascii="宋体" w:hAnsi="宋体" w:cs="宋体"/>
          <w:b/>
          <w:sz w:val="36"/>
          <w:szCs w:val="36"/>
        </w:rPr>
        <w:instrText xml:space="preserve"> = 5 \* ROMAN </w:instrText>
      </w:r>
      <w:r>
        <w:rPr>
          <w:rFonts w:hint="eastAsia" w:ascii="宋体" w:hAnsi="宋体" w:cs="宋体"/>
          <w:b/>
          <w:sz w:val="36"/>
          <w:szCs w:val="36"/>
        </w:rPr>
        <w:fldChar w:fldCharType="separate"/>
      </w:r>
      <w:r>
        <w:rPr>
          <w:rFonts w:hint="eastAsia" w:ascii="宋体" w:hAnsi="宋体" w:cs="宋体"/>
          <w:b/>
          <w:sz w:val="36"/>
          <w:szCs w:val="36"/>
        </w:rPr>
        <w:t>V</w:t>
      </w:r>
      <w:r>
        <w:rPr>
          <w:rFonts w:hint="eastAsia" w:ascii="宋体" w:hAnsi="宋体" w:cs="宋体"/>
          <w:b/>
          <w:sz w:val="36"/>
          <w:szCs w:val="36"/>
        </w:rPr>
        <w:fldChar w:fldCharType="end"/>
      </w:r>
      <w:bookmarkEnd w:id="135"/>
      <w:bookmarkEnd w:id="136"/>
      <w:bookmarkEnd w:id="13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rPr>
                <w:rFonts w:hint="eastAsia" w:ascii="宋体" w:hAnsi="宋体" w:cs="宋体"/>
                <w:sz w:val="24"/>
              </w:rPr>
            </w:pPr>
            <w:r>
              <w:rPr>
                <w:rFonts w:hint="eastAsia" w:ascii="宋体" w:hAnsi="宋体" w:cs="宋体"/>
                <w:sz w:val="24"/>
              </w:rPr>
              <w:t>致：</w:t>
            </w:r>
            <w:r>
              <w:rPr>
                <w:rFonts w:hint="eastAsia" w:ascii="宋体" w:hAnsi="宋体" w:cs="宋体"/>
                <w:sz w:val="24"/>
                <w:szCs w:val="22"/>
              </w:rPr>
              <w:t>伍诚工程咨询股份有限公司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rPr>
                <w:rFonts w:hint="eastAsia" w:ascii="宋体" w:hAnsi="宋体" w:cs="宋体"/>
                <w:sz w:val="24"/>
              </w:rPr>
            </w:pPr>
            <w:r>
              <w:rPr>
                <w:rFonts w:hint="eastAsia" w:ascii="宋体" w:hAnsi="宋体" w:cs="宋体"/>
                <w:sz w:val="24"/>
              </w:rPr>
              <w:t>作为参加贵公司组织的招标采购项目的投标单位，本公司承诺：参加本次投标提交的所有资质证明文件及业绩证明是真实的、有效的，如有隐瞒实情，愿承担一切责任及后果。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投标单位</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法定代表人</w:t>
            </w:r>
          </w:p>
        </w:tc>
        <w:tc>
          <w:tcPr>
            <w:tcW w:w="2340" w:type="dxa"/>
            <w:noWrap w:val="0"/>
            <w:vAlign w:val="center"/>
          </w:tcPr>
          <w:p>
            <w:pPr>
              <w:spacing w:line="360" w:lineRule="atLeast"/>
              <w:jc w:val="center"/>
              <w:rPr>
                <w:rFonts w:hint="eastAsia"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rPr>
                <w:rFonts w:hint="eastAsia" w:ascii="宋体" w:hAnsi="宋体" w:cs="宋体"/>
                <w:sz w:val="24"/>
              </w:rPr>
            </w:pPr>
            <w:r>
              <w:rPr>
                <w:rFonts w:hint="eastAsia" w:ascii="宋体" w:hAnsi="宋体" w:cs="宋体"/>
                <w:sz w:val="24"/>
              </w:rPr>
              <w:t>（公章）</w:t>
            </w:r>
          </w:p>
        </w:tc>
        <w:tc>
          <w:tcPr>
            <w:tcW w:w="3420" w:type="dxa"/>
            <w:noWrap w:val="0"/>
            <w:vAlign w:val="center"/>
          </w:tcPr>
          <w:p>
            <w:pPr>
              <w:spacing w:line="360" w:lineRule="atLeast"/>
              <w:jc w:val="center"/>
              <w:rPr>
                <w:rFonts w:hint="eastAsia" w:ascii="宋体" w:hAnsi="宋体" w:cs="宋体"/>
                <w:sz w:val="24"/>
              </w:rPr>
            </w:pPr>
            <w:r>
              <w:rPr>
                <w:rFonts w:hint="eastAsia" w:ascii="宋体" w:hAnsi="宋体" w:cs="宋体"/>
                <w:sz w:val="24"/>
              </w:rPr>
              <w:t>（签字或盖章）</w:t>
            </w:r>
          </w:p>
        </w:tc>
        <w:tc>
          <w:tcPr>
            <w:tcW w:w="2340" w:type="dxa"/>
            <w:noWrap w:val="0"/>
            <w:vAlign w:val="center"/>
          </w:tcPr>
          <w:p>
            <w:pPr>
              <w:spacing w:line="360" w:lineRule="atLeast"/>
              <w:ind w:firstLine="240" w:firstLineChars="100"/>
              <w:jc w:val="center"/>
              <w:rPr>
                <w:rFonts w:hint="eastAsia" w:ascii="宋体" w:hAnsi="宋体" w:cs="宋体"/>
                <w:sz w:val="24"/>
              </w:rPr>
            </w:pPr>
            <w:r>
              <w:rPr>
                <w:rFonts w:hint="eastAsia" w:ascii="宋体" w:hAnsi="宋体" w:cs="宋体"/>
                <w:sz w:val="24"/>
              </w:rPr>
              <w:t>年  月  日</w:t>
            </w:r>
          </w:p>
        </w:tc>
      </w:tr>
    </w:tbl>
    <w:p>
      <w:pPr>
        <w:spacing w:line="360" w:lineRule="atLeast"/>
        <w:jc w:val="center"/>
        <w:rPr>
          <w:rFonts w:hint="eastAsia" w:ascii="宋体" w:hAnsi="宋体" w:cs="宋体"/>
          <w:b/>
          <w:sz w:val="32"/>
          <w:szCs w:val="32"/>
        </w:rPr>
      </w:pPr>
    </w:p>
    <w:p>
      <w:pPr>
        <w:widowControl w:val="0"/>
        <w:spacing w:line="560" w:lineRule="exact"/>
        <w:ind w:right="-2"/>
        <w:jc w:val="center"/>
        <w:textAlignment w:val="auto"/>
        <w:rPr>
          <w:rFonts w:hint="eastAsia" w:ascii="宋体" w:hAnsi="宋体" w:eastAsia="宋体" w:cs="宋体"/>
          <w:b/>
          <w:bCs/>
          <w:sz w:val="32"/>
          <w:szCs w:val="32"/>
          <w:vertAlign w:val="baseline"/>
        </w:rPr>
      </w:pPr>
    </w:p>
    <w:p>
      <w:pPr>
        <w:widowControl w:val="0"/>
        <w:spacing w:line="560" w:lineRule="exact"/>
        <w:ind w:right="-2"/>
        <w:jc w:val="center"/>
        <w:textAlignment w:val="auto"/>
        <w:rPr>
          <w:rFonts w:hint="eastAsia" w:ascii="宋体" w:hAnsi="宋体" w:eastAsia="宋体" w:cs="宋体"/>
          <w:b/>
          <w:bCs/>
          <w:sz w:val="32"/>
          <w:szCs w:val="32"/>
          <w:vertAlign w:val="baseline"/>
        </w:rPr>
      </w:pPr>
      <w:r>
        <w:rPr>
          <w:rFonts w:hint="eastAsia" w:ascii="宋体" w:hAnsi="宋体" w:eastAsia="宋体" w:cs="宋体"/>
          <w:b/>
          <w:bCs/>
          <w:sz w:val="32"/>
          <w:szCs w:val="32"/>
          <w:vertAlign w:val="baseline"/>
        </w:rPr>
        <w:t>投标人信用承诺书</w:t>
      </w:r>
    </w:p>
    <w:p>
      <w:pPr>
        <w:widowControl/>
        <w:adjustRightInd w:val="0"/>
        <w:snapToGrid w:val="0"/>
        <w:spacing w:line="460" w:lineRule="exact"/>
        <w:jc w:val="left"/>
        <w:rPr>
          <w:rFonts w:hint="eastAsia" w:ascii="宋体" w:hAnsi="宋体" w:cs="宋体"/>
          <w:kern w:val="0"/>
          <w:sz w:val="24"/>
          <w:u w:val="single"/>
        </w:rPr>
      </w:pPr>
      <w:r>
        <w:rPr>
          <w:rFonts w:hint="eastAsia" w:ascii="宋体" w:hAnsi="宋体" w:cs="宋体"/>
          <w:kern w:val="0"/>
          <w:sz w:val="24"/>
        </w:rPr>
        <w:t>投标人：</w:t>
      </w:r>
      <w:r>
        <w:rPr>
          <w:rFonts w:hint="eastAsia" w:ascii="宋体" w:hAnsi="宋体" w:cs="宋体"/>
          <w:kern w:val="0"/>
          <w:sz w:val="24"/>
          <w:u w:val="single"/>
        </w:rPr>
        <w:t xml:space="preserve">                                                                   </w:t>
      </w:r>
    </w:p>
    <w:p>
      <w:pPr>
        <w:widowControl/>
        <w:adjustRightInd w:val="0"/>
        <w:snapToGrid w:val="0"/>
        <w:spacing w:line="460" w:lineRule="exact"/>
        <w:jc w:val="left"/>
        <w:rPr>
          <w:rFonts w:hint="eastAsia" w:ascii="宋体" w:hAnsi="宋体" w:cs="宋体"/>
          <w:kern w:val="0"/>
          <w:sz w:val="24"/>
          <w:u w:val="single"/>
        </w:rPr>
      </w:pPr>
      <w:r>
        <w:rPr>
          <w:rFonts w:hint="eastAsia" w:ascii="宋体" w:hAnsi="宋体" w:cs="宋体"/>
          <w:kern w:val="0"/>
          <w:sz w:val="24"/>
        </w:rPr>
        <w:t>统一社会信用代码：</w:t>
      </w:r>
      <w:r>
        <w:rPr>
          <w:rFonts w:hint="eastAsia" w:ascii="宋体" w:hAnsi="宋体" w:cs="宋体"/>
          <w:kern w:val="0"/>
          <w:sz w:val="24"/>
          <w:u w:val="single"/>
        </w:rPr>
        <w:t xml:space="preserve">                             </w:t>
      </w:r>
      <w:r>
        <w:rPr>
          <w:rFonts w:hint="eastAsia" w:ascii="宋体" w:hAnsi="宋体" w:cs="宋体"/>
          <w:kern w:val="0"/>
          <w:sz w:val="24"/>
        </w:rPr>
        <w:t>法人代表：</w:t>
      </w:r>
      <w:r>
        <w:rPr>
          <w:rFonts w:hint="eastAsia" w:ascii="宋体" w:hAnsi="宋体" w:cs="宋体"/>
          <w:kern w:val="0"/>
          <w:sz w:val="24"/>
          <w:u w:val="single"/>
        </w:rPr>
        <w:t xml:space="preserve">                  </w:t>
      </w:r>
    </w:p>
    <w:p>
      <w:pPr>
        <w:widowControl/>
        <w:adjustRightInd w:val="0"/>
        <w:snapToGrid w:val="0"/>
        <w:spacing w:line="460" w:lineRule="exact"/>
        <w:jc w:val="left"/>
        <w:rPr>
          <w:rFonts w:hint="eastAsia" w:ascii="宋体" w:hAnsi="宋体" w:cs="宋体"/>
          <w:kern w:val="0"/>
          <w:sz w:val="24"/>
          <w:u w:val="single"/>
        </w:rPr>
      </w:pPr>
      <w:r>
        <w:rPr>
          <w:rFonts w:hint="eastAsia" w:ascii="宋体" w:hAnsi="宋体" w:cs="宋体"/>
          <w:kern w:val="0"/>
          <w:sz w:val="24"/>
        </w:rPr>
        <w:t>承诺有效期限：</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adjustRightInd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在</w:t>
      </w:r>
      <w:r>
        <w:rPr>
          <w:rFonts w:hint="eastAsia" w:ascii="宋体" w:hAnsi="宋体" w:cs="宋体"/>
          <w:kern w:val="0"/>
          <w:sz w:val="24"/>
          <w:u w:val="single"/>
        </w:rPr>
        <w:t xml:space="preserve">                                   </w:t>
      </w:r>
      <w:r>
        <w:rPr>
          <w:rFonts w:hint="eastAsia" w:ascii="宋体" w:hAnsi="宋体" w:cs="宋体"/>
          <w:kern w:val="0"/>
          <w:sz w:val="24"/>
        </w:rPr>
        <w:t>项目招投标活动中，我公司（单位）郑重作出以下信用承诺：</w:t>
      </w:r>
    </w:p>
    <w:p>
      <w:pPr>
        <w:widowControl/>
        <w:adjustRightInd w:val="0"/>
        <w:snapToGrid w:val="0"/>
        <w:spacing w:line="460" w:lineRule="exact"/>
        <w:ind w:firstLine="480"/>
        <w:jc w:val="left"/>
        <w:rPr>
          <w:rFonts w:hint="eastAsia" w:ascii="宋体" w:hAnsi="宋体" w:cs="宋体"/>
          <w:kern w:val="0"/>
          <w:sz w:val="24"/>
        </w:rPr>
      </w:pPr>
      <w:r>
        <w:rPr>
          <w:rFonts w:hint="eastAsia" w:ascii="宋体" w:hAnsi="宋体" w:cs="宋体"/>
          <w:kern w:val="0"/>
          <w:sz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pPr>
        <w:widowControl/>
        <w:adjustRightInd w:val="0"/>
        <w:snapToGrid w:val="0"/>
        <w:spacing w:line="460" w:lineRule="exact"/>
        <w:ind w:firstLine="480"/>
        <w:jc w:val="left"/>
        <w:rPr>
          <w:rFonts w:hint="eastAsia" w:ascii="宋体" w:hAnsi="宋体" w:cs="宋体"/>
          <w:kern w:val="0"/>
          <w:sz w:val="24"/>
        </w:rPr>
      </w:pPr>
      <w:r>
        <w:rPr>
          <w:rFonts w:hint="eastAsia" w:ascii="宋体" w:hAnsi="宋体" w:cs="宋体"/>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widowControl/>
        <w:adjustRightInd w:val="0"/>
        <w:snapToGrid w:val="0"/>
        <w:spacing w:line="460" w:lineRule="exact"/>
        <w:ind w:firstLine="480"/>
        <w:jc w:val="left"/>
        <w:rPr>
          <w:rFonts w:hint="eastAsia" w:ascii="宋体" w:hAnsi="宋体" w:cs="宋体"/>
          <w:kern w:val="0"/>
          <w:sz w:val="24"/>
        </w:rPr>
      </w:pPr>
      <w:r>
        <w:rPr>
          <w:rFonts w:hint="eastAsia" w:ascii="宋体" w:hAnsi="宋体" w:cs="宋体"/>
          <w:kern w:val="0"/>
          <w:sz w:val="24"/>
        </w:rPr>
        <w:t>（三）自愿接受招投标监督部门和有关行政监督部门的依法检查。</w:t>
      </w:r>
    </w:p>
    <w:p>
      <w:pPr>
        <w:widowControl/>
        <w:adjustRightInd w:val="0"/>
        <w:snapToGrid w:val="0"/>
        <w:spacing w:line="460" w:lineRule="exact"/>
        <w:ind w:firstLine="480"/>
        <w:jc w:val="left"/>
        <w:rPr>
          <w:rFonts w:hint="eastAsia" w:ascii="宋体" w:hAnsi="宋体" w:cs="宋体"/>
          <w:kern w:val="0"/>
          <w:sz w:val="24"/>
        </w:rPr>
      </w:pPr>
      <w:r>
        <w:rPr>
          <w:rFonts w:hint="eastAsia" w:ascii="宋体" w:hAnsi="宋体" w:cs="宋体"/>
          <w:kern w:val="0"/>
          <w:sz w:val="24"/>
        </w:rPr>
        <w:t>（四）同意将此信用承诺纳入陕西省公共信用信息平台和榆林市公共信用信息共享平台，并上网公示，接受社会监督。</w:t>
      </w:r>
    </w:p>
    <w:p>
      <w:pPr>
        <w:widowControl/>
        <w:adjustRightInd w:val="0"/>
        <w:snapToGrid w:val="0"/>
        <w:spacing w:line="460" w:lineRule="exact"/>
        <w:ind w:firstLine="480"/>
        <w:jc w:val="left"/>
        <w:rPr>
          <w:rFonts w:hint="eastAsia" w:ascii="宋体" w:hAnsi="宋体" w:cs="宋体"/>
          <w:kern w:val="0"/>
          <w:sz w:val="24"/>
        </w:rPr>
      </w:pPr>
      <w:r>
        <w:rPr>
          <w:rFonts w:hint="eastAsia" w:ascii="宋体" w:hAnsi="宋体" w:cs="宋体"/>
          <w:kern w:val="0"/>
          <w:sz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pPr>
        <w:widowControl/>
        <w:tabs>
          <w:tab w:val="left" w:pos="4395"/>
        </w:tabs>
        <w:adjustRightInd w:val="0"/>
        <w:snapToGrid w:val="0"/>
        <w:spacing w:line="500" w:lineRule="exact"/>
        <w:jc w:val="left"/>
        <w:rPr>
          <w:rFonts w:hint="eastAsia" w:ascii="宋体" w:hAnsi="宋体" w:cs="宋体"/>
          <w:kern w:val="0"/>
          <w:sz w:val="24"/>
        </w:rPr>
      </w:pPr>
      <w:r>
        <w:rPr>
          <w:rFonts w:hint="eastAsia" w:ascii="宋体" w:hAnsi="宋体" w:cs="宋体"/>
          <w:kern w:val="0"/>
          <w:sz w:val="24"/>
        </w:rPr>
        <w:t>法定代表人（签章）：                 投标人（盖章）：</w:t>
      </w:r>
    </w:p>
    <w:p>
      <w:pPr>
        <w:adjustRightInd w:val="0"/>
        <w:snapToGrid w:val="0"/>
        <w:spacing w:line="500" w:lineRule="exact"/>
        <w:ind w:firstLine="4320" w:firstLineChars="1800"/>
        <w:jc w:val="both"/>
        <w:rPr>
          <w:rFonts w:hint="eastAsia" w:ascii="宋体" w:hAnsi="宋体" w:cs="宋体"/>
          <w:kern w:val="0"/>
          <w:sz w:val="24"/>
        </w:rPr>
      </w:pPr>
      <w:r>
        <w:rPr>
          <w:rFonts w:hint="eastAsia" w:ascii="宋体" w:hAnsi="宋体" w:cs="宋体"/>
          <w:kern w:val="0"/>
          <w:sz w:val="24"/>
        </w:rPr>
        <w:t>承诺时间：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auto"/>
        <w:jc w:val="left"/>
        <w:rPr>
          <w:rFonts w:hint="eastAsia" w:hAnsi="宋体" w:eastAsia="宋体" w:cs="宋体"/>
          <w:b/>
          <w:bCs/>
          <w:sz w:val="24"/>
          <w:szCs w:val="24"/>
          <w:lang w:eastAsia="zh-CN"/>
        </w:rPr>
      </w:pPr>
      <w:r>
        <w:rPr>
          <w:rFonts w:hint="eastAsia" w:hAnsi="宋体" w:cs="宋体"/>
          <w:b/>
          <w:bCs/>
          <w:sz w:val="24"/>
          <w:szCs w:val="24"/>
          <w:lang w:eastAsia="zh-CN"/>
        </w:rPr>
        <w:t>备注：</w:t>
      </w:r>
      <w:r>
        <w:rPr>
          <w:rFonts w:hint="eastAsia" w:hAnsi="宋体" w:cs="宋体"/>
          <w:b/>
          <w:bCs/>
          <w:sz w:val="24"/>
          <w:szCs w:val="24"/>
          <w:lang w:val="en-US" w:eastAsia="zh-CN"/>
        </w:rPr>
        <w:t>1.承诺</w:t>
      </w:r>
      <w:r>
        <w:rPr>
          <w:rFonts w:hint="eastAsia" w:hAnsi="宋体" w:cs="宋体"/>
          <w:b/>
          <w:bCs/>
          <w:sz w:val="24"/>
          <w:szCs w:val="24"/>
          <w:lang w:eastAsia="zh-CN"/>
        </w:rPr>
        <w:t>有效期为三个月。</w:t>
      </w:r>
      <w:r>
        <w:rPr>
          <w:rFonts w:hint="eastAsia" w:hAnsi="宋体" w:cs="宋体"/>
          <w:b/>
          <w:bCs/>
          <w:sz w:val="24"/>
          <w:szCs w:val="24"/>
          <w:lang w:val="en-US" w:eastAsia="zh-CN"/>
        </w:rPr>
        <w:t>2.</w:t>
      </w:r>
      <w:r>
        <w:rPr>
          <w:rFonts w:hint="eastAsia" w:hAnsi="宋体" w:cs="宋体"/>
          <w:b/>
          <w:bCs/>
          <w:sz w:val="24"/>
          <w:szCs w:val="24"/>
          <w:lang w:eastAsia="zh-CN"/>
        </w:rPr>
        <w:t>需在信用中国(陕西榆林)”网站申报。</w:t>
      </w:r>
    </w:p>
    <w:p>
      <w:pPr>
        <w:widowControl w:val="0"/>
        <w:spacing w:line="560" w:lineRule="exact"/>
        <w:ind w:right="-2"/>
        <w:jc w:val="center"/>
        <w:textAlignment w:val="auto"/>
        <w:rPr>
          <w:rFonts w:hint="eastAsia" w:ascii="宋体" w:hAnsi="宋体" w:eastAsia="宋体" w:cs="宋体"/>
          <w:b/>
          <w:bCs/>
          <w:sz w:val="32"/>
          <w:szCs w:val="32"/>
          <w:vertAlign w:val="baseline"/>
        </w:rPr>
      </w:pPr>
      <w:r>
        <w:rPr>
          <w:rFonts w:hint="eastAsia" w:ascii="宋体" w:hAnsi="宋体" w:eastAsia="宋体" w:cs="宋体"/>
          <w:b/>
          <w:bCs/>
          <w:sz w:val="32"/>
          <w:szCs w:val="32"/>
          <w:vertAlign w:val="baseline"/>
        </w:rPr>
        <w:t>投标人委托代理人员信用承诺书</w:t>
      </w:r>
    </w:p>
    <w:p>
      <w:pPr>
        <w:widowControl/>
        <w:spacing w:line="540" w:lineRule="exact"/>
        <w:ind w:firstLine="720" w:firstLineChars="300"/>
        <w:jc w:val="left"/>
        <w:rPr>
          <w:rFonts w:hint="eastAsia" w:ascii="宋体" w:hAnsi="宋体" w:cs="宋体"/>
          <w:kern w:val="0"/>
          <w:sz w:val="24"/>
        </w:rPr>
      </w:pPr>
      <w:r>
        <w:rPr>
          <w:rFonts w:hint="eastAsia" w:ascii="宋体" w:hAnsi="宋体" w:cs="宋体"/>
          <w:kern w:val="0"/>
          <w:sz w:val="24"/>
        </w:rPr>
        <w:t>在</w:t>
      </w:r>
      <w:r>
        <w:rPr>
          <w:rFonts w:hint="eastAsia" w:ascii="宋体" w:hAnsi="宋体" w:cs="宋体"/>
          <w:kern w:val="0"/>
          <w:sz w:val="24"/>
          <w:u w:val="single"/>
        </w:rPr>
        <w:t xml:space="preserve">               </w:t>
      </w:r>
      <w:r>
        <w:rPr>
          <w:rFonts w:hint="eastAsia" w:ascii="宋体" w:hAnsi="宋体" w:cs="宋体"/>
          <w:kern w:val="0"/>
          <w:sz w:val="24"/>
        </w:rPr>
        <w:t>项目招投标活动中，我个人郑重作出以下信用承诺：</w:t>
      </w:r>
    </w:p>
    <w:p>
      <w:pPr>
        <w:widowControl/>
        <w:adjustRightInd w:val="0"/>
        <w:snapToGrid w:val="0"/>
        <w:spacing w:line="540" w:lineRule="exact"/>
        <w:ind w:firstLine="480"/>
        <w:jc w:val="left"/>
        <w:rPr>
          <w:rFonts w:hint="eastAsia" w:ascii="宋体" w:hAnsi="宋体" w:cs="宋体"/>
          <w:kern w:val="0"/>
          <w:sz w:val="24"/>
        </w:rPr>
      </w:pPr>
      <w:r>
        <w:rPr>
          <w:rFonts w:hint="eastAsia" w:ascii="宋体" w:hAnsi="宋体" w:cs="宋体"/>
          <w:kern w:val="0"/>
          <w:sz w:val="24"/>
        </w:rPr>
        <w:t>（一）能严格遵守法律法规、职业道德和行业规范，具有独立承担民事责任的能力；无法律法规规定禁止开展从业活动情形。我所递交的文件资料合法、真实、准确、完整、有效，无弄虚作假等情形。</w:t>
      </w:r>
    </w:p>
    <w:p>
      <w:pPr>
        <w:widowControl/>
        <w:adjustRightInd w:val="0"/>
        <w:snapToGrid w:val="0"/>
        <w:spacing w:line="540" w:lineRule="exact"/>
        <w:ind w:firstLine="480"/>
        <w:jc w:val="left"/>
        <w:rPr>
          <w:rFonts w:hint="eastAsia" w:ascii="宋体" w:hAnsi="宋体" w:cs="宋体"/>
          <w:kern w:val="0"/>
          <w:sz w:val="24"/>
        </w:rPr>
      </w:pPr>
      <w:r>
        <w:rPr>
          <w:rFonts w:hint="eastAsia" w:ascii="宋体" w:hAnsi="宋体" w:cs="宋体"/>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widowControl/>
        <w:adjustRightInd w:val="0"/>
        <w:snapToGrid w:val="0"/>
        <w:spacing w:line="540" w:lineRule="exact"/>
        <w:ind w:firstLine="480"/>
        <w:jc w:val="left"/>
        <w:rPr>
          <w:rFonts w:hint="eastAsia" w:ascii="宋体" w:hAnsi="宋体" w:cs="宋体"/>
          <w:kern w:val="0"/>
          <w:sz w:val="24"/>
        </w:rPr>
      </w:pPr>
      <w:r>
        <w:rPr>
          <w:rFonts w:hint="eastAsia" w:ascii="宋体" w:hAnsi="宋体" w:cs="宋体"/>
          <w:kern w:val="0"/>
          <w:sz w:val="24"/>
        </w:rPr>
        <w:t>（三）自愿接受招投标监督部门和有关行政监督部门的依法检查。</w:t>
      </w:r>
    </w:p>
    <w:p>
      <w:pPr>
        <w:widowControl/>
        <w:adjustRightInd w:val="0"/>
        <w:snapToGrid w:val="0"/>
        <w:spacing w:line="540" w:lineRule="exact"/>
        <w:ind w:firstLine="480"/>
        <w:jc w:val="left"/>
        <w:rPr>
          <w:rFonts w:hint="eastAsia" w:ascii="宋体" w:hAnsi="宋体" w:cs="宋体"/>
          <w:kern w:val="0"/>
          <w:sz w:val="24"/>
        </w:rPr>
      </w:pPr>
      <w:r>
        <w:rPr>
          <w:rFonts w:hint="eastAsia" w:ascii="宋体" w:hAnsi="宋体" w:cs="宋体"/>
          <w:kern w:val="0"/>
          <w:sz w:val="24"/>
        </w:rPr>
        <w:t>（四）同意将此信用承诺纳入陕西省公共信用信息平台和榆林市公共信用信息共享平台，并接受社会监督。</w:t>
      </w:r>
    </w:p>
    <w:p>
      <w:pPr>
        <w:widowControl/>
        <w:adjustRightInd w:val="0"/>
        <w:snapToGrid w:val="0"/>
        <w:spacing w:line="540" w:lineRule="exact"/>
        <w:ind w:firstLine="480"/>
        <w:jc w:val="left"/>
        <w:rPr>
          <w:rFonts w:hint="eastAsia" w:ascii="宋体" w:hAnsi="宋体" w:cs="宋体"/>
          <w:kern w:val="0"/>
          <w:sz w:val="24"/>
        </w:rPr>
      </w:pPr>
      <w:r>
        <w:rPr>
          <w:rFonts w:hint="eastAsia" w:ascii="宋体" w:hAnsi="宋体" w:cs="宋体"/>
          <w:kern w:val="0"/>
          <w:sz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pPr>
        <w:widowControl/>
        <w:spacing w:line="320" w:lineRule="exact"/>
        <w:ind w:firstLine="482"/>
        <w:jc w:val="left"/>
        <w:rPr>
          <w:rFonts w:hint="eastAsia"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u w:val="single"/>
        </w:rPr>
      </w:pPr>
      <w:r>
        <w:rPr>
          <w:rFonts w:hint="eastAsia" w:ascii="宋体" w:hAnsi="宋体" w:cs="宋体"/>
          <w:kern w:val="0"/>
          <w:sz w:val="24"/>
        </w:rPr>
        <w:t>承诺有效期限：</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u w:val="single"/>
        </w:rPr>
      </w:pPr>
      <w:r>
        <w:rPr>
          <w:rFonts w:hint="eastAsia" w:ascii="宋体" w:hAnsi="宋体" w:cs="宋体"/>
          <w:kern w:val="0"/>
          <w:sz w:val="24"/>
        </w:rPr>
        <w:t>投标人：</w:t>
      </w:r>
      <w:r>
        <w:rPr>
          <w:rFonts w:hint="eastAsia" w:ascii="宋体" w:hAnsi="宋体" w:cs="宋体"/>
          <w:kern w:val="0"/>
          <w:sz w:val="24"/>
          <w:u w:val="single"/>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rPr>
      </w:pP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u w:val="single"/>
        </w:rPr>
      </w:pPr>
      <w:r>
        <w:rPr>
          <w:rFonts w:hint="eastAsia" w:ascii="宋体" w:hAnsi="宋体" w:cs="宋体"/>
          <w:kern w:val="0"/>
          <w:sz w:val="24"/>
        </w:rPr>
        <w:t>承诺人（签字）：</w:t>
      </w:r>
      <w:r>
        <w:rPr>
          <w:rFonts w:hint="eastAsia" w:ascii="宋体" w:hAnsi="宋体" w:cs="宋体"/>
          <w:kern w:val="0"/>
          <w:sz w:val="24"/>
          <w:u w:val="single"/>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u w:val="single"/>
        </w:rPr>
      </w:pPr>
    </w:p>
    <w:p>
      <w:pPr>
        <w:keepNext w:val="0"/>
        <w:keepLines w:val="0"/>
        <w:pageBreakBefore w:val="0"/>
        <w:widowControl/>
        <w:kinsoku/>
        <w:wordWrap/>
        <w:overflowPunct/>
        <w:topLinePunct w:val="0"/>
        <w:autoSpaceDE/>
        <w:autoSpaceDN/>
        <w:bidi w:val="0"/>
        <w:adjustRightInd/>
        <w:snapToGrid/>
        <w:spacing w:line="260" w:lineRule="exact"/>
        <w:ind w:firstLine="482"/>
        <w:jc w:val="left"/>
        <w:textAlignment w:val="baseline"/>
        <w:rPr>
          <w:rFonts w:hint="eastAsia" w:ascii="宋体" w:hAnsi="宋体" w:cs="宋体"/>
          <w:kern w:val="0"/>
          <w:sz w:val="24"/>
        </w:rPr>
      </w:pPr>
      <w:r>
        <w:rPr>
          <w:rFonts w:hint="eastAsia" w:ascii="宋体" w:hAnsi="宋体" w:cs="宋体"/>
          <w:kern w:val="0"/>
          <w:sz w:val="24"/>
        </w:rPr>
        <w:t>承诺时间：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hAnsi="宋体" w:eastAsia="宋体" w:cs="宋体"/>
          <w:b/>
          <w:bCs/>
          <w:sz w:val="24"/>
          <w:szCs w:val="24"/>
          <w:lang w:eastAsia="zh-CN"/>
        </w:rPr>
      </w:pPr>
      <w:r>
        <w:rPr>
          <w:rFonts w:hint="eastAsia" w:hAnsi="宋体" w:cs="宋体"/>
          <w:b/>
          <w:bCs/>
          <w:sz w:val="24"/>
          <w:szCs w:val="24"/>
          <w:lang w:eastAsia="zh-CN"/>
        </w:rPr>
        <w:t>备注：</w:t>
      </w:r>
      <w:r>
        <w:rPr>
          <w:rFonts w:hint="eastAsia" w:hAnsi="宋体" w:cs="宋体"/>
          <w:b/>
          <w:bCs/>
          <w:sz w:val="24"/>
          <w:szCs w:val="24"/>
          <w:lang w:val="en-US" w:eastAsia="zh-CN"/>
        </w:rPr>
        <w:t>1.承诺</w:t>
      </w:r>
      <w:r>
        <w:rPr>
          <w:rFonts w:hint="eastAsia" w:hAnsi="宋体" w:cs="宋体"/>
          <w:b/>
          <w:bCs/>
          <w:sz w:val="24"/>
          <w:szCs w:val="24"/>
          <w:lang w:eastAsia="zh-CN"/>
        </w:rPr>
        <w:t>有效期为三个月。</w:t>
      </w:r>
      <w:r>
        <w:rPr>
          <w:rFonts w:hint="eastAsia" w:hAnsi="宋体" w:cs="宋体"/>
          <w:b/>
          <w:bCs/>
          <w:sz w:val="24"/>
          <w:szCs w:val="24"/>
          <w:lang w:val="en-US" w:eastAsia="zh-CN"/>
        </w:rPr>
        <w:t>2.</w:t>
      </w:r>
      <w:r>
        <w:rPr>
          <w:rFonts w:hint="eastAsia" w:hAnsi="宋体" w:cs="宋体"/>
          <w:b/>
          <w:bCs/>
          <w:sz w:val="24"/>
          <w:szCs w:val="24"/>
          <w:lang w:eastAsia="zh-CN"/>
        </w:rPr>
        <w:t>需在信用中国(陕西榆林)”网站申报。</w:t>
      </w:r>
    </w:p>
    <w:p>
      <w:pPr>
        <w:widowControl w:val="0"/>
        <w:spacing w:line="560" w:lineRule="exact"/>
        <w:ind w:right="-2"/>
        <w:jc w:val="center"/>
        <w:textAlignment w:val="auto"/>
        <w:rPr>
          <w:rFonts w:hint="eastAsia" w:ascii="宋体" w:hAnsi="宋体" w:eastAsia="宋体" w:cs="宋体"/>
          <w:b/>
          <w:bCs/>
          <w:sz w:val="32"/>
          <w:szCs w:val="32"/>
          <w:vertAlign w:val="baseline"/>
        </w:rPr>
      </w:pPr>
      <w:r>
        <w:rPr>
          <w:rFonts w:hint="eastAsia" w:ascii="宋体" w:hAnsi="宋体" w:eastAsia="宋体" w:cs="宋体"/>
          <w:b/>
          <w:bCs/>
          <w:sz w:val="32"/>
          <w:szCs w:val="32"/>
          <w:vertAlign w:val="baseline"/>
        </w:rPr>
        <w:t>投标信用承诺书</w:t>
      </w:r>
    </w:p>
    <w:p>
      <w:pPr>
        <w:widowControl/>
        <w:spacing w:line="540" w:lineRule="exact"/>
        <w:jc w:val="left"/>
        <w:rPr>
          <w:rFonts w:hint="eastAsia" w:ascii="宋体" w:hAnsi="宋体" w:cs="宋体"/>
          <w:kern w:val="0"/>
          <w:sz w:val="24"/>
          <w:u w:val="single"/>
        </w:rPr>
      </w:pPr>
      <w:r>
        <w:rPr>
          <w:rFonts w:hint="eastAsia" w:ascii="宋体" w:hAnsi="宋体" w:cs="宋体"/>
          <w:kern w:val="0"/>
          <w:sz w:val="24"/>
        </w:rPr>
        <w:t>项目标段：</w:t>
      </w:r>
      <w:r>
        <w:rPr>
          <w:rFonts w:hint="eastAsia" w:ascii="宋体" w:hAnsi="宋体" w:cs="宋体"/>
          <w:kern w:val="0"/>
          <w:sz w:val="24"/>
          <w:u w:val="single"/>
        </w:rPr>
        <w:t xml:space="preserve">                                                                  </w:t>
      </w:r>
    </w:p>
    <w:p>
      <w:pPr>
        <w:widowControl/>
        <w:spacing w:line="540" w:lineRule="exact"/>
        <w:jc w:val="left"/>
        <w:rPr>
          <w:rFonts w:hint="eastAsia" w:ascii="宋体" w:hAnsi="宋体" w:cs="宋体"/>
          <w:kern w:val="0"/>
          <w:sz w:val="24"/>
          <w:u w:val="single"/>
        </w:rPr>
      </w:pPr>
      <w:r>
        <w:rPr>
          <w:rFonts w:hint="eastAsia" w:ascii="宋体" w:hAnsi="宋体" w:cs="宋体"/>
          <w:kern w:val="0"/>
          <w:sz w:val="24"/>
        </w:rPr>
        <w:t>投标人：</w:t>
      </w:r>
      <w:r>
        <w:rPr>
          <w:rFonts w:hint="eastAsia" w:ascii="宋体" w:hAnsi="宋体" w:cs="宋体"/>
          <w:kern w:val="0"/>
          <w:sz w:val="24"/>
          <w:u w:val="single"/>
        </w:rPr>
        <w:t xml:space="preserve">                                                                    </w:t>
      </w:r>
    </w:p>
    <w:p>
      <w:pPr>
        <w:widowControl/>
        <w:spacing w:line="540" w:lineRule="exact"/>
        <w:jc w:val="left"/>
        <w:rPr>
          <w:rFonts w:hint="eastAsia" w:ascii="宋体" w:hAnsi="宋体" w:cs="宋体"/>
          <w:kern w:val="0"/>
          <w:sz w:val="24"/>
          <w:u w:val="single"/>
        </w:rPr>
      </w:pPr>
      <w:r>
        <w:rPr>
          <w:rFonts w:hint="eastAsia" w:ascii="宋体" w:hAnsi="宋体" w:cs="宋体"/>
          <w:kern w:val="0"/>
          <w:sz w:val="24"/>
        </w:rPr>
        <w:t>统一社会信用代码：</w:t>
      </w:r>
      <w:r>
        <w:rPr>
          <w:rFonts w:hint="eastAsia" w:ascii="宋体" w:hAnsi="宋体" w:cs="宋体"/>
          <w:kern w:val="0"/>
          <w:sz w:val="24"/>
          <w:u w:val="single"/>
        </w:rPr>
        <w:t xml:space="preserve">                               </w:t>
      </w:r>
      <w:r>
        <w:rPr>
          <w:rFonts w:hint="eastAsia" w:ascii="宋体" w:hAnsi="宋体" w:cs="宋体"/>
          <w:kern w:val="0"/>
          <w:sz w:val="24"/>
        </w:rPr>
        <w:t>法人代表：</w:t>
      </w:r>
      <w:r>
        <w:rPr>
          <w:rFonts w:hint="eastAsia" w:ascii="宋体" w:hAnsi="宋体" w:cs="宋体"/>
          <w:kern w:val="0"/>
          <w:sz w:val="24"/>
          <w:u w:val="single"/>
        </w:rPr>
        <w:t xml:space="preserve">                 </w:t>
      </w:r>
    </w:p>
    <w:p>
      <w:pPr>
        <w:widowControl/>
        <w:adjustRightInd w:val="0"/>
        <w:snapToGrid w:val="0"/>
        <w:spacing w:line="540" w:lineRule="exact"/>
        <w:ind w:firstLine="480" w:firstLineChars="200"/>
        <w:jc w:val="left"/>
        <w:rPr>
          <w:rFonts w:hint="eastAsia" w:ascii="宋体" w:hAnsi="宋体" w:cs="宋体"/>
          <w:kern w:val="0"/>
          <w:sz w:val="24"/>
        </w:rPr>
      </w:pPr>
      <w:r>
        <w:rPr>
          <w:rFonts w:hint="eastAsia" w:ascii="宋体" w:hAnsi="宋体" w:cs="宋体"/>
          <w:kern w:val="0"/>
          <w:sz w:val="24"/>
        </w:rPr>
        <w:t>在本项目标段招投标活动中，我公司（单位）自愿作出以下投标信用承诺：</w:t>
      </w:r>
    </w:p>
    <w:p>
      <w:pPr>
        <w:widowControl/>
        <w:adjustRightInd w:val="0"/>
        <w:snapToGrid w:val="0"/>
        <w:spacing w:line="540" w:lineRule="exact"/>
        <w:ind w:firstLine="480" w:firstLineChars="200"/>
        <w:jc w:val="left"/>
        <w:rPr>
          <w:rFonts w:hint="eastAsia" w:ascii="宋体" w:hAnsi="宋体" w:cs="宋体"/>
          <w:kern w:val="0"/>
          <w:sz w:val="24"/>
        </w:rPr>
      </w:pPr>
      <w:r>
        <w:rPr>
          <w:rFonts w:hint="eastAsia" w:ascii="宋体" w:hAnsi="宋体" w:cs="宋体"/>
          <w:kern w:val="0"/>
          <w:sz w:val="24"/>
        </w:rPr>
        <w:t>（一）能严格遵守法律法规、职业道德和行业规范。</w:t>
      </w:r>
    </w:p>
    <w:p>
      <w:pPr>
        <w:widowControl/>
        <w:adjustRightInd w:val="0"/>
        <w:snapToGrid w:val="0"/>
        <w:spacing w:line="540" w:lineRule="exact"/>
        <w:ind w:firstLine="480" w:firstLineChars="200"/>
        <w:jc w:val="left"/>
        <w:rPr>
          <w:rFonts w:hint="eastAsia" w:ascii="宋体" w:hAnsi="宋体" w:cs="宋体"/>
          <w:kern w:val="0"/>
          <w:sz w:val="24"/>
        </w:rPr>
      </w:pPr>
      <w:r>
        <w:rPr>
          <w:rFonts w:hint="eastAsia" w:ascii="宋体" w:hAnsi="宋体" w:cs="宋体"/>
          <w:kern w:val="0"/>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pPr>
        <w:widowControl/>
        <w:adjustRightInd w:val="0"/>
        <w:snapToGrid w:val="0"/>
        <w:spacing w:line="540" w:lineRule="exact"/>
        <w:ind w:firstLine="480" w:firstLineChars="200"/>
        <w:jc w:val="left"/>
        <w:rPr>
          <w:rFonts w:hint="eastAsia" w:ascii="宋体" w:hAnsi="宋体" w:cs="宋体"/>
          <w:kern w:val="0"/>
          <w:sz w:val="24"/>
        </w:rPr>
      </w:pPr>
      <w:r>
        <w:rPr>
          <w:rFonts w:hint="eastAsia" w:ascii="宋体" w:hAnsi="宋体" w:cs="宋体"/>
          <w:kern w:val="0"/>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pPr>
        <w:widowControl/>
        <w:adjustRightInd w:val="0"/>
        <w:snapToGrid w:val="0"/>
        <w:spacing w:line="540" w:lineRule="exact"/>
        <w:ind w:firstLine="480" w:firstLineChars="200"/>
        <w:jc w:val="left"/>
        <w:rPr>
          <w:rFonts w:hint="eastAsia" w:ascii="宋体" w:hAnsi="宋体" w:cs="宋体"/>
          <w:kern w:val="0"/>
          <w:sz w:val="24"/>
        </w:rPr>
      </w:pPr>
    </w:p>
    <w:p>
      <w:pPr>
        <w:widowControl/>
        <w:tabs>
          <w:tab w:val="left" w:pos="4395"/>
        </w:tabs>
        <w:adjustRightInd w:val="0"/>
        <w:snapToGrid w:val="0"/>
        <w:spacing w:line="500" w:lineRule="exact"/>
        <w:ind w:firstLine="480" w:firstLineChars="200"/>
        <w:jc w:val="left"/>
        <w:rPr>
          <w:rFonts w:hint="eastAsia" w:ascii="宋体" w:hAnsi="宋体" w:cs="宋体"/>
          <w:kern w:val="0"/>
          <w:sz w:val="24"/>
        </w:rPr>
      </w:pPr>
      <w:r>
        <w:rPr>
          <w:rFonts w:hint="eastAsia" w:ascii="宋体" w:hAnsi="宋体" w:cs="宋体"/>
          <w:kern w:val="0"/>
          <w:sz w:val="24"/>
        </w:rPr>
        <w:t>法定代表人（签章）：             投标人（盖章）：</w:t>
      </w:r>
    </w:p>
    <w:p>
      <w:pPr>
        <w:adjustRightInd w:val="0"/>
        <w:snapToGrid w:val="0"/>
        <w:spacing w:line="500" w:lineRule="exact"/>
        <w:ind w:firstLine="480" w:firstLineChars="200"/>
        <w:rPr>
          <w:rFonts w:hint="eastAsia" w:ascii="宋体" w:hAnsi="宋体" w:cs="宋体"/>
          <w:b/>
          <w:kern w:val="0"/>
          <w:sz w:val="24"/>
        </w:rPr>
      </w:pPr>
      <w:r>
        <w:rPr>
          <w:rFonts w:hint="eastAsia" w:ascii="宋体" w:hAnsi="宋体" w:cs="宋体"/>
          <w:kern w:val="0"/>
          <w:sz w:val="24"/>
        </w:rPr>
        <w:t>承诺时间：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360" w:lineRule="atLeast"/>
        <w:jc w:val="left"/>
        <w:outlineLvl w:val="0"/>
        <w:rPr>
          <w:rFonts w:hint="eastAsia" w:ascii="宋体" w:hAnsi="宋体" w:cs="宋体"/>
          <w:b/>
          <w:sz w:val="32"/>
          <w:szCs w:val="22"/>
        </w:rPr>
      </w:pPr>
      <w:bookmarkStart w:id="138" w:name="_Toc25061"/>
      <w:r>
        <w:rPr>
          <w:rFonts w:hint="eastAsia" w:ascii="宋体" w:hAnsi="宋体" w:cs="宋体"/>
          <w:b/>
          <w:kern w:val="0"/>
          <w:sz w:val="24"/>
        </w:rPr>
        <w:t>说明：1、本承诺书效力和作用等同投标保证金，其有效期与投标有效期一致。</w:t>
      </w:r>
      <w:bookmarkEnd w:id="138"/>
      <w:r>
        <w:rPr>
          <w:rFonts w:hint="eastAsia" w:ascii="宋体" w:hAnsi="宋体" w:cs="宋体"/>
          <w:kern w:val="0"/>
          <w:sz w:val="24"/>
        </w:rPr>
        <w:t xml:space="preserve">          </w:t>
      </w:r>
    </w:p>
    <w:p>
      <w:pPr>
        <w:pStyle w:val="9"/>
        <w:adjustRightInd w:val="0"/>
        <w:snapToGrid w:val="0"/>
        <w:spacing w:line="500" w:lineRule="exact"/>
        <w:jc w:val="left"/>
        <w:rPr>
          <w:rFonts w:hint="eastAsia" w:ascii="宋体" w:hAnsi="宋体" w:cs="宋体"/>
          <w:sz w:val="32"/>
          <w:szCs w:val="22"/>
        </w:rPr>
      </w:pPr>
      <w:r>
        <w:rPr>
          <w:rFonts w:hint="eastAsia" w:ascii="宋体" w:hAnsi="宋体" w:cs="宋体"/>
          <w:kern w:val="0"/>
          <w:sz w:val="24"/>
        </w:rPr>
        <w:t xml:space="preserve">     </w:t>
      </w:r>
      <w:r>
        <w:rPr>
          <w:rFonts w:hint="eastAsia" w:ascii="宋体" w:hAnsi="宋体" w:cs="宋体"/>
          <w:b/>
          <w:kern w:val="0"/>
          <w:sz w:val="24"/>
          <w:lang w:val="en-US" w:eastAsia="zh-CN"/>
        </w:rPr>
        <w:t>2、</w:t>
      </w:r>
      <w:r>
        <w:rPr>
          <w:rFonts w:hint="eastAsia" w:hAnsi="宋体" w:cs="宋体"/>
          <w:b/>
          <w:bCs/>
          <w:sz w:val="24"/>
          <w:szCs w:val="24"/>
          <w:lang w:eastAsia="zh-CN"/>
        </w:rPr>
        <w:t>需在信用中国(陕西榆林)”网站申报。</w:t>
      </w:r>
    </w:p>
    <w:p>
      <w:pPr>
        <w:widowControl/>
        <w:jc w:val="center"/>
        <w:outlineLvl w:val="1"/>
        <w:rPr>
          <w:rFonts w:ascii="黑体" w:hAnsi="黑体" w:eastAsia="黑体" w:cs="Calibri Light"/>
          <w:color w:val="auto"/>
          <w:sz w:val="32"/>
          <w:szCs w:val="36"/>
        </w:rPr>
      </w:pPr>
    </w:p>
    <w:p>
      <w:pPr>
        <w:widowControl/>
        <w:jc w:val="center"/>
        <w:outlineLvl w:val="1"/>
        <w:rPr>
          <w:rFonts w:ascii="黑体" w:hAnsi="黑体" w:eastAsia="黑体" w:cs="Calibri Light"/>
          <w:color w:val="auto"/>
          <w:sz w:val="32"/>
          <w:szCs w:val="36"/>
        </w:rPr>
      </w:pPr>
      <w:r>
        <w:rPr>
          <w:rFonts w:ascii="黑体" w:hAnsi="黑体" w:eastAsia="黑体" w:cs="Calibri Light"/>
          <w:color w:val="auto"/>
          <w:sz w:val="32"/>
          <w:szCs w:val="36"/>
        </w:rPr>
        <w:t>第六部分  响应方案</w:t>
      </w:r>
    </w:p>
    <w:p>
      <w:pPr>
        <w:pStyle w:val="21"/>
        <w:numPr>
          <w:ilvl w:val="0"/>
          <w:numId w:val="0"/>
        </w:numPr>
      </w:pPr>
    </w:p>
    <w:bookmarkEnd w:id="114"/>
    <w:bookmarkEnd w:id="115"/>
    <w:bookmarkEnd w:id="116"/>
    <w:bookmarkEnd w:id="117"/>
    <w:bookmarkEnd w:id="118"/>
    <w:p>
      <w:pPr>
        <w:pStyle w:val="9"/>
        <w:tabs>
          <w:tab w:val="left" w:pos="2821"/>
        </w:tabs>
        <w:ind w:left="661"/>
        <w:rPr>
          <w:rFonts w:hint="eastAsia" w:ascii="宋体" w:hAnsi="宋体" w:eastAsia="宋体" w:cs="宋体"/>
        </w:rPr>
      </w:pPr>
    </w:p>
    <w:p>
      <w:pPr>
        <w:widowControl/>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w:t>
      </w:r>
      <w:r>
        <w:rPr>
          <w:rFonts w:hint="eastAsia" w:ascii="宋体" w:hAnsi="宋体" w:eastAsia="宋体" w:cs="宋体"/>
          <w:b/>
          <w:color w:val="000000"/>
          <w:sz w:val="28"/>
          <w:szCs w:val="28"/>
          <w:lang w:eastAsia="zh-CN"/>
        </w:rPr>
        <w:t>供应</w:t>
      </w:r>
      <w:r>
        <w:rPr>
          <w:rFonts w:hint="eastAsia" w:ascii="宋体" w:hAnsi="宋体" w:eastAsia="宋体" w:cs="宋体"/>
          <w:b/>
          <w:color w:val="000000"/>
          <w:sz w:val="28"/>
          <w:szCs w:val="28"/>
        </w:rPr>
        <w:t>商可结合第</w:t>
      </w:r>
      <w:r>
        <w:rPr>
          <w:rFonts w:hint="eastAsia" w:ascii="宋体" w:hAnsi="宋体" w:eastAsia="宋体" w:cs="宋体"/>
          <w:b/>
          <w:color w:val="000000"/>
          <w:sz w:val="28"/>
          <w:szCs w:val="28"/>
          <w:lang w:eastAsia="zh-CN"/>
        </w:rPr>
        <w:t>四部分</w:t>
      </w:r>
      <w:r>
        <w:rPr>
          <w:rFonts w:hint="eastAsia" w:ascii="宋体" w:hAnsi="宋体" w:eastAsia="宋体" w:cs="宋体"/>
          <w:b/>
          <w:color w:val="000000"/>
          <w:sz w:val="28"/>
          <w:szCs w:val="28"/>
        </w:rPr>
        <w:t>《磋商内容及要求》相关要求及第</w:t>
      </w:r>
      <w:r>
        <w:rPr>
          <w:rFonts w:hint="eastAsia" w:ascii="宋体" w:hAnsi="宋体" w:eastAsia="宋体" w:cs="宋体"/>
          <w:b/>
          <w:color w:val="000000"/>
          <w:sz w:val="28"/>
          <w:szCs w:val="28"/>
          <w:lang w:eastAsia="zh-CN"/>
        </w:rPr>
        <w:t>五部分</w:t>
      </w:r>
      <w:r>
        <w:rPr>
          <w:rFonts w:hint="eastAsia" w:ascii="宋体" w:hAnsi="宋体" w:eastAsia="宋体" w:cs="宋体"/>
          <w:b/>
          <w:color w:val="000000"/>
          <w:sz w:val="28"/>
          <w:szCs w:val="28"/>
        </w:rPr>
        <w:t>《评审要素》中各评审要素编制响应方案。</w:t>
      </w:r>
    </w:p>
    <w:p>
      <w:pPr>
        <w:pStyle w:val="9"/>
        <w:tabs>
          <w:tab w:val="left" w:pos="2821"/>
        </w:tabs>
        <w:ind w:left="661"/>
        <w:rPr>
          <w:rFonts w:hint="eastAsia" w:ascii="宋体" w:hAnsi="宋体" w:eastAsia="宋体" w:cs="宋体"/>
        </w:rPr>
      </w:pPr>
    </w:p>
    <w:p>
      <w:pPr>
        <w:rPr>
          <w:rFonts w:hint="eastAsia" w:ascii="宋体" w:hAnsi="宋体" w:eastAsia="宋体" w:cs="宋体"/>
        </w:rPr>
      </w:pPr>
    </w:p>
    <w:p>
      <w:pPr>
        <w:pStyle w:val="21"/>
        <w:ind w:firstLine="1120" w:firstLineChars="400"/>
        <w:rPr>
          <w:rFonts w:hint="eastAsia" w:ascii="宋体" w:hAnsi="宋体" w:eastAsia="宋体" w:cs="宋体"/>
          <w:sz w:val="28"/>
          <w:szCs w:val="28"/>
          <w:lang w:eastAsia="zh-CN"/>
        </w:rPr>
      </w:pPr>
      <w:r>
        <w:rPr>
          <w:rFonts w:hint="eastAsia" w:ascii="宋体" w:hAnsi="宋体" w:cs="宋体"/>
          <w:sz w:val="28"/>
          <w:szCs w:val="28"/>
          <w:lang w:eastAsia="zh-CN"/>
        </w:rPr>
        <w:t>格式自拟</w:t>
      </w:r>
    </w:p>
    <w:p>
      <w:pPr>
        <w:rPr>
          <w:rFonts w:hint="eastAsia" w:ascii="宋体" w:hAnsi="宋体" w:eastAsia="宋体" w:cs="宋体"/>
        </w:rPr>
      </w:pPr>
    </w:p>
    <w:p>
      <w:pPr>
        <w:pStyle w:val="21"/>
        <w:rPr>
          <w:rFonts w:hint="eastAsia" w:ascii="宋体" w:hAnsi="宋体" w:eastAsia="宋体" w:cs="宋体"/>
        </w:rPr>
      </w:pPr>
      <w:bookmarkStart w:id="147" w:name="_GoBack"/>
      <w:bookmarkEnd w:id="147"/>
    </w:p>
    <w:p>
      <w:pPr>
        <w:rPr>
          <w:rFonts w:hint="eastAsia" w:ascii="宋体" w:hAnsi="宋体" w:eastAsia="宋体" w:cs="宋体"/>
        </w:rPr>
      </w:pPr>
    </w:p>
    <w:p>
      <w:pPr>
        <w:pStyle w:val="21"/>
        <w:rPr>
          <w:rFonts w:hint="eastAsia" w:ascii="宋体" w:hAnsi="宋体" w:eastAsia="宋体" w:cs="宋体"/>
        </w:rPr>
      </w:pPr>
    </w:p>
    <w:p>
      <w:pPr>
        <w:rPr>
          <w:rFonts w:hint="eastAsia" w:ascii="宋体" w:hAnsi="宋体" w:eastAsia="宋体" w:cs="宋体"/>
        </w:rPr>
      </w:pPr>
    </w:p>
    <w:p>
      <w:pPr>
        <w:pStyle w:val="21"/>
        <w:rPr>
          <w:rFonts w:hint="eastAsia" w:ascii="宋体" w:hAnsi="宋体" w:eastAsia="宋体" w:cs="宋体"/>
        </w:rPr>
      </w:pPr>
    </w:p>
    <w:p>
      <w:pPr>
        <w:rPr>
          <w:rFonts w:hint="eastAsia"/>
        </w:rPr>
      </w:pPr>
    </w:p>
    <w:p>
      <w:pPr>
        <w:rPr>
          <w:rFonts w:hint="eastAsia"/>
          <w:sz w:val="24"/>
          <w:szCs w:val="24"/>
        </w:rPr>
      </w:pPr>
      <w:bookmarkStart w:id="139" w:name="_Toc16696_WPSOffice_Level1"/>
      <w:bookmarkStart w:id="140" w:name="_Toc22721151"/>
      <w:bookmarkStart w:id="141" w:name="_Toc24645_WPSOffice_Level1"/>
      <w:bookmarkStart w:id="142" w:name="_Toc22721391"/>
      <w:bookmarkStart w:id="143" w:name="_Toc6059"/>
      <w:r>
        <w:rPr>
          <w:rFonts w:hint="eastAsia"/>
          <w:sz w:val="24"/>
          <w:szCs w:val="24"/>
        </w:rPr>
        <w:t>供应商名称</w:t>
      </w:r>
      <w:r>
        <w:rPr>
          <w:rFonts w:hint="eastAsia"/>
          <w:sz w:val="24"/>
          <w:szCs w:val="24"/>
          <w:lang w:eastAsia="zh-CN"/>
        </w:rPr>
        <w:t>：</w:t>
      </w:r>
      <w:r>
        <w:rPr>
          <w:rFonts w:hint="eastAsia"/>
          <w:sz w:val="24"/>
          <w:szCs w:val="24"/>
        </w:rPr>
        <w:t>（加盖单位公章）</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法定代表人或被授权人签字： </w:t>
      </w:r>
    </w:p>
    <w:p>
      <w:pPr>
        <w:rPr>
          <w:rFonts w:hint="eastAsia"/>
          <w:sz w:val="24"/>
          <w:szCs w:val="24"/>
        </w:rPr>
      </w:pPr>
    </w:p>
    <w:p>
      <w:pPr>
        <w:rPr>
          <w:rFonts w:hint="eastAsia"/>
          <w:sz w:val="24"/>
          <w:szCs w:val="24"/>
        </w:rPr>
      </w:pPr>
      <w:r>
        <w:rPr>
          <w:rFonts w:hint="eastAsia"/>
          <w:sz w:val="24"/>
          <w:szCs w:val="24"/>
        </w:rPr>
        <w:t>日</w:t>
      </w:r>
      <w:r>
        <w:rPr>
          <w:rFonts w:hint="eastAsia"/>
          <w:sz w:val="24"/>
          <w:szCs w:val="24"/>
        </w:rPr>
        <w:tab/>
      </w:r>
      <w:r>
        <w:rPr>
          <w:rFonts w:hint="eastAsia"/>
          <w:sz w:val="24"/>
          <w:szCs w:val="24"/>
        </w:rPr>
        <w:t>期：</w:t>
      </w:r>
    </w:p>
    <w:p>
      <w:pPr>
        <w:widowControl/>
        <w:spacing w:line="400" w:lineRule="exact"/>
        <w:rPr>
          <w:rFonts w:hint="eastAsia" w:ascii="Calibri Light" w:hAnsi="Calibri Light" w:eastAsia="华文仿宋" w:cs="Calibri Light"/>
          <w:b/>
          <w:color w:val="000000"/>
          <w:sz w:val="28"/>
          <w:szCs w:val="28"/>
          <w:lang w:eastAsia="zh-CN"/>
        </w:rPr>
      </w:pPr>
    </w:p>
    <w:p>
      <w:pPr>
        <w:widowControl/>
        <w:spacing w:line="400" w:lineRule="exact"/>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p>
      <w:pPr>
        <w:pStyle w:val="21"/>
        <w:rPr>
          <w:rFonts w:hint="eastAsia" w:ascii="Calibri Light" w:hAnsi="Calibri Light" w:eastAsia="华文仿宋" w:cs="Calibri Light"/>
          <w:b/>
          <w:color w:val="000000"/>
          <w:sz w:val="28"/>
          <w:szCs w:val="28"/>
          <w:lang w:eastAsia="zh-CN"/>
        </w:rPr>
      </w:pPr>
    </w:p>
    <w:p>
      <w:pPr>
        <w:rPr>
          <w:rFonts w:hint="eastAsia" w:ascii="Calibri Light" w:hAnsi="Calibri Light" w:eastAsia="华文仿宋" w:cs="Calibri Light"/>
          <w:b/>
          <w:color w:val="000000"/>
          <w:sz w:val="28"/>
          <w:szCs w:val="28"/>
          <w:lang w:eastAsia="zh-CN"/>
        </w:rPr>
      </w:pPr>
    </w:p>
    <w:bookmarkEnd w:id="139"/>
    <w:bookmarkEnd w:id="140"/>
    <w:bookmarkEnd w:id="141"/>
    <w:bookmarkEnd w:id="142"/>
    <w:bookmarkEnd w:id="143"/>
    <w:p>
      <w:pPr>
        <w:spacing w:line="360" w:lineRule="auto"/>
        <w:ind w:firstLine="2891" w:firstLineChars="900"/>
        <w:jc w:val="both"/>
        <w:rPr>
          <w:rFonts w:hint="eastAsia" w:ascii="宋体" w:hAnsi="宋体" w:cs="宋体"/>
          <w:b/>
          <w:bCs/>
          <w:sz w:val="32"/>
          <w:szCs w:val="32"/>
          <w:lang w:val="en-GB"/>
        </w:rPr>
      </w:pPr>
      <w:r>
        <w:rPr>
          <w:rFonts w:hint="eastAsia" w:ascii="宋体" w:hAnsi="宋体" w:cs="宋体"/>
          <w:b/>
          <w:bCs/>
          <w:sz w:val="32"/>
          <w:szCs w:val="32"/>
          <w:lang w:val="en-GB" w:eastAsia="zh-CN"/>
        </w:rPr>
        <w:t>二、</w:t>
      </w:r>
      <w:r>
        <w:rPr>
          <w:rFonts w:hint="eastAsia" w:ascii="宋体" w:hAnsi="宋体" w:cs="宋体"/>
          <w:b/>
          <w:bCs/>
          <w:sz w:val="32"/>
          <w:szCs w:val="32"/>
          <w:lang w:val="en-GB"/>
        </w:rPr>
        <w:t>技术</w:t>
      </w:r>
      <w:r>
        <w:rPr>
          <w:rFonts w:hint="eastAsia" w:ascii="宋体" w:hAnsi="宋体" w:cs="宋体"/>
          <w:b/>
          <w:bCs/>
          <w:sz w:val="32"/>
          <w:szCs w:val="32"/>
          <w:lang w:val="en-US" w:eastAsia="zh-CN"/>
        </w:rPr>
        <w:t>/服务</w:t>
      </w:r>
      <w:r>
        <w:rPr>
          <w:rFonts w:hint="eastAsia" w:ascii="宋体" w:hAnsi="宋体" w:cs="宋体"/>
          <w:b/>
          <w:bCs/>
          <w:sz w:val="32"/>
          <w:szCs w:val="32"/>
          <w:lang w:val="en-GB"/>
        </w:rPr>
        <w:t>偏</w:t>
      </w:r>
      <w:r>
        <w:rPr>
          <w:rFonts w:hint="eastAsia" w:ascii="宋体" w:hAnsi="宋体" w:cs="宋体"/>
          <w:b/>
          <w:bCs/>
          <w:sz w:val="32"/>
          <w:szCs w:val="32"/>
          <w:lang w:val="en-GB" w:eastAsia="zh-CN"/>
        </w:rPr>
        <w:t>差</w:t>
      </w:r>
      <w:r>
        <w:rPr>
          <w:rFonts w:hint="eastAsia" w:ascii="宋体" w:hAnsi="宋体" w:cs="宋体"/>
          <w:b/>
          <w:bCs/>
          <w:sz w:val="32"/>
          <w:szCs w:val="32"/>
          <w:lang w:val="en-GB"/>
        </w:rPr>
        <w:t>表</w:t>
      </w:r>
    </w:p>
    <w:p>
      <w:pPr>
        <w:spacing w:line="460" w:lineRule="exact"/>
        <w:rPr>
          <w:rFonts w:ascii="宋体" w:hAnsi="宋体" w:cs="宋体"/>
          <w:b/>
          <w:sz w:val="24"/>
          <w:szCs w:val="24"/>
        </w:rPr>
      </w:pPr>
      <w:r>
        <w:rPr>
          <w:rFonts w:hint="eastAsia" w:ascii="宋体" w:hAnsi="宋体" w:cs="宋体"/>
          <w:b/>
          <w:sz w:val="24"/>
          <w:szCs w:val="24"/>
        </w:rPr>
        <w:t xml:space="preserve">项目名称：    </w:t>
      </w:r>
    </w:p>
    <w:p>
      <w:pPr>
        <w:spacing w:line="460" w:lineRule="exact"/>
        <w:rPr>
          <w:rFonts w:ascii="宋体" w:hAnsi="宋体" w:cs="宋体"/>
          <w:b/>
          <w:sz w:val="24"/>
          <w:szCs w:val="24"/>
        </w:rPr>
      </w:pPr>
      <w:r>
        <w:rPr>
          <w:rFonts w:hint="eastAsia" w:ascii="宋体" w:hAnsi="宋体" w:cs="宋体"/>
          <w:b/>
          <w:sz w:val="24"/>
          <w:szCs w:val="24"/>
        </w:rPr>
        <w:t>项目编号</w:t>
      </w:r>
      <w:r>
        <w:rPr>
          <w:rFonts w:hint="eastAsia" w:ascii="宋体" w:hAnsi="宋体" w:cs="宋体"/>
          <w:b/>
          <w:bCs/>
          <w:sz w:val="24"/>
          <w:szCs w:val="24"/>
        </w:rPr>
        <w:t>：</w:t>
      </w:r>
    </w:p>
    <w:tbl>
      <w:tblPr>
        <w:tblStyle w:val="23"/>
        <w:tblW w:w="8218" w:type="dxa"/>
        <w:tblInd w:w="10" w:type="dxa"/>
        <w:tblLayout w:type="fixed"/>
        <w:tblCellMar>
          <w:top w:w="0" w:type="dxa"/>
          <w:left w:w="0" w:type="dxa"/>
          <w:bottom w:w="0" w:type="dxa"/>
          <w:right w:w="0" w:type="dxa"/>
        </w:tblCellMar>
      </w:tblPr>
      <w:tblGrid>
        <w:gridCol w:w="836"/>
        <w:gridCol w:w="2506"/>
        <w:gridCol w:w="2151"/>
        <w:gridCol w:w="1225"/>
        <w:gridCol w:w="1500"/>
      </w:tblGrid>
      <w:tr>
        <w:trPr>
          <w:trHeight w:val="580" w:hRule="atLeast"/>
        </w:trPr>
        <w:tc>
          <w:tcPr>
            <w:tcW w:w="836"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b/>
                <w:sz w:val="24"/>
                <w:szCs w:val="24"/>
              </w:rPr>
            </w:pPr>
            <w:r>
              <w:rPr>
                <w:rFonts w:hint="eastAsia" w:ascii="宋体" w:hAnsi="宋体" w:cs="宋体"/>
                <w:b/>
                <w:sz w:val="24"/>
                <w:szCs w:val="24"/>
              </w:rPr>
              <w:t>序号</w:t>
            </w:r>
          </w:p>
        </w:tc>
        <w:tc>
          <w:tcPr>
            <w:tcW w:w="2506" w:type="dxa"/>
            <w:tcBorders>
              <w:top w:val="single" w:color="auto" w:sz="8" w:space="0"/>
              <w:left w:val="nil"/>
              <w:bottom w:val="single" w:color="auto" w:sz="4" w:space="0"/>
              <w:right w:val="single" w:color="auto" w:sz="8" w:space="0"/>
            </w:tcBorders>
            <w:noWrap w:val="0"/>
            <w:vAlign w:val="center"/>
          </w:tcPr>
          <w:p>
            <w:pPr>
              <w:jc w:val="center"/>
              <w:rPr>
                <w:rFonts w:ascii="宋体" w:hAnsi="宋体" w:cs="宋体"/>
                <w:b/>
                <w:sz w:val="24"/>
                <w:szCs w:val="24"/>
              </w:rPr>
            </w:pPr>
            <w:r>
              <w:rPr>
                <w:rFonts w:hint="eastAsia" w:ascii="宋体" w:hAnsi="宋体" w:cs="宋体"/>
                <w:b/>
                <w:sz w:val="24"/>
                <w:szCs w:val="24"/>
              </w:rPr>
              <w:t>招标文件技术要求</w:t>
            </w:r>
          </w:p>
        </w:tc>
        <w:tc>
          <w:tcPr>
            <w:tcW w:w="2151" w:type="dxa"/>
            <w:tcBorders>
              <w:top w:val="single" w:color="auto" w:sz="8" w:space="0"/>
              <w:left w:val="nil"/>
              <w:bottom w:val="single" w:color="auto" w:sz="4" w:space="0"/>
              <w:right w:val="single" w:color="auto" w:sz="8" w:space="0"/>
            </w:tcBorders>
            <w:noWrap w:val="0"/>
            <w:vAlign w:val="center"/>
          </w:tcPr>
          <w:p>
            <w:pPr>
              <w:jc w:val="center"/>
              <w:rPr>
                <w:rFonts w:ascii="宋体" w:hAnsi="宋体" w:cs="宋体"/>
                <w:b/>
                <w:sz w:val="24"/>
                <w:szCs w:val="24"/>
              </w:rPr>
            </w:pPr>
            <w:r>
              <w:rPr>
                <w:rFonts w:hint="eastAsia" w:ascii="宋体" w:hAnsi="宋体" w:cs="宋体"/>
                <w:b/>
                <w:sz w:val="24"/>
                <w:szCs w:val="24"/>
              </w:rPr>
              <w:t>投标文件技术响应</w:t>
            </w:r>
          </w:p>
        </w:tc>
        <w:tc>
          <w:tcPr>
            <w:tcW w:w="1225" w:type="dxa"/>
            <w:tcBorders>
              <w:top w:val="single" w:color="auto" w:sz="8" w:space="0"/>
              <w:left w:val="nil"/>
              <w:bottom w:val="single" w:color="auto" w:sz="4" w:space="0"/>
              <w:right w:val="single" w:color="auto" w:sz="8" w:space="0"/>
            </w:tcBorders>
            <w:noWrap w:val="0"/>
            <w:vAlign w:val="center"/>
          </w:tcPr>
          <w:p>
            <w:pPr>
              <w:jc w:val="center"/>
              <w:rPr>
                <w:rFonts w:ascii="宋体" w:hAnsi="宋体" w:cs="宋体"/>
                <w:b/>
                <w:sz w:val="24"/>
                <w:szCs w:val="24"/>
              </w:rPr>
            </w:pPr>
            <w:r>
              <w:rPr>
                <w:rFonts w:hint="eastAsia" w:ascii="宋体" w:hAnsi="宋体" w:cs="宋体"/>
                <w:b/>
                <w:sz w:val="24"/>
                <w:szCs w:val="24"/>
              </w:rPr>
              <w:t>偏离情况</w:t>
            </w:r>
          </w:p>
        </w:tc>
        <w:tc>
          <w:tcPr>
            <w:tcW w:w="1500" w:type="dxa"/>
            <w:tcBorders>
              <w:top w:val="single" w:color="auto" w:sz="8" w:space="0"/>
              <w:left w:val="nil"/>
              <w:bottom w:val="single" w:color="auto" w:sz="4" w:space="0"/>
              <w:right w:val="single" w:color="auto" w:sz="8" w:space="0"/>
            </w:tcBorders>
            <w:noWrap w:val="0"/>
            <w:vAlign w:val="center"/>
          </w:tcPr>
          <w:p>
            <w:pPr>
              <w:jc w:val="center"/>
              <w:rPr>
                <w:rFonts w:ascii="宋体" w:hAnsi="宋体" w:cs="宋体"/>
                <w:b/>
                <w:sz w:val="24"/>
                <w:szCs w:val="24"/>
              </w:rPr>
            </w:pPr>
            <w:r>
              <w:rPr>
                <w:rFonts w:hint="eastAsia" w:ascii="宋体" w:hAnsi="宋体" w:cs="宋体"/>
                <w:b/>
                <w:sz w:val="24"/>
                <w:szCs w:val="24"/>
              </w:rPr>
              <w:t>说明</w:t>
            </w:r>
          </w:p>
        </w:tc>
      </w:tr>
      <w:tr>
        <w:tblPrEx>
          <w:tblCellMar>
            <w:top w:w="0" w:type="dxa"/>
            <w:left w:w="0" w:type="dxa"/>
            <w:bottom w:w="0" w:type="dxa"/>
            <w:right w:w="0" w:type="dxa"/>
          </w:tblCellMar>
        </w:tblPrEx>
        <w:trPr>
          <w:trHeight w:val="580" w:hRule="atLeast"/>
        </w:trPr>
        <w:tc>
          <w:tcPr>
            <w:tcW w:w="836"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single" w:color="auto" w:sz="4" w:space="0"/>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single" w:color="auto" w:sz="4" w:space="0"/>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single" w:color="auto" w:sz="4" w:space="0"/>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single" w:color="auto" w:sz="4" w:space="0"/>
              <w:left w:val="nil"/>
              <w:bottom w:val="single" w:color="auto" w:sz="8" w:space="0"/>
              <w:right w:val="single" w:color="auto" w:sz="8" w:space="0"/>
            </w:tcBorders>
            <w:noWrap w:val="0"/>
            <w:vAlign w:val="center"/>
          </w:tcPr>
          <w:p>
            <w:pPr>
              <w:jc w:val="center"/>
              <w:rPr>
                <w:rFonts w:ascii="宋体" w:hAnsi="宋体" w:cs="宋体"/>
                <w:szCs w:val="21"/>
              </w:rPr>
            </w:pPr>
          </w:p>
        </w:tc>
      </w:tr>
      <w:tr>
        <w:tblPrEx>
          <w:tblCellMar>
            <w:top w:w="0" w:type="dxa"/>
            <w:left w:w="0" w:type="dxa"/>
            <w:bottom w:w="0" w:type="dxa"/>
            <w:right w:w="0" w:type="dxa"/>
          </w:tblCellMar>
        </w:tblPrEx>
        <w:trPr>
          <w:trHeight w:val="597"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blPrEx>
          <w:tblCellMar>
            <w:top w:w="0" w:type="dxa"/>
            <w:left w:w="0" w:type="dxa"/>
            <w:bottom w:w="0" w:type="dxa"/>
            <w:right w:w="0" w:type="dxa"/>
          </w:tblCellMar>
        </w:tblPrEx>
        <w:trPr>
          <w:trHeight w:val="600"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rPr>
          <w:trHeight w:val="600"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rPr>
          <w:trHeight w:val="597"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rPr>
          <w:trHeight w:val="600"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rPr>
          <w:trHeight w:val="600"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rPr>
          <w:trHeight w:val="597"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r>
        <w:trPr>
          <w:trHeight w:val="639" w:hRule="atLeast"/>
        </w:trPr>
        <w:tc>
          <w:tcPr>
            <w:tcW w:w="836"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szCs w:val="21"/>
              </w:rPr>
            </w:pPr>
          </w:p>
        </w:tc>
        <w:tc>
          <w:tcPr>
            <w:tcW w:w="2506"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2151"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225"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c>
          <w:tcPr>
            <w:tcW w:w="1500" w:type="dxa"/>
            <w:tcBorders>
              <w:top w:val="nil"/>
              <w:left w:val="nil"/>
              <w:bottom w:val="single" w:color="auto" w:sz="8" w:space="0"/>
              <w:right w:val="single" w:color="auto" w:sz="8" w:space="0"/>
            </w:tcBorders>
            <w:noWrap w:val="0"/>
            <w:vAlign w:val="center"/>
          </w:tcPr>
          <w:p>
            <w:pPr>
              <w:jc w:val="center"/>
              <w:rPr>
                <w:rFonts w:ascii="宋体" w:hAnsi="宋体" w:cs="宋体"/>
                <w:szCs w:val="21"/>
              </w:rPr>
            </w:pPr>
          </w:p>
        </w:tc>
      </w:tr>
    </w:tbl>
    <w:p>
      <w:pPr>
        <w:rPr>
          <w:rFonts w:ascii="宋体" w:hAnsi="宋体" w:cs="宋体"/>
          <w:szCs w:val="21"/>
        </w:rPr>
      </w:pPr>
    </w:p>
    <w:p>
      <w:pPr>
        <w:spacing w:line="400" w:lineRule="exact"/>
        <w:rPr>
          <w:rFonts w:ascii="宋体" w:hAnsi="宋体" w:cs="宋体"/>
          <w:szCs w:val="21"/>
        </w:rPr>
      </w:pPr>
      <w:r>
        <w:rPr>
          <w:rFonts w:hint="eastAsia" w:ascii="宋体" w:hAnsi="宋体" w:cs="宋体"/>
          <w:szCs w:val="21"/>
        </w:rPr>
        <w:t>注：1.本表只填写投标文件中与招标文件有偏离（包括正偏离和负偏离）的内容，投标文件中的指标响应与招标文件要求完全一致的，不用在此表中列出，但必须提交空白表。</w:t>
      </w:r>
    </w:p>
    <w:p>
      <w:pPr>
        <w:spacing w:line="400" w:lineRule="exact"/>
        <w:ind w:firstLine="420" w:firstLineChars="200"/>
        <w:rPr>
          <w:rFonts w:ascii="宋体" w:hAnsi="宋体" w:cs="宋体"/>
          <w:szCs w:val="21"/>
        </w:rPr>
      </w:pPr>
      <w:r>
        <w:rPr>
          <w:rFonts w:hint="eastAsia" w:ascii="宋体" w:hAnsi="宋体" w:cs="宋体"/>
          <w:szCs w:val="21"/>
        </w:rPr>
        <w:t>2．投标人必须据实填写，不得虚假响应，否则将取消其投标或中标资格，并按有关规定进行处罚。</w:t>
      </w:r>
    </w:p>
    <w:p>
      <w:pPr>
        <w:rPr>
          <w:szCs w:val="24"/>
        </w:rPr>
      </w:pPr>
    </w:p>
    <w:p>
      <w:pPr>
        <w:spacing w:line="0" w:lineRule="atLeast"/>
        <w:ind w:left="140"/>
        <w:rPr>
          <w:rFonts w:hint="eastAsia" w:ascii="宋体" w:hAnsi="宋体" w:cs="宋体"/>
          <w:sz w:val="24"/>
        </w:rPr>
      </w:pPr>
      <w:r>
        <w:rPr>
          <w:rFonts w:hint="eastAsia" w:ascii="宋体" w:hAnsi="宋体" w:cs="宋体"/>
          <w:sz w:val="24"/>
        </w:rPr>
        <w:t>投标人名称（公章）：</w:t>
      </w:r>
    </w:p>
    <w:p>
      <w:pPr>
        <w:spacing w:line="0" w:lineRule="atLeast"/>
        <w:ind w:left="140"/>
        <w:rPr>
          <w:rFonts w:hint="eastAsia" w:ascii="宋体" w:hAnsi="宋体" w:cs="宋体"/>
          <w:sz w:val="24"/>
        </w:rPr>
      </w:pPr>
    </w:p>
    <w:p>
      <w:pPr>
        <w:spacing w:line="0" w:lineRule="atLeast"/>
        <w:ind w:left="140"/>
        <w:rPr>
          <w:rFonts w:hint="eastAsia" w:ascii="宋体" w:hAnsi="宋体" w:cs="宋体"/>
          <w:sz w:val="24"/>
        </w:rPr>
      </w:pPr>
    </w:p>
    <w:p>
      <w:pPr>
        <w:spacing w:line="0" w:lineRule="atLeast"/>
        <w:ind w:left="140"/>
        <w:rPr>
          <w:rFonts w:hint="eastAsia" w:ascii="宋体" w:hAnsi="宋体" w:cs="宋体"/>
          <w:sz w:val="24"/>
        </w:rPr>
      </w:pPr>
      <w:r>
        <w:rPr>
          <w:rFonts w:hint="eastAsia" w:ascii="宋体" w:hAnsi="宋体" w:cs="宋体"/>
          <w:sz w:val="24"/>
        </w:rPr>
        <w:t>法定代表人或被授权人签字：</w:t>
      </w:r>
    </w:p>
    <w:p>
      <w:pPr>
        <w:spacing w:line="200" w:lineRule="exact"/>
        <w:rPr>
          <w:rFonts w:hint="eastAsia" w:ascii="宋体" w:hAnsi="宋体" w:cs="宋体"/>
        </w:rPr>
      </w:pPr>
    </w:p>
    <w:p>
      <w:pPr>
        <w:spacing w:line="200" w:lineRule="exact"/>
        <w:rPr>
          <w:rFonts w:hint="eastAsia" w:ascii="宋体" w:hAnsi="宋体" w:cs="宋体"/>
        </w:rPr>
      </w:pPr>
    </w:p>
    <w:p>
      <w:pPr>
        <w:spacing w:line="265" w:lineRule="exact"/>
        <w:rPr>
          <w:rFonts w:hint="eastAsia" w:ascii="宋体" w:hAnsi="宋体" w:cs="宋体"/>
        </w:rPr>
      </w:pPr>
    </w:p>
    <w:p>
      <w:pPr>
        <w:tabs>
          <w:tab w:val="left" w:pos="1080"/>
        </w:tabs>
        <w:spacing w:line="0" w:lineRule="atLeast"/>
        <w:ind w:left="140"/>
        <w:rPr>
          <w:rFonts w:hint="eastAsia" w:ascii="宋体" w:hAnsi="宋体" w:cs="宋体"/>
          <w:sz w:val="24"/>
        </w:rPr>
      </w:pPr>
      <w:r>
        <w:rPr>
          <w:rFonts w:hint="eastAsia" w:ascii="宋体" w:hAnsi="宋体" w:cs="宋体"/>
          <w:sz w:val="24"/>
        </w:rPr>
        <w:t>日</w:t>
      </w:r>
      <w:r>
        <w:rPr>
          <w:rFonts w:hint="eastAsia" w:ascii="宋体" w:hAnsi="宋体" w:cs="宋体"/>
        </w:rPr>
        <w:tab/>
      </w:r>
      <w:r>
        <w:rPr>
          <w:rFonts w:hint="eastAsia" w:ascii="宋体" w:hAnsi="宋体" w:cs="宋体"/>
          <w:sz w:val="24"/>
        </w:rPr>
        <w:t>期：</w:t>
      </w:r>
    </w:p>
    <w:p>
      <w:pPr>
        <w:widowControl/>
        <w:spacing w:line="400" w:lineRule="exact"/>
        <w:rPr>
          <w:rFonts w:hint="eastAsia" w:ascii="宋体" w:hAnsi="宋体" w:eastAsia="宋体" w:cs="宋体"/>
          <w:b/>
          <w:color w:val="000000"/>
          <w:sz w:val="28"/>
          <w:szCs w:val="28"/>
          <w:lang w:eastAsia="zh-CN"/>
        </w:rPr>
      </w:pPr>
    </w:p>
    <w:p>
      <w:pPr>
        <w:widowControl/>
        <w:spacing w:line="400" w:lineRule="exact"/>
        <w:rPr>
          <w:rFonts w:hint="eastAsia" w:ascii="宋体" w:hAnsi="宋体" w:eastAsia="宋体" w:cs="宋体"/>
          <w:b/>
          <w:color w:val="000000"/>
          <w:sz w:val="28"/>
          <w:szCs w:val="28"/>
          <w:lang w:eastAsia="zh-CN"/>
        </w:rPr>
      </w:pPr>
    </w:p>
    <w:p>
      <w:pPr>
        <w:widowControl/>
        <w:spacing w:line="400" w:lineRule="exact"/>
        <w:rPr>
          <w:rFonts w:hint="eastAsia" w:ascii="宋体" w:hAnsi="宋体" w:eastAsia="宋体" w:cs="宋体"/>
          <w:b/>
          <w:color w:val="000000"/>
          <w:sz w:val="28"/>
          <w:szCs w:val="28"/>
          <w:lang w:eastAsia="zh-CN"/>
        </w:rPr>
      </w:pPr>
    </w:p>
    <w:p>
      <w:pPr>
        <w:widowControl/>
        <w:spacing w:line="400" w:lineRule="exact"/>
        <w:rPr>
          <w:rFonts w:hint="eastAsia" w:ascii="宋体" w:hAnsi="宋体" w:eastAsia="宋体" w:cs="宋体"/>
          <w:b/>
          <w:color w:val="000000"/>
          <w:sz w:val="28"/>
          <w:szCs w:val="28"/>
          <w:lang w:eastAsia="zh-CN"/>
        </w:rPr>
      </w:pPr>
    </w:p>
    <w:p>
      <w:pPr>
        <w:widowControl/>
        <w:spacing w:line="400" w:lineRule="exact"/>
        <w:rPr>
          <w:rFonts w:hint="eastAsia" w:ascii="宋体" w:hAnsi="宋体" w:eastAsia="宋体" w:cs="宋体"/>
          <w:b/>
          <w:color w:val="000000"/>
          <w:sz w:val="28"/>
          <w:szCs w:val="28"/>
          <w:lang w:eastAsia="zh-CN"/>
        </w:rPr>
      </w:pPr>
    </w:p>
    <w:p>
      <w:pPr>
        <w:widowControl/>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本项目拟投入人员汇总表</w:t>
      </w:r>
    </w:p>
    <w:p>
      <w:pPr>
        <w:pStyle w:val="9"/>
        <w:rPr>
          <w:rFonts w:hint="eastAsia" w:ascii="宋体" w:hAnsi="宋体" w:cs="宋体"/>
        </w:rPr>
      </w:pPr>
    </w:p>
    <w:tbl>
      <w:tblPr>
        <w:tblStyle w:val="2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6"/>
        <w:gridCol w:w="946"/>
        <w:gridCol w:w="946"/>
        <w:gridCol w:w="946"/>
        <w:gridCol w:w="946"/>
        <w:gridCol w:w="946"/>
        <w:gridCol w:w="94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45"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序号</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姓名</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性别</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年龄</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学历</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技术职称</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工作年限</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拟担任的职务</w:t>
            </w:r>
          </w:p>
        </w:tc>
        <w:tc>
          <w:tcPr>
            <w:tcW w:w="946" w:type="dxa"/>
            <w:noWrap w:val="0"/>
            <w:vAlign w:val="center"/>
          </w:tcPr>
          <w:p>
            <w:pPr>
              <w:spacing w:line="360" w:lineRule="atLeast"/>
              <w:jc w:val="center"/>
              <w:rPr>
                <w:rFonts w:hint="eastAsia" w:ascii="宋体" w:hAnsi="宋体" w:cs="宋体"/>
                <w:b/>
                <w:sz w:val="24"/>
              </w:rPr>
            </w:pPr>
            <w:r>
              <w:rPr>
                <w:rFonts w:hint="eastAsia" w:ascii="宋体" w:hAnsi="宋体" w:cs="宋体"/>
                <w:b/>
                <w:sz w:val="24"/>
              </w:rPr>
              <w:t>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45"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45"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45"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45"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45"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c>
          <w:tcPr>
            <w:tcW w:w="946" w:type="dxa"/>
            <w:noWrap w:val="0"/>
            <w:vAlign w:val="center"/>
          </w:tcPr>
          <w:p>
            <w:pPr>
              <w:spacing w:line="360" w:lineRule="atLeast"/>
              <w:jc w:val="center"/>
              <w:rPr>
                <w:rFonts w:hint="eastAsia" w:ascii="宋体" w:hAnsi="宋体" w:cs="宋体"/>
                <w:b/>
                <w:sz w:val="24"/>
              </w:rPr>
            </w:pPr>
          </w:p>
        </w:tc>
      </w:tr>
    </w:tbl>
    <w:p>
      <w:pPr>
        <w:spacing w:line="360" w:lineRule="atLeast"/>
        <w:rPr>
          <w:rFonts w:hint="eastAsia" w:ascii="宋体" w:hAnsi="宋体" w:cs="宋体"/>
          <w:b/>
          <w:sz w:val="24"/>
        </w:rPr>
      </w:pPr>
    </w:p>
    <w:p>
      <w:pPr>
        <w:spacing w:line="0" w:lineRule="atLeast"/>
        <w:ind w:left="440"/>
        <w:rPr>
          <w:rFonts w:hint="eastAsia" w:ascii="宋体" w:hAnsi="宋体" w:cs="宋体"/>
        </w:rPr>
      </w:pPr>
      <w:r>
        <w:rPr>
          <w:rFonts w:hint="eastAsia" w:ascii="宋体" w:hAnsi="宋体" w:cs="宋体"/>
        </w:rPr>
        <w:t>注：1.“岗位情况”须注明该人在本单位是在岗、返聘还是外聘。</w:t>
      </w:r>
    </w:p>
    <w:p>
      <w:pPr>
        <w:spacing w:line="145" w:lineRule="exact"/>
        <w:rPr>
          <w:rFonts w:hint="eastAsia" w:ascii="宋体" w:hAnsi="宋体" w:cs="宋体"/>
        </w:rPr>
      </w:pPr>
    </w:p>
    <w:p>
      <w:pPr>
        <w:spacing w:line="0" w:lineRule="atLeast"/>
        <w:ind w:left="860"/>
        <w:rPr>
          <w:rFonts w:hint="eastAsia" w:ascii="宋体" w:hAnsi="宋体" w:cs="宋体"/>
        </w:rPr>
      </w:pPr>
      <w:r>
        <w:rPr>
          <w:rFonts w:hint="eastAsia" w:ascii="宋体" w:hAnsi="宋体" w:cs="宋体"/>
        </w:rPr>
        <w:t>2.投标人可适当调整该表格式，但不得减少信息内容。</w:t>
      </w:r>
    </w:p>
    <w:p>
      <w:pPr>
        <w:spacing w:line="143" w:lineRule="exact"/>
        <w:rPr>
          <w:rFonts w:hint="eastAsia" w:ascii="宋体" w:hAnsi="宋体" w:cs="宋体"/>
        </w:rPr>
      </w:pPr>
    </w:p>
    <w:p>
      <w:pPr>
        <w:keepNext w:val="0"/>
        <w:keepLines w:val="0"/>
        <w:pageBreakBefore w:val="0"/>
        <w:widowControl/>
        <w:kinsoku/>
        <w:wordWrap/>
        <w:overflowPunct/>
        <w:topLinePunct w:val="0"/>
        <w:autoSpaceDE/>
        <w:autoSpaceDN/>
        <w:bidi w:val="0"/>
        <w:adjustRightInd/>
        <w:snapToGrid/>
        <w:spacing w:line="360" w:lineRule="auto"/>
        <w:ind w:left="862"/>
        <w:textAlignment w:val="baseline"/>
        <w:rPr>
          <w:rFonts w:hint="eastAsia" w:ascii="宋体" w:hAnsi="宋体" w:cs="宋体"/>
        </w:rPr>
      </w:pPr>
      <w:r>
        <w:rPr>
          <w:rFonts w:hint="eastAsia" w:ascii="宋体" w:hAnsi="宋体" w:eastAsia="宋体" w:cs="宋体"/>
        </w:rPr>
        <w:t>3.投标人</w:t>
      </w:r>
      <w:r>
        <w:rPr>
          <w:rFonts w:hint="eastAsia" w:ascii="宋体" w:hAnsi="宋体" w:eastAsia="宋体" w:cs="宋体"/>
          <w:lang w:eastAsia="zh-CN"/>
        </w:rPr>
        <w:t>本表后</w:t>
      </w:r>
      <w:r>
        <w:rPr>
          <w:rFonts w:hint="eastAsia" w:ascii="宋体" w:hAnsi="宋体" w:eastAsia="宋体" w:cs="宋体"/>
        </w:rPr>
        <w:t>应</w:t>
      </w:r>
      <w:r>
        <w:rPr>
          <w:rFonts w:hint="eastAsia" w:ascii="宋体" w:hAnsi="宋体" w:eastAsia="宋体" w:cs="宋体"/>
          <w:lang w:eastAsia="zh-CN"/>
        </w:rPr>
        <w:t>附所投入人员相关证</w:t>
      </w:r>
      <w:r>
        <w:rPr>
          <w:rFonts w:hint="eastAsia" w:ascii="宋体" w:hAnsi="宋体" w:cs="宋体"/>
          <w:lang w:eastAsia="zh-CN"/>
        </w:rPr>
        <w:t>件</w:t>
      </w:r>
      <w:r>
        <w:rPr>
          <w:rFonts w:hint="eastAsia" w:ascii="宋体" w:hAnsi="宋体" w:eastAsia="宋体" w:cs="宋体"/>
          <w:lang w:eastAsia="zh-CN"/>
        </w:rPr>
        <w:t>并</w:t>
      </w:r>
      <w:r>
        <w:rPr>
          <w:rFonts w:hint="eastAsia" w:ascii="宋体" w:hAnsi="宋体" w:eastAsia="宋体" w:cs="宋体"/>
        </w:rPr>
        <w:t>书面承诺投标文件中人员的真实性</w:t>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spacing w:line="360" w:lineRule="auto"/>
        <w:ind w:left="862"/>
        <w:textAlignment w:val="baseline"/>
        <w:rPr>
          <w:rFonts w:hint="eastAsia" w:ascii="宋体" w:hAnsi="宋体" w:cs="宋体"/>
        </w:rPr>
        <w:sectPr>
          <w:headerReference r:id="rId9" w:type="default"/>
          <w:footerReference r:id="rId10" w:type="default"/>
          <w:pgSz w:w="11906" w:h="16838"/>
          <w:pgMar w:top="1440" w:right="1803" w:bottom="1440" w:left="1803" w:header="850" w:footer="992" w:gutter="0"/>
          <w:pgNumType w:fmt="decimal"/>
          <w:cols w:space="720" w:num="1"/>
          <w:docGrid w:linePitch="360" w:charSpace="0"/>
        </w:sectPr>
      </w:pPr>
    </w:p>
    <w:bookmarkEnd w:id="111"/>
    <w:bookmarkEnd w:id="112"/>
    <w:p>
      <w:pPr>
        <w:widowControl/>
        <w:jc w:val="center"/>
        <w:outlineLvl w:val="1"/>
        <w:rPr>
          <w:rFonts w:hint="eastAsia" w:ascii="宋体" w:hAnsi="宋体" w:cs="宋体"/>
          <w:b/>
          <w:spacing w:val="4"/>
          <w:sz w:val="30"/>
          <w:szCs w:val="30"/>
        </w:rPr>
      </w:pPr>
      <w:bookmarkStart w:id="144" w:name="_Toc27494"/>
      <w:r>
        <w:rPr>
          <w:rFonts w:ascii="黑体" w:hAnsi="黑体" w:eastAsia="黑体" w:cs="Calibri Light"/>
          <w:color w:val="auto"/>
          <w:sz w:val="32"/>
          <w:szCs w:val="36"/>
        </w:rPr>
        <w:t>第</w:t>
      </w:r>
      <w:r>
        <w:rPr>
          <w:rFonts w:hint="eastAsia" w:ascii="黑体" w:hAnsi="黑体" w:eastAsia="黑体" w:cs="Calibri Light"/>
          <w:color w:val="auto"/>
          <w:sz w:val="32"/>
          <w:szCs w:val="36"/>
          <w:lang w:eastAsia="zh-CN"/>
        </w:rPr>
        <w:t>七</w:t>
      </w:r>
      <w:r>
        <w:rPr>
          <w:rFonts w:ascii="黑体" w:hAnsi="黑体" w:eastAsia="黑体" w:cs="Calibri Light"/>
          <w:color w:val="auto"/>
          <w:sz w:val="32"/>
          <w:szCs w:val="36"/>
        </w:rPr>
        <w:t xml:space="preserve">部分  </w:t>
      </w:r>
      <w:r>
        <w:rPr>
          <w:rFonts w:hint="eastAsia" w:ascii="宋体" w:hAnsi="宋体" w:cs="宋体"/>
          <w:b/>
          <w:spacing w:val="4"/>
          <w:sz w:val="30"/>
          <w:szCs w:val="30"/>
        </w:rPr>
        <w:t>投标保证金退还信息表</w:t>
      </w:r>
    </w:p>
    <w:p>
      <w:pPr>
        <w:spacing w:line="360" w:lineRule="auto"/>
        <w:ind w:firstLine="48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pacing w:val="4"/>
          <w:sz w:val="24"/>
        </w:rPr>
        <w:t>致：</w:t>
      </w:r>
      <w:r>
        <w:rPr>
          <w:rFonts w:hint="eastAsia" w:ascii="宋体" w:hAnsi="宋体" w:cs="宋体"/>
          <w:sz w:val="24"/>
          <w:szCs w:val="22"/>
        </w:rPr>
        <w:t xml:space="preserve"> 伍诚工程咨询股份有限公司  </w:t>
      </w:r>
    </w:p>
    <w:p>
      <w:pPr>
        <w:adjustRightInd w:val="0"/>
        <w:snapToGrid w:val="0"/>
        <w:spacing w:line="360" w:lineRule="auto"/>
        <w:ind w:firstLine="482"/>
        <w:rPr>
          <w:rFonts w:hint="eastAsia" w:ascii="宋体" w:hAnsi="宋体" w:cs="宋体"/>
          <w:sz w:val="24"/>
        </w:rPr>
      </w:pPr>
      <w:r>
        <w:rPr>
          <w:rFonts w:hint="eastAsia" w:ascii="宋体" w:hAnsi="宋体" w:cs="宋体"/>
          <w:sz w:val="24"/>
        </w:rPr>
        <w:t>我单位为</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）提交的保证金</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），按招标文件规定退还至下列账户：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22"/>
        <w:gridCol w:w="1671"/>
        <w:gridCol w:w="248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5" w:type="dxa"/>
            <w:vMerge w:val="restart"/>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收款单位</w:t>
            </w:r>
          </w:p>
        </w:tc>
        <w:tc>
          <w:tcPr>
            <w:tcW w:w="242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收款单位名称</w:t>
            </w:r>
          </w:p>
        </w:tc>
        <w:tc>
          <w:tcPr>
            <w:tcW w:w="6632" w:type="dxa"/>
            <w:gridSpan w:val="3"/>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5" w:type="dxa"/>
            <w:vMerge w:val="continue"/>
            <w:noWrap w:val="0"/>
            <w:vAlign w:val="center"/>
          </w:tcPr>
          <w:p>
            <w:pPr>
              <w:widowControl/>
              <w:adjustRightInd w:val="0"/>
              <w:snapToGrid w:val="0"/>
              <w:spacing w:line="360" w:lineRule="auto"/>
              <w:jc w:val="center"/>
              <w:rPr>
                <w:rFonts w:hint="eastAsia" w:ascii="宋体" w:hAnsi="宋体" w:cs="宋体"/>
                <w:sz w:val="24"/>
              </w:rPr>
            </w:pPr>
          </w:p>
        </w:tc>
        <w:tc>
          <w:tcPr>
            <w:tcW w:w="242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账号</w:t>
            </w:r>
          </w:p>
        </w:tc>
        <w:tc>
          <w:tcPr>
            <w:tcW w:w="6632" w:type="dxa"/>
            <w:gridSpan w:val="3"/>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5" w:type="dxa"/>
            <w:vMerge w:val="continue"/>
            <w:noWrap w:val="0"/>
            <w:vAlign w:val="center"/>
          </w:tcPr>
          <w:p>
            <w:pPr>
              <w:widowControl/>
              <w:adjustRightInd w:val="0"/>
              <w:snapToGrid w:val="0"/>
              <w:spacing w:line="360" w:lineRule="auto"/>
              <w:jc w:val="center"/>
              <w:rPr>
                <w:rFonts w:hint="eastAsia" w:ascii="宋体" w:hAnsi="宋体" w:cs="宋体"/>
                <w:sz w:val="24"/>
              </w:rPr>
            </w:pPr>
          </w:p>
        </w:tc>
        <w:tc>
          <w:tcPr>
            <w:tcW w:w="242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开户银行</w:t>
            </w:r>
          </w:p>
        </w:tc>
        <w:tc>
          <w:tcPr>
            <w:tcW w:w="6632" w:type="dxa"/>
            <w:gridSpan w:val="3"/>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5" w:type="dxa"/>
            <w:vMerge w:val="continue"/>
            <w:noWrap w:val="0"/>
            <w:vAlign w:val="center"/>
          </w:tcPr>
          <w:p>
            <w:pPr>
              <w:widowControl/>
              <w:adjustRightInd w:val="0"/>
              <w:snapToGrid w:val="0"/>
              <w:spacing w:line="360" w:lineRule="auto"/>
              <w:jc w:val="center"/>
              <w:rPr>
                <w:rFonts w:hint="eastAsia" w:ascii="宋体" w:hAnsi="宋体" w:cs="宋体"/>
                <w:sz w:val="24"/>
              </w:rPr>
            </w:pPr>
          </w:p>
        </w:tc>
        <w:tc>
          <w:tcPr>
            <w:tcW w:w="242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开户银行行号</w:t>
            </w:r>
          </w:p>
        </w:tc>
        <w:tc>
          <w:tcPr>
            <w:tcW w:w="6632" w:type="dxa"/>
            <w:gridSpan w:val="3"/>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05" w:type="dxa"/>
            <w:vMerge w:val="continue"/>
            <w:noWrap w:val="0"/>
            <w:vAlign w:val="center"/>
          </w:tcPr>
          <w:p>
            <w:pPr>
              <w:widowControl/>
              <w:adjustRightInd w:val="0"/>
              <w:snapToGrid w:val="0"/>
              <w:spacing w:line="360" w:lineRule="auto"/>
              <w:jc w:val="center"/>
              <w:rPr>
                <w:rFonts w:hint="eastAsia" w:ascii="宋体" w:hAnsi="宋体" w:cs="宋体"/>
                <w:sz w:val="24"/>
              </w:rPr>
            </w:pPr>
          </w:p>
        </w:tc>
        <w:tc>
          <w:tcPr>
            <w:tcW w:w="242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联 系 人</w:t>
            </w:r>
          </w:p>
        </w:tc>
        <w:tc>
          <w:tcPr>
            <w:tcW w:w="1671" w:type="dxa"/>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p>
        </w:tc>
        <w:tc>
          <w:tcPr>
            <w:tcW w:w="2480" w:type="dxa"/>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r>
              <w:rPr>
                <w:rFonts w:hint="eastAsia" w:ascii="宋体" w:hAnsi="宋体" w:cs="宋体"/>
                <w:sz w:val="24"/>
              </w:rPr>
              <w:t>联系电话</w:t>
            </w:r>
          </w:p>
        </w:tc>
        <w:tc>
          <w:tcPr>
            <w:tcW w:w="2481" w:type="dxa"/>
            <w:noWrap w:val="0"/>
            <w:vAlign w:val="center"/>
          </w:tcPr>
          <w:p>
            <w:pPr>
              <w:tabs>
                <w:tab w:val="left" w:pos="676"/>
                <w:tab w:val="left" w:pos="2330"/>
                <w:tab w:val="left" w:pos="9230"/>
              </w:tabs>
              <w:adjustRightInd w:val="0"/>
              <w:snapToGrid w:val="0"/>
              <w:spacing w:line="360" w:lineRule="auto"/>
              <w:jc w:val="center"/>
              <w:rPr>
                <w:rFonts w:hint="eastAsia" w:ascii="宋体" w:hAnsi="宋体" w:cs="宋体"/>
                <w:b/>
                <w:sz w:val="24"/>
              </w:rPr>
            </w:pPr>
          </w:p>
        </w:tc>
      </w:tr>
    </w:tbl>
    <w:p>
      <w:pPr>
        <w:tabs>
          <w:tab w:val="left" w:pos="676"/>
          <w:tab w:val="left" w:pos="2330"/>
          <w:tab w:val="left" w:pos="9230"/>
        </w:tabs>
        <w:spacing w:line="480" w:lineRule="exact"/>
        <w:ind w:firstLine="120" w:firstLineChars="50"/>
        <w:rPr>
          <w:rFonts w:hint="eastAsia" w:ascii="宋体" w:hAnsi="宋体" w:cs="宋体"/>
          <w:b/>
          <w:sz w:val="24"/>
        </w:rPr>
      </w:pPr>
    </w:p>
    <w:p>
      <w:pPr>
        <w:pStyle w:val="2"/>
        <w:rPr>
          <w:rFonts w:hint="eastAsia" w:ascii="宋体" w:hAnsi="宋体" w:cs="宋体"/>
          <w:b/>
          <w:sz w:val="24"/>
        </w:rPr>
      </w:pPr>
    </w:p>
    <w:p>
      <w:pPr>
        <w:rPr>
          <w:rFonts w:hint="eastAsia"/>
        </w:rPr>
      </w:pPr>
    </w:p>
    <w:p>
      <w:pPr>
        <w:tabs>
          <w:tab w:val="left" w:pos="676"/>
          <w:tab w:val="left" w:pos="2330"/>
          <w:tab w:val="left" w:pos="9230"/>
        </w:tabs>
        <w:spacing w:line="480" w:lineRule="exact"/>
        <w:ind w:firstLine="3412" w:firstLineChars="1416"/>
        <w:rPr>
          <w:rFonts w:hint="eastAsia" w:ascii="宋体" w:hAnsi="宋体" w:cs="宋体"/>
          <w:b/>
          <w:sz w:val="24"/>
        </w:rPr>
      </w:pPr>
    </w:p>
    <w:p>
      <w:pPr>
        <w:tabs>
          <w:tab w:val="left" w:pos="676"/>
          <w:tab w:val="left" w:pos="2330"/>
          <w:tab w:val="left" w:pos="9230"/>
        </w:tabs>
        <w:spacing w:line="480" w:lineRule="exact"/>
        <w:ind w:firstLine="3398" w:firstLineChars="1416"/>
        <w:rPr>
          <w:rFonts w:hint="eastAsia" w:ascii="宋体" w:hAnsi="宋体" w:cs="宋体"/>
          <w:sz w:val="24"/>
          <w:u w:val="single"/>
        </w:rPr>
      </w:pPr>
      <w:r>
        <w:rPr>
          <w:rFonts w:hint="eastAsia" w:ascii="宋体" w:hAnsi="宋体" w:cs="宋体"/>
          <w:sz w:val="24"/>
        </w:rPr>
        <w:t>投标单位名称（公章）：</w:t>
      </w:r>
      <w:r>
        <w:rPr>
          <w:rFonts w:hint="eastAsia" w:ascii="宋体" w:hAnsi="宋体" w:cs="宋体"/>
          <w:sz w:val="24"/>
          <w:u w:val="single"/>
        </w:rPr>
        <w:t xml:space="preserve">                        </w:t>
      </w:r>
    </w:p>
    <w:p>
      <w:pPr>
        <w:pStyle w:val="13"/>
        <w:spacing w:line="480" w:lineRule="exact"/>
        <w:ind w:firstLine="2973" w:firstLineChars="1416"/>
        <w:rPr>
          <w:rFonts w:hint="eastAsia" w:hAnsi="宋体" w:cs="宋体"/>
          <w:szCs w:val="24"/>
        </w:rPr>
      </w:pPr>
    </w:p>
    <w:p>
      <w:pPr>
        <w:pStyle w:val="13"/>
        <w:spacing w:line="480" w:lineRule="exact"/>
        <w:ind w:firstLine="3360" w:firstLineChars="1600"/>
        <w:rPr>
          <w:rFonts w:hint="eastAsia" w:hAnsi="宋体" w:cs="宋体"/>
          <w:szCs w:val="24"/>
          <w:u w:val="single"/>
        </w:rPr>
      </w:pPr>
      <w:r>
        <w:rPr>
          <w:rFonts w:hint="eastAsia" w:hAnsi="宋体" w:cs="宋体"/>
          <w:szCs w:val="24"/>
        </w:rPr>
        <w:t xml:space="preserve">日    </w:t>
      </w:r>
      <w:r>
        <w:rPr>
          <w:rFonts w:hint="eastAsia" w:hAnsi="宋体" w:cs="宋体"/>
          <w:szCs w:val="24"/>
          <w:lang w:val="en-US" w:eastAsia="zh-CN"/>
        </w:rPr>
        <w:t xml:space="preserve">        </w:t>
      </w:r>
      <w:r>
        <w:rPr>
          <w:rFonts w:hint="eastAsia" w:hAnsi="宋体" w:cs="宋体"/>
          <w:szCs w:val="24"/>
        </w:rPr>
        <w:t xml:space="preserve">  期：</w:t>
      </w:r>
      <w:r>
        <w:rPr>
          <w:rFonts w:hint="eastAsia" w:hAnsi="宋体" w:cs="宋体"/>
          <w:szCs w:val="24"/>
          <w:u w:val="single"/>
        </w:rPr>
        <w:t xml:space="preserve">                                 </w:t>
      </w:r>
    </w:p>
    <w:p>
      <w:pPr>
        <w:spacing w:line="360" w:lineRule="atLeast"/>
        <w:jc w:val="center"/>
        <w:outlineLvl w:val="0"/>
        <w:rPr>
          <w:rFonts w:hint="eastAsia" w:ascii="宋体" w:hAnsi="宋体" w:cs="宋体"/>
          <w:b/>
          <w:sz w:val="32"/>
          <w:szCs w:val="22"/>
        </w:rPr>
      </w:pPr>
    </w:p>
    <w:p>
      <w:pPr>
        <w:pStyle w:val="125"/>
        <w:wordWrap/>
        <w:ind w:left="0" w:leftChars="0" w:firstLine="0" w:firstLineChars="0"/>
        <w:jc w:val="both"/>
        <w:rPr>
          <w:rFonts w:hint="eastAsia" w:ascii="宋体" w:hAnsi="宋体" w:eastAsia="宋体" w:cs="宋体"/>
          <w:b/>
          <w:sz w:val="24"/>
          <w:lang w:eastAsia="zh-CN"/>
        </w:rPr>
      </w:pPr>
    </w:p>
    <w:p>
      <w:pPr>
        <w:pStyle w:val="125"/>
        <w:wordWrap/>
        <w:ind w:left="0" w:leftChars="0" w:firstLine="0" w:firstLineChars="0"/>
        <w:jc w:val="both"/>
        <w:rPr>
          <w:rFonts w:hint="eastAsia" w:ascii="宋体" w:hAnsi="宋体" w:eastAsia="宋体" w:cs="宋体"/>
          <w:b/>
          <w:sz w:val="24"/>
          <w:lang w:eastAsia="zh-CN"/>
        </w:rPr>
      </w:pPr>
    </w:p>
    <w:p>
      <w:pPr>
        <w:pStyle w:val="125"/>
        <w:wordWrap/>
        <w:ind w:left="0" w:leftChars="0" w:firstLine="0" w:firstLineChars="0"/>
        <w:jc w:val="both"/>
        <w:rPr>
          <w:rFonts w:hint="eastAsia" w:ascii="宋体" w:hAnsi="宋体" w:eastAsia="宋体" w:cs="宋体"/>
          <w:b/>
          <w:sz w:val="24"/>
          <w:lang w:eastAsia="zh-CN"/>
        </w:rPr>
      </w:pPr>
    </w:p>
    <w:p>
      <w:pPr>
        <w:pStyle w:val="9"/>
        <w:adjustRightInd w:val="0"/>
        <w:snapToGrid w:val="0"/>
        <w:spacing w:line="500" w:lineRule="exact"/>
        <w:rPr>
          <w:rFonts w:hint="eastAsia" w:ascii="宋体" w:hAnsi="宋体" w:cs="宋体"/>
          <w:sz w:val="32"/>
          <w:szCs w:val="22"/>
        </w:rPr>
      </w:pPr>
      <w:bookmarkStart w:id="145" w:name="_Toc20811"/>
      <w:bookmarkStart w:id="146" w:name="_Toc32444"/>
      <w:r>
        <w:rPr>
          <w:rFonts w:hint="eastAsia" w:ascii="宋体" w:hAnsi="宋体" w:cs="宋体"/>
          <w:b/>
          <w:sz w:val="32"/>
          <w:szCs w:val="22"/>
          <w:lang w:val="en-US" w:eastAsia="zh-CN"/>
        </w:rPr>
        <w:t xml:space="preserve"> </w:t>
      </w:r>
      <w:r>
        <w:rPr>
          <w:rFonts w:hint="eastAsia" w:ascii="宋体" w:hAnsi="宋体" w:cs="宋体"/>
          <w:b/>
          <w:sz w:val="32"/>
          <w:szCs w:val="22"/>
        </w:rPr>
        <w:t xml:space="preserve"> </w:t>
      </w:r>
      <w:r>
        <w:rPr>
          <w:rFonts w:hint="eastAsia" w:ascii="宋体" w:hAnsi="宋体" w:cs="宋体"/>
          <w:b/>
          <w:sz w:val="32"/>
          <w:szCs w:val="22"/>
          <w:lang w:val="en-US" w:eastAsia="zh-CN"/>
        </w:rPr>
        <w:t xml:space="preserve">         </w:t>
      </w:r>
      <w:bookmarkEnd w:id="145"/>
      <w:bookmarkEnd w:id="146"/>
    </w:p>
    <w:bookmarkEnd w:id="144"/>
    <w:p>
      <w:pPr>
        <w:pStyle w:val="47"/>
        <w:rPr>
          <w:rStyle w:val="29"/>
          <w:rFonts w:hint="eastAsia" w:ascii="宋体" w:hAnsi="宋体" w:eastAsia="宋体" w:cs="宋体"/>
          <w:color w:val="000000"/>
          <w:sz w:val="24"/>
          <w:szCs w:val="24"/>
        </w:rPr>
      </w:pPr>
    </w:p>
    <w:sectPr>
      <w:footerReference r:id="rId11" w:type="default"/>
      <w:pgSz w:w="11906" w:h="16838"/>
      <w:pgMar w:top="1440" w:right="1417" w:bottom="1440" w:left="1417"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幼圆">
    <w:altName w:val="宋体"/>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思源宋体 CN Light">
    <w:altName w:val="宋体"/>
    <w:panose1 w:val="02020300000000000000"/>
    <w:charset w:val="86"/>
    <w:family w:val="auto"/>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9"/>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9"/>
      </w:rPr>
    </w:pPr>
    <w:r>
      <w:rPr>
        <w:rFonts w:ascii="Times New Roman" w:hAnsi="Times New Roman" w:eastAsia="宋体" w:cs="黑体"/>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Times New Roman" w:hAnsi="Times New Roman" w:eastAsia="宋体" w:cs="黑体"/>
        <w:kern w:val="2"/>
        <w:sz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Times New Roman" w:hAnsi="Times New Roman" w:eastAsia="宋体" w:cs="黑体"/>
        <w:kern w:val="2"/>
        <w:sz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Times New Roman" w:hAnsi="Times New Roman" w:eastAsia="宋体" w:cs="黑体"/>
        <w:kern w:val="2"/>
        <w:sz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rPr>
        <w:rFonts w:hint="eastAsia" w:ascii="宋体" w:hAnsi="宋体" w:cs="宋体"/>
        <w:sz w:val="21"/>
        <w:szCs w:val="21"/>
      </w:rPr>
    </w:pPr>
    <w:r>
      <w:rPr>
        <w:rFonts w:hint="eastAsia" w:ascii="宋体" w:hAnsi="宋体" w:cs="宋体"/>
        <w:bCs/>
        <w:sz w:val="21"/>
        <w:szCs w:val="21"/>
      </w:rPr>
      <w:t xml:space="preserve">伍诚工程咨询股份有限公司  </w:t>
    </w:r>
    <w:r>
      <w:rPr>
        <w:rFonts w:hint="eastAsia" w:ascii="宋体" w:hAnsi="宋体" w:cs="宋体"/>
        <w:sz w:val="21"/>
        <w:szCs w:val="21"/>
      </w:rPr>
      <w:t xml:space="preserve">                      </w:t>
    </w:r>
    <w:r>
      <w:rPr>
        <w:rFonts w:hint="eastAsia" w:ascii="宋体" w:hAnsi="宋体" w:cs="宋体"/>
        <w:bCs/>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96632"/>
    <w:multiLevelType w:val="singleLevel"/>
    <w:tmpl w:val="AF796632"/>
    <w:lvl w:ilvl="0" w:tentative="0">
      <w:start w:val="31"/>
      <w:numFmt w:val="decimal"/>
      <w:lvlText w:val="%1."/>
      <w:lvlJc w:val="left"/>
      <w:pPr>
        <w:tabs>
          <w:tab w:val="left" w:pos="312"/>
        </w:tabs>
      </w:pPr>
    </w:lvl>
  </w:abstractNum>
  <w:abstractNum w:abstractNumId="1">
    <w:nsid w:val="CEEF3F74"/>
    <w:multiLevelType w:val="singleLevel"/>
    <w:tmpl w:val="CEEF3F74"/>
    <w:lvl w:ilvl="0" w:tentative="0">
      <w:start w:val="1"/>
      <w:numFmt w:val="decimal"/>
      <w:suff w:val="nothing"/>
      <w:lvlText w:val="%1、"/>
      <w:lvlJc w:val="left"/>
    </w:lvl>
  </w:abstractNum>
  <w:abstractNum w:abstractNumId="2">
    <w:nsid w:val="F26F80D3"/>
    <w:multiLevelType w:val="singleLevel"/>
    <w:tmpl w:val="F26F80D3"/>
    <w:lvl w:ilvl="0" w:tentative="0">
      <w:start w:val="2"/>
      <w:numFmt w:val="decimal"/>
      <w:suff w:val="nothing"/>
      <w:lvlText w:val="%1、"/>
      <w:lvlJc w:val="left"/>
    </w:lvl>
  </w:abstractNum>
  <w:abstractNum w:abstractNumId="3">
    <w:nsid w:val="F2F86E99"/>
    <w:multiLevelType w:val="singleLevel"/>
    <w:tmpl w:val="F2F86E99"/>
    <w:lvl w:ilvl="0" w:tentative="0">
      <w:start w:val="1"/>
      <w:numFmt w:val="decimal"/>
      <w:suff w:val="nothing"/>
      <w:lvlText w:val="（%1）"/>
      <w:lvlJc w:val="left"/>
    </w:lvl>
  </w:abstractNum>
  <w:abstractNum w:abstractNumId="4">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5">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6">
    <w:nsid w:val="420C153B"/>
    <w:multiLevelType w:val="multilevel"/>
    <w:tmpl w:val="420C153B"/>
    <w:lvl w:ilvl="0" w:tentative="0">
      <w:start w:val="1"/>
      <w:numFmt w:val="decimal"/>
      <w:pStyle w:val="1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43A3FEC"/>
    <w:multiLevelType w:val="singleLevel"/>
    <w:tmpl w:val="443A3FEC"/>
    <w:lvl w:ilvl="0" w:tentative="0">
      <w:start w:val="1"/>
      <w:numFmt w:val="decimal"/>
      <w:suff w:val="nothing"/>
      <w:lvlText w:val="（%1）"/>
      <w:lvlJc w:val="left"/>
    </w:lvl>
  </w:abstractNum>
  <w:abstractNum w:abstractNumId="8">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9">
    <w:nsid w:val="55570FC6"/>
    <w:multiLevelType w:val="singleLevel"/>
    <w:tmpl w:val="55570FC6"/>
    <w:lvl w:ilvl="0" w:tentative="0">
      <w:start w:val="1"/>
      <w:numFmt w:val="decimal"/>
      <w:suff w:val="nothing"/>
      <w:lvlText w:val="%1、"/>
      <w:lvlJc w:val="left"/>
    </w:lvl>
  </w:abstractNum>
  <w:abstractNum w:abstractNumId="10">
    <w:nsid w:val="5A0071DC"/>
    <w:multiLevelType w:val="singleLevel"/>
    <w:tmpl w:val="5A0071DC"/>
    <w:lvl w:ilvl="0" w:tentative="0">
      <w:start w:val="1"/>
      <w:numFmt w:val="chineseCounting"/>
      <w:suff w:val="space"/>
      <w:lvlText w:val="第%1部分"/>
      <w:lvlJc w:val="left"/>
      <w:rPr>
        <w:rFonts w:hint="eastAsia"/>
      </w:rPr>
    </w:lvl>
  </w:abstractNum>
  <w:abstractNum w:abstractNumId="11">
    <w:nsid w:val="5F61C2CA"/>
    <w:multiLevelType w:val="singleLevel"/>
    <w:tmpl w:val="5F61C2CA"/>
    <w:lvl w:ilvl="0" w:tentative="0">
      <w:start w:val="2"/>
      <w:numFmt w:val="decimal"/>
      <w:suff w:val="nothing"/>
      <w:lvlText w:val="%1、"/>
      <w:lvlJc w:val="left"/>
    </w:lvl>
  </w:abstractNum>
  <w:num w:numId="1">
    <w:abstractNumId w:val="6"/>
  </w:num>
  <w:num w:numId="2">
    <w:abstractNumId w:val="10"/>
  </w:num>
  <w:num w:numId="3">
    <w:abstractNumId w:val="3"/>
  </w:num>
  <w:num w:numId="4">
    <w:abstractNumId w:val="1"/>
  </w:num>
  <w:num w:numId="5">
    <w:abstractNumId w:val="2"/>
  </w:num>
  <w:num w:numId="6">
    <w:abstractNumId w:val="0"/>
  </w:num>
  <w:num w:numId="7">
    <w:abstractNumId w:val="11"/>
  </w:num>
  <w:num w:numId="8">
    <w:abstractNumId w:val="7"/>
  </w:num>
  <w:num w:numId="9">
    <w:abstractNumId w:val="9"/>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MjVkNmQ2MTFlNjkzNjcwYmM4NDQ5ZDgxZTc5ZmMifQ=="/>
  </w:docVars>
  <w:rsids>
    <w:rsidRoot w:val="00B34934"/>
    <w:rsid w:val="0002117A"/>
    <w:rsid w:val="000627A7"/>
    <w:rsid w:val="000B6A94"/>
    <w:rsid w:val="001C64B6"/>
    <w:rsid w:val="003401FA"/>
    <w:rsid w:val="0042735A"/>
    <w:rsid w:val="00494FFB"/>
    <w:rsid w:val="005C6ADC"/>
    <w:rsid w:val="00615EA1"/>
    <w:rsid w:val="0066795B"/>
    <w:rsid w:val="006935A3"/>
    <w:rsid w:val="006D2A98"/>
    <w:rsid w:val="006E4A62"/>
    <w:rsid w:val="007007DA"/>
    <w:rsid w:val="0070476A"/>
    <w:rsid w:val="007A3406"/>
    <w:rsid w:val="007C4D05"/>
    <w:rsid w:val="00852329"/>
    <w:rsid w:val="00B12CA2"/>
    <w:rsid w:val="00B34934"/>
    <w:rsid w:val="00CB1EB4"/>
    <w:rsid w:val="00D06A2C"/>
    <w:rsid w:val="00D348C5"/>
    <w:rsid w:val="00DD7F03"/>
    <w:rsid w:val="00E52F76"/>
    <w:rsid w:val="00F6099C"/>
    <w:rsid w:val="00FC3E1B"/>
    <w:rsid w:val="010F7B5A"/>
    <w:rsid w:val="010F7FF3"/>
    <w:rsid w:val="01113D6B"/>
    <w:rsid w:val="01115B19"/>
    <w:rsid w:val="012B4701"/>
    <w:rsid w:val="012F2443"/>
    <w:rsid w:val="013712F7"/>
    <w:rsid w:val="015B4FE6"/>
    <w:rsid w:val="015E4AD6"/>
    <w:rsid w:val="017460A8"/>
    <w:rsid w:val="01761E20"/>
    <w:rsid w:val="017E0CD4"/>
    <w:rsid w:val="01C444A3"/>
    <w:rsid w:val="01F928B5"/>
    <w:rsid w:val="01FD42EF"/>
    <w:rsid w:val="020016E9"/>
    <w:rsid w:val="02070CCA"/>
    <w:rsid w:val="021533E7"/>
    <w:rsid w:val="02165B0A"/>
    <w:rsid w:val="02225B04"/>
    <w:rsid w:val="02353A89"/>
    <w:rsid w:val="02370032"/>
    <w:rsid w:val="023D46EC"/>
    <w:rsid w:val="024E68F9"/>
    <w:rsid w:val="0250441F"/>
    <w:rsid w:val="02864CF7"/>
    <w:rsid w:val="02A1111E"/>
    <w:rsid w:val="02B40E52"/>
    <w:rsid w:val="02C745A8"/>
    <w:rsid w:val="02CA0054"/>
    <w:rsid w:val="02F56D74"/>
    <w:rsid w:val="03196F07"/>
    <w:rsid w:val="03217B69"/>
    <w:rsid w:val="03443858"/>
    <w:rsid w:val="035A307B"/>
    <w:rsid w:val="03716D43"/>
    <w:rsid w:val="0372165F"/>
    <w:rsid w:val="03753918"/>
    <w:rsid w:val="037759DB"/>
    <w:rsid w:val="03791753"/>
    <w:rsid w:val="03990568"/>
    <w:rsid w:val="03A156EC"/>
    <w:rsid w:val="03AA4003"/>
    <w:rsid w:val="03AB67C4"/>
    <w:rsid w:val="03B91971"/>
    <w:rsid w:val="03C70711"/>
    <w:rsid w:val="03CA1FAF"/>
    <w:rsid w:val="03CD1C55"/>
    <w:rsid w:val="040F20B8"/>
    <w:rsid w:val="042771B9"/>
    <w:rsid w:val="042A09FB"/>
    <w:rsid w:val="042B5143"/>
    <w:rsid w:val="044B7594"/>
    <w:rsid w:val="044D15D4"/>
    <w:rsid w:val="04506958"/>
    <w:rsid w:val="046302D6"/>
    <w:rsid w:val="04640655"/>
    <w:rsid w:val="04763EE5"/>
    <w:rsid w:val="047E421A"/>
    <w:rsid w:val="04814D63"/>
    <w:rsid w:val="04846602"/>
    <w:rsid w:val="049802FF"/>
    <w:rsid w:val="04A62AF8"/>
    <w:rsid w:val="04AA7AB6"/>
    <w:rsid w:val="04B734EF"/>
    <w:rsid w:val="04C335CE"/>
    <w:rsid w:val="04C9670A"/>
    <w:rsid w:val="04C974B1"/>
    <w:rsid w:val="04CB4231"/>
    <w:rsid w:val="04D1736D"/>
    <w:rsid w:val="04DC4690"/>
    <w:rsid w:val="04E946B7"/>
    <w:rsid w:val="050D65F7"/>
    <w:rsid w:val="051C2CDE"/>
    <w:rsid w:val="051E2E61"/>
    <w:rsid w:val="05281683"/>
    <w:rsid w:val="05341DD6"/>
    <w:rsid w:val="053973EC"/>
    <w:rsid w:val="054C019F"/>
    <w:rsid w:val="056106F1"/>
    <w:rsid w:val="05724E4C"/>
    <w:rsid w:val="057448C8"/>
    <w:rsid w:val="058645FB"/>
    <w:rsid w:val="05883ED0"/>
    <w:rsid w:val="058D14E6"/>
    <w:rsid w:val="058F525E"/>
    <w:rsid w:val="0593446C"/>
    <w:rsid w:val="05997E8B"/>
    <w:rsid w:val="05A86320"/>
    <w:rsid w:val="05B11678"/>
    <w:rsid w:val="05B945FA"/>
    <w:rsid w:val="05E01F5E"/>
    <w:rsid w:val="05F2067B"/>
    <w:rsid w:val="06023C82"/>
    <w:rsid w:val="060379FA"/>
    <w:rsid w:val="06113EC5"/>
    <w:rsid w:val="061E65E2"/>
    <w:rsid w:val="06314567"/>
    <w:rsid w:val="06383B48"/>
    <w:rsid w:val="064A73D7"/>
    <w:rsid w:val="066C559F"/>
    <w:rsid w:val="06874187"/>
    <w:rsid w:val="068E19BA"/>
    <w:rsid w:val="06C12D98"/>
    <w:rsid w:val="06C92704"/>
    <w:rsid w:val="06DA69AD"/>
    <w:rsid w:val="06DF2215"/>
    <w:rsid w:val="06F16DB8"/>
    <w:rsid w:val="06FC4B75"/>
    <w:rsid w:val="07041C7C"/>
    <w:rsid w:val="07070DA7"/>
    <w:rsid w:val="072145DC"/>
    <w:rsid w:val="07350087"/>
    <w:rsid w:val="07391925"/>
    <w:rsid w:val="073C7668"/>
    <w:rsid w:val="073F0F06"/>
    <w:rsid w:val="07462294"/>
    <w:rsid w:val="07500EC0"/>
    <w:rsid w:val="07573D64"/>
    <w:rsid w:val="075D0AC2"/>
    <w:rsid w:val="079B438E"/>
    <w:rsid w:val="07B23486"/>
    <w:rsid w:val="07B471FE"/>
    <w:rsid w:val="07BF7C33"/>
    <w:rsid w:val="07C02047"/>
    <w:rsid w:val="07C75183"/>
    <w:rsid w:val="07CF5DE6"/>
    <w:rsid w:val="07D17DB0"/>
    <w:rsid w:val="07E55609"/>
    <w:rsid w:val="07F12200"/>
    <w:rsid w:val="081128A2"/>
    <w:rsid w:val="08123F24"/>
    <w:rsid w:val="081952B3"/>
    <w:rsid w:val="082108D7"/>
    <w:rsid w:val="08236132"/>
    <w:rsid w:val="083640B7"/>
    <w:rsid w:val="086C1887"/>
    <w:rsid w:val="087D3A94"/>
    <w:rsid w:val="089332B7"/>
    <w:rsid w:val="08A07782"/>
    <w:rsid w:val="08D538D0"/>
    <w:rsid w:val="08DD09D6"/>
    <w:rsid w:val="08DD2784"/>
    <w:rsid w:val="08DF64FD"/>
    <w:rsid w:val="08EB4EA1"/>
    <w:rsid w:val="08F24482"/>
    <w:rsid w:val="090C47E8"/>
    <w:rsid w:val="090C7003"/>
    <w:rsid w:val="090D3035"/>
    <w:rsid w:val="09113484"/>
    <w:rsid w:val="091A7535"/>
    <w:rsid w:val="091F0FEF"/>
    <w:rsid w:val="09273A00"/>
    <w:rsid w:val="09440A55"/>
    <w:rsid w:val="094D6FD8"/>
    <w:rsid w:val="09524F20"/>
    <w:rsid w:val="09694018"/>
    <w:rsid w:val="096D7D04"/>
    <w:rsid w:val="0971343F"/>
    <w:rsid w:val="098350DA"/>
    <w:rsid w:val="09AD03A9"/>
    <w:rsid w:val="09AD2157"/>
    <w:rsid w:val="09BF181D"/>
    <w:rsid w:val="09D26061"/>
    <w:rsid w:val="09D678FF"/>
    <w:rsid w:val="09D77734"/>
    <w:rsid w:val="09DF7EEF"/>
    <w:rsid w:val="09E87633"/>
    <w:rsid w:val="09F935EE"/>
    <w:rsid w:val="09FF119B"/>
    <w:rsid w:val="0A02732A"/>
    <w:rsid w:val="0A0C3321"/>
    <w:rsid w:val="0A0E1578"/>
    <w:rsid w:val="0A110938"/>
    <w:rsid w:val="0A1E3055"/>
    <w:rsid w:val="0A201F11"/>
    <w:rsid w:val="0A235D60"/>
    <w:rsid w:val="0A287A2F"/>
    <w:rsid w:val="0A2F1C3C"/>
    <w:rsid w:val="0A366534"/>
    <w:rsid w:val="0A4557E9"/>
    <w:rsid w:val="0A4E12B1"/>
    <w:rsid w:val="0A4F76B2"/>
    <w:rsid w:val="0A5847B8"/>
    <w:rsid w:val="0A5947DF"/>
    <w:rsid w:val="0A5F5D21"/>
    <w:rsid w:val="0A764C3F"/>
    <w:rsid w:val="0A8E01DA"/>
    <w:rsid w:val="0A994762"/>
    <w:rsid w:val="0AC0410C"/>
    <w:rsid w:val="0AD1705F"/>
    <w:rsid w:val="0AD876A7"/>
    <w:rsid w:val="0AE24082"/>
    <w:rsid w:val="0AE61DC4"/>
    <w:rsid w:val="0AF20832"/>
    <w:rsid w:val="0B0E30C9"/>
    <w:rsid w:val="0B0F299D"/>
    <w:rsid w:val="0B146B6D"/>
    <w:rsid w:val="0B1A53D5"/>
    <w:rsid w:val="0B1B1342"/>
    <w:rsid w:val="0B21104E"/>
    <w:rsid w:val="0B226B74"/>
    <w:rsid w:val="0B291CB1"/>
    <w:rsid w:val="0B2E566C"/>
    <w:rsid w:val="0B3348DE"/>
    <w:rsid w:val="0B381EF4"/>
    <w:rsid w:val="0B47656F"/>
    <w:rsid w:val="0B512FB6"/>
    <w:rsid w:val="0B9643B8"/>
    <w:rsid w:val="0BA94BA0"/>
    <w:rsid w:val="0BC639A4"/>
    <w:rsid w:val="0BEB51B8"/>
    <w:rsid w:val="0BF201DE"/>
    <w:rsid w:val="0BF62A5B"/>
    <w:rsid w:val="0BF91E71"/>
    <w:rsid w:val="0C01678A"/>
    <w:rsid w:val="0C1069CD"/>
    <w:rsid w:val="0C1110C3"/>
    <w:rsid w:val="0C14470F"/>
    <w:rsid w:val="0C3B1C9C"/>
    <w:rsid w:val="0C50326D"/>
    <w:rsid w:val="0C6253E7"/>
    <w:rsid w:val="0CB16402"/>
    <w:rsid w:val="0CB871F9"/>
    <w:rsid w:val="0CBA3508"/>
    <w:rsid w:val="0CBB4B8B"/>
    <w:rsid w:val="0CBF0B1F"/>
    <w:rsid w:val="0CCD7D93"/>
    <w:rsid w:val="0CDA7707"/>
    <w:rsid w:val="0CF06F2A"/>
    <w:rsid w:val="0CF667EA"/>
    <w:rsid w:val="0D0429D6"/>
    <w:rsid w:val="0D077DD0"/>
    <w:rsid w:val="0D18022F"/>
    <w:rsid w:val="0D1B387B"/>
    <w:rsid w:val="0D23723F"/>
    <w:rsid w:val="0D38442D"/>
    <w:rsid w:val="0D444B80"/>
    <w:rsid w:val="0D4903E8"/>
    <w:rsid w:val="0D570D57"/>
    <w:rsid w:val="0D5C5F6D"/>
    <w:rsid w:val="0D6E5CEE"/>
    <w:rsid w:val="0D796AA0"/>
    <w:rsid w:val="0D7A4A46"/>
    <w:rsid w:val="0D7D62E4"/>
    <w:rsid w:val="0D896A37"/>
    <w:rsid w:val="0D8D29CB"/>
    <w:rsid w:val="0DAD0977"/>
    <w:rsid w:val="0DBD12DE"/>
    <w:rsid w:val="0DE243F0"/>
    <w:rsid w:val="0DE325EB"/>
    <w:rsid w:val="0DED346A"/>
    <w:rsid w:val="0DF04D08"/>
    <w:rsid w:val="0E016F15"/>
    <w:rsid w:val="0E176739"/>
    <w:rsid w:val="0E213113"/>
    <w:rsid w:val="0E2826F4"/>
    <w:rsid w:val="0E372937"/>
    <w:rsid w:val="0E464928"/>
    <w:rsid w:val="0E6B438E"/>
    <w:rsid w:val="0E770F85"/>
    <w:rsid w:val="0E792F4F"/>
    <w:rsid w:val="0E7C49CA"/>
    <w:rsid w:val="0E7C659C"/>
    <w:rsid w:val="0E8A6F0A"/>
    <w:rsid w:val="0E8B67DF"/>
    <w:rsid w:val="0EB421D9"/>
    <w:rsid w:val="0EC51CF1"/>
    <w:rsid w:val="0EE538D4"/>
    <w:rsid w:val="0EF32D02"/>
    <w:rsid w:val="0EFB3964"/>
    <w:rsid w:val="0EFD0BAB"/>
    <w:rsid w:val="0F022F45"/>
    <w:rsid w:val="0F041F60"/>
    <w:rsid w:val="0F0F5662"/>
    <w:rsid w:val="0F163D3A"/>
    <w:rsid w:val="0F164CDB"/>
    <w:rsid w:val="0F2C1D70"/>
    <w:rsid w:val="0F2F1860"/>
    <w:rsid w:val="0F327AE7"/>
    <w:rsid w:val="0F382F89"/>
    <w:rsid w:val="0F3D3F7D"/>
    <w:rsid w:val="0F420E6A"/>
    <w:rsid w:val="0F4F0C75"/>
    <w:rsid w:val="0F676045"/>
    <w:rsid w:val="0F916077"/>
    <w:rsid w:val="0F9A2D9A"/>
    <w:rsid w:val="0FA20284"/>
    <w:rsid w:val="0FBA381F"/>
    <w:rsid w:val="0FBA55CD"/>
    <w:rsid w:val="0FBA585B"/>
    <w:rsid w:val="0FDC3796"/>
    <w:rsid w:val="101822F4"/>
    <w:rsid w:val="101A2510"/>
    <w:rsid w:val="102B0279"/>
    <w:rsid w:val="10390BE8"/>
    <w:rsid w:val="10413679"/>
    <w:rsid w:val="10433815"/>
    <w:rsid w:val="10525806"/>
    <w:rsid w:val="10545A22"/>
    <w:rsid w:val="10736825"/>
    <w:rsid w:val="10740AD1"/>
    <w:rsid w:val="109202F8"/>
    <w:rsid w:val="10A047C3"/>
    <w:rsid w:val="10A1053B"/>
    <w:rsid w:val="10AA73F0"/>
    <w:rsid w:val="10B14C22"/>
    <w:rsid w:val="10D348A1"/>
    <w:rsid w:val="10F41A6A"/>
    <w:rsid w:val="11072A94"/>
    <w:rsid w:val="111E1B8C"/>
    <w:rsid w:val="11216EC3"/>
    <w:rsid w:val="11251D34"/>
    <w:rsid w:val="113064F1"/>
    <w:rsid w:val="114710E3"/>
    <w:rsid w:val="114B041D"/>
    <w:rsid w:val="11531836"/>
    <w:rsid w:val="11540FF4"/>
    <w:rsid w:val="11561326"/>
    <w:rsid w:val="115630D4"/>
    <w:rsid w:val="115B4F87"/>
    <w:rsid w:val="116F4196"/>
    <w:rsid w:val="118C11EC"/>
    <w:rsid w:val="11AD226A"/>
    <w:rsid w:val="11AE1162"/>
    <w:rsid w:val="11C20769"/>
    <w:rsid w:val="11C42733"/>
    <w:rsid w:val="12030398"/>
    <w:rsid w:val="120B3EBE"/>
    <w:rsid w:val="12241EFE"/>
    <w:rsid w:val="12353631"/>
    <w:rsid w:val="125C0BBE"/>
    <w:rsid w:val="126B0E01"/>
    <w:rsid w:val="126D1DDB"/>
    <w:rsid w:val="127C300E"/>
    <w:rsid w:val="127E28E2"/>
    <w:rsid w:val="128B3251"/>
    <w:rsid w:val="12D404D4"/>
    <w:rsid w:val="12D60970"/>
    <w:rsid w:val="12DA1AE3"/>
    <w:rsid w:val="12E0534B"/>
    <w:rsid w:val="12E7492B"/>
    <w:rsid w:val="12F17558"/>
    <w:rsid w:val="131E40C5"/>
    <w:rsid w:val="132316DC"/>
    <w:rsid w:val="1324792E"/>
    <w:rsid w:val="13623FB2"/>
    <w:rsid w:val="13624FE0"/>
    <w:rsid w:val="137B1518"/>
    <w:rsid w:val="13826402"/>
    <w:rsid w:val="13936861"/>
    <w:rsid w:val="13A7230D"/>
    <w:rsid w:val="13B62550"/>
    <w:rsid w:val="13BB7B66"/>
    <w:rsid w:val="13C407C9"/>
    <w:rsid w:val="13C46A1B"/>
    <w:rsid w:val="13D706BB"/>
    <w:rsid w:val="13EA2A63"/>
    <w:rsid w:val="13F217DA"/>
    <w:rsid w:val="13F33BE2"/>
    <w:rsid w:val="13F54E26"/>
    <w:rsid w:val="14143437"/>
    <w:rsid w:val="14151024"/>
    <w:rsid w:val="141F6347"/>
    <w:rsid w:val="14246ED2"/>
    <w:rsid w:val="142D2812"/>
    <w:rsid w:val="14321BD6"/>
    <w:rsid w:val="1432607A"/>
    <w:rsid w:val="14383DE3"/>
    <w:rsid w:val="143D057B"/>
    <w:rsid w:val="143E4A1F"/>
    <w:rsid w:val="144813FA"/>
    <w:rsid w:val="14526B55"/>
    <w:rsid w:val="14531B4D"/>
    <w:rsid w:val="1455110C"/>
    <w:rsid w:val="145F04F1"/>
    <w:rsid w:val="147541B9"/>
    <w:rsid w:val="14777F31"/>
    <w:rsid w:val="147D0F01"/>
    <w:rsid w:val="14861F22"/>
    <w:rsid w:val="14A423A8"/>
    <w:rsid w:val="14AB04F7"/>
    <w:rsid w:val="14B051F1"/>
    <w:rsid w:val="14C7013A"/>
    <w:rsid w:val="14D320BE"/>
    <w:rsid w:val="14E05AD6"/>
    <w:rsid w:val="14E46D95"/>
    <w:rsid w:val="150572EB"/>
    <w:rsid w:val="15121A08"/>
    <w:rsid w:val="15127C5A"/>
    <w:rsid w:val="151E03AD"/>
    <w:rsid w:val="15223768"/>
    <w:rsid w:val="152D05F0"/>
    <w:rsid w:val="152D6842"/>
    <w:rsid w:val="153674A4"/>
    <w:rsid w:val="153D1A48"/>
    <w:rsid w:val="15415E49"/>
    <w:rsid w:val="15541693"/>
    <w:rsid w:val="15545B7C"/>
    <w:rsid w:val="157306F8"/>
    <w:rsid w:val="157D3325"/>
    <w:rsid w:val="157D50D3"/>
    <w:rsid w:val="158A5A42"/>
    <w:rsid w:val="1598015F"/>
    <w:rsid w:val="15C01464"/>
    <w:rsid w:val="15C56A7A"/>
    <w:rsid w:val="15CD4436"/>
    <w:rsid w:val="15E038B4"/>
    <w:rsid w:val="15F335E7"/>
    <w:rsid w:val="15F85862"/>
    <w:rsid w:val="160E6673"/>
    <w:rsid w:val="161B48EC"/>
    <w:rsid w:val="162572A1"/>
    <w:rsid w:val="16257519"/>
    <w:rsid w:val="16300397"/>
    <w:rsid w:val="16556050"/>
    <w:rsid w:val="16585B40"/>
    <w:rsid w:val="165F2F3D"/>
    <w:rsid w:val="16610551"/>
    <w:rsid w:val="16AE3765"/>
    <w:rsid w:val="16B20DAC"/>
    <w:rsid w:val="16CF7BB0"/>
    <w:rsid w:val="16D231FD"/>
    <w:rsid w:val="16E54F9E"/>
    <w:rsid w:val="16E55626"/>
    <w:rsid w:val="16F13FCB"/>
    <w:rsid w:val="16FE0496"/>
    <w:rsid w:val="17103863"/>
    <w:rsid w:val="171657DF"/>
    <w:rsid w:val="171E6442"/>
    <w:rsid w:val="1721400D"/>
    <w:rsid w:val="172B23A3"/>
    <w:rsid w:val="173914CE"/>
    <w:rsid w:val="1740460A"/>
    <w:rsid w:val="17451C21"/>
    <w:rsid w:val="17457E73"/>
    <w:rsid w:val="17626CD9"/>
    <w:rsid w:val="176302F9"/>
    <w:rsid w:val="17681DB3"/>
    <w:rsid w:val="177E3384"/>
    <w:rsid w:val="17985FAC"/>
    <w:rsid w:val="17A05B06"/>
    <w:rsid w:val="17A0779F"/>
    <w:rsid w:val="17AA3D0A"/>
    <w:rsid w:val="17C3359A"/>
    <w:rsid w:val="17CE1FF4"/>
    <w:rsid w:val="17CE6010"/>
    <w:rsid w:val="17E05DED"/>
    <w:rsid w:val="17E4768B"/>
    <w:rsid w:val="17E94CA2"/>
    <w:rsid w:val="18025D64"/>
    <w:rsid w:val="181141F9"/>
    <w:rsid w:val="18115FA7"/>
    <w:rsid w:val="181843B4"/>
    <w:rsid w:val="181A30AD"/>
    <w:rsid w:val="18220228"/>
    <w:rsid w:val="18253800"/>
    <w:rsid w:val="182A0E16"/>
    <w:rsid w:val="182E1118"/>
    <w:rsid w:val="183A5798"/>
    <w:rsid w:val="1840688C"/>
    <w:rsid w:val="1841304A"/>
    <w:rsid w:val="187C3D68"/>
    <w:rsid w:val="18814EDA"/>
    <w:rsid w:val="18932E60"/>
    <w:rsid w:val="1893443D"/>
    <w:rsid w:val="18B16351"/>
    <w:rsid w:val="18B43502"/>
    <w:rsid w:val="18B96E4F"/>
    <w:rsid w:val="18C15C1F"/>
    <w:rsid w:val="18CD45C3"/>
    <w:rsid w:val="18CD78B9"/>
    <w:rsid w:val="18CE54E8"/>
    <w:rsid w:val="18F02060"/>
    <w:rsid w:val="18F25AB1"/>
    <w:rsid w:val="18F551B7"/>
    <w:rsid w:val="19067AD5"/>
    <w:rsid w:val="191A0E8B"/>
    <w:rsid w:val="191F5A0F"/>
    <w:rsid w:val="193006AE"/>
    <w:rsid w:val="194D300E"/>
    <w:rsid w:val="194D73B5"/>
    <w:rsid w:val="195B397D"/>
    <w:rsid w:val="196565AA"/>
    <w:rsid w:val="19744A3F"/>
    <w:rsid w:val="197A030C"/>
    <w:rsid w:val="198B30BD"/>
    <w:rsid w:val="19940C3D"/>
    <w:rsid w:val="199724DC"/>
    <w:rsid w:val="199B6470"/>
    <w:rsid w:val="19AF3CC9"/>
    <w:rsid w:val="19C01A32"/>
    <w:rsid w:val="19C92FDD"/>
    <w:rsid w:val="19CA465F"/>
    <w:rsid w:val="19DE3960"/>
    <w:rsid w:val="19E020D4"/>
    <w:rsid w:val="19E35721"/>
    <w:rsid w:val="19E41BC5"/>
    <w:rsid w:val="1A165AF6"/>
    <w:rsid w:val="1A1A3838"/>
    <w:rsid w:val="1A2646ED"/>
    <w:rsid w:val="1A355B70"/>
    <w:rsid w:val="1A385A6D"/>
    <w:rsid w:val="1A400DC5"/>
    <w:rsid w:val="1A446E0F"/>
    <w:rsid w:val="1A6806EA"/>
    <w:rsid w:val="1A69031C"/>
    <w:rsid w:val="1A6A3512"/>
    <w:rsid w:val="1A7A0DDB"/>
    <w:rsid w:val="1A7B57B1"/>
    <w:rsid w:val="1A7C104E"/>
    <w:rsid w:val="1A9058A9"/>
    <w:rsid w:val="1A980C15"/>
    <w:rsid w:val="1AA17AB6"/>
    <w:rsid w:val="1AA2738A"/>
    <w:rsid w:val="1AA50C28"/>
    <w:rsid w:val="1ABE3E78"/>
    <w:rsid w:val="1AD75285"/>
    <w:rsid w:val="1AD97D31"/>
    <w:rsid w:val="1ADF238C"/>
    <w:rsid w:val="1AE31E7C"/>
    <w:rsid w:val="1AE41750"/>
    <w:rsid w:val="1AEB0D31"/>
    <w:rsid w:val="1AEC5043"/>
    <w:rsid w:val="1AF71484"/>
    <w:rsid w:val="1B102545"/>
    <w:rsid w:val="1B1253F9"/>
    <w:rsid w:val="1B216501"/>
    <w:rsid w:val="1B2915A1"/>
    <w:rsid w:val="1B2B4D71"/>
    <w:rsid w:val="1B4275ED"/>
    <w:rsid w:val="1B4E6CEE"/>
    <w:rsid w:val="1B5F7E98"/>
    <w:rsid w:val="1B78450A"/>
    <w:rsid w:val="1B813443"/>
    <w:rsid w:val="1B8C2514"/>
    <w:rsid w:val="1B9B4E8B"/>
    <w:rsid w:val="1B9E2247"/>
    <w:rsid w:val="1BB80424"/>
    <w:rsid w:val="1BC3580A"/>
    <w:rsid w:val="1BD95F6B"/>
    <w:rsid w:val="1BE614F8"/>
    <w:rsid w:val="1BFC2ACA"/>
    <w:rsid w:val="1C1D13BE"/>
    <w:rsid w:val="1C297D63"/>
    <w:rsid w:val="1C2A3ADB"/>
    <w:rsid w:val="1C3A1F70"/>
    <w:rsid w:val="1C3D54BE"/>
    <w:rsid w:val="1C4C6724"/>
    <w:rsid w:val="1C760ACE"/>
    <w:rsid w:val="1C817B9F"/>
    <w:rsid w:val="1C8431EB"/>
    <w:rsid w:val="1C88460D"/>
    <w:rsid w:val="1C8A6328"/>
    <w:rsid w:val="1CBA09BB"/>
    <w:rsid w:val="1CBD66C4"/>
    <w:rsid w:val="1CC45CDD"/>
    <w:rsid w:val="1CD001DE"/>
    <w:rsid w:val="1CD6156D"/>
    <w:rsid w:val="1CD777BF"/>
    <w:rsid w:val="1CF560F9"/>
    <w:rsid w:val="1CF77E61"/>
    <w:rsid w:val="1D032E4B"/>
    <w:rsid w:val="1D0B1216"/>
    <w:rsid w:val="1D1A58FD"/>
    <w:rsid w:val="1D28001A"/>
    <w:rsid w:val="1D374FA8"/>
    <w:rsid w:val="1D3764AF"/>
    <w:rsid w:val="1D3A1AFC"/>
    <w:rsid w:val="1D3C1D18"/>
    <w:rsid w:val="1D4B111E"/>
    <w:rsid w:val="1D540E0F"/>
    <w:rsid w:val="1D5C67F0"/>
    <w:rsid w:val="1D691867"/>
    <w:rsid w:val="1D876D2E"/>
    <w:rsid w:val="1D922ACB"/>
    <w:rsid w:val="1D9B6A3E"/>
    <w:rsid w:val="1DC03E92"/>
    <w:rsid w:val="1DC835AB"/>
    <w:rsid w:val="1DDE4B7D"/>
    <w:rsid w:val="1DE66E3C"/>
    <w:rsid w:val="1DEB1C92"/>
    <w:rsid w:val="1DFC5003"/>
    <w:rsid w:val="1E004AF3"/>
    <w:rsid w:val="1E1527DA"/>
    <w:rsid w:val="1E1660C5"/>
    <w:rsid w:val="1E1B7B7F"/>
    <w:rsid w:val="1E2307E2"/>
    <w:rsid w:val="1E2D4D5E"/>
    <w:rsid w:val="1E3649B9"/>
    <w:rsid w:val="1E37428D"/>
    <w:rsid w:val="1E3D5F7B"/>
    <w:rsid w:val="1E3E561C"/>
    <w:rsid w:val="1E4C1AE7"/>
    <w:rsid w:val="1E68599C"/>
    <w:rsid w:val="1E827BFE"/>
    <w:rsid w:val="1E8A0861"/>
    <w:rsid w:val="1EBA2EF4"/>
    <w:rsid w:val="1EC564D2"/>
    <w:rsid w:val="1EC8077E"/>
    <w:rsid w:val="1EE12B77"/>
    <w:rsid w:val="1EF26F6E"/>
    <w:rsid w:val="1F070103"/>
    <w:rsid w:val="1F120F82"/>
    <w:rsid w:val="1F3F5AEF"/>
    <w:rsid w:val="1F4629DA"/>
    <w:rsid w:val="1F5570C1"/>
    <w:rsid w:val="1F615A66"/>
    <w:rsid w:val="1F6B68E4"/>
    <w:rsid w:val="1F843502"/>
    <w:rsid w:val="1FA3607E"/>
    <w:rsid w:val="1FC16504"/>
    <w:rsid w:val="1FD04999"/>
    <w:rsid w:val="1FD44489"/>
    <w:rsid w:val="1FE43FA1"/>
    <w:rsid w:val="20232D1B"/>
    <w:rsid w:val="202B1BD0"/>
    <w:rsid w:val="202D5948"/>
    <w:rsid w:val="20370574"/>
    <w:rsid w:val="204D5FEA"/>
    <w:rsid w:val="20584394"/>
    <w:rsid w:val="20831A0C"/>
    <w:rsid w:val="20895274"/>
    <w:rsid w:val="209459C7"/>
    <w:rsid w:val="20A91472"/>
    <w:rsid w:val="20B9542D"/>
    <w:rsid w:val="20BF0C96"/>
    <w:rsid w:val="20BF1705"/>
    <w:rsid w:val="20CC5161"/>
    <w:rsid w:val="20D504B9"/>
    <w:rsid w:val="20DC077F"/>
    <w:rsid w:val="20EA55E7"/>
    <w:rsid w:val="20EF0E4F"/>
    <w:rsid w:val="20F841A8"/>
    <w:rsid w:val="20FE72D1"/>
    <w:rsid w:val="20FF72E4"/>
    <w:rsid w:val="21093CBF"/>
    <w:rsid w:val="210E39CB"/>
    <w:rsid w:val="21136EDB"/>
    <w:rsid w:val="21170674"/>
    <w:rsid w:val="211D3C0E"/>
    <w:rsid w:val="212925B3"/>
    <w:rsid w:val="2130749E"/>
    <w:rsid w:val="213571AA"/>
    <w:rsid w:val="213A031C"/>
    <w:rsid w:val="21441BD6"/>
    <w:rsid w:val="214E3DC8"/>
    <w:rsid w:val="21562C7C"/>
    <w:rsid w:val="215D225D"/>
    <w:rsid w:val="21731A80"/>
    <w:rsid w:val="217E2709"/>
    <w:rsid w:val="21953415"/>
    <w:rsid w:val="219914E7"/>
    <w:rsid w:val="219A0DBB"/>
    <w:rsid w:val="21B04A82"/>
    <w:rsid w:val="21BA320B"/>
    <w:rsid w:val="21BE719F"/>
    <w:rsid w:val="21C25C47"/>
    <w:rsid w:val="21E309B4"/>
    <w:rsid w:val="21E64000"/>
    <w:rsid w:val="21FA5CFD"/>
    <w:rsid w:val="21FC1A76"/>
    <w:rsid w:val="22001566"/>
    <w:rsid w:val="220A4192"/>
    <w:rsid w:val="22123047"/>
    <w:rsid w:val="22221390"/>
    <w:rsid w:val="22280ABD"/>
    <w:rsid w:val="222A0391"/>
    <w:rsid w:val="223B434C"/>
    <w:rsid w:val="22521696"/>
    <w:rsid w:val="226A2E83"/>
    <w:rsid w:val="226D64CF"/>
    <w:rsid w:val="2274785E"/>
    <w:rsid w:val="228757E3"/>
    <w:rsid w:val="228A1037"/>
    <w:rsid w:val="22AF6AE8"/>
    <w:rsid w:val="22BD1205"/>
    <w:rsid w:val="22C97BAA"/>
    <w:rsid w:val="22CA1B74"/>
    <w:rsid w:val="22CA6694"/>
    <w:rsid w:val="22F11CE0"/>
    <w:rsid w:val="22F53F69"/>
    <w:rsid w:val="22F97D63"/>
    <w:rsid w:val="22FB7F7F"/>
    <w:rsid w:val="22FF7224"/>
    <w:rsid w:val="230A01C2"/>
    <w:rsid w:val="23201794"/>
    <w:rsid w:val="23250B58"/>
    <w:rsid w:val="232D2AC0"/>
    <w:rsid w:val="233C481F"/>
    <w:rsid w:val="233E2F9A"/>
    <w:rsid w:val="234731C4"/>
    <w:rsid w:val="23484B22"/>
    <w:rsid w:val="23517B9F"/>
    <w:rsid w:val="23597F78"/>
    <w:rsid w:val="235E3810"/>
    <w:rsid w:val="2361786C"/>
    <w:rsid w:val="23627FFE"/>
    <w:rsid w:val="2375388E"/>
    <w:rsid w:val="23757D31"/>
    <w:rsid w:val="237D2742"/>
    <w:rsid w:val="23863CED"/>
    <w:rsid w:val="23A52A88"/>
    <w:rsid w:val="23E6382F"/>
    <w:rsid w:val="23E6478B"/>
    <w:rsid w:val="23ED1676"/>
    <w:rsid w:val="24117BB9"/>
    <w:rsid w:val="24125580"/>
    <w:rsid w:val="24150BCD"/>
    <w:rsid w:val="241A62CA"/>
    <w:rsid w:val="241E43D5"/>
    <w:rsid w:val="24307E7A"/>
    <w:rsid w:val="244016C1"/>
    <w:rsid w:val="244211DC"/>
    <w:rsid w:val="24457704"/>
    <w:rsid w:val="244D0366"/>
    <w:rsid w:val="244D646A"/>
    <w:rsid w:val="244F0582"/>
    <w:rsid w:val="245142FB"/>
    <w:rsid w:val="245A2A83"/>
    <w:rsid w:val="246D27B7"/>
    <w:rsid w:val="247F62B9"/>
    <w:rsid w:val="248A5117"/>
    <w:rsid w:val="24936666"/>
    <w:rsid w:val="249C3066"/>
    <w:rsid w:val="249C309C"/>
    <w:rsid w:val="24A662F2"/>
    <w:rsid w:val="24C20D54"/>
    <w:rsid w:val="24C820E3"/>
    <w:rsid w:val="24CD5D6E"/>
    <w:rsid w:val="24D44DD6"/>
    <w:rsid w:val="24FD1D8D"/>
    <w:rsid w:val="25027D1D"/>
    <w:rsid w:val="251F61A7"/>
    <w:rsid w:val="25237319"/>
    <w:rsid w:val="25283230"/>
    <w:rsid w:val="252C4420"/>
    <w:rsid w:val="252E1F46"/>
    <w:rsid w:val="252F0884"/>
    <w:rsid w:val="254E4396"/>
    <w:rsid w:val="255676EF"/>
    <w:rsid w:val="255C57F5"/>
    <w:rsid w:val="255E1EC4"/>
    <w:rsid w:val="25827978"/>
    <w:rsid w:val="258E50DA"/>
    <w:rsid w:val="258E64F6"/>
    <w:rsid w:val="25987196"/>
    <w:rsid w:val="25A77F4A"/>
    <w:rsid w:val="25AB17E9"/>
    <w:rsid w:val="25B06DFF"/>
    <w:rsid w:val="25B54415"/>
    <w:rsid w:val="25BD32CA"/>
    <w:rsid w:val="25C67D36"/>
    <w:rsid w:val="25C74149"/>
    <w:rsid w:val="25E1345C"/>
    <w:rsid w:val="25E204E1"/>
    <w:rsid w:val="26031625"/>
    <w:rsid w:val="26060A70"/>
    <w:rsid w:val="260B672B"/>
    <w:rsid w:val="26141908"/>
    <w:rsid w:val="262D044F"/>
    <w:rsid w:val="26371F9D"/>
    <w:rsid w:val="264646F8"/>
    <w:rsid w:val="264C44A3"/>
    <w:rsid w:val="265B26B4"/>
    <w:rsid w:val="26661BB3"/>
    <w:rsid w:val="26976211"/>
    <w:rsid w:val="26A050C5"/>
    <w:rsid w:val="26A50971"/>
    <w:rsid w:val="26A5448A"/>
    <w:rsid w:val="26A85D28"/>
    <w:rsid w:val="26AF355A"/>
    <w:rsid w:val="26B6552F"/>
    <w:rsid w:val="26CD578F"/>
    <w:rsid w:val="26E054C2"/>
    <w:rsid w:val="27053663"/>
    <w:rsid w:val="27084A19"/>
    <w:rsid w:val="27143632"/>
    <w:rsid w:val="273D63CA"/>
    <w:rsid w:val="273F48DE"/>
    <w:rsid w:val="274E4B21"/>
    <w:rsid w:val="27532138"/>
    <w:rsid w:val="2755523D"/>
    <w:rsid w:val="277327DA"/>
    <w:rsid w:val="279B588D"/>
    <w:rsid w:val="27AA373A"/>
    <w:rsid w:val="27AF30E6"/>
    <w:rsid w:val="27B0758A"/>
    <w:rsid w:val="27B23302"/>
    <w:rsid w:val="27B506FD"/>
    <w:rsid w:val="27BC6441"/>
    <w:rsid w:val="27BF3329"/>
    <w:rsid w:val="27CF3DDC"/>
    <w:rsid w:val="27D17500"/>
    <w:rsid w:val="280653FC"/>
    <w:rsid w:val="281B677D"/>
    <w:rsid w:val="281C4C20"/>
    <w:rsid w:val="282B44F6"/>
    <w:rsid w:val="286A598B"/>
    <w:rsid w:val="286B525F"/>
    <w:rsid w:val="28817C8E"/>
    <w:rsid w:val="28840191"/>
    <w:rsid w:val="2886390B"/>
    <w:rsid w:val="288822B5"/>
    <w:rsid w:val="28926C90"/>
    <w:rsid w:val="2899001E"/>
    <w:rsid w:val="28B135BA"/>
    <w:rsid w:val="28B5297E"/>
    <w:rsid w:val="28C50F10"/>
    <w:rsid w:val="28C52BC1"/>
    <w:rsid w:val="28D9041B"/>
    <w:rsid w:val="28D9666D"/>
    <w:rsid w:val="28E03E9F"/>
    <w:rsid w:val="28F039B6"/>
    <w:rsid w:val="28F6721F"/>
    <w:rsid w:val="28FB26B9"/>
    <w:rsid w:val="28FD67FF"/>
    <w:rsid w:val="292813A2"/>
    <w:rsid w:val="29345F99"/>
    <w:rsid w:val="293D309F"/>
    <w:rsid w:val="29534671"/>
    <w:rsid w:val="29580D52"/>
    <w:rsid w:val="296C5733"/>
    <w:rsid w:val="29A0362E"/>
    <w:rsid w:val="29B03871"/>
    <w:rsid w:val="29B5778D"/>
    <w:rsid w:val="29CC526B"/>
    <w:rsid w:val="29D11A3A"/>
    <w:rsid w:val="29DB4666"/>
    <w:rsid w:val="29F179E6"/>
    <w:rsid w:val="29FB6A5D"/>
    <w:rsid w:val="2A110088"/>
    <w:rsid w:val="2A11179F"/>
    <w:rsid w:val="2A2268BD"/>
    <w:rsid w:val="2A351FC9"/>
    <w:rsid w:val="2A36189D"/>
    <w:rsid w:val="2A385615"/>
    <w:rsid w:val="2A6D034C"/>
    <w:rsid w:val="2A73489F"/>
    <w:rsid w:val="2A766639"/>
    <w:rsid w:val="2A7C3754"/>
    <w:rsid w:val="2A936770"/>
    <w:rsid w:val="2A9A5CFC"/>
    <w:rsid w:val="2A9C3DF6"/>
    <w:rsid w:val="2AC57389"/>
    <w:rsid w:val="2ACD65A5"/>
    <w:rsid w:val="2AFA28CA"/>
    <w:rsid w:val="2B053749"/>
    <w:rsid w:val="2B0D0850"/>
    <w:rsid w:val="2B117961"/>
    <w:rsid w:val="2B22208F"/>
    <w:rsid w:val="2B336ED3"/>
    <w:rsid w:val="2B385C4E"/>
    <w:rsid w:val="2B3C72FC"/>
    <w:rsid w:val="2B4556A2"/>
    <w:rsid w:val="2B593A95"/>
    <w:rsid w:val="2B5F3DC9"/>
    <w:rsid w:val="2B9465CD"/>
    <w:rsid w:val="2B9E594C"/>
    <w:rsid w:val="2BA50A88"/>
    <w:rsid w:val="2BA54F2C"/>
    <w:rsid w:val="2BA568B4"/>
    <w:rsid w:val="2BB5034C"/>
    <w:rsid w:val="2BC52ED8"/>
    <w:rsid w:val="2BC90C1A"/>
    <w:rsid w:val="2BC9585A"/>
    <w:rsid w:val="2BD61589"/>
    <w:rsid w:val="2BDE3F9A"/>
    <w:rsid w:val="2BFA7026"/>
    <w:rsid w:val="2C136339"/>
    <w:rsid w:val="2C2440A3"/>
    <w:rsid w:val="2C274EF1"/>
    <w:rsid w:val="2C2D0C54"/>
    <w:rsid w:val="2C372028"/>
    <w:rsid w:val="2C471F68"/>
    <w:rsid w:val="2C5030EA"/>
    <w:rsid w:val="2C572AF7"/>
    <w:rsid w:val="2C5A51C4"/>
    <w:rsid w:val="2C621C09"/>
    <w:rsid w:val="2C6270DE"/>
    <w:rsid w:val="2C7E7C57"/>
    <w:rsid w:val="2C866C92"/>
    <w:rsid w:val="2C910CA3"/>
    <w:rsid w:val="2C932FD6"/>
    <w:rsid w:val="2C9C6694"/>
    <w:rsid w:val="2CA86A82"/>
    <w:rsid w:val="2CD37B55"/>
    <w:rsid w:val="2CDD4252"/>
    <w:rsid w:val="2CE675AA"/>
    <w:rsid w:val="2CF9552F"/>
    <w:rsid w:val="2D0D3DC3"/>
    <w:rsid w:val="2D12039F"/>
    <w:rsid w:val="2D2344B1"/>
    <w:rsid w:val="2D3E1194"/>
    <w:rsid w:val="2D590722"/>
    <w:rsid w:val="2D636E4D"/>
    <w:rsid w:val="2D684463"/>
    <w:rsid w:val="2D7921CC"/>
    <w:rsid w:val="2D8F19F0"/>
    <w:rsid w:val="2D9708A4"/>
    <w:rsid w:val="2D970FA3"/>
    <w:rsid w:val="2DAF3E40"/>
    <w:rsid w:val="2DB754A8"/>
    <w:rsid w:val="2DB9081B"/>
    <w:rsid w:val="2DBB61C3"/>
    <w:rsid w:val="2DC55411"/>
    <w:rsid w:val="2DCA0C7A"/>
    <w:rsid w:val="2DD85145"/>
    <w:rsid w:val="2DE03FF9"/>
    <w:rsid w:val="2DE55AB4"/>
    <w:rsid w:val="2DF126AA"/>
    <w:rsid w:val="2DF6381D"/>
    <w:rsid w:val="2E0F48DF"/>
    <w:rsid w:val="2E1B3283"/>
    <w:rsid w:val="2E1D4B67"/>
    <w:rsid w:val="2E20089A"/>
    <w:rsid w:val="2E220AB6"/>
    <w:rsid w:val="2E3A416A"/>
    <w:rsid w:val="2E50117F"/>
    <w:rsid w:val="2E56075F"/>
    <w:rsid w:val="2E6E1D3C"/>
    <w:rsid w:val="2E801A91"/>
    <w:rsid w:val="2E8C0A4A"/>
    <w:rsid w:val="2EA35DDC"/>
    <w:rsid w:val="2EB15996"/>
    <w:rsid w:val="2EBB5AE2"/>
    <w:rsid w:val="2ED8336B"/>
    <w:rsid w:val="2EE66CC2"/>
    <w:rsid w:val="2EF35FAE"/>
    <w:rsid w:val="2EFE6E2D"/>
    <w:rsid w:val="2EFF2BA5"/>
    <w:rsid w:val="2F083808"/>
    <w:rsid w:val="2F2D14C0"/>
    <w:rsid w:val="2F432A92"/>
    <w:rsid w:val="2F5152D9"/>
    <w:rsid w:val="2F631386"/>
    <w:rsid w:val="2F6622D1"/>
    <w:rsid w:val="2F6A001E"/>
    <w:rsid w:val="2F7325F1"/>
    <w:rsid w:val="2F7E0C9F"/>
    <w:rsid w:val="2F7E1D1C"/>
    <w:rsid w:val="2F7E3ACA"/>
    <w:rsid w:val="2F875074"/>
    <w:rsid w:val="2F8A756E"/>
    <w:rsid w:val="2F9B467C"/>
    <w:rsid w:val="2FB27C17"/>
    <w:rsid w:val="2FC05867"/>
    <w:rsid w:val="30006BD5"/>
    <w:rsid w:val="300264A9"/>
    <w:rsid w:val="30142680"/>
    <w:rsid w:val="30275F10"/>
    <w:rsid w:val="30302A3D"/>
    <w:rsid w:val="30313232"/>
    <w:rsid w:val="303A20E7"/>
    <w:rsid w:val="303B7C0D"/>
    <w:rsid w:val="30450A8C"/>
    <w:rsid w:val="305807BF"/>
    <w:rsid w:val="308C0468"/>
    <w:rsid w:val="30980603"/>
    <w:rsid w:val="30A24A6F"/>
    <w:rsid w:val="30B40580"/>
    <w:rsid w:val="30B67293"/>
    <w:rsid w:val="30C145B6"/>
    <w:rsid w:val="30C3032E"/>
    <w:rsid w:val="30C95219"/>
    <w:rsid w:val="30D616E4"/>
    <w:rsid w:val="30DB6CFA"/>
    <w:rsid w:val="30E262DA"/>
    <w:rsid w:val="30F22E41"/>
    <w:rsid w:val="30F4201C"/>
    <w:rsid w:val="30F54260"/>
    <w:rsid w:val="30F73B34"/>
    <w:rsid w:val="310426F5"/>
    <w:rsid w:val="31055E3F"/>
    <w:rsid w:val="31171687"/>
    <w:rsid w:val="311E5564"/>
    <w:rsid w:val="311F308B"/>
    <w:rsid w:val="312057A8"/>
    <w:rsid w:val="312F7772"/>
    <w:rsid w:val="31332930"/>
    <w:rsid w:val="3143321D"/>
    <w:rsid w:val="314A45AB"/>
    <w:rsid w:val="314E571E"/>
    <w:rsid w:val="314F3ED3"/>
    <w:rsid w:val="31513F12"/>
    <w:rsid w:val="3159659D"/>
    <w:rsid w:val="3166515D"/>
    <w:rsid w:val="31682C84"/>
    <w:rsid w:val="316B2774"/>
    <w:rsid w:val="31717D8A"/>
    <w:rsid w:val="317A4765"/>
    <w:rsid w:val="317C04DD"/>
    <w:rsid w:val="3185345B"/>
    <w:rsid w:val="318A0E4C"/>
    <w:rsid w:val="318D35C1"/>
    <w:rsid w:val="319E48F7"/>
    <w:rsid w:val="31C0486E"/>
    <w:rsid w:val="31DB5204"/>
    <w:rsid w:val="31E367AE"/>
    <w:rsid w:val="31EC49BE"/>
    <w:rsid w:val="31FC517A"/>
    <w:rsid w:val="32004C6A"/>
    <w:rsid w:val="320A4B61"/>
    <w:rsid w:val="320A5AE9"/>
    <w:rsid w:val="321626E0"/>
    <w:rsid w:val="32213568"/>
    <w:rsid w:val="322C1F03"/>
    <w:rsid w:val="322C6504"/>
    <w:rsid w:val="323B5CA2"/>
    <w:rsid w:val="323C28A6"/>
    <w:rsid w:val="32430FFB"/>
    <w:rsid w:val="3244110A"/>
    <w:rsid w:val="32472899"/>
    <w:rsid w:val="32476D3D"/>
    <w:rsid w:val="326E42CA"/>
    <w:rsid w:val="326E7E26"/>
    <w:rsid w:val="327F2033"/>
    <w:rsid w:val="328F5FEE"/>
    <w:rsid w:val="3296737C"/>
    <w:rsid w:val="32A73338"/>
    <w:rsid w:val="32AC4DF2"/>
    <w:rsid w:val="32B37F2E"/>
    <w:rsid w:val="32BA306B"/>
    <w:rsid w:val="32CB34CA"/>
    <w:rsid w:val="32D57EA5"/>
    <w:rsid w:val="32E20907"/>
    <w:rsid w:val="32EE424A"/>
    <w:rsid w:val="330A2AF9"/>
    <w:rsid w:val="3325670F"/>
    <w:rsid w:val="33274478"/>
    <w:rsid w:val="33541711"/>
    <w:rsid w:val="335C05C6"/>
    <w:rsid w:val="335E60EC"/>
    <w:rsid w:val="3363295A"/>
    <w:rsid w:val="33917CEE"/>
    <w:rsid w:val="33A8380B"/>
    <w:rsid w:val="33A8577B"/>
    <w:rsid w:val="33B02259"/>
    <w:rsid w:val="33B57CD6"/>
    <w:rsid w:val="33CC574C"/>
    <w:rsid w:val="33E13C4E"/>
    <w:rsid w:val="33F22CD8"/>
    <w:rsid w:val="33FE78CF"/>
    <w:rsid w:val="341703F6"/>
    <w:rsid w:val="341E587B"/>
    <w:rsid w:val="342B1D46"/>
    <w:rsid w:val="343B03EC"/>
    <w:rsid w:val="34425A0E"/>
    <w:rsid w:val="344C246A"/>
    <w:rsid w:val="345405B7"/>
    <w:rsid w:val="346C4839"/>
    <w:rsid w:val="3472537E"/>
    <w:rsid w:val="34725B3D"/>
    <w:rsid w:val="348A4CBF"/>
    <w:rsid w:val="34967B08"/>
    <w:rsid w:val="34A02734"/>
    <w:rsid w:val="34A22009"/>
    <w:rsid w:val="34A52D97"/>
    <w:rsid w:val="34B54432"/>
    <w:rsid w:val="34B666F6"/>
    <w:rsid w:val="34E13990"/>
    <w:rsid w:val="34FA1E45"/>
    <w:rsid w:val="34FA6D49"/>
    <w:rsid w:val="34FC3E0F"/>
    <w:rsid w:val="3504595D"/>
    <w:rsid w:val="35074561"/>
    <w:rsid w:val="352A3E47"/>
    <w:rsid w:val="35337105"/>
    <w:rsid w:val="353C245D"/>
    <w:rsid w:val="3550415A"/>
    <w:rsid w:val="35611EC4"/>
    <w:rsid w:val="35633E8E"/>
    <w:rsid w:val="35635C3C"/>
    <w:rsid w:val="3575596F"/>
    <w:rsid w:val="35812566"/>
    <w:rsid w:val="35A217D6"/>
    <w:rsid w:val="35BA7826"/>
    <w:rsid w:val="35CE6E2D"/>
    <w:rsid w:val="35D65A4B"/>
    <w:rsid w:val="35D95EFE"/>
    <w:rsid w:val="35DF103A"/>
    <w:rsid w:val="35E825E5"/>
    <w:rsid w:val="35E91518"/>
    <w:rsid w:val="36017203"/>
    <w:rsid w:val="36034D29"/>
    <w:rsid w:val="360F36CE"/>
    <w:rsid w:val="361E7955"/>
    <w:rsid w:val="363B2715"/>
    <w:rsid w:val="363B5256"/>
    <w:rsid w:val="366652B8"/>
    <w:rsid w:val="366A2FFA"/>
    <w:rsid w:val="3680281D"/>
    <w:rsid w:val="36820344"/>
    <w:rsid w:val="36835E6A"/>
    <w:rsid w:val="368A244D"/>
    <w:rsid w:val="36962041"/>
    <w:rsid w:val="36C95F72"/>
    <w:rsid w:val="36DB5CA6"/>
    <w:rsid w:val="36EF52AD"/>
    <w:rsid w:val="36FC7901"/>
    <w:rsid w:val="3710594F"/>
    <w:rsid w:val="3720190B"/>
    <w:rsid w:val="37256F21"/>
    <w:rsid w:val="37272C99"/>
    <w:rsid w:val="374C5F42"/>
    <w:rsid w:val="37620172"/>
    <w:rsid w:val="376A17D3"/>
    <w:rsid w:val="376D2DA2"/>
    <w:rsid w:val="3772660A"/>
    <w:rsid w:val="37906A90"/>
    <w:rsid w:val="37A20571"/>
    <w:rsid w:val="37B564F7"/>
    <w:rsid w:val="37BC7885"/>
    <w:rsid w:val="37CA54B4"/>
    <w:rsid w:val="37EA2644"/>
    <w:rsid w:val="37EB016A"/>
    <w:rsid w:val="37EF7C5B"/>
    <w:rsid w:val="37F52D97"/>
    <w:rsid w:val="3810372D"/>
    <w:rsid w:val="38126F39"/>
    <w:rsid w:val="38241F15"/>
    <w:rsid w:val="38521F98"/>
    <w:rsid w:val="38871C41"/>
    <w:rsid w:val="388C7258"/>
    <w:rsid w:val="389E342F"/>
    <w:rsid w:val="38EA21D0"/>
    <w:rsid w:val="38EE2FEE"/>
    <w:rsid w:val="390908A8"/>
    <w:rsid w:val="3911775D"/>
    <w:rsid w:val="391A0D07"/>
    <w:rsid w:val="39241B86"/>
    <w:rsid w:val="39290F4A"/>
    <w:rsid w:val="392A081F"/>
    <w:rsid w:val="392C0A3B"/>
    <w:rsid w:val="3950297B"/>
    <w:rsid w:val="39504729"/>
    <w:rsid w:val="395D6E46"/>
    <w:rsid w:val="397C551E"/>
    <w:rsid w:val="398154AF"/>
    <w:rsid w:val="39842625"/>
    <w:rsid w:val="39897C3B"/>
    <w:rsid w:val="398C3287"/>
    <w:rsid w:val="399D3287"/>
    <w:rsid w:val="399F120C"/>
    <w:rsid w:val="39BC591B"/>
    <w:rsid w:val="39C742BF"/>
    <w:rsid w:val="39E82F47"/>
    <w:rsid w:val="39FB7D27"/>
    <w:rsid w:val="39FD79FE"/>
    <w:rsid w:val="3A176FF5"/>
    <w:rsid w:val="3A1F5EA9"/>
    <w:rsid w:val="3A23599A"/>
    <w:rsid w:val="3A2F07E2"/>
    <w:rsid w:val="3A422808"/>
    <w:rsid w:val="3A490D9C"/>
    <w:rsid w:val="3A543DA5"/>
    <w:rsid w:val="3A685AA2"/>
    <w:rsid w:val="3A6B10EF"/>
    <w:rsid w:val="3A6C5593"/>
    <w:rsid w:val="3A836438"/>
    <w:rsid w:val="3A841C29"/>
    <w:rsid w:val="3A8909D7"/>
    <w:rsid w:val="3AA06FEA"/>
    <w:rsid w:val="3AA50E67"/>
    <w:rsid w:val="3AA52853"/>
    <w:rsid w:val="3AAB05DD"/>
    <w:rsid w:val="3AAF1923"/>
    <w:rsid w:val="3AB3436C"/>
    <w:rsid w:val="3AB64A60"/>
    <w:rsid w:val="3ABF15F0"/>
    <w:rsid w:val="3AC52EF5"/>
    <w:rsid w:val="3ADD1FEC"/>
    <w:rsid w:val="3AEF2263"/>
    <w:rsid w:val="3AFA0DF0"/>
    <w:rsid w:val="3B0E665B"/>
    <w:rsid w:val="3B117EE8"/>
    <w:rsid w:val="3B183024"/>
    <w:rsid w:val="3B24110A"/>
    <w:rsid w:val="3B24788C"/>
    <w:rsid w:val="3B2D45F6"/>
    <w:rsid w:val="3B407103"/>
    <w:rsid w:val="3B497682"/>
    <w:rsid w:val="3B530501"/>
    <w:rsid w:val="3B567FF1"/>
    <w:rsid w:val="3B5D312D"/>
    <w:rsid w:val="3B5F50F7"/>
    <w:rsid w:val="3B7A3CDF"/>
    <w:rsid w:val="3B895E87"/>
    <w:rsid w:val="3B991DCE"/>
    <w:rsid w:val="3BA945C4"/>
    <w:rsid w:val="3BB07701"/>
    <w:rsid w:val="3BE15273"/>
    <w:rsid w:val="3BE850ED"/>
    <w:rsid w:val="3BE86E9B"/>
    <w:rsid w:val="3BE92C13"/>
    <w:rsid w:val="3BF375EE"/>
    <w:rsid w:val="3C067321"/>
    <w:rsid w:val="3C2348C3"/>
    <w:rsid w:val="3C287260"/>
    <w:rsid w:val="3C382A4B"/>
    <w:rsid w:val="3C5207B8"/>
    <w:rsid w:val="3C5E0F0B"/>
    <w:rsid w:val="3C720E5A"/>
    <w:rsid w:val="3C833CE0"/>
    <w:rsid w:val="3C881051"/>
    <w:rsid w:val="3C8B3CCA"/>
    <w:rsid w:val="3C932058"/>
    <w:rsid w:val="3C940DD1"/>
    <w:rsid w:val="3C9568F7"/>
    <w:rsid w:val="3C98497E"/>
    <w:rsid w:val="3C9C1A33"/>
    <w:rsid w:val="3CBB635D"/>
    <w:rsid w:val="3CBE68E3"/>
    <w:rsid w:val="3CCD179D"/>
    <w:rsid w:val="3CD04B12"/>
    <w:rsid w:val="3CD64F45"/>
    <w:rsid w:val="3CE01106"/>
    <w:rsid w:val="3CE5162C"/>
    <w:rsid w:val="3CF17FD1"/>
    <w:rsid w:val="3CFA2884"/>
    <w:rsid w:val="3D16501D"/>
    <w:rsid w:val="3D1E2E31"/>
    <w:rsid w:val="3D23425B"/>
    <w:rsid w:val="3D2757A1"/>
    <w:rsid w:val="3D2832C7"/>
    <w:rsid w:val="3D2F0AF9"/>
    <w:rsid w:val="3D324146"/>
    <w:rsid w:val="3D3879AE"/>
    <w:rsid w:val="3D3954D4"/>
    <w:rsid w:val="3D4D2D2E"/>
    <w:rsid w:val="3D4F2261"/>
    <w:rsid w:val="3D5E4F3B"/>
    <w:rsid w:val="3D606F05"/>
    <w:rsid w:val="3D6D716B"/>
    <w:rsid w:val="3D791D75"/>
    <w:rsid w:val="3D8F673A"/>
    <w:rsid w:val="3D9E0B19"/>
    <w:rsid w:val="3DA212CB"/>
    <w:rsid w:val="3DC15BF5"/>
    <w:rsid w:val="3DD11BB1"/>
    <w:rsid w:val="3DE713D4"/>
    <w:rsid w:val="3DE90CA8"/>
    <w:rsid w:val="3E2148E6"/>
    <w:rsid w:val="3E285C74"/>
    <w:rsid w:val="3E290A71"/>
    <w:rsid w:val="3E3C34CE"/>
    <w:rsid w:val="3E4D6421"/>
    <w:rsid w:val="3E500D27"/>
    <w:rsid w:val="3E636CAD"/>
    <w:rsid w:val="3E7013C9"/>
    <w:rsid w:val="3E7E3AE6"/>
    <w:rsid w:val="3E895FE7"/>
    <w:rsid w:val="3E923F9F"/>
    <w:rsid w:val="3E9C5D1B"/>
    <w:rsid w:val="3EA352FB"/>
    <w:rsid w:val="3EAD58D5"/>
    <w:rsid w:val="3EAE5A4E"/>
    <w:rsid w:val="3EC51715"/>
    <w:rsid w:val="3ED951C1"/>
    <w:rsid w:val="3EE6168C"/>
    <w:rsid w:val="3EEA4CD8"/>
    <w:rsid w:val="3EF06066"/>
    <w:rsid w:val="3EFE69D5"/>
    <w:rsid w:val="3F057D64"/>
    <w:rsid w:val="3F0B1B4E"/>
    <w:rsid w:val="3F140225"/>
    <w:rsid w:val="3F255AB5"/>
    <w:rsid w:val="3F281CA4"/>
    <w:rsid w:val="3F4E25E2"/>
    <w:rsid w:val="3F5404DD"/>
    <w:rsid w:val="3F6F1681"/>
    <w:rsid w:val="3FAC4683"/>
    <w:rsid w:val="3FCE45FA"/>
    <w:rsid w:val="3FD552F3"/>
    <w:rsid w:val="3FE45BCB"/>
    <w:rsid w:val="4001677D"/>
    <w:rsid w:val="40152228"/>
    <w:rsid w:val="402356C6"/>
    <w:rsid w:val="403D18AE"/>
    <w:rsid w:val="403E177F"/>
    <w:rsid w:val="404448BC"/>
    <w:rsid w:val="404B17A6"/>
    <w:rsid w:val="40632F94"/>
    <w:rsid w:val="40693C3C"/>
    <w:rsid w:val="406960D0"/>
    <w:rsid w:val="406D5BC1"/>
    <w:rsid w:val="407A6DFA"/>
    <w:rsid w:val="407C22A8"/>
    <w:rsid w:val="40B57568"/>
    <w:rsid w:val="40B76E3C"/>
    <w:rsid w:val="40C809F5"/>
    <w:rsid w:val="40C8492E"/>
    <w:rsid w:val="40CF23D7"/>
    <w:rsid w:val="40D07EFD"/>
    <w:rsid w:val="40D774DE"/>
    <w:rsid w:val="40E045E4"/>
    <w:rsid w:val="40E65973"/>
    <w:rsid w:val="41025054"/>
    <w:rsid w:val="412F10C8"/>
    <w:rsid w:val="4132109C"/>
    <w:rsid w:val="413E130B"/>
    <w:rsid w:val="414D154E"/>
    <w:rsid w:val="41601281"/>
    <w:rsid w:val="417E7959"/>
    <w:rsid w:val="41825E31"/>
    <w:rsid w:val="41834389"/>
    <w:rsid w:val="41853106"/>
    <w:rsid w:val="418F600A"/>
    <w:rsid w:val="41967399"/>
    <w:rsid w:val="419E6564"/>
    <w:rsid w:val="41A01FC6"/>
    <w:rsid w:val="41C70022"/>
    <w:rsid w:val="41C71300"/>
    <w:rsid w:val="41C95B04"/>
    <w:rsid w:val="41F45E6E"/>
    <w:rsid w:val="41FB36A0"/>
    <w:rsid w:val="42045B23"/>
    <w:rsid w:val="420958E7"/>
    <w:rsid w:val="420A5691"/>
    <w:rsid w:val="420F4A55"/>
    <w:rsid w:val="42100EF9"/>
    <w:rsid w:val="42143C78"/>
    <w:rsid w:val="42165DE4"/>
    <w:rsid w:val="421A3B26"/>
    <w:rsid w:val="421C5B90"/>
    <w:rsid w:val="421F4385"/>
    <w:rsid w:val="42211680"/>
    <w:rsid w:val="4248711F"/>
    <w:rsid w:val="42583423"/>
    <w:rsid w:val="42685134"/>
    <w:rsid w:val="426B6130"/>
    <w:rsid w:val="42784CF1"/>
    <w:rsid w:val="427A45C5"/>
    <w:rsid w:val="427B20EB"/>
    <w:rsid w:val="427D40B5"/>
    <w:rsid w:val="427F7E2D"/>
    <w:rsid w:val="42872C3E"/>
    <w:rsid w:val="42892A5A"/>
    <w:rsid w:val="42925DB2"/>
    <w:rsid w:val="42A52D96"/>
    <w:rsid w:val="42B20202"/>
    <w:rsid w:val="42C27D1A"/>
    <w:rsid w:val="42D253C5"/>
    <w:rsid w:val="42D9753D"/>
    <w:rsid w:val="42E14644"/>
    <w:rsid w:val="42E6704E"/>
    <w:rsid w:val="42FB3958"/>
    <w:rsid w:val="430420E0"/>
    <w:rsid w:val="431B5DA8"/>
    <w:rsid w:val="432337B6"/>
    <w:rsid w:val="43364990"/>
    <w:rsid w:val="43476B9D"/>
    <w:rsid w:val="434D31F4"/>
    <w:rsid w:val="43515DC2"/>
    <w:rsid w:val="4368266F"/>
    <w:rsid w:val="437454B8"/>
    <w:rsid w:val="437D25BE"/>
    <w:rsid w:val="4382549E"/>
    <w:rsid w:val="43850303"/>
    <w:rsid w:val="438D20D6"/>
    <w:rsid w:val="43931DE2"/>
    <w:rsid w:val="439B7B2F"/>
    <w:rsid w:val="43A0005B"/>
    <w:rsid w:val="43A00E80"/>
    <w:rsid w:val="43A044FF"/>
    <w:rsid w:val="43A062AD"/>
    <w:rsid w:val="43A7763B"/>
    <w:rsid w:val="43B14016"/>
    <w:rsid w:val="43B64397"/>
    <w:rsid w:val="43CD2CB9"/>
    <w:rsid w:val="43DF4C30"/>
    <w:rsid w:val="43E443EC"/>
    <w:rsid w:val="44030F25"/>
    <w:rsid w:val="4410680E"/>
    <w:rsid w:val="441D78FE"/>
    <w:rsid w:val="44240C8C"/>
    <w:rsid w:val="442A3DC9"/>
    <w:rsid w:val="443609BF"/>
    <w:rsid w:val="44472BCC"/>
    <w:rsid w:val="444F55DD"/>
    <w:rsid w:val="44511355"/>
    <w:rsid w:val="445B7225"/>
    <w:rsid w:val="44872FC9"/>
    <w:rsid w:val="44937BC0"/>
    <w:rsid w:val="449F4482"/>
    <w:rsid w:val="44C4327E"/>
    <w:rsid w:val="44DD11CD"/>
    <w:rsid w:val="44E64193"/>
    <w:rsid w:val="44F05012"/>
    <w:rsid w:val="44F37A54"/>
    <w:rsid w:val="4508022C"/>
    <w:rsid w:val="45120AE5"/>
    <w:rsid w:val="452B604A"/>
    <w:rsid w:val="452F0CAE"/>
    <w:rsid w:val="45684BA8"/>
    <w:rsid w:val="45703A5D"/>
    <w:rsid w:val="45725A27"/>
    <w:rsid w:val="45747CC8"/>
    <w:rsid w:val="457C0654"/>
    <w:rsid w:val="457E617A"/>
    <w:rsid w:val="45877724"/>
    <w:rsid w:val="458A4B1F"/>
    <w:rsid w:val="458D460F"/>
    <w:rsid w:val="459534C4"/>
    <w:rsid w:val="45981719"/>
    <w:rsid w:val="45991206"/>
    <w:rsid w:val="45A35BE1"/>
    <w:rsid w:val="45B44292"/>
    <w:rsid w:val="45B47DEE"/>
    <w:rsid w:val="45B85B30"/>
    <w:rsid w:val="45BC4EF4"/>
    <w:rsid w:val="45C1250B"/>
    <w:rsid w:val="45CC3389"/>
    <w:rsid w:val="45D93CF8"/>
    <w:rsid w:val="45EE1552"/>
    <w:rsid w:val="45EF0E26"/>
    <w:rsid w:val="45F54A52"/>
    <w:rsid w:val="45F66658"/>
    <w:rsid w:val="460F14C8"/>
    <w:rsid w:val="461046A6"/>
    <w:rsid w:val="46181376"/>
    <w:rsid w:val="462036D5"/>
    <w:rsid w:val="46227E17"/>
    <w:rsid w:val="462C02CC"/>
    <w:rsid w:val="462C207A"/>
    <w:rsid w:val="46357180"/>
    <w:rsid w:val="463D4287"/>
    <w:rsid w:val="464B5CC1"/>
    <w:rsid w:val="468143D3"/>
    <w:rsid w:val="468679DC"/>
    <w:rsid w:val="469B4A2B"/>
    <w:rsid w:val="46A75BA4"/>
    <w:rsid w:val="46BC0A08"/>
    <w:rsid w:val="46BF2EEE"/>
    <w:rsid w:val="46CB53EF"/>
    <w:rsid w:val="46D83FB0"/>
    <w:rsid w:val="46E97F6B"/>
    <w:rsid w:val="46ED1809"/>
    <w:rsid w:val="46F012F9"/>
    <w:rsid w:val="46F67F70"/>
    <w:rsid w:val="46FC7C9E"/>
    <w:rsid w:val="4723522B"/>
    <w:rsid w:val="472B40E0"/>
    <w:rsid w:val="472E0158"/>
    <w:rsid w:val="47370CD6"/>
    <w:rsid w:val="475278BE"/>
    <w:rsid w:val="47590C4D"/>
    <w:rsid w:val="475D1523"/>
    <w:rsid w:val="475F1FDB"/>
    <w:rsid w:val="47641C7C"/>
    <w:rsid w:val="47727F60"/>
    <w:rsid w:val="478657BA"/>
    <w:rsid w:val="478A34FC"/>
    <w:rsid w:val="479953D6"/>
    <w:rsid w:val="47A51689"/>
    <w:rsid w:val="47AF2F63"/>
    <w:rsid w:val="47B10A89"/>
    <w:rsid w:val="47BD0E41"/>
    <w:rsid w:val="47C16B8B"/>
    <w:rsid w:val="47C347AF"/>
    <w:rsid w:val="47C562E2"/>
    <w:rsid w:val="47C84024"/>
    <w:rsid w:val="47CB141F"/>
    <w:rsid w:val="47CF7161"/>
    <w:rsid w:val="47E56984"/>
    <w:rsid w:val="47EF335F"/>
    <w:rsid w:val="47F24BFD"/>
    <w:rsid w:val="47F71D9F"/>
    <w:rsid w:val="47F941DE"/>
    <w:rsid w:val="48030BB8"/>
    <w:rsid w:val="48174664"/>
    <w:rsid w:val="481E3C44"/>
    <w:rsid w:val="482658C1"/>
    <w:rsid w:val="485003F8"/>
    <w:rsid w:val="485B6C46"/>
    <w:rsid w:val="4860425D"/>
    <w:rsid w:val="486B252B"/>
    <w:rsid w:val="488103EE"/>
    <w:rsid w:val="48895562"/>
    <w:rsid w:val="48A203D1"/>
    <w:rsid w:val="48B2496B"/>
    <w:rsid w:val="48BB1493"/>
    <w:rsid w:val="48FB5D34"/>
    <w:rsid w:val="490D68EC"/>
    <w:rsid w:val="491017DF"/>
    <w:rsid w:val="49105C83"/>
    <w:rsid w:val="491A440C"/>
    <w:rsid w:val="491F7C74"/>
    <w:rsid w:val="492B03C7"/>
    <w:rsid w:val="493806DC"/>
    <w:rsid w:val="493C0826"/>
    <w:rsid w:val="49425710"/>
    <w:rsid w:val="49441489"/>
    <w:rsid w:val="4944592C"/>
    <w:rsid w:val="49507E2D"/>
    <w:rsid w:val="49902920"/>
    <w:rsid w:val="49A14B2D"/>
    <w:rsid w:val="49A63EF1"/>
    <w:rsid w:val="49AB59AC"/>
    <w:rsid w:val="49B605D8"/>
    <w:rsid w:val="49D00F6E"/>
    <w:rsid w:val="49D4280C"/>
    <w:rsid w:val="49D547D7"/>
    <w:rsid w:val="49F17862"/>
    <w:rsid w:val="4A003601"/>
    <w:rsid w:val="4A0E278E"/>
    <w:rsid w:val="4A2F3EE7"/>
    <w:rsid w:val="4A372D9B"/>
    <w:rsid w:val="4A437992"/>
    <w:rsid w:val="4A5751EC"/>
    <w:rsid w:val="4A5A343F"/>
    <w:rsid w:val="4A673681"/>
    <w:rsid w:val="4AA541A9"/>
    <w:rsid w:val="4AA91EEB"/>
    <w:rsid w:val="4AC565F9"/>
    <w:rsid w:val="4AD5019C"/>
    <w:rsid w:val="4AEA6060"/>
    <w:rsid w:val="4B11183E"/>
    <w:rsid w:val="4B137364"/>
    <w:rsid w:val="4B187071"/>
    <w:rsid w:val="4B2665F4"/>
    <w:rsid w:val="4B2E0642"/>
    <w:rsid w:val="4B3621F1"/>
    <w:rsid w:val="4B3701AE"/>
    <w:rsid w:val="4B425E9C"/>
    <w:rsid w:val="4B426B97"/>
    <w:rsid w:val="4B50680B"/>
    <w:rsid w:val="4B524331"/>
    <w:rsid w:val="4B6D1C86"/>
    <w:rsid w:val="4BA30626"/>
    <w:rsid w:val="4BA633F7"/>
    <w:rsid w:val="4BAA4563"/>
    <w:rsid w:val="4BB74194"/>
    <w:rsid w:val="4BBC79FC"/>
    <w:rsid w:val="4BCC20F2"/>
    <w:rsid w:val="4BDB7F99"/>
    <w:rsid w:val="4BE8259F"/>
    <w:rsid w:val="4BEE1D9B"/>
    <w:rsid w:val="4BF03B4A"/>
    <w:rsid w:val="4BFB6776"/>
    <w:rsid w:val="4C0860B4"/>
    <w:rsid w:val="4C251A45"/>
    <w:rsid w:val="4C485734"/>
    <w:rsid w:val="4C561BFF"/>
    <w:rsid w:val="4C563F76"/>
    <w:rsid w:val="4C6B5DD0"/>
    <w:rsid w:val="4C96024D"/>
    <w:rsid w:val="4CA42753"/>
    <w:rsid w:val="4CA7245A"/>
    <w:rsid w:val="4CB810F0"/>
    <w:rsid w:val="4CB829B2"/>
    <w:rsid w:val="4CBD1C7E"/>
    <w:rsid w:val="4CC82987"/>
    <w:rsid w:val="4CCC407E"/>
    <w:rsid w:val="4CDD5E7C"/>
    <w:rsid w:val="4CE92A73"/>
    <w:rsid w:val="4CF80F08"/>
    <w:rsid w:val="4CFB4554"/>
    <w:rsid w:val="4D0478AD"/>
    <w:rsid w:val="4D0C0265"/>
    <w:rsid w:val="4D1B477C"/>
    <w:rsid w:val="4D272068"/>
    <w:rsid w:val="4D4F66DD"/>
    <w:rsid w:val="4D571A2B"/>
    <w:rsid w:val="4D695962"/>
    <w:rsid w:val="4D7978CB"/>
    <w:rsid w:val="4D7A36CB"/>
    <w:rsid w:val="4D8C5850"/>
    <w:rsid w:val="4D907392"/>
    <w:rsid w:val="4D924EB8"/>
    <w:rsid w:val="4DAE742F"/>
    <w:rsid w:val="4DE06D3E"/>
    <w:rsid w:val="4DF711BF"/>
    <w:rsid w:val="4DFF0074"/>
    <w:rsid w:val="4E09413B"/>
    <w:rsid w:val="4E157897"/>
    <w:rsid w:val="4E281379"/>
    <w:rsid w:val="4E4539DB"/>
    <w:rsid w:val="4E4A7541"/>
    <w:rsid w:val="4E6A7BE3"/>
    <w:rsid w:val="4E6C395B"/>
    <w:rsid w:val="4E872543"/>
    <w:rsid w:val="4E8F13F8"/>
    <w:rsid w:val="4EA30A98"/>
    <w:rsid w:val="4EB15812"/>
    <w:rsid w:val="4EB864B8"/>
    <w:rsid w:val="4EBC7D13"/>
    <w:rsid w:val="4ECA78ED"/>
    <w:rsid w:val="4EDC2720"/>
    <w:rsid w:val="4EF63225"/>
    <w:rsid w:val="4F05473E"/>
    <w:rsid w:val="4F0973FC"/>
    <w:rsid w:val="4F0E056F"/>
    <w:rsid w:val="4F156876"/>
    <w:rsid w:val="4F185159"/>
    <w:rsid w:val="4F2064F4"/>
    <w:rsid w:val="4F286C6E"/>
    <w:rsid w:val="4F366C62"/>
    <w:rsid w:val="4F3B1580"/>
    <w:rsid w:val="4F416B96"/>
    <w:rsid w:val="4F672375"/>
    <w:rsid w:val="4F6843F9"/>
    <w:rsid w:val="4F6E3703"/>
    <w:rsid w:val="4F7800DE"/>
    <w:rsid w:val="4F781E8C"/>
    <w:rsid w:val="4F870321"/>
    <w:rsid w:val="4F8E16AF"/>
    <w:rsid w:val="4F8E7901"/>
    <w:rsid w:val="4FA17635"/>
    <w:rsid w:val="4FAC7D66"/>
    <w:rsid w:val="4FB16006"/>
    <w:rsid w:val="4FB25663"/>
    <w:rsid w:val="4FDC066D"/>
    <w:rsid w:val="4FDC68BF"/>
    <w:rsid w:val="4FE31E9B"/>
    <w:rsid w:val="4FF26AC3"/>
    <w:rsid w:val="500A3688"/>
    <w:rsid w:val="500D3812"/>
    <w:rsid w:val="501F49FD"/>
    <w:rsid w:val="502344EE"/>
    <w:rsid w:val="50285CB9"/>
    <w:rsid w:val="50305E22"/>
    <w:rsid w:val="503D0A8A"/>
    <w:rsid w:val="50485D02"/>
    <w:rsid w:val="504F0E3F"/>
    <w:rsid w:val="504F7091"/>
    <w:rsid w:val="505446A7"/>
    <w:rsid w:val="50594DE2"/>
    <w:rsid w:val="505A77E4"/>
    <w:rsid w:val="50610B72"/>
    <w:rsid w:val="507A1C34"/>
    <w:rsid w:val="507B7E86"/>
    <w:rsid w:val="50A522D7"/>
    <w:rsid w:val="50AD025B"/>
    <w:rsid w:val="50B11220"/>
    <w:rsid w:val="50BB2809"/>
    <w:rsid w:val="50DB7FF8"/>
    <w:rsid w:val="510B00AC"/>
    <w:rsid w:val="51130D4B"/>
    <w:rsid w:val="512451D3"/>
    <w:rsid w:val="51326601"/>
    <w:rsid w:val="513706B8"/>
    <w:rsid w:val="513D338D"/>
    <w:rsid w:val="514E7348"/>
    <w:rsid w:val="517B1A45"/>
    <w:rsid w:val="519D207E"/>
    <w:rsid w:val="519D3E2C"/>
    <w:rsid w:val="51A4340C"/>
    <w:rsid w:val="51AA02F7"/>
    <w:rsid w:val="51DC0DF8"/>
    <w:rsid w:val="520774F7"/>
    <w:rsid w:val="520812A5"/>
    <w:rsid w:val="520B348B"/>
    <w:rsid w:val="52214363"/>
    <w:rsid w:val="522602C5"/>
    <w:rsid w:val="52327A07"/>
    <w:rsid w:val="52354064"/>
    <w:rsid w:val="52397FF8"/>
    <w:rsid w:val="523F30FC"/>
    <w:rsid w:val="524B1792"/>
    <w:rsid w:val="52691F60"/>
    <w:rsid w:val="526A01B2"/>
    <w:rsid w:val="529124D6"/>
    <w:rsid w:val="52AB2578"/>
    <w:rsid w:val="52DB4C0C"/>
    <w:rsid w:val="52DD011E"/>
    <w:rsid w:val="52DD4E28"/>
    <w:rsid w:val="52E141EC"/>
    <w:rsid w:val="52F61A46"/>
    <w:rsid w:val="53071EA5"/>
    <w:rsid w:val="532742F5"/>
    <w:rsid w:val="53422EDD"/>
    <w:rsid w:val="534A3B3F"/>
    <w:rsid w:val="53501A62"/>
    <w:rsid w:val="536966BB"/>
    <w:rsid w:val="537137C2"/>
    <w:rsid w:val="537961D3"/>
    <w:rsid w:val="538C4158"/>
    <w:rsid w:val="538D54F8"/>
    <w:rsid w:val="53A1623C"/>
    <w:rsid w:val="53AC47FA"/>
    <w:rsid w:val="53BF452D"/>
    <w:rsid w:val="53E82F40"/>
    <w:rsid w:val="53E83104"/>
    <w:rsid w:val="53FA7313"/>
    <w:rsid w:val="540C5299"/>
    <w:rsid w:val="54181E8F"/>
    <w:rsid w:val="541859EC"/>
    <w:rsid w:val="541A5C08"/>
    <w:rsid w:val="54212AF2"/>
    <w:rsid w:val="54224ABC"/>
    <w:rsid w:val="54436F0C"/>
    <w:rsid w:val="54444A33"/>
    <w:rsid w:val="54501629"/>
    <w:rsid w:val="545A6004"/>
    <w:rsid w:val="546724CF"/>
    <w:rsid w:val="546E1AAF"/>
    <w:rsid w:val="54796CE8"/>
    <w:rsid w:val="547C5F7A"/>
    <w:rsid w:val="54817A35"/>
    <w:rsid w:val="54911516"/>
    <w:rsid w:val="549332C4"/>
    <w:rsid w:val="54971006"/>
    <w:rsid w:val="54B23402"/>
    <w:rsid w:val="54B43966"/>
    <w:rsid w:val="54EF0E42"/>
    <w:rsid w:val="54F71AA5"/>
    <w:rsid w:val="55081F04"/>
    <w:rsid w:val="551C775D"/>
    <w:rsid w:val="55240E86"/>
    <w:rsid w:val="552D4281"/>
    <w:rsid w:val="553B58E4"/>
    <w:rsid w:val="553D3E45"/>
    <w:rsid w:val="5540344C"/>
    <w:rsid w:val="554A04F1"/>
    <w:rsid w:val="554F368F"/>
    <w:rsid w:val="55515659"/>
    <w:rsid w:val="555B64D8"/>
    <w:rsid w:val="55612AA4"/>
    <w:rsid w:val="55782BE6"/>
    <w:rsid w:val="557E5D22"/>
    <w:rsid w:val="559519EA"/>
    <w:rsid w:val="55992B5C"/>
    <w:rsid w:val="559B0682"/>
    <w:rsid w:val="55AD03B6"/>
    <w:rsid w:val="55B00C6D"/>
    <w:rsid w:val="55B1434A"/>
    <w:rsid w:val="55D122F6"/>
    <w:rsid w:val="56073F6A"/>
    <w:rsid w:val="56102E1E"/>
    <w:rsid w:val="5630526E"/>
    <w:rsid w:val="564451BE"/>
    <w:rsid w:val="56490E08"/>
    <w:rsid w:val="56496330"/>
    <w:rsid w:val="56582A17"/>
    <w:rsid w:val="56682C5A"/>
    <w:rsid w:val="567333AD"/>
    <w:rsid w:val="56777341"/>
    <w:rsid w:val="567F61F6"/>
    <w:rsid w:val="56892BD1"/>
    <w:rsid w:val="5692096A"/>
    <w:rsid w:val="56A17F1A"/>
    <w:rsid w:val="56A256E6"/>
    <w:rsid w:val="56AE2637"/>
    <w:rsid w:val="56B22127"/>
    <w:rsid w:val="56CF0F2B"/>
    <w:rsid w:val="56DA342C"/>
    <w:rsid w:val="56DE2F1C"/>
    <w:rsid w:val="56DF4812"/>
    <w:rsid w:val="56E147BB"/>
    <w:rsid w:val="56F40992"/>
    <w:rsid w:val="5703144C"/>
    <w:rsid w:val="570D735E"/>
    <w:rsid w:val="571E77BD"/>
    <w:rsid w:val="57212282"/>
    <w:rsid w:val="57346FE0"/>
    <w:rsid w:val="573D19C4"/>
    <w:rsid w:val="57425DF2"/>
    <w:rsid w:val="57452F9B"/>
    <w:rsid w:val="57684EDC"/>
    <w:rsid w:val="577D2735"/>
    <w:rsid w:val="57833938"/>
    <w:rsid w:val="57835872"/>
    <w:rsid w:val="57881847"/>
    <w:rsid w:val="5794182D"/>
    <w:rsid w:val="57A2219C"/>
    <w:rsid w:val="57A557E8"/>
    <w:rsid w:val="57D25365"/>
    <w:rsid w:val="57D936E4"/>
    <w:rsid w:val="57E91B79"/>
    <w:rsid w:val="57EE718F"/>
    <w:rsid w:val="57FD73D2"/>
    <w:rsid w:val="580249E9"/>
    <w:rsid w:val="580469B3"/>
    <w:rsid w:val="5819097D"/>
    <w:rsid w:val="581F3B8F"/>
    <w:rsid w:val="58281801"/>
    <w:rsid w:val="582A6ED3"/>
    <w:rsid w:val="5838523B"/>
    <w:rsid w:val="583D72F0"/>
    <w:rsid w:val="584119B5"/>
    <w:rsid w:val="585145C3"/>
    <w:rsid w:val="5860738B"/>
    <w:rsid w:val="58705DF6"/>
    <w:rsid w:val="58782EFD"/>
    <w:rsid w:val="5879416C"/>
    <w:rsid w:val="58871392"/>
    <w:rsid w:val="58906498"/>
    <w:rsid w:val="589C4E3D"/>
    <w:rsid w:val="58A12453"/>
    <w:rsid w:val="58B101BD"/>
    <w:rsid w:val="58B32187"/>
    <w:rsid w:val="58B55EFF"/>
    <w:rsid w:val="58C779E0"/>
    <w:rsid w:val="58E42340"/>
    <w:rsid w:val="58E8067D"/>
    <w:rsid w:val="58F46A27"/>
    <w:rsid w:val="59017396"/>
    <w:rsid w:val="59080725"/>
    <w:rsid w:val="590D7AE9"/>
    <w:rsid w:val="59140133"/>
    <w:rsid w:val="59143110"/>
    <w:rsid w:val="592163C9"/>
    <w:rsid w:val="593908DE"/>
    <w:rsid w:val="593C29D0"/>
    <w:rsid w:val="59554FEC"/>
    <w:rsid w:val="59633BAD"/>
    <w:rsid w:val="596516D3"/>
    <w:rsid w:val="59684A32"/>
    <w:rsid w:val="5980650D"/>
    <w:rsid w:val="59835FFD"/>
    <w:rsid w:val="598F6750"/>
    <w:rsid w:val="59954760"/>
    <w:rsid w:val="59A044B9"/>
    <w:rsid w:val="59B16D8F"/>
    <w:rsid w:val="59C77C98"/>
    <w:rsid w:val="59CD7278"/>
    <w:rsid w:val="59D45B8E"/>
    <w:rsid w:val="59EA1BD8"/>
    <w:rsid w:val="59F1740B"/>
    <w:rsid w:val="59FA62BF"/>
    <w:rsid w:val="5A0233C6"/>
    <w:rsid w:val="5A037DBC"/>
    <w:rsid w:val="5A0E3B19"/>
    <w:rsid w:val="5A1524CE"/>
    <w:rsid w:val="5A4F5EDF"/>
    <w:rsid w:val="5A6000EC"/>
    <w:rsid w:val="5A67147B"/>
    <w:rsid w:val="5A706581"/>
    <w:rsid w:val="5A7724A9"/>
    <w:rsid w:val="5A81078E"/>
    <w:rsid w:val="5A8B5169"/>
    <w:rsid w:val="5A8D7133"/>
    <w:rsid w:val="5A951B44"/>
    <w:rsid w:val="5AA75D1B"/>
    <w:rsid w:val="5AAE70AA"/>
    <w:rsid w:val="5AB3646E"/>
    <w:rsid w:val="5AD437E3"/>
    <w:rsid w:val="5AF076C2"/>
    <w:rsid w:val="5B0B62AA"/>
    <w:rsid w:val="5B15722A"/>
    <w:rsid w:val="5B183029"/>
    <w:rsid w:val="5B2E3D47"/>
    <w:rsid w:val="5B4517BC"/>
    <w:rsid w:val="5B4A3900"/>
    <w:rsid w:val="5B527A35"/>
    <w:rsid w:val="5B831001"/>
    <w:rsid w:val="5B836FB3"/>
    <w:rsid w:val="5B865931"/>
    <w:rsid w:val="5B8C28D1"/>
    <w:rsid w:val="5B8C73EB"/>
    <w:rsid w:val="5B9F312E"/>
    <w:rsid w:val="5BAA161F"/>
    <w:rsid w:val="5BB701E0"/>
    <w:rsid w:val="5BCC5A39"/>
    <w:rsid w:val="5BDB3ECE"/>
    <w:rsid w:val="5BE81070"/>
    <w:rsid w:val="5BF07D28"/>
    <w:rsid w:val="5BF4276A"/>
    <w:rsid w:val="5C0056E3"/>
    <w:rsid w:val="5C0138F0"/>
    <w:rsid w:val="5C076A71"/>
    <w:rsid w:val="5C0F5926"/>
    <w:rsid w:val="5C164F06"/>
    <w:rsid w:val="5C25514A"/>
    <w:rsid w:val="5C3B496D"/>
    <w:rsid w:val="5C433822"/>
    <w:rsid w:val="5C457346"/>
    <w:rsid w:val="5C6B3332"/>
    <w:rsid w:val="5C7F194E"/>
    <w:rsid w:val="5C970181"/>
    <w:rsid w:val="5CA008A0"/>
    <w:rsid w:val="5CB32755"/>
    <w:rsid w:val="5CBA3AE4"/>
    <w:rsid w:val="5CBF734C"/>
    <w:rsid w:val="5CC05194"/>
    <w:rsid w:val="5CC46711"/>
    <w:rsid w:val="5CCB5CF1"/>
    <w:rsid w:val="5CE84AF5"/>
    <w:rsid w:val="5D0B2591"/>
    <w:rsid w:val="5D121B72"/>
    <w:rsid w:val="5D131446"/>
    <w:rsid w:val="5D2514D2"/>
    <w:rsid w:val="5D467A6D"/>
    <w:rsid w:val="5D4B0BE0"/>
    <w:rsid w:val="5D4E06D0"/>
    <w:rsid w:val="5D4E1EAA"/>
    <w:rsid w:val="5D567A16"/>
    <w:rsid w:val="5D5977A1"/>
    <w:rsid w:val="5D752101"/>
    <w:rsid w:val="5D862F00"/>
    <w:rsid w:val="5D9A6C98"/>
    <w:rsid w:val="5DD230AF"/>
    <w:rsid w:val="5DEA664B"/>
    <w:rsid w:val="5DF00DC0"/>
    <w:rsid w:val="5DF748C4"/>
    <w:rsid w:val="5DFD637E"/>
    <w:rsid w:val="5E135BA1"/>
    <w:rsid w:val="5E1611EE"/>
    <w:rsid w:val="5E1C51EC"/>
    <w:rsid w:val="5E1E00A2"/>
    <w:rsid w:val="5E203E1A"/>
    <w:rsid w:val="5E2751A9"/>
    <w:rsid w:val="5E3D2C1E"/>
    <w:rsid w:val="5E68756F"/>
    <w:rsid w:val="5E714399"/>
    <w:rsid w:val="5E714676"/>
    <w:rsid w:val="5E755375"/>
    <w:rsid w:val="5E9E0768"/>
    <w:rsid w:val="5EAC1B52"/>
    <w:rsid w:val="5EAC3900"/>
    <w:rsid w:val="5EB36A3D"/>
    <w:rsid w:val="5EB629D1"/>
    <w:rsid w:val="5EBB1D95"/>
    <w:rsid w:val="5ED13367"/>
    <w:rsid w:val="5ED6097D"/>
    <w:rsid w:val="5EDD2BFD"/>
    <w:rsid w:val="5EF7101F"/>
    <w:rsid w:val="5EFB1832"/>
    <w:rsid w:val="5EFF0FAB"/>
    <w:rsid w:val="5F142564"/>
    <w:rsid w:val="5F34278B"/>
    <w:rsid w:val="5F4973A1"/>
    <w:rsid w:val="5F4E2C09"/>
    <w:rsid w:val="5F61293D"/>
    <w:rsid w:val="5F683CCB"/>
    <w:rsid w:val="5F797C86"/>
    <w:rsid w:val="5F7C1524"/>
    <w:rsid w:val="5F7F7267"/>
    <w:rsid w:val="5F904FD0"/>
    <w:rsid w:val="5F9E149B"/>
    <w:rsid w:val="5FAD5B82"/>
    <w:rsid w:val="5FB92779"/>
    <w:rsid w:val="5FBE1B3D"/>
    <w:rsid w:val="5FBE7D8F"/>
    <w:rsid w:val="5FE01AB3"/>
    <w:rsid w:val="5FE570CA"/>
    <w:rsid w:val="5FEA46E0"/>
    <w:rsid w:val="5FED54E2"/>
    <w:rsid w:val="5FED5F7E"/>
    <w:rsid w:val="60017C7C"/>
    <w:rsid w:val="60031C46"/>
    <w:rsid w:val="60123C37"/>
    <w:rsid w:val="60161979"/>
    <w:rsid w:val="6022031E"/>
    <w:rsid w:val="602870F8"/>
    <w:rsid w:val="602A5424"/>
    <w:rsid w:val="60477D84"/>
    <w:rsid w:val="604E087B"/>
    <w:rsid w:val="604E1113"/>
    <w:rsid w:val="60522285"/>
    <w:rsid w:val="60597AB8"/>
    <w:rsid w:val="60680A3A"/>
    <w:rsid w:val="606C3347"/>
    <w:rsid w:val="60820DBC"/>
    <w:rsid w:val="60934D78"/>
    <w:rsid w:val="60A11BE1"/>
    <w:rsid w:val="60A24FBB"/>
    <w:rsid w:val="60A9459B"/>
    <w:rsid w:val="60B82A30"/>
    <w:rsid w:val="60BF3DBF"/>
    <w:rsid w:val="60C56EFB"/>
    <w:rsid w:val="60C70EC5"/>
    <w:rsid w:val="60CE4002"/>
    <w:rsid w:val="60D07D7A"/>
    <w:rsid w:val="60DB671F"/>
    <w:rsid w:val="60DF620F"/>
    <w:rsid w:val="60E94998"/>
    <w:rsid w:val="60F614B9"/>
    <w:rsid w:val="61007F33"/>
    <w:rsid w:val="61042D78"/>
    <w:rsid w:val="611F660B"/>
    <w:rsid w:val="61286B5F"/>
    <w:rsid w:val="613100ED"/>
    <w:rsid w:val="6131633F"/>
    <w:rsid w:val="61412A26"/>
    <w:rsid w:val="6142054C"/>
    <w:rsid w:val="614222FA"/>
    <w:rsid w:val="61442516"/>
    <w:rsid w:val="614918DA"/>
    <w:rsid w:val="61502C69"/>
    <w:rsid w:val="6174422E"/>
    <w:rsid w:val="617701F5"/>
    <w:rsid w:val="61783114"/>
    <w:rsid w:val="61AA53CE"/>
    <w:rsid w:val="61C3168D"/>
    <w:rsid w:val="61C64CD9"/>
    <w:rsid w:val="61E41603"/>
    <w:rsid w:val="61E67129"/>
    <w:rsid w:val="61E82EA1"/>
    <w:rsid w:val="62061579"/>
    <w:rsid w:val="622E35F8"/>
    <w:rsid w:val="62312A9A"/>
    <w:rsid w:val="62570FB3"/>
    <w:rsid w:val="62600C89"/>
    <w:rsid w:val="626A08FB"/>
    <w:rsid w:val="626C5880"/>
    <w:rsid w:val="627C7CFA"/>
    <w:rsid w:val="628847DF"/>
    <w:rsid w:val="628C1A7E"/>
    <w:rsid w:val="628F5A13"/>
    <w:rsid w:val="62A3326C"/>
    <w:rsid w:val="62AA0157"/>
    <w:rsid w:val="62AD7C47"/>
    <w:rsid w:val="62BD348D"/>
    <w:rsid w:val="62C12D96"/>
    <w:rsid w:val="62D653F0"/>
    <w:rsid w:val="62F70099"/>
    <w:rsid w:val="62FE04A2"/>
    <w:rsid w:val="6308742D"/>
    <w:rsid w:val="63251ED3"/>
    <w:rsid w:val="633A597E"/>
    <w:rsid w:val="636B3D8A"/>
    <w:rsid w:val="637A5D7B"/>
    <w:rsid w:val="63892462"/>
    <w:rsid w:val="639130C5"/>
    <w:rsid w:val="63A63014"/>
    <w:rsid w:val="63B03E93"/>
    <w:rsid w:val="63C17E4E"/>
    <w:rsid w:val="63DF02D4"/>
    <w:rsid w:val="63E37DC4"/>
    <w:rsid w:val="63F7561D"/>
    <w:rsid w:val="63FE69AC"/>
    <w:rsid w:val="63FF0976"/>
    <w:rsid w:val="64104931"/>
    <w:rsid w:val="64124205"/>
    <w:rsid w:val="6417181C"/>
    <w:rsid w:val="6421309B"/>
    <w:rsid w:val="6424211E"/>
    <w:rsid w:val="642F3009"/>
    <w:rsid w:val="643248A8"/>
    <w:rsid w:val="64346872"/>
    <w:rsid w:val="644545DB"/>
    <w:rsid w:val="6457430E"/>
    <w:rsid w:val="647572DE"/>
    <w:rsid w:val="647D44D2"/>
    <w:rsid w:val="648A6492"/>
    <w:rsid w:val="648F1CFA"/>
    <w:rsid w:val="64925346"/>
    <w:rsid w:val="64986E00"/>
    <w:rsid w:val="64990483"/>
    <w:rsid w:val="64A137DB"/>
    <w:rsid w:val="64A357A5"/>
    <w:rsid w:val="64B21544"/>
    <w:rsid w:val="64BD0615"/>
    <w:rsid w:val="64BE4602"/>
    <w:rsid w:val="64C02ADC"/>
    <w:rsid w:val="64C17019"/>
    <w:rsid w:val="64C5571C"/>
    <w:rsid w:val="64CF0348"/>
    <w:rsid w:val="64D67929"/>
    <w:rsid w:val="64DC5AA5"/>
    <w:rsid w:val="64E02555"/>
    <w:rsid w:val="64E77440"/>
    <w:rsid w:val="651641C9"/>
    <w:rsid w:val="65222B6E"/>
    <w:rsid w:val="65257F68"/>
    <w:rsid w:val="65262602"/>
    <w:rsid w:val="65404DA2"/>
    <w:rsid w:val="654169F1"/>
    <w:rsid w:val="65532D27"/>
    <w:rsid w:val="65640A91"/>
    <w:rsid w:val="656F7435"/>
    <w:rsid w:val="658630FD"/>
    <w:rsid w:val="658C6239"/>
    <w:rsid w:val="65A106BB"/>
    <w:rsid w:val="65A11CE5"/>
    <w:rsid w:val="65B732B6"/>
    <w:rsid w:val="65C3701D"/>
    <w:rsid w:val="65C9123C"/>
    <w:rsid w:val="65CB0B10"/>
    <w:rsid w:val="65CD0D2C"/>
    <w:rsid w:val="65CD2ADA"/>
    <w:rsid w:val="65D04378"/>
    <w:rsid w:val="65D57BE0"/>
    <w:rsid w:val="65DC4ACB"/>
    <w:rsid w:val="65DD0AAC"/>
    <w:rsid w:val="65E103E6"/>
    <w:rsid w:val="65ED6CD8"/>
    <w:rsid w:val="661A117E"/>
    <w:rsid w:val="661B221C"/>
    <w:rsid w:val="66263F98"/>
    <w:rsid w:val="664202BA"/>
    <w:rsid w:val="66456B14"/>
    <w:rsid w:val="66507267"/>
    <w:rsid w:val="666B22F3"/>
    <w:rsid w:val="66756CCD"/>
    <w:rsid w:val="66855163"/>
    <w:rsid w:val="668F4233"/>
    <w:rsid w:val="66A870A3"/>
    <w:rsid w:val="66AD2E26"/>
    <w:rsid w:val="66B71094"/>
    <w:rsid w:val="66C75836"/>
    <w:rsid w:val="66CE7A54"/>
    <w:rsid w:val="66D439F4"/>
    <w:rsid w:val="66F145A6"/>
    <w:rsid w:val="670E33AA"/>
    <w:rsid w:val="671D539B"/>
    <w:rsid w:val="67281597"/>
    <w:rsid w:val="6736645D"/>
    <w:rsid w:val="6740552D"/>
    <w:rsid w:val="67492634"/>
    <w:rsid w:val="675219A9"/>
    <w:rsid w:val="67561428"/>
    <w:rsid w:val="675E2E21"/>
    <w:rsid w:val="675F094D"/>
    <w:rsid w:val="676A5BF3"/>
    <w:rsid w:val="676E3E49"/>
    <w:rsid w:val="677277FA"/>
    <w:rsid w:val="67753429"/>
    <w:rsid w:val="67786A75"/>
    <w:rsid w:val="678171A3"/>
    <w:rsid w:val="67845964"/>
    <w:rsid w:val="678B7EDC"/>
    <w:rsid w:val="67A64092"/>
    <w:rsid w:val="67A71109"/>
    <w:rsid w:val="67B35CFF"/>
    <w:rsid w:val="67BA31BB"/>
    <w:rsid w:val="67C60F48"/>
    <w:rsid w:val="67D143D7"/>
    <w:rsid w:val="68014CBD"/>
    <w:rsid w:val="680B5B3B"/>
    <w:rsid w:val="681D761D"/>
    <w:rsid w:val="682E35D8"/>
    <w:rsid w:val="68512795"/>
    <w:rsid w:val="685B6227"/>
    <w:rsid w:val="685E3EBD"/>
    <w:rsid w:val="686611E0"/>
    <w:rsid w:val="686D5EAE"/>
    <w:rsid w:val="686E02E9"/>
    <w:rsid w:val="68793561"/>
    <w:rsid w:val="687E455F"/>
    <w:rsid w:val="68867A1A"/>
    <w:rsid w:val="689773CF"/>
    <w:rsid w:val="689F0032"/>
    <w:rsid w:val="68AA6420"/>
    <w:rsid w:val="68B57855"/>
    <w:rsid w:val="68BE495C"/>
    <w:rsid w:val="68C301C4"/>
    <w:rsid w:val="68CA6CAA"/>
    <w:rsid w:val="68D75A1D"/>
    <w:rsid w:val="68E63EB3"/>
    <w:rsid w:val="68E85E7D"/>
    <w:rsid w:val="69034A64"/>
    <w:rsid w:val="69117181"/>
    <w:rsid w:val="692A1FF1"/>
    <w:rsid w:val="69367529"/>
    <w:rsid w:val="69531548"/>
    <w:rsid w:val="6966349D"/>
    <w:rsid w:val="696E197E"/>
    <w:rsid w:val="696F3EA8"/>
    <w:rsid w:val="697D65C5"/>
    <w:rsid w:val="69817715"/>
    <w:rsid w:val="698536CB"/>
    <w:rsid w:val="69887333"/>
    <w:rsid w:val="69913E1E"/>
    <w:rsid w:val="69937B96"/>
    <w:rsid w:val="699851AD"/>
    <w:rsid w:val="699D6C67"/>
    <w:rsid w:val="699F478D"/>
    <w:rsid w:val="69A71894"/>
    <w:rsid w:val="69AE2C22"/>
    <w:rsid w:val="69B0699A"/>
    <w:rsid w:val="69D63F27"/>
    <w:rsid w:val="69D72179"/>
    <w:rsid w:val="69DF4B8A"/>
    <w:rsid w:val="69F02252"/>
    <w:rsid w:val="69F260CD"/>
    <w:rsid w:val="6A0171F6"/>
    <w:rsid w:val="6A102F95"/>
    <w:rsid w:val="6A152CA1"/>
    <w:rsid w:val="6A17692F"/>
    <w:rsid w:val="6A260A0B"/>
    <w:rsid w:val="6A294057"/>
    <w:rsid w:val="6A31115D"/>
    <w:rsid w:val="6A4D76B1"/>
    <w:rsid w:val="6A5F3F1C"/>
    <w:rsid w:val="6A6E4C47"/>
    <w:rsid w:val="6A7379C8"/>
    <w:rsid w:val="6A7F45BF"/>
    <w:rsid w:val="6A9661EC"/>
    <w:rsid w:val="6A9B15B7"/>
    <w:rsid w:val="6AA06A0F"/>
    <w:rsid w:val="6AA10091"/>
    <w:rsid w:val="6AA3205B"/>
    <w:rsid w:val="6AAF0A00"/>
    <w:rsid w:val="6AB37DC4"/>
    <w:rsid w:val="6AC87D14"/>
    <w:rsid w:val="6AE34B4E"/>
    <w:rsid w:val="6AEA7C8A"/>
    <w:rsid w:val="6B15282D"/>
    <w:rsid w:val="6B1B6095"/>
    <w:rsid w:val="6B4C26F3"/>
    <w:rsid w:val="6B593473"/>
    <w:rsid w:val="6B5D54F4"/>
    <w:rsid w:val="6B6932A5"/>
    <w:rsid w:val="6B6D0DE4"/>
    <w:rsid w:val="6B7834E8"/>
    <w:rsid w:val="6B7E03D2"/>
    <w:rsid w:val="6B7E6624"/>
    <w:rsid w:val="6B910106"/>
    <w:rsid w:val="6BC02795"/>
    <w:rsid w:val="6BC56001"/>
    <w:rsid w:val="6BCA186A"/>
    <w:rsid w:val="6BD80604"/>
    <w:rsid w:val="6BEE37AA"/>
    <w:rsid w:val="6C007039"/>
    <w:rsid w:val="6C046540"/>
    <w:rsid w:val="6C16685D"/>
    <w:rsid w:val="6C1825D5"/>
    <w:rsid w:val="6C2947E2"/>
    <w:rsid w:val="6C47110C"/>
    <w:rsid w:val="6C5A0E3F"/>
    <w:rsid w:val="6C5C113B"/>
    <w:rsid w:val="6C5C5104"/>
    <w:rsid w:val="6C7214CB"/>
    <w:rsid w:val="6C845EBC"/>
    <w:rsid w:val="6C937EAD"/>
    <w:rsid w:val="6C95361F"/>
    <w:rsid w:val="6C9D2ADA"/>
    <w:rsid w:val="6CAE4CE7"/>
    <w:rsid w:val="6CB22A29"/>
    <w:rsid w:val="6CB87914"/>
    <w:rsid w:val="6CCB5899"/>
    <w:rsid w:val="6CCD33BF"/>
    <w:rsid w:val="6CDC7AA6"/>
    <w:rsid w:val="6CE518F3"/>
    <w:rsid w:val="6CE73B06"/>
    <w:rsid w:val="6CFC5A53"/>
    <w:rsid w:val="6D0019E7"/>
    <w:rsid w:val="6D06067F"/>
    <w:rsid w:val="6D090170"/>
    <w:rsid w:val="6D0D5EB2"/>
    <w:rsid w:val="6D1F7993"/>
    <w:rsid w:val="6D394270"/>
    <w:rsid w:val="6D480C98"/>
    <w:rsid w:val="6D544186"/>
    <w:rsid w:val="6D6830E8"/>
    <w:rsid w:val="6D6F0152"/>
    <w:rsid w:val="6D7101EF"/>
    <w:rsid w:val="6D723521"/>
    <w:rsid w:val="6D7970A3"/>
    <w:rsid w:val="6D85693B"/>
    <w:rsid w:val="6DC6047C"/>
    <w:rsid w:val="6DDA2238"/>
    <w:rsid w:val="6DDD4EE5"/>
    <w:rsid w:val="6DEA6EB8"/>
    <w:rsid w:val="6DEE183F"/>
    <w:rsid w:val="6DF826BE"/>
    <w:rsid w:val="6DFA4688"/>
    <w:rsid w:val="6E2214E9"/>
    <w:rsid w:val="6E2D6399"/>
    <w:rsid w:val="6E6D4C49"/>
    <w:rsid w:val="6E731D44"/>
    <w:rsid w:val="6E8A4D35"/>
    <w:rsid w:val="6EAE7221"/>
    <w:rsid w:val="6EB34A4F"/>
    <w:rsid w:val="6EB5235D"/>
    <w:rsid w:val="6EB83BFB"/>
    <w:rsid w:val="6ED70525"/>
    <w:rsid w:val="6ED71CD2"/>
    <w:rsid w:val="6EDA6267"/>
    <w:rsid w:val="6EE964AB"/>
    <w:rsid w:val="6EF56BFD"/>
    <w:rsid w:val="6F1F3C7A"/>
    <w:rsid w:val="6F204647"/>
    <w:rsid w:val="6F2B0871"/>
    <w:rsid w:val="6F3911E0"/>
    <w:rsid w:val="6F4576BD"/>
    <w:rsid w:val="6F5D5CFD"/>
    <w:rsid w:val="6F603A8C"/>
    <w:rsid w:val="6F675D4D"/>
    <w:rsid w:val="6F6D0E8A"/>
    <w:rsid w:val="6F6F075E"/>
    <w:rsid w:val="6F7C10CD"/>
    <w:rsid w:val="6F857F81"/>
    <w:rsid w:val="6F883071"/>
    <w:rsid w:val="6F8A1A3C"/>
    <w:rsid w:val="6F8D1B26"/>
    <w:rsid w:val="6F8D5088"/>
    <w:rsid w:val="6F9D176F"/>
    <w:rsid w:val="6FA05DD8"/>
    <w:rsid w:val="6FA81EC2"/>
    <w:rsid w:val="6FA91659"/>
    <w:rsid w:val="6FB40867"/>
    <w:rsid w:val="6FB645DF"/>
    <w:rsid w:val="6FBE3493"/>
    <w:rsid w:val="6FC82ADF"/>
    <w:rsid w:val="6FCA62DC"/>
    <w:rsid w:val="6FDC535F"/>
    <w:rsid w:val="6FE70C3C"/>
    <w:rsid w:val="6FF72E1A"/>
    <w:rsid w:val="6FFB0243"/>
    <w:rsid w:val="700370F8"/>
    <w:rsid w:val="700E61C9"/>
    <w:rsid w:val="702A6D7B"/>
    <w:rsid w:val="70433998"/>
    <w:rsid w:val="70553DF8"/>
    <w:rsid w:val="705D2CAC"/>
    <w:rsid w:val="7064403B"/>
    <w:rsid w:val="707B656D"/>
    <w:rsid w:val="70826B10"/>
    <w:rsid w:val="709D12FB"/>
    <w:rsid w:val="70A9583B"/>
    <w:rsid w:val="70AE52B6"/>
    <w:rsid w:val="70BA1EAD"/>
    <w:rsid w:val="70BC29D0"/>
    <w:rsid w:val="70BF3967"/>
    <w:rsid w:val="70C1111F"/>
    <w:rsid w:val="70DF1D33"/>
    <w:rsid w:val="70F73101"/>
    <w:rsid w:val="70FC0717"/>
    <w:rsid w:val="7101188A"/>
    <w:rsid w:val="71107D1F"/>
    <w:rsid w:val="711E19CD"/>
    <w:rsid w:val="71256BF6"/>
    <w:rsid w:val="712B2DAA"/>
    <w:rsid w:val="713729D0"/>
    <w:rsid w:val="713C6D66"/>
    <w:rsid w:val="713D4E81"/>
    <w:rsid w:val="715C11B6"/>
    <w:rsid w:val="7161057A"/>
    <w:rsid w:val="716342F2"/>
    <w:rsid w:val="716445FC"/>
    <w:rsid w:val="71AB7A47"/>
    <w:rsid w:val="71B4335C"/>
    <w:rsid w:val="71BE777B"/>
    <w:rsid w:val="71CB1E97"/>
    <w:rsid w:val="71D074AE"/>
    <w:rsid w:val="71DC5974"/>
    <w:rsid w:val="71F8041E"/>
    <w:rsid w:val="720553A9"/>
    <w:rsid w:val="72190E55"/>
    <w:rsid w:val="721B2E1F"/>
    <w:rsid w:val="721E646B"/>
    <w:rsid w:val="722C6DDA"/>
    <w:rsid w:val="722C78DA"/>
    <w:rsid w:val="7241241E"/>
    <w:rsid w:val="72435ED2"/>
    <w:rsid w:val="72620A4E"/>
    <w:rsid w:val="72665669"/>
    <w:rsid w:val="72693B8A"/>
    <w:rsid w:val="726B5B54"/>
    <w:rsid w:val="726C71D7"/>
    <w:rsid w:val="726E11A1"/>
    <w:rsid w:val="72824C4C"/>
    <w:rsid w:val="728D652A"/>
    <w:rsid w:val="72B1108D"/>
    <w:rsid w:val="72D37256"/>
    <w:rsid w:val="72F936E6"/>
    <w:rsid w:val="72FC49FE"/>
    <w:rsid w:val="731D6723"/>
    <w:rsid w:val="732B7092"/>
    <w:rsid w:val="73315818"/>
    <w:rsid w:val="734939BC"/>
    <w:rsid w:val="73536BED"/>
    <w:rsid w:val="73571C35"/>
    <w:rsid w:val="7357442D"/>
    <w:rsid w:val="73593BFF"/>
    <w:rsid w:val="735C549D"/>
    <w:rsid w:val="737A1DC7"/>
    <w:rsid w:val="73832A2A"/>
    <w:rsid w:val="738A025C"/>
    <w:rsid w:val="738F7621"/>
    <w:rsid w:val="73A34E7A"/>
    <w:rsid w:val="73AB3D2F"/>
    <w:rsid w:val="73B13A3B"/>
    <w:rsid w:val="73C631D5"/>
    <w:rsid w:val="73E831D5"/>
    <w:rsid w:val="74082F2F"/>
    <w:rsid w:val="74085625"/>
    <w:rsid w:val="74130252"/>
    <w:rsid w:val="74253AE1"/>
    <w:rsid w:val="742E508B"/>
    <w:rsid w:val="7447588C"/>
    <w:rsid w:val="74534AF2"/>
    <w:rsid w:val="74542618"/>
    <w:rsid w:val="74600FBD"/>
    <w:rsid w:val="746F2FAE"/>
    <w:rsid w:val="747916C2"/>
    <w:rsid w:val="74806172"/>
    <w:rsid w:val="74930B40"/>
    <w:rsid w:val="74B3733F"/>
    <w:rsid w:val="74CC21AE"/>
    <w:rsid w:val="74D53759"/>
    <w:rsid w:val="74DC5CB7"/>
    <w:rsid w:val="74DD616A"/>
    <w:rsid w:val="74E13026"/>
    <w:rsid w:val="74FB2A94"/>
    <w:rsid w:val="74FF2584"/>
    <w:rsid w:val="75061B64"/>
    <w:rsid w:val="750A2FE8"/>
    <w:rsid w:val="751C1388"/>
    <w:rsid w:val="7532506B"/>
    <w:rsid w:val="753A7A60"/>
    <w:rsid w:val="753C37D8"/>
    <w:rsid w:val="753C5586"/>
    <w:rsid w:val="75866801"/>
    <w:rsid w:val="758F485B"/>
    <w:rsid w:val="759251A6"/>
    <w:rsid w:val="75A60C51"/>
    <w:rsid w:val="75A947FB"/>
    <w:rsid w:val="75B710B1"/>
    <w:rsid w:val="75D27C98"/>
    <w:rsid w:val="75D532E5"/>
    <w:rsid w:val="75E579CC"/>
    <w:rsid w:val="7601261B"/>
    <w:rsid w:val="762363B0"/>
    <w:rsid w:val="7637387F"/>
    <w:rsid w:val="763B75EC"/>
    <w:rsid w:val="763C15B6"/>
    <w:rsid w:val="76426BCC"/>
    <w:rsid w:val="76530DD9"/>
    <w:rsid w:val="76650B0D"/>
    <w:rsid w:val="766F7295"/>
    <w:rsid w:val="76870A83"/>
    <w:rsid w:val="76903C7A"/>
    <w:rsid w:val="76A518E8"/>
    <w:rsid w:val="76DB492B"/>
    <w:rsid w:val="76E311DF"/>
    <w:rsid w:val="76E61C4D"/>
    <w:rsid w:val="76E732D0"/>
    <w:rsid w:val="76F51E90"/>
    <w:rsid w:val="76FF4ABD"/>
    <w:rsid w:val="772938E8"/>
    <w:rsid w:val="772B7660"/>
    <w:rsid w:val="7730111A"/>
    <w:rsid w:val="77302EEC"/>
    <w:rsid w:val="773724A9"/>
    <w:rsid w:val="776B4AF6"/>
    <w:rsid w:val="7771703D"/>
    <w:rsid w:val="77721848"/>
    <w:rsid w:val="77730E6A"/>
    <w:rsid w:val="77731007"/>
    <w:rsid w:val="7778661E"/>
    <w:rsid w:val="779A6594"/>
    <w:rsid w:val="779F49F8"/>
    <w:rsid w:val="77A14BA4"/>
    <w:rsid w:val="77A318EC"/>
    <w:rsid w:val="77AB5156"/>
    <w:rsid w:val="77BA09E4"/>
    <w:rsid w:val="77C33D3D"/>
    <w:rsid w:val="77D23F80"/>
    <w:rsid w:val="77E0343C"/>
    <w:rsid w:val="77EA751B"/>
    <w:rsid w:val="780B1240"/>
    <w:rsid w:val="78271E31"/>
    <w:rsid w:val="78342545"/>
    <w:rsid w:val="786174A5"/>
    <w:rsid w:val="786C6182"/>
    <w:rsid w:val="786E0613"/>
    <w:rsid w:val="7883171E"/>
    <w:rsid w:val="78852237"/>
    <w:rsid w:val="78882890"/>
    <w:rsid w:val="78A23952"/>
    <w:rsid w:val="78B6564F"/>
    <w:rsid w:val="78C25DA2"/>
    <w:rsid w:val="78C95383"/>
    <w:rsid w:val="78DE0702"/>
    <w:rsid w:val="78EA52F9"/>
    <w:rsid w:val="79030169"/>
    <w:rsid w:val="793F3918"/>
    <w:rsid w:val="79426EE3"/>
    <w:rsid w:val="79534C4C"/>
    <w:rsid w:val="79576530"/>
    <w:rsid w:val="796C21B2"/>
    <w:rsid w:val="79975481"/>
    <w:rsid w:val="799B0AE1"/>
    <w:rsid w:val="79A61220"/>
    <w:rsid w:val="79AD6A52"/>
    <w:rsid w:val="79AE4579"/>
    <w:rsid w:val="79B24069"/>
    <w:rsid w:val="79B80F53"/>
    <w:rsid w:val="79CC2B05"/>
    <w:rsid w:val="79D12015"/>
    <w:rsid w:val="79DA79C7"/>
    <w:rsid w:val="7A185D8C"/>
    <w:rsid w:val="7A195E96"/>
    <w:rsid w:val="7A1E34AC"/>
    <w:rsid w:val="7A2453B6"/>
    <w:rsid w:val="7A2B5BC9"/>
    <w:rsid w:val="7A2D1941"/>
    <w:rsid w:val="7A3E3B4E"/>
    <w:rsid w:val="7A5A025C"/>
    <w:rsid w:val="7A647832"/>
    <w:rsid w:val="7A707A80"/>
    <w:rsid w:val="7A747570"/>
    <w:rsid w:val="7A8D23E0"/>
    <w:rsid w:val="7ABF43EA"/>
    <w:rsid w:val="7AC56AF0"/>
    <w:rsid w:val="7ACD6C80"/>
    <w:rsid w:val="7AD16771"/>
    <w:rsid w:val="7AD4000F"/>
    <w:rsid w:val="7AE91D0C"/>
    <w:rsid w:val="7AF81F4F"/>
    <w:rsid w:val="7AFE5968"/>
    <w:rsid w:val="7B074467"/>
    <w:rsid w:val="7B113EB9"/>
    <w:rsid w:val="7B1B3E90"/>
    <w:rsid w:val="7B29035B"/>
    <w:rsid w:val="7B4056A4"/>
    <w:rsid w:val="7B6B3768"/>
    <w:rsid w:val="7B6E2211"/>
    <w:rsid w:val="7B6F1AE6"/>
    <w:rsid w:val="7B7A0BB6"/>
    <w:rsid w:val="7B7B492E"/>
    <w:rsid w:val="7BB75966"/>
    <w:rsid w:val="7BDC361F"/>
    <w:rsid w:val="7BEE46F5"/>
    <w:rsid w:val="7BF00E78"/>
    <w:rsid w:val="7BF1074D"/>
    <w:rsid w:val="7BF22E42"/>
    <w:rsid w:val="7BFC781D"/>
    <w:rsid w:val="7C013548"/>
    <w:rsid w:val="7C10151B"/>
    <w:rsid w:val="7C134B67"/>
    <w:rsid w:val="7C224DAA"/>
    <w:rsid w:val="7C2F726B"/>
    <w:rsid w:val="7C30396B"/>
    <w:rsid w:val="7C5533D1"/>
    <w:rsid w:val="7C5E5DE2"/>
    <w:rsid w:val="7C653096"/>
    <w:rsid w:val="7C6A030E"/>
    <w:rsid w:val="7C896BD7"/>
    <w:rsid w:val="7CA0289E"/>
    <w:rsid w:val="7CA342FA"/>
    <w:rsid w:val="7CBB1B86"/>
    <w:rsid w:val="7CBE4AD3"/>
    <w:rsid w:val="7CC52305"/>
    <w:rsid w:val="7CC77E2B"/>
    <w:rsid w:val="7CCF0A8E"/>
    <w:rsid w:val="7CD13388"/>
    <w:rsid w:val="7CD51E1C"/>
    <w:rsid w:val="7CE44045"/>
    <w:rsid w:val="7CE55F21"/>
    <w:rsid w:val="7CF77FE5"/>
    <w:rsid w:val="7D0270B5"/>
    <w:rsid w:val="7D083FA0"/>
    <w:rsid w:val="7D456FA2"/>
    <w:rsid w:val="7D5B21B3"/>
    <w:rsid w:val="7D63771C"/>
    <w:rsid w:val="7D6C452F"/>
    <w:rsid w:val="7D7B29C4"/>
    <w:rsid w:val="7D8D1888"/>
    <w:rsid w:val="7D9817C8"/>
    <w:rsid w:val="7D984108"/>
    <w:rsid w:val="7DA168CE"/>
    <w:rsid w:val="7DCB56F9"/>
    <w:rsid w:val="7DCC1471"/>
    <w:rsid w:val="7DD547CA"/>
    <w:rsid w:val="7DD777E4"/>
    <w:rsid w:val="7DE844FD"/>
    <w:rsid w:val="7E0E43B0"/>
    <w:rsid w:val="7E265025"/>
    <w:rsid w:val="7E266DD3"/>
    <w:rsid w:val="7E307C52"/>
    <w:rsid w:val="7E382104"/>
    <w:rsid w:val="7E494870"/>
    <w:rsid w:val="7E4D25B2"/>
    <w:rsid w:val="7E5019D7"/>
    <w:rsid w:val="7E551467"/>
    <w:rsid w:val="7E5B37C6"/>
    <w:rsid w:val="7E5D031B"/>
    <w:rsid w:val="7E6104FB"/>
    <w:rsid w:val="7E655B4E"/>
    <w:rsid w:val="7E6E256E"/>
    <w:rsid w:val="7E6F60A7"/>
    <w:rsid w:val="7E9136B4"/>
    <w:rsid w:val="7EAA17B2"/>
    <w:rsid w:val="7EB10D93"/>
    <w:rsid w:val="7EB663A9"/>
    <w:rsid w:val="7EB97C47"/>
    <w:rsid w:val="7ECC5561"/>
    <w:rsid w:val="7EDA1403"/>
    <w:rsid w:val="7EE36A72"/>
    <w:rsid w:val="7EED169F"/>
    <w:rsid w:val="7EF66098"/>
    <w:rsid w:val="7F041337"/>
    <w:rsid w:val="7F196938"/>
    <w:rsid w:val="7F21759B"/>
    <w:rsid w:val="7F2F1CB8"/>
    <w:rsid w:val="7F3B065C"/>
    <w:rsid w:val="7F45305F"/>
    <w:rsid w:val="7F634051"/>
    <w:rsid w:val="7F6776A3"/>
    <w:rsid w:val="7F7678E7"/>
    <w:rsid w:val="7F896C5B"/>
    <w:rsid w:val="7F985AAF"/>
    <w:rsid w:val="7FB4040F"/>
    <w:rsid w:val="7FB90F20"/>
    <w:rsid w:val="7FD2557E"/>
    <w:rsid w:val="7FDA60C7"/>
    <w:rsid w:val="7FE1723C"/>
    <w:rsid w:val="7FE40CF4"/>
    <w:rsid w:val="7FE42AA2"/>
    <w:rsid w:val="7FEC6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lang w:val="en-US" w:eastAsia="zh-CN" w:bidi="ar-SA"/>
    </w:rPr>
  </w:style>
  <w:style w:type="paragraph" w:styleId="3">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paragraph" w:styleId="4">
    <w:name w:val="heading 2"/>
    <w:basedOn w:val="1"/>
    <w:next w:val="1"/>
    <w:unhideWhenUsed/>
    <w:qFormat/>
    <w:uiPriority w:val="0"/>
    <w:pPr>
      <w:keepNext/>
      <w:keepLines/>
      <w:spacing w:before="120" w:beforeLines="0" w:after="120" w:afterLines="0" w:line="360" w:lineRule="auto"/>
      <w:jc w:val="left"/>
      <w:outlineLvl w:val="1"/>
    </w:pPr>
    <w:rPr>
      <w:rFonts w:ascii="Arial" w:hAnsi="Arial" w:eastAsia="黑体"/>
      <w:b/>
      <w:sz w:val="30"/>
      <w:szCs w:val="2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spacing w:before="142"/>
      <w:ind w:left="661"/>
      <w:outlineLvl w:val="3"/>
    </w:pPr>
    <w:rPr>
      <w:b/>
      <w:bCs/>
      <w:sz w:val="28"/>
      <w:szCs w:val="28"/>
    </w:rPr>
  </w:style>
  <w:style w:type="paragraph" w:styleId="7">
    <w:name w:val="heading 6"/>
    <w:basedOn w:val="1"/>
    <w:next w:val="1"/>
    <w:unhideWhenUsed/>
    <w:qFormat/>
    <w:uiPriority w:val="0"/>
    <w:pPr>
      <w:ind w:left="1141"/>
      <w:outlineLvl w:val="5"/>
    </w:pPr>
    <w:rPr>
      <w:b/>
      <w:bCs/>
      <w:sz w:val="24"/>
      <w:szCs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Cs w:val="24"/>
    </w:rPr>
  </w:style>
  <w:style w:type="paragraph" w:styleId="8">
    <w:name w:val="Normal Indent"/>
    <w:basedOn w:val="1"/>
    <w:qFormat/>
    <w:uiPriority w:val="0"/>
    <w:pPr>
      <w:ind w:firstLine="420"/>
    </w:pPr>
  </w:style>
  <w:style w:type="paragraph" w:styleId="9">
    <w:name w:val="Body Text"/>
    <w:basedOn w:val="1"/>
    <w:next w:val="1"/>
    <w:qFormat/>
    <w:uiPriority w:val="0"/>
    <w:pPr>
      <w:spacing w:after="120" w:afterLines="0"/>
    </w:pPr>
  </w:style>
  <w:style w:type="paragraph" w:styleId="10">
    <w:name w:val="Body Text Indent"/>
    <w:basedOn w:val="1"/>
    <w:next w:val="11"/>
    <w:unhideWhenUsed/>
    <w:qFormat/>
    <w:uiPriority w:val="0"/>
    <w:pPr>
      <w:spacing w:after="156" w:afterLines="50" w:line="360" w:lineRule="exact"/>
      <w:ind w:firstLine="480" w:firstLineChars="200"/>
    </w:pPr>
    <w:rPr>
      <w:rFonts w:ascii="宋体" w:hAnsi="宋体"/>
      <w:szCs w:val="24"/>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39"/>
    <w:pPr>
      <w:ind w:left="420"/>
      <w:jc w:val="left"/>
    </w:pPr>
    <w:rPr>
      <w:i/>
      <w:iCs/>
      <w:sz w:val="20"/>
    </w:rPr>
  </w:style>
  <w:style w:type="paragraph" w:styleId="13">
    <w:name w:val="Plain Text"/>
    <w:basedOn w:val="1"/>
    <w:qFormat/>
    <w:uiPriority w:val="0"/>
    <w:rPr>
      <w:rFonts w:hAnsi="Courier New"/>
    </w:rPr>
  </w:style>
  <w:style w:type="paragraph" w:styleId="14">
    <w:name w:val="Date"/>
    <w:basedOn w:val="1"/>
    <w:next w:val="1"/>
    <w:qFormat/>
    <w:uiPriority w:val="0"/>
    <w:rPr>
      <w:sz w:val="28"/>
    </w:rPr>
  </w:style>
  <w:style w:type="paragraph" w:styleId="15">
    <w:name w:val="Balloon Text"/>
    <w:basedOn w:val="1"/>
    <w:next w:val="12"/>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000000" w:sz="6" w:space="1"/>
      </w:pBdr>
      <w:tabs>
        <w:tab w:val="center" w:pos="4153"/>
        <w:tab w:val="right" w:pos="8306"/>
      </w:tabs>
      <w:spacing w:line="240" w:lineRule="atLeast"/>
      <w:jc w:val="center"/>
    </w:pPr>
    <w:rPr>
      <w:kern w:val="0"/>
      <w:sz w:val="18"/>
    </w:rPr>
  </w:style>
  <w:style w:type="paragraph" w:styleId="18">
    <w:name w:val="toc 1"/>
    <w:basedOn w:val="1"/>
    <w:next w:val="1"/>
    <w:qFormat/>
    <w:uiPriority w:val="0"/>
    <w:pPr>
      <w:spacing w:before="163"/>
      <w:ind w:left="661"/>
    </w:pPr>
    <w:rPr>
      <w:sz w:val="36"/>
      <w:szCs w:val="36"/>
    </w:rPr>
  </w:style>
  <w:style w:type="paragraph" w:styleId="19">
    <w:name w:val="toc 2"/>
    <w:basedOn w:val="1"/>
    <w:next w:val="1"/>
    <w:qFormat/>
    <w:uiPriority w:val="0"/>
    <w:pPr>
      <w:spacing w:line="240" w:lineRule="auto"/>
      <w:ind w:left="420" w:leftChars="200"/>
    </w:pPr>
  </w:style>
  <w:style w:type="paragraph" w:styleId="20">
    <w:name w:val="Normal (Web)"/>
    <w:basedOn w:val="1"/>
    <w:next w:val="1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next w:val="1"/>
    <w:qFormat/>
    <w:uiPriority w:val="0"/>
    <w:pPr>
      <w:adjustRightInd w:val="0"/>
      <w:ind w:firstLine="420"/>
      <w:jc w:val="left"/>
      <w:textAlignment w:val="baseline"/>
    </w:pPr>
    <w:rPr>
      <w:kern w:val="0"/>
      <w:sz w:val="21"/>
    </w:rPr>
  </w:style>
  <w:style w:type="paragraph" w:styleId="22">
    <w:name w:val="Body Text First Indent 2"/>
    <w:basedOn w:val="10"/>
    <w:next w:val="21"/>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cs="Times New Roman"/>
      <w:b/>
      <w:bCs/>
    </w:rPr>
  </w:style>
  <w:style w:type="character" w:styleId="27">
    <w:name w:val="page number"/>
    <w:basedOn w:val="25"/>
    <w:qFormat/>
    <w:uiPriority w:val="0"/>
  </w:style>
  <w:style w:type="character" w:styleId="28">
    <w:name w:val="FollowedHyperlink"/>
    <w:basedOn w:val="29"/>
    <w:qFormat/>
    <w:uiPriority w:val="0"/>
    <w:rPr>
      <w:color w:val="333333"/>
    </w:rPr>
  </w:style>
  <w:style w:type="character" w:customStyle="1" w:styleId="29">
    <w:name w:val="NormalCharacter"/>
    <w:link w:val="30"/>
    <w:qFormat/>
    <w:uiPriority w:val="0"/>
  </w:style>
  <w:style w:type="paragraph" w:customStyle="1" w:styleId="30">
    <w:name w:val="UserStyle_34"/>
    <w:basedOn w:val="1"/>
    <w:link w:val="29"/>
    <w:qFormat/>
    <w:uiPriority w:val="0"/>
  </w:style>
  <w:style w:type="character" w:styleId="31">
    <w:name w:val="Emphasis"/>
    <w:basedOn w:val="29"/>
    <w:qFormat/>
    <w:uiPriority w:val="0"/>
  </w:style>
  <w:style w:type="character" w:styleId="32">
    <w:name w:val="HTML Definition"/>
    <w:basedOn w:val="25"/>
    <w:qFormat/>
    <w:uiPriority w:val="0"/>
  </w:style>
  <w:style w:type="character" w:styleId="33">
    <w:name w:val="HTML Typewriter"/>
    <w:basedOn w:val="25"/>
    <w:qFormat/>
    <w:uiPriority w:val="0"/>
    <w:rPr>
      <w:rFonts w:hint="default" w:ascii="monospace" w:hAnsi="monospace" w:eastAsia="monospace" w:cs="monospace"/>
      <w:sz w:val="20"/>
    </w:rPr>
  </w:style>
  <w:style w:type="character" w:styleId="34">
    <w:name w:val="HTML Acronym"/>
    <w:basedOn w:val="25"/>
    <w:qFormat/>
    <w:uiPriority w:val="0"/>
  </w:style>
  <w:style w:type="character" w:styleId="35">
    <w:name w:val="HTML Variable"/>
    <w:basedOn w:val="25"/>
    <w:qFormat/>
    <w:uiPriority w:val="0"/>
  </w:style>
  <w:style w:type="character" w:styleId="36">
    <w:name w:val="Hyperlink"/>
    <w:basedOn w:val="25"/>
    <w:qFormat/>
    <w:uiPriority w:val="0"/>
    <w:rPr>
      <w:color w:val="333333"/>
    </w:rPr>
  </w:style>
  <w:style w:type="character" w:styleId="37">
    <w:name w:val="HTML Code"/>
    <w:basedOn w:val="25"/>
    <w:qFormat/>
    <w:uiPriority w:val="0"/>
    <w:rPr>
      <w:rFonts w:hint="default" w:ascii="Consolas" w:hAnsi="Consolas" w:eastAsia="Consolas" w:cs="Consolas"/>
      <w:color w:val="C7254E"/>
      <w:sz w:val="21"/>
      <w:szCs w:val="21"/>
      <w:shd w:val="clear" w:fill="F9F2F4"/>
    </w:rPr>
  </w:style>
  <w:style w:type="character" w:styleId="38">
    <w:name w:val="HTML Cite"/>
    <w:basedOn w:val="25"/>
    <w:qFormat/>
    <w:uiPriority w:val="0"/>
  </w:style>
  <w:style w:type="character" w:styleId="39">
    <w:name w:val="HTML Keyboard"/>
    <w:basedOn w:val="25"/>
    <w:qFormat/>
    <w:uiPriority w:val="0"/>
    <w:rPr>
      <w:rFonts w:hint="default" w:ascii="Consolas" w:hAnsi="Consolas" w:eastAsia="Consolas" w:cs="Consolas"/>
      <w:color w:val="FFFFFF"/>
      <w:sz w:val="21"/>
      <w:szCs w:val="21"/>
      <w:shd w:val="clear" w:fill="333333"/>
    </w:rPr>
  </w:style>
  <w:style w:type="character" w:styleId="40">
    <w:name w:val="HTML Sample"/>
    <w:basedOn w:val="25"/>
    <w:qFormat/>
    <w:uiPriority w:val="0"/>
    <w:rPr>
      <w:rFonts w:ascii="Consolas" w:hAnsi="Consolas" w:eastAsia="Consolas" w:cs="Consolas"/>
      <w:sz w:val="21"/>
      <w:szCs w:val="21"/>
    </w:rPr>
  </w:style>
  <w:style w:type="paragraph" w:customStyle="1" w:styleId="41">
    <w:name w:val="正文缩进1"/>
    <w:basedOn w:val="1"/>
    <w:qFormat/>
    <w:uiPriority w:val="0"/>
    <w:pPr>
      <w:ind w:firstLine="420" w:firstLineChars="200"/>
    </w:pPr>
  </w:style>
  <w:style w:type="paragraph" w:customStyle="1" w:styleId="42">
    <w:name w:val="三级1"/>
    <w:basedOn w:val="5"/>
    <w:qFormat/>
    <w:uiPriority w:val="0"/>
    <w:pPr>
      <w:tabs>
        <w:tab w:val="left" w:pos="2422"/>
      </w:tabs>
      <w:ind w:left="2422" w:hanging="720"/>
    </w:pPr>
    <w:rPr>
      <w:rFonts w:ascii="宋体" w:hAnsi="Calibri"/>
      <w:spacing w:val="10"/>
      <w:sz w:val="24"/>
    </w:rPr>
  </w:style>
  <w:style w:type="paragraph" w:customStyle="1" w:styleId="43">
    <w:name w:val="Heading1"/>
    <w:basedOn w:val="1"/>
    <w:next w:val="1"/>
    <w:link w:val="87"/>
    <w:qFormat/>
    <w:uiPriority w:val="0"/>
    <w:pPr>
      <w:keepNext/>
      <w:keepLines/>
      <w:spacing w:before="340" w:after="330" w:line="576" w:lineRule="auto"/>
    </w:pPr>
    <w:rPr>
      <w:b/>
      <w:kern w:val="44"/>
      <w:sz w:val="44"/>
    </w:rPr>
  </w:style>
  <w:style w:type="paragraph" w:customStyle="1" w:styleId="44">
    <w:name w:val="Heading2"/>
    <w:basedOn w:val="1"/>
    <w:next w:val="1"/>
    <w:link w:val="83"/>
    <w:qFormat/>
    <w:uiPriority w:val="0"/>
    <w:pPr>
      <w:keepNext/>
      <w:keepLines/>
      <w:spacing w:before="260" w:after="260"/>
      <w:jc w:val="center"/>
    </w:pPr>
    <w:rPr>
      <w:rFonts w:ascii="Arial" w:hAnsi="Arial"/>
      <w:b/>
      <w:sz w:val="30"/>
    </w:rPr>
  </w:style>
  <w:style w:type="paragraph" w:customStyle="1" w:styleId="45">
    <w:name w:val="Heading3"/>
    <w:basedOn w:val="1"/>
    <w:next w:val="1"/>
    <w:link w:val="80"/>
    <w:qFormat/>
    <w:uiPriority w:val="0"/>
    <w:pPr>
      <w:keepNext/>
      <w:keepLines/>
      <w:spacing w:before="260" w:after="260"/>
      <w:jc w:val="center"/>
    </w:pPr>
    <w:rPr>
      <w:b/>
      <w:sz w:val="28"/>
    </w:rPr>
  </w:style>
  <w:style w:type="paragraph" w:customStyle="1" w:styleId="46">
    <w:name w:val="Heading4"/>
    <w:basedOn w:val="1"/>
    <w:next w:val="1"/>
    <w:qFormat/>
    <w:uiPriority w:val="0"/>
    <w:pPr>
      <w:keepNext/>
      <w:keepLines/>
      <w:tabs>
        <w:tab w:val="left" w:pos="864"/>
      </w:tabs>
      <w:spacing w:before="120" w:line="360" w:lineRule="auto"/>
      <w:ind w:left="864" w:hanging="864"/>
    </w:pPr>
    <w:rPr>
      <w:rFonts w:ascii="Arial" w:hAnsi="Arial" w:cs="Times New Roman"/>
      <w:bCs/>
      <w:sz w:val="24"/>
      <w:szCs w:val="28"/>
    </w:rPr>
  </w:style>
  <w:style w:type="paragraph" w:customStyle="1" w:styleId="47">
    <w:name w:val="BodyText"/>
    <w:basedOn w:val="1"/>
    <w:next w:val="48"/>
    <w:link w:val="82"/>
    <w:qFormat/>
    <w:uiPriority w:val="0"/>
    <w:pPr>
      <w:spacing w:after="120"/>
    </w:pPr>
  </w:style>
  <w:style w:type="paragraph" w:customStyle="1" w:styleId="48">
    <w:name w:val="UserStyle_31"/>
    <w:basedOn w:val="1"/>
    <w:next w:val="1"/>
    <w:qFormat/>
    <w:uiPriority w:val="0"/>
    <w:pPr>
      <w:ind w:firstLine="420" w:firstLineChars="200"/>
    </w:pPr>
  </w:style>
  <w:style w:type="paragraph" w:customStyle="1" w:styleId="49">
    <w:name w:val="NormalIndent"/>
    <w:basedOn w:val="1"/>
    <w:next w:val="1"/>
    <w:qFormat/>
    <w:uiPriority w:val="0"/>
    <w:pPr>
      <w:spacing w:line="300" w:lineRule="auto"/>
      <w:ind w:firstLine="420" w:firstLineChars="200"/>
    </w:pPr>
    <w:rPr>
      <w:szCs w:val="24"/>
    </w:rPr>
  </w:style>
  <w:style w:type="paragraph" w:customStyle="1" w:styleId="50">
    <w:name w:val="TOC7"/>
    <w:basedOn w:val="1"/>
    <w:next w:val="1"/>
    <w:qFormat/>
    <w:uiPriority w:val="0"/>
    <w:pPr>
      <w:ind w:left="2520" w:leftChars="1200"/>
    </w:pPr>
  </w:style>
  <w:style w:type="paragraph" w:customStyle="1" w:styleId="51">
    <w:name w:val="TOC5"/>
    <w:basedOn w:val="1"/>
    <w:next w:val="1"/>
    <w:qFormat/>
    <w:uiPriority w:val="0"/>
    <w:pPr>
      <w:ind w:left="1680" w:leftChars="800"/>
    </w:pPr>
  </w:style>
  <w:style w:type="paragraph" w:customStyle="1" w:styleId="52">
    <w:name w:val="UserStyle_28"/>
    <w:basedOn w:val="1"/>
    <w:next w:val="1"/>
    <w:qFormat/>
    <w:uiPriority w:val="0"/>
    <w:pPr>
      <w:spacing w:after="120"/>
      <w:ind w:left="420" w:leftChars="200"/>
    </w:pPr>
    <w:rPr>
      <w:color w:val="000000"/>
      <w:szCs w:val="21"/>
    </w:rPr>
  </w:style>
  <w:style w:type="paragraph" w:customStyle="1" w:styleId="53">
    <w:name w:val="UserStyle_29"/>
    <w:basedOn w:val="1"/>
    <w:qFormat/>
    <w:uiPriority w:val="0"/>
  </w:style>
  <w:style w:type="paragraph" w:customStyle="1" w:styleId="54">
    <w:name w:val="UserStyle_30"/>
    <w:basedOn w:val="52"/>
    <w:qFormat/>
    <w:uiPriority w:val="0"/>
    <w:pPr>
      <w:ind w:firstLine="420"/>
    </w:pPr>
  </w:style>
  <w:style w:type="paragraph" w:customStyle="1" w:styleId="55">
    <w:name w:val="BodyText1I"/>
    <w:basedOn w:val="47"/>
    <w:qFormat/>
    <w:uiPriority w:val="0"/>
    <w:pPr>
      <w:spacing w:line="360" w:lineRule="auto"/>
      <w:ind w:firstLine="200" w:firstLineChars="200"/>
    </w:pPr>
    <w:rPr>
      <w:rFonts w:ascii="Arial" w:hAnsi="Arial"/>
      <w:szCs w:val="21"/>
    </w:rPr>
  </w:style>
  <w:style w:type="paragraph" w:customStyle="1" w:styleId="56">
    <w:name w:val="UserStyle_32"/>
    <w:basedOn w:val="1"/>
    <w:qFormat/>
    <w:uiPriority w:val="0"/>
    <w:pPr>
      <w:spacing w:before="150"/>
      <w:jc w:val="left"/>
    </w:pPr>
    <w:rPr>
      <w:b/>
      <w:kern w:val="0"/>
      <w:sz w:val="22"/>
      <w:szCs w:val="22"/>
    </w:rPr>
  </w:style>
  <w:style w:type="paragraph" w:customStyle="1" w:styleId="57">
    <w:name w:val="HtmlNormal"/>
    <w:basedOn w:val="1"/>
    <w:qFormat/>
    <w:uiPriority w:val="0"/>
    <w:pPr>
      <w:jc w:val="left"/>
    </w:pPr>
    <w:rPr>
      <w:kern w:val="0"/>
      <w:sz w:val="24"/>
    </w:rPr>
  </w:style>
  <w:style w:type="paragraph" w:customStyle="1" w:styleId="58">
    <w:name w:val="TOC3"/>
    <w:basedOn w:val="1"/>
    <w:next w:val="1"/>
    <w:qFormat/>
    <w:uiPriority w:val="0"/>
    <w:pPr>
      <w:ind w:left="840" w:leftChars="400"/>
    </w:pPr>
  </w:style>
  <w:style w:type="paragraph" w:customStyle="1" w:styleId="59">
    <w:name w:val="PlainText"/>
    <w:basedOn w:val="1"/>
    <w:qFormat/>
    <w:uiPriority w:val="0"/>
    <w:rPr>
      <w:rFonts w:ascii="宋体" w:hAnsi="Courier New"/>
      <w:sz w:val="24"/>
    </w:rPr>
  </w:style>
  <w:style w:type="paragraph" w:customStyle="1" w:styleId="60">
    <w:name w:val="TOC8"/>
    <w:basedOn w:val="1"/>
    <w:next w:val="1"/>
    <w:qFormat/>
    <w:uiPriority w:val="0"/>
    <w:pPr>
      <w:ind w:left="2940" w:leftChars="1400"/>
    </w:pPr>
  </w:style>
  <w:style w:type="paragraph" w:customStyle="1" w:styleId="61">
    <w:name w:val="TOC2"/>
    <w:basedOn w:val="1"/>
    <w:next w:val="1"/>
    <w:qFormat/>
    <w:uiPriority w:val="0"/>
    <w:pPr>
      <w:ind w:left="420" w:leftChars="200"/>
    </w:pPr>
  </w:style>
  <w:style w:type="paragraph" w:customStyle="1" w:styleId="62">
    <w:name w:val="BodyTextIndent2"/>
    <w:basedOn w:val="1"/>
    <w:qFormat/>
    <w:uiPriority w:val="0"/>
    <w:pPr>
      <w:spacing w:line="360" w:lineRule="auto"/>
      <w:ind w:firstLine="480" w:firstLineChars="200"/>
    </w:pPr>
    <w:rPr>
      <w:rFonts w:ascii="幼圆" w:hAnsi="宋体" w:eastAsia="幼圆"/>
      <w:color w:val="FF0000"/>
      <w:sz w:val="24"/>
    </w:rPr>
  </w:style>
  <w:style w:type="paragraph" w:customStyle="1" w:styleId="63">
    <w:name w:val="BodyText2"/>
    <w:basedOn w:val="1"/>
    <w:qFormat/>
    <w:uiPriority w:val="0"/>
    <w:pPr>
      <w:spacing w:line="360" w:lineRule="auto"/>
    </w:pPr>
    <w:rPr>
      <w:rFonts w:ascii="幼圆" w:eastAsia="幼圆"/>
      <w:sz w:val="24"/>
      <w:u w:val="single"/>
    </w:rPr>
  </w:style>
  <w:style w:type="paragraph" w:customStyle="1" w:styleId="64">
    <w:name w:val="TOC6"/>
    <w:basedOn w:val="1"/>
    <w:next w:val="1"/>
    <w:qFormat/>
    <w:uiPriority w:val="0"/>
    <w:pPr>
      <w:ind w:left="2100" w:leftChars="1000"/>
    </w:pPr>
  </w:style>
  <w:style w:type="paragraph" w:customStyle="1" w:styleId="65">
    <w:name w:val="TOC1"/>
    <w:basedOn w:val="1"/>
    <w:next w:val="1"/>
    <w:qFormat/>
    <w:uiPriority w:val="0"/>
  </w:style>
  <w:style w:type="paragraph" w:customStyle="1" w:styleId="66">
    <w:name w:val="TOC4"/>
    <w:basedOn w:val="1"/>
    <w:next w:val="1"/>
    <w:qFormat/>
    <w:uiPriority w:val="0"/>
    <w:pPr>
      <w:ind w:left="1260" w:leftChars="600"/>
    </w:pPr>
  </w:style>
  <w:style w:type="paragraph" w:customStyle="1" w:styleId="67">
    <w:name w:val="TOC9"/>
    <w:basedOn w:val="1"/>
    <w:next w:val="1"/>
    <w:qFormat/>
    <w:uiPriority w:val="0"/>
    <w:pPr>
      <w:ind w:left="3360" w:leftChars="1600"/>
    </w:pPr>
  </w:style>
  <w:style w:type="paragraph" w:customStyle="1" w:styleId="68">
    <w:name w:val="UserStyle_33"/>
    <w:basedOn w:val="1"/>
    <w:qFormat/>
    <w:uiPriority w:val="0"/>
    <w:pPr>
      <w:snapToGrid w:val="0"/>
      <w:spacing w:line="300" w:lineRule="auto"/>
      <w:ind w:left="350" w:hanging="350" w:hangingChars="350"/>
    </w:pPr>
    <w:rPr>
      <w:rFonts w:eastAsia="仿宋_GB2312" w:cs="Times New Roman"/>
      <w:bCs/>
      <w:color w:val="000000"/>
      <w:szCs w:val="24"/>
    </w:rPr>
  </w:style>
  <w:style w:type="paragraph" w:customStyle="1" w:styleId="69">
    <w:name w:val="UserStyle_35"/>
    <w:basedOn w:val="1"/>
    <w:qFormat/>
    <w:uiPriority w:val="0"/>
    <w:pPr>
      <w:spacing w:before="100" w:after="100"/>
      <w:jc w:val="center"/>
    </w:pPr>
    <w:rPr>
      <w:rFonts w:ascii="宋体" w:hAnsi="宋体"/>
      <w:kern w:val="0"/>
      <w:sz w:val="24"/>
    </w:rPr>
  </w:style>
  <w:style w:type="paragraph" w:customStyle="1" w:styleId="70">
    <w:name w:val="UserStyle_36"/>
    <w:basedOn w:val="1"/>
    <w:qFormat/>
    <w:uiPriority w:val="0"/>
    <w:pPr>
      <w:ind w:firstLine="420" w:firstLineChars="200"/>
    </w:pPr>
  </w:style>
  <w:style w:type="paragraph" w:customStyle="1" w:styleId="71">
    <w:name w:val="UserStyle_37"/>
    <w:basedOn w:val="1"/>
    <w:qFormat/>
    <w:uiPriority w:val="0"/>
    <w:pPr>
      <w:spacing w:line="324" w:lineRule="auto"/>
    </w:pPr>
    <w:rPr>
      <w:rFonts w:ascii="宋体" w:hAnsi="Courier New"/>
      <w:szCs w:val="21"/>
    </w:rPr>
  </w:style>
  <w:style w:type="paragraph" w:customStyle="1" w:styleId="72">
    <w:name w:val="UserStyle_38"/>
    <w:basedOn w:val="1"/>
    <w:qFormat/>
    <w:uiPriority w:val="0"/>
    <w:rPr>
      <w:rFonts w:ascii="Tahoma" w:hAnsi="Tahoma"/>
    </w:rPr>
  </w:style>
  <w:style w:type="paragraph" w:customStyle="1" w:styleId="73">
    <w:name w:val="_Style 54"/>
    <w:basedOn w:val="1"/>
    <w:next w:val="1"/>
    <w:qFormat/>
    <w:uiPriority w:val="0"/>
    <w:pPr>
      <w:pBdr>
        <w:top w:val="single" w:color="auto" w:sz="6" w:space="1"/>
      </w:pBdr>
      <w:jc w:val="center"/>
    </w:pPr>
    <w:rPr>
      <w:rFonts w:ascii="Arial" w:eastAsia="宋体"/>
      <w:vanish/>
      <w:sz w:val="16"/>
    </w:rPr>
  </w:style>
  <w:style w:type="paragraph" w:customStyle="1" w:styleId="74">
    <w:name w:val="Table Paragraph"/>
    <w:basedOn w:val="1"/>
    <w:qFormat/>
    <w:uiPriority w:val="1"/>
  </w:style>
  <w:style w:type="paragraph" w:customStyle="1" w:styleId="75">
    <w:name w:val="List Paragraph"/>
    <w:basedOn w:val="1"/>
    <w:qFormat/>
    <w:uiPriority w:val="1"/>
    <w:pPr>
      <w:spacing w:before="160"/>
      <w:ind w:left="661" w:firstLine="480"/>
    </w:pPr>
  </w:style>
  <w:style w:type="paragraph" w:customStyle="1" w:styleId="76">
    <w:name w:val="*正文"/>
    <w:basedOn w:val="1"/>
    <w:qFormat/>
    <w:uiPriority w:val="99"/>
    <w:pPr>
      <w:widowControl/>
      <w:spacing w:beforeLines="50" w:afterLines="50" w:line="319" w:lineRule="auto"/>
    </w:pPr>
    <w:rPr>
      <w:szCs w:val="24"/>
    </w:rPr>
  </w:style>
  <w:style w:type="paragraph" w:customStyle="1" w:styleId="77">
    <w:name w:val="方案正文"/>
    <w:basedOn w:val="1"/>
    <w:qFormat/>
    <w:uiPriority w:val="0"/>
    <w:pPr>
      <w:adjustRightInd w:val="0"/>
      <w:snapToGrid w:val="0"/>
      <w:spacing w:line="360" w:lineRule="auto"/>
      <w:ind w:firstLine="480" w:firstLineChars="200"/>
    </w:pPr>
    <w:rPr>
      <w:sz w:val="24"/>
      <w:szCs w:val="24"/>
    </w:rPr>
  </w:style>
  <w:style w:type="paragraph" w:customStyle="1" w:styleId="78">
    <w:name w:val="xl30"/>
    <w:basedOn w:val="1"/>
    <w:qFormat/>
    <w:uiPriority w:val="0"/>
    <w:pPr>
      <w:widowControl/>
      <w:spacing w:before="100" w:beforeAutospacing="1" w:after="100" w:afterAutospacing="1"/>
      <w:jc w:val="center"/>
      <w:textAlignment w:val="center"/>
    </w:pPr>
    <w:rPr>
      <w:rFonts w:ascii="楷体_GB2312" w:eastAsia="楷体_GB2312"/>
      <w:b/>
      <w:sz w:val="32"/>
    </w:rPr>
  </w:style>
  <w:style w:type="character" w:customStyle="1" w:styleId="79">
    <w:name w:val="UserStyle_0"/>
    <w:basedOn w:val="29"/>
    <w:qFormat/>
    <w:uiPriority w:val="0"/>
  </w:style>
  <w:style w:type="character" w:customStyle="1" w:styleId="80">
    <w:name w:val="UserStyle_1"/>
    <w:link w:val="45"/>
    <w:qFormat/>
    <w:uiPriority w:val="0"/>
    <w:rPr>
      <w:rFonts w:ascii="Times New Roman" w:hAnsi="Times New Roman" w:eastAsia="宋体"/>
      <w:b/>
      <w:sz w:val="28"/>
    </w:rPr>
  </w:style>
  <w:style w:type="character" w:customStyle="1" w:styleId="81">
    <w:name w:val="UserStyle_2"/>
    <w:basedOn w:val="29"/>
    <w:qFormat/>
    <w:uiPriority w:val="0"/>
    <w:rPr>
      <w:color w:val="FFFFFF"/>
      <w:shd w:val="clear" w:color="auto" w:fill="666677"/>
    </w:rPr>
  </w:style>
  <w:style w:type="character" w:customStyle="1" w:styleId="82">
    <w:name w:val="UserStyle_3"/>
    <w:link w:val="47"/>
    <w:qFormat/>
    <w:uiPriority w:val="0"/>
  </w:style>
  <w:style w:type="character" w:customStyle="1" w:styleId="83">
    <w:name w:val="UserStyle_4"/>
    <w:link w:val="44"/>
    <w:qFormat/>
    <w:uiPriority w:val="0"/>
    <w:rPr>
      <w:rFonts w:ascii="Arial" w:hAnsi="Arial" w:eastAsia="宋体"/>
      <w:b/>
      <w:sz w:val="30"/>
    </w:rPr>
  </w:style>
  <w:style w:type="character" w:customStyle="1" w:styleId="84">
    <w:name w:val="UserStyle_5"/>
    <w:basedOn w:val="29"/>
    <w:qFormat/>
    <w:uiPriority w:val="0"/>
  </w:style>
  <w:style w:type="character" w:customStyle="1" w:styleId="85">
    <w:name w:val="UserStyle_6"/>
    <w:basedOn w:val="29"/>
    <w:qFormat/>
    <w:uiPriority w:val="0"/>
    <w:rPr>
      <w:color w:val="FF6600"/>
    </w:rPr>
  </w:style>
  <w:style w:type="character" w:customStyle="1" w:styleId="86">
    <w:name w:val="UserStyle_7"/>
    <w:basedOn w:val="29"/>
    <w:qFormat/>
    <w:uiPriority w:val="0"/>
  </w:style>
  <w:style w:type="character" w:customStyle="1" w:styleId="87">
    <w:name w:val="UserStyle_8"/>
    <w:link w:val="43"/>
    <w:qFormat/>
    <w:uiPriority w:val="0"/>
    <w:rPr>
      <w:b/>
      <w:kern w:val="44"/>
      <w:sz w:val="44"/>
    </w:rPr>
  </w:style>
  <w:style w:type="character" w:customStyle="1" w:styleId="88">
    <w:name w:val="UserStyle_9"/>
    <w:basedOn w:val="29"/>
    <w:qFormat/>
    <w:uiPriority w:val="0"/>
    <w:rPr>
      <w:color w:val="FFFFFF"/>
      <w:shd w:val="clear" w:color="auto" w:fill="666677"/>
    </w:rPr>
  </w:style>
  <w:style w:type="character" w:customStyle="1" w:styleId="89">
    <w:name w:val="HtmlDfn"/>
    <w:basedOn w:val="29"/>
    <w:qFormat/>
    <w:uiPriority w:val="0"/>
    <w:rPr>
      <w:i/>
    </w:rPr>
  </w:style>
  <w:style w:type="character" w:customStyle="1" w:styleId="90">
    <w:name w:val="PageNumber"/>
    <w:basedOn w:val="29"/>
    <w:qFormat/>
    <w:uiPriority w:val="0"/>
  </w:style>
  <w:style w:type="character" w:customStyle="1" w:styleId="91">
    <w:name w:val="HtmlKbd"/>
    <w:basedOn w:val="29"/>
    <w:qFormat/>
    <w:uiPriority w:val="0"/>
    <w:rPr>
      <w:rFonts w:ascii="Consolas" w:hAnsi="Consolas" w:eastAsia="Consolas"/>
      <w:color w:val="FFFFFF"/>
      <w:sz w:val="21"/>
      <w:szCs w:val="21"/>
      <w:shd w:val="clear" w:color="auto" w:fill="333333"/>
    </w:rPr>
  </w:style>
  <w:style w:type="character" w:customStyle="1" w:styleId="92">
    <w:name w:val="htmlSamp"/>
    <w:basedOn w:val="29"/>
    <w:qFormat/>
    <w:uiPriority w:val="0"/>
    <w:rPr>
      <w:rFonts w:ascii="Consolas" w:hAnsi="Consolas" w:eastAsia="Consolas"/>
      <w:sz w:val="21"/>
      <w:szCs w:val="21"/>
    </w:rPr>
  </w:style>
  <w:style w:type="character" w:customStyle="1" w:styleId="93">
    <w:name w:val="HtmlCode"/>
    <w:basedOn w:val="29"/>
    <w:qFormat/>
    <w:uiPriority w:val="0"/>
    <w:rPr>
      <w:rFonts w:ascii="Consolas" w:hAnsi="Consolas" w:eastAsia="Consolas"/>
      <w:color w:val="C7254E"/>
      <w:sz w:val="21"/>
      <w:szCs w:val="21"/>
      <w:shd w:val="clear" w:color="auto" w:fill="F9F2F4"/>
    </w:rPr>
  </w:style>
  <w:style w:type="character" w:customStyle="1" w:styleId="94">
    <w:name w:val="UserStyle_10"/>
    <w:basedOn w:val="29"/>
    <w:qFormat/>
    <w:uiPriority w:val="0"/>
  </w:style>
  <w:style w:type="character" w:customStyle="1" w:styleId="95">
    <w:name w:val="UserStyle_11"/>
    <w:basedOn w:val="29"/>
    <w:qFormat/>
    <w:uiPriority w:val="0"/>
  </w:style>
  <w:style w:type="character" w:customStyle="1" w:styleId="96">
    <w:name w:val="UserStyle_12"/>
    <w:qFormat/>
    <w:uiPriority w:val="0"/>
    <w:rPr>
      <w:kern w:val="2"/>
      <w:sz w:val="21"/>
      <w:lang w:val="en-US" w:eastAsia="zh-CN" w:bidi="ar-SA"/>
    </w:rPr>
  </w:style>
  <w:style w:type="character" w:customStyle="1" w:styleId="97">
    <w:name w:val="UserStyle_13"/>
    <w:basedOn w:val="29"/>
    <w:qFormat/>
    <w:uiPriority w:val="0"/>
  </w:style>
  <w:style w:type="character" w:customStyle="1" w:styleId="98">
    <w:name w:val="UserStyle_14"/>
    <w:basedOn w:val="29"/>
    <w:qFormat/>
    <w:uiPriority w:val="0"/>
  </w:style>
  <w:style w:type="character" w:customStyle="1" w:styleId="99">
    <w:name w:val="UserStyle_15"/>
    <w:basedOn w:val="29"/>
    <w:qFormat/>
    <w:uiPriority w:val="0"/>
    <w:rPr>
      <w:color w:val="00FF00"/>
      <w:shd w:val="clear" w:color="auto" w:fill="000000"/>
    </w:rPr>
  </w:style>
  <w:style w:type="character" w:customStyle="1" w:styleId="100">
    <w:name w:val="UserStyle_16"/>
    <w:basedOn w:val="29"/>
    <w:qFormat/>
    <w:uiPriority w:val="0"/>
  </w:style>
  <w:style w:type="character" w:customStyle="1" w:styleId="101">
    <w:name w:val="UserStyle_17"/>
    <w:basedOn w:val="29"/>
    <w:qFormat/>
    <w:uiPriority w:val="0"/>
    <w:rPr>
      <w:color w:val="FF8833"/>
      <w:sz w:val="18"/>
      <w:szCs w:val="18"/>
    </w:rPr>
  </w:style>
  <w:style w:type="character" w:customStyle="1" w:styleId="102">
    <w:name w:val="UserStyle_18"/>
    <w:basedOn w:val="29"/>
    <w:qFormat/>
    <w:uiPriority w:val="0"/>
    <w:rPr>
      <w:color w:val="999999"/>
    </w:rPr>
  </w:style>
  <w:style w:type="character" w:customStyle="1" w:styleId="103">
    <w:name w:val="UserStyle_19"/>
    <w:basedOn w:val="29"/>
    <w:qFormat/>
    <w:uiPriority w:val="0"/>
    <w:rPr>
      <w:color w:val="666666"/>
    </w:rPr>
  </w:style>
  <w:style w:type="character" w:customStyle="1" w:styleId="104">
    <w:name w:val="UserStyle_20"/>
    <w:basedOn w:val="29"/>
    <w:qFormat/>
    <w:uiPriority w:val="0"/>
    <w:rPr>
      <w:shd w:val="clear" w:color="auto" w:fill="EEEEEE"/>
    </w:rPr>
  </w:style>
  <w:style w:type="character" w:customStyle="1" w:styleId="105">
    <w:name w:val="UserStyle_21"/>
    <w:basedOn w:val="29"/>
    <w:qFormat/>
    <w:uiPriority w:val="0"/>
    <w:rPr>
      <w:color w:val="00FF00"/>
      <w:shd w:val="clear" w:color="auto" w:fill="000000"/>
    </w:rPr>
  </w:style>
  <w:style w:type="character" w:customStyle="1" w:styleId="106">
    <w:name w:val="UserStyle_22"/>
    <w:basedOn w:val="29"/>
    <w:qFormat/>
    <w:uiPriority w:val="0"/>
    <w:rPr>
      <w:rFonts w:ascii="宋体" w:hAnsi="宋体" w:eastAsia="宋体"/>
      <w:color w:val="000000"/>
      <w:sz w:val="24"/>
      <w:szCs w:val="24"/>
    </w:rPr>
  </w:style>
  <w:style w:type="character" w:customStyle="1" w:styleId="107">
    <w:name w:val="UserStyle_23"/>
    <w:basedOn w:val="29"/>
    <w:qFormat/>
    <w:uiPriority w:val="0"/>
    <w:rPr>
      <w:color w:val="FFFFFF"/>
      <w:shd w:val="clear" w:color="auto" w:fill="666677"/>
    </w:rPr>
  </w:style>
  <w:style w:type="character" w:customStyle="1" w:styleId="108">
    <w:name w:val="UserStyle_24"/>
    <w:basedOn w:val="29"/>
    <w:qFormat/>
    <w:uiPriority w:val="0"/>
  </w:style>
  <w:style w:type="character" w:customStyle="1" w:styleId="109">
    <w:name w:val="UserStyle_25"/>
    <w:basedOn w:val="29"/>
    <w:qFormat/>
    <w:uiPriority w:val="0"/>
  </w:style>
  <w:style w:type="character" w:customStyle="1" w:styleId="110">
    <w:name w:val="UserStyle_26"/>
    <w:basedOn w:val="29"/>
    <w:qFormat/>
    <w:uiPriority w:val="0"/>
  </w:style>
  <w:style w:type="character" w:customStyle="1" w:styleId="111">
    <w:name w:val="UserStyle_27"/>
    <w:basedOn w:val="29"/>
    <w:qFormat/>
    <w:uiPriority w:val="0"/>
    <w:rPr>
      <w:color w:val="FF8833"/>
      <w:sz w:val="18"/>
      <w:szCs w:val="18"/>
    </w:rPr>
  </w:style>
  <w:style w:type="character" w:customStyle="1" w:styleId="112">
    <w:name w:val="font01"/>
    <w:basedOn w:val="25"/>
    <w:qFormat/>
    <w:uiPriority w:val="0"/>
    <w:rPr>
      <w:rFonts w:hint="eastAsia" w:ascii="宋体" w:hAnsi="宋体" w:eastAsia="宋体" w:cs="宋体"/>
      <w:color w:val="000000"/>
      <w:sz w:val="22"/>
      <w:szCs w:val="22"/>
      <w:u w:val="none"/>
    </w:rPr>
  </w:style>
  <w:style w:type="table" w:customStyle="1" w:styleId="113">
    <w:name w:val="TableNormal"/>
    <w:qFormat/>
    <w:uiPriority w:val="0"/>
    <w:tblPr>
      <w:tblCellMar>
        <w:top w:w="0" w:type="dxa"/>
        <w:left w:w="0" w:type="dxa"/>
        <w:bottom w:w="0" w:type="dxa"/>
        <w:right w:w="0" w:type="dxa"/>
      </w:tblCellMar>
    </w:tblPr>
  </w:style>
  <w:style w:type="table" w:customStyle="1" w:styleId="114">
    <w:name w:val="TableGrid"/>
    <w:basedOn w:val="113"/>
    <w:qFormat/>
    <w:uiPriority w:val="0"/>
    <w:tblPr>
      <w:tblCellMar>
        <w:top w:w="0" w:type="dxa"/>
        <w:left w:w="0" w:type="dxa"/>
        <w:bottom w:w="0" w:type="dxa"/>
        <w:right w:w="0" w:type="dxa"/>
      </w:tblCellMar>
    </w:tblPr>
  </w:style>
  <w:style w:type="paragraph" w:customStyle="1" w:styleId="115">
    <w:name w:val="_Style 2"/>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16">
    <w:name w:val="WPSOffice手动目录 1"/>
    <w:qFormat/>
    <w:uiPriority w:val="0"/>
    <w:pPr>
      <w:ind w:leftChars="0"/>
    </w:pPr>
    <w:rPr>
      <w:rFonts w:ascii="Times New Roman" w:hAnsi="Times New Roman" w:eastAsia="宋体" w:cs="Times New Roman"/>
      <w:sz w:val="20"/>
      <w:szCs w:val="20"/>
    </w:rPr>
  </w:style>
  <w:style w:type="character" w:customStyle="1" w:styleId="117">
    <w:name w:val="hover3"/>
    <w:basedOn w:val="25"/>
    <w:qFormat/>
    <w:uiPriority w:val="0"/>
    <w:rPr>
      <w:shd w:val="clear" w:fill="EEEEEE"/>
    </w:rPr>
  </w:style>
  <w:style w:type="character" w:customStyle="1" w:styleId="118">
    <w:name w:val="old"/>
    <w:basedOn w:val="25"/>
    <w:qFormat/>
    <w:uiPriority w:val="0"/>
    <w:rPr>
      <w:color w:val="999999"/>
    </w:rPr>
  </w:style>
  <w:style w:type="character" w:customStyle="1" w:styleId="119">
    <w:name w:val="glyphicon4"/>
    <w:basedOn w:val="25"/>
    <w:qFormat/>
    <w:uiPriority w:val="0"/>
  </w:style>
  <w:style w:type="character" w:customStyle="1" w:styleId="120">
    <w:name w:val="hour_am"/>
    <w:basedOn w:val="25"/>
    <w:qFormat/>
    <w:uiPriority w:val="0"/>
  </w:style>
  <w:style w:type="character" w:customStyle="1" w:styleId="121">
    <w:name w:val="hour_pm"/>
    <w:basedOn w:val="25"/>
    <w:qFormat/>
    <w:uiPriority w:val="0"/>
  </w:style>
  <w:style w:type="character" w:customStyle="1" w:styleId="122">
    <w:name w:val="indent"/>
    <w:basedOn w:val="25"/>
    <w:qFormat/>
    <w:uiPriority w:val="0"/>
  </w:style>
  <w:style w:type="character" w:customStyle="1" w:styleId="123">
    <w:name w:val="button"/>
    <w:basedOn w:val="25"/>
    <w:qFormat/>
    <w:uiPriority w:val="0"/>
  </w:style>
  <w:style w:type="character" w:customStyle="1" w:styleId="124">
    <w:name w:val="tmpztreemove_arrow"/>
    <w:basedOn w:val="25"/>
    <w:qFormat/>
    <w:uiPriority w:val="0"/>
    <w:rPr>
      <w:shd w:val="clear" w:fill="FFFFFF"/>
    </w:rPr>
  </w:style>
  <w:style w:type="paragraph" w:customStyle="1" w:styleId="125">
    <w:name w:val="首行缩进"/>
    <w:basedOn w:val="1"/>
    <w:qFormat/>
    <w:uiPriority w:val="0"/>
    <w:pPr>
      <w:spacing w:line="360" w:lineRule="auto"/>
      <w:ind w:firstLine="480" w:firstLineChars="200"/>
    </w:pPr>
    <w:rPr>
      <w:sz w:val="24"/>
      <w:szCs w:val="22"/>
      <w:lang w:val="zh-CN"/>
    </w:rPr>
  </w:style>
  <w:style w:type="paragraph" w:customStyle="1" w:styleId="126">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7">
    <w:name w:val="样式1"/>
    <w:basedOn w:val="1"/>
    <w:next w:val="1"/>
    <w:qFormat/>
    <w:uiPriority w:val="0"/>
    <w:pPr>
      <w:numPr>
        <w:ilvl w:val="0"/>
        <w:numId w:val="1"/>
      </w:numPr>
      <w:adjustRightInd w:val="0"/>
      <w:textAlignment w:val="baseline"/>
    </w:pPr>
    <w:rPr>
      <w:rFonts w:ascii="宋体" w:hAnsi="宋体"/>
      <w:kern w:val="0"/>
      <w:szCs w:val="21"/>
    </w:rPr>
  </w:style>
  <w:style w:type="character" w:customStyle="1" w:styleId="128">
    <w:name w:val="hilite5"/>
    <w:basedOn w:val="25"/>
    <w:qFormat/>
    <w:uiPriority w:val="0"/>
    <w:rPr>
      <w:color w:val="FFFFFF"/>
      <w:shd w:val="clear" w:fill="666677"/>
    </w:rPr>
  </w:style>
  <w:style w:type="character" w:customStyle="1" w:styleId="129">
    <w:name w:val="active4"/>
    <w:basedOn w:val="25"/>
    <w:qFormat/>
    <w:uiPriority w:val="0"/>
    <w:rPr>
      <w:color w:val="00FF00"/>
      <w:shd w:val="clear" w:fill="000000"/>
    </w:rPr>
  </w:style>
  <w:style w:type="character" w:customStyle="1" w:styleId="130">
    <w:name w:val="beforeinfotext"/>
    <w:basedOn w:val="25"/>
    <w:qFormat/>
    <w:uiPriority w:val="0"/>
    <w:rPr>
      <w:color w:val="666666"/>
    </w:rPr>
  </w:style>
  <w:style w:type="character" w:customStyle="1" w:styleId="131">
    <w:name w:val="span-long"/>
    <w:basedOn w:val="25"/>
    <w:qFormat/>
    <w:uiPriority w:val="0"/>
  </w:style>
  <w:style w:type="character" w:customStyle="1" w:styleId="132">
    <w:name w:val="stclosebtn"/>
    <w:basedOn w:val="25"/>
    <w:qFormat/>
    <w:uiPriority w:val="0"/>
  </w:style>
  <w:style w:type="character" w:customStyle="1" w:styleId="133">
    <w:name w:val="input-direction"/>
    <w:basedOn w:val="25"/>
    <w:qFormat/>
    <w:uiPriority w:val="0"/>
    <w:rPr>
      <w:color w:val="FF6600"/>
    </w:rPr>
  </w:style>
  <w:style w:type="character" w:customStyle="1" w:styleId="134">
    <w:name w:val="proollist"/>
    <w:basedOn w:val="25"/>
    <w:qFormat/>
    <w:uiPriority w:val="0"/>
  </w:style>
  <w:style w:type="character" w:customStyle="1" w:styleId="135">
    <w:name w:val="button2"/>
    <w:basedOn w:val="25"/>
    <w:qFormat/>
    <w:uiPriority w:val="0"/>
  </w:style>
  <w:style w:type="character" w:customStyle="1" w:styleId="136">
    <w:name w:val="phone"/>
    <w:basedOn w:val="25"/>
    <w:qFormat/>
    <w:uiPriority w:val="0"/>
    <w:rPr>
      <w:color w:val="FF8833"/>
      <w:sz w:val="18"/>
      <w:szCs w:val="18"/>
    </w:rPr>
  </w:style>
  <w:style w:type="character" w:customStyle="1" w:styleId="137">
    <w:name w:val="number"/>
    <w:basedOn w:val="25"/>
    <w:qFormat/>
    <w:uiPriority w:val="0"/>
    <w:rPr>
      <w:color w:val="FF8833"/>
      <w:sz w:val="18"/>
      <w:szCs w:val="18"/>
    </w:rPr>
  </w:style>
  <w:style w:type="character" w:customStyle="1" w:styleId="138">
    <w:name w:val="layui-laypage-curr"/>
    <w:basedOn w:val="25"/>
    <w:qFormat/>
    <w:uiPriority w:val="0"/>
  </w:style>
  <w:style w:type="character" w:customStyle="1" w:styleId="139">
    <w:name w:val="nth-of-type(10)"/>
    <w:basedOn w:val="25"/>
    <w:qFormat/>
    <w:uiPriority w:val="0"/>
  </w:style>
  <w:style w:type="character" w:customStyle="1" w:styleId="140">
    <w:name w:val="nth-of-type(6)"/>
    <w:basedOn w:val="25"/>
    <w:qFormat/>
    <w:uiPriority w:val="0"/>
  </w:style>
  <w:style w:type="character" w:customStyle="1" w:styleId="141">
    <w:name w:val="nth-of-type(6)1"/>
    <w:basedOn w:val="25"/>
    <w:qFormat/>
    <w:uiPriority w:val="0"/>
  </w:style>
  <w:style w:type="character" w:customStyle="1" w:styleId="142">
    <w:name w:val="nth-of-type(6)2"/>
    <w:basedOn w:val="25"/>
    <w:qFormat/>
    <w:uiPriority w:val="0"/>
  </w:style>
  <w:style w:type="character" w:customStyle="1" w:styleId="143">
    <w:name w:val="nth-of-type(6)3"/>
    <w:basedOn w:val="25"/>
    <w:qFormat/>
    <w:uiPriority w:val="0"/>
  </w:style>
  <w:style w:type="character" w:customStyle="1" w:styleId="144">
    <w:name w:val="nth-of-type(6)4"/>
    <w:basedOn w:val="25"/>
    <w:qFormat/>
    <w:uiPriority w:val="0"/>
    <w:rPr>
      <w:color w:val="0082DF"/>
    </w:rPr>
  </w:style>
  <w:style w:type="character" w:customStyle="1" w:styleId="145">
    <w:name w:val="nth-of-type(6)5"/>
    <w:basedOn w:val="25"/>
    <w:qFormat/>
    <w:uiPriority w:val="0"/>
  </w:style>
  <w:style w:type="character" w:customStyle="1" w:styleId="146">
    <w:name w:val="nth-of-type(5)"/>
    <w:basedOn w:val="25"/>
    <w:qFormat/>
    <w:uiPriority w:val="0"/>
  </w:style>
  <w:style w:type="character" w:customStyle="1" w:styleId="147">
    <w:name w:val="nth-of-type(7)"/>
    <w:basedOn w:val="25"/>
    <w:qFormat/>
    <w:uiPriority w:val="0"/>
  </w:style>
  <w:style w:type="character" w:customStyle="1" w:styleId="148">
    <w:name w:val="nth-of-type(4)"/>
    <w:basedOn w:val="25"/>
    <w:qFormat/>
    <w:uiPriority w:val="0"/>
  </w:style>
  <w:style w:type="character" w:customStyle="1" w:styleId="149">
    <w:name w:val="nth-of-type(4)1"/>
    <w:basedOn w:val="25"/>
    <w:qFormat/>
    <w:uiPriority w:val="0"/>
  </w:style>
  <w:style w:type="character" w:customStyle="1" w:styleId="150">
    <w:name w:val="nth-of-type(4)2"/>
    <w:basedOn w:val="25"/>
    <w:qFormat/>
    <w:uiPriority w:val="0"/>
  </w:style>
  <w:style w:type="character" w:customStyle="1" w:styleId="151">
    <w:name w:val="nth-of-type(4)3"/>
    <w:basedOn w:val="25"/>
    <w:qFormat/>
    <w:uiPriority w:val="0"/>
  </w:style>
  <w:style w:type="character" w:customStyle="1" w:styleId="152">
    <w:name w:val="nth-of-type(4)4"/>
    <w:basedOn w:val="25"/>
    <w:qFormat/>
    <w:uiPriority w:val="0"/>
  </w:style>
  <w:style w:type="character" w:customStyle="1" w:styleId="153">
    <w:name w:val="nth-of-type(4)5"/>
    <w:basedOn w:val="25"/>
    <w:qFormat/>
    <w:uiPriority w:val="0"/>
  </w:style>
  <w:style w:type="character" w:customStyle="1" w:styleId="154">
    <w:name w:val="nth-of-type(4)6"/>
    <w:basedOn w:val="25"/>
    <w:qFormat/>
    <w:uiPriority w:val="0"/>
  </w:style>
  <w:style w:type="character" w:customStyle="1" w:styleId="155">
    <w:name w:val="nth-of-type(4)7"/>
    <w:basedOn w:val="25"/>
    <w:qFormat/>
    <w:uiPriority w:val="0"/>
  </w:style>
  <w:style w:type="character" w:customStyle="1" w:styleId="156">
    <w:name w:val="nth-of-type(4)8"/>
    <w:basedOn w:val="25"/>
    <w:qFormat/>
    <w:uiPriority w:val="0"/>
    <w:rPr>
      <w:sz w:val="21"/>
      <w:szCs w:val="21"/>
    </w:rPr>
  </w:style>
  <w:style w:type="character" w:customStyle="1" w:styleId="157">
    <w:name w:val="nth-of-type(3)"/>
    <w:basedOn w:val="25"/>
    <w:qFormat/>
    <w:uiPriority w:val="0"/>
  </w:style>
  <w:style w:type="character" w:customStyle="1" w:styleId="158">
    <w:name w:val="first-child1"/>
    <w:basedOn w:val="25"/>
    <w:qFormat/>
    <w:uiPriority w:val="0"/>
  </w:style>
  <w:style w:type="character" w:customStyle="1" w:styleId="159">
    <w:name w:val="first-child2"/>
    <w:basedOn w:val="25"/>
    <w:qFormat/>
    <w:uiPriority w:val="0"/>
  </w:style>
  <w:style w:type="character" w:customStyle="1" w:styleId="160">
    <w:name w:val="nth-of-type(1)1"/>
    <w:basedOn w:val="25"/>
    <w:qFormat/>
    <w:uiPriority w:val="0"/>
  </w:style>
  <w:style w:type="character" w:customStyle="1" w:styleId="161">
    <w:name w:val="nth-of-type(1)2"/>
    <w:basedOn w:val="25"/>
    <w:qFormat/>
    <w:uiPriority w:val="0"/>
  </w:style>
  <w:style w:type="character" w:customStyle="1" w:styleId="162">
    <w:name w:val="nth-of-type(1)3"/>
    <w:basedOn w:val="25"/>
    <w:qFormat/>
    <w:uiPriority w:val="0"/>
  </w:style>
  <w:style w:type="character" w:customStyle="1" w:styleId="163">
    <w:name w:val="nth-of-type(1)4"/>
    <w:basedOn w:val="25"/>
    <w:qFormat/>
    <w:uiPriority w:val="0"/>
  </w:style>
  <w:style w:type="character" w:customStyle="1" w:styleId="164">
    <w:name w:val="nth-of-type(1)5"/>
    <w:basedOn w:val="25"/>
    <w:qFormat/>
    <w:uiPriority w:val="0"/>
  </w:style>
  <w:style w:type="character" w:customStyle="1" w:styleId="165">
    <w:name w:val="nth-of-type(1)6"/>
    <w:basedOn w:val="25"/>
    <w:qFormat/>
    <w:uiPriority w:val="0"/>
  </w:style>
  <w:style w:type="character" w:customStyle="1" w:styleId="166">
    <w:name w:val="nth-of-type(1)7"/>
    <w:basedOn w:val="25"/>
    <w:qFormat/>
    <w:uiPriority w:val="0"/>
  </w:style>
  <w:style w:type="character" w:customStyle="1" w:styleId="167">
    <w:name w:val="nth-of-type(1)8"/>
    <w:basedOn w:val="25"/>
    <w:qFormat/>
    <w:uiPriority w:val="0"/>
    <w:rPr>
      <w:rFonts w:ascii="SourceHanSansCN-Regular" w:hAnsi="SourceHanSansCN-Regular" w:eastAsia="SourceHanSansCN-Regular" w:cs="SourceHanSansCN-Regular"/>
      <w:color w:val="FB560A"/>
      <w:sz w:val="21"/>
      <w:szCs w:val="21"/>
    </w:rPr>
  </w:style>
  <w:style w:type="character" w:customStyle="1" w:styleId="168">
    <w:name w:val="nth-of-type(1)9"/>
    <w:basedOn w:val="25"/>
    <w:qFormat/>
    <w:uiPriority w:val="0"/>
  </w:style>
  <w:style w:type="character" w:customStyle="1" w:styleId="169">
    <w:name w:val="nth-of-type(1)10"/>
    <w:basedOn w:val="25"/>
    <w:qFormat/>
    <w:uiPriority w:val="0"/>
  </w:style>
  <w:style w:type="character" w:customStyle="1" w:styleId="170">
    <w:name w:val="nth-of-type(1)11"/>
    <w:basedOn w:val="25"/>
    <w:qFormat/>
    <w:uiPriority w:val="0"/>
  </w:style>
  <w:style w:type="character" w:customStyle="1" w:styleId="171">
    <w:name w:val="nth-of-type(1)12"/>
    <w:basedOn w:val="25"/>
    <w:qFormat/>
    <w:uiPriority w:val="0"/>
  </w:style>
  <w:style w:type="character" w:customStyle="1" w:styleId="172">
    <w:name w:val="nth-of-type(1)13"/>
    <w:basedOn w:val="25"/>
    <w:qFormat/>
    <w:uiPriority w:val="0"/>
  </w:style>
  <w:style w:type="character" w:customStyle="1" w:styleId="173">
    <w:name w:val="nth-of-type(1)14"/>
    <w:basedOn w:val="25"/>
    <w:qFormat/>
    <w:uiPriority w:val="0"/>
  </w:style>
  <w:style w:type="character" w:customStyle="1" w:styleId="174">
    <w:name w:val="nth-of-type(1)15"/>
    <w:basedOn w:val="25"/>
    <w:qFormat/>
    <w:uiPriority w:val="0"/>
  </w:style>
  <w:style w:type="character" w:customStyle="1" w:styleId="175">
    <w:name w:val="nth-of-type(1)16"/>
    <w:basedOn w:val="25"/>
    <w:qFormat/>
    <w:uiPriority w:val="0"/>
  </w:style>
  <w:style w:type="character" w:customStyle="1" w:styleId="176">
    <w:name w:val="nth-of-type(1)17"/>
    <w:basedOn w:val="25"/>
    <w:qFormat/>
    <w:uiPriority w:val="0"/>
  </w:style>
  <w:style w:type="character" w:customStyle="1" w:styleId="177">
    <w:name w:val="nth-of-type(1)18"/>
    <w:basedOn w:val="25"/>
    <w:qFormat/>
    <w:uiPriority w:val="0"/>
  </w:style>
  <w:style w:type="character" w:customStyle="1" w:styleId="178">
    <w:name w:val="nth-of-type(1)19"/>
    <w:basedOn w:val="25"/>
    <w:qFormat/>
    <w:uiPriority w:val="0"/>
    <w:rPr>
      <w:sz w:val="21"/>
      <w:szCs w:val="21"/>
    </w:rPr>
  </w:style>
  <w:style w:type="character" w:customStyle="1" w:styleId="179">
    <w:name w:val="nth-of-type(2)"/>
    <w:basedOn w:val="25"/>
    <w:qFormat/>
    <w:uiPriority w:val="0"/>
  </w:style>
  <w:style w:type="character" w:customStyle="1" w:styleId="180">
    <w:name w:val="nth-of-type(2)1"/>
    <w:basedOn w:val="25"/>
    <w:qFormat/>
    <w:uiPriority w:val="0"/>
  </w:style>
  <w:style w:type="character" w:customStyle="1" w:styleId="181">
    <w:name w:val="nth-of-type(2)2"/>
    <w:basedOn w:val="25"/>
    <w:qFormat/>
    <w:uiPriority w:val="0"/>
  </w:style>
  <w:style w:type="character" w:customStyle="1" w:styleId="182">
    <w:name w:val="nth-of-type(2)3"/>
    <w:basedOn w:val="25"/>
    <w:qFormat/>
    <w:uiPriority w:val="0"/>
  </w:style>
  <w:style w:type="character" w:customStyle="1" w:styleId="183">
    <w:name w:val="nth-of-type(2)4"/>
    <w:basedOn w:val="25"/>
    <w:qFormat/>
    <w:uiPriority w:val="0"/>
  </w:style>
  <w:style w:type="character" w:customStyle="1" w:styleId="184">
    <w:name w:val="nth-of-type(2)5"/>
    <w:basedOn w:val="25"/>
    <w:qFormat/>
    <w:uiPriority w:val="0"/>
  </w:style>
  <w:style w:type="character" w:customStyle="1" w:styleId="185">
    <w:name w:val="nth-of-type(2)6"/>
    <w:basedOn w:val="25"/>
    <w:qFormat/>
    <w:uiPriority w:val="0"/>
  </w:style>
  <w:style w:type="character" w:customStyle="1" w:styleId="186">
    <w:name w:val="nth-of-type(2)7"/>
    <w:basedOn w:val="25"/>
    <w:qFormat/>
    <w:uiPriority w:val="0"/>
  </w:style>
  <w:style w:type="character" w:customStyle="1" w:styleId="187">
    <w:name w:val="nth-of-type(2)8"/>
    <w:basedOn w:val="25"/>
    <w:qFormat/>
    <w:uiPriority w:val="0"/>
  </w:style>
  <w:style w:type="character" w:customStyle="1" w:styleId="188">
    <w:name w:val="nth-of-type(2)9"/>
    <w:basedOn w:val="25"/>
    <w:qFormat/>
    <w:uiPriority w:val="0"/>
  </w:style>
  <w:style w:type="character" w:customStyle="1" w:styleId="189">
    <w:name w:val="nth-of-type(2)10"/>
    <w:basedOn w:val="25"/>
    <w:qFormat/>
    <w:uiPriority w:val="0"/>
  </w:style>
  <w:style w:type="character" w:customStyle="1" w:styleId="190">
    <w:name w:val="nth-of-type(2)11"/>
    <w:basedOn w:val="25"/>
    <w:qFormat/>
    <w:uiPriority w:val="0"/>
  </w:style>
  <w:style w:type="character" w:customStyle="1" w:styleId="191">
    <w:name w:val="nth-of-type(2)12"/>
    <w:basedOn w:val="25"/>
    <w:qFormat/>
    <w:uiPriority w:val="0"/>
  </w:style>
  <w:style w:type="character" w:customStyle="1" w:styleId="192">
    <w:name w:val="nth-of-type(2)13"/>
    <w:basedOn w:val="25"/>
    <w:qFormat/>
    <w:uiPriority w:val="0"/>
  </w:style>
  <w:style w:type="character" w:customStyle="1" w:styleId="193">
    <w:name w:val="nth-of-type(2)14"/>
    <w:basedOn w:val="25"/>
    <w:qFormat/>
    <w:uiPriority w:val="0"/>
    <w:rPr>
      <w:sz w:val="21"/>
      <w:szCs w:val="21"/>
    </w:rPr>
  </w:style>
  <w:style w:type="character" w:customStyle="1" w:styleId="194">
    <w:name w:val="last-child1"/>
    <w:basedOn w:val="25"/>
    <w:qFormat/>
    <w:uiPriority w:val="0"/>
    <w:rPr>
      <w:color w:val="FFFFFF"/>
    </w:rPr>
  </w:style>
  <w:style w:type="character" w:customStyle="1" w:styleId="195">
    <w:name w:val="last-child2"/>
    <w:basedOn w:val="25"/>
    <w:qFormat/>
    <w:uiPriority w:val="0"/>
  </w:style>
  <w:style w:type="character" w:customStyle="1" w:styleId="196">
    <w:name w:val="last-child3"/>
    <w:basedOn w:val="25"/>
    <w:qFormat/>
    <w:uiPriority w:val="0"/>
  </w:style>
  <w:style w:type="character" w:customStyle="1" w:styleId="197">
    <w:name w:val="nth-of-type(9)"/>
    <w:basedOn w:val="25"/>
    <w:qFormat/>
    <w:uiPriority w:val="0"/>
  </w:style>
  <w:style w:type="character" w:customStyle="1" w:styleId="198">
    <w:name w:val="layui-this4"/>
    <w:basedOn w:val="25"/>
    <w:qFormat/>
    <w:uiPriority w:val="0"/>
    <w:rPr>
      <w:shd w:val="clear" w:fill="FFFFFF"/>
    </w:rPr>
  </w:style>
  <w:style w:type="character" w:customStyle="1" w:styleId="199">
    <w:name w:val="hover25"/>
    <w:basedOn w:val="25"/>
    <w:qFormat/>
    <w:uiPriority w:val="0"/>
    <w:rPr>
      <w:color w:val="167AE0"/>
    </w:rPr>
  </w:style>
  <w:style w:type="character" w:customStyle="1" w:styleId="200">
    <w:name w:val="nth-child(1)"/>
    <w:basedOn w:val="25"/>
    <w:qFormat/>
    <w:uiPriority w:val="0"/>
  </w:style>
  <w:style w:type="character" w:customStyle="1" w:styleId="201">
    <w:name w:val="nth-child(2)"/>
    <w:basedOn w:val="25"/>
    <w:qFormat/>
    <w:uiPriority w:val="0"/>
  </w:style>
  <w:style w:type="character" w:customStyle="1" w:styleId="202">
    <w:name w:val="nth-child(3)"/>
    <w:basedOn w:val="25"/>
    <w:qFormat/>
    <w:uiPriority w:val="0"/>
  </w:style>
  <w:style w:type="character" w:customStyle="1" w:styleId="203">
    <w:name w:val="titleshow"/>
    <w:basedOn w:val="25"/>
    <w:qFormat/>
    <w:uiPriority w:val="0"/>
    <w:rPr>
      <w:color w:val="3E464C"/>
    </w:rPr>
  </w:style>
  <w:style w:type="character" w:customStyle="1" w:styleId="204">
    <w:name w:val="nth-of-type(8)"/>
    <w:basedOn w:val="25"/>
    <w:qFormat/>
    <w:uiPriority w:val="0"/>
  </w:style>
  <w:style w:type="character" w:customStyle="1" w:styleId="205">
    <w:name w:val="lineshow"/>
    <w:basedOn w:val="25"/>
    <w:qFormat/>
    <w:uiPriority w:val="0"/>
  </w:style>
  <w:style w:type="character" w:customStyle="1" w:styleId="206">
    <w:name w:val="lineshow1"/>
    <w:basedOn w:val="25"/>
    <w:qFormat/>
    <w:uiPriority w:val="0"/>
  </w:style>
  <w:style w:type="character" w:customStyle="1" w:styleId="207">
    <w:name w:val="before2"/>
    <w:basedOn w:val="25"/>
    <w:qFormat/>
    <w:uiPriority w:val="0"/>
    <w:rPr>
      <w:shd w:val="clear" w:fill="C20E0C"/>
    </w:rPr>
  </w:style>
  <w:style w:type="character" w:customStyle="1" w:styleId="208">
    <w:name w:val="nth-of-type(1)"/>
    <w:basedOn w:val="25"/>
    <w:qFormat/>
    <w:uiPriority w:val="0"/>
    <w:rPr>
      <w:rFonts w:ascii="SourceHanSansCN-Regular" w:hAnsi="SourceHanSansCN-Regular" w:eastAsia="SourceHanSansCN-Regular" w:cs="SourceHanSansCN-Regular"/>
      <w:color w:val="FB560A"/>
      <w:sz w:val="21"/>
      <w:szCs w:val="21"/>
    </w:rPr>
  </w:style>
  <w:style w:type="character" w:customStyle="1" w:styleId="209">
    <w:name w:val="nth-of-type(3)1"/>
    <w:basedOn w:val="25"/>
    <w:qFormat/>
    <w:uiPriority w:val="0"/>
  </w:style>
  <w:style w:type="character" w:customStyle="1" w:styleId="210">
    <w:name w:val="nth-of-type(3)2"/>
    <w:basedOn w:val="25"/>
    <w:qFormat/>
    <w:uiPriority w:val="0"/>
  </w:style>
  <w:style w:type="character" w:customStyle="1" w:styleId="211">
    <w:name w:val="nth-of-type(3)3"/>
    <w:basedOn w:val="25"/>
    <w:qFormat/>
    <w:uiPriority w:val="0"/>
  </w:style>
  <w:style w:type="character" w:customStyle="1" w:styleId="212">
    <w:name w:val="nth-of-type(3)4"/>
    <w:basedOn w:val="25"/>
    <w:qFormat/>
    <w:uiPriority w:val="0"/>
  </w:style>
  <w:style w:type="character" w:customStyle="1" w:styleId="213">
    <w:name w:val="nth-of-type(3)5"/>
    <w:basedOn w:val="25"/>
    <w:qFormat/>
    <w:uiPriority w:val="0"/>
  </w:style>
  <w:style w:type="character" w:customStyle="1" w:styleId="214">
    <w:name w:val="nth-of-type(3)6"/>
    <w:basedOn w:val="25"/>
    <w:qFormat/>
    <w:uiPriority w:val="0"/>
  </w:style>
  <w:style w:type="character" w:customStyle="1" w:styleId="215">
    <w:name w:val="nth-of-type(3)7"/>
    <w:basedOn w:val="25"/>
    <w:qFormat/>
    <w:uiPriority w:val="0"/>
    <w:rPr>
      <w:sz w:val="21"/>
      <w:szCs w:val="21"/>
    </w:rPr>
  </w:style>
  <w:style w:type="character" w:customStyle="1" w:styleId="216">
    <w:name w:val="nth-of-type(7)1"/>
    <w:basedOn w:val="25"/>
    <w:qFormat/>
    <w:uiPriority w:val="0"/>
  </w:style>
  <w:style w:type="character" w:customStyle="1" w:styleId="217">
    <w:name w:val="nth-of-type(7)2"/>
    <w:basedOn w:val="25"/>
    <w:qFormat/>
    <w:uiPriority w:val="0"/>
  </w:style>
  <w:style w:type="character" w:customStyle="1" w:styleId="218">
    <w:name w:val="first-child"/>
    <w:basedOn w:val="25"/>
    <w:qFormat/>
    <w:uiPriority w:val="0"/>
  </w:style>
  <w:style w:type="character" w:customStyle="1" w:styleId="219">
    <w:name w:val="nth-of-type(5)1"/>
    <w:basedOn w:val="25"/>
    <w:qFormat/>
    <w:uiPriority w:val="0"/>
  </w:style>
  <w:style w:type="character" w:customStyle="1" w:styleId="220">
    <w:name w:val="nth-of-type(5)2"/>
    <w:basedOn w:val="25"/>
    <w:qFormat/>
    <w:uiPriority w:val="0"/>
  </w:style>
  <w:style w:type="character" w:customStyle="1" w:styleId="221">
    <w:name w:val="nth-of-type(5)3"/>
    <w:basedOn w:val="25"/>
    <w:qFormat/>
    <w:uiPriority w:val="0"/>
  </w:style>
  <w:style w:type="character" w:customStyle="1" w:styleId="222">
    <w:name w:val="nth-of-type(5)4"/>
    <w:basedOn w:val="25"/>
    <w:qFormat/>
    <w:uiPriority w:val="0"/>
  </w:style>
  <w:style w:type="character" w:customStyle="1" w:styleId="223">
    <w:name w:val="nth-of-type(5)5"/>
    <w:basedOn w:val="25"/>
    <w:qFormat/>
    <w:uiPriority w:val="0"/>
  </w:style>
  <w:style w:type="character" w:customStyle="1" w:styleId="224">
    <w:name w:val="nth-of-type(5)6"/>
    <w:basedOn w:val="25"/>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36409</Words>
  <Characters>38564</Characters>
  <Lines>158</Lines>
  <Paragraphs>44</Paragraphs>
  <TotalTime>1</TotalTime>
  <ScaleCrop>false</ScaleCrop>
  <LinksUpToDate>false</LinksUpToDate>
  <CharactersWithSpaces>42868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2020-05-28T13:55:00Z</dcterms:created>
  <dc:creator>Administrator.Win7-2019AUWFFA</dc:creator>
  <cp:lastModifiedBy>Administrator</cp:lastModifiedBy>
  <cp:lastPrinted>2022-06-07T02:44:47Z</cp:lastPrinted>
  <dcterms:modified xsi:type="dcterms:W3CDTF">2022-06-07T02:55:55Z</dcterms:modified>
  <dc:title>采购项目编号：SXHR-SD-ZC-007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55FD6485B3D247B6921527609E26BD99</vt:lpwstr>
  </property>
</Properties>
</file>