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eastAsia="zh-CN"/>
        </w:rPr>
      </w:pPr>
      <w:r>
        <w:rPr>
          <w:rFonts w:hint="eastAsia" w:ascii="仿宋" w:hAnsi="仿宋" w:eastAsia="仿宋" w:cs="仿宋"/>
          <w:b/>
          <w:bCs/>
          <w:i w:val="0"/>
          <w:iCs w:val="0"/>
          <w:color w:val="auto"/>
          <w:sz w:val="30"/>
          <w:szCs w:val="30"/>
          <w:highlight w:val="none"/>
          <w:lang w:val="zh-CN"/>
        </w:rPr>
        <w:t>采购项目编号：SCZK2022-JT-0036/016</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36"/>
          <w:szCs w:val="36"/>
          <w:highlight w:val="none"/>
          <w:lang w:val="zh-CN" w:eastAsia="zh-CN"/>
        </w:rPr>
      </w:pPr>
      <w:r>
        <w:rPr>
          <w:rFonts w:hint="eastAsia" w:ascii="仿宋" w:hAnsi="仿宋" w:eastAsia="仿宋" w:cs="仿宋"/>
          <w:b/>
          <w:bCs/>
          <w:i w:val="0"/>
          <w:iCs w:val="0"/>
          <w:color w:val="auto"/>
          <w:sz w:val="44"/>
          <w:szCs w:val="44"/>
          <w:highlight w:val="none"/>
          <w:lang w:eastAsia="zh-CN"/>
        </w:rPr>
        <w:t>神木市医院HIS、电子病历及互联互通信息平台维保采购项目</w:t>
      </w:r>
    </w:p>
    <w:p>
      <w:pPr>
        <w:tabs>
          <w:tab w:val="left" w:pos="5670"/>
        </w:tabs>
        <w:autoSpaceDE w:val="0"/>
        <w:autoSpaceDN w:val="0"/>
        <w:adjustRightInd w:val="0"/>
        <w:snapToGrid w:val="0"/>
        <w:spacing w:line="360" w:lineRule="auto"/>
        <w:ind w:firstLine="420" w:firstLineChars="0"/>
        <w:jc w:val="center"/>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竞争性谈判文件</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lang w:val="zh-CN"/>
        </w:rPr>
        <w:t xml:space="preserve"> 陕西省采购招标有限责任公司</w:t>
      </w:r>
      <w:r>
        <w:rPr>
          <w:rFonts w:hint="eastAsia" w:ascii="仿宋" w:hAnsi="仿宋" w:eastAsia="仿宋" w:cs="仿宋"/>
          <w:b/>
          <w:bCs/>
          <w:i w:val="0"/>
          <w:iCs w:val="0"/>
          <w:color w:val="auto"/>
          <w:sz w:val="30"/>
          <w:szCs w:val="30"/>
          <w:highlight w:val="none"/>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二〇二二年十月</w:t>
      </w:r>
    </w:p>
    <w:p>
      <w:pPr>
        <w:tabs>
          <w:tab w:val="left" w:pos="3739"/>
        </w:tabs>
        <w:jc w:val="left"/>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ab/>
      </w:r>
    </w:p>
    <w:p>
      <w:pP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br w:type="page"/>
      </w:r>
    </w:p>
    <w:p>
      <w:pPr>
        <w:pStyle w:val="23"/>
        <w:rPr>
          <w:rFonts w:hint="eastAsia" w:ascii="仿宋" w:hAnsi="仿宋" w:eastAsia="仿宋" w:cs="仿宋"/>
          <w:i w:val="0"/>
          <w:iCs w:val="0"/>
          <w:color w:val="auto"/>
          <w:highlight w:val="none"/>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pPr>
        <w:pStyle w:val="15"/>
        <w:ind w:firstLine="0" w:firstLineChars="0"/>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目  录</w:t>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sz w:val="20"/>
          <w:highlight w:val="none"/>
        </w:rPr>
        <w:fldChar w:fldCharType="begin"/>
      </w:r>
      <w:r>
        <w:rPr>
          <w:rFonts w:hint="eastAsia" w:ascii="仿宋" w:hAnsi="仿宋" w:eastAsia="仿宋" w:cs="仿宋"/>
          <w:i w:val="0"/>
          <w:iCs w:val="0"/>
          <w:color w:val="auto"/>
          <w:sz w:val="20"/>
          <w:highlight w:val="none"/>
        </w:rPr>
        <w:instrText xml:space="preserve"> TOC \o "1-2" \h \z \u </w:instrText>
      </w:r>
      <w:r>
        <w:rPr>
          <w:rFonts w:hint="eastAsia" w:ascii="仿宋" w:hAnsi="仿宋" w:eastAsia="仿宋" w:cs="仿宋"/>
          <w:i w:val="0"/>
          <w:iCs w:val="0"/>
          <w:color w:val="auto"/>
          <w:sz w:val="20"/>
          <w:highlight w:val="none"/>
        </w:rPr>
        <w:fldChar w:fldCharType="separate"/>
      </w: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"_Toc58504659"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第一章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谈判公告</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_Toc58504659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"_Toc58504660"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第二章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供应商须知</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"_Toc58504661"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供应商须知前附表</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_Toc58504661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"_Toc58504662"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一、总则</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_Toc58504662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"_Toc58504663"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二、谈判文件说明</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_Toc58504663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13</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"_Toc58504664"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三、响应文件的编写</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_Toc58504664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14</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"_Toc58504665"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四、响应文件的密封和递交</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_Toc58504665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"_Toc58504666"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五、评审与谈判</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_Toc58504666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19</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"_Toc58504667"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六、确定成交单位、授予合同</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_Toc58504667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24</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"_Toc58504668"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第三章</w:t>
      </w:r>
      <w:r>
        <w:rPr>
          <w:rFonts w:hint="eastAsia" w:ascii="仿宋" w:hAnsi="仿宋" w:eastAsia="仿宋" w:cs="仿宋"/>
          <w:b w:val="0"/>
          <w:bCs w:val="0"/>
          <w:i w:val="0"/>
          <w:iCs w:val="0"/>
          <w:caps w:val="0"/>
          <w:color w:val="auto"/>
          <w:szCs w:val="24"/>
          <w:highlight w:val="none"/>
        </w:rPr>
        <w:tab/>
      </w:r>
      <w:r>
        <w:rPr>
          <w:rFonts w:hint="eastAsia" w:ascii="仿宋" w:hAnsi="仿宋" w:eastAsia="仿宋" w:cs="仿宋"/>
          <w:b w:val="0"/>
          <w:bCs w:val="0"/>
          <w:i w:val="0"/>
          <w:iCs w:val="0"/>
          <w:caps w:val="0"/>
          <w:color w:val="auto"/>
          <w:szCs w:val="24"/>
          <w:highlight w:val="none"/>
        </w:rPr>
        <w:t>拟签订的合同文本</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_Toc58504668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31</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"_Toc58504669"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第四章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采购内容及要求</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35</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6"/>
        <w:tabs>
          <w:tab w:val="left" w:pos="1120"/>
          <w:tab w:val="right" w:leader="dot" w:pos="8300"/>
          <w:tab w:val="clear" w:pos="9344"/>
        </w:tabs>
        <w:rPr>
          <w:rFonts w:hint="eastAsia" w:ascii="仿宋" w:hAnsi="仿宋" w:eastAsia="仿宋" w:cs="仿宋"/>
          <w:i w:val="0"/>
          <w:iC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"_Toc58504670" </w:instrText>
      </w:r>
      <w:r>
        <w:rPr>
          <w:rFonts w:hint="eastAsia" w:ascii="仿宋" w:hAnsi="仿宋" w:eastAsia="仿宋" w:cs="仿宋"/>
          <w:i w:val="0"/>
          <w:iCs w:val="0"/>
          <w:color w:val="auto"/>
          <w:highlight w:val="none"/>
        </w:rPr>
        <w:fldChar w:fldCharType="separate"/>
      </w:r>
      <w:r>
        <w:rPr>
          <w:rStyle w:val="60"/>
          <w:rFonts w:hint="eastAsia" w:ascii="仿宋" w:hAnsi="仿宋" w:eastAsia="仿宋" w:cs="仿宋"/>
          <w:b w:val="0"/>
          <w:bCs w:val="0"/>
          <w:i w:val="0"/>
          <w:iCs w:val="0"/>
          <w:color w:val="auto"/>
          <w:kern w:val="0"/>
          <w:sz w:val="24"/>
          <w:szCs w:val="24"/>
          <w:highlight w:val="none"/>
        </w:rPr>
        <w:t>第五章</w:t>
      </w:r>
      <w:r>
        <w:rPr>
          <w:rFonts w:hint="eastAsia" w:ascii="仿宋" w:hAnsi="仿宋" w:eastAsia="仿宋" w:cs="仿宋"/>
          <w:b w:val="0"/>
          <w:bCs w:val="0"/>
          <w:i w:val="0"/>
          <w:iCs w:val="0"/>
          <w:caps w:val="0"/>
          <w:color w:val="auto"/>
          <w:szCs w:val="24"/>
          <w:highlight w:val="none"/>
        </w:rPr>
        <w:tab/>
      </w:r>
      <w:r>
        <w:rPr>
          <w:rStyle w:val="60"/>
          <w:rFonts w:hint="eastAsia" w:ascii="仿宋" w:hAnsi="仿宋" w:eastAsia="仿宋" w:cs="仿宋"/>
          <w:b w:val="0"/>
          <w:bCs w:val="0"/>
          <w:i w:val="0"/>
          <w:iCs w:val="0"/>
          <w:color w:val="auto"/>
          <w:kern w:val="0"/>
          <w:sz w:val="24"/>
          <w:szCs w:val="24"/>
          <w:highlight w:val="none"/>
        </w:rPr>
        <w:t>谈判响应文件格式</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_Toc58504670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42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rPr>
          <w:rFonts w:hint="eastAsia" w:ascii="仿宋" w:hAnsi="仿宋" w:eastAsia="仿宋" w:cs="仿宋"/>
          <w:i w:val="0"/>
          <w:iCs w:val="0"/>
          <w:color w:val="auto"/>
          <w:sz w:val="24"/>
          <w:highlight w:val="none"/>
        </w:rPr>
      </w:pPr>
    </w:p>
    <w:p>
      <w:pPr>
        <w:pStyle w:val="23"/>
        <w:rPr>
          <w:rFonts w:hint="eastAsia" w:ascii="仿宋" w:hAnsi="仿宋" w:eastAsia="仿宋" w:cs="仿宋"/>
          <w:i w:val="0"/>
          <w:iCs w:val="0"/>
          <w:color w:val="auto"/>
          <w:sz w:val="24"/>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pStyle w:val="23"/>
        <w:rPr>
          <w:rFonts w:hint="eastAsia" w:ascii="仿宋" w:hAnsi="仿宋" w:eastAsia="仿宋" w:cs="仿宋"/>
          <w:i w:val="0"/>
          <w:iCs w:val="0"/>
          <w:color w:val="auto"/>
          <w:highlight w:val="none"/>
        </w:rPr>
      </w:pP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lang w:val="en-US" w:eastAsia="zh-CN" w:bidi="ar-SA"/>
        </w:rPr>
      </w:pPr>
      <w:r>
        <w:rPr>
          <w:rFonts w:hint="eastAsia" w:ascii="仿宋" w:hAnsi="仿宋" w:eastAsia="仿宋" w:cs="仿宋"/>
          <w:i w:val="0"/>
          <w:iCs w:val="0"/>
          <w:color w:val="auto"/>
          <w:szCs w:val="20"/>
          <w:highlight w:val="none"/>
        </w:rPr>
        <w:fldChar w:fldCharType="end"/>
      </w:r>
      <w:bookmarkStart w:id="0" w:name="_Toc21755"/>
      <w:bookmarkStart w:id="1" w:name="_Toc58504659"/>
      <w:bookmarkStart w:id="2" w:name="_Toc415499894"/>
      <w:bookmarkStart w:id="3" w:name="_Toc58504445"/>
      <w:bookmarkStart w:id="4" w:name="_Toc500747060"/>
      <w:bookmarkStart w:id="5" w:name="_Toc176882541"/>
      <w:bookmarkStart w:id="6" w:name="_Toc500747187"/>
      <w:bookmarkStart w:id="7" w:name="_Toc177995472"/>
      <w:bookmarkStart w:id="8" w:name="_Toc177189234"/>
      <w:bookmarkStart w:id="9" w:name="_Toc499711041"/>
      <w:bookmarkStart w:id="10" w:name="_Toc503063420"/>
      <w:bookmarkStart w:id="11" w:name="_Toc177817333"/>
      <w:bookmarkStart w:id="12" w:name="_Toc53722839"/>
      <w:bookmarkStart w:id="13" w:name="_Toc500746964"/>
      <w:bookmarkStart w:id="14" w:name="_Toc70687138"/>
      <w:bookmarkStart w:id="15" w:name="_Toc492955413"/>
      <w:bookmarkStart w:id="16" w:name="_Toc499711882"/>
      <w:bookmarkStart w:id="17" w:name="_Toc496324577"/>
      <w:bookmarkStart w:id="18" w:name="_Toc385992325"/>
      <w:bookmarkStart w:id="19" w:name="_Toc385992324"/>
      <w:r>
        <w:rPr>
          <w:rFonts w:hint="eastAsia" w:ascii="仿宋" w:hAnsi="仿宋" w:eastAsia="仿宋" w:cs="仿宋"/>
          <w:b/>
          <w:i w:val="0"/>
          <w:iCs w:val="0"/>
          <w:color w:val="auto"/>
          <w:kern w:val="0"/>
          <w:sz w:val="32"/>
          <w:szCs w:val="32"/>
          <w:highlight w:val="none"/>
          <w:lang w:val="en-US" w:eastAsia="zh-CN" w:bidi="ar-SA"/>
        </w:rPr>
        <w:t>第一章  谈判</w:t>
      </w:r>
      <w:r>
        <w:rPr>
          <w:rFonts w:hint="eastAsia" w:ascii="仿宋" w:hAnsi="仿宋" w:eastAsia="仿宋" w:cs="仿宋"/>
          <w:b/>
          <w:i w:val="0"/>
          <w:iCs w:val="0"/>
          <w:color w:val="auto"/>
          <w:kern w:val="0"/>
          <w:sz w:val="32"/>
          <w:szCs w:val="32"/>
          <w:highlight w:val="none"/>
          <w:lang w:val="en-US" w:eastAsia="zh-CN"/>
        </w:rPr>
        <w:t>公告</w:t>
      </w:r>
      <w:bookmarkEnd w:id="0"/>
      <w:bookmarkEnd w:id="1"/>
      <w:bookmarkEnd w:id="2"/>
      <w:bookmarkEnd w:id="3"/>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leftChars="0" w:right="0" w:firstLine="0" w:firstLineChars="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项目概况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lang w:eastAsia="zh-CN"/>
        </w:rPr>
        <w:t>HIS、电子病历及互联互通信息平台维保采购项目</w:t>
      </w:r>
      <w:r>
        <w:rPr>
          <w:rFonts w:hint="eastAsia" w:ascii="仿宋" w:hAnsi="仿宋" w:eastAsia="仿宋" w:cs="仿宋"/>
          <w:i w:val="0"/>
          <w:iCs w:val="0"/>
          <w:caps w:val="0"/>
          <w:color w:val="auto"/>
          <w:spacing w:val="0"/>
          <w:sz w:val="24"/>
          <w:szCs w:val="24"/>
          <w:shd w:val="clear" w:color="auto" w:fill="FFFFFF"/>
        </w:rPr>
        <w:t>的潜在供应商应在全国公共资源交易中心平台（陕西省）（http://www.sxggzyjy.cn/）获取采购文件，并于 2022年</w:t>
      </w:r>
      <w:r>
        <w:rPr>
          <w:rFonts w:hint="eastAsia" w:ascii="仿宋" w:hAnsi="仿宋" w:eastAsia="仿宋" w:cs="仿宋"/>
          <w:i w:val="0"/>
          <w:iCs w:val="0"/>
          <w:caps w:val="0"/>
          <w:color w:val="auto"/>
          <w:spacing w:val="0"/>
          <w:sz w:val="24"/>
          <w:szCs w:val="24"/>
          <w:shd w:val="clear" w:color="auto" w:fill="FFFFFF"/>
          <w:lang w:val="en-US" w:eastAsia="zh-CN"/>
        </w:rPr>
        <w:t>10月18日</w:t>
      </w:r>
      <w:r>
        <w:rPr>
          <w:rFonts w:hint="eastAsia" w:ascii="仿宋" w:hAnsi="仿宋" w:eastAsia="仿宋" w:cs="仿宋"/>
          <w:i w:val="0"/>
          <w:iCs w:val="0"/>
          <w:caps w:val="0"/>
          <w:color w:val="auto"/>
          <w:spacing w:val="0"/>
          <w:sz w:val="24"/>
          <w:szCs w:val="24"/>
          <w:shd w:val="clear" w:color="auto" w:fill="FFFFFF"/>
          <w:lang w:eastAsia="zh-CN"/>
        </w:rPr>
        <w:t>13时30分</w:t>
      </w:r>
      <w:r>
        <w:rPr>
          <w:rFonts w:hint="eastAsia" w:ascii="仿宋" w:hAnsi="仿宋" w:eastAsia="仿宋" w:cs="仿宋"/>
          <w:i w:val="0"/>
          <w:iCs w:val="0"/>
          <w:caps w:val="0"/>
          <w:color w:val="auto"/>
          <w:spacing w:val="0"/>
          <w:sz w:val="24"/>
          <w:szCs w:val="24"/>
          <w:shd w:val="clear" w:color="auto" w:fill="FFFFFF"/>
        </w:rPr>
        <w:t> （北京时间）前提交响应文件。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一、项目基本情况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auto"/>
          <w:spacing w:val="0"/>
          <w:sz w:val="24"/>
          <w:szCs w:val="24"/>
          <w:shd w:val="clear" w:color="auto" w:fill="FFFFFF"/>
        </w:rPr>
        <w:t>项目编号：SCZK2022-</w:t>
      </w:r>
      <w:r>
        <w:rPr>
          <w:rFonts w:hint="eastAsia" w:ascii="仿宋" w:hAnsi="仿宋" w:eastAsia="仿宋" w:cs="仿宋"/>
          <w:i w:val="0"/>
          <w:iCs w:val="0"/>
          <w:caps w:val="0"/>
          <w:color w:val="auto"/>
          <w:spacing w:val="0"/>
          <w:sz w:val="24"/>
          <w:szCs w:val="24"/>
          <w:shd w:val="clear" w:color="auto" w:fill="FFFFFF"/>
          <w:lang w:val="en-US" w:eastAsia="zh-CN"/>
        </w:rPr>
        <w:t>JT</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val="en-US" w:eastAsia="zh-CN"/>
        </w:rPr>
        <w:t>0036-016</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项目名称：</w:t>
      </w:r>
      <w:r>
        <w:rPr>
          <w:rFonts w:hint="eastAsia" w:ascii="仿宋" w:hAnsi="仿宋" w:eastAsia="仿宋" w:cs="仿宋"/>
          <w:i w:val="0"/>
          <w:iCs w:val="0"/>
          <w:caps w:val="0"/>
          <w:color w:val="auto"/>
          <w:spacing w:val="0"/>
          <w:sz w:val="24"/>
          <w:szCs w:val="24"/>
          <w:shd w:val="clear" w:color="auto" w:fill="FFFFFF"/>
          <w:lang w:eastAsia="zh-CN"/>
        </w:rPr>
        <w:t>HIS、电子病历及互联互通信息平台维保采购项目</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采购方式：竞争性谈判</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预算金额：</w:t>
      </w:r>
      <w:r>
        <w:rPr>
          <w:rFonts w:hint="eastAsia" w:ascii="仿宋" w:hAnsi="仿宋" w:eastAsia="仿宋" w:cs="仿宋"/>
          <w:i w:val="0"/>
          <w:iCs w:val="0"/>
          <w:caps w:val="0"/>
          <w:color w:val="auto"/>
          <w:spacing w:val="0"/>
          <w:sz w:val="24"/>
          <w:szCs w:val="24"/>
          <w:shd w:val="clear" w:color="auto" w:fill="FFFFFF"/>
          <w:lang w:eastAsia="zh-CN"/>
        </w:rPr>
        <w:t>1080000.00</w:t>
      </w:r>
      <w:r>
        <w:rPr>
          <w:rFonts w:hint="eastAsia" w:ascii="仿宋" w:hAnsi="仿宋" w:eastAsia="仿宋" w:cs="仿宋"/>
          <w:i w:val="0"/>
          <w:iCs w:val="0"/>
          <w:caps w:val="0"/>
          <w:color w:val="auto"/>
          <w:spacing w:val="0"/>
          <w:sz w:val="24"/>
          <w:szCs w:val="24"/>
          <w:shd w:val="clear" w:color="auto" w:fill="FFFFFF"/>
        </w:rPr>
        <w:t>元</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采购需求：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神木市医院HIS、电子病历及互联互通信息平台维保采购项目</w:t>
      </w:r>
      <w:r>
        <w:rPr>
          <w:rFonts w:hint="eastAsia" w:ascii="仿宋" w:hAnsi="仿宋" w:eastAsia="仿宋" w:cs="仿宋"/>
          <w:i w:val="0"/>
          <w:iCs w:val="0"/>
          <w:caps w:val="0"/>
          <w:color w:val="auto"/>
          <w:spacing w:val="0"/>
          <w:sz w:val="24"/>
          <w:szCs w:val="24"/>
          <w:shd w:val="clear" w:color="auto" w:fill="FFFFFF"/>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合同包预算金额：</w:t>
      </w:r>
      <w:r>
        <w:rPr>
          <w:rFonts w:hint="eastAsia" w:ascii="仿宋" w:hAnsi="仿宋" w:eastAsia="仿宋" w:cs="仿宋"/>
          <w:i w:val="0"/>
          <w:iCs w:val="0"/>
          <w:caps w:val="0"/>
          <w:color w:val="auto"/>
          <w:spacing w:val="0"/>
          <w:sz w:val="24"/>
          <w:szCs w:val="24"/>
          <w:shd w:val="clear" w:color="auto" w:fill="FFFFFF"/>
          <w:lang w:eastAsia="zh-CN"/>
        </w:rPr>
        <w:t>1080000.00</w:t>
      </w:r>
      <w:r>
        <w:rPr>
          <w:rFonts w:hint="eastAsia" w:ascii="仿宋" w:hAnsi="仿宋" w:eastAsia="仿宋" w:cs="仿宋"/>
          <w:i w:val="0"/>
          <w:iCs w:val="0"/>
          <w:caps w:val="0"/>
          <w:color w:val="auto"/>
          <w:spacing w:val="0"/>
          <w:sz w:val="24"/>
          <w:szCs w:val="24"/>
          <w:shd w:val="clear" w:color="auto" w:fill="FFFFFF"/>
        </w:rPr>
        <w:t>元</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合同包最高限价：</w:t>
      </w:r>
      <w:r>
        <w:rPr>
          <w:rFonts w:hint="eastAsia" w:ascii="仿宋" w:hAnsi="仿宋" w:eastAsia="仿宋" w:cs="仿宋"/>
          <w:i w:val="0"/>
          <w:iCs w:val="0"/>
          <w:caps w:val="0"/>
          <w:color w:val="auto"/>
          <w:spacing w:val="0"/>
          <w:sz w:val="24"/>
          <w:szCs w:val="24"/>
          <w:shd w:val="clear" w:color="auto" w:fill="FFFFFF"/>
          <w:lang w:eastAsia="zh-CN"/>
        </w:rPr>
        <w:t>1080000.00</w:t>
      </w:r>
      <w:r>
        <w:rPr>
          <w:rFonts w:hint="eastAsia" w:ascii="仿宋" w:hAnsi="仿宋" w:eastAsia="仿宋" w:cs="仿宋"/>
          <w:i w:val="0"/>
          <w:iCs w:val="0"/>
          <w:caps w:val="0"/>
          <w:color w:val="auto"/>
          <w:spacing w:val="0"/>
          <w:sz w:val="24"/>
          <w:szCs w:val="24"/>
          <w:shd w:val="clear" w:color="auto" w:fill="FFFFFF"/>
        </w:rPr>
        <w:t>元</w:t>
      </w:r>
    </w:p>
    <w:tbl>
      <w:tblPr>
        <w:tblStyle w:val="51"/>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1"/>
        <w:gridCol w:w="1742"/>
        <w:gridCol w:w="1952"/>
        <w:gridCol w:w="891"/>
        <w:gridCol w:w="1387"/>
        <w:gridCol w:w="1412"/>
        <w:gridCol w:w="141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96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品目号</w:t>
            </w:r>
          </w:p>
        </w:tc>
        <w:tc>
          <w:tcPr>
            <w:tcW w:w="36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品目名称</w:t>
            </w:r>
          </w:p>
        </w:tc>
        <w:tc>
          <w:tcPr>
            <w:tcW w:w="36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采购标的</w:t>
            </w:r>
          </w:p>
        </w:tc>
        <w:tc>
          <w:tcPr>
            <w:tcW w:w="12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数量（单位）</w:t>
            </w:r>
          </w:p>
        </w:tc>
        <w:tc>
          <w:tcPr>
            <w:tcW w:w="24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技术规格、参数及要求</w:t>
            </w:r>
          </w:p>
        </w:tc>
        <w:tc>
          <w:tcPr>
            <w:tcW w:w="144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品目预算(元)</w:t>
            </w:r>
          </w:p>
        </w:tc>
        <w:tc>
          <w:tcPr>
            <w:tcW w:w="144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4" w:hRule="atLeast"/>
        </w:trPr>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w:t>
            </w:r>
          </w:p>
        </w:tc>
        <w:tc>
          <w:tcPr>
            <w:tcW w:w="1814"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基础环境运维服务</w:t>
            </w:r>
          </w:p>
        </w:tc>
        <w:tc>
          <w:tcPr>
            <w:tcW w:w="1814"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jc w:val="center"/>
              <w:rPr>
                <w:rFonts w:hint="eastAsia" w:ascii="仿宋" w:hAnsi="仿宋" w:eastAsia="仿宋" w:cs="仿宋"/>
                <w:color w:val="auto"/>
                <w:sz w:val="24"/>
                <w:szCs w:val="24"/>
              </w:rPr>
            </w:pPr>
            <w:r>
              <w:rPr>
                <w:rFonts w:hint="eastAsia" w:ascii="仿宋" w:hAnsi="仿宋" w:eastAsia="仿宋" w:cs="仿宋"/>
                <w:color w:val="auto"/>
                <w:sz w:val="24"/>
                <w:szCs w:val="24"/>
              </w:rPr>
              <w:t>HIS、电子病历及互联互通信息平台维保</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1(项)</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详见采购文件</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1080000.00</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1080000.00</w:t>
            </w:r>
          </w:p>
        </w:tc>
      </w:tr>
    </w:tbl>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本合同包</w:t>
      </w:r>
      <w:r>
        <w:rPr>
          <w:rFonts w:hint="eastAsia" w:ascii="仿宋" w:hAnsi="仿宋" w:eastAsia="仿宋" w:cs="仿宋"/>
          <w:i w:val="0"/>
          <w:iCs w:val="0"/>
          <w:caps w:val="0"/>
          <w:color w:val="auto"/>
          <w:spacing w:val="0"/>
          <w:sz w:val="24"/>
          <w:szCs w:val="24"/>
          <w:shd w:val="clear" w:color="auto" w:fill="FFFFFF"/>
          <w:lang w:eastAsia="zh-CN"/>
        </w:rPr>
        <w:t>不</w:t>
      </w:r>
      <w:r>
        <w:rPr>
          <w:rFonts w:hint="eastAsia" w:ascii="仿宋" w:hAnsi="仿宋" w:eastAsia="仿宋" w:cs="仿宋"/>
          <w:i w:val="0"/>
          <w:iCs w:val="0"/>
          <w:caps w:val="0"/>
          <w:color w:val="auto"/>
          <w:spacing w:val="0"/>
          <w:sz w:val="24"/>
          <w:szCs w:val="24"/>
          <w:shd w:val="clear" w:color="auto" w:fill="FFFFFF"/>
        </w:rPr>
        <w:t>接受联合体投标</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合同履行期限：2022-</w:t>
      </w:r>
      <w:r>
        <w:rPr>
          <w:rFonts w:hint="eastAsia" w:ascii="仿宋" w:hAnsi="仿宋" w:eastAsia="仿宋" w:cs="仿宋"/>
          <w:i w:val="0"/>
          <w:iCs w:val="0"/>
          <w:caps w:val="0"/>
          <w:color w:val="auto"/>
          <w:spacing w:val="0"/>
          <w:sz w:val="24"/>
          <w:szCs w:val="24"/>
          <w:shd w:val="clear" w:color="auto" w:fill="FFFFFF"/>
          <w:lang w:val="en-US" w:eastAsia="zh-CN"/>
        </w:rPr>
        <w:t>10</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val="en-US" w:eastAsia="zh-CN"/>
        </w:rPr>
        <w:t>30</w:t>
      </w:r>
      <w:r>
        <w:rPr>
          <w:rFonts w:hint="eastAsia" w:ascii="仿宋" w:hAnsi="仿宋" w:eastAsia="仿宋" w:cs="仿宋"/>
          <w:i w:val="0"/>
          <w:iCs w:val="0"/>
          <w:caps w:val="0"/>
          <w:color w:val="auto"/>
          <w:spacing w:val="0"/>
          <w:sz w:val="24"/>
          <w:szCs w:val="24"/>
          <w:shd w:val="clear" w:color="auto" w:fill="FFFFFF"/>
        </w:rPr>
        <w:t xml:space="preserve"> 00:00:00 至 </w:t>
      </w:r>
      <w:r>
        <w:rPr>
          <w:rFonts w:hint="eastAsia" w:ascii="仿宋" w:hAnsi="仿宋" w:eastAsia="仿宋" w:cs="仿宋"/>
          <w:i w:val="0"/>
          <w:iCs w:val="0"/>
          <w:caps w:val="0"/>
          <w:color w:val="auto"/>
          <w:spacing w:val="0"/>
          <w:sz w:val="24"/>
          <w:szCs w:val="24"/>
          <w:shd w:val="clear" w:color="auto" w:fill="FFFFFF"/>
          <w:lang w:val="en-US" w:eastAsia="zh-CN"/>
        </w:rPr>
        <w:t>2023</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val="en-US" w:eastAsia="zh-CN"/>
        </w:rPr>
        <w:t>10</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val="en-US" w:eastAsia="zh-CN"/>
        </w:rPr>
        <w:t>30</w:t>
      </w:r>
      <w:r>
        <w:rPr>
          <w:rFonts w:hint="eastAsia" w:ascii="仿宋" w:hAnsi="仿宋" w:eastAsia="仿宋" w:cs="仿宋"/>
          <w:i w:val="0"/>
          <w:iCs w:val="0"/>
          <w:caps w:val="0"/>
          <w:color w:val="auto"/>
          <w:spacing w:val="0"/>
          <w:sz w:val="24"/>
          <w:szCs w:val="24"/>
          <w:shd w:val="clear" w:color="auto" w:fill="FFFFFF"/>
        </w:rPr>
        <w:t xml:space="preserve">  00:00:00（具体服务起止日期可随合同签订时间相应顺延）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二、申请人的资格要求：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1.满足《中华人民共和国政府采购法》第二十二条规定;</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2.落实政府采购政策需满足的资格要求：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神木市医院HIS、电子病历及互联互通信息平台维保采购项目</w:t>
      </w:r>
      <w:r>
        <w:rPr>
          <w:rFonts w:hint="eastAsia" w:ascii="仿宋" w:hAnsi="仿宋" w:eastAsia="仿宋" w:cs="仿宋"/>
          <w:i w:val="0"/>
          <w:iCs w:val="0"/>
          <w:caps w:val="0"/>
          <w:color w:val="auto"/>
          <w:spacing w:val="0"/>
          <w:sz w:val="24"/>
          <w:szCs w:val="24"/>
          <w:shd w:val="clear" w:color="auto" w:fill="FFFFFF"/>
        </w:rPr>
        <w:t>)落实政府采购政策需满足的资格要求如下:本项目为非专门面向中小企业的项目</w:t>
      </w:r>
      <w:r>
        <w:rPr>
          <w:rFonts w:hint="eastAsia" w:ascii="仿宋" w:hAnsi="仿宋" w:eastAsia="仿宋" w:cs="仿宋"/>
          <w:i w:val="0"/>
          <w:iCs w:val="0"/>
          <w:caps w:val="0"/>
          <w:color w:val="auto"/>
          <w:spacing w:val="0"/>
          <w:sz w:val="24"/>
          <w:szCs w:val="24"/>
          <w:shd w:val="clear" w:color="auto" w:fill="FFFFFF"/>
          <w:lang w:eastAsia="zh-CN"/>
        </w:rPr>
        <w:t>。</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神木市医院HIS、电子病历及互联互通信息平台维保采购项目</w:t>
      </w:r>
      <w:r>
        <w:rPr>
          <w:rFonts w:hint="eastAsia" w:ascii="仿宋" w:hAnsi="仿宋" w:eastAsia="仿宋" w:cs="仿宋"/>
          <w:i w:val="0"/>
          <w:iCs w:val="0"/>
          <w:caps w:val="0"/>
          <w:color w:val="auto"/>
          <w:spacing w:val="0"/>
          <w:sz w:val="24"/>
          <w:szCs w:val="24"/>
          <w:shd w:val="clear" w:color="auto" w:fill="FFFFFF"/>
        </w:rPr>
        <w:t>)特定资格要求如下:</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3.1具有独立承担民事责任的能力（提供有效的营业执照或自然人的身份证明）；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3.2具有良好的商业信誉和健全的财务会计制度（提供投标供应商近一年经审计的财务报表或开标截止时间前任意三个月公司的财务报表复印件（包括资产负债表、现金流量表、利润表），或本年度基本开户银行出具的资信证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3.3具有履行合同所必需的设备和专业技术能力（提供书面申明）；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3.4有依法缴纳税收和社会保障资金的良好记录；</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1）投标供应商应提供近六个月中任何一个月缴纳增值税和企业所得税的凭证（银行出具的缴税凭证或税务机关出具的证明的复印件，并加盖本单位公章），依法免税的供应商，应提供相应文件证明其依法免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2）供应商应提供近六个月中至少一个月的社会缴纳社会保险的凭据（专用收据或社会保险缴纳清单），并加盖本单位公章，不需要缴纳社会保障资金的供应商，应提供相应文件证明其不需要缴纳社会保障资金；</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3.5参加政府采购活动前三年内，在经营活动中没有重大违法记录（提供书面申明）；</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3.6投标供应商在“信用中国”网站（www.creditchina.gov.cn）和中国政府采购网（www.ccgp.gov.cn）上未被列入失信被执行人、重大税收违法失信主体、政府采购严重违法失信行为记录名单（提供网站截图）；</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3.7供应商不得存在下列情形之一：</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（1）单位负责人为同一人或者存在直接控股、管理关系的不同供应商，不得参加本次采购活动；</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color w:val="auto"/>
          <w:sz w:val="24"/>
          <w:szCs w:val="24"/>
        </w:rPr>
        <w:t>（2）为本项目提供整体设计、规范编制或者项目管理、监理、检测等服务的供应商，不得再参加本项目的采购活动；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三、获取采购文件</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时间： 2022年</w:t>
      </w:r>
      <w:r>
        <w:rPr>
          <w:rFonts w:hint="eastAsia" w:ascii="仿宋" w:hAnsi="仿宋" w:eastAsia="仿宋" w:cs="仿宋"/>
          <w:i w:val="0"/>
          <w:iCs w:val="0"/>
          <w:caps w:val="0"/>
          <w:color w:val="auto"/>
          <w:spacing w:val="0"/>
          <w:sz w:val="24"/>
          <w:szCs w:val="24"/>
          <w:shd w:val="clear" w:color="auto" w:fill="FFFFFF"/>
          <w:lang w:val="en-US" w:eastAsia="zh-CN"/>
        </w:rPr>
        <w:t>10</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11</w:t>
      </w:r>
      <w:r>
        <w:rPr>
          <w:rFonts w:hint="eastAsia" w:ascii="仿宋" w:hAnsi="仿宋" w:eastAsia="仿宋" w:cs="仿宋"/>
          <w:i w:val="0"/>
          <w:iCs w:val="0"/>
          <w:caps w:val="0"/>
          <w:color w:val="auto"/>
          <w:spacing w:val="0"/>
          <w:sz w:val="24"/>
          <w:szCs w:val="24"/>
          <w:shd w:val="clear" w:color="auto" w:fill="FFFFFF"/>
        </w:rPr>
        <w:t>日 至 2022年</w:t>
      </w:r>
      <w:r>
        <w:rPr>
          <w:rFonts w:hint="eastAsia" w:ascii="仿宋" w:hAnsi="仿宋" w:eastAsia="仿宋" w:cs="仿宋"/>
          <w:i w:val="0"/>
          <w:iCs w:val="0"/>
          <w:caps w:val="0"/>
          <w:color w:val="auto"/>
          <w:spacing w:val="0"/>
          <w:sz w:val="24"/>
          <w:szCs w:val="24"/>
          <w:shd w:val="clear" w:color="auto" w:fill="FFFFFF"/>
          <w:lang w:val="en-US" w:eastAsia="zh-CN"/>
        </w:rPr>
        <w:t>10</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13</w:t>
      </w:r>
      <w:r>
        <w:rPr>
          <w:rFonts w:hint="eastAsia" w:ascii="仿宋" w:hAnsi="仿宋" w:eastAsia="仿宋" w:cs="仿宋"/>
          <w:i w:val="0"/>
          <w:iCs w:val="0"/>
          <w:caps w:val="0"/>
          <w:color w:val="auto"/>
          <w:spacing w:val="0"/>
          <w:sz w:val="24"/>
          <w:szCs w:val="24"/>
          <w:shd w:val="clear" w:color="auto" w:fill="FFFFFF"/>
        </w:rPr>
        <w:t>日 ，每天上午 00:00:00 至 12:00:00 ，下午 12:00:00 至 23:59:00 （北京时间,法定节假日除外）</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地点：全国公共资源交易中心平台（陕西省）（http://www.sxggzyjy.cn/）</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方式：在线获取</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售价： 免费获取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四、响应文件提交</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截止时间： 2022年</w:t>
      </w:r>
      <w:r>
        <w:rPr>
          <w:rFonts w:hint="eastAsia" w:ascii="仿宋" w:hAnsi="仿宋" w:eastAsia="仿宋" w:cs="仿宋"/>
          <w:i w:val="0"/>
          <w:iCs w:val="0"/>
          <w:caps w:val="0"/>
          <w:color w:val="auto"/>
          <w:spacing w:val="0"/>
          <w:sz w:val="24"/>
          <w:szCs w:val="24"/>
          <w:shd w:val="clear" w:color="auto" w:fill="FFFFFF"/>
          <w:lang w:val="en-US" w:eastAsia="zh-CN"/>
        </w:rPr>
        <w:t>10月18日</w:t>
      </w:r>
      <w:r>
        <w:rPr>
          <w:rFonts w:hint="eastAsia" w:ascii="仿宋" w:hAnsi="仿宋" w:eastAsia="仿宋" w:cs="仿宋"/>
          <w:i w:val="0"/>
          <w:iCs w:val="0"/>
          <w:caps w:val="0"/>
          <w:color w:val="auto"/>
          <w:spacing w:val="0"/>
          <w:sz w:val="24"/>
          <w:szCs w:val="24"/>
          <w:shd w:val="clear" w:color="auto" w:fill="FFFFFF"/>
          <w:lang w:eastAsia="zh-CN"/>
        </w:rPr>
        <w:t>13时30分</w:t>
      </w:r>
      <w:r>
        <w:rPr>
          <w:rFonts w:hint="eastAsia" w:ascii="仿宋" w:hAnsi="仿宋" w:eastAsia="仿宋" w:cs="仿宋"/>
          <w:i w:val="0"/>
          <w:iCs w:val="0"/>
          <w:caps w:val="0"/>
          <w:color w:val="auto"/>
          <w:spacing w:val="0"/>
          <w:sz w:val="24"/>
          <w:szCs w:val="24"/>
          <w:shd w:val="clear" w:color="auto" w:fill="FFFFFF"/>
        </w:rPr>
        <w:t>00秒 （北京时间）</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地点：榆林市公共资源交易中心10楼</w:t>
      </w:r>
      <w:r>
        <w:rPr>
          <w:rFonts w:hint="eastAsia" w:ascii="仿宋" w:hAnsi="仿宋" w:eastAsia="仿宋" w:cs="仿宋"/>
          <w:i w:val="0"/>
          <w:iCs w:val="0"/>
          <w:caps w:val="0"/>
          <w:color w:val="auto"/>
          <w:spacing w:val="0"/>
          <w:sz w:val="24"/>
          <w:szCs w:val="24"/>
          <w:shd w:val="clear" w:color="auto" w:fill="FFFFFF"/>
          <w:lang w:val="en-US" w:eastAsia="zh-CN"/>
        </w:rPr>
        <w:t>8</w:t>
      </w:r>
      <w:r>
        <w:rPr>
          <w:rFonts w:hint="eastAsia" w:ascii="仿宋" w:hAnsi="仿宋" w:eastAsia="仿宋" w:cs="仿宋"/>
          <w:i w:val="0"/>
          <w:iCs w:val="0"/>
          <w:caps w:val="0"/>
          <w:color w:val="auto"/>
          <w:spacing w:val="0"/>
          <w:sz w:val="24"/>
          <w:szCs w:val="24"/>
          <w:shd w:val="clear" w:color="auto" w:fill="FFFFFF"/>
        </w:rPr>
        <w:t>开标室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五、开启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时间： 2022年</w:t>
      </w:r>
      <w:r>
        <w:rPr>
          <w:rFonts w:hint="eastAsia" w:ascii="仿宋" w:hAnsi="仿宋" w:eastAsia="仿宋" w:cs="仿宋"/>
          <w:i w:val="0"/>
          <w:iCs w:val="0"/>
          <w:caps w:val="0"/>
          <w:color w:val="auto"/>
          <w:spacing w:val="0"/>
          <w:sz w:val="24"/>
          <w:szCs w:val="24"/>
          <w:shd w:val="clear" w:color="auto" w:fill="FFFFFF"/>
          <w:lang w:eastAsia="zh-CN"/>
        </w:rPr>
        <w:t>10月18日13时30分</w:t>
      </w:r>
      <w:r>
        <w:rPr>
          <w:rFonts w:hint="eastAsia" w:ascii="仿宋" w:hAnsi="仿宋" w:eastAsia="仿宋" w:cs="仿宋"/>
          <w:i w:val="0"/>
          <w:iCs w:val="0"/>
          <w:caps w:val="0"/>
          <w:color w:val="auto"/>
          <w:spacing w:val="0"/>
          <w:sz w:val="24"/>
          <w:szCs w:val="24"/>
          <w:shd w:val="clear" w:color="auto" w:fill="FFFFFF"/>
        </w:rPr>
        <w:t>00秒 （北京时间）</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地点：榆林市公共资源交易中心10楼</w:t>
      </w:r>
      <w:r>
        <w:rPr>
          <w:rFonts w:hint="eastAsia" w:ascii="仿宋" w:hAnsi="仿宋" w:eastAsia="仿宋" w:cs="仿宋"/>
          <w:i w:val="0"/>
          <w:iCs w:val="0"/>
          <w:caps w:val="0"/>
          <w:color w:val="auto"/>
          <w:spacing w:val="0"/>
          <w:sz w:val="24"/>
          <w:szCs w:val="24"/>
          <w:shd w:val="clear" w:color="auto" w:fill="FFFFFF"/>
          <w:lang w:val="en-US" w:eastAsia="zh-CN"/>
        </w:rPr>
        <w:t>8</w:t>
      </w:r>
      <w:r>
        <w:rPr>
          <w:rFonts w:hint="eastAsia" w:ascii="仿宋" w:hAnsi="仿宋" w:eastAsia="仿宋" w:cs="仿宋"/>
          <w:i w:val="0"/>
          <w:iCs w:val="0"/>
          <w:caps w:val="0"/>
          <w:color w:val="auto"/>
          <w:spacing w:val="0"/>
          <w:sz w:val="24"/>
          <w:szCs w:val="24"/>
          <w:shd w:val="clear" w:color="auto" w:fill="FFFFFF"/>
        </w:rPr>
        <w:t>开标室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六、公告期限</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自本公告发布之日起3个工作日。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七、其他补充事宜</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1、落实政府采购政策：</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1.4  《陕西省财政厅关于加快推进我省中小企业政府采购信用融资工作的通知》（陕财办采〔2020〕15 号）、陕西省财政厅关于印发《陕西省中小企业政府采购信用融资办法》（陕财办采〔2018〕23 号）。</w:t>
      </w:r>
    </w:p>
    <w:p>
      <w:pPr>
        <w:widowControl/>
        <w:snapToGrid w:val="0"/>
        <w:spacing w:line="500" w:lineRule="exact"/>
        <w:ind w:right="-197" w:rightChars="-94"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1.5 《榆林市财政局关于进一步加大政府采购支持中小企业力度的通知》（榆政财采发{2022}10号）。</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rPr>
        <w:t>招标文件获取</w:t>
      </w:r>
      <w:r>
        <w:rPr>
          <w:rFonts w:hint="eastAsia" w:ascii="仿宋" w:hAnsi="仿宋" w:eastAsia="仿宋" w:cs="仿宋"/>
          <w:sz w:val="24"/>
        </w:rPr>
        <w:t>方式：投标人可登录全国公共资源交易中心平台（陕西省）（http://www.sxggzyjy.cn/）,选择“电子交易平台-陕西政府采购交易系统-陕西省公共资源交易平台-投标人”进行登录，登录后选择“交易乙方”身份进入投标人界面进行报名并免费下载采购文件。</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w:t>
      </w:r>
      <w:r>
        <w:rPr>
          <w:rFonts w:hint="eastAsia" w:ascii="仿宋" w:hAnsi="仿宋" w:eastAsia="仿宋" w:cs="仿宋"/>
          <w:sz w:val="24"/>
          <w:highlight w:val="none"/>
        </w:rPr>
        <w:t>，投标人使用CA锁对报价文件进行制作、签封、加密、递交、解密等相关招投标事宜，投标人开标现场需携带CA锁。电子</w:t>
      </w:r>
      <w:r>
        <w:rPr>
          <w:rFonts w:hint="eastAsia" w:ascii="仿宋" w:hAnsi="仿宋" w:eastAsia="仿宋" w:cs="仿宋"/>
          <w:sz w:val="24"/>
        </w:rPr>
        <w:t>投标文件制作软件技术支持热线：400-998-0000CA锁购买：榆林市市民大厦四楼窗口,电话：0912-3515031。</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4、请投标人按照陕西省财政厅关于政府采购投标人注册登记有关事项的通知中的要求，通过陕西省政府采购网（http://www.ccgp-shaanxi.gov.cn/）注册登记加入陕西省政府采购投标人库。</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sz w:val="24"/>
          <w:lang w:val="en-US" w:eastAsia="zh-CN"/>
        </w:rPr>
        <w:t>5、</w:t>
      </w:r>
      <w:r>
        <w:rPr>
          <w:rFonts w:hint="eastAsia" w:ascii="仿宋" w:hAnsi="仿宋" w:eastAsia="仿宋" w:cs="仿宋"/>
          <w:shd w:val="clear" w:color="auto" w:fill="FFFFFF"/>
        </w:rPr>
        <w:t>本项目采用电子化不见面开标方式，</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仔细阅读操作手册，了解操作流程，熟练掌握不见面开标、不见面询标操作相关事宜，若无法正常投标，</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自行承担责任。电子投标文件制作软件技术支持热线：400-998-0000；CA锁购买：榆林市市民大厦四楼窗口,联系电话：0912-3515031。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4"/>
          <w:rFonts w:hint="eastAsia" w:ascii="仿宋" w:hAnsi="仿宋" w:eastAsia="仿宋" w:cs="仿宋"/>
          <w:b/>
          <w:bCs/>
          <w:i w:val="0"/>
          <w:iCs w:val="0"/>
          <w:caps w:val="0"/>
          <w:color w:val="auto"/>
          <w:spacing w:val="0"/>
          <w:sz w:val="24"/>
          <w:szCs w:val="24"/>
          <w:shd w:val="clear" w:color="auto" w:fill="FFFFFF"/>
        </w:rPr>
        <w:t>八、凡对本次采购提出询问，请按以下方式联系。</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1.采购人信息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名称：</w:t>
      </w:r>
      <w:r>
        <w:rPr>
          <w:rFonts w:hint="eastAsia" w:ascii="仿宋" w:hAnsi="仿宋" w:eastAsia="仿宋" w:cs="仿宋"/>
          <w:i w:val="0"/>
          <w:iCs w:val="0"/>
          <w:caps w:val="0"/>
          <w:color w:val="auto"/>
          <w:spacing w:val="0"/>
          <w:sz w:val="24"/>
          <w:szCs w:val="24"/>
          <w:shd w:val="clear" w:color="auto" w:fill="FFFFFF"/>
          <w:lang w:eastAsia="zh-CN"/>
        </w:rPr>
        <w:t>神木市医院</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地址：</w:t>
      </w:r>
      <w:r>
        <w:rPr>
          <w:rFonts w:hint="eastAsia" w:ascii="仿宋" w:hAnsi="仿宋" w:eastAsia="仿宋" w:cs="仿宋"/>
          <w:i w:val="0"/>
          <w:iCs w:val="0"/>
          <w:caps w:val="0"/>
          <w:color w:val="auto"/>
          <w:spacing w:val="0"/>
          <w:sz w:val="24"/>
          <w:szCs w:val="24"/>
          <w:shd w:val="clear" w:color="auto" w:fill="FFFFFF"/>
          <w:lang w:eastAsia="zh-CN"/>
        </w:rPr>
        <w:t>陕西省榆林市神木市光明路中段</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联系方式：0912-</w:t>
      </w:r>
      <w:r>
        <w:rPr>
          <w:rFonts w:hint="eastAsia" w:ascii="仿宋" w:hAnsi="仿宋" w:eastAsia="仿宋" w:cs="仿宋"/>
          <w:i w:val="0"/>
          <w:iCs w:val="0"/>
          <w:caps w:val="0"/>
          <w:color w:val="auto"/>
          <w:spacing w:val="0"/>
          <w:sz w:val="24"/>
          <w:szCs w:val="24"/>
          <w:shd w:val="clear" w:color="auto" w:fill="FFFFFF"/>
          <w:lang w:val="en-US" w:eastAsia="zh-CN"/>
        </w:rPr>
        <w:t>8322033</w:t>
      </w:r>
      <w:r>
        <w:rPr>
          <w:rFonts w:hint="eastAsia" w:ascii="仿宋" w:hAnsi="仿宋" w:eastAsia="仿宋" w:cs="仿宋"/>
          <w:i w:val="0"/>
          <w:iCs w:val="0"/>
          <w:caps w:val="0"/>
          <w:color w:val="auto"/>
          <w:spacing w:val="0"/>
          <w:sz w:val="24"/>
          <w:szCs w:val="24"/>
          <w:shd w:val="clear" w:color="auto" w:fill="FFFFFF"/>
          <w:lang w:val="en-US" w:eastAsia="zh-CN"/>
        </w:rPr>
        <w:tab/>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2.采购代理机构信息</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名称：陕西省采购招标有限责任公司</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地址：西安市高新二路2号山西证券大厦21楼</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联系方式：0912-3683703</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3.项目联系方式</w:t>
      </w:r>
    </w:p>
    <w:p>
      <w:pPr>
        <w:pStyle w:val="4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项目联系人：田同林</w:t>
      </w:r>
    </w:p>
    <w:p>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1"/>
        <w:rPr>
          <w:rFonts w:hint="eastAsia" w:ascii="仿宋" w:hAnsi="仿宋" w:eastAsia="仿宋" w:cs="仿宋"/>
          <w:i w:val="0"/>
          <w:iCs w:val="0"/>
          <w:color w:val="auto"/>
          <w:kern w:val="0"/>
          <w:sz w:val="24"/>
          <w:highlight w:val="none"/>
        </w:rPr>
      </w:pPr>
      <w:r>
        <w:rPr>
          <w:rFonts w:hint="eastAsia" w:ascii="仿宋" w:hAnsi="仿宋" w:eastAsia="仿宋" w:cs="仿宋"/>
          <w:i w:val="0"/>
          <w:iCs w:val="0"/>
          <w:caps w:val="0"/>
          <w:color w:val="auto"/>
          <w:spacing w:val="0"/>
          <w:sz w:val="24"/>
          <w:szCs w:val="24"/>
          <w:shd w:val="clear" w:color="auto" w:fill="FFFFFF"/>
        </w:rPr>
        <w:t>电话：13309228551</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20" w:name="_Toc230013631"/>
      <w:bookmarkStart w:id="21" w:name="_Toc232395211"/>
      <w:bookmarkStart w:id="22" w:name="_Toc249515277"/>
      <w:bookmarkStart w:id="23" w:name="_Toc249515389"/>
      <w:bookmarkStart w:id="24" w:name="_Toc21126"/>
      <w:bookmarkStart w:id="25" w:name="_Toc230099796"/>
      <w:bookmarkStart w:id="26" w:name="_Toc256342142"/>
      <w:bookmarkStart w:id="27" w:name="_Toc249525158"/>
      <w:bookmarkStart w:id="28" w:name="_Toc58504660"/>
      <w:bookmarkStart w:id="29" w:name="_Toc184043011"/>
      <w:bookmarkStart w:id="30" w:name="_Toc230583540"/>
      <w:bookmarkStart w:id="31" w:name="_Toc232176271"/>
      <w:bookmarkStart w:id="32" w:name="_Toc415499895"/>
      <w:bookmarkStart w:id="33" w:name="_Toc58504446"/>
      <w:bookmarkStart w:id="34" w:name="_Toc249515390"/>
      <w:bookmarkStart w:id="35" w:name="_Toc177995473"/>
      <w:bookmarkStart w:id="36" w:name="_Toc500746965"/>
      <w:bookmarkStart w:id="37" w:name="_Toc184043012"/>
      <w:bookmarkStart w:id="38" w:name="_Toc500747061"/>
      <w:bookmarkStart w:id="39" w:name="_Toc249525159"/>
      <w:bookmarkStart w:id="40" w:name="_Toc177817334"/>
      <w:bookmarkStart w:id="41" w:name="_Toc230099797"/>
      <w:bookmarkStart w:id="42" w:name="_Toc232395212"/>
      <w:bookmarkStart w:id="43" w:name="_Toc496324578"/>
      <w:bookmarkStart w:id="44" w:name="_Toc70687139"/>
      <w:bookmarkStart w:id="45" w:name="_Toc499711883"/>
      <w:bookmarkStart w:id="46" w:name="_Toc256342143"/>
      <w:bookmarkStart w:id="47" w:name="_Toc492955414"/>
      <w:bookmarkStart w:id="48" w:name="_Toc500747188"/>
      <w:bookmarkStart w:id="49" w:name="_Toc177189235"/>
      <w:bookmarkStart w:id="50" w:name="_Toc176882542"/>
      <w:bookmarkStart w:id="51" w:name="_Toc249515278"/>
      <w:bookmarkStart w:id="52" w:name="_Toc53722840"/>
      <w:bookmarkStart w:id="53" w:name="_Toc230583541"/>
      <w:bookmarkStart w:id="54" w:name="_Toc232176272"/>
      <w:bookmarkStart w:id="55" w:name="_Toc503063421"/>
      <w:bookmarkStart w:id="56" w:name="_Toc230013632"/>
      <w:bookmarkStart w:id="57" w:name="_Toc499711042"/>
      <w:r>
        <w:rPr>
          <w:rFonts w:hint="eastAsia" w:ascii="仿宋" w:hAnsi="仿宋" w:eastAsia="仿宋" w:cs="仿宋"/>
          <w:b/>
          <w:i w:val="0"/>
          <w:iCs w:val="0"/>
          <w:color w:val="auto"/>
          <w:kern w:val="0"/>
          <w:sz w:val="32"/>
          <w:szCs w:val="32"/>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58" w:name="_Toc58504661"/>
      <w:r>
        <w:rPr>
          <w:rFonts w:hint="eastAsia" w:ascii="仿宋" w:hAnsi="仿宋" w:eastAsia="仿宋" w:cs="仿宋"/>
          <w:b/>
          <w:i w:val="0"/>
          <w:iCs w:val="0"/>
          <w:color w:val="auto"/>
          <w:kern w:val="0"/>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本表是对供应商须知的具体补充和修改，如有矛盾，均以本表为准。</w:t>
      </w:r>
    </w:p>
    <w:p>
      <w:pPr>
        <w:ind w:left="720" w:hanging="720" w:hangingChars="343"/>
        <w:rPr>
          <w:rFonts w:hint="eastAsia" w:ascii="仿宋" w:hAnsi="仿宋" w:eastAsia="仿宋" w:cs="仿宋"/>
          <w:b/>
          <w:i w:val="0"/>
          <w:iCs w:val="0"/>
          <w:color w:val="auto"/>
          <w:sz w:val="20"/>
          <w:szCs w:val="20"/>
          <w:highlight w:val="none"/>
        </w:rPr>
      </w:pPr>
      <w:r>
        <w:rPr>
          <w:rFonts w:hint="eastAsia" w:ascii="仿宋" w:hAnsi="仿宋" w:eastAsia="仿宋" w:cs="仿宋"/>
          <w:i w:val="0"/>
          <w:iCs w:val="0"/>
          <w:color w:val="auto"/>
          <w:szCs w:val="21"/>
          <w:highlight w:val="none"/>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bookmarkStart w:id="59" w:name="_Hlt14560610"/>
            <w:bookmarkEnd w:id="59"/>
            <w:bookmarkStart w:id="60" w:name="_Toc389620165"/>
            <w:bookmarkStart w:id="61" w:name="_Toc503063423"/>
            <w:bookmarkStart w:id="62" w:name="_Toc500747190"/>
            <w:bookmarkStart w:id="63" w:name="_Toc499711044"/>
            <w:bookmarkStart w:id="64" w:name="_Toc499711885"/>
            <w:bookmarkStart w:id="65" w:name="_Toc500747063"/>
            <w:bookmarkStart w:id="66" w:name="_Toc385992326"/>
            <w:bookmarkStart w:id="67" w:name="_Toc492955416"/>
            <w:bookmarkStart w:id="68" w:name="_Toc496324580"/>
            <w:bookmarkStart w:id="69" w:name="_Toc500746967"/>
            <w:r>
              <w:rPr>
                <w:rFonts w:hint="eastAsia" w:ascii="仿宋" w:hAnsi="仿宋" w:eastAsia="仿宋" w:cs="仿宋"/>
                <w:b/>
                <w:i w:val="0"/>
                <w:iCs w:val="0"/>
                <w:color w:val="auto"/>
                <w:sz w:val="24"/>
                <w:szCs w:val="24"/>
                <w:highlight w:val="none"/>
              </w:rPr>
              <w:t>条款号</w:t>
            </w:r>
          </w:p>
        </w:tc>
        <w:tc>
          <w:tcPr>
            <w:tcW w:w="7650" w:type="dxa"/>
            <w:vAlign w:val="center"/>
          </w:tcPr>
          <w:p>
            <w:pPr>
              <w:pStyle w:val="29"/>
              <w:adjustRightInd w:val="0"/>
              <w:snapToGrid w:val="0"/>
              <w:spacing w:line="240" w:lineRule="auto"/>
              <w:jc w:val="center"/>
              <w:rPr>
                <w:rFonts w:hint="eastAsia" w:ascii="仿宋" w:hAnsi="仿宋" w:eastAsia="仿宋" w:cs="仿宋"/>
                <w:b/>
                <w:i w:val="0"/>
                <w:iCs w:val="0"/>
                <w:color w:val="auto"/>
                <w:sz w:val="24"/>
                <w:szCs w:val="24"/>
                <w:highlight w:val="none"/>
              </w:rPr>
            </w:pPr>
            <w:r>
              <w:rPr>
                <w:rFonts w:hint="eastAsia" w:ascii="仿宋" w:hAnsi="仿宋" w:eastAsia="仿宋" w:cs="仿宋"/>
                <w:b/>
                <w:i w:val="0"/>
                <w:iCs w:val="0"/>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项目名称：</w:t>
            </w:r>
            <w:r>
              <w:rPr>
                <w:rFonts w:hint="eastAsia" w:ascii="仿宋" w:hAnsi="仿宋" w:eastAsia="仿宋" w:cs="仿宋"/>
                <w:i w:val="0"/>
                <w:iCs w:val="0"/>
                <w:color w:val="auto"/>
                <w:sz w:val="24"/>
                <w:szCs w:val="24"/>
                <w:highlight w:val="none"/>
                <w:lang w:eastAsia="zh-CN"/>
              </w:rPr>
              <w:t>神木市医院HIS、电子病历及互联互通信息平台维保采购项目</w:t>
            </w:r>
          </w:p>
          <w:p>
            <w:pPr>
              <w:pStyle w:val="29"/>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项目编号：</w:t>
            </w:r>
            <w:r>
              <w:rPr>
                <w:rFonts w:hint="eastAsia" w:ascii="仿宋" w:hAnsi="仿宋" w:eastAsia="仿宋" w:cs="仿宋"/>
                <w:i w:val="0"/>
                <w:iCs w:val="0"/>
                <w:color w:val="auto"/>
                <w:sz w:val="24"/>
                <w:szCs w:val="24"/>
                <w:highlight w:val="none"/>
                <w:lang w:eastAsia="zh-CN"/>
              </w:rPr>
              <w:t>SCZK2022-JT-0036/016</w:t>
            </w:r>
          </w:p>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资金来源：财政资金</w:t>
            </w:r>
          </w:p>
          <w:p>
            <w:pPr>
              <w:pStyle w:val="29"/>
              <w:adjustRightInd w:val="0"/>
              <w:snapToGrid w:val="0"/>
              <w:spacing w:line="240" w:lineRule="auto"/>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预算金额：</w:t>
            </w:r>
            <w:r>
              <w:rPr>
                <w:rFonts w:hint="eastAsia" w:ascii="仿宋" w:hAnsi="仿宋" w:eastAsia="仿宋" w:cs="仿宋"/>
                <w:i w:val="0"/>
                <w:iCs w:val="0"/>
                <w:color w:val="auto"/>
                <w:sz w:val="24"/>
                <w:szCs w:val="24"/>
                <w:highlight w:val="none"/>
                <w:lang w:val="en-US" w:eastAsia="zh-CN"/>
              </w:rPr>
              <w:t>1080000.00元</w:t>
            </w:r>
          </w:p>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采购方式：竞争性谈判</w:t>
            </w:r>
          </w:p>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采购内容：详见本谈判文件第四章</w:t>
            </w:r>
          </w:p>
          <w:p>
            <w:pPr>
              <w:pStyle w:val="29"/>
              <w:adjustRightInd w:val="0"/>
              <w:snapToGrid w:val="0"/>
              <w:spacing w:line="240" w:lineRule="auto"/>
              <w:rPr>
                <w:rFonts w:hint="eastAsia" w:ascii="仿宋" w:hAnsi="仿宋" w:eastAsia="仿宋" w:cs="仿宋"/>
                <w:i w:val="0"/>
                <w:iCs w:val="0"/>
                <w:color w:val="auto"/>
                <w:sz w:val="24"/>
                <w:szCs w:val="24"/>
                <w:highlight w:val="none"/>
                <w:lang w:val="en-US"/>
              </w:rPr>
            </w:pPr>
            <w:r>
              <w:rPr>
                <w:rFonts w:hint="eastAsia" w:ascii="仿宋" w:hAnsi="仿宋" w:eastAsia="仿宋" w:cs="仿宋"/>
                <w:i w:val="0"/>
                <w:iCs w:val="0"/>
                <w:color w:val="auto"/>
                <w:sz w:val="24"/>
                <w:szCs w:val="24"/>
                <w:highlight w:val="none"/>
                <w:lang w:val="en-US" w:eastAsia="zh-CN"/>
              </w:rPr>
              <w:t>项目所属行业：软件和信息技术服务业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采购人：</w:t>
            </w:r>
            <w:r>
              <w:rPr>
                <w:rFonts w:hint="eastAsia" w:ascii="仿宋" w:hAnsi="仿宋" w:eastAsia="仿宋" w:cs="仿宋"/>
                <w:i w:val="0"/>
                <w:iCs w:val="0"/>
                <w:color w:val="auto"/>
                <w:sz w:val="24"/>
                <w:szCs w:val="24"/>
                <w:highlight w:val="none"/>
                <w:lang w:eastAsia="zh-CN"/>
              </w:rPr>
              <w:t>神木市医院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2.2</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邀请供应商的方式：</w:t>
            </w:r>
            <w:r>
              <w:rPr>
                <w:rFonts w:hint="eastAsia" w:ascii="仿宋" w:hAnsi="仿宋" w:eastAsia="仿宋" w:cs="仿宋"/>
                <w:sz w:val="24"/>
                <w:szCs w:val="24"/>
                <w:highlight w:val="none"/>
              </w:rPr>
              <w:t>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3.1</w:t>
            </w:r>
          </w:p>
        </w:tc>
        <w:tc>
          <w:tcPr>
            <w:tcW w:w="7650" w:type="dxa"/>
            <w:vAlign w:val="center"/>
          </w:tcPr>
          <w:p>
            <w:pPr>
              <w:pStyle w:val="14"/>
              <w:spacing w:line="360" w:lineRule="auto"/>
              <w:rPr>
                <w:rFonts w:hint="eastAsia" w:ascii="仿宋" w:hAnsi="仿宋" w:eastAsia="仿宋" w:cs="仿宋"/>
                <w:i w:val="0"/>
                <w:iCs w:val="0"/>
                <w:color w:val="auto"/>
                <w:highlight w:val="none"/>
              </w:rPr>
            </w:pPr>
            <w:r>
              <w:rPr>
                <w:rFonts w:hint="eastAsia" w:ascii="仿宋" w:hAnsi="仿宋" w:eastAsia="仿宋" w:cs="仿宋"/>
                <w:i w:val="0"/>
                <w:iCs w:val="0"/>
                <w:color w:val="auto"/>
                <w:kern w:val="2"/>
                <w:highlight w:val="none"/>
              </w:rPr>
              <w:t xml:space="preserve">对供应商的资格要求：见谈判公告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5</w:t>
            </w:r>
          </w:p>
        </w:tc>
        <w:tc>
          <w:tcPr>
            <w:tcW w:w="7650" w:type="dxa"/>
            <w:vAlign w:val="center"/>
          </w:tcPr>
          <w:p>
            <w:pPr>
              <w:pStyle w:val="14"/>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是否允许采购进口产品：</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6</w:t>
            </w:r>
          </w:p>
        </w:tc>
        <w:tc>
          <w:tcPr>
            <w:tcW w:w="7650" w:type="dxa"/>
            <w:vAlign w:val="center"/>
          </w:tcPr>
          <w:p>
            <w:pPr>
              <w:pStyle w:val="14"/>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是否允许联合体</w:t>
            </w:r>
            <w:r>
              <w:rPr>
                <w:rFonts w:hint="eastAsia" w:ascii="仿宋" w:hAnsi="仿宋" w:eastAsia="仿宋" w:cs="仿宋"/>
                <w:i w:val="0"/>
                <w:iCs w:val="0"/>
                <w:color w:val="auto"/>
                <w:kern w:val="2"/>
                <w:highlight w:val="none"/>
                <w:lang w:val="en-US" w:eastAsia="zh-CN"/>
              </w:rPr>
              <w:t>谈判</w:t>
            </w:r>
            <w:r>
              <w:rPr>
                <w:rFonts w:hint="eastAsia" w:ascii="仿宋" w:hAnsi="仿宋" w:eastAsia="仿宋" w:cs="仿宋"/>
                <w:i w:val="0"/>
                <w:iCs w:val="0"/>
                <w:color w:val="auto"/>
                <w:kern w:val="2"/>
                <w:highlight w:val="none"/>
              </w:rPr>
              <w:t>：</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3.7</w:t>
            </w:r>
          </w:p>
        </w:tc>
        <w:tc>
          <w:tcPr>
            <w:tcW w:w="7650" w:type="dxa"/>
            <w:vAlign w:val="center"/>
          </w:tcPr>
          <w:p>
            <w:pPr>
              <w:pStyle w:val="14"/>
              <w:spacing w:line="360" w:lineRule="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是否为专门面向中小企业采购：</w:t>
            </w:r>
            <w:r>
              <w:rPr>
                <w:rFonts w:hint="eastAsia" w:ascii="仿宋" w:hAnsi="仿宋" w:eastAsia="仿宋" w:cs="仿宋"/>
                <w:i w:val="0"/>
                <w:iCs w:val="0"/>
                <w:color w:val="auto"/>
                <w:sz w:val="24"/>
                <w:highlight w:val="none"/>
                <w:u w:val="single"/>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12.1</w:t>
            </w:r>
          </w:p>
        </w:tc>
        <w:tc>
          <w:tcPr>
            <w:tcW w:w="7650" w:type="dxa"/>
            <w:vAlign w:val="center"/>
          </w:tcPr>
          <w:p>
            <w:pPr>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货物响应报价为完成本项目并达到谈判文件要求所需要的全部费用。包括产品供货、安装调试、验收、培训售后服务、以及增值税等税费、运杂保险费等）。 服务响应报价为提供谈判文件要求服务的所有费用，包括但不限于提供项目实施费、自行测试费、培训费、人工费、材料费、管理费、供应商应缴纳的所有税费、规费、保险费（如果有）、安装费、集成费等全部费用。</w:t>
            </w:r>
          </w:p>
          <w:p>
            <w:pPr>
              <w:pStyle w:val="29"/>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（1）报价货币：人民币；</w:t>
            </w:r>
          </w:p>
          <w:p>
            <w:pPr>
              <w:pStyle w:val="29"/>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p>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14.1</w:t>
            </w:r>
          </w:p>
          <w:p>
            <w:pPr>
              <w:pStyle w:val="29"/>
              <w:adjustRightInd w:val="0"/>
              <w:snapToGrid w:val="0"/>
              <w:spacing w:line="240" w:lineRule="auto"/>
              <w:rPr>
                <w:rFonts w:hint="eastAsia" w:ascii="仿宋" w:hAnsi="仿宋" w:eastAsia="仿宋" w:cs="仿宋"/>
                <w:i w:val="0"/>
                <w:iCs w:val="0"/>
                <w:color w:val="auto"/>
                <w:sz w:val="24"/>
                <w:szCs w:val="24"/>
                <w:highlight w:val="none"/>
              </w:rPr>
            </w:pPr>
          </w:p>
        </w:tc>
        <w:tc>
          <w:tcPr>
            <w:tcW w:w="7650" w:type="dxa"/>
            <w:vAlign w:val="center"/>
          </w:tcPr>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本项目须提供谈判保证金人民币</w:t>
            </w:r>
            <w:r>
              <w:rPr>
                <w:rFonts w:hint="eastAsia" w:ascii="仿宋" w:hAnsi="仿宋" w:eastAsia="仿宋" w:cs="仿宋"/>
                <w:i w:val="0"/>
                <w:iCs w:val="0"/>
                <w:color w:val="auto"/>
                <w:sz w:val="24"/>
                <w:szCs w:val="24"/>
                <w:highlight w:val="none"/>
                <w:lang w:eastAsia="zh-CN"/>
              </w:rPr>
              <w:t>贰万</w:t>
            </w:r>
            <w:r>
              <w:rPr>
                <w:rFonts w:hint="eastAsia" w:ascii="仿宋" w:hAnsi="仿宋" w:eastAsia="仿宋" w:cs="仿宋"/>
                <w:i w:val="0"/>
                <w:iCs w:val="0"/>
                <w:color w:val="auto"/>
                <w:sz w:val="24"/>
                <w:szCs w:val="24"/>
                <w:highlight w:val="none"/>
              </w:rPr>
              <w:t>元整（人民币¥</w:t>
            </w:r>
            <w:r>
              <w:rPr>
                <w:rFonts w:hint="eastAsia" w:ascii="仿宋" w:hAnsi="仿宋" w:eastAsia="仿宋" w:cs="仿宋"/>
                <w:i w:val="0"/>
                <w:iCs w:val="0"/>
                <w:color w:val="auto"/>
                <w:sz w:val="24"/>
                <w:szCs w:val="24"/>
                <w:highlight w:val="none"/>
                <w:lang w:val="en-US" w:eastAsia="zh-CN"/>
              </w:rPr>
              <w:t>20000</w:t>
            </w:r>
            <w:r>
              <w:rPr>
                <w:rFonts w:hint="eastAsia" w:ascii="仿宋" w:hAnsi="仿宋" w:eastAsia="仿宋" w:cs="仿宋"/>
                <w:i w:val="0"/>
                <w:iCs w:val="0"/>
                <w:color w:val="auto"/>
                <w:sz w:val="24"/>
                <w:szCs w:val="24"/>
                <w:highlight w:val="none"/>
              </w:rPr>
              <w:t>.00元）。（有分包的，按包号缴纳保证金）</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保证金可自主选择采用电汇、银行转账、支票、汇票、本票、金融机构或担保机构出具的保函等非现金形式。</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保证金户名：陕西省采购招标有限责任公司</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开户银行：中国银行西安南郊支行营业部 </w:t>
            </w:r>
          </w:p>
          <w:p>
            <w:pPr>
              <w:pStyle w:val="29"/>
              <w:adjustRightInd w:val="0"/>
              <w:snapToGrid w:val="0"/>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账    号：</w:t>
            </w:r>
            <w:r>
              <w:rPr>
                <w:rFonts w:hint="eastAsia" w:ascii="仿宋" w:hAnsi="仿宋" w:eastAsia="仿宋" w:cs="仿宋"/>
                <w:i w:val="0"/>
                <w:iCs w:val="0"/>
                <w:color w:val="0000FF"/>
                <w:sz w:val="24"/>
                <w:szCs w:val="24"/>
                <w:highlight w:val="none"/>
                <w:lang w:eastAsia="zh-CN"/>
              </w:rPr>
              <w:t>103260087734</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联系人：侯娜  电话：029-85256853</w:t>
            </w:r>
          </w:p>
          <w:p>
            <w:pPr>
              <w:pStyle w:val="29"/>
              <w:adjustRightInd w:val="0"/>
              <w:snapToGrid w:val="0"/>
              <w:spacing w:line="240" w:lineRule="auto"/>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备注：</w:t>
            </w:r>
          </w:p>
          <w:p>
            <w:pPr>
              <w:pStyle w:val="29"/>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1、在汇款时务必注明所响应项目的项目编号，否则，因款项用途不明导致谈判无效等后果由供应商自行承担；</w:t>
            </w:r>
          </w:p>
          <w:p>
            <w:pPr>
              <w:pStyle w:val="29"/>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2、请各供应商在响应文件递交截止时间前，按文件的要求向采购代理机构递交谈判保证金；</w:t>
            </w:r>
          </w:p>
          <w:p>
            <w:pPr>
              <w:pStyle w:val="29"/>
              <w:adjustRightInd w:val="0"/>
              <w:snapToGrid w:val="0"/>
              <w:spacing w:line="240" w:lineRule="auto"/>
              <w:ind w:firstLine="422" w:firstLineChars="200"/>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highlight w:val="none"/>
              </w:rPr>
              <w:t>3、谈判保证金有效期同谈判有效期。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15.1</w:t>
            </w:r>
          </w:p>
        </w:tc>
        <w:tc>
          <w:tcPr>
            <w:tcW w:w="7650" w:type="dxa"/>
            <w:vAlign w:val="center"/>
          </w:tcPr>
          <w:p>
            <w:pPr>
              <w:pStyle w:val="29"/>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谈判有效期：自响应文件递交之日起</w:t>
            </w:r>
            <w:r>
              <w:rPr>
                <w:rFonts w:hint="eastAsia" w:ascii="仿宋" w:hAnsi="仿宋" w:eastAsia="仿宋" w:cs="仿宋"/>
                <w:i w:val="0"/>
                <w:iCs w:val="0"/>
                <w:color w:val="auto"/>
                <w:sz w:val="24"/>
                <w:szCs w:val="24"/>
                <w:highlight w:val="none"/>
                <w:u w:val="single"/>
              </w:rPr>
              <w:t xml:space="preserve">  60  </w:t>
            </w:r>
            <w:r>
              <w:rPr>
                <w:rFonts w:hint="eastAsia" w:ascii="仿宋" w:hAnsi="仿宋" w:eastAsia="仿宋" w:cs="仿宋"/>
                <w:i w:val="0"/>
                <w:iCs w:val="0"/>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16.1</w:t>
            </w:r>
          </w:p>
        </w:tc>
        <w:tc>
          <w:tcPr>
            <w:tcW w:w="7650" w:type="dxa"/>
            <w:vAlign w:val="center"/>
          </w:tcPr>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1.为积极响应国家疫情防控要求及榆林市公共资源交易中心的相关政策，本项目采用</w:t>
            </w:r>
            <w:r>
              <w:rPr>
                <w:rFonts w:hint="eastAsia" w:ascii="仿宋" w:hAnsi="仿宋" w:eastAsia="仿宋" w:cs="仿宋"/>
                <w:sz w:val="24"/>
                <w:lang w:val="zh-CN"/>
              </w:rPr>
              <w:t>电子化招</w:t>
            </w:r>
            <w:r>
              <w:rPr>
                <w:rFonts w:hint="eastAsia" w:ascii="仿宋" w:hAnsi="仿宋" w:eastAsia="仿宋" w:cs="仿宋"/>
                <w:sz w:val="24"/>
                <w:lang w:val="zh-CN" w:eastAsia="zh-CN"/>
              </w:rPr>
              <w:t>投标，电子投标</w:t>
            </w:r>
            <w:r>
              <w:rPr>
                <w:rFonts w:hint="eastAsia" w:ascii="仿宋" w:hAnsi="仿宋" w:eastAsia="仿宋" w:cs="仿宋"/>
                <w:sz w:val="24"/>
                <w:lang w:val="zh-CN"/>
              </w:rPr>
              <w:t>文件需在投标截止时间之前在陕西省公共资源交易中心平台（http://xxxq.sxggzyjy.cn/）递交；</w:t>
            </w:r>
          </w:p>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2.</w:t>
            </w:r>
            <w:r>
              <w:rPr>
                <w:rFonts w:hint="eastAsia" w:ascii="仿宋" w:hAnsi="仿宋" w:eastAsia="仿宋" w:cs="仿宋"/>
                <w:sz w:val="24"/>
                <w:lang w:val="zh-CN"/>
              </w:rPr>
              <w:t>为便于采购人归档和向监管部门备案，</w:t>
            </w:r>
            <w:r>
              <w:rPr>
                <w:rFonts w:hint="eastAsia" w:ascii="仿宋" w:hAnsi="仿宋" w:eastAsia="仿宋" w:cs="仿宋"/>
                <w:sz w:val="24"/>
                <w:lang w:val="zh-CN" w:eastAsia="zh-CN"/>
              </w:rPr>
              <w:t>供应商</w:t>
            </w:r>
            <w:r>
              <w:rPr>
                <w:rFonts w:hint="eastAsia" w:ascii="仿宋" w:hAnsi="仿宋" w:eastAsia="仿宋" w:cs="仿宋"/>
                <w:sz w:val="24"/>
                <w:lang w:val="zh-CN"/>
              </w:rPr>
              <w:t>需按以下要求递交纸质版</w:t>
            </w:r>
            <w:r>
              <w:rPr>
                <w:rFonts w:hint="eastAsia" w:ascii="仿宋" w:hAnsi="仿宋" w:eastAsia="仿宋" w:cs="仿宋"/>
                <w:sz w:val="24"/>
                <w:lang w:val="zh-CN" w:eastAsia="zh-CN"/>
              </w:rPr>
              <w:t>投标</w:t>
            </w:r>
            <w:r>
              <w:rPr>
                <w:rFonts w:hint="eastAsia" w:ascii="仿宋" w:hAnsi="仿宋" w:eastAsia="仿宋" w:cs="仿宋"/>
                <w:sz w:val="24"/>
                <w:lang w:val="zh-CN"/>
              </w:rPr>
              <w:t>文件：</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谈判响应文件：正本：1份、副本：2份；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除上述文件外，还须密封递交谈判文件电子文档1份。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eastAsia="zh-CN"/>
              </w:rPr>
              <w:t>递交方式：纸质版谈判文件须在谈判截止时间前寄出，</w:t>
            </w:r>
            <w:r>
              <w:rPr>
                <w:rFonts w:hint="eastAsia" w:ascii="仿宋" w:hAnsi="仿宋" w:eastAsia="仿宋" w:cs="仿宋"/>
                <w:sz w:val="24"/>
                <w:lang w:val="zh-CN"/>
              </w:rPr>
              <w:t>以电报、传真、电子邮件形式递交的</w:t>
            </w:r>
            <w:r>
              <w:rPr>
                <w:rFonts w:hint="eastAsia" w:ascii="仿宋" w:hAnsi="仿宋" w:eastAsia="仿宋" w:cs="仿宋"/>
                <w:sz w:val="24"/>
                <w:lang w:val="zh-CN" w:eastAsia="zh-CN"/>
              </w:rPr>
              <w:t>投标</w:t>
            </w:r>
            <w:r>
              <w:rPr>
                <w:rFonts w:hint="eastAsia" w:ascii="仿宋" w:hAnsi="仿宋" w:eastAsia="仿宋" w:cs="仿宋"/>
                <w:sz w:val="24"/>
                <w:lang w:val="zh-CN"/>
              </w:rPr>
              <w:t>文件将不予接受。</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注:</w:t>
            </w:r>
            <w:r>
              <w:rPr>
                <w:rFonts w:hint="eastAsia" w:ascii="仿宋" w:hAnsi="仿宋" w:eastAsia="仿宋" w:cs="仿宋"/>
                <w:sz w:val="24"/>
                <w:lang w:val="zh-CN" w:eastAsia="zh-CN"/>
              </w:rPr>
              <w:t>供应商在</w:t>
            </w:r>
            <w:r>
              <w:rPr>
                <w:rFonts w:hint="eastAsia" w:ascii="仿宋" w:hAnsi="仿宋" w:eastAsia="仿宋" w:cs="仿宋"/>
                <w:sz w:val="24"/>
                <w:lang w:val="en-US" w:eastAsia="zh-CN"/>
              </w:rPr>
              <w:t>谈判截止时间前须将快递</w:t>
            </w:r>
            <w:r>
              <w:rPr>
                <w:rFonts w:hint="eastAsia" w:ascii="仿宋" w:hAnsi="仿宋" w:eastAsia="仿宋" w:cs="仿宋"/>
                <w:sz w:val="24"/>
                <w:lang w:val="zh-CN" w:eastAsia="zh-CN"/>
              </w:rPr>
              <w:t>单号及供应商信息发送至以下邮箱：</w:t>
            </w:r>
            <w:r>
              <w:rPr>
                <w:rFonts w:hint="eastAsia" w:ascii="仿宋" w:hAnsi="仿宋" w:eastAsia="仿宋" w:cs="仿宋"/>
                <w:sz w:val="24"/>
                <w:lang w:val="en-US" w:eastAsia="zh-CN"/>
              </w:rPr>
              <w:fldChar w:fldCharType="begin"/>
            </w:r>
            <w:r>
              <w:rPr>
                <w:rFonts w:hint="eastAsia" w:ascii="仿宋" w:hAnsi="仿宋" w:eastAsia="仿宋" w:cs="仿宋"/>
                <w:sz w:val="24"/>
                <w:lang w:val="en-US" w:eastAsia="zh-CN"/>
              </w:rPr>
              <w:instrText xml:space="preserve"> HYPERLINK "mailto:1769910843@qq.com，该快递单号将作为投标人的投标依据。" </w:instrText>
            </w:r>
            <w:r>
              <w:rPr>
                <w:rFonts w:hint="eastAsia" w:ascii="仿宋" w:hAnsi="仿宋" w:eastAsia="仿宋" w:cs="仿宋"/>
                <w:sz w:val="24"/>
                <w:lang w:val="en-US" w:eastAsia="zh-CN"/>
              </w:rPr>
              <w:fldChar w:fldCharType="separate"/>
            </w:r>
            <w:r>
              <w:rPr>
                <w:rFonts w:hint="eastAsia" w:ascii="仿宋" w:hAnsi="仿宋" w:eastAsia="仿宋" w:cs="仿宋"/>
                <w:sz w:val="24"/>
                <w:lang w:val="en-US" w:eastAsia="zh-CN"/>
              </w:rPr>
              <w:t>2430945594@qq.com，该快递单号将作为</w:t>
            </w:r>
            <w:r>
              <w:rPr>
                <w:rFonts w:hint="eastAsia" w:ascii="仿宋" w:hAnsi="仿宋" w:eastAsia="仿宋" w:cs="仿宋"/>
                <w:sz w:val="24"/>
                <w:lang w:val="zh-CN" w:eastAsia="zh-CN"/>
              </w:rPr>
              <w:t>供应商</w:t>
            </w:r>
            <w:r>
              <w:rPr>
                <w:rFonts w:hint="eastAsia" w:ascii="仿宋" w:hAnsi="仿宋" w:eastAsia="仿宋" w:cs="仿宋"/>
                <w:sz w:val="24"/>
                <w:lang w:val="en-US" w:eastAsia="zh-CN"/>
              </w:rPr>
              <w:t>成功投标的依据。</w:t>
            </w:r>
            <w:r>
              <w:rPr>
                <w:rFonts w:hint="eastAsia" w:ascii="仿宋" w:hAnsi="仿宋" w:eastAsia="仿宋" w:cs="仿宋"/>
                <w:sz w:val="24"/>
                <w:lang w:val="en-US" w:eastAsia="zh-CN"/>
              </w:rPr>
              <w:fldChar w:fldCharType="end"/>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邮寄地址：榆林市金沙路泰和时代A座901，联系人：尚智   联系电话：17349251183。</w:t>
            </w:r>
          </w:p>
          <w:p>
            <w:pPr>
              <w:pStyle w:val="29"/>
              <w:adjustRightInd w:val="0"/>
              <w:snapToGrid w:val="0"/>
              <w:spacing w:line="240" w:lineRule="auto"/>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sz w:val="24"/>
                <w:lang w:val="zh-CN" w:eastAsia="zh-CN"/>
              </w:rPr>
              <w:t>供应商</w:t>
            </w:r>
            <w:r>
              <w:rPr>
                <w:rFonts w:hint="eastAsia" w:ascii="仿宋" w:hAnsi="仿宋" w:eastAsia="仿宋" w:cs="仿宋"/>
                <w:sz w:val="24"/>
                <w:lang w:val="en-US" w:eastAsia="zh-CN"/>
              </w:rPr>
              <w:t>未按要求递交</w:t>
            </w:r>
            <w:r>
              <w:rPr>
                <w:rFonts w:hint="eastAsia" w:ascii="仿宋" w:hAnsi="仿宋" w:eastAsia="仿宋" w:cs="仿宋"/>
                <w:sz w:val="24"/>
                <w:lang w:val="zh-CN" w:eastAsia="zh-CN"/>
              </w:rPr>
              <w:t>谈判</w:t>
            </w:r>
            <w:r>
              <w:rPr>
                <w:rFonts w:hint="eastAsia" w:ascii="仿宋" w:hAnsi="仿宋" w:eastAsia="仿宋" w:cs="仿宋"/>
                <w:sz w:val="24"/>
                <w:lang w:val="en-US" w:eastAsia="zh-CN"/>
              </w:rPr>
              <w:t>文件的，由此产生的后果均由供应商自行承担。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17.2</w:t>
            </w:r>
          </w:p>
        </w:tc>
        <w:tc>
          <w:tcPr>
            <w:tcW w:w="7650" w:type="dxa"/>
            <w:vAlign w:val="center"/>
          </w:tcPr>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密封袋（箱）上须标注：</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（l）采购编号</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（2）项目名称</w:t>
            </w:r>
          </w:p>
          <w:p>
            <w:pPr>
              <w:pStyle w:val="29"/>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（3）供应商的名称、地址、联系人、电话和传真。</w:t>
            </w:r>
          </w:p>
          <w:p>
            <w:pPr>
              <w:pStyle w:val="29"/>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（4）在  ******（北京时间）之前不得启封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17.3</w:t>
            </w:r>
          </w:p>
        </w:tc>
        <w:tc>
          <w:tcPr>
            <w:tcW w:w="7650" w:type="dxa"/>
            <w:vAlign w:val="center"/>
          </w:tcPr>
          <w:p>
            <w:pPr>
              <w:pStyle w:val="29"/>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本项目不要求提交样品。</w:t>
            </w:r>
          </w:p>
          <w:p>
            <w:pPr>
              <w:pStyle w:val="29"/>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□本项目要求提交样品。样品为响应文件的一部分，随响应文件同时递交。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18.1</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响应文件递交截止时间：20</w:t>
            </w:r>
            <w:r>
              <w:rPr>
                <w:rFonts w:hint="eastAsia" w:ascii="仿宋" w:hAnsi="仿宋" w:eastAsia="仿宋" w:cs="仿宋"/>
                <w:i w:val="0"/>
                <w:iCs w:val="0"/>
                <w:color w:val="auto"/>
                <w:kern w:val="24"/>
                <w:sz w:val="24"/>
                <w:szCs w:val="21"/>
                <w:highlight w:val="none"/>
                <w:lang w:val="en-US" w:eastAsia="zh-CN"/>
              </w:rPr>
              <w:t>22</w:t>
            </w:r>
            <w:r>
              <w:rPr>
                <w:rFonts w:hint="eastAsia" w:ascii="仿宋" w:hAnsi="仿宋" w:eastAsia="仿宋" w:cs="仿宋"/>
                <w:i w:val="0"/>
                <w:iCs w:val="0"/>
                <w:color w:val="auto"/>
                <w:kern w:val="24"/>
                <w:sz w:val="24"/>
                <w:szCs w:val="21"/>
                <w:highlight w:val="none"/>
              </w:rPr>
              <w:t>年</w:t>
            </w:r>
            <w:r>
              <w:rPr>
                <w:rFonts w:hint="eastAsia" w:ascii="仿宋" w:hAnsi="仿宋" w:eastAsia="仿宋" w:cs="仿宋"/>
                <w:i w:val="0"/>
                <w:iCs w:val="0"/>
                <w:color w:val="auto"/>
                <w:kern w:val="24"/>
                <w:sz w:val="24"/>
                <w:szCs w:val="21"/>
                <w:highlight w:val="none"/>
                <w:lang w:val="en-US" w:eastAsia="zh-CN"/>
              </w:rPr>
              <w:t>10月18日13</w:t>
            </w:r>
            <w:r>
              <w:rPr>
                <w:rFonts w:hint="eastAsia" w:ascii="仿宋" w:hAnsi="仿宋" w:eastAsia="仿宋" w:cs="仿宋"/>
                <w:i w:val="0"/>
                <w:iCs w:val="0"/>
                <w:color w:val="auto"/>
                <w:kern w:val="24"/>
                <w:sz w:val="24"/>
                <w:szCs w:val="21"/>
                <w:highlight w:val="none"/>
              </w:rPr>
              <w:t>:</w:t>
            </w:r>
            <w:r>
              <w:rPr>
                <w:rFonts w:hint="eastAsia" w:ascii="仿宋" w:hAnsi="仿宋" w:eastAsia="仿宋" w:cs="仿宋"/>
                <w:i w:val="0"/>
                <w:iCs w:val="0"/>
                <w:color w:val="auto"/>
                <w:kern w:val="24"/>
                <w:sz w:val="24"/>
                <w:szCs w:val="21"/>
                <w:highlight w:val="none"/>
                <w:lang w:val="en-US" w:eastAsia="zh-CN"/>
              </w:rPr>
              <w:t>3</w:t>
            </w:r>
            <w:r>
              <w:rPr>
                <w:rFonts w:hint="eastAsia" w:ascii="仿宋" w:hAnsi="仿宋" w:eastAsia="仿宋" w:cs="仿宋"/>
                <w:i w:val="0"/>
                <w:iCs w:val="0"/>
                <w:color w:val="auto"/>
                <w:kern w:val="24"/>
                <w:sz w:val="24"/>
                <w:szCs w:val="21"/>
                <w:highlight w:val="none"/>
              </w:rPr>
              <w:t>0（北京时间）。</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响应文件递交地点：榆林市公共资源交易中心10楼</w:t>
            </w:r>
            <w:r>
              <w:rPr>
                <w:rFonts w:hint="eastAsia" w:ascii="仿宋" w:hAnsi="仿宋" w:eastAsia="仿宋" w:cs="仿宋"/>
                <w:i w:val="0"/>
                <w:iCs w:val="0"/>
                <w:color w:val="auto"/>
                <w:kern w:val="24"/>
                <w:sz w:val="24"/>
                <w:szCs w:val="21"/>
                <w:highlight w:val="none"/>
                <w:lang w:val="en-US" w:eastAsia="zh-CN"/>
              </w:rPr>
              <w:t>8</w:t>
            </w:r>
            <w:r>
              <w:rPr>
                <w:rFonts w:hint="eastAsia" w:ascii="仿宋" w:hAnsi="仿宋" w:eastAsia="仿宋" w:cs="仿宋"/>
                <w:i w:val="0"/>
                <w:iCs w:val="0"/>
                <w:color w:val="auto"/>
                <w:kern w:val="24"/>
                <w:sz w:val="24"/>
                <w:szCs w:val="21"/>
                <w:highlight w:val="none"/>
              </w:rPr>
              <w:t>开标室。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kern w:val="24"/>
                <w:sz w:val="24"/>
                <w:szCs w:val="21"/>
                <w:highlight w:val="none"/>
              </w:rPr>
              <w:t>响应文件须于响应文件递交截止时间之前由专人密封送达响应文件递交地点，以电报、传真、电子邮件形式递交的响应文件将不予接受。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9"/>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w:t>
            </w:r>
          </w:p>
        </w:tc>
        <w:tc>
          <w:tcPr>
            <w:tcW w:w="7650" w:type="dxa"/>
            <w:vAlign w:val="center"/>
          </w:tcPr>
          <w:p>
            <w:pPr>
              <w:spacing w:line="360" w:lineRule="exac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谈判小组由</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rPr>
              <w:t xml:space="preserve">3 </w:t>
            </w:r>
            <w:r>
              <w:rPr>
                <w:rFonts w:hint="eastAsia" w:ascii="仿宋" w:hAnsi="仿宋" w:eastAsia="仿宋" w:cs="仿宋"/>
                <w:i w:val="0"/>
                <w:iCs w:val="0"/>
                <w:color w:val="auto"/>
                <w:sz w:val="24"/>
                <w:highlight w:val="none"/>
              </w:rPr>
              <w:t>人组成，其中评审专家</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人，采购人代表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1</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w:t>
            </w:r>
          </w:p>
        </w:tc>
        <w:tc>
          <w:tcPr>
            <w:tcW w:w="7650" w:type="dxa"/>
            <w:vAlign w:val="center"/>
          </w:tcPr>
          <w:p>
            <w:pPr>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本项目要求履约保证金，金额为成交合同金额的</w:t>
            </w:r>
            <w:r>
              <w:rPr>
                <w:rFonts w:hint="eastAsia" w:ascii="仿宋" w:hAnsi="仿宋" w:eastAsia="仿宋" w:cs="仿宋"/>
                <w:i w:val="0"/>
                <w:iCs w:val="0"/>
                <w:color w:val="auto"/>
                <w:sz w:val="24"/>
                <w:highlight w:val="none"/>
                <w:u w:val="single"/>
                <w:lang w:val="en-US" w:eastAsia="zh-CN"/>
              </w:rPr>
              <w:t>/</w:t>
            </w:r>
          </w:p>
          <w:p>
            <w:pPr>
              <w:pStyle w:val="23"/>
              <w:rPr>
                <w:rFonts w:hint="eastAsia" w:ascii="仿宋" w:hAnsi="仿宋" w:eastAsia="仿宋" w:cs="仿宋"/>
                <w:i w:val="0"/>
                <w:iCs w:val="0"/>
                <w:color w:val="auto"/>
                <w:highlight w:val="none"/>
              </w:rPr>
            </w:pPr>
          </w:p>
          <w:p>
            <w:pPr>
              <w:jc w:val="left"/>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32</w:t>
            </w:r>
          </w:p>
        </w:tc>
        <w:tc>
          <w:tcPr>
            <w:tcW w:w="7650" w:type="dxa"/>
            <w:vAlign w:val="center"/>
          </w:tcPr>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33.1</w:t>
            </w:r>
          </w:p>
        </w:tc>
        <w:tc>
          <w:tcPr>
            <w:tcW w:w="7650" w:type="dxa"/>
            <w:vAlign w:val="center"/>
          </w:tcPr>
          <w:p>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响应</w:t>
            </w:r>
            <w:r>
              <w:rPr>
                <w:rFonts w:hint="eastAsia" w:ascii="仿宋" w:hAnsi="仿宋" w:eastAsia="仿宋" w:cs="仿宋"/>
                <w:sz w:val="24"/>
              </w:rPr>
              <w:t>文件，逾期提交系统将拒绝接收。</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纸质版</w:t>
            </w:r>
            <w:r>
              <w:rPr>
                <w:rFonts w:hint="eastAsia" w:ascii="仿宋" w:hAnsi="仿宋" w:eastAsia="仿宋" w:cs="仿宋"/>
                <w:sz w:val="24"/>
                <w:lang w:eastAsia="zh-CN"/>
              </w:rPr>
              <w:t>响应</w:t>
            </w:r>
            <w:r>
              <w:rPr>
                <w:rFonts w:hint="eastAsia" w:ascii="仿宋" w:hAnsi="仿宋" w:eastAsia="仿宋" w:cs="仿宋"/>
                <w:sz w:val="24"/>
              </w:rPr>
              <w:t>文件将在开标过程中同步开启，供应商可通过不见面开标系统确认</w:t>
            </w:r>
            <w:r>
              <w:rPr>
                <w:rFonts w:hint="eastAsia" w:ascii="仿宋" w:hAnsi="仿宋" w:eastAsia="仿宋" w:cs="仿宋"/>
                <w:sz w:val="24"/>
                <w:lang w:eastAsia="zh-CN"/>
              </w:rPr>
              <w:t>响应</w:t>
            </w:r>
            <w:r>
              <w:rPr>
                <w:rFonts w:hint="eastAsia" w:ascii="仿宋" w:hAnsi="仿宋" w:eastAsia="仿宋" w:cs="仿宋"/>
                <w:sz w:val="24"/>
              </w:rPr>
              <w:t>文件密封情况。</w:t>
            </w:r>
          </w:p>
          <w:p>
            <w:pPr>
              <w:numPr>
                <w:ilvl w:val="0"/>
                <w:numId w:val="5"/>
              </w:numPr>
              <w:spacing w:line="360" w:lineRule="auto"/>
              <w:rPr>
                <w:rFonts w:hint="eastAsia" w:ascii="仿宋" w:hAnsi="仿宋" w:eastAsia="仿宋" w:cs="仿宋"/>
                <w:b/>
                <w:sz w:val="24"/>
              </w:rPr>
            </w:pPr>
            <w:r>
              <w:rPr>
                <w:rFonts w:hint="eastAsia" w:ascii="仿宋" w:hAnsi="仿宋" w:eastAsia="仿宋" w:cs="仿宋"/>
                <w:b/>
                <w:sz w:val="24"/>
              </w:rPr>
              <w:t>不见面开标流程</w:t>
            </w:r>
          </w:p>
          <w:p>
            <w:pPr>
              <w:spacing w:line="360" w:lineRule="auto"/>
              <w:rPr>
                <w:rFonts w:hint="eastAsia" w:ascii="仿宋" w:hAnsi="仿宋" w:eastAsia="仿宋" w:cs="仿宋"/>
                <w:sz w:val="24"/>
              </w:rPr>
            </w:pPr>
            <w:r>
              <w:rPr>
                <w:rFonts w:hint="eastAsia" w:ascii="仿宋" w:hAnsi="仿宋" w:eastAsia="仿宋" w:cs="仿宋"/>
                <w:sz w:val="24"/>
              </w:rPr>
              <w:t>疫情防控期间，为减少人员流动、避免交叉感染，该项目将采取“不见面”开标的形式，供应商无须到达开标现场，即可在网上直接参与开标活动。相关注意事项如下：</w:t>
            </w:r>
          </w:p>
          <w:p>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pPr>
              <w:spacing w:line="360" w:lineRule="auto"/>
              <w:rPr>
                <w:rFonts w:hint="eastAsia" w:ascii="仿宋" w:hAnsi="仿宋" w:eastAsia="仿宋" w:cs="仿宋"/>
                <w:sz w:val="24"/>
              </w:rPr>
            </w:pPr>
            <w:r>
              <w:rPr>
                <w:rFonts w:hint="eastAsia" w:ascii="仿宋" w:hAnsi="仿宋" w:eastAsia="仿宋" w:cs="仿宋"/>
                <w:sz w:val="24"/>
              </w:rPr>
              <w:t>4.2 IE浏览器输入网址：</w:t>
            </w:r>
          </w:p>
          <w:p>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响应</w:t>
            </w:r>
            <w:r>
              <w:rPr>
                <w:rFonts w:hint="eastAsia" w:ascii="仿宋" w:hAnsi="仿宋" w:eastAsia="仿宋" w:cs="仿宋"/>
                <w:sz w:val="24"/>
              </w:rPr>
              <w:t>文件时所用CA相同；注：解密时间为30分钟，在解密时间内供应商全部解密完成后，可提前进入开标下一阶段。</w:t>
            </w:r>
          </w:p>
          <w:p>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pPr>
        <w:adjustRightInd w:val="0"/>
        <w:spacing w:before="240" w:beforeLines="100" w:line="360" w:lineRule="auto"/>
        <w:ind w:right="-22"/>
        <w:jc w:val="center"/>
        <w:textAlignment w:val="baseline"/>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bookmarkStart w:id="70" w:name="_Toc177995474"/>
      <w:bookmarkStart w:id="71" w:name="_Toc230099798"/>
      <w:bookmarkStart w:id="72" w:name="_Toc249515391"/>
      <w:bookmarkStart w:id="73" w:name="_Toc176882543"/>
      <w:bookmarkStart w:id="74" w:name="_Toc232395213"/>
      <w:bookmarkStart w:id="75" w:name="_Toc53722841"/>
      <w:bookmarkStart w:id="76" w:name="_Toc184043013"/>
      <w:bookmarkStart w:id="77" w:name="_Toc230013633"/>
      <w:bookmarkStart w:id="78" w:name="_Toc232176273"/>
      <w:bookmarkStart w:id="79" w:name="_Toc256342144"/>
      <w:bookmarkStart w:id="80" w:name="_Toc249525160"/>
      <w:bookmarkStart w:id="81" w:name="_Toc230583542"/>
      <w:bookmarkStart w:id="82" w:name="_Toc177189236"/>
      <w:bookmarkStart w:id="83" w:name="_Toc58504662"/>
      <w:bookmarkStart w:id="84" w:name="_Toc70687140"/>
      <w:bookmarkStart w:id="85" w:name="_Toc249515279"/>
      <w:bookmarkStart w:id="86" w:name="_Toc177817335"/>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（二）供应商须知</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rPr>
          <w:rFonts w:hint="eastAsia" w:ascii="仿宋" w:hAnsi="仿宋" w:eastAsia="仿宋" w:cs="仿宋"/>
          <w:b/>
          <w:i w:val="0"/>
          <w:iCs w:val="0"/>
          <w:color w:val="auto"/>
          <w:sz w:val="24"/>
          <w:szCs w:val="21"/>
          <w:highlight w:val="none"/>
        </w:rPr>
      </w:pPr>
      <w:bookmarkStart w:id="87" w:name="_Hlt14560612"/>
      <w:bookmarkEnd w:id="87"/>
      <w:bookmarkStart w:id="88" w:name="_Toc249515392"/>
      <w:bookmarkStart w:id="89" w:name="_Toc184043014"/>
      <w:bookmarkStart w:id="90" w:name="_Toc249515280"/>
      <w:bookmarkStart w:id="91" w:name="_Toc25504"/>
      <w:bookmarkStart w:id="92" w:name="_Toc249525161"/>
      <w:r>
        <w:rPr>
          <w:rFonts w:hint="eastAsia" w:ascii="仿宋" w:hAnsi="仿宋" w:eastAsia="仿宋" w:cs="仿宋"/>
          <w:b/>
          <w:i w:val="0"/>
          <w:iCs w:val="0"/>
          <w:color w:val="auto"/>
          <w:sz w:val="24"/>
          <w:szCs w:val="21"/>
          <w:highlight w:val="none"/>
        </w:rPr>
        <w:t>1.     项目说明</w:t>
      </w:r>
      <w:bookmarkEnd w:id="88"/>
      <w:bookmarkEnd w:id="89"/>
      <w:bookmarkEnd w:id="90"/>
      <w:bookmarkEnd w:id="91"/>
      <w:bookmarkEnd w:id="92"/>
    </w:p>
    <w:p>
      <w:pPr>
        <w:pStyle w:val="64"/>
        <w:widowControl w:val="0"/>
        <w:numPr>
          <w:ilvl w:val="1"/>
          <w:numId w:val="6"/>
        </w:numPr>
        <w:tabs>
          <w:tab w:val="left" w:pos="588"/>
        </w:tabs>
        <w:spacing w:before="0" w:beforeAutospacing="0" w:after="0" w:afterAutospacing="0"/>
        <w:textAlignment w:val="auto"/>
        <w:rPr>
          <w:rFonts w:hint="eastAsia" w:ascii="仿宋" w:hAnsi="仿宋" w:eastAsia="仿宋" w:cs="仿宋"/>
          <w:i w:val="0"/>
          <w:iCs w:val="0"/>
          <w:color w:val="auto"/>
          <w:kern w:val="24"/>
          <w:szCs w:val="21"/>
          <w:highlight w:val="none"/>
        </w:rPr>
      </w:pPr>
      <w:r>
        <w:rPr>
          <w:rFonts w:hint="eastAsia" w:ascii="仿宋" w:hAnsi="仿宋" w:eastAsia="仿宋" w:cs="仿宋"/>
          <w:i w:val="0"/>
          <w:iCs w:val="0"/>
          <w:color w:val="auto"/>
          <w:kern w:val="24"/>
          <w:szCs w:val="21"/>
          <w:highlight w:val="none"/>
        </w:rPr>
        <w:t xml:space="preserve">    项目说明：</w:t>
      </w:r>
      <w:r>
        <w:rPr>
          <w:rFonts w:hint="eastAsia" w:ascii="仿宋" w:hAnsi="仿宋" w:eastAsia="仿宋" w:cs="仿宋"/>
          <w:b/>
          <w:i w:val="0"/>
          <w:iCs w:val="0"/>
          <w:color w:val="auto"/>
          <w:kern w:val="24"/>
          <w:szCs w:val="21"/>
          <w:highlight w:val="none"/>
        </w:rPr>
        <w:t>见供应商须知前附表</w:t>
      </w:r>
      <w:r>
        <w:rPr>
          <w:rFonts w:hint="eastAsia" w:ascii="仿宋" w:hAnsi="仿宋" w:eastAsia="仿宋" w:cs="仿宋"/>
          <w:i w:val="0"/>
          <w:iCs w:val="0"/>
          <w:color w:val="auto"/>
          <w:kern w:val="24"/>
          <w:szCs w:val="21"/>
          <w:highlight w:val="none"/>
        </w:rPr>
        <w:t>。</w:t>
      </w:r>
    </w:p>
    <w:p>
      <w:pPr>
        <w:pStyle w:val="5"/>
        <w:rPr>
          <w:rFonts w:hint="eastAsia" w:ascii="仿宋" w:hAnsi="仿宋" w:eastAsia="仿宋" w:cs="仿宋"/>
          <w:b/>
          <w:i w:val="0"/>
          <w:iCs w:val="0"/>
          <w:color w:val="auto"/>
          <w:sz w:val="24"/>
          <w:szCs w:val="21"/>
          <w:highlight w:val="none"/>
        </w:rPr>
      </w:pPr>
      <w:bookmarkStart w:id="93" w:name="_Toc249515393"/>
      <w:bookmarkStart w:id="94" w:name="_Toc31509"/>
      <w:bookmarkStart w:id="95" w:name="_Toc249515281"/>
      <w:bookmarkStart w:id="96" w:name="_Toc249525162"/>
      <w:bookmarkStart w:id="97" w:name="_Toc70687142"/>
      <w:bookmarkStart w:id="98" w:name="_Toc184043015"/>
      <w:r>
        <w:rPr>
          <w:rFonts w:hint="eastAsia" w:ascii="仿宋" w:hAnsi="仿宋" w:eastAsia="仿宋" w:cs="仿宋"/>
          <w:b/>
          <w:i w:val="0"/>
          <w:iCs w:val="0"/>
          <w:color w:val="auto"/>
          <w:sz w:val="24"/>
          <w:szCs w:val="21"/>
          <w:highlight w:val="none"/>
        </w:rPr>
        <w:t>2.     定义</w:t>
      </w:r>
      <w:bookmarkEnd w:id="93"/>
      <w:bookmarkEnd w:id="94"/>
      <w:bookmarkEnd w:id="95"/>
      <w:bookmarkEnd w:id="96"/>
      <w:bookmarkEnd w:id="97"/>
      <w:bookmarkEnd w:id="98"/>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2.1    采购人：</w:t>
      </w:r>
      <w:r>
        <w:rPr>
          <w:rFonts w:hint="eastAsia" w:ascii="仿宋" w:hAnsi="仿宋" w:eastAsia="仿宋" w:cs="仿宋"/>
          <w:b/>
          <w:i w:val="0"/>
          <w:iCs w:val="0"/>
          <w:color w:val="auto"/>
          <w:sz w:val="24"/>
          <w:highlight w:val="none"/>
        </w:rPr>
        <w:t>见供应商须知前附表</w:t>
      </w:r>
      <w:r>
        <w:rPr>
          <w:rFonts w:hint="eastAsia" w:ascii="仿宋" w:hAnsi="仿宋" w:eastAsia="仿宋" w:cs="仿宋"/>
          <w:i w:val="0"/>
          <w:iCs w:val="0"/>
          <w:color w:val="auto"/>
          <w:sz w:val="24"/>
          <w:highlight w:val="none"/>
        </w:rPr>
        <w:t>。</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2.2    采购代理机构：</w:t>
      </w:r>
      <w:r>
        <w:rPr>
          <w:rFonts w:hint="eastAsia" w:ascii="仿宋" w:hAnsi="仿宋" w:eastAsia="仿宋" w:cs="仿宋"/>
          <w:b/>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3"/>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2.3    供应商：指响应谈判文件要求、参加竞争性谈判采购的法人、其他组织或者自然人。本次政府采购项目邀请供应商方式</w:t>
      </w:r>
      <w:r>
        <w:rPr>
          <w:rFonts w:hint="eastAsia" w:ascii="仿宋" w:hAnsi="仿宋" w:eastAsia="仿宋" w:cs="仿宋"/>
          <w:b/>
          <w:bCs/>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3"/>
        <w:tabs>
          <w:tab w:val="left" w:pos="360"/>
        </w:tabs>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    谈判小组：指依据《中华人民共和国政府采购法》和财政部《政府采购非招标采购方式管理办法》有关规定组建，依法依规履行其职责和义务的机构。</w:t>
      </w:r>
    </w:p>
    <w:p>
      <w:pPr>
        <w:pStyle w:val="5"/>
        <w:rPr>
          <w:rFonts w:hint="eastAsia" w:ascii="仿宋" w:hAnsi="仿宋" w:eastAsia="仿宋" w:cs="仿宋"/>
          <w:b/>
          <w:i w:val="0"/>
          <w:iCs w:val="0"/>
          <w:color w:val="auto"/>
          <w:sz w:val="24"/>
          <w:szCs w:val="21"/>
          <w:highlight w:val="none"/>
        </w:rPr>
      </w:pPr>
      <w:bookmarkStart w:id="99" w:name="_Toc249525163"/>
      <w:bookmarkStart w:id="100" w:name="_Toc385992329"/>
      <w:bookmarkStart w:id="101" w:name="_Toc70687143"/>
      <w:bookmarkStart w:id="102" w:name="_Toc389620168"/>
      <w:bookmarkStart w:id="103" w:name="_Toc184043016"/>
      <w:bookmarkStart w:id="104" w:name="_Toc249515394"/>
      <w:bookmarkStart w:id="105" w:name="_Toc249515282"/>
      <w:bookmarkStart w:id="106" w:name="_Toc23705"/>
      <w:r>
        <w:rPr>
          <w:rFonts w:hint="eastAsia" w:ascii="仿宋" w:hAnsi="仿宋" w:eastAsia="仿宋" w:cs="仿宋"/>
          <w:b/>
          <w:i w:val="0"/>
          <w:iCs w:val="0"/>
          <w:color w:val="auto"/>
          <w:sz w:val="24"/>
          <w:szCs w:val="21"/>
          <w:highlight w:val="none"/>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3.1    供应商基本资质要求详见</w:t>
      </w:r>
      <w:r>
        <w:rPr>
          <w:rFonts w:hint="eastAsia" w:ascii="仿宋" w:hAnsi="仿宋" w:eastAsia="仿宋" w:cs="仿宋"/>
          <w:b/>
          <w:i w:val="0"/>
          <w:iCs w:val="0"/>
          <w:color w:val="auto"/>
          <w:kern w:val="24"/>
          <w:sz w:val="24"/>
          <w:szCs w:val="21"/>
          <w:highlight w:val="none"/>
        </w:rPr>
        <w:t>供应商须知前附表</w:t>
      </w:r>
      <w:r>
        <w:rPr>
          <w:rFonts w:hint="eastAsia" w:ascii="仿宋" w:hAnsi="仿宋" w:eastAsia="仿宋" w:cs="仿宋"/>
          <w:i w:val="0"/>
          <w:iCs w:val="0"/>
          <w:color w:val="auto"/>
          <w:kern w:val="24"/>
          <w:sz w:val="24"/>
          <w:szCs w:val="21"/>
          <w:highlight w:val="none"/>
        </w:rPr>
        <w:t>。</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3.2.1  供应商应当未被列入失信被执行人、</w:t>
      </w:r>
      <w:r>
        <w:rPr>
          <w:rFonts w:hint="eastAsia" w:ascii="仿宋" w:hAnsi="仿宋" w:eastAsia="仿宋" w:cs="仿宋"/>
          <w:i w:val="0"/>
          <w:iCs w:val="0"/>
          <w:color w:val="auto"/>
          <w:sz w:val="24"/>
          <w:highlight w:val="none"/>
        </w:rPr>
        <w:t>税收违法黑名单</w:t>
      </w:r>
      <w:r>
        <w:rPr>
          <w:rFonts w:hint="eastAsia" w:ascii="仿宋" w:hAnsi="仿宋" w:eastAsia="仿宋" w:cs="仿宋"/>
          <w:i w:val="0"/>
          <w:iCs w:val="0"/>
          <w:color w:val="auto"/>
          <w:kern w:val="24"/>
          <w:sz w:val="24"/>
          <w:szCs w:val="21"/>
          <w:highlight w:val="none"/>
        </w:rPr>
        <w:t>、政府采购严重违法失信行为记录名单，否则不得参与政府采购活动。</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3.2.2  信用信息查询的时间：响应文件递交截止时间之后至谈判</w:t>
      </w:r>
      <w:r>
        <w:rPr>
          <w:rFonts w:hint="eastAsia" w:ascii="仿宋" w:hAnsi="仿宋" w:eastAsia="仿宋" w:cs="仿宋"/>
          <w:i w:val="0"/>
          <w:iCs w:val="0"/>
          <w:color w:val="auto"/>
          <w:sz w:val="24"/>
          <w:highlight w:val="none"/>
        </w:rPr>
        <w:t>资格性检查结束</w:t>
      </w:r>
      <w:r>
        <w:rPr>
          <w:rFonts w:hint="eastAsia" w:ascii="仿宋" w:hAnsi="仿宋" w:eastAsia="仿宋" w:cs="仿宋"/>
          <w:i w:val="0"/>
          <w:iCs w:val="0"/>
          <w:color w:val="auto"/>
          <w:kern w:val="24"/>
          <w:sz w:val="24"/>
          <w:szCs w:val="21"/>
          <w:highlight w:val="none"/>
        </w:rPr>
        <w:t xml:space="preserve">。 </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3.2.3  查询渠道：“信用中国”网站（www.creditchina.gov.cn）和中国政府采购网（www.ccgp.gov.cn）。</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3.3    供应商必须向采购人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谈判文件，未向采购人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谈判文件的潜在供应商均无资格参加本次采购。</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4</w:t>
      </w:r>
      <w:r>
        <w:rPr>
          <w:rFonts w:hint="eastAsia" w:ascii="仿宋" w:hAnsi="仿宋" w:eastAsia="仿宋" w:cs="仿宋"/>
          <w:i w:val="0"/>
          <w:iCs w:val="0"/>
          <w:color w:val="auto"/>
          <w:kern w:val="24"/>
          <w:sz w:val="24"/>
          <w:szCs w:val="21"/>
          <w:highlight w:val="none"/>
        </w:rPr>
        <w:t xml:space="preserve">    供应商应遵守《中华人民共和国政府采购法》及其它有关的中国法律和法规。</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5</w:t>
      </w:r>
      <w:r>
        <w:rPr>
          <w:rFonts w:hint="eastAsia" w:ascii="仿宋" w:hAnsi="仿宋" w:eastAsia="仿宋" w:cs="仿宋"/>
          <w:i w:val="0"/>
          <w:iCs w:val="0"/>
          <w:color w:val="auto"/>
          <w:kern w:val="24"/>
          <w:sz w:val="24"/>
          <w:szCs w:val="21"/>
          <w:highlight w:val="none"/>
        </w:rPr>
        <w:t xml:space="preserve">    若前附表中写明允许采购进口产品，供应商应保证所投产品可履行合法报通关手续进入中国关境内。</w:t>
      </w:r>
    </w:p>
    <w:p>
      <w:pPr>
        <w:pStyle w:val="23"/>
        <w:ind w:left="838" w:leftChars="399" w:firstLine="0" w:firstLineChars="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若前附表中不允许采购进口产品，如供应商所投产品为进口产品，其响应文件将被认定为无效。</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 xml:space="preserve">    如须知前附表中允许联合体投标，对联合体规定如下：</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.1  两个及以上供应商可以组成一个投标联合体，以一个供应商的身份投标。</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.2  联合体各方均应符合本须知规定。</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.3  采购人根据采购项目对供应商的特殊要求，联合体中至少应当有一方符合相关规定。</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.4  联合体各方应签订共同</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响应协议，明确约定联合体各方承担的工作和相应的责任，并将共同响应协议作为响应文件的内容提交。</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pPr>
        <w:pStyle w:val="23"/>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.6  以联合体形式参加政府采购活动的，联合体各方不得再单独参加或者与其他供应商另外组成联合体参加本项目同一合同项下的</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，否则相关响应文件将被认定为无效。</w:t>
      </w:r>
    </w:p>
    <w:p>
      <w:pPr>
        <w:pStyle w:val="23"/>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.7  对联合体</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的其他资格要求见须知前附表。</w:t>
      </w:r>
    </w:p>
    <w:p>
      <w:pPr>
        <w:pStyle w:val="23"/>
        <w:ind w:left="840" w:leftChars="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lang w:val="en-US" w:eastAsia="zh-CN"/>
        </w:rPr>
        <w:t xml:space="preserve">3.7    </w:t>
      </w:r>
      <w:r>
        <w:rPr>
          <w:rFonts w:hint="eastAsia" w:ascii="仿宋" w:hAnsi="仿宋" w:eastAsia="仿宋" w:cs="仿宋"/>
          <w:i w:val="0"/>
          <w:iCs w:val="0"/>
          <w:color w:val="auto"/>
          <w:sz w:val="24"/>
          <w:highlight w:val="none"/>
        </w:rPr>
        <w:t>若</w:t>
      </w:r>
      <w:r>
        <w:rPr>
          <w:rFonts w:hint="eastAsia" w:ascii="仿宋" w:hAnsi="仿宋" w:eastAsia="仿宋" w:cs="仿宋"/>
          <w:i w:val="0"/>
          <w:iCs w:val="0"/>
          <w:color w:val="auto"/>
          <w:sz w:val="24"/>
          <w:highlight w:val="none"/>
          <w:u w:val="none"/>
        </w:rPr>
        <w:t>前附表</w:t>
      </w:r>
      <w:r>
        <w:rPr>
          <w:rFonts w:hint="eastAsia" w:ascii="仿宋" w:hAnsi="仿宋" w:eastAsia="仿宋" w:cs="仿宋"/>
          <w:i w:val="0"/>
          <w:iCs w:val="0"/>
          <w:color w:val="auto"/>
          <w:sz w:val="24"/>
          <w:highlight w:val="none"/>
        </w:rPr>
        <w:t>中写明专门面向中小企业采购的，如</w:t>
      </w: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为非中小企业或所投产品为非中小企业产品，其</w:t>
      </w:r>
      <w:r>
        <w:rPr>
          <w:rFonts w:hint="eastAsia" w:ascii="仿宋" w:hAnsi="仿宋" w:eastAsia="仿宋" w:cs="仿宋"/>
          <w:i w:val="0"/>
          <w:iCs w:val="0"/>
          <w:color w:val="auto"/>
          <w:sz w:val="24"/>
          <w:highlight w:val="none"/>
          <w:lang w:eastAsia="zh-CN"/>
        </w:rPr>
        <w:t>响应文件</w:t>
      </w:r>
      <w:r>
        <w:rPr>
          <w:rFonts w:hint="eastAsia" w:ascii="仿宋" w:hAnsi="仿宋" w:eastAsia="仿宋" w:cs="仿宋"/>
          <w:i w:val="0"/>
          <w:iCs w:val="0"/>
          <w:color w:val="auto"/>
          <w:sz w:val="24"/>
          <w:highlight w:val="none"/>
        </w:rPr>
        <w:t>将被认定为</w:t>
      </w:r>
      <w:r>
        <w:rPr>
          <w:rFonts w:hint="eastAsia" w:ascii="仿宋" w:hAnsi="仿宋" w:eastAsia="仿宋" w:cs="仿宋"/>
          <w:b w:val="0"/>
          <w:bCs w:val="0"/>
          <w:i w:val="0"/>
          <w:iCs w:val="0"/>
          <w:color w:val="auto"/>
          <w:sz w:val="24"/>
          <w:highlight w:val="none"/>
        </w:rPr>
        <w:t>无效。</w:t>
      </w:r>
    </w:p>
    <w:p>
      <w:pPr>
        <w:pStyle w:val="5"/>
        <w:rPr>
          <w:rFonts w:hint="eastAsia" w:ascii="仿宋" w:hAnsi="仿宋" w:eastAsia="仿宋" w:cs="仿宋"/>
          <w:b/>
          <w:i w:val="0"/>
          <w:iCs w:val="0"/>
          <w:color w:val="auto"/>
          <w:sz w:val="24"/>
          <w:szCs w:val="21"/>
          <w:highlight w:val="none"/>
        </w:rPr>
      </w:pPr>
      <w:bookmarkStart w:id="107" w:name="_Toc184043017"/>
      <w:bookmarkStart w:id="108" w:name="_Toc389620169"/>
      <w:bookmarkStart w:id="109" w:name="_Toc249525164"/>
      <w:bookmarkStart w:id="110" w:name="_Toc26580"/>
      <w:bookmarkStart w:id="111" w:name="_Toc385992330"/>
      <w:bookmarkStart w:id="112" w:name="_Toc70687144"/>
      <w:bookmarkStart w:id="113" w:name="_Toc249515395"/>
      <w:bookmarkStart w:id="114" w:name="_Toc249515283"/>
      <w:r>
        <w:rPr>
          <w:rFonts w:hint="eastAsia" w:ascii="仿宋" w:hAnsi="仿宋" w:eastAsia="仿宋" w:cs="仿宋"/>
          <w:b/>
          <w:i w:val="0"/>
          <w:iCs w:val="0"/>
          <w:color w:val="auto"/>
          <w:sz w:val="24"/>
          <w:szCs w:val="21"/>
          <w:highlight w:val="none"/>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4.1    供应商应承担所有与编写和提交响应文件有关的费用，无论响应过程和结果如何，采购人在任何情况下均无义务和责任承担这些费用。</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115" w:name="_Toc184043018"/>
      <w:bookmarkStart w:id="116" w:name="_Toc232176274"/>
      <w:bookmarkStart w:id="117" w:name="_Toc176882544"/>
      <w:bookmarkStart w:id="118" w:name="_Toc500746968"/>
      <w:bookmarkStart w:id="119" w:name="_Toc230583543"/>
      <w:bookmarkStart w:id="120" w:name="_Toc499711886"/>
      <w:bookmarkStart w:id="121" w:name="_Toc249515396"/>
      <w:bookmarkStart w:id="122" w:name="_Toc256342145"/>
      <w:bookmarkStart w:id="123" w:name="_Toc230013634"/>
      <w:bookmarkStart w:id="124" w:name="_Toc53722842"/>
      <w:bookmarkStart w:id="125" w:name="_Toc503063424"/>
      <w:bookmarkStart w:id="126" w:name="_Toc177817336"/>
      <w:bookmarkStart w:id="127" w:name="_Toc232395214"/>
      <w:bookmarkStart w:id="128" w:name="_Toc492955417"/>
      <w:bookmarkStart w:id="129" w:name="_Toc177189237"/>
      <w:bookmarkStart w:id="130" w:name="_Toc70687145"/>
      <w:bookmarkStart w:id="131" w:name="_Toc249515284"/>
      <w:bookmarkStart w:id="132" w:name="_Toc177995475"/>
      <w:bookmarkStart w:id="133" w:name="_Toc496324581"/>
      <w:bookmarkStart w:id="134" w:name="_Toc385992331"/>
      <w:bookmarkStart w:id="135" w:name="_Toc500747064"/>
      <w:bookmarkStart w:id="136" w:name="_Toc230099799"/>
      <w:bookmarkStart w:id="137" w:name="_Toc249525165"/>
      <w:bookmarkStart w:id="138" w:name="_Toc499711045"/>
      <w:bookmarkStart w:id="139" w:name="_Toc500747191"/>
      <w:bookmarkStart w:id="140" w:name="_Toc389620170"/>
      <w:bookmarkStart w:id="141" w:name="_Toc58504663"/>
      <w:r>
        <w:rPr>
          <w:rFonts w:hint="eastAsia" w:ascii="仿宋" w:hAnsi="仿宋" w:eastAsia="仿宋" w:cs="仿宋"/>
          <w:b/>
          <w:i w:val="0"/>
          <w:iCs w:val="0"/>
          <w:color w:val="auto"/>
          <w:kern w:val="0"/>
          <w:sz w:val="28"/>
          <w:szCs w:val="28"/>
          <w:highlight w:val="none"/>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i w:val="0"/>
          <w:iCs w:val="0"/>
          <w:color w:val="auto"/>
          <w:kern w:val="0"/>
          <w:sz w:val="28"/>
          <w:szCs w:val="28"/>
          <w:highlight w:val="none"/>
        </w:rPr>
        <w:t>谈判文件说明</w:t>
      </w:r>
      <w:bookmarkEnd w:id="141"/>
    </w:p>
    <w:p>
      <w:pPr>
        <w:pStyle w:val="5"/>
        <w:rPr>
          <w:rFonts w:hint="eastAsia" w:ascii="仿宋" w:hAnsi="仿宋" w:eastAsia="仿宋" w:cs="仿宋"/>
          <w:b/>
          <w:i w:val="0"/>
          <w:iCs w:val="0"/>
          <w:color w:val="auto"/>
          <w:sz w:val="24"/>
          <w:szCs w:val="21"/>
          <w:highlight w:val="none"/>
        </w:rPr>
      </w:pPr>
      <w:bookmarkStart w:id="142" w:name="_Toc128"/>
      <w:bookmarkStart w:id="143" w:name="_Toc70687146"/>
      <w:bookmarkStart w:id="144" w:name="_Toc249515285"/>
      <w:bookmarkStart w:id="145" w:name="_Toc249515397"/>
      <w:bookmarkStart w:id="146" w:name="_Toc389620171"/>
      <w:bookmarkStart w:id="147" w:name="_Toc249525166"/>
      <w:bookmarkStart w:id="148" w:name="_Toc184043019"/>
      <w:bookmarkStart w:id="149" w:name="_Toc385992332"/>
      <w:r>
        <w:rPr>
          <w:rFonts w:hint="eastAsia" w:ascii="仿宋" w:hAnsi="仿宋" w:eastAsia="仿宋" w:cs="仿宋"/>
          <w:b/>
          <w:i w:val="0"/>
          <w:iCs w:val="0"/>
          <w:color w:val="auto"/>
          <w:sz w:val="24"/>
          <w:szCs w:val="21"/>
          <w:highlight w:val="none"/>
        </w:rPr>
        <w:t>5.     通知</w:t>
      </w:r>
      <w:bookmarkEnd w:id="142"/>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了谈判文件的供应商（潜在供应商）。供应商应于收到通知后按规定时间以书面方式予以回复确认。因登记有误或传真线路故障导致通知延迟送达或无法送达，采购人或采购代理机构不承担责任。</w:t>
      </w:r>
    </w:p>
    <w:p>
      <w:pPr>
        <w:pStyle w:val="5"/>
        <w:rPr>
          <w:rFonts w:hint="eastAsia" w:ascii="仿宋" w:hAnsi="仿宋" w:eastAsia="仿宋" w:cs="仿宋"/>
          <w:b/>
          <w:i w:val="0"/>
          <w:iCs w:val="0"/>
          <w:color w:val="auto"/>
          <w:sz w:val="24"/>
          <w:szCs w:val="21"/>
          <w:highlight w:val="none"/>
        </w:rPr>
      </w:pPr>
      <w:bookmarkStart w:id="150" w:name="_Toc27223"/>
      <w:r>
        <w:rPr>
          <w:rFonts w:hint="eastAsia" w:ascii="仿宋" w:hAnsi="仿宋" w:eastAsia="仿宋" w:cs="仿宋"/>
          <w:b/>
          <w:i w:val="0"/>
          <w:iCs w:val="0"/>
          <w:color w:val="auto"/>
          <w:sz w:val="24"/>
          <w:szCs w:val="21"/>
          <w:highlight w:val="none"/>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6.1    谈判文件用以阐明供应商所需提供的服务以及其它类似的义务、采购响应程序和合同条款。谈判文件包括如下五章内容：</w:t>
      </w:r>
    </w:p>
    <w:p>
      <w:pPr>
        <w:pStyle w:val="23"/>
        <w:ind w:left="838" w:leftChars="399"/>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第一章 谈判</w:t>
      </w:r>
      <w:r>
        <w:rPr>
          <w:rFonts w:hint="eastAsia" w:ascii="仿宋" w:hAnsi="仿宋" w:eastAsia="仿宋" w:cs="仿宋"/>
          <w:i w:val="0"/>
          <w:iCs w:val="0"/>
          <w:color w:val="auto"/>
          <w:sz w:val="24"/>
          <w:highlight w:val="none"/>
          <w:lang w:eastAsia="zh-CN"/>
        </w:rPr>
        <w:t>公告</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第二章 供应商须知</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第三章 合同草案条款</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第四章 采购内容及要求</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第五章 谈判响应文件格式</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5"/>
        <w:rPr>
          <w:rFonts w:hint="eastAsia" w:ascii="仿宋" w:hAnsi="仿宋" w:eastAsia="仿宋" w:cs="仿宋"/>
          <w:b/>
          <w:i w:val="0"/>
          <w:iCs w:val="0"/>
          <w:color w:val="auto"/>
          <w:sz w:val="24"/>
          <w:szCs w:val="21"/>
          <w:highlight w:val="none"/>
        </w:rPr>
      </w:pPr>
      <w:bookmarkStart w:id="151" w:name="_Toc70687147"/>
      <w:bookmarkStart w:id="152" w:name="_Toc389620172"/>
      <w:bookmarkStart w:id="153" w:name="_Toc249525167"/>
      <w:bookmarkStart w:id="154" w:name="_Toc249515398"/>
      <w:bookmarkStart w:id="155" w:name="_Toc184043020"/>
      <w:bookmarkStart w:id="156" w:name="_Toc249515286"/>
      <w:bookmarkStart w:id="157" w:name="_Toc385992333"/>
      <w:bookmarkStart w:id="158" w:name="_Toc10350"/>
      <w:r>
        <w:rPr>
          <w:rFonts w:hint="eastAsia" w:ascii="仿宋" w:hAnsi="仿宋" w:eastAsia="仿宋" w:cs="仿宋"/>
          <w:b/>
          <w:i w:val="0"/>
          <w:iCs w:val="0"/>
          <w:color w:val="auto"/>
          <w:sz w:val="24"/>
          <w:szCs w:val="21"/>
          <w:highlight w:val="none"/>
        </w:rPr>
        <w:t xml:space="preserve">7.    </w:t>
      </w:r>
      <w:r>
        <w:rPr>
          <w:rFonts w:hint="eastAsia" w:ascii="仿宋" w:hAnsi="仿宋" w:eastAsia="仿宋" w:cs="仿宋"/>
          <w:b/>
          <w:i w:val="0"/>
          <w:iCs w:val="0"/>
          <w:color w:val="auto"/>
          <w:sz w:val="24"/>
          <w:szCs w:val="21"/>
          <w:highlight w:val="none"/>
          <w:lang w:val="en-US" w:eastAsia="zh-CN"/>
        </w:rPr>
        <w:t xml:space="preserve"> </w:t>
      </w:r>
      <w:r>
        <w:rPr>
          <w:rFonts w:hint="eastAsia" w:ascii="仿宋" w:hAnsi="仿宋" w:eastAsia="仿宋" w:cs="仿宋"/>
          <w:b/>
          <w:i w:val="0"/>
          <w:iCs w:val="0"/>
          <w:color w:val="auto"/>
          <w:sz w:val="24"/>
          <w:szCs w:val="21"/>
          <w:highlight w:val="none"/>
        </w:rPr>
        <w:t>谈判文件的澄清</w:t>
      </w:r>
      <w:bookmarkEnd w:id="151"/>
      <w:bookmarkEnd w:id="152"/>
      <w:bookmarkEnd w:id="153"/>
      <w:bookmarkEnd w:id="154"/>
      <w:bookmarkEnd w:id="155"/>
      <w:bookmarkEnd w:id="156"/>
      <w:bookmarkEnd w:id="157"/>
      <w:r>
        <w:rPr>
          <w:rFonts w:hint="eastAsia" w:ascii="仿宋" w:hAnsi="仿宋" w:eastAsia="仿宋" w:cs="仿宋"/>
          <w:b/>
          <w:i w:val="0"/>
          <w:iCs w:val="0"/>
          <w:color w:val="auto"/>
          <w:sz w:val="24"/>
          <w:szCs w:val="21"/>
          <w:highlight w:val="none"/>
        </w:rPr>
        <w:t>和修改</w:t>
      </w:r>
      <w:bookmarkEnd w:id="158"/>
    </w:p>
    <w:p>
      <w:pPr>
        <w:tabs>
          <w:tab w:val="left" w:pos="588"/>
        </w:tabs>
        <w:spacing w:line="360" w:lineRule="auto"/>
        <w:ind w:left="840" w:hanging="840" w:hangingChars="350"/>
        <w:rPr>
          <w:rFonts w:hint="eastAsia" w:ascii="仿宋" w:hAnsi="仿宋" w:eastAsia="仿宋" w:cs="仿宋"/>
          <w:i w:val="0"/>
          <w:iCs w:val="0"/>
          <w:color w:val="auto"/>
          <w:sz w:val="24"/>
          <w:highlight w:val="none"/>
        </w:rPr>
      </w:pPr>
      <w:bookmarkStart w:id="159" w:name="_Toc385992334"/>
      <w:bookmarkStart w:id="160" w:name="_Toc389620173"/>
      <w:bookmarkStart w:id="161" w:name="_Toc70687148"/>
      <w:r>
        <w:rPr>
          <w:rFonts w:hint="eastAsia" w:ascii="仿宋" w:hAnsi="仿宋" w:eastAsia="仿宋" w:cs="仿宋"/>
          <w:i w:val="0"/>
          <w:iCs w:val="0"/>
          <w:color w:val="auto"/>
          <w:sz w:val="24"/>
          <w:highlight w:val="none"/>
        </w:rPr>
        <w:t xml:space="preserve">7.1   </w:t>
      </w:r>
      <w:bookmarkEnd w:id="159"/>
      <w:bookmarkEnd w:id="160"/>
      <w:bookmarkEnd w:id="161"/>
      <w:bookmarkStart w:id="162" w:name="_Hlt497729436"/>
      <w:bookmarkEnd w:id="162"/>
      <w:bookmarkStart w:id="163" w:name="_Hlt491765710"/>
      <w:bookmarkEnd w:id="163"/>
      <w:bookmarkStart w:id="164" w:name="_Toc53722843"/>
      <w:bookmarkStart w:id="165" w:name="_Toc503063425"/>
      <w:bookmarkStart w:id="166" w:name="_Toc389620174"/>
      <w:bookmarkStart w:id="167" w:name="_Toc496324582"/>
      <w:bookmarkStart w:id="168" w:name="_Toc500747065"/>
      <w:bookmarkStart w:id="169" w:name="_Toc492955418"/>
      <w:bookmarkStart w:id="170" w:name="_Toc499711046"/>
      <w:bookmarkStart w:id="171" w:name="_Toc499711887"/>
      <w:bookmarkStart w:id="172" w:name="_Toc500747192"/>
      <w:bookmarkStart w:id="173" w:name="_Toc385992335"/>
      <w:bookmarkStart w:id="174" w:name="_Toc500746969"/>
      <w:bookmarkStart w:id="175" w:name="_Toc70687149"/>
      <w:r>
        <w:rPr>
          <w:rFonts w:hint="eastAsia" w:ascii="仿宋" w:hAnsi="仿宋" w:eastAsia="仿宋" w:cs="仿宋"/>
          <w:i w:val="0"/>
          <w:iCs w:val="0"/>
          <w:color w:val="auto"/>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7.2    谈判文件的修改将以书面形式通知所有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7.3    澄清或修改的内容可能影响响应文件编制的，采购人或采购代理机构可适当延长首次响应文件递交截止时间，并以书面形式通知所有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w:t>
      </w:r>
    </w:p>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28"/>
          <w:szCs w:val="28"/>
          <w:highlight w:val="none"/>
        </w:rPr>
      </w:pPr>
      <w:bookmarkStart w:id="176" w:name="_Toc177995476"/>
      <w:bookmarkStart w:id="177" w:name="_Toc230099800"/>
      <w:bookmarkStart w:id="178" w:name="_Toc58504664"/>
      <w:bookmarkStart w:id="179" w:name="_Toc256342146"/>
      <w:bookmarkStart w:id="180" w:name="_Toc232176275"/>
      <w:bookmarkStart w:id="181" w:name="_Toc249515400"/>
      <w:bookmarkStart w:id="182" w:name="_Toc184043022"/>
      <w:bookmarkStart w:id="183" w:name="_Toc230583544"/>
      <w:bookmarkStart w:id="184" w:name="_Toc177817337"/>
      <w:bookmarkStart w:id="185" w:name="_Toc249525169"/>
      <w:bookmarkStart w:id="186" w:name="_Toc232395215"/>
      <w:bookmarkStart w:id="187" w:name="_Toc249515288"/>
      <w:bookmarkStart w:id="188" w:name="_Toc230013635"/>
      <w:bookmarkStart w:id="189" w:name="_Toc176882545"/>
      <w:bookmarkStart w:id="190" w:name="_Toc177189238"/>
      <w:r>
        <w:rPr>
          <w:rFonts w:hint="eastAsia" w:ascii="仿宋" w:hAnsi="仿宋" w:eastAsia="仿宋" w:cs="仿宋"/>
          <w:b/>
          <w:i w:val="0"/>
          <w:iCs w:val="0"/>
          <w:color w:val="auto"/>
          <w:kern w:val="0"/>
          <w:sz w:val="28"/>
          <w:szCs w:val="28"/>
          <w:highlight w:val="none"/>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5"/>
        <w:tabs>
          <w:tab w:val="left" w:pos="360"/>
        </w:tabs>
        <w:rPr>
          <w:rFonts w:hint="eastAsia" w:ascii="仿宋" w:hAnsi="仿宋" w:eastAsia="仿宋" w:cs="仿宋"/>
          <w:b/>
          <w:i w:val="0"/>
          <w:iCs w:val="0"/>
          <w:color w:val="auto"/>
          <w:sz w:val="24"/>
          <w:szCs w:val="21"/>
          <w:highlight w:val="none"/>
        </w:rPr>
      </w:pPr>
      <w:bookmarkStart w:id="191" w:name="_Toc30150"/>
      <w:bookmarkStart w:id="192" w:name="_Toc249525170"/>
      <w:bookmarkStart w:id="193" w:name="_Toc249515401"/>
      <w:bookmarkStart w:id="194" w:name="_Toc249515289"/>
      <w:bookmarkStart w:id="195" w:name="_Toc70687150"/>
      <w:bookmarkStart w:id="196" w:name="_Toc184043023"/>
      <w:bookmarkStart w:id="197" w:name="_Toc385992337"/>
      <w:bookmarkStart w:id="198" w:name="_Toc389620176"/>
      <w:r>
        <w:rPr>
          <w:rFonts w:hint="eastAsia" w:ascii="仿宋" w:hAnsi="仿宋" w:eastAsia="仿宋" w:cs="仿宋"/>
          <w:b/>
          <w:i w:val="0"/>
          <w:iCs w:val="0"/>
          <w:color w:val="auto"/>
          <w:sz w:val="24"/>
          <w:szCs w:val="21"/>
          <w:highlight w:val="none"/>
        </w:rPr>
        <w:t>8.     响应文件语言</w:t>
      </w:r>
      <w:bookmarkEnd w:id="191"/>
      <w:bookmarkEnd w:id="192"/>
      <w:bookmarkEnd w:id="193"/>
      <w:bookmarkEnd w:id="194"/>
      <w:bookmarkEnd w:id="195"/>
      <w:bookmarkEnd w:id="196"/>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8.1    响应文件及与响应相关的所有文件均应以中文书写。</w:t>
      </w:r>
    </w:p>
    <w:p>
      <w:pPr>
        <w:pStyle w:val="5"/>
        <w:tabs>
          <w:tab w:val="left" w:pos="360"/>
        </w:tabs>
        <w:rPr>
          <w:rFonts w:hint="eastAsia" w:ascii="仿宋" w:hAnsi="仿宋" w:eastAsia="仿宋" w:cs="仿宋"/>
          <w:b/>
          <w:i w:val="0"/>
          <w:iCs w:val="0"/>
          <w:color w:val="auto"/>
          <w:sz w:val="24"/>
          <w:szCs w:val="21"/>
          <w:highlight w:val="none"/>
        </w:rPr>
      </w:pPr>
      <w:bookmarkStart w:id="199" w:name="_Toc249515290"/>
      <w:bookmarkStart w:id="200" w:name="_Toc249525171"/>
      <w:bookmarkStart w:id="201" w:name="_Toc249515402"/>
      <w:bookmarkStart w:id="202" w:name="_Toc18327"/>
      <w:bookmarkStart w:id="203" w:name="_Toc70687151"/>
      <w:bookmarkStart w:id="204" w:name="_Toc184043024"/>
      <w:r>
        <w:rPr>
          <w:rFonts w:hint="eastAsia" w:ascii="仿宋" w:hAnsi="仿宋" w:eastAsia="仿宋" w:cs="仿宋"/>
          <w:b/>
          <w:i w:val="0"/>
          <w:iCs w:val="0"/>
          <w:color w:val="auto"/>
          <w:sz w:val="24"/>
          <w:szCs w:val="21"/>
          <w:highlight w:val="none"/>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9.1    除在谈判文件的技术规格中另有规定外，计量单位应使用中华人民共和国法定计量单位。</w:t>
      </w:r>
    </w:p>
    <w:p>
      <w:pPr>
        <w:pStyle w:val="5"/>
        <w:tabs>
          <w:tab w:val="left" w:pos="360"/>
        </w:tabs>
        <w:rPr>
          <w:rFonts w:hint="eastAsia" w:ascii="仿宋" w:hAnsi="仿宋" w:eastAsia="仿宋" w:cs="仿宋"/>
          <w:b/>
          <w:i w:val="0"/>
          <w:iCs w:val="0"/>
          <w:color w:val="auto"/>
          <w:sz w:val="24"/>
          <w:szCs w:val="21"/>
          <w:highlight w:val="none"/>
        </w:rPr>
      </w:pPr>
      <w:bookmarkStart w:id="205" w:name="_Toc385992338"/>
      <w:bookmarkStart w:id="206" w:name="_Toc249515403"/>
      <w:bookmarkStart w:id="207" w:name="_Toc70687152"/>
      <w:bookmarkStart w:id="208" w:name="_Toc249515291"/>
      <w:bookmarkStart w:id="209" w:name="_Toc184043025"/>
      <w:bookmarkStart w:id="210" w:name="_Toc389620177"/>
      <w:bookmarkStart w:id="211" w:name="_Toc29318"/>
      <w:bookmarkStart w:id="212" w:name="_Toc249525172"/>
      <w:r>
        <w:rPr>
          <w:rFonts w:hint="eastAsia" w:ascii="仿宋" w:hAnsi="仿宋" w:eastAsia="仿宋" w:cs="仿宋"/>
          <w:b/>
          <w:i w:val="0"/>
          <w:iCs w:val="0"/>
          <w:color w:val="auto"/>
          <w:sz w:val="24"/>
          <w:szCs w:val="21"/>
          <w:highlight w:val="none"/>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leftChars="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10.1   供应商编写的响应文件</w:t>
      </w:r>
      <w:r>
        <w:rPr>
          <w:rFonts w:hint="eastAsia" w:ascii="仿宋" w:hAnsi="仿宋" w:eastAsia="仿宋" w:cs="仿宋"/>
          <w:b/>
          <w:i w:val="0"/>
          <w:iCs w:val="0"/>
          <w:color w:val="auto"/>
          <w:sz w:val="24"/>
          <w:highlight w:val="none"/>
        </w:rPr>
        <w:t>由《</w:t>
      </w:r>
      <w:r>
        <w:rPr>
          <w:rFonts w:hint="eastAsia" w:ascii="仿宋" w:hAnsi="仿宋" w:eastAsia="仿宋" w:cs="仿宋"/>
          <w:b/>
          <w:i w:val="0"/>
          <w:iCs w:val="0"/>
          <w:color w:val="auto"/>
          <w:sz w:val="24"/>
          <w:highlight w:val="none"/>
          <w:lang w:eastAsia="zh-CN"/>
        </w:rPr>
        <w:t>谈判响应文件</w:t>
      </w:r>
      <w:r>
        <w:rPr>
          <w:rFonts w:hint="eastAsia" w:ascii="仿宋" w:hAnsi="仿宋" w:eastAsia="仿宋" w:cs="仿宋"/>
          <w:b/>
          <w:i w:val="0"/>
          <w:iCs w:val="0"/>
          <w:color w:val="auto"/>
          <w:sz w:val="24"/>
          <w:highlight w:val="none"/>
        </w:rPr>
        <w:t>》</w:t>
      </w:r>
      <w:r>
        <w:rPr>
          <w:rFonts w:hint="eastAsia" w:ascii="仿宋" w:hAnsi="仿宋" w:eastAsia="仿宋" w:cs="仿宋"/>
          <w:i w:val="0"/>
          <w:iCs w:val="0"/>
          <w:color w:val="auto"/>
          <w:sz w:val="24"/>
          <w:highlight w:val="none"/>
        </w:rPr>
        <w:t>组成。供应商应完整地按照</w:t>
      </w:r>
      <w:r>
        <w:rPr>
          <w:rFonts w:hint="eastAsia" w:ascii="仿宋" w:hAnsi="仿宋" w:eastAsia="仿宋" w:cs="仿宋"/>
          <w:i w:val="0"/>
          <w:iCs w:val="0"/>
          <w:color w:val="auto"/>
          <w:sz w:val="24"/>
          <w:highlight w:val="none"/>
          <w:lang w:eastAsia="zh-CN"/>
        </w:rPr>
        <w:t>谈判</w:t>
      </w:r>
      <w:r>
        <w:rPr>
          <w:rFonts w:hint="eastAsia" w:ascii="仿宋" w:hAnsi="仿宋" w:eastAsia="仿宋" w:cs="仿宋"/>
          <w:i w:val="0"/>
          <w:iCs w:val="0"/>
          <w:color w:val="auto"/>
          <w:sz w:val="24"/>
          <w:highlight w:val="none"/>
        </w:rPr>
        <w:t>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en-US" w:eastAsia="zh-CN"/>
        </w:rPr>
        <w:t xml:space="preserve">10.2    </w:t>
      </w:r>
      <w:r>
        <w:rPr>
          <w:rFonts w:hint="eastAsia" w:ascii="仿宋" w:hAnsi="仿宋" w:eastAsia="仿宋" w:cs="仿宋"/>
          <w:i w:val="0"/>
          <w:iCs w:val="0"/>
          <w:color w:val="auto"/>
          <w:sz w:val="24"/>
          <w:highlight w:val="none"/>
        </w:rPr>
        <w:t>供应商编写的响应文件由以下</w:t>
      </w:r>
      <w:r>
        <w:rPr>
          <w:rFonts w:hint="eastAsia" w:ascii="仿宋" w:hAnsi="仿宋" w:eastAsia="仿宋" w:cs="仿宋"/>
          <w:i w:val="0"/>
          <w:iCs w:val="0"/>
          <w:color w:val="auto"/>
          <w:sz w:val="24"/>
          <w:highlight w:val="none"/>
          <w:lang w:eastAsia="zh-CN"/>
        </w:rPr>
        <w:t>七</w:t>
      </w:r>
      <w:r>
        <w:rPr>
          <w:rFonts w:hint="eastAsia" w:ascii="仿宋" w:hAnsi="仿宋" w:eastAsia="仿宋" w:cs="仿宋"/>
          <w:i w:val="0"/>
          <w:iCs w:val="0"/>
          <w:color w:val="auto"/>
          <w:sz w:val="24"/>
          <w:highlight w:val="none"/>
        </w:rPr>
        <w:t>部分组成，应包括但不限于以下内容：</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第一部分  谈判响应函</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第二部分  谈判响应报价表 </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第三部分  偏离表</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第四部分  响应方案说明</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第五部分  授权委托书及法定代表人证明</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第六部分  资格证明文件</w:t>
      </w:r>
    </w:p>
    <w:p>
      <w:pPr>
        <w:pStyle w:val="23"/>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第七部分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小微企业、监狱企业、残疾人福利单位声明函或证明</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w:t>
      </w:r>
      <w:r>
        <w:rPr>
          <w:rFonts w:hint="eastAsia" w:ascii="仿宋" w:hAnsi="仿宋" w:eastAsia="仿宋" w:cs="仿宋"/>
          <w:i w:val="0"/>
          <w:iCs w:val="0"/>
          <w:color w:val="auto"/>
          <w:sz w:val="24"/>
          <w:highlight w:val="none"/>
          <w:lang w:val="en-US" w:eastAsia="zh-CN"/>
        </w:rPr>
        <w:t>3</w:t>
      </w:r>
      <w:r>
        <w:rPr>
          <w:rFonts w:hint="eastAsia" w:ascii="仿宋" w:hAnsi="仿宋" w:eastAsia="仿宋" w:cs="仿宋"/>
          <w:i w:val="0"/>
          <w:iCs w:val="0"/>
          <w:color w:val="auto"/>
          <w:sz w:val="24"/>
          <w:highlight w:val="none"/>
        </w:rPr>
        <w:t xml:space="preserve">   供应商提供的以上材料必须真实有效，任何一项的虚假将导致其响应被拒绝。</w:t>
      </w:r>
    </w:p>
    <w:p>
      <w:pPr>
        <w:pStyle w:val="5"/>
        <w:tabs>
          <w:tab w:val="left" w:pos="360"/>
        </w:tabs>
        <w:rPr>
          <w:rFonts w:hint="eastAsia" w:ascii="仿宋" w:hAnsi="仿宋" w:eastAsia="仿宋" w:cs="仿宋"/>
          <w:b/>
          <w:i w:val="0"/>
          <w:iCs w:val="0"/>
          <w:color w:val="auto"/>
          <w:sz w:val="24"/>
          <w:szCs w:val="21"/>
          <w:highlight w:val="none"/>
        </w:rPr>
      </w:pPr>
      <w:bookmarkStart w:id="213" w:name="_Toc389620178"/>
      <w:bookmarkStart w:id="214" w:name="_Toc385992339"/>
      <w:bookmarkStart w:id="215" w:name="_Toc70687153"/>
      <w:bookmarkStart w:id="216" w:name="_Toc249515404"/>
      <w:bookmarkStart w:id="217" w:name="_Toc184043026"/>
      <w:bookmarkStart w:id="218" w:name="_Toc249515292"/>
      <w:bookmarkStart w:id="219" w:name="_Toc26312"/>
      <w:bookmarkStart w:id="220" w:name="_Toc249525173"/>
      <w:r>
        <w:rPr>
          <w:rFonts w:hint="eastAsia" w:ascii="仿宋" w:hAnsi="仿宋" w:eastAsia="仿宋" w:cs="仿宋"/>
          <w:b/>
          <w:i w:val="0"/>
          <w:iCs w:val="0"/>
          <w:color w:val="auto"/>
          <w:sz w:val="24"/>
          <w:highlight w:val="none"/>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11.1   对于谈判文件第五章中已经提供了格式的响应文件内容，供应商必须按提供的响应文件格式进行填写和编制，没有提供格式的可自行设计。</w:t>
      </w:r>
    </w:p>
    <w:p>
      <w:pPr>
        <w:pStyle w:val="5"/>
        <w:tabs>
          <w:tab w:val="left" w:pos="360"/>
        </w:tabs>
        <w:rPr>
          <w:rFonts w:hint="eastAsia" w:ascii="仿宋" w:hAnsi="仿宋" w:eastAsia="仿宋" w:cs="仿宋"/>
          <w:b/>
          <w:i w:val="0"/>
          <w:iCs w:val="0"/>
          <w:color w:val="auto"/>
          <w:sz w:val="24"/>
          <w:szCs w:val="21"/>
          <w:highlight w:val="none"/>
        </w:rPr>
      </w:pPr>
      <w:bookmarkStart w:id="221" w:name="_Toc26688"/>
      <w:r>
        <w:rPr>
          <w:rFonts w:hint="eastAsia" w:ascii="仿宋" w:hAnsi="仿宋" w:eastAsia="仿宋" w:cs="仿宋"/>
          <w:b/>
          <w:i w:val="0"/>
          <w:iCs w:val="0"/>
          <w:color w:val="auto"/>
          <w:sz w:val="24"/>
          <w:szCs w:val="21"/>
          <w:highlight w:val="none"/>
        </w:rPr>
        <w:t>12.    响应报价</w:t>
      </w:r>
      <w:bookmarkEnd w:id="221"/>
    </w:p>
    <w:p>
      <w:pPr>
        <w:tabs>
          <w:tab w:val="left" w:pos="540"/>
          <w:tab w:val="left" w:pos="720"/>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i w:val="0"/>
          <w:iCs w:val="0"/>
          <w:color w:val="auto"/>
          <w:kern w:val="24"/>
          <w:sz w:val="24"/>
          <w:szCs w:val="21"/>
          <w:highlight w:val="none"/>
        </w:rPr>
        <w:t>供应商须知前附表。</w:t>
      </w:r>
    </w:p>
    <w:p>
      <w:pPr>
        <w:tabs>
          <w:tab w:val="left" w:pos="540"/>
          <w:tab w:val="left" w:pos="8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12.2   供应商应在响应分项报价表中详细列出所报货物和</w:t>
      </w:r>
      <w:r>
        <w:rPr>
          <w:rFonts w:hint="eastAsia" w:ascii="仿宋" w:hAnsi="仿宋" w:eastAsia="仿宋" w:cs="仿宋"/>
          <w:i w:val="0"/>
          <w:iCs w:val="0"/>
          <w:color w:val="auto"/>
          <w:sz w:val="24"/>
          <w:highlight w:val="none"/>
        </w:rPr>
        <w:t>服务</w:t>
      </w:r>
      <w:r>
        <w:rPr>
          <w:rFonts w:hint="eastAsia" w:ascii="仿宋" w:hAnsi="仿宋" w:eastAsia="仿宋" w:cs="仿宋"/>
          <w:i w:val="0"/>
          <w:iCs w:val="0"/>
          <w:color w:val="auto"/>
          <w:kern w:val="24"/>
          <w:sz w:val="24"/>
          <w:szCs w:val="21"/>
          <w:highlight w:val="none"/>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12.5   供应商每次对每种</w:t>
      </w:r>
      <w:r>
        <w:rPr>
          <w:rFonts w:hint="eastAsia" w:ascii="仿宋" w:hAnsi="仿宋" w:eastAsia="仿宋" w:cs="仿宋"/>
          <w:i w:val="0"/>
          <w:iCs w:val="0"/>
          <w:color w:val="auto"/>
          <w:kern w:val="24"/>
          <w:sz w:val="24"/>
          <w:szCs w:val="21"/>
          <w:highlight w:val="none"/>
          <w:u w:val="single"/>
        </w:rPr>
        <w:t xml:space="preserve">   产品 （或服务）   </w:t>
      </w:r>
      <w:r>
        <w:rPr>
          <w:rFonts w:hint="eastAsia" w:ascii="仿宋" w:hAnsi="仿宋" w:eastAsia="仿宋" w:cs="仿宋"/>
          <w:i w:val="0"/>
          <w:iCs w:val="0"/>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highlight w:val="none"/>
        </w:rPr>
        <w:t>12.6   供应商根据本须知12.2条规定将响应报价分成几部分并按</w:t>
      </w:r>
      <w:r>
        <w:rPr>
          <w:rFonts w:hint="eastAsia" w:ascii="仿宋" w:hAnsi="仿宋" w:eastAsia="仿宋" w:cs="仿宋"/>
          <w:i w:val="0"/>
          <w:iCs w:val="0"/>
          <w:color w:val="auto"/>
          <w:kern w:val="24"/>
          <w:sz w:val="24"/>
          <w:szCs w:val="21"/>
          <w:highlight w:val="none"/>
        </w:rPr>
        <w:t>谈判文件第五章提供的格式填写“响应分项报价表”，只是为了方便采购人对响应文件进行比较，并不限制采购人以其它方式签订合同的权力。</w:t>
      </w:r>
    </w:p>
    <w:p>
      <w:pPr>
        <w:pStyle w:val="5"/>
        <w:tabs>
          <w:tab w:val="left" w:pos="360"/>
        </w:tabs>
        <w:rPr>
          <w:rFonts w:hint="eastAsia" w:ascii="仿宋" w:hAnsi="仿宋" w:eastAsia="仿宋" w:cs="仿宋"/>
          <w:b/>
          <w:i w:val="0"/>
          <w:iCs w:val="0"/>
          <w:color w:val="auto"/>
          <w:sz w:val="24"/>
          <w:szCs w:val="21"/>
          <w:highlight w:val="none"/>
        </w:rPr>
      </w:pPr>
      <w:bookmarkStart w:id="222" w:name="_Toc389620180"/>
      <w:bookmarkStart w:id="223" w:name="_Toc20687"/>
      <w:bookmarkStart w:id="224" w:name="_Toc184043028"/>
      <w:bookmarkStart w:id="225" w:name="_Toc70687155"/>
      <w:bookmarkStart w:id="226" w:name="_Toc249525175"/>
      <w:bookmarkStart w:id="227" w:name="_Toc249515294"/>
      <w:bookmarkStart w:id="228" w:name="_Toc385992341"/>
      <w:bookmarkStart w:id="229" w:name="_Toc249515406"/>
      <w:r>
        <w:rPr>
          <w:rFonts w:hint="eastAsia" w:ascii="仿宋" w:hAnsi="仿宋" w:eastAsia="仿宋" w:cs="仿宋"/>
          <w:b/>
          <w:i w:val="0"/>
          <w:iCs w:val="0"/>
          <w:color w:val="auto"/>
          <w:sz w:val="24"/>
          <w:szCs w:val="21"/>
          <w:highlight w:val="none"/>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13.1   谈判响应函、响应报价一览表、响应分项报价表、最后报价表等所有报价一律用人民币填报。采购人不接受任何非人民币币种的报价。</w:t>
      </w:r>
      <w:bookmarkStart w:id="230" w:name="_Toc385992342"/>
      <w:bookmarkStart w:id="231" w:name="_Toc389620181"/>
    </w:p>
    <w:bookmarkEnd w:id="230"/>
    <w:bookmarkEnd w:id="231"/>
    <w:p>
      <w:pPr>
        <w:pStyle w:val="5"/>
        <w:tabs>
          <w:tab w:val="left" w:pos="360"/>
        </w:tabs>
        <w:rPr>
          <w:rFonts w:hint="eastAsia" w:ascii="仿宋" w:hAnsi="仿宋" w:eastAsia="仿宋" w:cs="仿宋"/>
          <w:b/>
          <w:i w:val="0"/>
          <w:iCs w:val="0"/>
          <w:color w:val="auto"/>
          <w:kern w:val="24"/>
          <w:sz w:val="24"/>
          <w:szCs w:val="21"/>
          <w:highlight w:val="none"/>
        </w:rPr>
      </w:pPr>
      <w:bookmarkStart w:id="232" w:name="止观"/>
      <w:bookmarkEnd w:id="232"/>
      <w:r>
        <w:rPr>
          <w:rFonts w:hint="eastAsia" w:ascii="仿宋" w:hAnsi="仿宋" w:eastAsia="仿宋" w:cs="仿宋"/>
          <w:b/>
          <w:i w:val="0"/>
          <w:iCs w:val="0"/>
          <w:color w:val="auto"/>
          <w:sz w:val="24"/>
          <w:szCs w:val="21"/>
          <w:highlight w:val="none"/>
        </w:rPr>
        <w:t>14.    谈判保证金</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szCs w:val="21"/>
          <w:highlight w:val="none"/>
        </w:rPr>
        <w:t>14.1   本项目须在谈判前向采购代理机构提供</w:t>
      </w:r>
      <w:r>
        <w:rPr>
          <w:rFonts w:hint="eastAsia" w:ascii="仿宋" w:hAnsi="仿宋" w:eastAsia="仿宋" w:cs="仿宋"/>
          <w:b/>
          <w:i w:val="0"/>
          <w:iCs w:val="0"/>
          <w:color w:val="auto"/>
          <w:sz w:val="24"/>
          <w:szCs w:val="21"/>
          <w:highlight w:val="none"/>
        </w:rPr>
        <w:t>供应商须知前附表</w:t>
      </w:r>
      <w:r>
        <w:rPr>
          <w:rFonts w:hint="eastAsia" w:ascii="仿宋" w:hAnsi="仿宋" w:eastAsia="仿宋" w:cs="仿宋"/>
          <w:i w:val="0"/>
          <w:iCs w:val="0"/>
          <w:color w:val="auto"/>
          <w:sz w:val="24"/>
          <w:szCs w:val="21"/>
          <w:highlight w:val="none"/>
        </w:rPr>
        <w:t>规定金额的保证金，并作为其响应文件的一部分。</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14.2   保证金的货币为人民币，并采用下列任何一种非现金形式向采购代理机构递交：</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电汇；</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银行转账；</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支票、汇票、本票、金融机构或担保机构出具的保函等非现金形式。</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14.3   保证金以保函形式交纳的，供应商须按谈判文件附件1格式和内容开具保函，并将保函原件附在谈判响应文件中或随谈判响应文件同时递交，否则视为无效文件。联合体参加谈判的，可以由联合体中的一方或者共同提交保证金，以一方提交保证金的，对联合体各方均具有约束力。</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14.4   凡没有根据本须知第14.1条的规定随附保证金的响应文件，将被视为非响应予以拒绝。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14.5   未成交供应商的保证金, 采购代理机构将在成交通知书发出后5个工作日内退还。</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14.6   成交供应商的保证金在按本须知第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条规定签订合同后5个工作日退还。</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14.7   成交供应商有下列情形之一的，采购代理机构不予退还其交纳的保证金，并在项目财政主管部门备案；情节严重的，由财政部门将其列入不良行为纪录名单予以通报，在一至三年内禁止参加政府采购活动：</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供应商在提交响应文件截止时间后撤回响应文件的；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供应商在响应文件中提供虚假材料的；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除因不可抗力外，成交供应商在规定期限内未能根据本须知第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 xml:space="preserve">条规定签订合同； </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供应商与采购人、其他供应商或者采购代理机构恶意串通的；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成交供应商未按本须知第</w:t>
      </w:r>
      <w:r>
        <w:rPr>
          <w:rFonts w:hint="eastAsia" w:ascii="仿宋" w:hAnsi="仿宋" w:eastAsia="仿宋" w:cs="仿宋"/>
          <w:i w:val="0"/>
          <w:iCs w:val="0"/>
          <w:color w:val="auto"/>
          <w:kern w:val="24"/>
          <w:sz w:val="24"/>
          <w:szCs w:val="21"/>
          <w:highlight w:val="none"/>
          <w:lang w:val="en-US" w:eastAsia="zh-CN"/>
        </w:rPr>
        <w:t>29</w:t>
      </w:r>
      <w:r>
        <w:rPr>
          <w:rFonts w:hint="eastAsia" w:ascii="仿宋" w:hAnsi="仿宋" w:eastAsia="仿宋" w:cs="仿宋"/>
          <w:i w:val="0"/>
          <w:iCs w:val="0"/>
          <w:color w:val="auto"/>
          <w:kern w:val="24"/>
          <w:sz w:val="24"/>
          <w:szCs w:val="21"/>
          <w:highlight w:val="none"/>
        </w:rPr>
        <w:t>条规定缴纳服务费。</w:t>
      </w:r>
    </w:p>
    <w:p>
      <w:pPr>
        <w:pStyle w:val="5"/>
        <w:numPr>
          <w:ilvl w:val="0"/>
          <w:numId w:val="9"/>
        </w:numPr>
        <w:tabs>
          <w:tab w:val="left" w:pos="360"/>
        </w:tabs>
        <w:rPr>
          <w:rFonts w:hint="eastAsia" w:ascii="仿宋" w:hAnsi="仿宋" w:eastAsia="仿宋" w:cs="仿宋"/>
          <w:b/>
          <w:i w:val="0"/>
          <w:iCs w:val="0"/>
          <w:color w:val="auto"/>
          <w:sz w:val="24"/>
          <w:szCs w:val="21"/>
          <w:highlight w:val="none"/>
        </w:rPr>
      </w:pPr>
      <w:bookmarkStart w:id="233" w:name="_Toc249525177"/>
      <w:bookmarkStart w:id="234" w:name="_Toc7949"/>
      <w:bookmarkStart w:id="235" w:name="_Toc249515296"/>
      <w:bookmarkStart w:id="236" w:name="_Toc249515408"/>
      <w:r>
        <w:rPr>
          <w:rFonts w:hint="eastAsia" w:ascii="仿宋" w:hAnsi="仿宋" w:eastAsia="仿宋" w:cs="仿宋"/>
          <w:b/>
          <w:i w:val="0"/>
          <w:iCs w:val="0"/>
          <w:color w:val="auto"/>
          <w:sz w:val="24"/>
          <w:szCs w:val="21"/>
          <w:highlight w:val="none"/>
        </w:rPr>
        <w:t xml:space="preserve">   谈判有效期</w:t>
      </w:r>
      <w:bookmarkEnd w:id="233"/>
      <w:bookmarkEnd w:id="234"/>
      <w:bookmarkEnd w:id="235"/>
      <w:bookmarkEnd w:id="23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15.1   谈判有效期见</w:t>
      </w:r>
      <w:r>
        <w:rPr>
          <w:rFonts w:hint="eastAsia" w:ascii="仿宋" w:hAnsi="仿宋" w:eastAsia="仿宋" w:cs="仿宋"/>
          <w:b/>
          <w:i w:val="0"/>
          <w:iCs w:val="0"/>
          <w:color w:val="auto"/>
          <w:sz w:val="24"/>
          <w:highlight w:val="none"/>
        </w:rPr>
        <w:t>本须知前附表</w:t>
      </w:r>
      <w:r>
        <w:rPr>
          <w:rFonts w:hint="eastAsia" w:ascii="仿宋" w:hAnsi="仿宋" w:eastAsia="仿宋" w:cs="仿宋"/>
          <w:i w:val="0"/>
          <w:iCs w:val="0"/>
          <w:color w:val="auto"/>
          <w:sz w:val="24"/>
          <w:highlight w:val="none"/>
        </w:rPr>
        <w:t>。在谈判有效期内，所有响应文件均保持有效。响应文件的有效期比本须知规定的有效期短的，将被视为非实质响应，采购人有权拒绝。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15.2   特殊情况下，采购人可于原谈判有效期满之前要求供应商同意延长有效期，要求与答复均应为书面形式。供应商可以拒绝上述要求，其投标保证金不被没收。对于同意该要求的供应商，既不要求也不允许其修改响应文件，但将要求其相应延长投标保证金的有效期，有关退还和没收投标保证金的规定在谈判有效期的延长期内继续有效。</w:t>
      </w:r>
    </w:p>
    <w:p>
      <w:pPr>
        <w:pStyle w:val="5"/>
        <w:tabs>
          <w:tab w:val="left" w:pos="360"/>
        </w:tabs>
        <w:rPr>
          <w:rFonts w:hint="eastAsia" w:ascii="仿宋" w:hAnsi="仿宋" w:eastAsia="仿宋" w:cs="仿宋"/>
          <w:b/>
          <w:i w:val="0"/>
          <w:iCs w:val="0"/>
          <w:color w:val="auto"/>
          <w:sz w:val="24"/>
          <w:szCs w:val="21"/>
          <w:highlight w:val="none"/>
        </w:rPr>
      </w:pPr>
      <w:bookmarkStart w:id="237" w:name="_Toc249515409"/>
      <w:bookmarkStart w:id="238" w:name="_Toc389620185"/>
      <w:bookmarkStart w:id="239" w:name="_Toc184043033"/>
      <w:bookmarkStart w:id="240" w:name="_Toc249525178"/>
      <w:bookmarkStart w:id="241" w:name="_Toc70687160"/>
      <w:bookmarkStart w:id="242" w:name="_Toc385992346"/>
      <w:bookmarkStart w:id="243" w:name="_Toc249515297"/>
      <w:bookmarkStart w:id="244" w:name="_Toc16612"/>
      <w:r>
        <w:rPr>
          <w:rFonts w:hint="eastAsia" w:ascii="仿宋" w:hAnsi="仿宋" w:eastAsia="仿宋" w:cs="仿宋"/>
          <w:b/>
          <w:i w:val="0"/>
          <w:iCs w:val="0"/>
          <w:color w:val="auto"/>
          <w:sz w:val="24"/>
          <w:szCs w:val="21"/>
          <w:highlight w:val="none"/>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16.1   供应商应准备一份响应文件正本和“</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”中规定数目的副本，每套响应文件须清楚地标明“正本”、“副本”。若正本和副本不符，以正本为准。</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16.2   响应文件须用中文编写，并采用A4纸张装订成册。装订须牢固，不易拆散和换页，采用软胶装，不得采用活页方式装订，封面不建议硬装。</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16.3   响应文件的正本，一律用不褪色的墨水书写或打印，签字页加盖供应商单位公章，并由供应商的法定代表人或其授权的代理人签署。响应文件的副本可采用正本的复印件。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16.4   任何行间插字、涂改或增删，必须由响应文件签字人将姓或首字母在旁边签字才有效。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16.5   采购人不接受以电报、电话、传真、电子邮件形式递交的响应文件。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16.6   供应商在谈判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245" w:name="_Hlt491765640"/>
      <w:bookmarkEnd w:id="245"/>
      <w:bookmarkStart w:id="246" w:name="_Toc230013636"/>
      <w:bookmarkStart w:id="247" w:name="_Toc385992347"/>
      <w:bookmarkStart w:id="248" w:name="_Toc230099801"/>
      <w:bookmarkStart w:id="249" w:name="_Toc503063426"/>
      <w:bookmarkStart w:id="250" w:name="_Toc177817338"/>
      <w:bookmarkStart w:id="251" w:name="_Toc249515298"/>
      <w:bookmarkStart w:id="252" w:name="_Toc70687161"/>
      <w:bookmarkStart w:id="253" w:name="_Toc389620186"/>
      <w:bookmarkStart w:id="254" w:name="_Toc176882546"/>
      <w:bookmarkStart w:id="255" w:name="_Toc177995477"/>
      <w:bookmarkStart w:id="256" w:name="_Toc58504665"/>
      <w:bookmarkStart w:id="257" w:name="_Toc256342147"/>
      <w:bookmarkStart w:id="258" w:name="_Toc500746970"/>
      <w:bookmarkStart w:id="259" w:name="_Toc499711047"/>
      <w:bookmarkStart w:id="260" w:name="_Toc230583545"/>
      <w:bookmarkStart w:id="261" w:name="_Toc232395216"/>
      <w:bookmarkStart w:id="262" w:name="_Toc184043034"/>
      <w:bookmarkStart w:id="263" w:name="_Toc500747193"/>
      <w:bookmarkStart w:id="264" w:name="_Toc232176276"/>
      <w:bookmarkStart w:id="265" w:name="_Toc492955419"/>
      <w:bookmarkStart w:id="266" w:name="_Toc53722844"/>
      <w:bookmarkStart w:id="267" w:name="_Toc177189239"/>
      <w:bookmarkStart w:id="268" w:name="_Toc496324583"/>
      <w:bookmarkStart w:id="269" w:name="_Toc499711888"/>
      <w:bookmarkStart w:id="270" w:name="_Toc500747066"/>
      <w:bookmarkStart w:id="271" w:name="_Toc249525179"/>
      <w:bookmarkStart w:id="272" w:name="_Toc249515410"/>
      <w:r>
        <w:rPr>
          <w:rFonts w:hint="eastAsia" w:ascii="仿宋" w:hAnsi="仿宋" w:eastAsia="仿宋" w:cs="仿宋"/>
          <w:b/>
          <w:i w:val="0"/>
          <w:iCs w:val="0"/>
          <w:color w:val="auto"/>
          <w:kern w:val="0"/>
          <w:sz w:val="28"/>
          <w:szCs w:val="28"/>
          <w:highlight w:val="none"/>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5"/>
        <w:tabs>
          <w:tab w:val="left" w:pos="360"/>
        </w:tabs>
        <w:rPr>
          <w:rFonts w:hint="eastAsia" w:ascii="仿宋" w:hAnsi="仿宋" w:eastAsia="仿宋" w:cs="仿宋"/>
          <w:b/>
          <w:i w:val="0"/>
          <w:iCs w:val="0"/>
          <w:color w:val="auto"/>
          <w:sz w:val="24"/>
          <w:szCs w:val="21"/>
          <w:highlight w:val="none"/>
        </w:rPr>
      </w:pPr>
      <w:bookmarkStart w:id="273" w:name="_Toc70687162"/>
      <w:bookmarkStart w:id="274" w:name="_Toc385992348"/>
      <w:bookmarkStart w:id="275" w:name="_Toc249515411"/>
      <w:bookmarkStart w:id="276" w:name="_Toc4042"/>
      <w:bookmarkStart w:id="277" w:name="_Toc249525180"/>
      <w:bookmarkStart w:id="278" w:name="_Toc389620187"/>
      <w:bookmarkStart w:id="279" w:name="_Toc249515299"/>
      <w:bookmarkStart w:id="280" w:name="_Toc184043035"/>
      <w:r>
        <w:rPr>
          <w:rFonts w:hint="eastAsia" w:ascii="仿宋" w:hAnsi="仿宋" w:eastAsia="仿宋" w:cs="仿宋"/>
          <w:b/>
          <w:i w:val="0"/>
          <w:iCs w:val="0"/>
          <w:color w:val="auto"/>
          <w:sz w:val="24"/>
          <w:szCs w:val="21"/>
          <w:highlight w:val="none"/>
        </w:rPr>
        <w:t>17.    响应文件的密封和标记</w:t>
      </w:r>
      <w:bookmarkEnd w:id="273"/>
      <w:bookmarkEnd w:id="274"/>
      <w:bookmarkEnd w:id="275"/>
      <w:bookmarkEnd w:id="276"/>
      <w:bookmarkEnd w:id="277"/>
      <w:bookmarkEnd w:id="278"/>
      <w:bookmarkEnd w:id="279"/>
      <w:bookmarkEnd w:id="280"/>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bookmarkStart w:id="281" w:name="_Toc389620188"/>
      <w:bookmarkStart w:id="282" w:name="_Toc385992349"/>
      <w:bookmarkStart w:id="283" w:name="_Toc70687163"/>
      <w:bookmarkStart w:id="284" w:name="_Toc184043036"/>
      <w:r>
        <w:rPr>
          <w:rFonts w:hint="eastAsia" w:ascii="仿宋" w:hAnsi="仿宋" w:eastAsia="仿宋" w:cs="仿宋"/>
          <w:i w:val="0"/>
          <w:iCs w:val="0"/>
          <w:color w:val="auto"/>
          <w:kern w:val="0"/>
          <w:sz w:val="24"/>
          <w:szCs w:val="21"/>
          <w:highlight w:val="none"/>
        </w:rPr>
        <w:t>17.1   供应商应将响应文件正本和所有副本分别密封在两个密封袋（箱）中（正本一包，副本一包），并在密封袋（箱）上标明“正本”、“副本”字样，封口处应加盖公章或授权代表签字。</w:t>
      </w:r>
    </w:p>
    <w:p>
      <w:pPr>
        <w:tabs>
          <w:tab w:val="left" w:pos="360"/>
          <w:tab w:val="left" w:pos="502"/>
          <w:tab w:val="left" w:pos="588"/>
        </w:tabs>
        <w:autoSpaceDE w:val="0"/>
        <w:autoSpaceDN w:val="0"/>
        <w:adjustRightInd w:val="0"/>
        <w:spacing w:line="360" w:lineRule="auto"/>
        <w:ind w:left="840" w:hanging="840" w:hangingChars="350"/>
        <w:rPr>
          <w:rFonts w:hint="eastAsia" w:ascii="仿宋" w:hAnsi="仿宋" w:eastAsia="仿宋" w:cs="仿宋"/>
          <w:i w:val="0"/>
          <w:iCs w:val="0"/>
          <w:color w:val="auto"/>
          <w:sz w:val="24"/>
          <w:szCs w:val="21"/>
          <w:highlight w:val="none"/>
        </w:rPr>
      </w:pPr>
      <w:r>
        <w:rPr>
          <w:rFonts w:hint="eastAsia" w:ascii="仿宋" w:hAnsi="仿宋" w:eastAsia="仿宋" w:cs="仿宋"/>
          <w:i w:val="0"/>
          <w:iCs w:val="0"/>
          <w:color w:val="auto"/>
          <w:kern w:val="0"/>
          <w:sz w:val="24"/>
          <w:szCs w:val="21"/>
          <w:highlight w:val="none"/>
        </w:rPr>
        <w:t>17.2   密封袋（箱）上标识的内容见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szCs w:val="21"/>
          <w:highlight w:val="none"/>
        </w:rPr>
        <w:t>响应文件</w:t>
      </w:r>
      <w:r>
        <w:rPr>
          <w:rFonts w:hint="eastAsia" w:ascii="仿宋" w:hAnsi="仿宋" w:eastAsia="仿宋" w:cs="仿宋"/>
          <w:i w:val="0"/>
          <w:iCs w:val="0"/>
          <w:color w:val="auto"/>
          <w:kern w:val="0"/>
          <w:sz w:val="24"/>
          <w:szCs w:val="21"/>
          <w:highlight w:val="none"/>
        </w:rPr>
        <w:t>如果</w:t>
      </w:r>
      <w:r>
        <w:rPr>
          <w:rFonts w:hint="eastAsia" w:ascii="仿宋" w:hAnsi="仿宋" w:eastAsia="仿宋" w:cs="仿宋"/>
          <w:i w:val="0"/>
          <w:iCs w:val="0"/>
          <w:color w:val="auto"/>
          <w:sz w:val="24"/>
          <w:szCs w:val="21"/>
          <w:highlight w:val="none"/>
        </w:rPr>
        <w:t>未按上述规定密封和标记，采购代理机构应当拒绝接收。</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bookmarkEnd w:id="281"/>
    <w:bookmarkEnd w:id="282"/>
    <w:p>
      <w:pPr>
        <w:pStyle w:val="5"/>
        <w:tabs>
          <w:tab w:val="left" w:pos="360"/>
        </w:tabs>
        <w:rPr>
          <w:rFonts w:hint="eastAsia" w:ascii="仿宋" w:hAnsi="仿宋" w:eastAsia="仿宋" w:cs="仿宋"/>
          <w:b/>
          <w:i w:val="0"/>
          <w:iCs w:val="0"/>
          <w:color w:val="auto"/>
          <w:sz w:val="24"/>
          <w:szCs w:val="21"/>
          <w:highlight w:val="none"/>
        </w:rPr>
      </w:pPr>
      <w:bookmarkStart w:id="285" w:name="_Toc249515300"/>
      <w:bookmarkStart w:id="286" w:name="_Toc249515412"/>
      <w:bookmarkStart w:id="287" w:name="_Toc249525181"/>
      <w:bookmarkStart w:id="288" w:name="_Toc31171"/>
      <w:r>
        <w:rPr>
          <w:rFonts w:hint="eastAsia" w:ascii="仿宋" w:hAnsi="仿宋" w:eastAsia="仿宋" w:cs="仿宋"/>
          <w:b/>
          <w:i w:val="0"/>
          <w:iCs w:val="0"/>
          <w:color w:val="auto"/>
          <w:sz w:val="24"/>
          <w:szCs w:val="21"/>
          <w:highlight w:val="none"/>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hint="eastAsia" w:ascii="仿宋" w:hAnsi="仿宋" w:eastAsia="仿宋" w:cs="仿宋"/>
          <w:i w:val="0"/>
          <w:iCs w:val="0"/>
          <w:color w:val="auto"/>
          <w:sz w:val="24"/>
          <w:highlight w:val="none"/>
        </w:rPr>
      </w:pPr>
      <w:bookmarkStart w:id="289" w:name="_Toc70687164"/>
      <w:bookmarkStart w:id="290" w:name="_Toc184043037"/>
      <w:bookmarkStart w:id="291" w:name="_Toc389620189"/>
      <w:bookmarkStart w:id="292" w:name="_Toc385992350"/>
      <w:r>
        <w:rPr>
          <w:rFonts w:hint="eastAsia" w:ascii="仿宋" w:hAnsi="仿宋" w:eastAsia="仿宋" w:cs="仿宋"/>
          <w:i w:val="0"/>
          <w:iCs w:val="0"/>
          <w:color w:val="auto"/>
          <w:sz w:val="24"/>
          <w:highlight w:val="none"/>
        </w:rPr>
        <w:t>18.1   响应文件递交截止时间和地点见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18.3   采购人可以按本须知第7条规定，通知修改谈判文件，适当延长响应文件递交截止时间。在此情况下，采购人和供应商受响应文件递交截止时间制约的所有权利和义务均应延长至新的截止期。</w:t>
      </w:r>
    </w:p>
    <w:p>
      <w:pPr>
        <w:pStyle w:val="5"/>
        <w:tabs>
          <w:tab w:val="left" w:pos="360"/>
        </w:tabs>
        <w:rPr>
          <w:rFonts w:hint="eastAsia" w:ascii="仿宋" w:hAnsi="仿宋" w:eastAsia="仿宋" w:cs="仿宋"/>
          <w:b/>
          <w:i w:val="0"/>
          <w:iCs w:val="0"/>
          <w:color w:val="auto"/>
          <w:sz w:val="24"/>
          <w:szCs w:val="21"/>
          <w:highlight w:val="none"/>
        </w:rPr>
      </w:pPr>
      <w:bookmarkStart w:id="293" w:name="_Toc7175"/>
      <w:bookmarkStart w:id="294" w:name="_Toc249515413"/>
      <w:bookmarkStart w:id="295" w:name="_Toc249525182"/>
      <w:bookmarkStart w:id="296" w:name="_Toc249515301"/>
      <w:r>
        <w:rPr>
          <w:rFonts w:hint="eastAsia" w:ascii="仿宋" w:hAnsi="仿宋" w:eastAsia="仿宋" w:cs="仿宋"/>
          <w:b/>
          <w:i w:val="0"/>
          <w:iCs w:val="0"/>
          <w:color w:val="auto"/>
          <w:sz w:val="24"/>
          <w:szCs w:val="21"/>
          <w:highlight w:val="none"/>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19.1   采购人将拒绝接收第18条规定的响应文件递交截止时间后递交的任何响应文件。</w:t>
      </w:r>
    </w:p>
    <w:p>
      <w:pPr>
        <w:pStyle w:val="5"/>
        <w:tabs>
          <w:tab w:val="left" w:pos="360"/>
        </w:tabs>
        <w:rPr>
          <w:rFonts w:hint="eastAsia" w:ascii="仿宋" w:hAnsi="仿宋" w:eastAsia="仿宋" w:cs="仿宋"/>
          <w:b/>
          <w:i w:val="0"/>
          <w:iCs w:val="0"/>
          <w:color w:val="auto"/>
          <w:sz w:val="24"/>
          <w:szCs w:val="21"/>
          <w:highlight w:val="none"/>
        </w:rPr>
      </w:pPr>
      <w:bookmarkStart w:id="297" w:name="_Toc249515302"/>
      <w:bookmarkStart w:id="298" w:name="_Toc184043038"/>
      <w:bookmarkStart w:id="299" w:name="_Toc249515414"/>
      <w:bookmarkStart w:id="300" w:name="_Toc385992351"/>
      <w:bookmarkStart w:id="301" w:name="_Toc249525183"/>
      <w:bookmarkStart w:id="302" w:name="_Toc389620190"/>
      <w:bookmarkStart w:id="303" w:name="_Toc70687165"/>
      <w:bookmarkStart w:id="304" w:name="_Toc10272"/>
      <w:r>
        <w:rPr>
          <w:rFonts w:hint="eastAsia" w:ascii="仿宋" w:hAnsi="仿宋" w:eastAsia="仿宋" w:cs="仿宋"/>
          <w:b/>
          <w:i w:val="0"/>
          <w:iCs w:val="0"/>
          <w:color w:val="auto"/>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i w:val="0"/>
          <w:iCs w:val="0"/>
          <w:color w:val="auto"/>
          <w:sz w:val="24"/>
          <w:szCs w:val="21"/>
          <w:highlight w:val="none"/>
        </w:rPr>
        <w:t>回</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20.4   供应商不得在响应文件递交截止时间起至响应文件有效期期满前撤销其响应文件。</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05" w:name="_Hlt497729441"/>
      <w:bookmarkEnd w:id="305"/>
      <w:bookmarkStart w:id="306" w:name="_Hlt491765712"/>
      <w:bookmarkEnd w:id="306"/>
      <w:bookmarkStart w:id="307" w:name="_Toc232395217"/>
      <w:bookmarkStart w:id="308" w:name="_Toc214357452"/>
      <w:bookmarkStart w:id="309" w:name="_Toc232176277"/>
      <w:bookmarkStart w:id="310" w:name="_Toc249515415"/>
      <w:bookmarkStart w:id="311" w:name="_Toc249515303"/>
      <w:bookmarkStart w:id="312" w:name="_Toc249525184"/>
      <w:bookmarkStart w:id="313" w:name="_Toc256342148"/>
      <w:bookmarkStart w:id="314" w:name="_Toc58504666"/>
      <w:bookmarkStart w:id="315" w:name="_Toc177817339"/>
      <w:bookmarkStart w:id="316" w:name="_Toc503063427"/>
      <w:bookmarkStart w:id="317" w:name="_Toc500746971"/>
      <w:bookmarkStart w:id="318" w:name="_Toc499711048"/>
      <w:bookmarkStart w:id="319" w:name="_Toc389620191"/>
      <w:bookmarkStart w:id="320" w:name="_Toc184043039"/>
      <w:bookmarkStart w:id="321" w:name="_Toc500747067"/>
      <w:bookmarkStart w:id="322" w:name="_Toc385992352"/>
      <w:bookmarkStart w:id="323" w:name="_Toc176882547"/>
      <w:bookmarkStart w:id="324" w:name="_Toc499711889"/>
      <w:bookmarkStart w:id="325" w:name="_Toc492955420"/>
      <w:bookmarkStart w:id="326" w:name="_Toc177995478"/>
      <w:bookmarkStart w:id="327" w:name="_Toc500747194"/>
      <w:bookmarkStart w:id="328" w:name="_Toc177189240"/>
      <w:bookmarkStart w:id="329" w:name="_Toc70687166"/>
      <w:bookmarkStart w:id="330" w:name="_Toc53722845"/>
      <w:bookmarkStart w:id="331" w:name="_Toc496324584"/>
      <w:r>
        <w:rPr>
          <w:rFonts w:hint="eastAsia" w:ascii="仿宋" w:hAnsi="仿宋" w:eastAsia="仿宋" w:cs="仿宋"/>
          <w:b/>
          <w:i w:val="0"/>
          <w:iCs w:val="0"/>
          <w:color w:val="auto"/>
          <w:kern w:val="0"/>
          <w:sz w:val="28"/>
          <w:szCs w:val="28"/>
          <w:highlight w:val="none"/>
        </w:rPr>
        <w:t>五、</w:t>
      </w:r>
      <w:bookmarkEnd w:id="307"/>
      <w:bookmarkEnd w:id="308"/>
      <w:bookmarkEnd w:id="309"/>
      <w:r>
        <w:rPr>
          <w:rFonts w:hint="eastAsia" w:ascii="仿宋" w:hAnsi="仿宋" w:eastAsia="仿宋" w:cs="仿宋"/>
          <w:b/>
          <w:i w:val="0"/>
          <w:iCs w:val="0"/>
          <w:color w:val="auto"/>
          <w:kern w:val="0"/>
          <w:sz w:val="28"/>
          <w:szCs w:val="28"/>
          <w:highlight w:val="none"/>
        </w:rPr>
        <w:t>评审与</w:t>
      </w:r>
      <w:bookmarkEnd w:id="310"/>
      <w:bookmarkEnd w:id="311"/>
      <w:bookmarkEnd w:id="312"/>
      <w:bookmarkEnd w:id="313"/>
      <w:r>
        <w:rPr>
          <w:rFonts w:hint="eastAsia" w:ascii="仿宋" w:hAnsi="仿宋" w:eastAsia="仿宋" w:cs="仿宋"/>
          <w:b/>
          <w:i w:val="0"/>
          <w:iCs w:val="0"/>
          <w:color w:val="auto"/>
          <w:kern w:val="0"/>
          <w:sz w:val="28"/>
          <w:szCs w:val="28"/>
          <w:highlight w:val="none"/>
        </w:rPr>
        <w:t>谈判</w:t>
      </w:r>
      <w:bookmarkEnd w:id="314"/>
    </w:p>
    <w:p>
      <w:pPr>
        <w:pStyle w:val="5"/>
        <w:tabs>
          <w:tab w:val="left" w:pos="360"/>
        </w:tabs>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21.    谈判小组</w:t>
      </w:r>
    </w:p>
    <w:p>
      <w:pPr>
        <w:pStyle w:val="29"/>
        <w:adjustRightInd w:val="0"/>
        <w:snapToGrid w:val="0"/>
        <w:ind w:left="840" w:hanging="840" w:hangingChars="3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   在谈判开始前组建谈判小组，谈判小组由采购人代表及有关专家组成。专家从政府采购评审专家库相关专业中随机抽取。谈判小组组成见</w:t>
      </w:r>
      <w:r>
        <w:rPr>
          <w:rFonts w:hint="eastAsia" w:ascii="仿宋" w:hAnsi="仿宋" w:eastAsia="仿宋" w:cs="仿宋"/>
          <w:b/>
          <w:i w:val="0"/>
          <w:iCs w:val="0"/>
          <w:color w:val="auto"/>
          <w:sz w:val="24"/>
          <w:highlight w:val="none"/>
        </w:rPr>
        <w:t>供应商须知前附表。</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21.2   谈判小组职责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（1）确认竞争性谈判文件。审阅谈判文件，无修改进行签字确认。有修改，修改内容经采购人确认后，谈判小组以书面形式通知所有供应商。</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（2）确定符合要求的供应商参加谈判；</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（3）审查供应商的响应文件并做出评价；</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（4）要求供应商解释或者澄清其响应文件；</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（5）编写评审报告；</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（6）告知采购人、采购代理机构在评审过程中发现的供应商的违法违规行为。</w:t>
      </w:r>
    </w:p>
    <w:p>
      <w:pPr>
        <w:pStyle w:val="29"/>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21.3   谈判小组义务</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（1）遵纪守法、客观、公正、廉洁地履行职责；</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（2）根据谈判文件的规定独立进行评审，对个人的评审意见承担法律责任；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（3）参与评审报告的起草；</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（4）配合采购人、采购代理机构答复供应商提出的质疑；</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（5）配合财政部门的投诉处理和监督检查工作。</w:t>
      </w:r>
    </w:p>
    <w:p>
      <w:pPr>
        <w:pStyle w:val="29"/>
        <w:adjustRightInd w:val="0"/>
        <w:snapToGrid w:val="0"/>
        <w:rPr>
          <w:rFonts w:hint="eastAsia" w:ascii="仿宋" w:hAnsi="仿宋" w:eastAsia="仿宋" w:cs="仿宋"/>
          <w:i w:val="0"/>
          <w:iCs w:val="0"/>
          <w:color w:val="auto"/>
          <w:sz w:val="24"/>
          <w:szCs w:val="24"/>
          <w:highlight w:val="none"/>
        </w:rPr>
      </w:pPr>
      <w:bookmarkStart w:id="332" w:name="_Toc83547667"/>
      <w:r>
        <w:rPr>
          <w:rFonts w:hint="eastAsia" w:ascii="仿宋" w:hAnsi="仿宋" w:eastAsia="仿宋" w:cs="仿宋"/>
          <w:i w:val="0"/>
          <w:iCs w:val="0"/>
          <w:color w:val="auto"/>
          <w:sz w:val="24"/>
          <w:szCs w:val="24"/>
          <w:highlight w:val="none"/>
        </w:rPr>
        <w:t>21.4   谈判小组成员有下列情形之一的，应当回避：</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（1）参加采购活动前3年内与供应商存在劳动关系；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（2）参加采购活动前3年内担任供应商的董事、监事；</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（3）参加采购活动前3年内是供应商的控股股东或者实际控制人；</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（4）与供应商的法定代表人或者负责人有夫妻、直系血亲、三代以内旁系血亲或者近姻亲关系；</w:t>
      </w:r>
    </w:p>
    <w:p>
      <w:pPr>
        <w:pStyle w:val="29"/>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（5）与供应商有其他可能影响政府采购活动公平、公正进行的关系。</w:t>
      </w:r>
    </w:p>
    <w:p>
      <w:pPr>
        <w:pStyle w:val="5"/>
        <w:tabs>
          <w:tab w:val="left" w:pos="360"/>
        </w:tabs>
        <w:rPr>
          <w:rFonts w:hint="eastAsia" w:ascii="仿宋" w:hAnsi="仿宋" w:eastAsia="仿宋" w:cs="仿宋"/>
          <w:b/>
          <w:i w:val="0"/>
          <w:iCs w:val="0"/>
          <w:color w:val="auto"/>
          <w:sz w:val="24"/>
          <w:szCs w:val="21"/>
          <w:highlight w:val="none"/>
        </w:rPr>
      </w:pPr>
      <w:bookmarkStart w:id="333" w:name="_Toc249525187"/>
      <w:bookmarkStart w:id="334" w:name="_Toc249515418"/>
      <w:bookmarkStart w:id="335" w:name="_Toc20608"/>
      <w:bookmarkStart w:id="336" w:name="_Toc249515306"/>
      <w:r>
        <w:rPr>
          <w:rFonts w:hint="eastAsia" w:ascii="仿宋" w:hAnsi="仿宋" w:eastAsia="仿宋" w:cs="仿宋"/>
          <w:b/>
          <w:i w:val="0"/>
          <w:iCs w:val="0"/>
          <w:color w:val="auto"/>
          <w:sz w:val="24"/>
          <w:szCs w:val="21"/>
          <w:highlight w:val="none"/>
        </w:rPr>
        <w:t>22.    谈判程序</w:t>
      </w:r>
    </w:p>
    <w:p>
      <w:pPr>
        <w:pStyle w:val="5"/>
        <w:tabs>
          <w:tab w:val="left" w:pos="360"/>
        </w:tabs>
        <w:rPr>
          <w:rFonts w:hint="eastAsia" w:ascii="仿宋" w:hAnsi="仿宋" w:eastAsia="仿宋" w:cs="仿宋"/>
          <w:b/>
          <w:i w:val="0"/>
          <w:iCs w:val="0"/>
          <w:color w:val="auto"/>
          <w:sz w:val="24"/>
          <w:szCs w:val="21"/>
          <w:highlight w:val="none"/>
        </w:rPr>
      </w:pPr>
      <w:bookmarkStart w:id="337" w:name="_Toc58504507"/>
      <w:r>
        <w:rPr>
          <w:rFonts w:hint="eastAsia" w:ascii="仿宋" w:hAnsi="仿宋" w:eastAsia="仿宋" w:cs="仿宋"/>
          <w:b/>
          <w:i w:val="0"/>
          <w:iCs w:val="0"/>
          <w:color w:val="auto"/>
          <w:sz w:val="24"/>
          <w:szCs w:val="21"/>
          <w:highlight w:val="none"/>
        </w:rPr>
        <w:t>22.1   谈判会议</w:t>
      </w:r>
      <w:bookmarkEnd w:id="337"/>
    </w:p>
    <w:p>
      <w:pPr>
        <w:pStyle w:val="23"/>
        <w:ind w:left="840" w:leftChars="400"/>
        <w:rPr>
          <w:rFonts w:hint="eastAsia" w:ascii="仿宋" w:hAnsi="仿宋" w:eastAsia="仿宋" w:cs="仿宋"/>
          <w:i w:val="0"/>
          <w:iCs w:val="0"/>
          <w:color w:val="auto"/>
          <w:sz w:val="24"/>
          <w:highlight w:val="none"/>
        </w:rPr>
      </w:pPr>
      <w:bookmarkStart w:id="338" w:name="_Toc58504508"/>
      <w:r>
        <w:rPr>
          <w:rFonts w:hint="eastAsia" w:ascii="仿宋" w:hAnsi="仿宋" w:eastAsia="仿宋" w:cs="仿宋"/>
          <w:i w:val="0"/>
          <w:iCs w:val="0"/>
          <w:color w:val="auto"/>
          <w:sz w:val="24"/>
          <w:highlight w:val="none"/>
        </w:rPr>
        <w:t>（1）在谈判文件规定的时间和地点，由采购代理机构组织谈判工作，供应商须委派代表参加，签名以证明其出席。</w:t>
      </w:r>
      <w:bookmarkEnd w:id="338"/>
    </w:p>
    <w:p>
      <w:pPr>
        <w:pStyle w:val="23"/>
        <w:ind w:left="840" w:leftChars="400"/>
        <w:rPr>
          <w:rFonts w:hint="eastAsia" w:ascii="仿宋" w:hAnsi="仿宋" w:eastAsia="仿宋" w:cs="仿宋"/>
          <w:i w:val="0"/>
          <w:iCs w:val="0"/>
          <w:color w:val="auto"/>
          <w:sz w:val="24"/>
          <w:highlight w:val="none"/>
        </w:rPr>
      </w:pPr>
      <w:bookmarkStart w:id="339" w:name="_Toc58504509"/>
      <w:r>
        <w:rPr>
          <w:rFonts w:hint="eastAsia" w:ascii="仿宋" w:hAnsi="仿宋" w:eastAsia="仿宋" w:cs="仿宋"/>
          <w:i w:val="0"/>
          <w:iCs w:val="0"/>
          <w:color w:val="auto"/>
          <w:sz w:val="24"/>
          <w:highlight w:val="none"/>
        </w:rPr>
        <w:t>（2）各供应商或其推荐的代表与采购监督人共同检查响应文件的密封情况，经检查无误后，签字确认。</w:t>
      </w:r>
      <w:bookmarkEnd w:id="339"/>
    </w:p>
    <w:p>
      <w:pPr>
        <w:pStyle w:val="23"/>
        <w:ind w:left="840" w:leftChars="400"/>
        <w:rPr>
          <w:rFonts w:hint="eastAsia" w:ascii="仿宋" w:hAnsi="仿宋" w:eastAsia="仿宋" w:cs="仿宋"/>
          <w:i w:val="0"/>
          <w:iCs w:val="0"/>
          <w:color w:val="auto"/>
          <w:sz w:val="24"/>
          <w:highlight w:val="none"/>
        </w:rPr>
      </w:pPr>
      <w:bookmarkStart w:id="340" w:name="_Toc58504510"/>
      <w:r>
        <w:rPr>
          <w:rFonts w:hint="eastAsia" w:ascii="仿宋" w:hAnsi="仿宋" w:eastAsia="仿宋" w:cs="仿宋"/>
          <w:i w:val="0"/>
          <w:iCs w:val="0"/>
          <w:color w:val="auto"/>
          <w:sz w:val="24"/>
          <w:highlight w:val="none"/>
        </w:rPr>
        <w:t>（3）采购代理机构工作人员按照顺序，将各供应商首次响应文件的份数等内容公布，无异议后，由供应商法定代表人（或授权代表人）和监督人签字确认。</w:t>
      </w:r>
      <w:bookmarkEnd w:id="340"/>
    </w:p>
    <w:p>
      <w:pPr>
        <w:pStyle w:val="5"/>
        <w:tabs>
          <w:tab w:val="left" w:pos="360"/>
        </w:tabs>
        <w:rPr>
          <w:rFonts w:hint="eastAsia" w:ascii="仿宋" w:hAnsi="仿宋" w:eastAsia="仿宋" w:cs="仿宋"/>
          <w:b/>
          <w:i w:val="0"/>
          <w:iCs w:val="0"/>
          <w:color w:val="auto"/>
          <w:sz w:val="24"/>
          <w:szCs w:val="21"/>
          <w:highlight w:val="none"/>
        </w:rPr>
      </w:pPr>
      <w:bookmarkStart w:id="341" w:name="_Toc58504511"/>
      <w:r>
        <w:rPr>
          <w:rFonts w:hint="eastAsia" w:ascii="仿宋" w:hAnsi="仿宋" w:eastAsia="仿宋" w:cs="仿宋"/>
          <w:b/>
          <w:i w:val="0"/>
          <w:iCs w:val="0"/>
          <w:color w:val="auto"/>
          <w:sz w:val="24"/>
          <w:szCs w:val="21"/>
          <w:highlight w:val="none"/>
        </w:rPr>
        <w:t>22.2   响应文件</w:t>
      </w:r>
      <w:bookmarkEnd w:id="332"/>
      <w:bookmarkEnd w:id="333"/>
      <w:bookmarkEnd w:id="334"/>
      <w:bookmarkEnd w:id="335"/>
      <w:bookmarkEnd w:id="336"/>
      <w:r>
        <w:rPr>
          <w:rFonts w:hint="eastAsia" w:ascii="仿宋" w:hAnsi="仿宋" w:eastAsia="仿宋" w:cs="仿宋"/>
          <w:b/>
          <w:i w:val="0"/>
          <w:iCs w:val="0"/>
          <w:color w:val="auto"/>
          <w:sz w:val="24"/>
          <w:szCs w:val="21"/>
          <w:highlight w:val="none"/>
        </w:rPr>
        <w:t>评审</w:t>
      </w:r>
      <w:bookmarkEnd w:id="341"/>
    </w:p>
    <w:p>
      <w:pPr>
        <w:tabs>
          <w:tab w:val="left" w:pos="360"/>
          <w:tab w:val="left" w:pos="588"/>
        </w:tabs>
        <w:spacing w:line="360" w:lineRule="auto"/>
        <w:ind w:left="843" w:hanging="843" w:hangingChars="350"/>
        <w:rPr>
          <w:rFonts w:hint="eastAsia" w:ascii="仿宋" w:hAnsi="仿宋" w:eastAsia="仿宋" w:cs="仿宋"/>
          <w:i w:val="0"/>
          <w:iCs w:val="0"/>
          <w:color w:val="auto"/>
          <w:sz w:val="24"/>
          <w:highlight w:val="none"/>
        </w:rPr>
      </w:pPr>
      <w:bookmarkStart w:id="342" w:name="_Toc83547671"/>
      <w:r>
        <w:rPr>
          <w:rFonts w:hint="eastAsia" w:ascii="仿宋" w:hAnsi="仿宋" w:eastAsia="仿宋" w:cs="仿宋"/>
          <w:b/>
          <w:i w:val="0"/>
          <w:iCs w:val="0"/>
          <w:color w:val="auto"/>
          <w:sz w:val="24"/>
          <w:highlight w:val="none"/>
        </w:rPr>
        <w:t>22.2.1 响应文件的资格性审查</w:t>
      </w:r>
      <w:r>
        <w:rPr>
          <w:rFonts w:hint="eastAsia" w:ascii="仿宋" w:hAnsi="仿宋" w:eastAsia="仿宋" w:cs="仿宋"/>
          <w:i w:val="0"/>
          <w:iCs w:val="0"/>
          <w:color w:val="auto"/>
          <w:sz w:val="24"/>
          <w:highlight w:val="none"/>
        </w:rPr>
        <w:t>。依据《政府采购法》第二十三条和谈判文件的规定，</w:t>
      </w:r>
      <w:r>
        <w:rPr>
          <w:rFonts w:hint="eastAsia" w:ascii="仿宋" w:hAnsi="仿宋" w:eastAsia="仿宋" w:cs="仿宋"/>
          <w:b/>
          <w:i w:val="0"/>
          <w:iCs w:val="0"/>
          <w:color w:val="auto"/>
          <w:sz w:val="24"/>
          <w:highlight w:val="none"/>
        </w:rPr>
        <w:t>采购人或采购代理机构</w:t>
      </w:r>
      <w:r>
        <w:rPr>
          <w:rFonts w:hint="eastAsia" w:ascii="仿宋" w:hAnsi="仿宋" w:eastAsia="仿宋" w:cs="仿宋"/>
          <w:i w:val="0"/>
          <w:iCs w:val="0"/>
          <w:color w:val="auto"/>
          <w:sz w:val="24"/>
          <w:highlight w:val="none"/>
        </w:rPr>
        <w:t>负责对响应文件中的资格证明文件、信用查询记录等进行审查，以确认供应商具备相应资格。资格性审查出现下列情况者（但不限于），按无效文件处理：</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（1）供应商资格不符合《中华人民共和国政府采购法》第二十二条的规定和特定资格条件要求的。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（2）供应商没有经过正常渠道购买或免费领取谈判文件或供应商的名称与</w:t>
      </w:r>
      <w:r>
        <w:rPr>
          <w:rFonts w:hint="eastAsia" w:ascii="仿宋" w:hAnsi="仿宋" w:eastAsia="仿宋" w:cs="仿宋"/>
          <w:i w:val="0"/>
          <w:iCs w:val="0"/>
          <w:color w:val="auto"/>
          <w:sz w:val="24"/>
          <w:szCs w:val="32"/>
          <w:highlight w:val="none"/>
          <w:lang w:val="en-US" w:eastAsia="zh-CN"/>
        </w:rPr>
        <w:t>获取</w:t>
      </w:r>
      <w:r>
        <w:rPr>
          <w:rFonts w:hint="eastAsia" w:ascii="仿宋" w:hAnsi="仿宋" w:eastAsia="仿宋" w:cs="仿宋"/>
          <w:i w:val="0"/>
          <w:iCs w:val="0"/>
          <w:color w:val="auto"/>
          <w:sz w:val="24"/>
          <w:szCs w:val="32"/>
          <w:highlight w:val="none"/>
        </w:rPr>
        <w:t>谈判文件单位的名称不符。</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（4）保证金未提交或未提交至指定账户、或提交保证金不符合谈判文件要求的。</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（5）信用查询中列入失信被执行人、</w:t>
      </w:r>
      <w:r>
        <w:rPr>
          <w:rFonts w:hint="eastAsia" w:ascii="仿宋" w:hAnsi="仿宋" w:eastAsia="仿宋" w:cs="仿宋"/>
          <w:i w:val="0"/>
          <w:iCs w:val="0"/>
          <w:color w:val="auto"/>
          <w:sz w:val="24"/>
          <w:szCs w:val="32"/>
          <w:highlight w:val="none"/>
          <w:lang w:eastAsia="zh-CN"/>
        </w:rPr>
        <w:t>重大税收违法失信主体</w:t>
      </w:r>
      <w:r>
        <w:rPr>
          <w:rFonts w:hint="eastAsia" w:ascii="仿宋" w:hAnsi="仿宋" w:eastAsia="仿宋" w:cs="仿宋"/>
          <w:i w:val="0"/>
          <w:iCs w:val="0"/>
          <w:color w:val="auto"/>
          <w:sz w:val="24"/>
          <w:szCs w:val="32"/>
          <w:highlight w:val="none"/>
        </w:rPr>
        <w:t>、政府采购严重违法失信行为记录名单及其他不符合《中华人民共和国政府采购法》第二十二条规定条件的供应商，拒绝参与政府采购活动。</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（6）采购人或采购代理机构通过“信用中国”网站(www.creditchina.gov.cn)、中国政府采购网(www.ccgp.gov.cn) 等查询相关主体信用记录，并将查询网页打印、存档备查。</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（7）查询时间为谈判文件发售期至评审截止时间前，此段时间段外，网站信息发生的任何变更均不作为资格审查依据。</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供应商不良信用记录以采购人或采购代理机构查询结果为准。供应商自行提供的与网站信息不一致的其他证明材料亦不作为资格审查依据。</w:t>
      </w:r>
    </w:p>
    <w:p>
      <w:pPr>
        <w:pStyle w:val="23"/>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3"/>
        <w:ind w:left="843" w:hanging="843" w:hangingChars="350"/>
        <w:rPr>
          <w:rFonts w:hint="eastAsia" w:ascii="仿宋" w:hAnsi="仿宋" w:eastAsia="仿宋" w:cs="仿宋"/>
          <w:i w:val="0"/>
          <w:iCs w:val="0"/>
          <w:color w:val="auto"/>
          <w:sz w:val="24"/>
          <w:highlight w:val="none"/>
        </w:rPr>
      </w:pPr>
      <w:r>
        <w:rPr>
          <w:rFonts w:hint="eastAsia" w:ascii="仿宋" w:hAnsi="仿宋" w:eastAsia="仿宋" w:cs="仿宋"/>
          <w:b/>
          <w:i w:val="0"/>
          <w:iCs w:val="0"/>
          <w:color w:val="auto"/>
          <w:sz w:val="24"/>
          <w:highlight w:val="none"/>
        </w:rPr>
        <w:t>22.2.2 谈判响应文件有效性、完整性和响应程度审查：谈判小组</w:t>
      </w:r>
      <w:r>
        <w:rPr>
          <w:rFonts w:hint="eastAsia" w:ascii="仿宋" w:hAnsi="仿宋" w:eastAsia="仿宋" w:cs="仿宋"/>
          <w:i w:val="0"/>
          <w:iCs w:val="0"/>
          <w:color w:val="auto"/>
          <w:sz w:val="24"/>
          <w:highlight w:val="none"/>
        </w:rPr>
        <w:t>依据谈判文件的规定，对响应文件的有效性、完整性和响应性进行审查，以确定是否满足谈判文件要求，出现下列情况者（但不限于），按无效文件处理。</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（1）供应商未按谈判文件要求加盖单位公章；</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（2）谈判响应文件未按谈判文件要求法定代表人或其授权代表签字；</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（3）无有效期或有效期达不到谈判文件的要求</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（4）供应商首次谈判报价出现选择性报价</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（5）首次谈判报价超出采购预算；</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（6）响应文件中对合同草案条款附加了采购人难以接受的条件</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（7）谈判内容出现漏项或数量与要求不符，出现重大负偏差</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（8）响应文件中技术指标达不到采购要求，降低了产品档次或影响产品性能、功能</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（9）响应报价与市场价偏离较大，低于成本，形成不正当竞争</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（10）供应商提供虚假证明，开具虚假资质，出现虚假应答或故意隐瞒行为</w:t>
      </w:r>
      <w:r>
        <w:rPr>
          <w:rFonts w:hint="eastAsia" w:ascii="仿宋" w:hAnsi="仿宋" w:eastAsia="仿宋" w:cs="仿宋"/>
          <w:i w:val="0"/>
          <w:iCs w:val="0"/>
          <w:color w:val="auto"/>
          <w:sz w:val="24"/>
          <w:highlight w:val="none"/>
          <w:lang w:eastAsia="zh-CN"/>
        </w:rPr>
        <w:t>；</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（11）未按文件要求缴纳谈判保证金。</w:t>
      </w:r>
    </w:p>
    <w:p>
      <w:pPr>
        <w:pStyle w:val="5"/>
        <w:tabs>
          <w:tab w:val="left" w:pos="360"/>
        </w:tabs>
        <w:rPr>
          <w:rFonts w:hint="eastAsia" w:ascii="仿宋" w:hAnsi="仿宋" w:eastAsia="仿宋" w:cs="仿宋"/>
          <w:b/>
          <w:i w:val="0"/>
          <w:iCs w:val="0"/>
          <w:color w:val="auto"/>
          <w:sz w:val="24"/>
          <w:szCs w:val="21"/>
          <w:highlight w:val="none"/>
        </w:rPr>
      </w:pPr>
      <w:bookmarkStart w:id="343" w:name="_Toc58504512"/>
      <w:r>
        <w:rPr>
          <w:rFonts w:hint="eastAsia" w:ascii="仿宋" w:hAnsi="仿宋" w:eastAsia="仿宋" w:cs="仿宋"/>
          <w:b/>
          <w:i w:val="0"/>
          <w:iCs w:val="0"/>
          <w:color w:val="auto"/>
          <w:sz w:val="24"/>
          <w:szCs w:val="21"/>
          <w:highlight w:val="none"/>
        </w:rPr>
        <w:t>23.    谈判</w:t>
      </w:r>
      <w:bookmarkEnd w:id="343"/>
    </w:p>
    <w:p>
      <w:pPr>
        <w:pStyle w:val="23"/>
        <w:ind w:left="840" w:hanging="840" w:hangingChars="350"/>
        <w:rPr>
          <w:rFonts w:hint="eastAsia" w:ascii="仿宋" w:hAnsi="仿宋" w:eastAsia="仿宋" w:cs="仿宋"/>
          <w:i w:val="0"/>
          <w:iCs w:val="0"/>
          <w:color w:val="auto"/>
          <w:sz w:val="24"/>
          <w:highlight w:val="none"/>
        </w:rPr>
      </w:pPr>
      <w:bookmarkStart w:id="344" w:name="_Toc58504513"/>
      <w:r>
        <w:rPr>
          <w:rFonts w:hint="eastAsia" w:ascii="仿宋" w:hAnsi="仿宋" w:eastAsia="仿宋" w:cs="仿宋"/>
          <w:i w:val="0"/>
          <w:iCs w:val="0"/>
          <w:color w:val="auto"/>
          <w:sz w:val="24"/>
          <w:highlight w:val="none"/>
        </w:rPr>
        <w:t>23.3.1 谈判小组集中与各供应商分别进行谈判，并给所有参加谈判供应商平等的谈判机会。</w:t>
      </w:r>
      <w:bookmarkEnd w:id="344"/>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3"/>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23.3.4 如出现下述情形之一的，视为供应商主动退出谈判，其响应将被拒绝：</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（1）供应商未按要求确认谈判小组确定的本项目最终技术需求的；</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（2）最后报价未实质性响应谈判小组确定的本项目最终技术需求的，或附有采购人无法接受的条件的。</w:t>
      </w:r>
    </w:p>
    <w:p>
      <w:pPr>
        <w:pStyle w:val="23"/>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23.4   最后报价</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23.4.1 谈判结束后，有效响应供应商不少于3家。谈判小组要求供应商在规定时间内提交最后报价，最后报价是供应商响应文件的有效组成部分。</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tabs>
          <w:tab w:val="left" w:pos="360"/>
        </w:tabs>
        <w:rPr>
          <w:rFonts w:hint="eastAsia" w:ascii="仿宋" w:hAnsi="仿宋" w:eastAsia="仿宋" w:cs="仿宋"/>
          <w:b/>
          <w:bCs/>
          <w:i w:val="0"/>
          <w:iCs w:val="0"/>
          <w:color w:val="auto"/>
          <w:sz w:val="24"/>
          <w:szCs w:val="21"/>
          <w:highlight w:val="none"/>
        </w:rPr>
      </w:pPr>
      <w:bookmarkStart w:id="345" w:name="_Toc164229241"/>
      <w:bookmarkStart w:id="346" w:name="_Toc151193934"/>
      <w:bookmarkStart w:id="347" w:name="_Toc151193788"/>
      <w:bookmarkStart w:id="348" w:name="_Toc195842911"/>
      <w:bookmarkStart w:id="349" w:name="_Toc249515422"/>
      <w:bookmarkStart w:id="350" w:name="_Toc13753"/>
      <w:bookmarkStart w:id="351" w:name="_Toc520356170"/>
      <w:bookmarkStart w:id="352" w:name="_Toc150509297"/>
      <w:bookmarkStart w:id="353" w:name="_Toc151190173"/>
      <w:bookmarkStart w:id="354" w:name="_Toc249515310"/>
      <w:bookmarkStart w:id="355" w:name="_Toc151193860"/>
      <w:bookmarkStart w:id="356" w:name="_Toc149720839"/>
      <w:bookmarkStart w:id="357" w:name="_Toc142311048"/>
      <w:bookmarkStart w:id="358" w:name="_Toc127151747"/>
      <w:bookmarkStart w:id="359" w:name="_Toc150480784"/>
      <w:bookmarkStart w:id="360" w:name="_Toc151193644"/>
      <w:bookmarkStart w:id="361" w:name="_Toc150774751"/>
      <w:bookmarkStart w:id="362" w:name="_Toc127161460"/>
      <w:bookmarkStart w:id="363" w:name="_Toc150774646"/>
      <w:bookmarkStart w:id="364" w:name="_Toc164608660"/>
      <w:bookmarkStart w:id="365" w:name="_Toc127151546"/>
      <w:bookmarkStart w:id="366" w:name="_Ref467307010"/>
      <w:bookmarkStart w:id="367" w:name="_Toc164229387"/>
      <w:bookmarkStart w:id="368" w:name="_Toc164608815"/>
      <w:bookmarkStart w:id="369" w:name="_Toc164351640"/>
      <w:bookmarkStart w:id="370" w:name="_Toc249525191"/>
      <w:bookmarkStart w:id="371" w:name="_Toc151193716"/>
      <w:r>
        <w:rPr>
          <w:rFonts w:hint="eastAsia" w:ascii="仿宋" w:hAnsi="仿宋" w:eastAsia="仿宋" w:cs="仿宋"/>
          <w:b/>
          <w:bCs/>
          <w:i w:val="0"/>
          <w:iCs w:val="0"/>
          <w:color w:val="auto"/>
          <w:sz w:val="24"/>
          <w:szCs w:val="21"/>
          <w:highlight w:val="none"/>
        </w:rPr>
        <w:t>24.    评审办法及</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ascii="仿宋" w:hAnsi="仿宋" w:eastAsia="仿宋" w:cs="仿宋"/>
          <w:b/>
          <w:bCs/>
          <w:i w:val="0"/>
          <w:iCs w:val="0"/>
          <w:color w:val="auto"/>
          <w:sz w:val="24"/>
          <w:szCs w:val="21"/>
          <w:highlight w:val="none"/>
        </w:rPr>
        <w:t>落实政府采购政策</w:t>
      </w:r>
    </w:p>
    <w:bookmarkEnd w:id="342"/>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24.1   谈判小组按照谈判文件规定的评审方法和标准，对审查合格的文件进行商务和技术评审，比较和评价。</w:t>
      </w:r>
    </w:p>
    <w:p>
      <w:pPr>
        <w:pStyle w:val="68"/>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24.2   评审办法：比照最低评标价法，在质量和服务均能满足谈判文件实质性响应要求的供应商中，按照最后报价由低到高的顺序提出3名以上成交候选人，并编写评审报告。</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24.3   本项目对小微型企业、监狱企业、残疾人福利性单位产品的价格给予</w:t>
      </w:r>
      <w:r>
        <w:rPr>
          <w:rFonts w:hint="eastAsia" w:ascii="仿宋" w:hAnsi="仿宋" w:eastAsia="仿宋" w:cs="仿宋"/>
          <w:i w:val="0"/>
          <w:iCs w:val="0"/>
          <w:color w:val="auto"/>
          <w:highlight w:val="none"/>
          <w:u w:val="single"/>
        </w:rPr>
        <w:t>（货物服务10%（通用）、15%（渭南）、20%（榆林）</w:t>
      </w:r>
      <w:r>
        <w:rPr>
          <w:rFonts w:hint="eastAsia" w:ascii="仿宋" w:hAnsi="仿宋" w:eastAsia="仿宋" w:cs="仿宋"/>
          <w:i w:val="0"/>
          <w:iCs w:val="0"/>
          <w:color w:val="auto"/>
          <w:highlight w:val="none"/>
          <w:u w:val="single"/>
          <w:lang w:eastAsia="zh-CN"/>
        </w:rPr>
        <w:t>（</w:t>
      </w:r>
      <w:r>
        <w:rPr>
          <w:rFonts w:hint="eastAsia" w:ascii="仿宋" w:hAnsi="仿宋" w:eastAsia="仿宋" w:cs="仿宋"/>
          <w:i w:val="0"/>
          <w:iCs w:val="0"/>
          <w:color w:val="auto"/>
          <w:highlight w:val="none"/>
          <w:u w:val="single"/>
          <w:lang w:val="en-US" w:eastAsia="zh-CN"/>
        </w:rPr>
        <w:t>工程3%</w:t>
      </w:r>
      <w:r>
        <w:rPr>
          <w:rFonts w:hint="eastAsia" w:ascii="仿宋" w:hAnsi="仿宋" w:eastAsia="仿宋" w:cs="仿宋"/>
          <w:i w:val="0"/>
          <w:iCs w:val="0"/>
          <w:color w:val="auto"/>
          <w:highlight w:val="none"/>
          <w:u w:val="single"/>
          <w:lang w:eastAsia="zh-CN"/>
        </w:rPr>
        <w:t>）</w:t>
      </w:r>
      <w:r>
        <w:rPr>
          <w:rFonts w:hint="eastAsia" w:ascii="仿宋" w:hAnsi="仿宋" w:eastAsia="仿宋" w:cs="仿宋"/>
          <w:i w:val="0"/>
          <w:iCs w:val="0"/>
          <w:color w:val="auto"/>
          <w:highlight w:val="none"/>
          <w:u w:val="single"/>
        </w:rPr>
        <w:t xml:space="preserve"> </w:t>
      </w:r>
      <w:r>
        <w:rPr>
          <w:rFonts w:hint="eastAsia" w:ascii="仿宋" w:hAnsi="仿宋" w:eastAsia="仿宋" w:cs="仿宋"/>
          <w:i w:val="0"/>
          <w:iCs w:val="0"/>
          <w:color w:val="auto"/>
          <w:sz w:val="24"/>
          <w:highlight w:val="none"/>
        </w:rPr>
        <w:t>的扣除，用扣除后的价格参与评审。</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（1）根据《关于进一步加大政府采购支持中小企业力度的通知》（财库</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2022</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19号）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《政府采购促进中小企业发展管理办法》（财库〔2020〕46号），中小企业应出具《中小企业声明函》，符合工信部联企业〔201</w:t>
      </w:r>
      <w:r>
        <w:rPr>
          <w:rFonts w:hint="eastAsia" w:ascii="仿宋" w:hAnsi="仿宋" w:eastAsia="仿宋" w:cs="仿宋"/>
          <w:i w:val="0"/>
          <w:iCs w:val="0"/>
          <w:color w:val="auto"/>
          <w:sz w:val="24"/>
          <w:highlight w:val="none"/>
          <w:lang w:val="en-US" w:eastAsia="zh-CN"/>
        </w:rPr>
        <w:t>1</w:t>
      </w:r>
      <w:r>
        <w:rPr>
          <w:rFonts w:hint="eastAsia" w:ascii="仿宋" w:hAnsi="仿宋" w:eastAsia="仿宋" w:cs="仿宋"/>
          <w:i w:val="0"/>
          <w:iCs w:val="0"/>
          <w:color w:val="auto"/>
          <w:sz w:val="24"/>
          <w:highlight w:val="none"/>
        </w:rPr>
        <w:t>〕300号文件规定；监狱和戒毒企业应符合《财政部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民政部、中国残疾人联合会关于促进残疾人就业政府采购政策的通知》（财库〔201</w:t>
      </w:r>
      <w:r>
        <w:rPr>
          <w:rFonts w:hint="eastAsia" w:ascii="仿宋" w:hAnsi="仿宋" w:eastAsia="仿宋" w:cs="仿宋"/>
          <w:i w:val="0"/>
          <w:iCs w:val="0"/>
          <w:color w:val="auto"/>
          <w:sz w:val="24"/>
          <w:highlight w:val="none"/>
          <w:lang w:val="en-US" w:eastAsia="zh-CN"/>
        </w:rPr>
        <w:t>7</w:t>
      </w:r>
      <w:r>
        <w:rPr>
          <w:rFonts w:hint="eastAsia" w:ascii="仿宋" w:hAnsi="仿宋" w:eastAsia="仿宋" w:cs="仿宋"/>
          <w:i w:val="0"/>
          <w:iCs w:val="0"/>
          <w:color w:val="auto"/>
          <w:sz w:val="24"/>
          <w:highlight w:val="none"/>
        </w:rPr>
        <w:t>〕141号）文件规定，并提供《残疾人福利性单位声明函》。</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（2）对于同时属于小微企业、监狱企业或残疾人福利性单位的，不重复进行价格扣除。</w:t>
      </w:r>
    </w:p>
    <w:p>
      <w:pPr>
        <w:pStyle w:val="23"/>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（3）如允许与小微企业组成联合体或向其分包的，且合同额占总金额30%以上的，给予</w:t>
      </w:r>
      <w:r>
        <w:rPr>
          <w:rFonts w:hint="eastAsia" w:ascii="仿宋" w:hAnsi="仿宋" w:eastAsia="仿宋" w:cs="仿宋"/>
          <w:i w:val="0"/>
          <w:iCs w:val="0"/>
          <w:color w:val="auto"/>
          <w:sz w:val="24"/>
          <w:highlight w:val="none"/>
          <w:u w:val="single"/>
          <w:lang w:val="en-US" w:eastAsia="zh-CN"/>
        </w:rPr>
        <w:t>4</w:t>
      </w:r>
      <w:r>
        <w:rPr>
          <w:rFonts w:hint="eastAsia" w:ascii="仿宋" w:hAnsi="仿宋" w:eastAsia="仿宋" w:cs="仿宋"/>
          <w:i w:val="0"/>
          <w:iCs w:val="0"/>
          <w:color w:val="auto"/>
          <w:sz w:val="24"/>
          <w:highlight w:val="none"/>
          <w:u w:val="single"/>
        </w:rPr>
        <w:t>%（工程为1%）</w:t>
      </w:r>
      <w:r>
        <w:rPr>
          <w:rFonts w:hint="eastAsia" w:ascii="仿宋" w:hAnsi="仿宋" w:eastAsia="仿宋" w:cs="仿宋"/>
          <w:i w:val="0"/>
          <w:iCs w:val="0"/>
          <w:color w:val="auto"/>
          <w:sz w:val="24"/>
          <w:highlight w:val="none"/>
        </w:rPr>
        <w:t>的扣除。联合体各方均为小型、微型企业和监狱企业的，联合体视同为小型、微型企业和监狱企业。</w:t>
      </w:r>
    </w:p>
    <w:p>
      <w:pPr>
        <w:pStyle w:val="23"/>
        <w:tabs>
          <w:tab w:val="left" w:pos="840"/>
        </w:tabs>
        <w:ind w:left="840" w:leftChars="400" w:firstLine="0" w:firstLineChars="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4</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为缓解中小企业融资困难，</w:t>
      </w:r>
      <w:r>
        <w:rPr>
          <w:rFonts w:hint="eastAsia" w:ascii="仿宋" w:hAnsi="仿宋" w:eastAsia="仿宋" w:cs="仿宋"/>
          <w:i w:val="0"/>
          <w:iCs w:val="0"/>
          <w:color w:val="auto"/>
          <w:sz w:val="24"/>
          <w:highlight w:val="none"/>
          <w:lang w:eastAsia="zh-CN"/>
        </w:rPr>
        <w:t>陕西省财政厅</w:t>
      </w:r>
      <w:r>
        <w:rPr>
          <w:rFonts w:hint="eastAsia" w:ascii="仿宋" w:hAnsi="仿宋" w:eastAsia="仿宋" w:cs="仿宋"/>
          <w:i w:val="0"/>
          <w:iCs w:val="0"/>
          <w:color w:val="auto"/>
          <w:sz w:val="24"/>
          <w:highlight w:val="none"/>
        </w:rPr>
        <w:t>出台了</w:t>
      </w:r>
      <w:r>
        <w:rPr>
          <w:rFonts w:hint="eastAsia" w:ascii="仿宋" w:hAnsi="仿宋" w:eastAsia="仿宋" w:cs="仿宋"/>
          <w:i w:val="0"/>
          <w:iCs w:val="0"/>
          <w:color w:val="auto"/>
          <w:sz w:val="24"/>
          <w:highlight w:val="none"/>
          <w:lang w:eastAsia="zh-CN"/>
        </w:rPr>
        <w:t>《陕西省中小企业政府采购信用融资办法》（陕财办采﹝</w:t>
      </w:r>
      <w:r>
        <w:rPr>
          <w:rFonts w:hint="eastAsia" w:ascii="仿宋" w:hAnsi="仿宋" w:eastAsia="仿宋" w:cs="仿宋"/>
          <w:i w:val="0"/>
          <w:iCs w:val="0"/>
          <w:color w:val="auto"/>
          <w:sz w:val="24"/>
          <w:highlight w:val="none"/>
          <w:lang w:val="en-US" w:eastAsia="zh-CN"/>
        </w:rPr>
        <w:t>2018</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23号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，成交供应商如有融资需求，可登录“陕西省政府采购网-陕西省政府采购信用融资平台”了解详情。</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i w:val="0"/>
          <w:iCs w:val="0"/>
          <w:color w:val="auto"/>
          <w:sz w:val="24"/>
          <w:highlight w:val="none"/>
        </w:rPr>
        <w:t>百分比×5%</w:t>
      </w:r>
      <w:r>
        <w:rPr>
          <w:rFonts w:hint="eastAsia" w:ascii="仿宋" w:hAnsi="仿宋" w:eastAsia="仿宋" w:cs="仿宋"/>
          <w:i w:val="0"/>
          <w:iCs w:val="0"/>
          <w:color w:val="auto"/>
          <w:sz w:val="24"/>
          <w:highlight w:val="none"/>
        </w:rPr>
        <w:t>，用扣除后的价格参与评审。</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环境标志</w:t>
      </w:r>
      <w:r>
        <w:rPr>
          <w:rFonts w:hint="eastAsia" w:ascii="仿宋" w:hAnsi="仿宋" w:eastAsia="仿宋" w:cs="仿宋"/>
          <w:i w:val="0"/>
          <w:iCs w:val="0"/>
          <w:color w:val="auto"/>
          <w:sz w:val="24"/>
          <w:highlight w:val="none"/>
        </w:rPr>
        <w:t>产品依据品目清单和认证证书实施政府采购优先采购和强制采购。</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（3）供应商在响应文件中对所响应产品为节能、环境标志</w:t>
      </w:r>
      <w:r>
        <w:rPr>
          <w:rFonts w:hint="eastAsia" w:ascii="仿宋" w:hAnsi="仿宋" w:eastAsia="仿宋" w:cs="仿宋"/>
          <w:i w:val="0"/>
          <w:iCs w:val="0"/>
          <w:color w:val="auto"/>
          <w:sz w:val="24"/>
          <w:highlight w:val="none"/>
          <w:lang w:val="en-US" w:eastAsia="zh-CN"/>
        </w:rPr>
        <w:t>品目</w:t>
      </w:r>
      <w:r>
        <w:rPr>
          <w:rFonts w:hint="eastAsia" w:ascii="仿宋" w:hAnsi="仿宋" w:eastAsia="仿宋" w:cs="仿宋"/>
          <w:i w:val="0"/>
          <w:iCs w:val="0"/>
          <w:color w:val="auto"/>
          <w:sz w:val="24"/>
          <w:highlight w:val="none"/>
        </w:rPr>
        <w:t>清单中的产品，在谈判报价时必须对此类产品单独分项报价，未提供节能、环境标志产品计分明细表不予扣除。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（4）若节能、环境标志清单内的产品仅是构成响应产品的部件、组件或零件的，则该产品不享受鼓励优惠政策。</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（5）同一包内的节能、环境标志产品部分计分只对属于清单内的非强制类产品进行计分，强制类产品不给予扣除。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（6）节能、环境标志产品不重复扣除；同时列入国家级清单和省级清单的产品不重复扣除。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24.5   响应文件出现下列情况之一者，谈判小组在评审过程中按以下原则修正：</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（1）大写金额与小写金额不一致的，以大写金额为准；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（2）总价金额与按单价汇总金额不一致的，以单价金额计算结果为准；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（3）单价金额小数点有明显错位的，应以总价为准，并修改单价；</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（4）对不同文字文本响应文件的解释发生异议的，以中文文本为准；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（5）文字与图表不一致的，以文字为准；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（6）正本与副本不一致的，以正本为准；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72" w:name="_Hlt491765714"/>
      <w:bookmarkEnd w:id="372"/>
      <w:bookmarkStart w:id="373" w:name="_Hlt497729446"/>
      <w:bookmarkEnd w:id="373"/>
      <w:bookmarkStart w:id="374" w:name="_Toc232176278"/>
      <w:bookmarkStart w:id="375" w:name="_Toc256342149"/>
      <w:bookmarkStart w:id="376" w:name="_Toc249515311"/>
      <w:bookmarkStart w:id="377" w:name="_Toc58504667"/>
      <w:bookmarkStart w:id="378" w:name="_Toc232395218"/>
      <w:bookmarkStart w:id="379" w:name="_Toc249515423"/>
      <w:bookmarkStart w:id="380" w:name="_Toc249525192"/>
      <w:bookmarkStart w:id="381" w:name="_Toc500746972"/>
      <w:bookmarkStart w:id="382" w:name="_Toc177817340"/>
      <w:bookmarkStart w:id="383" w:name="_Toc176882548"/>
      <w:bookmarkStart w:id="384" w:name="_Toc177189241"/>
      <w:bookmarkStart w:id="385" w:name="_Toc499711890"/>
      <w:bookmarkStart w:id="386" w:name="_Toc389620199"/>
      <w:bookmarkStart w:id="387" w:name="_Toc177995479"/>
      <w:bookmarkStart w:id="388" w:name="_Toc503063428"/>
      <w:bookmarkStart w:id="389" w:name="_Toc53722846"/>
      <w:bookmarkStart w:id="390" w:name="_Toc499711049"/>
      <w:bookmarkStart w:id="391" w:name="_Toc500747068"/>
      <w:bookmarkStart w:id="392" w:name="_Toc70687174"/>
      <w:bookmarkStart w:id="393" w:name="_Toc385992360"/>
      <w:bookmarkStart w:id="394" w:name="_Toc492955421"/>
      <w:bookmarkStart w:id="395" w:name="_Toc184043047"/>
      <w:bookmarkStart w:id="396" w:name="_Toc496324585"/>
      <w:bookmarkStart w:id="397" w:name="_Toc500747195"/>
      <w:r>
        <w:rPr>
          <w:rFonts w:hint="eastAsia" w:ascii="仿宋" w:hAnsi="仿宋" w:eastAsia="仿宋" w:cs="仿宋"/>
          <w:b/>
          <w:i w:val="0"/>
          <w:iCs w:val="0"/>
          <w:color w:val="auto"/>
          <w:kern w:val="0"/>
          <w:sz w:val="28"/>
          <w:szCs w:val="28"/>
          <w:highlight w:val="none"/>
        </w:rPr>
        <w:t>六、确定成交单位、授予合同</w:t>
      </w:r>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Pr>
        <w:pStyle w:val="5"/>
        <w:tabs>
          <w:tab w:val="left" w:pos="360"/>
        </w:tabs>
        <w:rPr>
          <w:rFonts w:hint="eastAsia" w:ascii="仿宋" w:hAnsi="仿宋" w:eastAsia="仿宋" w:cs="仿宋"/>
          <w:b/>
          <w:bCs/>
          <w:i w:val="0"/>
          <w:iCs w:val="0"/>
          <w:color w:val="auto"/>
          <w:sz w:val="24"/>
          <w:szCs w:val="21"/>
          <w:highlight w:val="none"/>
        </w:rPr>
      </w:pPr>
      <w:bookmarkStart w:id="398" w:name="_Toc385992361"/>
      <w:bookmarkStart w:id="399" w:name="_Toc249515424"/>
      <w:bookmarkStart w:id="400" w:name="_Toc184043048"/>
      <w:bookmarkStart w:id="401" w:name="_Toc389620200"/>
      <w:bookmarkStart w:id="402" w:name="_Toc249525193"/>
      <w:bookmarkStart w:id="403" w:name="_Toc70687175"/>
      <w:bookmarkStart w:id="404" w:name="_Toc27151"/>
      <w:bookmarkStart w:id="405" w:name="_Toc249515312"/>
      <w:r>
        <w:rPr>
          <w:rFonts w:hint="eastAsia" w:ascii="仿宋" w:hAnsi="仿宋" w:eastAsia="仿宋" w:cs="仿宋"/>
          <w:b/>
          <w:bCs/>
          <w:i w:val="0"/>
          <w:iCs w:val="0"/>
          <w:color w:val="auto"/>
          <w:sz w:val="24"/>
          <w:szCs w:val="21"/>
          <w:highlight w:val="none"/>
        </w:rPr>
        <w:t>25.    确定成交</w:t>
      </w:r>
      <w:bookmarkEnd w:id="398"/>
      <w:bookmarkEnd w:id="399"/>
      <w:bookmarkEnd w:id="400"/>
      <w:bookmarkEnd w:id="401"/>
      <w:bookmarkEnd w:id="402"/>
      <w:bookmarkEnd w:id="403"/>
      <w:bookmarkEnd w:id="404"/>
      <w:bookmarkEnd w:id="405"/>
      <w:r>
        <w:rPr>
          <w:rFonts w:hint="eastAsia" w:ascii="仿宋" w:hAnsi="仿宋" w:eastAsia="仿宋" w:cs="仿宋"/>
          <w:b/>
          <w:bCs/>
          <w:i w:val="0"/>
          <w:iCs w:val="0"/>
          <w:color w:val="auto"/>
          <w:sz w:val="24"/>
          <w:szCs w:val="21"/>
          <w:highlight w:val="none"/>
        </w:rPr>
        <w:t>单位</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25.1   采购代理机构应在评审结束后两个工作日内，将评审报告送采购人。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25.3   采购代理机构在接到采购人的成交复函后，</w:t>
      </w:r>
      <w:r>
        <w:rPr>
          <w:rFonts w:hint="eastAsia" w:ascii="仿宋" w:hAnsi="仿宋" w:eastAsia="仿宋" w:cs="仿宋"/>
          <w:i w:val="0"/>
          <w:iCs w:val="0"/>
          <w:color w:val="auto"/>
          <w:sz w:val="24"/>
          <w:highlight w:val="none"/>
          <w:lang w:val="en-US" w:eastAsia="zh-CN"/>
        </w:rPr>
        <w:t>两个工作日内</w:t>
      </w:r>
      <w:r>
        <w:rPr>
          <w:rFonts w:hint="eastAsia" w:ascii="仿宋" w:hAnsi="仿宋" w:eastAsia="仿宋" w:cs="仿宋"/>
          <w:i w:val="0"/>
          <w:iCs w:val="0"/>
          <w:color w:val="auto"/>
          <w:sz w:val="24"/>
          <w:highlight w:val="none"/>
        </w:rPr>
        <w:t>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25.4   采购代理机构将评审过程及成交供应商情况书面报监督机构备案。</w:t>
      </w:r>
      <w:bookmarkStart w:id="406" w:name="_Toc389620203"/>
      <w:bookmarkStart w:id="407" w:name="_Toc385992364"/>
    </w:p>
    <w:bookmarkEnd w:id="406"/>
    <w:bookmarkEnd w:id="407"/>
    <w:p>
      <w:pPr>
        <w:pStyle w:val="5"/>
        <w:tabs>
          <w:tab w:val="left" w:pos="360"/>
        </w:tabs>
        <w:rPr>
          <w:rFonts w:hint="eastAsia" w:ascii="仿宋" w:hAnsi="仿宋" w:eastAsia="仿宋" w:cs="仿宋"/>
          <w:b/>
          <w:bCs/>
          <w:i w:val="0"/>
          <w:iCs w:val="0"/>
          <w:color w:val="auto"/>
          <w:sz w:val="24"/>
          <w:szCs w:val="21"/>
          <w:highlight w:val="none"/>
        </w:rPr>
      </w:pPr>
      <w:bookmarkStart w:id="408" w:name="_Toc389620204"/>
      <w:bookmarkStart w:id="409" w:name="_Toc385992365"/>
      <w:r>
        <w:rPr>
          <w:rFonts w:hint="eastAsia" w:ascii="仿宋" w:hAnsi="仿宋" w:eastAsia="仿宋" w:cs="仿宋"/>
          <w:b/>
          <w:bCs/>
          <w:i w:val="0"/>
          <w:iCs w:val="0"/>
          <w:color w:val="auto"/>
          <w:sz w:val="24"/>
          <w:szCs w:val="21"/>
          <w:highlight w:val="none"/>
        </w:rPr>
        <w:t>26.    合同</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26.1   自成交通知书发出后三十日内，按照谈判文件和成交供应商响应文件的约定，采购人与成交供应商洽谈合同条款，并签订合同。谈判文件及成交供应商的响应文件均作为合同的组成部分。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360"/>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26.3   成交供应商签订合同后，持合同原件到采购代理机构，或采购代理机构根据陕西省政府采购网合同备案结果办理保证金退还手续。</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27.    询问与质疑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27.1   供应商对政府采购活动事项有疑问的，可以向采购人提出询问。</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27.3   质疑供应商在法定质疑期内须一次性提出针对同一采购程序环节的质疑。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27.4   供应商提出质疑应当提交质疑函和必要的证明材料。质疑函应当包括下列内容：</w:t>
      </w:r>
    </w:p>
    <w:p>
      <w:pPr>
        <w:pStyle w:val="68"/>
        <w:numPr>
          <w:ilvl w:val="0"/>
          <w:numId w:val="10"/>
        </w:numPr>
        <w:tabs>
          <w:tab w:val="left" w:pos="588"/>
        </w:tabs>
        <w:spacing w:line="360" w:lineRule="auto"/>
        <w:ind w:left="846" w:hanging="6" w:firstLineChars="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供应商的姓名或者名称、地址、邮编、联系人及联系电话；</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质疑项目的名称、编号；</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具体、明确的质疑事项和与质疑事项相关的请求；</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事实依据；</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必要的法律依据；</w:t>
      </w:r>
    </w:p>
    <w:p>
      <w:pPr>
        <w:pStyle w:val="68"/>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提出质疑的日期。</w:t>
      </w:r>
    </w:p>
    <w:p>
      <w:pPr>
        <w:pStyle w:val="68"/>
        <w:tabs>
          <w:tab w:val="left" w:pos="840"/>
        </w:tabs>
        <w:spacing w:line="360" w:lineRule="auto"/>
        <w:ind w:left="838" w:leftChars="399" w:firstLine="0"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27.5   符合要求的质疑，采购代理机构将予以受理并答复。联系电话：029-85235014，联系人：李萍、王亚宁</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27.6   供应商进行虚假和恶意质疑的，采购代理机构将提供相关资料报监督机构，按其情况进行相应处理。</w:t>
      </w:r>
    </w:p>
    <w:bookmarkEnd w:id="408"/>
    <w:bookmarkEnd w:id="409"/>
    <w:p>
      <w:pPr>
        <w:pStyle w:val="5"/>
        <w:tabs>
          <w:tab w:val="left" w:pos="360"/>
        </w:tabs>
        <w:rPr>
          <w:rFonts w:hint="eastAsia" w:ascii="仿宋" w:hAnsi="仿宋" w:eastAsia="仿宋" w:cs="仿宋"/>
          <w:b/>
          <w:bCs/>
          <w:i w:val="0"/>
          <w:iCs w:val="0"/>
          <w:color w:val="auto"/>
          <w:sz w:val="24"/>
          <w:szCs w:val="21"/>
          <w:highlight w:val="none"/>
        </w:rPr>
      </w:pPr>
      <w:bookmarkStart w:id="410" w:name="_Toc25547"/>
      <w:r>
        <w:rPr>
          <w:rFonts w:hint="eastAsia" w:ascii="仿宋" w:hAnsi="仿宋" w:eastAsia="仿宋" w:cs="仿宋"/>
          <w:b/>
          <w:bCs/>
          <w:i w:val="0"/>
          <w:iCs w:val="0"/>
          <w:color w:val="auto"/>
          <w:sz w:val="24"/>
          <w:szCs w:val="21"/>
          <w:highlight w:val="none"/>
        </w:rPr>
        <w:t>28.    履约保证金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   履约保证金金额见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28.2   履约保证金缴纳时间：合同签订前必须交纳至（采购人）。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28.3   履约保证金缴纳形式：成交供应商应当以支票、汇票、本票、保函（格式见附件2）等非现金形式缴纳。</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28.4   履约保证金收取单位名称：</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账号：</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               联系电话：</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28.5   履约保证金退还的方式、时间、条件：</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28.6   履约保证金不予退还的情况：</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28.7   逾期退还履约保证金的违约责任：</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29.    成交服务费</w:t>
      </w:r>
      <w:bookmarkEnd w:id="410"/>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29.1   成交供应商在领取成交通知书前，须向采购代理机构支付代理服务费，代理服务费由采购人与采购代理机构约定：</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52"/>
      </w:r>
      <w:r>
        <w:rPr>
          <w:rFonts w:hint="eastAsia" w:ascii="仿宋" w:hAnsi="仿宋" w:eastAsia="仿宋" w:cs="仿宋"/>
          <w:i w:val="0"/>
          <w:iCs w:val="0"/>
          <w:color w:val="auto"/>
          <w:sz w:val="24"/>
          <w:highlight w:val="none"/>
        </w:rPr>
        <w:t>参照原国家计委计价格〔2002〕1980号文和国家发改委发改办价格〔2003〕857号文的计算方法（按标段）收取。</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A3"/>
      </w:r>
      <w:r>
        <w:rPr>
          <w:rFonts w:hint="eastAsia" w:ascii="仿宋" w:hAnsi="仿宋" w:eastAsia="仿宋" w:cs="仿宋"/>
          <w:i w:val="0"/>
          <w:iCs w:val="0"/>
          <w:color w:val="auto"/>
          <w:sz w:val="24"/>
          <w:highlight w:val="none"/>
        </w:rPr>
        <w:t>由采购人与采购代理机构约定，按</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元收取。</w:t>
      </w:r>
    </w:p>
    <w:p>
      <w:pPr>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29.2   成交单位的代理服务费交纳信息</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银行户名：陕西省采购招标有限责任公司</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开户银行：中国光大银行西安友谊路支行</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    号：78560188000095264</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联系人：张婕   联系电话：029-85263975</w:t>
      </w:r>
    </w:p>
    <w:p>
      <w:pPr>
        <w:pStyle w:val="5"/>
        <w:numPr>
          <w:ilvl w:val="0"/>
          <w:numId w:val="11"/>
        </w:numPr>
        <w:tabs>
          <w:tab w:val="left" w:pos="360"/>
        </w:tabs>
        <w:rPr>
          <w:rFonts w:hint="eastAsia" w:ascii="仿宋" w:hAnsi="仿宋" w:eastAsia="仿宋" w:cs="仿宋"/>
          <w:b/>
          <w:bCs/>
          <w:i w:val="0"/>
          <w:iCs w:val="0"/>
          <w:color w:val="auto"/>
          <w:sz w:val="24"/>
          <w:szCs w:val="21"/>
          <w:highlight w:val="none"/>
        </w:rPr>
      </w:pPr>
      <w:bookmarkStart w:id="411" w:name="_Toc1585"/>
      <w:r>
        <w:rPr>
          <w:rFonts w:hint="eastAsia" w:ascii="仿宋" w:hAnsi="仿宋" w:eastAsia="仿宋" w:cs="仿宋"/>
          <w:b/>
          <w:bCs/>
          <w:i w:val="0"/>
          <w:iCs w:val="0"/>
          <w:color w:val="auto"/>
          <w:sz w:val="24"/>
          <w:szCs w:val="21"/>
          <w:highlight w:val="none"/>
        </w:rPr>
        <w:t xml:space="preserve">   采购人追加采购数量的权力</w:t>
      </w:r>
      <w:bookmarkEnd w:id="411"/>
    </w:p>
    <w:p>
      <w:pPr>
        <w:tabs>
          <w:tab w:val="left" w:pos="588"/>
        </w:tabs>
        <w:spacing w:line="360" w:lineRule="auto"/>
        <w:ind w:left="840" w:leftChars="400"/>
        <w:rPr>
          <w:rFonts w:hint="eastAsia" w:ascii="仿宋" w:hAnsi="仿宋" w:eastAsia="仿宋" w:cs="仿宋"/>
          <w:i w:val="0"/>
          <w:iCs w:val="0"/>
          <w:color w:val="auto"/>
          <w:sz w:val="24"/>
          <w:highlight w:val="none"/>
        </w:rPr>
      </w:pPr>
      <w:bookmarkStart w:id="412" w:name="_Toc385992366"/>
      <w:bookmarkStart w:id="413" w:name="_Toc389620205"/>
      <w:r>
        <w:rPr>
          <w:rFonts w:hint="eastAsia" w:ascii="仿宋" w:hAnsi="仿宋" w:eastAsia="仿宋" w:cs="仿宋"/>
          <w:i w:val="0"/>
          <w:iCs w:val="0"/>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pStyle w:val="23"/>
        <w:numPr>
          <w:ilvl w:val="0"/>
          <w:numId w:val="11"/>
        </w:numPr>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 xml:space="preserve">   其他情况</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31.2   连续两次进行竞争性谈判活动，因符合谈判要求供应商不足3家，经请示政府采购管理部门同意后，可继续进行竞争性谈判活动。 </w:t>
      </w:r>
    </w:p>
    <w:p>
      <w:pPr>
        <w:pStyle w:val="23"/>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   政府采购信用担保</w:t>
      </w:r>
    </w:p>
    <w:p>
      <w:pPr>
        <w:pStyle w:val="23"/>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31.3.1 供应商递交的履约担保函应符合本谈判文件的规定。</w:t>
      </w:r>
    </w:p>
    <w:p>
      <w:pPr>
        <w:spacing w:line="360" w:lineRule="auto"/>
        <w:ind w:left="850" w:hanging="849" w:hangingChars="354"/>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highlight w:val="none"/>
          <w:lang w:val="en-US" w:eastAsia="zh-CN"/>
        </w:rPr>
        <w:t xml:space="preserve">31.3.2 </w:t>
      </w:r>
      <w:r>
        <w:rPr>
          <w:rFonts w:hint="eastAsia" w:ascii="仿宋" w:hAnsi="仿宋" w:eastAsia="仿宋" w:cs="仿宋"/>
          <w:i w:val="0"/>
          <w:iCs w:val="0"/>
          <w:color w:val="auto"/>
          <w:sz w:val="24"/>
          <w:highlight w:val="none"/>
        </w:rPr>
        <w:t>为缓解中小企业融资困难，陕西省财政厅出台了《陕西省中小企业政府采购信用融资办法》（陕财办采﹝2018﹞23号），中标供应商如有融资需求，可登录“陕西省政府采购网-陕西省政府采购信用融资平台</w:t>
      </w:r>
      <w:r>
        <w:rPr>
          <w:rFonts w:hint="eastAsia" w:ascii="仿宋" w:hAnsi="仿宋" w:eastAsia="仿宋" w:cs="仿宋"/>
          <w:i w:val="0"/>
          <w:iCs w:val="0"/>
          <w:color w:val="auto"/>
          <w:sz w:val="24"/>
          <w:highlight w:val="none"/>
          <w:lang w:eastAsia="zh-CN"/>
        </w:rPr>
        <w:t>（http://www.ccgp-shaanxi.gov.cn/zcdservice/zcd/shanxi/）</w:t>
      </w:r>
      <w:r>
        <w:rPr>
          <w:rFonts w:hint="eastAsia" w:ascii="仿宋" w:hAnsi="仿宋" w:eastAsia="仿宋" w:cs="仿宋"/>
          <w:i w:val="0"/>
          <w:iCs w:val="0"/>
          <w:color w:val="auto"/>
          <w:sz w:val="24"/>
          <w:highlight w:val="none"/>
        </w:rPr>
        <w:t>”了解详情。</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3"/>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业务流程简图如下：</w:t>
      </w:r>
    </w:p>
    <w:p>
      <w:pPr>
        <w:pStyle w:val="23"/>
        <w:tabs>
          <w:tab w:val="left" w:pos="567"/>
        </w:tabs>
        <w:spacing w:line="360" w:lineRule="auto"/>
        <w:ind w:left="840" w:leftChars="400" w:firstLine="0" w:firstLineChars="0"/>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756275" cy="3310255"/>
                    </a:xfrm>
                    <a:prstGeom prst="rect">
                      <a:avLst/>
                    </a:prstGeom>
                    <a:noFill/>
                    <a:ln>
                      <a:noFill/>
                    </a:ln>
                  </pic:spPr>
                </pic:pic>
              </a:graphicData>
            </a:graphic>
          </wp:inline>
        </w:drawing>
      </w:r>
    </w:p>
    <w:p>
      <w:pPr>
        <w:pStyle w:val="23"/>
        <w:shd w:val="clear" w:color="auto"/>
        <w:ind w:left="840" w:hanging="735" w:hangingChars="350"/>
        <w:rPr>
          <w:rFonts w:hint="eastAsia" w:ascii="仿宋" w:hAnsi="仿宋" w:eastAsia="仿宋" w:cs="仿宋"/>
          <w:i w:val="0"/>
          <w:iCs w:val="0"/>
          <w:color w:val="auto"/>
          <w:sz w:val="24"/>
          <w:highlight w:val="none"/>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8815" cy="3242310"/>
                    </a:xfrm>
                    <a:prstGeom prst="rect">
                      <a:avLst/>
                    </a:prstGeom>
                    <a:noFill/>
                    <a:ln>
                      <a:noFill/>
                    </a:ln>
                  </pic:spPr>
                </pic:pic>
              </a:graphicData>
            </a:graphic>
          </wp:inline>
        </w:drawing>
      </w:r>
    </w:p>
    <w:p>
      <w:pPr>
        <w:pStyle w:val="23"/>
        <w:tabs>
          <w:tab w:val="left" w:pos="567"/>
        </w:tabs>
        <w:rPr>
          <w:rFonts w:hint="eastAsia" w:ascii="仿宋" w:hAnsi="仿宋" w:eastAsia="仿宋" w:cs="仿宋"/>
          <w:i w:val="0"/>
          <w:iCs w:val="0"/>
          <w:color w:val="auto"/>
          <w:sz w:val="24"/>
          <w:szCs w:val="32"/>
          <w:highlight w:val="none"/>
          <w:lang w:eastAsia="zh-CN"/>
        </w:rPr>
      </w:pPr>
      <w:r>
        <w:rPr>
          <w:rFonts w:hint="eastAsia" w:ascii="仿宋" w:hAnsi="仿宋" w:eastAsia="仿宋" w:cs="仿宋"/>
          <w:i w:val="0"/>
          <w:iCs w:val="0"/>
          <w:color w:val="auto"/>
          <w:sz w:val="24"/>
          <w:szCs w:val="32"/>
          <w:highlight w:val="none"/>
          <w:lang w:val="en-US" w:eastAsia="zh-CN"/>
        </w:rPr>
        <w:t>省级政府采购项目</w:t>
      </w:r>
      <w:r>
        <w:rPr>
          <w:rFonts w:hint="eastAsia" w:ascii="仿宋" w:hAnsi="仿宋" w:eastAsia="仿宋" w:cs="仿宋"/>
          <w:i w:val="0"/>
          <w:iCs w:val="0"/>
          <w:color w:val="auto"/>
          <w:sz w:val="24"/>
          <w:szCs w:val="32"/>
          <w:highlight w:val="none"/>
        </w:rPr>
        <w:t>贷款银行信息</w:t>
      </w:r>
      <w:r>
        <w:rPr>
          <w:rFonts w:hint="eastAsia" w:ascii="仿宋" w:hAnsi="仿宋" w:eastAsia="仿宋" w:cs="仿宋"/>
          <w:i w:val="0"/>
          <w:iCs w:val="0"/>
          <w:color w:val="auto"/>
          <w:sz w:val="24"/>
          <w:szCs w:val="32"/>
          <w:highlight w:val="none"/>
          <w:lang w:eastAsia="zh-CN"/>
        </w:rPr>
        <w:t>：</w:t>
      </w:r>
    </w:p>
    <w:p>
      <w:pPr>
        <w:rPr>
          <w:rFonts w:hint="eastAsia" w:ascii="仿宋" w:hAnsi="仿宋" w:eastAsia="仿宋" w:cs="仿宋"/>
          <w:b/>
          <w:i w:val="0"/>
          <w:iCs w:val="0"/>
          <w:color w:val="auto"/>
          <w:szCs w:val="21"/>
          <w:highlight w:val="none"/>
        </w:rPr>
      </w:pP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b/>
          <w:i w:val="0"/>
          <w:iCs w:val="0"/>
          <w:color w:val="auto"/>
          <w:szCs w:val="21"/>
          <w:highlight w:val="none"/>
        </w:rPr>
        <w:t>一、陕西建行（E政通）</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陕西省分行营业部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西安市南广济街38号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白玉皓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13201603166</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西安莲湖路支行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西安市莲湖路35号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冲</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17702902131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西安市雁塔南路2216号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樊理君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18691568151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西安高新区支行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西安市高新路42号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卞斯超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15191075651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西安经开区支行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西安市未央路125号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惠  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17792256100</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西安南大街支行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西安市南大街15号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乔  鉴</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18089136919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西安和平路支行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西安市和平路101号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  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18691816821</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西安市兴庆路61号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13892880386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西安市南新街29号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朱子君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18629286269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西安长安区支行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西安市长安区青年街2号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王淑芸</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13572289603</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咸阳市西兰路4号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邰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13299079906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宝鸡市红旗路36号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18629019817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铜川市新区正阳路与长虹路十字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张小波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18691932636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榆林市高新技术产业园区创业大厦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张君君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15991929275</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延安市宝塔区中心街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陈进佃</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15609110557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汉中市石灰巷21号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王晨旭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15319375850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安康市育才路102号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张少帅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13165762680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商洛市名人街广电大楼下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17809267188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二、北京银行（政府订单贷）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刘晓伟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029-61828763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18066630518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西安高新开发区支行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梁凡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029-61828531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18681945597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西安曲江文创支行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蒋超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029-65667366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15891737329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西安经济技术开发区支行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孟庆龙</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029-61828272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13991990373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西安长缨路支行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范凯</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029-68717760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13991315609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长安区西长安街支行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陈明</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029-85724301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18149209660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泾渭工业园支行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杨奕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029-68213773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15934802021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北客站科技支行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周洁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029-61828129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18629518636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解放路支行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王莉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029-61828185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15802966196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奥宝森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0911-8076038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15592925222</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三、工商银行（政采贷）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0912-6183827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15353386777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0917-3238282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18991749262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郑婕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0915-3236275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15667856663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彭东东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0919-2151878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17392898832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党莹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0911-2380826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15291142933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杨薇薇</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部门副经理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0916-2606773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18591607453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09132095066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15229730006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袁霖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029-33259370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18591006506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18691410305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余勇博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18092802280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巩越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029-87609419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18629450680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四、中信银行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西安市朱雀大街中段1号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曹晓聪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13759957407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秦皇中路绿苑大厦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杭群</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13992016859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宝鸡市高新大道50号财富大厦B座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13636762976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渭南市朝阳大街中段信达广场世纪明珠大厦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18191815559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榆林市高新区长兴路248号中信银行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刘洪巍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13636885556</w:t>
      </w:r>
    </w:p>
    <w:p>
      <w:pPr>
        <w:ind w:left="1680" w:leftChars="200" w:hanging="1260" w:hangingChars="6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汉中市汉台区西二环路与劳动西路东南汉中滨江•公园壹号（产业孵化区）3B号楼</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18509165068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五、中国光大银行（阳光政采贷）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0917-3451055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18329677163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尚云鹏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0912-3548019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18690473126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汪昊田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0911-8011831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13509115500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侯 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32100021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15229500088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营销一部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87236311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13772031109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营销二部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朱翰辰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87236201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17791788078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张翔琮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18829235568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电子城支行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张曼玉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88247071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18009298787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明德门支行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85350770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13991249430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东大街支行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87438914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15029673754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经济开发区支行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陆家俊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86525176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18629303397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凤城九路支行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宋 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89155022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18966911622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司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83290033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18629251819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长乐西路支行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82566208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15877390201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友谊路支行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贠程敏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88422067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18792795210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边家村支行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85251673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15309223048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北关支行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菅新培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86248203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18092169361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南郊支行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程 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85265234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13772491661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西关正街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 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89548109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13772337373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丈八东路支行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杨筱凡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81026910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15129044185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雁塔路支行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闫梓闶</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82222501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18691561524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唐延路支行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尉二宝</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88329478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13991930150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枫林绿洲支行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87302120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13609199490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南关正街支行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85230722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18066610983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南二环支行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88362861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18192080396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田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81205890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13991937977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太白路支行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马振林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68912880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15353736656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明光路支行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刘二渭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81623506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13201793405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凤城二路支行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86680267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13720423343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昆明路支行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84592506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13991821278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丈八北路支行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81875192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15667087662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余振东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87251680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18066617238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六、浦发银行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吴晨雨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029-63603803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15991724645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陈福全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17782511994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韩瑾</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18202909790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李瑞雪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18220862398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陈晓晓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0912-2216068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15691269965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郭小东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15291820586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张一岚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0917-8662919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18690008816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朱强</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0917-8662926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13909176381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王晓峰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0913-3357080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13992363166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薛晗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029-32083788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15109226216</w:t>
      </w:r>
    </w:p>
    <w:p>
      <w:pPr>
        <w:rPr>
          <w:rFonts w:hint="eastAsia" w:ascii="仿宋" w:hAnsi="仿宋" w:eastAsia="仿宋" w:cs="仿宋"/>
          <w:i w:val="0"/>
          <w:iCs w:val="0"/>
          <w:color w:val="auto"/>
          <w:szCs w:val="21"/>
          <w:highlight w:val="none"/>
        </w:rPr>
      </w:pP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七、兴业银行（政采贷）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总监</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029-87482998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13363979983</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八、中国民生银行（政采贷）</w:t>
      </w:r>
    </w:p>
    <w:p>
      <w:pPr>
        <w:ind w:left="2310" w:leftChars="200" w:hanging="1890" w:hangingChars="900"/>
        <w:rPr>
          <w:rFonts w:hint="eastAsia" w:ascii="仿宋" w:hAnsi="仿宋" w:eastAsia="仿宋" w:cs="仿宋"/>
          <w:i w:val="0"/>
          <w:iCs w:val="0"/>
          <w:color w:val="auto"/>
          <w:szCs w:val="21"/>
          <w:highlight w:val="none"/>
          <w:lang w:eastAsia="zh-CN"/>
        </w:rPr>
      </w:pPr>
      <w:r>
        <w:rPr>
          <w:rFonts w:hint="eastAsia" w:ascii="仿宋" w:hAnsi="仿宋" w:eastAsia="仿宋" w:cs="仿宋"/>
          <w:i w:val="0"/>
          <w:iCs w:val="0"/>
          <w:color w:val="auto"/>
          <w:szCs w:val="21"/>
          <w:highlight w:val="none"/>
        </w:rPr>
        <w:t>民生银行西安分行  联系人：陈经理 联系电话：61815275 /18821669199</w:t>
      </w:r>
    </w:p>
    <w:p>
      <w:pPr>
        <w:ind w:left="2310" w:leftChars="200" w:hanging="1890" w:hangingChars="9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联系人：王经理 联系电话：61815280 /18591953690 </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九、浙商银行 （政采贷）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西安市雁塔区科技路259号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曹金辉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18710993980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 招商银行（政采贷）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招商银行西安分行   联系人：任瑾；85438988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十一、 长安银行（小微贷）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长安银行西安曲江新区支行 地址：西安市曲江新区雁南一路3号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联系人：陈瑶 13629266833 </w:t>
      </w:r>
    </w:p>
    <w:p>
      <w:pPr>
        <w:rPr>
          <w:rFonts w:hint="eastAsia" w:ascii="仿宋" w:hAnsi="仿宋" w:eastAsia="仿宋" w:cs="仿宋"/>
          <w:b/>
          <w:i w:val="0"/>
          <w:iCs w:val="0"/>
          <w:color w:val="auto"/>
          <w:sz w:val="21"/>
          <w:szCs w:val="21"/>
          <w:highlight w:val="none"/>
          <w:lang w:eastAsia="zh-CN"/>
        </w:rPr>
      </w:pPr>
      <w:r>
        <w:rPr>
          <w:rFonts w:hint="eastAsia" w:ascii="仿宋" w:hAnsi="仿宋" w:eastAsia="仿宋" w:cs="仿宋"/>
          <w:b/>
          <w:i w:val="0"/>
          <w:iCs w:val="0"/>
          <w:color w:val="auto"/>
          <w:sz w:val="21"/>
          <w:szCs w:val="21"/>
          <w:highlight w:val="none"/>
        </w:rPr>
        <w:t>十二、网商银行（合同贷）</w:t>
      </w:r>
    </w:p>
    <w:p>
      <w:pPr>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十三、中国邮政储蓄银行陕西省分行（政采贷）</w:t>
      </w:r>
    </w:p>
    <w:p>
      <w:pPr>
        <w:pStyle w:val="23"/>
        <w:rPr>
          <w:rFonts w:hint="eastAsia" w:ascii="仿宋" w:hAnsi="仿宋" w:eastAsia="仿宋" w:cs="仿宋"/>
          <w:highlight w:val="none"/>
        </w:rPr>
      </w:pPr>
    </w:p>
    <w:p>
      <w:pPr>
        <w:pStyle w:val="23"/>
        <w:tabs>
          <w:tab w:val="left" w:pos="567"/>
        </w:tabs>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lang w:val="en-US" w:eastAsia="zh-CN"/>
        </w:rPr>
        <w:t>渭南市政府采购</w:t>
      </w:r>
      <w:r>
        <w:rPr>
          <w:rFonts w:hint="eastAsia" w:ascii="仿宋" w:hAnsi="仿宋" w:eastAsia="仿宋" w:cs="仿宋"/>
          <w:i w:val="0"/>
          <w:iCs w:val="0"/>
          <w:color w:val="auto"/>
          <w:sz w:val="24"/>
          <w:szCs w:val="24"/>
          <w:highlight w:val="none"/>
        </w:rPr>
        <w:t>贷款银行信息</w:t>
      </w:r>
      <w:r>
        <w:rPr>
          <w:rFonts w:hint="eastAsia" w:ascii="仿宋" w:hAnsi="仿宋" w:eastAsia="仿宋" w:cs="仿宋"/>
          <w:i w:val="0"/>
          <w:iCs w:val="0"/>
          <w:color w:val="auto"/>
          <w:sz w:val="24"/>
          <w:szCs w:val="24"/>
          <w:highlight w:val="none"/>
          <w:lang w:eastAsia="zh-CN"/>
        </w:rPr>
        <w:t>：</w:t>
      </w:r>
    </w:p>
    <w:tbl>
      <w:tblPr>
        <w:tblStyle w:val="5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30"/>
        <w:gridCol w:w="2210"/>
        <w:gridCol w:w="2871"/>
        <w:gridCol w:w="28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13892535580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17797059890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13892383911</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15249035320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18191815559</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13193388328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15706090239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18191356300</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15229730006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13335331958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13028431555</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18091365182</w:t>
            </w:r>
          </w:p>
        </w:tc>
      </w:tr>
    </w:tbl>
    <w:p>
      <w:pPr>
        <w:pStyle w:val="23"/>
        <w:tabs>
          <w:tab w:val="left" w:pos="567"/>
        </w:tabs>
        <w:rPr>
          <w:rFonts w:hint="eastAsia" w:ascii="仿宋" w:hAnsi="仿宋" w:eastAsia="仿宋" w:cs="仿宋"/>
          <w:i w:val="0"/>
          <w:iCs w:val="0"/>
          <w:color w:val="auto"/>
          <w:sz w:val="21"/>
          <w:szCs w:val="21"/>
          <w:highlight w:val="none"/>
          <w:lang w:val="en-US" w:eastAsia="zh-CN"/>
        </w:rPr>
      </w:pPr>
    </w:p>
    <w:p>
      <w:pPr>
        <w:pStyle w:val="23"/>
        <w:tabs>
          <w:tab w:val="left" w:pos="567"/>
        </w:tabs>
        <w:rPr>
          <w:rFonts w:hint="eastAsia" w:ascii="仿宋" w:hAnsi="仿宋" w:eastAsia="仿宋" w:cs="仿宋"/>
          <w:i w:val="0"/>
          <w:iCs w:val="0"/>
          <w:color w:val="auto"/>
          <w:sz w:val="21"/>
          <w:szCs w:val="21"/>
          <w:highlight w:val="none"/>
          <w:lang w:val="en-US" w:eastAsia="zh-CN"/>
        </w:rPr>
      </w:pPr>
      <w:r>
        <w:rPr>
          <w:rFonts w:hint="eastAsia" w:ascii="仿宋" w:hAnsi="仿宋" w:eastAsia="仿宋" w:cs="仿宋"/>
          <w:i w:val="0"/>
          <w:iCs w:val="0"/>
          <w:color w:val="auto"/>
          <w:sz w:val="21"/>
          <w:szCs w:val="21"/>
          <w:highlight w:val="none"/>
          <w:lang w:val="en-US" w:eastAsia="zh-CN"/>
        </w:rPr>
        <w:t>延安市政府采购</w:t>
      </w:r>
      <w:r>
        <w:rPr>
          <w:rFonts w:hint="eastAsia" w:ascii="仿宋" w:hAnsi="仿宋" w:eastAsia="仿宋" w:cs="仿宋"/>
          <w:i w:val="0"/>
          <w:iCs w:val="0"/>
          <w:color w:val="auto"/>
          <w:sz w:val="21"/>
          <w:szCs w:val="21"/>
          <w:highlight w:val="none"/>
        </w:rPr>
        <w:t>贷款银行信息</w:t>
      </w:r>
      <w:r>
        <w:rPr>
          <w:rFonts w:hint="eastAsia" w:ascii="仿宋" w:hAnsi="仿宋" w:eastAsia="仿宋" w:cs="仿宋"/>
          <w:i w:val="0"/>
          <w:iCs w:val="0"/>
          <w:color w:val="auto"/>
          <w:sz w:val="21"/>
          <w:szCs w:val="21"/>
          <w:highlight w:val="none"/>
          <w:lang w:eastAsia="zh-CN"/>
        </w:rPr>
        <w:t>：</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序号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银行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地址</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联系人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中国建设银行延安分行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延安市宝塔区中心街</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惠玉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中国工商银行延安分行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延安市宝塔区师范路</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姬悦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北京银行延安分行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延安市宝塔区双拥大道</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奥宝森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邮储银行延安分行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延安市宝塔区枣园路志丹大厦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杨慧花</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光大银行延安分行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延安市宝塔区卷烟厂东信时代一、二层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汪昊田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13509115500</w:t>
            </w:r>
          </w:p>
        </w:tc>
      </w:tr>
    </w:tbl>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p>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r>
        <w:rPr>
          <w:rFonts w:hint="eastAsia" w:ascii="仿宋" w:hAnsi="仿宋" w:eastAsia="仿宋" w:cs="仿宋"/>
          <w:b/>
          <w:bCs/>
          <w:i w:val="0"/>
          <w:iCs w:val="0"/>
          <w:color w:val="auto"/>
          <w:kern w:val="2"/>
          <w:sz w:val="24"/>
          <w:szCs w:val="21"/>
          <w:highlight w:val="none"/>
          <w:lang w:val="en-US" w:eastAsia="zh-CN" w:bidi="ar-SA"/>
        </w:rPr>
        <w:t>32   信用承诺：详见投标须知前附表</w:t>
      </w:r>
    </w:p>
    <w:p>
      <w:pPr>
        <w:spacing w:line="360" w:lineRule="auto"/>
        <w:ind w:left="840" w:hanging="843" w:hangingChars="350"/>
        <w:rPr>
          <w:rFonts w:hint="eastAsia" w:ascii="仿宋" w:hAnsi="仿宋" w:eastAsia="仿宋" w:cs="仿宋"/>
          <w:b/>
          <w:bCs/>
          <w:sz w:val="24"/>
          <w:lang w:val="en-US" w:eastAsia="zh-CN"/>
        </w:rPr>
      </w:pPr>
      <w:r>
        <w:rPr>
          <w:rFonts w:hint="eastAsia" w:ascii="仿宋" w:hAnsi="仿宋" w:eastAsia="仿宋" w:cs="仿宋"/>
          <w:b/>
          <w:bCs/>
          <w:i w:val="0"/>
          <w:iCs w:val="0"/>
          <w:color w:val="auto"/>
          <w:kern w:val="2"/>
          <w:sz w:val="24"/>
          <w:szCs w:val="21"/>
          <w:highlight w:val="none"/>
          <w:lang w:val="en-US" w:eastAsia="zh-CN" w:bidi="ar-SA"/>
        </w:rPr>
        <w:t>33</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b/>
          <w:bCs/>
          <w:i w:val="0"/>
          <w:iCs w:val="0"/>
          <w:color w:val="auto"/>
          <w:kern w:val="2"/>
          <w:sz w:val="24"/>
          <w:szCs w:val="21"/>
          <w:highlight w:val="none"/>
          <w:lang w:val="en-US" w:eastAsia="zh-CN" w:bidi="ar-SA"/>
        </w:rPr>
        <w:t>不见面开标注意事项及流程</w:t>
      </w:r>
      <w:r>
        <w:rPr>
          <w:rFonts w:hint="eastAsia" w:ascii="仿宋" w:hAnsi="仿宋" w:eastAsia="仿宋" w:cs="仿宋"/>
          <w:b/>
          <w:bCs/>
          <w:sz w:val="24"/>
          <w:lang w:val="en-US" w:eastAsia="zh-CN"/>
        </w:rPr>
        <w:t>。</w:t>
      </w:r>
    </w:p>
    <w:p>
      <w:pPr>
        <w:pStyle w:val="23"/>
        <w:shd w:val="clear" w:color="auto"/>
        <w:ind w:left="840" w:hanging="840" w:hangingChars="350"/>
        <w:rPr>
          <w:rFonts w:hint="eastAsia" w:ascii="仿宋" w:hAnsi="仿宋" w:eastAsia="仿宋" w:cs="仿宋"/>
          <w:i w:val="0"/>
          <w:iCs w:val="0"/>
          <w:color w:val="auto"/>
          <w:sz w:val="24"/>
          <w:highlight w:val="none"/>
          <w:lang w:val="en-US" w:eastAsia="zh-CN"/>
        </w:rPr>
      </w:pPr>
      <w:r>
        <w:rPr>
          <w:rFonts w:hint="eastAsia" w:ascii="仿宋" w:hAnsi="仿宋" w:eastAsia="仿宋" w:cs="仿宋"/>
          <w:sz w:val="24"/>
          <w:lang w:val="en-US" w:eastAsia="zh-CN"/>
        </w:rPr>
        <w:t>33.1 不见面开标注意事项及流程见“供应商须知前附表”</w:t>
      </w:r>
    </w:p>
    <w:bookmarkEnd w:id="412"/>
    <w:bookmarkEnd w:id="413"/>
    <w:p>
      <w:pPr>
        <w:pStyle w:val="23"/>
        <w:numPr>
          <w:ilvl w:val="0"/>
          <w:numId w:val="11"/>
        </w:numPr>
        <w:tabs>
          <w:tab w:val="left" w:pos="360"/>
        </w:tabs>
        <w:rPr>
          <w:rFonts w:hint="eastAsia" w:ascii="仿宋" w:hAnsi="仿宋" w:eastAsia="仿宋" w:cs="仿宋"/>
          <w:i w:val="0"/>
          <w:iCs w:val="0"/>
          <w:color w:val="auto"/>
          <w:sz w:val="24"/>
          <w:highlight w:val="none"/>
        </w:rPr>
      </w:pPr>
      <w:bookmarkStart w:id="414" w:name="_Toc230013637"/>
      <w:bookmarkStart w:id="415" w:name="_Toc184025279"/>
      <w:bookmarkStart w:id="416" w:name="_Toc230099802"/>
      <w:bookmarkStart w:id="417" w:name="_Toc184114070"/>
      <w:r>
        <w:rPr>
          <w:rFonts w:hint="eastAsia" w:ascii="仿宋" w:hAnsi="仿宋" w:eastAsia="仿宋" w:cs="仿宋"/>
          <w:i w:val="0"/>
          <w:iCs w:val="0"/>
          <w:color w:val="auto"/>
          <w:sz w:val="24"/>
          <w:highlight w:val="none"/>
        </w:rPr>
        <w:br w:type="page"/>
      </w:r>
    </w:p>
    <w:bookmarkEnd w:id="414"/>
    <w:bookmarkEnd w:id="415"/>
    <w:bookmarkEnd w:id="416"/>
    <w:bookmarkEnd w:id="417"/>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18" w:name="_Toc58504447"/>
      <w:bookmarkStart w:id="419" w:name="_Toc17469"/>
      <w:bookmarkStart w:id="420" w:name="_Toc58504668"/>
      <w:r>
        <w:rPr>
          <w:rFonts w:hint="eastAsia" w:ascii="仿宋" w:hAnsi="仿宋" w:eastAsia="仿宋" w:cs="仿宋"/>
          <w:b/>
          <w:i w:val="0"/>
          <w:iCs w:val="0"/>
          <w:color w:val="auto"/>
          <w:kern w:val="0"/>
          <w:sz w:val="32"/>
          <w:szCs w:val="32"/>
          <w:highlight w:val="none"/>
        </w:rPr>
        <w:t xml:space="preserve">第三章  </w:t>
      </w:r>
      <w:bookmarkEnd w:id="19"/>
      <w:bookmarkEnd w:id="418"/>
      <w:bookmarkEnd w:id="419"/>
      <w:bookmarkEnd w:id="420"/>
      <w:bookmarkStart w:id="421" w:name="_Toc28450"/>
      <w:bookmarkStart w:id="422" w:name="_Toc256342152"/>
      <w:bookmarkStart w:id="423" w:name="_Toc415499897"/>
      <w:bookmarkStart w:id="424" w:name="_Toc230099803"/>
      <w:bookmarkStart w:id="425" w:name="_Toc184043058"/>
      <w:bookmarkStart w:id="426" w:name="_Toc500747233"/>
      <w:bookmarkStart w:id="427" w:name="_Toc176882552"/>
      <w:bookmarkStart w:id="428" w:name="_Toc249525250"/>
      <w:bookmarkStart w:id="429" w:name="_Toc500747010"/>
      <w:bookmarkStart w:id="430" w:name="_Toc500747106"/>
      <w:bookmarkStart w:id="431" w:name="_Toc232395222"/>
      <w:bookmarkStart w:id="432" w:name="_Toc232176282"/>
      <w:bookmarkStart w:id="433" w:name="_Toc503063458"/>
      <w:bookmarkStart w:id="434" w:name="_Toc249515369"/>
      <w:bookmarkStart w:id="435" w:name="_Toc499711087"/>
      <w:bookmarkStart w:id="436" w:name="_Toc53722865"/>
      <w:bookmarkStart w:id="437" w:name="_Toc249515482"/>
      <w:bookmarkStart w:id="438" w:name="_Toc230583552"/>
      <w:bookmarkStart w:id="439" w:name="_Toc499711928"/>
      <w:bookmarkStart w:id="440" w:name="_Toc177817344"/>
      <w:bookmarkStart w:id="441" w:name="_Toc177189245"/>
      <w:bookmarkStart w:id="442" w:name="_Toc496324623"/>
      <w:bookmarkStart w:id="443" w:name="_Toc492955459"/>
      <w:bookmarkStart w:id="444" w:name="_Toc70687202"/>
      <w:bookmarkStart w:id="445" w:name="_Toc230013638"/>
      <w:bookmarkStart w:id="446" w:name="_Toc177995483"/>
      <w:r>
        <w:rPr>
          <w:rFonts w:hint="eastAsia" w:ascii="仿宋" w:hAnsi="仿宋" w:eastAsia="仿宋" w:cs="仿宋"/>
          <w:b/>
          <w:i w:val="0"/>
          <w:iCs w:val="0"/>
          <w:color w:val="auto"/>
          <w:kern w:val="0"/>
          <w:sz w:val="32"/>
          <w:szCs w:val="32"/>
          <w:highlight w:val="none"/>
        </w:rPr>
        <w:t>拟签订的合同文本</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甲方：</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
          <w:bCs/>
          <w:sz w:val="24"/>
          <w:lang w:val="zh-CN"/>
        </w:rPr>
        <w:t>乙方：</w:t>
      </w:r>
      <w:r>
        <w:rPr>
          <w:rFonts w:hint="eastAsia" w:ascii="仿宋" w:hAnsi="仿宋" w:eastAsia="仿宋" w:cs="仿宋"/>
          <w:bCs/>
          <w:sz w:val="24"/>
          <w:lang w:val="zh-CN"/>
        </w:rPr>
        <w:t>（成交供应商名称）</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一、合同内容:</w:t>
      </w:r>
    </w:p>
    <w:p>
      <w:pPr>
        <w:tabs>
          <w:tab w:val="left" w:pos="735"/>
        </w:tabs>
        <w:adjustRightInd w:val="0"/>
        <w:snapToGrid w:val="0"/>
        <w:spacing w:line="360" w:lineRule="auto"/>
        <w:ind w:firstLine="506" w:firstLineChars="210"/>
        <w:rPr>
          <w:rFonts w:hint="eastAsia" w:ascii="仿宋" w:hAnsi="仿宋" w:eastAsia="仿宋" w:cs="仿宋"/>
          <w:sz w:val="24"/>
        </w:rPr>
      </w:pPr>
      <w:r>
        <w:rPr>
          <w:rFonts w:hint="eastAsia" w:ascii="仿宋" w:hAnsi="仿宋" w:eastAsia="仿宋" w:cs="仿宋"/>
          <w:b/>
          <w:sz w:val="24"/>
        </w:rPr>
        <w:t>二、合同价款</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1、合同总价：人民币大写：</w:t>
      </w:r>
      <w:r>
        <w:rPr>
          <w:rFonts w:hint="eastAsia" w:ascii="仿宋" w:hAnsi="仿宋" w:eastAsia="仿宋" w:cs="仿宋"/>
          <w:sz w:val="24"/>
          <w:u w:val="single"/>
        </w:rPr>
        <w:t xml:space="preserve">       </w:t>
      </w:r>
      <w:r>
        <w:rPr>
          <w:rFonts w:hint="eastAsia" w:ascii="仿宋" w:hAnsi="仿宋" w:eastAsia="仿宋" w:cs="仿宋"/>
          <w:sz w:val="24"/>
        </w:rPr>
        <w:t>元，小写</w:t>
      </w:r>
      <w:r>
        <w:rPr>
          <w:rFonts w:hint="eastAsia" w:ascii="仿宋" w:hAnsi="仿宋" w:eastAsia="仿宋" w:cs="仿宋"/>
          <w:sz w:val="24"/>
          <w:u w:val="single"/>
        </w:rPr>
        <w:t xml:space="preserve">       </w:t>
      </w:r>
      <w:r>
        <w:rPr>
          <w:rFonts w:hint="eastAsia" w:ascii="仿宋" w:hAnsi="仿宋" w:eastAsia="仿宋" w:cs="仿宋"/>
          <w:sz w:val="24"/>
        </w:rPr>
        <w:t>元。</w:t>
      </w:r>
    </w:p>
    <w:p>
      <w:pPr>
        <w:adjustRightInd w:val="0"/>
        <w:snapToGrid w:val="0"/>
        <w:spacing w:line="360" w:lineRule="auto"/>
        <w:ind w:firstLine="480" w:firstLineChars="200"/>
        <w:rPr>
          <w:rFonts w:hint="eastAsia" w:ascii="仿宋" w:hAnsi="仿宋" w:eastAsia="仿宋" w:cs="仿宋"/>
          <w:kern w:val="0"/>
          <w:sz w:val="24"/>
          <w:u w:val="single"/>
        </w:rPr>
      </w:pPr>
      <w:r>
        <w:rPr>
          <w:rFonts w:hint="eastAsia" w:ascii="仿宋" w:hAnsi="仿宋" w:eastAsia="仿宋" w:cs="仿宋"/>
          <w:sz w:val="24"/>
        </w:rPr>
        <w:t>2、合同总价包括：产品总价、运杂费（含仓储费、运输费、保险费）、安装调试费、检测验收费、税金以及达到交钥匙条件的一切其他费用。</w:t>
      </w:r>
    </w:p>
    <w:p>
      <w:pPr>
        <w:tabs>
          <w:tab w:val="left" w:pos="735"/>
        </w:tabs>
        <w:adjustRightInd w:val="0"/>
        <w:snapToGrid w:val="0"/>
        <w:spacing w:line="360" w:lineRule="auto"/>
        <w:ind w:firstLine="504" w:firstLineChars="210"/>
        <w:rPr>
          <w:rFonts w:hint="eastAsia" w:ascii="仿宋" w:hAnsi="仿宋" w:eastAsia="仿宋" w:cs="仿宋"/>
          <w:sz w:val="24"/>
        </w:rPr>
      </w:pPr>
      <w:r>
        <w:rPr>
          <w:rFonts w:hint="eastAsia" w:ascii="仿宋" w:hAnsi="仿宋" w:eastAsia="仿宋" w:cs="仿宋"/>
          <w:sz w:val="24"/>
        </w:rPr>
        <w:t>3、合同总价一次包死，不受市场价变化的影响。</w:t>
      </w:r>
    </w:p>
    <w:p>
      <w:pPr>
        <w:tabs>
          <w:tab w:val="left" w:pos="735"/>
        </w:tabs>
        <w:adjustRightInd w:val="0"/>
        <w:snapToGrid w:val="0"/>
        <w:spacing w:line="360" w:lineRule="auto"/>
        <w:ind w:firstLine="506" w:firstLineChars="210"/>
        <w:rPr>
          <w:rFonts w:hint="eastAsia" w:ascii="仿宋" w:hAnsi="仿宋" w:eastAsia="仿宋" w:cs="仿宋"/>
          <w:b/>
          <w:sz w:val="24"/>
        </w:rPr>
      </w:pPr>
      <w:r>
        <w:rPr>
          <w:rFonts w:hint="eastAsia" w:ascii="仿宋" w:hAnsi="仿宋" w:eastAsia="仿宋" w:cs="仿宋"/>
          <w:b/>
          <w:sz w:val="24"/>
        </w:rPr>
        <w:t>三、合同结算</w:t>
      </w:r>
    </w:p>
    <w:p>
      <w:pPr>
        <w:autoSpaceDE w:val="0"/>
        <w:autoSpaceDN w:val="0"/>
        <w:adjustRightInd w:val="0"/>
        <w:snapToGrid w:val="0"/>
        <w:spacing w:line="360" w:lineRule="auto"/>
        <w:ind w:firstLine="645"/>
        <w:rPr>
          <w:rFonts w:hint="eastAsia" w:ascii="仿宋" w:hAnsi="仿宋" w:eastAsia="仿宋" w:cs="仿宋"/>
          <w:color w:val="000000"/>
          <w:sz w:val="24"/>
          <w:lang w:eastAsia="zh-CN"/>
        </w:rPr>
      </w:pPr>
      <w:r>
        <w:rPr>
          <w:rFonts w:hint="eastAsia" w:ascii="仿宋" w:hAnsi="仿宋" w:eastAsia="仿宋" w:cs="仿宋"/>
          <w:color w:val="000000"/>
          <w:sz w:val="24"/>
        </w:rPr>
        <w:t>1、付款比例：</w:t>
      </w:r>
      <w:r>
        <w:rPr>
          <w:rFonts w:hint="eastAsia" w:ascii="仿宋" w:hAnsi="仿宋" w:eastAsia="仿宋" w:cs="仿宋"/>
          <w:color w:val="000000"/>
          <w:sz w:val="24"/>
          <w:lang w:eastAsia="zh-CN"/>
        </w:rPr>
        <w:t>按季度支付。</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2、结算方式：银行转账。</w:t>
      </w:r>
    </w:p>
    <w:p>
      <w:pPr>
        <w:autoSpaceDE w:val="0"/>
        <w:autoSpaceDN w:val="0"/>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3、结算单位：由</w:t>
      </w:r>
      <w:r>
        <w:rPr>
          <w:rFonts w:hint="eastAsia" w:ascii="仿宋" w:hAnsi="仿宋" w:eastAsia="仿宋" w:cs="仿宋"/>
          <w:sz w:val="24"/>
          <w:u w:val="single"/>
        </w:rPr>
        <w:t>甲方</w:t>
      </w:r>
      <w:r>
        <w:rPr>
          <w:rFonts w:hint="eastAsia" w:ascii="仿宋" w:hAnsi="仿宋" w:eastAsia="仿宋" w:cs="仿宋"/>
          <w:sz w:val="24"/>
        </w:rPr>
        <w:t>负责结算，乙方开具合同总价数的全额发票交采购人。</w:t>
      </w:r>
    </w:p>
    <w:p>
      <w:pPr>
        <w:tabs>
          <w:tab w:val="left" w:pos="735"/>
        </w:tabs>
        <w:autoSpaceDE w:val="0"/>
        <w:autoSpaceDN w:val="0"/>
        <w:adjustRightInd w:val="0"/>
        <w:snapToGrid w:val="0"/>
        <w:spacing w:line="360" w:lineRule="auto"/>
        <w:ind w:firstLine="631"/>
        <w:rPr>
          <w:rFonts w:hint="eastAsia" w:ascii="仿宋" w:hAnsi="仿宋" w:eastAsia="仿宋" w:cs="仿宋"/>
          <w:b/>
          <w:bCs/>
          <w:sz w:val="24"/>
          <w:lang w:val="zh-CN"/>
        </w:rPr>
      </w:pPr>
      <w:r>
        <w:rPr>
          <w:rFonts w:hint="eastAsia" w:ascii="仿宋" w:hAnsi="仿宋" w:eastAsia="仿宋" w:cs="仿宋"/>
          <w:b/>
          <w:bCs/>
          <w:sz w:val="24"/>
          <w:lang w:val="zh-CN"/>
        </w:rPr>
        <w:t>四、交货条件:</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Cs/>
          <w:sz w:val="24"/>
          <w:lang w:val="zh-CN"/>
        </w:rPr>
        <w:t>1、服务地点：神木市医院</w:t>
      </w:r>
    </w:p>
    <w:p>
      <w:pPr>
        <w:tabs>
          <w:tab w:val="left" w:pos="735"/>
        </w:tabs>
        <w:autoSpaceDE w:val="0"/>
        <w:autoSpaceDN w:val="0"/>
        <w:adjustRightInd w:val="0"/>
        <w:snapToGrid w:val="0"/>
        <w:spacing w:line="360" w:lineRule="auto"/>
        <w:ind w:firstLine="631"/>
        <w:rPr>
          <w:rFonts w:hint="eastAsia" w:ascii="仿宋" w:hAnsi="仿宋" w:eastAsia="仿宋" w:cs="仿宋"/>
          <w:bCs/>
          <w:sz w:val="24"/>
          <w:lang w:val="zh-CN"/>
        </w:rPr>
      </w:pPr>
      <w:r>
        <w:rPr>
          <w:rFonts w:hint="eastAsia" w:ascii="仿宋" w:hAnsi="仿宋" w:eastAsia="仿宋" w:cs="仿宋"/>
          <w:bCs/>
          <w:sz w:val="24"/>
          <w:lang w:val="zh-CN"/>
        </w:rPr>
        <w:t>2、服务期：一年。</w:t>
      </w:r>
    </w:p>
    <w:p>
      <w:pPr>
        <w:adjustRightInd w:val="0"/>
        <w:snapToGrid w:val="0"/>
        <w:spacing w:line="360" w:lineRule="auto"/>
        <w:ind w:firstLine="646"/>
        <w:rPr>
          <w:rFonts w:hint="eastAsia" w:ascii="仿宋" w:hAnsi="仿宋" w:eastAsia="仿宋" w:cs="仿宋"/>
          <w:b/>
          <w:sz w:val="24"/>
        </w:rPr>
      </w:pPr>
      <w:r>
        <w:rPr>
          <w:rFonts w:hint="eastAsia" w:ascii="仿宋" w:hAnsi="仿宋" w:eastAsia="仿宋" w:cs="仿宋"/>
          <w:b/>
          <w:sz w:val="24"/>
        </w:rPr>
        <w:t>五、运输</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1、乙方负责所有货物的运输。确保货物安全、完整到达使用地点，运杂费用包含在总价内，包括货物从供货地点到使用地点的运输费、保险费、搬运费等。</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2、所有货物在运输、搬运、安装的过程中，造成甲方损失的，由乙方为甲方修复或更新。</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六、质量保证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1、乙方提供货物必须是原品牌制造厂制造的最新工艺、生产的最新产品。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2、所供货物必须是经过办理正常手续的全新产品。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3、所供货物是经过国家法定检验、注册、准许市场销售的合法产品。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4、货物性能稳定、具有较好的使用效果，质量保证措施完善，符合国家相关标准。</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5、系统的质保期为验收合格后</w:t>
      </w:r>
      <w:r>
        <w:rPr>
          <w:rFonts w:hint="eastAsia" w:ascii="仿宋" w:hAnsi="仿宋" w:eastAsia="仿宋" w:cs="仿宋"/>
          <w:sz w:val="24"/>
          <w:u w:val="single"/>
        </w:rPr>
        <w:t>12</w:t>
      </w:r>
      <w:r>
        <w:rPr>
          <w:rFonts w:hint="eastAsia" w:ascii="仿宋" w:hAnsi="仿宋" w:eastAsia="仿宋" w:cs="仿宋"/>
          <w:sz w:val="24"/>
        </w:rPr>
        <w:t>个月，终身维护保养，质保期后，只收取成本费用。</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6、包装要求</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6-1、除合同另有规定外，乙方提供的全部货物，均应按标准保护措施进行包装，并确保货物安全无损运抵甲方指定地点。</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6-2、每一个包装箱内应附一份详细装箱单和质量合格证。</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7、乙方应保证甲方在使用该货物或其任何一部分时免受第三方提出侵犯其专利权·商标权或工业设计权的起诉。</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七、技术服务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1、对技术服务的要求：</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2、技术资料：</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2-1、产品合格证及检验报告；</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2-2、产品使用说明书（中文）；</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2-3、中国商品检验局出具的商检合格证明；</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2-4、其它资料。</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3、技术培训：</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3-1、培训内容：</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3-2、培训地点：</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3-3、培训时间：</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3-4、培训人数：</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3-5、培训费用：受训人员的食宿费、资料费、培训场地费、耗材（包括水电费等）费等已包含在合同总价中，甲方不再另行支付。</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4、售后服务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4-1、乙方在接到甲方保修电话故障通知后在</w:t>
      </w:r>
      <w:r>
        <w:rPr>
          <w:rFonts w:hint="eastAsia" w:ascii="仿宋" w:hAnsi="仿宋" w:eastAsia="仿宋" w:cs="仿宋"/>
          <w:sz w:val="24"/>
          <w:u w:val="single"/>
        </w:rPr>
        <w:t xml:space="preserve">   </w:t>
      </w:r>
      <w:r>
        <w:rPr>
          <w:rFonts w:hint="eastAsia" w:ascii="仿宋" w:hAnsi="仿宋" w:eastAsia="仿宋" w:cs="仿宋"/>
          <w:sz w:val="24"/>
        </w:rPr>
        <w:t>小时内派出合格的维修人员到达现场进行维修服务，承担相应费用，若需将产品送回生产厂，乙方应提供备用机、承担维修设备所需的往返费用。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4-2、如果乙方在收到通知后2天内没有弥补缺陷，甲方可采取必要的补救措施，但其风险和费用将由乙方承担，甲方根据合同规定对乙方行使的其它权力不受影响。甲方亦可从质保金中扣回索赔金额。</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5、伴随服务</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5-1、乙方应随同每套货物提供相应的中文的技术文件。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5-1-1、完整的操作使用手册和维护、修理技术文件，图纸、保修卡等。</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5-1-2、制造厂的检验、测试报告、设备检验合格证书，计量合格等级证书，质量保证书等文件须随设备装箱提供。</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5-1-3、必须的其它技术资料。</w:t>
      </w:r>
    </w:p>
    <w:p>
      <w:pPr>
        <w:snapToGrid w:val="0"/>
        <w:spacing w:line="360" w:lineRule="auto"/>
        <w:ind w:left="645"/>
        <w:rPr>
          <w:rFonts w:hint="eastAsia" w:ascii="仿宋" w:hAnsi="仿宋" w:eastAsia="仿宋" w:cs="仿宋"/>
          <w:sz w:val="24"/>
        </w:rPr>
      </w:pPr>
      <w:r>
        <w:rPr>
          <w:rFonts w:hint="eastAsia" w:ascii="仿宋" w:hAnsi="仿宋" w:eastAsia="仿宋" w:cs="仿宋"/>
          <w:sz w:val="24"/>
        </w:rPr>
        <w:t>5-2、伴随服务的费用已含在合同价中，不单独进行支付。</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八、验收</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1、到货验收：货物到货后，由甲方与乙方共同进行外观验收，验收内容包括，外包装的完好性，货物品牌、规格、数量及产地与合同要求的一致性。</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2、货物运行验收：乙方安装调试合格后，向甲方提出验收申请，甲方接到乙方验收申请后组织验收（必要时可聘请相应专家或委托相应部门验收），验收合格后，出具使用验收合格证明。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3、最终验收：最终验收结果作为付款依据，乙方填写验收单，并向甲方提交实施过程中的所有资料，以便甲方日后管理和维护。</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4、质保期满后：由乙方出具质保期运行质量报告，作为质保金支付依据，若存在质量问题，应按相应规定协商处理。</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5、验收依据：</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5-1、合同文本、合同附件、询价文件、响应文件。</w:t>
      </w:r>
    </w:p>
    <w:p>
      <w:pPr>
        <w:snapToGrid w:val="0"/>
        <w:spacing w:line="360" w:lineRule="auto"/>
        <w:ind w:right="893" w:firstLine="480" w:firstLineChars="200"/>
        <w:rPr>
          <w:rFonts w:hint="eastAsia" w:ascii="仿宋" w:hAnsi="仿宋" w:eastAsia="仿宋" w:cs="仿宋"/>
          <w:sz w:val="24"/>
        </w:rPr>
      </w:pPr>
      <w:r>
        <w:rPr>
          <w:rFonts w:hint="eastAsia" w:ascii="仿宋" w:hAnsi="仿宋" w:eastAsia="仿宋" w:cs="仿宋"/>
          <w:sz w:val="24"/>
        </w:rPr>
        <w:t>5-2、国内相应的标准、规范。</w:t>
      </w:r>
    </w:p>
    <w:p>
      <w:pPr>
        <w:adjustRightInd w:val="0"/>
        <w:snapToGrid w:val="0"/>
        <w:spacing w:line="360" w:lineRule="auto"/>
        <w:ind w:left="645"/>
        <w:rPr>
          <w:rFonts w:hint="eastAsia" w:ascii="仿宋" w:hAnsi="仿宋" w:eastAsia="仿宋" w:cs="仿宋"/>
          <w:b/>
          <w:sz w:val="24"/>
        </w:rPr>
      </w:pPr>
      <w:r>
        <w:rPr>
          <w:rFonts w:hint="eastAsia" w:ascii="仿宋" w:hAnsi="仿宋" w:eastAsia="仿宋" w:cs="仿宋"/>
          <w:b/>
          <w:sz w:val="24"/>
        </w:rPr>
        <w:t>九、违约责任</w:t>
      </w:r>
    </w:p>
    <w:p>
      <w:pPr>
        <w:numPr>
          <w:ilvl w:val="0"/>
          <w:numId w:val="12"/>
        </w:numPr>
        <w:adjustRightInd w:val="0"/>
        <w:snapToGrid w:val="0"/>
        <w:spacing w:line="360" w:lineRule="auto"/>
        <w:rPr>
          <w:rFonts w:hint="eastAsia" w:ascii="仿宋" w:hAnsi="仿宋" w:eastAsia="仿宋" w:cs="仿宋"/>
          <w:sz w:val="24"/>
        </w:rPr>
      </w:pPr>
      <w:r>
        <w:rPr>
          <w:rFonts w:hint="eastAsia" w:ascii="仿宋" w:hAnsi="仿宋" w:eastAsia="仿宋" w:cs="仿宋"/>
          <w:sz w:val="24"/>
        </w:rPr>
        <w:t>按《民法典》中的相关条款执行。</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2、乙方履约延误</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2-1、如乙方事先未征得甲方同意并得到甲方的谅解而单方面延迟交货，将按违约终止合同。</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3、违约终止合同：未按合同要求提供货物或质量不能满足技术要求，甲方会同监督机构有权终止合同，对乙方违约行为进行追究，同时按政府采购法的有关规定进行相应的处罚。</w:t>
      </w:r>
    </w:p>
    <w:p>
      <w:pPr>
        <w:adjustRightInd w:val="0"/>
        <w:snapToGrid w:val="0"/>
        <w:spacing w:line="360" w:lineRule="auto"/>
        <w:ind w:firstLine="645"/>
        <w:rPr>
          <w:rFonts w:hint="eastAsia" w:ascii="仿宋" w:hAnsi="仿宋" w:eastAsia="仿宋" w:cs="仿宋"/>
          <w:b/>
          <w:sz w:val="24"/>
        </w:rPr>
      </w:pPr>
      <w:r>
        <w:rPr>
          <w:rFonts w:hint="eastAsia" w:ascii="仿宋" w:hAnsi="仿宋" w:eastAsia="仿宋" w:cs="仿宋"/>
          <w:b/>
          <w:sz w:val="24"/>
        </w:rPr>
        <w:t>十、合同组成</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1、成交通知书</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2、合同文件</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3、国家相关规范及标准</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4、供货设备技术规格及参数表</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5、询价文件</w:t>
      </w:r>
    </w:p>
    <w:p>
      <w:pPr>
        <w:adjustRightInd w:val="0"/>
        <w:snapToGrid w:val="0"/>
        <w:spacing w:line="360" w:lineRule="auto"/>
        <w:ind w:firstLine="645"/>
        <w:rPr>
          <w:rFonts w:hint="eastAsia" w:ascii="仿宋" w:hAnsi="仿宋" w:eastAsia="仿宋" w:cs="仿宋"/>
          <w:sz w:val="24"/>
        </w:rPr>
      </w:pPr>
      <w:r>
        <w:rPr>
          <w:rFonts w:hint="eastAsia" w:ascii="仿宋" w:hAnsi="仿宋" w:eastAsia="仿宋" w:cs="仿宋"/>
          <w:sz w:val="24"/>
        </w:rPr>
        <w:t>6、响应文件</w:t>
      </w:r>
    </w:p>
    <w:p>
      <w:pPr>
        <w:widowControl/>
        <w:autoSpaceDE w:val="0"/>
        <w:autoSpaceDN w:val="0"/>
        <w:snapToGrid w:val="0"/>
        <w:spacing w:line="360" w:lineRule="auto"/>
        <w:ind w:right="893" w:firstLine="472" w:firstLineChars="196"/>
        <w:textAlignment w:val="bottom"/>
        <w:rPr>
          <w:rFonts w:hint="eastAsia" w:ascii="仿宋" w:hAnsi="仿宋" w:eastAsia="仿宋" w:cs="仿宋"/>
          <w:b/>
          <w:kern w:val="0"/>
          <w:sz w:val="24"/>
        </w:rPr>
      </w:pPr>
      <w:r>
        <w:rPr>
          <w:rFonts w:hint="eastAsia" w:ascii="仿宋" w:hAnsi="仿宋" w:eastAsia="仿宋" w:cs="仿宋"/>
          <w:b/>
          <w:kern w:val="0"/>
          <w:sz w:val="24"/>
        </w:rPr>
        <w:t>十一、合同生效及其它</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 本合同正本一式</w:t>
      </w:r>
      <w:r>
        <w:rPr>
          <w:rFonts w:hint="eastAsia" w:ascii="仿宋" w:hAnsi="仿宋" w:eastAsia="仿宋" w:cs="仿宋"/>
          <w:kern w:val="0"/>
          <w:sz w:val="24"/>
          <w:u w:val="single"/>
        </w:rPr>
        <w:t xml:space="preserve">  </w:t>
      </w:r>
      <w:r>
        <w:rPr>
          <w:rFonts w:hint="eastAsia" w:ascii="仿宋" w:hAnsi="仿宋" w:eastAsia="仿宋" w:cs="仿宋"/>
          <w:kern w:val="0"/>
          <w:sz w:val="24"/>
        </w:rPr>
        <w:t>份，甲方、乙方双方分别执</w:t>
      </w:r>
      <w:r>
        <w:rPr>
          <w:rFonts w:hint="eastAsia" w:ascii="仿宋" w:hAnsi="仿宋" w:eastAsia="仿宋" w:cs="仿宋"/>
          <w:kern w:val="0"/>
          <w:sz w:val="24"/>
          <w:u w:val="single"/>
        </w:rPr>
        <w:t xml:space="preserve">  </w:t>
      </w:r>
      <w:r>
        <w:rPr>
          <w:rFonts w:hint="eastAsia" w:ascii="仿宋" w:hAnsi="仿宋" w:eastAsia="仿宋" w:cs="仿宋"/>
          <w:kern w:val="0"/>
          <w:sz w:val="24"/>
        </w:rPr>
        <w:t>份，</w:t>
      </w:r>
      <w:r>
        <w:rPr>
          <w:rFonts w:hint="eastAsia" w:ascii="仿宋" w:hAnsi="仿宋" w:eastAsia="仿宋" w:cs="仿宋"/>
          <w:kern w:val="0"/>
          <w:sz w:val="24"/>
          <w:u w:val="single"/>
        </w:rPr>
        <w:t xml:space="preserve">   </w:t>
      </w:r>
      <w:r>
        <w:rPr>
          <w:rFonts w:hint="eastAsia" w:ascii="仿宋" w:hAnsi="仿宋" w:eastAsia="仿宋" w:cs="仿宋"/>
          <w:kern w:val="0"/>
          <w:sz w:val="24"/>
        </w:rPr>
        <w:t>备案</w:t>
      </w:r>
      <w:r>
        <w:rPr>
          <w:rFonts w:hint="eastAsia" w:ascii="仿宋" w:hAnsi="仿宋" w:eastAsia="仿宋" w:cs="仿宋"/>
          <w:kern w:val="0"/>
          <w:sz w:val="24"/>
          <w:u w:val="single"/>
        </w:rPr>
        <w:t xml:space="preserve">  </w:t>
      </w:r>
      <w:r>
        <w:rPr>
          <w:rFonts w:hint="eastAsia" w:ascii="仿宋" w:hAnsi="仿宋" w:eastAsia="仿宋" w:cs="仿宋"/>
          <w:kern w:val="0"/>
          <w:sz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3、合同经甲乙双方盖章、签字后生效，合同签订地点为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4、生效时间：    年  月  日</w:t>
      </w:r>
    </w:p>
    <w:tbl>
      <w:tblPr>
        <w:tblStyle w:val="51"/>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甲方名称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乙方名称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r>
    </w:tbl>
    <w:p>
      <w:pPr>
        <w:autoSpaceDE w:val="0"/>
        <w:autoSpaceDN w:val="0"/>
        <w:adjustRightInd w:val="0"/>
        <w:spacing w:line="360" w:lineRule="auto"/>
        <w:jc w:val="left"/>
        <w:rPr>
          <w:rFonts w:hint="eastAsia" w:ascii="仿宋" w:hAnsi="仿宋" w:eastAsia="仿宋" w:cs="仿宋"/>
          <w:b/>
          <w:bCs/>
          <w:i w:val="0"/>
          <w:iCs w:val="0"/>
          <w:color w:val="auto"/>
          <w:sz w:val="32"/>
          <w:szCs w:val="32"/>
          <w:highlight w:val="none"/>
        </w:rPr>
      </w:pPr>
    </w:p>
    <w:p>
      <w:pPr>
        <w:autoSpaceDE w:val="0"/>
        <w:autoSpaceDN w:val="0"/>
        <w:adjustRightInd w:val="0"/>
        <w:jc w:val="left"/>
        <w:rPr>
          <w:rFonts w:hint="eastAsia" w:ascii="仿宋" w:hAnsi="仿宋" w:eastAsia="仿宋" w:cs="仿宋"/>
          <w:b/>
          <w:bCs/>
          <w:i w:val="0"/>
          <w:iCs w:val="0"/>
          <w:color w:val="auto"/>
          <w:sz w:val="32"/>
          <w:szCs w:val="32"/>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合同附件</w:t>
      </w:r>
    </w:p>
    <w:tbl>
      <w:tblPr>
        <w:tblStyle w:val="51"/>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32"/>
                <w:szCs w:val="32"/>
                <w:highlight w:val="none"/>
              </w:rPr>
            </w:pPr>
            <w:r>
              <w:rPr>
                <w:rFonts w:hint="eastAsia" w:ascii="仿宋" w:hAnsi="仿宋" w:eastAsia="仿宋" w:cs="仿宋"/>
                <w:b/>
                <w:bCs/>
                <w:i w:val="0"/>
                <w:iCs w:val="0"/>
                <w:color w:val="auto"/>
                <w:kern w:val="0"/>
                <w:sz w:val="32"/>
                <w:szCs w:val="32"/>
                <w:highlight w:val="none"/>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hint="eastAsia" w:ascii="仿宋" w:hAnsi="仿宋" w:eastAsia="仿宋" w:cs="仿宋"/>
                <w:b/>
                <w:bCs/>
                <w:i w:val="0"/>
                <w:iCs w:val="0"/>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i w:val="0"/>
                <w:iCs w:val="0"/>
                <w:color w:val="auto"/>
                <w:kern w:val="0"/>
                <w:sz w:val="24"/>
                <w:highlight w:val="none"/>
              </w:rPr>
            </w:pP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联系人</w:t>
            </w:r>
          </w:p>
        </w:tc>
        <w:tc>
          <w:tcPr>
            <w:tcW w:w="1349" w:type="pct"/>
            <w:tcBorders>
              <w:top w:val="nil"/>
              <w:left w:val="nil"/>
              <w:bottom w:val="nil"/>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电话</w:t>
            </w:r>
          </w:p>
        </w:tc>
        <w:tc>
          <w:tcPr>
            <w:tcW w:w="1248" w:type="pct"/>
            <w:tcBorders>
              <w:top w:val="nil"/>
              <w:left w:val="nil"/>
              <w:bottom w:val="nil"/>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使用单位验收意见：（盖章）</w:t>
            </w:r>
          </w:p>
          <w:p>
            <w:pPr>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签字：</w:t>
            </w:r>
          </w:p>
        </w:tc>
        <w:tc>
          <w:tcPr>
            <w:tcW w:w="1349" w:type="pct"/>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p>
        </w:tc>
        <w:tc>
          <w:tcPr>
            <w:tcW w:w="1481" w:type="pct"/>
            <w:tcBorders>
              <w:top w:val="nil"/>
              <w:left w:val="single" w:color="auto" w:sz="4"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签字：</w:t>
            </w:r>
          </w:p>
        </w:tc>
        <w:tc>
          <w:tcPr>
            <w:tcW w:w="1248" w:type="pct"/>
            <w:tcBorders>
              <w:top w:val="nil"/>
              <w:left w:val="nil"/>
              <w:bottom w:val="nil"/>
              <w:right w:val="single" w:color="auto"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349" w:type="pct"/>
            <w:tcBorders>
              <w:top w:val="nil"/>
              <w:left w:val="nil"/>
              <w:bottom w:val="single" w:color="auto" w:sz="4" w:space="0"/>
              <w:right w:val="nil"/>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248" w:type="pct"/>
            <w:tcBorders>
              <w:top w:val="nil"/>
              <w:left w:val="nil"/>
              <w:bottom w:val="single" w:color="auto" w:sz="4" w:space="0"/>
              <w:right w:val="single" w:color="auto" w:sz="8" w:space="0"/>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hint="eastAsia" w:ascii="仿宋" w:hAnsi="仿宋" w:eastAsia="仿宋" w:cs="仿宋"/>
                <w:b/>
                <w:bCs/>
                <w:i w:val="0"/>
                <w:iCs w:val="0"/>
                <w:color w:val="auto"/>
                <w:kern w:val="0"/>
                <w:sz w:val="22"/>
                <w:szCs w:val="22"/>
                <w:highlight w:val="none"/>
              </w:rPr>
            </w:pPr>
            <w:r>
              <w:rPr>
                <w:rFonts w:hint="eastAsia" w:ascii="仿宋" w:hAnsi="仿宋" w:eastAsia="仿宋" w:cs="仿宋"/>
                <w:b/>
                <w:bCs/>
                <w:i w:val="0"/>
                <w:iCs w:val="0"/>
                <w:color w:val="auto"/>
                <w:kern w:val="0"/>
                <w:sz w:val="22"/>
                <w:szCs w:val="22"/>
                <w:highlight w:val="none"/>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hint="eastAsia" w:ascii="仿宋" w:hAnsi="仿宋" w:eastAsia="仿宋" w:cs="仿宋"/>
                <w:b/>
                <w:bCs/>
                <w:i w:val="0"/>
                <w:iCs w:val="0"/>
                <w:color w:val="auto"/>
                <w:kern w:val="0"/>
                <w:sz w:val="28"/>
                <w:szCs w:val="28"/>
                <w:highlight w:val="none"/>
              </w:rPr>
            </w:pPr>
            <w:r>
              <w:rPr>
                <w:rFonts w:hint="eastAsia" w:ascii="仿宋" w:hAnsi="仿宋" w:eastAsia="仿宋" w:cs="仿宋"/>
                <w:b/>
                <w:bCs/>
                <w:i w:val="0"/>
                <w:iCs w:val="0"/>
                <w:color w:val="auto"/>
                <w:kern w:val="0"/>
                <w:sz w:val="28"/>
                <w:szCs w:val="28"/>
                <w:highlight w:val="none"/>
              </w:rPr>
              <w:t>采购内容请列明品目、规格、型号、数量、单价、总价</w:t>
            </w:r>
          </w:p>
        </w:tc>
      </w:tr>
    </w:tbl>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8"/>
        <w:numPr>
          <w:ilvl w:val="0"/>
          <w:numId w:val="13"/>
        </w:numPr>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47" w:name="_Toc58504448"/>
      <w:bookmarkStart w:id="448" w:name="_Toc58504669"/>
      <w:r>
        <w:rPr>
          <w:rFonts w:hint="eastAsia" w:ascii="仿宋" w:hAnsi="仿宋" w:eastAsia="仿宋" w:cs="仿宋"/>
          <w:b/>
          <w:i w:val="0"/>
          <w:iCs w:val="0"/>
          <w:color w:val="auto"/>
          <w:kern w:val="0"/>
          <w:sz w:val="32"/>
          <w:szCs w:val="32"/>
          <w:highlight w:val="none"/>
        </w:rPr>
        <w:t xml:space="preserve"> 采购内容及要求</w:t>
      </w:r>
      <w:bookmarkEnd w:id="447"/>
      <w:bookmarkEnd w:id="448"/>
      <w:bookmarkStart w:id="449" w:name="_Toc389620241"/>
      <w:bookmarkStart w:id="450" w:name="_Toc415499899"/>
      <w:bookmarkStart w:id="451" w:name="_Toc31008"/>
      <w:bookmarkStart w:id="452" w:name="_Toc385992401"/>
    </w:p>
    <w:tbl>
      <w:tblPr>
        <w:tblStyle w:val="51"/>
        <w:tblW w:w="5099" w:type="pct"/>
        <w:jc w:val="center"/>
        <w:tblLayout w:type="autofit"/>
        <w:tblCellMar>
          <w:top w:w="0" w:type="dxa"/>
          <w:left w:w="108" w:type="dxa"/>
          <w:bottom w:w="0" w:type="dxa"/>
          <w:right w:w="108" w:type="dxa"/>
        </w:tblCellMar>
      </w:tblPr>
      <w:tblGrid>
        <w:gridCol w:w="849"/>
        <w:gridCol w:w="692"/>
        <w:gridCol w:w="677"/>
        <w:gridCol w:w="864"/>
        <w:gridCol w:w="754"/>
        <w:gridCol w:w="5634"/>
      </w:tblGrid>
      <w:tr>
        <w:tblPrEx>
          <w:tblCellMar>
            <w:top w:w="0" w:type="dxa"/>
            <w:left w:w="108" w:type="dxa"/>
            <w:bottom w:w="0" w:type="dxa"/>
            <w:right w:w="108" w:type="dxa"/>
          </w:tblCellMar>
        </w:tblPrEx>
        <w:trPr>
          <w:trHeight w:val="285" w:hRule="atLeast"/>
          <w:jc w:val="center"/>
        </w:trPr>
        <w:tc>
          <w:tcPr>
            <w:tcW w:w="448" w:type="pct"/>
            <w:tcBorders>
              <w:top w:val="single" w:color="auto" w:sz="4" w:space="0"/>
              <w:left w:val="single" w:color="auto" w:sz="4" w:space="0"/>
              <w:bottom w:val="single" w:color="auto" w:sz="4" w:space="0"/>
              <w:right w:val="single" w:color="auto" w:sz="4" w:space="0"/>
            </w:tcBorders>
            <w:vAlign w:val="bottom"/>
          </w:tcPr>
          <w:p>
            <w:pPr>
              <w:widowControl/>
              <w:spacing w:line="276"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名称</w:t>
            </w:r>
          </w:p>
        </w:tc>
        <w:tc>
          <w:tcPr>
            <w:tcW w:w="365" w:type="pct"/>
            <w:tcBorders>
              <w:top w:val="single" w:color="auto" w:sz="4" w:space="0"/>
              <w:left w:val="nil"/>
              <w:bottom w:val="single" w:color="auto" w:sz="4" w:space="0"/>
              <w:right w:val="single" w:color="auto" w:sz="4" w:space="0"/>
            </w:tcBorders>
            <w:vAlign w:val="bottom"/>
          </w:tcPr>
          <w:p>
            <w:pPr>
              <w:widowControl/>
              <w:spacing w:line="276"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数量</w:t>
            </w:r>
          </w:p>
        </w:tc>
        <w:tc>
          <w:tcPr>
            <w:tcW w:w="357" w:type="pct"/>
            <w:tcBorders>
              <w:top w:val="single" w:color="auto" w:sz="4" w:space="0"/>
              <w:left w:val="nil"/>
              <w:bottom w:val="single" w:color="auto" w:sz="4" w:space="0"/>
              <w:right w:val="single" w:color="auto" w:sz="4" w:space="0"/>
            </w:tcBorders>
            <w:vAlign w:val="bottom"/>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单位</w:t>
            </w:r>
          </w:p>
        </w:tc>
        <w:tc>
          <w:tcPr>
            <w:tcW w:w="456" w:type="pct"/>
            <w:tcBorders>
              <w:top w:val="single" w:color="auto" w:sz="4" w:space="0"/>
              <w:left w:val="nil"/>
              <w:bottom w:val="single" w:color="auto" w:sz="4" w:space="0"/>
              <w:right w:val="single" w:color="auto" w:sz="4" w:space="0"/>
            </w:tcBorders>
            <w:vAlign w:val="bottom"/>
          </w:tcPr>
          <w:p>
            <w:pPr>
              <w:widowControl/>
              <w:spacing w:line="276"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品牌</w:t>
            </w:r>
          </w:p>
        </w:tc>
        <w:tc>
          <w:tcPr>
            <w:tcW w:w="398" w:type="pct"/>
            <w:tcBorders>
              <w:top w:val="single" w:color="auto" w:sz="4" w:space="0"/>
              <w:left w:val="nil"/>
              <w:bottom w:val="single" w:color="auto" w:sz="4" w:space="0"/>
              <w:right w:val="single" w:color="auto" w:sz="4" w:space="0"/>
            </w:tcBorders>
            <w:vAlign w:val="bottom"/>
          </w:tcPr>
          <w:p>
            <w:pPr>
              <w:widowControl/>
              <w:spacing w:line="276" w:lineRule="auto"/>
              <w:jc w:val="center"/>
              <w:rPr>
                <w:rFonts w:hint="eastAsia" w:ascii="仿宋" w:hAnsi="仿宋" w:eastAsia="仿宋" w:cs="仿宋"/>
                <w:kern w:val="0"/>
                <w:sz w:val="24"/>
                <w:szCs w:val="24"/>
              </w:rPr>
            </w:pPr>
            <w:r>
              <w:rPr>
                <w:rFonts w:hint="eastAsia" w:ascii="仿宋" w:hAnsi="仿宋" w:eastAsia="仿宋" w:cs="仿宋"/>
                <w:kern w:val="0"/>
                <w:sz w:val="24"/>
                <w:szCs w:val="24"/>
              </w:rPr>
              <w:t>型号</w:t>
            </w:r>
          </w:p>
        </w:tc>
        <w:tc>
          <w:tcPr>
            <w:tcW w:w="2973" w:type="pct"/>
            <w:tcBorders>
              <w:top w:val="single" w:color="auto" w:sz="4" w:space="0"/>
              <w:left w:val="nil"/>
              <w:bottom w:val="single" w:color="auto" w:sz="4" w:space="0"/>
              <w:right w:val="single" w:color="auto" w:sz="4" w:space="0"/>
            </w:tcBorders>
            <w:vAlign w:val="bottom"/>
          </w:tcPr>
          <w:p>
            <w:pPr>
              <w:widowControl/>
              <w:spacing w:line="276" w:lineRule="auto"/>
              <w:ind w:right="-2" w:rightChars="-1"/>
              <w:jc w:val="center"/>
              <w:rPr>
                <w:rFonts w:hint="eastAsia" w:ascii="仿宋" w:hAnsi="仿宋" w:eastAsia="仿宋" w:cs="仿宋"/>
                <w:kern w:val="0"/>
                <w:sz w:val="24"/>
                <w:szCs w:val="24"/>
              </w:rPr>
            </w:pPr>
            <w:r>
              <w:rPr>
                <w:rFonts w:hint="eastAsia" w:ascii="仿宋" w:hAnsi="仿宋" w:eastAsia="仿宋" w:cs="仿宋"/>
                <w:kern w:val="0"/>
                <w:sz w:val="24"/>
                <w:szCs w:val="24"/>
              </w:rPr>
              <w:t>参数</w:t>
            </w:r>
          </w:p>
        </w:tc>
      </w:tr>
      <w:tr>
        <w:tblPrEx>
          <w:tblCellMar>
            <w:top w:w="0" w:type="dxa"/>
            <w:left w:w="108" w:type="dxa"/>
            <w:bottom w:w="0" w:type="dxa"/>
            <w:right w:w="108" w:type="dxa"/>
          </w:tblCellMar>
        </w:tblPrEx>
        <w:trPr>
          <w:trHeight w:val="1136"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HIS、电子病历系统维保</w:t>
            </w:r>
          </w:p>
        </w:tc>
        <w:tc>
          <w:tcPr>
            <w:tcW w:w="365"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357"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套</w:t>
            </w:r>
          </w:p>
        </w:tc>
        <w:tc>
          <w:tcPr>
            <w:tcW w:w="456"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中联</w:t>
            </w:r>
          </w:p>
        </w:tc>
        <w:tc>
          <w:tcPr>
            <w:tcW w:w="39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V10</w:t>
            </w:r>
          </w:p>
        </w:tc>
        <w:tc>
          <w:tcPr>
            <w:tcW w:w="2973" w:type="pct"/>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仿宋"/>
                <w:sz w:val="24"/>
                <w:szCs w:val="24"/>
              </w:rPr>
            </w:pPr>
            <w:r>
              <w:rPr>
                <w:rFonts w:hint="eastAsia" w:ascii="仿宋" w:hAnsi="仿宋" w:eastAsia="仿宋" w:cs="仿宋"/>
                <w:sz w:val="24"/>
                <w:szCs w:val="24"/>
              </w:rPr>
              <w:t>一、服务范围：</w:t>
            </w:r>
          </w:p>
          <w:p>
            <w:pPr>
              <w:widowControl/>
              <w:spacing w:line="276" w:lineRule="auto"/>
              <w:jc w:val="left"/>
              <w:rPr>
                <w:rFonts w:hint="eastAsia" w:ascii="仿宋" w:hAnsi="仿宋" w:eastAsia="仿宋" w:cs="仿宋"/>
                <w:sz w:val="24"/>
                <w:szCs w:val="24"/>
              </w:rPr>
            </w:pPr>
            <w:r>
              <w:rPr>
                <w:rFonts w:hint="eastAsia" w:ascii="仿宋" w:hAnsi="仿宋" w:eastAsia="仿宋" w:cs="仿宋"/>
                <w:sz w:val="24"/>
                <w:szCs w:val="24"/>
              </w:rPr>
              <w:t>HIS系统服务范围：</w:t>
            </w:r>
          </w:p>
          <w:p>
            <w:pPr>
              <w:widowControl/>
              <w:spacing w:line="276" w:lineRule="auto"/>
              <w:ind w:firstLine="480" w:firstLineChars="200"/>
              <w:jc w:val="left"/>
              <w:rPr>
                <w:rFonts w:ascii="仿宋" w:hAnsi="仿宋" w:eastAsia="仿宋" w:cs="仿宋"/>
                <w:sz w:val="24"/>
              </w:rPr>
            </w:pPr>
            <w:r>
              <w:rPr>
                <w:rFonts w:hint="eastAsia" w:ascii="仿宋" w:hAnsi="仿宋" w:eastAsia="仿宋" w:cs="仿宋"/>
                <w:sz w:val="24"/>
              </w:rPr>
              <w:t>门诊挂号管理、门诊收费管理、药房管理、药库管理、门诊医生工作站、住院医生工作站、住院护士工作站、护理记录、临床路径管理系统、血库管理系统、检验管理系统、自助查询系统、自助打印系统、病案管理系统、医技工作站、院内一卡通系统、银医通系统、自定义报表系统、全景医疗接口、</w:t>
            </w:r>
            <w:bookmarkStart w:id="522" w:name="_GoBack"/>
            <w:bookmarkEnd w:id="522"/>
            <w:r>
              <w:rPr>
                <w:rFonts w:hint="eastAsia" w:ascii="仿宋" w:hAnsi="仿宋" w:eastAsia="仿宋" w:cs="仿宋"/>
                <w:sz w:val="24"/>
              </w:rPr>
              <w:t>PACS系统接口、合理用药接口、院感系统接口、手麻系统接口、心电系统接口、LIS仪器接口、临床危急值系统、单病种管理系统接口、病案直报系统、医保接口、异地就医结算接口、抗生素专项统计分析接口等现有HIS系统模块；</w:t>
            </w:r>
          </w:p>
          <w:p>
            <w:pPr>
              <w:widowControl/>
              <w:spacing w:line="276" w:lineRule="auto"/>
              <w:ind w:firstLine="480" w:firstLineChars="200"/>
              <w:jc w:val="left"/>
              <w:rPr>
                <w:rFonts w:hint="eastAsia" w:ascii="仿宋" w:hAnsi="仿宋" w:eastAsia="仿宋" w:cs="仿宋"/>
                <w:sz w:val="24"/>
                <w:szCs w:val="24"/>
              </w:rPr>
            </w:pPr>
          </w:p>
          <w:p>
            <w:pPr>
              <w:widowControl/>
              <w:spacing w:line="276" w:lineRule="auto"/>
              <w:jc w:val="left"/>
              <w:rPr>
                <w:rFonts w:hint="eastAsia" w:ascii="仿宋" w:hAnsi="仿宋" w:eastAsia="仿宋" w:cs="仿宋"/>
                <w:sz w:val="24"/>
                <w:szCs w:val="24"/>
              </w:rPr>
            </w:pPr>
            <w:r>
              <w:rPr>
                <w:rFonts w:hint="eastAsia" w:ascii="仿宋" w:hAnsi="仿宋" w:eastAsia="仿宋" w:cs="仿宋"/>
                <w:sz w:val="24"/>
                <w:szCs w:val="24"/>
              </w:rPr>
              <w:t>电子病历系统服务范围：</w:t>
            </w:r>
          </w:p>
          <w:p>
            <w:pPr>
              <w:widowControl/>
              <w:spacing w:line="276" w:lineRule="auto"/>
              <w:jc w:val="left"/>
              <w:rPr>
                <w:rFonts w:hint="eastAsia" w:ascii="仿宋" w:hAnsi="仿宋" w:eastAsia="仿宋" w:cs="仿宋"/>
                <w:sz w:val="24"/>
                <w:szCs w:val="24"/>
              </w:rPr>
            </w:pPr>
            <w:r>
              <w:rPr>
                <w:rFonts w:hint="eastAsia" w:ascii="仿宋" w:hAnsi="仿宋" w:eastAsia="仿宋" w:cs="仿宋"/>
                <w:sz w:val="24"/>
                <w:szCs w:val="24"/>
              </w:rPr>
              <w:t xml:space="preserve">    门诊电子病历系统、住院电子病历系统、病历质控系统、电子病案系统、护理病历</w:t>
            </w:r>
          </w:p>
          <w:p>
            <w:pPr>
              <w:spacing w:line="276" w:lineRule="auto"/>
              <w:rPr>
                <w:rFonts w:hint="eastAsia" w:ascii="仿宋" w:hAnsi="仿宋" w:eastAsia="仿宋" w:cs="仿宋"/>
                <w:sz w:val="24"/>
                <w:szCs w:val="24"/>
              </w:rPr>
            </w:pPr>
            <w:r>
              <w:rPr>
                <w:rFonts w:hint="eastAsia" w:ascii="仿宋" w:hAnsi="仿宋" w:eastAsia="仿宋" w:cs="仿宋"/>
                <w:sz w:val="24"/>
                <w:szCs w:val="24"/>
              </w:rPr>
              <w:t>二、服务方式：</w:t>
            </w:r>
            <w:r>
              <w:rPr>
                <w:rFonts w:hint="eastAsia" w:ascii="仿宋" w:hAnsi="仿宋" w:eastAsia="仿宋" w:cs="仿宋"/>
                <w:sz w:val="24"/>
                <w:szCs w:val="24"/>
              </w:rPr>
              <w:tab/>
            </w:r>
          </w:p>
          <w:p>
            <w:pPr>
              <w:spacing w:line="276" w:lineRule="auto"/>
              <w:ind w:left="720"/>
              <w:jc w:val="left"/>
              <w:rPr>
                <w:rFonts w:hint="eastAsia" w:ascii="仿宋" w:hAnsi="仿宋" w:eastAsia="仿宋" w:cs="仿宋"/>
                <w:sz w:val="24"/>
                <w:szCs w:val="24"/>
              </w:rPr>
            </w:pPr>
            <w:r>
              <w:rPr>
                <w:rFonts w:hint="eastAsia" w:ascii="仿宋" w:hAnsi="仿宋" w:eastAsia="仿宋" w:cs="仿宋"/>
                <w:sz w:val="24"/>
                <w:szCs w:val="24"/>
              </w:rPr>
              <w:t xml:space="preserve">1、有专门的人员服务，提供现场及远程服务； </w:t>
            </w:r>
          </w:p>
          <w:p>
            <w:pPr>
              <w:spacing w:line="276" w:lineRule="auto"/>
              <w:ind w:left="720"/>
              <w:jc w:val="left"/>
              <w:rPr>
                <w:rFonts w:hint="eastAsia" w:ascii="仿宋" w:hAnsi="仿宋" w:eastAsia="仿宋" w:cs="仿宋"/>
                <w:sz w:val="24"/>
                <w:szCs w:val="24"/>
              </w:rPr>
            </w:pPr>
            <w:r>
              <w:rPr>
                <w:rFonts w:hint="eastAsia" w:ascii="仿宋" w:hAnsi="仿宋" w:eastAsia="仿宋" w:cs="仿宋"/>
                <w:sz w:val="24"/>
                <w:szCs w:val="24"/>
              </w:rPr>
              <w:t xml:space="preserve">2、服务范围内软件出现问题不能运行时在48小时间内赶到现场； </w:t>
            </w:r>
          </w:p>
          <w:p>
            <w:pPr>
              <w:spacing w:line="276" w:lineRule="auto"/>
              <w:ind w:left="720"/>
              <w:jc w:val="left"/>
              <w:rPr>
                <w:rFonts w:hint="eastAsia" w:ascii="仿宋" w:hAnsi="仿宋" w:eastAsia="仿宋" w:cs="仿宋"/>
                <w:sz w:val="24"/>
                <w:szCs w:val="24"/>
              </w:rPr>
            </w:pPr>
            <w:r>
              <w:rPr>
                <w:rFonts w:hint="eastAsia" w:ascii="仿宋" w:hAnsi="仿宋" w:eastAsia="仿宋" w:cs="仿宋"/>
                <w:sz w:val="24"/>
                <w:szCs w:val="24"/>
              </w:rPr>
              <w:t xml:space="preserve">3、每季度进行一次数据完整性及安全性验证； </w:t>
            </w:r>
          </w:p>
          <w:p>
            <w:pPr>
              <w:spacing w:line="276" w:lineRule="auto"/>
              <w:ind w:left="720"/>
              <w:jc w:val="left"/>
              <w:rPr>
                <w:rFonts w:hint="eastAsia" w:ascii="仿宋" w:hAnsi="仿宋" w:eastAsia="仿宋" w:cs="仿宋"/>
                <w:sz w:val="24"/>
                <w:szCs w:val="24"/>
              </w:rPr>
            </w:pPr>
            <w:r>
              <w:rPr>
                <w:rFonts w:hint="eastAsia" w:ascii="仿宋" w:hAnsi="仿宋" w:eastAsia="仿宋" w:cs="仿宋"/>
                <w:sz w:val="24"/>
                <w:szCs w:val="24"/>
              </w:rPr>
              <w:t xml:space="preserve">4、每季度进行一次进行数据库调整优化，提高访问数据速度； </w:t>
            </w:r>
          </w:p>
          <w:p>
            <w:pPr>
              <w:spacing w:line="276" w:lineRule="auto"/>
              <w:ind w:left="720"/>
              <w:jc w:val="left"/>
              <w:rPr>
                <w:rFonts w:hint="eastAsia" w:ascii="仿宋" w:hAnsi="仿宋" w:eastAsia="仿宋" w:cs="仿宋"/>
                <w:sz w:val="24"/>
                <w:szCs w:val="24"/>
              </w:rPr>
            </w:pPr>
            <w:r>
              <w:rPr>
                <w:rFonts w:hint="eastAsia" w:ascii="仿宋" w:hAnsi="仿宋" w:eastAsia="仿宋" w:cs="仿宋"/>
                <w:sz w:val="24"/>
                <w:szCs w:val="24"/>
              </w:rPr>
              <w:t>5、协助医疗设备进行调试，保证系统完整安全应用。</w:t>
            </w:r>
          </w:p>
          <w:p>
            <w:pPr>
              <w:spacing w:line="276" w:lineRule="auto"/>
              <w:ind w:left="720"/>
              <w:jc w:val="left"/>
              <w:rPr>
                <w:rFonts w:hint="eastAsia" w:ascii="仿宋" w:hAnsi="仿宋" w:eastAsia="仿宋" w:cs="仿宋"/>
                <w:sz w:val="24"/>
                <w:szCs w:val="24"/>
              </w:rPr>
            </w:pPr>
            <w:r>
              <w:rPr>
                <w:rFonts w:hint="eastAsia" w:ascii="仿宋" w:hAnsi="仿宋" w:eastAsia="仿宋" w:cs="仿宋"/>
                <w:sz w:val="24"/>
                <w:szCs w:val="24"/>
              </w:rPr>
              <w:t>6、对需对接的其他系统或设备及时响应。</w:t>
            </w:r>
          </w:p>
          <w:p>
            <w:pPr>
              <w:spacing w:line="276" w:lineRule="auto"/>
              <w:rPr>
                <w:rFonts w:hint="eastAsia" w:ascii="仿宋" w:hAnsi="仿宋" w:eastAsia="仿宋" w:cs="仿宋"/>
                <w:sz w:val="24"/>
                <w:szCs w:val="24"/>
              </w:rPr>
            </w:pPr>
            <w:r>
              <w:rPr>
                <w:rFonts w:hint="eastAsia" w:ascii="仿宋" w:hAnsi="仿宋" w:eastAsia="仿宋" w:cs="仿宋"/>
                <w:sz w:val="24"/>
                <w:szCs w:val="24"/>
              </w:rPr>
              <w:t>三、服务内容</w:t>
            </w:r>
          </w:p>
          <w:p>
            <w:pPr>
              <w:spacing w:line="276" w:lineRule="auto"/>
              <w:rPr>
                <w:rFonts w:hint="eastAsia" w:ascii="仿宋" w:hAnsi="仿宋" w:eastAsia="仿宋" w:cs="仿宋"/>
                <w:sz w:val="24"/>
                <w:szCs w:val="24"/>
              </w:rPr>
            </w:pPr>
            <w:r>
              <w:rPr>
                <w:rFonts w:hint="eastAsia" w:ascii="仿宋" w:hAnsi="仿宋" w:eastAsia="仿宋" w:cs="仿宋"/>
                <w:sz w:val="24"/>
                <w:szCs w:val="24"/>
              </w:rPr>
              <w:t xml:space="preserve">    1、负责维护合同中约定的服务项目。</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2、对甲方提出的请求按时响应。</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3、响应开始后提出解决方案，积极解决问题。</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4、提供相应的文档（如解决方案）。</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5、应当向甲方传授解决技术问题的知识。</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6、发现甲方提供的技术资料、数据及工作条件不符合约定的，应及时通知甲方补充、修改或更换。</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7、在工作期间，发现继续工作对设备有损害危险时，应及时甲方或提出建议。</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8、约束其员工遵守保密规定。</w:t>
            </w:r>
          </w:p>
          <w:p>
            <w:pPr>
              <w:spacing w:line="276" w:lineRule="auto"/>
              <w:rPr>
                <w:rFonts w:hint="eastAsia" w:ascii="仿宋" w:hAnsi="仿宋" w:eastAsia="仿宋" w:cs="仿宋"/>
                <w:sz w:val="24"/>
                <w:szCs w:val="24"/>
              </w:rPr>
            </w:pPr>
            <w:r>
              <w:rPr>
                <w:rFonts w:hint="eastAsia" w:ascii="仿宋" w:hAnsi="仿宋" w:eastAsia="仿宋" w:cs="仿宋"/>
                <w:sz w:val="24"/>
                <w:szCs w:val="24"/>
              </w:rPr>
              <w:t xml:space="preserve">    9、在甲方（医院）发生不可抗拒的系统故障（如地震、火灾、雷击等），乙方有义务帮助甲方尽快恢复正常运行。</w:t>
            </w:r>
          </w:p>
          <w:p>
            <w:pPr>
              <w:widowControl/>
              <w:numPr>
                <w:ilvl w:val="0"/>
                <w:numId w:val="14"/>
              </w:numPr>
              <w:spacing w:line="276" w:lineRule="auto"/>
              <w:jc w:val="left"/>
              <w:rPr>
                <w:rFonts w:hint="eastAsia" w:ascii="仿宋" w:hAnsi="仿宋" w:eastAsia="仿宋" w:cs="仿宋"/>
                <w:sz w:val="24"/>
                <w:szCs w:val="24"/>
              </w:rPr>
            </w:pPr>
            <w:r>
              <w:rPr>
                <w:rFonts w:hint="eastAsia" w:ascii="仿宋" w:hAnsi="仿宋" w:eastAsia="仿宋" w:cs="仿宋"/>
                <w:sz w:val="24"/>
                <w:szCs w:val="24"/>
              </w:rPr>
              <w:t>服务期限</w:t>
            </w:r>
            <w:r>
              <w:rPr>
                <w:rFonts w:hint="eastAsia" w:ascii="仿宋" w:hAnsi="仿宋" w:eastAsia="仿宋" w:cs="仿宋"/>
                <w:sz w:val="24"/>
                <w:szCs w:val="24"/>
                <w:lang w:eastAsia="zh-CN"/>
              </w:rPr>
              <w:t>：</w:t>
            </w:r>
            <w:r>
              <w:rPr>
                <w:rFonts w:hint="eastAsia" w:ascii="仿宋" w:hAnsi="仿宋" w:eastAsia="仿宋" w:cs="仿宋"/>
                <w:sz w:val="24"/>
                <w:szCs w:val="24"/>
              </w:rPr>
              <w:t>一年</w:t>
            </w:r>
          </w:p>
        </w:tc>
      </w:tr>
      <w:tr>
        <w:tblPrEx>
          <w:tblCellMar>
            <w:top w:w="0" w:type="dxa"/>
            <w:left w:w="108" w:type="dxa"/>
            <w:bottom w:w="0" w:type="dxa"/>
            <w:right w:w="108" w:type="dxa"/>
          </w:tblCellMar>
        </w:tblPrEx>
        <w:trPr>
          <w:trHeight w:val="1136" w:hRule="atLeast"/>
          <w:jc w:val="center"/>
        </w:trPr>
        <w:tc>
          <w:tcPr>
            <w:tcW w:w="44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互联互通信息平台维保</w:t>
            </w:r>
          </w:p>
        </w:tc>
        <w:tc>
          <w:tcPr>
            <w:tcW w:w="365"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357"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套</w:t>
            </w:r>
          </w:p>
        </w:tc>
        <w:tc>
          <w:tcPr>
            <w:tcW w:w="456"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中联</w:t>
            </w:r>
          </w:p>
        </w:tc>
        <w:tc>
          <w:tcPr>
            <w:tcW w:w="398"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 w:hAnsi="仿宋" w:eastAsia="仿宋" w:cs="仿宋"/>
                <w:sz w:val="24"/>
                <w:szCs w:val="24"/>
              </w:rPr>
            </w:pPr>
            <w:r>
              <w:rPr>
                <w:rFonts w:hint="eastAsia" w:ascii="仿宋" w:hAnsi="仿宋" w:eastAsia="仿宋" w:cs="仿宋"/>
                <w:sz w:val="24"/>
                <w:szCs w:val="24"/>
              </w:rPr>
              <w:t>V10</w:t>
            </w:r>
          </w:p>
        </w:tc>
        <w:tc>
          <w:tcPr>
            <w:tcW w:w="2973" w:type="pct"/>
            <w:tcBorders>
              <w:top w:val="single" w:color="auto" w:sz="4" w:space="0"/>
              <w:left w:val="single" w:color="auto" w:sz="4" w:space="0"/>
              <w:bottom w:val="single" w:color="auto" w:sz="4" w:space="0"/>
              <w:right w:val="single" w:color="auto" w:sz="4" w:space="0"/>
            </w:tcBorders>
            <w:vAlign w:val="center"/>
          </w:tcPr>
          <w:p>
            <w:pPr>
              <w:spacing w:line="276" w:lineRule="auto"/>
              <w:rPr>
                <w:rFonts w:hint="eastAsia" w:ascii="仿宋" w:hAnsi="仿宋" w:eastAsia="仿宋" w:cs="仿宋"/>
                <w:sz w:val="24"/>
                <w:szCs w:val="24"/>
              </w:rPr>
            </w:pPr>
            <w:r>
              <w:rPr>
                <w:rFonts w:hint="eastAsia" w:ascii="仿宋" w:hAnsi="仿宋" w:eastAsia="仿宋" w:cs="仿宋"/>
                <w:sz w:val="24"/>
                <w:szCs w:val="24"/>
              </w:rPr>
              <w:t>一、服务范围：</w:t>
            </w:r>
          </w:p>
          <w:p>
            <w:pPr>
              <w:pStyle w:val="5"/>
              <w:spacing w:line="276" w:lineRule="auto"/>
              <w:ind w:firstLine="240" w:firstLineChars="100"/>
              <w:rPr>
                <w:rFonts w:hint="eastAsia" w:ascii="仿宋" w:hAnsi="仿宋" w:eastAsia="仿宋" w:cs="仿宋"/>
                <w:b w:val="0"/>
                <w:bCs w:val="0"/>
                <w:sz w:val="24"/>
                <w:szCs w:val="24"/>
              </w:rPr>
            </w:pPr>
            <w:r>
              <w:rPr>
                <w:rFonts w:hint="eastAsia" w:ascii="仿宋" w:hAnsi="仿宋" w:eastAsia="仿宋" w:cs="仿宋"/>
                <w:b w:val="0"/>
                <w:bCs w:val="0"/>
                <w:sz w:val="24"/>
                <w:szCs w:val="24"/>
              </w:rPr>
              <w:t>医院互联互通信息平台、服务总线（ESB，Enterprise Service Bus）、患者主索引（EMPI）、</w:t>
            </w:r>
            <w:bookmarkStart w:id="453" w:name="_Toc489353117"/>
            <w:r>
              <w:rPr>
                <w:rFonts w:hint="eastAsia" w:ascii="仿宋" w:hAnsi="仿宋" w:eastAsia="仿宋" w:cs="仿宋"/>
                <w:b w:val="0"/>
                <w:bCs w:val="0"/>
                <w:sz w:val="24"/>
                <w:szCs w:val="24"/>
              </w:rPr>
              <w:t>统一身份认证</w:t>
            </w:r>
            <w:bookmarkEnd w:id="453"/>
            <w:r>
              <w:rPr>
                <w:rFonts w:hint="eastAsia" w:ascii="仿宋" w:hAnsi="仿宋" w:eastAsia="仿宋" w:cs="仿宋"/>
                <w:b w:val="0"/>
                <w:bCs w:val="0"/>
                <w:sz w:val="24"/>
                <w:szCs w:val="24"/>
              </w:rPr>
              <w:t>、元数据管理、主数据管理、临床数据中心（CDR）、患者360视图系统的持续数据治理及日常维护。</w:t>
            </w:r>
          </w:p>
          <w:p>
            <w:pPr>
              <w:spacing w:line="276" w:lineRule="auto"/>
              <w:rPr>
                <w:rFonts w:hint="eastAsia" w:ascii="仿宋" w:hAnsi="仿宋" w:eastAsia="仿宋" w:cs="仿宋"/>
                <w:sz w:val="24"/>
                <w:szCs w:val="24"/>
              </w:rPr>
            </w:pPr>
            <w:r>
              <w:rPr>
                <w:rFonts w:hint="eastAsia" w:ascii="仿宋" w:hAnsi="仿宋" w:eastAsia="仿宋" w:cs="仿宋"/>
                <w:sz w:val="24"/>
                <w:szCs w:val="24"/>
              </w:rPr>
              <w:t>二、服务方式：</w:t>
            </w:r>
            <w:r>
              <w:rPr>
                <w:rFonts w:hint="eastAsia" w:ascii="仿宋" w:hAnsi="仿宋" w:eastAsia="仿宋" w:cs="仿宋"/>
                <w:sz w:val="24"/>
                <w:szCs w:val="24"/>
              </w:rPr>
              <w:tab/>
            </w:r>
          </w:p>
          <w:p>
            <w:pPr>
              <w:spacing w:line="276" w:lineRule="auto"/>
              <w:ind w:left="720"/>
              <w:rPr>
                <w:rFonts w:hint="eastAsia" w:ascii="仿宋" w:hAnsi="仿宋" w:eastAsia="仿宋" w:cs="仿宋"/>
                <w:sz w:val="24"/>
                <w:szCs w:val="24"/>
              </w:rPr>
            </w:pPr>
            <w:r>
              <w:rPr>
                <w:rFonts w:hint="eastAsia" w:ascii="仿宋" w:hAnsi="仿宋" w:eastAsia="仿宋" w:cs="仿宋"/>
                <w:sz w:val="24"/>
                <w:szCs w:val="24"/>
              </w:rPr>
              <w:t xml:space="preserve">1、有专门的人员服务； </w:t>
            </w:r>
          </w:p>
          <w:p>
            <w:pPr>
              <w:spacing w:line="276" w:lineRule="auto"/>
              <w:ind w:left="720"/>
              <w:rPr>
                <w:rFonts w:hint="eastAsia" w:ascii="仿宋" w:hAnsi="仿宋" w:eastAsia="仿宋" w:cs="仿宋"/>
                <w:sz w:val="24"/>
                <w:szCs w:val="24"/>
              </w:rPr>
            </w:pPr>
            <w:r>
              <w:rPr>
                <w:rFonts w:hint="eastAsia" w:ascii="仿宋" w:hAnsi="仿宋" w:eastAsia="仿宋" w:cs="仿宋"/>
                <w:sz w:val="24"/>
                <w:szCs w:val="24"/>
              </w:rPr>
              <w:t xml:space="preserve">2、服务范围内软件出现问题不能运行时在48小时间内赶到现场； </w:t>
            </w:r>
          </w:p>
          <w:p>
            <w:pPr>
              <w:spacing w:line="276" w:lineRule="auto"/>
              <w:ind w:left="720"/>
              <w:rPr>
                <w:rFonts w:hint="eastAsia" w:ascii="仿宋" w:hAnsi="仿宋" w:eastAsia="仿宋" w:cs="仿宋"/>
                <w:sz w:val="24"/>
                <w:szCs w:val="24"/>
              </w:rPr>
            </w:pPr>
            <w:r>
              <w:rPr>
                <w:rFonts w:hint="eastAsia" w:ascii="仿宋" w:hAnsi="仿宋" w:eastAsia="仿宋" w:cs="仿宋"/>
                <w:sz w:val="24"/>
                <w:szCs w:val="24"/>
              </w:rPr>
              <w:t xml:space="preserve">3、每季度进行一次数据完整性及安全性验证； </w:t>
            </w:r>
          </w:p>
          <w:p>
            <w:pPr>
              <w:spacing w:line="276" w:lineRule="auto"/>
              <w:ind w:left="720"/>
              <w:rPr>
                <w:rFonts w:hint="eastAsia" w:ascii="仿宋" w:hAnsi="仿宋" w:eastAsia="仿宋" w:cs="仿宋"/>
                <w:sz w:val="24"/>
                <w:szCs w:val="24"/>
              </w:rPr>
            </w:pPr>
            <w:r>
              <w:rPr>
                <w:rFonts w:hint="eastAsia" w:ascii="仿宋" w:hAnsi="仿宋" w:eastAsia="仿宋" w:cs="仿宋"/>
                <w:sz w:val="24"/>
                <w:szCs w:val="24"/>
              </w:rPr>
              <w:t xml:space="preserve">4、每季度进行一次进行数据库调整优化，提高访问数据速度； </w:t>
            </w:r>
          </w:p>
          <w:p>
            <w:pPr>
              <w:spacing w:line="276" w:lineRule="auto"/>
              <w:rPr>
                <w:rFonts w:hint="eastAsia" w:ascii="仿宋" w:hAnsi="仿宋" w:eastAsia="仿宋" w:cs="仿宋"/>
                <w:sz w:val="24"/>
                <w:szCs w:val="24"/>
              </w:rPr>
            </w:pPr>
            <w:r>
              <w:rPr>
                <w:rFonts w:hint="eastAsia" w:ascii="仿宋" w:hAnsi="仿宋" w:eastAsia="仿宋" w:cs="仿宋"/>
                <w:sz w:val="24"/>
                <w:szCs w:val="24"/>
              </w:rPr>
              <w:t>三、服务内容</w:t>
            </w:r>
          </w:p>
          <w:p>
            <w:pPr>
              <w:spacing w:line="276" w:lineRule="auto"/>
              <w:rPr>
                <w:rFonts w:hint="eastAsia" w:ascii="仿宋" w:hAnsi="仿宋" w:eastAsia="仿宋" w:cs="仿宋"/>
                <w:sz w:val="24"/>
                <w:szCs w:val="24"/>
              </w:rPr>
            </w:pPr>
            <w:r>
              <w:rPr>
                <w:rFonts w:hint="eastAsia" w:ascii="仿宋" w:hAnsi="仿宋" w:eastAsia="仿宋" w:cs="仿宋"/>
                <w:sz w:val="24"/>
                <w:szCs w:val="24"/>
              </w:rPr>
              <w:t xml:space="preserve">    1、负责提供合同中约定的服务项目。</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2、对甲方提出的请求按时响应。</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3、响应开始后提出解决方案，积极解决问题。</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4、提供相应的文档（如解决方案）。</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5、应当向甲方传授解决技术问题的知识。</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6、发现甲方提供的技术资料、数据及工作条件不符合约定的，应及时通知甲方补充、修改或更换。</w:t>
            </w:r>
          </w:p>
          <w:p>
            <w:pPr>
              <w:spacing w:line="27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7、约束其员工遵守保密规定。</w:t>
            </w:r>
          </w:p>
          <w:p>
            <w:pPr>
              <w:spacing w:line="276" w:lineRule="auto"/>
              <w:ind w:firstLine="480"/>
              <w:rPr>
                <w:rFonts w:hint="eastAsia" w:ascii="仿宋" w:hAnsi="仿宋" w:eastAsia="仿宋" w:cs="仿宋"/>
                <w:sz w:val="24"/>
                <w:szCs w:val="24"/>
              </w:rPr>
            </w:pPr>
            <w:r>
              <w:rPr>
                <w:rFonts w:hint="eastAsia" w:ascii="仿宋" w:hAnsi="仿宋" w:eastAsia="仿宋" w:cs="仿宋"/>
                <w:sz w:val="24"/>
                <w:szCs w:val="24"/>
              </w:rPr>
              <w:t>8、在甲方（医院）发生不可抗拒的系统故障（如地震、火灾、雷击等），乙方有义务帮助甲方尽快恢复正常运行。</w:t>
            </w:r>
          </w:p>
          <w:p>
            <w:pPr>
              <w:pStyle w:val="68"/>
              <w:numPr>
                <w:ilvl w:val="0"/>
                <w:numId w:val="0"/>
              </w:numPr>
              <w:spacing w:line="276" w:lineRule="auto"/>
              <w:ind w:left="480" w:leftChars="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为需接入平台的系统协助院方制定接入标准</w:t>
            </w:r>
          </w:p>
          <w:p>
            <w:pPr>
              <w:spacing w:line="560" w:lineRule="exact"/>
              <w:rPr>
                <w:rFonts w:hint="eastAsia" w:ascii="仿宋" w:hAnsi="仿宋" w:eastAsia="仿宋" w:cs="仿宋"/>
                <w:color w:val="0000FF"/>
                <w:sz w:val="24"/>
                <w:szCs w:val="24"/>
                <w:lang w:eastAsia="zh-CN"/>
              </w:rPr>
            </w:pPr>
            <w:r>
              <w:rPr>
                <w:rFonts w:hint="eastAsia" w:ascii="仿宋" w:hAnsi="仿宋" w:eastAsia="仿宋" w:cs="仿宋"/>
                <w:color w:val="0000FF"/>
                <w:sz w:val="24"/>
                <w:szCs w:val="24"/>
                <w:lang w:eastAsia="zh-CN"/>
              </w:rPr>
              <w:t>注：供应商须</w:t>
            </w:r>
            <w:r>
              <w:rPr>
                <w:rFonts w:hint="eastAsia" w:ascii="仿宋" w:hAnsi="仿宋" w:eastAsia="仿宋" w:cs="仿宋"/>
                <w:color w:val="0000FF"/>
                <w:sz w:val="24"/>
                <w:szCs w:val="24"/>
              </w:rPr>
              <w:t>提供系统生产商售后服务函</w:t>
            </w:r>
            <w:r>
              <w:rPr>
                <w:rFonts w:hint="eastAsia" w:ascii="仿宋" w:hAnsi="仿宋" w:eastAsia="仿宋" w:cs="仿宋"/>
                <w:color w:val="0000FF"/>
                <w:sz w:val="24"/>
                <w:szCs w:val="24"/>
                <w:lang w:eastAsia="zh-CN"/>
              </w:rPr>
              <w:t>。</w:t>
            </w:r>
          </w:p>
          <w:p>
            <w:pPr>
              <w:widowControl/>
              <w:spacing w:line="276" w:lineRule="auto"/>
              <w:jc w:val="left"/>
              <w:rPr>
                <w:rFonts w:hint="eastAsia" w:ascii="仿宋" w:hAnsi="仿宋" w:eastAsia="仿宋" w:cs="仿宋"/>
                <w:kern w:val="2"/>
                <w:sz w:val="24"/>
                <w:szCs w:val="24"/>
              </w:rPr>
            </w:pPr>
            <w:r>
              <w:rPr>
                <w:rFonts w:hint="eastAsia" w:ascii="仿宋" w:hAnsi="仿宋" w:eastAsia="仿宋" w:cs="仿宋"/>
                <w:sz w:val="24"/>
                <w:szCs w:val="24"/>
              </w:rPr>
              <w:t>四、服务期限</w:t>
            </w:r>
            <w:r>
              <w:rPr>
                <w:rFonts w:hint="eastAsia" w:ascii="仿宋" w:hAnsi="仿宋" w:eastAsia="仿宋" w:cs="仿宋"/>
                <w:sz w:val="24"/>
                <w:szCs w:val="24"/>
                <w:lang w:eastAsia="zh-CN"/>
              </w:rPr>
              <w:t>：</w:t>
            </w:r>
            <w:r>
              <w:rPr>
                <w:rFonts w:hint="eastAsia" w:ascii="仿宋" w:hAnsi="仿宋" w:eastAsia="仿宋" w:cs="仿宋"/>
                <w:sz w:val="24"/>
                <w:szCs w:val="24"/>
              </w:rPr>
              <w:t>一年</w:t>
            </w:r>
          </w:p>
        </w:tc>
      </w:tr>
    </w:tbl>
    <w:p>
      <w:pPr>
        <w:pStyle w:val="23"/>
        <w:rPr>
          <w:rFonts w:hint="eastAsia" w:ascii="仿宋" w:hAnsi="仿宋" w:eastAsia="仿宋" w:cs="仿宋"/>
          <w:sz w:val="24"/>
        </w:rPr>
      </w:pPr>
    </w:p>
    <w:p>
      <w:pPr>
        <w:pStyle w:val="68"/>
        <w:numPr>
          <w:ilvl w:val="0"/>
          <w:numId w:val="13"/>
        </w:numPr>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0000FF"/>
          <w:kern w:val="0"/>
          <w:sz w:val="32"/>
          <w:szCs w:val="32"/>
          <w:highlight w:val="none"/>
        </w:rPr>
      </w:pPr>
      <w:r>
        <w:rPr>
          <w:rFonts w:hint="eastAsia" w:ascii="仿宋" w:hAnsi="仿宋" w:eastAsia="仿宋" w:cs="仿宋"/>
          <w:b/>
          <w:i w:val="0"/>
          <w:iCs w:val="0"/>
          <w:color w:val="0000FF"/>
          <w:kern w:val="0"/>
          <w:sz w:val="32"/>
          <w:szCs w:val="32"/>
          <w:highlight w:val="none"/>
        </w:rPr>
        <w:br w:type="page"/>
      </w:r>
    </w:p>
    <w:p>
      <w:pPr>
        <w:pStyle w:val="68"/>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r>
        <w:rPr>
          <w:rFonts w:hint="eastAsia" w:ascii="仿宋" w:hAnsi="仿宋" w:eastAsia="仿宋" w:cs="仿宋"/>
          <w:b/>
          <w:i w:val="0"/>
          <w:iCs w:val="0"/>
          <w:color w:val="auto"/>
          <w:kern w:val="0"/>
          <w:sz w:val="32"/>
          <w:szCs w:val="32"/>
          <w:highlight w:val="none"/>
        </w:rPr>
        <w:t xml:space="preserve">第五章  </w:t>
      </w:r>
      <w:bookmarkStart w:id="454" w:name="_Toc58504670"/>
      <w:bookmarkStart w:id="455" w:name="_Toc58504449"/>
      <w:r>
        <w:rPr>
          <w:rFonts w:hint="eastAsia" w:ascii="仿宋" w:hAnsi="仿宋" w:eastAsia="仿宋" w:cs="仿宋"/>
          <w:b/>
          <w:i w:val="0"/>
          <w:iCs w:val="0"/>
          <w:color w:val="auto"/>
          <w:kern w:val="0"/>
          <w:sz w:val="32"/>
          <w:szCs w:val="32"/>
          <w:highlight w:val="none"/>
        </w:rPr>
        <w:t>谈判响应文件格式</w:t>
      </w:r>
      <w:bookmarkEnd w:id="449"/>
      <w:bookmarkEnd w:id="450"/>
      <w:bookmarkEnd w:id="451"/>
      <w:bookmarkEnd w:id="452"/>
      <w:bookmarkEnd w:id="454"/>
      <w:bookmarkEnd w:id="455"/>
    </w:p>
    <w:p>
      <w:pPr>
        <w:pStyle w:val="23"/>
        <w:rPr>
          <w:rFonts w:hint="eastAsia" w:ascii="仿宋" w:hAnsi="仿宋" w:eastAsia="仿宋" w:cs="仿宋"/>
          <w:b/>
          <w:i w:val="0"/>
          <w:iCs w:val="0"/>
          <w:color w:val="auto"/>
          <w:kern w:val="0"/>
          <w:sz w:val="30"/>
          <w:szCs w:val="30"/>
          <w:highlight w:val="none"/>
        </w:rPr>
      </w:pPr>
      <w:r>
        <w:rPr>
          <w:rFonts w:hint="eastAsia" w:ascii="仿宋" w:hAnsi="仿宋" w:eastAsia="仿宋" w:cs="仿宋"/>
          <w:i w:val="0"/>
          <w:iCs w:val="0"/>
          <w:color w:val="auto"/>
          <w:highlight w:val="none"/>
        </w:rPr>
        <w:br w:type="page"/>
      </w:r>
    </w:p>
    <w:p>
      <w:pPr>
        <w:rPr>
          <w:rFonts w:hint="eastAsia" w:ascii="仿宋" w:hAnsi="仿宋" w:eastAsia="仿宋" w:cs="仿宋"/>
        </w:rPr>
      </w:pPr>
    </w:p>
    <w:p>
      <w:pPr>
        <w:autoSpaceDE w:val="0"/>
        <w:autoSpaceDN w:val="0"/>
        <w:adjustRightInd w:val="0"/>
        <w:snapToGrid w:val="0"/>
        <w:spacing w:line="360" w:lineRule="auto"/>
        <w:jc w:val="righ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正本/副本</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政府采购项目</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采购项目编号：SCZK2022-JT-0036/016</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44"/>
          <w:szCs w:val="44"/>
          <w:highlight w:val="none"/>
          <w:lang w:eastAsia="zh-CN"/>
        </w:rPr>
      </w:pPr>
      <w:r>
        <w:rPr>
          <w:rFonts w:hint="eastAsia" w:ascii="仿宋" w:hAnsi="仿宋" w:eastAsia="仿宋" w:cs="仿宋"/>
          <w:b/>
          <w:bCs/>
          <w:i w:val="0"/>
          <w:iCs w:val="0"/>
          <w:color w:val="auto"/>
          <w:sz w:val="44"/>
          <w:szCs w:val="44"/>
          <w:highlight w:val="none"/>
          <w:lang w:eastAsia="zh-CN"/>
        </w:rPr>
        <w:t>神木市医院HIS、电子病历及互联互通信息平台维保采购项目</w:t>
      </w: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6"/>
          <w:szCs w:val="36"/>
          <w:highlight w:val="none"/>
          <w:lang w:val="zh-CN"/>
        </w:rPr>
      </w:pPr>
    </w:p>
    <w:p>
      <w:pPr>
        <w:tabs>
          <w:tab w:val="left" w:pos="5670"/>
        </w:tabs>
        <w:autoSpaceDE w:val="0"/>
        <w:autoSpaceDN w:val="0"/>
        <w:adjustRightInd w:val="0"/>
        <w:snapToGrid w:val="0"/>
        <w:spacing w:line="360" w:lineRule="auto"/>
        <w:jc w:val="center"/>
        <w:outlineLvl w:val="1"/>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谈判响应文件</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u w:val="single"/>
        </w:rPr>
        <w:t xml:space="preserve">           </w:t>
      </w:r>
      <w:r>
        <w:rPr>
          <w:rFonts w:hint="eastAsia" w:ascii="仿宋" w:hAnsi="仿宋" w:eastAsia="仿宋" w:cs="仿宋"/>
          <w:b/>
          <w:bCs/>
          <w:i w:val="0"/>
          <w:iCs w:val="0"/>
          <w:color w:val="auto"/>
          <w:sz w:val="32"/>
          <w:szCs w:val="32"/>
          <w:highlight w:val="none"/>
        </w:rPr>
        <w:t xml:space="preserve">   </w:t>
      </w:r>
    </w:p>
    <w:p>
      <w:pPr>
        <w:autoSpaceDE w:val="0"/>
        <w:autoSpaceDN w:val="0"/>
        <w:adjustRightInd w:val="0"/>
        <w:snapToGrid w:val="0"/>
        <w:spacing w:line="360" w:lineRule="auto"/>
        <w:rPr>
          <w:rFonts w:hint="eastAsia" w:ascii="仿宋" w:hAnsi="仿宋" w:eastAsia="仿宋" w:cs="仿宋"/>
          <w:i w:val="0"/>
          <w:iCs w:val="0"/>
          <w:color w:val="auto"/>
          <w:sz w:val="30"/>
          <w:szCs w:val="30"/>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i w:val="0"/>
          <w:iCs w:val="0"/>
          <w:color w:val="auto"/>
          <w:sz w:val="30"/>
          <w:szCs w:val="30"/>
          <w:highlight w:val="none"/>
        </w:rPr>
        <w:t xml:space="preserve">      </w:t>
      </w:r>
      <w:r>
        <w:rPr>
          <w:rFonts w:hint="eastAsia" w:ascii="仿宋" w:hAnsi="仿宋" w:eastAsia="仿宋" w:cs="仿宋"/>
          <w:b/>
          <w:bCs/>
          <w:i w:val="0"/>
          <w:iCs w:val="0"/>
          <w:color w:val="auto"/>
          <w:sz w:val="32"/>
          <w:szCs w:val="32"/>
          <w:highlight w:val="none"/>
          <w:lang w:val="zh-CN"/>
        </w:rPr>
        <w:t>供应商：</w:t>
      </w:r>
      <w:r>
        <w:rPr>
          <w:rFonts w:hint="eastAsia" w:ascii="仿宋" w:hAnsi="仿宋" w:eastAsia="仿宋" w:cs="仿宋"/>
          <w:b/>
          <w:bCs/>
          <w:i w:val="0"/>
          <w:iCs w:val="0"/>
          <w:color w:val="auto"/>
          <w:sz w:val="32"/>
          <w:szCs w:val="32"/>
          <w:highlight w:val="none"/>
          <w:u w:val="single"/>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rPr>
      </w:pPr>
    </w:p>
    <w:p>
      <w:pPr>
        <w:autoSpaceDE w:val="0"/>
        <w:autoSpaceDN w:val="0"/>
        <w:adjustRightInd w:val="0"/>
        <w:snapToGrid w:val="0"/>
        <w:spacing w:line="360" w:lineRule="auto"/>
        <w:ind w:firstLine="964" w:firstLineChars="300"/>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b/>
          <w:bCs/>
          <w:i w:val="0"/>
          <w:iCs w:val="0"/>
          <w:color w:val="auto"/>
          <w:sz w:val="32"/>
          <w:szCs w:val="32"/>
          <w:highlight w:val="none"/>
          <w:lang w:val="zh-CN"/>
        </w:rPr>
        <w:t>时</w:t>
      </w:r>
      <w:r>
        <w:rPr>
          <w:rFonts w:hint="eastAsia" w:ascii="仿宋" w:hAnsi="仿宋" w:eastAsia="仿宋" w:cs="仿宋"/>
          <w:b/>
          <w:bCs/>
          <w:i w:val="0"/>
          <w:iCs w:val="0"/>
          <w:color w:val="auto"/>
          <w:sz w:val="32"/>
          <w:szCs w:val="32"/>
          <w:highlight w:val="none"/>
        </w:rPr>
        <w:t xml:space="preserve">  </w:t>
      </w:r>
      <w:r>
        <w:rPr>
          <w:rFonts w:hint="eastAsia" w:ascii="仿宋" w:hAnsi="仿宋" w:eastAsia="仿宋" w:cs="仿宋"/>
          <w:b/>
          <w:bCs/>
          <w:i w:val="0"/>
          <w:iCs w:val="0"/>
          <w:color w:val="auto"/>
          <w:sz w:val="32"/>
          <w:szCs w:val="32"/>
          <w:highlight w:val="none"/>
          <w:lang w:val="zh-CN"/>
        </w:rPr>
        <w:t>间：</w:t>
      </w:r>
      <w:r>
        <w:rPr>
          <w:rFonts w:hint="eastAsia" w:ascii="仿宋" w:hAnsi="仿宋" w:eastAsia="仿宋" w:cs="仿宋"/>
          <w:b/>
          <w:bCs/>
          <w:i w:val="0"/>
          <w:iCs w:val="0"/>
          <w:color w:val="auto"/>
          <w:sz w:val="32"/>
          <w:szCs w:val="32"/>
          <w:highlight w:val="none"/>
          <w:u w:val="single"/>
        </w:rPr>
        <w:t xml:space="preserve">                   </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widowControl/>
        <w:jc w:val="left"/>
        <w:rPr>
          <w:rFonts w:hint="eastAsia" w:ascii="仿宋" w:hAnsi="仿宋" w:eastAsia="仿宋" w:cs="仿宋"/>
          <w:b/>
          <w:bCs/>
          <w:i w:val="0"/>
          <w:iCs w:val="0"/>
          <w:color w:val="auto"/>
          <w:sz w:val="32"/>
          <w:szCs w:val="32"/>
          <w:highlight w:val="none"/>
        </w:rPr>
      </w:pP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目  录</w:t>
      </w:r>
    </w:p>
    <w:p>
      <w:pPr>
        <w:pStyle w:val="23"/>
        <w:rPr>
          <w:rFonts w:hint="eastAsia" w:ascii="仿宋" w:hAnsi="仿宋" w:eastAsia="仿宋" w:cs="仿宋"/>
          <w:i w:val="0"/>
          <w:iCs w:val="0"/>
          <w:color w:val="auto"/>
          <w:highlight w:val="none"/>
        </w:rPr>
      </w:pPr>
    </w:p>
    <w:p>
      <w:pPr>
        <w:pStyle w:val="23"/>
        <w:ind w:firstLine="480" w:firstLineChars="200"/>
        <w:rPr>
          <w:rFonts w:hint="eastAsia" w:ascii="仿宋" w:hAnsi="仿宋" w:eastAsia="仿宋" w:cs="仿宋"/>
          <w:sz w:val="24"/>
        </w:rPr>
      </w:pPr>
      <w:r>
        <w:rPr>
          <w:rFonts w:hint="eastAsia" w:ascii="仿宋" w:hAnsi="仿宋" w:eastAsia="仿宋" w:cs="仿宋"/>
          <w:sz w:val="24"/>
        </w:rPr>
        <w:t>第一部分  谈判响应函</w:t>
      </w:r>
    </w:p>
    <w:p>
      <w:pPr>
        <w:pStyle w:val="23"/>
        <w:ind w:firstLine="480" w:firstLineChars="200"/>
        <w:rPr>
          <w:rFonts w:hint="eastAsia" w:ascii="仿宋" w:hAnsi="仿宋" w:eastAsia="仿宋" w:cs="仿宋"/>
          <w:sz w:val="24"/>
        </w:rPr>
      </w:pPr>
      <w:r>
        <w:rPr>
          <w:rFonts w:hint="eastAsia" w:ascii="仿宋" w:hAnsi="仿宋" w:eastAsia="仿宋" w:cs="仿宋"/>
          <w:sz w:val="24"/>
        </w:rPr>
        <w:t xml:space="preserve">第二部分  谈判响应报价表 </w:t>
      </w:r>
    </w:p>
    <w:p>
      <w:pPr>
        <w:pStyle w:val="23"/>
        <w:ind w:firstLine="480" w:firstLineChars="200"/>
        <w:rPr>
          <w:rFonts w:hint="eastAsia" w:ascii="仿宋" w:hAnsi="仿宋" w:eastAsia="仿宋" w:cs="仿宋"/>
          <w:sz w:val="24"/>
        </w:rPr>
      </w:pPr>
      <w:r>
        <w:rPr>
          <w:rFonts w:hint="eastAsia" w:ascii="仿宋" w:hAnsi="仿宋" w:eastAsia="仿宋" w:cs="仿宋"/>
          <w:sz w:val="24"/>
        </w:rPr>
        <w:t>第三部分  偏离表</w:t>
      </w:r>
    </w:p>
    <w:p>
      <w:pPr>
        <w:pStyle w:val="23"/>
        <w:ind w:firstLine="480" w:firstLineChars="200"/>
        <w:rPr>
          <w:rFonts w:hint="eastAsia" w:ascii="仿宋" w:hAnsi="仿宋" w:eastAsia="仿宋" w:cs="仿宋"/>
          <w:sz w:val="24"/>
        </w:rPr>
      </w:pPr>
      <w:r>
        <w:rPr>
          <w:rFonts w:hint="eastAsia" w:ascii="仿宋" w:hAnsi="仿宋" w:eastAsia="仿宋" w:cs="仿宋"/>
          <w:sz w:val="24"/>
        </w:rPr>
        <w:t>第四部分  响应方案说明</w:t>
      </w:r>
    </w:p>
    <w:p>
      <w:pPr>
        <w:pStyle w:val="23"/>
        <w:ind w:firstLine="480" w:firstLineChars="200"/>
        <w:rPr>
          <w:rFonts w:hint="eastAsia" w:ascii="仿宋" w:hAnsi="仿宋" w:eastAsia="仿宋" w:cs="仿宋"/>
          <w:sz w:val="24"/>
        </w:rPr>
      </w:pPr>
      <w:r>
        <w:rPr>
          <w:rFonts w:hint="eastAsia" w:ascii="仿宋" w:hAnsi="仿宋" w:eastAsia="仿宋" w:cs="仿宋"/>
          <w:sz w:val="24"/>
        </w:rPr>
        <w:t>第五部分  身份证明文件</w:t>
      </w:r>
    </w:p>
    <w:p>
      <w:pPr>
        <w:pStyle w:val="23"/>
        <w:ind w:firstLine="480" w:firstLineChars="200"/>
        <w:rPr>
          <w:rFonts w:hint="eastAsia" w:ascii="仿宋" w:hAnsi="仿宋" w:eastAsia="仿宋" w:cs="仿宋"/>
          <w:sz w:val="24"/>
        </w:rPr>
      </w:pPr>
      <w:r>
        <w:rPr>
          <w:rFonts w:hint="eastAsia" w:ascii="仿宋" w:hAnsi="仿宋" w:eastAsia="仿宋" w:cs="仿宋"/>
          <w:sz w:val="24"/>
        </w:rPr>
        <w:t>第六部分  资格证明文件</w:t>
      </w:r>
    </w:p>
    <w:p>
      <w:pPr>
        <w:pStyle w:val="23"/>
        <w:ind w:firstLine="480" w:firstLineChars="200"/>
        <w:rPr>
          <w:rFonts w:hint="eastAsia" w:ascii="仿宋" w:hAnsi="仿宋" w:eastAsia="仿宋" w:cs="仿宋"/>
          <w:sz w:val="24"/>
        </w:rPr>
      </w:pPr>
      <w:r>
        <w:rPr>
          <w:rFonts w:hint="eastAsia" w:ascii="仿宋" w:hAnsi="仿宋" w:eastAsia="仿宋" w:cs="仿宋"/>
          <w:sz w:val="24"/>
        </w:rPr>
        <w:t>第七部分  小微企业、监狱企业、残疾人福利单位声明函或证明</w:t>
      </w:r>
    </w:p>
    <w:p>
      <w:pPr>
        <w:widowControl/>
        <w:jc w:val="left"/>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第一部分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谈判响应函</w:t>
      </w:r>
    </w:p>
    <w:p>
      <w:pPr>
        <w:autoSpaceDE w:val="0"/>
        <w:autoSpaceDN w:val="0"/>
        <w:adjustRightInd w:val="0"/>
        <w:snapToGrid w:val="0"/>
        <w:spacing w:line="312" w:lineRule="auto"/>
        <w:rPr>
          <w:rFonts w:hint="eastAsia" w:ascii="仿宋" w:hAnsi="仿宋" w:eastAsia="仿宋" w:cs="仿宋"/>
          <w:b/>
          <w:bCs/>
          <w:i w:val="0"/>
          <w:iCs w:val="0"/>
          <w:color w:val="auto"/>
          <w:sz w:val="24"/>
          <w:highlight w:val="none"/>
          <w:lang w:val="zh-CN"/>
        </w:rPr>
      </w:pPr>
    </w:p>
    <w:p>
      <w:pPr>
        <w:autoSpaceDE w:val="0"/>
        <w:autoSpaceDN w:val="0"/>
        <w:adjustRightInd w:val="0"/>
        <w:snapToGrid w:val="0"/>
        <w:spacing w:line="312" w:lineRule="auto"/>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我单位收到贵公司</w:t>
      </w:r>
      <w:r>
        <w:rPr>
          <w:rFonts w:hint="eastAsia" w:ascii="仿宋" w:hAnsi="仿宋" w:eastAsia="仿宋" w:cs="仿宋"/>
          <w:i w:val="0"/>
          <w:iCs w:val="0"/>
          <w:color w:val="auto"/>
          <w:sz w:val="24"/>
          <w:highlight w:val="none"/>
          <w:u w:val="single"/>
          <w:lang w:val="zh-CN"/>
        </w:rPr>
        <w:t xml:space="preserve">   （项目名称    ）</w:t>
      </w:r>
      <w:r>
        <w:rPr>
          <w:rFonts w:hint="eastAsia" w:ascii="仿宋" w:hAnsi="仿宋" w:eastAsia="仿宋" w:cs="仿宋"/>
          <w:i w:val="0"/>
          <w:iCs w:val="0"/>
          <w:color w:val="auto"/>
          <w:sz w:val="24"/>
          <w:highlight w:val="none"/>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w:t>
      </w:r>
      <w:r>
        <w:rPr>
          <w:rFonts w:hint="eastAsia" w:ascii="仿宋" w:hAnsi="仿宋" w:eastAsia="仿宋" w:cs="仿宋"/>
          <w:i w:val="0"/>
          <w:iCs w:val="0"/>
          <w:color w:val="auto"/>
          <w:sz w:val="24"/>
          <w:highlight w:val="none"/>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w:t>
      </w:r>
      <w:r>
        <w:rPr>
          <w:rFonts w:hint="eastAsia" w:ascii="仿宋" w:hAnsi="仿宋" w:eastAsia="仿宋" w:cs="仿宋"/>
          <w:i w:val="0"/>
          <w:iCs w:val="0"/>
          <w:color w:val="auto"/>
          <w:sz w:val="24"/>
          <w:highlight w:val="none"/>
          <w:lang w:val="zh-CN"/>
        </w:rPr>
        <w:t>、按竞争性谈判文件的规定，我公司的首次谈判响应报价为人民币（大写）：</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元），并对其后的谈判报价负法律责任。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w:t>
      </w:r>
      <w:r>
        <w:rPr>
          <w:rFonts w:hint="eastAsia" w:ascii="仿宋" w:hAnsi="仿宋" w:eastAsia="仿宋" w:cs="仿宋"/>
          <w:i w:val="0"/>
          <w:iCs w:val="0"/>
          <w:color w:val="auto"/>
          <w:sz w:val="24"/>
          <w:highlight w:val="none"/>
          <w:lang w:val="zh-CN"/>
        </w:rPr>
        <w:t>、我方提交的响应文件正本一份、副本</w:t>
      </w:r>
      <w:r>
        <w:rPr>
          <w:rFonts w:hint="eastAsia" w:ascii="仿宋" w:hAnsi="仿宋" w:eastAsia="仿宋" w:cs="仿宋"/>
          <w:i w:val="0"/>
          <w:iCs w:val="0"/>
          <w:color w:val="auto"/>
          <w:sz w:val="24"/>
          <w:highlight w:val="none"/>
          <w:u w:val="single"/>
          <w:lang w:val="zh-CN"/>
        </w:rPr>
        <w:t xml:space="preserve"> 两 </w:t>
      </w:r>
      <w:r>
        <w:rPr>
          <w:rFonts w:hint="eastAsia" w:ascii="仿宋" w:hAnsi="仿宋" w:eastAsia="仿宋" w:cs="仿宋"/>
          <w:i w:val="0"/>
          <w:iCs w:val="0"/>
          <w:color w:val="auto"/>
          <w:sz w:val="24"/>
          <w:highlight w:val="none"/>
          <w:lang w:val="zh-CN"/>
        </w:rPr>
        <w:t>份。</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四</w:t>
      </w:r>
      <w:r>
        <w:rPr>
          <w:rFonts w:hint="eastAsia" w:ascii="仿宋" w:hAnsi="仿宋" w:eastAsia="仿宋" w:cs="仿宋"/>
          <w:i w:val="0"/>
          <w:iCs w:val="0"/>
          <w:color w:val="auto"/>
          <w:sz w:val="24"/>
          <w:highlight w:val="none"/>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五、如果我方在谈判有效期内撤回响应文件，则响应保证金将被贵方不予退还。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六</w:t>
      </w:r>
      <w:r>
        <w:rPr>
          <w:rFonts w:hint="eastAsia" w:ascii="仿宋" w:hAnsi="仿宋" w:eastAsia="仿宋" w:cs="仿宋"/>
          <w:i w:val="0"/>
          <w:iCs w:val="0"/>
          <w:color w:val="auto"/>
          <w:sz w:val="24"/>
          <w:highlight w:val="none"/>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七、我方的响应文件有效期为自谈判之日起</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rPr>
        <w:t xml:space="preserve">60 </w:t>
      </w:r>
      <w:r>
        <w:rPr>
          <w:rFonts w:hint="eastAsia" w:ascii="仿宋" w:hAnsi="仿宋" w:eastAsia="仿宋" w:cs="仿宋"/>
          <w:i w:val="0"/>
          <w:iCs w:val="0"/>
          <w:color w:val="auto"/>
          <w:sz w:val="24"/>
          <w:highlight w:val="none"/>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八</w:t>
      </w:r>
      <w:r>
        <w:rPr>
          <w:rFonts w:hint="eastAsia" w:ascii="仿宋" w:hAnsi="仿宋" w:eastAsia="仿宋" w:cs="仿宋"/>
          <w:i w:val="0"/>
          <w:iCs w:val="0"/>
          <w:color w:val="auto"/>
          <w:sz w:val="24"/>
          <w:highlight w:val="none"/>
          <w:lang w:val="zh-CN"/>
        </w:rPr>
        <w:t>、如我方成交：</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（2）我方承诺按照谈判文件规定向你方递交履约保证金。作为履行合同的担保。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地</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址：</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开户银行：</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帐</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号：</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rPr>
        <w:t>_____________________</w:t>
      </w:r>
      <w:r>
        <w:rPr>
          <w:rFonts w:hint="eastAsia" w:ascii="仿宋" w:hAnsi="仿宋" w:eastAsia="仿宋" w:cs="仿宋"/>
          <w:i w:val="0"/>
          <w:iCs w:val="0"/>
          <w:color w:val="auto"/>
          <w:sz w:val="24"/>
          <w:highlight w:val="none"/>
          <w:lang w:val="zh-CN"/>
        </w:rPr>
        <w:t>传</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真：</w:t>
      </w:r>
      <w:r>
        <w:rPr>
          <w:rFonts w:hint="eastAsia" w:ascii="仿宋" w:hAnsi="仿宋" w:eastAsia="仿宋" w:cs="仿宋"/>
          <w:i w:val="0"/>
          <w:iCs w:val="0"/>
          <w:color w:val="auto"/>
          <w:sz w:val="24"/>
          <w:highlight w:val="none"/>
        </w:rPr>
        <w:t>________________</w:t>
      </w:r>
    </w:p>
    <w:p>
      <w:pPr>
        <w:pStyle w:val="23"/>
        <w:rPr>
          <w:rFonts w:hint="eastAsia" w:ascii="仿宋" w:hAnsi="仿宋" w:eastAsia="仿宋" w:cs="仿宋"/>
          <w:i w:val="0"/>
          <w:iCs w:val="0"/>
          <w:color w:val="auto"/>
          <w:highlight w:val="none"/>
        </w:rPr>
      </w:pPr>
    </w:p>
    <w:p>
      <w:pPr>
        <w:autoSpaceDE w:val="0"/>
        <w:autoSpaceDN w:val="0"/>
        <w:adjustRightInd w:val="0"/>
        <w:snapToGrid w:val="0"/>
        <w:spacing w:line="312" w:lineRule="auto"/>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供应商全称（公章）：</w:t>
      </w:r>
    </w:p>
    <w:p>
      <w:pPr>
        <w:pStyle w:val="23"/>
        <w:rPr>
          <w:rFonts w:hint="eastAsia" w:ascii="仿宋" w:hAnsi="仿宋" w:eastAsia="仿宋" w:cs="仿宋"/>
          <w:i w:val="0"/>
          <w:iCs w:val="0"/>
          <w:color w:val="auto"/>
          <w:highlight w:val="none"/>
          <w:lang w:val="zh-CN"/>
        </w:rPr>
      </w:pP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法定代表人或授权代表（签字）：</w:t>
      </w:r>
      <w:r>
        <w:rPr>
          <w:rFonts w:hint="eastAsia" w:ascii="仿宋" w:hAnsi="仿宋" w:eastAsia="仿宋" w:cs="仿宋"/>
          <w:i w:val="0"/>
          <w:iCs w:val="0"/>
          <w:color w:val="auto"/>
          <w:sz w:val="24"/>
          <w:highlight w:val="none"/>
        </w:rPr>
        <w:t>______________________________</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                 _____</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日</w:t>
      </w:r>
    </w:p>
    <w:p>
      <w:pPr>
        <w:pStyle w:val="4"/>
        <w:jc w:val="center"/>
        <w:rPr>
          <w:rFonts w:hint="eastAsia" w:ascii="仿宋" w:hAnsi="仿宋" w:eastAsia="仿宋" w:cs="仿宋"/>
          <w:b/>
          <w:bCs/>
          <w:i w:val="0"/>
          <w:iCs w:val="0"/>
          <w:color w:val="auto"/>
          <w:highlight w:val="none"/>
        </w:rPr>
      </w:pPr>
      <w:bookmarkStart w:id="456" w:name="_Hlt520356241"/>
      <w:bookmarkEnd w:id="456"/>
      <w:r>
        <w:rPr>
          <w:rFonts w:hint="eastAsia" w:ascii="仿宋" w:hAnsi="仿宋" w:eastAsia="仿宋" w:cs="仿宋"/>
          <w:i w:val="0"/>
          <w:iCs w:val="0"/>
          <w:color w:val="auto"/>
          <w:sz w:val="24"/>
          <w:highlight w:val="none"/>
        </w:rPr>
        <w:br w:type="page"/>
      </w:r>
      <w:bookmarkStart w:id="457" w:name="_Toc232176284"/>
      <w:bookmarkStart w:id="458" w:name="_Toc230583554"/>
      <w:bookmarkStart w:id="459" w:name="_Toc230013640"/>
      <w:bookmarkStart w:id="460" w:name="_Toc8496"/>
      <w:bookmarkStart w:id="461" w:name="_Toc415499901"/>
      <w:bookmarkStart w:id="462" w:name="_Toc256342154"/>
      <w:bookmarkStart w:id="463" w:name="_Toc249515371"/>
      <w:bookmarkStart w:id="464" w:name="_Toc230099805"/>
      <w:bookmarkStart w:id="465" w:name="_Toc232395224"/>
      <w:bookmarkStart w:id="466" w:name="_Toc249525252"/>
      <w:r>
        <w:rPr>
          <w:rFonts w:hint="eastAsia" w:ascii="仿宋" w:hAnsi="仿宋" w:eastAsia="仿宋" w:cs="仿宋"/>
          <w:b/>
          <w:bCs/>
          <w:i w:val="0"/>
          <w:iCs w:val="0"/>
          <w:color w:val="auto"/>
          <w:highlight w:val="none"/>
          <w:lang w:val="zh-CN"/>
        </w:rPr>
        <w:t>第二部分</w:t>
      </w:r>
      <w:r>
        <w:rPr>
          <w:rFonts w:hint="eastAsia" w:ascii="仿宋" w:hAnsi="仿宋" w:eastAsia="仿宋" w:cs="仿宋"/>
          <w:b/>
          <w:bCs/>
          <w:i w:val="0"/>
          <w:iCs w:val="0"/>
          <w:color w:val="auto"/>
          <w:highlight w:val="none"/>
        </w:rPr>
        <w:t xml:space="preserve">  谈判响应报价表 </w:t>
      </w:r>
    </w:p>
    <w:p>
      <w:pPr>
        <w:pStyle w:val="23"/>
        <w:rPr>
          <w:rFonts w:hint="eastAsia" w:ascii="仿宋" w:hAnsi="仿宋" w:eastAsia="仿宋" w:cs="仿宋"/>
          <w:i w:val="0"/>
          <w:iCs w:val="0"/>
          <w:color w:val="auto"/>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（首次）谈判响应报价表</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项目名称：</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lang w:eastAsia="zh-CN"/>
              </w:rPr>
              <w:t>服务</w:t>
            </w:r>
            <w:r>
              <w:rPr>
                <w:rFonts w:hint="eastAsia" w:ascii="仿宋" w:hAnsi="仿宋" w:eastAsia="仿宋" w:cs="仿宋"/>
                <w:b/>
                <w:i w:val="0"/>
                <w:iCs w:val="0"/>
                <w:color w:val="auto"/>
                <w:sz w:val="24"/>
                <w:highlight w:val="none"/>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lang w:eastAsia="zh-CN"/>
              </w:rPr>
              <w:t>服务</w:t>
            </w:r>
            <w:r>
              <w:rPr>
                <w:rFonts w:hint="eastAsia" w:ascii="仿宋" w:hAnsi="仿宋" w:eastAsia="仿宋" w:cs="仿宋"/>
                <w:b/>
                <w:i w:val="0"/>
                <w:iCs w:val="0"/>
                <w:color w:val="auto"/>
                <w:sz w:val="24"/>
                <w:highlight w:val="none"/>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（公章）：                            （签字）：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（首次）分项报价表</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adjustRightInd w:val="0"/>
        <w:snapToGrid w:val="0"/>
        <w:spacing w:line="360" w:lineRule="auto"/>
        <w:jc w:val="center"/>
        <w:rPr>
          <w:rFonts w:hint="eastAsia" w:ascii="仿宋" w:hAnsi="仿宋" w:eastAsia="仿宋" w:cs="仿宋"/>
          <w:b/>
          <w:i w:val="0"/>
          <w:iCs w:val="0"/>
          <w:color w:val="auto"/>
          <w:sz w:val="42"/>
          <w:highlight w:val="none"/>
        </w:rPr>
      </w:pPr>
    </w:p>
    <w:p>
      <w:pP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57"/>
    <w:bookmarkEnd w:id="458"/>
    <w:bookmarkEnd w:id="459"/>
    <w:bookmarkEnd w:id="460"/>
    <w:bookmarkEnd w:id="461"/>
    <w:bookmarkEnd w:id="462"/>
    <w:bookmarkEnd w:id="463"/>
    <w:bookmarkEnd w:id="464"/>
    <w:bookmarkEnd w:id="465"/>
    <w:bookmarkEnd w:id="466"/>
    <w:p>
      <w:pPr>
        <w:pStyle w:val="4"/>
        <w:jc w:val="center"/>
        <w:rPr>
          <w:rFonts w:hint="eastAsia" w:ascii="仿宋" w:hAnsi="仿宋" w:eastAsia="仿宋" w:cs="仿宋"/>
          <w:i w:val="0"/>
          <w:iCs w:val="0"/>
          <w:color w:val="auto"/>
          <w:highlight w:val="none"/>
        </w:rPr>
      </w:pPr>
      <w:bookmarkStart w:id="467" w:name="_Toc500747234"/>
      <w:bookmarkStart w:id="468" w:name="_Toc184043059"/>
      <w:bookmarkStart w:id="469" w:name="_Toc500747011"/>
      <w:bookmarkStart w:id="470" w:name="_Toc53722866"/>
      <w:bookmarkStart w:id="471" w:name="_Toc230099806"/>
      <w:bookmarkStart w:id="472" w:name="_Toc499711929"/>
      <w:bookmarkStart w:id="473" w:name="_Toc500747107"/>
      <w:bookmarkStart w:id="474" w:name="_Toc249525253"/>
      <w:bookmarkStart w:id="475" w:name="_Toc256342155"/>
      <w:bookmarkStart w:id="476" w:name="_Toc415499902"/>
      <w:bookmarkStart w:id="477" w:name="_Toc503063459"/>
      <w:bookmarkStart w:id="478" w:name="_Toc389620242"/>
      <w:bookmarkStart w:id="479" w:name="_Toc230013641"/>
      <w:bookmarkStart w:id="480" w:name="_Toc177189246"/>
      <w:bookmarkStart w:id="481" w:name="_Toc232395225"/>
      <w:bookmarkStart w:id="482" w:name="_Toc492955460"/>
      <w:bookmarkStart w:id="483" w:name="_Toc70687203"/>
      <w:bookmarkStart w:id="484" w:name="_Toc225933091"/>
      <w:bookmarkStart w:id="485" w:name="_Toc496324624"/>
      <w:bookmarkStart w:id="486" w:name="_Toc230583555"/>
      <w:bookmarkStart w:id="487" w:name="_Toc176882553"/>
      <w:bookmarkStart w:id="488" w:name="_Toc499711088"/>
      <w:bookmarkStart w:id="489" w:name="_Toc385992402"/>
      <w:bookmarkStart w:id="490" w:name="_Toc232176285"/>
      <w:bookmarkStart w:id="491" w:name="_Toc249515372"/>
      <w:bookmarkStart w:id="492" w:name="_Toc83547687"/>
      <w:bookmarkStart w:id="493" w:name="_Toc177995484"/>
      <w:bookmarkStart w:id="494" w:name="_Toc177817345"/>
      <w:r>
        <w:rPr>
          <w:rFonts w:hint="eastAsia" w:ascii="仿宋" w:hAnsi="仿宋" w:eastAsia="仿宋" w:cs="仿宋"/>
          <w:b/>
          <w:bCs/>
          <w:i w:val="0"/>
          <w:iCs w:val="0"/>
          <w:color w:val="auto"/>
          <w:highlight w:val="none"/>
        </w:rPr>
        <w:t>第三部分  偏离表</w:t>
      </w:r>
    </w:p>
    <w:p>
      <w:pPr>
        <w:pStyle w:val="5"/>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一、商务、合同条款偏离表</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9"/>
        <w:ind w:right="5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highlight w:val="none"/>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序号</w:t>
            </w:r>
          </w:p>
        </w:tc>
        <w:tc>
          <w:tcPr>
            <w:tcW w:w="283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谈判文件商务、合同条款</w:t>
            </w:r>
          </w:p>
        </w:tc>
        <w:tc>
          <w:tcPr>
            <w:tcW w:w="1701"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完全响应</w:t>
            </w:r>
          </w:p>
        </w:tc>
        <w:tc>
          <w:tcPr>
            <w:tcW w:w="1417"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有偏离</w:t>
            </w:r>
          </w:p>
        </w:tc>
        <w:tc>
          <w:tcPr>
            <w:tcW w:w="2195" w:type="dxa"/>
            <w:vAlign w:val="center"/>
          </w:tcPr>
          <w:p>
            <w:pPr>
              <w:pStyle w:val="29"/>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jc w:val="center"/>
              <w:rPr>
                <w:rFonts w:hint="eastAsia" w:ascii="仿宋" w:hAnsi="仿宋" w:eastAsia="仿宋" w:cs="仿宋"/>
                <w:i w:val="0"/>
                <w:iCs w:val="0"/>
                <w:color w:val="auto"/>
                <w:sz w:val="24"/>
                <w:szCs w:val="24"/>
                <w:highlight w:val="none"/>
              </w:rPr>
            </w:pPr>
          </w:p>
        </w:tc>
        <w:tc>
          <w:tcPr>
            <w:tcW w:w="2835" w:type="dxa"/>
          </w:tcPr>
          <w:p>
            <w:pPr>
              <w:pStyle w:val="29"/>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w:t>
            </w:r>
            <w:r>
              <w:rPr>
                <w:rFonts w:hint="eastAsia" w:ascii="仿宋" w:hAnsi="仿宋" w:eastAsia="仿宋" w:cs="仿宋"/>
                <w:i w:val="0"/>
                <w:iCs w:val="0"/>
                <w:color w:val="auto"/>
                <w:sz w:val="24"/>
                <w:szCs w:val="24"/>
                <w:highlight w:val="none"/>
                <w:lang w:eastAsia="zh-CN"/>
              </w:rPr>
              <w:t>服务</w:t>
            </w:r>
            <w:r>
              <w:rPr>
                <w:rFonts w:hint="eastAsia" w:ascii="仿宋" w:hAnsi="仿宋" w:eastAsia="仿宋" w:cs="仿宋"/>
                <w:i w:val="0"/>
                <w:iCs w:val="0"/>
                <w:color w:val="auto"/>
                <w:sz w:val="24"/>
                <w:szCs w:val="24"/>
                <w:highlight w:val="none"/>
              </w:rPr>
              <w:t>地点)</w:t>
            </w:r>
          </w:p>
        </w:tc>
        <w:tc>
          <w:tcPr>
            <w:tcW w:w="1701" w:type="dxa"/>
          </w:tcPr>
          <w:p>
            <w:pPr>
              <w:pStyle w:val="29"/>
              <w:jc w:val="center"/>
              <w:rPr>
                <w:rFonts w:hint="eastAsia" w:ascii="仿宋" w:hAnsi="仿宋" w:eastAsia="仿宋" w:cs="仿宋"/>
                <w:i w:val="0"/>
                <w:iCs w:val="0"/>
                <w:color w:val="auto"/>
                <w:sz w:val="24"/>
                <w:szCs w:val="24"/>
                <w:highlight w:val="none"/>
              </w:rPr>
            </w:pPr>
          </w:p>
        </w:tc>
        <w:tc>
          <w:tcPr>
            <w:tcW w:w="1417" w:type="dxa"/>
          </w:tcPr>
          <w:p>
            <w:pPr>
              <w:pStyle w:val="29"/>
              <w:jc w:val="center"/>
              <w:rPr>
                <w:rFonts w:hint="eastAsia" w:ascii="仿宋" w:hAnsi="仿宋" w:eastAsia="仿宋" w:cs="仿宋"/>
                <w:i w:val="0"/>
                <w:iCs w:val="0"/>
                <w:color w:val="auto"/>
                <w:sz w:val="24"/>
                <w:szCs w:val="24"/>
                <w:highlight w:val="none"/>
              </w:rPr>
            </w:pPr>
          </w:p>
        </w:tc>
        <w:tc>
          <w:tcPr>
            <w:tcW w:w="2195" w:type="dxa"/>
          </w:tcPr>
          <w:p>
            <w:pPr>
              <w:pStyle w:val="29"/>
              <w:jc w:val="center"/>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w:t>
            </w:r>
            <w:r>
              <w:rPr>
                <w:rFonts w:hint="eastAsia" w:ascii="仿宋" w:hAnsi="仿宋" w:eastAsia="仿宋" w:cs="仿宋"/>
                <w:i w:val="0"/>
                <w:iCs w:val="0"/>
                <w:color w:val="auto"/>
                <w:sz w:val="24"/>
                <w:szCs w:val="24"/>
                <w:highlight w:val="none"/>
                <w:lang w:eastAsia="zh-CN"/>
              </w:rPr>
              <w:t>服务</w:t>
            </w:r>
            <w:r>
              <w:rPr>
                <w:rFonts w:hint="eastAsia" w:ascii="仿宋" w:hAnsi="仿宋" w:eastAsia="仿宋" w:cs="仿宋"/>
                <w:bCs/>
                <w:i w:val="0"/>
                <w:iCs w:val="0"/>
                <w:color w:val="auto"/>
                <w:sz w:val="24"/>
                <w:highlight w:val="none"/>
              </w:rPr>
              <w:t>期)</w:t>
            </w:r>
          </w:p>
        </w:tc>
        <w:tc>
          <w:tcPr>
            <w:tcW w:w="1701"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1417" w:type="dxa"/>
          </w:tcPr>
          <w:p>
            <w:pPr>
              <w:pStyle w:val="29"/>
              <w:ind w:left="1080" w:leftChars="257" w:hanging="540"/>
              <w:jc w:val="center"/>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(付款方式)</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质保金</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(质保期)</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9"/>
              <w:ind w:left="1080" w:leftChars="257" w:hanging="540"/>
              <w:rPr>
                <w:rFonts w:hint="eastAsia" w:ascii="仿宋" w:hAnsi="仿宋" w:eastAsia="仿宋" w:cs="仿宋"/>
                <w:i w:val="0"/>
                <w:iCs w:val="0"/>
                <w:color w:val="auto"/>
                <w:sz w:val="24"/>
                <w:szCs w:val="24"/>
                <w:highlight w:val="none"/>
              </w:rPr>
            </w:pPr>
          </w:p>
        </w:tc>
        <w:tc>
          <w:tcPr>
            <w:tcW w:w="2835" w:type="dxa"/>
          </w:tcPr>
          <w:p>
            <w:pPr>
              <w:pStyle w:val="29"/>
              <w:ind w:left="1080" w:leftChars="257" w:hanging="540"/>
              <w:rPr>
                <w:rFonts w:hint="eastAsia" w:ascii="仿宋" w:hAnsi="仿宋" w:eastAsia="仿宋" w:cs="仿宋"/>
                <w:i w:val="0"/>
                <w:iCs w:val="0"/>
                <w:color w:val="auto"/>
                <w:sz w:val="24"/>
                <w:szCs w:val="24"/>
                <w:highlight w:val="none"/>
              </w:rPr>
            </w:pPr>
          </w:p>
        </w:tc>
        <w:tc>
          <w:tcPr>
            <w:tcW w:w="1701" w:type="dxa"/>
          </w:tcPr>
          <w:p>
            <w:pPr>
              <w:pStyle w:val="29"/>
              <w:ind w:left="1080" w:leftChars="257" w:hanging="540"/>
              <w:rPr>
                <w:rFonts w:hint="eastAsia" w:ascii="仿宋" w:hAnsi="仿宋" w:eastAsia="仿宋" w:cs="仿宋"/>
                <w:i w:val="0"/>
                <w:iCs w:val="0"/>
                <w:color w:val="auto"/>
                <w:sz w:val="24"/>
                <w:szCs w:val="24"/>
                <w:highlight w:val="none"/>
              </w:rPr>
            </w:pPr>
          </w:p>
        </w:tc>
        <w:tc>
          <w:tcPr>
            <w:tcW w:w="1417" w:type="dxa"/>
          </w:tcPr>
          <w:p>
            <w:pPr>
              <w:pStyle w:val="29"/>
              <w:ind w:left="1080" w:leftChars="257" w:hanging="540"/>
              <w:rPr>
                <w:rFonts w:hint="eastAsia" w:ascii="仿宋" w:hAnsi="仿宋" w:eastAsia="仿宋" w:cs="仿宋"/>
                <w:i w:val="0"/>
                <w:iCs w:val="0"/>
                <w:color w:val="auto"/>
                <w:sz w:val="24"/>
                <w:szCs w:val="24"/>
                <w:highlight w:val="none"/>
              </w:rPr>
            </w:pPr>
          </w:p>
        </w:tc>
        <w:tc>
          <w:tcPr>
            <w:tcW w:w="2195" w:type="dxa"/>
          </w:tcPr>
          <w:p>
            <w:pPr>
              <w:pStyle w:val="29"/>
              <w:ind w:left="1080" w:leftChars="257" w:hanging="540"/>
              <w:rPr>
                <w:rFonts w:hint="eastAsia" w:ascii="仿宋" w:hAnsi="仿宋" w:eastAsia="仿宋" w:cs="仿宋"/>
                <w:i w:val="0"/>
                <w:iCs w:val="0"/>
                <w:color w:val="auto"/>
                <w:sz w:val="24"/>
                <w:szCs w:val="24"/>
                <w:highlight w:val="none"/>
              </w:rPr>
            </w:pPr>
          </w:p>
        </w:tc>
      </w:tr>
    </w:tbl>
    <w:p>
      <w:pPr>
        <w:pStyle w:val="29"/>
        <w:ind w:left="1080" w:leftChars="257" w:hanging="540"/>
        <w:rPr>
          <w:rFonts w:hint="eastAsia" w:ascii="仿宋" w:hAnsi="仿宋" w:eastAsia="仿宋" w:cs="仿宋"/>
          <w:i w:val="0"/>
          <w:iCs w:val="0"/>
          <w:color w:val="auto"/>
          <w:sz w:val="24"/>
          <w:szCs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320" w:firstLineChars="180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napToGrid w:val="0"/>
        <w:spacing w:after="120" w:afterLines="50"/>
        <w:ind w:left="910" w:leftChars="203" w:hanging="48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注：</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1、对完全响应的，在下表相应列中标注“○”。对有偏离的条目在本表相应列中标注“正偏离”或“负偏离”，并在“偏离简述”栏中加以说明。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2、正偏离是指应答的条件高于谈判文件要求，负偏离是指应答的条件低于谈判文件要求，正偏离项目不作扣分处理。</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3、供应商须完整填写响应表。如果未完整填写本表的各项内容则视作供应商已经对谈判文件相关要求和内容完全理解并同意，其报价为在此基础上的完全价格。</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5"/>
        <w:jc w:val="center"/>
        <w:rPr>
          <w:rFonts w:hint="eastAsia" w:ascii="仿宋" w:hAnsi="仿宋" w:eastAsia="仿宋" w:cs="仿宋"/>
          <w:b/>
          <w:bCs/>
          <w:i w:val="0"/>
          <w:iCs w:val="0"/>
          <w:color w:val="auto"/>
          <w:sz w:val="28"/>
          <w:szCs w:val="28"/>
          <w:highlight w:val="none"/>
        </w:rPr>
      </w:pPr>
      <w:bookmarkStart w:id="495" w:name="_Toc410631184"/>
      <w:bookmarkStart w:id="496" w:name="_Toc414445775"/>
      <w:bookmarkStart w:id="497" w:name="_Toc7005136"/>
      <w:bookmarkStart w:id="498" w:name="_Toc416103825"/>
      <w:r>
        <w:rPr>
          <w:rFonts w:hint="eastAsia" w:ascii="仿宋" w:hAnsi="仿宋" w:eastAsia="仿宋" w:cs="仿宋"/>
          <w:b/>
          <w:bCs/>
          <w:i w:val="0"/>
          <w:iCs w:val="0"/>
          <w:color w:val="auto"/>
          <w:sz w:val="28"/>
          <w:szCs w:val="28"/>
          <w:highlight w:val="none"/>
        </w:rPr>
        <w:t>二、技术偏离表</w:t>
      </w:r>
      <w:bookmarkEnd w:id="495"/>
      <w:bookmarkEnd w:id="496"/>
      <w:bookmarkEnd w:id="497"/>
      <w:bookmarkEnd w:id="498"/>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1"/>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谈判文件条目号</w:t>
            </w:r>
          </w:p>
        </w:tc>
        <w:tc>
          <w:tcPr>
            <w:tcW w:w="1932"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技术条款要求</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完全响应</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有偏离</w:t>
            </w:r>
          </w:p>
        </w:tc>
        <w:tc>
          <w:tcPr>
            <w:tcW w:w="2394"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bl>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pacing w:line="360" w:lineRule="auto"/>
        <w:rPr>
          <w:rFonts w:hint="eastAsia" w:ascii="仿宋" w:hAnsi="仿宋" w:eastAsia="仿宋" w:cs="仿宋"/>
          <w:i w:val="0"/>
          <w:iCs w:val="0"/>
          <w:color w:val="auto"/>
          <w:highlight w:val="none"/>
        </w:rPr>
      </w:pPr>
    </w:p>
    <w:p>
      <w:pPr>
        <w:snapToGrid w:val="0"/>
        <w:spacing w:after="120" w:afterLines="50"/>
        <w:ind w:left="850" w:hanging="850" w:hangingChars="405"/>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注：1.</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正偏离是指应答的条件高于谈判文件要求，负偏离是指应答的条件低于谈判文件要求，正偏离项目不作扣分处理。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供应商须按照用户需求书逐条完整填写响应表。如果未完整填写响应表的各项内容则视作供应商已经对谈判文件相关要求和内容完全理解并同意，其报价为在此基础上的完全价格。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pStyle w:val="4"/>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第四部分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响应方案说明</w:t>
      </w:r>
    </w:p>
    <w:p>
      <w:pPr>
        <w:pStyle w:val="23"/>
        <w:rPr>
          <w:rFonts w:hint="eastAsia" w:ascii="仿宋" w:hAnsi="仿宋" w:eastAsia="仿宋" w:cs="仿宋"/>
          <w:i w:val="0"/>
          <w:iCs w:val="0"/>
          <w:color w:val="auto"/>
          <w:highlight w:val="none"/>
          <w:lang w:val="zh-CN"/>
        </w:rPr>
      </w:pPr>
    </w:p>
    <w:p>
      <w:pPr>
        <w:autoSpaceDE w:val="0"/>
        <w:autoSpaceDN w:val="0"/>
        <w:adjustRightInd w:val="0"/>
        <w:spacing w:line="360" w:lineRule="auto"/>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（格式自拟，内容需符合评审办法中要求的内容要求）</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numPr>
          <w:ilvl w:val="0"/>
          <w:numId w:val="15"/>
        </w:numPr>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身份证明文件</w:t>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rPr>
      </w:pPr>
      <w:r>
        <w:rPr>
          <w:rFonts w:hint="eastAsia" w:ascii="仿宋" w:hAnsi="仿宋" w:eastAsia="仿宋" w:cs="仿宋"/>
          <w:b/>
          <w:bCs/>
          <w:i w:val="0"/>
          <w:iCs w:val="0"/>
          <w:color w:val="auto"/>
          <w:sz w:val="28"/>
          <w:szCs w:val="36"/>
          <w:highlight w:val="none"/>
          <w:lang w:val="zh-CN"/>
        </w:rPr>
        <w:t>1、法定代表人（或单位负责人）授权书</w:t>
      </w:r>
    </w:p>
    <w:p>
      <w:pPr>
        <w:autoSpaceDE w:val="0"/>
        <w:autoSpaceDN w:val="0"/>
        <w:adjustRightInd w:val="0"/>
        <w:spacing w:line="348" w:lineRule="auto"/>
        <w:ind w:firstLine="400"/>
        <w:rPr>
          <w:rFonts w:hint="eastAsia" w:ascii="仿宋" w:hAnsi="仿宋" w:eastAsia="仿宋" w:cs="仿宋"/>
          <w:b/>
          <w:bCs/>
          <w:i w:val="0"/>
          <w:iCs w:val="0"/>
          <w:color w:val="auto"/>
          <w:sz w:val="20"/>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陕西省采购招标有限责任公司：</w:t>
      </w:r>
    </w:p>
    <w:p>
      <w:pPr>
        <w:autoSpaceDE w:val="0"/>
        <w:autoSpaceDN w:val="0"/>
        <w:adjustRightInd w:val="0"/>
        <w:spacing w:line="348" w:lineRule="auto"/>
        <w:ind w:firstLine="64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注册于</w:t>
      </w:r>
      <w:r>
        <w:rPr>
          <w:rFonts w:hint="eastAsia" w:ascii="仿宋" w:hAnsi="仿宋" w:eastAsia="仿宋" w:cs="仿宋"/>
          <w:i w:val="0"/>
          <w:iCs w:val="0"/>
          <w:color w:val="auto"/>
          <w:sz w:val="24"/>
          <w:highlight w:val="none"/>
          <w:u w:val="single"/>
          <w:lang w:val="zh-CN"/>
        </w:rPr>
        <w:t>（工商行政管理局名称）</w:t>
      </w:r>
      <w:r>
        <w:rPr>
          <w:rFonts w:hint="eastAsia" w:ascii="仿宋" w:hAnsi="仿宋" w:eastAsia="仿宋" w:cs="仿宋"/>
          <w:i w:val="0"/>
          <w:iCs w:val="0"/>
          <w:color w:val="auto"/>
          <w:sz w:val="24"/>
          <w:highlight w:val="none"/>
          <w:lang w:val="zh-CN"/>
        </w:rPr>
        <w:t>之</w:t>
      </w:r>
      <w:r>
        <w:rPr>
          <w:rFonts w:hint="eastAsia" w:ascii="仿宋" w:hAnsi="仿宋" w:eastAsia="仿宋" w:cs="仿宋"/>
          <w:i w:val="0"/>
          <w:iCs w:val="0"/>
          <w:color w:val="auto"/>
          <w:sz w:val="24"/>
          <w:highlight w:val="none"/>
          <w:u w:val="single"/>
          <w:lang w:val="zh-CN"/>
        </w:rPr>
        <w:t>（供应商全称）</w:t>
      </w:r>
      <w:r>
        <w:rPr>
          <w:rFonts w:hint="eastAsia" w:ascii="仿宋" w:hAnsi="仿宋" w:eastAsia="仿宋" w:cs="仿宋"/>
          <w:i w:val="0"/>
          <w:iCs w:val="0"/>
          <w:color w:val="auto"/>
          <w:sz w:val="24"/>
          <w:highlight w:val="none"/>
          <w:lang w:val="zh-CN"/>
        </w:rPr>
        <w:t>法人代表</w:t>
      </w:r>
      <w:r>
        <w:rPr>
          <w:rFonts w:hint="eastAsia" w:ascii="仿宋" w:hAnsi="仿宋" w:eastAsia="仿宋" w:cs="仿宋"/>
          <w:i w:val="0"/>
          <w:iCs w:val="0"/>
          <w:color w:val="auto"/>
          <w:sz w:val="24"/>
          <w:highlight w:val="none"/>
          <w:u w:val="single"/>
          <w:lang w:val="zh-CN"/>
        </w:rPr>
        <w:t>（姓名、职务）</w:t>
      </w:r>
      <w:r>
        <w:rPr>
          <w:rFonts w:hint="eastAsia" w:ascii="仿宋" w:hAnsi="仿宋" w:eastAsia="仿宋" w:cs="仿宋"/>
          <w:i w:val="0"/>
          <w:iCs w:val="0"/>
          <w:color w:val="auto"/>
          <w:sz w:val="24"/>
          <w:highlight w:val="none"/>
          <w:lang w:val="zh-CN"/>
        </w:rPr>
        <w:t>授权</w:t>
      </w:r>
      <w:r>
        <w:rPr>
          <w:rFonts w:hint="eastAsia" w:ascii="仿宋" w:hAnsi="仿宋" w:eastAsia="仿宋" w:cs="仿宋"/>
          <w:i w:val="0"/>
          <w:iCs w:val="0"/>
          <w:color w:val="auto"/>
          <w:sz w:val="24"/>
          <w:highlight w:val="none"/>
          <w:u w:val="single"/>
          <w:lang w:val="zh-CN"/>
        </w:rPr>
        <w:t>（被授权人姓名、职务）</w:t>
      </w:r>
      <w:r>
        <w:rPr>
          <w:rFonts w:hint="eastAsia" w:ascii="仿宋" w:hAnsi="仿宋" w:eastAsia="仿宋" w:cs="仿宋"/>
          <w:i w:val="0"/>
          <w:iCs w:val="0"/>
          <w:color w:val="auto"/>
          <w:sz w:val="24"/>
          <w:highlight w:val="none"/>
          <w:lang w:val="zh-CN"/>
        </w:rPr>
        <w:t>为本公司的合法代理人，就</w:t>
      </w:r>
      <w:r>
        <w:rPr>
          <w:rFonts w:hint="eastAsia" w:ascii="仿宋" w:hAnsi="仿宋" w:eastAsia="仿宋" w:cs="仿宋"/>
          <w:i w:val="0"/>
          <w:iCs w:val="0"/>
          <w:color w:val="auto"/>
          <w:sz w:val="24"/>
          <w:highlight w:val="none"/>
          <w:u w:val="single"/>
          <w:lang w:val="zh-CN"/>
        </w:rPr>
        <w:t>（项目名称）</w:t>
      </w:r>
      <w:r>
        <w:rPr>
          <w:rFonts w:hint="eastAsia" w:ascii="仿宋" w:hAnsi="仿宋" w:eastAsia="仿宋" w:cs="仿宋"/>
          <w:i w:val="0"/>
          <w:iCs w:val="0"/>
          <w:color w:val="auto"/>
          <w:sz w:val="24"/>
          <w:highlight w:val="none"/>
          <w:lang w:val="zh-CN"/>
        </w:rPr>
        <w:t>的谈判及合同的执行和完成，以本公司的名义处理一切与之有关的事宜。</w:t>
      </w:r>
    </w:p>
    <w:p>
      <w:pPr>
        <w:snapToGrid w:val="0"/>
        <w:spacing w:line="360" w:lineRule="auto"/>
        <w:ind w:firstLine="480" w:firstLineChars="200"/>
        <w:rPr>
          <w:rFonts w:hint="eastAsia" w:ascii="仿宋" w:hAnsi="仿宋" w:eastAsia="仿宋" w:cs="仿宋"/>
          <w:b/>
          <w:bCs/>
          <w:i w:val="0"/>
          <w:iCs w:val="0"/>
          <w:color w:val="auto"/>
          <w:sz w:val="24"/>
          <w:highlight w:val="none"/>
          <w:lang w:val="zh-CN"/>
        </w:rPr>
      </w:pPr>
      <w:r>
        <w:rPr>
          <w:rFonts w:hint="eastAsia" w:ascii="仿宋" w:hAnsi="仿宋" w:eastAsia="仿宋" w:cs="仿宋"/>
          <w:i w:val="0"/>
          <w:iCs w:val="0"/>
          <w:color w:val="auto"/>
          <w:sz w:val="24"/>
          <w:highlight w:val="none"/>
          <w:lang w:val="zh-CN"/>
        </w:rPr>
        <w:t>本授权自</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日起生效。（</w:t>
      </w:r>
      <w:r>
        <w:rPr>
          <w:rFonts w:hint="eastAsia" w:ascii="仿宋" w:hAnsi="仿宋" w:eastAsia="仿宋" w:cs="仿宋"/>
          <w:b/>
          <w:i w:val="0"/>
          <w:iCs w:val="0"/>
          <w:color w:val="auto"/>
          <w:sz w:val="24"/>
          <w:highlight w:val="none"/>
          <w:lang w:val="zh-CN"/>
        </w:rPr>
        <w:t>提示：此日期不应晚于谈判响应函签署日期</w:t>
      </w:r>
      <w:r>
        <w:rPr>
          <w:rFonts w:hint="eastAsia" w:ascii="仿宋" w:hAnsi="仿宋" w:eastAsia="仿宋" w:cs="仿宋"/>
          <w:i w:val="0"/>
          <w:iCs w:val="0"/>
          <w:color w:val="auto"/>
          <w:sz w:val="24"/>
          <w:highlight w:val="none"/>
          <w:lang w:val="zh-CN"/>
        </w:rPr>
        <w:t>）</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附：</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被授权人姓名：</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性别：</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年龄：</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职</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务：</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身份证号码：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通讯地址：</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邮政编码：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传真：</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及</w:t>
      </w:r>
      <w:r>
        <w:rPr>
          <w:rFonts w:hint="eastAsia" w:ascii="仿宋" w:hAnsi="仿宋" w:eastAsia="仿宋" w:cs="仿宋"/>
          <w:i w:val="0"/>
          <w:iCs w:val="0"/>
          <w:color w:val="auto"/>
          <w:sz w:val="24"/>
          <w:highlight w:val="none"/>
          <w:lang w:val="zh-CN"/>
        </w:rPr>
        <w:t>授权代表身份证复印件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法定代表人身份证复印件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授权代表身份证复印件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r>
    </w:tbl>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adjustRightInd w:val="0"/>
        <w:snapToGrid w:val="0"/>
        <w:spacing w:line="360" w:lineRule="auto"/>
        <w:rPr>
          <w:rFonts w:hint="eastAsia" w:ascii="仿宋" w:hAnsi="仿宋" w:eastAsia="仿宋" w:cs="仿宋"/>
          <w:i w:val="0"/>
          <w:iCs w:val="0"/>
          <w:color w:val="auto"/>
          <w:sz w:val="24"/>
          <w:highlight w:val="none"/>
        </w:rPr>
      </w:pP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供应商                         法定代表人</w:t>
      </w:r>
    </w:p>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（公章）：                       （签字）：</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r>
        <w:rPr>
          <w:rFonts w:hint="eastAsia" w:ascii="仿宋" w:hAnsi="仿宋" w:eastAsia="仿宋" w:cs="仿宋"/>
          <w:b/>
          <w:bCs/>
          <w:i w:val="0"/>
          <w:iCs w:val="0"/>
          <w:color w:val="auto"/>
          <w:sz w:val="28"/>
          <w:szCs w:val="36"/>
          <w:highlight w:val="none"/>
          <w:lang w:val="zh-CN"/>
        </w:rPr>
        <w:t>2、法定代表人（或单位负责人）身份证明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供应商名称：</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单位性质：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地    址： </w:t>
      </w:r>
      <w:r>
        <w:rPr>
          <w:rFonts w:hint="eastAsia" w:ascii="仿宋" w:hAnsi="仿宋" w:eastAsia="仿宋" w:cs="仿宋"/>
          <w:i w:val="0"/>
          <w:iCs w:val="0"/>
          <w:color w:val="auto"/>
          <w:kern w:val="0"/>
          <w:sz w:val="24"/>
          <w:highlight w:val="none"/>
          <w:u w:val="singl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成立时间：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月</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日</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经营期限：</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姓名：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性别：</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年龄：</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职务：</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系</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（投标人名称）的法定代表人。</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特此证明。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投标人（公章）：           </w:t>
      </w: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6659" w:leftChars="31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年  月  日</w:t>
      </w: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jc w:val="cente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3、授权代表本单位证明</w:t>
      </w:r>
    </w:p>
    <w:p>
      <w:pPr>
        <w:spacing w:after="120"/>
        <w:rPr>
          <w:rFonts w:hint="eastAsia" w:ascii="仿宋" w:hAnsi="仿宋" w:eastAsia="仿宋" w:cs="仿宋"/>
          <w:i w:val="0"/>
          <w:iCs w:val="0"/>
          <w:color w:val="auto"/>
          <w:highlight w:val="none"/>
        </w:rPr>
      </w:pPr>
    </w:p>
    <w:p>
      <w:pPr>
        <w:numPr>
          <w:ilvl w:val="0"/>
          <w:numId w:val="0"/>
        </w:numPr>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w:t>
      </w:r>
      <w:r>
        <w:rPr>
          <w:rFonts w:hint="eastAsia" w:ascii="仿宋" w:hAnsi="仿宋" w:eastAsia="仿宋" w:cs="仿宋"/>
          <w:i w:val="0"/>
          <w:iCs w:val="0"/>
          <w:color w:val="auto"/>
          <w:sz w:val="28"/>
          <w:szCs w:val="28"/>
          <w:highlight w:val="none"/>
        </w:rPr>
        <w:t>养老保险缴纳证明或劳动合同复印件</w:t>
      </w:r>
      <w:r>
        <w:rPr>
          <w:rFonts w:hint="eastAsia" w:ascii="仿宋" w:hAnsi="仿宋" w:eastAsia="仿宋" w:cs="仿宋"/>
          <w:i w:val="0"/>
          <w:iCs w:val="0"/>
          <w:color w:val="auto"/>
          <w:sz w:val="28"/>
          <w:szCs w:val="28"/>
          <w:highlight w:val="none"/>
          <w:lang w:val="zh-CN"/>
        </w:rPr>
        <w:t>）</w:t>
      </w: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pStyle w:val="28"/>
        <w:jc w:val="center"/>
        <w:outlineLvl w:val="1"/>
        <w:rPr>
          <w:rFonts w:hint="eastAsia" w:ascii="仿宋" w:hAnsi="仿宋" w:eastAsia="仿宋" w:cs="仿宋"/>
          <w:lang w:val="zh-CN"/>
        </w:rPr>
      </w:pPr>
      <w:r>
        <w:rPr>
          <w:rFonts w:hint="eastAsia" w:ascii="仿宋" w:hAnsi="仿宋" w:eastAsia="仿宋" w:cs="仿宋"/>
          <w:b/>
          <w:bCs/>
          <w:sz w:val="28"/>
          <w:szCs w:val="28"/>
          <w:lang w:val="zh-CN"/>
        </w:rPr>
        <w:t>4、保证金支付凭证或担保函（复印件）</w:t>
      </w:r>
    </w:p>
    <w:p>
      <w:pPr>
        <w:numPr>
          <w:ilvl w:val="0"/>
          <w:numId w:val="0"/>
        </w:numPr>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br w:type="page"/>
      </w:r>
    </w:p>
    <w:p>
      <w:pPr>
        <w:numPr>
          <w:ilvl w:val="0"/>
          <w:numId w:val="15"/>
        </w:numPr>
        <w:ind w:left="0" w:leftChars="0" w:firstLine="0" w:firstLineChars="0"/>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资格证明文件</w:t>
      </w:r>
    </w:p>
    <w:p>
      <w:pPr>
        <w:numPr>
          <w:ilvl w:val="1"/>
          <w:numId w:val="16"/>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6"/>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eastAsia="zh-CN"/>
        </w:rPr>
        <w:t>近一年</w:t>
      </w:r>
      <w:r>
        <w:rPr>
          <w:rFonts w:hint="eastAsia" w:ascii="仿宋" w:hAnsi="仿宋" w:eastAsia="仿宋" w:cs="仿宋"/>
          <w:sz w:val="24"/>
        </w:rPr>
        <w:t>经审计的财务报表或谈判截止时间前任意三个月公司的财务报表（包括资产负债表、现金流量表、利润表），或本年度基本开户银行出具的资信证明（格式要求见附件6-2）；</w:t>
      </w:r>
    </w:p>
    <w:p>
      <w:pPr>
        <w:pStyle w:val="23"/>
        <w:rPr>
          <w:rFonts w:hint="eastAsia"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6"/>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6"/>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6"/>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6"/>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证明供应商符合特定资格条件的证明材料；</w:t>
      </w:r>
    </w:p>
    <w:p>
      <w:pPr>
        <w:pStyle w:val="23"/>
        <w:ind w:firstLine="480" w:firstLineChars="200"/>
        <w:rPr>
          <w:rFonts w:hint="eastAsia" w:ascii="仿宋" w:hAnsi="仿宋" w:eastAsia="仿宋" w:cs="仿宋"/>
          <w:lang w:val="en-US" w:eastAsia="zh-CN"/>
        </w:rPr>
      </w:pPr>
      <w:r>
        <w:rPr>
          <w:rFonts w:hint="eastAsia" w:ascii="仿宋" w:hAnsi="仿宋" w:eastAsia="仿宋" w:cs="仿宋"/>
          <w:kern w:val="0"/>
          <w:sz w:val="24"/>
          <w:highlight w:val="none"/>
          <w:lang w:val="en-US" w:eastAsia="zh-CN"/>
        </w:rPr>
        <w:t>附“信用中国”网站（www.creditchina.gov.cn）和中国政府采购网（www.ccgp.gov.cn）上未被列入失信被执行人、重大税收违法失信主体、政府采购严重违法失信行为记录名单的网站截图。</w:t>
      </w:r>
    </w:p>
    <w:p>
      <w:pPr>
        <w:widowControl/>
        <w:snapToGrid w:val="0"/>
        <w:spacing w:line="360" w:lineRule="auto"/>
        <w:ind w:right="-197" w:rightChars="-94" w:firstLine="480" w:firstLineChars="200"/>
        <w:jc w:val="both"/>
        <w:rPr>
          <w:rFonts w:hint="eastAsia" w:ascii="仿宋" w:hAnsi="仿宋" w:eastAsia="仿宋" w:cs="仿宋"/>
          <w:kern w:val="0"/>
          <w:sz w:val="24"/>
          <w:highlight w:val="none"/>
          <w:lang w:val="en-US" w:eastAsia="zh-CN"/>
        </w:rPr>
      </w:pPr>
    </w:p>
    <w:p>
      <w:pPr>
        <w:pStyle w:val="23"/>
        <w:rPr>
          <w:rFonts w:hint="eastAsia" w:ascii="仿宋" w:hAnsi="仿宋" w:eastAsia="仿宋" w:cs="仿宋"/>
          <w:sz w:val="24"/>
        </w:rPr>
      </w:pPr>
      <w:r>
        <w:rPr>
          <w:rFonts w:hint="eastAsia" w:ascii="仿宋" w:hAnsi="仿宋" w:eastAsia="仿宋" w:cs="仿宋"/>
        </w:rPr>
        <w:br w:type="page"/>
      </w:r>
    </w:p>
    <w:p>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r>
        <w:rPr>
          <w:rFonts w:hint="eastAsia" w:ascii="仿宋" w:hAnsi="仿宋" w:eastAsia="仿宋" w:cs="仿宋"/>
          <w:b/>
          <w:sz w:val="24"/>
        </w:rPr>
        <w:t>6-2  上一年度经审计的财务报表</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eastAsia="zh-CN"/>
        </w:rPr>
        <w:t>近一</w:t>
      </w:r>
      <w:r>
        <w:rPr>
          <w:rFonts w:hint="eastAsia" w:ascii="仿宋" w:hAnsi="仿宋" w:eastAsia="仿宋" w:cs="仿宋"/>
          <w:sz w:val="24"/>
        </w:rPr>
        <w:t>年经审计的财务报表或谈判截止时间前任意三个月公司的财务报表（包括资产负债表、现金流量表、利润表）复印件或扫描件、所有复印件或扫描件需加盖单位公章。</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注：附基本帐户的“银行开户许可证”的复印件。</w:t>
      </w:r>
    </w:p>
    <w:p>
      <w:pPr>
        <w:widowControl/>
        <w:jc w:val="left"/>
        <w:rPr>
          <w:rFonts w:hint="eastAsia" w:ascii="仿宋" w:hAnsi="仿宋" w:eastAsia="仿宋" w:cs="仿宋"/>
          <w:b/>
          <w:spacing w:val="20"/>
          <w:sz w:val="24"/>
        </w:rPr>
      </w:pP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after="120" w:afterLines="50"/>
        <w:ind w:right="-57" w:rightChars="-27" w:firstLine="480" w:firstLineChars="200"/>
        <w:jc w:val="left"/>
        <w:textAlignment w:val="auto"/>
        <w:rPr>
          <w:rFonts w:hint="eastAsia" w:ascii="仿宋" w:hAnsi="仿宋" w:eastAsia="仿宋" w:cs="仿宋"/>
          <w:sz w:val="24"/>
        </w:rPr>
      </w:pPr>
      <w:r>
        <w:rPr>
          <w:rFonts w:hint="eastAsia" w:ascii="仿宋" w:hAnsi="仿宋" w:eastAsia="仿宋" w:cs="仿宋"/>
          <w:sz w:val="24"/>
        </w:rPr>
        <w:t>1、供应商应提供近六个月中任何一个月缴纳增值税和企业所得税的凭证（银行出具的缴税凭证或税务机关出具的证明的复印件，并加盖本单位公章）。</w:t>
      </w:r>
    </w:p>
    <w:p>
      <w:pPr>
        <w:tabs>
          <w:tab w:val="left" w:pos="993"/>
          <w:tab w:val="left" w:pos="1030"/>
          <w:tab w:val="left" w:pos="8364"/>
        </w:tabs>
        <w:snapToGrid w:val="0"/>
        <w:spacing w:after="120" w:afterLines="50"/>
        <w:ind w:right="-57" w:rightChars="-27" w:firstLine="720" w:firstLineChars="300"/>
        <w:jc w:val="left"/>
        <w:rPr>
          <w:rFonts w:hint="eastAsia" w:ascii="仿宋" w:hAnsi="仿宋" w:eastAsia="仿宋" w:cs="仿宋"/>
          <w:sz w:val="24"/>
        </w:rPr>
      </w:pPr>
      <w:r>
        <w:rPr>
          <w:rFonts w:hint="eastAsia" w:ascii="仿宋" w:hAnsi="仿宋" w:eastAsia="仿宋" w:cs="仿宋"/>
          <w:sz w:val="24"/>
        </w:rPr>
        <w:t>2、依法免税的供应商，应提供相应文件证明其依法免税。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highlight w:val="yellow"/>
        </w:rPr>
      </w:pPr>
      <w:r>
        <w:rPr>
          <w:rFonts w:hint="eastAsia" w:ascii="仿宋" w:hAnsi="仿宋" w:eastAsia="仿宋" w:cs="仿宋"/>
          <w:sz w:val="24"/>
        </w:rPr>
        <w:cr/>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pPr>
        <w:numPr>
          <w:ilvl w:val="0"/>
          <w:numId w:val="17"/>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供应商应提供近六个月中至少一个月的社会缴纳社会保险的凭据（专用收据或社会保险缴纳清单），并加盖本单位公章。</w:t>
      </w:r>
    </w:p>
    <w:p>
      <w:pPr>
        <w:numPr>
          <w:ilvl w:val="0"/>
          <w:numId w:val="17"/>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不需要缴纳社会保障资金的供应商，应提供相应文件证明其不需要缴纳社会保障资金。</w:t>
      </w:r>
    </w:p>
    <w:p>
      <w:pPr>
        <w:tabs>
          <w:tab w:val="left" w:pos="5580"/>
        </w:tabs>
        <w:spacing w:before="120" w:line="360" w:lineRule="auto"/>
        <w:ind w:firstLine="480" w:firstLineChars="200"/>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br w:type="page"/>
      </w:r>
    </w:p>
    <w:p>
      <w:pPr>
        <w:jc w:val="left"/>
        <w:outlineLvl w:val="2"/>
        <w:rPr>
          <w:rFonts w:hint="eastAsia"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hint="eastAsia" w:ascii="仿宋" w:hAnsi="仿宋" w:eastAsia="仿宋" w:cs="仿宋"/>
          <w:sz w:val="24"/>
        </w:rPr>
      </w:pPr>
    </w:p>
    <w:p>
      <w:pPr>
        <w:widowControl/>
        <w:jc w:val="left"/>
        <w:rPr>
          <w:rFonts w:hint="eastAsia" w:ascii="仿宋" w:hAnsi="仿宋" w:eastAsia="仿宋" w:cs="仿宋"/>
          <w:b/>
          <w:sz w:val="24"/>
        </w:rPr>
      </w:pPr>
    </w:p>
    <w:p>
      <w:pPr>
        <w:pStyle w:val="68"/>
        <w:numPr>
          <w:ilvl w:val="1"/>
          <w:numId w:val="18"/>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供应商参加政府采购活动前3年内在经营活动中没有重大违法记录的书面声明（格式）</w:t>
      </w:r>
    </w:p>
    <w:p>
      <w:pPr>
        <w:jc w:val="center"/>
        <w:rPr>
          <w:rFonts w:hint="eastAsia" w:ascii="仿宋" w:hAnsi="仿宋" w:eastAsia="仿宋" w:cs="仿宋"/>
          <w:sz w:val="24"/>
        </w:rPr>
      </w:pPr>
    </w:p>
    <w:p>
      <w:pPr>
        <w:jc w:val="center"/>
        <w:rPr>
          <w:rFonts w:hint="eastAsia" w:ascii="仿宋" w:hAnsi="仿宋" w:eastAsia="仿宋" w:cs="仿宋"/>
          <w:b/>
          <w:sz w:val="24"/>
        </w:rPr>
      </w:pPr>
      <w:r>
        <w:rPr>
          <w:rFonts w:hint="eastAsia" w:ascii="仿宋" w:hAnsi="仿宋" w:eastAsia="仿宋" w:cs="仿宋"/>
          <w:b/>
          <w:sz w:val="24"/>
        </w:rPr>
        <w:t>声明函</w:t>
      </w:r>
    </w:p>
    <w:p>
      <w:pPr>
        <w:jc w:val="center"/>
        <w:rPr>
          <w:rFonts w:hint="eastAsia" w:ascii="仿宋" w:hAnsi="仿宋" w:eastAsia="仿宋" w:cs="仿宋"/>
          <w:sz w:val="24"/>
        </w:rPr>
      </w:pPr>
    </w:p>
    <w:p>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至：</w:t>
      </w:r>
      <w:r>
        <w:rPr>
          <w:rFonts w:hint="eastAsia" w:ascii="仿宋" w:hAnsi="仿宋" w:eastAsia="仿宋" w:cs="仿宋"/>
          <w:sz w:val="24"/>
          <w:u w:val="single"/>
        </w:rPr>
        <w:t xml:space="preserve">   陕西省采购招标有限责任公司  </w:t>
      </w:r>
    </w:p>
    <w:p>
      <w:pPr>
        <w:tabs>
          <w:tab w:val="left" w:pos="5580"/>
        </w:tabs>
        <w:spacing w:before="120" w:line="360" w:lineRule="auto"/>
        <w:ind w:firstLine="480" w:firstLineChars="200"/>
        <w:rPr>
          <w:rFonts w:hint="eastAsia" w:ascii="仿宋" w:hAnsi="仿宋" w:eastAsia="仿宋" w:cs="仿宋"/>
          <w:sz w:val="24"/>
        </w:rPr>
      </w:pP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我公司郑重承诺在参加本项目政府采购活动前三年内，在经营活动中无重大违法记录。公司未受到行政处罚或责令停业、吊销许可证（或执照）；未处于财产被接管、冻结、破产状况。</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hint="eastAsia" w:ascii="仿宋" w:hAnsi="仿宋" w:eastAsia="仿宋" w:cs="仿宋"/>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3"/>
        <w:rPr>
          <w:rFonts w:hint="eastAsia" w:ascii="仿宋" w:hAnsi="仿宋" w:eastAsia="仿宋" w:cs="仿宋"/>
        </w:rPr>
      </w:pPr>
    </w:p>
    <w:p>
      <w:pPr>
        <w:pStyle w:val="23"/>
        <w:rPr>
          <w:rFonts w:hint="eastAsia" w:ascii="仿宋" w:hAnsi="仿宋" w:eastAsia="仿宋" w:cs="仿宋"/>
        </w:rPr>
      </w:pPr>
    </w:p>
    <w:p>
      <w:pPr>
        <w:spacing w:line="360" w:lineRule="auto"/>
        <w:rPr>
          <w:rFonts w:hint="eastAsia" w:ascii="仿宋" w:hAnsi="仿宋" w:eastAsia="仿宋" w:cs="仿宋"/>
          <w:sz w:val="24"/>
          <w:szCs w:val="21"/>
          <w:u w:val="single"/>
        </w:rPr>
      </w:pPr>
    </w:p>
    <w:p>
      <w:pPr>
        <w:pStyle w:val="68"/>
        <w:numPr>
          <w:ilvl w:val="1"/>
          <w:numId w:val="19"/>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hint="eastAsia" w:ascii="仿宋" w:hAnsi="仿宋" w:eastAsia="仿宋" w:cs="仿宋"/>
          <w:szCs w:val="21"/>
        </w:rPr>
      </w:pPr>
    </w:p>
    <w:p>
      <w:pPr>
        <w:rPr>
          <w:rFonts w:hint="eastAsia" w:ascii="仿宋" w:hAnsi="仿宋" w:eastAsia="仿宋" w:cs="仿宋"/>
          <w:sz w:val="24"/>
        </w:rPr>
      </w:pPr>
      <w:r>
        <w:rPr>
          <w:rFonts w:hint="eastAsia" w:ascii="仿宋" w:hAnsi="仿宋" w:eastAsia="仿宋" w:cs="仿宋"/>
          <w:sz w:val="24"/>
        </w:rPr>
        <w:t>致：陕西省采购招标有限责任公司</w:t>
      </w:r>
    </w:p>
    <w:p>
      <w:pPr>
        <w:pStyle w:val="23"/>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pStyle w:val="68"/>
        <w:numPr>
          <w:ilvl w:val="1"/>
          <w:numId w:val="19"/>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szCs w:val="21"/>
        </w:rPr>
        <w:t>致：陕西省采购招标有限责任公司</w:t>
      </w:r>
    </w:p>
    <w:p>
      <w:pPr>
        <w:ind w:firstLine="426"/>
        <w:rPr>
          <w:rFonts w:hint="eastAsia" w:ascii="仿宋" w:hAnsi="仿宋" w:eastAsia="仿宋" w:cs="仿宋"/>
          <w:sz w:val="24"/>
        </w:rPr>
      </w:pPr>
      <w:r>
        <w:rPr>
          <w:rFonts w:hint="eastAsia" w:ascii="仿宋" w:hAnsi="仿宋" w:eastAsia="仿宋" w:cs="仿宋"/>
          <w:sz w:val="24"/>
          <w:highlight w:val="none"/>
        </w:rPr>
        <w:t xml:space="preserve">我方 </w:t>
      </w:r>
      <w:r>
        <w:rPr>
          <w:rFonts w:hint="eastAsia" w:ascii="仿宋" w:hAnsi="仿宋" w:eastAsia="仿宋" w:cs="仿宋"/>
          <w:i/>
          <w:iCs/>
          <w:sz w:val="24"/>
          <w:highlight w:val="none"/>
        </w:rPr>
        <w:t>属于/不属于</w:t>
      </w:r>
      <w:r>
        <w:rPr>
          <w:rFonts w:hint="eastAsia" w:ascii="仿宋" w:hAnsi="仿宋" w:eastAsia="仿宋" w:cs="仿宋"/>
          <w:sz w:val="24"/>
          <w:highlight w:val="none"/>
        </w:rPr>
        <w:t xml:space="preserve"> 为</w:t>
      </w:r>
      <w:r>
        <w:rPr>
          <w:rFonts w:hint="eastAsia" w:ascii="仿宋" w:hAnsi="仿宋" w:eastAsia="仿宋" w:cs="仿宋"/>
          <w:sz w:val="24"/>
        </w:rPr>
        <w:t>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3"/>
        <w:rPr>
          <w:rFonts w:hint="eastAsia" w:ascii="仿宋" w:hAnsi="仿宋" w:eastAsia="仿宋" w:cs="仿宋"/>
        </w:rPr>
      </w:pPr>
    </w:p>
    <w:p>
      <w:pPr>
        <w:numPr>
          <w:ilvl w:val="0"/>
          <w:numId w:val="0"/>
        </w:numPr>
        <w:ind w:leftChars="0"/>
        <w:jc w:val="both"/>
        <w:rPr>
          <w:rFonts w:hint="eastAsia" w:ascii="仿宋" w:hAnsi="仿宋" w:eastAsia="仿宋" w:cs="仿宋"/>
          <w:b/>
          <w:sz w:val="24"/>
        </w:rPr>
      </w:pPr>
      <w:r>
        <w:rPr>
          <w:rFonts w:hint="eastAsia" w:ascii="仿宋" w:hAnsi="仿宋" w:eastAsia="仿宋" w:cs="仿宋"/>
          <w:b/>
          <w:sz w:val="24"/>
        </w:rPr>
        <w:t>6-9证明供应商符合特定资格条件的证明材料：</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jc w:val="both"/>
        <w:textAlignment w:val="auto"/>
        <w:rPr>
          <w:rFonts w:hint="eastAsia" w:ascii="仿宋" w:hAnsi="仿宋" w:eastAsia="仿宋" w:cs="仿宋"/>
          <w:b/>
          <w:bCs/>
          <w:i w:val="0"/>
          <w:iCs w:val="0"/>
          <w:color w:val="auto"/>
          <w:highlight w:val="none"/>
          <w:lang w:val="zh-CN"/>
        </w:rPr>
      </w:pPr>
      <w:r>
        <w:rPr>
          <w:rFonts w:hint="eastAsia" w:ascii="仿宋" w:hAnsi="仿宋" w:eastAsia="仿宋" w:cs="仿宋"/>
          <w:kern w:val="0"/>
          <w:sz w:val="24"/>
          <w:highlight w:val="none"/>
          <w:lang w:val="en-US" w:eastAsia="zh-CN"/>
        </w:rPr>
        <w:t>附“信用中国”网站（www.creditchina.gov.cn）和中国政府采购网（www.ccgp.gov.cn）上未被列入失信被执行人、重大税收违法失信主体、政府采购严重违法失信行为记录名单的网站截图。</w:t>
      </w:r>
      <w:r>
        <w:rPr>
          <w:rFonts w:hint="eastAsia" w:ascii="仿宋" w:hAnsi="仿宋" w:eastAsia="仿宋" w:cs="仿宋"/>
          <w:b/>
          <w:bCs/>
          <w:i w:val="0"/>
          <w:iCs w:val="0"/>
          <w:color w:val="auto"/>
          <w:highlight w:val="none"/>
          <w:lang w:val="zh-CN"/>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第七部分</w:t>
      </w:r>
      <w:r>
        <w:rPr>
          <w:rFonts w:hint="eastAsia" w:ascii="仿宋" w:hAnsi="仿宋" w:eastAsia="仿宋" w:cs="仿宋"/>
          <w:b/>
          <w:bCs/>
          <w:i w:val="0"/>
          <w:iCs w:val="0"/>
          <w:color w:val="auto"/>
          <w:highlight w:val="none"/>
        </w:rPr>
        <w:t xml:space="preserve">   小微企业、监狱企业、残疾人福利单位声明函或证明</w:t>
      </w:r>
    </w:p>
    <w:p>
      <w:pPr>
        <w:widowControl/>
        <w:jc w:val="left"/>
        <w:rPr>
          <w:rFonts w:hint="eastAsia" w:ascii="仿宋" w:hAnsi="仿宋" w:eastAsia="仿宋" w:cs="仿宋"/>
          <w:b/>
          <w:bCs/>
          <w:i w:val="0"/>
          <w:iCs w:val="0"/>
          <w:color w:val="auto"/>
          <w:sz w:val="44"/>
          <w:szCs w:val="44"/>
          <w:highlight w:val="none"/>
        </w:rPr>
      </w:pPr>
    </w:p>
    <w:p>
      <w:pPr>
        <w:pStyle w:val="68"/>
        <w:numPr>
          <w:ilvl w:val="0"/>
          <w:numId w:val="20"/>
        </w:numPr>
        <w:spacing w:line="360" w:lineRule="auto"/>
        <w:ind w:firstLineChars="0"/>
        <w:jc w:val="center"/>
        <w:outlineLvl w:val="1"/>
        <w:rPr>
          <w:rFonts w:hint="eastAsia" w:ascii="仿宋" w:hAnsi="仿宋" w:eastAsia="仿宋" w:cs="仿宋"/>
          <w:b/>
          <w:i w:val="0"/>
          <w:iCs w:val="0"/>
          <w:color w:val="auto"/>
          <w:sz w:val="28"/>
          <w:szCs w:val="28"/>
          <w:highlight w:val="none"/>
        </w:rPr>
      </w:pPr>
      <w:bookmarkStart w:id="499" w:name="_Toc7005132"/>
      <w:r>
        <w:rPr>
          <w:rFonts w:hint="eastAsia" w:ascii="仿宋" w:hAnsi="仿宋" w:eastAsia="仿宋" w:cs="仿宋"/>
          <w:b/>
          <w:i w:val="0"/>
          <w:iCs w:val="0"/>
          <w:color w:val="auto"/>
          <w:sz w:val="28"/>
          <w:szCs w:val="28"/>
          <w:highlight w:val="none"/>
        </w:rPr>
        <w:t>中小企业声明函</w:t>
      </w:r>
      <w:bookmarkEnd w:id="499"/>
      <w:r>
        <w:rPr>
          <w:rFonts w:hint="eastAsia" w:ascii="仿宋" w:hAnsi="仿宋" w:eastAsia="仿宋" w:cs="仿宋"/>
          <w:b/>
          <w:i w:val="0"/>
          <w:iCs w:val="0"/>
          <w:color w:val="auto"/>
          <w:sz w:val="28"/>
          <w:szCs w:val="28"/>
          <w:highlight w:val="none"/>
        </w:rPr>
        <w:t>（货物）</w:t>
      </w:r>
    </w:p>
    <w:p>
      <w:pPr>
        <w:jc w:val="center"/>
        <w:rPr>
          <w:rFonts w:hint="eastAsia" w:ascii="仿宋" w:hAnsi="仿宋" w:eastAsia="仿宋" w:cs="仿宋"/>
          <w:i w:val="0"/>
          <w:iCs w:val="0"/>
          <w:color w:val="auto"/>
          <w:sz w:val="21"/>
          <w:szCs w:val="21"/>
          <w:highlight w:val="none"/>
        </w:rPr>
      </w:pPr>
      <w:r>
        <w:rPr>
          <w:rFonts w:hint="eastAsia" w:ascii="仿宋" w:hAnsi="仿宋" w:eastAsia="仿宋" w:cs="仿宋"/>
          <w:i w:val="0"/>
          <w:iCs w:val="0"/>
          <w:color w:val="auto"/>
          <w:sz w:val="21"/>
          <w:szCs w:val="21"/>
          <w:highlight w:val="none"/>
        </w:rPr>
        <w:t>（注：符合中小企业划型标准的企业请提供本函，不符合的不提供本函）</w:t>
      </w:r>
    </w:p>
    <w:p>
      <w:pPr>
        <w:snapToGrid w:val="0"/>
        <w:spacing w:before="120" w:beforeLines="50"/>
        <w:ind w:firstLine="480" w:firstLineChars="200"/>
        <w:rPr>
          <w:rFonts w:hint="eastAsia" w:ascii="仿宋" w:hAnsi="仿宋" w:eastAsia="仿宋" w:cs="仿宋"/>
          <w:i w:val="0"/>
          <w:iCs w:val="0"/>
          <w:color w:val="auto"/>
          <w:sz w:val="24"/>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bookmarkStart w:id="500" w:name="_Toc7005133"/>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活动，提供的货物全部由符合政策要求的中小企业制造。相关企业(含联合体中的中小企业、签订分包意向协议的中小企业)的具体情况如下：</w:t>
      </w:r>
    </w:p>
    <w:p>
      <w:pPr>
        <w:pStyle w:val="68"/>
        <w:numPr>
          <w:ilvl w:val="0"/>
          <w:numId w:val="21"/>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highlight w:val="none"/>
          <w:u w:val="single"/>
        </w:rPr>
        <w:t>(采购文件中明的所属行业)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pStyle w:val="68"/>
        <w:numPr>
          <w:ilvl w:val="0"/>
          <w:numId w:val="21"/>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highlight w:val="none"/>
          <w:u w:val="single"/>
        </w:rPr>
        <w:t>(采购文件中明的所属行业)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企业名称(盖章)：</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pStyle w:val="23"/>
        <w:ind w:firstLine="480"/>
        <w:rPr>
          <w:rFonts w:hint="eastAsia" w:ascii="仿宋" w:hAnsi="仿宋" w:eastAsia="仿宋" w:cs="仿宋"/>
          <w:i w:val="0"/>
          <w:iCs w:val="0"/>
          <w:color w:val="auto"/>
          <w:highlight w:val="none"/>
        </w:rPr>
      </w:pPr>
    </w:p>
    <w:p>
      <w:pPr>
        <w:ind w:left="450" w:hanging="450" w:hanging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18"/>
          <w:szCs w:val="18"/>
          <w:highlight w:val="none"/>
        </w:rPr>
        <w:t xml:space="preserve"> </w:t>
      </w:r>
    </w:p>
    <w:p>
      <w:pPr>
        <w:ind w:left="315" w:leftChars="150" w:firstLine="270" w:firstLine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18"/>
          <w:szCs w:val="18"/>
          <w:highlight w:val="none"/>
        </w:rPr>
        <w:t>（从业人员、营业收入、资产总额填报上一年度数据，无上一年度数据的新成立企业可不填报）</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ind w:firstLine="2560" w:firstLineChars="850"/>
        <w:rPr>
          <w:rFonts w:hint="eastAsia" w:ascii="仿宋" w:hAnsi="仿宋" w:eastAsia="仿宋" w:cs="仿宋"/>
          <w:b/>
          <w:i w:val="0"/>
          <w:iCs w:val="0"/>
          <w:color w:val="auto"/>
          <w:kern w:val="0"/>
          <w:sz w:val="30"/>
          <w:szCs w:val="30"/>
          <w:highlight w:val="none"/>
        </w:rPr>
      </w:pPr>
    </w:p>
    <w:p>
      <w:pPr>
        <w:jc w:val="center"/>
        <w:outlineLvl w:val="1"/>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中小企业声明函(工程、服务)</w:t>
      </w:r>
    </w:p>
    <w:p>
      <w:pPr>
        <w:rPr>
          <w:rFonts w:hint="eastAsia" w:ascii="仿宋" w:hAnsi="仿宋" w:eastAsia="仿宋" w:cs="仿宋"/>
          <w:i w:val="0"/>
          <w:iCs w:val="0"/>
          <w:color w:val="auto"/>
          <w:kern w:val="0"/>
          <w:sz w:val="30"/>
          <w:szCs w:val="30"/>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活动，工程的施工单位全部为符合政策要求的中小企业(或者:服务全部由符合政策要求的中小企业承接)。相关企业(含联合体中的中小企业、签订分包意向协议的中小企业)的具体情况如下：</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u w:val="single"/>
        </w:rPr>
        <w:t xml:space="preserve">1.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2. </w:t>
      </w:r>
      <w:r>
        <w:rPr>
          <w:rFonts w:hint="eastAsia" w:ascii="仿宋" w:hAnsi="仿宋" w:eastAsia="仿宋" w:cs="仿宋"/>
          <w:i w:val="0"/>
          <w:iCs w:val="0"/>
          <w:color w:val="auto"/>
          <w:kern w:val="0"/>
          <w:sz w:val="24"/>
          <w:highlight w:val="none"/>
          <w:u w:val="single"/>
        </w:rPr>
        <w:t xml:space="preserve">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企业名称(盖章):</w:t>
      </w:r>
    </w:p>
    <w:p>
      <w:pPr>
        <w:spacing w:line="560" w:lineRule="exact"/>
        <w:ind w:firstLine="4320" w:firstLineChars="18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spacing w:line="560" w:lineRule="exact"/>
        <w:ind w:firstLine="5400" w:firstLineChars="1800"/>
        <w:rPr>
          <w:rFonts w:hint="eastAsia" w:ascii="仿宋" w:hAnsi="仿宋" w:eastAsia="仿宋" w:cs="仿宋"/>
          <w:i w:val="0"/>
          <w:iCs w:val="0"/>
          <w:color w:val="auto"/>
          <w:kern w:val="0"/>
          <w:sz w:val="30"/>
          <w:szCs w:val="30"/>
          <w:highlight w:val="none"/>
        </w:rPr>
      </w:pPr>
    </w:p>
    <w:p>
      <w:pPr>
        <w:rPr>
          <w:rFonts w:hint="eastAsia" w:ascii="仿宋" w:hAnsi="仿宋" w:eastAsia="仿宋" w:cs="仿宋"/>
          <w:i w:val="0"/>
          <w:iCs w:val="0"/>
          <w:color w:val="auto"/>
          <w:kern w:val="0"/>
          <w:sz w:val="30"/>
          <w:szCs w:val="30"/>
          <w:highlight w:val="none"/>
          <w:u w:val="singl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p>
    <w:p>
      <w:pPr>
        <w:ind w:firstLine="105" w:firstLineChars="50"/>
        <w:rPr>
          <w:rFonts w:hint="eastAsia" w:ascii="仿宋" w:hAnsi="仿宋" w:eastAsia="仿宋" w:cs="仿宋"/>
          <w:i w:val="0"/>
          <w:iCs w:val="0"/>
          <w:color w:val="auto"/>
          <w:kern w:val="0"/>
          <w:szCs w:val="21"/>
          <w:highlight w:val="none"/>
        </w:rPr>
      </w:pPr>
      <w:r>
        <w:rPr>
          <w:rFonts w:hint="eastAsia" w:ascii="仿宋" w:hAnsi="仿宋" w:eastAsia="仿宋" w:cs="仿宋"/>
          <w:i w:val="0"/>
          <w:iCs w:val="0"/>
          <w:color w:val="auto"/>
          <w:kern w:val="0"/>
          <w:szCs w:val="21"/>
          <w:highlight w:val="none"/>
        </w:rPr>
        <w:t>（从业人员、营业收入、资产总额填报上一年度数据，无上一年度数据的新成立企业可不填报）</w:t>
      </w:r>
    </w:p>
    <w:p>
      <w:pPr>
        <w:ind w:left="315" w:leftChars="150" w:firstLine="270" w:firstLineChars="150"/>
        <w:rPr>
          <w:rFonts w:hint="eastAsia" w:ascii="仿宋" w:hAnsi="仿宋" w:eastAsia="仿宋" w:cs="仿宋"/>
          <w:i w:val="0"/>
          <w:iCs w:val="0"/>
          <w:color w:val="auto"/>
          <w:kern w:val="0"/>
          <w:sz w:val="18"/>
          <w:szCs w:val="18"/>
          <w:highlight w:val="none"/>
        </w:rPr>
      </w:pPr>
    </w:p>
    <w:p>
      <w:pPr>
        <w:rPr>
          <w:rFonts w:hint="eastAsia" w:ascii="仿宋" w:hAnsi="仿宋" w:eastAsia="仿宋" w:cs="仿宋"/>
          <w:i w:val="0"/>
          <w:iCs w:val="0"/>
          <w:color w:val="auto"/>
          <w:sz w:val="24"/>
          <w:highlight w:val="none"/>
        </w:rPr>
      </w:pPr>
    </w:p>
    <w:p>
      <w:pPr>
        <w:widowControl/>
        <w:jc w:val="left"/>
        <w:rPr>
          <w:rFonts w:hint="eastAsia" w:ascii="仿宋" w:hAnsi="仿宋" w:eastAsia="仿宋" w:cs="仿宋"/>
          <w:i w:val="0"/>
          <w:iCs w:val="0"/>
          <w:color w:val="auto"/>
          <w:sz w:val="24"/>
          <w:highlight w:val="none"/>
        </w:rPr>
      </w:pPr>
    </w:p>
    <w:p>
      <w:pPr>
        <w:ind w:firstLine="3200" w:firstLineChars="1000"/>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br w:type="page"/>
      </w:r>
    </w:p>
    <w:p>
      <w:pPr>
        <w:jc w:val="center"/>
        <w:outlineLvl w:val="1"/>
        <w:rPr>
          <w:rFonts w:hint="eastAsia" w:ascii="仿宋" w:hAnsi="仿宋" w:eastAsia="仿宋" w:cs="仿宋"/>
          <w:b/>
          <w:i w:val="0"/>
          <w:iCs w:val="0"/>
          <w:color w:val="auto"/>
          <w:sz w:val="28"/>
          <w:szCs w:val="28"/>
          <w:highlight w:val="none"/>
          <w:lang w:eastAsia="zh-CN"/>
        </w:rPr>
      </w:pPr>
      <w:r>
        <w:rPr>
          <w:rFonts w:hint="eastAsia" w:ascii="仿宋" w:hAnsi="仿宋" w:eastAsia="仿宋" w:cs="仿宋"/>
          <w:b/>
          <w:i w:val="0"/>
          <w:iCs w:val="0"/>
          <w:color w:val="auto"/>
          <w:sz w:val="28"/>
          <w:szCs w:val="28"/>
          <w:highlight w:val="none"/>
        </w:rPr>
        <w:t>二、监狱企业</w:t>
      </w:r>
      <w:bookmarkEnd w:id="500"/>
      <w:r>
        <w:rPr>
          <w:rFonts w:hint="eastAsia" w:ascii="仿宋" w:hAnsi="仿宋" w:eastAsia="仿宋" w:cs="仿宋"/>
          <w:b/>
          <w:i w:val="0"/>
          <w:iCs w:val="0"/>
          <w:color w:val="auto"/>
          <w:sz w:val="28"/>
          <w:szCs w:val="28"/>
          <w:highlight w:val="none"/>
          <w:lang w:val="en-US" w:eastAsia="zh-CN"/>
        </w:rPr>
        <w:t>声明函</w:t>
      </w:r>
    </w:p>
    <w:p>
      <w:pPr>
        <w:spacing w:line="360" w:lineRule="auto"/>
        <w:jc w:val="both"/>
        <w:rPr>
          <w:rFonts w:hint="eastAsia" w:ascii="仿宋" w:hAnsi="仿宋" w:eastAsia="仿宋" w:cs="仿宋"/>
          <w:b/>
          <w:i w:val="0"/>
          <w:iCs w:val="0"/>
          <w:color w:val="auto"/>
          <w:kern w:val="0"/>
          <w:sz w:val="24"/>
          <w:szCs w:val="20"/>
          <w:highlight w:val="none"/>
        </w:rPr>
      </w:pP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本单位为直接</w:t>
      </w:r>
      <w:r>
        <w:rPr>
          <w:rFonts w:hint="eastAsia" w:ascii="仿宋" w:hAnsi="仿宋" w:eastAsia="仿宋" w:cs="仿宋"/>
          <w:i w:val="0"/>
          <w:iCs w:val="0"/>
          <w:color w:val="auto"/>
          <w:kern w:val="0"/>
          <w:sz w:val="24"/>
          <w:highlight w:val="none"/>
          <w:lang w:val="en-US" w:eastAsia="zh-CN"/>
        </w:rPr>
        <w:t>供应商，</w:t>
      </w:r>
      <w:r>
        <w:rPr>
          <w:rFonts w:hint="eastAsia" w:ascii="仿宋" w:hAnsi="仿宋" w:eastAsia="仿宋" w:cs="仿宋"/>
          <w:i w:val="0"/>
          <w:iCs w:val="0"/>
          <w:color w:val="auto"/>
          <w:kern w:val="0"/>
          <w:sz w:val="24"/>
          <w:highlight w:val="none"/>
        </w:rPr>
        <w:t>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（1）本企业（单位）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（2）本企业（单位）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i w:val="0"/>
          <w:iCs w:val="0"/>
          <w:color w:val="auto"/>
          <w:kern w:val="0"/>
          <w:sz w:val="24"/>
          <w:szCs w:val="20"/>
          <w:highlight w:val="none"/>
        </w:rPr>
      </w:pPr>
      <w:r>
        <w:rPr>
          <w:rFonts w:hint="eastAsia" w:ascii="仿宋" w:hAnsi="仿宋" w:eastAsia="仿宋" w:cs="仿宋"/>
          <w:i w:val="0"/>
          <w:iCs w:val="0"/>
          <w:color w:val="auto"/>
          <w:kern w:val="0"/>
          <w:sz w:val="24"/>
          <w:highlight w:val="none"/>
        </w:rPr>
        <w:t>　</w:t>
      </w:r>
      <w:r>
        <w:rPr>
          <w:rFonts w:hint="eastAsia" w:ascii="仿宋" w:hAnsi="仿宋" w:eastAsia="仿宋" w:cs="仿宋"/>
          <w:b/>
          <w:i w:val="0"/>
          <w:iCs w:val="0"/>
          <w:color w:val="auto"/>
          <w:kern w:val="0"/>
          <w:sz w:val="24"/>
          <w:szCs w:val="20"/>
          <w:highlight w:val="none"/>
        </w:rPr>
        <w:t>　</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lang w:val="en-US" w:eastAsia="zh-CN"/>
        </w:rPr>
        <w:t>单位名称</w:t>
      </w:r>
      <w:r>
        <w:rPr>
          <w:rFonts w:hint="eastAsia" w:ascii="仿宋" w:hAnsi="仿宋" w:eastAsia="仿宋" w:cs="仿宋"/>
          <w:i w:val="0"/>
          <w:iCs w:val="0"/>
          <w:color w:val="auto"/>
          <w:kern w:val="0"/>
          <w:sz w:val="24"/>
          <w:highlight w:val="none"/>
        </w:rPr>
        <w:t>（公章）：</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法定代表人或授权代表（签字）: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widowControl/>
        <w:spacing w:before="100" w:beforeAutospacing="1" w:after="100" w:afterAutospacing="1" w:line="360" w:lineRule="auto"/>
        <w:ind w:firstLine="240" w:firstLineChars="100"/>
        <w:jc w:val="left"/>
        <w:rPr>
          <w:rFonts w:hint="eastAsia" w:ascii="仿宋" w:hAnsi="仿宋" w:eastAsia="仿宋" w:cs="仿宋"/>
          <w:i w:val="0"/>
          <w:iCs w:val="0"/>
          <w:color w:val="auto"/>
          <w:kern w:val="0"/>
          <w:sz w:val="24"/>
          <w:highlight w:val="none"/>
          <w:u w:val="single"/>
        </w:rPr>
      </w:pPr>
      <w:r>
        <w:rPr>
          <w:rFonts w:hint="eastAsia" w:ascii="仿宋" w:hAnsi="仿宋" w:eastAsia="仿宋" w:cs="仿宋"/>
          <w:i w:val="0"/>
          <w:iCs w:val="0"/>
          <w:color w:val="auto"/>
          <w:kern w:val="0"/>
          <w:sz w:val="24"/>
          <w:highlight w:val="none"/>
        </w:rPr>
        <w:t>日　期：</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u w:val="single"/>
        </w:rPr>
      </w:pPr>
    </w:p>
    <w:p>
      <w:pPr>
        <w:widowControl/>
        <w:spacing w:before="100" w:beforeAutospacing="1" w:after="100" w:afterAutospacing="1" w:line="360" w:lineRule="auto"/>
        <w:jc w:val="left"/>
        <w:rPr>
          <w:rFonts w:hint="eastAsia" w:ascii="仿宋" w:hAnsi="仿宋" w:eastAsia="仿宋" w:cs="仿宋"/>
          <w:i w:val="0"/>
          <w:iCs w:val="0"/>
          <w:color w:val="auto"/>
          <w:sz w:val="24"/>
          <w:highlight w:val="none"/>
          <w:u w:val="none"/>
        </w:rPr>
      </w:pPr>
      <w:r>
        <w:rPr>
          <w:rFonts w:hint="eastAsia" w:ascii="仿宋" w:hAnsi="仿宋" w:eastAsia="仿宋" w:cs="仿宋"/>
          <w:i w:val="0"/>
          <w:iCs w:val="0"/>
          <w:color w:val="auto"/>
          <w:kern w:val="0"/>
          <w:sz w:val="24"/>
          <w:highlight w:val="none"/>
          <w:u w:val="none"/>
        </w:rPr>
        <w:t>注：符合《关于政府采购支持监狱企业发展有关问题的通知》价格扣减条件的供应商须提交。</w:t>
      </w:r>
      <w:r>
        <w:rPr>
          <w:rFonts w:hint="eastAsia" w:ascii="仿宋" w:hAnsi="仿宋" w:eastAsia="仿宋" w:cs="仿宋"/>
          <w:i w:val="0"/>
          <w:iCs w:val="0"/>
          <w:color w:val="auto"/>
          <w:kern w:val="0"/>
          <w:sz w:val="24"/>
          <w:highlight w:val="none"/>
          <w:u w:val="none"/>
          <w:lang w:val="en-US" w:eastAsia="zh-CN"/>
        </w:rPr>
        <w:t>需提供</w:t>
      </w:r>
      <w:r>
        <w:rPr>
          <w:rFonts w:hint="eastAsia" w:ascii="仿宋" w:hAnsi="仿宋" w:eastAsia="仿宋" w:cs="仿宋"/>
          <w:i w:val="0"/>
          <w:iCs w:val="0"/>
          <w:color w:val="auto"/>
          <w:sz w:val="24"/>
          <w:highlight w:val="none"/>
          <w:u w:val="none"/>
        </w:rPr>
        <w:t>省级以上监狱管理局、戒毒管理局（含新疆生产建设兵团）出具的属于监狱企业的证明文件。</w:t>
      </w: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widowControl/>
        <w:jc w:val="left"/>
        <w:rPr>
          <w:rFonts w:hint="eastAsia" w:ascii="仿宋" w:hAnsi="仿宋" w:eastAsia="仿宋" w:cs="仿宋"/>
          <w:i w:val="0"/>
          <w:iCs w:val="0"/>
          <w:color w:val="auto"/>
          <w:sz w:val="32"/>
          <w:szCs w:val="32"/>
          <w:highlight w:val="none"/>
        </w:rPr>
      </w:pPr>
      <w:bookmarkStart w:id="501" w:name="_Toc7005134"/>
      <w:r>
        <w:rPr>
          <w:rFonts w:hint="eastAsia" w:ascii="仿宋" w:hAnsi="仿宋" w:eastAsia="仿宋" w:cs="仿宋"/>
          <w:i w:val="0"/>
          <w:iCs w:val="0"/>
          <w:color w:val="auto"/>
          <w:sz w:val="32"/>
          <w:szCs w:val="32"/>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三、残疾人福利性单位声明函</w:t>
      </w:r>
      <w:bookmarkEnd w:id="501"/>
    </w:p>
    <w:p>
      <w:pPr>
        <w:pStyle w:val="23"/>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1"/>
          <w:szCs w:val="21"/>
          <w:highlight w:val="none"/>
        </w:rPr>
        <w:t>（注：符合条件的残疾人福利性单位请提供本函，不符合的不提供本函）</w:t>
      </w:r>
    </w:p>
    <w:p>
      <w:pPr>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rPr>
      </w:pP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本单位对上述声明的真实性负责。如有虚假，将依法承担相应责任。</w:t>
      </w:r>
    </w:p>
    <w:p>
      <w:pPr>
        <w:spacing w:line="360" w:lineRule="auto"/>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单位名称（公章）：</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p>
    <w:p>
      <w:pPr>
        <w:rPr>
          <w:rFonts w:hint="eastAsia" w:ascii="仿宋" w:hAnsi="仿宋" w:eastAsia="仿宋" w:cs="仿宋"/>
          <w:i w:val="0"/>
          <w:iCs w:val="0"/>
          <w:color w:val="auto"/>
          <w:sz w:val="24"/>
          <w:highlight w:val="none"/>
        </w:rPr>
      </w:pPr>
    </w:p>
    <w:p>
      <w:pPr>
        <w:snapToGrid w:val="0"/>
        <w:spacing w:before="120" w:beforeLines="50"/>
        <w:jc w:val="center"/>
        <w:rPr>
          <w:rFonts w:hint="eastAsia" w:ascii="仿宋" w:hAnsi="仿宋" w:eastAsia="仿宋" w:cs="仿宋"/>
          <w:b/>
          <w:i w:val="0"/>
          <w:iCs w:val="0"/>
          <w:color w:val="auto"/>
          <w:sz w:val="24"/>
          <w:szCs w:val="21"/>
          <w:highlight w:val="none"/>
        </w:rPr>
      </w:pPr>
    </w:p>
    <w:p>
      <w:pPr>
        <w:widowControl/>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四、响应承诺书</w:t>
      </w:r>
    </w:p>
    <w:p>
      <w:pPr>
        <w:spacing w:line="360" w:lineRule="auto"/>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陕西省采购招标有限责任公司</w:t>
      </w:r>
      <w:r>
        <w:rPr>
          <w:rFonts w:hint="eastAsia" w:ascii="仿宋" w:hAnsi="仿宋" w:eastAsia="仿宋" w:cs="仿宋"/>
          <w:i w:val="0"/>
          <w:iCs w:val="0"/>
          <w:color w:val="auto"/>
          <w:sz w:val="24"/>
          <w:highlight w:val="none"/>
          <w:lang w:eastAsia="zh-CN"/>
        </w:rPr>
        <w:t>：</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我方在此声明，我方以下事项进行承诺：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 在本次谈判中我公司无与其他供应商相互串通，或与采购人串通的行为；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在本次谈判中我公司无向采购人或谈判小组成员行贿的手段谋取成交的行为；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 在本次谈判中我公司无出借或借用资质行为、在响应文件中所附资料（业绩、项目负责人资料等）无弄虚作假；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 我公司没有处于被责令停产、停业、投标资格被取消状态；</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上述承诺内容如有不实，我公司愿意承担由此造成的一切法律责任，并承诺以谈判保证金赔偿给采购人造成的损失。</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特此承诺。</w:t>
      </w:r>
    </w:p>
    <w:p>
      <w:pPr>
        <w:spacing w:line="360" w:lineRule="auto"/>
        <w:ind w:firstLine="480" w:firstLineChars="200"/>
        <w:rPr>
          <w:rFonts w:hint="eastAsia" w:ascii="仿宋" w:hAnsi="仿宋" w:eastAsia="仿宋" w:cs="仿宋"/>
          <w:i w:val="0"/>
          <w:iCs w:val="0"/>
          <w:color w:val="auto"/>
          <w:sz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供应商名称（公章）：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法定代表人或其授权代表（签字或加盖人名章）：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28"/>
        <w:jc w:val="center"/>
        <w:outlineLvl w:val="1"/>
        <w:rPr>
          <w:rFonts w:hint="eastAsia" w:ascii="仿宋" w:hAnsi="仿宋" w:eastAsia="仿宋" w:cs="仿宋"/>
          <w:b/>
          <w:bCs/>
          <w:i w:val="0"/>
          <w:iCs w:val="0"/>
          <w:color w:val="auto"/>
          <w:sz w:val="28"/>
          <w:szCs w:val="28"/>
          <w:highlight w:val="none"/>
          <w:lang w:val="zh-CN"/>
        </w:rPr>
      </w:pPr>
      <w:r>
        <w:rPr>
          <w:rFonts w:hint="eastAsia" w:ascii="仿宋" w:hAnsi="仿宋" w:eastAsia="仿宋" w:cs="仿宋"/>
          <w:b/>
          <w:i w:val="0"/>
          <w:iCs w:val="0"/>
          <w:color w:val="auto"/>
          <w:sz w:val="28"/>
          <w:szCs w:val="28"/>
          <w:highlight w:val="none"/>
          <w:lang w:eastAsia="zh-CN"/>
        </w:rPr>
        <w:t>五</w:t>
      </w:r>
      <w:r>
        <w:rPr>
          <w:rFonts w:hint="eastAsia" w:ascii="仿宋" w:hAnsi="仿宋" w:eastAsia="仿宋" w:cs="仿宋"/>
          <w:b/>
          <w:i w:val="0"/>
          <w:iCs w:val="0"/>
          <w:color w:val="auto"/>
          <w:sz w:val="28"/>
          <w:szCs w:val="28"/>
          <w:highlight w:val="none"/>
        </w:rPr>
        <w:t>、</w:t>
      </w:r>
      <w:r>
        <w:rPr>
          <w:rFonts w:hint="eastAsia" w:ascii="仿宋" w:hAnsi="仿宋" w:eastAsia="仿宋" w:cs="仿宋"/>
          <w:b/>
          <w:bCs/>
          <w:i w:val="0"/>
          <w:iCs w:val="0"/>
          <w:color w:val="auto"/>
          <w:sz w:val="28"/>
          <w:szCs w:val="28"/>
          <w:highlight w:val="none"/>
          <w:lang w:val="zh-CN"/>
        </w:rPr>
        <w:t>谈判保证金支付凭证或担保函（复印件）</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pStyle w:val="45"/>
        <w:snapToGrid w:val="0"/>
        <w:spacing w:line="360" w:lineRule="auto"/>
        <w:jc w:val="both"/>
        <w:outlineLvl w:val="0"/>
        <w:rPr>
          <w:rFonts w:hint="eastAsia" w:ascii="仿宋" w:hAnsi="仿宋" w:eastAsia="仿宋" w:cs="仿宋"/>
          <w:i w:val="0"/>
          <w:iCs w:val="0"/>
          <w:color w:val="auto"/>
          <w:highlight w:val="none"/>
        </w:rPr>
      </w:pPr>
      <w:r>
        <w:rPr>
          <w:rFonts w:hint="eastAsia" w:ascii="仿宋" w:hAnsi="仿宋" w:eastAsia="仿宋" w:cs="仿宋"/>
          <w:b/>
          <w:bCs/>
          <w:i w:val="0"/>
          <w:iCs w:val="0"/>
          <w:color w:val="auto"/>
          <w:sz w:val="28"/>
          <w:szCs w:val="28"/>
          <w:highlight w:val="none"/>
        </w:rPr>
        <w:t xml:space="preserve">附件1                     </w:t>
      </w:r>
      <w:r>
        <w:rPr>
          <w:rFonts w:hint="eastAsia" w:ascii="仿宋" w:hAnsi="仿宋" w:eastAsia="仿宋" w:cs="仿宋"/>
          <w:b/>
          <w:bCs/>
          <w:i w:val="0"/>
          <w:iCs w:val="0"/>
          <w:color w:val="auto"/>
          <w:sz w:val="32"/>
          <w:szCs w:val="32"/>
          <w:highlight w:val="none"/>
        </w:rPr>
        <w:t>谈判担保函</w:t>
      </w:r>
      <w:r>
        <w:rPr>
          <w:rFonts w:hint="eastAsia" w:ascii="仿宋" w:hAnsi="仿宋" w:eastAsia="仿宋" w:cs="仿宋"/>
          <w:bCs/>
          <w:i w:val="0"/>
          <w:iCs w:val="0"/>
          <w:color w:val="auto"/>
          <w:highlight w:val="none"/>
        </w:rPr>
        <w:t>（适用于保证金保函）</w:t>
      </w:r>
    </w:p>
    <w:p>
      <w:pPr>
        <w:snapToGrid w:val="0"/>
        <w:spacing w:line="288" w:lineRule="auto"/>
        <w:ind w:right="480"/>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保函编号:</w:t>
      </w:r>
    </w:p>
    <w:p>
      <w:pPr>
        <w:snapToGrid w:val="0"/>
        <w:spacing w:line="288" w:lineRule="auto"/>
        <w:jc w:val="left"/>
        <w:rPr>
          <w:rFonts w:hint="eastAsia" w:ascii="仿宋" w:hAnsi="仿宋" w:eastAsia="仿宋" w:cs="仿宋"/>
          <w:i w:val="0"/>
          <w:iCs w:val="0"/>
          <w:color w:val="auto"/>
          <w:sz w:val="24"/>
          <w:highlight w:val="none"/>
          <w:u w:val="single"/>
          <w:lang w:eastAsia="zh-CN"/>
        </w:rPr>
      </w:pPr>
    </w:p>
    <w:p>
      <w:pPr>
        <w:snapToGrid w:val="0"/>
        <w:spacing w:line="288" w:lineRule="auto"/>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u w:val="single"/>
        </w:rPr>
        <w:t>陕西省采购招标有限责任公司</w:t>
      </w:r>
      <w:r>
        <w:rPr>
          <w:rFonts w:hint="eastAsia" w:ascii="仿宋" w:hAnsi="仿宋" w:eastAsia="仿宋" w:cs="仿宋"/>
          <w:i w:val="0"/>
          <w:iCs w:val="0"/>
          <w:color w:val="auto"/>
          <w:sz w:val="24"/>
          <w:highlight w:val="none"/>
        </w:rPr>
        <w:t>(下称受益人)</w:t>
      </w:r>
      <w:r>
        <w:rPr>
          <w:rFonts w:hint="eastAsia" w:ascii="仿宋" w:hAnsi="仿宋" w:eastAsia="仿宋" w:cs="仿宋"/>
          <w:i w:val="0"/>
          <w:iCs w:val="0"/>
          <w:color w:val="auto"/>
          <w:sz w:val="24"/>
          <w:highlight w:val="none"/>
          <w:lang w:eastAsia="zh-CN"/>
        </w:rPr>
        <w:t>：</w:t>
      </w:r>
    </w:p>
    <w:p>
      <w:pPr>
        <w:snapToGrid w:val="0"/>
        <w:spacing w:line="288" w:lineRule="auto"/>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鉴于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(下称被保证人)将于</w:t>
      </w:r>
      <w:r>
        <w:rPr>
          <w:rFonts w:hint="eastAsia" w:ascii="仿宋" w:hAnsi="仿宋" w:eastAsia="仿宋" w:cs="仿宋"/>
          <w:i w:val="0"/>
          <w:iCs w:val="0"/>
          <w:color w:val="auto"/>
          <w:sz w:val="24"/>
          <w:highlight w:val="none"/>
          <w:u w:val="single"/>
        </w:rPr>
        <w:t>    年 月 日</w:t>
      </w:r>
      <w:r>
        <w:rPr>
          <w:rFonts w:hint="eastAsia" w:ascii="仿宋" w:hAnsi="仿宋" w:eastAsia="仿宋" w:cs="仿宋"/>
          <w:i w:val="0"/>
          <w:iCs w:val="0"/>
          <w:color w:val="auto"/>
          <w:sz w:val="24"/>
          <w:highlight w:val="none"/>
        </w:rPr>
        <w:t>参加贵方竞争性谈判文件编号为</w:t>
      </w:r>
      <w:r>
        <w:rPr>
          <w:rFonts w:hint="eastAsia" w:ascii="仿宋" w:hAnsi="仿宋" w:eastAsia="仿宋" w:cs="仿宋"/>
          <w:i w:val="0"/>
          <w:iCs w:val="0"/>
          <w:color w:val="auto"/>
          <w:sz w:val="24"/>
          <w:highlight w:val="none"/>
          <w:u w:val="single"/>
        </w:rPr>
        <w:t> （采购项目编号）</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（项目名称） </w:t>
      </w:r>
      <w:r>
        <w:rPr>
          <w:rFonts w:hint="eastAsia" w:ascii="仿宋" w:hAnsi="仿宋" w:eastAsia="仿宋" w:cs="仿宋"/>
          <w:i w:val="0"/>
          <w:iCs w:val="0"/>
          <w:color w:val="auto"/>
          <w:sz w:val="24"/>
          <w:highlight w:val="none"/>
        </w:rPr>
        <w:t>的竞争性谈判,我方接受被保证人的委托,在此向受益人提供不可撤销的谈判保证：</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本保证担保的担保金额为</w:t>
      </w:r>
      <w:r>
        <w:rPr>
          <w:rFonts w:hint="eastAsia" w:ascii="仿宋" w:hAnsi="仿宋" w:eastAsia="仿宋" w:cs="仿宋"/>
          <w:i w:val="0"/>
          <w:iCs w:val="0"/>
          <w:color w:val="auto"/>
          <w:sz w:val="24"/>
          <w:highlight w:val="none"/>
          <w:u w:val="single"/>
        </w:rPr>
        <w:t>人民币</w:t>
      </w:r>
      <w:r>
        <w:rPr>
          <w:rFonts w:hint="eastAsia" w:ascii="仿宋" w:hAnsi="仿宋" w:eastAsia="仿宋" w:cs="仿宋"/>
          <w:i w:val="0"/>
          <w:iCs w:val="0"/>
          <w:color w:val="auto"/>
          <w:sz w:val="24"/>
          <w:highlight w:val="none"/>
        </w:rPr>
        <w:t>(币种</w:t>
      </w:r>
      <w:r>
        <w:rPr>
          <w:rFonts w:hint="eastAsia" w:ascii="仿宋" w:hAnsi="仿宋" w:eastAsia="仿宋" w:cs="仿宋"/>
          <w:i w:val="0"/>
          <w:iCs w:val="0"/>
          <w:color w:val="auto"/>
          <w:sz w:val="24"/>
          <w:highlight w:val="none"/>
          <w:u w:val="single"/>
        </w:rPr>
        <w:t>)     </w:t>
      </w:r>
      <w:r>
        <w:rPr>
          <w:rFonts w:hint="eastAsia" w:ascii="仿宋" w:hAnsi="仿宋" w:eastAsia="仿宋" w:cs="仿宋"/>
          <w:i w:val="0"/>
          <w:iCs w:val="0"/>
          <w:color w:val="auto"/>
          <w:sz w:val="24"/>
          <w:highlight w:val="none"/>
        </w:rPr>
        <w:t>元(小写)</w:t>
      </w:r>
      <w:r>
        <w:rPr>
          <w:rFonts w:hint="eastAsia" w:ascii="仿宋" w:hAnsi="仿宋" w:eastAsia="仿宋" w:cs="仿宋"/>
          <w:i w:val="0"/>
          <w:iCs w:val="0"/>
          <w:color w:val="auto"/>
          <w:sz w:val="24"/>
          <w:highlight w:val="none"/>
          <w:u w:val="single"/>
        </w:rPr>
        <w:t xml:space="preserve">     元整</w:t>
      </w:r>
      <w:r>
        <w:rPr>
          <w:rFonts w:hint="eastAsia" w:ascii="仿宋" w:hAnsi="仿宋" w:eastAsia="仿宋" w:cs="仿宋"/>
          <w:i w:val="0"/>
          <w:iCs w:val="0"/>
          <w:color w:val="auto"/>
          <w:sz w:val="24"/>
          <w:highlight w:val="none"/>
        </w:rPr>
        <w:t>(大写）。</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二、本保证担保的保证期间为响应文件的有效期(或延长的有效期),延长有效期无须通知我方。</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三、在本保证担保的保证期间内,如果被保证人出现下列情形之一,受益人可以向我方提起索赔：</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1.被保证人在响应文件有效期内撤回其响应文件；</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2.被保证人在响应文件有效期内收到受益人发出的成交通知书后,不能或拒绝按竞争性谈判文件的要求签署合同；</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3.被保证人在有效期内收到受益人发出的成交通知书后,不能或拒绝按竞争性谈判文件的规定提交履约担保；</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4.被保证人成交后未按照竞争性谈判文件规定交纳代理服务费。</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四、在本保证担保的保证期间内,我方收到受益人经法定代表人或其授权委托代理人签字并加盖公章的书面索赔通知后,将不争辩、不挑剔、不可撤销地立即向受益人支付本保证担保的担保金额。</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五、受益人的索赔通知应当说明索赔理由,并必须在本保证担保的保证期间内送达我方。</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六、本保证担保项下的权利不得转让。</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七、本保证担保的保证期间届满,或我方已向受益人支付本保证担保的担保金额,我方的保证责任免除。</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八、本保证担保适用中华人民共和国法律。</w:t>
      </w:r>
    </w:p>
    <w:p>
      <w:pPr>
        <w:numPr>
          <w:ilvl w:val="0"/>
          <w:numId w:val="22"/>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九、本保证担保以中文文本为准,涂改无效。</w:t>
      </w:r>
    </w:p>
    <w:p>
      <w:pPr>
        <w:snapToGrid w:val="0"/>
        <w:spacing w:line="288" w:lineRule="auto"/>
        <w:rPr>
          <w:rFonts w:hint="eastAsia" w:ascii="仿宋" w:hAnsi="仿宋" w:eastAsia="仿宋" w:cs="仿宋"/>
          <w:i w:val="0"/>
          <w:iCs w:val="0"/>
          <w:color w:val="auto"/>
          <w:sz w:val="24"/>
          <w:highlight w:val="none"/>
          <w:lang w:eastAsia="zh-CN"/>
        </w:rPr>
      </w:pPr>
    </w:p>
    <w:p>
      <w:pPr>
        <w:snapToGrid w:val="0"/>
        <w:spacing w:line="288" w:lineRule="auto"/>
        <w:rPr>
          <w:rFonts w:hint="eastAsia" w:ascii="仿宋" w:hAnsi="仿宋" w:eastAsia="仿宋" w:cs="仿宋"/>
          <w:i w:val="0"/>
          <w:iCs w:val="0"/>
          <w:color w:val="auto"/>
          <w:sz w:val="24"/>
          <w:highlight w:val="none"/>
          <w:u w:val="single"/>
          <w:lang w:eastAsia="zh-CN"/>
        </w:rPr>
      </w:pPr>
      <w:r>
        <w:rPr>
          <w:rFonts w:hint="eastAsia" w:ascii="仿宋" w:hAnsi="仿宋" w:eastAsia="仿宋" w:cs="仿宋"/>
          <w:i w:val="0"/>
          <w:iCs w:val="0"/>
          <w:color w:val="auto"/>
          <w:sz w:val="24"/>
          <w:highlight w:val="none"/>
        </w:rPr>
        <w:t>保证人(盖章):</w:t>
      </w:r>
      <w:r>
        <w:rPr>
          <w:rFonts w:hint="eastAsia" w:ascii="仿宋" w:hAnsi="仿宋" w:eastAsia="仿宋" w:cs="仿宋"/>
          <w:i w:val="0"/>
          <w:iCs w:val="0"/>
          <w:color w:val="auto"/>
          <w:sz w:val="24"/>
          <w:highlight w:val="none"/>
          <w:u w:val="single"/>
        </w:rPr>
        <w:t xml:space="preserve">     </w:t>
      </w:r>
    </w:p>
    <w:p>
      <w:pPr>
        <w:snapToGrid w:val="0"/>
        <w:spacing w:line="288" w:lineRule="auto"/>
        <w:rPr>
          <w:rFonts w:hint="eastAsia" w:ascii="仿宋" w:hAnsi="仿宋" w:eastAsia="仿宋" w:cs="仿宋"/>
          <w:i w:val="0"/>
          <w:iCs w:val="0"/>
          <w:color w:val="auto"/>
          <w:sz w:val="24"/>
          <w:highlight w:val="none"/>
          <w:u w:val="single"/>
          <w:lang w:eastAsia="zh-CN"/>
        </w:rPr>
      </w:pPr>
      <w:r>
        <w:rPr>
          <w:rFonts w:hint="eastAsia" w:ascii="仿宋" w:hAnsi="仿宋" w:eastAsia="仿宋" w:cs="仿宋"/>
          <w:i w:val="0"/>
          <w:iCs w:val="0"/>
          <w:color w:val="auto"/>
          <w:sz w:val="24"/>
          <w:highlight w:val="none"/>
        </w:rPr>
        <w:t xml:space="preserve">法定代表人或其授权委托代理人(签字或盖章）： </w:t>
      </w:r>
      <w:r>
        <w:rPr>
          <w:rFonts w:hint="eastAsia" w:ascii="仿宋" w:hAnsi="仿宋" w:eastAsia="仿宋" w:cs="仿宋"/>
          <w:i w:val="0"/>
          <w:iCs w:val="0"/>
          <w:color w:val="auto"/>
          <w:sz w:val="24"/>
          <w:highlight w:val="none"/>
          <w:u w:val="single"/>
        </w:rPr>
        <w:t xml:space="preserve">               </w:t>
      </w:r>
    </w:p>
    <w:p>
      <w:pPr>
        <w:snapToGrid w:val="0"/>
        <w:spacing w:line="288" w:lineRule="auto"/>
        <w:rPr>
          <w:rFonts w:hint="eastAsia" w:ascii="仿宋" w:hAnsi="仿宋" w:eastAsia="仿宋" w:cs="仿宋"/>
          <w:i w:val="0"/>
          <w:iCs w:val="0"/>
          <w:color w:val="auto"/>
          <w:sz w:val="24"/>
          <w:highlight w:val="none"/>
          <w:u w:val="single"/>
          <w:lang w:eastAsia="zh-CN"/>
        </w:rPr>
      </w:pPr>
      <w:r>
        <w:rPr>
          <w:rFonts w:hint="eastAsia" w:ascii="仿宋" w:hAnsi="仿宋" w:eastAsia="仿宋" w:cs="仿宋"/>
          <w:i w:val="0"/>
          <w:iCs w:val="0"/>
          <w:color w:val="auto"/>
          <w:sz w:val="24"/>
          <w:highlight w:val="none"/>
        </w:rPr>
        <w:t>单位地址:</w:t>
      </w:r>
      <w:r>
        <w:rPr>
          <w:rFonts w:hint="eastAsia" w:ascii="仿宋" w:hAnsi="仿宋" w:eastAsia="仿宋" w:cs="仿宋"/>
          <w:i w:val="0"/>
          <w:iCs w:val="0"/>
          <w:color w:val="auto"/>
          <w:sz w:val="24"/>
          <w:highlight w:val="none"/>
          <w:u w:val="single"/>
        </w:rPr>
        <w:t xml:space="preserve">     </w:t>
      </w:r>
    </w:p>
    <w:p>
      <w:pPr>
        <w:snapToGrid w:val="0"/>
        <w:spacing w:line="28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电话:</w:t>
      </w:r>
      <w:r>
        <w:rPr>
          <w:rFonts w:hint="eastAsia" w:ascii="仿宋" w:hAnsi="仿宋" w:eastAsia="仿宋" w:cs="仿宋"/>
          <w:i w:val="0"/>
          <w:iCs w:val="0"/>
          <w:color w:val="auto"/>
          <w:sz w:val="24"/>
          <w:highlight w:val="none"/>
          <w:u w:val="single"/>
        </w:rPr>
        <w:t xml:space="preserve">     </w:t>
      </w:r>
    </w:p>
    <w:p>
      <w:pPr>
        <w:pStyle w:val="45"/>
        <w:snapToGrid w:val="0"/>
        <w:spacing w:line="288" w:lineRule="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日期:</w:t>
      </w:r>
      <w:r>
        <w:rPr>
          <w:rFonts w:hint="eastAsia" w:ascii="仿宋" w:hAnsi="仿宋" w:eastAsia="仿宋" w:cs="仿宋"/>
          <w:i w:val="0"/>
          <w:iCs w:val="0"/>
          <w:color w:val="auto"/>
          <w:highlight w:val="none"/>
          <w:u w:val="single"/>
        </w:rPr>
        <w:t xml:space="preserve">     年    月    日</w:t>
      </w:r>
    </w:p>
    <w:p>
      <w:pPr>
        <w:pStyle w:val="45"/>
        <w:snapToGrid w:val="0"/>
        <w:spacing w:line="360" w:lineRule="auto"/>
        <w:jc w:val="both"/>
        <w:outlineLvl w:val="0"/>
        <w:rPr>
          <w:rFonts w:hint="eastAsia" w:ascii="仿宋" w:hAnsi="仿宋" w:eastAsia="仿宋" w:cs="仿宋"/>
          <w:b/>
          <w:bCs/>
          <w:i w:val="0"/>
          <w:iCs w:val="0"/>
          <w:color w:val="auto"/>
          <w:sz w:val="32"/>
          <w:szCs w:val="32"/>
          <w:highlight w:val="none"/>
        </w:rPr>
      </w:pPr>
      <w:bookmarkStart w:id="502" w:name="_Toc21748"/>
      <w:bookmarkStart w:id="503" w:name="_Toc515647799"/>
      <w:bookmarkStart w:id="504" w:name="_Toc532473491"/>
      <w:bookmarkStart w:id="505" w:name="_Toc16186"/>
      <w:r>
        <w:rPr>
          <w:rFonts w:hint="eastAsia" w:ascii="仿宋" w:hAnsi="仿宋" w:eastAsia="仿宋" w:cs="仿宋"/>
          <w:i w:val="0"/>
          <w:iCs w:val="0"/>
          <w:color w:val="auto"/>
          <w:highlight w:val="none"/>
        </w:rPr>
        <w:br w:type="page"/>
      </w:r>
      <w:bookmarkEnd w:id="502"/>
      <w:bookmarkEnd w:id="503"/>
      <w:bookmarkEnd w:id="504"/>
      <w:bookmarkEnd w:id="505"/>
      <w:bookmarkStart w:id="506" w:name="_Toc20660404"/>
      <w:bookmarkStart w:id="507" w:name="_Toc515647800"/>
      <w:bookmarkStart w:id="508" w:name="_Toc532473492"/>
      <w:bookmarkStart w:id="509" w:name="_Toc6548"/>
      <w:bookmarkStart w:id="510" w:name="_Toc10951"/>
      <w:r>
        <w:rPr>
          <w:rFonts w:hint="eastAsia" w:ascii="仿宋" w:hAnsi="仿宋" w:eastAsia="仿宋" w:cs="仿宋"/>
          <w:b/>
          <w:bCs/>
          <w:i w:val="0"/>
          <w:iCs w:val="0"/>
          <w:color w:val="auto"/>
          <w:sz w:val="28"/>
          <w:szCs w:val="28"/>
          <w:highlight w:val="none"/>
        </w:rPr>
        <w:t>附件2</w:t>
      </w:r>
    </w:p>
    <w:p>
      <w:pPr>
        <w:pStyle w:val="45"/>
        <w:snapToGrid w:val="0"/>
        <w:spacing w:line="360" w:lineRule="auto"/>
        <w:jc w:val="center"/>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rPr>
        <w:t>履约担保函格式</w:t>
      </w:r>
      <w:bookmarkEnd w:id="506"/>
      <w:bookmarkEnd w:id="507"/>
      <w:bookmarkEnd w:id="508"/>
      <w:bookmarkEnd w:id="509"/>
      <w:bookmarkEnd w:id="510"/>
    </w:p>
    <w:p>
      <w:pPr>
        <w:snapToGrid w:val="0"/>
        <w:spacing w:line="336"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编号：</w:t>
      </w:r>
    </w:p>
    <w:p>
      <w:pPr>
        <w:snapToGrid w:val="0"/>
        <w:spacing w:line="336" w:lineRule="auto"/>
        <w:rPr>
          <w:rFonts w:hint="eastAsia" w:ascii="仿宋" w:hAnsi="仿宋" w:eastAsia="仿宋" w:cs="仿宋"/>
          <w:i w:val="0"/>
          <w:iCs w:val="0"/>
          <w:color w:val="auto"/>
          <w:sz w:val="28"/>
          <w:szCs w:val="28"/>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（采购人名称）：</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鉴于你方与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（以下简称供应商）于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日签定编号为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政府采购合同》（以下简称主合同），且依据该合同的约定，供应商应在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一、保证责任的情形及保证金额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（一）在供应商出现下列情形之一时，我方承担保证责任：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1．将成交项目转让给他人，或者在谈判响应文件中未说明，且未经采购人同意，将成交项目分包给他人的；</w:t>
      </w: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2．主合同约定的应当缴纳履约保证金的情形: </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（1）未按主合同约定的质量、数量和期限供应货物/提供服务/完成工程的；</w:t>
      </w:r>
    </w:p>
    <w:p>
      <w:pPr>
        <w:snapToGrid w:val="0"/>
        <w:spacing w:line="336" w:lineRule="auto"/>
        <w:ind w:firstLine="480" w:firstLineChars="20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（二）我方的保证范围是主合同约定的合同价款总额的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%数额为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），币种为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。（即主合同履约保证金金额）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二、保证的方式及保证期间</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我方保证的方式为：连带责任保证。</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我方保证的期间为：自本合同生效之日起至供应商按照主合同约定的供货/完工期限届满后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日内。</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如果供应商未按主合同约定向贵方供应货物/提供服务/完成工程的，由我方在保证金额内向你方支付上述款项。</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三、承担保证责任的程序</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1．你方要求我方承担保证责任的，应在本保函保证期间内向我方发出书面索赔通知。索赔通知应写明要求索赔的金额，支付款项应到达的</w:t>
      </w:r>
      <w:r>
        <w:rPr>
          <w:rFonts w:hint="eastAsia" w:ascii="仿宋" w:hAnsi="仿宋" w:eastAsia="仿宋" w:cs="仿宋"/>
          <w:i w:val="0"/>
          <w:iCs w:val="0"/>
          <w:color w:val="auto"/>
          <w:sz w:val="24"/>
          <w:highlight w:val="none"/>
          <w:lang w:eastAsia="zh-CN"/>
        </w:rPr>
        <w:t>账号</w:t>
      </w:r>
      <w:r>
        <w:rPr>
          <w:rFonts w:hint="eastAsia" w:ascii="仿宋" w:hAnsi="仿宋" w:eastAsia="仿宋" w:cs="仿宋"/>
          <w:i w:val="0"/>
          <w:iCs w:val="0"/>
          <w:color w:val="auto"/>
          <w:sz w:val="24"/>
          <w:highlight w:val="none"/>
        </w:rPr>
        <w:t>。并附有证明供应商违约事实的证明材料。</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如果你方与供应商因货物质量问题产生争议，你方还需同时提供</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我方收到你方的书面索赔通知及相应证明材料，在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工作日内进行核定后按照本保函的承诺承担保证责任。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四、保证责任的终止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2．我方按照本保函向你方履行了保证责任后，自我方向你方支付款项（支付款项从我方账户划出）之日起，保证责任即终止。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3．按照法律法规的规定或出现应终止我方保证责任的其它情形的，我方在本保函项下的保证责任亦终止。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五、免责条款</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1．因你方违反主合同约定致使供应商不能履行义务的，我方不承担保证责任。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3．因不可抗力造成供应商不能履行供货义务的，我方不承担保证责任。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六、争议的解决</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因本保函发生的纠纷，由你我双方协商解决，协商不成的，通过诉讼程序解决，诉讼管辖地法院为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法院。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七、保函的生效</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本保函自我方加盖公章之日起生效。</w:t>
      </w:r>
    </w:p>
    <w:p>
      <w:pPr>
        <w:snapToGrid w:val="0"/>
        <w:spacing w:line="336" w:lineRule="auto"/>
        <w:rPr>
          <w:rFonts w:hint="eastAsia" w:ascii="仿宋" w:hAnsi="仿宋" w:eastAsia="仿宋" w:cs="仿宋"/>
          <w:i w:val="0"/>
          <w:iCs w:val="0"/>
          <w:color w:val="auto"/>
          <w:sz w:val="24"/>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pStyle w:val="29"/>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出具保函单位名称（盖公章）：</w:t>
      </w:r>
      <w:r>
        <w:rPr>
          <w:rFonts w:hint="eastAsia" w:ascii="仿宋" w:hAnsi="仿宋" w:eastAsia="仿宋" w:cs="仿宋"/>
          <w:i w:val="0"/>
          <w:iCs w:val="0"/>
          <w:color w:val="auto"/>
          <w:sz w:val="24"/>
          <w:szCs w:val="24"/>
          <w:highlight w:val="none"/>
          <w:u w:val="single"/>
        </w:rPr>
        <w:t xml:space="preserve">                   </w:t>
      </w:r>
    </w:p>
    <w:p>
      <w:pPr>
        <w:pStyle w:val="29"/>
        <w:ind w:left="1080" w:leftChars="257" w:hanging="54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签字人姓名和职务：</w:t>
      </w:r>
      <w:r>
        <w:rPr>
          <w:rFonts w:hint="eastAsia" w:ascii="仿宋" w:hAnsi="仿宋" w:eastAsia="仿宋" w:cs="仿宋"/>
          <w:i w:val="0"/>
          <w:iCs w:val="0"/>
          <w:color w:val="auto"/>
          <w:sz w:val="24"/>
          <w:szCs w:val="24"/>
          <w:highlight w:val="none"/>
          <w:u w:val="single"/>
        </w:rPr>
        <w:t xml:space="preserve">                             </w:t>
      </w:r>
    </w:p>
    <w:p>
      <w:pPr>
        <w:pStyle w:val="29"/>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签字人签名：</w:t>
      </w:r>
      <w:r>
        <w:rPr>
          <w:rFonts w:hint="eastAsia" w:ascii="仿宋" w:hAnsi="仿宋" w:eastAsia="仿宋" w:cs="仿宋"/>
          <w:i w:val="0"/>
          <w:iCs w:val="0"/>
          <w:color w:val="auto"/>
          <w:sz w:val="24"/>
          <w:szCs w:val="24"/>
          <w:highlight w:val="none"/>
          <w:u w:val="single"/>
        </w:rPr>
        <w:t xml:space="preserve">                                   </w:t>
      </w:r>
    </w:p>
    <w:p>
      <w:pPr>
        <w:pStyle w:val="29"/>
        <w:ind w:left="1080" w:leftChars="257" w:hanging="540"/>
        <w:rPr>
          <w:rFonts w:hint="eastAsia" w:ascii="仿宋" w:hAnsi="仿宋" w:eastAsia="仿宋" w:cs="仿宋"/>
          <w:i w:val="0"/>
          <w:iCs w:val="0"/>
          <w:color w:val="auto"/>
          <w:sz w:val="28"/>
          <w:szCs w:val="28"/>
          <w:highlight w:val="none"/>
          <w:u w:val="single"/>
        </w:rPr>
      </w:pPr>
      <w:r>
        <w:rPr>
          <w:rFonts w:hint="eastAsia" w:ascii="仿宋" w:hAnsi="仿宋" w:eastAsia="仿宋" w:cs="仿宋"/>
          <w:i w:val="0"/>
          <w:iCs w:val="0"/>
          <w:color w:val="auto"/>
          <w:sz w:val="24"/>
          <w:szCs w:val="24"/>
          <w:highlight w:val="none"/>
        </w:rPr>
        <w:t>时间：</w:t>
      </w:r>
      <w:r>
        <w:rPr>
          <w:rFonts w:hint="eastAsia" w:ascii="仿宋" w:hAnsi="仿宋" w:eastAsia="仿宋" w:cs="仿宋"/>
          <w:i w:val="0"/>
          <w:iCs w:val="0"/>
          <w:color w:val="auto"/>
          <w:sz w:val="24"/>
          <w:szCs w:val="24"/>
          <w:highlight w:val="none"/>
          <w:u w:val="single"/>
        </w:rPr>
        <w:t xml:space="preserve">         年      月      日    </w:t>
      </w:r>
      <w:r>
        <w:rPr>
          <w:rFonts w:hint="eastAsia" w:ascii="仿宋" w:hAnsi="仿宋" w:eastAsia="仿宋" w:cs="仿宋"/>
          <w:i w:val="0"/>
          <w:iCs w:val="0"/>
          <w:color w:val="auto"/>
          <w:sz w:val="28"/>
          <w:szCs w:val="28"/>
          <w:highlight w:val="none"/>
          <w:u w:val="single"/>
        </w:rPr>
        <w:t xml:space="preserve">                </w:t>
      </w:r>
    </w:p>
    <w:p>
      <w:pPr>
        <w:pStyle w:val="23"/>
        <w:ind w:firstLine="480"/>
        <w:rPr>
          <w:rFonts w:hint="eastAsia" w:ascii="仿宋" w:hAnsi="仿宋" w:eastAsia="仿宋" w:cs="仿宋"/>
          <w:i w:val="0"/>
          <w:iCs w:val="0"/>
          <w:color w:val="auto"/>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28"/>
          <w:szCs w:val="28"/>
          <w:highlight w:val="none"/>
          <w:lang w:val="zh-CN"/>
        </w:rPr>
      </w:pPr>
      <w:r>
        <w:rPr>
          <w:rFonts w:hint="eastAsia" w:ascii="仿宋" w:hAnsi="仿宋" w:eastAsia="仿宋" w:cs="仿宋"/>
          <w:b/>
          <w:bCs/>
          <w:i w:val="0"/>
          <w:iCs w:val="0"/>
          <w:color w:val="auto"/>
          <w:sz w:val="28"/>
          <w:szCs w:val="28"/>
          <w:highlight w:val="none"/>
          <w:lang w:val="zh-CN"/>
        </w:rPr>
        <w:t>附件3</w:t>
      </w:r>
    </w:p>
    <w:p>
      <w:pPr>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 xml:space="preserve"> （最后）谈判响应报价表</w:t>
      </w:r>
    </w:p>
    <w:p>
      <w:pPr>
        <w:pStyle w:val="23"/>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r>
        <w:rPr>
          <w:rFonts w:hint="eastAsia" w:ascii="仿宋" w:hAnsi="仿宋" w:eastAsia="仿宋" w:cs="仿宋"/>
          <w:i w:val="0"/>
          <w:iCs w:val="0"/>
          <w:color w:val="auto"/>
          <w:highlight w:val="none"/>
          <w:lang w:val="zh-CN"/>
        </w:rPr>
        <w:t>（随身携带，单独提供，无需装订在响应文件中）</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lang w:eastAsia="zh-CN"/>
              </w:rPr>
              <w:t>服务</w:t>
            </w:r>
            <w:r>
              <w:rPr>
                <w:rFonts w:hint="eastAsia" w:ascii="仿宋" w:hAnsi="仿宋" w:eastAsia="仿宋" w:cs="仿宋"/>
                <w:b/>
                <w:i w:val="0"/>
                <w:iCs w:val="0"/>
                <w:color w:val="auto"/>
                <w:sz w:val="24"/>
                <w:highlight w:val="none"/>
              </w:rPr>
              <w:t>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lang w:eastAsia="zh-CN"/>
              </w:rPr>
              <w:t>服务</w:t>
            </w:r>
            <w:r>
              <w:rPr>
                <w:rFonts w:hint="eastAsia" w:ascii="仿宋" w:hAnsi="仿宋" w:eastAsia="仿宋" w:cs="仿宋"/>
                <w:b/>
                <w:i w:val="0"/>
                <w:iCs w:val="0"/>
                <w:color w:val="auto"/>
                <w:sz w:val="24"/>
                <w:highlight w:val="none"/>
              </w:rPr>
              <w:t>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（公章）：                            </w:t>
      </w:r>
      <w:r>
        <w:rPr>
          <w:rFonts w:hint="eastAsia" w:ascii="仿宋" w:hAnsi="仿宋" w:eastAsia="仿宋" w:cs="仿宋"/>
          <w:b w:val="0"/>
          <w:bCs w:val="0"/>
          <w:i w:val="0"/>
          <w:iCs w:val="0"/>
          <w:color w:val="auto"/>
          <w:sz w:val="24"/>
          <w:highlight w:val="none"/>
          <w:lang w:val="zh-CN"/>
        </w:rPr>
        <w:t>（签字）：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3"/>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10" w:firstLineChars="100"/>
        <w:rPr>
          <w:rFonts w:hint="eastAsia" w:ascii="仿宋" w:hAnsi="仿宋" w:eastAsia="仿宋" w:cs="仿宋"/>
          <w:i w:val="0"/>
          <w:iCs w:val="0"/>
          <w:color w:val="auto"/>
          <w:highlight w:val="none"/>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（最后）分项报价表</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（随身携带，单独提供，无需装订在响应文件中）</w:t>
      </w:r>
    </w:p>
    <w:p>
      <w:pPr>
        <w:pStyle w:val="23"/>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3"/>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项目名称：</w:t>
      </w:r>
    </w:p>
    <w:tbl>
      <w:tblPr>
        <w:tblStyle w:val="51"/>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widowControl/>
        <w:jc w:val="left"/>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br w:type="page"/>
      </w:r>
    </w:p>
    <w:p>
      <w:pPr>
        <w:widowControl/>
        <w:jc w:val="left"/>
        <w:rPr>
          <w:rFonts w:hint="eastAsia" w:ascii="仿宋" w:hAnsi="仿宋" w:eastAsia="仿宋" w:cs="仿宋"/>
          <w:b/>
          <w:bCs/>
          <w:i w:val="0"/>
          <w:iCs w:val="0"/>
          <w:color w:val="auto"/>
          <w:sz w:val="30"/>
          <w:szCs w:val="30"/>
          <w:highlight w:val="none"/>
        </w:rPr>
        <w:sectPr>
          <w:footerReference r:id="rId9" w:type="first"/>
          <w:headerReference r:id="rId7" w:type="default"/>
          <w:footerReference r:id="rId8" w:type="default"/>
          <w:pgSz w:w="11906" w:h="16838"/>
          <w:pgMar w:top="1418" w:right="1418" w:bottom="1418" w:left="1418" w:header="851" w:footer="992" w:gutter="0"/>
          <w:pgNumType w:start="1"/>
          <w:cols w:space="720" w:num="1"/>
          <w:docGrid w:linePitch="312" w:charSpace="0"/>
        </w:sectPr>
      </w:pPr>
    </w:p>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kern w:val="0"/>
          <w:sz w:val="32"/>
          <w:szCs w:val="32"/>
          <w:shd w:val="clear" w:color="auto" w:fill="FFFFFF"/>
          <w:lang w:val="en-US" w:eastAsia="zh-CN" w:bidi="ar-SA"/>
        </w:rPr>
      </w:pPr>
      <w:r>
        <w:rPr>
          <w:rFonts w:hint="eastAsia" w:ascii="仿宋" w:hAnsi="仿宋" w:eastAsia="仿宋" w:cs="仿宋"/>
          <w:b/>
          <w:kern w:val="0"/>
          <w:sz w:val="32"/>
          <w:szCs w:val="32"/>
          <w:shd w:val="clear" w:color="auto" w:fill="FFFFFF"/>
          <w:lang w:val="en-US" w:eastAsia="zh-CN" w:bidi="ar-SA"/>
        </w:rPr>
        <w:t>附件4：信用承诺书（须上传至信用中国（陕西榆林）附件中进行公示）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3"/>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lang w:val="en-US" w:eastAsia="zh-CN"/>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spacing w:line="560" w:lineRule="exact"/>
        <w:ind w:right="-2"/>
        <w:jc w:val="center"/>
        <w:rPr>
          <w:rFonts w:hint="eastAsia" w:ascii="仿宋" w:hAnsi="仿宋" w:eastAsia="仿宋" w:cs="仿宋"/>
          <w:kern w:val="0"/>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b w:val="0"/>
          <w:color w:val="auto"/>
          <w:kern w:val="2"/>
          <w:sz w:val="24"/>
          <w:szCs w:val="24"/>
          <w:lang w:val="en-US" w:eastAsia="zh-CN" w:bidi="ar-SA"/>
        </w:rPr>
        <w:t>（签字或</w:t>
      </w:r>
      <w:r>
        <w:rPr>
          <w:rFonts w:hint="eastAsia" w:ascii="仿宋" w:hAnsi="仿宋" w:eastAsia="仿宋" w:cs="仿宋"/>
          <w:color w:val="auto"/>
          <w:sz w:val="24"/>
          <w:szCs w:val="24"/>
        </w:rPr>
        <w:t>盖章</w:t>
      </w:r>
      <w:r>
        <w:rPr>
          <w:rFonts w:hint="eastAsia" w:ascii="仿宋" w:hAnsi="仿宋" w:eastAsia="仿宋" w:cs="仿宋"/>
          <w:b w:val="0"/>
          <w:color w:val="auto"/>
          <w:kern w:val="2"/>
          <w:sz w:val="24"/>
          <w:szCs w:val="24"/>
          <w:lang w:val="en-US" w:eastAsia="zh-CN" w:bidi="ar-SA"/>
        </w:rPr>
        <w:t>）</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u w:val="single"/>
        </w:rPr>
      </w:pPr>
    </w:p>
    <w:p>
      <w:pPr>
        <w:numPr>
          <w:ilvl w:val="0"/>
          <w:numId w:val="0"/>
        </w:numPr>
        <w:ind w:firstLine="480" w:firstLineChars="200"/>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23"/>
        <w:jc w:val="cente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提供在信用中国（陕西榆林）网址上申报的截图</w:t>
      </w:r>
    </w:p>
    <w:p>
      <w:pP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p>
    <w:p>
      <w:pPr>
        <w:pStyle w:val="4"/>
        <w:spacing w:line="240" w:lineRule="auto"/>
        <w:rPr>
          <w:rFonts w:hint="eastAsia" w:ascii="仿宋" w:hAnsi="仿宋" w:eastAsia="仿宋" w:cs="仿宋"/>
        </w:rPr>
      </w:pPr>
      <w:r>
        <w:rPr>
          <w:rFonts w:hint="eastAsia" w:ascii="仿宋" w:hAnsi="仿宋" w:eastAsia="仿宋" w:cs="仿宋"/>
          <w:b/>
          <w:kern w:val="0"/>
          <w:shd w:val="clear" w:color="auto" w:fill="FFFFFF"/>
          <w:lang w:val="zh-CN"/>
        </w:rPr>
        <w:t>附件</w:t>
      </w:r>
      <w:r>
        <w:rPr>
          <w:rFonts w:hint="eastAsia" w:ascii="仿宋" w:hAnsi="仿宋" w:eastAsia="仿宋" w:cs="仿宋"/>
          <w:b/>
          <w:kern w:val="0"/>
          <w:shd w:val="clear" w:color="auto" w:fill="FFFFFF"/>
        </w:rPr>
        <w:t>5：</w:t>
      </w:r>
      <w:r>
        <w:rPr>
          <w:rFonts w:hint="eastAsia" w:ascii="仿宋" w:hAnsi="仿宋" w:eastAsia="仿宋" w:cs="仿宋"/>
        </w:rPr>
        <w:t>关于信用承诺网上公示的通知及操作指南</w:t>
      </w:r>
    </w:p>
    <w:p>
      <w:pPr>
        <w:rPr>
          <w:rFonts w:hint="eastAsia" w:ascii="仿宋" w:hAnsi="仿宋" w:eastAsia="仿宋" w:cs="仿宋"/>
        </w:rPr>
      </w:pPr>
      <w:r>
        <w:rPr>
          <w:rFonts w:hint="eastAsia" w:ascii="仿宋" w:hAnsi="仿宋" w:eastAsia="仿宋" w:cs="仿宋"/>
        </w:rPr>
        <w:drawing>
          <wp:inline distT="0" distB="0" distL="114300" distR="114300">
            <wp:extent cx="5753100" cy="7781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753100" cy="778192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343525" cy="7753350"/>
            <wp:effectExtent l="0" t="0" r="952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6"/>
                    <a:stretch>
                      <a:fillRect/>
                    </a:stretch>
                  </pic:blipFill>
                  <pic:spPr>
                    <a:xfrm>
                      <a:off x="0" y="0"/>
                      <a:ext cx="5343525" cy="77533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6178550" cy="4373245"/>
            <wp:effectExtent l="0" t="0" r="1270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9"/>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0"/>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1"/>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2"/>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3"/>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4"/>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5"/>
                    <a:srcRect t="10237" b="8508"/>
                    <a:stretch>
                      <a:fillRect/>
                    </a:stretch>
                  </pic:blipFill>
                  <pic:spPr>
                    <a:xfrm>
                      <a:off x="0" y="0"/>
                      <a:ext cx="6181090" cy="3074670"/>
                    </a:xfrm>
                    <a:prstGeom prst="rect">
                      <a:avLst/>
                    </a:prstGeom>
                    <a:noFill/>
                    <a:ln>
                      <a:noFill/>
                    </a:ln>
                  </pic:spPr>
                </pic:pic>
              </a:graphicData>
            </a:graphic>
          </wp:inline>
        </w:drawing>
      </w:r>
    </w:p>
    <w:p>
      <w:pPr>
        <w:jc w:val="center"/>
        <w:rPr>
          <w:rFonts w:hint="eastAsia" w:ascii="仿宋" w:hAnsi="仿宋" w:eastAsia="仿宋" w:cs="仿宋"/>
          <w:b/>
          <w:kern w:val="0"/>
          <w:sz w:val="32"/>
          <w:szCs w:val="32"/>
          <w:shd w:val="clear" w:color="auto" w:fill="FFFFFF"/>
        </w:rPr>
      </w:pPr>
      <w:r>
        <w:rPr>
          <w:rFonts w:hint="eastAsia" w:ascii="仿宋" w:hAnsi="仿宋" w:eastAsia="仿宋" w:cs="仿宋"/>
        </w:rPr>
        <w:br w:type="page"/>
      </w:r>
      <w:r>
        <w:rPr>
          <w:rFonts w:hint="eastAsia" w:ascii="仿宋" w:hAnsi="仿宋" w:eastAsia="仿宋" w:cs="仿宋"/>
          <w:b/>
          <w:kern w:val="0"/>
          <w:sz w:val="32"/>
          <w:szCs w:val="32"/>
          <w:shd w:val="clear" w:color="auto" w:fill="FFFFFF"/>
        </w:rPr>
        <w:t>陕西省公共资源交易中心政府采购项目远程不见面开标</w:t>
      </w:r>
    </w:p>
    <w:p>
      <w:pPr>
        <w:pStyle w:val="4"/>
        <w:spacing w:line="240" w:lineRule="auto"/>
        <w:jc w:val="center"/>
        <w:rPr>
          <w:rFonts w:hint="eastAsia" w:ascii="仿宋" w:hAnsi="仿宋" w:eastAsia="仿宋" w:cs="仿宋"/>
          <w:b/>
          <w:kern w:val="0"/>
          <w:shd w:val="clear" w:color="auto" w:fill="FFFFFF"/>
        </w:rPr>
      </w:pPr>
      <w:r>
        <w:rPr>
          <w:rFonts w:hint="eastAsia" w:ascii="仿宋" w:hAnsi="仿宋" w:eastAsia="仿宋" w:cs="仿宋"/>
          <w:b/>
          <w:kern w:val="0"/>
          <w:shd w:val="clear" w:color="auto" w:fill="FFFFFF"/>
        </w:rPr>
        <w:t>操作手册（供应商版）</w:t>
      </w:r>
    </w:p>
    <w:p>
      <w:pPr>
        <w:pStyle w:val="3"/>
        <w:numPr>
          <w:ilvl w:val="0"/>
          <w:numId w:val="23"/>
        </w:numPr>
        <w:rPr>
          <w:rFonts w:hint="eastAsia" w:ascii="仿宋" w:hAnsi="仿宋" w:eastAsia="仿宋" w:cs="仿宋"/>
        </w:rPr>
      </w:pPr>
      <w:bookmarkStart w:id="511" w:name="_Toc5904"/>
      <w:r>
        <w:rPr>
          <w:rFonts w:hint="eastAsia" w:ascii="仿宋" w:hAnsi="仿宋" w:eastAsia="仿宋" w:cs="仿宋"/>
        </w:rPr>
        <w:t>系统登录</w:t>
      </w:r>
      <w:bookmarkEnd w:id="511"/>
    </w:p>
    <w:p>
      <w:pPr>
        <w:numPr>
          <w:ilvl w:val="0"/>
          <w:numId w:val="24"/>
        </w:numPr>
        <w:jc w:val="left"/>
        <w:rPr>
          <w:rFonts w:hint="eastAsia" w:ascii="仿宋" w:hAnsi="仿宋" w:eastAsia="仿宋" w:cs="仿宋"/>
          <w:sz w:val="24"/>
        </w:rPr>
      </w:pPr>
      <w:r>
        <w:rPr>
          <w:rFonts w:hint="eastAsia" w:ascii="仿宋" w:hAnsi="仿宋" w:eastAsia="仿宋" w:cs="仿宋"/>
          <w:sz w:val="24"/>
        </w:rPr>
        <w:t>打开全国公共资源交易平台（陕西省）（http://www.sxggzyjy.cn/），点击【不见面开标】-&gt;选择对应辖区不见面大厅（注意一定要选对应辖区的不见面开标大厅）-&gt;【不见面开标】进入不见面开标大厅登录首页。</w:t>
      </w:r>
    </w:p>
    <w:p>
      <w:pPr>
        <w:jc w:val="left"/>
        <w:rPr>
          <w:rFonts w:hint="eastAsia" w:ascii="仿宋" w:hAnsi="仿宋" w:eastAsia="仿宋" w:cs="仿宋"/>
        </w:rPr>
      </w:pPr>
      <w:r>
        <w:rPr>
          <w:rFonts w:hint="eastAsia" w:ascii="仿宋" w:hAnsi="仿宋" w:eastAsia="仿宋" w:cs="仿宋"/>
        </w:rPr>
        <w:drawing>
          <wp:inline distT="0" distB="0" distL="114300" distR="114300">
            <wp:extent cx="5271135" cy="2298700"/>
            <wp:effectExtent l="0" t="0" r="5715"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6"/>
                    <a:stretch>
                      <a:fillRect/>
                    </a:stretch>
                  </pic:blipFill>
                  <pic:spPr>
                    <a:xfrm>
                      <a:off x="0" y="0"/>
                      <a:ext cx="5271135" cy="229870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320925"/>
            <wp:effectExtent l="0" t="0" r="10160"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266690" cy="2320925"/>
                    </a:xfrm>
                    <a:prstGeom prst="rect">
                      <a:avLst/>
                    </a:prstGeom>
                    <a:noFill/>
                    <a:ln>
                      <a:noFill/>
                    </a:ln>
                  </pic:spPr>
                </pic:pic>
              </a:graphicData>
            </a:graphic>
          </wp:inline>
        </w:drawing>
      </w:r>
    </w:p>
    <w:p>
      <w:pPr>
        <w:jc w:val="left"/>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rPr>
        <w:drawing>
          <wp:inline distT="0" distB="0" distL="114300" distR="114300">
            <wp:extent cx="5269230" cy="2299335"/>
            <wp:effectExtent l="0" t="0" r="762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8"/>
                    <a:stretch>
                      <a:fillRect/>
                    </a:stretch>
                  </pic:blipFill>
                  <pic:spPr>
                    <a:xfrm>
                      <a:off x="0" y="0"/>
                      <a:ext cx="5269230" cy="2299335"/>
                    </a:xfrm>
                    <a:prstGeom prst="rect">
                      <a:avLst/>
                    </a:prstGeom>
                    <a:noFill/>
                    <a:ln>
                      <a:noFill/>
                    </a:ln>
                  </pic:spPr>
                </pic:pic>
              </a:graphicData>
            </a:graphic>
          </wp:inline>
        </w:drawing>
      </w:r>
    </w:p>
    <w:p>
      <w:pPr>
        <w:numPr>
          <w:ilvl w:val="0"/>
          <w:numId w:val="24"/>
        </w:numPr>
        <w:jc w:val="left"/>
        <w:rPr>
          <w:rFonts w:hint="eastAsia" w:ascii="仿宋" w:hAnsi="仿宋" w:eastAsia="仿宋" w:cs="仿宋"/>
        </w:rPr>
      </w:pPr>
      <w:r>
        <w:rPr>
          <w:rFonts w:hint="eastAsia" w:ascii="仿宋" w:hAnsi="仿宋" w:eastAsia="仿宋" w:cs="仿宋"/>
        </w:rPr>
        <w:t>点击【登录】---挑选供应商身份使用CA锁登录系统，提前登录系统调试环境，确保系统登录正常。</w:t>
      </w:r>
    </w:p>
    <w:p>
      <w:pPr>
        <w:jc w:val="left"/>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312670"/>
            <wp:effectExtent l="0" t="0" r="10160" b="1143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9"/>
                    <a:stretch>
                      <a:fillRect/>
                    </a:stretch>
                  </pic:blipFill>
                  <pic:spPr>
                    <a:xfrm>
                      <a:off x="0" y="0"/>
                      <a:ext cx="5266690" cy="231267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备注：推荐使用IE11浏览器</w:t>
      </w:r>
    </w:p>
    <w:p>
      <w:pPr>
        <w:pStyle w:val="3"/>
        <w:numPr>
          <w:ilvl w:val="0"/>
          <w:numId w:val="23"/>
        </w:numPr>
        <w:rPr>
          <w:rFonts w:hint="eastAsia" w:ascii="仿宋" w:hAnsi="仿宋" w:eastAsia="仿宋" w:cs="仿宋"/>
        </w:rPr>
      </w:pPr>
      <w:bookmarkStart w:id="512" w:name="_Toc15416"/>
      <w:r>
        <w:rPr>
          <w:rFonts w:hint="eastAsia" w:ascii="仿宋" w:hAnsi="仿宋" w:eastAsia="仿宋" w:cs="仿宋"/>
        </w:rPr>
        <w:t>开标流程</w:t>
      </w:r>
      <w:bookmarkEnd w:id="512"/>
    </w:p>
    <w:p>
      <w:pPr>
        <w:pStyle w:val="4"/>
        <w:rPr>
          <w:rFonts w:hint="eastAsia" w:ascii="仿宋" w:hAnsi="仿宋" w:eastAsia="仿宋" w:cs="仿宋"/>
        </w:rPr>
      </w:pPr>
      <w:bookmarkStart w:id="513" w:name="_Toc15553"/>
      <w:r>
        <w:rPr>
          <w:rFonts w:hint="eastAsia" w:ascii="仿宋" w:hAnsi="仿宋" w:eastAsia="仿宋" w:cs="仿宋"/>
        </w:rPr>
        <w:t>1、选择参加的开标项目</w:t>
      </w:r>
      <w:bookmarkEnd w:id="513"/>
    </w:p>
    <w:p>
      <w:pPr>
        <w:jc w:val="left"/>
        <w:rPr>
          <w:rFonts w:hint="eastAsia" w:ascii="仿宋" w:hAnsi="仿宋" w:eastAsia="仿宋" w:cs="仿宋"/>
          <w:sz w:val="24"/>
        </w:rPr>
      </w:pPr>
      <w:r>
        <w:rPr>
          <w:rFonts w:hint="eastAsia" w:ascii="仿宋" w:hAnsi="仿宋" w:eastAsia="仿宋" w:cs="仿宋"/>
          <w:sz w:val="24"/>
        </w:rPr>
        <w:t>在我的项目里面找到等待开标的项目，点击进入不见面开标会议室。</w:t>
      </w:r>
    </w:p>
    <w:p>
      <w:pPr>
        <w:jc w:val="left"/>
        <w:rPr>
          <w:rFonts w:hint="eastAsia" w:ascii="仿宋" w:hAnsi="仿宋" w:eastAsia="仿宋" w:cs="仿宋"/>
        </w:rPr>
      </w:pPr>
      <w:r>
        <w:rPr>
          <w:rFonts w:hint="eastAsia" w:ascii="仿宋" w:hAnsi="仿宋" w:eastAsia="仿宋" w:cs="仿宋"/>
        </w:rPr>
        <w:drawing>
          <wp:inline distT="0" distB="0" distL="114300" distR="114300">
            <wp:extent cx="5269230" cy="2353945"/>
            <wp:effectExtent l="0" t="0" r="7620" b="825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0"/>
                    <a:stretch>
                      <a:fillRect/>
                    </a:stretch>
                  </pic:blipFill>
                  <pic:spPr>
                    <a:xfrm>
                      <a:off x="0" y="0"/>
                      <a:ext cx="5269230" cy="2353945"/>
                    </a:xfrm>
                    <a:prstGeom prst="rect">
                      <a:avLst/>
                    </a:prstGeom>
                    <a:noFill/>
                    <a:ln>
                      <a:noFill/>
                    </a:ln>
                  </pic:spPr>
                </pic:pic>
              </a:graphicData>
            </a:graphic>
          </wp:inline>
        </w:drawing>
      </w:r>
    </w:p>
    <w:p>
      <w:pPr>
        <w:pStyle w:val="4"/>
        <w:rPr>
          <w:rFonts w:hint="eastAsia" w:ascii="仿宋" w:hAnsi="仿宋" w:eastAsia="仿宋" w:cs="仿宋"/>
        </w:rPr>
      </w:pPr>
      <w:bookmarkStart w:id="514" w:name="_Toc31446"/>
      <w:r>
        <w:rPr>
          <w:rFonts w:hint="eastAsia" w:ascii="仿宋" w:hAnsi="仿宋" w:eastAsia="仿宋" w:cs="仿宋"/>
        </w:rPr>
        <w:t>2、阅读开标流程</w:t>
      </w:r>
      <w:bookmarkEnd w:id="514"/>
    </w:p>
    <w:p>
      <w:pPr>
        <w:jc w:val="left"/>
        <w:rPr>
          <w:rFonts w:hint="eastAsia" w:ascii="仿宋" w:hAnsi="仿宋" w:eastAsia="仿宋" w:cs="仿宋"/>
        </w:rPr>
      </w:pPr>
      <w:r>
        <w:rPr>
          <w:rFonts w:hint="eastAsia" w:ascii="仿宋" w:hAnsi="仿宋" w:eastAsia="仿宋" w:cs="仿宋"/>
        </w:rPr>
        <w:t>供应商阅读开标流程。</w:t>
      </w: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481580"/>
            <wp:effectExtent l="0" t="0" r="10160" b="139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1"/>
                    <a:stretch>
                      <a:fillRect/>
                    </a:stretch>
                  </pic:blipFill>
                  <pic:spPr>
                    <a:xfrm>
                      <a:off x="0" y="0"/>
                      <a:ext cx="5266690" cy="2481580"/>
                    </a:xfrm>
                    <a:prstGeom prst="rect">
                      <a:avLst/>
                    </a:prstGeom>
                    <a:noFill/>
                    <a:ln>
                      <a:noFill/>
                    </a:ln>
                  </pic:spPr>
                </pic:pic>
              </a:graphicData>
            </a:graphic>
          </wp:inline>
        </w:drawing>
      </w:r>
    </w:p>
    <w:p>
      <w:pPr>
        <w:jc w:val="left"/>
        <w:rPr>
          <w:rFonts w:hint="eastAsia" w:ascii="仿宋" w:hAnsi="仿宋" w:eastAsia="仿宋" w:cs="仿宋"/>
        </w:rPr>
      </w:pPr>
    </w:p>
    <w:p>
      <w:pPr>
        <w:jc w:val="left"/>
        <w:rPr>
          <w:rFonts w:hint="eastAsia" w:ascii="仿宋" w:hAnsi="仿宋" w:eastAsia="仿宋" w:cs="仿宋"/>
        </w:rPr>
      </w:pPr>
    </w:p>
    <w:p>
      <w:pPr>
        <w:pStyle w:val="4"/>
        <w:rPr>
          <w:rFonts w:hint="eastAsia" w:ascii="仿宋" w:hAnsi="仿宋" w:eastAsia="仿宋" w:cs="仿宋"/>
        </w:rPr>
      </w:pPr>
      <w:bookmarkStart w:id="515" w:name="_Toc4728"/>
      <w:r>
        <w:rPr>
          <w:rFonts w:hint="eastAsia" w:ascii="仿宋" w:hAnsi="仿宋" w:eastAsia="仿宋" w:cs="仿宋"/>
        </w:rPr>
        <w:t>3、查看</w:t>
      </w:r>
      <w:bookmarkEnd w:id="515"/>
      <w:r>
        <w:rPr>
          <w:rFonts w:hint="eastAsia" w:ascii="仿宋" w:hAnsi="仿宋" w:eastAsia="仿宋" w:cs="仿宋"/>
        </w:rPr>
        <w:t>供应商</w:t>
      </w:r>
    </w:p>
    <w:p>
      <w:pPr>
        <w:jc w:val="left"/>
        <w:rPr>
          <w:rFonts w:hint="eastAsia" w:ascii="仿宋" w:hAnsi="仿宋" w:eastAsia="仿宋" w:cs="仿宋"/>
        </w:rPr>
      </w:pPr>
      <w:r>
        <w:rPr>
          <w:rFonts w:hint="eastAsia" w:ascii="仿宋" w:hAnsi="仿宋" w:eastAsia="仿宋" w:cs="仿宋"/>
        </w:rPr>
        <w:t>开标时间到了后，系统会在右侧公告栏给出提醒，等待公布供应商</w:t>
      </w:r>
    </w:p>
    <w:p>
      <w:pPr>
        <w:jc w:val="left"/>
        <w:rPr>
          <w:rFonts w:hint="eastAsia" w:ascii="仿宋" w:hAnsi="仿宋" w:eastAsia="仿宋" w:cs="仿宋"/>
        </w:rPr>
      </w:pPr>
      <w:r>
        <w:rPr>
          <w:rFonts w:hint="eastAsia" w:ascii="仿宋" w:hAnsi="仿宋" w:eastAsia="仿宋" w:cs="仿宋"/>
        </w:rPr>
        <w:drawing>
          <wp:inline distT="0" distB="0" distL="114300" distR="114300">
            <wp:extent cx="5269865" cy="2355215"/>
            <wp:effectExtent l="0" t="0" r="6985" b="698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2"/>
                    <a:stretch>
                      <a:fillRect/>
                    </a:stretch>
                  </pic:blipFill>
                  <pic:spPr>
                    <a:xfrm>
                      <a:off x="0" y="0"/>
                      <a:ext cx="5269865" cy="2355215"/>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供应商公布完成后，供应商名单有图标展示模式和列表展示模式，可根据自己意愿进行切换。</w:t>
      </w:r>
    </w:p>
    <w:p>
      <w:pPr>
        <w:jc w:val="left"/>
        <w:rPr>
          <w:rFonts w:hint="eastAsia" w:ascii="仿宋" w:hAnsi="仿宋" w:eastAsia="仿宋" w:cs="仿宋"/>
        </w:rPr>
      </w:pPr>
      <w:r>
        <w:rPr>
          <w:rFonts w:hint="eastAsia" w:ascii="仿宋" w:hAnsi="仿宋" w:eastAsia="仿宋" w:cs="仿宋"/>
        </w:rPr>
        <w:drawing>
          <wp:inline distT="0" distB="0" distL="114300" distR="114300">
            <wp:extent cx="5274310" cy="2157095"/>
            <wp:effectExtent l="0" t="0" r="2540" b="1460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3"/>
                    <a:stretch>
                      <a:fillRect/>
                    </a:stretch>
                  </pic:blipFill>
                  <pic:spPr>
                    <a:xfrm>
                      <a:off x="0" y="0"/>
                      <a:ext cx="5274310" cy="2157095"/>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drawing>
          <wp:inline distT="0" distB="0" distL="114300" distR="114300">
            <wp:extent cx="5266055" cy="2812415"/>
            <wp:effectExtent l="0" t="0" r="10795" b="698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4"/>
                    <a:stretch>
                      <a:fillRect/>
                    </a:stretch>
                  </pic:blipFill>
                  <pic:spPr>
                    <a:xfrm>
                      <a:off x="0" y="0"/>
                      <a:ext cx="5266055" cy="2812415"/>
                    </a:xfrm>
                    <a:prstGeom prst="rect">
                      <a:avLst/>
                    </a:prstGeom>
                    <a:noFill/>
                    <a:ln>
                      <a:noFill/>
                    </a:ln>
                  </pic:spPr>
                </pic:pic>
              </a:graphicData>
            </a:graphic>
          </wp:inline>
        </w:drawing>
      </w:r>
    </w:p>
    <w:p>
      <w:pPr>
        <w:jc w:val="left"/>
        <w:rPr>
          <w:rFonts w:hint="eastAsia" w:ascii="仿宋" w:hAnsi="仿宋" w:eastAsia="仿宋" w:cs="仿宋"/>
        </w:rPr>
      </w:pPr>
    </w:p>
    <w:p>
      <w:pPr>
        <w:pStyle w:val="4"/>
        <w:rPr>
          <w:rFonts w:hint="eastAsia" w:ascii="仿宋" w:hAnsi="仿宋" w:eastAsia="仿宋" w:cs="仿宋"/>
        </w:rPr>
      </w:pPr>
      <w:bookmarkStart w:id="516" w:name="_Toc25373"/>
      <w:r>
        <w:rPr>
          <w:rFonts w:hint="eastAsia" w:ascii="仿宋" w:hAnsi="仿宋" w:eastAsia="仿宋" w:cs="仿宋"/>
        </w:rPr>
        <w:t>4、供应商远程解密</w:t>
      </w:r>
      <w:bookmarkEnd w:id="516"/>
    </w:p>
    <w:p>
      <w:pPr>
        <w:jc w:val="left"/>
        <w:rPr>
          <w:rFonts w:hint="eastAsia" w:ascii="仿宋" w:hAnsi="仿宋" w:eastAsia="仿宋" w:cs="仿宋"/>
        </w:rPr>
      </w:pPr>
      <w:r>
        <w:rPr>
          <w:rFonts w:hint="eastAsia" w:ascii="仿宋" w:hAnsi="仿宋" w:eastAsia="仿宋" w:cs="仿宋"/>
        </w:rPr>
        <w:t>采购代理机构主持人宣布进入解密阶段后，供应商需在规定时间内进行远程解密操作。系统会自动弹出以下界面。</w:t>
      </w:r>
    </w:p>
    <w:p>
      <w:pPr>
        <w:jc w:val="left"/>
        <w:rPr>
          <w:rFonts w:hint="eastAsia" w:ascii="仿宋" w:hAnsi="仿宋" w:eastAsia="仿宋" w:cs="仿宋"/>
        </w:rPr>
      </w:pPr>
      <w:r>
        <w:rPr>
          <w:rFonts w:hint="eastAsia" w:ascii="仿宋" w:hAnsi="仿宋" w:eastAsia="仿宋" w:cs="仿宋"/>
        </w:rPr>
        <w:drawing>
          <wp:inline distT="0" distB="0" distL="114300" distR="114300">
            <wp:extent cx="5270500" cy="3319780"/>
            <wp:effectExtent l="0" t="0" r="6350" b="1397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5"/>
                    <a:stretch>
                      <a:fillRect/>
                    </a:stretch>
                  </pic:blipFill>
                  <pic:spPr>
                    <a:xfrm>
                      <a:off x="0" y="0"/>
                      <a:ext cx="5270500" cy="331978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解密成功后图标展示页面会显示一个绿色的解锁图标，列表页面会直接显示蓝色的解密成功。</w:t>
      </w:r>
    </w:p>
    <w:p>
      <w:pPr>
        <w:jc w:val="left"/>
        <w:rPr>
          <w:rFonts w:hint="eastAsia" w:ascii="仿宋" w:hAnsi="仿宋" w:eastAsia="仿宋" w:cs="仿宋"/>
        </w:rPr>
      </w:pPr>
      <w:r>
        <w:rPr>
          <w:rFonts w:hint="eastAsia" w:ascii="仿宋" w:hAnsi="仿宋" w:eastAsia="仿宋" w:cs="仿宋"/>
        </w:rPr>
        <w:t>注意：解密时间已到不可解密；如果在解密时间内解密失败，可再次解密。</w:t>
      </w:r>
    </w:p>
    <w:p>
      <w:pPr>
        <w:jc w:val="left"/>
        <w:rPr>
          <w:rFonts w:hint="eastAsia" w:ascii="仿宋" w:hAnsi="仿宋" w:eastAsia="仿宋" w:cs="仿宋"/>
        </w:rPr>
      </w:pPr>
      <w:r>
        <w:rPr>
          <w:rFonts w:hint="eastAsia" w:ascii="仿宋" w:hAnsi="仿宋" w:eastAsia="仿宋" w:cs="仿宋"/>
        </w:rPr>
        <w:drawing>
          <wp:inline distT="0" distB="0" distL="114300" distR="114300">
            <wp:extent cx="5273675" cy="3026410"/>
            <wp:effectExtent l="0" t="0" r="3175" b="254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6"/>
                    <a:stretch>
                      <a:fillRect/>
                    </a:stretch>
                  </pic:blipFill>
                  <pic:spPr>
                    <a:xfrm>
                      <a:off x="0" y="0"/>
                      <a:ext cx="5273675" cy="3026410"/>
                    </a:xfrm>
                    <a:prstGeom prst="rect">
                      <a:avLst/>
                    </a:prstGeom>
                    <a:noFill/>
                    <a:ln>
                      <a:noFill/>
                    </a:ln>
                  </pic:spPr>
                </pic:pic>
              </a:graphicData>
            </a:graphic>
          </wp:inline>
        </w:drawing>
      </w:r>
    </w:p>
    <w:p>
      <w:pPr>
        <w:jc w:val="left"/>
        <w:rPr>
          <w:rStyle w:val="103"/>
          <w:rFonts w:hint="eastAsia" w:ascii="仿宋" w:hAnsi="仿宋" w:eastAsia="仿宋" w:cs="仿宋"/>
        </w:rPr>
      </w:pPr>
      <w:r>
        <w:rPr>
          <w:rFonts w:hint="eastAsia" w:ascii="仿宋" w:hAnsi="仿宋" w:eastAsia="仿宋" w:cs="仿宋"/>
        </w:rPr>
        <w:drawing>
          <wp:inline distT="0" distB="0" distL="114300" distR="114300">
            <wp:extent cx="5273040" cy="3670935"/>
            <wp:effectExtent l="0" t="0" r="381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7"/>
                    <a:stretch>
                      <a:fillRect/>
                    </a:stretch>
                  </pic:blipFill>
                  <pic:spPr>
                    <a:xfrm>
                      <a:off x="0" y="0"/>
                      <a:ext cx="5273040" cy="3670935"/>
                    </a:xfrm>
                    <a:prstGeom prst="rect">
                      <a:avLst/>
                    </a:prstGeom>
                    <a:noFill/>
                    <a:ln>
                      <a:noFill/>
                    </a:ln>
                  </pic:spPr>
                </pic:pic>
              </a:graphicData>
            </a:graphic>
          </wp:inline>
        </w:drawing>
      </w:r>
      <w:r>
        <w:rPr>
          <w:rStyle w:val="103"/>
          <w:rFonts w:hint="eastAsia" w:ascii="仿宋" w:hAnsi="仿宋" w:eastAsia="仿宋" w:cs="仿宋"/>
        </w:rPr>
        <w:t>5、磋商响应文件批量导入</w:t>
      </w:r>
    </w:p>
    <w:p>
      <w:pPr>
        <w:jc w:val="left"/>
        <w:rPr>
          <w:rFonts w:hint="eastAsia" w:ascii="仿宋" w:hAnsi="仿宋" w:eastAsia="仿宋" w:cs="仿宋"/>
        </w:rPr>
      </w:pPr>
      <w:r>
        <w:rPr>
          <w:rFonts w:hint="eastAsia" w:ascii="仿宋" w:hAnsi="仿宋" w:eastAsia="仿宋" w:cs="仿宋"/>
        </w:rPr>
        <w:t>由采购代理机构将解密成功的磋商响应文件进行批量导入。导入前任何人无法打开已解密的磋商响应文件。</w:t>
      </w:r>
    </w:p>
    <w:p>
      <w:pPr>
        <w:jc w:val="left"/>
        <w:rPr>
          <w:rFonts w:hint="eastAsia" w:ascii="仿宋" w:hAnsi="仿宋" w:eastAsia="仿宋" w:cs="仿宋"/>
        </w:rPr>
      </w:pPr>
    </w:p>
    <w:p>
      <w:pPr>
        <w:jc w:val="left"/>
        <w:outlineLvl w:val="1"/>
        <w:rPr>
          <w:rFonts w:hint="eastAsia" w:ascii="仿宋" w:hAnsi="仿宋" w:eastAsia="仿宋" w:cs="仿宋"/>
        </w:rPr>
      </w:pPr>
      <w:r>
        <w:rPr>
          <w:rStyle w:val="103"/>
          <w:rFonts w:hint="eastAsia" w:ascii="仿宋" w:hAnsi="仿宋" w:eastAsia="仿宋" w:cs="仿宋"/>
        </w:rPr>
        <w:t>6、唱标及公布开标结果</w:t>
      </w:r>
    </w:p>
    <w:p>
      <w:pPr>
        <w:jc w:val="left"/>
        <w:rPr>
          <w:rFonts w:hint="eastAsia" w:ascii="仿宋" w:hAnsi="仿宋" w:eastAsia="仿宋" w:cs="仿宋"/>
        </w:rPr>
      </w:pPr>
      <w:r>
        <w:rPr>
          <w:rFonts w:hint="eastAsia" w:ascii="仿宋" w:hAnsi="仿宋" w:eastAsia="仿宋" w:cs="仿宋"/>
        </w:rPr>
        <w:t>解密成功后供应商可在线等待唱标，等待公布开标结果。</w:t>
      </w:r>
    </w:p>
    <w:p>
      <w:pPr>
        <w:jc w:val="left"/>
        <w:rPr>
          <w:rFonts w:hint="eastAsia" w:ascii="仿宋" w:hAnsi="仿宋" w:eastAsia="仿宋" w:cs="仿宋"/>
        </w:rPr>
      </w:pPr>
      <w:r>
        <w:rPr>
          <w:rFonts w:hint="eastAsia" w:ascii="仿宋" w:hAnsi="仿宋" w:eastAsia="仿宋" w:cs="仿宋"/>
        </w:rPr>
        <w:drawing>
          <wp:inline distT="0" distB="0" distL="114300" distR="114300">
            <wp:extent cx="5271135" cy="3768090"/>
            <wp:effectExtent l="0" t="0" r="5715" b="381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8"/>
                    <a:stretch>
                      <a:fillRect/>
                    </a:stretch>
                  </pic:blipFill>
                  <pic:spPr>
                    <a:xfrm>
                      <a:off x="0" y="0"/>
                      <a:ext cx="5271135" cy="3768090"/>
                    </a:xfrm>
                    <a:prstGeom prst="rect">
                      <a:avLst/>
                    </a:prstGeom>
                    <a:noFill/>
                    <a:ln>
                      <a:noFill/>
                    </a:ln>
                  </pic:spPr>
                </pic:pic>
              </a:graphicData>
            </a:graphic>
          </wp:inline>
        </w:drawing>
      </w:r>
    </w:p>
    <w:p>
      <w:pPr>
        <w:pStyle w:val="4"/>
        <w:rPr>
          <w:rFonts w:hint="eastAsia" w:ascii="仿宋" w:hAnsi="仿宋" w:eastAsia="仿宋" w:cs="仿宋"/>
        </w:rPr>
      </w:pPr>
      <w:bookmarkStart w:id="517" w:name="_Toc17150"/>
      <w:r>
        <w:rPr>
          <w:rFonts w:hint="eastAsia" w:ascii="仿宋" w:hAnsi="仿宋" w:eastAsia="仿宋" w:cs="仿宋"/>
        </w:rPr>
        <w:t>7、开标结束</w:t>
      </w:r>
      <w:bookmarkEnd w:id="517"/>
    </w:p>
    <w:p>
      <w:pPr>
        <w:rPr>
          <w:rFonts w:hint="eastAsia" w:ascii="仿宋" w:hAnsi="仿宋" w:eastAsia="仿宋" w:cs="仿宋"/>
        </w:rPr>
      </w:pPr>
      <w:r>
        <w:rPr>
          <w:rFonts w:hint="eastAsia" w:ascii="仿宋" w:hAnsi="仿宋" w:eastAsia="仿宋" w:cs="仿宋"/>
        </w:rPr>
        <w:t>开标结束后供应商可对开标过程进行评价。</w:t>
      </w:r>
    </w:p>
    <w:p>
      <w:pPr>
        <w:rPr>
          <w:rFonts w:hint="eastAsia" w:ascii="仿宋" w:hAnsi="仿宋" w:eastAsia="仿宋" w:cs="仿宋"/>
        </w:rPr>
      </w:pPr>
      <w:r>
        <w:rPr>
          <w:rFonts w:hint="eastAsia" w:ascii="仿宋" w:hAnsi="仿宋" w:eastAsia="仿宋" w:cs="仿宋"/>
        </w:rPr>
        <w:drawing>
          <wp:inline distT="0" distB="0" distL="114300" distR="114300">
            <wp:extent cx="5271135" cy="3037205"/>
            <wp:effectExtent l="0" t="0" r="5715" b="1079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9"/>
                    <a:stretch>
                      <a:fillRect/>
                    </a:stretch>
                  </pic:blipFill>
                  <pic:spPr>
                    <a:xfrm>
                      <a:off x="0" y="0"/>
                      <a:ext cx="5271135" cy="3037205"/>
                    </a:xfrm>
                    <a:prstGeom prst="rect">
                      <a:avLst/>
                    </a:prstGeom>
                    <a:noFill/>
                    <a:ln>
                      <a:noFill/>
                    </a:ln>
                  </pic:spPr>
                </pic:pic>
              </a:graphicData>
            </a:graphic>
          </wp:inline>
        </w:drawing>
      </w:r>
    </w:p>
    <w:p>
      <w:pPr>
        <w:jc w:val="left"/>
        <w:rPr>
          <w:rFonts w:hint="eastAsia" w:ascii="仿宋" w:hAnsi="仿宋" w:eastAsia="仿宋" w:cs="仿宋"/>
        </w:rPr>
      </w:pPr>
    </w:p>
    <w:p>
      <w:pPr>
        <w:pStyle w:val="3"/>
        <w:numPr>
          <w:ilvl w:val="0"/>
          <w:numId w:val="23"/>
        </w:numPr>
        <w:rPr>
          <w:rFonts w:hint="eastAsia" w:ascii="仿宋" w:hAnsi="仿宋" w:eastAsia="仿宋" w:cs="仿宋"/>
        </w:rPr>
      </w:pPr>
      <w:r>
        <w:rPr>
          <w:rFonts w:hint="eastAsia" w:ascii="仿宋" w:hAnsi="仿宋" w:eastAsia="仿宋" w:cs="仿宋"/>
        </w:rPr>
        <w:t>其他功能介绍</w:t>
      </w:r>
    </w:p>
    <w:p>
      <w:pPr>
        <w:pStyle w:val="4"/>
        <w:rPr>
          <w:rFonts w:hint="eastAsia" w:ascii="仿宋" w:hAnsi="仿宋" w:eastAsia="仿宋" w:cs="仿宋"/>
        </w:rPr>
      </w:pPr>
      <w:r>
        <w:rPr>
          <w:rFonts w:hint="eastAsia" w:ascii="仿宋" w:hAnsi="仿宋" w:eastAsia="仿宋" w:cs="仿宋"/>
        </w:rPr>
        <w:t>1、主持人桌面分享以及开标环境查看</w:t>
      </w:r>
    </w:p>
    <w:p>
      <w:pPr>
        <w:rPr>
          <w:rFonts w:hint="eastAsia" w:ascii="仿宋" w:hAnsi="仿宋" w:eastAsia="仿宋" w:cs="仿宋"/>
        </w:rPr>
      </w:pPr>
      <w:r>
        <w:rPr>
          <w:rFonts w:hint="eastAsia" w:ascii="仿宋" w:hAnsi="仿宋" w:eastAsia="仿宋" w:cs="仿宋"/>
        </w:rPr>
        <w:t>供应商在采购代理机构主持人开启直播间后，可以通过控制下图查看按钮，进行“主持人桌面分享查看”以及“开标环境查看”操作。</w:t>
      </w:r>
    </w:p>
    <w:p>
      <w:pPr>
        <w:rPr>
          <w:rFonts w:hint="eastAsia" w:ascii="仿宋" w:hAnsi="仿宋" w:eastAsia="仿宋" w:cs="仿宋"/>
        </w:rPr>
      </w:pPr>
      <w:r>
        <w:rPr>
          <w:rFonts w:hint="eastAsia" w:ascii="仿宋" w:hAnsi="仿宋" w:eastAsia="仿宋" w:cs="仿宋"/>
        </w:rPr>
        <w:drawing>
          <wp:inline distT="0" distB="0" distL="114300" distR="114300">
            <wp:extent cx="5271135" cy="2313305"/>
            <wp:effectExtent l="0" t="0" r="5715" b="1079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40"/>
                    <a:stretch>
                      <a:fillRect/>
                    </a:stretch>
                  </pic:blipFill>
                  <pic:spPr>
                    <a:xfrm>
                      <a:off x="0" y="0"/>
                      <a:ext cx="5271135" cy="231330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69230" cy="2316480"/>
            <wp:effectExtent l="0" t="0" r="7620" b="762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41"/>
                    <a:stretch>
                      <a:fillRect/>
                    </a:stretch>
                  </pic:blipFill>
                  <pic:spPr>
                    <a:xfrm>
                      <a:off x="0" y="0"/>
                      <a:ext cx="5269230" cy="2316480"/>
                    </a:xfrm>
                    <a:prstGeom prst="rect">
                      <a:avLst/>
                    </a:prstGeom>
                    <a:noFill/>
                    <a:ln>
                      <a:noFill/>
                    </a:ln>
                  </pic:spPr>
                </pic:pic>
              </a:graphicData>
            </a:graphic>
          </wp:inline>
        </w:drawing>
      </w:r>
    </w:p>
    <w:p>
      <w:pPr>
        <w:pStyle w:val="4"/>
        <w:rPr>
          <w:rFonts w:hint="eastAsia" w:ascii="仿宋" w:hAnsi="仿宋" w:eastAsia="仿宋" w:cs="仿宋"/>
        </w:rPr>
      </w:pPr>
      <w:bookmarkStart w:id="518" w:name="_Toc22483"/>
      <w:r>
        <w:rPr>
          <w:rFonts w:hint="eastAsia" w:ascii="仿宋" w:hAnsi="仿宋" w:eastAsia="仿宋" w:cs="仿宋"/>
        </w:rPr>
        <w:t>2、互动交流</w:t>
      </w:r>
      <w:bookmarkEnd w:id="518"/>
    </w:p>
    <w:p>
      <w:pPr>
        <w:rPr>
          <w:rFonts w:hint="eastAsia" w:ascii="仿宋" w:hAnsi="仿宋" w:eastAsia="仿宋" w:cs="仿宋"/>
        </w:rPr>
      </w:pPr>
      <w:r>
        <w:rPr>
          <w:rFonts w:hint="eastAsia" w:ascii="仿宋" w:hAnsi="仿宋" w:eastAsia="仿宋" w:cs="仿宋"/>
        </w:rPr>
        <w:t>供应商可在互动交流页面查看采购代理机构发出的文字、语音信息，当采购代理机构发起群聊的时候，供应商可以文字、语音方式在其中进行响应或回复。</w:t>
      </w:r>
    </w:p>
    <w:p>
      <w:pPr>
        <w:rPr>
          <w:rFonts w:hint="eastAsia" w:ascii="仿宋" w:hAnsi="仿宋" w:eastAsia="仿宋" w:cs="仿宋"/>
        </w:rPr>
      </w:pPr>
      <w:r>
        <w:rPr>
          <w:rFonts w:hint="eastAsia" w:ascii="仿宋" w:hAnsi="仿宋" w:eastAsia="仿宋" w:cs="仿宋"/>
        </w:rPr>
        <w:drawing>
          <wp:inline distT="0" distB="0" distL="114300" distR="114300">
            <wp:extent cx="4015740" cy="5394960"/>
            <wp:effectExtent l="0" t="0" r="3810" b="1524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42"/>
                    <a:stretch>
                      <a:fillRect/>
                    </a:stretch>
                  </pic:blipFill>
                  <pic:spPr>
                    <a:xfrm>
                      <a:off x="0" y="0"/>
                      <a:ext cx="4015740" cy="539496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当采购代理机构开启私聊，并有人向供应商发送了私聊信息后，供应商端会在左下角看到有私聊提醒，点击即可与其进行私聊。</w:t>
      </w:r>
    </w:p>
    <w:p>
      <w:pPr>
        <w:rPr>
          <w:rFonts w:hint="eastAsia" w:ascii="仿宋" w:hAnsi="仿宋" w:eastAsia="仿宋" w:cs="仿宋"/>
        </w:rPr>
      </w:pPr>
      <w:r>
        <w:rPr>
          <w:rFonts w:hint="eastAsia" w:ascii="仿宋" w:hAnsi="仿宋" w:eastAsia="仿宋" w:cs="仿宋"/>
        </w:rPr>
        <w:drawing>
          <wp:inline distT="0" distB="0" distL="114300" distR="114300">
            <wp:extent cx="5260975" cy="2563495"/>
            <wp:effectExtent l="0" t="0" r="15875" b="825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43"/>
                    <a:stretch>
                      <a:fillRect/>
                    </a:stretch>
                  </pic:blipFill>
                  <pic:spPr>
                    <a:xfrm>
                      <a:off x="0" y="0"/>
                      <a:ext cx="5260975" cy="256349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19700" cy="4853940"/>
            <wp:effectExtent l="0" t="0" r="0" b="381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44"/>
                    <a:stretch>
                      <a:fillRect/>
                    </a:stretch>
                  </pic:blipFill>
                  <pic:spPr>
                    <a:xfrm>
                      <a:off x="0" y="0"/>
                      <a:ext cx="5219700" cy="4853940"/>
                    </a:xfrm>
                    <a:prstGeom prst="rect">
                      <a:avLst/>
                    </a:prstGeom>
                    <a:noFill/>
                    <a:ln>
                      <a:noFill/>
                    </a:ln>
                  </pic:spPr>
                </pic:pic>
              </a:graphicData>
            </a:graphic>
          </wp:inline>
        </w:drawing>
      </w:r>
    </w:p>
    <w:p>
      <w:pPr>
        <w:pStyle w:val="4"/>
        <w:rPr>
          <w:rFonts w:hint="eastAsia" w:ascii="仿宋" w:hAnsi="仿宋" w:eastAsia="仿宋" w:cs="仿宋"/>
        </w:rPr>
      </w:pPr>
      <w:bookmarkStart w:id="519" w:name="_Toc25111"/>
      <w:r>
        <w:rPr>
          <w:rFonts w:hint="eastAsia" w:ascii="仿宋" w:hAnsi="仿宋" w:eastAsia="仿宋" w:cs="仿宋"/>
        </w:rPr>
        <w:t>3、开标异议提出及答复</w:t>
      </w:r>
      <w:bookmarkEnd w:id="519"/>
    </w:p>
    <w:p>
      <w:pPr>
        <w:rPr>
          <w:rFonts w:hint="eastAsia" w:ascii="仿宋" w:hAnsi="仿宋" w:eastAsia="仿宋" w:cs="仿宋"/>
        </w:rPr>
      </w:pPr>
      <w:r>
        <w:rPr>
          <w:rFonts w:hint="eastAsia" w:ascii="仿宋" w:hAnsi="仿宋" w:eastAsia="仿宋" w:cs="仿宋"/>
        </w:rPr>
        <w:t>供应商可通过“开标异议文字提问”向采购代理机构提出异议</w:t>
      </w:r>
    </w:p>
    <w:p>
      <w:pPr>
        <w:rPr>
          <w:rFonts w:hint="eastAsia" w:ascii="仿宋" w:hAnsi="仿宋" w:eastAsia="仿宋" w:cs="仿宋"/>
        </w:rPr>
      </w:pPr>
      <w:r>
        <w:rPr>
          <w:rFonts w:hint="eastAsia" w:ascii="仿宋" w:hAnsi="仿宋" w:eastAsia="仿宋" w:cs="仿宋"/>
        </w:rPr>
        <w:drawing>
          <wp:inline distT="0" distB="0" distL="114300" distR="114300">
            <wp:extent cx="5274310" cy="2600325"/>
            <wp:effectExtent l="0" t="0" r="2540" b="9525"/>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45"/>
                    <a:stretch>
                      <a:fillRect/>
                    </a:stretch>
                  </pic:blipFill>
                  <pic:spPr>
                    <a:xfrm>
                      <a:off x="0" y="0"/>
                      <a:ext cx="5274310" cy="26003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填写异议内容、依据和理由，也可上传相关证明附件。</w:t>
      </w:r>
    </w:p>
    <w:p>
      <w:pPr>
        <w:rPr>
          <w:rFonts w:hint="eastAsia" w:ascii="仿宋" w:hAnsi="仿宋" w:eastAsia="仿宋" w:cs="仿宋"/>
        </w:rPr>
      </w:pPr>
      <w:r>
        <w:rPr>
          <w:rFonts w:hint="eastAsia" w:ascii="仿宋" w:hAnsi="仿宋" w:eastAsia="仿宋" w:cs="仿宋"/>
        </w:rPr>
        <w:drawing>
          <wp:inline distT="0" distB="0" distL="114300" distR="114300">
            <wp:extent cx="5267325" cy="3223260"/>
            <wp:effectExtent l="0" t="0" r="9525" b="15240"/>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46"/>
                    <a:stretch>
                      <a:fillRect/>
                    </a:stretch>
                  </pic:blipFill>
                  <pic:spPr>
                    <a:xfrm>
                      <a:off x="0" y="0"/>
                      <a:ext cx="5267325" cy="3223260"/>
                    </a:xfrm>
                    <a:prstGeom prst="rect">
                      <a:avLst/>
                    </a:prstGeom>
                    <a:noFill/>
                    <a:ln>
                      <a:noFill/>
                    </a:ln>
                  </pic:spPr>
                </pic:pic>
              </a:graphicData>
            </a:graphic>
          </wp:inline>
        </w:drawing>
      </w:r>
    </w:p>
    <w:p>
      <w:pPr>
        <w:pStyle w:val="4"/>
        <w:rPr>
          <w:rFonts w:hint="eastAsia" w:ascii="仿宋" w:hAnsi="仿宋" w:eastAsia="仿宋" w:cs="仿宋"/>
        </w:rPr>
      </w:pPr>
      <w:bookmarkStart w:id="520" w:name="_Toc4916"/>
      <w:r>
        <w:rPr>
          <w:rFonts w:hint="eastAsia" w:ascii="仿宋" w:hAnsi="仿宋" w:eastAsia="仿宋" w:cs="仿宋"/>
        </w:rPr>
        <w:t>4、异议查看</w:t>
      </w:r>
      <w:bookmarkEnd w:id="520"/>
    </w:p>
    <w:p>
      <w:pPr>
        <w:rPr>
          <w:rFonts w:hint="eastAsia" w:ascii="仿宋" w:hAnsi="仿宋" w:eastAsia="仿宋" w:cs="仿宋"/>
        </w:rPr>
      </w:pPr>
      <w:r>
        <w:rPr>
          <w:rFonts w:hint="eastAsia" w:ascii="仿宋" w:hAnsi="仿宋" w:eastAsia="仿宋" w:cs="仿宋"/>
        </w:rPr>
        <w:t>供应商可通过异议查看功能查看自己或其他供应商提出的异议及异议的回复内容。</w:t>
      </w:r>
    </w:p>
    <w:p>
      <w:pPr>
        <w:rPr>
          <w:rFonts w:hint="eastAsia" w:ascii="仿宋" w:hAnsi="仿宋" w:eastAsia="仿宋" w:cs="仿宋"/>
        </w:rPr>
      </w:pPr>
      <w:r>
        <w:rPr>
          <w:rFonts w:hint="eastAsia" w:ascii="仿宋" w:hAnsi="仿宋" w:eastAsia="仿宋" w:cs="仿宋"/>
        </w:rPr>
        <w:drawing>
          <wp:inline distT="0" distB="0" distL="114300" distR="114300">
            <wp:extent cx="5267960" cy="2395220"/>
            <wp:effectExtent l="0" t="0" r="8890" b="5080"/>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47"/>
                    <a:stretch>
                      <a:fillRect/>
                    </a:stretch>
                  </pic:blipFill>
                  <pic:spPr>
                    <a:xfrm>
                      <a:off x="0" y="0"/>
                      <a:ext cx="5267960" cy="23952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68595" cy="2326005"/>
            <wp:effectExtent l="0" t="0" r="8255" b="1714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48"/>
                    <a:stretch>
                      <a:fillRect/>
                    </a:stretch>
                  </pic:blipFill>
                  <pic:spPr>
                    <a:xfrm>
                      <a:off x="0" y="0"/>
                      <a:ext cx="5268595" cy="2326005"/>
                    </a:xfrm>
                    <a:prstGeom prst="rect">
                      <a:avLst/>
                    </a:prstGeom>
                    <a:noFill/>
                    <a:ln>
                      <a:noFill/>
                    </a:ln>
                  </pic:spPr>
                </pic:pic>
              </a:graphicData>
            </a:graphic>
          </wp:inline>
        </w:drawing>
      </w:r>
    </w:p>
    <w:p>
      <w:pPr>
        <w:pStyle w:val="3"/>
        <w:numPr>
          <w:ilvl w:val="0"/>
          <w:numId w:val="23"/>
        </w:numPr>
        <w:rPr>
          <w:rFonts w:hint="eastAsia" w:ascii="仿宋" w:hAnsi="仿宋" w:eastAsia="仿宋" w:cs="仿宋"/>
        </w:rPr>
      </w:pPr>
      <w:bookmarkStart w:id="521" w:name="_Toc7638"/>
      <w:r>
        <w:rPr>
          <w:rFonts w:hint="eastAsia" w:ascii="仿宋" w:hAnsi="仿宋" w:eastAsia="仿宋" w:cs="仿宋"/>
        </w:rPr>
        <w:t>注意事项</w:t>
      </w:r>
      <w:bookmarkEnd w:id="521"/>
    </w:p>
    <w:p>
      <w:pPr>
        <w:numPr>
          <w:ilvl w:val="0"/>
          <w:numId w:val="25"/>
        </w:numPr>
        <w:spacing w:line="560" w:lineRule="exact"/>
        <w:ind w:firstLine="420" w:firstLineChars="200"/>
        <w:rPr>
          <w:rFonts w:hint="eastAsia" w:ascii="仿宋" w:hAnsi="仿宋" w:eastAsia="仿宋" w:cs="仿宋"/>
        </w:rPr>
      </w:pPr>
      <w:r>
        <w:rPr>
          <w:rFonts w:hint="eastAsia" w:ascii="仿宋" w:hAnsi="仿宋" w:eastAsia="仿宋" w:cs="仿宋"/>
        </w:rPr>
        <w:t>为顺利实现不见面开标系统的远程交互，建议供应商配置的软硬件设施有：高配置电脑、高速稳定的网络、电源（不间断）、CA锁、音视频设备（话筒、耳麦、高清摄像头、音响），浏览器要求使用IE11浏览器，且电脑已经正确安装了陕西省公共资源CA驱动。</w:t>
      </w:r>
    </w:p>
    <w:p>
      <w:pPr>
        <w:numPr>
          <w:ilvl w:val="0"/>
          <w:numId w:val="25"/>
        </w:numPr>
        <w:spacing w:line="560" w:lineRule="exact"/>
        <w:ind w:firstLine="420" w:firstLineChars="200"/>
        <w:rPr>
          <w:rFonts w:hint="eastAsia" w:ascii="仿宋" w:hAnsi="仿宋" w:eastAsia="仿宋" w:cs="仿宋"/>
        </w:rPr>
      </w:pPr>
      <w:r>
        <w:rPr>
          <w:rFonts w:hint="eastAsia" w:ascii="仿宋" w:hAnsi="仿宋" w:eastAsia="仿宋" w:cs="仿宋"/>
        </w:rPr>
        <w:t>建议供应商在开标前半小时登录不见面开标大厅，并及时签到（开标前60分钟即可签到），遇到问题及时联系客服4009280095。</w:t>
      </w:r>
    </w:p>
    <w:p>
      <w:pPr>
        <w:numPr>
          <w:ilvl w:val="0"/>
          <w:numId w:val="25"/>
        </w:numPr>
        <w:spacing w:line="560" w:lineRule="exact"/>
        <w:ind w:firstLine="420" w:firstLineChars="200"/>
        <w:rPr>
          <w:rFonts w:hint="eastAsia" w:ascii="仿宋" w:hAnsi="仿宋" w:eastAsia="仿宋" w:cs="仿宋"/>
        </w:rPr>
      </w:pPr>
      <w:r>
        <w:rPr>
          <w:rFonts w:hint="eastAsia" w:ascii="仿宋" w:hAnsi="仿宋" w:eastAsia="仿宋" w:cs="仿宋"/>
        </w:rPr>
        <w:t>供应商需注意CA锁一定要提前准备好，并确保CA锁为制作磋商响应文件的CA锁。</w:t>
      </w:r>
    </w:p>
    <w:p>
      <w:pPr>
        <w:rPr>
          <w:rFonts w:hint="eastAsia" w:ascii="仿宋" w:hAnsi="仿宋" w:eastAsia="仿宋" w:cs="仿宋"/>
        </w:rPr>
      </w:pPr>
      <w:r>
        <w:rPr>
          <w:rFonts w:hint="eastAsia" w:ascii="仿宋" w:hAnsi="仿宋" w:eastAsia="仿宋" w:cs="仿宋"/>
        </w:rPr>
        <w:t>及时关注右侧公告及互动栏目信息。</w:t>
      </w:r>
    </w:p>
    <w:sectPr>
      <w:footerReference r:id="rId11" w:type="first"/>
      <w:footerReference r:id="rId10" w:type="default"/>
      <w:pgSz w:w="11906" w:h="16838"/>
      <w:pgMar w:top="1440" w:right="1083" w:bottom="1440"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pict>
        <v:shape id="文本框 14" o:spid="_x0000_s3078"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4"/>
                </w:pPr>
                <w:r>
                  <w:fldChar w:fldCharType="begin"/>
                </w:r>
                <w:r>
                  <w:instrText xml:space="preserve"> PAGE  \* MERGEFORMAT </w:instrText>
                </w:r>
                <w:r>
                  <w:fldChar w:fldCharType="separate"/>
                </w:r>
                <w:r>
                  <w:t>58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pict>
        <v:shape id="文本框 15" o:spid="_x0000_s307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4"/>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A97CBCDA"/>
    <w:multiLevelType w:val="singleLevel"/>
    <w:tmpl w:val="A97CBCDA"/>
    <w:lvl w:ilvl="0" w:tentative="0">
      <w:start w:val="4"/>
      <w:numFmt w:val="chineseCounting"/>
      <w:suff w:val="space"/>
      <w:lvlText w:val="第%1章"/>
      <w:lvlJc w:val="left"/>
      <w:rPr>
        <w:rFonts w:hint="eastAsia"/>
      </w:rPr>
    </w:lvl>
  </w:abstractNum>
  <w:abstractNum w:abstractNumId="2">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C1FFCC7D"/>
    <w:multiLevelType w:val="singleLevel"/>
    <w:tmpl w:val="C1FFCC7D"/>
    <w:lvl w:ilvl="0" w:tentative="0">
      <w:start w:val="1"/>
      <w:numFmt w:val="decimal"/>
      <w:suff w:val="nothing"/>
      <w:lvlText w:val="%1、"/>
      <w:lvlJc w:val="left"/>
    </w:lvl>
  </w:abstractNum>
  <w:abstractNum w:abstractNumId="4">
    <w:nsid w:val="CD50C85E"/>
    <w:multiLevelType w:val="singleLevel"/>
    <w:tmpl w:val="CD50C85E"/>
    <w:lvl w:ilvl="0" w:tentative="0">
      <w:start w:val="30"/>
      <w:numFmt w:val="decimal"/>
      <w:suff w:val="space"/>
      <w:lvlText w:val="%1."/>
      <w:lvlJc w:val="left"/>
    </w:lvl>
  </w:abstractNum>
  <w:abstractNum w:abstractNumId="5">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6">
    <w:nsid w:val="0000000E"/>
    <w:multiLevelType w:val="multilevel"/>
    <w:tmpl w:val="0000000E"/>
    <w:lvl w:ilvl="0" w:tentative="0">
      <w:start w:val="1"/>
      <w:numFmt w:val="decimal"/>
      <w:pStyle w:val="92"/>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6"/>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10">
    <w:nsid w:val="16F7B74B"/>
    <w:multiLevelType w:val="singleLevel"/>
    <w:tmpl w:val="16F7B74B"/>
    <w:lvl w:ilvl="0" w:tentative="0">
      <w:start w:val="1"/>
      <w:numFmt w:val="chineseCounting"/>
      <w:suff w:val="nothing"/>
      <w:lvlText w:val="%1、"/>
      <w:lvlJc w:val="left"/>
      <w:rPr>
        <w:rFonts w:hint="eastAsia"/>
      </w:rPr>
    </w:lvl>
  </w:abstractNum>
  <w:abstractNum w:abstractNumId="11">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2">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3">
    <w:nsid w:val="30CD642B"/>
    <w:multiLevelType w:val="multilevel"/>
    <w:tmpl w:val="30CD642B"/>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4">
    <w:nsid w:val="339CA047"/>
    <w:multiLevelType w:val="singleLevel"/>
    <w:tmpl w:val="339CA047"/>
    <w:lvl w:ilvl="0" w:tentative="0">
      <w:start w:val="15"/>
      <w:numFmt w:val="decimal"/>
      <w:suff w:val="space"/>
      <w:lvlText w:val="%1."/>
      <w:lvlJc w:val="left"/>
    </w:lvl>
  </w:abstractNum>
  <w:abstractNum w:abstractNumId="15">
    <w:nsid w:val="359CB8E8"/>
    <w:multiLevelType w:val="singleLevel"/>
    <w:tmpl w:val="359CB8E8"/>
    <w:lvl w:ilvl="0" w:tentative="0">
      <w:start w:val="1"/>
      <w:numFmt w:val="chineseCounting"/>
      <w:suff w:val="nothing"/>
      <w:lvlText w:val="%1、"/>
      <w:lvlJc w:val="left"/>
      <w:rPr>
        <w:rFonts w:hint="eastAsia"/>
      </w:rPr>
    </w:lvl>
  </w:abstractNum>
  <w:abstractNum w:abstractNumId="1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18">
    <w:nsid w:val="543DDD70"/>
    <w:multiLevelType w:val="singleLevel"/>
    <w:tmpl w:val="543DDD70"/>
    <w:lvl w:ilvl="0" w:tentative="0">
      <w:start w:val="4"/>
      <w:numFmt w:val="chineseCounting"/>
      <w:suff w:val="nothing"/>
      <w:lvlText w:val="%1、"/>
      <w:lvlJc w:val="left"/>
      <w:pPr>
        <w:ind w:left="0" w:firstLine="0"/>
      </w:pPr>
      <w:rPr>
        <w:rFonts w:cs="Times New Roman"/>
      </w:rPr>
    </w:lvl>
  </w:abstractNum>
  <w:abstractNum w:abstractNumId="19">
    <w:nsid w:val="5AA8DCB0"/>
    <w:multiLevelType w:val="singleLevel"/>
    <w:tmpl w:val="5AA8DCB0"/>
    <w:lvl w:ilvl="0" w:tentative="0">
      <w:start w:val="1"/>
      <w:numFmt w:val="decimal"/>
      <w:suff w:val="nothing"/>
      <w:lvlText w:val="%1、"/>
      <w:lvlJc w:val="left"/>
    </w:lvl>
  </w:abstractNum>
  <w:abstractNum w:abstractNumId="20">
    <w:nsid w:val="5B243795"/>
    <w:multiLevelType w:val="singleLevel"/>
    <w:tmpl w:val="5B243795"/>
    <w:lvl w:ilvl="0" w:tentative="0">
      <w:start w:val="1"/>
      <w:numFmt w:val="decimal"/>
      <w:lvlText w:val="%1、"/>
      <w:lvlJc w:val="left"/>
      <w:pPr>
        <w:tabs>
          <w:tab w:val="left" w:pos="1125"/>
        </w:tabs>
        <w:ind w:left="1125" w:hanging="480"/>
      </w:pPr>
      <w:rPr>
        <w:rFonts w:hint="eastAsia"/>
      </w:rPr>
    </w:lvl>
  </w:abstractNum>
  <w:abstractNum w:abstractNumId="21">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3">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7B20B617"/>
    <w:multiLevelType w:val="singleLevel"/>
    <w:tmpl w:val="7B20B617"/>
    <w:lvl w:ilvl="0" w:tentative="0">
      <w:start w:val="1"/>
      <w:numFmt w:val="decimal"/>
      <w:suff w:val="nothing"/>
      <w:lvlText w:val="%1、"/>
      <w:lvlJc w:val="left"/>
    </w:lvl>
  </w:abstractNum>
  <w:num w:numId="1">
    <w:abstractNumId w:val="7"/>
  </w:num>
  <w:num w:numId="2">
    <w:abstractNumId w:val="6"/>
  </w:num>
  <w:num w:numId="3">
    <w:abstractNumId w:val="21"/>
  </w:num>
  <w:num w:numId="4">
    <w:abstractNumId w:val="23"/>
  </w:num>
  <w:num w:numId="5">
    <w:abstractNumId w:val="16"/>
  </w:num>
  <w:num w:numId="6">
    <w:abstractNumId w:val="12"/>
  </w:num>
  <w:num w:numId="7">
    <w:abstractNumId w:val="17"/>
  </w:num>
  <w:num w:numId="8">
    <w:abstractNumId w:val="5"/>
  </w:num>
  <w:num w:numId="9">
    <w:abstractNumId w:val="14"/>
  </w:num>
  <w:num w:numId="10">
    <w:abstractNumId w:val="9"/>
  </w:num>
  <w:num w:numId="11">
    <w:abstractNumId w:val="4"/>
  </w:num>
  <w:num w:numId="12">
    <w:abstractNumId w:val="20"/>
  </w:num>
  <w:num w:numId="13">
    <w:abstractNumId w:val="1"/>
  </w:num>
  <w:num w:numId="14">
    <w:abstractNumId w:val="18"/>
    <w:lvlOverride w:ilvl="0">
      <w:startOverride w:val="4"/>
    </w:lvlOverride>
  </w:num>
  <w:num w:numId="15">
    <w:abstractNumId w:val="0"/>
  </w:num>
  <w:num w:numId="16">
    <w:abstractNumId w:val="2"/>
  </w:num>
  <w:num w:numId="17">
    <w:abstractNumId w:val="19"/>
  </w:num>
  <w:num w:numId="18">
    <w:abstractNumId w:val="11"/>
  </w:num>
  <w:num w:numId="19">
    <w:abstractNumId w:val="22"/>
  </w:num>
  <w:num w:numId="20">
    <w:abstractNumId w:val="8"/>
  </w:num>
  <w:num w:numId="21">
    <w:abstractNumId w:val="13"/>
  </w:num>
  <w:num w:numId="22">
    <w:abstractNumId w:val="15"/>
  </w:num>
  <w:num w:numId="23">
    <w:abstractNumId w:val="10"/>
  </w:num>
  <w:num w:numId="24">
    <w:abstractNumId w:val="24"/>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mVhY2IxMTI5MjY5NDg0MmY4Njg0OGNkYjE0OWYzMTg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DE3F70"/>
    <w:rsid w:val="01F85948"/>
    <w:rsid w:val="027D1EDC"/>
    <w:rsid w:val="02AA6F17"/>
    <w:rsid w:val="02AF2A63"/>
    <w:rsid w:val="02E6429D"/>
    <w:rsid w:val="032E5AB3"/>
    <w:rsid w:val="04131CA3"/>
    <w:rsid w:val="043D799D"/>
    <w:rsid w:val="04874841"/>
    <w:rsid w:val="04AF0DC0"/>
    <w:rsid w:val="05CA3B1B"/>
    <w:rsid w:val="05D40F8A"/>
    <w:rsid w:val="05E97CB2"/>
    <w:rsid w:val="060D6A3B"/>
    <w:rsid w:val="06193B1E"/>
    <w:rsid w:val="06383C8B"/>
    <w:rsid w:val="06C6067E"/>
    <w:rsid w:val="0707497A"/>
    <w:rsid w:val="07394A3D"/>
    <w:rsid w:val="07416329"/>
    <w:rsid w:val="07501B9E"/>
    <w:rsid w:val="082A539E"/>
    <w:rsid w:val="0838785B"/>
    <w:rsid w:val="087D0B78"/>
    <w:rsid w:val="0920129B"/>
    <w:rsid w:val="09823E4D"/>
    <w:rsid w:val="0A4B18CE"/>
    <w:rsid w:val="0AB974EA"/>
    <w:rsid w:val="0AC800D5"/>
    <w:rsid w:val="0AFA19A7"/>
    <w:rsid w:val="0B181252"/>
    <w:rsid w:val="0B2543AA"/>
    <w:rsid w:val="0B651CEF"/>
    <w:rsid w:val="0C275A89"/>
    <w:rsid w:val="0C5178DA"/>
    <w:rsid w:val="0CBB5882"/>
    <w:rsid w:val="0D1A60CC"/>
    <w:rsid w:val="0D20436B"/>
    <w:rsid w:val="0D310E83"/>
    <w:rsid w:val="0D531CDF"/>
    <w:rsid w:val="0DC6629D"/>
    <w:rsid w:val="0DCA3125"/>
    <w:rsid w:val="0E0E36CF"/>
    <w:rsid w:val="0E416A77"/>
    <w:rsid w:val="0E7B7367"/>
    <w:rsid w:val="0EA34036"/>
    <w:rsid w:val="0EB63F9D"/>
    <w:rsid w:val="0F0770E4"/>
    <w:rsid w:val="0F54794B"/>
    <w:rsid w:val="0F6A354E"/>
    <w:rsid w:val="0F88478D"/>
    <w:rsid w:val="0FAC41C6"/>
    <w:rsid w:val="0FB73DA5"/>
    <w:rsid w:val="0FDE2587"/>
    <w:rsid w:val="0FE34F72"/>
    <w:rsid w:val="101D1679"/>
    <w:rsid w:val="10507757"/>
    <w:rsid w:val="10704ACD"/>
    <w:rsid w:val="107A1082"/>
    <w:rsid w:val="109E7189"/>
    <w:rsid w:val="111D1ABB"/>
    <w:rsid w:val="112B3E2A"/>
    <w:rsid w:val="11433684"/>
    <w:rsid w:val="115206FB"/>
    <w:rsid w:val="117B2614"/>
    <w:rsid w:val="11B40613"/>
    <w:rsid w:val="11BE2022"/>
    <w:rsid w:val="11D83EA2"/>
    <w:rsid w:val="122510EE"/>
    <w:rsid w:val="12405481"/>
    <w:rsid w:val="128D1331"/>
    <w:rsid w:val="12C1355D"/>
    <w:rsid w:val="12C21534"/>
    <w:rsid w:val="12EF7289"/>
    <w:rsid w:val="130044B9"/>
    <w:rsid w:val="13057D5F"/>
    <w:rsid w:val="134D5A81"/>
    <w:rsid w:val="136E44BE"/>
    <w:rsid w:val="13B2147E"/>
    <w:rsid w:val="13BF6991"/>
    <w:rsid w:val="13F95DC4"/>
    <w:rsid w:val="14084BC5"/>
    <w:rsid w:val="141C612A"/>
    <w:rsid w:val="142A3E2D"/>
    <w:rsid w:val="144A7973"/>
    <w:rsid w:val="14AD546B"/>
    <w:rsid w:val="14FB7DA2"/>
    <w:rsid w:val="158710F3"/>
    <w:rsid w:val="15C772F3"/>
    <w:rsid w:val="15CE4C34"/>
    <w:rsid w:val="15F0775C"/>
    <w:rsid w:val="160A00B1"/>
    <w:rsid w:val="160A0AD0"/>
    <w:rsid w:val="165B6F79"/>
    <w:rsid w:val="166E5EB0"/>
    <w:rsid w:val="16D127A1"/>
    <w:rsid w:val="16F50974"/>
    <w:rsid w:val="173D2841"/>
    <w:rsid w:val="176F3A30"/>
    <w:rsid w:val="1820060E"/>
    <w:rsid w:val="18205BA9"/>
    <w:rsid w:val="18370FAA"/>
    <w:rsid w:val="188D7D42"/>
    <w:rsid w:val="18C45643"/>
    <w:rsid w:val="195E155B"/>
    <w:rsid w:val="19AA702C"/>
    <w:rsid w:val="19E24CAD"/>
    <w:rsid w:val="1A0C41D1"/>
    <w:rsid w:val="1A336BE7"/>
    <w:rsid w:val="1A4572C8"/>
    <w:rsid w:val="1A612D7C"/>
    <w:rsid w:val="1A807E72"/>
    <w:rsid w:val="1A8A2A47"/>
    <w:rsid w:val="1AA72BF2"/>
    <w:rsid w:val="1B16166A"/>
    <w:rsid w:val="1B5E3332"/>
    <w:rsid w:val="1BB93E83"/>
    <w:rsid w:val="1BC644B6"/>
    <w:rsid w:val="1C1A14B0"/>
    <w:rsid w:val="1C613AB1"/>
    <w:rsid w:val="1C8C0466"/>
    <w:rsid w:val="1D0121D0"/>
    <w:rsid w:val="1D5B524F"/>
    <w:rsid w:val="1D6D3522"/>
    <w:rsid w:val="1DBE7F5B"/>
    <w:rsid w:val="1DCA2EF0"/>
    <w:rsid w:val="1DFA7416"/>
    <w:rsid w:val="1E852BA7"/>
    <w:rsid w:val="1F0028D1"/>
    <w:rsid w:val="1F474868"/>
    <w:rsid w:val="1F883C9F"/>
    <w:rsid w:val="1FB94E27"/>
    <w:rsid w:val="1FF41576"/>
    <w:rsid w:val="20AF20C5"/>
    <w:rsid w:val="20ED7306"/>
    <w:rsid w:val="20F96916"/>
    <w:rsid w:val="211106C5"/>
    <w:rsid w:val="21431785"/>
    <w:rsid w:val="219E251A"/>
    <w:rsid w:val="21AD0E84"/>
    <w:rsid w:val="21C24F4B"/>
    <w:rsid w:val="22071464"/>
    <w:rsid w:val="2232235C"/>
    <w:rsid w:val="22E66E75"/>
    <w:rsid w:val="23291785"/>
    <w:rsid w:val="235B40E2"/>
    <w:rsid w:val="23710488"/>
    <w:rsid w:val="23BB002C"/>
    <w:rsid w:val="23C33515"/>
    <w:rsid w:val="23F1680C"/>
    <w:rsid w:val="243E15D5"/>
    <w:rsid w:val="24551238"/>
    <w:rsid w:val="25224672"/>
    <w:rsid w:val="25250089"/>
    <w:rsid w:val="25252A8D"/>
    <w:rsid w:val="254A5A9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B024B4"/>
    <w:rsid w:val="2BC60F98"/>
    <w:rsid w:val="2BE131CE"/>
    <w:rsid w:val="2BE66FCE"/>
    <w:rsid w:val="2C066A1A"/>
    <w:rsid w:val="2C0B4AE6"/>
    <w:rsid w:val="2C4542D3"/>
    <w:rsid w:val="2C8165FA"/>
    <w:rsid w:val="2C830AA3"/>
    <w:rsid w:val="2CAC7CBD"/>
    <w:rsid w:val="2CCC08A3"/>
    <w:rsid w:val="2CE9585D"/>
    <w:rsid w:val="2D0A514C"/>
    <w:rsid w:val="2D50069C"/>
    <w:rsid w:val="2DB235BF"/>
    <w:rsid w:val="2DC6496F"/>
    <w:rsid w:val="2DCF77B8"/>
    <w:rsid w:val="2E577392"/>
    <w:rsid w:val="2E8B1B62"/>
    <w:rsid w:val="2E970AE4"/>
    <w:rsid w:val="2EB227A5"/>
    <w:rsid w:val="2EF42F7F"/>
    <w:rsid w:val="2F5E00A3"/>
    <w:rsid w:val="2F822BAC"/>
    <w:rsid w:val="301F6139"/>
    <w:rsid w:val="30641E74"/>
    <w:rsid w:val="30810E1D"/>
    <w:rsid w:val="30B639B5"/>
    <w:rsid w:val="314067D8"/>
    <w:rsid w:val="314256C4"/>
    <w:rsid w:val="31C84451"/>
    <w:rsid w:val="32613622"/>
    <w:rsid w:val="329F04E5"/>
    <w:rsid w:val="32D54349"/>
    <w:rsid w:val="32EB7033"/>
    <w:rsid w:val="32F9755F"/>
    <w:rsid w:val="331B2806"/>
    <w:rsid w:val="333214D1"/>
    <w:rsid w:val="3370495E"/>
    <w:rsid w:val="33A7303A"/>
    <w:rsid w:val="33CC0FC6"/>
    <w:rsid w:val="33DD0EAC"/>
    <w:rsid w:val="340A165C"/>
    <w:rsid w:val="34143D51"/>
    <w:rsid w:val="34302898"/>
    <w:rsid w:val="345B460B"/>
    <w:rsid w:val="34655037"/>
    <w:rsid w:val="348E2B4F"/>
    <w:rsid w:val="35482A8B"/>
    <w:rsid w:val="35C97D56"/>
    <w:rsid w:val="35EE5D6B"/>
    <w:rsid w:val="3637765B"/>
    <w:rsid w:val="363A3F05"/>
    <w:rsid w:val="365311E6"/>
    <w:rsid w:val="367112A8"/>
    <w:rsid w:val="370C260B"/>
    <w:rsid w:val="375445E4"/>
    <w:rsid w:val="376964D6"/>
    <w:rsid w:val="377B454E"/>
    <w:rsid w:val="379C3619"/>
    <w:rsid w:val="38CC73F3"/>
    <w:rsid w:val="395B66C1"/>
    <w:rsid w:val="39AE15AC"/>
    <w:rsid w:val="39C50F72"/>
    <w:rsid w:val="39DF70D6"/>
    <w:rsid w:val="39E83FB4"/>
    <w:rsid w:val="3A153790"/>
    <w:rsid w:val="3A1F11A7"/>
    <w:rsid w:val="3A66582B"/>
    <w:rsid w:val="3A86575A"/>
    <w:rsid w:val="3B115AB0"/>
    <w:rsid w:val="3B341FC1"/>
    <w:rsid w:val="3B6F11E8"/>
    <w:rsid w:val="3B732683"/>
    <w:rsid w:val="3B851216"/>
    <w:rsid w:val="3C274A6B"/>
    <w:rsid w:val="3C8B7E22"/>
    <w:rsid w:val="3D0B4A9A"/>
    <w:rsid w:val="3DA349DC"/>
    <w:rsid w:val="3DDA07CA"/>
    <w:rsid w:val="3E3457B0"/>
    <w:rsid w:val="3E9753EA"/>
    <w:rsid w:val="3EE41CB3"/>
    <w:rsid w:val="3F002F99"/>
    <w:rsid w:val="3F192702"/>
    <w:rsid w:val="3F5E71A0"/>
    <w:rsid w:val="3FAA346A"/>
    <w:rsid w:val="3FAB317E"/>
    <w:rsid w:val="3FEF5D91"/>
    <w:rsid w:val="40602185"/>
    <w:rsid w:val="406D3C7A"/>
    <w:rsid w:val="40DD4529"/>
    <w:rsid w:val="40EC4756"/>
    <w:rsid w:val="41C041B9"/>
    <w:rsid w:val="41C93343"/>
    <w:rsid w:val="41E371A6"/>
    <w:rsid w:val="42603601"/>
    <w:rsid w:val="427D695B"/>
    <w:rsid w:val="42B01A80"/>
    <w:rsid w:val="42B540C6"/>
    <w:rsid w:val="43124DBF"/>
    <w:rsid w:val="435C4BA0"/>
    <w:rsid w:val="43B613AF"/>
    <w:rsid w:val="43D625E1"/>
    <w:rsid w:val="44781DAA"/>
    <w:rsid w:val="44CA357E"/>
    <w:rsid w:val="452A12B9"/>
    <w:rsid w:val="455C4456"/>
    <w:rsid w:val="45CF460B"/>
    <w:rsid w:val="45D445C1"/>
    <w:rsid w:val="45E27E1E"/>
    <w:rsid w:val="461D562C"/>
    <w:rsid w:val="470316C4"/>
    <w:rsid w:val="471C4580"/>
    <w:rsid w:val="47647DBB"/>
    <w:rsid w:val="476F4FDA"/>
    <w:rsid w:val="47802EE5"/>
    <w:rsid w:val="47AC7367"/>
    <w:rsid w:val="47BA5BC1"/>
    <w:rsid w:val="47C7285C"/>
    <w:rsid w:val="487519F9"/>
    <w:rsid w:val="48CD3A8B"/>
    <w:rsid w:val="490421D8"/>
    <w:rsid w:val="497F756E"/>
    <w:rsid w:val="49FF2B43"/>
    <w:rsid w:val="4A0A5885"/>
    <w:rsid w:val="4AD6576E"/>
    <w:rsid w:val="4B045CDA"/>
    <w:rsid w:val="4B073A5C"/>
    <w:rsid w:val="4B304A73"/>
    <w:rsid w:val="4B44760D"/>
    <w:rsid w:val="4B5C5D27"/>
    <w:rsid w:val="4B5E326D"/>
    <w:rsid w:val="4B840ACD"/>
    <w:rsid w:val="4B8C42AD"/>
    <w:rsid w:val="4BF72474"/>
    <w:rsid w:val="4C4F0B45"/>
    <w:rsid w:val="4C892141"/>
    <w:rsid w:val="4D775CC7"/>
    <w:rsid w:val="4DA969FC"/>
    <w:rsid w:val="4DB73FDD"/>
    <w:rsid w:val="4E16053E"/>
    <w:rsid w:val="4E274B8E"/>
    <w:rsid w:val="4F066320"/>
    <w:rsid w:val="4F0C4606"/>
    <w:rsid w:val="4F4E6EBF"/>
    <w:rsid w:val="4F7D4C71"/>
    <w:rsid w:val="4FA26F09"/>
    <w:rsid w:val="4FCA7073"/>
    <w:rsid w:val="4FE259E9"/>
    <w:rsid w:val="501D7C2E"/>
    <w:rsid w:val="50A218B6"/>
    <w:rsid w:val="511B523C"/>
    <w:rsid w:val="512C7508"/>
    <w:rsid w:val="52321D93"/>
    <w:rsid w:val="52533FC1"/>
    <w:rsid w:val="53DA43C4"/>
    <w:rsid w:val="53E267AB"/>
    <w:rsid w:val="54136627"/>
    <w:rsid w:val="54D02C4B"/>
    <w:rsid w:val="550F29EB"/>
    <w:rsid w:val="55112B45"/>
    <w:rsid w:val="55351206"/>
    <w:rsid w:val="55547DEE"/>
    <w:rsid w:val="55653C63"/>
    <w:rsid w:val="558F79BB"/>
    <w:rsid w:val="55A649AE"/>
    <w:rsid w:val="55D93627"/>
    <w:rsid w:val="56602AF8"/>
    <w:rsid w:val="56661590"/>
    <w:rsid w:val="569D1848"/>
    <w:rsid w:val="56B13A64"/>
    <w:rsid w:val="56BA3AA0"/>
    <w:rsid w:val="56CF6D97"/>
    <w:rsid w:val="56D66689"/>
    <w:rsid w:val="570E46A2"/>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B455AB"/>
    <w:rsid w:val="5FD8479E"/>
    <w:rsid w:val="5FEF4FD0"/>
    <w:rsid w:val="5FF11588"/>
    <w:rsid w:val="60585DBB"/>
    <w:rsid w:val="61374D95"/>
    <w:rsid w:val="61394E2C"/>
    <w:rsid w:val="61B056D3"/>
    <w:rsid w:val="61C8132B"/>
    <w:rsid w:val="621C7A8F"/>
    <w:rsid w:val="62737F77"/>
    <w:rsid w:val="62F475B6"/>
    <w:rsid w:val="630C6A64"/>
    <w:rsid w:val="63847100"/>
    <w:rsid w:val="63964CCA"/>
    <w:rsid w:val="6399764D"/>
    <w:rsid w:val="63F44853"/>
    <w:rsid w:val="652A2E44"/>
    <w:rsid w:val="654E4849"/>
    <w:rsid w:val="65686657"/>
    <w:rsid w:val="65BD69EB"/>
    <w:rsid w:val="664977CF"/>
    <w:rsid w:val="66C719F1"/>
    <w:rsid w:val="66EC4975"/>
    <w:rsid w:val="67016B09"/>
    <w:rsid w:val="671431D5"/>
    <w:rsid w:val="67881188"/>
    <w:rsid w:val="681B27B3"/>
    <w:rsid w:val="683116BC"/>
    <w:rsid w:val="683410E1"/>
    <w:rsid w:val="688F3871"/>
    <w:rsid w:val="68D47E36"/>
    <w:rsid w:val="68E74072"/>
    <w:rsid w:val="69173BDC"/>
    <w:rsid w:val="692E081B"/>
    <w:rsid w:val="69BD4674"/>
    <w:rsid w:val="6A036769"/>
    <w:rsid w:val="6A52291B"/>
    <w:rsid w:val="6A7B10E5"/>
    <w:rsid w:val="6A817F02"/>
    <w:rsid w:val="6AAD3E42"/>
    <w:rsid w:val="6AFD3370"/>
    <w:rsid w:val="6B351E6F"/>
    <w:rsid w:val="6B7A4051"/>
    <w:rsid w:val="6BE14999"/>
    <w:rsid w:val="6BFB5FD1"/>
    <w:rsid w:val="6D12175F"/>
    <w:rsid w:val="6D1F5AF0"/>
    <w:rsid w:val="6DC25164"/>
    <w:rsid w:val="6E254B81"/>
    <w:rsid w:val="6E5E2FB2"/>
    <w:rsid w:val="6F1F438F"/>
    <w:rsid w:val="6F3657AD"/>
    <w:rsid w:val="6F4034D9"/>
    <w:rsid w:val="6F59436E"/>
    <w:rsid w:val="6F927414"/>
    <w:rsid w:val="6F974373"/>
    <w:rsid w:val="6FC74058"/>
    <w:rsid w:val="70040E87"/>
    <w:rsid w:val="700C0F2F"/>
    <w:rsid w:val="704871A4"/>
    <w:rsid w:val="70592DFA"/>
    <w:rsid w:val="70694F36"/>
    <w:rsid w:val="70880C5C"/>
    <w:rsid w:val="70901A28"/>
    <w:rsid w:val="70B523D0"/>
    <w:rsid w:val="70DD3906"/>
    <w:rsid w:val="71690108"/>
    <w:rsid w:val="719B076B"/>
    <w:rsid w:val="72E22563"/>
    <w:rsid w:val="73393BC2"/>
    <w:rsid w:val="73662BEC"/>
    <w:rsid w:val="737B44DB"/>
    <w:rsid w:val="74262B1B"/>
    <w:rsid w:val="74A6094A"/>
    <w:rsid w:val="74CC21DF"/>
    <w:rsid w:val="74E16F35"/>
    <w:rsid w:val="75062ACB"/>
    <w:rsid w:val="75532D3D"/>
    <w:rsid w:val="75B45F10"/>
    <w:rsid w:val="76164029"/>
    <w:rsid w:val="761F2330"/>
    <w:rsid w:val="763F26D5"/>
    <w:rsid w:val="764D0528"/>
    <w:rsid w:val="7688510D"/>
    <w:rsid w:val="76C82F19"/>
    <w:rsid w:val="77045A49"/>
    <w:rsid w:val="77266E5A"/>
    <w:rsid w:val="77291B31"/>
    <w:rsid w:val="7738346E"/>
    <w:rsid w:val="7760226B"/>
    <w:rsid w:val="77701354"/>
    <w:rsid w:val="77750DFA"/>
    <w:rsid w:val="779A189F"/>
    <w:rsid w:val="781F51BA"/>
    <w:rsid w:val="78494544"/>
    <w:rsid w:val="78497969"/>
    <w:rsid w:val="785B37DC"/>
    <w:rsid w:val="78E431C4"/>
    <w:rsid w:val="78EB4A40"/>
    <w:rsid w:val="797F672E"/>
    <w:rsid w:val="79CB3DE1"/>
    <w:rsid w:val="79F944AF"/>
    <w:rsid w:val="7A20424A"/>
    <w:rsid w:val="7A4413F9"/>
    <w:rsid w:val="7A807E04"/>
    <w:rsid w:val="7AEA0E27"/>
    <w:rsid w:val="7B720AC6"/>
    <w:rsid w:val="7BAF6112"/>
    <w:rsid w:val="7C5859F2"/>
    <w:rsid w:val="7C735E4E"/>
    <w:rsid w:val="7D071AF5"/>
    <w:rsid w:val="7D6E4798"/>
    <w:rsid w:val="7D7E7646"/>
    <w:rsid w:val="7DC26738"/>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1"/>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3"/>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3"/>
    <w:qFormat/>
    <w:uiPriority w:val="99"/>
    <w:pPr>
      <w:tabs>
        <w:tab w:val="left" w:pos="588"/>
      </w:tabs>
      <w:spacing w:line="360" w:lineRule="auto"/>
      <w:outlineLvl w:val="2"/>
    </w:pPr>
    <w:rPr>
      <w:rFonts w:ascii="Tahoma" w:hAnsi="Tahoma"/>
    </w:rPr>
  </w:style>
  <w:style w:type="paragraph" w:styleId="6">
    <w:name w:val="heading 4"/>
    <w:basedOn w:val="1"/>
    <w:next w:val="1"/>
    <w:link w:val="140"/>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2"/>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3"/>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3"/>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8"/>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5"/>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customStyle="1" w:styleId="2">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2">
    <w:name w:val="toc 7"/>
    <w:basedOn w:val="1"/>
    <w:next w:val="1"/>
    <w:qFormat/>
    <w:uiPriority w:val="39"/>
    <w:pPr>
      <w:spacing w:line="440" w:lineRule="exact"/>
      <w:ind w:left="1680"/>
      <w:jc w:val="left"/>
    </w:pPr>
    <w:rPr>
      <w:rFonts w:ascii="Calibri" w:hAnsi="Calibri"/>
      <w:sz w:val="18"/>
      <w:szCs w:val="18"/>
    </w:rPr>
  </w:style>
  <w:style w:type="paragraph" w:styleId="13">
    <w:name w:val="Note Heading"/>
    <w:basedOn w:val="14"/>
    <w:next w:val="14"/>
    <w:link w:val="200"/>
    <w:qFormat/>
    <w:uiPriority w:val="0"/>
    <w:rPr>
      <w:rFonts w:ascii="..ì." w:eastAsia="..ì." w:cs="Times New Roman"/>
      <w:color w:val="auto"/>
      <w:szCs w:val="20"/>
    </w:rPr>
  </w:style>
  <w:style w:type="paragraph" w:customStyle="1" w:styleId="14">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Normal Indent"/>
    <w:basedOn w:val="1"/>
    <w:link w:val="136"/>
    <w:qFormat/>
    <w:uiPriority w:val="0"/>
    <w:pPr>
      <w:spacing w:line="360" w:lineRule="auto"/>
      <w:ind w:firstLine="200" w:firstLineChars="200"/>
    </w:pPr>
    <w:rPr>
      <w:sz w:val="24"/>
      <w:szCs w:val="20"/>
    </w:rPr>
  </w:style>
  <w:style w:type="paragraph" w:styleId="16">
    <w:name w:val="caption"/>
    <w:basedOn w:val="1"/>
    <w:next w:val="1"/>
    <w:link w:val="94"/>
    <w:qFormat/>
    <w:uiPriority w:val="0"/>
    <w:pPr>
      <w:spacing w:line="480" w:lineRule="auto"/>
    </w:pPr>
    <w:rPr>
      <w:rFonts w:ascii="华文中宋" w:eastAsia="华文中宋"/>
      <w:sz w:val="36"/>
      <w:szCs w:val="20"/>
    </w:rPr>
  </w:style>
  <w:style w:type="paragraph" w:styleId="17">
    <w:name w:val="index 5"/>
    <w:basedOn w:val="1"/>
    <w:next w:val="1"/>
    <w:qFormat/>
    <w:uiPriority w:val="99"/>
    <w:pPr>
      <w:ind w:left="800" w:leftChars="800"/>
    </w:pPr>
    <w:rPr>
      <w:rFonts w:eastAsia="宋体"/>
    </w:rPr>
  </w:style>
  <w:style w:type="paragraph" w:styleId="18">
    <w:name w:val="Document Map"/>
    <w:basedOn w:val="1"/>
    <w:link w:val="130"/>
    <w:qFormat/>
    <w:uiPriority w:val="99"/>
    <w:pPr>
      <w:spacing w:line="440" w:lineRule="exact"/>
    </w:pPr>
    <w:rPr>
      <w:rFonts w:ascii="宋体"/>
      <w:sz w:val="18"/>
      <w:szCs w:val="18"/>
    </w:rPr>
  </w:style>
  <w:style w:type="paragraph" w:styleId="19">
    <w:name w:val="toa heading"/>
    <w:basedOn w:val="1"/>
    <w:next w:val="1"/>
    <w:unhideWhenUsed/>
    <w:qFormat/>
    <w:uiPriority w:val="99"/>
    <w:pPr>
      <w:spacing w:before="120"/>
    </w:pPr>
    <w:rPr>
      <w:rFonts w:ascii="Cambria" w:hAnsi="Cambria" w:eastAsia="宋体"/>
      <w:sz w:val="24"/>
    </w:rPr>
  </w:style>
  <w:style w:type="paragraph" w:styleId="20">
    <w:name w:val="annotation text"/>
    <w:basedOn w:val="1"/>
    <w:link w:val="100"/>
    <w:qFormat/>
    <w:uiPriority w:val="0"/>
    <w:pPr>
      <w:jc w:val="left"/>
    </w:pPr>
    <w:rPr>
      <w:rFonts w:ascii="Tahoma" w:hAnsi="Tahoma"/>
    </w:rPr>
  </w:style>
  <w:style w:type="paragraph" w:styleId="21">
    <w:name w:val="Salutation"/>
    <w:basedOn w:val="14"/>
    <w:next w:val="14"/>
    <w:link w:val="199"/>
    <w:qFormat/>
    <w:uiPriority w:val="0"/>
    <w:rPr>
      <w:rFonts w:ascii="..ì." w:eastAsia="..ì." w:cs="Times New Roman"/>
      <w:color w:val="auto"/>
      <w:szCs w:val="20"/>
    </w:rPr>
  </w:style>
  <w:style w:type="paragraph" w:styleId="22">
    <w:name w:val="Body Text 3"/>
    <w:basedOn w:val="1"/>
    <w:link w:val="207"/>
    <w:qFormat/>
    <w:uiPriority w:val="99"/>
    <w:pPr>
      <w:spacing w:after="120"/>
    </w:pPr>
    <w:rPr>
      <w:rFonts w:eastAsia="宋体"/>
      <w:sz w:val="16"/>
      <w:szCs w:val="16"/>
    </w:rPr>
  </w:style>
  <w:style w:type="paragraph" w:styleId="23">
    <w:name w:val="Body Text"/>
    <w:basedOn w:val="1"/>
    <w:next w:val="1"/>
    <w:link w:val="134"/>
    <w:qFormat/>
    <w:uiPriority w:val="99"/>
    <w:pPr>
      <w:spacing w:line="360" w:lineRule="auto"/>
    </w:pPr>
    <w:rPr>
      <w:rFonts w:ascii="Tahoma" w:hAnsi="Tahoma"/>
    </w:rPr>
  </w:style>
  <w:style w:type="paragraph" w:styleId="24">
    <w:name w:val="Body Text Indent"/>
    <w:basedOn w:val="1"/>
    <w:link w:val="166"/>
    <w:qFormat/>
    <w:uiPriority w:val="99"/>
    <w:pPr>
      <w:widowControl/>
      <w:spacing w:line="360" w:lineRule="auto"/>
      <w:ind w:firstLine="709"/>
      <w:jc w:val="left"/>
    </w:pPr>
    <w:rPr>
      <w:rFonts w:ascii="Tahoma" w:hAnsi="Tahoma"/>
    </w:rPr>
  </w:style>
  <w:style w:type="paragraph" w:styleId="25">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6">
    <w:name w:val="List Bullet 2"/>
    <w:basedOn w:val="1"/>
    <w:qFormat/>
    <w:uiPriority w:val="0"/>
    <w:pPr>
      <w:numPr>
        <w:ilvl w:val="1"/>
        <w:numId w:val="1"/>
      </w:numPr>
      <w:spacing w:line="360" w:lineRule="auto"/>
    </w:pPr>
    <w:rPr>
      <w:sz w:val="24"/>
      <w:szCs w:val="28"/>
    </w:rPr>
  </w:style>
  <w:style w:type="paragraph" w:styleId="27">
    <w:name w:val="toc 5"/>
    <w:basedOn w:val="1"/>
    <w:next w:val="1"/>
    <w:qFormat/>
    <w:uiPriority w:val="39"/>
    <w:pPr>
      <w:spacing w:line="440" w:lineRule="exact"/>
      <w:ind w:left="1120"/>
      <w:jc w:val="left"/>
    </w:pPr>
    <w:rPr>
      <w:rFonts w:ascii="Calibri" w:hAnsi="Calibri"/>
      <w:sz w:val="18"/>
      <w:szCs w:val="18"/>
    </w:rPr>
  </w:style>
  <w:style w:type="paragraph" w:styleId="28">
    <w:name w:val="toc 3"/>
    <w:basedOn w:val="1"/>
    <w:next w:val="1"/>
    <w:qFormat/>
    <w:uiPriority w:val="39"/>
    <w:pPr>
      <w:tabs>
        <w:tab w:val="right" w:leader="dot" w:pos="8302"/>
      </w:tabs>
      <w:ind w:left="561"/>
      <w:jc w:val="left"/>
    </w:pPr>
    <w:rPr>
      <w:rFonts w:ascii="Calibri" w:hAnsi="Calibri"/>
      <w:iCs/>
      <w:sz w:val="20"/>
      <w:szCs w:val="20"/>
    </w:rPr>
  </w:style>
  <w:style w:type="paragraph" w:styleId="29">
    <w:name w:val="Plain Text"/>
    <w:basedOn w:val="1"/>
    <w:link w:val="221"/>
    <w:qFormat/>
    <w:uiPriority w:val="0"/>
    <w:pPr>
      <w:spacing w:line="360" w:lineRule="auto"/>
    </w:pPr>
    <w:rPr>
      <w:rFonts w:ascii="宋体" w:hAnsi="Courier New"/>
      <w:szCs w:val="21"/>
    </w:rPr>
  </w:style>
  <w:style w:type="paragraph" w:styleId="30">
    <w:name w:val="toc 8"/>
    <w:basedOn w:val="1"/>
    <w:next w:val="1"/>
    <w:qFormat/>
    <w:uiPriority w:val="39"/>
    <w:pPr>
      <w:spacing w:line="440" w:lineRule="exact"/>
      <w:ind w:left="1960"/>
      <w:jc w:val="left"/>
    </w:pPr>
    <w:rPr>
      <w:rFonts w:ascii="Calibri" w:hAnsi="Calibri"/>
      <w:sz w:val="18"/>
      <w:szCs w:val="18"/>
    </w:rPr>
  </w:style>
  <w:style w:type="paragraph" w:styleId="31">
    <w:name w:val="Date"/>
    <w:basedOn w:val="1"/>
    <w:next w:val="1"/>
    <w:link w:val="197"/>
    <w:qFormat/>
    <w:uiPriority w:val="99"/>
    <w:pPr>
      <w:spacing w:line="360" w:lineRule="auto"/>
      <w:ind w:left="2500" w:leftChars="2500"/>
    </w:pPr>
    <w:rPr>
      <w:rFonts w:ascii="Tahoma" w:hAnsi="Tahoma"/>
    </w:rPr>
  </w:style>
  <w:style w:type="paragraph" w:styleId="32">
    <w:name w:val="Body Text Indent 2"/>
    <w:basedOn w:val="1"/>
    <w:link w:val="162"/>
    <w:qFormat/>
    <w:uiPriority w:val="99"/>
    <w:pPr>
      <w:adjustRightInd w:val="0"/>
      <w:snapToGrid w:val="0"/>
      <w:spacing w:afterLines="25" w:line="420" w:lineRule="exact"/>
      <w:ind w:left="778" w:leftChars="378"/>
    </w:pPr>
    <w:rPr>
      <w:rFonts w:eastAsia="宋体"/>
      <w:sz w:val="24"/>
      <w:szCs w:val="30"/>
    </w:rPr>
  </w:style>
  <w:style w:type="paragraph" w:styleId="33">
    <w:name w:val="Balloon Text"/>
    <w:basedOn w:val="1"/>
    <w:link w:val="96"/>
    <w:qFormat/>
    <w:uiPriority w:val="0"/>
    <w:rPr>
      <w:sz w:val="18"/>
      <w:szCs w:val="18"/>
    </w:rPr>
  </w:style>
  <w:style w:type="paragraph" w:styleId="34">
    <w:name w:val="footer"/>
    <w:basedOn w:val="1"/>
    <w:link w:val="137"/>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5">
    <w:name w:val="header"/>
    <w:basedOn w:val="1"/>
    <w:link w:val="122"/>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qFormat/>
    <w:uiPriority w:val="39"/>
    <w:pPr>
      <w:spacing w:line="440" w:lineRule="exact"/>
      <w:ind w:left="840"/>
      <w:jc w:val="left"/>
    </w:pPr>
    <w:rPr>
      <w:rFonts w:ascii="Calibri" w:hAnsi="Calibri"/>
      <w:sz w:val="18"/>
      <w:szCs w:val="18"/>
    </w:rPr>
  </w:style>
  <w:style w:type="paragraph" w:styleId="38">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qFormat/>
    <w:uiPriority w:val="39"/>
    <w:pPr>
      <w:spacing w:line="440" w:lineRule="exact"/>
      <w:ind w:left="1400"/>
      <w:jc w:val="left"/>
    </w:pPr>
    <w:rPr>
      <w:rFonts w:ascii="Calibri" w:hAnsi="Calibri"/>
      <w:sz w:val="18"/>
      <w:szCs w:val="18"/>
    </w:rPr>
  </w:style>
  <w:style w:type="paragraph" w:styleId="40">
    <w:name w:val="Body Text Indent 3"/>
    <w:basedOn w:val="1"/>
    <w:link w:val="210"/>
    <w:qFormat/>
    <w:uiPriority w:val="99"/>
    <w:pPr>
      <w:spacing w:after="120"/>
      <w:ind w:left="420" w:leftChars="200"/>
    </w:pPr>
    <w:rPr>
      <w:sz w:val="16"/>
      <w:szCs w:val="16"/>
    </w:rPr>
  </w:style>
  <w:style w:type="paragraph" w:styleId="41">
    <w:name w:val="toc 2"/>
    <w:basedOn w:val="1"/>
    <w:next w:val="1"/>
    <w:qFormat/>
    <w:uiPriority w:val="39"/>
    <w:pPr>
      <w:widowControl/>
      <w:adjustRightInd w:val="0"/>
      <w:spacing w:line="300" w:lineRule="auto"/>
      <w:jc w:val="center"/>
    </w:pPr>
    <w:rPr>
      <w:rFonts w:eastAsia="黑体"/>
      <w:smallCaps/>
      <w:kern w:val="0"/>
      <w:sz w:val="24"/>
    </w:rPr>
  </w:style>
  <w:style w:type="paragraph" w:styleId="42">
    <w:name w:val="toc 9"/>
    <w:basedOn w:val="1"/>
    <w:next w:val="1"/>
    <w:qFormat/>
    <w:uiPriority w:val="39"/>
    <w:pPr>
      <w:spacing w:line="440" w:lineRule="exact"/>
      <w:ind w:left="2240"/>
      <w:jc w:val="left"/>
    </w:pPr>
    <w:rPr>
      <w:rFonts w:ascii="Calibri" w:hAnsi="Calibri"/>
      <w:sz w:val="18"/>
      <w:szCs w:val="18"/>
    </w:rPr>
  </w:style>
  <w:style w:type="paragraph" w:styleId="43">
    <w:name w:val="Body Text 2"/>
    <w:basedOn w:val="1"/>
    <w:link w:val="168"/>
    <w:qFormat/>
    <w:uiPriority w:val="99"/>
    <w:pPr>
      <w:spacing w:line="360" w:lineRule="auto"/>
      <w:ind w:right="26"/>
    </w:pPr>
    <w:rPr>
      <w:rFonts w:ascii="宋体" w:eastAsia="宋体"/>
      <w:szCs w:val="20"/>
    </w:rPr>
  </w:style>
  <w:style w:type="paragraph" w:styleId="4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99"/>
    <w:pPr>
      <w:spacing w:line="220" w:lineRule="exact"/>
      <w:jc w:val="center"/>
    </w:pPr>
    <w:rPr>
      <w:rFonts w:ascii="仿宋_GB2312" w:eastAsia="仿宋_GB2312"/>
      <w:szCs w:val="21"/>
    </w:rPr>
  </w:style>
  <w:style w:type="paragraph" w:styleId="47">
    <w:name w:val="Title"/>
    <w:basedOn w:val="1"/>
    <w:next w:val="1"/>
    <w:link w:val="124"/>
    <w:qFormat/>
    <w:uiPriority w:val="99"/>
    <w:pPr>
      <w:spacing w:before="240" w:after="60" w:line="440" w:lineRule="exact"/>
      <w:jc w:val="center"/>
      <w:outlineLvl w:val="0"/>
    </w:pPr>
    <w:rPr>
      <w:rFonts w:ascii="Cambria" w:hAnsi="Cambria"/>
      <w:b/>
      <w:bCs/>
      <w:sz w:val="32"/>
      <w:szCs w:val="32"/>
    </w:rPr>
  </w:style>
  <w:style w:type="paragraph" w:styleId="48">
    <w:name w:val="annotation subject"/>
    <w:basedOn w:val="20"/>
    <w:next w:val="20"/>
    <w:link w:val="128"/>
    <w:unhideWhenUsed/>
    <w:qFormat/>
    <w:uiPriority w:val="99"/>
    <w:pPr>
      <w:spacing w:line="440" w:lineRule="exact"/>
    </w:pPr>
    <w:rPr>
      <w:b/>
      <w:bCs/>
      <w:sz w:val="24"/>
      <w:szCs w:val="28"/>
    </w:rPr>
  </w:style>
  <w:style w:type="paragraph" w:styleId="49">
    <w:name w:val="Body Text First Indent"/>
    <w:basedOn w:val="23"/>
    <w:link w:val="131"/>
    <w:qFormat/>
    <w:uiPriority w:val="0"/>
    <w:pPr>
      <w:spacing w:after="120" w:line="240" w:lineRule="auto"/>
      <w:ind w:firstLine="100" w:firstLineChars="100"/>
    </w:pPr>
  </w:style>
  <w:style w:type="paragraph" w:styleId="50">
    <w:name w:val="Body Text First Indent 2"/>
    <w:basedOn w:val="24"/>
    <w:link w:val="167"/>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style>
  <w:style w:type="character" w:styleId="55">
    <w:name w:val="page number"/>
    <w:basedOn w:val="53"/>
    <w:qFormat/>
    <w:uiPriority w:val="99"/>
  </w:style>
  <w:style w:type="character" w:styleId="56">
    <w:name w:val="FollowedHyperlink"/>
    <w:unhideWhenUsed/>
    <w:qFormat/>
    <w:uiPriority w:val="99"/>
    <w:rPr>
      <w:color w:val="954F72"/>
      <w:u w:val="single"/>
    </w:rPr>
  </w:style>
  <w:style w:type="character" w:styleId="57">
    <w:name w:val="Emphasis"/>
    <w:qFormat/>
    <w:uiPriority w:val="0"/>
    <w:rPr>
      <w:i/>
      <w:iCs/>
    </w:rPr>
  </w:style>
  <w:style w:type="character" w:styleId="58">
    <w:name w:val="HTML Definition"/>
    <w:unhideWhenUsed/>
    <w:qFormat/>
    <w:uiPriority w:val="0"/>
  </w:style>
  <w:style w:type="character" w:styleId="59">
    <w:name w:val="HTML Variable"/>
    <w:unhideWhenUsed/>
    <w:qFormat/>
    <w:uiPriority w:val="0"/>
  </w:style>
  <w:style w:type="character" w:styleId="60">
    <w:name w:val="Hyperlink"/>
    <w:qFormat/>
    <w:uiPriority w:val="99"/>
    <w:rPr>
      <w:rFonts w:hint="eastAsia" w:ascii="宋体" w:hAnsi="宋体" w:eastAsia="宋体" w:cs="宋体"/>
      <w:color w:val="004A85"/>
      <w:sz w:val="12"/>
      <w:szCs w:val="12"/>
      <w:u w:val="single"/>
    </w:rPr>
  </w:style>
  <w:style w:type="character" w:styleId="61">
    <w:name w:val="HTML Code"/>
    <w:unhideWhenUsed/>
    <w:qFormat/>
    <w:uiPriority w:val="0"/>
    <w:rPr>
      <w:rFonts w:ascii="Courier New" w:hAnsi="Courier New"/>
      <w:sz w:val="20"/>
    </w:rPr>
  </w:style>
  <w:style w:type="character" w:styleId="62">
    <w:name w:val="annotation reference"/>
    <w:qFormat/>
    <w:uiPriority w:val="99"/>
    <w:rPr>
      <w:sz w:val="21"/>
      <w:szCs w:val="21"/>
    </w:rPr>
  </w:style>
  <w:style w:type="character" w:styleId="63">
    <w:name w:val="HTML Cite"/>
    <w:unhideWhenUsed/>
    <w:qFormat/>
    <w:uiPriority w:val="0"/>
  </w:style>
  <w:style w:type="paragraph" w:customStyle="1" w:styleId="64">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5">
    <w:name w:val="列出段落2"/>
    <w:basedOn w:val="1"/>
    <w:unhideWhenUsed/>
    <w:qFormat/>
    <w:uiPriority w:val="0"/>
    <w:pPr>
      <w:ind w:firstLine="420" w:firstLineChars="200"/>
    </w:pPr>
  </w:style>
  <w:style w:type="paragraph" w:customStyle="1" w:styleId="66">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7">
    <w:name w:val="_Style 67"/>
    <w:basedOn w:val="1"/>
    <w:next w:val="68"/>
    <w:qFormat/>
    <w:uiPriority w:val="99"/>
    <w:pPr>
      <w:ind w:firstLine="420" w:firstLineChars="200"/>
    </w:pPr>
    <w:rPr>
      <w:rFonts w:ascii="Calibri" w:hAnsi="Calibri"/>
      <w:szCs w:val="22"/>
    </w:rPr>
  </w:style>
  <w:style w:type="paragraph" w:styleId="68">
    <w:name w:val="List Paragraph"/>
    <w:basedOn w:val="1"/>
    <w:qFormat/>
    <w:uiPriority w:val="34"/>
    <w:pPr>
      <w:ind w:firstLine="420" w:firstLineChars="200"/>
    </w:pPr>
    <w:rPr>
      <w:rFonts w:ascii="Calibri" w:hAnsi="Calibri" w:eastAsia="宋体"/>
      <w:szCs w:val="22"/>
    </w:rPr>
  </w:style>
  <w:style w:type="paragraph" w:customStyle="1" w:styleId="69">
    <w:name w:val="_Style 2"/>
    <w:basedOn w:val="1"/>
    <w:qFormat/>
    <w:uiPriority w:val="34"/>
    <w:pPr>
      <w:ind w:firstLine="420" w:firstLineChars="200"/>
    </w:pPr>
    <w:rPr>
      <w:rFonts w:ascii="Calibri" w:hAnsi="Calibri"/>
      <w:szCs w:val="22"/>
    </w:rPr>
  </w:style>
  <w:style w:type="paragraph" w:customStyle="1" w:styleId="70">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1">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2">
    <w:name w:val="封面落款"/>
    <w:basedOn w:val="1"/>
    <w:qFormat/>
    <w:uiPriority w:val="0"/>
    <w:pPr>
      <w:spacing w:line="360" w:lineRule="auto"/>
      <w:jc w:val="center"/>
    </w:pPr>
    <w:rPr>
      <w:rFonts w:ascii="Arial" w:hAnsi="Arial" w:eastAsia="黑体"/>
      <w:sz w:val="32"/>
      <w:szCs w:val="28"/>
    </w:rPr>
  </w:style>
  <w:style w:type="paragraph" w:customStyle="1" w:styleId="73">
    <w:name w:val="目录"/>
    <w:link w:val="105"/>
    <w:qFormat/>
    <w:uiPriority w:val="0"/>
    <w:pPr>
      <w:spacing w:before="156" w:after="156"/>
    </w:pPr>
    <w:rPr>
      <w:rFonts w:ascii="仿宋_GB2312" w:hAnsi="宋体" w:eastAsia="仿宋_GB2312" w:cs="Times New Roman"/>
      <w:sz w:val="28"/>
      <w:szCs w:val="28"/>
      <w:lang w:val="en-US" w:eastAsia="zh-CN" w:bidi="ar-SA"/>
    </w:rPr>
  </w:style>
  <w:style w:type="paragraph" w:customStyle="1" w:styleId="74">
    <w:name w:val="表格字体小四"/>
    <w:link w:val="104"/>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5">
    <w:name w:val="样式 标题 5 + 小四"/>
    <w:basedOn w:val="7"/>
    <w:qFormat/>
    <w:uiPriority w:val="0"/>
    <w:pPr>
      <w:tabs>
        <w:tab w:val="left" w:pos="567"/>
      </w:tabs>
      <w:wordWrap w:val="0"/>
      <w:spacing w:line="377" w:lineRule="auto"/>
      <w:ind w:left="567" w:hanging="567"/>
      <w:jc w:val="left"/>
    </w:pPr>
  </w:style>
  <w:style w:type="paragraph" w:customStyle="1" w:styleId="76">
    <w:name w:val="表格格式"/>
    <w:basedOn w:val="1"/>
    <w:qFormat/>
    <w:uiPriority w:val="0"/>
    <w:pPr>
      <w:adjustRightInd w:val="0"/>
      <w:snapToGrid w:val="0"/>
      <w:jc w:val="left"/>
      <w:textAlignment w:val="baseline"/>
    </w:pPr>
    <w:rPr>
      <w:rFonts w:ascii="宋体"/>
      <w:kern w:val="0"/>
      <w:szCs w:val="20"/>
    </w:rPr>
  </w:style>
  <w:style w:type="paragraph" w:customStyle="1" w:styleId="77">
    <w:name w:val="样式5"/>
    <w:basedOn w:val="15"/>
    <w:qFormat/>
    <w:uiPriority w:val="0"/>
    <w:pPr>
      <w:ind w:firstLine="420"/>
    </w:pPr>
    <w:rPr>
      <w:sz w:val="21"/>
      <w:szCs w:val="21"/>
    </w:rPr>
  </w:style>
  <w:style w:type="paragraph" w:customStyle="1" w:styleId="78">
    <w:name w:val="标题2"/>
    <w:basedOn w:val="4"/>
    <w:next w:val="1"/>
    <w:link w:val="95"/>
    <w:qFormat/>
    <w:uiPriority w:val="0"/>
    <w:pPr>
      <w:widowControl/>
      <w:spacing w:beforeLines="10" w:afterLines="10" w:line="240" w:lineRule="auto"/>
      <w:jc w:val="left"/>
    </w:pPr>
    <w:rPr>
      <w:rFonts w:ascii="Times New Roman" w:hAnsi="Times New Roman" w:eastAsia="黑体"/>
      <w:b/>
      <w:bCs/>
      <w:szCs w:val="24"/>
    </w:rPr>
  </w:style>
  <w:style w:type="paragraph" w:customStyle="1" w:styleId="79">
    <w:name w:val="三级"/>
    <w:basedOn w:val="4"/>
    <w:link w:val="106"/>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0">
    <w:name w:val="样式2"/>
    <w:basedOn w:val="1"/>
    <w:link w:val="118"/>
    <w:qFormat/>
    <w:uiPriority w:val="0"/>
    <w:pPr>
      <w:spacing w:line="300" w:lineRule="auto"/>
      <w:jc w:val="center"/>
      <w:outlineLvl w:val="0"/>
    </w:pPr>
    <w:rPr>
      <w:b/>
      <w:sz w:val="24"/>
    </w:rPr>
  </w:style>
  <w:style w:type="paragraph" w:customStyle="1" w:styleId="81">
    <w:name w:val="Char1"/>
    <w:basedOn w:val="1"/>
    <w:qFormat/>
    <w:uiPriority w:val="0"/>
    <w:pPr>
      <w:adjustRightInd w:val="0"/>
      <w:spacing w:line="360" w:lineRule="auto"/>
    </w:pPr>
    <w:rPr>
      <w:kern w:val="0"/>
      <w:sz w:val="24"/>
      <w:szCs w:val="20"/>
    </w:rPr>
  </w:style>
  <w:style w:type="paragraph" w:customStyle="1" w:styleId="82">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3">
    <w:name w:val="标题3"/>
    <w:basedOn w:val="5"/>
    <w:next w:val="1"/>
    <w:link w:val="139"/>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4">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5">
    <w:name w:val="表格标题"/>
    <w:basedOn w:val="16"/>
    <w:link w:val="132"/>
    <w:qFormat/>
    <w:uiPriority w:val="0"/>
    <w:pPr>
      <w:spacing w:before="152" w:after="160" w:line="420" w:lineRule="exact"/>
      <w:ind w:firstLine="480" w:firstLineChars="200"/>
      <w:jc w:val="center"/>
    </w:pPr>
    <w:rPr>
      <w:rFonts w:ascii="Arial" w:hAnsi="Arial" w:eastAsia="宋体"/>
      <w:sz w:val="24"/>
      <w:szCs w:val="24"/>
    </w:rPr>
  </w:style>
  <w:style w:type="paragraph" w:customStyle="1" w:styleId="86">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7">
    <w:name w:val="图片"/>
    <w:basedOn w:val="1"/>
    <w:link w:val="120"/>
    <w:qFormat/>
    <w:uiPriority w:val="0"/>
    <w:pPr>
      <w:jc w:val="center"/>
    </w:pPr>
    <w:rPr>
      <w:sz w:val="28"/>
      <w:szCs w:val="28"/>
    </w:rPr>
  </w:style>
  <w:style w:type="paragraph" w:customStyle="1" w:styleId="88">
    <w:name w:val="正文首行缩进1"/>
    <w:basedOn w:val="23"/>
    <w:qFormat/>
    <w:uiPriority w:val="0"/>
    <w:pPr>
      <w:suppressAutoHyphens/>
      <w:spacing w:line="300" w:lineRule="auto"/>
      <w:ind w:left="426"/>
    </w:pPr>
    <w:rPr>
      <w:rFonts w:ascii="宋体" w:hAnsi="宋体"/>
      <w:szCs w:val="20"/>
    </w:rPr>
  </w:style>
  <w:style w:type="paragraph" w:customStyle="1" w:styleId="89">
    <w:name w:val="纯文本1"/>
    <w:basedOn w:val="1"/>
    <w:qFormat/>
    <w:uiPriority w:val="0"/>
    <w:rPr>
      <w:rFonts w:ascii="宋体" w:hAnsi="Courier New"/>
    </w:rPr>
  </w:style>
  <w:style w:type="paragraph" w:customStyle="1" w:styleId="90">
    <w:name w:val="样式 首行不缩进"/>
    <w:basedOn w:val="1"/>
    <w:qFormat/>
    <w:uiPriority w:val="0"/>
    <w:pPr>
      <w:spacing w:before="120" w:after="120" w:line="360" w:lineRule="auto"/>
      <w:jc w:val="center"/>
    </w:pPr>
    <w:rPr>
      <w:rFonts w:cs="宋体"/>
      <w:sz w:val="24"/>
      <w:szCs w:val="20"/>
    </w:rPr>
  </w:style>
  <w:style w:type="paragraph" w:customStyle="1" w:styleId="91">
    <w:name w:val="图题"/>
    <w:link w:val="114"/>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2">
    <w:name w:val="小列表"/>
    <w:basedOn w:val="1"/>
    <w:link w:val="98"/>
    <w:qFormat/>
    <w:uiPriority w:val="0"/>
    <w:pPr>
      <w:numPr>
        <w:ilvl w:val="0"/>
        <w:numId w:val="2"/>
      </w:numPr>
      <w:autoSpaceDE w:val="0"/>
      <w:autoSpaceDN w:val="0"/>
      <w:spacing w:line="440" w:lineRule="exact"/>
      <w:ind w:firstLine="0"/>
    </w:pPr>
    <w:rPr>
      <w:sz w:val="24"/>
      <w:szCs w:val="28"/>
    </w:rPr>
  </w:style>
  <w:style w:type="paragraph" w:customStyle="1" w:styleId="93">
    <w:name w:val="表格正文"/>
    <w:basedOn w:val="1"/>
    <w:qFormat/>
    <w:uiPriority w:val="0"/>
    <w:pPr>
      <w:widowControl/>
      <w:snapToGrid w:val="0"/>
      <w:spacing w:before="60" w:after="60"/>
      <w:ind w:left="11"/>
      <w:jc w:val="center"/>
    </w:pPr>
    <w:rPr>
      <w:kern w:val="0"/>
      <w:szCs w:val="21"/>
    </w:rPr>
  </w:style>
  <w:style w:type="character" w:customStyle="1" w:styleId="94">
    <w:name w:val="题注 Char"/>
    <w:link w:val="16"/>
    <w:qFormat/>
    <w:uiPriority w:val="0"/>
    <w:rPr>
      <w:rFonts w:ascii="华文中宋" w:eastAsia="华文中宋"/>
      <w:kern w:val="2"/>
      <w:sz w:val="36"/>
    </w:rPr>
  </w:style>
  <w:style w:type="character" w:customStyle="1" w:styleId="95">
    <w:name w:val="标题2 Char Char"/>
    <w:link w:val="78"/>
    <w:qFormat/>
    <w:uiPriority w:val="0"/>
    <w:rPr>
      <w:rFonts w:eastAsia="黑体"/>
      <w:kern w:val="2"/>
      <w:sz w:val="32"/>
      <w:szCs w:val="24"/>
    </w:rPr>
  </w:style>
  <w:style w:type="character" w:customStyle="1" w:styleId="96">
    <w:name w:val="批注框文本 Char"/>
    <w:link w:val="33"/>
    <w:qFormat/>
    <w:uiPriority w:val="0"/>
    <w:rPr>
      <w:kern w:val="2"/>
      <w:sz w:val="18"/>
      <w:szCs w:val="18"/>
    </w:rPr>
  </w:style>
  <w:style w:type="character" w:customStyle="1" w:styleId="97">
    <w:name w:val="refresh"/>
    <w:basedOn w:val="53"/>
    <w:qFormat/>
    <w:uiPriority w:val="0"/>
  </w:style>
  <w:style w:type="character" w:customStyle="1" w:styleId="98">
    <w:name w:val="小列表 Char Char"/>
    <w:link w:val="92"/>
    <w:qFormat/>
    <w:uiPriority w:val="0"/>
    <w:rPr>
      <w:rFonts w:ascii="Times New Roman" w:hAnsi="Times New Roman" w:eastAsia="Arial Unicode MS" w:cs="Times New Roman"/>
      <w:kern w:val="2"/>
      <w:sz w:val="24"/>
      <w:szCs w:val="28"/>
    </w:rPr>
  </w:style>
  <w:style w:type="character" w:customStyle="1" w:styleId="99">
    <w:name w:val="del"/>
    <w:basedOn w:val="53"/>
    <w:qFormat/>
    <w:uiPriority w:val="0"/>
  </w:style>
  <w:style w:type="character" w:customStyle="1" w:styleId="100">
    <w:name w:val="批注文字 Char1"/>
    <w:link w:val="20"/>
    <w:qFormat/>
    <w:uiPriority w:val="0"/>
    <w:rPr>
      <w:rFonts w:ascii="Tahoma" w:hAnsi="Tahoma"/>
      <w:kern w:val="2"/>
      <w:sz w:val="21"/>
      <w:szCs w:val="24"/>
    </w:rPr>
  </w:style>
  <w:style w:type="character" w:customStyle="1" w:styleId="101">
    <w:name w:val="正文缩进 Char1"/>
    <w:qFormat/>
    <w:uiPriority w:val="0"/>
    <w:rPr>
      <w:rFonts w:eastAsia="宋体"/>
      <w:kern w:val="2"/>
      <w:sz w:val="21"/>
      <w:szCs w:val="24"/>
      <w:lang w:val="en-US" w:eastAsia="zh-CN" w:bidi="ar-SA"/>
    </w:rPr>
  </w:style>
  <w:style w:type="character" w:customStyle="1" w:styleId="102">
    <w:name w:val="标题 5 Char"/>
    <w:link w:val="7"/>
    <w:qFormat/>
    <w:uiPriority w:val="99"/>
    <w:rPr>
      <w:b/>
      <w:bCs/>
      <w:kern w:val="2"/>
      <w:sz w:val="24"/>
      <w:szCs w:val="28"/>
    </w:rPr>
  </w:style>
  <w:style w:type="character" w:customStyle="1" w:styleId="103">
    <w:name w:val="标题 2 Char"/>
    <w:link w:val="4"/>
    <w:qFormat/>
    <w:uiPriority w:val="99"/>
    <w:rPr>
      <w:rFonts w:ascii="Cambria" w:hAnsi="Cambria"/>
      <w:b/>
      <w:bCs/>
      <w:kern w:val="2"/>
      <w:sz w:val="32"/>
      <w:szCs w:val="32"/>
    </w:rPr>
  </w:style>
  <w:style w:type="character" w:customStyle="1" w:styleId="104">
    <w:name w:val="表格字体小四 Char Char"/>
    <w:link w:val="74"/>
    <w:qFormat/>
    <w:uiPriority w:val="0"/>
    <w:rPr>
      <w:kern w:val="2"/>
      <w:sz w:val="24"/>
      <w:szCs w:val="24"/>
      <w:lang w:val="en-US" w:eastAsia="zh-CN" w:bidi="ar-SA"/>
    </w:rPr>
  </w:style>
  <w:style w:type="character" w:customStyle="1" w:styleId="105">
    <w:name w:val="目录 Char Char"/>
    <w:link w:val="73"/>
    <w:qFormat/>
    <w:uiPriority w:val="0"/>
    <w:rPr>
      <w:rFonts w:ascii="仿宋_GB2312" w:hAnsi="宋体" w:eastAsia="仿宋_GB2312"/>
      <w:sz w:val="28"/>
      <w:szCs w:val="28"/>
      <w:lang w:val="en-US" w:eastAsia="zh-CN" w:bidi="ar-SA"/>
    </w:rPr>
  </w:style>
  <w:style w:type="character" w:customStyle="1" w:styleId="106">
    <w:name w:val="三级 Char Char"/>
    <w:link w:val="79"/>
    <w:qFormat/>
    <w:uiPriority w:val="0"/>
    <w:rPr>
      <w:rFonts w:eastAsia="黑体"/>
      <w:bCs/>
      <w:kern w:val="2"/>
      <w:sz w:val="30"/>
      <w:szCs w:val="24"/>
    </w:rPr>
  </w:style>
  <w:style w:type="character" w:customStyle="1" w:styleId="107">
    <w:name w:val="label"/>
    <w:basedOn w:val="53"/>
    <w:qFormat/>
    <w:uiPriority w:val="0"/>
  </w:style>
  <w:style w:type="character" w:customStyle="1" w:styleId="108">
    <w:name w:val="标题 8 Char"/>
    <w:link w:val="10"/>
    <w:qFormat/>
    <w:uiPriority w:val="99"/>
    <w:rPr>
      <w:rFonts w:ascii="Arial" w:hAnsi="Arial" w:eastAsia="黑体"/>
      <w:kern w:val="2"/>
      <w:sz w:val="24"/>
      <w:szCs w:val="28"/>
    </w:rPr>
  </w:style>
  <w:style w:type="character" w:customStyle="1" w:styleId="109">
    <w:name w:val="open2"/>
    <w:basedOn w:val="53"/>
    <w:qFormat/>
    <w:uiPriority w:val="0"/>
  </w:style>
  <w:style w:type="character" w:customStyle="1" w:styleId="110">
    <w:name w:val="15"/>
    <w:qFormat/>
    <w:uiPriority w:val="0"/>
    <w:rPr>
      <w:rFonts w:hint="default" w:ascii="Calibri" w:hAnsi="Calibri" w:cs="Calibri"/>
      <w:color w:val="0000FF"/>
      <w:u w:val="single"/>
    </w:rPr>
  </w:style>
  <w:style w:type="character" w:customStyle="1" w:styleId="111">
    <w:name w:val="trans"/>
    <w:basedOn w:val="53"/>
    <w:qFormat/>
    <w:uiPriority w:val="0"/>
  </w:style>
  <w:style w:type="character" w:customStyle="1" w:styleId="112">
    <w:name w:val="del2"/>
    <w:basedOn w:val="53"/>
    <w:qFormat/>
    <w:uiPriority w:val="0"/>
  </w:style>
  <w:style w:type="character" w:customStyle="1" w:styleId="113">
    <w:name w:val="标题 3 Char"/>
    <w:link w:val="5"/>
    <w:qFormat/>
    <w:uiPriority w:val="0"/>
    <w:rPr>
      <w:rFonts w:ascii="Tahoma" w:hAnsi="Tahoma"/>
      <w:b/>
      <w:bCs/>
      <w:kern w:val="2"/>
      <w:sz w:val="32"/>
      <w:szCs w:val="32"/>
    </w:rPr>
  </w:style>
  <w:style w:type="character" w:customStyle="1" w:styleId="114">
    <w:name w:val="图题 Char Char"/>
    <w:link w:val="91"/>
    <w:qFormat/>
    <w:uiPriority w:val="0"/>
    <w:rPr>
      <w:kern w:val="2"/>
      <w:sz w:val="24"/>
      <w:szCs w:val="24"/>
      <w:lang w:val="en-US" w:eastAsia="zh-CN" w:bidi="ar-SA"/>
    </w:rPr>
  </w:style>
  <w:style w:type="character" w:customStyle="1" w:styleId="115">
    <w:name w:val="pagelinks"/>
    <w:basedOn w:val="53"/>
    <w:qFormat/>
    <w:uiPriority w:val="0"/>
  </w:style>
  <w:style w:type="character" w:customStyle="1" w:styleId="116">
    <w:name w:val="morewin"/>
    <w:basedOn w:val="53"/>
    <w:qFormat/>
    <w:uiPriority w:val="0"/>
  </w:style>
  <w:style w:type="character" w:customStyle="1" w:styleId="117">
    <w:name w:val="open"/>
    <w:basedOn w:val="53"/>
    <w:qFormat/>
    <w:uiPriority w:val="0"/>
  </w:style>
  <w:style w:type="character" w:customStyle="1" w:styleId="118">
    <w:name w:val="样式2 Char Char"/>
    <w:link w:val="80"/>
    <w:qFormat/>
    <w:uiPriority w:val="0"/>
    <w:rPr>
      <w:b/>
      <w:kern w:val="2"/>
      <w:sz w:val="24"/>
      <w:szCs w:val="24"/>
    </w:rPr>
  </w:style>
  <w:style w:type="character" w:customStyle="1" w:styleId="119">
    <w:name w:val="批注文字 Char"/>
    <w:qFormat/>
    <w:uiPriority w:val="99"/>
    <w:rPr>
      <w:kern w:val="2"/>
      <w:sz w:val="24"/>
      <w:szCs w:val="28"/>
    </w:rPr>
  </w:style>
  <w:style w:type="character" w:customStyle="1" w:styleId="120">
    <w:name w:val="图片 Char Char"/>
    <w:link w:val="87"/>
    <w:qFormat/>
    <w:uiPriority w:val="0"/>
    <w:rPr>
      <w:kern w:val="2"/>
      <w:sz w:val="28"/>
      <w:szCs w:val="28"/>
    </w:rPr>
  </w:style>
  <w:style w:type="character" w:customStyle="1" w:styleId="121">
    <w:name w:val="标题 1 Char"/>
    <w:link w:val="3"/>
    <w:qFormat/>
    <w:uiPriority w:val="0"/>
    <w:rPr>
      <w:rFonts w:ascii="Tahoma" w:hAnsi="Tahoma"/>
      <w:b/>
      <w:bCs/>
      <w:kern w:val="44"/>
      <w:sz w:val="24"/>
      <w:szCs w:val="44"/>
    </w:rPr>
  </w:style>
  <w:style w:type="character" w:customStyle="1" w:styleId="122">
    <w:name w:val="页眉 Char"/>
    <w:link w:val="35"/>
    <w:qFormat/>
    <w:uiPriority w:val="99"/>
    <w:rPr>
      <w:rFonts w:ascii="Tahoma" w:hAnsi="Tahoma"/>
      <w:kern w:val="2"/>
      <w:sz w:val="18"/>
      <w:szCs w:val="18"/>
    </w:rPr>
  </w:style>
  <w:style w:type="character" w:customStyle="1" w:styleId="123">
    <w:name w:val="标题 7 Char"/>
    <w:link w:val="9"/>
    <w:qFormat/>
    <w:uiPriority w:val="99"/>
    <w:rPr>
      <w:b/>
      <w:bCs/>
      <w:kern w:val="2"/>
      <w:sz w:val="24"/>
      <w:szCs w:val="28"/>
    </w:rPr>
  </w:style>
  <w:style w:type="character" w:customStyle="1" w:styleId="124">
    <w:name w:val="标题 Char"/>
    <w:link w:val="47"/>
    <w:qFormat/>
    <w:uiPriority w:val="99"/>
    <w:rPr>
      <w:rFonts w:ascii="Cambria" w:hAnsi="Cambria"/>
      <w:b/>
      <w:bCs/>
      <w:kern w:val="2"/>
      <w:sz w:val="32"/>
      <w:szCs w:val="32"/>
    </w:rPr>
  </w:style>
  <w:style w:type="character" w:customStyle="1" w:styleId="125">
    <w:name w:val="标题 9 Char"/>
    <w:link w:val="11"/>
    <w:qFormat/>
    <w:uiPriority w:val="99"/>
    <w:rPr>
      <w:rFonts w:ascii="Arial" w:hAnsi="Arial" w:eastAsia="黑体"/>
      <w:kern w:val="2"/>
      <w:sz w:val="24"/>
      <w:szCs w:val="21"/>
    </w:rPr>
  </w:style>
  <w:style w:type="character" w:customStyle="1" w:styleId="126">
    <w:name w:val="error"/>
    <w:qFormat/>
    <w:uiPriority w:val="0"/>
    <w:rPr>
      <w:color w:val="CC0000"/>
    </w:rPr>
  </w:style>
  <w:style w:type="character" w:customStyle="1" w:styleId="127">
    <w:name w:val="add"/>
    <w:basedOn w:val="53"/>
    <w:qFormat/>
    <w:uiPriority w:val="0"/>
  </w:style>
  <w:style w:type="character" w:customStyle="1" w:styleId="128">
    <w:name w:val="批注主题 Char"/>
    <w:link w:val="48"/>
    <w:qFormat/>
    <w:uiPriority w:val="99"/>
    <w:rPr>
      <w:rFonts w:ascii="Tahoma" w:hAnsi="Tahoma"/>
      <w:b/>
      <w:bCs/>
      <w:kern w:val="2"/>
      <w:sz w:val="24"/>
      <w:szCs w:val="28"/>
    </w:rPr>
  </w:style>
  <w:style w:type="character" w:customStyle="1" w:styleId="129">
    <w:name w:val="pagebanner"/>
    <w:basedOn w:val="53"/>
    <w:qFormat/>
    <w:uiPriority w:val="0"/>
  </w:style>
  <w:style w:type="character" w:customStyle="1" w:styleId="130">
    <w:name w:val="文档结构图 Char"/>
    <w:link w:val="18"/>
    <w:qFormat/>
    <w:uiPriority w:val="99"/>
    <w:rPr>
      <w:rFonts w:ascii="宋体"/>
      <w:kern w:val="2"/>
      <w:sz w:val="18"/>
      <w:szCs w:val="18"/>
    </w:rPr>
  </w:style>
  <w:style w:type="character" w:customStyle="1" w:styleId="131">
    <w:name w:val="正文首行缩进 Char"/>
    <w:link w:val="49"/>
    <w:qFormat/>
    <w:uiPriority w:val="0"/>
    <w:rPr>
      <w:rFonts w:ascii="Tahoma" w:hAnsi="Tahoma"/>
      <w:kern w:val="2"/>
      <w:sz w:val="21"/>
      <w:szCs w:val="24"/>
    </w:rPr>
  </w:style>
  <w:style w:type="character" w:customStyle="1" w:styleId="132">
    <w:name w:val="表格标题 Char Char"/>
    <w:link w:val="85"/>
    <w:qFormat/>
    <w:uiPriority w:val="0"/>
    <w:rPr>
      <w:rFonts w:ascii="Arial" w:hAnsi="Arial" w:cs="Arial"/>
      <w:kern w:val="2"/>
      <w:sz w:val="24"/>
      <w:szCs w:val="24"/>
    </w:rPr>
  </w:style>
  <w:style w:type="character" w:customStyle="1" w:styleId="133">
    <w:name w:val="标题 6 Char"/>
    <w:link w:val="8"/>
    <w:qFormat/>
    <w:uiPriority w:val="99"/>
    <w:rPr>
      <w:rFonts w:ascii="Arial" w:hAnsi="Arial" w:eastAsia="黑体"/>
      <w:b/>
      <w:bCs/>
      <w:kern w:val="2"/>
      <w:sz w:val="24"/>
      <w:szCs w:val="28"/>
    </w:rPr>
  </w:style>
  <w:style w:type="character" w:customStyle="1" w:styleId="134">
    <w:name w:val="正文文本 Char"/>
    <w:link w:val="23"/>
    <w:qFormat/>
    <w:uiPriority w:val="99"/>
    <w:rPr>
      <w:rFonts w:ascii="Tahoma" w:hAnsi="Tahoma"/>
      <w:kern w:val="2"/>
      <w:sz w:val="21"/>
      <w:szCs w:val="24"/>
    </w:rPr>
  </w:style>
  <w:style w:type="character" w:customStyle="1" w:styleId="135">
    <w:name w:val="10"/>
    <w:qFormat/>
    <w:uiPriority w:val="0"/>
    <w:rPr>
      <w:rFonts w:hint="default" w:ascii="Calibri" w:hAnsi="Calibri" w:cs="Calibri"/>
    </w:rPr>
  </w:style>
  <w:style w:type="character" w:customStyle="1" w:styleId="136">
    <w:name w:val="正文缩进 Char"/>
    <w:link w:val="15"/>
    <w:qFormat/>
    <w:uiPriority w:val="0"/>
    <w:rPr>
      <w:kern w:val="2"/>
      <w:sz w:val="24"/>
    </w:rPr>
  </w:style>
  <w:style w:type="character" w:customStyle="1" w:styleId="137">
    <w:name w:val="页脚 Char"/>
    <w:link w:val="34"/>
    <w:qFormat/>
    <w:uiPriority w:val="99"/>
    <w:rPr>
      <w:rFonts w:ascii="Tahoma" w:hAnsi="Tahoma"/>
      <w:kern w:val="2"/>
      <w:sz w:val="18"/>
      <w:szCs w:val="18"/>
    </w:rPr>
  </w:style>
  <w:style w:type="character" w:customStyle="1" w:styleId="138">
    <w:name w:val="mod"/>
    <w:basedOn w:val="53"/>
    <w:qFormat/>
    <w:uiPriority w:val="0"/>
  </w:style>
  <w:style w:type="character" w:customStyle="1" w:styleId="139">
    <w:name w:val="标题3 Char Char"/>
    <w:link w:val="83"/>
    <w:qFormat/>
    <w:uiPriority w:val="0"/>
    <w:rPr>
      <w:rFonts w:eastAsia="黑体"/>
      <w:kern w:val="2"/>
      <w:sz w:val="28"/>
      <w:szCs w:val="32"/>
    </w:rPr>
  </w:style>
  <w:style w:type="character" w:customStyle="1" w:styleId="140">
    <w:name w:val="标题 4 Char"/>
    <w:link w:val="6"/>
    <w:qFormat/>
    <w:uiPriority w:val="99"/>
    <w:rPr>
      <w:b/>
      <w:sz w:val="24"/>
      <w:szCs w:val="24"/>
    </w:rPr>
  </w:style>
  <w:style w:type="paragraph" w:customStyle="1" w:styleId="141">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2">
    <w:name w:val="redfilefwwh"/>
    <w:basedOn w:val="53"/>
    <w:qFormat/>
    <w:uiPriority w:val="0"/>
    <w:rPr>
      <w:color w:val="BA2636"/>
      <w:sz w:val="12"/>
      <w:szCs w:val="12"/>
    </w:rPr>
  </w:style>
  <w:style w:type="character" w:customStyle="1" w:styleId="143">
    <w:name w:val="gjfg"/>
    <w:basedOn w:val="53"/>
    <w:qFormat/>
    <w:uiPriority w:val="0"/>
  </w:style>
  <w:style w:type="character" w:customStyle="1" w:styleId="144">
    <w:name w:val="redfilenumber"/>
    <w:basedOn w:val="53"/>
    <w:qFormat/>
    <w:uiPriority w:val="0"/>
    <w:rPr>
      <w:color w:val="BA2636"/>
      <w:sz w:val="12"/>
      <w:szCs w:val="12"/>
    </w:rPr>
  </w:style>
  <w:style w:type="character" w:customStyle="1" w:styleId="145">
    <w:name w:val="qxdate"/>
    <w:basedOn w:val="53"/>
    <w:qFormat/>
    <w:uiPriority w:val="0"/>
    <w:rPr>
      <w:color w:val="333333"/>
      <w:sz w:val="12"/>
      <w:szCs w:val="12"/>
    </w:rPr>
  </w:style>
  <w:style w:type="character" w:customStyle="1" w:styleId="146">
    <w:name w:val="prev"/>
    <w:basedOn w:val="53"/>
    <w:qFormat/>
    <w:uiPriority w:val="0"/>
    <w:rPr>
      <w:rFonts w:ascii="微软雅黑" w:hAnsi="微软雅黑" w:eastAsia="微软雅黑" w:cs="微软雅黑"/>
      <w:sz w:val="14"/>
      <w:szCs w:val="14"/>
    </w:rPr>
  </w:style>
  <w:style w:type="character" w:customStyle="1" w:styleId="147">
    <w:name w:val="cfdate"/>
    <w:basedOn w:val="53"/>
    <w:qFormat/>
    <w:uiPriority w:val="0"/>
    <w:rPr>
      <w:color w:val="333333"/>
      <w:sz w:val="12"/>
      <w:szCs w:val="12"/>
    </w:rPr>
  </w:style>
  <w:style w:type="character" w:customStyle="1" w:styleId="148">
    <w:name w:val="displayarti"/>
    <w:basedOn w:val="53"/>
    <w:qFormat/>
    <w:uiPriority w:val="0"/>
    <w:rPr>
      <w:color w:val="FFFFFF"/>
      <w:shd w:val="clear" w:color="auto" w:fill="A00000"/>
    </w:rPr>
  </w:style>
  <w:style w:type="character" w:customStyle="1" w:styleId="149">
    <w:name w:val="next2"/>
    <w:basedOn w:val="53"/>
    <w:qFormat/>
    <w:uiPriority w:val="0"/>
    <w:rPr>
      <w:rFonts w:hint="eastAsia" w:ascii="微软雅黑" w:hAnsi="微软雅黑" w:eastAsia="微软雅黑" w:cs="微软雅黑"/>
      <w:sz w:val="14"/>
      <w:szCs w:val="14"/>
    </w:rPr>
  </w:style>
  <w:style w:type="character" w:customStyle="1" w:styleId="150">
    <w:name w:val="next3"/>
    <w:basedOn w:val="53"/>
    <w:qFormat/>
    <w:uiPriority w:val="0"/>
    <w:rPr>
      <w:color w:val="888888"/>
    </w:rPr>
  </w:style>
  <w:style w:type="character" w:customStyle="1" w:styleId="151">
    <w:name w:val="next"/>
    <w:basedOn w:val="53"/>
    <w:qFormat/>
    <w:uiPriority w:val="0"/>
    <w:rPr>
      <w:rFonts w:ascii="微软雅黑" w:hAnsi="微软雅黑" w:eastAsia="微软雅黑" w:cs="微软雅黑"/>
      <w:sz w:val="14"/>
      <w:szCs w:val="14"/>
    </w:rPr>
  </w:style>
  <w:style w:type="character" w:customStyle="1" w:styleId="152">
    <w:name w:val="prev1"/>
    <w:basedOn w:val="53"/>
    <w:qFormat/>
    <w:uiPriority w:val="0"/>
    <w:rPr>
      <w:color w:val="888888"/>
    </w:rPr>
  </w:style>
  <w:style w:type="paragraph" w:customStyle="1" w:styleId="153">
    <w:name w:val="Body text|21"/>
    <w:basedOn w:val="1"/>
    <w:link w:val="155"/>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4">
    <w:name w:val="Body text|2 + Spacing 0 pt"/>
    <w:basedOn w:val="155"/>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5">
    <w:name w:val="Body text|2_"/>
    <w:basedOn w:val="53"/>
    <w:link w:val="153"/>
    <w:qFormat/>
    <w:uiPriority w:val="0"/>
    <w:rPr>
      <w:rFonts w:ascii="PMingLiU" w:hAnsi="PMingLiU" w:eastAsia="PMingLiU" w:cs="PMingLiU"/>
      <w:spacing w:val="30"/>
    </w:rPr>
  </w:style>
  <w:style w:type="character" w:customStyle="1" w:styleId="156">
    <w:name w:val="Body text|2 + Spacing 3 pt"/>
    <w:basedOn w:val="155"/>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7">
    <w:name w:val="图文"/>
    <w:basedOn w:val="1"/>
    <w:qFormat/>
    <w:uiPriority w:val="0"/>
    <w:pPr>
      <w:adjustRightInd w:val="0"/>
      <w:snapToGrid w:val="0"/>
      <w:spacing w:after="50" w:line="360" w:lineRule="auto"/>
    </w:pPr>
    <w:rPr>
      <w:sz w:val="24"/>
    </w:rPr>
  </w:style>
  <w:style w:type="paragraph" w:customStyle="1" w:styleId="158">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9">
    <w:name w:val="Char"/>
    <w:basedOn w:val="1"/>
    <w:qFormat/>
    <w:uiPriority w:val="0"/>
    <w:rPr>
      <w:rFonts w:ascii="仿宋_GB2312" w:eastAsia="仿宋_GB2312"/>
      <w:b/>
      <w:sz w:val="32"/>
      <w:szCs w:val="32"/>
    </w:rPr>
  </w:style>
  <w:style w:type="paragraph" w:customStyle="1" w:styleId="160">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1">
    <w:name w:val="1"/>
    <w:basedOn w:val="1"/>
    <w:next w:val="24"/>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2">
    <w:name w:val="正文文本缩进 2 Char"/>
    <w:basedOn w:val="53"/>
    <w:link w:val="32"/>
    <w:qFormat/>
    <w:uiPriority w:val="99"/>
    <w:rPr>
      <w:rFonts w:ascii="Times New Roman" w:hAnsi="Times New Roman" w:eastAsia="宋体" w:cs="Times New Roman"/>
      <w:kern w:val="2"/>
      <w:sz w:val="24"/>
      <w:szCs w:val="30"/>
    </w:rPr>
  </w:style>
  <w:style w:type="paragraph" w:customStyle="1" w:styleId="16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4">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5">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6">
    <w:name w:val="正文文本缩进 Char"/>
    <w:basedOn w:val="53"/>
    <w:link w:val="24"/>
    <w:qFormat/>
    <w:uiPriority w:val="99"/>
    <w:rPr>
      <w:rFonts w:ascii="Tahoma" w:hAnsi="Tahoma" w:eastAsia="Arial Unicode MS" w:cs="Times New Roman"/>
      <w:kern w:val="2"/>
      <w:sz w:val="21"/>
      <w:szCs w:val="24"/>
    </w:rPr>
  </w:style>
  <w:style w:type="character" w:customStyle="1" w:styleId="167">
    <w:name w:val="正文首行缩进 2 Char"/>
    <w:basedOn w:val="166"/>
    <w:link w:val="50"/>
    <w:qFormat/>
    <w:uiPriority w:val="0"/>
    <w:rPr>
      <w:rFonts w:ascii="Times New Roman" w:hAnsi="Times New Roman" w:eastAsia="宋体" w:cs="Times New Roman"/>
      <w:kern w:val="2"/>
      <w:sz w:val="21"/>
      <w:szCs w:val="24"/>
    </w:rPr>
  </w:style>
  <w:style w:type="character" w:customStyle="1" w:styleId="168">
    <w:name w:val="正文文本 2 Char"/>
    <w:basedOn w:val="53"/>
    <w:link w:val="43"/>
    <w:qFormat/>
    <w:uiPriority w:val="99"/>
    <w:rPr>
      <w:rFonts w:ascii="宋体" w:hAnsi="Times New Roman" w:eastAsia="宋体" w:cs="Times New Roman"/>
      <w:kern w:val="2"/>
      <w:sz w:val="21"/>
    </w:rPr>
  </w:style>
  <w:style w:type="paragraph" w:customStyle="1" w:styleId="169">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70">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1">
    <w:name w:val="Char2"/>
    <w:qFormat/>
    <w:uiPriority w:val="0"/>
    <w:rPr>
      <w:rFonts w:ascii="Arial" w:hAnsi="Arial" w:eastAsia="黑体"/>
      <w:b/>
      <w:bCs/>
      <w:kern w:val="2"/>
      <w:sz w:val="32"/>
      <w:szCs w:val="32"/>
      <w:lang w:val="en-US" w:eastAsia="zh-CN" w:bidi="ar-SA"/>
    </w:rPr>
  </w:style>
  <w:style w:type="character" w:customStyle="1" w:styleId="172">
    <w:name w:val="样式 标题 2 + (符号) 宋体 小四 Char"/>
    <w:qFormat/>
    <w:uiPriority w:val="0"/>
    <w:rPr>
      <w:rFonts w:ascii="Arial" w:hAnsi="Arial" w:eastAsia="宋体"/>
      <w:b/>
      <w:bCs/>
      <w:kern w:val="2"/>
      <w:sz w:val="24"/>
      <w:szCs w:val="32"/>
      <w:lang w:val="en-US" w:eastAsia="zh-CN" w:bidi="ar-SA"/>
    </w:rPr>
  </w:style>
  <w:style w:type="paragraph" w:customStyle="1" w:styleId="173">
    <w:name w:val="样式1"/>
    <w:basedOn w:val="1"/>
    <w:next w:val="5"/>
    <w:qFormat/>
    <w:uiPriority w:val="99"/>
    <w:rPr>
      <w:rFonts w:eastAsia="宋体"/>
      <w:sz w:val="24"/>
      <w:szCs w:val="20"/>
    </w:rPr>
  </w:style>
  <w:style w:type="paragraph" w:customStyle="1" w:styleId="174">
    <w:name w:val="默认段落字体 Para Char Char Char Char Char Char Char Char Char Char"/>
    <w:basedOn w:val="18"/>
    <w:qFormat/>
    <w:uiPriority w:val="0"/>
    <w:pPr>
      <w:shd w:val="clear" w:color="auto" w:fill="000080"/>
      <w:spacing w:line="240" w:lineRule="auto"/>
    </w:pPr>
    <w:rPr>
      <w:rFonts w:ascii="Tahoma" w:hAnsi="Tahoma" w:eastAsia="宋体"/>
      <w:sz w:val="24"/>
      <w:szCs w:val="24"/>
    </w:rPr>
  </w:style>
  <w:style w:type="paragraph" w:customStyle="1" w:styleId="175">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Char"/>
    <w:link w:val="31"/>
    <w:qFormat/>
    <w:uiPriority w:val="99"/>
    <w:rPr>
      <w:rFonts w:ascii="Tahoma" w:hAnsi="Tahoma" w:eastAsia="Arial Unicode MS" w:cs="Times New Roman"/>
      <w:kern w:val="2"/>
      <w:sz w:val="21"/>
      <w:szCs w:val="24"/>
    </w:rPr>
  </w:style>
  <w:style w:type="character" w:customStyle="1" w:styleId="198">
    <w:name w:val="Char Char"/>
    <w:qFormat/>
    <w:uiPriority w:val="0"/>
    <w:rPr>
      <w:rFonts w:eastAsia="宋体"/>
      <w:kern w:val="2"/>
      <w:sz w:val="24"/>
      <w:lang w:val="en-US" w:eastAsia="zh-CN" w:bidi="ar-SA"/>
    </w:rPr>
  </w:style>
  <w:style w:type="character" w:customStyle="1" w:styleId="199">
    <w:name w:val="称呼 Char"/>
    <w:basedOn w:val="53"/>
    <w:link w:val="21"/>
    <w:qFormat/>
    <w:uiPriority w:val="0"/>
    <w:rPr>
      <w:rFonts w:ascii="..ì." w:hAnsi="Times New Roman" w:eastAsia="..ì." w:cs="Times New Roman"/>
      <w:sz w:val="24"/>
    </w:rPr>
  </w:style>
  <w:style w:type="character" w:customStyle="1" w:styleId="200">
    <w:name w:val="注释标题 Char"/>
    <w:basedOn w:val="53"/>
    <w:link w:val="13"/>
    <w:qFormat/>
    <w:uiPriority w:val="0"/>
    <w:rPr>
      <w:rFonts w:ascii="..ì." w:hAnsi="Times New Roman" w:eastAsia="..ì." w:cs="Times New Roman"/>
      <w:sz w:val="24"/>
    </w:rPr>
  </w:style>
  <w:style w:type="paragraph" w:customStyle="1" w:styleId="201">
    <w:name w:val="1 Char Char Char Char"/>
    <w:basedOn w:val="1"/>
    <w:qFormat/>
    <w:uiPriority w:val="0"/>
    <w:rPr>
      <w:rFonts w:ascii="Tahoma" w:hAnsi="Tahoma" w:eastAsia="宋体"/>
      <w:sz w:val="24"/>
      <w:szCs w:val="20"/>
    </w:rPr>
  </w:style>
  <w:style w:type="paragraph" w:customStyle="1" w:styleId="202">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qFormat/>
    <w:uiPriority w:val="99"/>
    <w:rPr>
      <w:rFonts w:ascii="黑体" w:eastAsia="黑体"/>
      <w:sz w:val="52"/>
      <w:lang w:bidi="ar-SA"/>
    </w:rPr>
  </w:style>
  <w:style w:type="paragraph" w:customStyle="1" w:styleId="205">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2"/>
    <w:qFormat/>
    <w:uiPriority w:val="99"/>
    <w:rPr>
      <w:rFonts w:ascii="宋体" w:eastAsia="宋体"/>
      <w:sz w:val="24"/>
      <w:szCs w:val="20"/>
    </w:rPr>
  </w:style>
  <w:style w:type="character" w:customStyle="1" w:styleId="207">
    <w:name w:val="正文文本 3 Char"/>
    <w:basedOn w:val="53"/>
    <w:link w:val="22"/>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4"/>
    <w:qFormat/>
    <w:uiPriority w:val="99"/>
    <w:pPr>
      <w:ind w:left="432"/>
    </w:pPr>
    <w:rPr>
      <w:rFonts w:eastAsia="宋体"/>
      <w:szCs w:val="20"/>
    </w:rPr>
  </w:style>
  <w:style w:type="character" w:customStyle="1" w:styleId="210">
    <w:name w:val="正文文本缩进 3 Char"/>
    <w:link w:val="40"/>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qFormat/>
    <w:uiPriority w:val="0"/>
    <w:rPr>
      <w:rFonts w:ascii="Tahoma" w:hAnsi="Tahoma" w:eastAsia="宋体"/>
      <w:sz w:val="24"/>
      <w:szCs w:val="20"/>
    </w:rPr>
  </w:style>
  <w:style w:type="character" w:customStyle="1" w:styleId="213">
    <w:name w:val="font161"/>
    <w:qFormat/>
    <w:uiPriority w:val="99"/>
    <w:rPr>
      <w:b/>
      <w:bCs/>
      <w:sz w:val="32"/>
      <w:szCs w:val="32"/>
    </w:rPr>
  </w:style>
  <w:style w:type="paragraph" w:customStyle="1" w:styleId="214">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qFormat/>
    <w:uiPriority w:val="99"/>
    <w:pPr>
      <w:jc w:val="center"/>
      <w:textAlignment w:val="center"/>
    </w:pPr>
    <w:rPr>
      <w:rFonts w:ascii="华文细黑" w:hAnsi="华文细黑" w:eastAsia="宋体"/>
      <w:kern w:val="0"/>
      <w:szCs w:val="20"/>
    </w:rPr>
  </w:style>
  <w:style w:type="paragraph" w:customStyle="1" w:styleId="216">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4"/>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4"/>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qFormat/>
    <w:uiPriority w:val="99"/>
    <w:rPr>
      <w:color w:val="auto"/>
      <w:u w:val="none"/>
    </w:rPr>
  </w:style>
  <w:style w:type="character" w:customStyle="1" w:styleId="220">
    <w:name w:val="Char Char1"/>
    <w:qFormat/>
    <w:uiPriority w:val="0"/>
    <w:rPr>
      <w:rFonts w:eastAsia="宋体"/>
      <w:kern w:val="2"/>
      <w:sz w:val="24"/>
      <w:lang w:val="en-US" w:eastAsia="zh-CN" w:bidi="ar-SA"/>
    </w:rPr>
  </w:style>
  <w:style w:type="character" w:customStyle="1" w:styleId="221">
    <w:name w:val="纯文本 Char"/>
    <w:link w:val="29"/>
    <w:qFormat/>
    <w:uiPriority w:val="0"/>
    <w:rPr>
      <w:rFonts w:ascii="宋体" w:hAnsi="Courier New" w:eastAsia="Arial Unicode MS" w:cs="Times New Roman"/>
      <w:kern w:val="2"/>
      <w:sz w:val="21"/>
      <w:szCs w:val="21"/>
    </w:rPr>
  </w:style>
  <w:style w:type="paragraph" w:customStyle="1" w:styleId="222">
    <w:name w:val="Char Char Char Char"/>
    <w:basedOn w:val="1"/>
    <w:qFormat/>
    <w:uiPriority w:val="0"/>
    <w:pPr>
      <w:widowControl/>
      <w:spacing w:after="160" w:line="240" w:lineRule="exact"/>
      <w:jc w:val="left"/>
    </w:pPr>
    <w:rPr>
      <w:rFonts w:eastAsia="宋体"/>
      <w:szCs w:val="20"/>
    </w:rPr>
  </w:style>
  <w:style w:type="paragraph" w:customStyle="1" w:styleId="223">
    <w:name w:val="p17"/>
    <w:basedOn w:val="1"/>
    <w:qFormat/>
    <w:uiPriority w:val="99"/>
    <w:pPr>
      <w:widowControl/>
    </w:pPr>
    <w:rPr>
      <w:rFonts w:eastAsia="宋体"/>
      <w:kern w:val="0"/>
      <w:szCs w:val="21"/>
    </w:rPr>
  </w:style>
  <w:style w:type="character" w:customStyle="1" w:styleId="224">
    <w:name w:val="H4 Char"/>
    <w:qFormat/>
    <w:uiPriority w:val="0"/>
    <w:rPr>
      <w:b/>
      <w:sz w:val="28"/>
    </w:rPr>
  </w:style>
  <w:style w:type="character" w:customStyle="1" w:styleId="225">
    <w:name w:val="Char Char2"/>
    <w:qFormat/>
    <w:uiPriority w:val="0"/>
    <w:rPr>
      <w:rFonts w:eastAsia="宋体"/>
      <w:kern w:val="2"/>
      <w:sz w:val="24"/>
      <w:lang w:val="en-US" w:eastAsia="zh-CN" w:bidi="ar-SA"/>
    </w:rPr>
  </w:style>
  <w:style w:type="character" w:customStyle="1" w:styleId="226">
    <w:name w:val="Char Char111"/>
    <w:qFormat/>
    <w:uiPriority w:val="99"/>
    <w:rPr>
      <w:rFonts w:eastAsia="宋体"/>
      <w:kern w:val="2"/>
      <w:sz w:val="24"/>
      <w:lang w:val="en-US" w:eastAsia="zh-CN" w:bidi="ar-SA"/>
    </w:rPr>
  </w:style>
  <w:style w:type="paragraph" w:customStyle="1" w:styleId="227">
    <w:name w:val="Char Char Char Char111"/>
    <w:basedOn w:val="1"/>
    <w:qFormat/>
    <w:uiPriority w:val="0"/>
    <w:pPr>
      <w:widowControl/>
      <w:spacing w:after="160" w:line="240" w:lineRule="exact"/>
      <w:jc w:val="left"/>
    </w:pPr>
    <w:rPr>
      <w:rFonts w:eastAsia="宋体"/>
      <w:szCs w:val="20"/>
    </w:rPr>
  </w:style>
  <w:style w:type="paragraph" w:customStyle="1" w:styleId="228">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qFormat/>
    <w:uiPriority w:val="0"/>
    <w:pPr>
      <w:numPr>
        <w:ilvl w:val="3"/>
      </w:numPr>
      <w:ind w:left="315"/>
      <w:outlineLvl w:val="3"/>
    </w:pPr>
  </w:style>
  <w:style w:type="paragraph" w:customStyle="1" w:styleId="244">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qFormat/>
    <w:uiPriority w:val="0"/>
    <w:pPr>
      <w:numPr>
        <w:ilvl w:val="4"/>
      </w:numPr>
      <w:tabs>
        <w:tab w:val="left" w:pos="1680"/>
        <w:tab w:val="left" w:pos="2100"/>
      </w:tabs>
      <w:ind w:left="2100" w:hanging="420"/>
      <w:outlineLvl w:val="4"/>
    </w:pPr>
  </w:style>
  <w:style w:type="paragraph" w:customStyle="1" w:styleId="246">
    <w:name w:val="四级条标题"/>
    <w:basedOn w:val="245"/>
    <w:next w:val="1"/>
    <w:qFormat/>
    <w:uiPriority w:val="0"/>
    <w:pPr>
      <w:numPr>
        <w:ilvl w:val="5"/>
      </w:numPr>
      <w:tabs>
        <w:tab w:val="left" w:pos="2520"/>
      </w:tabs>
      <w:ind w:left="2520" w:hanging="420"/>
      <w:outlineLvl w:val="5"/>
    </w:pPr>
  </w:style>
  <w:style w:type="paragraph" w:customStyle="1" w:styleId="247">
    <w:name w:val="五级条标题"/>
    <w:basedOn w:val="246"/>
    <w:next w:val="1"/>
    <w:qFormat/>
    <w:uiPriority w:val="0"/>
    <w:pPr>
      <w:numPr>
        <w:ilvl w:val="6"/>
      </w:numPr>
      <w:tabs>
        <w:tab w:val="left" w:pos="2940"/>
      </w:tabs>
      <w:ind w:left="2940" w:hanging="420"/>
      <w:outlineLvl w:val="6"/>
    </w:pPr>
  </w:style>
  <w:style w:type="character" w:customStyle="1" w:styleId="248">
    <w:name w:val="章标题 Char"/>
    <w:link w:val="241"/>
    <w:qFormat/>
    <w:uiPriority w:val="0"/>
    <w:rPr>
      <w:rFonts w:ascii="黑体" w:hAnsi="Times New Roman" w:eastAsia="黑体" w:cs="Times New Roman"/>
      <w:sz w:val="21"/>
    </w:rPr>
  </w:style>
  <w:style w:type="character" w:customStyle="1" w:styleId="249">
    <w:name w:val="一级条标题 Char"/>
    <w:link w:val="242"/>
    <w:qFormat/>
    <w:uiPriority w:val="0"/>
    <w:rPr>
      <w:rFonts w:ascii="黑体" w:hAnsi="Times New Roman" w:eastAsia="黑体" w:cs="Times New Roman"/>
      <w:sz w:val="21"/>
    </w:rPr>
  </w:style>
  <w:style w:type="character" w:customStyle="1" w:styleId="250">
    <w:name w:val="二级条标题 Char"/>
    <w:link w:val="243"/>
    <w:qFormat/>
    <w:uiPriority w:val="0"/>
    <w:rPr>
      <w:rFonts w:ascii="黑体" w:hAnsi="Times New Roman" w:eastAsia="黑体" w:cs="Times New Roman"/>
      <w:sz w:val="21"/>
    </w:rPr>
  </w:style>
  <w:style w:type="character" w:customStyle="1" w:styleId="251">
    <w:name w:val="Heading 1 Char"/>
    <w:qFormat/>
    <w:locked/>
    <w:uiPriority w:val="0"/>
    <w:rPr>
      <w:rFonts w:ascii="黑体" w:hAnsi="Times New Roman" w:eastAsia="黑体" w:cs="Times New Roman"/>
      <w:kern w:val="0"/>
      <w:sz w:val="20"/>
      <w:szCs w:val="20"/>
    </w:rPr>
  </w:style>
  <w:style w:type="character" w:customStyle="1" w:styleId="252">
    <w:name w:val="Heading 2 Char"/>
    <w:qFormat/>
    <w:locked/>
    <w:uiPriority w:val="0"/>
    <w:rPr>
      <w:rFonts w:ascii="Times New Roman" w:hAnsi="Times New Roman" w:eastAsia="宋体" w:cs="Times New Roman"/>
      <w:b/>
      <w:kern w:val="0"/>
      <w:sz w:val="32"/>
      <w:szCs w:val="32"/>
    </w:rPr>
  </w:style>
  <w:style w:type="character" w:customStyle="1" w:styleId="253">
    <w:name w:val="标题 3 Char1"/>
    <w:qFormat/>
    <w:locked/>
    <w:uiPriority w:val="99"/>
    <w:rPr>
      <w:rFonts w:eastAsia="宋体"/>
      <w:b/>
      <w:sz w:val="32"/>
      <w:lang w:val="en-US" w:eastAsia="zh-CN" w:bidi="ar-SA"/>
    </w:rPr>
  </w:style>
  <w:style w:type="character" w:customStyle="1" w:styleId="254">
    <w:name w:val="Heading 4 Char"/>
    <w:qFormat/>
    <w:locked/>
    <w:uiPriority w:val="0"/>
    <w:rPr>
      <w:rFonts w:ascii="Times New Roman" w:hAnsi="Times New Roman" w:eastAsia="宋体" w:cs="Times New Roman"/>
      <w:b/>
      <w:kern w:val="0"/>
      <w:sz w:val="20"/>
      <w:szCs w:val="20"/>
    </w:rPr>
  </w:style>
  <w:style w:type="character" w:customStyle="1" w:styleId="255">
    <w:name w:val="Heading 5 Char"/>
    <w:qFormat/>
    <w:locked/>
    <w:uiPriority w:val="0"/>
    <w:rPr>
      <w:rFonts w:ascii="Times New Roman" w:hAnsi="Times New Roman" w:eastAsia="宋体" w:cs="Times New Roman"/>
      <w:b/>
      <w:bCs/>
      <w:sz w:val="28"/>
      <w:szCs w:val="28"/>
    </w:rPr>
  </w:style>
  <w:style w:type="character" w:customStyle="1" w:styleId="256">
    <w:name w:val="Heading 6 Char"/>
    <w:qFormat/>
    <w:locked/>
    <w:uiPriority w:val="0"/>
    <w:rPr>
      <w:rFonts w:ascii="Arial" w:hAnsi="Arial" w:eastAsia="黑体" w:cs="Times New Roman"/>
      <w:b/>
      <w:bCs/>
      <w:kern w:val="0"/>
      <w:sz w:val="24"/>
      <w:szCs w:val="24"/>
    </w:rPr>
  </w:style>
  <w:style w:type="character" w:customStyle="1" w:styleId="257">
    <w:name w:val="Heading 7 Char"/>
    <w:qFormat/>
    <w:locked/>
    <w:uiPriority w:val="0"/>
    <w:rPr>
      <w:rFonts w:ascii="Times New Roman" w:hAnsi="Times New Roman" w:eastAsia="宋体" w:cs="Times New Roman"/>
      <w:b/>
      <w:bCs/>
      <w:kern w:val="0"/>
      <w:sz w:val="24"/>
      <w:szCs w:val="24"/>
    </w:rPr>
  </w:style>
  <w:style w:type="character" w:customStyle="1" w:styleId="258">
    <w:name w:val="Heading 8 Char"/>
    <w:qFormat/>
    <w:locked/>
    <w:uiPriority w:val="0"/>
    <w:rPr>
      <w:rFonts w:ascii="Arial" w:hAnsi="Arial" w:eastAsia="黑体" w:cs="Times New Roman"/>
      <w:kern w:val="0"/>
      <w:sz w:val="24"/>
      <w:szCs w:val="24"/>
    </w:rPr>
  </w:style>
  <w:style w:type="character" w:customStyle="1" w:styleId="259">
    <w:name w:val="Heading 9 Char"/>
    <w:qFormat/>
    <w:locked/>
    <w:uiPriority w:val="0"/>
    <w:rPr>
      <w:rFonts w:ascii="Arial" w:hAnsi="Arial" w:eastAsia="黑体" w:cs="Times New Roman"/>
      <w:kern w:val="0"/>
      <w:sz w:val="21"/>
      <w:szCs w:val="21"/>
    </w:rPr>
  </w:style>
  <w:style w:type="character" w:customStyle="1" w:styleId="260">
    <w:name w:val="Document Map Char"/>
    <w:qFormat/>
    <w:locked/>
    <w:uiPriority w:val="0"/>
    <w:rPr>
      <w:rFonts w:ascii="Times New Roman" w:hAnsi="Times New Roman" w:eastAsia="宋体" w:cs="Times New Roman"/>
      <w:sz w:val="24"/>
      <w:szCs w:val="24"/>
      <w:shd w:val="clear" w:color="auto" w:fill="000080"/>
    </w:rPr>
  </w:style>
  <w:style w:type="character" w:customStyle="1" w:styleId="261">
    <w:name w:val="Date Char"/>
    <w:qFormat/>
    <w:locked/>
    <w:uiPriority w:val="0"/>
    <w:rPr>
      <w:rFonts w:ascii="Times New Roman" w:hAnsi="Times New Roman" w:eastAsia="宋体" w:cs="Times New Roman"/>
      <w:sz w:val="20"/>
      <w:szCs w:val="20"/>
    </w:rPr>
  </w:style>
  <w:style w:type="character" w:customStyle="1" w:styleId="262">
    <w:name w:val="Header Char"/>
    <w:qFormat/>
    <w:locked/>
    <w:uiPriority w:val="0"/>
    <w:rPr>
      <w:rFonts w:ascii="Times New Roman" w:hAnsi="Times New Roman" w:eastAsia="宋体" w:cs="Times New Roman"/>
      <w:kern w:val="0"/>
      <w:sz w:val="20"/>
      <w:szCs w:val="20"/>
    </w:rPr>
  </w:style>
  <w:style w:type="character" w:customStyle="1" w:styleId="263">
    <w:name w:val="Footer Char"/>
    <w:qFormat/>
    <w:locked/>
    <w:uiPriority w:val="0"/>
    <w:rPr>
      <w:rFonts w:ascii="Times New Roman" w:hAnsi="Times New Roman" w:eastAsia="宋体" w:cs="Times New Roman"/>
      <w:kern w:val="0"/>
      <w:sz w:val="20"/>
      <w:szCs w:val="20"/>
    </w:rPr>
  </w:style>
  <w:style w:type="character" w:customStyle="1" w:styleId="264">
    <w:name w:val="Plain Text Char"/>
    <w:qFormat/>
    <w:locked/>
    <w:uiPriority w:val="0"/>
    <w:rPr>
      <w:rFonts w:ascii="宋体" w:hAnsi="Courier New" w:eastAsia="宋体" w:cs="Times New Roman"/>
      <w:sz w:val="20"/>
      <w:szCs w:val="20"/>
    </w:rPr>
  </w:style>
  <w:style w:type="character" w:customStyle="1" w:styleId="265">
    <w:name w:val="Body Text Indent 2 Char"/>
    <w:qFormat/>
    <w:locked/>
    <w:uiPriority w:val="0"/>
    <w:rPr>
      <w:rFonts w:ascii="Times New Roman" w:hAnsi="Times New Roman" w:eastAsia="宋体" w:cs="Times New Roman"/>
      <w:sz w:val="30"/>
      <w:szCs w:val="30"/>
    </w:rPr>
  </w:style>
  <w:style w:type="character" w:customStyle="1" w:styleId="266">
    <w:name w:val="Body Text Indent 3 Char"/>
    <w:qFormat/>
    <w:locked/>
    <w:uiPriority w:val="0"/>
    <w:rPr>
      <w:rFonts w:ascii="Times New Roman" w:hAnsi="Times New Roman" w:eastAsia="宋体" w:cs="Times New Roman"/>
      <w:sz w:val="30"/>
      <w:szCs w:val="30"/>
    </w:rPr>
  </w:style>
  <w:style w:type="character" w:customStyle="1" w:styleId="267">
    <w:name w:val="Body Text First Indent 2 Char"/>
    <w:qFormat/>
    <w:locked/>
    <w:uiPriority w:val="0"/>
    <w:rPr>
      <w:rFonts w:ascii="Times New Roman" w:hAnsi="Times New Roman" w:eastAsia="宋体" w:cs="Times New Roman"/>
      <w:kern w:val="2"/>
      <w:sz w:val="24"/>
      <w:szCs w:val="24"/>
    </w:rPr>
  </w:style>
  <w:style w:type="character" w:customStyle="1" w:styleId="268">
    <w:name w:val="Body Text 2 Char"/>
    <w:qFormat/>
    <w:locked/>
    <w:uiPriority w:val="0"/>
    <w:rPr>
      <w:rFonts w:ascii="宋体" w:hAnsi="Times New Roman" w:eastAsia="宋体" w:cs="Times New Roman"/>
      <w:sz w:val="20"/>
      <w:szCs w:val="20"/>
    </w:rPr>
  </w:style>
  <w:style w:type="character" w:customStyle="1" w:styleId="269">
    <w:name w:val="Balloon Text Char"/>
    <w:qFormat/>
    <w:locked/>
    <w:uiPriority w:val="0"/>
    <w:rPr>
      <w:rFonts w:ascii="Times New Roman" w:hAnsi="Times New Roman" w:eastAsia="宋体" w:cs="Times New Roman"/>
      <w:sz w:val="18"/>
      <w:szCs w:val="18"/>
    </w:rPr>
  </w:style>
  <w:style w:type="character" w:customStyle="1" w:styleId="270">
    <w:name w:val="Salutation Char"/>
    <w:qFormat/>
    <w:locked/>
    <w:uiPriority w:val="0"/>
    <w:rPr>
      <w:rFonts w:ascii="..ì." w:hAnsi="Times New Roman" w:eastAsia="..ì." w:cs="Times New Roman"/>
      <w:kern w:val="0"/>
      <w:sz w:val="20"/>
      <w:szCs w:val="20"/>
    </w:rPr>
  </w:style>
  <w:style w:type="character" w:customStyle="1" w:styleId="271">
    <w:name w:val="Note Heading Char"/>
    <w:qFormat/>
    <w:locked/>
    <w:uiPriority w:val="0"/>
    <w:rPr>
      <w:rFonts w:ascii="..ì." w:hAnsi="Times New Roman" w:eastAsia="..ì." w:cs="Times New Roman"/>
      <w:kern w:val="0"/>
      <w:sz w:val="20"/>
      <w:szCs w:val="20"/>
    </w:rPr>
  </w:style>
  <w:style w:type="paragraph" w:customStyle="1" w:styleId="272">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qFormat/>
    <w:locked/>
    <w:uiPriority w:val="0"/>
    <w:rPr>
      <w:rFonts w:ascii="Times New Roman" w:hAnsi="Times New Roman" w:eastAsia="宋体" w:cs="Times New Roman"/>
      <w:sz w:val="16"/>
      <w:szCs w:val="16"/>
    </w:rPr>
  </w:style>
  <w:style w:type="character" w:customStyle="1" w:styleId="275">
    <w:name w:val="Title Char"/>
    <w:qFormat/>
    <w:locked/>
    <w:uiPriority w:val="0"/>
    <w:rPr>
      <w:rFonts w:ascii="Arial" w:hAnsi="Arial" w:eastAsia="宋体" w:cs="Times New Roman"/>
      <w:b/>
      <w:kern w:val="0"/>
      <w:sz w:val="20"/>
      <w:szCs w:val="20"/>
    </w:rPr>
  </w:style>
  <w:style w:type="character" w:customStyle="1" w:styleId="276">
    <w:name w:val="Comment Subject Char"/>
    <w:qFormat/>
    <w:locked/>
    <w:uiPriority w:val="0"/>
    <w:rPr>
      <w:rFonts w:ascii="Times New Roman" w:hAnsi="Times New Roman" w:eastAsia="宋体" w:cs="Times New Roman"/>
      <w:b/>
      <w:bCs/>
      <w:sz w:val="24"/>
      <w:szCs w:val="24"/>
    </w:rPr>
  </w:style>
  <w:style w:type="character" w:customStyle="1" w:styleId="277">
    <w:name w:val="Comment Text Char"/>
    <w:qFormat/>
    <w:locked/>
    <w:uiPriority w:val="0"/>
    <w:rPr>
      <w:rFonts w:ascii="Times New Roman" w:hAnsi="Times New Roman" w:eastAsia="宋体"/>
      <w:sz w:val="24"/>
    </w:rPr>
  </w:style>
  <w:style w:type="paragraph" w:customStyle="1" w:styleId="278">
    <w:name w:val="List Paragraph1"/>
    <w:basedOn w:val="1"/>
    <w:qFormat/>
    <w:uiPriority w:val="0"/>
    <w:pPr>
      <w:ind w:firstLine="420" w:firstLineChars="200"/>
    </w:pPr>
    <w:rPr>
      <w:rFonts w:eastAsia="宋体"/>
    </w:rPr>
  </w:style>
  <w:style w:type="paragraph" w:customStyle="1" w:styleId="279">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unhideWhenUsed/>
    <w:qFormat/>
    <w:uiPriority w:val="99"/>
    <w:rPr>
      <w:color w:val="605E5C"/>
      <w:shd w:val="clear" w:color="auto" w:fill="E1DFDD"/>
    </w:rPr>
  </w:style>
  <w:style w:type="character" w:customStyle="1" w:styleId="281">
    <w:name w:val="Char Char11"/>
    <w:qFormat/>
    <w:uiPriority w:val="99"/>
    <w:rPr>
      <w:rFonts w:eastAsia="宋体"/>
      <w:kern w:val="2"/>
      <w:sz w:val="24"/>
      <w:lang w:val="en-US" w:eastAsia="zh-CN"/>
    </w:rPr>
  </w:style>
  <w:style w:type="character" w:customStyle="1" w:styleId="282">
    <w:name w:val="正文文本 Char1"/>
    <w:semiHidden/>
    <w:qFormat/>
    <w:uiPriority w:val="0"/>
    <w:rPr>
      <w:rFonts w:ascii="Times New Roman" w:hAnsi="Times New Roman" w:eastAsia="宋体" w:cs="Times New Roman"/>
      <w:szCs w:val="24"/>
    </w:rPr>
  </w:style>
  <w:style w:type="paragraph" w:customStyle="1" w:styleId="283">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qFormat/>
    <w:uiPriority w:val="99"/>
    <w:rPr>
      <w:rFonts w:ascii="Tahoma" w:hAnsi="Tahoma" w:eastAsia="宋体"/>
      <w:sz w:val="24"/>
      <w:szCs w:val="20"/>
    </w:rPr>
  </w:style>
  <w:style w:type="paragraph" w:customStyle="1" w:styleId="285">
    <w:name w:val="Char Char Char Char1"/>
    <w:basedOn w:val="1"/>
    <w:qFormat/>
    <w:uiPriority w:val="99"/>
    <w:pPr>
      <w:widowControl/>
      <w:spacing w:after="160" w:line="240" w:lineRule="exact"/>
      <w:jc w:val="left"/>
    </w:pPr>
    <w:rPr>
      <w:rFonts w:eastAsia="宋体"/>
      <w:szCs w:val="20"/>
    </w:rPr>
  </w:style>
  <w:style w:type="paragraph" w:customStyle="1" w:styleId="286">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qFormat/>
    <w:uiPriority w:val="99"/>
    <w:pPr>
      <w:widowControl/>
      <w:spacing w:after="160" w:line="240" w:lineRule="exact"/>
      <w:jc w:val="left"/>
    </w:pPr>
    <w:rPr>
      <w:rFonts w:eastAsia="宋体"/>
      <w:szCs w:val="20"/>
    </w:rPr>
  </w:style>
  <w:style w:type="paragraph" w:customStyle="1" w:styleId="289">
    <w:name w:val="Char12"/>
    <w:basedOn w:val="1"/>
    <w:qFormat/>
    <w:uiPriority w:val="99"/>
    <w:rPr>
      <w:rFonts w:ascii="Tahoma" w:hAnsi="Tahoma" w:eastAsia="宋体"/>
      <w:sz w:val="24"/>
      <w:szCs w:val="20"/>
    </w:rPr>
  </w:style>
  <w:style w:type="paragraph" w:customStyle="1" w:styleId="290">
    <w:name w:val="Char111"/>
    <w:basedOn w:val="1"/>
    <w:qFormat/>
    <w:uiPriority w:val="99"/>
    <w:rPr>
      <w:rFonts w:ascii="Tahoma" w:hAnsi="Tahoma" w:eastAsia="宋体"/>
      <w:sz w:val="24"/>
      <w:szCs w:val="20"/>
    </w:rPr>
  </w:style>
  <w:style w:type="paragraph" w:customStyle="1" w:styleId="291">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qFormat/>
    <w:uiPriority w:val="99"/>
    <w:pPr>
      <w:widowControl/>
      <w:spacing w:after="160" w:line="240" w:lineRule="exact"/>
      <w:jc w:val="left"/>
    </w:pPr>
    <w:rPr>
      <w:rFonts w:eastAsia="宋体"/>
      <w:szCs w:val="20"/>
    </w:rPr>
  </w:style>
  <w:style w:type="character" w:customStyle="1" w:styleId="293">
    <w:name w:val="正文文本 字符"/>
    <w:qFormat/>
    <w:uiPriority w:val="0"/>
    <w:rPr>
      <w:b/>
      <w:i/>
      <w:szCs w:val="24"/>
    </w:rPr>
  </w:style>
  <w:style w:type="paragraph" w:customStyle="1" w:styleId="294">
    <w:name w:val="纯文本2"/>
    <w:basedOn w:val="1"/>
    <w:qFormat/>
    <w:uiPriority w:val="0"/>
    <w:rPr>
      <w:rFonts w:ascii="宋体" w:hAnsi="Courier New" w:cs="Courier New"/>
      <w:szCs w:val="21"/>
    </w:rPr>
  </w:style>
  <w:style w:type="paragraph" w:customStyle="1" w:styleId="295">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6">
    <w:name w:val="_Style 1"/>
    <w:qFormat/>
    <w:uiPriority w:val="1"/>
    <w:pPr>
      <w:adjustRightInd w:val="0"/>
      <w:snapToGrid w:val="0"/>
    </w:pPr>
    <w:rPr>
      <w:rFonts w:ascii="Tahoma" w:hAnsi="Tahoma"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3078"/>
    <customShpInfo spid="_x0000_s307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BBE86-C315-4CB7-9BFB-9673051F1076}">
  <ds:schemaRefs/>
</ds:datastoreItem>
</file>

<file path=docProps/app.xml><?xml version="1.0" encoding="utf-8"?>
<Properties xmlns="http://schemas.openxmlformats.org/officeDocument/2006/extended-properties" xmlns:vt="http://schemas.openxmlformats.org/officeDocument/2006/docPropsVTypes">
  <Template>Normal</Template>
  <Company>MS</Company>
  <Pages>87</Pages>
  <Words>31498</Words>
  <Characters>35261</Characters>
  <Lines>215</Lines>
  <Paragraphs>60</Paragraphs>
  <TotalTime>7</TotalTime>
  <ScaleCrop>false</ScaleCrop>
  <LinksUpToDate>false</LinksUpToDate>
  <CharactersWithSpaces>40090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2022-10-10T02:40:55Z</dcterms:modified>
  <dc:title>_x0001_</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6EA884A0744B462CBC88023945501FCF</vt:lpwstr>
  </property>
</Properties>
</file>