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采购项目编号：SCZK2023-CS-1216/004</w:t>
      </w:r>
    </w:p>
    <w:p>
      <w:pPr>
        <w:autoSpaceDE w:val="0"/>
        <w:autoSpaceDN w:val="0"/>
        <w:adjustRightInd w:val="0"/>
        <w:snapToGrid w:val="0"/>
        <w:spacing w:line="360" w:lineRule="auto"/>
        <w:jc w:val="left"/>
        <w:rPr>
          <w:rFonts w:hint="eastAsia" w:ascii="仿宋" w:hAnsi="仿宋" w:eastAsia="仿宋" w:cs="仿宋"/>
          <w:b/>
          <w:bCs/>
          <w:sz w:val="30"/>
          <w:szCs w:val="30"/>
          <w:lang w:val="zh-CN"/>
        </w:rPr>
      </w:pPr>
    </w:p>
    <w:p>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pPr>
        <w:autoSpaceDE w:val="0"/>
        <w:autoSpaceDN w:val="0"/>
        <w:adjustRightInd w:val="0"/>
        <w:snapToGrid w:val="0"/>
        <w:spacing w:line="360" w:lineRule="auto"/>
        <w:jc w:val="center"/>
        <w:rPr>
          <w:rFonts w:hint="eastAsia" w:ascii="仿宋" w:hAnsi="仿宋" w:eastAsia="仿宋" w:cs="仿宋"/>
          <w:b/>
          <w:bCs/>
          <w:sz w:val="40"/>
          <w:szCs w:val="40"/>
        </w:rPr>
      </w:pPr>
      <w:r>
        <w:rPr>
          <w:rFonts w:hint="eastAsia" w:ascii="仿宋" w:hAnsi="仿宋" w:eastAsia="仿宋" w:cs="仿宋"/>
          <w:b/>
          <w:bCs/>
          <w:sz w:val="40"/>
          <w:szCs w:val="40"/>
        </w:rPr>
        <w:tab/>
      </w:r>
    </w:p>
    <w:p>
      <w:pPr>
        <w:autoSpaceDE w:val="0"/>
        <w:autoSpaceDN w:val="0"/>
        <w:adjustRightInd w:val="0"/>
        <w:snapToGrid w:val="0"/>
        <w:spacing w:line="360" w:lineRule="auto"/>
        <w:jc w:val="center"/>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神木市能源局煤矿采空区大面积悬顶治理地质勘察设计服务项目</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both"/>
        <w:rPr>
          <w:rFonts w:hint="eastAsia" w:ascii="仿宋" w:hAnsi="仿宋" w:eastAsia="仿宋" w:cs="仿宋"/>
          <w:b/>
          <w:bCs/>
          <w:sz w:val="30"/>
          <w:szCs w:val="30"/>
        </w:rPr>
      </w:pPr>
    </w:p>
    <w:p>
      <w:pPr>
        <w:pStyle w:val="22"/>
        <w:rPr>
          <w:rFonts w:hint="eastAsia" w:ascii="仿宋" w:hAnsi="仿宋" w:eastAsia="仿宋" w:cs="仿宋"/>
          <w:b/>
          <w:bCs/>
          <w:sz w:val="30"/>
          <w:szCs w:val="30"/>
        </w:rPr>
      </w:pPr>
    </w:p>
    <w:p>
      <w:pPr>
        <w:pStyle w:val="22"/>
        <w:rPr>
          <w:rFonts w:hint="eastAsia" w:ascii="仿宋" w:hAnsi="仿宋" w:eastAsia="仿宋" w:cs="仿宋"/>
          <w:b/>
          <w:bCs/>
          <w:sz w:val="30"/>
          <w:szCs w:val="30"/>
        </w:rPr>
      </w:pPr>
    </w:p>
    <w:p>
      <w:pPr>
        <w:pStyle w:val="22"/>
        <w:rPr>
          <w:rFonts w:hint="eastAsia" w:ascii="仿宋" w:hAnsi="仿宋" w:eastAsia="仿宋" w:cs="仿宋"/>
          <w:b/>
          <w:bCs/>
          <w:sz w:val="30"/>
          <w:szCs w:val="30"/>
        </w:rPr>
      </w:pP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zh-CN"/>
        </w:rPr>
        <w:t xml:space="preserve"> 陕西省采购招标有限责任公司</w:t>
      </w:r>
      <w:r>
        <w:rPr>
          <w:rFonts w:hint="eastAsia" w:ascii="仿宋" w:hAnsi="仿宋" w:eastAsia="仿宋" w:cs="仿宋"/>
          <w:b/>
          <w:bCs/>
          <w:sz w:val="30"/>
          <w:szCs w:val="30"/>
        </w:rPr>
        <w:t xml:space="preserve"> </w:t>
      </w:r>
    </w:p>
    <w:p>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二〇</w:t>
      </w:r>
      <w:r>
        <w:rPr>
          <w:rFonts w:hint="eastAsia" w:ascii="仿宋" w:hAnsi="仿宋" w:eastAsia="仿宋" w:cs="仿宋"/>
          <w:b/>
          <w:bCs/>
          <w:sz w:val="30"/>
          <w:szCs w:val="30"/>
          <w:lang w:eastAsia="zh-CN"/>
        </w:rPr>
        <w:t>二三</w:t>
      </w:r>
      <w:r>
        <w:rPr>
          <w:rFonts w:hint="eastAsia" w:ascii="仿宋" w:hAnsi="仿宋" w:eastAsia="仿宋" w:cs="仿宋"/>
          <w:b/>
          <w:bCs/>
          <w:sz w:val="30"/>
          <w:szCs w:val="30"/>
          <w:lang w:val="zh-CN"/>
        </w:rPr>
        <w:t>年八月</w:t>
      </w:r>
    </w:p>
    <w:p>
      <w:pPr>
        <w:pStyle w:val="14"/>
        <w:ind w:firstLine="0" w:firstLineChars="0"/>
        <w:jc w:val="center"/>
        <w:rPr>
          <w:rFonts w:hint="eastAsia" w:ascii="仿宋" w:hAnsi="仿宋" w:eastAsia="仿宋" w:cs="仿宋"/>
          <w:b/>
          <w:sz w:val="32"/>
          <w:szCs w:val="32"/>
        </w:rPr>
      </w:pPr>
    </w:p>
    <w:p>
      <w:pPr>
        <w:pStyle w:val="14"/>
        <w:ind w:firstLine="0" w:firstLineChars="0"/>
        <w:jc w:val="center"/>
        <w:rPr>
          <w:rFonts w:hint="eastAsia" w:ascii="仿宋" w:hAnsi="仿宋" w:eastAsia="仿宋" w:cs="仿宋"/>
          <w:b/>
          <w:sz w:val="32"/>
          <w:szCs w:val="32"/>
        </w:rPr>
      </w:pPr>
    </w:p>
    <w:p>
      <w:pPr>
        <w:pStyle w:val="14"/>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pPr>
        <w:rPr>
          <w:rFonts w:hint="eastAsia" w:ascii="仿宋" w:hAnsi="仿宋" w:eastAsia="仿宋" w:cs="仿宋"/>
          <w:szCs w:val="20"/>
        </w:rPr>
      </w:pPr>
      <w:r>
        <w:rPr>
          <w:rFonts w:hint="eastAsia" w:ascii="仿宋" w:hAnsi="仿宋" w:eastAsia="仿宋" w:cs="仿宋"/>
          <w:szCs w:val="20"/>
        </w:rPr>
        <w:br w:type="page"/>
      </w:r>
    </w:p>
    <w:p>
      <w:pPr>
        <w:pStyle w:val="22"/>
        <w:rPr>
          <w:rFonts w:hint="eastAsia" w:ascii="仿宋" w:hAnsi="仿宋" w:eastAsia="仿宋" w:cs="仿宋"/>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pStyle w:val="46"/>
        <w:spacing w:line="360" w:lineRule="auto"/>
        <w:rPr>
          <w:rStyle w:val="205"/>
          <w:rFonts w:hint="eastAsia" w:ascii="仿宋" w:hAnsi="仿宋" w:eastAsia="仿宋" w:cs="仿宋"/>
          <w:sz w:val="36"/>
          <w:szCs w:val="36"/>
        </w:rPr>
      </w:pPr>
      <w:bookmarkStart w:id="0" w:name="_Toc21755"/>
      <w:bookmarkStart w:id="1" w:name="_Toc58504445"/>
      <w:bookmarkStart w:id="2" w:name="_Toc68590965"/>
      <w:bookmarkStart w:id="3" w:name="_Toc415499894"/>
      <w:bookmarkStart w:id="4" w:name="_Toc499711041"/>
      <w:bookmarkStart w:id="5" w:name="_Toc177189234"/>
      <w:bookmarkStart w:id="6" w:name="_Toc500746964"/>
      <w:bookmarkStart w:id="7" w:name="_Toc70687138"/>
      <w:bookmarkStart w:id="8" w:name="_Toc500747060"/>
      <w:bookmarkStart w:id="9" w:name="_Toc500747187"/>
      <w:bookmarkStart w:id="10" w:name="_Toc499711882"/>
      <w:bookmarkStart w:id="11" w:name="_Toc176882541"/>
      <w:bookmarkStart w:id="12" w:name="_Toc503063420"/>
      <w:bookmarkStart w:id="13" w:name="_Toc496324577"/>
      <w:bookmarkStart w:id="14" w:name="_Toc177995472"/>
      <w:bookmarkStart w:id="15" w:name="_Toc53722839"/>
      <w:bookmarkStart w:id="16" w:name="_Toc177817333"/>
      <w:bookmarkStart w:id="17" w:name="_Toc492955413"/>
      <w:bookmarkStart w:id="18" w:name="_Toc385992325"/>
      <w:bookmarkStart w:id="19" w:name="_Toc385992324"/>
      <w:r>
        <w:rPr>
          <w:rStyle w:val="205"/>
          <w:rFonts w:hint="eastAsia" w:ascii="仿宋" w:hAnsi="仿宋" w:eastAsia="仿宋" w:cs="仿宋"/>
          <w:sz w:val="36"/>
          <w:szCs w:val="36"/>
        </w:rPr>
        <w:t>第一章  磋商公告</w:t>
      </w:r>
      <w:bookmarkEnd w:id="0"/>
      <w:bookmarkEnd w:id="1"/>
      <w:bookmarkEnd w:id="2"/>
      <w:bookmarkEnd w:id="3"/>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ab/>
      </w:r>
    </w:p>
    <w:p>
      <w:pPr>
        <w:spacing w:line="50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神木市能源局煤矿采空区大面积悬顶治理地质勘察设计服务项目</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竞争性磋商公告</w:t>
      </w:r>
    </w:p>
    <w:p>
      <w:pPr>
        <w:pStyle w:val="22"/>
        <w:tabs>
          <w:tab w:val="left" w:pos="567"/>
        </w:tabs>
        <w:rPr>
          <w:rFonts w:hint="eastAsia" w:ascii="仿宋" w:hAnsi="仿宋" w:eastAsia="仿宋" w:cs="仿宋"/>
          <w:sz w:val="24"/>
          <w:szCs w:val="24"/>
        </w:rPr>
      </w:pPr>
    </w:p>
    <w:p>
      <w:pPr>
        <w:pStyle w:val="7"/>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0" w:lineRule="atLeast"/>
        <w:ind w:left="0" w:right="0" w:firstLine="0"/>
        <w:jc w:val="left"/>
        <w:rPr>
          <w:rFonts w:hint="eastAsia" w:ascii="仿宋" w:hAnsi="仿宋" w:eastAsia="仿宋" w:cs="仿宋"/>
          <w:b w:val="0"/>
          <w:bCs w:val="0"/>
          <w:i w:val="0"/>
          <w:iCs w:val="0"/>
          <w:caps w:val="0"/>
          <w:color w:val="auto"/>
          <w:spacing w:val="0"/>
          <w:sz w:val="24"/>
          <w:szCs w:val="24"/>
        </w:rPr>
      </w:pPr>
      <w:r>
        <w:rPr>
          <w:rStyle w:val="53"/>
          <w:rFonts w:hint="eastAsia" w:ascii="仿宋" w:hAnsi="仿宋" w:eastAsia="仿宋" w:cs="仿宋"/>
          <w:b w:val="0"/>
          <w:bCs w:val="0"/>
          <w:i w:val="0"/>
          <w:iCs w:val="0"/>
          <w:caps w:val="0"/>
          <w:color w:val="auto"/>
          <w:spacing w:val="0"/>
          <w:sz w:val="24"/>
          <w:szCs w:val="24"/>
          <w:shd w:val="clear" w:color="auto" w:fill="FFFFFF"/>
        </w:rPr>
        <w:t>项目概况</w:t>
      </w:r>
    </w:p>
    <w:p>
      <w:pPr>
        <w:pStyle w:val="44"/>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lang w:val="en-US" w:eastAsia="zh-CN"/>
        </w:rPr>
        <w:t>神木市能源局煤矿采空区大面积悬顶治理地质勘察设计服务项目</w:t>
      </w:r>
      <w:r>
        <w:rPr>
          <w:rFonts w:hint="eastAsia" w:ascii="仿宋" w:hAnsi="仿宋" w:eastAsia="仿宋" w:cs="仿宋"/>
          <w:i w:val="0"/>
          <w:iCs w:val="0"/>
          <w:caps w:val="0"/>
          <w:color w:val="auto"/>
          <w:spacing w:val="0"/>
          <w:sz w:val="24"/>
          <w:szCs w:val="24"/>
          <w:shd w:val="clear" w:color="auto" w:fill="FFFFFF"/>
        </w:rPr>
        <w:t>的潜在</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应在</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榆林市金沙路泰和时代A座9楼901 </w:t>
      </w:r>
      <w:r>
        <w:rPr>
          <w:rFonts w:hint="eastAsia" w:ascii="仿宋" w:hAnsi="仿宋" w:eastAsia="仿宋" w:cs="仿宋"/>
          <w:i w:val="0"/>
          <w:iCs w:val="0"/>
          <w:caps w:val="0"/>
          <w:color w:val="auto"/>
          <w:spacing w:val="0"/>
          <w:sz w:val="24"/>
          <w:szCs w:val="24"/>
          <w:shd w:val="clear" w:color="auto" w:fill="FFFFFF"/>
        </w:rPr>
        <w:t>获取</w:t>
      </w:r>
      <w:r>
        <w:rPr>
          <w:rFonts w:hint="eastAsia" w:ascii="仿宋" w:hAnsi="仿宋" w:eastAsia="仿宋" w:cs="仿宋"/>
          <w:i w:val="0"/>
          <w:iCs w:val="0"/>
          <w:caps w:val="0"/>
          <w:color w:val="auto"/>
          <w:spacing w:val="0"/>
          <w:sz w:val="24"/>
          <w:szCs w:val="24"/>
          <w:shd w:val="clear" w:color="auto" w:fill="FFFFFF"/>
          <w:lang w:eastAsia="zh-CN"/>
        </w:rPr>
        <w:t>采购</w:t>
      </w:r>
      <w:r>
        <w:rPr>
          <w:rFonts w:hint="eastAsia" w:ascii="仿宋" w:hAnsi="仿宋" w:eastAsia="仿宋" w:cs="仿宋"/>
          <w:i w:val="0"/>
          <w:iCs w:val="0"/>
          <w:caps w:val="0"/>
          <w:color w:val="auto"/>
          <w:spacing w:val="0"/>
          <w:sz w:val="24"/>
          <w:szCs w:val="24"/>
          <w:shd w:val="clear" w:color="auto" w:fill="FFFFFF"/>
        </w:rPr>
        <w:t>文件，并于 </w:t>
      </w:r>
      <w:r>
        <w:rPr>
          <w:rFonts w:hint="eastAsia" w:ascii="仿宋" w:hAnsi="仿宋" w:eastAsia="仿宋" w:cs="仿宋"/>
          <w:i w:val="0"/>
          <w:iCs w:val="0"/>
          <w:caps w:val="0"/>
          <w:color w:val="auto"/>
          <w:spacing w:val="0"/>
          <w:sz w:val="24"/>
          <w:szCs w:val="24"/>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2023年08月22日13时30分</w:t>
      </w:r>
      <w:r>
        <w:rPr>
          <w:rFonts w:hint="eastAsia" w:ascii="仿宋" w:hAnsi="仿宋" w:eastAsia="仿宋" w:cs="仿宋"/>
          <w:i w:val="0"/>
          <w:iCs w:val="0"/>
          <w:caps w:val="0"/>
          <w:color w:val="auto"/>
          <w:spacing w:val="0"/>
          <w:sz w:val="24"/>
          <w:szCs w:val="24"/>
          <w:shd w:val="clear" w:color="auto" w:fill="FFFFFF"/>
        </w:rPr>
        <w:t>（北京时间）前递交</w:t>
      </w:r>
      <w:r>
        <w:rPr>
          <w:rFonts w:hint="eastAsia" w:ascii="仿宋" w:hAnsi="仿宋" w:eastAsia="仿宋" w:cs="仿宋"/>
          <w:i w:val="0"/>
          <w:iCs w:val="0"/>
          <w:caps w:val="0"/>
          <w:color w:val="auto"/>
          <w:spacing w:val="0"/>
          <w:sz w:val="24"/>
          <w:szCs w:val="24"/>
          <w:shd w:val="clear" w:color="auto" w:fill="FFFFFF"/>
          <w:lang w:val="en-US" w:eastAsia="zh-CN"/>
        </w:rPr>
        <w:t>响应</w:t>
      </w:r>
      <w:r>
        <w:rPr>
          <w:rFonts w:hint="eastAsia" w:ascii="仿宋" w:hAnsi="仿宋" w:eastAsia="仿宋" w:cs="仿宋"/>
          <w:i w:val="0"/>
          <w:iCs w:val="0"/>
          <w:caps w:val="0"/>
          <w:color w:val="auto"/>
          <w:spacing w:val="0"/>
          <w:sz w:val="24"/>
          <w:szCs w:val="24"/>
          <w:shd w:val="clear" w:color="auto" w:fill="FFFFFF"/>
        </w:rPr>
        <w:t>文件。</w:t>
      </w:r>
    </w:p>
    <w:p>
      <w:pPr>
        <w:pStyle w:val="22"/>
        <w:tabs>
          <w:tab w:val="left" w:pos="567"/>
        </w:tabs>
        <w:rPr>
          <w:rFonts w:hint="eastAsia" w:ascii="仿宋" w:hAnsi="仿宋" w:eastAsia="仿宋" w:cs="仿宋"/>
          <w:sz w:val="24"/>
          <w:szCs w:val="24"/>
        </w:rPr>
      </w:pP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一、项目基本情况</w:t>
      </w:r>
    </w:p>
    <w:p>
      <w:pPr>
        <w:spacing w:line="520" w:lineRule="exact"/>
        <w:ind w:firstLine="480" w:firstLineChars="200"/>
        <w:outlineLvl w:val="1"/>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SCZK2023-CS-1216/004</w:t>
      </w:r>
    </w:p>
    <w:p>
      <w:pPr>
        <w:spacing w:line="520" w:lineRule="exact"/>
        <w:ind w:firstLine="480" w:firstLineChars="200"/>
        <w:outlineLvl w:val="1"/>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神木市能源局煤矿采空区大面积悬顶治理地质勘察设计服务项目</w:t>
      </w:r>
    </w:p>
    <w:p>
      <w:pPr>
        <w:spacing w:line="520" w:lineRule="exact"/>
        <w:ind w:firstLine="480" w:firstLineChars="200"/>
        <w:outlineLvl w:val="1"/>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竞争性磋商</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473600</w:t>
      </w:r>
      <w:r>
        <w:rPr>
          <w:rFonts w:hint="eastAsia" w:ascii="仿宋" w:hAnsi="仿宋" w:eastAsia="仿宋" w:cs="仿宋"/>
          <w:sz w:val="24"/>
          <w:szCs w:val="24"/>
          <w:lang w:eastAsia="zh-CN"/>
        </w:rPr>
        <w:t>.00</w:t>
      </w:r>
      <w:r>
        <w:rPr>
          <w:rFonts w:hint="eastAsia" w:ascii="仿宋" w:hAnsi="仿宋" w:eastAsia="仿宋" w:cs="仿宋"/>
          <w:sz w:val="24"/>
          <w:szCs w:val="24"/>
        </w:rPr>
        <w:t>元</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采购需求：</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合同包1（</w:t>
      </w:r>
      <w:r>
        <w:rPr>
          <w:rFonts w:hint="eastAsia" w:ascii="仿宋" w:hAnsi="仿宋" w:eastAsia="仿宋" w:cs="仿宋"/>
          <w:sz w:val="24"/>
          <w:szCs w:val="24"/>
          <w:u w:val="single"/>
          <w:lang w:val="en-US" w:eastAsia="zh-CN"/>
        </w:rPr>
        <w:t xml:space="preserve"> 神木市能源局煤矿采空区大面积悬顶治理地质勘察设计服务项目 </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合同包预算金额：</w:t>
      </w:r>
      <w:r>
        <w:rPr>
          <w:rFonts w:hint="eastAsia" w:ascii="仿宋" w:hAnsi="仿宋" w:eastAsia="仿宋" w:cs="仿宋"/>
          <w:sz w:val="24"/>
          <w:szCs w:val="24"/>
          <w:lang w:val="en-US" w:eastAsia="zh-CN"/>
        </w:rPr>
        <w:t>473600</w:t>
      </w:r>
      <w:r>
        <w:rPr>
          <w:rFonts w:hint="eastAsia" w:ascii="仿宋" w:hAnsi="仿宋" w:eastAsia="仿宋" w:cs="仿宋"/>
          <w:sz w:val="24"/>
          <w:szCs w:val="24"/>
          <w:lang w:eastAsia="zh-CN"/>
        </w:rPr>
        <w:t>.00</w:t>
      </w:r>
      <w:r>
        <w:rPr>
          <w:rFonts w:hint="eastAsia" w:ascii="仿宋" w:hAnsi="仿宋" w:eastAsia="仿宋" w:cs="仿宋"/>
          <w:sz w:val="24"/>
          <w:szCs w:val="24"/>
        </w:rPr>
        <w:t>元</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合同包最高限价：</w:t>
      </w:r>
      <w:r>
        <w:rPr>
          <w:rFonts w:hint="eastAsia" w:ascii="仿宋" w:hAnsi="仿宋" w:eastAsia="仿宋" w:cs="仿宋"/>
          <w:sz w:val="24"/>
          <w:szCs w:val="24"/>
          <w:lang w:val="en-US" w:eastAsia="zh-CN"/>
        </w:rPr>
        <w:t>473600</w:t>
      </w:r>
      <w:r>
        <w:rPr>
          <w:rFonts w:hint="eastAsia" w:ascii="仿宋" w:hAnsi="仿宋" w:eastAsia="仿宋" w:cs="仿宋"/>
          <w:sz w:val="24"/>
          <w:szCs w:val="24"/>
          <w:lang w:eastAsia="zh-CN"/>
        </w:rPr>
        <w:t>.00</w:t>
      </w:r>
      <w:r>
        <w:rPr>
          <w:rFonts w:hint="eastAsia" w:ascii="仿宋" w:hAnsi="仿宋" w:eastAsia="仿宋" w:cs="仿宋"/>
          <w:sz w:val="24"/>
          <w:szCs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26"/>
        <w:gridCol w:w="2062"/>
        <w:gridCol w:w="1047"/>
        <w:gridCol w:w="1666"/>
        <w:gridCol w:w="145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1"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品目号</w:t>
            </w:r>
          </w:p>
        </w:tc>
        <w:tc>
          <w:tcPr>
            <w:tcW w:w="72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品目名称</w:t>
            </w:r>
          </w:p>
        </w:tc>
        <w:tc>
          <w:tcPr>
            <w:tcW w:w="2062"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采购标的</w:t>
            </w:r>
          </w:p>
        </w:tc>
        <w:tc>
          <w:tcPr>
            <w:tcW w:w="1047"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p>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66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技术规格、参数及要求</w:t>
            </w:r>
          </w:p>
        </w:tc>
        <w:tc>
          <w:tcPr>
            <w:tcW w:w="1452"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rPr>
              <w:t>品目预算</w:t>
            </w:r>
            <w:r>
              <w:rPr>
                <w:rFonts w:hint="eastAsia" w:ascii="仿宋" w:hAnsi="仿宋" w:eastAsia="仿宋" w:cs="仿宋"/>
                <w:b/>
                <w:sz w:val="24"/>
                <w:szCs w:val="24"/>
                <w:lang w:eastAsia="zh-CN"/>
              </w:rPr>
              <w:t>（</w:t>
            </w:r>
            <w:r>
              <w:rPr>
                <w:rFonts w:hint="eastAsia" w:ascii="仿宋" w:hAnsi="仿宋" w:eastAsia="仿宋" w:cs="仿宋"/>
                <w:b/>
                <w:sz w:val="24"/>
                <w:szCs w:val="24"/>
              </w:rPr>
              <w:t>元</w:t>
            </w:r>
            <w:r>
              <w:rPr>
                <w:rFonts w:hint="eastAsia" w:ascii="仿宋" w:hAnsi="仿宋" w:eastAsia="仿宋" w:cs="仿宋"/>
                <w:b/>
                <w:sz w:val="24"/>
                <w:szCs w:val="24"/>
                <w:lang w:eastAsia="zh-CN"/>
              </w:rPr>
              <w:t>）</w:t>
            </w:r>
          </w:p>
        </w:tc>
        <w:tc>
          <w:tcPr>
            <w:tcW w:w="1472" w:type="dxa"/>
            <w:noWrap w:val="0"/>
            <w:vAlign w:val="center"/>
          </w:tcPr>
          <w:p>
            <w:pPr>
              <w:jc w:val="center"/>
              <w:rPr>
                <w:rFonts w:hint="eastAsia" w:ascii="仿宋" w:hAnsi="仿宋" w:eastAsia="仿宋" w:cs="仿宋"/>
                <w:b/>
                <w:sz w:val="24"/>
                <w:szCs w:val="24"/>
                <w:lang w:eastAsia="zh-CN"/>
              </w:rPr>
            </w:pPr>
            <w:r>
              <w:rPr>
                <w:rFonts w:hint="eastAsia" w:ascii="仿宋" w:hAnsi="仿宋" w:eastAsia="仿宋" w:cs="仿宋"/>
                <w:b/>
                <w:sz w:val="24"/>
                <w:szCs w:val="24"/>
              </w:rPr>
              <w:t>最高限价</w:t>
            </w:r>
            <w:r>
              <w:rPr>
                <w:rFonts w:hint="eastAsia" w:ascii="仿宋" w:hAnsi="仿宋" w:eastAsia="仿宋" w:cs="仿宋"/>
                <w:b/>
                <w:sz w:val="24"/>
                <w:szCs w:val="24"/>
                <w:lang w:eastAsia="zh-CN"/>
              </w:rPr>
              <w:t>（</w:t>
            </w:r>
            <w:r>
              <w:rPr>
                <w:rFonts w:hint="eastAsia" w:ascii="仿宋" w:hAnsi="仿宋" w:eastAsia="仿宋" w:cs="仿宋"/>
                <w:b/>
                <w:sz w:val="24"/>
                <w:szCs w:val="24"/>
              </w:rPr>
              <w:t>元</w:t>
            </w:r>
            <w:r>
              <w:rPr>
                <w:rFonts w:hint="eastAsia" w:ascii="仿宋" w:hAnsi="仿宋" w:eastAsia="仿宋" w:cs="仿宋"/>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31"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72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地质勘测服务</w:t>
            </w:r>
          </w:p>
        </w:tc>
        <w:tc>
          <w:tcPr>
            <w:tcW w:w="206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煤矿采空区大面积悬顶治理地质勘察设计服务项目</w:t>
            </w:r>
          </w:p>
        </w:tc>
        <w:tc>
          <w:tcPr>
            <w:tcW w:w="104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1(项)</w:t>
            </w:r>
          </w:p>
        </w:tc>
        <w:tc>
          <w:tcPr>
            <w:tcW w:w="166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详见采购文件</w:t>
            </w:r>
          </w:p>
        </w:tc>
        <w:tc>
          <w:tcPr>
            <w:tcW w:w="1452"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473600.00</w:t>
            </w:r>
          </w:p>
        </w:tc>
        <w:tc>
          <w:tcPr>
            <w:tcW w:w="1472"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473600.00</w:t>
            </w:r>
          </w:p>
        </w:tc>
      </w:tr>
    </w:tbl>
    <w:p>
      <w:pPr>
        <w:spacing w:line="520" w:lineRule="exact"/>
        <w:ind w:firstLine="480" w:firstLineChars="200"/>
        <w:outlineLvl w:val="1"/>
        <w:rPr>
          <w:rFonts w:hint="eastAsia" w:ascii="仿宋" w:hAnsi="仿宋" w:eastAsia="仿宋" w:cs="仿宋"/>
          <w:sz w:val="24"/>
          <w:szCs w:val="24"/>
          <w:lang w:eastAsia="zh-CN"/>
        </w:rPr>
      </w:pPr>
      <w:r>
        <w:rPr>
          <w:rFonts w:hint="eastAsia" w:ascii="仿宋" w:hAnsi="仿宋" w:eastAsia="仿宋" w:cs="仿宋"/>
          <w:sz w:val="24"/>
          <w:szCs w:val="24"/>
        </w:rPr>
        <w:t>本合同包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不接受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联合体投标</w:t>
      </w:r>
      <w:r>
        <w:rPr>
          <w:rFonts w:hint="eastAsia" w:ascii="仿宋" w:hAnsi="仿宋" w:eastAsia="仿宋" w:cs="仿宋"/>
          <w:sz w:val="24"/>
          <w:szCs w:val="24"/>
          <w:lang w:eastAsia="zh-CN"/>
        </w:rPr>
        <w:t>。</w:t>
      </w:r>
    </w:p>
    <w:p>
      <w:pPr>
        <w:spacing w:line="520" w:lineRule="exact"/>
        <w:ind w:firstLine="480" w:firstLineChars="200"/>
        <w:outlineLvl w:val="1"/>
        <w:rPr>
          <w:rFonts w:hint="default" w:ascii="仿宋" w:hAnsi="仿宋" w:eastAsia="仿宋" w:cs="仿宋"/>
          <w:sz w:val="24"/>
          <w:szCs w:val="24"/>
          <w:lang w:val="en-US" w:eastAsia="zh-CN"/>
        </w:rPr>
      </w:pPr>
      <w:r>
        <w:rPr>
          <w:rFonts w:hint="eastAsia" w:ascii="仿宋" w:hAnsi="仿宋" w:eastAsia="仿宋" w:cs="仿宋"/>
          <w:sz w:val="24"/>
          <w:szCs w:val="24"/>
        </w:rPr>
        <w:t>合同履行期限：</w:t>
      </w:r>
      <w:r>
        <w:rPr>
          <w:rFonts w:hint="eastAsia" w:ascii="仿宋" w:hAnsi="仿宋" w:eastAsia="仿宋" w:cs="仿宋"/>
          <w:sz w:val="24"/>
          <w:szCs w:val="24"/>
          <w:highlight w:val="none"/>
          <w:lang w:eastAsia="zh-CN"/>
        </w:rPr>
        <w:t>合同签订后</w:t>
      </w:r>
      <w:r>
        <w:rPr>
          <w:rFonts w:hint="eastAsia" w:ascii="仿宋" w:hAnsi="仿宋" w:eastAsia="仿宋" w:cs="仿宋"/>
          <w:sz w:val="24"/>
          <w:szCs w:val="24"/>
          <w:highlight w:val="none"/>
          <w:lang w:val="en-US" w:eastAsia="zh-CN"/>
        </w:rPr>
        <w:t>30日历天</w:t>
      </w:r>
      <w:r>
        <w:rPr>
          <w:rFonts w:hint="eastAsia" w:ascii="仿宋" w:hAnsi="仿宋" w:eastAsia="仿宋" w:cs="仿宋"/>
          <w:sz w:val="24"/>
          <w:szCs w:val="24"/>
          <w:lang w:val="en-US" w:eastAsia="zh-CN"/>
        </w:rPr>
        <w:t>；</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二、申请人的资格要求</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2、落实政府采购政策需满足的资格要求：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神木市能源局煤矿采空区大面积悬顶治理地质勘察设计服务项目</w:t>
      </w:r>
      <w:r>
        <w:rPr>
          <w:rFonts w:hint="eastAsia" w:ascii="仿宋" w:hAnsi="仿宋" w:eastAsia="仿宋" w:cs="仿宋"/>
          <w:sz w:val="24"/>
          <w:szCs w:val="24"/>
        </w:rPr>
        <w:t>)落实政府采购政策需满足的资格要求如下:</w:t>
      </w:r>
    </w:p>
    <w:p>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w:t>
      </w:r>
      <w:r>
        <w:rPr>
          <w:rFonts w:hint="eastAsia" w:ascii="仿宋" w:hAnsi="仿宋" w:eastAsia="仿宋" w:cs="仿宋"/>
          <w:sz w:val="24"/>
          <w:szCs w:val="24"/>
        </w:rPr>
        <w:t>本项目为</w:t>
      </w:r>
      <w:r>
        <w:rPr>
          <w:rFonts w:hint="eastAsia" w:ascii="仿宋" w:hAnsi="仿宋" w:eastAsia="仿宋" w:cs="仿宋"/>
          <w:sz w:val="24"/>
          <w:szCs w:val="24"/>
          <w:lang w:eastAsia="zh-CN"/>
        </w:rPr>
        <w:t>非</w:t>
      </w:r>
      <w:r>
        <w:rPr>
          <w:rFonts w:hint="eastAsia" w:ascii="仿宋" w:hAnsi="仿宋" w:eastAsia="仿宋" w:cs="仿宋"/>
          <w:sz w:val="24"/>
          <w:szCs w:val="24"/>
        </w:rPr>
        <w:t>专门面向中小企业的项目</w:t>
      </w:r>
      <w:r>
        <w:rPr>
          <w:rFonts w:hint="eastAsia" w:ascii="仿宋" w:hAnsi="仿宋" w:eastAsia="仿宋" w:cs="仿宋"/>
          <w:sz w:val="24"/>
          <w:szCs w:val="24"/>
          <w:lang w:eastAsia="zh-CN"/>
        </w:rPr>
        <w:t>。</w:t>
      </w:r>
    </w:p>
    <w:p>
      <w:pPr>
        <w:spacing w:line="520" w:lineRule="exact"/>
        <w:rPr>
          <w:rFonts w:hint="eastAsia" w:ascii="仿宋" w:hAnsi="仿宋" w:eastAsia="仿宋" w:cs="仿宋"/>
          <w:sz w:val="24"/>
          <w:szCs w:val="24"/>
        </w:rPr>
      </w:pPr>
      <w:r>
        <w:rPr>
          <w:rFonts w:hint="eastAsia" w:ascii="仿宋" w:hAnsi="仿宋" w:eastAsia="仿宋" w:cs="仿宋"/>
          <w:sz w:val="24"/>
          <w:szCs w:val="24"/>
        </w:rPr>
        <w:t>3、本项目的特定资格要求：</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3.1具有独立承担民事责任的能力（提供有效的营业执照或自然人的身份证明）；</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3.3具有履行合同所必需的设备和专业技术能力（提供承诺书）；</w:t>
      </w:r>
    </w:p>
    <w:p>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3.4有依法缴纳税收和社会保障资金的良好记录；</w:t>
      </w:r>
    </w:p>
    <w:p>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投标供应商应提供近六个月中任何一个月的依法缴纳税收凭证，时间以税款所属时期为准（银行出具的缴税凭证或税务机关出具的证明的复印件，并加盖本单位公章），依法免税的供应商，应提供相应文件证明其依法免税；</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（2）供应商应提供近六个月中至少</w:t>
      </w:r>
      <w:r>
        <w:rPr>
          <w:rFonts w:hint="eastAsia" w:ascii="仿宋" w:hAnsi="仿宋" w:eastAsia="仿宋" w:cs="仿宋"/>
          <w:sz w:val="24"/>
          <w:szCs w:val="24"/>
          <w:lang w:eastAsia="zh-CN"/>
        </w:rPr>
        <w:t>三</w:t>
      </w:r>
      <w:r>
        <w:rPr>
          <w:rFonts w:hint="eastAsia" w:ascii="仿宋" w:hAnsi="仿宋" w:eastAsia="仿宋" w:cs="仿宋"/>
          <w:sz w:val="24"/>
          <w:szCs w:val="24"/>
        </w:rPr>
        <w:t>个月的社会缴纳社会保险的凭据（专用收据或社会保险缴纳清单），并加盖本单位公章，不需要缴纳社会保障资金的供应商，应提供相应文件证明其不需要缴纳社会保障资金；</w:t>
      </w:r>
    </w:p>
    <w:p>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3.5参加政府采购活动前三年内，在经营活动中没有重大违法记录（提供书面申明）；</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3.6</w:t>
      </w:r>
      <w:r>
        <w:rPr>
          <w:rFonts w:hint="eastAsia" w:ascii="仿宋" w:hAnsi="仿宋" w:eastAsia="仿宋" w:cs="仿宋"/>
          <w:sz w:val="24"/>
          <w:szCs w:val="24"/>
        </w:rPr>
        <w:t>投标供应商在“信用中国”网站（www.creditchina.gov.cn）和中国政府采购网（www.ccgp.gov.cn）上未被列入失信被执行人、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、政府采购严重违法失信行为记录名单（提供网站截图）；</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供应商不得存在下列情形之一：</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单位负责人为同一人或者存在直接控股、管理关系的不同供应商，不得参加本次采购活动；</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为本项目提供整体设计、规范编制或者项目管理、监理、检测等服务的供应商，不得再参加本项目的采购活动；</w:t>
      </w:r>
    </w:p>
    <w:p>
      <w:pPr>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3.8 </w:t>
      </w:r>
      <w:r>
        <w:rPr>
          <w:rFonts w:hint="eastAsia" w:ascii="仿宋" w:hAnsi="仿宋" w:eastAsia="仿宋" w:cs="仿宋"/>
          <w:sz w:val="24"/>
          <w:szCs w:val="24"/>
          <w:lang w:eastAsia="zh-CN"/>
        </w:rPr>
        <w:t>供应商</w:t>
      </w:r>
      <w:r>
        <w:rPr>
          <w:rFonts w:hint="eastAsia" w:ascii="仿宋" w:hAnsi="仿宋" w:eastAsia="仿宋" w:cs="仿宋"/>
          <w:sz w:val="24"/>
          <w:szCs w:val="24"/>
        </w:rPr>
        <w:t>须提供有效的中华人民共和国自然资源部颁发的地质灾害防治危险性</w:t>
      </w:r>
      <w:r>
        <w:rPr>
          <w:rFonts w:hint="eastAsia" w:ascii="仿宋" w:hAnsi="仿宋" w:eastAsia="仿宋" w:cs="仿宋"/>
          <w:sz w:val="24"/>
          <w:szCs w:val="24"/>
          <w:lang w:eastAsia="zh-CN"/>
        </w:rPr>
        <w:t>单位</w:t>
      </w:r>
      <w:r>
        <w:rPr>
          <w:rFonts w:hint="eastAsia" w:ascii="仿宋" w:hAnsi="仿宋" w:eastAsia="仿宋" w:cs="仿宋"/>
          <w:sz w:val="24"/>
          <w:szCs w:val="24"/>
        </w:rPr>
        <w:t>（甲级）资质</w:t>
      </w:r>
      <w:r>
        <w:rPr>
          <w:rFonts w:hint="eastAsia" w:ascii="仿宋" w:hAnsi="仿宋" w:eastAsia="仿宋" w:cs="仿宋"/>
          <w:sz w:val="24"/>
          <w:szCs w:val="24"/>
          <w:lang w:eastAsia="zh-CN"/>
        </w:rPr>
        <w:t>或省级人民政府自然资源主管部门颁发的地质灾害防治单位甲级资质；且</w:t>
      </w:r>
      <w:r>
        <w:rPr>
          <w:rFonts w:hint="eastAsia" w:ascii="仿宋" w:hAnsi="仿宋" w:eastAsia="仿宋" w:cs="仿宋"/>
          <w:sz w:val="24"/>
          <w:szCs w:val="24"/>
        </w:rPr>
        <w:t>具备有效的安全生产许可证</w:t>
      </w:r>
      <w:r>
        <w:rPr>
          <w:rFonts w:hint="eastAsia" w:ascii="仿宋" w:hAnsi="仿宋" w:eastAsia="仿宋" w:cs="仿宋"/>
          <w:sz w:val="24"/>
          <w:szCs w:val="24"/>
          <w:lang w:eastAsia="zh-CN"/>
        </w:rPr>
        <w:t>。</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三、获取</w:t>
      </w:r>
      <w:r>
        <w:rPr>
          <w:rFonts w:hint="eastAsia" w:ascii="仿宋" w:hAnsi="仿宋" w:eastAsia="仿宋" w:cs="仿宋"/>
          <w:sz w:val="24"/>
          <w:szCs w:val="24"/>
          <w:lang w:eastAsia="zh-CN"/>
        </w:rPr>
        <w:t>采购</w:t>
      </w:r>
      <w:r>
        <w:rPr>
          <w:rFonts w:hint="eastAsia" w:ascii="仿宋" w:hAnsi="仿宋" w:eastAsia="仿宋" w:cs="仿宋"/>
          <w:sz w:val="24"/>
          <w:szCs w:val="24"/>
        </w:rPr>
        <w:t>文件</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日至20</w:t>
      </w:r>
      <w:r>
        <w:rPr>
          <w:rFonts w:hint="eastAsia" w:ascii="仿宋" w:hAnsi="仿宋" w:eastAsia="仿宋" w:cs="仿宋"/>
          <w:color w:val="auto"/>
          <w:kern w:val="0"/>
          <w:sz w:val="24"/>
          <w:highlight w:val="none"/>
          <w:lang w:val="en-US" w:eastAsia="zh-CN"/>
        </w:rPr>
        <w:t>23</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18</w:t>
      </w:r>
      <w:r>
        <w:rPr>
          <w:rFonts w:hint="eastAsia" w:ascii="仿宋" w:hAnsi="仿宋" w:eastAsia="仿宋" w:cs="仿宋"/>
          <w:color w:val="auto"/>
          <w:kern w:val="0"/>
          <w:sz w:val="24"/>
          <w:highlight w:val="none"/>
        </w:rPr>
        <w:t>日 ，每天上午 00:00:00 至 12:00:00 ，下午 12:00:00 至 23:59:59 （北京时间,法定节假日除外）</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地点：榆林市金沙路泰和时代A座9楼901</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方式：</w:t>
      </w:r>
      <w:r>
        <w:rPr>
          <w:rFonts w:hint="eastAsia" w:ascii="仿宋" w:hAnsi="仿宋" w:eastAsia="仿宋" w:cs="仿宋"/>
          <w:color w:val="auto"/>
          <w:kern w:val="0"/>
          <w:sz w:val="24"/>
          <w:highlight w:val="none"/>
          <w:lang w:eastAsia="zh-CN"/>
        </w:rPr>
        <w:t>现场获取</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售价：0元</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en-US" w:eastAsia="zh-CN"/>
        </w:rPr>
        <w:t>响应文件</w:t>
      </w:r>
      <w:r>
        <w:rPr>
          <w:rFonts w:hint="eastAsia" w:ascii="仿宋" w:hAnsi="仿宋" w:eastAsia="仿宋" w:cs="仿宋"/>
          <w:sz w:val="24"/>
          <w:szCs w:val="24"/>
        </w:rPr>
        <w:t>提交</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截止时间：2023年0</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r>
        <w:rPr>
          <w:rFonts w:hint="eastAsia" w:ascii="仿宋" w:hAnsi="仿宋" w:eastAsia="仿宋" w:cs="仿宋"/>
          <w:sz w:val="24"/>
          <w:szCs w:val="24"/>
          <w:lang w:val="en-US" w:eastAsia="zh-CN"/>
        </w:rPr>
        <w:t>13</w:t>
      </w:r>
      <w:r>
        <w:rPr>
          <w:rFonts w:hint="eastAsia" w:ascii="仿宋" w:hAnsi="仿宋" w:eastAsia="仿宋" w:cs="仿宋"/>
          <w:sz w:val="24"/>
          <w:szCs w:val="24"/>
        </w:rPr>
        <w:t>时</w:t>
      </w:r>
      <w:r>
        <w:rPr>
          <w:rFonts w:hint="eastAsia" w:ascii="仿宋" w:hAnsi="仿宋" w:eastAsia="仿宋" w:cs="仿宋"/>
          <w:sz w:val="24"/>
          <w:szCs w:val="24"/>
          <w:lang w:val="en-US" w:eastAsia="zh-CN"/>
        </w:rPr>
        <w:t>30</w:t>
      </w:r>
      <w:r>
        <w:rPr>
          <w:rFonts w:hint="eastAsia" w:ascii="仿宋" w:hAnsi="仿宋" w:eastAsia="仿宋" w:cs="仿宋"/>
          <w:sz w:val="24"/>
          <w:szCs w:val="24"/>
        </w:rPr>
        <w:t>分00秒 （北京时间）</w:t>
      </w:r>
    </w:p>
    <w:p>
      <w:pPr>
        <w:spacing w:line="520" w:lineRule="exact"/>
        <w:ind w:firstLine="480" w:firstLineChars="200"/>
        <w:rPr>
          <w:rFonts w:hint="default" w:ascii="仿宋" w:hAnsi="仿宋" w:eastAsia="仿宋" w:cs="仿宋"/>
          <w:sz w:val="24"/>
          <w:szCs w:val="24"/>
          <w:lang w:val="en-US"/>
        </w:rPr>
      </w:pPr>
      <w:r>
        <w:rPr>
          <w:rFonts w:hint="eastAsia" w:ascii="仿宋" w:hAnsi="仿宋" w:eastAsia="仿宋" w:cs="仿宋"/>
          <w:sz w:val="24"/>
          <w:szCs w:val="24"/>
        </w:rPr>
        <w:t>地点：榆林市金沙路泰和时代A座9楼901</w:t>
      </w:r>
    </w:p>
    <w:p>
      <w:pPr>
        <w:spacing w:line="520" w:lineRule="exact"/>
        <w:ind w:firstLine="480" w:firstLineChars="200"/>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五、开启</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lang w:eastAsia="zh-CN"/>
        </w:rPr>
        <w:t>2023年08月2</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日</w:t>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时30分00秒</w:t>
      </w:r>
      <w:r>
        <w:rPr>
          <w:rFonts w:hint="eastAsia" w:ascii="仿宋" w:hAnsi="仿宋" w:eastAsia="仿宋" w:cs="仿宋"/>
          <w:sz w:val="24"/>
          <w:szCs w:val="24"/>
        </w:rPr>
        <w:t xml:space="preserve"> （北京时间）</w:t>
      </w:r>
    </w:p>
    <w:p>
      <w:pPr>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地点：榆林市金沙路泰和时代A座9楼901</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、公告期限</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、其他补充事宜</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 xml:space="preserve"> 1、落实政府采购政策：</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1.5《陕西省财政厅关于加快推进我省中小企业政府采购信用融资工作的通知》（陕财办采〔2020〕15 号）、陕西省财政厅关于印发《陕西省中小企业政府采购信用融资办法》（陕财办采〔2018〕23 号）。</w:t>
      </w:r>
    </w:p>
    <w:p>
      <w:pPr>
        <w:spacing w:line="520" w:lineRule="exact"/>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1.6《榆林市财政局关于进一步加大政府采购支持中小企业力度的通知》（榆政财采发〔2022〕10号）。</w:t>
      </w:r>
    </w:p>
    <w:p>
      <w:pPr>
        <w:spacing w:line="520" w:lineRule="exact"/>
        <w:ind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sz w:val="24"/>
          <w:szCs w:val="24"/>
        </w:rPr>
        <w:t>若享受以上政策优惠的企业，提供相应声明函或品目清单范围内产品的有效认证证书</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2、文件获取方式：获取磋商文件时请提供供应商单位介绍信原件、经办人身份证原件及加盖供应商鲜章的身份证复印件一份，现场</w:t>
      </w:r>
      <w:r>
        <w:rPr>
          <w:rFonts w:hint="eastAsia" w:ascii="仿宋" w:hAnsi="仿宋" w:eastAsia="仿宋" w:cs="仿宋"/>
          <w:sz w:val="24"/>
          <w:szCs w:val="24"/>
          <w:lang w:eastAsia="zh-CN"/>
        </w:rPr>
        <w:t>领取</w:t>
      </w:r>
      <w:r>
        <w:rPr>
          <w:rFonts w:hint="eastAsia" w:ascii="仿宋" w:hAnsi="仿宋" w:eastAsia="仿宋" w:cs="仿宋"/>
          <w:sz w:val="24"/>
          <w:szCs w:val="24"/>
        </w:rPr>
        <w:t>，谢绝邮寄。请各供应商</w:t>
      </w:r>
      <w:r>
        <w:rPr>
          <w:rFonts w:hint="eastAsia" w:ascii="仿宋" w:hAnsi="仿宋" w:eastAsia="仿宋" w:cs="仿宋"/>
          <w:sz w:val="24"/>
          <w:szCs w:val="24"/>
          <w:lang w:eastAsia="zh-CN"/>
        </w:rPr>
        <w:t>领取</w:t>
      </w:r>
      <w:r>
        <w:rPr>
          <w:rFonts w:hint="eastAsia" w:ascii="仿宋" w:hAnsi="仿宋" w:eastAsia="仿宋" w:cs="仿宋"/>
          <w:sz w:val="24"/>
          <w:szCs w:val="24"/>
        </w:rPr>
        <w:t>磋商文件后，按照陕西省财政厅《关于政府采购供应商注册登记有关事项的通知》要求，通过陕西省政府采购（http://www.ccgp-shaanxi.gov.cn/）注册登记加入陕西省政府采购供应商库。</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八、对本次招标提出询问，请按以下方式联系。</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1、采购人信息</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名称：神木市能源局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地址：神木市滨河新区街道广场南路煤炭大楼9楼</w:t>
      </w:r>
    </w:p>
    <w:p>
      <w:pPr>
        <w:spacing w:line="52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名称：陕西省采购招标有限责任公司</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地址：西安市高新二路2号山西证券大厦21楼</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联系方式：0912-3683703</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3、项目联系方式</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项目联系人：乔俊衡      </w:t>
      </w:r>
    </w:p>
    <w:p>
      <w:pPr>
        <w:spacing w:line="520" w:lineRule="exact"/>
        <w:ind w:firstLine="480" w:firstLineChars="200"/>
        <w:rPr>
          <w:rFonts w:hint="eastAsia" w:ascii="仿宋" w:hAnsi="仿宋" w:eastAsia="仿宋" w:cs="仿宋"/>
        </w:rPr>
      </w:pPr>
      <w:r>
        <w:rPr>
          <w:rFonts w:hint="eastAsia" w:ascii="仿宋" w:hAnsi="仿宋" w:eastAsia="仿宋" w:cs="仿宋"/>
          <w:sz w:val="24"/>
          <w:szCs w:val="24"/>
        </w:rPr>
        <w:t xml:space="preserve">电 话：15771610687    </w:t>
      </w:r>
      <w:r>
        <w:rPr>
          <w:rFonts w:hint="eastAsia" w:ascii="仿宋" w:hAnsi="仿宋" w:eastAsia="仿宋" w:cs="仿宋"/>
          <w:sz w:val="24"/>
          <w:szCs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5"/>
          <w:rFonts w:hint="eastAsia" w:ascii="仿宋" w:hAnsi="仿宋" w:eastAsia="仿宋" w:cs="仿宋"/>
          <w:sz w:val="36"/>
          <w:szCs w:val="36"/>
        </w:rPr>
      </w:pPr>
      <w:bookmarkStart w:id="20" w:name="_Toc249515277"/>
      <w:bookmarkStart w:id="21" w:name="_Toc232176271"/>
      <w:bookmarkStart w:id="22" w:name="_Toc415499895"/>
      <w:bookmarkStart w:id="23" w:name="_Toc184043011"/>
      <w:bookmarkStart w:id="24" w:name="_Toc249515389"/>
      <w:bookmarkStart w:id="25" w:name="_Toc232395211"/>
      <w:bookmarkStart w:id="26" w:name="_Toc256342142"/>
      <w:bookmarkStart w:id="27" w:name="_Toc21126"/>
      <w:bookmarkStart w:id="28" w:name="_Toc249525158"/>
      <w:bookmarkStart w:id="29" w:name="_Toc230099796"/>
      <w:bookmarkStart w:id="30" w:name="_Toc68590966"/>
      <w:bookmarkStart w:id="31" w:name="_Toc230583540"/>
      <w:bookmarkStart w:id="32" w:name="_Toc58504446"/>
      <w:bookmarkStart w:id="33" w:name="_Toc230013631"/>
      <w:bookmarkStart w:id="34" w:name="_Toc496324578"/>
      <w:bookmarkStart w:id="35" w:name="_Toc256342143"/>
      <w:bookmarkStart w:id="36" w:name="_Toc176882542"/>
      <w:bookmarkStart w:id="37" w:name="_Toc499711042"/>
      <w:bookmarkStart w:id="38" w:name="_Toc230583541"/>
      <w:bookmarkStart w:id="39" w:name="_Toc230013632"/>
      <w:bookmarkStart w:id="40" w:name="_Toc249515390"/>
      <w:bookmarkStart w:id="41" w:name="_Toc177189235"/>
      <w:bookmarkStart w:id="42" w:name="_Toc184043012"/>
      <w:bookmarkStart w:id="43" w:name="_Toc177995473"/>
      <w:bookmarkStart w:id="44" w:name="_Toc177817334"/>
      <w:bookmarkStart w:id="45" w:name="_Toc249515278"/>
      <w:bookmarkStart w:id="46" w:name="_Toc232395212"/>
      <w:bookmarkStart w:id="47" w:name="_Toc500747061"/>
      <w:bookmarkStart w:id="48" w:name="_Toc53722840"/>
      <w:bookmarkStart w:id="49" w:name="_Toc500746965"/>
      <w:bookmarkStart w:id="50" w:name="_Toc249525159"/>
      <w:bookmarkStart w:id="51" w:name="_Toc492955414"/>
      <w:bookmarkStart w:id="52" w:name="_Toc500747188"/>
      <w:bookmarkStart w:id="53" w:name="_Toc70687139"/>
      <w:bookmarkStart w:id="54" w:name="_Toc503063421"/>
      <w:bookmarkStart w:id="55" w:name="_Toc499711883"/>
      <w:bookmarkStart w:id="56" w:name="_Toc230099797"/>
      <w:bookmarkStart w:id="57" w:name="_Toc232176272"/>
      <w:r>
        <w:rPr>
          <w:rStyle w:val="205"/>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79"/>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hint="eastAsia" w:ascii="仿宋" w:hAnsi="仿宋" w:eastAsia="仿宋" w:cs="仿宋"/>
                <w:b/>
                <w:sz w:val="24"/>
                <w:szCs w:val="24"/>
              </w:rPr>
            </w:pPr>
            <w:bookmarkStart w:id="59" w:name="_Hlt14560610"/>
            <w:bookmarkEnd w:id="59"/>
            <w:bookmarkStart w:id="60" w:name="_Toc503063423"/>
            <w:bookmarkStart w:id="61" w:name="_Toc389620165"/>
            <w:bookmarkStart w:id="62" w:name="_Toc500747063"/>
            <w:bookmarkStart w:id="63" w:name="_Toc499711885"/>
            <w:bookmarkStart w:id="64" w:name="_Toc500746967"/>
            <w:bookmarkStart w:id="65" w:name="_Toc385992326"/>
            <w:bookmarkStart w:id="66" w:name="_Toc499711044"/>
            <w:bookmarkStart w:id="67" w:name="_Toc496324580"/>
            <w:bookmarkStart w:id="68" w:name="_Toc500747190"/>
            <w:bookmarkStart w:id="69" w:name="_Toc492955416"/>
            <w:r>
              <w:rPr>
                <w:rFonts w:hint="eastAsia" w:ascii="仿宋" w:hAnsi="仿宋" w:eastAsia="仿宋" w:cs="仿宋"/>
                <w:b/>
                <w:sz w:val="24"/>
                <w:szCs w:val="24"/>
              </w:rPr>
              <w:t>条款号</w:t>
            </w:r>
          </w:p>
        </w:tc>
        <w:tc>
          <w:tcPr>
            <w:tcW w:w="7650" w:type="dxa"/>
            <w:vAlign w:val="center"/>
          </w:tcPr>
          <w:p>
            <w:pPr>
              <w:pStyle w:val="28"/>
              <w:adjustRightInd w:val="0"/>
              <w:snapToGrid w:val="0"/>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神木市能源局煤矿采空区大面积悬顶治理地质勘察设计服务项目</w:t>
            </w:r>
          </w:p>
          <w:p>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SCZK2023-CS-1216/004</w:t>
            </w:r>
          </w:p>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资金来源：财政资金</w:t>
            </w:r>
          </w:p>
          <w:p>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预算金额：</w:t>
            </w:r>
            <w:r>
              <w:rPr>
                <w:rFonts w:hint="eastAsia" w:ascii="仿宋" w:hAnsi="仿宋" w:eastAsia="仿宋" w:cs="仿宋"/>
                <w:sz w:val="24"/>
                <w:szCs w:val="24"/>
                <w:lang w:eastAsia="zh-CN"/>
              </w:rPr>
              <w:t>473600.00元</w:t>
            </w:r>
          </w:p>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采购内容：详见本磋商文件第五章</w:t>
            </w:r>
          </w:p>
          <w:p>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项目所属行业：</w:t>
            </w:r>
            <w:r>
              <w:rPr>
                <w:rFonts w:hint="eastAsia" w:ascii="仿宋" w:hAnsi="仿宋" w:eastAsia="仿宋" w:cs="仿宋"/>
                <w:sz w:val="24"/>
                <w:szCs w:val="24"/>
                <w:u w:val="single"/>
                <w:lang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pPr>
              <w:pStyle w:val="28"/>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采购人：</w:t>
            </w:r>
            <w:r>
              <w:rPr>
                <w:rFonts w:hint="eastAsia" w:ascii="仿宋" w:hAnsi="仿宋" w:eastAsia="仿宋" w:cs="仿宋"/>
                <w:sz w:val="24"/>
                <w:szCs w:val="24"/>
                <w:lang w:eastAsia="zh-CN"/>
              </w:rPr>
              <w:t>神木市能源局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邀请供应商的方式：</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（1）发布磋商公告</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（2）采购人和评审专家分别书面推荐的方式邀请不少于3 家</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符合相应资格条件的供应商</w:t>
            </w:r>
          </w:p>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pPr>
              <w:pStyle w:val="13"/>
              <w:spacing w:line="360" w:lineRule="auto"/>
              <w:rPr>
                <w:rFonts w:hint="eastAsia" w:ascii="仿宋" w:hAnsi="仿宋" w:eastAsia="仿宋" w:cs="仿宋"/>
                <w:color w:val="auto"/>
              </w:rPr>
            </w:pPr>
            <w:r>
              <w:rPr>
                <w:rFonts w:hint="eastAsia" w:ascii="仿宋" w:hAnsi="仿宋" w:eastAsia="仿宋" w:cs="仿宋"/>
                <w:color w:val="auto"/>
                <w:kern w:val="2"/>
              </w:rPr>
              <w:t xml:space="preserve">对供应商的资格要求：见磋商公告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pPr>
              <w:pStyle w:val="13"/>
              <w:spacing w:line="360" w:lineRule="auto"/>
              <w:rPr>
                <w:rFonts w:hint="eastAsia" w:ascii="仿宋" w:hAnsi="仿宋" w:eastAsia="仿宋" w:cs="仿宋"/>
                <w:color w:val="auto"/>
                <w:kern w:val="2"/>
                <w:lang w:val="en-US" w:eastAsia="zh-CN"/>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pPr>
              <w:pStyle w:val="13"/>
              <w:spacing w:line="360" w:lineRule="auto"/>
              <w:rPr>
                <w:rFonts w:hint="eastAsia" w:ascii="仿宋" w:hAnsi="仿宋" w:eastAsia="仿宋" w:cs="仿宋"/>
                <w:color w:val="auto"/>
                <w:kern w:val="2"/>
                <w:lang w:val="en-US" w:eastAsia="zh-CN"/>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否</w:t>
            </w:r>
            <w:r>
              <w:rPr>
                <w:rFonts w:hint="eastAsia" w:ascii="仿宋" w:hAnsi="仿宋" w:eastAsia="仿宋" w:cs="仿宋"/>
                <w:color w:val="auto"/>
                <w:kern w:val="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3.7</w:t>
            </w:r>
          </w:p>
        </w:tc>
        <w:tc>
          <w:tcPr>
            <w:tcW w:w="7650" w:type="dxa"/>
            <w:vAlign w:val="center"/>
          </w:tcPr>
          <w:p>
            <w:pPr>
              <w:pStyle w:val="13"/>
              <w:spacing w:line="360" w:lineRule="auto"/>
              <w:rPr>
                <w:rFonts w:hint="eastAsia" w:ascii="仿宋" w:hAnsi="仿宋" w:eastAsia="仿宋" w:cs="仿宋"/>
                <w:color w:val="auto"/>
                <w:kern w:val="2"/>
                <w:lang w:val="en-US" w:eastAsia="zh-CN"/>
              </w:rPr>
            </w:pPr>
            <w:r>
              <w:rPr>
                <w:rFonts w:hint="eastAsia" w:ascii="仿宋" w:hAnsi="仿宋" w:eastAsia="仿宋" w:cs="仿宋"/>
                <w:color w:val="auto"/>
              </w:rPr>
              <w:t>是否为专门面向中小企业采购：</w:t>
            </w:r>
            <w:r>
              <w:rPr>
                <w:rFonts w:hint="eastAsia" w:ascii="仿宋" w:hAnsi="仿宋" w:eastAsia="仿宋" w:cs="仿宋"/>
                <w:color w:val="auto"/>
                <w:kern w:val="2"/>
                <w:u w:val="singl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pPr>
              <w:spacing w:line="312" w:lineRule="auto"/>
              <w:rPr>
                <w:rFonts w:hint="eastAsia" w:ascii="仿宋" w:hAnsi="仿宋" w:eastAsia="仿宋" w:cs="仿宋"/>
                <w:sz w:val="24"/>
              </w:rPr>
            </w:pPr>
            <w:r>
              <w:rPr>
                <w:rFonts w:hint="eastAsia" w:ascii="仿宋" w:hAnsi="仿宋" w:eastAsia="仿宋" w:cs="仿宋"/>
                <w:sz w:val="24"/>
              </w:rPr>
              <w:t>成交响应报价为完成本项目并达到磋商文件要求所需要的全部费用，包括但不限于提供项目实施费、自行测试费、人工费、材料费、管理费、</w:t>
            </w:r>
            <w:r>
              <w:rPr>
                <w:rFonts w:hint="eastAsia" w:ascii="仿宋" w:hAnsi="仿宋" w:eastAsia="仿宋" w:cs="仿宋"/>
                <w:sz w:val="24"/>
                <w:lang w:eastAsia="zh-CN"/>
              </w:rPr>
              <w:t>测绘费、评审费等</w:t>
            </w:r>
            <w:r>
              <w:rPr>
                <w:rFonts w:hint="eastAsia" w:ascii="仿宋" w:hAnsi="仿宋" w:eastAsia="仿宋" w:cs="仿宋"/>
                <w:sz w:val="24"/>
              </w:rPr>
              <w:t>供应商应缴纳的所有税费、规费、保险费（如果有）等全部费用。</w:t>
            </w:r>
          </w:p>
          <w:p>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（1）报价货币：人民币；</w:t>
            </w:r>
          </w:p>
          <w:p>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p>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14.1</w:t>
            </w:r>
          </w:p>
          <w:p>
            <w:pPr>
              <w:pStyle w:val="28"/>
              <w:adjustRightInd w:val="0"/>
              <w:snapToGrid w:val="0"/>
              <w:spacing w:line="240" w:lineRule="auto"/>
              <w:rPr>
                <w:rFonts w:hint="eastAsia" w:ascii="仿宋" w:hAnsi="仿宋" w:eastAsia="仿宋" w:cs="仿宋"/>
                <w:sz w:val="24"/>
                <w:szCs w:val="24"/>
              </w:rPr>
            </w:pPr>
          </w:p>
        </w:tc>
        <w:tc>
          <w:tcPr>
            <w:tcW w:w="7650" w:type="dxa"/>
            <w:vAlign w:val="center"/>
          </w:tcPr>
          <w:p>
            <w:pPr>
              <w:pStyle w:val="28"/>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本项目采用“投标信用承诺书”代替投标保证金，投标人须在投标截止时间前在“信用中国（陕西榆林）”网站进行注册、登录、自主上报投标信用承诺书（网址：https://credit.yl.gov.cn/）。</w:t>
            </w:r>
          </w:p>
          <w:p>
            <w:pPr>
              <w:pStyle w:val="28"/>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磋商有效期：自响应文件递交之日起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响应文件的份数：</w:t>
            </w:r>
            <w:r>
              <w:rPr>
                <w:rFonts w:hint="eastAsia" w:ascii="仿宋" w:hAnsi="仿宋" w:eastAsia="仿宋" w:cs="仿宋"/>
                <w:sz w:val="24"/>
                <w:szCs w:val="24"/>
                <w:lang w:eastAsia="zh-CN"/>
              </w:rPr>
              <w:t>资格证明文件、商务及技术文件各为</w:t>
            </w:r>
            <w:r>
              <w:rPr>
                <w:rFonts w:hint="eastAsia" w:ascii="仿宋" w:hAnsi="仿宋" w:eastAsia="仿宋" w:cs="仿宋"/>
                <w:sz w:val="24"/>
                <w:szCs w:val="24"/>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密封袋（箱）上须标注：</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（l）采购项目编号：</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（2）项目名称：</w:t>
            </w:r>
          </w:p>
          <w:p>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（3）供应商的名称、地址、联系人、电话和传真。</w:t>
            </w:r>
          </w:p>
          <w:p>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 本项目不要求提交样品。</w:t>
            </w:r>
          </w:p>
          <w:p>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□本项目要求提交样品。样品为响应文件的一部分，随响应文件同时递交。</w:t>
            </w:r>
          </w:p>
          <w:p>
            <w:pPr>
              <w:pStyle w:val="28"/>
              <w:adjustRightInd w:val="0"/>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（1）样品需标明：项目名称、供应商名称、样品名称等内容。</w:t>
            </w:r>
          </w:p>
          <w:p>
            <w:pPr>
              <w:pStyle w:val="28"/>
              <w:adjustRightInd w:val="0"/>
              <w:snapToGrid w:val="0"/>
              <w:ind w:firstLine="360" w:firstLineChars="150"/>
              <w:rPr>
                <w:rFonts w:hint="eastAsia" w:ascii="仿宋" w:hAnsi="仿宋" w:eastAsia="仿宋" w:cs="仿宋"/>
                <w:sz w:val="24"/>
                <w:szCs w:val="24"/>
              </w:rPr>
            </w:pPr>
            <w:r>
              <w:rPr>
                <w:rFonts w:hint="eastAsia" w:ascii="仿宋" w:hAnsi="仿宋" w:eastAsia="仿宋" w:cs="仿宋"/>
                <w:sz w:val="24"/>
                <w:szCs w:val="24"/>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18.1</w:t>
            </w:r>
          </w:p>
        </w:tc>
        <w:tc>
          <w:tcPr>
            <w:tcW w:w="7650" w:type="dxa"/>
            <w:vAlign w:val="center"/>
          </w:tcPr>
          <w:p>
            <w:pPr>
              <w:pStyle w:val="28"/>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4"/>
                <w:szCs w:val="24"/>
              </w:rPr>
            </w:pPr>
            <w:r>
              <w:rPr>
                <w:rFonts w:hint="eastAsia" w:ascii="仿宋" w:hAnsi="仿宋" w:eastAsia="仿宋" w:cs="仿宋"/>
                <w:sz w:val="24"/>
                <w:szCs w:val="24"/>
              </w:rPr>
              <w:t>响应文件递交截止时间：20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08</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r>
              <w:rPr>
                <w:rFonts w:hint="eastAsia" w:ascii="仿宋" w:hAnsi="仿宋" w:eastAsia="仿宋" w:cs="仿宋"/>
                <w:sz w:val="24"/>
                <w:szCs w:val="24"/>
                <w:lang w:val="en-US" w:eastAsia="zh-CN"/>
              </w:rPr>
              <w:t>09:30</w:t>
            </w:r>
            <w:r>
              <w:rPr>
                <w:rFonts w:hint="eastAsia" w:ascii="仿宋" w:hAnsi="仿宋" w:eastAsia="仿宋" w:cs="仿宋"/>
                <w:sz w:val="24"/>
                <w:szCs w:val="24"/>
              </w:rPr>
              <w:t>（北京时间）</w:t>
            </w:r>
          </w:p>
          <w:p>
            <w:pPr>
              <w:pStyle w:val="28"/>
              <w:keepNext w:val="0"/>
              <w:keepLines w:val="0"/>
              <w:pageBreakBefore w:val="0"/>
              <w:widowControl w:val="0"/>
              <w:kinsoku/>
              <w:wordWrap/>
              <w:overflowPunct/>
              <w:topLinePunct w:val="0"/>
              <w:autoSpaceDE/>
              <w:autoSpaceDN/>
              <w:bidi w:val="0"/>
              <w:adjustRightInd w:val="0"/>
              <w:snapToGrid w:val="0"/>
              <w:textAlignment w:val="auto"/>
              <w:rPr>
                <w:rFonts w:hint="eastAsia" w:eastAsia="仿宋"/>
                <w:lang w:eastAsia="zh-CN"/>
              </w:rPr>
            </w:pPr>
            <w:r>
              <w:rPr>
                <w:rFonts w:hint="eastAsia" w:ascii="仿宋" w:hAnsi="仿宋" w:eastAsia="仿宋" w:cs="仿宋"/>
                <w:sz w:val="24"/>
                <w:szCs w:val="24"/>
              </w:rPr>
              <w:t>响应文件递交地点：榆林市金沙路泰和时代A座9楼901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pPr>
              <w:spacing w:line="360" w:lineRule="exact"/>
              <w:rPr>
                <w:rFonts w:hint="eastAsia" w:ascii="仿宋" w:hAnsi="仿宋" w:eastAsia="仿宋" w:cs="仿宋"/>
                <w:sz w:val="24"/>
              </w:rPr>
            </w:pPr>
            <w:r>
              <w:rPr>
                <w:rFonts w:hint="eastAsia" w:ascii="仿宋" w:hAnsi="仿宋" w:eastAsia="仿宋" w:cs="仿宋"/>
                <w:sz w:val="24"/>
              </w:rPr>
              <w:t>磋商小组由</w:t>
            </w:r>
            <w:r>
              <w:rPr>
                <w:rFonts w:hint="eastAsia" w:ascii="仿宋" w:hAnsi="仿宋" w:eastAsia="仿宋" w:cs="仿宋"/>
                <w:b/>
                <w:bCs/>
                <w:sz w:val="24"/>
                <w:u w:val="single"/>
              </w:rPr>
              <w:t xml:space="preserve"> 3 </w:t>
            </w:r>
            <w:r>
              <w:rPr>
                <w:rFonts w:hint="eastAsia" w:ascii="仿宋" w:hAnsi="仿宋" w:eastAsia="仿宋" w:cs="仿宋"/>
                <w:sz w:val="24"/>
              </w:rPr>
              <w:t>人组成，其中评审专家</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人，采购人代表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 </w:t>
            </w:r>
            <w:r>
              <w:rPr>
                <w:rFonts w:hint="eastAsia" w:ascii="仿宋" w:hAnsi="仿宋" w:eastAsia="仿宋"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jc w:val="center"/>
              <w:rPr>
                <w:rFonts w:hint="eastAsia" w:ascii="仿宋" w:hAnsi="仿宋" w:eastAsia="仿宋" w:cs="仿宋"/>
                <w:sz w:val="24"/>
              </w:rPr>
            </w:pPr>
            <w:r>
              <w:rPr>
                <w:rFonts w:hint="eastAsia" w:ascii="仿宋" w:hAnsi="仿宋" w:eastAsia="仿宋" w:cs="仿宋"/>
                <w:sz w:val="24"/>
              </w:rPr>
              <w:t>28.1</w:t>
            </w:r>
          </w:p>
        </w:tc>
        <w:tc>
          <w:tcPr>
            <w:tcW w:w="7650" w:type="dxa"/>
            <w:vAlign w:val="center"/>
          </w:tcPr>
          <w:p>
            <w:pPr>
              <w:jc w:val="left"/>
              <w:rPr>
                <w:rFonts w:hint="eastAsia" w:ascii="仿宋" w:hAnsi="仿宋" w:eastAsia="仿宋" w:cs="仿宋"/>
                <w:sz w:val="24"/>
              </w:rPr>
            </w:pPr>
            <w:r>
              <w:rPr>
                <w:rFonts w:hint="eastAsia" w:ascii="仿宋" w:hAnsi="仿宋" w:eastAsia="仿宋" w:cs="仿宋"/>
                <w:sz w:val="24"/>
              </w:rPr>
              <w:t>□ 本项目要求履约保证金，金额为成交合同金额的</w:t>
            </w:r>
            <w:r>
              <w:rPr>
                <w:rFonts w:hint="eastAsia" w:ascii="仿宋" w:hAnsi="仿宋" w:eastAsia="仿宋" w:cs="仿宋"/>
                <w:b/>
                <w:sz w:val="24"/>
                <w:u w:val="single"/>
              </w:rPr>
              <w:t xml:space="preserve">5% </w:t>
            </w:r>
          </w:p>
          <w:p>
            <w:pPr>
              <w:pStyle w:val="22"/>
              <w:rPr>
                <w:rFonts w:hint="eastAsia" w:ascii="仿宋" w:hAnsi="仿宋" w:eastAsia="仿宋" w:cs="仿宋"/>
              </w:rPr>
            </w:pPr>
          </w:p>
          <w:p>
            <w:pPr>
              <w:jc w:val="left"/>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rPr>
              <w:t>本项目不要求履约保证金。</w:t>
            </w:r>
          </w:p>
        </w:tc>
      </w:tr>
    </w:tbl>
    <w:p>
      <w:pPr>
        <w:rPr>
          <w:rFonts w:hint="eastAsia" w:ascii="仿宋" w:hAnsi="仿宋" w:eastAsia="仿宋" w:cs="仿宋"/>
          <w:sz w:val="30"/>
          <w:szCs w:val="30"/>
        </w:rPr>
      </w:pPr>
      <w:bookmarkStart w:id="70" w:name="_Toc177817335"/>
      <w:bookmarkStart w:id="71" w:name="_Toc177995474"/>
      <w:bookmarkStart w:id="72" w:name="_Toc70687140"/>
      <w:bookmarkStart w:id="73" w:name="_Toc232395213"/>
      <w:bookmarkStart w:id="74" w:name="_Toc232176273"/>
      <w:bookmarkStart w:id="75" w:name="_Toc230099798"/>
      <w:bookmarkStart w:id="76" w:name="_Toc53722841"/>
      <w:bookmarkStart w:id="77" w:name="_Toc230583542"/>
      <w:bookmarkStart w:id="78" w:name="_Toc249515391"/>
      <w:bookmarkStart w:id="79" w:name="_Toc256342144"/>
      <w:bookmarkStart w:id="80" w:name="_Toc249525160"/>
      <w:bookmarkStart w:id="81" w:name="_Toc177189236"/>
      <w:bookmarkStart w:id="82" w:name="_Toc230013633"/>
      <w:bookmarkStart w:id="83" w:name="_Toc184043013"/>
      <w:bookmarkStart w:id="84" w:name="_Toc249515279"/>
      <w:bookmarkStart w:id="85" w:name="_Toc176882543"/>
      <w:r>
        <w:rPr>
          <w:rFonts w:hint="eastAsia" w:ascii="仿宋" w:hAnsi="仿宋" w:eastAsia="仿宋" w:cs="仿宋"/>
          <w:sz w:val="30"/>
          <w:szCs w:val="30"/>
        </w:rPr>
        <w:br w:type="page"/>
      </w:r>
    </w:p>
    <w:p>
      <w:pPr>
        <w:pStyle w:val="79"/>
        <w:spacing w:before="24" w:after="24"/>
        <w:jc w:val="center"/>
        <w:rPr>
          <w:rFonts w:hint="eastAsia" w:ascii="仿宋" w:hAnsi="仿宋" w:eastAsia="仿宋" w:cs="仿宋"/>
          <w:szCs w:val="32"/>
        </w:rPr>
      </w:pPr>
      <w:bookmarkStart w:id="86" w:name="_Toc68590968"/>
      <w:r>
        <w:rPr>
          <w:rFonts w:hint="eastAsia" w:ascii="仿宋" w:hAnsi="仿宋" w:eastAsia="仿宋" w:cs="仿宋"/>
          <w:szCs w:val="32"/>
        </w:rPr>
        <w:t>（二）供应商须知</w:t>
      </w:r>
      <w:bookmarkEnd w:id="86"/>
    </w:p>
    <w:p>
      <w:pPr>
        <w:pStyle w:val="79"/>
        <w:spacing w:before="24" w:after="24"/>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rPr>
          <w:rFonts w:hint="eastAsia" w:ascii="仿宋" w:hAnsi="仿宋" w:eastAsia="仿宋" w:cs="仿宋"/>
        </w:rPr>
      </w:pPr>
    </w:p>
    <w:p>
      <w:pPr>
        <w:pStyle w:val="4"/>
        <w:rPr>
          <w:rFonts w:hint="eastAsia" w:ascii="仿宋" w:hAnsi="仿宋" w:eastAsia="仿宋" w:cs="仿宋"/>
          <w:b/>
          <w:sz w:val="24"/>
          <w:szCs w:val="21"/>
        </w:rPr>
      </w:pPr>
      <w:bookmarkStart w:id="88" w:name="_Hlt14560612"/>
      <w:bookmarkEnd w:id="88"/>
      <w:bookmarkStart w:id="89" w:name="_Toc184043014"/>
      <w:bookmarkStart w:id="90" w:name="_Toc249525161"/>
      <w:bookmarkStart w:id="91" w:name="_Toc249515392"/>
      <w:bookmarkStart w:id="92" w:name="_Toc25504"/>
      <w:bookmarkStart w:id="93" w:name="_Toc249515280"/>
      <w:r>
        <w:rPr>
          <w:rFonts w:hint="eastAsia" w:ascii="仿宋" w:hAnsi="仿宋" w:eastAsia="仿宋" w:cs="仿宋"/>
          <w:b/>
          <w:sz w:val="24"/>
          <w:szCs w:val="21"/>
        </w:rPr>
        <w:t>1.     项目说明</w:t>
      </w:r>
      <w:bookmarkEnd w:id="89"/>
      <w:bookmarkEnd w:id="90"/>
      <w:bookmarkEnd w:id="91"/>
      <w:bookmarkEnd w:id="92"/>
      <w:bookmarkEnd w:id="93"/>
    </w:p>
    <w:p>
      <w:pPr>
        <w:pStyle w:val="65"/>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pPr>
        <w:pStyle w:val="4"/>
        <w:rPr>
          <w:rFonts w:hint="eastAsia" w:ascii="仿宋" w:hAnsi="仿宋" w:eastAsia="仿宋" w:cs="仿宋"/>
          <w:b/>
          <w:sz w:val="24"/>
          <w:szCs w:val="21"/>
        </w:rPr>
      </w:pPr>
      <w:bookmarkStart w:id="94" w:name="_Toc249525162"/>
      <w:bookmarkStart w:id="95" w:name="_Toc70687142"/>
      <w:bookmarkStart w:id="96" w:name="_Toc249515281"/>
      <w:bookmarkStart w:id="97" w:name="_Toc184043015"/>
      <w:bookmarkStart w:id="98" w:name="_Toc31509"/>
      <w:bookmarkStart w:id="99" w:name="_Toc249515393"/>
      <w:r>
        <w:rPr>
          <w:rFonts w:hint="eastAsia" w:ascii="仿宋" w:hAnsi="仿宋" w:eastAsia="仿宋" w:cs="仿宋"/>
          <w:b/>
          <w:sz w:val="24"/>
          <w:szCs w:val="21"/>
        </w:rPr>
        <w:t>2.     定义</w:t>
      </w:r>
      <w:bookmarkEnd w:id="94"/>
      <w:bookmarkEnd w:id="95"/>
      <w:bookmarkEnd w:id="96"/>
      <w:bookmarkEnd w:id="97"/>
      <w:bookmarkEnd w:id="98"/>
      <w:bookmarkEnd w:id="99"/>
    </w:p>
    <w:p>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磋商小组：指依据《中华人民共和国政府采购法》和财政部《政府采购竞争性磋商采购方式管理暂行办法》有关规定组建，依法依规履行其职责和义务的机构。</w:t>
      </w:r>
    </w:p>
    <w:p>
      <w:pPr>
        <w:pStyle w:val="4"/>
        <w:rPr>
          <w:rFonts w:hint="eastAsia" w:ascii="仿宋" w:hAnsi="仿宋" w:eastAsia="仿宋" w:cs="仿宋"/>
          <w:b/>
          <w:sz w:val="24"/>
          <w:szCs w:val="21"/>
        </w:rPr>
      </w:pPr>
      <w:bookmarkStart w:id="100" w:name="_Toc249515394"/>
      <w:bookmarkStart w:id="101" w:name="_Toc23705"/>
      <w:bookmarkStart w:id="102" w:name="_Toc249515282"/>
      <w:bookmarkStart w:id="103" w:name="_Toc389620168"/>
      <w:bookmarkStart w:id="104" w:name="_Toc184043016"/>
      <w:bookmarkStart w:id="105" w:name="_Toc249525163"/>
      <w:bookmarkStart w:id="106" w:name="_Toc70687143"/>
      <w:bookmarkStart w:id="107" w:name="_Toc385992329"/>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、政府采购严重违法失信行为记录名单，否则不得参与政府采购活动。</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3.2.2  信用信息查询的时间：自</w:t>
      </w:r>
      <w:r>
        <w:rPr>
          <w:rFonts w:hint="eastAsia" w:ascii="仿宋" w:hAnsi="仿宋" w:eastAsia="仿宋" w:cs="仿宋"/>
          <w:kern w:val="24"/>
          <w:sz w:val="24"/>
          <w:szCs w:val="21"/>
          <w:lang w:val="en-US" w:eastAsia="zh-CN"/>
        </w:rPr>
        <w:t>采购</w:t>
      </w:r>
      <w:r>
        <w:rPr>
          <w:rFonts w:hint="eastAsia" w:ascii="仿宋" w:hAnsi="仿宋" w:eastAsia="仿宋" w:cs="仿宋"/>
          <w:kern w:val="24"/>
          <w:sz w:val="24"/>
          <w:szCs w:val="21"/>
        </w:rPr>
        <w:t xml:space="preserve">文件发售之日起至资格审查结束之前。 </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3.2.3  查询渠道：“信用中国”网站（www.creditchina.gov.cn）和中国政府采购网（www.ccgp.gov.cn）； </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3.3    供应商必须向采购人或采购代理机构获取磋商文件，未向采购人或采购代理机构获取磋商文件的潜在供应商均无资格参加本次采购。</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pPr>
        <w:pStyle w:val="4"/>
        <w:rPr>
          <w:rFonts w:hint="eastAsia" w:ascii="仿宋" w:hAnsi="仿宋" w:eastAsia="仿宋" w:cs="仿宋"/>
          <w:b/>
          <w:sz w:val="24"/>
          <w:szCs w:val="21"/>
        </w:rPr>
      </w:pPr>
      <w:bookmarkStart w:id="108" w:name="_Toc249515395"/>
      <w:bookmarkStart w:id="109" w:name="_Toc184043017"/>
      <w:bookmarkStart w:id="110" w:name="_Toc389620169"/>
      <w:bookmarkStart w:id="111" w:name="_Toc385992330"/>
      <w:bookmarkStart w:id="112" w:name="_Toc249515283"/>
      <w:bookmarkStart w:id="113" w:name="_Toc70687144"/>
      <w:bookmarkStart w:id="114" w:name="_Toc249525164"/>
      <w:bookmarkStart w:id="115" w:name="_Toc26580"/>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pPr>
        <w:pStyle w:val="22"/>
        <w:rPr>
          <w:rFonts w:hint="eastAsia" w:ascii="仿宋" w:hAnsi="仿宋" w:eastAsia="仿宋" w:cs="仿宋"/>
        </w:rPr>
      </w:pPr>
    </w:p>
    <w:p>
      <w:pPr>
        <w:pStyle w:val="79"/>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pPr>
        <w:rPr>
          <w:rFonts w:hint="eastAsia" w:ascii="仿宋" w:hAnsi="仿宋" w:eastAsia="仿宋" w:cs="仿宋"/>
        </w:rPr>
      </w:pPr>
    </w:p>
    <w:p>
      <w:pPr>
        <w:pStyle w:val="4"/>
        <w:numPr>
          <w:ilvl w:val="0"/>
          <w:numId w:val="5"/>
        </w:numPr>
        <w:rPr>
          <w:rFonts w:hint="eastAsia" w:ascii="仿宋" w:hAnsi="仿宋" w:eastAsia="仿宋" w:cs="仿宋"/>
          <w:b/>
          <w:sz w:val="24"/>
          <w:szCs w:val="21"/>
        </w:rPr>
      </w:pPr>
      <w:bookmarkStart w:id="117" w:name="_Toc128"/>
      <w:bookmarkStart w:id="118" w:name="_Toc249525166"/>
      <w:bookmarkStart w:id="119" w:name="_Toc385992332"/>
      <w:bookmarkStart w:id="120" w:name="_Toc389620171"/>
      <w:bookmarkStart w:id="121" w:name="_Toc70687146"/>
      <w:bookmarkStart w:id="122" w:name="_Toc249515285"/>
      <w:bookmarkStart w:id="123" w:name="_Toc249515397"/>
      <w:bookmarkStart w:id="124" w:name="_Toc184043019"/>
      <w:r>
        <w:rPr>
          <w:rFonts w:hint="eastAsia" w:ascii="仿宋" w:hAnsi="仿宋" w:eastAsia="仿宋" w:cs="仿宋"/>
          <w:b/>
          <w:sz w:val="24"/>
          <w:szCs w:val="21"/>
        </w:rPr>
        <w:t xml:space="preserve">    通知</w:t>
      </w:r>
      <w:bookmarkEnd w:id="117"/>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4"/>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磋商文件用以阐明供应商所需提供的服务、工程或货物以及其它类似的义务、采购响应程序和合同条款。磋商文件包括如下五章内容：</w:t>
      </w:r>
    </w:p>
    <w:p>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4"/>
        <w:rPr>
          <w:rFonts w:hint="eastAsia" w:ascii="仿宋" w:hAnsi="仿宋" w:eastAsia="仿宋" w:cs="仿宋"/>
          <w:b/>
          <w:sz w:val="24"/>
          <w:szCs w:val="21"/>
        </w:rPr>
      </w:pPr>
      <w:bookmarkStart w:id="126" w:name="_Toc385992333"/>
      <w:bookmarkStart w:id="127" w:name="_Toc249525167"/>
      <w:bookmarkStart w:id="128" w:name="_Toc184043020"/>
      <w:bookmarkStart w:id="129" w:name="_Toc249515398"/>
      <w:bookmarkStart w:id="130" w:name="_Toc389620172"/>
      <w:bookmarkStart w:id="131" w:name="_Toc70687147"/>
      <w:bookmarkStart w:id="132" w:name="_Toc249515286"/>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pPr>
        <w:tabs>
          <w:tab w:val="left" w:pos="588"/>
        </w:tabs>
        <w:spacing w:line="360" w:lineRule="auto"/>
        <w:ind w:left="840" w:hanging="840" w:hangingChars="350"/>
        <w:rPr>
          <w:rFonts w:hint="eastAsia" w:ascii="仿宋" w:hAnsi="仿宋" w:eastAsia="仿宋" w:cs="仿宋"/>
          <w:sz w:val="24"/>
        </w:rPr>
      </w:pPr>
      <w:bookmarkStart w:id="134" w:name="_Toc70687148"/>
      <w:bookmarkStart w:id="135" w:name="_Toc389620173"/>
      <w:bookmarkStart w:id="136" w:name="_Toc385992334"/>
      <w:r>
        <w:rPr>
          <w:rFonts w:hint="eastAsia" w:ascii="仿宋" w:hAnsi="仿宋" w:eastAsia="仿宋" w:cs="仿宋"/>
          <w:sz w:val="24"/>
        </w:rPr>
        <w:t xml:space="preserve">7.1    </w:t>
      </w:r>
      <w:bookmarkEnd w:id="134"/>
      <w:bookmarkEnd w:id="135"/>
      <w:bookmarkEnd w:id="136"/>
      <w:bookmarkStart w:id="137" w:name="_Toc492955418"/>
      <w:bookmarkStart w:id="138" w:name="_Toc500747065"/>
      <w:bookmarkStart w:id="139" w:name="_Toc389620174"/>
      <w:bookmarkStart w:id="140" w:name="_Toc500746969"/>
      <w:bookmarkStart w:id="141" w:name="_Toc496324582"/>
      <w:bookmarkStart w:id="142" w:name="_Toc385992335"/>
      <w:bookmarkStart w:id="143" w:name="_Toc53722843"/>
      <w:bookmarkStart w:id="144" w:name="_Toc70687149"/>
      <w:bookmarkStart w:id="145" w:name="_Toc503063425"/>
      <w:bookmarkStart w:id="146" w:name="_Toc499711887"/>
      <w:bookmarkStart w:id="147" w:name="_Toc499711046"/>
      <w:bookmarkStart w:id="148" w:name="_Toc500747192"/>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pPr>
        <w:pStyle w:val="22"/>
        <w:rPr>
          <w:rFonts w:hint="eastAsia" w:ascii="仿宋" w:hAnsi="仿宋" w:eastAsia="仿宋" w:cs="仿宋"/>
        </w:rPr>
      </w:pPr>
    </w:p>
    <w:p>
      <w:pPr>
        <w:pStyle w:val="79"/>
        <w:spacing w:before="24" w:after="24"/>
        <w:ind w:left="3313"/>
        <w:rPr>
          <w:rFonts w:hint="eastAsia" w:ascii="仿宋" w:hAnsi="仿宋" w:eastAsia="仿宋" w:cs="仿宋"/>
          <w:sz w:val="30"/>
          <w:szCs w:val="30"/>
        </w:rPr>
      </w:pPr>
      <w:bookmarkStart w:id="149" w:name="_Toc230013635"/>
      <w:bookmarkStart w:id="150" w:name="_Toc230583544"/>
      <w:bookmarkStart w:id="151" w:name="_Toc177817337"/>
      <w:bookmarkStart w:id="152" w:name="_Toc256342146"/>
      <w:bookmarkStart w:id="153" w:name="_Toc184043022"/>
      <w:bookmarkStart w:id="154" w:name="_Toc176882545"/>
      <w:bookmarkStart w:id="155" w:name="_Toc249515288"/>
      <w:bookmarkStart w:id="156" w:name="_Toc232395215"/>
      <w:bookmarkStart w:id="157" w:name="_Toc177995476"/>
      <w:bookmarkStart w:id="158" w:name="_Toc68590971"/>
      <w:bookmarkStart w:id="159" w:name="_Toc230099800"/>
      <w:bookmarkStart w:id="160" w:name="_Toc177189238"/>
      <w:bookmarkStart w:id="161" w:name="_Toc249515400"/>
      <w:bookmarkStart w:id="162" w:name="_Toc249525169"/>
      <w:bookmarkStart w:id="163" w:name="_Toc232176275"/>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4"/>
        <w:rPr>
          <w:rFonts w:hint="eastAsia" w:ascii="仿宋" w:hAnsi="仿宋" w:eastAsia="仿宋" w:cs="仿宋"/>
          <w:b/>
          <w:sz w:val="24"/>
          <w:szCs w:val="21"/>
        </w:rPr>
      </w:pPr>
      <w:bookmarkStart w:id="164" w:name="_Toc184043023"/>
      <w:bookmarkStart w:id="165" w:name="_Toc249525170"/>
      <w:bookmarkStart w:id="166" w:name="_Toc30150"/>
      <w:bookmarkStart w:id="167" w:name="_Toc249515289"/>
      <w:bookmarkStart w:id="168" w:name="_Toc249515401"/>
      <w:bookmarkStart w:id="169" w:name="_Toc70687150"/>
      <w:bookmarkStart w:id="170" w:name="_Toc385992337"/>
      <w:bookmarkStart w:id="171" w:name="_Toc389620176"/>
      <w:r>
        <w:rPr>
          <w:rFonts w:hint="eastAsia" w:ascii="仿宋" w:hAnsi="仿宋" w:eastAsia="仿宋" w:cs="仿宋"/>
          <w:b/>
          <w:sz w:val="24"/>
          <w:szCs w:val="21"/>
        </w:rPr>
        <w:t>8.     响应文件语言</w:t>
      </w:r>
      <w:bookmarkEnd w:id="164"/>
      <w:bookmarkEnd w:id="165"/>
      <w:bookmarkEnd w:id="166"/>
      <w:bookmarkEnd w:id="167"/>
      <w:bookmarkEnd w:id="168"/>
      <w:bookmarkEnd w:id="169"/>
    </w:p>
    <w:p>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pPr>
        <w:pStyle w:val="4"/>
        <w:rPr>
          <w:rFonts w:hint="eastAsia" w:ascii="仿宋" w:hAnsi="仿宋" w:eastAsia="仿宋" w:cs="仿宋"/>
          <w:b/>
          <w:sz w:val="24"/>
          <w:szCs w:val="21"/>
        </w:rPr>
      </w:pPr>
      <w:bookmarkStart w:id="172" w:name="_Toc70687151"/>
      <w:bookmarkStart w:id="173" w:name="_Toc18327"/>
      <w:bookmarkStart w:id="174" w:name="_Toc249515402"/>
      <w:bookmarkStart w:id="175" w:name="_Toc184043024"/>
      <w:bookmarkStart w:id="176" w:name="_Toc249525171"/>
      <w:bookmarkStart w:id="177" w:name="_Toc249515290"/>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pPr>
        <w:pStyle w:val="4"/>
        <w:rPr>
          <w:rFonts w:hint="eastAsia" w:ascii="仿宋" w:hAnsi="仿宋" w:eastAsia="仿宋" w:cs="仿宋"/>
          <w:b/>
          <w:sz w:val="24"/>
          <w:szCs w:val="21"/>
        </w:rPr>
      </w:pPr>
      <w:bookmarkStart w:id="178" w:name="_Toc29318"/>
      <w:bookmarkStart w:id="179" w:name="_Toc70687152"/>
      <w:bookmarkStart w:id="180" w:name="_Toc249525172"/>
      <w:bookmarkStart w:id="181" w:name="_Toc249515291"/>
      <w:bookmarkStart w:id="182" w:name="_Toc389620177"/>
      <w:bookmarkStart w:id="183" w:name="_Toc249515403"/>
      <w:bookmarkStart w:id="184" w:name="_Toc385992338"/>
      <w:bookmarkStart w:id="185" w:name="_Toc184043025"/>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pPr>
        <w:pStyle w:val="4"/>
        <w:rPr>
          <w:rFonts w:hint="eastAsia" w:ascii="仿宋" w:hAnsi="仿宋" w:eastAsia="仿宋" w:cs="仿宋"/>
          <w:b/>
          <w:sz w:val="24"/>
          <w:szCs w:val="21"/>
        </w:rPr>
      </w:pPr>
      <w:bookmarkStart w:id="186" w:name="_Toc249515404"/>
      <w:bookmarkStart w:id="187" w:name="_Toc26312"/>
      <w:bookmarkStart w:id="188" w:name="_Toc184043026"/>
      <w:bookmarkStart w:id="189" w:name="_Toc249515292"/>
      <w:bookmarkStart w:id="190" w:name="_Toc249525173"/>
      <w:bookmarkStart w:id="191" w:name="_Toc70687153"/>
      <w:bookmarkStart w:id="192" w:name="_Toc389620178"/>
      <w:bookmarkStart w:id="193" w:name="_Toc385992339"/>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pPr>
        <w:pStyle w:val="4"/>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u w:val="single"/>
        </w:rPr>
        <w:t xml:space="preserve"> 服务</w:t>
      </w:r>
      <w:r>
        <w:rPr>
          <w:rFonts w:hint="eastAsia" w:ascii="仿宋" w:hAnsi="仿宋" w:eastAsia="仿宋" w:cs="仿宋"/>
          <w:kern w:val="24"/>
          <w:sz w:val="24"/>
          <w:szCs w:val="21"/>
        </w:rPr>
        <w:t>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pPr>
        <w:pStyle w:val="4"/>
        <w:rPr>
          <w:rFonts w:hint="eastAsia" w:ascii="仿宋" w:hAnsi="仿宋" w:eastAsia="仿宋" w:cs="仿宋"/>
          <w:b/>
          <w:sz w:val="24"/>
          <w:szCs w:val="21"/>
        </w:rPr>
      </w:pPr>
      <w:bookmarkStart w:id="195" w:name="_Toc70687155"/>
      <w:bookmarkStart w:id="196" w:name="_Toc389620180"/>
      <w:bookmarkStart w:id="197" w:name="_Toc20687"/>
      <w:bookmarkStart w:id="198" w:name="_Toc249515406"/>
      <w:bookmarkStart w:id="199" w:name="_Toc385992341"/>
      <w:bookmarkStart w:id="200" w:name="_Toc184043028"/>
      <w:bookmarkStart w:id="201" w:name="_Toc249515294"/>
      <w:bookmarkStart w:id="202" w:name="_Toc249525175"/>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pPr>
        <w:pStyle w:val="4"/>
        <w:rPr>
          <w:rFonts w:hint="eastAsia" w:ascii="仿宋" w:hAnsi="仿宋" w:eastAsia="仿宋" w:cs="仿宋"/>
          <w:b/>
          <w:kern w:val="24"/>
          <w:sz w:val="24"/>
          <w:szCs w:val="21"/>
          <w:highlight w:val="none"/>
        </w:rPr>
      </w:pPr>
      <w:bookmarkStart w:id="205" w:name="止观"/>
      <w:bookmarkEnd w:id="205"/>
      <w:r>
        <w:rPr>
          <w:rFonts w:hint="eastAsia" w:ascii="仿宋" w:hAnsi="仿宋" w:eastAsia="仿宋" w:cs="仿宋"/>
          <w:b/>
          <w:sz w:val="24"/>
          <w:szCs w:val="21"/>
          <w:highlight w:val="none"/>
        </w:rPr>
        <w:t>14.    磋商保证金</w:t>
      </w:r>
    </w:p>
    <w:p>
      <w:pPr>
        <w:numPr>
          <w:ilvl w:val="0"/>
          <w:numId w:val="0"/>
        </w:numPr>
        <w:tabs>
          <w:tab w:val="left" w:pos="588"/>
        </w:tabs>
        <w:spacing w:line="360" w:lineRule="auto"/>
        <w:rPr>
          <w:rFonts w:hint="eastAsia" w:ascii="仿宋" w:hAnsi="仿宋" w:eastAsia="仿宋" w:cs="仿宋"/>
          <w:kern w:val="24"/>
          <w:sz w:val="24"/>
          <w:szCs w:val="21"/>
        </w:rPr>
      </w:pPr>
      <w:r>
        <w:rPr>
          <w:rFonts w:hint="eastAsia" w:ascii="仿宋" w:hAnsi="仿宋" w:eastAsia="仿宋" w:cs="仿宋"/>
          <w:sz w:val="24"/>
          <w:szCs w:val="21"/>
          <w:highlight w:val="none"/>
        </w:rPr>
        <w:t xml:space="preserve">14.1   </w:t>
      </w:r>
      <w:r>
        <w:rPr>
          <w:rFonts w:hint="eastAsia" w:ascii="仿宋" w:hAnsi="仿宋" w:eastAsia="仿宋" w:cs="仿宋"/>
          <w:sz w:val="24"/>
        </w:rPr>
        <w:t>本项目须在磋商前向采购代理机构提供供应商须知前附表规定</w:t>
      </w:r>
      <w:r>
        <w:rPr>
          <w:rFonts w:hint="eastAsia" w:ascii="仿宋" w:hAnsi="仿宋" w:eastAsia="仿宋" w:cs="仿宋"/>
          <w:sz w:val="24"/>
          <w:lang w:eastAsia="zh-CN"/>
        </w:rPr>
        <w:t>的投标信用承诺</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书</w:t>
      </w:r>
      <w:r>
        <w:rPr>
          <w:rFonts w:hint="eastAsia" w:ascii="仿宋" w:hAnsi="仿宋" w:eastAsia="仿宋" w:cs="仿宋"/>
          <w:sz w:val="24"/>
        </w:rPr>
        <w:t>，并作为其响应文件的一部分。</w:t>
      </w:r>
    </w:p>
    <w:p>
      <w:pPr>
        <w:pStyle w:val="4"/>
        <w:rPr>
          <w:rFonts w:hint="eastAsia" w:ascii="仿宋" w:hAnsi="仿宋" w:eastAsia="仿宋" w:cs="仿宋"/>
          <w:b/>
          <w:sz w:val="24"/>
          <w:szCs w:val="21"/>
        </w:rPr>
      </w:pPr>
      <w:bookmarkStart w:id="206" w:name="_Toc249525177"/>
      <w:bookmarkStart w:id="207" w:name="_Toc249515296"/>
      <w:bookmarkStart w:id="208" w:name="_Toc249515408"/>
      <w:bookmarkStart w:id="209" w:name="_Toc7949"/>
      <w:r>
        <w:rPr>
          <w:rFonts w:hint="eastAsia" w:ascii="仿宋" w:hAnsi="仿宋" w:eastAsia="仿宋" w:cs="仿宋"/>
          <w:b/>
          <w:sz w:val="24"/>
          <w:szCs w:val="21"/>
        </w:rPr>
        <w:t>15.    磋商有效期</w:t>
      </w:r>
      <w:bookmarkEnd w:id="206"/>
      <w:bookmarkEnd w:id="207"/>
      <w:bookmarkEnd w:id="208"/>
      <w:bookmarkEnd w:id="209"/>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特殊情况下，采购人可于原磋商有效期满之前要求供应商同意延长有效期，要求与答复均应为书面形式。供应商可以拒绝上述要求，其</w:t>
      </w:r>
      <w:r>
        <w:rPr>
          <w:rFonts w:hint="eastAsia" w:ascii="仿宋" w:hAnsi="仿宋" w:eastAsia="仿宋" w:cs="仿宋"/>
          <w:sz w:val="24"/>
          <w:szCs w:val="24"/>
        </w:rPr>
        <w:t>磋商</w:t>
      </w:r>
      <w:r>
        <w:rPr>
          <w:rFonts w:hint="eastAsia" w:ascii="仿宋" w:hAnsi="仿宋" w:eastAsia="仿宋" w:cs="仿宋"/>
          <w:sz w:val="24"/>
        </w:rPr>
        <w:t>保证金不被没收。对于同意该要求的供应商，既不要求也不允许其修改响应文件，但将要求其相应延长磋商保证金的有效期，有关退还和保证金不予退还的规定在磋商有效期的延长期内继续有效。</w:t>
      </w:r>
    </w:p>
    <w:p>
      <w:pPr>
        <w:pStyle w:val="4"/>
        <w:rPr>
          <w:rFonts w:hint="eastAsia" w:ascii="仿宋" w:hAnsi="仿宋" w:eastAsia="仿宋" w:cs="仿宋"/>
          <w:b/>
          <w:sz w:val="24"/>
          <w:szCs w:val="21"/>
        </w:rPr>
      </w:pPr>
      <w:bookmarkStart w:id="210" w:name="_Toc70687160"/>
      <w:bookmarkStart w:id="211" w:name="_Toc249515409"/>
      <w:bookmarkStart w:id="212" w:name="_Toc385992346"/>
      <w:bookmarkStart w:id="213" w:name="_Toc184043033"/>
      <w:bookmarkStart w:id="214" w:name="_Toc249525178"/>
      <w:bookmarkStart w:id="215" w:name="_Toc16612"/>
      <w:bookmarkStart w:id="216" w:name="_Toc249515297"/>
      <w:bookmarkStart w:id="217" w:name="_Toc389620185"/>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任何行间插字、涂改或增删，必须由响应文件签字人将姓或首字母在旁边签字才有效。</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hint="eastAsia" w:ascii="仿宋" w:hAnsi="仿宋" w:eastAsia="仿宋" w:cs="仿宋"/>
          <w:sz w:val="24"/>
        </w:rPr>
      </w:pPr>
      <w:bookmarkStart w:id="218" w:name="_Hlt491765640"/>
      <w:bookmarkEnd w:id="218"/>
      <w:bookmarkStart w:id="219" w:name="_Toc249515410"/>
      <w:bookmarkStart w:id="220" w:name="_Toc503063426"/>
      <w:bookmarkStart w:id="221" w:name="_Toc230583545"/>
      <w:bookmarkStart w:id="222" w:name="_Toc176882546"/>
      <w:bookmarkStart w:id="223" w:name="_Toc499711047"/>
      <w:bookmarkStart w:id="224" w:name="_Toc500747066"/>
      <w:bookmarkStart w:id="225" w:name="_Toc53722844"/>
      <w:bookmarkStart w:id="226" w:name="_Toc232395216"/>
      <w:bookmarkStart w:id="227" w:name="_Toc496324583"/>
      <w:bookmarkStart w:id="228" w:name="_Toc184043034"/>
      <w:bookmarkStart w:id="229" w:name="_Toc230013636"/>
      <w:bookmarkStart w:id="230" w:name="_Toc230099801"/>
      <w:bookmarkStart w:id="231" w:name="_Toc232176276"/>
      <w:bookmarkStart w:id="232" w:name="_Toc177817338"/>
      <w:bookmarkStart w:id="233" w:name="_Toc499711888"/>
      <w:bookmarkStart w:id="234" w:name="_Toc256342147"/>
      <w:bookmarkStart w:id="235" w:name="_Toc177995477"/>
      <w:bookmarkStart w:id="236" w:name="_Toc389620186"/>
      <w:bookmarkStart w:id="237" w:name="_Toc500747193"/>
      <w:bookmarkStart w:id="238" w:name="_Toc385992347"/>
      <w:bookmarkStart w:id="239" w:name="_Toc249515298"/>
      <w:bookmarkStart w:id="240" w:name="_Toc492955419"/>
      <w:bookmarkStart w:id="241" w:name="_Toc500746970"/>
      <w:bookmarkStart w:id="242" w:name="_Toc70687161"/>
      <w:bookmarkStart w:id="243" w:name="_Toc177189239"/>
      <w:bookmarkStart w:id="244" w:name="_Toc249525179"/>
      <w:r>
        <w:rPr>
          <w:rFonts w:hint="eastAsia" w:ascii="仿宋" w:hAnsi="仿宋" w:eastAsia="仿宋" w:cs="仿宋"/>
          <w:sz w:val="24"/>
        </w:rPr>
        <w:t>16.7   响应文件应按照“资格证明文件”和“商务及技术文件”分成两部分，并用不可拆装的方式分别装订成册。</w:t>
      </w:r>
    </w:p>
    <w:p>
      <w:pPr>
        <w:pStyle w:val="22"/>
        <w:rPr>
          <w:rFonts w:hint="eastAsia" w:ascii="仿宋" w:hAnsi="仿宋" w:eastAsia="仿宋" w:cs="仿宋"/>
        </w:rPr>
      </w:pPr>
    </w:p>
    <w:p>
      <w:pPr>
        <w:pStyle w:val="79"/>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hint="eastAsia" w:ascii="仿宋" w:hAnsi="仿宋" w:eastAsia="仿宋" w:cs="仿宋"/>
        </w:rPr>
      </w:pPr>
    </w:p>
    <w:p>
      <w:pPr>
        <w:pStyle w:val="4"/>
        <w:rPr>
          <w:rFonts w:hint="eastAsia" w:ascii="仿宋" w:hAnsi="仿宋" w:eastAsia="仿宋" w:cs="仿宋"/>
          <w:b/>
          <w:sz w:val="24"/>
          <w:szCs w:val="21"/>
        </w:rPr>
      </w:pPr>
      <w:bookmarkStart w:id="246" w:name="_Toc184043035"/>
      <w:bookmarkStart w:id="247" w:name="_Toc4042"/>
      <w:bookmarkStart w:id="248" w:name="_Toc389620187"/>
      <w:bookmarkStart w:id="249" w:name="_Toc70687162"/>
      <w:bookmarkStart w:id="250" w:name="_Toc249525180"/>
      <w:bookmarkStart w:id="251" w:name="_Toc249515299"/>
      <w:bookmarkStart w:id="252" w:name="_Toc385992348"/>
      <w:bookmarkStart w:id="253" w:name="_Toc249515411"/>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pPr>
        <w:tabs>
          <w:tab w:val="left" w:pos="588"/>
        </w:tabs>
        <w:spacing w:line="360" w:lineRule="auto"/>
        <w:ind w:left="840" w:hanging="840" w:hangingChars="350"/>
        <w:rPr>
          <w:rFonts w:hint="eastAsia" w:ascii="仿宋" w:hAnsi="仿宋" w:eastAsia="仿宋" w:cs="仿宋"/>
          <w:sz w:val="24"/>
        </w:rPr>
      </w:pPr>
      <w:bookmarkStart w:id="254" w:name="_Toc385992349"/>
      <w:bookmarkStart w:id="255" w:name="_Toc389620188"/>
      <w:bookmarkStart w:id="256" w:name="_Toc184043036"/>
      <w:bookmarkStart w:id="257" w:name="_Toc70687163"/>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pPr>
        <w:pStyle w:val="4"/>
        <w:rPr>
          <w:rFonts w:hint="eastAsia" w:ascii="仿宋" w:hAnsi="仿宋" w:eastAsia="仿宋" w:cs="仿宋"/>
          <w:b/>
          <w:sz w:val="24"/>
          <w:szCs w:val="21"/>
        </w:rPr>
      </w:pPr>
      <w:bookmarkStart w:id="258" w:name="_Toc31171"/>
      <w:bookmarkStart w:id="259" w:name="_Toc249525181"/>
      <w:bookmarkStart w:id="260" w:name="_Toc249515300"/>
      <w:bookmarkStart w:id="261" w:name="_Toc249515412"/>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pPr>
        <w:tabs>
          <w:tab w:val="left" w:pos="588"/>
        </w:tabs>
        <w:spacing w:line="360" w:lineRule="auto"/>
        <w:rPr>
          <w:rFonts w:hint="eastAsia" w:ascii="仿宋" w:hAnsi="仿宋" w:eastAsia="仿宋" w:cs="仿宋"/>
          <w:sz w:val="24"/>
        </w:rPr>
      </w:pPr>
      <w:bookmarkStart w:id="262" w:name="_Toc385992350"/>
      <w:bookmarkStart w:id="263" w:name="_Toc184043037"/>
      <w:bookmarkStart w:id="264" w:name="_Toc70687164"/>
      <w:bookmarkStart w:id="265" w:name="_Toc389620189"/>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4"/>
        <w:rPr>
          <w:rFonts w:hint="eastAsia" w:ascii="仿宋" w:hAnsi="仿宋" w:eastAsia="仿宋" w:cs="仿宋"/>
          <w:b/>
          <w:sz w:val="24"/>
          <w:szCs w:val="21"/>
        </w:rPr>
      </w:pPr>
      <w:bookmarkStart w:id="266" w:name="_Toc249515413"/>
      <w:bookmarkStart w:id="267" w:name="_Toc249515301"/>
      <w:bookmarkStart w:id="268" w:name="_Toc249525182"/>
      <w:bookmarkStart w:id="269" w:name="_Toc7175"/>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pPr>
        <w:pStyle w:val="4"/>
        <w:rPr>
          <w:rFonts w:hint="eastAsia" w:ascii="仿宋" w:hAnsi="仿宋" w:eastAsia="仿宋" w:cs="仿宋"/>
          <w:b/>
          <w:sz w:val="24"/>
          <w:szCs w:val="21"/>
        </w:rPr>
      </w:pPr>
      <w:bookmarkStart w:id="270" w:name="_Toc70687165"/>
      <w:bookmarkStart w:id="271" w:name="_Toc249515302"/>
      <w:bookmarkStart w:id="272" w:name="_Toc249515414"/>
      <w:bookmarkStart w:id="273" w:name="_Toc385992351"/>
      <w:bookmarkStart w:id="274" w:name="_Toc249525183"/>
      <w:bookmarkStart w:id="275" w:name="_Toc10272"/>
      <w:bookmarkStart w:id="276" w:name="_Toc389620190"/>
      <w:bookmarkStart w:id="277" w:name="_Toc184043038"/>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pPr>
        <w:pStyle w:val="22"/>
        <w:rPr>
          <w:rFonts w:hint="eastAsia" w:ascii="仿宋" w:hAnsi="仿宋" w:eastAsia="仿宋" w:cs="仿宋"/>
        </w:rPr>
      </w:pPr>
    </w:p>
    <w:p>
      <w:pPr>
        <w:pStyle w:val="79"/>
        <w:spacing w:before="24" w:after="24"/>
        <w:ind w:left="3313"/>
        <w:rPr>
          <w:rFonts w:hint="eastAsia" w:ascii="仿宋" w:hAnsi="仿宋" w:eastAsia="仿宋" w:cs="仿宋"/>
          <w:sz w:val="30"/>
          <w:szCs w:val="30"/>
        </w:rPr>
      </w:pPr>
      <w:bookmarkStart w:id="278" w:name="_Hlt491765712"/>
      <w:bookmarkEnd w:id="278"/>
      <w:bookmarkStart w:id="279" w:name="_Hlt497729441"/>
      <w:bookmarkEnd w:id="279"/>
      <w:bookmarkStart w:id="280" w:name="_Toc256342148"/>
      <w:bookmarkStart w:id="281" w:name="_Toc249515303"/>
      <w:bookmarkStart w:id="282" w:name="_Toc249525184"/>
      <w:bookmarkStart w:id="283" w:name="_Toc249515415"/>
      <w:bookmarkStart w:id="284" w:name="_Toc68590973"/>
      <w:bookmarkStart w:id="285" w:name="_Toc176882547"/>
      <w:bookmarkStart w:id="286" w:name="_Toc177189240"/>
      <w:bookmarkStart w:id="287" w:name="_Toc496324584"/>
      <w:bookmarkStart w:id="288" w:name="_Toc492955420"/>
      <w:bookmarkStart w:id="289" w:name="_Toc389620191"/>
      <w:bookmarkStart w:id="290" w:name="_Toc385992352"/>
      <w:bookmarkStart w:id="291" w:name="_Toc184043039"/>
      <w:bookmarkStart w:id="292" w:name="_Toc500746971"/>
      <w:bookmarkStart w:id="293" w:name="_Toc177817339"/>
      <w:bookmarkStart w:id="294" w:name="_Toc53722845"/>
      <w:bookmarkStart w:id="295" w:name="_Toc503063427"/>
      <w:bookmarkStart w:id="296" w:name="_Toc500747194"/>
      <w:bookmarkStart w:id="297" w:name="_Toc499711889"/>
      <w:bookmarkStart w:id="298" w:name="_Toc70687166"/>
      <w:bookmarkStart w:id="299" w:name="_Toc177995478"/>
      <w:bookmarkStart w:id="300" w:name="_Toc500747067"/>
      <w:bookmarkStart w:id="301" w:name="_Toc499711048"/>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pPr>
        <w:pStyle w:val="4"/>
        <w:numPr>
          <w:ilvl w:val="0"/>
          <w:numId w:val="6"/>
        </w:numPr>
        <w:rPr>
          <w:rFonts w:hint="eastAsia" w:ascii="仿宋" w:hAnsi="仿宋" w:eastAsia="仿宋" w:cs="仿宋"/>
          <w:b/>
          <w:sz w:val="24"/>
        </w:rPr>
      </w:pPr>
      <w:bookmarkStart w:id="302" w:name="_Toc249525186"/>
      <w:bookmarkStart w:id="303" w:name="_Toc16042"/>
      <w:bookmarkStart w:id="304" w:name="_Toc249515305"/>
      <w:bookmarkStart w:id="305" w:name="_Toc249515417"/>
      <w:r>
        <w:rPr>
          <w:rFonts w:hint="eastAsia" w:ascii="仿宋" w:hAnsi="仿宋" w:eastAsia="仿宋" w:cs="仿宋"/>
          <w:b/>
          <w:sz w:val="24"/>
        </w:rPr>
        <w:t xml:space="preserve">   磋商小组</w:t>
      </w:r>
      <w:bookmarkEnd w:id="302"/>
      <w:bookmarkEnd w:id="303"/>
      <w:bookmarkEnd w:id="304"/>
      <w:bookmarkEnd w:id="305"/>
    </w:p>
    <w:p>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pPr>
        <w:pStyle w:val="4"/>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pPr>
        <w:pStyle w:val="4"/>
        <w:tabs>
          <w:tab w:val="left" w:pos="360"/>
        </w:tabs>
        <w:ind w:left="840" w:hanging="840" w:hangingChars="350"/>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pPr>
        <w:pStyle w:val="4"/>
        <w:tabs>
          <w:tab w:val="left" w:pos="360"/>
        </w:tabs>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pPr>
        <w:pStyle w:val="4"/>
        <w:rPr>
          <w:rFonts w:hint="eastAsia" w:ascii="仿宋" w:hAnsi="仿宋" w:eastAsia="仿宋" w:cs="仿宋"/>
          <w:b/>
          <w:sz w:val="24"/>
          <w:szCs w:val="21"/>
        </w:rPr>
      </w:pPr>
      <w:bookmarkStart w:id="306" w:name="_Toc83547667"/>
      <w:bookmarkStart w:id="307" w:name="_Toc249525187"/>
      <w:bookmarkStart w:id="308" w:name="_Toc249515306"/>
      <w:bookmarkStart w:id="309" w:name="_Toc20608"/>
      <w:bookmarkStart w:id="310" w:name="_Toc249515418"/>
      <w:r>
        <w:rPr>
          <w:rFonts w:hint="eastAsia" w:ascii="仿宋" w:hAnsi="仿宋" w:eastAsia="仿宋" w:cs="仿宋"/>
          <w:b/>
          <w:sz w:val="24"/>
          <w:szCs w:val="21"/>
        </w:rPr>
        <w:t>23.    磋商程序</w:t>
      </w:r>
    </w:p>
    <w:p>
      <w:pPr>
        <w:pStyle w:val="4"/>
        <w:tabs>
          <w:tab w:val="left" w:pos="360"/>
        </w:tabs>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pPr>
        <w:pStyle w:val="22"/>
        <w:ind w:left="840" w:leftChars="400"/>
        <w:rPr>
          <w:rFonts w:hint="eastAsia" w:ascii="仿宋" w:hAnsi="仿宋" w:eastAsia="仿宋" w:cs="仿宋"/>
          <w:sz w:val="24"/>
          <w:szCs w:val="32"/>
        </w:rPr>
      </w:pPr>
      <w:bookmarkStart w:id="312" w:name="_Toc58504508"/>
      <w:r>
        <w:rPr>
          <w:rFonts w:hint="eastAsia" w:ascii="仿宋" w:hAnsi="仿宋" w:eastAsia="仿宋" w:cs="仿宋"/>
          <w:sz w:val="24"/>
          <w:szCs w:val="32"/>
        </w:rPr>
        <w:t>（1）在磋商文件规定的时间和地点，由采购代理机构组织磋商工作，供应商须委派代表参加，签名以证明其出席。</w:t>
      </w:r>
      <w:bookmarkEnd w:id="312"/>
    </w:p>
    <w:p>
      <w:pPr>
        <w:pStyle w:val="22"/>
        <w:ind w:left="840" w:leftChars="400"/>
        <w:rPr>
          <w:rFonts w:hint="eastAsia" w:ascii="仿宋" w:hAnsi="仿宋" w:eastAsia="仿宋" w:cs="仿宋"/>
          <w:sz w:val="24"/>
          <w:szCs w:val="32"/>
        </w:rPr>
      </w:pPr>
      <w:bookmarkStart w:id="313" w:name="_Toc58504509"/>
      <w:r>
        <w:rPr>
          <w:rFonts w:hint="eastAsia" w:ascii="仿宋" w:hAnsi="仿宋" w:eastAsia="仿宋" w:cs="仿宋"/>
          <w:sz w:val="24"/>
          <w:szCs w:val="32"/>
        </w:rPr>
        <w:t>（2）各供应商或其推荐的代表与采购监督人共同检查响应文件的密封情况，经检查无误后，签字确认。</w:t>
      </w:r>
      <w:bookmarkEnd w:id="313"/>
    </w:p>
    <w:p>
      <w:pPr>
        <w:pStyle w:val="22"/>
        <w:ind w:left="840" w:leftChars="400"/>
        <w:rPr>
          <w:rFonts w:hint="eastAsia" w:ascii="仿宋" w:hAnsi="仿宋" w:eastAsia="仿宋" w:cs="仿宋"/>
          <w:sz w:val="24"/>
          <w:szCs w:val="32"/>
        </w:rPr>
      </w:pPr>
      <w:bookmarkStart w:id="314" w:name="_Toc58504510"/>
      <w:r>
        <w:rPr>
          <w:rFonts w:hint="eastAsia" w:ascii="仿宋" w:hAnsi="仿宋" w:eastAsia="仿宋" w:cs="仿宋"/>
          <w:sz w:val="24"/>
          <w:szCs w:val="32"/>
        </w:rPr>
        <w:t>（3）采购代理机构工作人员按照顺序，将各供应商首次响应文件的份数等内容公布，无异议后，由供应商法定代表人（或授权代表人）和监督人签字确认。</w:t>
      </w:r>
      <w:bookmarkEnd w:id="314"/>
    </w:p>
    <w:p>
      <w:pPr>
        <w:pStyle w:val="4"/>
        <w:tabs>
          <w:tab w:val="left" w:pos="360"/>
        </w:tabs>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r>
        <w:rPr>
          <w:rFonts w:hint="eastAsia" w:ascii="仿宋" w:hAnsi="仿宋" w:eastAsia="仿宋" w:cs="仿宋"/>
          <w:sz w:val="24"/>
        </w:rPr>
        <w:t>。依据《政府采购法》第二十三条和磋商文件的规定，</w:t>
      </w:r>
      <w:r>
        <w:rPr>
          <w:rFonts w:hint="eastAsia" w:ascii="仿宋" w:hAnsi="仿宋" w:eastAsia="仿宋" w:cs="仿宋"/>
          <w:b/>
          <w:sz w:val="24"/>
        </w:rPr>
        <w:t>采购人或采购代理机构负责</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（2）供应商没有经过正常渠道购买或免费领取磋商文件或供应商的名称与获取磋商文件单位的名称不符。</w:t>
      </w:r>
    </w:p>
    <w:p>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2"/>
        <w:ind w:left="840" w:leftChars="400"/>
        <w:rPr>
          <w:rFonts w:hint="eastAsia" w:ascii="仿宋" w:hAnsi="仿宋" w:eastAsia="仿宋" w:cs="仿宋"/>
          <w:sz w:val="24"/>
        </w:rPr>
      </w:pPr>
      <w:r>
        <w:rPr>
          <w:rFonts w:hint="eastAsia" w:ascii="仿宋" w:hAnsi="仿宋" w:eastAsia="仿宋" w:cs="仿宋"/>
          <w:sz w:val="24"/>
        </w:rPr>
        <w:t>（4）信用查询中列入失信被执行人、重大税收违法失信主体、政府采购严重违法失信行为记录名单及其他不符合《中华人民共和国政府采购法》第二十二条规定条件的供应商。</w:t>
      </w:r>
    </w:p>
    <w:p>
      <w:pPr>
        <w:pStyle w:val="22"/>
        <w:ind w:left="840" w:leftChars="400"/>
        <w:rPr>
          <w:rFonts w:hint="eastAsia" w:ascii="仿宋" w:hAnsi="仿宋" w:eastAsia="仿宋" w:cs="仿宋"/>
          <w:sz w:val="24"/>
        </w:rPr>
      </w:pPr>
      <w:r>
        <w:rPr>
          <w:rFonts w:hint="eastAsia" w:ascii="仿宋" w:hAnsi="仿宋" w:eastAsia="仿宋" w:cs="仿宋"/>
          <w:sz w:val="24"/>
        </w:rPr>
        <w:t>（5）采购人或采购代理机构通过“信用中国”网站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 xml:space="preserve"> 等查询相关主体信用记录，并将查询网页打印、存档备查。</w:t>
      </w:r>
    </w:p>
    <w:p>
      <w:pPr>
        <w:pStyle w:val="22"/>
        <w:ind w:left="840" w:leftChars="400"/>
        <w:rPr>
          <w:rFonts w:hint="eastAsia" w:ascii="仿宋" w:hAnsi="仿宋" w:eastAsia="仿宋" w:cs="仿宋"/>
          <w:sz w:val="24"/>
        </w:rPr>
      </w:pPr>
      <w:r>
        <w:rPr>
          <w:rFonts w:hint="eastAsia" w:ascii="仿宋" w:hAnsi="仿宋" w:eastAsia="仿宋" w:cs="仿宋"/>
          <w:sz w:val="24"/>
        </w:rPr>
        <w:t>（6）查询时间为自</w:t>
      </w:r>
      <w:r>
        <w:rPr>
          <w:rFonts w:hint="eastAsia" w:ascii="仿宋" w:hAnsi="仿宋" w:eastAsia="仿宋" w:cs="仿宋"/>
          <w:sz w:val="24"/>
          <w:lang w:val="en-US" w:eastAsia="zh-CN"/>
        </w:rPr>
        <w:t>采购</w:t>
      </w:r>
      <w:r>
        <w:rPr>
          <w:rFonts w:hint="eastAsia" w:ascii="仿宋" w:hAnsi="仿宋" w:eastAsia="仿宋" w:cs="仿宋"/>
          <w:sz w:val="24"/>
        </w:rPr>
        <w:t>文件发售之日起至资格性审查结束之前，此段时间段外，网站信息发生的任何变更均不作为资格审查依据。</w:t>
      </w:r>
    </w:p>
    <w:p>
      <w:pPr>
        <w:pStyle w:val="22"/>
        <w:ind w:left="840" w:leftChars="400"/>
        <w:rPr>
          <w:rFonts w:hint="eastAsia" w:ascii="仿宋" w:hAnsi="仿宋" w:eastAsia="仿宋" w:cs="仿宋"/>
          <w:sz w:val="24"/>
        </w:rPr>
      </w:pPr>
      <w:r>
        <w:rPr>
          <w:rFonts w:hint="eastAsia" w:ascii="仿宋" w:hAnsi="仿宋" w:eastAsia="仿宋" w:cs="仿宋"/>
          <w:sz w:val="24"/>
        </w:rPr>
        <w:t>供应商不良信用记录以采购人或采购代理机构查询结果为准。供应商自行提供的与网站信息不一致的其他证明材料亦不作为资格审查依据。</w:t>
      </w:r>
    </w:p>
    <w:p>
      <w:pPr>
        <w:pStyle w:val="22"/>
        <w:ind w:left="840" w:leftChars="400"/>
        <w:rPr>
          <w:rFonts w:hint="eastAsia" w:ascii="仿宋" w:hAnsi="仿宋" w:eastAsia="仿宋" w:cs="仿宋"/>
          <w:sz w:val="24"/>
          <w:lang w:eastAsia="zh-CN"/>
        </w:rPr>
      </w:pPr>
      <w:r>
        <w:rPr>
          <w:rFonts w:hint="eastAsia" w:ascii="仿宋" w:hAnsi="仿宋" w:eastAsia="仿宋" w:cs="仿宋"/>
          <w:sz w:val="24"/>
        </w:rPr>
        <w:t>（7）</w:t>
      </w:r>
      <w:r>
        <w:rPr>
          <w:rFonts w:hint="eastAsia" w:ascii="仿宋" w:hAnsi="仿宋" w:eastAsia="仿宋" w:cs="仿宋"/>
          <w:sz w:val="24"/>
          <w:lang w:eastAsia="zh-CN"/>
        </w:rPr>
        <w:t>（</w:t>
      </w:r>
      <w:r>
        <w:rPr>
          <w:rFonts w:hint="eastAsia" w:ascii="仿宋" w:hAnsi="仿宋" w:eastAsia="仿宋"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 w:val="24"/>
          <w:lang w:eastAsia="zh-CN"/>
        </w:rPr>
        <w:t>）</w:t>
      </w:r>
    </w:p>
    <w:p>
      <w:pPr>
        <w:pStyle w:val="22"/>
        <w:ind w:left="843" w:hanging="843" w:hangingChars="350"/>
        <w:rPr>
          <w:rFonts w:hint="eastAsia"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（2）磋商响应文件未按磋商文件要求进行法定代表人或其授权代表签字。</w:t>
      </w:r>
    </w:p>
    <w:p>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p>
    <w:p>
      <w:pPr>
        <w:pStyle w:val="22"/>
        <w:ind w:left="840" w:leftChars="400"/>
        <w:rPr>
          <w:rFonts w:hint="eastAsia" w:ascii="仿宋" w:hAnsi="仿宋" w:eastAsia="仿宋" w:cs="仿宋"/>
          <w:sz w:val="24"/>
        </w:rPr>
      </w:pPr>
      <w:r>
        <w:rPr>
          <w:rFonts w:hint="eastAsia" w:ascii="仿宋" w:hAnsi="仿宋" w:eastAsia="仿宋" w:cs="仿宋"/>
          <w:sz w:val="24"/>
        </w:rPr>
        <w:t>（6）响应文件中对合同草案条款附加了采购人难以接受的条件。</w:t>
      </w:r>
    </w:p>
    <w:p>
      <w:pPr>
        <w:pStyle w:val="22"/>
        <w:ind w:left="840" w:leftChars="400"/>
        <w:rPr>
          <w:rFonts w:hint="eastAsia" w:ascii="仿宋" w:hAnsi="仿宋" w:eastAsia="仿宋" w:cs="仿宋"/>
          <w:sz w:val="24"/>
        </w:rPr>
      </w:pPr>
      <w:r>
        <w:rPr>
          <w:rFonts w:hint="eastAsia" w:ascii="仿宋" w:hAnsi="仿宋" w:eastAsia="仿宋" w:cs="仿宋"/>
          <w:sz w:val="24"/>
        </w:rPr>
        <w:t>（7）磋商内容出现漏项或数量与要求不符，出现重大负偏差。</w:t>
      </w:r>
    </w:p>
    <w:p>
      <w:pPr>
        <w:pStyle w:val="22"/>
        <w:ind w:left="840" w:leftChars="400"/>
        <w:rPr>
          <w:rFonts w:hint="eastAsia" w:ascii="仿宋" w:hAnsi="仿宋" w:eastAsia="仿宋" w:cs="仿宋"/>
          <w:sz w:val="24"/>
        </w:rPr>
      </w:pPr>
      <w:r>
        <w:rPr>
          <w:rFonts w:hint="eastAsia" w:ascii="仿宋" w:hAnsi="仿宋" w:eastAsia="仿宋" w:cs="仿宋"/>
          <w:sz w:val="24"/>
        </w:rPr>
        <w:t>（8）响应文件中</w:t>
      </w:r>
      <w:r>
        <w:rPr>
          <w:rFonts w:hint="eastAsia" w:ascii="仿宋" w:hAnsi="仿宋" w:eastAsia="仿宋" w:cs="仿宋"/>
          <w:sz w:val="24"/>
          <w:lang w:eastAsia="zh-CN"/>
        </w:rPr>
        <w:t>服务要求</w:t>
      </w:r>
      <w:r>
        <w:rPr>
          <w:rFonts w:hint="eastAsia" w:ascii="仿宋" w:hAnsi="仿宋" w:eastAsia="仿宋" w:cs="仿宋"/>
          <w:sz w:val="24"/>
          <w:lang w:val="en-US" w:eastAsia="zh-CN"/>
        </w:rPr>
        <w:t>/</w:t>
      </w:r>
      <w:r>
        <w:rPr>
          <w:rFonts w:hint="eastAsia" w:ascii="仿宋" w:hAnsi="仿宋" w:eastAsia="仿宋" w:cs="仿宋"/>
          <w:sz w:val="24"/>
        </w:rPr>
        <w:t>技术指标达不到采购要求，降低了产品档次或影响产品性能、功能。</w:t>
      </w:r>
    </w:p>
    <w:p>
      <w:pPr>
        <w:pStyle w:val="22"/>
        <w:ind w:left="840" w:leftChars="400"/>
        <w:rPr>
          <w:rFonts w:hint="eastAsia" w:ascii="仿宋" w:hAnsi="仿宋" w:eastAsia="仿宋" w:cs="仿宋"/>
          <w:sz w:val="24"/>
        </w:rPr>
      </w:pPr>
      <w:r>
        <w:rPr>
          <w:rFonts w:hint="eastAsia" w:ascii="仿宋" w:hAnsi="仿宋" w:eastAsia="仿宋" w:cs="仿宋"/>
          <w:sz w:val="24"/>
        </w:rPr>
        <w:t>（9）响应报价与市场价偏离较大，低于成本，形成不正当竞争。</w:t>
      </w:r>
    </w:p>
    <w:p>
      <w:pPr>
        <w:pStyle w:val="22"/>
        <w:ind w:left="840" w:leftChars="400"/>
        <w:rPr>
          <w:rFonts w:hint="eastAsia" w:ascii="仿宋" w:hAnsi="仿宋" w:eastAsia="仿宋" w:cs="仿宋"/>
          <w:sz w:val="24"/>
        </w:rPr>
      </w:pPr>
      <w:r>
        <w:rPr>
          <w:rFonts w:hint="eastAsia" w:ascii="仿宋" w:hAnsi="仿宋" w:eastAsia="仿宋" w:cs="仿宋"/>
          <w:sz w:val="24"/>
        </w:rPr>
        <w:t>（10）供应商提供虚假证明，开具虚假资质，出现虚假应答或故意隐瞒行为。</w:t>
      </w:r>
    </w:p>
    <w:p>
      <w:pPr>
        <w:pStyle w:val="22"/>
        <w:ind w:left="840" w:leftChars="400"/>
        <w:rPr>
          <w:rFonts w:hint="eastAsia" w:ascii="仿宋" w:hAnsi="仿宋" w:eastAsia="仿宋" w:cs="仿宋"/>
          <w:sz w:val="24"/>
        </w:rPr>
      </w:pPr>
      <w:r>
        <w:rPr>
          <w:rFonts w:hint="eastAsia" w:ascii="仿宋" w:hAnsi="仿宋" w:eastAsia="仿宋" w:cs="仿宋"/>
          <w:sz w:val="24"/>
        </w:rPr>
        <w:t>（11）未按照磋商文件给出格式填写投标保证金信用承诺书</w:t>
      </w:r>
      <w:r>
        <w:rPr>
          <w:rFonts w:hint="eastAsia" w:ascii="仿宋" w:hAnsi="仿宋" w:eastAsia="仿宋" w:cs="仿宋"/>
          <w:sz w:val="24"/>
          <w:lang w:eastAsia="zh-CN"/>
        </w:rPr>
        <w:t>。</w:t>
      </w:r>
      <w:r>
        <w:rPr>
          <w:rFonts w:hint="eastAsia" w:ascii="仿宋" w:hAnsi="仿宋" w:eastAsia="仿宋" w:cs="仿宋"/>
          <w:sz w:val="24"/>
        </w:rPr>
        <w:t xml:space="preserve"> </w:t>
      </w:r>
    </w:p>
    <w:p>
      <w:pPr>
        <w:pStyle w:val="4"/>
        <w:tabs>
          <w:tab w:val="left" w:pos="360"/>
        </w:tabs>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pPr>
        <w:pStyle w:val="22"/>
        <w:ind w:left="840" w:hanging="840" w:hangingChars="350"/>
        <w:rPr>
          <w:rFonts w:hint="eastAsia" w:ascii="仿宋" w:hAnsi="仿宋" w:eastAsia="仿宋" w:cs="仿宋"/>
          <w:sz w:val="24"/>
        </w:rPr>
      </w:pPr>
      <w:r>
        <w:rPr>
          <w:rFonts w:hint="eastAsia" w:ascii="仿宋" w:hAnsi="仿宋" w:eastAsia="仿宋" w:cs="仿宋"/>
          <w:sz w:val="24"/>
        </w:rPr>
        <w:t>23.4.2 最后报价应按报价的格式内容填写，并且同时提交最后响应报价表、最后报价明细表、最后节能、环境标志产品明细表</w:t>
      </w:r>
      <w:r>
        <w:rPr>
          <w:rFonts w:hint="eastAsia" w:ascii="仿宋" w:hAnsi="仿宋" w:eastAsia="仿宋" w:cs="仿宋"/>
          <w:sz w:val="24"/>
          <w:lang w:eastAsia="zh-CN"/>
        </w:rPr>
        <w:t>（如有）</w:t>
      </w:r>
      <w:r>
        <w:rPr>
          <w:rFonts w:hint="eastAsia" w:ascii="仿宋" w:hAnsi="仿宋" w:eastAsia="仿宋" w:cs="仿宋"/>
          <w:sz w:val="24"/>
        </w:rPr>
        <w:t>等内容。各供应商在提交响应文件时，应对最后报价加盖供应商红色公章，且由法定代表人（或授权代表人）签字。</w:t>
      </w:r>
    </w:p>
    <w:p>
      <w:pPr>
        <w:pStyle w:val="4"/>
        <w:rPr>
          <w:rFonts w:hint="eastAsia" w:ascii="仿宋" w:hAnsi="仿宋" w:eastAsia="仿宋" w:cs="仿宋"/>
          <w:b/>
          <w:bCs/>
          <w:sz w:val="24"/>
          <w:szCs w:val="21"/>
        </w:rPr>
      </w:pPr>
      <w:bookmarkStart w:id="319" w:name="_Toc151193644"/>
      <w:bookmarkStart w:id="320" w:name="_Toc127151747"/>
      <w:bookmarkStart w:id="321" w:name="_Toc150509297"/>
      <w:bookmarkStart w:id="322" w:name="_Toc127151546"/>
      <w:bookmarkStart w:id="323" w:name="_Toc151193716"/>
      <w:bookmarkStart w:id="324" w:name="_Toc151193860"/>
      <w:bookmarkStart w:id="325" w:name="_Toc195842911"/>
      <w:bookmarkStart w:id="326" w:name="_Toc127161460"/>
      <w:bookmarkStart w:id="327" w:name="_Toc150774751"/>
      <w:bookmarkStart w:id="328" w:name="_Toc249515422"/>
      <w:bookmarkStart w:id="329" w:name="_Toc164229241"/>
      <w:bookmarkStart w:id="330" w:name="_Toc151193788"/>
      <w:bookmarkStart w:id="331" w:name="_Toc142311048"/>
      <w:bookmarkStart w:id="332" w:name="_Toc249525191"/>
      <w:bookmarkStart w:id="333" w:name="_Toc149720839"/>
      <w:bookmarkStart w:id="334" w:name="_Toc13753"/>
      <w:bookmarkStart w:id="335" w:name="_Toc520356170"/>
      <w:bookmarkStart w:id="336" w:name="_Toc151193934"/>
      <w:bookmarkStart w:id="337" w:name="_Toc164608660"/>
      <w:bookmarkStart w:id="338" w:name="_Ref467307010"/>
      <w:bookmarkStart w:id="339" w:name="_Toc151190173"/>
      <w:bookmarkStart w:id="340" w:name="_Toc249515310"/>
      <w:bookmarkStart w:id="341" w:name="_Toc164351640"/>
      <w:bookmarkStart w:id="342" w:name="_Toc164608815"/>
      <w:bookmarkStart w:id="343" w:name="_Toc150774646"/>
      <w:bookmarkStart w:id="344" w:name="_Toc164229387"/>
      <w:bookmarkStart w:id="345" w:name="_Toc150480784"/>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79"/>
        <w:spacing w:before="24" w:after="24"/>
        <w:jc w:val="center"/>
        <w:rPr>
          <w:rFonts w:hint="eastAsia" w:ascii="仿宋" w:hAnsi="仿宋" w:eastAsia="仿宋" w:cs="仿宋"/>
          <w:sz w:val="30"/>
          <w:szCs w:val="30"/>
        </w:rPr>
      </w:pPr>
      <w:bookmarkStart w:id="346" w:name="_Hlt491765714"/>
      <w:bookmarkEnd w:id="346"/>
      <w:bookmarkStart w:id="347" w:name="_Hlt497729446"/>
      <w:bookmarkEnd w:id="347"/>
      <w:bookmarkStart w:id="348" w:name="_Toc249515311"/>
      <w:bookmarkStart w:id="349" w:name="_Toc249515423"/>
      <w:bookmarkStart w:id="350" w:name="_Toc68590974"/>
      <w:bookmarkStart w:id="351" w:name="_Toc249525192"/>
      <w:bookmarkStart w:id="352" w:name="_Toc232176278"/>
      <w:bookmarkStart w:id="353" w:name="_Toc232395218"/>
      <w:bookmarkStart w:id="354" w:name="_Toc256342149"/>
      <w:bookmarkStart w:id="355" w:name="_Toc184043047"/>
      <w:bookmarkStart w:id="356" w:name="_Toc70687174"/>
      <w:bookmarkStart w:id="357" w:name="_Toc499711890"/>
      <w:bookmarkStart w:id="358" w:name="_Toc177995479"/>
      <w:bookmarkStart w:id="359" w:name="_Toc177189241"/>
      <w:bookmarkStart w:id="360" w:name="_Toc496324585"/>
      <w:bookmarkStart w:id="361" w:name="_Toc177817340"/>
      <w:bookmarkStart w:id="362" w:name="_Toc499711049"/>
      <w:bookmarkStart w:id="363" w:name="_Toc53722846"/>
      <w:bookmarkStart w:id="364" w:name="_Toc389620199"/>
      <w:bookmarkStart w:id="365" w:name="_Toc503063428"/>
      <w:bookmarkStart w:id="366" w:name="_Toc500746972"/>
      <w:bookmarkStart w:id="367" w:name="_Toc176882548"/>
      <w:bookmarkStart w:id="368" w:name="_Toc500747195"/>
      <w:bookmarkStart w:id="369" w:name="_Toc492955421"/>
      <w:bookmarkStart w:id="370" w:name="_Toc385992360"/>
      <w:bookmarkStart w:id="371" w:name="_Toc500747068"/>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4"/>
        <w:numPr>
          <w:ilvl w:val="0"/>
          <w:numId w:val="7"/>
        </w:numPr>
        <w:rPr>
          <w:rFonts w:hint="eastAsia" w:ascii="仿宋" w:hAnsi="仿宋" w:eastAsia="仿宋" w:cs="仿宋"/>
          <w:b/>
          <w:bCs/>
          <w:sz w:val="24"/>
          <w:szCs w:val="21"/>
        </w:rPr>
      </w:pPr>
      <w:bookmarkStart w:id="372" w:name="_Toc70687175"/>
      <w:bookmarkStart w:id="373" w:name="_Toc249525193"/>
      <w:bookmarkStart w:id="374" w:name="_Toc385992361"/>
      <w:bookmarkStart w:id="375" w:name="_Toc27151"/>
      <w:bookmarkStart w:id="376" w:name="_Toc184043048"/>
      <w:bookmarkStart w:id="377" w:name="_Toc249515312"/>
      <w:bookmarkStart w:id="378" w:name="_Toc249515424"/>
      <w:bookmarkStart w:id="379" w:name="_Toc389620200"/>
      <w:r>
        <w:rPr>
          <w:rFonts w:hint="eastAsia" w:ascii="仿宋" w:hAnsi="仿宋" w:eastAsia="仿宋" w:cs="仿宋"/>
          <w:b/>
          <w:bCs/>
          <w:sz w:val="24"/>
          <w:szCs w:val="21"/>
        </w:rPr>
        <w:t xml:space="preserve">   </w:t>
      </w:r>
      <w:r>
        <w:rPr>
          <w:rFonts w:hint="eastAsia" w:ascii="仿宋" w:hAnsi="仿宋" w:eastAsia="仿宋" w:cs="仿宋"/>
          <w:b/>
          <w:bCs/>
          <w:sz w:val="24"/>
          <w:szCs w:val="21"/>
          <w:lang w:val="en-US" w:eastAsia="zh-CN"/>
        </w:rPr>
        <w:t xml:space="preserve"> </w:t>
      </w:r>
      <w:r>
        <w:rPr>
          <w:rFonts w:hint="eastAsia" w:ascii="仿宋" w:hAnsi="仿宋" w:eastAsia="仿宋" w:cs="仿宋"/>
          <w:b/>
          <w:bCs/>
          <w:sz w:val="24"/>
          <w:szCs w:val="21"/>
        </w:rPr>
        <w:t>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25.4   采购代理机构将评审过程及成交供应商情况书面报监督机构备案。</w:t>
      </w:r>
      <w:bookmarkStart w:id="380" w:name="_Toc385992364"/>
      <w:bookmarkStart w:id="381" w:name="_Toc389620203"/>
    </w:p>
    <w:bookmarkEnd w:id="380"/>
    <w:bookmarkEnd w:id="381"/>
    <w:p>
      <w:pPr>
        <w:pStyle w:val="4"/>
        <w:rPr>
          <w:rFonts w:hint="eastAsia" w:ascii="仿宋" w:hAnsi="仿宋" w:eastAsia="仿宋" w:cs="仿宋"/>
          <w:b/>
          <w:bCs/>
          <w:sz w:val="24"/>
          <w:szCs w:val="21"/>
        </w:rPr>
      </w:pPr>
      <w:bookmarkStart w:id="382" w:name="_Toc385992365"/>
      <w:bookmarkStart w:id="383" w:name="_Toc389620204"/>
      <w:r>
        <w:rPr>
          <w:rFonts w:hint="eastAsia" w:ascii="仿宋" w:hAnsi="仿宋" w:eastAsia="仿宋" w:cs="仿宋"/>
          <w:b/>
          <w:bCs/>
          <w:sz w:val="24"/>
          <w:szCs w:val="21"/>
        </w:rPr>
        <w:t>26.    合同</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26.3   成交供应商签订合同后，持合同原件到采购代理机构，或采购代理机构根据陕西省政府采购网合同备案结果办理保证金退还手续。</w:t>
      </w:r>
    </w:p>
    <w:p>
      <w:pPr>
        <w:pStyle w:val="4"/>
        <w:rPr>
          <w:rFonts w:hint="eastAsia" w:ascii="仿宋" w:hAnsi="仿宋" w:eastAsia="仿宋" w:cs="仿宋"/>
          <w:b/>
          <w:bCs/>
          <w:sz w:val="24"/>
          <w:szCs w:val="21"/>
        </w:rPr>
      </w:pPr>
      <w:r>
        <w:rPr>
          <w:rFonts w:hint="eastAsia" w:ascii="仿宋" w:hAnsi="仿宋" w:eastAsia="仿宋" w:cs="仿宋"/>
          <w:b/>
          <w:bCs/>
          <w:sz w:val="24"/>
          <w:szCs w:val="21"/>
        </w:rPr>
        <w:t>27.    询问与质疑 </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供应商对政府采购活动事项有疑问的，可以向采购人提出询问。</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27.3   质疑供应商在法定质疑期内须一次性提出针对同一采购程序环节的质疑。</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pPr>
        <w:pStyle w:val="69"/>
        <w:numPr>
          <w:ilvl w:val="0"/>
          <w:numId w:val="8"/>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供应商的姓名或者名称、地址、邮编、联系人及联系电话；</w:t>
      </w:r>
    </w:p>
    <w:p>
      <w:pPr>
        <w:pStyle w:val="69"/>
        <w:numPr>
          <w:ilvl w:val="0"/>
          <w:numId w:val="8"/>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质疑项目的名称、编号；</w:t>
      </w:r>
    </w:p>
    <w:p>
      <w:pPr>
        <w:pStyle w:val="69"/>
        <w:numPr>
          <w:ilvl w:val="0"/>
          <w:numId w:val="8"/>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具体、明确的质疑事项和与质疑事项相关的请求；</w:t>
      </w:r>
    </w:p>
    <w:p>
      <w:pPr>
        <w:pStyle w:val="69"/>
        <w:numPr>
          <w:ilvl w:val="0"/>
          <w:numId w:val="8"/>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事实依据；</w:t>
      </w:r>
    </w:p>
    <w:p>
      <w:pPr>
        <w:pStyle w:val="69"/>
        <w:numPr>
          <w:ilvl w:val="0"/>
          <w:numId w:val="8"/>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必要的法律依据；</w:t>
      </w:r>
    </w:p>
    <w:p>
      <w:pPr>
        <w:pStyle w:val="69"/>
        <w:numPr>
          <w:ilvl w:val="0"/>
          <w:numId w:val="8"/>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提出质疑的日期。</w:t>
      </w:r>
    </w:p>
    <w:p>
      <w:pPr>
        <w:pStyle w:val="69"/>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综合办公室</w:t>
      </w:r>
      <w:r>
        <w:rPr>
          <w:rFonts w:hint="eastAsia" w:ascii="仿宋" w:hAnsi="仿宋" w:eastAsia="仿宋" w:cs="仿宋"/>
          <w:sz w:val="24"/>
        </w:rPr>
        <w:t>，联系电话：029-85235014</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2"/>
    <w:bookmarkEnd w:id="383"/>
    <w:p>
      <w:pPr>
        <w:pStyle w:val="4"/>
        <w:rPr>
          <w:rFonts w:hint="eastAsia" w:ascii="仿宋" w:hAnsi="仿宋" w:eastAsia="仿宋" w:cs="仿宋"/>
          <w:b/>
          <w:bCs/>
          <w:sz w:val="24"/>
          <w:szCs w:val="21"/>
        </w:rPr>
      </w:pPr>
      <w:bookmarkStart w:id="384" w:name="_Toc25547"/>
      <w:r>
        <w:rPr>
          <w:rFonts w:hint="eastAsia" w:ascii="仿宋" w:hAnsi="仿宋" w:eastAsia="仿宋" w:cs="仿宋"/>
          <w:b/>
          <w:bCs/>
          <w:sz w:val="24"/>
          <w:szCs w:val="21"/>
        </w:rPr>
        <w:t>28.    履约保证金</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28.1   履约保证金金额见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28.2   履约保证金缴纳时间：合同签订前必须交纳至（采购人）。</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28.3   履约保证金缴纳形式：成交供应商应当以支票、汇票、本票、保函（格式见附件2）等非现金形式缴纳。</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28.4   履约保证金收取单位名称：</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开户银行：</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账号：</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               联系电话：</w:t>
      </w:r>
    </w:p>
    <w:p>
      <w:pPr>
        <w:tabs>
          <w:tab w:val="left" w:pos="588"/>
        </w:tabs>
        <w:spacing w:line="360" w:lineRule="auto"/>
        <w:rPr>
          <w:rFonts w:hint="eastAsia" w:ascii="仿宋" w:hAnsi="仿宋" w:eastAsia="仿宋" w:cs="仿宋"/>
          <w:sz w:val="24"/>
          <w:lang w:eastAsia="zh-CN"/>
        </w:rPr>
      </w:pPr>
      <w:r>
        <w:rPr>
          <w:rFonts w:hint="eastAsia" w:ascii="仿宋" w:hAnsi="仿宋" w:eastAsia="仿宋" w:cs="仿宋"/>
          <w:sz w:val="24"/>
        </w:rPr>
        <w:t>28.5   履约保证金退还的方式、时间、条件：</w:t>
      </w:r>
      <w:r>
        <w:rPr>
          <w:rFonts w:hint="eastAsia" w:ascii="仿宋" w:hAnsi="仿宋" w:eastAsia="仿宋" w:cs="仿宋"/>
          <w:sz w:val="24"/>
          <w:lang w:val="en-US" w:eastAsia="zh-CN"/>
        </w:rPr>
        <w:t>/</w:t>
      </w:r>
    </w:p>
    <w:p>
      <w:pPr>
        <w:tabs>
          <w:tab w:val="left" w:pos="588"/>
        </w:tabs>
        <w:spacing w:line="360" w:lineRule="auto"/>
        <w:rPr>
          <w:rFonts w:hint="eastAsia" w:ascii="仿宋" w:hAnsi="仿宋" w:eastAsia="仿宋" w:cs="仿宋"/>
          <w:sz w:val="24"/>
          <w:lang w:eastAsia="zh-CN"/>
        </w:rPr>
      </w:pPr>
      <w:r>
        <w:rPr>
          <w:rFonts w:hint="eastAsia" w:ascii="仿宋" w:hAnsi="仿宋" w:eastAsia="仿宋" w:cs="仿宋"/>
          <w:sz w:val="24"/>
        </w:rPr>
        <w:t>28.6   履约保证金不予退还的情况：</w:t>
      </w:r>
      <w:r>
        <w:rPr>
          <w:rFonts w:hint="eastAsia" w:ascii="仿宋" w:hAnsi="仿宋" w:eastAsia="仿宋" w:cs="仿宋"/>
          <w:sz w:val="24"/>
          <w:lang w:val="en-US" w:eastAsia="zh-CN"/>
        </w:rPr>
        <w:t>/</w:t>
      </w:r>
    </w:p>
    <w:p>
      <w:pPr>
        <w:tabs>
          <w:tab w:val="left" w:pos="588"/>
        </w:tabs>
        <w:spacing w:line="360" w:lineRule="auto"/>
        <w:rPr>
          <w:rFonts w:hint="eastAsia" w:ascii="仿宋" w:hAnsi="仿宋" w:eastAsia="仿宋" w:cs="仿宋"/>
          <w:sz w:val="24"/>
          <w:lang w:eastAsia="zh-CN"/>
        </w:rPr>
      </w:pPr>
      <w:r>
        <w:rPr>
          <w:rFonts w:hint="eastAsia" w:ascii="仿宋" w:hAnsi="仿宋" w:eastAsia="仿宋" w:cs="仿宋"/>
          <w:sz w:val="24"/>
        </w:rPr>
        <w:t>28.7   逾期退还履约保证金的违约责任：</w:t>
      </w:r>
      <w:r>
        <w:rPr>
          <w:rFonts w:hint="eastAsia" w:ascii="仿宋" w:hAnsi="仿宋" w:eastAsia="仿宋" w:cs="仿宋"/>
          <w:sz w:val="24"/>
          <w:lang w:val="en-US" w:eastAsia="zh-CN"/>
        </w:rPr>
        <w:t>/</w:t>
      </w:r>
    </w:p>
    <w:p>
      <w:pPr>
        <w:pStyle w:val="4"/>
        <w:rPr>
          <w:rFonts w:hint="eastAsia" w:ascii="仿宋" w:hAnsi="仿宋" w:eastAsia="仿宋" w:cs="仿宋"/>
          <w:b/>
          <w:bCs/>
          <w:sz w:val="24"/>
          <w:szCs w:val="21"/>
        </w:rPr>
      </w:pPr>
      <w:r>
        <w:rPr>
          <w:rFonts w:hint="eastAsia" w:ascii="仿宋" w:hAnsi="仿宋" w:eastAsia="仿宋" w:cs="仿宋"/>
          <w:b/>
          <w:bCs/>
          <w:sz w:val="24"/>
          <w:szCs w:val="21"/>
        </w:rPr>
        <w:t>29.    成交服务费</w:t>
      </w:r>
      <w:bookmarkEnd w:id="384"/>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29.1   成交供应商在领取成交通知书前，须向采购代理机构支付成交服务费，服务费由采购人与采购代理机构约定：</w:t>
      </w:r>
    </w:p>
    <w:p>
      <w:pPr>
        <w:snapToGrid w:val="0"/>
        <w:spacing w:line="360" w:lineRule="auto"/>
        <w:ind w:left="840" w:leftChars="4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参照原国家计委计价格〔2002〕1980号文和国家发改委发改办价格〔2003〕857号文的计算方法（按标段）收取。</w:t>
      </w:r>
    </w:p>
    <w:p>
      <w:pPr>
        <w:snapToGrid w:val="0"/>
        <w:spacing w:line="360" w:lineRule="auto"/>
        <w:rPr>
          <w:rFonts w:hint="eastAsia" w:ascii="仿宋" w:hAnsi="仿宋" w:eastAsia="仿宋" w:cs="仿宋"/>
          <w:sz w:val="24"/>
        </w:rPr>
      </w:pPr>
      <w:r>
        <w:rPr>
          <w:rFonts w:hint="eastAsia" w:ascii="仿宋" w:hAnsi="仿宋" w:eastAsia="仿宋" w:cs="仿宋"/>
          <w:sz w:val="24"/>
        </w:rPr>
        <w:t>29.2   成交单位的代理服务费交纳信息</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银行户名：陕西省采购招标有限责任公司</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开户银行：中国光大银行西安友谊路支行</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账    号：78560188000095264</w:t>
      </w:r>
    </w:p>
    <w:p>
      <w:pPr>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lang w:val="en-US" w:eastAsia="zh-CN"/>
        </w:rPr>
        <w:t>财务部</w:t>
      </w:r>
      <w:r>
        <w:rPr>
          <w:rFonts w:hint="eastAsia" w:ascii="仿宋" w:hAnsi="仿宋" w:eastAsia="仿宋" w:cs="仿宋"/>
          <w:sz w:val="24"/>
        </w:rPr>
        <w:t xml:space="preserve">   联系电话：029-85263975</w:t>
      </w:r>
    </w:p>
    <w:p>
      <w:pPr>
        <w:snapToGrid w:val="0"/>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29.3    成交服务费已包含在供应商的响应报价中，不在响应分项报价表中单独列项。</w:t>
      </w:r>
    </w:p>
    <w:p>
      <w:pPr>
        <w:pStyle w:val="4"/>
        <w:numPr>
          <w:ilvl w:val="0"/>
          <w:numId w:val="9"/>
        </w:numPr>
        <w:rPr>
          <w:rFonts w:hint="eastAsia" w:ascii="仿宋" w:hAnsi="仿宋" w:eastAsia="仿宋" w:cs="仿宋"/>
          <w:b/>
          <w:bCs/>
          <w:sz w:val="24"/>
          <w:szCs w:val="21"/>
        </w:rPr>
      </w:pPr>
      <w:bookmarkStart w:id="385" w:name="_Toc1585"/>
      <w:r>
        <w:rPr>
          <w:rFonts w:hint="eastAsia" w:ascii="仿宋" w:hAnsi="仿宋" w:eastAsia="仿宋" w:cs="仿宋"/>
          <w:b/>
          <w:bCs/>
          <w:sz w:val="24"/>
          <w:szCs w:val="21"/>
        </w:rPr>
        <w:t xml:space="preserve">  </w:t>
      </w:r>
      <w:r>
        <w:rPr>
          <w:rFonts w:hint="eastAsia" w:ascii="仿宋" w:hAnsi="仿宋" w:eastAsia="仿宋" w:cs="仿宋"/>
          <w:b/>
          <w:bCs/>
          <w:sz w:val="24"/>
          <w:szCs w:val="21"/>
          <w:lang w:val="en-US" w:eastAsia="zh-CN"/>
        </w:rPr>
        <w:t xml:space="preserve"> </w:t>
      </w:r>
      <w:r>
        <w:rPr>
          <w:rFonts w:hint="eastAsia" w:ascii="仿宋" w:hAnsi="仿宋" w:eastAsia="仿宋" w:cs="仿宋"/>
          <w:b/>
          <w:bCs/>
          <w:sz w:val="24"/>
          <w:szCs w:val="21"/>
        </w:rPr>
        <w:t>采购人追加采购数量的权力</w:t>
      </w:r>
      <w:bookmarkEnd w:id="385"/>
    </w:p>
    <w:p>
      <w:pPr>
        <w:tabs>
          <w:tab w:val="left" w:pos="588"/>
        </w:tabs>
        <w:spacing w:line="360" w:lineRule="auto"/>
        <w:ind w:left="840" w:leftChars="400"/>
        <w:rPr>
          <w:rFonts w:hint="eastAsia" w:ascii="仿宋" w:hAnsi="仿宋" w:eastAsia="仿宋" w:cs="仿宋"/>
          <w:sz w:val="24"/>
        </w:rPr>
      </w:pPr>
      <w:bookmarkStart w:id="386" w:name="_Toc385992366"/>
      <w:bookmarkStart w:id="387" w:name="_Toc389620205"/>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4"/>
        <w:numPr>
          <w:ilvl w:val="0"/>
          <w:numId w:val="9"/>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pPr>
        <w:pStyle w:val="4"/>
        <w:numPr>
          <w:ilvl w:val="0"/>
          <w:numId w:val="9"/>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t>
      </w:r>
      <w:r>
        <w:rPr>
          <w:rFonts w:hint="eastAsia" w:ascii="仿宋" w:hAnsi="仿宋" w:eastAsia="仿宋" w:cs="仿宋"/>
          <w:sz w:val="24"/>
          <w:lang w:eastAsia="zh-CN"/>
        </w:rPr>
        <w:t>：</w:t>
      </w:r>
      <w:r>
        <w:rPr>
          <w:rFonts w:hint="eastAsia" w:ascii="仿宋" w:hAnsi="仿宋" w:eastAsia="仿宋" w:cs="仿宋"/>
          <w:sz w:val="24"/>
        </w:rPr>
        <w:t>//www.ccgp-shaanxi.gov.cn/zcdservice/zcd/shanxi/）”了解详情。</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pPr>
        <w:pStyle w:val="22"/>
        <w:tabs>
          <w:tab w:val="left" w:pos="567"/>
        </w:tabs>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pPr>
        <w:pStyle w:val="22"/>
        <w:ind w:left="735" w:hanging="735" w:hangingChars="350"/>
        <w:jc w:val="center"/>
        <w:rPr>
          <w:rFonts w:hint="eastAsia" w:ascii="仿宋" w:hAnsi="仿宋" w:eastAsia="仿宋" w:cs="仿宋"/>
          <w:sz w:val="24"/>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pPr>
        <w:pStyle w:val="22"/>
        <w:tabs>
          <w:tab w:val="left" w:pos="567"/>
        </w:tabs>
        <w:rPr>
          <w:rFonts w:hint="eastAsia" w:ascii="仿宋" w:hAnsi="仿宋" w:eastAsia="仿宋" w:cs="仿宋"/>
          <w:sz w:val="24"/>
          <w:szCs w:val="32"/>
        </w:rPr>
      </w:pPr>
    </w:p>
    <w:p>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pPr>
        <w:rPr>
          <w:rFonts w:hint="eastAsia" w:ascii="仿宋" w:hAnsi="仿宋" w:eastAsia="仿宋" w:cs="仿宋"/>
          <w:b/>
          <w:szCs w:val="21"/>
        </w:rPr>
      </w:pPr>
      <w:r>
        <w:rPr>
          <w:rFonts w:hint="eastAsia" w:ascii="仿宋" w:hAnsi="仿宋" w:eastAsia="仿宋" w:cs="仿宋"/>
          <w:b/>
          <w:szCs w:val="21"/>
        </w:rPr>
        <w:t>三、工商银行（政采贷）</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pPr>
        <w:rPr>
          <w:rFonts w:hint="eastAsia" w:ascii="仿宋" w:hAnsi="仿宋" w:eastAsia="仿宋" w:cs="仿宋"/>
          <w:b/>
          <w:szCs w:val="21"/>
        </w:rPr>
      </w:pPr>
      <w:r>
        <w:rPr>
          <w:rFonts w:hint="eastAsia" w:ascii="仿宋" w:hAnsi="仿宋" w:eastAsia="仿宋" w:cs="仿宋"/>
          <w:b/>
          <w:szCs w:val="21"/>
        </w:rPr>
        <w:t>四、中信银行 （政采e贷）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pPr>
        <w:rPr>
          <w:rFonts w:hint="eastAsia" w:ascii="仿宋" w:hAnsi="仿宋" w:eastAsia="仿宋" w:cs="仿宋"/>
          <w:b/>
          <w:szCs w:val="21"/>
        </w:rPr>
      </w:pPr>
      <w:r>
        <w:rPr>
          <w:rFonts w:hint="eastAsia" w:ascii="仿宋" w:hAnsi="仿宋" w:eastAsia="仿宋" w:cs="仿宋"/>
          <w:b/>
          <w:szCs w:val="21"/>
        </w:rPr>
        <w:t>六、浦发银行 （政采e贷）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pPr>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t>七、兴业银行（政采贷）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pPr>
        <w:rPr>
          <w:rFonts w:hint="eastAsia" w:ascii="仿宋" w:hAnsi="仿宋" w:eastAsia="仿宋" w:cs="仿宋"/>
          <w:b/>
          <w:szCs w:val="21"/>
        </w:rPr>
      </w:pPr>
      <w:r>
        <w:rPr>
          <w:rFonts w:hint="eastAsia" w:ascii="仿宋" w:hAnsi="仿宋" w:eastAsia="仿宋" w:cs="仿宋"/>
          <w:b/>
          <w:szCs w:val="21"/>
        </w:rPr>
        <w:t>八、中国民生银行（政采贷）</w:t>
      </w:r>
    </w:p>
    <w:p>
      <w:pPr>
        <w:ind w:left="2310" w:leftChars="200" w:hanging="1890" w:hangingChars="900"/>
        <w:rPr>
          <w:rFonts w:hint="eastAsia" w:ascii="仿宋" w:hAnsi="仿宋" w:eastAsia="仿宋" w:cs="仿宋"/>
          <w:szCs w:val="21"/>
          <w:lang w:eastAsia="zh-CN"/>
        </w:rPr>
      </w:pPr>
      <w:r>
        <w:rPr>
          <w:rFonts w:hint="eastAsia" w:ascii="仿宋" w:hAnsi="仿宋" w:eastAsia="仿宋" w:cs="仿宋"/>
          <w:szCs w:val="21"/>
        </w:rPr>
        <w:t>民生银行西安分行  联系人：陈经理 联系电话：61815275 /18821669199</w:t>
      </w:r>
    </w:p>
    <w:p>
      <w:pPr>
        <w:ind w:left="2310" w:leftChars="200" w:hanging="1890" w:hangingChars="900"/>
        <w:rPr>
          <w:rFonts w:hint="eastAsia" w:ascii="仿宋" w:hAnsi="仿宋" w:eastAsia="仿宋" w:cs="仿宋"/>
          <w:szCs w:val="21"/>
        </w:rPr>
      </w:pPr>
      <w:r>
        <w:rPr>
          <w:rFonts w:hint="eastAsia" w:ascii="仿宋" w:hAnsi="仿宋" w:eastAsia="仿宋" w:cs="仿宋"/>
          <w:szCs w:val="21"/>
        </w:rPr>
        <w:t xml:space="preserve">联系人：王经理 联系电话：61815280 /18591953690 </w:t>
      </w:r>
    </w:p>
    <w:p>
      <w:pPr>
        <w:rPr>
          <w:rFonts w:hint="eastAsia" w:ascii="仿宋" w:hAnsi="仿宋" w:eastAsia="仿宋" w:cs="仿宋"/>
          <w:b/>
          <w:szCs w:val="21"/>
        </w:rPr>
      </w:pPr>
      <w:r>
        <w:rPr>
          <w:rFonts w:hint="eastAsia" w:ascii="仿宋" w:hAnsi="仿宋" w:eastAsia="仿宋" w:cs="仿宋"/>
          <w:b/>
          <w:szCs w:val="21"/>
        </w:rPr>
        <w:t>九、浙商银行 （政采贷）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pPr>
        <w:rPr>
          <w:rFonts w:hint="eastAsia" w:ascii="仿宋" w:hAnsi="仿宋" w:eastAsia="仿宋" w:cs="仿宋"/>
          <w:b/>
          <w:szCs w:val="21"/>
        </w:rPr>
      </w:pPr>
      <w:r>
        <w:rPr>
          <w:rFonts w:hint="eastAsia" w:ascii="仿宋" w:hAnsi="仿宋" w:eastAsia="仿宋" w:cs="仿宋"/>
          <w:b/>
          <w:szCs w:val="21"/>
        </w:rPr>
        <w:t xml:space="preserve">十、 招商银行（政采贷） </w:t>
      </w:r>
    </w:p>
    <w:p>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pPr>
        <w:rPr>
          <w:rFonts w:hint="eastAsia" w:ascii="仿宋" w:hAnsi="仿宋" w:eastAsia="仿宋" w:cs="仿宋"/>
          <w:b/>
          <w:szCs w:val="21"/>
        </w:rPr>
      </w:pPr>
      <w:r>
        <w:rPr>
          <w:rFonts w:hint="eastAsia" w:ascii="仿宋" w:hAnsi="仿宋" w:eastAsia="仿宋" w:cs="仿宋"/>
          <w:b/>
          <w:szCs w:val="21"/>
        </w:rPr>
        <w:t xml:space="preserve">十一、 长安银行（小微贷） </w:t>
      </w:r>
    </w:p>
    <w:p>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6"/>
    <w:bookmarkEnd w:id="387"/>
    <w:p>
      <w:pPr>
        <w:rPr>
          <w:rFonts w:hint="eastAsia" w:ascii="仿宋" w:hAnsi="仿宋" w:eastAsia="仿宋" w:cs="仿宋"/>
          <w:b/>
          <w:szCs w:val="21"/>
          <w:lang w:eastAsia="zh-CN"/>
        </w:rPr>
      </w:pPr>
      <w:bookmarkStart w:id="388" w:name="_Toc230099802"/>
      <w:bookmarkStart w:id="389" w:name="_Toc184025279"/>
      <w:bookmarkStart w:id="390" w:name="_Toc184114070"/>
      <w:bookmarkStart w:id="391" w:name="_Toc230013637"/>
      <w:r>
        <w:rPr>
          <w:rFonts w:hint="eastAsia" w:ascii="仿宋" w:hAnsi="仿宋" w:eastAsia="仿宋" w:cs="仿宋"/>
          <w:b/>
          <w:szCs w:val="21"/>
        </w:rPr>
        <w:t>十二、网商银行（合同贷）</w:t>
      </w:r>
    </w:p>
    <w:p>
      <w:pPr>
        <w:rPr>
          <w:rFonts w:hint="eastAsia" w:ascii="仿宋" w:hAnsi="仿宋" w:eastAsia="仿宋" w:cs="仿宋"/>
          <w:b/>
          <w:szCs w:val="21"/>
        </w:rPr>
      </w:pPr>
      <w:r>
        <w:rPr>
          <w:rFonts w:hint="eastAsia" w:ascii="仿宋" w:hAnsi="仿宋" w:eastAsia="仿宋" w:cs="仿宋"/>
          <w:b/>
          <w:szCs w:val="21"/>
        </w:rPr>
        <w:t>十三、中国邮政储蓄银行陕西省分行（政采贷）</w:t>
      </w:r>
    </w:p>
    <w:p>
      <w:pPr>
        <w:pStyle w:val="22"/>
        <w:tabs>
          <w:tab w:val="left" w:pos="567"/>
        </w:tabs>
        <w:rPr>
          <w:rFonts w:hint="eastAsia" w:ascii="仿宋" w:hAnsi="仿宋" w:eastAsia="仿宋" w:cs="仿宋"/>
          <w:szCs w:val="21"/>
        </w:rPr>
      </w:pPr>
    </w:p>
    <w:p>
      <w:pPr>
        <w:pStyle w:val="22"/>
        <w:tabs>
          <w:tab w:val="left" w:pos="567"/>
        </w:tabs>
        <w:rPr>
          <w:rFonts w:hint="eastAsia" w:ascii="仿宋" w:hAnsi="仿宋" w:eastAsia="仿宋" w:cs="仿宋"/>
          <w:sz w:val="24"/>
        </w:rPr>
      </w:pPr>
      <w:r>
        <w:rPr>
          <w:rFonts w:hint="eastAsia" w:ascii="仿宋" w:hAnsi="仿宋" w:eastAsia="仿宋" w:cs="仿宋"/>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hint="eastAsia" w:ascii="仿宋" w:hAnsi="仿宋" w:eastAsia="仿宋" w:cs="仿宋"/>
                <w:kern w:val="0"/>
                <w:szCs w:val="21"/>
                <w:lang w:eastAsia="zh-CN" w:bidi="ar"/>
              </w:rPr>
            </w:pPr>
            <w:r>
              <w:rPr>
                <w:rFonts w:hint="eastAsia" w:ascii="仿宋" w:hAnsi="仿宋" w:eastAsia="仿宋" w:cs="仿宋"/>
                <w:kern w:val="0"/>
                <w:szCs w:val="21"/>
                <w:lang w:bidi="ar"/>
              </w:rPr>
              <w:t>13892535580</w:t>
            </w:r>
          </w:p>
          <w:p>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bidi="ar"/>
              </w:rPr>
              <w:t>13892383911</w:t>
            </w:r>
          </w:p>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bidi="ar"/>
              </w:rPr>
              <w:t>18191815559</w:t>
            </w:r>
          </w:p>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bidi="ar"/>
              </w:rPr>
              <w:t>18191356300</w:t>
            </w:r>
          </w:p>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bidi="ar"/>
              </w:rPr>
              <w:t>13028431555</w:t>
            </w:r>
          </w:p>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18091365182</w:t>
            </w:r>
          </w:p>
        </w:tc>
      </w:tr>
    </w:tbl>
    <w:p>
      <w:pPr>
        <w:pStyle w:val="22"/>
        <w:tabs>
          <w:tab w:val="left" w:pos="567"/>
        </w:tabs>
        <w:rPr>
          <w:rFonts w:hint="eastAsia" w:ascii="仿宋" w:hAnsi="仿宋" w:eastAsia="仿宋" w:cs="仿宋"/>
          <w:szCs w:val="21"/>
        </w:rPr>
      </w:pPr>
    </w:p>
    <w:p>
      <w:pPr>
        <w:pStyle w:val="22"/>
        <w:tabs>
          <w:tab w:val="left" w:pos="567"/>
        </w:tabs>
        <w:rPr>
          <w:rFonts w:hint="eastAsia" w:ascii="仿宋" w:hAnsi="仿宋" w:eastAsia="仿宋" w:cs="仿宋"/>
          <w:sz w:val="24"/>
        </w:rPr>
      </w:pPr>
      <w:r>
        <w:rPr>
          <w:rFonts w:hint="eastAsia" w:ascii="仿宋" w:hAnsi="仿宋" w:eastAsia="仿宋" w:cs="仿宋"/>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序号</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银行</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地址</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联系人</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中国建设银行延安分行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延安市宝塔区中心街</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惠玉</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2</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中国工商银行延安分行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延安市宝塔区师范路</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姬悦</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3</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北京银行延安分行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延安市宝塔区双拥大道</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奥宝森</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4</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邮储银行延安分行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延安市宝塔区枣园路志丹大厦</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杨慧花</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5</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光大银行延安分行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延安市宝塔区卷烟厂东信时代一、二层</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汪昊田</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13509115500</w:t>
            </w:r>
          </w:p>
        </w:tc>
      </w:tr>
    </w:tbl>
    <w:p>
      <w:pPr>
        <w:tabs>
          <w:tab w:val="left" w:pos="588"/>
        </w:tabs>
        <w:spacing w:line="360" w:lineRule="auto"/>
        <w:rPr>
          <w:rFonts w:hint="eastAsia" w:ascii="仿宋" w:hAnsi="仿宋" w:eastAsia="仿宋" w:cs="仿宋"/>
          <w:sz w:val="24"/>
        </w:rPr>
      </w:pPr>
      <w:r>
        <w:rPr>
          <w:rFonts w:hint="eastAsia" w:ascii="仿宋" w:hAnsi="仿宋" w:eastAsia="仿宋" w:cs="仿宋"/>
          <w:sz w:val="24"/>
        </w:rPr>
        <w:br w:type="page"/>
      </w:r>
    </w:p>
    <w:bookmarkEnd w:id="388"/>
    <w:bookmarkEnd w:id="389"/>
    <w:bookmarkEnd w:id="390"/>
    <w:bookmarkEnd w:id="391"/>
    <w:p>
      <w:pPr>
        <w:pStyle w:val="46"/>
        <w:spacing w:line="360" w:lineRule="auto"/>
        <w:rPr>
          <w:rStyle w:val="205"/>
          <w:rFonts w:hint="eastAsia" w:ascii="仿宋" w:hAnsi="仿宋" w:eastAsia="仿宋" w:cs="仿宋"/>
          <w:sz w:val="36"/>
          <w:szCs w:val="36"/>
        </w:rPr>
      </w:pPr>
      <w:bookmarkStart w:id="392" w:name="_Toc68590975"/>
      <w:bookmarkStart w:id="393" w:name="_Toc17469"/>
      <w:bookmarkStart w:id="394" w:name="_Toc58504447"/>
      <w:r>
        <w:rPr>
          <w:rStyle w:val="205"/>
          <w:rFonts w:hint="eastAsia" w:ascii="仿宋" w:hAnsi="仿宋" w:eastAsia="仿宋" w:cs="仿宋"/>
          <w:sz w:val="36"/>
          <w:szCs w:val="36"/>
        </w:rPr>
        <w:t>第三章  评审办法和标准</w:t>
      </w:r>
      <w:bookmarkEnd w:id="392"/>
    </w:p>
    <w:p>
      <w:pPr>
        <w:tabs>
          <w:tab w:val="left" w:pos="360"/>
          <w:tab w:val="left" w:pos="588"/>
        </w:tabs>
        <w:spacing w:line="360" w:lineRule="auto"/>
        <w:ind w:left="840"/>
        <w:rPr>
          <w:rFonts w:hint="eastAsia" w:ascii="仿宋" w:hAnsi="仿宋" w:eastAsia="仿宋" w:cs="仿宋"/>
          <w:sz w:val="24"/>
        </w:rPr>
      </w:pPr>
    </w:p>
    <w:p>
      <w:pPr>
        <w:pStyle w:val="79"/>
        <w:spacing w:before="24" w:after="24"/>
        <w:rPr>
          <w:rFonts w:hint="eastAsia" w:ascii="仿宋" w:hAnsi="仿宋" w:eastAsia="仿宋" w:cs="仿宋"/>
          <w:sz w:val="28"/>
          <w:szCs w:val="28"/>
        </w:rPr>
      </w:pPr>
      <w:bookmarkStart w:id="395" w:name="_Toc68590976"/>
      <w:bookmarkStart w:id="396" w:name="_Toc7005040"/>
      <w:r>
        <w:rPr>
          <w:rFonts w:hint="eastAsia" w:ascii="仿宋" w:hAnsi="仿宋" w:eastAsia="仿宋" w:cs="仿宋"/>
          <w:sz w:val="28"/>
          <w:szCs w:val="28"/>
        </w:rPr>
        <w:t>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评审方法</w:t>
      </w:r>
      <w:bookmarkEnd w:id="395"/>
      <w:bookmarkEnd w:id="396"/>
    </w:p>
    <w:p>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79"/>
        <w:spacing w:before="24" w:after="24"/>
        <w:rPr>
          <w:rFonts w:hint="eastAsia" w:ascii="仿宋" w:hAnsi="仿宋" w:eastAsia="仿宋" w:cs="仿宋"/>
          <w:sz w:val="28"/>
          <w:szCs w:val="28"/>
        </w:rPr>
      </w:pPr>
      <w:bookmarkStart w:id="397" w:name="_Toc7005041"/>
      <w:bookmarkStart w:id="398" w:name="_Toc68590977"/>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评审标准</w:t>
      </w:r>
      <w:bookmarkEnd w:id="397"/>
      <w:bookmarkEnd w:id="398"/>
    </w:p>
    <w:p>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pPr>
        <w:pStyle w:val="22"/>
        <w:rPr>
          <w:rFonts w:hint="eastAsia" w:ascii="仿宋" w:hAnsi="仿宋" w:eastAsia="仿宋" w:cs="仿宋"/>
          <w:sz w:val="24"/>
          <w:highlight w:val="none"/>
        </w:rPr>
      </w:pPr>
      <w:r>
        <w:rPr>
          <w:rFonts w:hint="eastAsia" w:ascii="仿宋" w:hAnsi="仿宋" w:eastAsia="仿宋" w:cs="仿宋"/>
          <w:sz w:val="24"/>
        </w:rPr>
        <w:t>2</w:t>
      </w:r>
      <w:r>
        <w:rPr>
          <w:rFonts w:hint="eastAsia" w:ascii="仿宋" w:hAnsi="仿宋" w:eastAsia="仿宋" w:cs="仿宋"/>
          <w:sz w:val="24"/>
          <w:highlight w:val="none"/>
        </w:rPr>
        <w:t>.2 分值构成：总分100分，其中</w:t>
      </w:r>
    </w:p>
    <w:p>
      <w:pPr>
        <w:pStyle w:val="22"/>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商务部分分值：</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 xml:space="preserve">分；  </w:t>
      </w:r>
    </w:p>
    <w:p>
      <w:pPr>
        <w:pStyle w:val="22"/>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技术部分分值：</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 xml:space="preserve">分；  </w:t>
      </w:r>
    </w:p>
    <w:p>
      <w:pPr>
        <w:pStyle w:val="22"/>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报价部分分值：</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p>
      <w:pPr>
        <w:pStyle w:val="22"/>
        <w:rPr>
          <w:rFonts w:hint="eastAsia" w:ascii="仿宋" w:hAnsi="仿宋" w:eastAsia="仿宋" w:cs="仿宋"/>
          <w:sz w:val="24"/>
        </w:rPr>
      </w:pPr>
      <w:bookmarkStart w:id="399" w:name="_Ref426362114"/>
      <w:r>
        <w:rPr>
          <w:rFonts w:hint="eastAsia" w:ascii="仿宋" w:hAnsi="仿宋" w:eastAsia="仿宋" w:cs="仿宋"/>
          <w:sz w:val="24"/>
        </w:rPr>
        <w:t>2.3 商务和技术评审标准</w:t>
      </w:r>
      <w:bookmarkEnd w:id="399"/>
    </w:p>
    <w:p>
      <w:pPr>
        <w:pStyle w:val="22"/>
        <w:rPr>
          <w:rFonts w:hint="eastAsia" w:ascii="仿宋" w:hAnsi="仿宋" w:eastAsia="仿宋" w:cs="仿宋"/>
          <w:sz w:val="24"/>
          <w:lang w:eastAsia="zh-CN"/>
        </w:rPr>
      </w:pPr>
      <w:bookmarkStart w:id="400" w:name="_Ref426362140"/>
      <w:r>
        <w:rPr>
          <w:rFonts w:hint="eastAsia" w:ascii="仿宋" w:hAnsi="仿宋" w:eastAsia="仿宋" w:cs="仿宋"/>
          <w:sz w:val="24"/>
        </w:rPr>
        <w:t>2.3.1商务部分评分标准：见附表</w:t>
      </w:r>
      <w:bookmarkEnd w:id="400"/>
      <w:r>
        <w:rPr>
          <w:rFonts w:hint="eastAsia" w:ascii="仿宋" w:hAnsi="仿宋" w:eastAsia="仿宋" w:cs="仿宋"/>
          <w:sz w:val="24"/>
        </w:rPr>
        <w:t>三</w:t>
      </w:r>
      <w:r>
        <w:rPr>
          <w:rFonts w:hint="eastAsia" w:ascii="仿宋" w:hAnsi="仿宋" w:eastAsia="仿宋" w:cs="仿宋"/>
          <w:sz w:val="24"/>
          <w:lang w:eastAsia="zh-CN"/>
        </w:rPr>
        <w:t>。</w:t>
      </w:r>
    </w:p>
    <w:p>
      <w:pPr>
        <w:pStyle w:val="22"/>
        <w:rPr>
          <w:rFonts w:hint="eastAsia" w:ascii="仿宋" w:hAnsi="仿宋" w:eastAsia="仿宋" w:cs="仿宋"/>
          <w:sz w:val="24"/>
          <w:lang w:eastAsia="zh-CN"/>
        </w:rPr>
      </w:pPr>
      <w:bookmarkStart w:id="401" w:name="_Ref426362158"/>
      <w:r>
        <w:rPr>
          <w:rFonts w:hint="eastAsia" w:ascii="仿宋" w:hAnsi="仿宋" w:eastAsia="仿宋" w:cs="仿宋"/>
          <w:sz w:val="24"/>
        </w:rPr>
        <w:t>2.3.2技术部分评分标准：见附表</w:t>
      </w:r>
      <w:bookmarkEnd w:id="401"/>
      <w:r>
        <w:rPr>
          <w:rFonts w:hint="eastAsia" w:ascii="仿宋" w:hAnsi="仿宋" w:eastAsia="仿宋" w:cs="仿宋"/>
          <w:sz w:val="24"/>
          <w:lang w:val="en-US" w:eastAsia="zh-CN"/>
        </w:rPr>
        <w:t>三。</w:t>
      </w:r>
    </w:p>
    <w:p>
      <w:pPr>
        <w:pStyle w:val="22"/>
        <w:rPr>
          <w:rFonts w:hint="eastAsia" w:ascii="仿宋" w:hAnsi="仿宋" w:eastAsia="仿宋" w:cs="仿宋"/>
          <w:sz w:val="24"/>
          <w:lang w:eastAsia="zh-CN"/>
        </w:rPr>
      </w:pPr>
      <w:bookmarkStart w:id="402" w:name="_Ref426362176"/>
      <w:r>
        <w:rPr>
          <w:rFonts w:hint="eastAsia" w:ascii="仿宋" w:hAnsi="仿宋" w:eastAsia="仿宋" w:cs="仿宋"/>
          <w:sz w:val="24"/>
        </w:rPr>
        <w:t>2.3.3报价评分标准：</w:t>
      </w:r>
      <w:bookmarkEnd w:id="402"/>
      <w:r>
        <w:rPr>
          <w:rFonts w:hint="eastAsia" w:ascii="仿宋" w:hAnsi="仿宋" w:eastAsia="仿宋" w:cs="仿宋"/>
          <w:sz w:val="24"/>
        </w:rPr>
        <w:t>见附表</w:t>
      </w:r>
      <w:r>
        <w:rPr>
          <w:rFonts w:hint="eastAsia" w:ascii="仿宋" w:hAnsi="仿宋" w:eastAsia="仿宋" w:cs="仿宋"/>
          <w:sz w:val="24"/>
          <w:lang w:val="en-US" w:eastAsia="zh-CN"/>
        </w:rPr>
        <w:t>三。</w:t>
      </w:r>
    </w:p>
    <w:p>
      <w:pPr>
        <w:pStyle w:val="22"/>
        <w:ind w:firstLine="480" w:firstLineChars="200"/>
        <w:rPr>
          <w:rFonts w:hint="eastAsia" w:ascii="仿宋" w:hAnsi="仿宋" w:eastAsia="仿宋" w:cs="仿宋"/>
          <w:sz w:val="24"/>
        </w:rPr>
      </w:pPr>
      <w:r>
        <w:rPr>
          <w:rFonts w:hint="eastAsia" w:ascii="仿宋" w:hAnsi="仿宋" w:eastAsia="仿宋" w:cs="仿宋"/>
          <w:sz w:val="24"/>
        </w:rPr>
        <w:t>（1）根据《关于进一步加大政府采购支持中小企业力度的通知》（财库〔2022〕19号）、《政府采购促进中小企业发展管理办法》（财库〔2020〕46号）调整供应商参与评审的价格。对小型和微型企业产品的价格给予</w:t>
      </w:r>
      <w:r>
        <w:rPr>
          <w:rFonts w:hint="eastAsia" w:ascii="仿宋" w:hAnsi="仿宋" w:eastAsia="仿宋" w:cs="仿宋"/>
          <w:i/>
          <w:iCs/>
          <w:u w:val="single"/>
        </w:rPr>
        <w:t>20%（榆林）</w:t>
      </w:r>
      <w:r>
        <w:rPr>
          <w:rFonts w:hint="eastAsia" w:ascii="仿宋" w:hAnsi="仿宋" w:eastAsia="仿宋" w:cs="仿宋"/>
          <w:sz w:val="24"/>
        </w:rPr>
        <w:t>的扣除。如允许与小微企业组成联合体或向其分包的，且合同额占总金额30%以上的，给予</w:t>
      </w:r>
      <w:r>
        <w:rPr>
          <w:rFonts w:hint="eastAsia" w:ascii="仿宋" w:hAnsi="仿宋" w:eastAsia="仿宋" w:cs="仿宋"/>
          <w:i/>
          <w:iCs/>
          <w:u w:val="single"/>
        </w:rPr>
        <w:t>4%（工程为1%）</w:t>
      </w:r>
      <w:r>
        <w:rPr>
          <w:rFonts w:hint="eastAsia" w:ascii="仿宋" w:hAnsi="仿宋" w:eastAsia="仿宋" w:cs="仿宋"/>
          <w:sz w:val="24"/>
        </w:rPr>
        <w:t>的扣除。如项目专门面向中小企业采购，则不再进行价格扣除。</w:t>
      </w:r>
    </w:p>
    <w:p>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bCs/>
          <w:sz w:val="24"/>
          <w:lang w:eastAsia="zh-CN"/>
        </w:rPr>
      </w:pPr>
      <w:r>
        <w:rPr>
          <w:rFonts w:hint="eastAsia" w:ascii="仿宋" w:hAnsi="仿宋" w:eastAsia="仿宋" w:cs="仿宋"/>
          <w:sz w:val="24"/>
        </w:rPr>
        <w:t>注：监狱企业、残疾人福利性单位视同小微企业；残疾人福利性单位属于小型、微型企业的，不重复享受政策。</w:t>
      </w:r>
    </w:p>
    <w:p>
      <w:pPr>
        <w:pStyle w:val="22"/>
        <w:ind w:firstLine="480" w:firstLineChars="200"/>
        <w:rPr>
          <w:rFonts w:hint="eastAsia" w:ascii="仿宋" w:hAnsi="仿宋" w:eastAsia="仿宋" w:cs="仿宋"/>
          <w:sz w:val="24"/>
        </w:rPr>
      </w:pPr>
      <w:r>
        <w:rPr>
          <w:rFonts w:hint="eastAsia" w:ascii="仿宋" w:hAnsi="仿宋" w:eastAsia="仿宋" w:cs="仿宋"/>
          <w:sz w:val="24"/>
        </w:rPr>
        <w:t>（2）评审基准价。有效响应文件中的最后报价并按本款（1）和（2）进行调整的最低报价为评审基准价。</w:t>
      </w:r>
    </w:p>
    <w:p>
      <w:pPr>
        <w:pStyle w:val="22"/>
        <w:ind w:firstLine="480" w:firstLineChars="200"/>
        <w:rPr>
          <w:rFonts w:hint="eastAsia" w:ascii="仿宋" w:hAnsi="仿宋" w:eastAsia="仿宋" w:cs="仿宋"/>
          <w:sz w:val="24"/>
        </w:rPr>
      </w:pPr>
      <w:r>
        <w:rPr>
          <w:rFonts w:hint="eastAsia" w:ascii="仿宋" w:hAnsi="仿宋" w:eastAsia="仿宋" w:cs="仿宋"/>
          <w:sz w:val="24"/>
        </w:rPr>
        <w:t>（3）供应商报价（按本款（1）和（2）进行调整后价格）得分=</w:t>
      </w:r>
      <w:r>
        <w:rPr>
          <w:rFonts w:hint="eastAsia" w:ascii="仿宋" w:hAnsi="仿宋" w:eastAsia="仿宋" w:cs="仿宋"/>
          <w:sz w:val="24"/>
          <w:lang w:eastAsia="zh-CN"/>
        </w:rPr>
        <w:t>（</w:t>
      </w:r>
      <w:r>
        <w:rPr>
          <w:rFonts w:hint="eastAsia" w:ascii="仿宋" w:hAnsi="仿宋" w:eastAsia="仿宋" w:cs="仿宋"/>
          <w:sz w:val="24"/>
        </w:rPr>
        <w:t>评审基准价／最后报价</w:t>
      </w:r>
      <w:r>
        <w:rPr>
          <w:rFonts w:hint="eastAsia" w:ascii="仿宋" w:hAnsi="仿宋" w:eastAsia="仿宋" w:cs="仿宋"/>
          <w:sz w:val="24"/>
          <w:lang w:eastAsia="zh-CN"/>
        </w:rPr>
        <w:t>）</w:t>
      </w:r>
      <w:r>
        <w:rPr>
          <w:rFonts w:hint="eastAsia" w:ascii="仿宋" w:hAnsi="仿宋" w:eastAsia="仿宋" w:cs="仿宋"/>
          <w:sz w:val="24"/>
        </w:rPr>
        <w:t>×价格分满分分值</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2.3.4 响应文件出现下列情况之一者，磋商小组在评审过程中按以下原则修正：</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（5）文字与图表不一致的，以文字为准；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（6）正本与副本不一致的，以正本为准；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pPr>
        <w:pStyle w:val="79"/>
        <w:spacing w:before="24" w:after="24"/>
        <w:rPr>
          <w:rFonts w:hint="eastAsia" w:ascii="仿宋" w:hAnsi="仿宋" w:eastAsia="仿宋" w:cs="仿宋"/>
          <w:sz w:val="28"/>
          <w:szCs w:val="28"/>
        </w:rPr>
      </w:pPr>
      <w:bookmarkStart w:id="403" w:name="_Toc68590978"/>
      <w:bookmarkStart w:id="404" w:name="_Toc7005042"/>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评审程序</w:t>
      </w:r>
      <w:bookmarkEnd w:id="403"/>
      <w:bookmarkEnd w:id="404"/>
    </w:p>
    <w:p>
      <w:pPr>
        <w:pStyle w:val="22"/>
        <w:rPr>
          <w:rFonts w:hint="eastAsia" w:ascii="仿宋" w:hAnsi="仿宋" w:eastAsia="仿宋" w:cs="仿宋"/>
          <w:b/>
          <w:sz w:val="24"/>
        </w:rPr>
      </w:pPr>
      <w:bookmarkStart w:id="405" w:name="_Toc7005043"/>
      <w:r>
        <w:rPr>
          <w:rFonts w:hint="eastAsia" w:ascii="仿宋" w:hAnsi="仿宋" w:eastAsia="仿宋" w:cs="仿宋"/>
          <w:b/>
          <w:sz w:val="24"/>
        </w:rPr>
        <w:t>3.1</w:t>
      </w:r>
      <w:r>
        <w:rPr>
          <w:rFonts w:hint="eastAsia" w:ascii="仿宋" w:hAnsi="仿宋" w:eastAsia="仿宋" w:cs="仿宋"/>
          <w:b/>
          <w:sz w:val="24"/>
          <w:lang w:val="en-US" w:eastAsia="zh-CN"/>
        </w:rPr>
        <w:t xml:space="preserve"> </w:t>
      </w:r>
      <w:r>
        <w:rPr>
          <w:rFonts w:hint="eastAsia" w:ascii="仿宋" w:hAnsi="仿宋" w:eastAsia="仿宋" w:cs="仿宋"/>
          <w:b/>
          <w:sz w:val="24"/>
        </w:rPr>
        <w:t>资格审查及符合性审查</w:t>
      </w:r>
      <w:bookmarkEnd w:id="405"/>
    </w:p>
    <w:p>
      <w:pPr>
        <w:pStyle w:val="22"/>
        <w:rPr>
          <w:rFonts w:hint="eastAsia" w:ascii="仿宋" w:hAnsi="仿宋" w:eastAsia="仿宋" w:cs="仿宋"/>
          <w:sz w:val="24"/>
        </w:rPr>
      </w:pPr>
      <w:r>
        <w:rPr>
          <w:rFonts w:hint="eastAsia" w:ascii="仿宋" w:hAnsi="仿宋" w:eastAsia="仿宋" w:cs="仿宋"/>
          <w:sz w:val="24"/>
        </w:rPr>
        <w:t>3.1.1 采购人或采购代理机构按附表一所列审查标准对供应商资格进行审查，以确定供应商是否具备磋商资格。</w:t>
      </w:r>
    </w:p>
    <w:p>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pPr>
        <w:pStyle w:val="22"/>
        <w:rPr>
          <w:rFonts w:hint="eastAsia" w:ascii="仿宋" w:hAnsi="仿宋" w:eastAsia="仿宋" w:cs="仿宋"/>
          <w:b/>
          <w:sz w:val="24"/>
        </w:rPr>
      </w:pPr>
      <w:bookmarkStart w:id="406" w:name="_Toc7005044"/>
      <w:r>
        <w:rPr>
          <w:rFonts w:hint="eastAsia" w:ascii="仿宋" w:hAnsi="仿宋" w:eastAsia="仿宋" w:cs="仿宋"/>
          <w:b/>
          <w:sz w:val="24"/>
        </w:rPr>
        <w:t>3.2 磋商</w:t>
      </w:r>
      <w:bookmarkEnd w:id="406"/>
    </w:p>
    <w:p>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pPr>
        <w:pStyle w:val="22"/>
        <w:rPr>
          <w:rFonts w:hint="eastAsia" w:ascii="仿宋" w:hAnsi="仿宋" w:eastAsia="仿宋" w:cs="仿宋"/>
          <w:b/>
          <w:sz w:val="24"/>
        </w:rPr>
      </w:pPr>
      <w:bookmarkStart w:id="407" w:name="_Toc7005045"/>
      <w:r>
        <w:rPr>
          <w:rFonts w:hint="eastAsia" w:ascii="仿宋" w:hAnsi="仿宋" w:eastAsia="仿宋" w:cs="仿宋"/>
          <w:b/>
          <w:sz w:val="24"/>
        </w:rPr>
        <w:t>3.3</w:t>
      </w:r>
      <w:r>
        <w:rPr>
          <w:rFonts w:hint="eastAsia" w:ascii="仿宋" w:hAnsi="仿宋" w:eastAsia="仿宋" w:cs="仿宋"/>
          <w:b/>
          <w:sz w:val="24"/>
          <w:lang w:val="en-US" w:eastAsia="zh-CN"/>
        </w:rPr>
        <w:t xml:space="preserve"> </w:t>
      </w:r>
      <w:r>
        <w:rPr>
          <w:rFonts w:hint="eastAsia" w:ascii="仿宋" w:hAnsi="仿宋" w:eastAsia="仿宋" w:cs="仿宋"/>
          <w:b/>
          <w:sz w:val="24"/>
        </w:rPr>
        <w:t>评审</w:t>
      </w:r>
      <w:bookmarkEnd w:id="407"/>
    </w:p>
    <w:p>
      <w:pPr>
        <w:pStyle w:val="22"/>
        <w:rPr>
          <w:rFonts w:hint="eastAsia" w:ascii="仿宋" w:hAnsi="仿宋" w:eastAsia="仿宋" w:cs="仿宋"/>
          <w:sz w:val="24"/>
        </w:rPr>
      </w:pPr>
      <w:r>
        <w:rPr>
          <w:rFonts w:hint="eastAsia" w:ascii="仿宋" w:hAnsi="仿宋" w:eastAsia="仿宋" w:cs="仿宋"/>
          <w:sz w:val="24"/>
        </w:rPr>
        <w:t>3.3.1 比较与评价</w:t>
      </w:r>
    </w:p>
    <w:p>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pPr>
        <w:pStyle w:val="22"/>
        <w:rPr>
          <w:rFonts w:hint="eastAsia" w:ascii="仿宋" w:hAnsi="仿宋" w:eastAsia="仿宋" w:cs="仿宋"/>
          <w:sz w:val="24"/>
        </w:rPr>
      </w:pPr>
      <w:r>
        <w:rPr>
          <w:rFonts w:hint="eastAsia" w:ascii="仿宋" w:hAnsi="仿宋" w:eastAsia="仿宋" w:cs="仿宋"/>
          <w:sz w:val="24"/>
        </w:rPr>
        <w:t>（1）按本章第2.3.1项规定的评审因素和分值对商务部分计算出得分A；</w:t>
      </w:r>
    </w:p>
    <w:p>
      <w:pPr>
        <w:pStyle w:val="22"/>
        <w:rPr>
          <w:rFonts w:hint="eastAsia" w:ascii="仿宋" w:hAnsi="仿宋" w:eastAsia="仿宋" w:cs="仿宋"/>
          <w:sz w:val="24"/>
        </w:rPr>
      </w:pPr>
      <w:r>
        <w:rPr>
          <w:rFonts w:hint="eastAsia" w:ascii="仿宋" w:hAnsi="仿宋" w:eastAsia="仿宋" w:cs="仿宋"/>
          <w:sz w:val="24"/>
        </w:rPr>
        <w:t>（2）按本章第2.3.2项规定的评审因素和分值对技术部分计算出得分B；</w:t>
      </w:r>
    </w:p>
    <w:p>
      <w:pPr>
        <w:pStyle w:val="22"/>
        <w:rPr>
          <w:rFonts w:hint="eastAsia" w:ascii="仿宋" w:hAnsi="仿宋" w:eastAsia="仿宋" w:cs="仿宋"/>
          <w:sz w:val="24"/>
        </w:rPr>
      </w:pPr>
      <w:r>
        <w:rPr>
          <w:rFonts w:hint="eastAsia" w:ascii="仿宋" w:hAnsi="仿宋" w:eastAsia="仿宋" w:cs="仿宋"/>
          <w:sz w:val="24"/>
        </w:rPr>
        <w:t>（3）按本章第2.3.3项规定的评审因素和分值对报价部分计算出得分C。</w:t>
      </w:r>
    </w:p>
    <w:p>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pPr>
        <w:pStyle w:val="22"/>
        <w:rPr>
          <w:rFonts w:hint="eastAsia" w:ascii="仿宋" w:hAnsi="仿宋" w:eastAsia="仿宋" w:cs="仿宋"/>
          <w:sz w:val="24"/>
        </w:rPr>
      </w:pPr>
      <w:r>
        <w:rPr>
          <w:rFonts w:hint="eastAsia" w:ascii="仿宋" w:hAnsi="仿宋" w:eastAsia="仿宋" w:cs="仿宋"/>
          <w:sz w:val="24"/>
        </w:rPr>
        <w:t>3.3.4供应商得分=A＋B＋C</w:t>
      </w:r>
    </w:p>
    <w:p>
      <w:pPr>
        <w:pStyle w:val="22"/>
        <w:rPr>
          <w:rFonts w:hint="eastAsia" w:ascii="仿宋" w:hAnsi="仿宋" w:eastAsia="仿宋" w:cs="仿宋"/>
          <w:b/>
          <w:sz w:val="24"/>
        </w:rPr>
      </w:pPr>
      <w:r>
        <w:rPr>
          <w:rFonts w:hint="eastAsia" w:ascii="仿宋" w:hAnsi="仿宋" w:eastAsia="仿宋" w:cs="仿宋"/>
          <w:b/>
          <w:sz w:val="24"/>
        </w:rPr>
        <w:t>3.4 评审结果</w:t>
      </w:r>
    </w:p>
    <w:p>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pPr>
        <w:pStyle w:val="22"/>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2655"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评审内容</w:t>
            </w:r>
          </w:p>
        </w:tc>
        <w:tc>
          <w:tcPr>
            <w:tcW w:w="4677"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评审合格标准</w:t>
            </w:r>
          </w:p>
        </w:tc>
        <w:tc>
          <w:tcPr>
            <w:tcW w:w="1178"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b/>
                <w:szCs w:val="21"/>
              </w:rPr>
            </w:pPr>
            <w:r>
              <w:rPr>
                <w:rFonts w:hint="eastAsia" w:ascii="仿宋" w:hAnsi="仿宋" w:eastAsia="仿宋" w:cs="仿宋"/>
                <w:szCs w:val="21"/>
              </w:rPr>
              <w:t>1</w:t>
            </w:r>
          </w:p>
        </w:tc>
        <w:tc>
          <w:tcPr>
            <w:tcW w:w="2655" w:type="dxa"/>
            <w:vAlign w:val="center"/>
          </w:tcPr>
          <w:p>
            <w:pPr>
              <w:snapToGrid w:val="0"/>
              <w:jc w:val="left"/>
              <w:rPr>
                <w:rFonts w:hint="eastAsia" w:ascii="仿宋" w:hAnsi="仿宋" w:eastAsia="仿宋" w:cs="仿宋"/>
                <w:b/>
                <w:szCs w:val="21"/>
              </w:rPr>
            </w:pPr>
            <w:r>
              <w:rPr>
                <w:rFonts w:hint="eastAsia" w:ascii="仿宋" w:hAnsi="仿宋" w:eastAsia="仿宋" w:cs="仿宋"/>
                <w:szCs w:val="21"/>
              </w:rPr>
              <w:t>供应商名称</w:t>
            </w:r>
          </w:p>
        </w:tc>
        <w:tc>
          <w:tcPr>
            <w:tcW w:w="4677" w:type="dxa"/>
            <w:vAlign w:val="center"/>
          </w:tcPr>
          <w:p>
            <w:pPr>
              <w:snapToGrid w:val="0"/>
              <w:jc w:val="left"/>
              <w:rPr>
                <w:rFonts w:hint="eastAsia" w:ascii="仿宋" w:hAnsi="仿宋" w:eastAsia="仿宋" w:cs="仿宋"/>
                <w:b/>
                <w:szCs w:val="21"/>
              </w:rPr>
            </w:pPr>
            <w:r>
              <w:rPr>
                <w:rFonts w:hint="eastAsia" w:ascii="仿宋" w:hAnsi="仿宋" w:eastAsia="仿宋" w:cs="仿宋"/>
                <w:szCs w:val="21"/>
              </w:rPr>
              <w:t>与营业执照一致（符合法定工商变更程序除外）；</w:t>
            </w:r>
          </w:p>
        </w:tc>
        <w:tc>
          <w:tcPr>
            <w:tcW w:w="1178" w:type="dxa"/>
            <w:vAlign w:val="center"/>
          </w:tcPr>
          <w:p>
            <w:pPr>
              <w:snapToGrid w:val="0"/>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2</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具有独立承担民事责任的能力</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提供了有效的法人或者其他组织的营业执照等证明文件，自然人的身份证明</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3</w:t>
            </w:r>
          </w:p>
        </w:tc>
        <w:tc>
          <w:tcPr>
            <w:tcW w:w="2655" w:type="dxa"/>
            <w:shd w:val="clear" w:color="auto" w:fill="auto"/>
            <w:vAlign w:val="center"/>
          </w:tcPr>
          <w:p>
            <w:pPr>
              <w:snapToGrid w:val="0"/>
              <w:jc w:val="left"/>
              <w:rPr>
                <w:rFonts w:hint="eastAsia" w:ascii="仿宋" w:hAnsi="仿宋" w:eastAsia="仿宋" w:cs="仿宋"/>
                <w:szCs w:val="21"/>
              </w:rPr>
            </w:pPr>
            <w:r>
              <w:rPr>
                <w:rFonts w:hint="eastAsia" w:ascii="仿宋" w:hAnsi="仿宋" w:eastAsia="仿宋" w:cs="仿宋"/>
                <w:szCs w:val="21"/>
              </w:rPr>
              <w:t>具有健全的财务会计制度</w:t>
            </w:r>
          </w:p>
        </w:tc>
        <w:tc>
          <w:tcPr>
            <w:tcW w:w="4677" w:type="dxa"/>
            <w:shd w:val="clear" w:color="auto" w:fill="auto"/>
          </w:tcPr>
          <w:p>
            <w:pPr>
              <w:snapToGrid w:val="0"/>
              <w:jc w:val="left"/>
              <w:rPr>
                <w:rFonts w:hint="eastAsia" w:ascii="仿宋" w:hAnsi="仿宋" w:eastAsia="仿宋" w:cs="仿宋"/>
                <w:szCs w:val="21"/>
              </w:rPr>
            </w:pPr>
            <w:r>
              <w:rPr>
                <w:rFonts w:hint="eastAsia" w:ascii="仿宋" w:hAnsi="仿宋" w:eastAsia="仿宋" w:cs="仿宋"/>
                <w:szCs w:val="21"/>
              </w:rPr>
              <w:t>提供了满足磋商文件要求的经审计的财务报表或本年度基本开户银行出具的资信证明</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4</w:t>
            </w:r>
          </w:p>
        </w:tc>
        <w:tc>
          <w:tcPr>
            <w:tcW w:w="2655" w:type="dxa"/>
            <w:shd w:val="clear" w:color="auto" w:fill="auto"/>
            <w:vAlign w:val="center"/>
          </w:tcPr>
          <w:p>
            <w:pPr>
              <w:snapToGrid w:val="0"/>
              <w:jc w:val="left"/>
              <w:rPr>
                <w:rFonts w:hint="eastAsia" w:ascii="仿宋" w:hAnsi="仿宋" w:eastAsia="仿宋" w:cs="仿宋"/>
                <w:szCs w:val="21"/>
              </w:rPr>
            </w:pPr>
            <w:r>
              <w:rPr>
                <w:rFonts w:hint="eastAsia" w:ascii="仿宋" w:hAnsi="仿宋" w:eastAsia="仿宋" w:cs="仿宋"/>
                <w:szCs w:val="21"/>
              </w:rPr>
              <w:t>具有履行合同所必需的设备和专业技术能力</w:t>
            </w:r>
          </w:p>
        </w:tc>
        <w:tc>
          <w:tcPr>
            <w:tcW w:w="4677" w:type="dxa"/>
            <w:shd w:val="clear" w:color="auto" w:fill="auto"/>
          </w:tcPr>
          <w:p>
            <w:pPr>
              <w:snapToGrid w:val="0"/>
              <w:jc w:val="left"/>
              <w:rPr>
                <w:rFonts w:hint="eastAsia" w:ascii="仿宋" w:hAnsi="仿宋" w:eastAsia="仿宋" w:cs="仿宋"/>
                <w:szCs w:val="21"/>
              </w:rPr>
            </w:pPr>
            <w:r>
              <w:rPr>
                <w:rFonts w:hint="eastAsia" w:ascii="仿宋" w:hAnsi="仿宋" w:eastAsia="仿宋" w:cs="仿宋"/>
                <w:szCs w:val="21"/>
              </w:rPr>
              <w:t>提供了可充分满足履行合同所需设备和专业技术能力的证明材料或承诺</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5</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有依法缴纳税收和社会保障资金的良好记录</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 xml:space="preserve"> 投标供应商应提供近六个月中任何一个月的依法缴纳税收凭证，时间以税款所属时期为准（银行出具的缴税凭证或税务机关出具的证明的复印件，并加盖本单位公章），依法免税的供应商，应提供相应文件证明其依法免税</w:t>
            </w:r>
            <w:r>
              <w:rPr>
                <w:rFonts w:hint="eastAsia" w:ascii="仿宋" w:hAnsi="仿宋" w:eastAsia="仿宋" w:cs="仿宋"/>
                <w:szCs w:val="21"/>
              </w:rPr>
              <w:t>。</w:t>
            </w:r>
          </w:p>
          <w:p>
            <w:pPr>
              <w:snapToGrid w:val="0"/>
              <w:jc w:val="left"/>
              <w:rPr>
                <w:rFonts w:hint="eastAsia" w:ascii="仿宋" w:hAnsi="仿宋" w:eastAsia="仿宋" w:cs="仿宋"/>
                <w:szCs w:val="21"/>
              </w:rPr>
            </w:pPr>
            <w:r>
              <w:rPr>
                <w:rFonts w:hint="eastAsia" w:ascii="仿宋" w:hAnsi="仿宋" w:eastAsia="仿宋" w:cs="仿宋"/>
                <w:szCs w:val="21"/>
              </w:rPr>
              <w:t>2. 提供了磋商文件要求时间内的社会保障资金缴纳记录（专用收据或社会保险缴纳清单）或免缴纳证明（复印件加盖公章）</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6</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参加政府采购活动前三年内，在经营活动中没有重大违法记录</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提供了有效的参加政府采购活动前3年内在经营活动中没有重大违法记录的书面声明</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7</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法律、法规规定的其他条件</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不存在违反法律、法规的情况</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8</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“信用中国”网站和中国政府采购网（www.ccgp.gov.cn）查询记录</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未被“信用中国”网站（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"http://www.creditchina.gov.cn）中列入失信被执行人和/" </w:instrText>
            </w:r>
            <w:r>
              <w:rPr>
                <w:rFonts w:hint="eastAsia" w:ascii="仿宋" w:hAnsi="仿宋" w:eastAsia="仿宋" w:cs="仿宋"/>
              </w:rPr>
              <w:fldChar w:fldCharType="separate"/>
            </w:r>
            <w:r>
              <w:rPr>
                <w:rFonts w:hint="eastAsia" w:ascii="仿宋" w:hAnsi="仿宋" w:eastAsia="仿宋" w:cs="仿宋"/>
                <w:szCs w:val="21"/>
              </w:rPr>
              <w:t>www.creditchina.gov.cn）列入失信被执行人和/</w:t>
            </w:r>
            <w:r>
              <w:rPr>
                <w:rFonts w:hint="eastAsia" w:ascii="仿宋" w:hAnsi="仿宋" w:eastAsia="仿宋" w:cs="仿宋"/>
                <w:szCs w:val="21"/>
              </w:rPr>
              <w:fldChar w:fldCharType="end"/>
            </w:r>
            <w:r>
              <w:rPr>
                <w:rFonts w:hint="eastAsia" w:ascii="仿宋" w:hAnsi="仿宋" w:eastAsia="仿宋" w:cs="仿宋"/>
                <w:szCs w:val="21"/>
              </w:rPr>
              <w:t>或重大税收违法失信主体</w:t>
            </w:r>
            <w:r>
              <w:rPr>
                <w:rFonts w:hint="eastAsia" w:ascii="仿宋" w:hAnsi="仿宋" w:eastAsia="仿宋" w:cs="仿宋"/>
                <w:szCs w:val="21"/>
                <w:lang w:eastAsia="zh-CN"/>
              </w:rPr>
              <w:t>，</w:t>
            </w:r>
            <w:r>
              <w:rPr>
                <w:rFonts w:hint="eastAsia" w:ascii="仿宋" w:hAnsi="仿宋" w:eastAsia="仿宋" w:cs="仿宋"/>
                <w:szCs w:val="21"/>
              </w:rPr>
              <w:t>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9</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单位负责人为同一人或者存在控股、管理关系的不同单位，不得同时参加本项目的磋商。</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提供了法人代表、控股股东、控股企业及管理、被管理单位情况声明且各供应商之间不存在单位负责人为同一人或者存在控股、管理关系情形。</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10</w:t>
            </w:r>
          </w:p>
        </w:tc>
        <w:tc>
          <w:tcPr>
            <w:tcW w:w="2655"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为本项目提供整体设计、规范编制或者项目管理、监理、检测等服务的供应商，不得再参加本项目磋商。</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提供了供应商未为本项目提供整体设计、规范编制或者项目管理、监理、检测等服务的声明。</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11</w:t>
            </w:r>
          </w:p>
        </w:tc>
        <w:tc>
          <w:tcPr>
            <w:tcW w:w="2655"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联合体</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磋商文件允许联合体参加磋商时，提供了满足磋商文件要求的联合体协议书。</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12</w:t>
            </w:r>
          </w:p>
        </w:tc>
        <w:tc>
          <w:tcPr>
            <w:tcW w:w="2655"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供应商特定资格条件</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在“信用中国”网站（www.creditchina.gov.cn）和中国政府采购网（www.ccgp.gov.cn）上未被列入失信被执行人、重大税收违法失信主体、政府采购严重违法失信行为记录名单（提供网站截图）</w:t>
            </w:r>
            <w:r>
              <w:rPr>
                <w:rFonts w:hint="eastAsia" w:ascii="仿宋" w:hAnsi="仿宋" w:eastAsia="仿宋" w:cs="仿宋"/>
                <w:szCs w:val="21"/>
                <w:lang w:val="en-US" w:eastAsia="zh-CN"/>
              </w:rPr>
              <w:t>2.供应商须提供有效的中华人民共和国自然资源部颁发的地质灾害防治危险性单位（甲级）资质或省级人民政府自然资源主管部门颁发的地质灾害防治单位甲级资质；且具备有效的安全生产许可证</w:t>
            </w:r>
            <w:r>
              <w:rPr>
                <w:rFonts w:hint="eastAsia" w:ascii="仿宋" w:hAnsi="仿宋" w:eastAsia="仿宋" w:cs="仿宋"/>
                <w:szCs w:val="21"/>
              </w:rPr>
              <w:t>；</w:t>
            </w:r>
            <w:r>
              <w:rPr>
                <w:rFonts w:hint="eastAsia" w:ascii="仿宋" w:hAnsi="仿宋" w:eastAsia="仿宋" w:cs="仿宋"/>
                <w:szCs w:val="21"/>
              </w:rPr>
              <w:br w:type="page"/>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52" w:type="dxa"/>
            <w:vAlign w:val="center"/>
          </w:tcPr>
          <w:p>
            <w:pPr>
              <w:snapToGrid w:val="0"/>
              <w:jc w:val="center"/>
              <w:rPr>
                <w:rFonts w:hint="eastAsia" w:ascii="仿宋" w:hAnsi="仿宋" w:eastAsia="仿宋" w:cs="仿宋"/>
                <w:szCs w:val="21"/>
              </w:rPr>
            </w:pPr>
          </w:p>
        </w:tc>
        <w:tc>
          <w:tcPr>
            <w:tcW w:w="2655" w:type="dxa"/>
            <w:vAlign w:val="center"/>
          </w:tcPr>
          <w:p>
            <w:pPr>
              <w:snapToGrid w:val="0"/>
              <w:ind w:left="425"/>
              <w:jc w:val="center"/>
              <w:rPr>
                <w:rFonts w:hint="eastAsia" w:ascii="仿宋" w:hAnsi="仿宋" w:eastAsia="仿宋" w:cs="仿宋"/>
                <w:szCs w:val="21"/>
              </w:rPr>
            </w:pPr>
            <w:r>
              <w:rPr>
                <w:rFonts w:hint="eastAsia" w:ascii="仿宋" w:hAnsi="仿宋" w:eastAsia="仿宋" w:cs="仿宋"/>
                <w:szCs w:val="21"/>
              </w:rPr>
              <w:t>结论</w:t>
            </w:r>
          </w:p>
        </w:tc>
        <w:tc>
          <w:tcPr>
            <w:tcW w:w="4677" w:type="dxa"/>
          </w:tcPr>
          <w:p>
            <w:pPr>
              <w:snapToGrid w:val="0"/>
              <w:jc w:val="center"/>
              <w:rPr>
                <w:rFonts w:hint="eastAsia" w:ascii="仿宋" w:hAnsi="仿宋" w:eastAsia="仿宋" w:cs="仿宋"/>
                <w:szCs w:val="21"/>
              </w:rPr>
            </w:pPr>
          </w:p>
        </w:tc>
        <w:tc>
          <w:tcPr>
            <w:tcW w:w="1178" w:type="dxa"/>
            <w:vAlign w:val="center"/>
          </w:tcPr>
          <w:p>
            <w:pPr>
              <w:snapToGrid w:val="0"/>
              <w:ind w:left="425"/>
              <w:jc w:val="center"/>
              <w:rPr>
                <w:rFonts w:hint="eastAsia" w:ascii="仿宋" w:hAnsi="仿宋" w:eastAsia="仿宋" w:cs="仿宋"/>
                <w:szCs w:val="21"/>
              </w:rPr>
            </w:pPr>
          </w:p>
        </w:tc>
      </w:tr>
    </w:tbl>
    <w:p>
      <w:pPr>
        <w:spacing w:line="0" w:lineRule="atLeast"/>
        <w:ind w:left="425"/>
        <w:rPr>
          <w:rFonts w:hint="eastAsia" w:ascii="仿宋" w:hAnsi="仿宋" w:eastAsia="仿宋" w:cs="仿宋"/>
          <w:szCs w:val="21"/>
        </w:rPr>
      </w:pPr>
      <w:r>
        <w:rPr>
          <w:rFonts w:hint="eastAsia" w:ascii="仿宋" w:hAnsi="仿宋" w:eastAsia="仿宋" w:cs="仿宋"/>
          <w:szCs w:val="21"/>
        </w:rPr>
        <w:t>注：符合要求用“√”表示，不符合用“×”表示。有一项不符合要求，结论为不合格。</w:t>
      </w:r>
    </w:p>
    <w:p>
      <w:pPr>
        <w:spacing w:line="360" w:lineRule="auto"/>
        <w:jc w:val="center"/>
        <w:rPr>
          <w:rFonts w:hint="eastAsia" w:ascii="仿宋" w:hAnsi="仿宋" w:eastAsia="仿宋" w:cs="仿宋"/>
          <w:b/>
          <w:sz w:val="28"/>
          <w:szCs w:val="28"/>
        </w:rPr>
      </w:pPr>
      <w:r>
        <w:rPr>
          <w:rFonts w:hint="eastAsia" w:ascii="仿宋" w:hAnsi="仿宋" w:eastAsia="仿宋" w:cs="仿宋"/>
          <w:szCs w:val="21"/>
        </w:rPr>
        <w:br w:type="page"/>
      </w:r>
      <w:r>
        <w:rPr>
          <w:rFonts w:hint="eastAsia" w:ascii="仿宋" w:hAnsi="仿宋" w:eastAsia="仿宋" w:cs="仿宋"/>
          <w:b/>
          <w:sz w:val="30"/>
          <w:szCs w:val="30"/>
        </w:rPr>
        <w:t>附表二 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序号</w:t>
            </w:r>
          </w:p>
        </w:tc>
        <w:tc>
          <w:tcPr>
            <w:tcW w:w="1723"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评审项目</w:t>
            </w:r>
          </w:p>
        </w:tc>
        <w:tc>
          <w:tcPr>
            <w:tcW w:w="5401"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评审标准</w:t>
            </w:r>
          </w:p>
        </w:tc>
        <w:tc>
          <w:tcPr>
            <w:tcW w:w="1313"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评审结论</w:t>
            </w:r>
          </w:p>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0"/>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投标保证金信用承诺书</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按照磋商文件给出格式填写投标保证金信用承诺书；</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0"/>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响应文件签署盖章</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0"/>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报价</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0"/>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附加条件</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0"/>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公平竞争</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弄虚作假、相互串通的情形见附注</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0"/>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其他无效情形</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响应文件有效期</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有效期满足磋商文件要求的；</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响应文件格式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备选方案</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trike/>
                <w:szCs w:val="21"/>
              </w:rPr>
            </w:pPr>
            <w:r>
              <w:rPr>
                <w:rFonts w:hint="eastAsia" w:ascii="仿宋" w:hAnsi="仿宋" w:eastAsia="仿宋" w:cs="仿宋"/>
                <w:szCs w:val="21"/>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响应文件内容</w:t>
            </w:r>
          </w:p>
        </w:tc>
        <w:tc>
          <w:tcPr>
            <w:tcW w:w="5401" w:type="dxa"/>
            <w:shd w:val="clear" w:color="auto" w:fill="auto"/>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供应商提供的货物无实质性遗漏</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技术响应</w:t>
            </w:r>
          </w:p>
        </w:tc>
        <w:tc>
          <w:tcPr>
            <w:tcW w:w="5401" w:type="dxa"/>
            <w:shd w:val="clear" w:color="auto" w:fill="auto"/>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符合“采购需求”要求，无重大偏差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lang w:eastAsia="zh-CN"/>
              </w:rPr>
              <w:t>服务</w:t>
            </w:r>
            <w:r>
              <w:rPr>
                <w:rFonts w:hint="eastAsia" w:ascii="仿宋" w:hAnsi="仿宋" w:eastAsia="仿宋" w:cs="仿宋"/>
                <w:szCs w:val="21"/>
              </w:rPr>
              <w:t>期和</w:t>
            </w:r>
            <w:r>
              <w:rPr>
                <w:rFonts w:hint="eastAsia" w:ascii="仿宋" w:hAnsi="仿宋" w:eastAsia="仿宋" w:cs="仿宋"/>
                <w:szCs w:val="21"/>
                <w:lang w:eastAsia="zh-CN"/>
              </w:rPr>
              <w:t>服务</w:t>
            </w:r>
            <w:r>
              <w:rPr>
                <w:rFonts w:hint="eastAsia" w:ascii="仿宋" w:hAnsi="仿宋" w:eastAsia="仿宋" w:cs="仿宋"/>
                <w:szCs w:val="21"/>
              </w:rPr>
              <w:t>地点</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满足磋商文件要求；</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1"/>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付款方式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磋商文件不允许偏差时，响应文件无负偏差；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b/>
                <w:szCs w:val="21"/>
              </w:rPr>
              <w:t>结论（通过或未通过）</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bl>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2、有下列情形之一的，视为供应商相互串通：</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（1）不同供应商的响应文件由同一单位或者个人编制；</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（2）不同供应商委托同一单位或者个人办理参与磋商事宜；</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（4）不同供应商的响应文件异常一致或者报价呈规律性差异；</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（5）不同供应商的响应文件相互混装；</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3、有下列情形之一的，属于提供虚假材料谋取成交的行为：</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（1）使用伪造、变造的许可证件；</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（2）提供虚假的财务状况或者业绩；</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（4）提供虚假的信用状况；</w:t>
      </w:r>
    </w:p>
    <w:p>
      <w:pPr>
        <w:tabs>
          <w:tab w:val="left" w:pos="1260"/>
          <w:tab w:val="left" w:pos="1620"/>
        </w:tabs>
        <w:adjustRightInd w:val="0"/>
        <w:spacing w:line="360" w:lineRule="auto"/>
        <w:jc w:val="left"/>
        <w:textAlignment w:val="baseline"/>
        <w:rPr>
          <w:rFonts w:hint="eastAsia" w:ascii="仿宋" w:hAnsi="仿宋" w:eastAsia="仿宋" w:cs="仿宋"/>
          <w:b w:val="0"/>
          <w:bCs/>
          <w:szCs w:val="21"/>
        </w:rPr>
      </w:pPr>
      <w:r>
        <w:rPr>
          <w:rFonts w:hint="eastAsia" w:ascii="仿宋" w:hAnsi="仿宋" w:eastAsia="仿宋" w:cs="仿宋"/>
          <w:b w:val="0"/>
          <w:bCs/>
          <w:szCs w:val="21"/>
        </w:rPr>
        <w:t>（5）其他弄虚作假的行为。</w:t>
      </w:r>
    </w:p>
    <w:p>
      <w:pPr>
        <w:tabs>
          <w:tab w:val="left" w:pos="1260"/>
          <w:tab w:val="left" w:pos="1620"/>
        </w:tabs>
        <w:adjustRightInd w:val="0"/>
        <w:spacing w:line="360" w:lineRule="auto"/>
        <w:jc w:val="left"/>
        <w:textAlignment w:val="baseline"/>
        <w:rPr>
          <w:rFonts w:hint="eastAsia" w:ascii="仿宋" w:hAnsi="仿宋" w:eastAsia="仿宋" w:cs="仿宋"/>
          <w:b/>
          <w:szCs w:val="21"/>
        </w:rPr>
      </w:pP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br w:type="page"/>
      </w:r>
    </w:p>
    <w:p>
      <w:pPr>
        <w:jc w:val="center"/>
        <w:rPr>
          <w:rFonts w:hint="eastAsia" w:ascii="仿宋" w:hAnsi="仿宋" w:eastAsia="仿宋" w:cs="仿宋"/>
          <w:b/>
          <w:sz w:val="30"/>
          <w:szCs w:val="30"/>
          <w:highlight w:val="none"/>
        </w:rPr>
      </w:pPr>
      <w:bookmarkStart w:id="408" w:name="_Toc7005048"/>
      <w:bookmarkStart w:id="409" w:name="_Toc410631198"/>
      <w:bookmarkStart w:id="410" w:name="_Toc414446034"/>
    </w:p>
    <w:p>
      <w:pPr>
        <w:jc w:val="center"/>
        <w:rPr>
          <w:rFonts w:hint="eastAsia" w:ascii="仿宋" w:hAnsi="仿宋" w:eastAsia="仿宋" w:cs="仿宋"/>
          <w:szCs w:val="21"/>
        </w:rPr>
      </w:pPr>
      <w:r>
        <w:rPr>
          <w:rFonts w:hint="eastAsia" w:ascii="仿宋" w:hAnsi="仿宋" w:eastAsia="仿宋" w:cs="仿宋"/>
          <w:b/>
          <w:sz w:val="30"/>
          <w:szCs w:val="30"/>
          <w:highlight w:val="none"/>
        </w:rPr>
        <w:t>附表三 评审因素及分值分配表</w:t>
      </w:r>
      <w:bookmarkEnd w:id="408"/>
      <w:bookmarkEnd w:id="409"/>
      <w:bookmarkEnd w:id="410"/>
    </w:p>
    <w:p>
      <w:pPr>
        <w:tabs>
          <w:tab w:val="left" w:pos="-94"/>
          <w:tab w:val="left" w:pos="1620"/>
        </w:tabs>
        <w:adjustRightInd w:val="0"/>
        <w:spacing w:line="360" w:lineRule="auto"/>
        <w:ind w:left="23" w:leftChars="11"/>
        <w:jc w:val="center"/>
        <w:textAlignment w:val="baseline"/>
        <w:rPr>
          <w:rFonts w:hint="eastAsia" w:ascii="仿宋" w:hAnsi="仿宋" w:eastAsia="仿宋" w:cs="仿宋"/>
          <w:b/>
          <w:szCs w:val="21"/>
        </w:rPr>
      </w:pPr>
      <w:r>
        <w:rPr>
          <w:rFonts w:hint="eastAsia" w:ascii="仿宋" w:hAnsi="仿宋" w:eastAsia="仿宋" w:cs="仿宋"/>
          <w:szCs w:val="21"/>
        </w:rPr>
        <w:t>（满分</w:t>
      </w:r>
      <w:r>
        <w:rPr>
          <w:rFonts w:hint="eastAsia" w:ascii="仿宋" w:hAnsi="仿宋" w:eastAsia="仿宋" w:cs="仿宋"/>
          <w:szCs w:val="21"/>
          <w:lang w:val="en-US" w:eastAsia="zh-CN"/>
        </w:rPr>
        <w:t>100</w:t>
      </w:r>
      <w:r>
        <w:rPr>
          <w:rFonts w:hint="eastAsia" w:ascii="仿宋" w:hAnsi="仿宋" w:eastAsia="仿宋" w:cs="仿宋"/>
          <w:szCs w:val="21"/>
        </w:rPr>
        <w:t>分）</w:t>
      </w:r>
    </w:p>
    <w:tbl>
      <w:tblPr>
        <w:tblStyle w:val="50"/>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41"/>
        <w:gridCol w:w="1881"/>
        <w:gridCol w:w="523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94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评审项目</w:t>
            </w:r>
          </w:p>
        </w:tc>
        <w:tc>
          <w:tcPr>
            <w:tcW w:w="188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评审内容</w:t>
            </w:r>
          </w:p>
        </w:tc>
        <w:tc>
          <w:tcPr>
            <w:tcW w:w="523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评  审  标  准</w:t>
            </w:r>
          </w:p>
        </w:tc>
        <w:tc>
          <w:tcPr>
            <w:tcW w:w="104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jc w:val="center"/>
              <w:rPr>
                <w:rFonts w:hint="eastAsia" w:ascii="仿宋" w:hAnsi="仿宋" w:eastAsia="仿宋" w:cs="仿宋"/>
                <w:color w:val="auto"/>
                <w:sz w:val="21"/>
                <w:szCs w:val="21"/>
                <w:highlight w:val="none"/>
                <w:lang w:eastAsia="zh-CN"/>
              </w:rPr>
            </w:pPr>
            <w:bookmarkStart w:id="411" w:name="_Toc7005049"/>
            <w:r>
              <w:rPr>
                <w:rFonts w:hint="eastAsia" w:ascii="仿宋" w:hAnsi="仿宋" w:eastAsia="仿宋" w:cs="仿宋"/>
                <w:color w:val="auto"/>
                <w:sz w:val="21"/>
                <w:szCs w:val="21"/>
                <w:highlight w:val="none"/>
                <w:lang w:eastAsia="zh-CN"/>
              </w:rPr>
              <w:t>1</w:t>
            </w:r>
            <w:bookmarkEnd w:id="411"/>
          </w:p>
        </w:tc>
        <w:tc>
          <w:tcPr>
            <w:tcW w:w="941" w:type="dxa"/>
            <w:vMerge w:val="restart"/>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商务</w:t>
            </w:r>
          </w:p>
        </w:tc>
        <w:tc>
          <w:tcPr>
            <w:tcW w:w="1881"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合同条款</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供应商对拟签订合同条款中付款、验收等方面进行响应说明，按其响应程度计0-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分。</w:t>
            </w:r>
          </w:p>
        </w:tc>
        <w:tc>
          <w:tcPr>
            <w:tcW w:w="1046"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jc w:val="center"/>
              <w:rPr>
                <w:rFonts w:hint="eastAsia" w:ascii="仿宋" w:hAnsi="仿宋" w:eastAsia="仿宋" w:cs="仿宋"/>
                <w:color w:val="auto"/>
                <w:sz w:val="21"/>
                <w:szCs w:val="21"/>
                <w:highlight w:val="none"/>
                <w:lang w:eastAsia="zh-CN"/>
              </w:rPr>
            </w:pPr>
            <w:bookmarkStart w:id="412" w:name="_Toc7005052"/>
            <w:r>
              <w:rPr>
                <w:rFonts w:hint="eastAsia" w:ascii="仿宋" w:hAnsi="仿宋" w:eastAsia="仿宋" w:cs="仿宋"/>
                <w:color w:val="auto"/>
                <w:sz w:val="21"/>
                <w:szCs w:val="21"/>
                <w:highlight w:val="none"/>
                <w:lang w:eastAsia="zh-CN"/>
              </w:rPr>
              <w:t>2</w:t>
            </w:r>
            <w:bookmarkEnd w:id="412"/>
          </w:p>
        </w:tc>
        <w:tc>
          <w:tcPr>
            <w:tcW w:w="941" w:type="dxa"/>
            <w:vMerge w:val="continue"/>
            <w:vAlign w:val="center"/>
          </w:tcPr>
          <w:p>
            <w:pPr>
              <w:jc w:val="center"/>
              <w:rPr>
                <w:rFonts w:hint="eastAsia" w:ascii="仿宋" w:hAnsi="仿宋" w:eastAsia="仿宋" w:cs="仿宋"/>
                <w:color w:val="auto"/>
                <w:sz w:val="21"/>
                <w:szCs w:val="21"/>
                <w:highlight w:val="none"/>
                <w:lang w:eastAsia="zh-CN"/>
              </w:rPr>
            </w:pPr>
          </w:p>
        </w:tc>
        <w:tc>
          <w:tcPr>
            <w:tcW w:w="1881"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业绩</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提供2019年6月至今的类似项目业绩，提供中标（成交）通知书或合同复印件，加盖公章）每提供1份得2分，本项最高得10分。</w:t>
            </w:r>
          </w:p>
        </w:tc>
        <w:tc>
          <w:tcPr>
            <w:tcW w:w="1046"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941" w:type="dxa"/>
            <w:vMerge w:val="restart"/>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w:t>
            </w:r>
          </w:p>
        </w:tc>
        <w:tc>
          <w:tcPr>
            <w:tcW w:w="1881"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对本项目设计的理解</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对项目的设计理解深刻、具体，分析较为全面，根据项目全面性进行综合评审计0-5分；</w:t>
            </w:r>
          </w:p>
        </w:tc>
        <w:tc>
          <w:tcPr>
            <w:tcW w:w="1046"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设计思路和理念</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设计文件的思路和理念实用、合理，根据设计文件的合理性， 方案的实用性进行综合评审计0-5分；</w:t>
            </w:r>
          </w:p>
        </w:tc>
        <w:tc>
          <w:tcPr>
            <w:tcW w:w="1046"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eastAsia="zh-CN"/>
              </w:rPr>
              <w:t>保密措施</w:t>
            </w:r>
          </w:p>
        </w:tc>
        <w:tc>
          <w:tcPr>
            <w:tcW w:w="5233" w:type="dxa"/>
            <w:vAlign w:val="center"/>
          </w:tcPr>
          <w:p>
            <w:pPr>
              <w:widowControl/>
              <w:snapToGrid w:val="0"/>
              <w:rPr>
                <w:rFonts w:hint="eastAsia" w:ascii="仿宋" w:hAnsi="仿宋" w:eastAsia="仿宋" w:cs="仿宋"/>
                <w:kern w:val="2"/>
                <w:sz w:val="21"/>
                <w:szCs w:val="21"/>
                <w:lang w:val="en-US" w:eastAsia="zh-CN" w:bidi="ar-SA"/>
              </w:rPr>
            </w:pPr>
            <w:r>
              <w:rPr>
                <w:rFonts w:hint="eastAsia" w:ascii="仿宋" w:hAnsi="仿宋" w:eastAsia="仿宋" w:cs="仿宋"/>
                <w:szCs w:val="21"/>
              </w:rPr>
              <w:t>保密承诺：</w:t>
            </w:r>
            <w:r>
              <w:rPr>
                <w:rFonts w:hint="eastAsia" w:ascii="仿宋" w:hAnsi="仿宋" w:eastAsia="仿宋" w:cs="仿宋"/>
                <w:szCs w:val="21"/>
                <w:lang w:eastAsia="zh-CN"/>
              </w:rPr>
              <w:t>勘测涉及的资料、信息与检测成果等。根据</w:t>
            </w:r>
            <w:r>
              <w:rPr>
                <w:rFonts w:hint="eastAsia" w:ascii="仿宋" w:hAnsi="仿宋" w:eastAsia="仿宋" w:cs="仿宋"/>
                <w:szCs w:val="21"/>
              </w:rPr>
              <w:t>承诺</w:t>
            </w:r>
            <w:r>
              <w:rPr>
                <w:rFonts w:hint="eastAsia" w:ascii="仿宋" w:hAnsi="仿宋" w:eastAsia="仿宋" w:cs="仿宋"/>
                <w:szCs w:val="21"/>
                <w:lang w:eastAsia="zh-CN"/>
              </w:rPr>
              <w:t>的</w:t>
            </w:r>
            <w:r>
              <w:rPr>
                <w:rFonts w:hint="eastAsia" w:ascii="仿宋" w:hAnsi="仿宋" w:eastAsia="仿宋" w:cs="仿宋"/>
                <w:szCs w:val="21"/>
              </w:rPr>
              <w:t>全面</w:t>
            </w:r>
            <w:r>
              <w:rPr>
                <w:rFonts w:hint="eastAsia" w:ascii="仿宋" w:hAnsi="仿宋" w:eastAsia="仿宋" w:cs="仿宋"/>
                <w:szCs w:val="21"/>
                <w:lang w:eastAsia="zh-CN"/>
              </w:rPr>
              <w:t>性</w:t>
            </w:r>
            <w:r>
              <w:rPr>
                <w:rFonts w:hint="eastAsia" w:ascii="仿宋" w:hAnsi="仿宋" w:eastAsia="仿宋" w:cs="仿宋"/>
                <w:szCs w:val="21"/>
              </w:rPr>
              <w:t>、措施具体可行</w:t>
            </w:r>
            <w:r>
              <w:rPr>
                <w:rFonts w:hint="eastAsia" w:ascii="仿宋" w:hAnsi="仿宋" w:eastAsia="仿宋" w:cs="仿宋"/>
                <w:szCs w:val="21"/>
                <w:lang w:eastAsia="zh-CN"/>
              </w:rPr>
              <w:t>性可赋</w:t>
            </w:r>
            <w:r>
              <w:rPr>
                <w:rFonts w:hint="eastAsia" w:ascii="仿宋" w:hAnsi="仿宋" w:eastAsia="仿宋" w:cs="仿宋"/>
                <w:szCs w:val="21"/>
                <w:lang w:val="en-US" w:eastAsia="zh-CN"/>
              </w:rPr>
              <w:t>0-5分</w:t>
            </w:r>
            <w:r>
              <w:rPr>
                <w:rFonts w:hint="eastAsia" w:ascii="仿宋" w:hAnsi="仿宋" w:eastAsia="仿宋" w:cs="仿宋"/>
                <w:szCs w:val="21"/>
              </w:rPr>
              <w:t>。</w:t>
            </w:r>
          </w:p>
        </w:tc>
        <w:tc>
          <w:tcPr>
            <w:tcW w:w="1046" w:type="dxa"/>
            <w:vAlign w:val="center"/>
          </w:tcPr>
          <w:p>
            <w:pPr>
              <w:widowControl/>
              <w:snapToGrid w:val="0"/>
              <w:jc w:val="center"/>
              <w:rPr>
                <w:rFonts w:hint="eastAsia" w:ascii="仿宋" w:hAnsi="仿宋" w:eastAsia="仿宋" w:cs="仿宋"/>
                <w:kern w:val="2"/>
                <w:sz w:val="21"/>
                <w:szCs w:val="24"/>
                <w:lang w:val="en-US" w:eastAsia="zh-CN" w:bidi="ar-SA"/>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z w:val="21"/>
                <w:szCs w:val="21"/>
                <w:lang w:val="en-US" w:eastAsia="zh-CN"/>
              </w:rPr>
              <w:t>数据异常项目解决方案</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z w:val="21"/>
                <w:szCs w:val="21"/>
                <w:lang w:val="en-US" w:eastAsia="zh-CN"/>
              </w:rPr>
              <w:t>数据异常项目解决方案。</w:t>
            </w:r>
            <w:r>
              <w:rPr>
                <w:rFonts w:hint="eastAsia" w:ascii="仿宋" w:hAnsi="仿宋" w:eastAsia="仿宋" w:cs="仿宋"/>
                <w:szCs w:val="21"/>
                <w:lang w:val="en-US" w:eastAsia="zh-CN"/>
              </w:rPr>
              <w:t>供应商</w:t>
            </w:r>
            <w:r>
              <w:rPr>
                <w:rFonts w:hint="eastAsia" w:ascii="仿宋" w:hAnsi="仿宋" w:eastAsia="仿宋" w:cs="仿宋"/>
                <w:color w:val="000000"/>
                <w:sz w:val="21"/>
                <w:szCs w:val="21"/>
                <w:lang w:val="en-US" w:eastAsia="zh-CN"/>
              </w:rPr>
              <w:t>提供的解决方案包括复查方法、复查备案2项内容，每包含1项内容得2.5分，最多得5分。</w:t>
            </w:r>
          </w:p>
        </w:tc>
        <w:tc>
          <w:tcPr>
            <w:tcW w:w="1046"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color w:val="auto"/>
                <w:sz w:val="21"/>
                <w:szCs w:val="21"/>
                <w:highlight w:val="none"/>
              </w:rPr>
              <w:t>工作计划</w:t>
            </w:r>
            <w:r>
              <w:rPr>
                <w:rFonts w:hint="eastAsia" w:ascii="仿宋" w:hAnsi="仿宋" w:eastAsia="仿宋" w:cs="仿宋"/>
                <w:i w:val="0"/>
                <w:iCs/>
                <w:color w:val="auto"/>
                <w:sz w:val="21"/>
                <w:szCs w:val="21"/>
                <w:highlight w:val="none"/>
                <w:lang w:eastAsia="zh-CN"/>
              </w:rPr>
              <w:t>目标</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color w:val="auto"/>
                <w:sz w:val="21"/>
                <w:szCs w:val="21"/>
                <w:highlight w:val="none"/>
              </w:rPr>
              <w:t>工作计划目标明确，进度安排方案科学合理，措施全面及可行性高，按其响应程度计0-5分；</w:t>
            </w:r>
          </w:p>
        </w:tc>
        <w:tc>
          <w:tcPr>
            <w:tcW w:w="1046"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工作进度保障</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color w:val="auto"/>
                <w:sz w:val="21"/>
                <w:szCs w:val="21"/>
                <w:highlight w:val="none"/>
              </w:rPr>
              <w:t>对工作进度保障措施全面有效、合法、及时，按其响应程度计0-5分</w:t>
            </w:r>
            <w:r>
              <w:rPr>
                <w:rFonts w:hint="eastAsia" w:ascii="仿宋" w:hAnsi="仿宋" w:eastAsia="仿宋" w:cs="仿宋"/>
                <w:i w:val="0"/>
                <w:iCs/>
                <w:color w:val="auto"/>
                <w:sz w:val="21"/>
                <w:szCs w:val="21"/>
                <w:highlight w:val="none"/>
                <w:lang w:eastAsia="zh-CN"/>
              </w:rPr>
              <w:t>；</w:t>
            </w:r>
          </w:p>
        </w:tc>
        <w:tc>
          <w:tcPr>
            <w:tcW w:w="1046"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勘察设计难点、重点分析</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color w:val="auto"/>
                <w:sz w:val="21"/>
                <w:szCs w:val="21"/>
                <w:highlight w:val="none"/>
                <w:lang w:eastAsia="zh-CN"/>
              </w:rPr>
              <w:t>施工图设计</w:t>
            </w:r>
            <w:r>
              <w:rPr>
                <w:rFonts w:hint="eastAsia" w:ascii="仿宋" w:hAnsi="仿宋" w:eastAsia="仿宋" w:cs="仿宋"/>
                <w:i w:val="0"/>
                <w:iCs/>
                <w:color w:val="auto"/>
                <w:sz w:val="21"/>
                <w:szCs w:val="21"/>
                <w:highlight w:val="none"/>
              </w:rPr>
              <w:t>实施过程中的关键点分析准确，相应保障措施得当，按其响应程度计0-5分</w:t>
            </w:r>
            <w:r>
              <w:rPr>
                <w:rFonts w:hint="eastAsia" w:ascii="仿宋" w:hAnsi="仿宋" w:eastAsia="仿宋" w:cs="仿宋"/>
                <w:i w:val="0"/>
                <w:iCs/>
                <w:color w:val="auto"/>
                <w:sz w:val="21"/>
                <w:szCs w:val="21"/>
                <w:highlight w:val="none"/>
                <w:lang w:eastAsia="zh-CN"/>
              </w:rPr>
              <w:t>；</w:t>
            </w:r>
          </w:p>
        </w:tc>
        <w:tc>
          <w:tcPr>
            <w:tcW w:w="1046"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拟投入本项目人员配备方案</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提供的人员配备方案内容完整，按其响应程度计0-5分；</w:t>
            </w:r>
          </w:p>
        </w:tc>
        <w:tc>
          <w:tcPr>
            <w:tcW w:w="1046"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勘察评估文件内容编制完整性评审</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i w:val="0"/>
                <w:iCs/>
                <w:color w:val="auto"/>
                <w:sz w:val="21"/>
                <w:szCs w:val="21"/>
                <w:highlight w:val="none"/>
                <w:lang w:val="en-US" w:eastAsia="zh-CN"/>
              </w:rPr>
            </w:pPr>
            <w:r>
              <w:rPr>
                <w:rFonts w:hint="eastAsia" w:ascii="仿宋" w:hAnsi="仿宋" w:eastAsia="仿宋" w:cs="仿宋"/>
                <w:i w:val="0"/>
                <w:iCs/>
                <w:color w:val="auto"/>
                <w:sz w:val="21"/>
                <w:szCs w:val="21"/>
                <w:highlight w:val="none"/>
              </w:rPr>
              <w:t>编制内容全面完整、清晰明确，对发展方向、任务可提出创新举措，按其响应程度计0-5分</w:t>
            </w:r>
            <w:r>
              <w:rPr>
                <w:rFonts w:hint="eastAsia" w:ascii="仿宋" w:hAnsi="仿宋" w:eastAsia="仿宋" w:cs="仿宋"/>
                <w:i w:val="0"/>
                <w:iCs/>
                <w:color w:val="auto"/>
                <w:sz w:val="21"/>
                <w:szCs w:val="21"/>
                <w:highlight w:val="none"/>
                <w:lang w:eastAsia="zh-CN"/>
              </w:rPr>
              <w:t>；</w:t>
            </w:r>
          </w:p>
        </w:tc>
        <w:tc>
          <w:tcPr>
            <w:tcW w:w="1046"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Align w:val="center"/>
          </w:tcPr>
          <w:p>
            <w:pPr>
              <w:jc w:val="center"/>
              <w:rPr>
                <w:rFonts w:hint="eastAsia" w:ascii="仿宋" w:hAnsi="仿宋" w:eastAsia="仿宋" w:cs="仿宋"/>
                <w:color w:val="auto"/>
                <w:kern w:val="2"/>
                <w:sz w:val="21"/>
                <w:szCs w:val="21"/>
                <w:highlight w:val="none"/>
                <w:lang w:val="en-US" w:eastAsia="zh-CN" w:bidi="ar-SA"/>
              </w:rPr>
            </w:pP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服务质量保证</w:t>
            </w:r>
          </w:p>
        </w:tc>
        <w:tc>
          <w:tcPr>
            <w:tcW w:w="5233" w:type="dxa"/>
            <w:vAlign w:val="center"/>
          </w:tcPr>
          <w:p>
            <w:pPr>
              <w:keepNext w:val="0"/>
              <w:keepLines w:val="0"/>
              <w:pageBreakBefore w:val="0"/>
              <w:widowControl w:val="0"/>
              <w:kinsoku/>
              <w:wordWrap/>
              <w:overflowPunct/>
              <w:topLinePunct w:val="0"/>
              <w:autoSpaceDE/>
              <w:autoSpaceDN/>
              <w:bidi w:val="0"/>
              <w:adjustRightInd/>
              <w:jc w:val="left"/>
              <w:textAlignment w:val="auto"/>
              <w:rPr>
                <w:rFonts w:hint="eastAsia" w:ascii="仿宋" w:hAnsi="仿宋" w:eastAsia="仿宋" w:cs="仿宋"/>
                <w:i w:val="0"/>
                <w:iCs/>
                <w:color w:val="auto"/>
                <w:sz w:val="21"/>
                <w:szCs w:val="21"/>
                <w:highlight w:val="none"/>
              </w:rPr>
            </w:pPr>
            <w:r>
              <w:rPr>
                <w:rFonts w:hint="eastAsia" w:ascii="仿宋" w:hAnsi="仿宋" w:eastAsia="仿宋" w:cs="仿宋"/>
                <w:i w:val="0"/>
                <w:iCs/>
                <w:color w:val="auto"/>
                <w:sz w:val="21"/>
                <w:szCs w:val="21"/>
                <w:highlight w:val="none"/>
              </w:rPr>
              <w:t>投标人项目组织机构合理、职责界面清晰符合采购需求的具体要求，根据投标文件响应程度完全符合，得</w:t>
            </w:r>
            <w:r>
              <w:rPr>
                <w:rFonts w:hint="eastAsia" w:ascii="仿宋" w:hAnsi="仿宋" w:eastAsia="仿宋" w:cs="仿宋"/>
                <w:i w:val="0"/>
                <w:iCs/>
                <w:color w:val="auto"/>
                <w:sz w:val="21"/>
                <w:szCs w:val="21"/>
                <w:highlight w:val="none"/>
                <w:lang w:val="en-US" w:eastAsia="zh-CN"/>
              </w:rPr>
              <w:t>3-5</w:t>
            </w:r>
            <w:r>
              <w:rPr>
                <w:rFonts w:hint="eastAsia" w:ascii="仿宋" w:hAnsi="仿宋" w:eastAsia="仿宋" w:cs="仿宋"/>
                <w:i w:val="0"/>
                <w:iCs/>
                <w:color w:val="auto"/>
                <w:sz w:val="21"/>
                <w:szCs w:val="21"/>
                <w:highlight w:val="none"/>
              </w:rPr>
              <w:t>分</w:t>
            </w:r>
            <w:r>
              <w:rPr>
                <w:rFonts w:hint="eastAsia" w:ascii="仿宋" w:hAnsi="仿宋" w:eastAsia="仿宋" w:cs="仿宋"/>
                <w:i w:val="0"/>
                <w:iCs/>
                <w:color w:val="auto"/>
                <w:sz w:val="21"/>
                <w:szCs w:val="21"/>
                <w:highlight w:val="none"/>
                <w:lang w:eastAsia="zh-CN"/>
              </w:rPr>
              <w:t>（含</w:t>
            </w:r>
            <w:r>
              <w:rPr>
                <w:rFonts w:hint="eastAsia" w:ascii="仿宋" w:hAnsi="仿宋" w:eastAsia="仿宋" w:cs="仿宋"/>
                <w:i w:val="0"/>
                <w:iCs/>
                <w:color w:val="auto"/>
                <w:sz w:val="21"/>
                <w:szCs w:val="21"/>
                <w:highlight w:val="none"/>
                <w:lang w:val="en-US" w:eastAsia="zh-CN"/>
              </w:rPr>
              <w:t>3分</w:t>
            </w:r>
            <w:r>
              <w:rPr>
                <w:rFonts w:hint="eastAsia" w:ascii="仿宋" w:hAnsi="仿宋" w:eastAsia="仿宋" w:cs="仿宋"/>
                <w:i w:val="0"/>
                <w:iCs/>
                <w:color w:val="auto"/>
                <w:sz w:val="21"/>
                <w:szCs w:val="21"/>
                <w:highlight w:val="none"/>
                <w:lang w:eastAsia="zh-CN"/>
              </w:rPr>
              <w:t>）</w:t>
            </w:r>
            <w:r>
              <w:rPr>
                <w:rFonts w:hint="eastAsia" w:ascii="仿宋" w:hAnsi="仿宋" w:eastAsia="仿宋" w:cs="仿宋"/>
                <w:i w:val="0"/>
                <w:iCs/>
                <w:color w:val="auto"/>
                <w:sz w:val="21"/>
                <w:szCs w:val="21"/>
                <w:highlight w:val="none"/>
              </w:rPr>
              <w:t>；基本符合，得</w:t>
            </w:r>
            <w:r>
              <w:rPr>
                <w:rFonts w:hint="eastAsia" w:ascii="仿宋" w:hAnsi="仿宋" w:eastAsia="仿宋" w:cs="仿宋"/>
                <w:i w:val="0"/>
                <w:iCs/>
                <w:color w:val="auto"/>
                <w:sz w:val="21"/>
                <w:szCs w:val="21"/>
                <w:highlight w:val="none"/>
                <w:lang w:val="en-US" w:eastAsia="zh-CN"/>
              </w:rPr>
              <w:t>0-3分</w:t>
            </w:r>
            <w:r>
              <w:rPr>
                <w:rFonts w:hint="eastAsia" w:ascii="仿宋" w:hAnsi="仿宋" w:eastAsia="仿宋" w:cs="仿宋"/>
                <w:i w:val="0"/>
                <w:iCs/>
                <w:color w:val="auto"/>
                <w:sz w:val="21"/>
                <w:szCs w:val="21"/>
                <w:highlight w:val="none"/>
              </w:rPr>
              <w:t>，未提供者不计分。</w:t>
            </w:r>
          </w:p>
        </w:tc>
        <w:tc>
          <w:tcPr>
            <w:tcW w:w="1046" w:type="dxa"/>
            <w:vAlign w:val="center"/>
          </w:tcPr>
          <w:p>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941" w:type="dxa"/>
            <w:vMerge w:val="continue"/>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项目团队</w:t>
            </w:r>
          </w:p>
        </w:tc>
        <w:tc>
          <w:tcPr>
            <w:tcW w:w="5233" w:type="dxa"/>
            <w:vAlign w:val="center"/>
          </w:tcPr>
          <w:p>
            <w:pPr>
              <w:keepNext w:val="0"/>
              <w:keepLines w:val="0"/>
              <w:pageBreakBefore w:val="0"/>
              <w:widowControl w:val="0"/>
              <w:numPr>
                <w:ilvl w:val="0"/>
                <w:numId w:val="0"/>
              </w:numPr>
              <w:kinsoku/>
              <w:wordWrap/>
              <w:overflowPunct/>
              <w:topLinePunct w:val="0"/>
              <w:autoSpaceDE/>
              <w:autoSpaceDN/>
              <w:bidi w:val="0"/>
              <w:adjustRightInd/>
              <w:jc w:val="left"/>
              <w:textAlignment w:val="auto"/>
              <w:rPr>
                <w:rFonts w:hint="eastAsia" w:ascii="仿宋" w:hAnsi="仿宋" w:eastAsia="仿宋" w:cs="仿宋"/>
                <w:i w:val="0"/>
                <w:iCs/>
                <w:color w:val="auto"/>
                <w:sz w:val="21"/>
                <w:szCs w:val="21"/>
                <w:highlight w:val="none"/>
                <w:lang w:val="zh-CN" w:eastAsia="zh-CN"/>
              </w:rPr>
            </w:pPr>
            <w:r>
              <w:rPr>
                <w:rFonts w:hint="eastAsia" w:ascii="仿宋" w:hAnsi="仿宋" w:eastAsia="仿宋" w:cs="仿宋"/>
                <w:i w:val="0"/>
                <w:iCs/>
                <w:color w:val="auto"/>
                <w:sz w:val="21"/>
                <w:szCs w:val="21"/>
                <w:highlight w:val="none"/>
                <w:lang w:val="en-US" w:eastAsia="zh-CN"/>
              </w:rPr>
              <w:t>1.</w:t>
            </w:r>
            <w:r>
              <w:rPr>
                <w:rFonts w:hint="eastAsia" w:ascii="仿宋" w:hAnsi="仿宋" w:eastAsia="仿宋" w:cs="仿宋"/>
                <w:i w:val="0"/>
                <w:iCs/>
                <w:color w:val="auto"/>
                <w:sz w:val="21"/>
                <w:szCs w:val="21"/>
                <w:highlight w:val="none"/>
                <w:lang w:val="zh-CN" w:eastAsia="zh-CN"/>
              </w:rPr>
              <w:t>项目实施团队完备、人员轮值计划表合理、相应专业技术人员齐全，按其响应程度计0～5分。</w:t>
            </w:r>
          </w:p>
          <w:p>
            <w:pPr>
              <w:keepNext w:val="0"/>
              <w:keepLines w:val="0"/>
              <w:pageBreakBefore w:val="0"/>
              <w:widowControl w:val="0"/>
              <w:numPr>
                <w:ilvl w:val="0"/>
                <w:numId w:val="0"/>
              </w:numPr>
              <w:kinsoku/>
              <w:wordWrap/>
              <w:overflowPunct/>
              <w:topLinePunct w:val="0"/>
              <w:autoSpaceDE/>
              <w:autoSpaceDN/>
              <w:bidi w:val="0"/>
              <w:adjustRightInd/>
              <w:jc w:val="left"/>
              <w:textAlignment w:val="auto"/>
              <w:rPr>
                <w:rFonts w:hint="eastAsia" w:ascii="仿宋" w:hAnsi="仿宋" w:eastAsia="仿宋" w:cs="仿宋"/>
                <w:i w:val="0"/>
                <w:iCs/>
                <w:color w:val="auto"/>
                <w:sz w:val="21"/>
                <w:szCs w:val="21"/>
                <w:highlight w:val="none"/>
                <w:lang w:val="en-US" w:eastAsia="zh-CN"/>
              </w:rPr>
            </w:pPr>
            <w:r>
              <w:rPr>
                <w:rFonts w:hint="eastAsia" w:ascii="仿宋" w:hAnsi="仿宋" w:eastAsia="仿宋" w:cs="仿宋"/>
                <w:i w:val="0"/>
                <w:iCs/>
                <w:color w:val="auto"/>
                <w:sz w:val="21"/>
                <w:szCs w:val="21"/>
                <w:highlight w:val="none"/>
                <w:lang w:val="en-US" w:eastAsia="zh-CN"/>
              </w:rPr>
              <w:t>2.本项目拟派项目负责人为高级技术职称且具有大学本科及以上学历的计5分，具有高级技术职称者计3分，无职称不得分。</w:t>
            </w:r>
          </w:p>
          <w:p>
            <w:pPr>
              <w:keepNext w:val="0"/>
              <w:keepLines w:val="0"/>
              <w:pageBreakBefore w:val="0"/>
              <w:widowControl w:val="0"/>
              <w:numPr>
                <w:ilvl w:val="0"/>
                <w:numId w:val="0"/>
              </w:numPr>
              <w:kinsoku/>
              <w:wordWrap/>
              <w:overflowPunct/>
              <w:topLinePunct w:val="0"/>
              <w:autoSpaceDE/>
              <w:autoSpaceDN/>
              <w:bidi w:val="0"/>
              <w:adjustRightInd/>
              <w:jc w:val="left"/>
              <w:textAlignment w:val="auto"/>
              <w:rPr>
                <w:rFonts w:hint="eastAsia" w:ascii="仿宋" w:hAnsi="仿宋" w:eastAsia="仿宋" w:cs="仿宋"/>
                <w:i w:val="0"/>
                <w:iCs/>
                <w:color w:val="auto"/>
                <w:sz w:val="21"/>
                <w:szCs w:val="21"/>
                <w:highlight w:val="none"/>
                <w:lang w:val="en-US" w:eastAsia="zh-CN"/>
              </w:rPr>
            </w:pPr>
            <w:r>
              <w:rPr>
                <w:rFonts w:hint="eastAsia" w:ascii="仿宋" w:hAnsi="仿宋" w:eastAsia="仿宋" w:cs="仿宋"/>
                <w:i w:val="0"/>
                <w:iCs/>
                <w:color w:val="auto"/>
                <w:sz w:val="21"/>
                <w:szCs w:val="21"/>
                <w:highlight w:val="none"/>
                <w:lang w:val="en-US" w:eastAsia="zh-CN"/>
              </w:rPr>
              <w:t>3.按提交的响应文件项目团队内容中具有矿产普查与勘探类或资源勘查类或地质工程类本科及以上学历的团队成员人数，每提供一个得1分，最多得5分。</w:t>
            </w:r>
          </w:p>
          <w:p>
            <w:pPr>
              <w:keepNext w:val="0"/>
              <w:keepLines w:val="0"/>
              <w:pageBreakBefore w:val="0"/>
              <w:widowControl w:val="0"/>
              <w:numPr>
                <w:ilvl w:val="0"/>
                <w:numId w:val="0"/>
              </w:numPr>
              <w:kinsoku/>
              <w:wordWrap/>
              <w:overflowPunct/>
              <w:topLinePunct w:val="0"/>
              <w:autoSpaceDE/>
              <w:autoSpaceDN/>
              <w:bidi w:val="0"/>
              <w:adjustRightInd/>
              <w:jc w:val="left"/>
              <w:textAlignment w:val="auto"/>
              <w:rPr>
                <w:rFonts w:hint="eastAsia" w:ascii="仿宋" w:hAnsi="仿宋" w:eastAsia="仿宋" w:cs="仿宋"/>
                <w:i w:val="0"/>
                <w:iCs/>
                <w:color w:val="auto"/>
                <w:sz w:val="21"/>
                <w:szCs w:val="21"/>
                <w:highlight w:val="none"/>
                <w:lang w:val="en-US" w:eastAsia="zh-CN"/>
              </w:rPr>
            </w:pPr>
            <w:r>
              <w:rPr>
                <w:rFonts w:hint="eastAsia" w:ascii="仿宋" w:hAnsi="仿宋" w:eastAsia="仿宋" w:cs="仿宋"/>
                <w:b/>
                <w:bCs/>
                <w:i w:val="0"/>
                <w:iCs/>
                <w:color w:val="auto"/>
                <w:sz w:val="21"/>
                <w:szCs w:val="21"/>
                <w:highlight w:val="none"/>
                <w:lang w:val="en-US" w:eastAsia="zh-CN"/>
              </w:rPr>
              <w:t>以上要求均须提供职称证书和学历证书扫描件，不提供不得分。</w:t>
            </w:r>
          </w:p>
        </w:tc>
        <w:tc>
          <w:tcPr>
            <w:tcW w:w="1046" w:type="dxa"/>
            <w:vAlign w:val="center"/>
          </w:tcPr>
          <w:p>
            <w:pPr>
              <w:jc w:val="center"/>
              <w:rPr>
                <w:rFonts w:hint="default"/>
                <w:lang w:val="en-US" w:eastAsia="zh-CN"/>
              </w:rPr>
            </w:pPr>
            <w:r>
              <w:rPr>
                <w:rFonts w:hint="eastAsia" w:ascii="仿宋" w:hAnsi="仿宋" w:eastAsia="仿宋" w:cs="仿宋"/>
                <w:color w:val="auto"/>
                <w:kern w:val="2"/>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jc w:val="center"/>
              <w:rPr>
                <w:rFonts w:hint="eastAsia" w:ascii="仿宋" w:hAnsi="仿宋" w:eastAsia="仿宋" w:cs="仿宋"/>
                <w:color w:val="auto"/>
                <w:kern w:val="2"/>
                <w:sz w:val="21"/>
                <w:szCs w:val="21"/>
                <w:highlight w:val="none"/>
                <w:lang w:val="en-US" w:eastAsia="zh-CN" w:bidi="ar-SA"/>
              </w:rPr>
            </w:pPr>
          </w:p>
        </w:tc>
        <w:tc>
          <w:tcPr>
            <w:tcW w:w="941" w:type="dxa"/>
            <w:vAlign w:val="center"/>
          </w:tcPr>
          <w:p>
            <w:pPr>
              <w:jc w:val="center"/>
              <w:rPr>
                <w:rFonts w:hint="eastAsia" w:ascii="仿宋" w:hAnsi="仿宋" w:eastAsia="仿宋" w:cs="仿宋"/>
                <w:color w:val="auto"/>
                <w:kern w:val="2"/>
                <w:sz w:val="21"/>
                <w:szCs w:val="21"/>
                <w:highlight w:val="none"/>
                <w:lang w:val="en-US" w:eastAsia="zh-CN" w:bidi="ar-SA"/>
              </w:rPr>
            </w:pPr>
          </w:p>
        </w:tc>
        <w:tc>
          <w:tcPr>
            <w:tcW w:w="1881" w:type="dxa"/>
            <w:vAlign w:val="center"/>
          </w:tcPr>
          <w:p>
            <w:pPr>
              <w:snapToGrid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z w:val="21"/>
                <w:szCs w:val="21"/>
                <w:lang w:val="en-US" w:eastAsia="zh-CN"/>
              </w:rPr>
              <w:t>拟投入设备情况及校准情况</w:t>
            </w:r>
          </w:p>
        </w:tc>
        <w:tc>
          <w:tcPr>
            <w:tcW w:w="5233" w:type="dxa"/>
            <w:vAlign w:val="center"/>
          </w:tcPr>
          <w:p>
            <w:pPr>
              <w:numPr>
                <w:ilvl w:val="0"/>
                <w:numId w:val="0"/>
              </w:numPr>
              <w:snapToGrid w:val="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拟投入本项目的主要检测设备、材料及车辆等情况：根据拟投入本项目的主要检测设备、材料及车辆等的数量、质量及先进性等情况进行打分。检测设备、材料及车辆等齐全、优质得3-5分，欠缺、部分符合项目情况的得0-3分。</w:t>
            </w:r>
          </w:p>
          <w:p>
            <w:pPr>
              <w:numPr>
                <w:ilvl w:val="0"/>
                <w:numId w:val="0"/>
              </w:numPr>
              <w:snapToGrid w:val="0"/>
              <w:ind w:left="0" w:leftChars="0" w:firstLine="0" w:firstLineChars="0"/>
              <w:rPr>
                <w:rFonts w:hint="eastAsia" w:ascii="仿宋" w:hAnsi="仿宋" w:eastAsia="仿宋" w:cs="仿宋"/>
                <w:i w:val="0"/>
                <w:iCs/>
                <w:color w:val="auto"/>
                <w:sz w:val="21"/>
                <w:szCs w:val="21"/>
                <w:highlight w:val="none"/>
                <w:lang w:val="en-US" w:eastAsia="zh-CN"/>
              </w:rPr>
            </w:pPr>
            <w:r>
              <w:rPr>
                <w:rFonts w:hint="eastAsia" w:ascii="仿宋" w:hAnsi="仿宋" w:eastAsia="仿宋" w:cs="仿宋"/>
                <w:color w:val="000000"/>
                <w:sz w:val="21"/>
                <w:szCs w:val="21"/>
                <w:lang w:val="en-US" w:eastAsia="zh-CN"/>
              </w:rPr>
              <w:t>2.相关仪器设备检定校准解决方案</w:t>
            </w:r>
            <w:r>
              <w:rPr>
                <w:rFonts w:hint="eastAsia" w:ascii="仿宋" w:hAnsi="仿宋" w:eastAsia="仿宋" w:cs="仿宋"/>
                <w:color w:val="000000"/>
                <w:sz w:val="21"/>
                <w:szCs w:val="21"/>
                <w:lang w:eastAsia="zh-CN"/>
              </w:rPr>
              <w:t>。提供了内容完整、详实可行的方案，有很强的针对性，得</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lang w:eastAsia="zh-CN"/>
              </w:rPr>
              <w:t xml:space="preserve"> 分；提供了常规、通用的方案，基本符合项目需求，得 </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lang w:eastAsia="zh-CN"/>
              </w:rPr>
              <w:t>分；提供的方案欠佳，得 2 份；未提供相关内容，得 0分。</w:t>
            </w:r>
          </w:p>
        </w:tc>
        <w:tc>
          <w:tcPr>
            <w:tcW w:w="1046" w:type="dxa"/>
            <w:vAlign w:val="center"/>
          </w:tcPr>
          <w:p>
            <w:pPr>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697"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w:t>
            </w:r>
          </w:p>
        </w:tc>
        <w:tc>
          <w:tcPr>
            <w:tcW w:w="94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价格</w:t>
            </w:r>
          </w:p>
        </w:tc>
        <w:tc>
          <w:tcPr>
            <w:tcW w:w="1881"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报价得分</w:t>
            </w:r>
          </w:p>
        </w:tc>
        <w:tc>
          <w:tcPr>
            <w:tcW w:w="5233" w:type="dxa"/>
          </w:tcPr>
          <w:p>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1、评审基准价有效响应文件中的最后报价并按本章2.3.3（1）和（2）进行调整的最低报价为评审基准价。</w:t>
            </w:r>
          </w:p>
          <w:p>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2、供应商报价（按本章2.3.3（1）和（2）进行调整后价格）得分：报价得分=（评审基准价／最后报价）×10</w:t>
            </w:r>
          </w:p>
          <w:p>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（注意小微企业、监狱企业或残疾人福利性单位的价格扣除）</w:t>
            </w:r>
          </w:p>
        </w:tc>
        <w:tc>
          <w:tcPr>
            <w:tcW w:w="1046" w:type="dxa"/>
            <w:vAlign w:val="center"/>
          </w:tcPr>
          <w:p>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r>
    </w:tbl>
    <w:p>
      <w:pPr>
        <w:jc w:val="center"/>
        <w:rPr>
          <w:rFonts w:hint="eastAsia" w:ascii="仿宋" w:hAnsi="仿宋" w:eastAsia="仿宋" w:cs="仿宋"/>
          <w:b/>
          <w:kern w:val="0"/>
          <w:sz w:val="30"/>
          <w:szCs w:val="30"/>
        </w:rPr>
      </w:pPr>
      <w:r>
        <w:rPr>
          <w:rFonts w:hint="eastAsia" w:ascii="仿宋" w:hAnsi="仿宋" w:eastAsia="仿宋" w:cs="仿宋"/>
          <w:szCs w:val="21"/>
        </w:rPr>
        <w:br w:type="page"/>
      </w:r>
    </w:p>
    <w:p>
      <w:pPr>
        <w:pStyle w:val="46"/>
        <w:spacing w:line="360" w:lineRule="auto"/>
        <w:rPr>
          <w:rStyle w:val="205"/>
          <w:rFonts w:hint="eastAsia" w:ascii="仿宋" w:hAnsi="仿宋" w:eastAsia="仿宋" w:cs="仿宋"/>
          <w:sz w:val="36"/>
          <w:szCs w:val="36"/>
        </w:rPr>
      </w:pPr>
      <w:bookmarkStart w:id="413" w:name="_Toc68590979"/>
      <w:r>
        <w:rPr>
          <w:rStyle w:val="205"/>
          <w:rFonts w:hint="eastAsia" w:ascii="仿宋" w:hAnsi="仿宋" w:eastAsia="仿宋" w:cs="仿宋"/>
          <w:sz w:val="36"/>
          <w:szCs w:val="36"/>
        </w:rPr>
        <w:t xml:space="preserve">第四章  </w:t>
      </w:r>
      <w:bookmarkEnd w:id="19"/>
      <w:bookmarkEnd w:id="393"/>
      <w:bookmarkEnd w:id="394"/>
      <w:bookmarkEnd w:id="413"/>
      <w:bookmarkStart w:id="414" w:name="_Toc499711928"/>
      <w:bookmarkStart w:id="415" w:name="_Toc176882552"/>
      <w:bookmarkStart w:id="416" w:name="_Toc232395222"/>
      <w:bookmarkStart w:id="417" w:name="_Toc256342152"/>
      <w:bookmarkStart w:id="418" w:name="_Toc503063458"/>
      <w:bookmarkStart w:id="419" w:name="_Toc500747233"/>
      <w:bookmarkStart w:id="420" w:name="_Toc70687202"/>
      <w:bookmarkStart w:id="421" w:name="_Toc232176282"/>
      <w:bookmarkStart w:id="422" w:name="_Toc230583552"/>
      <w:bookmarkStart w:id="423" w:name="_Toc500747010"/>
      <w:bookmarkStart w:id="424" w:name="_Toc177189245"/>
      <w:bookmarkStart w:id="425" w:name="_Toc249515482"/>
      <w:bookmarkStart w:id="426" w:name="_Toc249515369"/>
      <w:bookmarkStart w:id="427" w:name="_Toc249525250"/>
      <w:bookmarkStart w:id="428" w:name="_Toc496324623"/>
      <w:bookmarkStart w:id="429" w:name="_Toc230013638"/>
      <w:bookmarkStart w:id="430" w:name="_Toc53722865"/>
      <w:bookmarkStart w:id="431" w:name="_Toc230099803"/>
      <w:bookmarkStart w:id="432" w:name="_Toc415499897"/>
      <w:bookmarkStart w:id="433" w:name="_Toc177817344"/>
      <w:bookmarkStart w:id="434" w:name="_Toc492955459"/>
      <w:bookmarkStart w:id="435" w:name="_Toc499711087"/>
      <w:bookmarkStart w:id="436" w:name="_Toc184043058"/>
      <w:bookmarkStart w:id="437" w:name="_Toc500747106"/>
      <w:bookmarkStart w:id="438" w:name="_Toc177995483"/>
      <w:bookmarkStart w:id="439" w:name="_Toc28450"/>
      <w:r>
        <w:rPr>
          <w:rStyle w:val="205"/>
          <w:rFonts w:hint="eastAsia" w:ascii="仿宋" w:hAnsi="仿宋" w:eastAsia="仿宋" w:cs="仿宋"/>
          <w:sz w:val="36"/>
          <w:szCs w:val="36"/>
        </w:rPr>
        <w:t>拟签订的合同文本</w:t>
      </w:r>
    </w:p>
    <w:p>
      <w:pPr>
        <w:adjustRightInd w:val="0"/>
        <w:snapToGrid w:val="0"/>
        <w:spacing w:line="360" w:lineRule="auto"/>
        <w:ind w:firstLine="480" w:firstLineChars="200"/>
        <w:rPr>
          <w:rFonts w:hint="eastAsia" w:ascii="仿宋" w:hAnsi="仿宋" w:eastAsia="仿宋" w:cs="仿宋"/>
          <w:sz w:val="24"/>
        </w:rPr>
      </w:pPr>
    </w:p>
    <w:p>
      <w:pPr>
        <w:tabs>
          <w:tab w:val="left" w:pos="735"/>
        </w:tabs>
        <w:autoSpaceDE w:val="0"/>
        <w:autoSpaceDN w:val="0"/>
        <w:adjustRightInd w:val="0"/>
        <w:snapToGrid w:val="0"/>
        <w:spacing w:before="240" w:beforeLines="100" w:line="360" w:lineRule="auto"/>
        <w:rPr>
          <w:rFonts w:hint="eastAsia" w:ascii="仿宋" w:hAnsi="仿宋" w:eastAsia="仿宋" w:cs="仿宋"/>
          <w:b/>
          <w:bCs/>
          <w:sz w:val="24"/>
          <w:lang w:val="zh-CN"/>
        </w:rPr>
      </w:pPr>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r>
        <w:rPr>
          <w:rFonts w:hint="eastAsia" w:ascii="仿宋" w:hAnsi="仿宋" w:eastAsia="仿宋" w:cs="仿宋"/>
          <w:bCs/>
          <w:sz w:val="24"/>
          <w:lang w:val="zh-CN"/>
        </w:rPr>
        <w:t>住所：</w:t>
      </w:r>
    </w:p>
    <w:p>
      <w:pPr>
        <w:tabs>
          <w:tab w:val="left" w:pos="735"/>
        </w:tabs>
        <w:autoSpaceDE w:val="0"/>
        <w:autoSpaceDN w:val="0"/>
        <w:adjustRightInd w:val="0"/>
        <w:snapToGrid w:val="0"/>
        <w:spacing w:line="360" w:lineRule="auto"/>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住所：</w:t>
      </w:r>
    </w:p>
    <w:p>
      <w:pPr>
        <w:adjustRightInd w:val="0"/>
        <w:snapToGrid w:val="0"/>
        <w:spacing w:line="360" w:lineRule="auto"/>
        <w:ind w:firstLine="480" w:firstLineChars="200"/>
        <w:rPr>
          <w:rFonts w:hint="eastAsia" w:ascii="仿宋" w:hAnsi="仿宋" w:eastAsia="仿宋" w:cs="仿宋"/>
          <w:sz w:val="24"/>
          <w:lang w:eastAsia="zh-CN"/>
        </w:rPr>
      </w:pPr>
      <w:bookmarkStart w:id="440" w:name="_Toc19515384"/>
      <w:r>
        <w:rPr>
          <w:rFonts w:hint="eastAsia" w:ascii="仿宋" w:hAnsi="仿宋" w:eastAsia="仿宋" w:cs="仿宋"/>
          <w:sz w:val="24"/>
        </w:rPr>
        <w:t>一、合同内容（标的、数量、质量等）</w:t>
      </w:r>
      <w:bookmarkEnd w:id="440"/>
      <w:r>
        <w:rPr>
          <w:rFonts w:hint="eastAsia" w:ascii="仿宋" w:hAnsi="仿宋" w:eastAsia="仿宋" w:cs="仿宋"/>
          <w:sz w:val="24"/>
          <w:lang w:eastAsia="zh-CN"/>
        </w:rPr>
        <w:t>：</w:t>
      </w:r>
    </w:p>
    <w:p>
      <w:pPr>
        <w:adjustRightInd w:val="0"/>
        <w:snapToGrid w:val="0"/>
        <w:spacing w:line="360" w:lineRule="auto"/>
        <w:ind w:firstLine="480" w:firstLineChars="200"/>
        <w:rPr>
          <w:rFonts w:hint="eastAsia" w:ascii="仿宋" w:hAnsi="仿宋" w:eastAsia="仿宋" w:cs="仿宋"/>
          <w:sz w:val="24"/>
        </w:rPr>
      </w:pPr>
      <w:bookmarkStart w:id="441" w:name="_Toc19515385"/>
      <w:r>
        <w:rPr>
          <w:rFonts w:hint="eastAsia" w:ascii="仿宋" w:hAnsi="仿宋" w:eastAsia="仿宋" w:cs="仿宋"/>
          <w:sz w:val="24"/>
        </w:rPr>
        <w:t>二、合同价款</w:t>
      </w:r>
      <w:bookmarkEnd w:id="441"/>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1、合同总价：</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2、合同总价包括：</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3、合同为固定总价合同，不受市场价变化的影响。</w:t>
      </w:r>
    </w:p>
    <w:p>
      <w:pPr>
        <w:adjustRightInd w:val="0"/>
        <w:snapToGrid w:val="0"/>
        <w:spacing w:line="360" w:lineRule="auto"/>
        <w:ind w:firstLine="480" w:firstLineChars="200"/>
        <w:rPr>
          <w:rFonts w:hint="eastAsia" w:ascii="仿宋" w:hAnsi="仿宋" w:eastAsia="仿宋" w:cs="仿宋"/>
          <w:sz w:val="24"/>
        </w:rPr>
      </w:pPr>
      <w:bookmarkStart w:id="442" w:name="_Toc19515386"/>
      <w:r>
        <w:rPr>
          <w:rFonts w:hint="eastAsia" w:ascii="仿宋" w:hAnsi="仿宋" w:eastAsia="仿宋" w:cs="仿宋"/>
          <w:sz w:val="24"/>
        </w:rPr>
        <w:t>三、合同结算</w:t>
      </w:r>
      <w:bookmarkEnd w:id="442"/>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1、付款比例：</w:t>
      </w:r>
      <w:r>
        <w:rPr>
          <w:rFonts w:hint="eastAsia" w:ascii="仿宋" w:hAnsi="仿宋" w:eastAsia="仿宋" w:cs="仿宋"/>
          <w:sz w:val="24"/>
          <w:lang w:eastAsia="zh-CN"/>
        </w:rPr>
        <w:t>中小企业中标，</w:t>
      </w:r>
      <w:r>
        <w:rPr>
          <w:rFonts w:hint="eastAsia" w:ascii="仿宋" w:hAnsi="仿宋" w:eastAsia="仿宋" w:cs="仿宋"/>
          <w:sz w:val="24"/>
          <w:highlight w:val="none"/>
          <w:lang w:val="en-US" w:eastAsia="zh-CN"/>
        </w:rPr>
        <w:t>合同签订后7个工作日之内支付合同总价的40%作为预付款，服务期后一个月内付至合同金额的100%。大型企业中标，服务期后一个月内付至合同金额的100%</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2、结算方式：银行转账。</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3、结算单位：由</w:t>
      </w:r>
      <w:r>
        <w:rPr>
          <w:rFonts w:hint="eastAsia" w:ascii="仿宋" w:hAnsi="仿宋" w:eastAsia="仿宋" w:cs="仿宋"/>
          <w:sz w:val="24"/>
          <w:u w:val="single"/>
          <w:lang w:eastAsia="zh-CN"/>
        </w:rPr>
        <w:t>甲方</w:t>
      </w:r>
      <w:r>
        <w:rPr>
          <w:rFonts w:hint="eastAsia" w:ascii="仿宋" w:hAnsi="仿宋" w:eastAsia="仿宋" w:cs="仿宋"/>
          <w:sz w:val="24"/>
        </w:rPr>
        <w:t>负责结算，乙方开具合同总价数的全额发票交采购人。</w:t>
      </w:r>
    </w:p>
    <w:p>
      <w:pPr>
        <w:adjustRightInd w:val="0"/>
        <w:snapToGrid w:val="0"/>
        <w:spacing w:line="360" w:lineRule="auto"/>
        <w:ind w:firstLine="480" w:firstLineChars="200"/>
        <w:rPr>
          <w:rFonts w:hint="eastAsia" w:ascii="仿宋" w:hAnsi="仿宋" w:eastAsia="仿宋" w:cs="仿宋"/>
          <w:sz w:val="24"/>
          <w:lang w:eastAsia="zh-CN"/>
        </w:rPr>
      </w:pPr>
      <w:bookmarkStart w:id="443" w:name="_Toc19515387"/>
      <w:r>
        <w:rPr>
          <w:rFonts w:hint="eastAsia" w:ascii="仿宋" w:hAnsi="仿宋" w:eastAsia="仿宋" w:cs="仿宋"/>
          <w:sz w:val="24"/>
        </w:rPr>
        <w:t>四、履行期限、地点及方式</w:t>
      </w:r>
      <w:bookmarkEnd w:id="443"/>
      <w:r>
        <w:rPr>
          <w:rFonts w:hint="eastAsia" w:ascii="仿宋" w:hAnsi="仿宋" w:eastAsia="仿宋" w:cs="仿宋"/>
          <w:sz w:val="24"/>
          <w:lang w:eastAsia="zh-CN"/>
        </w:rPr>
        <w:t>：</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1、履行期限：</w:t>
      </w:r>
      <w:r>
        <w:rPr>
          <w:rFonts w:hint="eastAsia" w:ascii="仿宋" w:hAnsi="仿宋" w:eastAsia="仿宋" w:cs="仿宋"/>
          <w:sz w:val="24"/>
          <w:szCs w:val="24"/>
          <w:lang w:eastAsia="zh-CN"/>
        </w:rPr>
        <w:t>合同签订后</w:t>
      </w:r>
      <w:r>
        <w:rPr>
          <w:rFonts w:hint="eastAsia" w:ascii="仿宋" w:hAnsi="仿宋" w:eastAsia="仿宋" w:cs="仿宋"/>
          <w:sz w:val="24"/>
          <w:szCs w:val="24"/>
          <w:lang w:val="en-US" w:eastAsia="zh-CN"/>
        </w:rPr>
        <w:t>30日历天；</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2、地点：</w:t>
      </w:r>
      <w:r>
        <w:rPr>
          <w:rFonts w:hint="eastAsia" w:ascii="仿宋" w:hAnsi="仿宋" w:eastAsia="仿宋" w:cs="仿宋"/>
          <w:sz w:val="24"/>
          <w:szCs w:val="24"/>
          <w:lang w:eastAsia="zh-CN"/>
        </w:rPr>
        <w:t>采购人</w:t>
      </w:r>
      <w:r>
        <w:rPr>
          <w:rFonts w:hint="eastAsia" w:ascii="仿宋" w:hAnsi="仿宋" w:eastAsia="仿宋" w:cs="仿宋"/>
          <w:sz w:val="24"/>
          <w:szCs w:val="24"/>
        </w:rPr>
        <w:t>指定地点</w:t>
      </w:r>
      <w:r>
        <w:rPr>
          <w:rFonts w:hint="eastAsia" w:ascii="仿宋" w:hAnsi="仿宋" w:eastAsia="仿宋" w:cs="仿宋"/>
          <w:sz w:val="24"/>
          <w:szCs w:val="24"/>
          <w:lang w:eastAsia="zh-CN"/>
        </w:rPr>
        <w:t>；</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3、方式：</w:t>
      </w:r>
      <w:r>
        <w:rPr>
          <w:rFonts w:hint="eastAsia" w:ascii="仿宋" w:hAnsi="仿宋" w:eastAsia="仿宋" w:cs="仿宋"/>
          <w:sz w:val="24"/>
          <w:lang w:eastAsia="zh-CN"/>
        </w:rPr>
        <w:t>满足采购人所要求的所有服务内容且相关服务质量符合国家及行业标准；</w:t>
      </w:r>
    </w:p>
    <w:p>
      <w:pPr>
        <w:adjustRightInd w:val="0"/>
        <w:snapToGrid w:val="0"/>
        <w:spacing w:line="360" w:lineRule="auto"/>
        <w:ind w:firstLine="480" w:firstLineChars="200"/>
        <w:rPr>
          <w:rFonts w:hint="eastAsia" w:ascii="仿宋" w:hAnsi="仿宋" w:eastAsia="仿宋" w:cs="仿宋"/>
          <w:sz w:val="24"/>
          <w:lang w:eastAsia="zh-CN"/>
        </w:rPr>
      </w:pPr>
      <w:bookmarkStart w:id="444" w:name="_Toc19515390"/>
      <w:r>
        <w:rPr>
          <w:rFonts w:hint="eastAsia" w:ascii="仿宋" w:hAnsi="仿宋" w:eastAsia="仿宋" w:cs="仿宋"/>
          <w:sz w:val="24"/>
        </w:rPr>
        <w:t>五、</w:t>
      </w:r>
      <w:bookmarkEnd w:id="444"/>
      <w:r>
        <w:rPr>
          <w:rFonts w:hint="eastAsia" w:ascii="仿宋" w:hAnsi="仿宋" w:eastAsia="仿宋" w:cs="仿宋"/>
          <w:sz w:val="24"/>
          <w:lang w:eastAsia="zh-CN"/>
        </w:rPr>
        <w:t>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1、服务质量必须符合国家有关规范和相关政策；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2、服务质量必须符合行业标准及相关规定。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szCs w:val="24"/>
          <w:lang w:val="en-US" w:eastAsia="zh-CN"/>
        </w:rPr>
        <w:t>3、所有因服务质量出现的问题由成交供应商负责解决并承担所有费用。</w:t>
      </w:r>
    </w:p>
    <w:p>
      <w:pPr>
        <w:adjustRightInd w:val="0"/>
        <w:snapToGrid w:val="0"/>
        <w:spacing w:line="360" w:lineRule="auto"/>
        <w:ind w:firstLine="480" w:firstLineChars="200"/>
        <w:rPr>
          <w:rFonts w:hint="eastAsia" w:ascii="仿宋" w:hAnsi="仿宋" w:eastAsia="仿宋" w:cs="仿宋"/>
          <w:sz w:val="24"/>
          <w:lang w:eastAsia="zh-CN"/>
        </w:rPr>
      </w:pPr>
      <w:bookmarkStart w:id="445" w:name="_Toc19515391"/>
      <w:r>
        <w:rPr>
          <w:rFonts w:hint="eastAsia" w:ascii="仿宋" w:hAnsi="仿宋" w:eastAsia="仿宋" w:cs="仿宋"/>
          <w:sz w:val="24"/>
        </w:rPr>
        <w:t>六、</w:t>
      </w:r>
      <w:bookmarkEnd w:id="445"/>
      <w:r>
        <w:rPr>
          <w:rFonts w:hint="eastAsia" w:ascii="仿宋" w:hAnsi="仿宋" w:eastAsia="仿宋" w:cs="仿宋"/>
          <w:sz w:val="24"/>
          <w:lang w:eastAsia="zh-CN"/>
        </w:rPr>
        <w:t>合同实施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1、成交供应商应在合同签订后7个日历日内安排人员与使用单位就</w:t>
      </w:r>
      <w:bookmarkStart w:id="446" w:name="_Toc167715265"/>
      <w:bookmarkStart w:id="447" w:name="_Toc167712870"/>
      <w:bookmarkStart w:id="448" w:name="_Toc167714068"/>
      <w:r>
        <w:rPr>
          <w:rFonts w:hint="eastAsia" w:ascii="仿宋" w:hAnsi="仿宋" w:eastAsia="仿宋" w:cs="仿宋"/>
          <w:sz w:val="24"/>
          <w:szCs w:val="24"/>
          <w:lang w:val="en-US" w:eastAsia="zh-CN"/>
        </w:rPr>
        <w:t>服务工作进行安排、部署，和根据采购人需求及实际状况商议实施计划。</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4"/>
          <w:lang w:val="en-US" w:eastAsia="zh-CN"/>
        </w:rPr>
        <w:t>2</w:t>
      </w:r>
      <w:bookmarkEnd w:id="446"/>
      <w:bookmarkEnd w:id="447"/>
      <w:bookmarkEnd w:id="448"/>
      <w:r>
        <w:rPr>
          <w:rFonts w:hint="eastAsia" w:ascii="仿宋" w:hAnsi="仿宋" w:eastAsia="仿宋" w:cs="仿宋"/>
          <w:sz w:val="24"/>
          <w:szCs w:val="24"/>
          <w:lang w:val="en-US" w:eastAsia="zh-CN"/>
        </w:rPr>
        <w:t>、若未能在服务期限内完成合同规定的义务，由此对采购人造成的延误和一切损失，由成交供应商承担和赔偿。</w:t>
      </w:r>
    </w:p>
    <w:p>
      <w:pPr>
        <w:adjustRightInd w:val="0"/>
        <w:snapToGrid w:val="0"/>
        <w:spacing w:line="360" w:lineRule="auto"/>
        <w:ind w:firstLine="480" w:firstLineChars="200"/>
        <w:rPr>
          <w:rFonts w:hint="eastAsia" w:ascii="仿宋" w:hAnsi="仿宋" w:eastAsia="仿宋" w:cs="仿宋"/>
          <w:sz w:val="24"/>
        </w:rPr>
      </w:pPr>
      <w:bookmarkStart w:id="449" w:name="_Toc19515392"/>
      <w:r>
        <w:rPr>
          <w:rFonts w:hint="eastAsia" w:ascii="仿宋" w:hAnsi="仿宋" w:eastAsia="仿宋" w:cs="仿宋"/>
          <w:sz w:val="24"/>
        </w:rPr>
        <w:t>七、违约责任</w:t>
      </w:r>
      <w:bookmarkEnd w:id="449"/>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1、按《中华人民共和国民法典》中的相关条款执行。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2、乙方履约延误</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2-1、如乙方事先未征得甲方同意并得到甲方的谅解而单方面延迟执行合同，将按违约终止合同。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3、违约终止合同：未按合同要求提供服务或不能满足技术要求，甲方会同监督机构有权终止合同，对乙方违约行为进行追究，同时按政府采购法的有关规定进行相应的处罚。</w:t>
      </w:r>
    </w:p>
    <w:p>
      <w:pPr>
        <w:adjustRightInd w:val="0"/>
        <w:snapToGrid w:val="0"/>
        <w:spacing w:line="360" w:lineRule="auto"/>
        <w:ind w:firstLine="480" w:firstLineChars="200"/>
        <w:rPr>
          <w:rFonts w:hint="eastAsia" w:ascii="仿宋" w:hAnsi="仿宋" w:eastAsia="仿宋" w:cs="仿宋"/>
          <w:sz w:val="24"/>
        </w:rPr>
      </w:pPr>
      <w:bookmarkStart w:id="450" w:name="_Toc19515393"/>
      <w:r>
        <w:rPr>
          <w:rFonts w:hint="eastAsia" w:ascii="仿宋" w:hAnsi="仿宋" w:eastAsia="仿宋" w:cs="仿宋"/>
          <w:sz w:val="24"/>
        </w:rPr>
        <w:t>八、合同组成</w:t>
      </w:r>
      <w:bookmarkEnd w:id="450"/>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1、成交通知书</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4、竞争性磋商文件</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pPr>
        <w:adjustRightInd w:val="0"/>
        <w:snapToGrid w:val="0"/>
        <w:spacing w:line="360" w:lineRule="auto"/>
        <w:ind w:firstLine="480" w:firstLineChars="200"/>
        <w:rPr>
          <w:rFonts w:hint="eastAsia" w:ascii="仿宋" w:hAnsi="仿宋" w:eastAsia="仿宋" w:cs="仿宋"/>
          <w:sz w:val="24"/>
        </w:rPr>
      </w:pPr>
      <w:bookmarkStart w:id="451" w:name="_Toc19515394"/>
      <w:r>
        <w:rPr>
          <w:rFonts w:hint="eastAsia" w:ascii="仿宋" w:hAnsi="仿宋" w:eastAsia="仿宋" w:cs="仿宋"/>
          <w:sz w:val="24"/>
          <w:lang w:val="en-US" w:eastAsia="zh-CN"/>
        </w:rPr>
        <w:t>九</w:t>
      </w:r>
      <w:r>
        <w:rPr>
          <w:rFonts w:hint="eastAsia" w:ascii="仿宋" w:hAnsi="仿宋" w:eastAsia="仿宋" w:cs="仿宋"/>
          <w:sz w:val="24"/>
        </w:rPr>
        <w:t>、解决争议的方法</w:t>
      </w:r>
      <w:bookmarkEnd w:id="451"/>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凡因本合同引起的或与本合同有关的争议，双方应友好协商解决。协商不成时，双方均同意采用以下第（</w:t>
      </w:r>
      <w:r>
        <w:rPr>
          <w:rFonts w:hint="eastAsia" w:ascii="仿宋" w:hAnsi="仿宋" w:eastAsia="仿宋" w:cs="仿宋"/>
          <w:kern w:val="0"/>
          <w:sz w:val="24"/>
          <w:lang w:val="en-US" w:eastAsia="zh-CN"/>
        </w:rPr>
        <w:t>1</w:t>
      </w:r>
      <w:r>
        <w:rPr>
          <w:rFonts w:hint="eastAsia" w:ascii="仿宋" w:hAnsi="仿宋" w:eastAsia="仿宋" w:cs="仿宋"/>
          <w:kern w:val="0"/>
          <w:sz w:val="24"/>
        </w:rPr>
        <w:t>）种争议解决方式：</w:t>
      </w:r>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、甲、乙双方均同意向（甲方所在地人民法院）提起诉讼。</w:t>
      </w:r>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pPr>
        <w:adjustRightInd w:val="0"/>
        <w:snapToGrid w:val="0"/>
        <w:spacing w:line="360" w:lineRule="auto"/>
        <w:ind w:firstLine="480" w:firstLineChars="200"/>
        <w:rPr>
          <w:rFonts w:hint="eastAsia" w:ascii="仿宋" w:hAnsi="仿宋" w:eastAsia="仿宋" w:cs="仿宋"/>
          <w:sz w:val="24"/>
        </w:rPr>
      </w:pPr>
      <w:bookmarkStart w:id="452" w:name="_Toc19515395"/>
      <w:r>
        <w:rPr>
          <w:rFonts w:hint="eastAsia" w:ascii="仿宋" w:hAnsi="仿宋" w:eastAsia="仿宋" w:cs="仿宋"/>
          <w:sz w:val="24"/>
        </w:rPr>
        <w:t>十、合同生效及其它</w:t>
      </w:r>
      <w:bookmarkEnd w:id="452"/>
    </w:p>
    <w:p>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widowControl/>
        <w:tabs>
          <w:tab w:val="left" w:pos="8391"/>
        </w:tabs>
        <w:autoSpaceDE w:val="0"/>
        <w:autoSpaceDN w:val="0"/>
        <w:snapToGrid w:val="0"/>
        <w:spacing w:line="360" w:lineRule="auto"/>
        <w:ind w:right="-69" w:firstLine="840" w:firstLineChars="350"/>
        <w:textAlignment w:val="bottom"/>
        <w:rPr>
          <w:rFonts w:hint="eastAsia" w:ascii="仿宋" w:hAnsi="仿宋" w:eastAsia="仿宋" w:cs="仿宋"/>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widowControl/>
              <w:autoSpaceDE w:val="0"/>
              <w:autoSpaceDN w:val="0"/>
              <w:snapToGrid w:val="0"/>
              <w:spacing w:line="360" w:lineRule="auto"/>
              <w:ind w:right="-154"/>
              <w:textAlignment w:val="bottom"/>
              <w:rPr>
                <w:rFonts w:hint="eastAsia" w:ascii="仿宋" w:hAnsi="仿宋" w:eastAsia="仿宋" w:cs="仿宋"/>
                <w:kern w:val="0"/>
                <w:sz w:val="24"/>
                <w:lang w:eastAsia="zh-CN"/>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lang w:eastAsia="zh-CN"/>
              </w:rPr>
              <w:t>：</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643" w:type="dxa"/>
          </w:tcPr>
          <w:p>
            <w:pPr>
              <w:widowControl/>
              <w:autoSpaceDE w:val="0"/>
              <w:autoSpaceDN w:val="0"/>
              <w:snapToGrid w:val="0"/>
              <w:spacing w:line="360" w:lineRule="auto"/>
              <w:ind w:right="-154"/>
              <w:textAlignment w:val="bottom"/>
              <w:rPr>
                <w:rFonts w:hint="eastAsia" w:ascii="仿宋" w:hAnsi="仿宋" w:eastAsia="仿宋" w:cs="仿宋"/>
                <w:kern w:val="0"/>
                <w:sz w:val="24"/>
                <w:lang w:eastAsia="zh-CN"/>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lang w:eastAsia="zh-CN"/>
              </w:rPr>
              <w:t>：</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pPr>
        <w:autoSpaceDE w:val="0"/>
        <w:autoSpaceDN w:val="0"/>
        <w:adjustRightInd w:val="0"/>
        <w:spacing w:line="360" w:lineRule="auto"/>
        <w:jc w:val="left"/>
        <w:rPr>
          <w:rFonts w:hint="eastAsia" w:ascii="仿宋" w:hAnsi="仿宋" w:eastAsia="仿宋" w:cs="仿宋"/>
          <w:b/>
          <w:bCs/>
          <w:sz w:val="32"/>
          <w:szCs w:val="32"/>
        </w:rPr>
      </w:pPr>
    </w:p>
    <w:p>
      <w:pPr>
        <w:autoSpaceDE w:val="0"/>
        <w:autoSpaceDN w:val="0"/>
        <w:adjustRightInd w:val="0"/>
        <w:jc w:val="left"/>
        <w:rPr>
          <w:rFonts w:hint="eastAsia" w:ascii="仿宋" w:hAnsi="仿宋" w:eastAsia="仿宋" w:cs="仿宋"/>
          <w:b/>
          <w:bCs/>
          <w:sz w:val="32"/>
          <w:szCs w:val="32"/>
        </w:rPr>
      </w:pPr>
    </w:p>
    <w:p>
      <w:pPr>
        <w:pStyle w:val="22"/>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br w:type="page"/>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pPr>
              <w:widowControl/>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政府采购项目货物（服务）验收入库报告单</w:t>
            </w:r>
          </w:p>
        </w:tc>
      </w:tr>
      <w:tr>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合同金额</w:t>
            </w:r>
          </w:p>
        </w:tc>
        <w:tc>
          <w:tcPr>
            <w:tcW w:w="1248" w:type="pct"/>
            <w:tcBorders>
              <w:top w:val="nil"/>
              <w:left w:val="nil"/>
              <w:bottom w:val="single" w:color="auto" w:sz="4" w:space="0"/>
              <w:right w:val="single" w:color="auto" w:sz="8" w:space="0"/>
            </w:tcBorders>
            <w:noWrap/>
            <w:vAlign w:val="center"/>
          </w:tcPr>
          <w:p>
            <w:pPr>
              <w:widowControl/>
              <w:jc w:val="left"/>
              <w:rPr>
                <w:rFonts w:hint="eastAsia" w:ascii="仿宋" w:hAnsi="仿宋" w:eastAsia="仿宋" w:cs="仿宋"/>
                <w:b/>
                <w:bCs/>
                <w:kern w:val="0"/>
                <w:sz w:val="24"/>
                <w:lang w:eastAsia="zh-CN"/>
              </w:rPr>
            </w:pPr>
            <w:r>
              <w:rPr>
                <w:rFonts w:hint="eastAsia" w:ascii="仿宋" w:hAnsi="仿宋" w:eastAsia="仿宋" w:cs="仿宋"/>
                <w:b/>
                <w:bCs/>
                <w:kern w:val="0"/>
                <w:sz w:val="24"/>
              </w:rPr>
              <w:t>¥</w:t>
            </w:r>
            <w:r>
              <w:rPr>
                <w:rFonts w:hint="eastAsia" w:ascii="仿宋" w:hAnsi="仿宋" w:eastAsia="仿宋" w:cs="仿宋"/>
                <w:b/>
                <w:bCs/>
                <w:kern w:val="0"/>
                <w:sz w:val="24"/>
                <w:lang w:eastAsia="zh-CN"/>
              </w:rPr>
              <w:t>：</w:t>
            </w:r>
          </w:p>
        </w:tc>
      </w:tr>
      <w:tr>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rPr>
            </w:pP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验收时间/地点</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开户行</w:t>
            </w:r>
          </w:p>
        </w:tc>
        <w:tc>
          <w:tcPr>
            <w:tcW w:w="1349"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481"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账号</w:t>
            </w:r>
          </w:p>
        </w:tc>
        <w:tc>
          <w:tcPr>
            <w:tcW w:w="1248" w:type="pct"/>
            <w:tcBorders>
              <w:top w:val="nil"/>
              <w:left w:val="nil"/>
              <w:bottom w:val="single" w:color="auto" w:sz="4" w:space="0"/>
              <w:right w:val="single" w:color="auto" w:sz="8"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1349" w:type="pct"/>
            <w:tcBorders>
              <w:top w:val="nil"/>
              <w:left w:val="nil"/>
              <w:bottom w:val="nil"/>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481" w:type="pct"/>
            <w:tcBorders>
              <w:top w:val="nil"/>
              <w:left w:val="nil"/>
              <w:bottom w:val="nil"/>
              <w:right w:val="single" w:color="auto" w:sz="4" w:space="0"/>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c>
          <w:tcPr>
            <w:tcW w:w="1248" w:type="pct"/>
            <w:tcBorders>
              <w:top w:val="nil"/>
              <w:left w:val="nil"/>
              <w:bottom w:val="nil"/>
              <w:right w:val="single" w:color="auto" w:sz="8"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 xml:space="preserve">   使用单位验收意见：（盖章）</w:t>
            </w:r>
          </w:p>
          <w:p>
            <w:pPr>
              <w:rPr>
                <w:rFonts w:hint="eastAsia" w:ascii="仿宋" w:hAnsi="仿宋" w:eastAsia="仿宋" w:cs="仿宋"/>
                <w:sz w:val="24"/>
              </w:rPr>
            </w:pPr>
          </w:p>
        </w:tc>
      </w:tr>
      <w:tr>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 xml:space="preserve"> 签字：</w:t>
            </w:r>
          </w:p>
        </w:tc>
        <w:tc>
          <w:tcPr>
            <w:tcW w:w="1349" w:type="pct"/>
            <w:tcBorders>
              <w:top w:val="nil"/>
              <w:left w:val="nil"/>
              <w:bottom w:val="nil"/>
              <w:right w:val="nil"/>
            </w:tcBorders>
            <w:noWrap/>
            <w:vAlign w:val="center"/>
          </w:tcPr>
          <w:p>
            <w:pPr>
              <w:widowControl/>
              <w:jc w:val="center"/>
              <w:rPr>
                <w:rFonts w:hint="eastAsia" w:ascii="仿宋" w:hAnsi="仿宋" w:eastAsia="仿宋" w:cs="仿宋"/>
                <w:b/>
                <w:bCs/>
                <w:kern w:val="0"/>
                <w:sz w:val="24"/>
              </w:rPr>
            </w:pPr>
          </w:p>
        </w:tc>
        <w:tc>
          <w:tcPr>
            <w:tcW w:w="1481" w:type="pct"/>
            <w:tcBorders>
              <w:top w:val="nil"/>
              <w:left w:val="single" w:color="auto" w:sz="4" w:space="0"/>
              <w:bottom w:val="nil"/>
              <w:right w:val="nil"/>
            </w:tcBorders>
            <w:noWrap/>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签字：</w:t>
            </w:r>
          </w:p>
        </w:tc>
        <w:tc>
          <w:tcPr>
            <w:tcW w:w="1248" w:type="pct"/>
            <w:tcBorders>
              <w:top w:val="nil"/>
              <w:left w:val="nil"/>
              <w:bottom w:val="nil"/>
              <w:right w:val="single" w:color="auto" w:sz="8" w:space="0"/>
            </w:tcBorders>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　</w:t>
            </w:r>
          </w:p>
        </w:tc>
      </w:tr>
      <w:tr>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349" w:type="pct"/>
            <w:tcBorders>
              <w:top w:val="nil"/>
              <w:left w:val="nil"/>
              <w:bottom w:val="single" w:color="auto" w:sz="4" w:space="0"/>
              <w:right w:val="nil"/>
            </w:tcBorders>
            <w:vAlign w:val="bottom"/>
          </w:tcPr>
          <w:p>
            <w:pPr>
              <w:widowControl/>
              <w:jc w:val="right"/>
              <w:rPr>
                <w:rFonts w:hint="eastAsia" w:ascii="仿宋" w:hAnsi="仿宋" w:eastAsia="仿宋" w:cs="仿宋"/>
                <w:kern w:val="0"/>
                <w:sz w:val="22"/>
                <w:szCs w:val="22"/>
              </w:rPr>
            </w:pPr>
            <w:r>
              <w:rPr>
                <w:rFonts w:hint="eastAsia" w:ascii="仿宋" w:hAnsi="仿宋" w:eastAsia="仿宋" w:cs="仿宋"/>
                <w:kern w:val="0"/>
                <w:sz w:val="22"/>
                <w:szCs w:val="22"/>
              </w:rPr>
              <w:t>年     月   日</w:t>
            </w:r>
          </w:p>
        </w:tc>
        <w:tc>
          <w:tcPr>
            <w:tcW w:w="1481" w:type="pct"/>
            <w:tcBorders>
              <w:top w:val="nil"/>
              <w:left w:val="single" w:color="auto" w:sz="4" w:space="0"/>
              <w:bottom w:val="single" w:color="auto" w:sz="4" w:space="0"/>
              <w:right w:val="nil"/>
            </w:tcBorders>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248" w:type="pct"/>
            <w:tcBorders>
              <w:top w:val="nil"/>
              <w:left w:val="nil"/>
              <w:bottom w:val="single" w:color="auto" w:sz="4" w:space="0"/>
              <w:right w:val="single" w:color="auto" w:sz="8" w:space="0"/>
            </w:tcBorders>
            <w:vAlign w:val="bottom"/>
          </w:tcPr>
          <w:p>
            <w:pPr>
              <w:widowControl/>
              <w:jc w:val="right"/>
              <w:rPr>
                <w:rFonts w:hint="eastAsia" w:ascii="仿宋" w:hAnsi="仿宋" w:eastAsia="仿宋" w:cs="仿宋"/>
                <w:kern w:val="0"/>
                <w:sz w:val="22"/>
                <w:szCs w:val="22"/>
              </w:rPr>
            </w:pPr>
            <w:r>
              <w:rPr>
                <w:rFonts w:hint="eastAsia" w:ascii="仿宋" w:hAnsi="仿宋" w:eastAsia="仿宋" w:cs="仿宋"/>
                <w:kern w:val="0"/>
                <w:sz w:val="22"/>
                <w:szCs w:val="22"/>
              </w:rPr>
              <w:t>年   月   日</w:t>
            </w:r>
          </w:p>
        </w:tc>
      </w:tr>
      <w:tr>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采购内容</w:t>
            </w:r>
          </w:p>
        </w:tc>
      </w:tr>
      <w:tr>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采购内容请列明品目、规格、型号、数量、单价、总价</w:t>
            </w:r>
          </w:p>
        </w:tc>
      </w:tr>
    </w:tbl>
    <w:p>
      <w:pPr>
        <w:pStyle w:val="22"/>
        <w:rPr>
          <w:rFonts w:hint="eastAsia" w:ascii="仿宋" w:hAnsi="仿宋" w:eastAsia="仿宋" w:cs="仿宋"/>
        </w:rPr>
      </w:pPr>
      <w:r>
        <w:rPr>
          <w:rFonts w:hint="eastAsia" w:ascii="仿宋" w:hAnsi="仿宋" w:eastAsia="仿宋" w:cs="仿宋"/>
          <w:sz w:val="24"/>
        </w:rPr>
        <w:br w:type="page"/>
      </w:r>
    </w:p>
    <w:p>
      <w:pPr>
        <w:rPr>
          <w:rFonts w:hint="eastAsia" w:ascii="仿宋" w:hAnsi="仿宋" w:eastAsia="仿宋" w:cs="仿宋"/>
        </w:rPr>
      </w:pPr>
    </w:p>
    <w:p>
      <w:pPr>
        <w:pStyle w:val="46"/>
        <w:spacing w:line="360" w:lineRule="auto"/>
        <w:rPr>
          <w:rStyle w:val="205"/>
          <w:rFonts w:hint="eastAsia" w:ascii="仿宋" w:hAnsi="仿宋" w:eastAsia="仿宋" w:cs="仿宋"/>
          <w:sz w:val="36"/>
          <w:szCs w:val="36"/>
        </w:rPr>
      </w:pPr>
      <w:bookmarkStart w:id="453" w:name="_Toc68590980"/>
      <w:bookmarkStart w:id="454" w:name="_Toc58504448"/>
      <w:r>
        <w:rPr>
          <w:rStyle w:val="205"/>
          <w:rFonts w:hint="eastAsia" w:ascii="仿宋" w:hAnsi="仿宋" w:eastAsia="仿宋" w:cs="仿宋"/>
          <w:sz w:val="36"/>
          <w:szCs w:val="36"/>
        </w:rPr>
        <w:t xml:space="preserve">第五章  </w:t>
      </w:r>
      <w:bookmarkStart w:id="528" w:name="_GoBack"/>
      <w:r>
        <w:rPr>
          <w:rStyle w:val="205"/>
          <w:rFonts w:hint="eastAsia" w:ascii="仿宋" w:hAnsi="仿宋" w:eastAsia="仿宋" w:cs="仿宋"/>
          <w:sz w:val="36"/>
          <w:szCs w:val="36"/>
        </w:rPr>
        <w:t>采购内容及要求</w:t>
      </w:r>
      <w:bookmarkEnd w:id="453"/>
      <w:bookmarkEnd w:id="454"/>
    </w:p>
    <w:p>
      <w:pPr>
        <w:pStyle w:val="63"/>
        <w:rPr>
          <w:rFonts w:hint="eastAsia"/>
        </w:rPr>
      </w:pPr>
      <w:bookmarkStart w:id="455" w:name="_Toc58504449"/>
      <w:bookmarkStart w:id="456" w:name="_Toc31008"/>
      <w:bookmarkStart w:id="457" w:name="_Toc415499899"/>
      <w:bookmarkStart w:id="458" w:name="_Toc389620241"/>
      <w:bookmarkStart w:id="459" w:name="_Toc68590981"/>
      <w:bookmarkStart w:id="460" w:name="_Toc38599240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一、设计范围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 xml:space="preserve"> 神木市能源局煤矿采空区大面积悬顶治理地质勘察设计服务项目 </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招标内容</w:t>
      </w:r>
    </w:p>
    <w:tbl>
      <w:tblPr>
        <w:tblStyle w:val="50"/>
        <w:tblpPr w:leftFromText="180" w:rightFromText="180" w:vertAnchor="page" w:horzAnchor="page" w:tblpX="2100" w:tblpY="5316"/>
        <w:tblOverlap w:val="never"/>
        <w:tblW w:w="0" w:type="auto"/>
        <w:tblInd w:w="0" w:type="dxa"/>
        <w:tblLayout w:type="fixed"/>
        <w:tblCellMar>
          <w:top w:w="0" w:type="dxa"/>
          <w:left w:w="10" w:type="dxa"/>
          <w:bottom w:w="0" w:type="dxa"/>
          <w:right w:w="10" w:type="dxa"/>
        </w:tblCellMar>
      </w:tblPr>
      <w:tblGrid>
        <w:gridCol w:w="751"/>
        <w:gridCol w:w="1144"/>
        <w:gridCol w:w="1949"/>
        <w:gridCol w:w="685"/>
        <w:gridCol w:w="697"/>
        <w:gridCol w:w="1682"/>
      </w:tblGrid>
      <w:tr>
        <w:tblPrEx>
          <w:tblCellMar>
            <w:top w:w="0" w:type="dxa"/>
            <w:left w:w="10" w:type="dxa"/>
            <w:bottom w:w="0" w:type="dxa"/>
            <w:right w:w="10" w:type="dxa"/>
          </w:tblCellMar>
        </w:tblPrEx>
        <w:trPr>
          <w:trHeight w:val="367"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240" w:lineRule="auto"/>
              <w:ind w:left="0" w:right="0" w:firstLine="22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序号</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240" w:lineRule="auto"/>
              <w:ind w:left="0" w:right="0" w:firstLine="34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名称</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规格</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单位</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数量</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备注</w:t>
            </w:r>
          </w:p>
        </w:tc>
      </w:tr>
      <w:tr>
        <w:tblPrEx>
          <w:tblCellMar>
            <w:top w:w="0" w:type="dxa"/>
            <w:left w:w="10" w:type="dxa"/>
            <w:bottom w:w="0" w:type="dxa"/>
            <w:right w:w="10" w:type="dxa"/>
          </w:tblCellMar>
        </w:tblPrEx>
        <w:trPr>
          <w:trHeight w:val="947"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4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1</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地形测绘</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31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釆用无人机进行航测</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en-US" w:bidi="en-US"/>
              </w:rPr>
              <w:t>km</w:t>
            </w:r>
            <w:r>
              <w:rPr>
                <w:rFonts w:hint="eastAsia" w:ascii="仿宋" w:hAnsi="仿宋" w:eastAsia="仿宋" w:cs="仿宋"/>
                <w:color w:val="000000"/>
                <w:spacing w:val="0"/>
                <w:w w:val="100"/>
                <w:position w:val="0"/>
                <w:sz w:val="21"/>
                <w:szCs w:val="21"/>
                <w:vertAlign w:val="superscript"/>
                <w:lang w:val="en-US" w:eastAsia="en-US" w:bidi="en-US"/>
              </w:rPr>
              <w:t>2</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en-US" w:bidi="en-US"/>
              </w:rPr>
              <w:t>0.04</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8"/>
              <w:keepNext w:val="0"/>
              <w:keepLines w:val="0"/>
              <w:widowControl w:val="0"/>
              <w:shd w:val="clear" w:color="auto" w:fill="auto"/>
              <w:bidi w:val="0"/>
              <w:spacing w:before="0" w:after="0" w:line="32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按照II类地形1:500比例尺进行航测</w:t>
            </w:r>
          </w:p>
        </w:tc>
      </w:tr>
      <w:tr>
        <w:tblPrEx>
          <w:tblCellMar>
            <w:top w:w="0" w:type="dxa"/>
            <w:left w:w="10" w:type="dxa"/>
            <w:bottom w:w="0" w:type="dxa"/>
            <w:right w:w="10" w:type="dxa"/>
          </w:tblCellMar>
        </w:tblPrEx>
        <w:trPr>
          <w:trHeight w:val="1544"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2</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物探</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309"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en-US" w:bidi="en-US"/>
              </w:rPr>
              <w:t>20x20</w:t>
            </w:r>
            <w:r>
              <w:rPr>
                <w:rFonts w:hint="eastAsia" w:ascii="仿宋" w:hAnsi="仿宋" w:eastAsia="仿宋" w:cs="仿宋"/>
                <w:color w:val="000000"/>
                <w:spacing w:val="0"/>
                <w:w w:val="100"/>
                <w:position w:val="0"/>
                <w:sz w:val="21"/>
                <w:szCs w:val="21"/>
              </w:rPr>
              <w:t>的测网精度 进行探查，</w:t>
            </w:r>
            <w:r>
              <w:rPr>
                <w:rFonts w:hint="eastAsia" w:ascii="仿宋" w:hAnsi="仿宋" w:eastAsia="仿宋" w:cs="仿宋"/>
                <w:color w:val="000000"/>
                <w:spacing w:val="0"/>
                <w:w w:val="100"/>
                <w:position w:val="0"/>
                <w:sz w:val="21"/>
                <w:szCs w:val="21"/>
                <w:lang w:val="en-US" w:eastAsia="en-US" w:bidi="en-US"/>
              </w:rPr>
              <w:t>lkm</w:t>
            </w:r>
            <w:r>
              <w:rPr>
                <w:rFonts w:hint="eastAsia" w:ascii="仿宋" w:hAnsi="仿宋" w:eastAsia="仿宋" w:cs="仿宋"/>
                <w:color w:val="000000"/>
                <w:spacing w:val="0"/>
                <w:w w:val="100"/>
                <w:position w:val="0"/>
                <w:sz w:val="21"/>
                <w:szCs w:val="21"/>
                <w:vertAlign w:val="superscript"/>
                <w:lang w:val="en-US" w:eastAsia="en-US" w:bidi="en-US"/>
              </w:rPr>
              <w:t>2</w:t>
            </w:r>
            <w:r>
              <w:rPr>
                <w:rFonts w:hint="eastAsia" w:ascii="仿宋" w:hAnsi="仿宋" w:eastAsia="仿宋" w:cs="仿宋"/>
                <w:color w:val="000000"/>
                <w:spacing w:val="0"/>
                <w:w w:val="100"/>
                <w:position w:val="0"/>
                <w:sz w:val="21"/>
                <w:szCs w:val="21"/>
                <w:lang w:val="en-US" w:eastAsia="en-US" w:bidi="en-US"/>
              </w:rPr>
              <w:t xml:space="preserve"> </w:t>
            </w:r>
            <w:r>
              <w:rPr>
                <w:rFonts w:hint="eastAsia" w:ascii="仿宋" w:hAnsi="仿宋" w:eastAsia="仿宋" w:cs="仿宋"/>
                <w:color w:val="000000"/>
                <w:spacing w:val="0"/>
                <w:w w:val="100"/>
                <w:position w:val="0"/>
                <w:sz w:val="21"/>
                <w:szCs w:val="21"/>
              </w:rPr>
              <w:t xml:space="preserve">布置测点2601个， </w:t>
            </w:r>
            <w:r>
              <w:rPr>
                <w:rFonts w:hint="eastAsia" w:ascii="仿宋" w:hAnsi="仿宋" w:eastAsia="仿宋" w:cs="仿宋"/>
                <w:color w:val="000000"/>
                <w:spacing w:val="0"/>
                <w:w w:val="100"/>
                <w:position w:val="0"/>
                <w:sz w:val="21"/>
                <w:szCs w:val="21"/>
                <w:lang w:val="en-US" w:eastAsia="en-US" w:bidi="en-US"/>
              </w:rPr>
              <w:t>0.04km</w:t>
            </w:r>
            <w:r>
              <w:rPr>
                <w:rFonts w:hint="eastAsia" w:ascii="仿宋" w:hAnsi="仿宋" w:eastAsia="仿宋" w:cs="仿宋"/>
                <w:color w:val="000000"/>
                <w:spacing w:val="0"/>
                <w:w w:val="100"/>
                <w:position w:val="0"/>
                <w:sz w:val="21"/>
                <w:szCs w:val="21"/>
                <w:vertAlign w:val="superscript"/>
                <w:lang w:val="en-US" w:eastAsia="en-US" w:bidi="en-US"/>
              </w:rPr>
              <w:t>2</w:t>
            </w:r>
            <w:r>
              <w:rPr>
                <w:rFonts w:hint="eastAsia" w:ascii="仿宋" w:hAnsi="仿宋" w:eastAsia="仿宋" w:cs="仿宋"/>
                <w:color w:val="000000"/>
                <w:spacing w:val="0"/>
                <w:w w:val="100"/>
                <w:position w:val="0"/>
                <w:sz w:val="21"/>
                <w:szCs w:val="21"/>
                <w:lang w:val="en-US" w:eastAsia="en-US" w:bidi="en-US"/>
              </w:rPr>
              <w:t xml:space="preserve"> </w:t>
            </w:r>
            <w:r>
              <w:rPr>
                <w:rFonts w:hint="eastAsia" w:ascii="仿宋" w:hAnsi="仿宋" w:eastAsia="仿宋" w:cs="仿宋"/>
                <w:color w:val="000000"/>
                <w:spacing w:val="0"/>
                <w:w w:val="100"/>
                <w:position w:val="0"/>
                <w:sz w:val="21"/>
                <w:szCs w:val="21"/>
              </w:rPr>
              <w:t>需布设 105 个测点</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en-US" w:bidi="en-US"/>
              </w:rPr>
              <w:t>km</w:t>
            </w:r>
            <w:r>
              <w:rPr>
                <w:rFonts w:hint="eastAsia" w:ascii="仿宋" w:hAnsi="仿宋" w:eastAsia="仿宋" w:cs="仿宋"/>
                <w:color w:val="000000"/>
                <w:spacing w:val="0"/>
                <w:w w:val="100"/>
                <w:position w:val="0"/>
                <w:sz w:val="21"/>
                <w:szCs w:val="21"/>
                <w:vertAlign w:val="superscript"/>
                <w:lang w:val="en-US" w:eastAsia="en-US" w:bidi="en-US"/>
              </w:rPr>
              <w:t>2</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en-US" w:bidi="en-US"/>
              </w:rPr>
              <w:t>0.04</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32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每个测点按照II类地形616元 /点费用计算</w:t>
            </w:r>
          </w:p>
        </w:tc>
      </w:tr>
      <w:tr>
        <w:tblPrEx>
          <w:tblCellMar>
            <w:top w:w="0" w:type="dxa"/>
            <w:left w:w="10" w:type="dxa"/>
            <w:bottom w:w="0" w:type="dxa"/>
            <w:right w:w="10" w:type="dxa"/>
          </w:tblCellMar>
        </w:tblPrEx>
        <w:trPr>
          <w:trHeight w:val="1549"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钻探</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6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3个钻孔，单孔进</w:t>
            </w:r>
            <w:r>
              <w:rPr>
                <w:rFonts w:hint="eastAsia" w:ascii="仿宋" w:hAnsi="仿宋" w:eastAsia="仿宋" w:cs="仿宋"/>
                <w:color w:val="000000"/>
                <w:spacing w:val="0"/>
                <w:w w:val="100"/>
                <w:position w:val="0"/>
                <w:sz w:val="21"/>
                <w:szCs w:val="21"/>
                <w:lang w:val="en-US" w:eastAsia="en-US" w:bidi="en-US"/>
              </w:rPr>
              <w:t>117m,</w:t>
            </w:r>
            <w:r>
              <w:rPr>
                <w:rFonts w:hint="eastAsia" w:ascii="仿宋" w:hAnsi="仿宋" w:eastAsia="仿宋" w:cs="仿宋"/>
                <w:color w:val="000000"/>
                <w:spacing w:val="0"/>
                <w:w w:val="100"/>
                <w:position w:val="0"/>
                <w:sz w:val="21"/>
                <w:szCs w:val="21"/>
              </w:rPr>
              <w:t xml:space="preserve">孔径 </w:t>
            </w:r>
            <w:r>
              <w:rPr>
                <w:rFonts w:hint="eastAsia" w:ascii="仿宋" w:hAnsi="仿宋" w:eastAsia="仿宋" w:cs="仿宋"/>
                <w:color w:val="000000"/>
                <w:spacing w:val="0"/>
                <w:w w:val="100"/>
                <w:position w:val="0"/>
                <w:sz w:val="21"/>
                <w:szCs w:val="21"/>
                <w:lang w:val="en-US" w:eastAsia="en-US" w:bidi="en-US"/>
              </w:rPr>
              <w:t>108mm</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en-US" w:bidi="en-US"/>
              </w:rPr>
              <w:t>m</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351</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8"/>
              <w:keepNext w:val="0"/>
              <w:keepLines w:val="0"/>
              <w:widowControl w:val="0"/>
              <w:shd w:val="clear" w:color="auto" w:fill="auto"/>
              <w:bidi w:val="0"/>
              <w:spacing w:before="0" w:after="0" w:line="31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按照VI类中等 硬度0〜</w:t>
            </w:r>
            <w:r>
              <w:rPr>
                <w:rFonts w:hint="eastAsia" w:ascii="仿宋" w:hAnsi="仿宋" w:eastAsia="仿宋" w:cs="仿宋"/>
                <w:color w:val="000000"/>
                <w:spacing w:val="0"/>
                <w:w w:val="100"/>
                <w:position w:val="0"/>
                <w:sz w:val="21"/>
                <w:szCs w:val="21"/>
                <w:lang w:val="en-US" w:eastAsia="en-US" w:bidi="en-US"/>
              </w:rPr>
              <w:t>200m</w:t>
            </w:r>
            <w:r>
              <w:rPr>
                <w:rFonts w:hint="eastAsia" w:ascii="仿宋" w:hAnsi="仿宋" w:eastAsia="仿宋" w:cs="仿宋"/>
                <w:color w:val="000000"/>
                <w:spacing w:val="0"/>
                <w:w w:val="100"/>
                <w:position w:val="0"/>
                <w:sz w:val="21"/>
                <w:szCs w:val="21"/>
              </w:rPr>
              <w:t>的 机械岩心钻探 标准826元</w:t>
            </w:r>
            <w:r>
              <w:rPr>
                <w:rFonts w:hint="eastAsia" w:ascii="仿宋" w:hAnsi="仿宋" w:eastAsia="仿宋" w:cs="仿宋"/>
                <w:color w:val="000000"/>
                <w:spacing w:val="0"/>
                <w:w w:val="100"/>
                <w:position w:val="0"/>
                <w:sz w:val="21"/>
                <w:szCs w:val="21"/>
                <w:lang w:val="en-US" w:eastAsia="en-US" w:bidi="en-US"/>
              </w:rPr>
              <w:t xml:space="preserve">/m </w:t>
            </w:r>
            <w:r>
              <w:rPr>
                <w:rFonts w:hint="eastAsia" w:ascii="仿宋" w:hAnsi="仿宋" w:eastAsia="仿宋" w:cs="仿宋"/>
                <w:color w:val="000000"/>
                <w:spacing w:val="0"/>
                <w:w w:val="100"/>
                <w:position w:val="0"/>
                <w:sz w:val="21"/>
                <w:szCs w:val="21"/>
              </w:rPr>
              <w:t>进行计算</w:t>
            </w:r>
          </w:p>
        </w:tc>
      </w:tr>
      <w:tr>
        <w:tblPrEx>
          <w:tblCellMar>
            <w:top w:w="0" w:type="dxa"/>
            <w:left w:w="10" w:type="dxa"/>
            <w:bottom w:w="0" w:type="dxa"/>
            <w:right w:w="10" w:type="dxa"/>
          </w:tblCellMar>
        </w:tblPrEx>
        <w:trPr>
          <w:trHeight w:val="617"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4</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钻孔电视</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8"/>
              <w:keepNext w:val="0"/>
              <w:keepLines w:val="0"/>
              <w:widowControl w:val="0"/>
              <w:shd w:val="clear" w:color="auto" w:fill="auto"/>
              <w:bidi w:val="0"/>
              <w:spacing w:before="0" w:after="6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3次，单孔测试</w:t>
            </w:r>
            <w:r>
              <w:rPr>
                <w:rFonts w:hint="eastAsia" w:ascii="仿宋" w:hAnsi="仿宋" w:eastAsia="仿宋" w:cs="仿宋"/>
                <w:color w:val="000000"/>
                <w:spacing w:val="0"/>
                <w:w w:val="100"/>
                <w:position w:val="0"/>
                <w:sz w:val="21"/>
                <w:szCs w:val="21"/>
                <w:lang w:val="en-US" w:eastAsia="en-US" w:bidi="en-US"/>
              </w:rPr>
              <w:t>117m</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次</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8"/>
              <w:keepNext w:val="0"/>
              <w:keepLines w:val="0"/>
              <w:widowControl w:val="0"/>
              <w:shd w:val="clear" w:color="auto" w:fill="auto"/>
              <w:bidi w:val="0"/>
              <w:spacing w:before="0" w:after="0" w:line="32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按照市场价格2 万元/次</w:t>
            </w:r>
          </w:p>
        </w:tc>
      </w:tr>
      <w:tr>
        <w:tblPrEx>
          <w:tblCellMar>
            <w:top w:w="0" w:type="dxa"/>
            <w:left w:w="10" w:type="dxa"/>
            <w:bottom w:w="0" w:type="dxa"/>
            <w:right w:w="10" w:type="dxa"/>
          </w:tblCellMar>
        </w:tblPrEx>
        <w:trPr>
          <w:trHeight w:val="618"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5</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309"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三维激光扫描</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3次</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次</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3</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98"/>
              <w:keepNext w:val="0"/>
              <w:keepLines w:val="0"/>
              <w:widowControl w:val="0"/>
              <w:shd w:val="clear" w:color="auto" w:fill="auto"/>
              <w:bidi w:val="0"/>
              <w:spacing w:before="0" w:after="0" w:line="32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按照市场价格3 万元/次</w:t>
            </w:r>
          </w:p>
        </w:tc>
      </w:tr>
      <w:tr>
        <w:tblPrEx>
          <w:tblCellMar>
            <w:top w:w="0" w:type="dxa"/>
            <w:left w:w="10" w:type="dxa"/>
            <w:bottom w:w="0" w:type="dxa"/>
            <w:right w:w="10" w:type="dxa"/>
          </w:tblCellMar>
        </w:tblPrEx>
        <w:trPr>
          <w:trHeight w:val="622" w:hRule="exact"/>
        </w:trPr>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6</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评审</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top"/>
          </w:tcPr>
          <w:p>
            <w:pPr>
              <w:pStyle w:val="298"/>
              <w:keepNext w:val="0"/>
              <w:keepLines w:val="0"/>
              <w:widowControl w:val="0"/>
              <w:shd w:val="clear" w:color="auto" w:fill="auto"/>
              <w:bidi w:val="0"/>
              <w:spacing w:before="0" w:after="0" w:line="317"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聘请3位专家进行评审</w:t>
            </w:r>
          </w:p>
        </w:tc>
        <w:tc>
          <w:tcPr>
            <w:tcW w:w="6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次</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98"/>
              <w:keepNext w:val="0"/>
              <w:keepLines w:val="0"/>
              <w:widowControl w:val="0"/>
              <w:shd w:val="clear" w:color="auto" w:fill="auto"/>
              <w:bidi w:val="0"/>
              <w:spacing w:before="0" w:after="0" w:line="240" w:lineRule="auto"/>
              <w:ind w:left="0" w:right="0" w:firstLine="16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1</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仿宋" w:hAnsi="仿宋" w:eastAsia="仿宋" w:cs="仿宋"/>
                <w:sz w:val="21"/>
                <w:szCs w:val="21"/>
              </w:rPr>
            </w:pPr>
          </w:p>
        </w:tc>
      </w:tr>
    </w:tbl>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eastAsia="zh-CN"/>
        </w:rPr>
        <w:t>三、工期要求</w:t>
      </w:r>
    </w:p>
    <w:p>
      <w:pPr>
        <w:pStyle w:val="64"/>
        <w:rPr>
          <w:rFonts w:hint="eastAsia"/>
          <w:lang w:val="en-US" w:eastAsia="zh-CN"/>
        </w:rPr>
      </w:pPr>
      <w:r>
        <w:rPr>
          <w:rFonts w:hint="eastAsia"/>
        </w:rPr>
        <w:t>合同履行期限：</w:t>
      </w:r>
      <w:r>
        <w:rPr>
          <w:rFonts w:hint="eastAsia"/>
          <w:lang w:eastAsia="zh-CN"/>
        </w:rPr>
        <w:t>合同签订后</w:t>
      </w:r>
      <w:r>
        <w:rPr>
          <w:rFonts w:hint="eastAsia"/>
          <w:lang w:val="en-US" w:eastAsia="zh-CN"/>
        </w:rPr>
        <w:t>30日历天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四、最高限价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textAlignment w:val="auto"/>
        <w:rPr>
          <w:rFonts w:hint="eastAsia" w:ascii="Times New Roman" w:hAnsi="Times New Roman" w:eastAsia="宋体" w:cs="Times New Roman"/>
          <w:kern w:val="2"/>
          <w:sz w:val="24"/>
          <w:szCs w:val="20"/>
          <w:lang w:val="en-US" w:eastAsia="zh-CN" w:bidi="ar-SA"/>
        </w:rPr>
      </w:pPr>
      <w:r>
        <w:rPr>
          <w:rFonts w:hint="eastAsia" w:ascii="Times New Roman" w:hAnsi="Times New Roman" w:eastAsia="宋体" w:cs="Times New Roman"/>
          <w:kern w:val="2"/>
          <w:sz w:val="24"/>
          <w:szCs w:val="20"/>
          <w:lang w:val="en-US" w:eastAsia="zh-CN" w:bidi="ar-SA"/>
        </w:rPr>
        <w:t>本项目最高限价为：473600.00元</w:t>
      </w:r>
      <w:bookmarkEnd w:id="528"/>
    </w:p>
    <w:p>
      <w:pPr>
        <w:pStyle w:val="46"/>
        <w:spacing w:line="360" w:lineRule="auto"/>
        <w:rPr>
          <w:rStyle w:val="205"/>
          <w:rFonts w:hint="eastAsia" w:ascii="仿宋" w:hAnsi="仿宋" w:eastAsia="仿宋" w:cs="仿宋"/>
          <w:sz w:val="36"/>
          <w:szCs w:val="36"/>
        </w:rPr>
      </w:pPr>
    </w:p>
    <w:p>
      <w:pPr>
        <w:pStyle w:val="46"/>
        <w:spacing w:line="360" w:lineRule="auto"/>
        <w:rPr>
          <w:rStyle w:val="205"/>
          <w:rFonts w:hint="eastAsia" w:ascii="仿宋" w:hAnsi="仿宋" w:eastAsia="仿宋" w:cs="仿宋"/>
          <w:sz w:val="36"/>
          <w:szCs w:val="36"/>
        </w:rPr>
      </w:pPr>
    </w:p>
    <w:p>
      <w:pPr>
        <w:pStyle w:val="46"/>
        <w:spacing w:line="360" w:lineRule="auto"/>
        <w:rPr>
          <w:rStyle w:val="205"/>
          <w:rFonts w:hint="eastAsia" w:ascii="仿宋" w:hAnsi="仿宋" w:eastAsia="仿宋" w:cs="仿宋"/>
          <w:sz w:val="36"/>
          <w:szCs w:val="36"/>
        </w:rPr>
      </w:pPr>
    </w:p>
    <w:p>
      <w:pPr>
        <w:pStyle w:val="46"/>
        <w:spacing w:line="360" w:lineRule="auto"/>
        <w:rPr>
          <w:rStyle w:val="205"/>
          <w:rFonts w:hint="eastAsia" w:ascii="仿宋" w:hAnsi="仿宋" w:eastAsia="仿宋" w:cs="仿宋"/>
          <w:sz w:val="36"/>
          <w:szCs w:val="36"/>
        </w:rPr>
      </w:pPr>
    </w:p>
    <w:p>
      <w:pPr>
        <w:pStyle w:val="46"/>
        <w:spacing w:line="360" w:lineRule="auto"/>
        <w:rPr>
          <w:rFonts w:hint="eastAsia" w:ascii="仿宋" w:hAnsi="仿宋" w:eastAsia="仿宋" w:cs="仿宋"/>
        </w:rPr>
      </w:pPr>
      <w:r>
        <w:rPr>
          <w:rStyle w:val="205"/>
          <w:rFonts w:hint="eastAsia" w:ascii="仿宋" w:hAnsi="仿宋" w:eastAsia="仿宋" w:cs="仿宋"/>
          <w:sz w:val="36"/>
          <w:szCs w:val="36"/>
        </w:rPr>
        <w:t>第六章  磋商响应文件格式</w:t>
      </w:r>
      <w:bookmarkEnd w:id="455"/>
      <w:bookmarkEnd w:id="456"/>
      <w:bookmarkEnd w:id="457"/>
      <w:bookmarkEnd w:id="458"/>
      <w:bookmarkEnd w:id="459"/>
      <w:bookmarkEnd w:id="460"/>
      <w:r>
        <w:rPr>
          <w:rFonts w:hint="eastAsia" w:ascii="仿宋" w:hAnsi="仿宋" w:eastAsia="仿宋" w:cs="仿宋"/>
        </w:rPr>
        <w:br w:type="page"/>
      </w:r>
      <w:r>
        <w:rPr>
          <w:rFonts w:hint="eastAsia" w:ascii="仿宋" w:hAnsi="仿宋" w:eastAsia="仿宋" w:cs="仿宋"/>
        </w:rPr>
        <w:t xml:space="preserve">                                 </w:t>
      </w:r>
    </w:p>
    <w:p>
      <w:pPr>
        <w:pStyle w:val="160"/>
        <w:ind w:firstLine="6586" w:firstLineChars="2050"/>
        <w:rPr>
          <w:rFonts w:hint="eastAsia" w:ascii="仿宋" w:hAnsi="仿宋" w:eastAsia="仿宋" w:cs="仿宋"/>
          <w:bCs/>
          <w:lang w:val="zh-CN"/>
        </w:rPr>
      </w:pPr>
      <w:bookmarkStart w:id="461" w:name="_Toc62196433"/>
      <w:r>
        <w:rPr>
          <w:rFonts w:hint="eastAsia" w:ascii="仿宋" w:hAnsi="仿宋" w:eastAsia="仿宋" w:cs="仿宋"/>
          <w:lang w:val="zh-CN"/>
        </w:rPr>
        <w:t>正本/副本</w:t>
      </w:r>
      <w:bookmarkEnd w:id="461"/>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采购项目编号：SCZK2023-CS-1216/004</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神木市能源局煤矿采空区大面积悬顶治理地质勘察设计服务项目</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pStyle w:val="197"/>
        <w:ind w:left="0" w:leftChars="0" w:firstLine="0" w:firstLineChars="0"/>
        <w:jc w:val="center"/>
        <w:rPr>
          <w:rFonts w:hint="eastAsia" w:ascii="仿宋" w:hAnsi="仿宋" w:eastAsia="仿宋" w:cs="仿宋"/>
          <w:b/>
          <w:sz w:val="30"/>
          <w:szCs w:val="30"/>
        </w:rPr>
      </w:pPr>
      <w:r>
        <w:rPr>
          <w:rFonts w:hint="eastAsia" w:ascii="仿宋" w:hAnsi="仿宋" w:eastAsia="仿宋" w:cs="仿宋"/>
          <w:b/>
          <w:sz w:val="30"/>
          <w:szCs w:val="30"/>
        </w:rPr>
        <w:t>（资格证明文件）</w:t>
      </w:r>
    </w:p>
    <w:p>
      <w:pPr>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zh-CN"/>
        </w:rPr>
        <w:t>包  号：</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hint="eastAsia" w:ascii="仿宋" w:hAnsi="仿宋" w:eastAsia="仿宋" w:cs="仿宋"/>
          <w:b/>
          <w:bCs/>
          <w:sz w:val="32"/>
          <w:szCs w:val="32"/>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pPr>
        <w:pStyle w:val="22"/>
        <w:rPr>
          <w:rFonts w:hint="eastAsia" w:ascii="仿宋" w:hAnsi="仿宋" w:eastAsia="仿宋" w:cs="仿宋"/>
        </w:rPr>
      </w:pPr>
      <w:r>
        <w:rPr>
          <w:rFonts w:hint="eastAsia" w:ascii="仿宋" w:hAnsi="仿宋" w:eastAsia="仿宋" w:cs="仿宋"/>
        </w:rPr>
        <w:br w:type="page"/>
      </w: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u w:val="single"/>
        </w:rPr>
        <w:t xml:space="preserve">                 </w:t>
      </w:r>
    </w:p>
    <w:p>
      <w:pPr>
        <w:pStyle w:val="3"/>
        <w:jc w:val="center"/>
        <w:rPr>
          <w:rFonts w:hint="eastAsia" w:ascii="仿宋" w:hAnsi="仿宋" w:eastAsia="仿宋" w:cs="仿宋"/>
          <w:b/>
          <w:bCs/>
        </w:rPr>
      </w:pPr>
      <w:r>
        <w:rPr>
          <w:rFonts w:hint="eastAsia" w:ascii="仿宋" w:hAnsi="仿宋" w:eastAsia="仿宋" w:cs="仿宋"/>
          <w:b/>
          <w:bCs/>
        </w:rPr>
        <w:t>第一部分  身份证明文件</w:t>
      </w:r>
    </w:p>
    <w:p>
      <w:pPr>
        <w:spacing w:after="120"/>
        <w:rPr>
          <w:rFonts w:hint="eastAsia" w:ascii="仿宋" w:hAnsi="仿宋" w:eastAsia="仿宋" w:cs="仿宋"/>
        </w:rPr>
      </w:pPr>
    </w:p>
    <w:p>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pPr>
        <w:autoSpaceDE w:val="0"/>
        <w:autoSpaceDN w:val="0"/>
        <w:adjustRightInd w:val="0"/>
        <w:spacing w:line="348" w:lineRule="auto"/>
        <w:ind w:firstLine="400"/>
        <w:rPr>
          <w:rFonts w:hint="eastAsia" w:ascii="仿宋" w:hAnsi="仿宋" w:eastAsia="仿宋" w:cs="仿宋"/>
          <w:b/>
          <w:bCs/>
          <w:sz w:val="20"/>
        </w:rPr>
      </w:pPr>
    </w:p>
    <w:p>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陕西省采购招标有限责任公司：</w:t>
      </w:r>
    </w:p>
    <w:p>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pPr>
        <w:autoSpaceDE w:val="0"/>
        <w:autoSpaceDN w:val="0"/>
        <w:adjustRightInd w:val="0"/>
        <w:spacing w:line="348" w:lineRule="auto"/>
        <w:rPr>
          <w:rFonts w:hint="eastAsia" w:ascii="仿宋" w:hAnsi="仿宋" w:eastAsia="仿宋" w:cs="仿宋"/>
          <w:sz w:val="24"/>
        </w:rPr>
      </w:pPr>
    </w:p>
    <w:p>
      <w:pPr>
        <w:autoSpaceDE w:val="0"/>
        <w:autoSpaceDN w:val="0"/>
        <w:adjustRightInd w:val="0"/>
        <w:spacing w:line="348" w:lineRule="auto"/>
        <w:rPr>
          <w:rFonts w:hint="eastAsia" w:ascii="仿宋" w:hAnsi="仿宋" w:eastAsia="仿宋" w:cs="仿宋"/>
          <w:sz w:val="24"/>
          <w:u w:val="single"/>
          <w:lang w:val="zh-CN"/>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u w:val="non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lang w:val="zh-CN"/>
        </w:rPr>
        <w:t>年龄：</w:t>
      </w:r>
    </w:p>
    <w:p>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p>
    <w:p>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通讯地址：</w:t>
      </w:r>
    </w:p>
    <w:p>
      <w:pPr>
        <w:autoSpaceDE w:val="0"/>
        <w:autoSpaceDN w:val="0"/>
        <w:adjustRightInd w:val="0"/>
        <w:spacing w:line="348"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邮政编码：</w:t>
      </w:r>
    </w:p>
    <w:p>
      <w:pPr>
        <w:autoSpaceDE w:val="0"/>
        <w:autoSpaceDN w:val="0"/>
        <w:adjustRightInd w:val="0"/>
        <w:spacing w:line="348" w:lineRule="auto"/>
        <w:ind w:firstLine="480" w:firstLineChars="20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u w:val="non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lang w:val="zh-CN"/>
        </w:rPr>
        <w:t xml:space="preserve">传真：                     </w:t>
      </w:r>
      <w:r>
        <w:rPr>
          <w:rFonts w:hint="eastAsia" w:ascii="仿宋" w:hAnsi="仿宋" w:eastAsia="仿宋" w:cs="仿宋"/>
          <w:sz w:val="24"/>
          <w:u w:val="single"/>
        </w:rPr>
        <w:t xml:space="preserve">           </w:t>
      </w:r>
    </w:p>
    <w:p>
      <w:pPr>
        <w:autoSpaceDE w:val="0"/>
        <w:autoSpaceDN w:val="0"/>
        <w:adjustRightInd w:val="0"/>
        <w:spacing w:line="348" w:lineRule="auto"/>
        <w:rPr>
          <w:rFonts w:hint="eastAsia" w:ascii="仿宋" w:hAnsi="仿宋" w:eastAsia="仿宋" w:cs="仿宋"/>
          <w:sz w:val="24"/>
        </w:rPr>
      </w:pPr>
    </w:p>
    <w:p>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授权代表身份证复印件</w:t>
            </w:r>
          </w:p>
          <w:p>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 （</w:t>
      </w:r>
      <w:r>
        <w:rPr>
          <w:rFonts w:hint="eastAsia" w:ascii="仿宋" w:hAnsi="仿宋" w:eastAsia="仿宋" w:cs="仿宋"/>
          <w:sz w:val="24"/>
          <w:lang w:val="en-US" w:eastAsia="zh-CN"/>
        </w:rPr>
        <w:t>盖</w:t>
      </w:r>
      <w:r>
        <w:rPr>
          <w:rFonts w:hint="eastAsia" w:ascii="仿宋" w:hAnsi="仿宋" w:eastAsia="仿宋" w:cs="仿宋"/>
          <w:sz w:val="24"/>
        </w:rPr>
        <w:t xml:space="preserve">公章）：               </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法定代表人（或单位负责人）（签字</w:t>
      </w:r>
      <w:r>
        <w:rPr>
          <w:rFonts w:hint="eastAsia" w:ascii="仿宋" w:hAnsi="仿宋" w:eastAsia="仿宋" w:cs="仿宋"/>
          <w:sz w:val="24"/>
          <w:lang w:val="en-US" w:eastAsia="zh-CN"/>
        </w:rPr>
        <w:t>或盖章</w:t>
      </w:r>
      <w:r>
        <w:rPr>
          <w:rFonts w:hint="eastAsia" w:ascii="仿宋" w:hAnsi="仿宋" w:eastAsia="仿宋" w:cs="仿宋"/>
          <w:sz w:val="24"/>
        </w:rPr>
        <w:t>）：</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注：自然人投标的或法定代表人投标的无需提供</w:t>
      </w:r>
    </w:p>
    <w:p>
      <w:pPr>
        <w:spacing w:after="120"/>
        <w:rPr>
          <w:rFonts w:hint="eastAsia" w:ascii="仿宋" w:hAnsi="仿宋" w:eastAsia="仿宋" w:cs="仿宋"/>
        </w:rPr>
      </w:pPr>
      <w:r>
        <w:rPr>
          <w:rFonts w:hint="eastAsia" w:ascii="仿宋" w:hAnsi="仿宋" w:eastAsia="仿宋" w:cs="仿宋"/>
        </w:rPr>
        <w:br w:type="page"/>
      </w:r>
    </w:p>
    <w:p>
      <w:pPr>
        <w:autoSpaceDE w:val="0"/>
        <w:autoSpaceDN w:val="0"/>
        <w:adjustRightInd w:val="0"/>
        <w:jc w:val="center"/>
        <w:rPr>
          <w:rFonts w:hint="eastAsia" w:ascii="仿宋" w:hAnsi="仿宋" w:eastAsia="仿宋" w:cs="仿宋"/>
          <w:b/>
          <w:kern w:val="0"/>
          <w:sz w:val="28"/>
          <w:szCs w:val="28"/>
        </w:rPr>
      </w:pPr>
    </w:p>
    <w:p>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val="en-US" w:eastAsia="zh-CN"/>
        </w:rPr>
        <w:t>供应商</w:t>
      </w:r>
      <w:r>
        <w:rPr>
          <w:rFonts w:hint="eastAsia" w:ascii="仿宋" w:hAnsi="仿宋" w:eastAsia="仿宋" w:cs="仿宋"/>
          <w:kern w:val="0"/>
          <w:sz w:val="24"/>
        </w:rPr>
        <w:t>名称）的法定代表人。</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lang w:val="en-US" w:eastAsia="zh-CN"/>
        </w:rPr>
        <w:t>供应商</w:t>
      </w:r>
      <w:r>
        <w:rPr>
          <w:rFonts w:hint="eastAsia" w:ascii="仿宋" w:hAnsi="仿宋" w:eastAsia="仿宋" w:cs="仿宋"/>
          <w:kern w:val="0"/>
          <w:sz w:val="24"/>
        </w:rPr>
        <w:t>（</w:t>
      </w:r>
      <w:r>
        <w:rPr>
          <w:rFonts w:hint="eastAsia" w:ascii="仿宋" w:hAnsi="仿宋" w:eastAsia="仿宋" w:cs="仿宋"/>
          <w:kern w:val="0"/>
          <w:sz w:val="24"/>
          <w:lang w:eastAsia="zh-CN"/>
        </w:rPr>
        <w:t>盖</w:t>
      </w:r>
      <w:r>
        <w:rPr>
          <w:rFonts w:hint="eastAsia" w:ascii="仿宋" w:hAnsi="仿宋" w:eastAsia="仿宋" w:cs="仿宋"/>
          <w:kern w:val="0"/>
          <w:sz w:val="24"/>
        </w:rPr>
        <w:t xml:space="preserve">公章）：           </w:t>
      </w:r>
    </w:p>
    <w:p>
      <w:pPr>
        <w:autoSpaceDE w:val="0"/>
        <w:autoSpaceDN w:val="0"/>
        <w:adjustRightInd w:val="0"/>
        <w:spacing w:line="360" w:lineRule="auto"/>
        <w:ind w:left="5399" w:leftChars="2571"/>
        <w:jc w:val="left"/>
        <w:rPr>
          <w:rFonts w:hint="eastAsia" w:ascii="仿宋" w:hAnsi="仿宋" w:eastAsia="仿宋" w:cs="仿宋"/>
          <w:kern w:val="0"/>
          <w:sz w:val="24"/>
        </w:rPr>
      </w:pPr>
    </w:p>
    <w:p>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pP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sz w:val="28"/>
          <w:szCs w:val="28"/>
        </w:rPr>
      </w:pPr>
      <w:bookmarkStart w:id="462" w:name="_Toc60929129"/>
      <w:r>
        <w:rPr>
          <w:rFonts w:hint="eastAsia" w:ascii="仿宋" w:hAnsi="仿宋" w:eastAsia="仿宋" w:cs="仿宋"/>
          <w:b/>
          <w:sz w:val="28"/>
          <w:szCs w:val="28"/>
        </w:rPr>
        <w:t>3、授权代表本单位证明</w:t>
      </w:r>
      <w:bookmarkEnd w:id="462"/>
    </w:p>
    <w:p>
      <w:pPr>
        <w:spacing w:after="120"/>
        <w:rPr>
          <w:rFonts w:hint="eastAsia" w:ascii="仿宋" w:hAnsi="仿宋" w:eastAsia="仿宋" w:cs="仿宋"/>
        </w:rPr>
      </w:pPr>
    </w:p>
    <w:p>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养老保险缴纳证明或劳动合同复印件</w:t>
      </w:r>
      <w:r>
        <w:rPr>
          <w:rFonts w:hint="eastAsia" w:ascii="仿宋" w:hAnsi="仿宋" w:eastAsia="仿宋" w:cs="仿宋"/>
          <w:sz w:val="28"/>
          <w:szCs w:val="28"/>
          <w:lang w:val="zh-CN"/>
        </w:rPr>
        <w:t>）</w:t>
      </w:r>
    </w:p>
    <w:p>
      <w:pPr>
        <w:autoSpaceDE w:val="0"/>
        <w:autoSpaceDN w:val="0"/>
        <w:adjustRightInd w:val="0"/>
        <w:spacing w:line="348" w:lineRule="auto"/>
        <w:jc w:val="center"/>
        <w:rPr>
          <w:rFonts w:hint="eastAsia" w:ascii="仿宋" w:hAnsi="仿宋" w:eastAsia="仿宋" w:cs="仿宋"/>
          <w:sz w:val="28"/>
          <w:szCs w:val="28"/>
          <w:lang w:val="zh-CN"/>
        </w:rPr>
      </w:pPr>
    </w:p>
    <w:p>
      <w:pPr>
        <w:autoSpaceDE w:val="0"/>
        <w:autoSpaceDN w:val="0"/>
        <w:adjustRightInd w:val="0"/>
        <w:spacing w:line="348" w:lineRule="auto"/>
        <w:jc w:val="center"/>
        <w:rPr>
          <w:rFonts w:hint="eastAsia" w:ascii="仿宋" w:hAnsi="仿宋" w:eastAsia="仿宋" w:cs="仿宋"/>
          <w:sz w:val="28"/>
          <w:szCs w:val="28"/>
          <w:lang w:val="zh-CN"/>
        </w:rPr>
      </w:pPr>
    </w:p>
    <w:p>
      <w:pPr>
        <w:autoSpaceDE w:val="0"/>
        <w:autoSpaceDN w:val="0"/>
        <w:adjustRightInd w:val="0"/>
        <w:spacing w:line="348" w:lineRule="auto"/>
        <w:jc w:val="center"/>
        <w:rPr>
          <w:rFonts w:hint="eastAsia" w:ascii="仿宋" w:hAnsi="仿宋" w:eastAsia="仿宋" w:cs="仿宋"/>
          <w:sz w:val="28"/>
          <w:szCs w:val="28"/>
          <w:lang w:val="zh-CN"/>
        </w:rPr>
      </w:pPr>
    </w:p>
    <w:p>
      <w:pPr>
        <w:pStyle w:val="22"/>
        <w:rPr>
          <w:rFonts w:hint="eastAsia" w:ascii="仿宋" w:hAnsi="仿宋" w:eastAsia="仿宋" w:cs="仿宋"/>
        </w:rPr>
      </w:pPr>
    </w:p>
    <w:p>
      <w:pPr>
        <w:widowControl/>
        <w:ind w:firstLine="161" w:firstLineChars="50"/>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p>
    <w:p>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pPr>
        <w:pStyle w:val="22"/>
        <w:rPr>
          <w:rFonts w:hint="eastAsia" w:ascii="仿宋" w:hAnsi="仿宋" w:eastAsia="仿宋" w:cs="仿宋"/>
        </w:rPr>
      </w:pPr>
    </w:p>
    <w:p>
      <w:pPr>
        <w:pStyle w:val="3"/>
        <w:jc w:val="center"/>
        <w:rPr>
          <w:rFonts w:hint="eastAsia" w:ascii="仿宋" w:hAnsi="仿宋" w:eastAsia="仿宋" w:cs="仿宋"/>
          <w:b/>
          <w:bCs/>
        </w:rPr>
      </w:pPr>
      <w:r>
        <w:rPr>
          <w:rFonts w:hint="eastAsia" w:ascii="仿宋" w:hAnsi="仿宋" w:eastAsia="仿宋" w:cs="仿宋"/>
          <w:b/>
          <w:bCs/>
        </w:rPr>
        <w:t>第二部分  资格证明文件</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rPr>
      </w:pPr>
      <w:r>
        <w:rPr>
          <w:rFonts w:hint="eastAsia" w:ascii="仿宋" w:hAnsi="仿宋" w:eastAsia="仿宋" w:cs="仿宋"/>
          <w:sz w:val="24"/>
          <w:lang w:val="en-US" w:eastAsia="zh-CN"/>
        </w:rPr>
        <w:t xml:space="preserve">1. </w:t>
      </w:r>
      <w:r>
        <w:rPr>
          <w:rFonts w:hint="eastAsia" w:ascii="仿宋" w:hAnsi="仿宋" w:eastAsia="仿宋" w:cs="仿宋"/>
          <w:sz w:val="24"/>
        </w:rPr>
        <w:t>供应商的企业法人营业执照副本复印件（格式要求见附件6-1）；</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rPr>
      </w:pPr>
      <w:r>
        <w:rPr>
          <w:rFonts w:hint="eastAsia" w:ascii="仿宋" w:hAnsi="仿宋" w:eastAsia="仿宋" w:cs="仿宋"/>
          <w:sz w:val="24"/>
          <w:lang w:val="en-US" w:eastAsia="zh-CN"/>
        </w:rPr>
        <w:t xml:space="preserve">2. </w:t>
      </w:r>
      <w:r>
        <w:rPr>
          <w:rFonts w:hint="eastAsia" w:ascii="仿宋" w:hAnsi="仿宋" w:eastAsia="仿宋" w:cs="仿宋"/>
          <w:sz w:val="24"/>
        </w:rPr>
        <w:t>供应商上一年度经审计的财务报表复印件（包括资产负债表、现金流量表、利润表），或本年度基本开户银行出具的资信证明（格式要求见附件6-2）；</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lang w:eastAsia="zh-CN"/>
        </w:rPr>
      </w:pPr>
      <w:r>
        <w:rPr>
          <w:rFonts w:hint="eastAsia" w:ascii="仿宋" w:hAnsi="仿宋" w:eastAsia="仿宋" w:cs="仿宋"/>
          <w:sz w:val="24"/>
          <w:lang w:val="en-US" w:eastAsia="zh-CN"/>
        </w:rPr>
        <w:t xml:space="preserve">3. </w:t>
      </w:r>
      <w:r>
        <w:rPr>
          <w:rFonts w:hint="eastAsia" w:ascii="仿宋" w:hAnsi="仿宋" w:eastAsia="仿宋" w:cs="仿宋"/>
          <w:sz w:val="24"/>
        </w:rPr>
        <w:t>依法缴纳税收和社会保障资金的证明材料复印件（格式见附件6-3、6-4）</w:t>
      </w:r>
      <w:r>
        <w:rPr>
          <w:rFonts w:hint="eastAsia" w:ascii="仿宋" w:hAnsi="仿宋" w:eastAsia="仿宋" w:cs="仿宋"/>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rPr>
      </w:pPr>
      <w:r>
        <w:rPr>
          <w:rFonts w:hint="eastAsia" w:ascii="仿宋" w:hAnsi="仿宋" w:eastAsia="仿宋" w:cs="仿宋"/>
          <w:sz w:val="24"/>
          <w:lang w:val="en-US" w:eastAsia="zh-CN"/>
        </w:rPr>
        <w:t xml:space="preserve">4. </w:t>
      </w:r>
      <w:r>
        <w:rPr>
          <w:rFonts w:hint="eastAsia" w:ascii="仿宋" w:hAnsi="仿宋" w:eastAsia="仿宋" w:cs="仿宋"/>
          <w:sz w:val="24"/>
        </w:rPr>
        <w:t>具备履行合同所必需的设备和专业技术能力的承诺原件（格式见附件6-5）；</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lang w:eastAsia="zh-CN"/>
        </w:rPr>
      </w:pPr>
      <w:r>
        <w:rPr>
          <w:rFonts w:hint="eastAsia" w:ascii="仿宋" w:hAnsi="仿宋" w:eastAsia="仿宋" w:cs="仿宋"/>
          <w:sz w:val="24"/>
          <w:lang w:val="en-US" w:eastAsia="zh-CN"/>
        </w:rPr>
        <w:t xml:space="preserve">5. </w:t>
      </w:r>
      <w:r>
        <w:rPr>
          <w:rFonts w:hint="eastAsia" w:ascii="仿宋" w:hAnsi="仿宋" w:eastAsia="仿宋" w:cs="仿宋"/>
          <w:sz w:val="24"/>
        </w:rPr>
        <w:t>供应商参加政府采购活动前3年内在经营活动中没有重大违法记录的书面声明原件（格式见附件6-6）</w:t>
      </w:r>
      <w:r>
        <w:rPr>
          <w:rFonts w:hint="eastAsia" w:ascii="仿宋" w:hAnsi="仿宋" w:eastAsia="仿宋" w:cs="仿宋"/>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lang w:eastAsia="zh-CN"/>
        </w:rPr>
      </w:pPr>
      <w:r>
        <w:rPr>
          <w:rFonts w:hint="eastAsia" w:ascii="仿宋" w:hAnsi="仿宋" w:eastAsia="仿宋" w:cs="仿宋"/>
          <w:sz w:val="24"/>
          <w:lang w:val="en-US" w:eastAsia="zh-CN"/>
        </w:rPr>
        <w:t xml:space="preserve">6. </w:t>
      </w:r>
      <w:r>
        <w:rPr>
          <w:rFonts w:hint="eastAsia" w:ascii="仿宋" w:hAnsi="仿宋" w:eastAsia="仿宋" w:cs="仿宋"/>
          <w:sz w:val="24"/>
        </w:rPr>
        <w:t>供应商控股股东名称、控股公司的名称和存在管理、被管理关系的单位名称说明（格式见附件6-7</w:t>
      </w:r>
      <w:r>
        <w:rPr>
          <w:rFonts w:hint="eastAsia" w:ascii="仿宋" w:hAnsi="仿宋" w:eastAsia="仿宋" w:cs="仿宋"/>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lang w:eastAsia="zh-CN"/>
        </w:rPr>
      </w:pPr>
      <w:r>
        <w:rPr>
          <w:rFonts w:hint="eastAsia" w:ascii="仿宋" w:hAnsi="仿宋" w:eastAsia="仿宋" w:cs="仿宋"/>
          <w:sz w:val="24"/>
          <w:lang w:val="en-US" w:eastAsia="zh-CN"/>
        </w:rPr>
        <w:t xml:space="preserve">7. </w:t>
      </w:r>
      <w:r>
        <w:rPr>
          <w:rFonts w:hint="eastAsia" w:ascii="仿宋" w:hAnsi="仿宋" w:eastAsia="仿宋" w:cs="仿宋"/>
          <w:sz w:val="24"/>
        </w:rPr>
        <w:t>供应商是否属于为本项目提供整体设计、规范编制或者项目管理、监理、检测等服务的供应商声明原件（格式见附件6-8</w:t>
      </w:r>
      <w:r>
        <w:rPr>
          <w:rFonts w:hint="eastAsia" w:ascii="仿宋" w:hAnsi="仿宋" w:eastAsia="仿宋" w:cs="仿宋"/>
          <w:sz w:val="24"/>
          <w:lang w:eastAsia="zh-CN"/>
        </w:rPr>
        <w:t>）；</w:t>
      </w:r>
    </w:p>
    <w:p>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sz w:val="24"/>
          <w:lang w:eastAsia="zh-CN"/>
        </w:rPr>
      </w:pPr>
      <w:r>
        <w:rPr>
          <w:rFonts w:hint="eastAsia" w:ascii="仿宋" w:hAnsi="仿宋" w:eastAsia="仿宋" w:cs="仿宋"/>
          <w:sz w:val="24"/>
          <w:lang w:val="en-US" w:eastAsia="zh-CN"/>
        </w:rPr>
        <w:t xml:space="preserve">8. </w:t>
      </w:r>
      <w:r>
        <w:rPr>
          <w:rFonts w:hint="eastAsia" w:ascii="仿宋" w:hAnsi="仿宋" w:eastAsia="仿宋" w:cs="仿宋"/>
          <w:sz w:val="24"/>
        </w:rPr>
        <w:t>证明供应商符合特定资格条件的证明材料；（格式见附件6-9</w:t>
      </w:r>
      <w:r>
        <w:rPr>
          <w:rFonts w:hint="eastAsia" w:ascii="仿宋" w:hAnsi="仿宋" w:eastAsia="仿宋" w:cs="仿宋"/>
          <w:sz w:val="24"/>
          <w:lang w:eastAsia="zh-CN"/>
        </w:rPr>
        <w:t>）。</w:t>
      </w:r>
    </w:p>
    <w:p>
      <w:pPr>
        <w:pStyle w:val="22"/>
        <w:ind w:left="1134"/>
        <w:rPr>
          <w:rFonts w:hint="eastAsia" w:ascii="仿宋" w:hAnsi="仿宋" w:eastAsia="仿宋" w:cs="仿宋"/>
          <w:sz w:val="24"/>
        </w:rPr>
      </w:pPr>
    </w:p>
    <w:p>
      <w:pPr>
        <w:adjustRightInd w:val="0"/>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以上提供的扫描件、复印件必须加盖供应商公章。</w:t>
      </w:r>
    </w:p>
    <w:p>
      <w:pPr>
        <w:adjustRightInd w:val="0"/>
        <w:spacing w:line="360" w:lineRule="auto"/>
        <w:ind w:firstLine="480" w:firstLineChars="200"/>
        <w:jc w:val="left"/>
        <w:textAlignment w:val="baseline"/>
        <w:rPr>
          <w:rFonts w:hint="eastAsia" w:ascii="仿宋" w:hAnsi="仿宋" w:eastAsia="仿宋" w:cs="仿宋"/>
          <w:sz w:val="24"/>
        </w:rPr>
      </w:pPr>
    </w:p>
    <w:p>
      <w:pPr>
        <w:spacing w:after="120"/>
        <w:rPr>
          <w:rFonts w:hint="eastAsia" w:ascii="仿宋" w:hAnsi="仿宋" w:eastAsia="仿宋" w:cs="仿宋"/>
        </w:rPr>
      </w:pPr>
      <w:r>
        <w:rPr>
          <w:rFonts w:hint="eastAsia" w:ascii="仿宋" w:hAnsi="仿宋" w:eastAsia="仿宋" w:cs="仿宋"/>
        </w:rPr>
        <w:br w:type="page"/>
      </w:r>
    </w:p>
    <w:p>
      <w:pPr>
        <w:adjustRightInd w:val="0"/>
        <w:spacing w:line="360" w:lineRule="auto"/>
        <w:ind w:firstLine="480" w:firstLineChars="200"/>
        <w:jc w:val="left"/>
        <w:textAlignment w:val="baseline"/>
        <w:rPr>
          <w:rFonts w:hint="eastAsia" w:ascii="仿宋" w:hAnsi="仿宋" w:eastAsia="仿宋" w:cs="仿宋"/>
          <w:sz w:val="24"/>
        </w:rPr>
      </w:pPr>
    </w:p>
    <w:p>
      <w:pPr>
        <w:jc w:val="left"/>
        <w:outlineLvl w:val="2"/>
        <w:rPr>
          <w:rFonts w:hint="eastAsia" w:ascii="仿宋" w:hAnsi="仿宋" w:eastAsia="仿宋" w:cs="仿宋"/>
          <w:b/>
          <w:sz w:val="24"/>
        </w:rPr>
      </w:pPr>
      <w:bookmarkStart w:id="463" w:name="_Toc7005120"/>
      <w:r>
        <w:rPr>
          <w:rFonts w:hint="eastAsia" w:ascii="仿宋" w:hAnsi="仿宋" w:eastAsia="仿宋" w:cs="仿宋"/>
          <w:b/>
          <w:sz w:val="24"/>
        </w:rPr>
        <w:t>6-1  供应商的企业法人营业执照副本复印件（加盖公章）</w:t>
      </w:r>
      <w:bookmarkEnd w:id="463"/>
    </w:p>
    <w:p>
      <w:pPr>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sz w:val="28"/>
        </w:rPr>
      </w:pPr>
    </w:p>
    <w:p>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pPr>
        <w:jc w:val="left"/>
        <w:outlineLvl w:val="2"/>
        <w:rPr>
          <w:rFonts w:hint="eastAsia" w:ascii="仿宋" w:hAnsi="仿宋" w:eastAsia="仿宋" w:cs="仿宋"/>
          <w:b/>
          <w:sz w:val="24"/>
        </w:rPr>
      </w:pPr>
      <w:bookmarkStart w:id="464" w:name="_Toc7005121"/>
      <w:bookmarkStart w:id="465" w:name="_Ref527015333"/>
      <w:r>
        <w:rPr>
          <w:rFonts w:hint="eastAsia" w:ascii="仿宋" w:hAnsi="仿宋" w:eastAsia="仿宋" w:cs="仿宋"/>
          <w:b/>
          <w:sz w:val="24"/>
        </w:rPr>
        <w:t>6-</w:t>
      </w:r>
      <w:r>
        <w:rPr>
          <w:rFonts w:hint="eastAsia" w:ascii="仿宋" w:hAnsi="仿宋" w:eastAsia="仿宋" w:cs="仿宋"/>
          <w:b/>
          <w:sz w:val="24"/>
          <w:lang w:val="en-US" w:eastAsia="zh-CN"/>
        </w:rPr>
        <w:t xml:space="preserve">2  </w:t>
      </w:r>
      <w:r>
        <w:rPr>
          <w:rFonts w:hint="eastAsia" w:ascii="仿宋" w:hAnsi="仿宋" w:eastAsia="仿宋" w:cs="仿宋"/>
          <w:b/>
          <w:sz w:val="24"/>
        </w:rPr>
        <w:t>上一年度经审计的财务报表</w:t>
      </w:r>
      <w:bookmarkEnd w:id="464"/>
      <w:bookmarkEnd w:id="465"/>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提供供应商上一年度经审计的财务报表（包括资产负债表、现金流量表、利润表）复印件或扫描件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pPr>
        <w:jc w:val="left"/>
        <w:outlineLvl w:val="2"/>
        <w:rPr>
          <w:rFonts w:hint="eastAsia" w:ascii="仿宋" w:hAnsi="仿宋" w:eastAsia="仿宋" w:cs="仿宋"/>
          <w:b/>
          <w:sz w:val="24"/>
        </w:rPr>
      </w:pPr>
      <w:bookmarkStart w:id="466" w:name="_Toc7005122"/>
      <w:r>
        <w:rPr>
          <w:rFonts w:hint="eastAsia" w:ascii="仿宋" w:hAnsi="仿宋" w:eastAsia="仿宋" w:cs="仿宋"/>
          <w:b/>
          <w:sz w:val="24"/>
        </w:rPr>
        <w:t>或  6-2 本年度基本开户银行出具的资信证明</w:t>
      </w:r>
      <w:bookmarkEnd w:id="466"/>
    </w:p>
    <w:p>
      <w:pPr>
        <w:spacing w:line="360" w:lineRule="auto"/>
        <w:rPr>
          <w:rFonts w:hint="eastAsia" w:ascii="仿宋" w:hAnsi="仿宋" w:eastAsia="仿宋" w:cs="仿宋"/>
          <w:szCs w:val="21"/>
        </w:rPr>
      </w:pPr>
    </w:p>
    <w:p>
      <w:pPr>
        <w:widowControl/>
        <w:jc w:val="left"/>
        <w:rPr>
          <w:rFonts w:hint="eastAsia" w:ascii="仿宋" w:hAnsi="仿宋" w:eastAsia="仿宋" w:cs="仿宋"/>
          <w:b/>
          <w:spacing w:val="20"/>
          <w:sz w:val="24"/>
        </w:rPr>
      </w:pPr>
    </w:p>
    <w:p>
      <w:pPr>
        <w:tabs>
          <w:tab w:val="left" w:pos="5580"/>
        </w:tabs>
        <w:spacing w:before="120" w:line="360" w:lineRule="auto"/>
        <w:ind w:firstLine="480" w:firstLineChars="200"/>
        <w:rPr>
          <w:rFonts w:hint="eastAsia" w:ascii="仿宋" w:hAnsi="仿宋" w:eastAsia="仿宋" w:cs="仿宋"/>
          <w:sz w:val="24"/>
        </w:rPr>
      </w:pPr>
    </w:p>
    <w:p>
      <w:pPr>
        <w:jc w:val="left"/>
        <w:outlineLvl w:val="2"/>
        <w:rPr>
          <w:rFonts w:hint="eastAsia" w:ascii="仿宋" w:hAnsi="仿宋" w:eastAsia="仿宋" w:cs="仿宋"/>
          <w:b/>
          <w:sz w:val="24"/>
        </w:rPr>
      </w:pPr>
      <w:bookmarkStart w:id="467" w:name="_Toc7005123"/>
      <w:r>
        <w:rPr>
          <w:rFonts w:hint="eastAsia" w:ascii="仿宋" w:hAnsi="仿宋" w:eastAsia="仿宋" w:cs="仿宋"/>
          <w:b/>
          <w:sz w:val="24"/>
        </w:rPr>
        <w:t>6-3</w:t>
      </w:r>
      <w:r>
        <w:rPr>
          <w:rFonts w:hint="eastAsia" w:ascii="仿宋" w:hAnsi="仿宋" w:eastAsia="仿宋" w:cs="仿宋"/>
          <w:b/>
          <w:sz w:val="24"/>
          <w:lang w:val="en-US" w:eastAsia="zh-CN"/>
        </w:rPr>
        <w:t xml:space="preserve">  </w:t>
      </w:r>
      <w:r>
        <w:rPr>
          <w:rFonts w:hint="eastAsia" w:ascii="仿宋" w:hAnsi="仿宋" w:eastAsia="仿宋" w:cs="仿宋"/>
          <w:b/>
          <w:sz w:val="24"/>
        </w:rPr>
        <w:t>依法缴纳税收的证明</w:t>
      </w:r>
      <w:bookmarkEnd w:id="467"/>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说明：</w:t>
      </w:r>
    </w:p>
    <w:p>
      <w:pPr>
        <w:tabs>
          <w:tab w:val="left" w:pos="993"/>
          <w:tab w:val="left" w:pos="1030"/>
          <w:tab w:val="left" w:pos="8364"/>
        </w:tabs>
        <w:snapToGrid w:val="0"/>
        <w:spacing w:after="120" w:afterLines="50"/>
        <w:ind w:right="-57" w:rightChars="-27"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投标供应商应提供近六个月中任何一个月的依法缴纳税收凭证，时间以税款所属时期为准（银行出具的缴税凭证或税务机关出具的证明的复印件，并加盖本单位公章）， 2.依法免税的供应商，应提供相应文件证明其依法免税</w:t>
      </w:r>
      <w:r>
        <w:rPr>
          <w:rFonts w:hint="eastAsia" w:ascii="仿宋" w:hAnsi="仿宋" w:eastAsia="仿宋" w:cs="仿宋"/>
          <w:sz w:val="24"/>
        </w:rPr>
        <w:t>。</w:t>
      </w: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spacing w:after="120"/>
        <w:rPr>
          <w:rFonts w:hint="eastAsia" w:ascii="仿宋" w:hAnsi="仿宋" w:eastAsia="仿宋" w:cs="仿宋"/>
        </w:rPr>
      </w:pP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jc w:val="left"/>
        <w:outlineLvl w:val="2"/>
        <w:rPr>
          <w:rFonts w:hint="eastAsia" w:ascii="仿宋" w:hAnsi="仿宋" w:eastAsia="仿宋" w:cs="仿宋"/>
          <w:b/>
          <w:sz w:val="24"/>
        </w:rPr>
      </w:pPr>
      <w:bookmarkStart w:id="468" w:name="_Toc7005124"/>
      <w:r>
        <w:rPr>
          <w:rFonts w:hint="eastAsia" w:ascii="仿宋" w:hAnsi="仿宋" w:eastAsia="仿宋" w:cs="仿宋"/>
          <w:b/>
          <w:sz w:val="24"/>
        </w:rPr>
        <w:t>6-4</w:t>
      </w:r>
      <w:r>
        <w:rPr>
          <w:rFonts w:hint="eastAsia" w:ascii="仿宋" w:hAnsi="仿宋" w:eastAsia="仿宋" w:cs="仿宋"/>
          <w:b/>
          <w:sz w:val="24"/>
          <w:lang w:val="en-US" w:eastAsia="zh-CN"/>
        </w:rPr>
        <w:t xml:space="preserve">  </w:t>
      </w:r>
      <w:r>
        <w:rPr>
          <w:rFonts w:hint="eastAsia" w:ascii="仿宋" w:hAnsi="仿宋" w:eastAsia="仿宋" w:cs="仿宋"/>
          <w:b/>
          <w:sz w:val="24"/>
        </w:rPr>
        <w:t>社会保障资金缴纳记录</w:t>
      </w:r>
      <w:bookmarkEnd w:id="468"/>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pPr>
        <w:numPr>
          <w:ilvl w:val="0"/>
          <w:numId w:val="0"/>
        </w:numPr>
        <w:tabs>
          <w:tab w:val="left" w:pos="993"/>
          <w:tab w:val="left" w:pos="1030"/>
          <w:tab w:val="left" w:pos="8364"/>
        </w:tabs>
        <w:snapToGrid w:val="0"/>
        <w:spacing w:after="120" w:afterLines="50"/>
        <w:ind w:left="460" w:leftChars="219" w:right="-57" w:rightChars="-27" w:firstLine="19" w:firstLineChars="8"/>
        <w:jc w:val="left"/>
        <w:rPr>
          <w:rFonts w:hint="eastAsia" w:ascii="仿宋" w:hAnsi="仿宋" w:eastAsia="仿宋" w:cs="仿宋"/>
          <w:sz w:val="24"/>
        </w:rPr>
      </w:pPr>
      <w:r>
        <w:rPr>
          <w:rFonts w:hint="eastAsia" w:ascii="仿宋" w:hAnsi="仿宋" w:eastAsia="仿宋" w:cs="仿宋"/>
          <w:sz w:val="24"/>
          <w:lang w:val="en-US" w:eastAsia="zh-CN"/>
        </w:rPr>
        <w:t xml:space="preserve">1. </w:t>
      </w:r>
      <w:r>
        <w:rPr>
          <w:rFonts w:hint="eastAsia" w:ascii="仿宋" w:hAnsi="仿宋" w:eastAsia="仿宋" w:cs="仿宋"/>
          <w:sz w:val="24"/>
        </w:rPr>
        <w:t>供应商应提供</w:t>
      </w:r>
      <w:r>
        <w:rPr>
          <w:rFonts w:hint="eastAsia" w:ascii="仿宋" w:hAnsi="仿宋" w:eastAsia="仿宋" w:cs="仿宋"/>
          <w:sz w:val="24"/>
          <w:lang w:val="en-US" w:eastAsia="zh-CN"/>
        </w:rPr>
        <w:t>自磋商响应文件递交截止时间前近</w:t>
      </w:r>
      <w:r>
        <w:rPr>
          <w:rFonts w:hint="eastAsia" w:ascii="仿宋" w:hAnsi="仿宋" w:eastAsia="仿宋" w:cs="仿宋"/>
          <w:sz w:val="24"/>
        </w:rPr>
        <w:t>六个月中至少一个月的社会缴纳社会保险的凭据（专用收据或社会保险缴纳清单），并加盖本单位公章。</w:t>
      </w:r>
    </w:p>
    <w:p>
      <w:pPr>
        <w:numPr>
          <w:ilvl w:val="0"/>
          <w:numId w:val="0"/>
        </w:numPr>
        <w:tabs>
          <w:tab w:val="left" w:pos="993"/>
          <w:tab w:val="left" w:pos="1030"/>
          <w:tab w:val="left" w:pos="8364"/>
        </w:tabs>
        <w:snapToGrid w:val="0"/>
        <w:spacing w:after="120" w:afterLines="50"/>
        <w:ind w:left="479" w:leftChars="228" w:right="-57" w:rightChars="-27" w:firstLine="0" w:firstLineChars="0"/>
        <w:jc w:val="left"/>
        <w:rPr>
          <w:rFonts w:hint="eastAsia" w:ascii="仿宋" w:hAnsi="仿宋" w:eastAsia="仿宋" w:cs="仿宋"/>
          <w:sz w:val="24"/>
        </w:rPr>
      </w:pPr>
      <w:r>
        <w:rPr>
          <w:rFonts w:hint="eastAsia" w:ascii="仿宋" w:hAnsi="仿宋" w:eastAsia="仿宋" w:cs="仿宋"/>
          <w:sz w:val="24"/>
          <w:lang w:val="en-US" w:eastAsia="zh-CN"/>
        </w:rPr>
        <w:t xml:space="preserve">2. </w:t>
      </w:r>
      <w:r>
        <w:rPr>
          <w:rFonts w:hint="eastAsia" w:ascii="仿宋" w:hAnsi="仿宋" w:eastAsia="仿宋" w:cs="仿宋"/>
          <w:sz w:val="24"/>
        </w:rPr>
        <w:t>不需要缴纳社会保障资金的供应商，应提供相应文件证明其不需要缴纳社会保障资金。</w:t>
      </w:r>
    </w:p>
    <w:p>
      <w:pPr>
        <w:tabs>
          <w:tab w:val="left" w:pos="5580"/>
        </w:tabs>
        <w:spacing w:before="120" w:line="360" w:lineRule="auto"/>
        <w:ind w:firstLine="480" w:firstLineChars="200"/>
        <w:rPr>
          <w:rFonts w:hint="eastAsia" w:ascii="仿宋" w:hAnsi="仿宋" w:eastAsia="仿宋" w:cs="仿宋"/>
          <w:sz w:val="24"/>
        </w:rPr>
      </w:pPr>
    </w:p>
    <w:p>
      <w:pPr>
        <w:jc w:val="left"/>
        <w:outlineLvl w:val="2"/>
        <w:rPr>
          <w:rFonts w:hint="eastAsia" w:ascii="仿宋" w:hAnsi="仿宋" w:eastAsia="仿宋" w:cs="仿宋"/>
          <w:b/>
          <w:sz w:val="24"/>
        </w:rPr>
      </w:pPr>
      <w:bookmarkStart w:id="469" w:name="_Toc7005125"/>
      <w:r>
        <w:rPr>
          <w:rFonts w:hint="eastAsia" w:ascii="仿宋" w:hAnsi="仿宋" w:eastAsia="仿宋" w:cs="仿宋"/>
          <w:b/>
          <w:bCs/>
          <w:sz w:val="24"/>
        </w:rPr>
        <w:t>6-5</w:t>
      </w:r>
      <w:r>
        <w:rPr>
          <w:rFonts w:hint="eastAsia" w:ascii="仿宋" w:hAnsi="仿宋" w:eastAsia="仿宋" w:cs="仿宋"/>
          <w:b/>
          <w:bCs/>
          <w:sz w:val="24"/>
          <w:lang w:val="en-US" w:eastAsia="zh-CN"/>
        </w:rPr>
        <w:t xml:space="preserve">  </w:t>
      </w:r>
      <w:r>
        <w:rPr>
          <w:rFonts w:hint="eastAsia" w:ascii="仿宋" w:hAnsi="仿宋" w:eastAsia="仿宋" w:cs="仿宋"/>
          <w:b/>
          <w:sz w:val="24"/>
        </w:rPr>
        <w:t>具备履行合同所必需的设备和专业技术能力承诺书</w:t>
      </w:r>
      <w:bookmarkEnd w:id="469"/>
      <w:r>
        <w:rPr>
          <w:rFonts w:hint="eastAsia" w:ascii="仿宋" w:hAnsi="仿宋" w:eastAsia="仿宋" w:cs="仿宋"/>
          <w:b/>
          <w:sz w:val="24"/>
        </w:rPr>
        <w:t xml:space="preserve">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p>
    <w:p>
      <w:pPr>
        <w:rPr>
          <w:rFonts w:hint="eastAsia" w:ascii="仿宋" w:hAnsi="仿宋" w:eastAsia="仿宋" w:cs="仿宋"/>
          <w:kern w:val="0"/>
          <w:sz w:val="24"/>
          <w:u w:val="single"/>
        </w:rPr>
      </w:pPr>
      <w:r>
        <w:rPr>
          <w:rFonts w:hint="eastAsia" w:ascii="仿宋" w:hAnsi="仿宋" w:eastAsia="仿宋" w:cs="仿宋"/>
          <w:kern w:val="0"/>
          <w:sz w:val="24"/>
        </w:rPr>
        <w:t xml:space="preserve">陕西省采购招标有限责任公司：  </w:t>
      </w:r>
      <w:r>
        <w:rPr>
          <w:rFonts w:hint="eastAsia" w:ascii="仿宋" w:hAnsi="仿宋" w:eastAsia="仿宋" w:cs="仿宋"/>
          <w:kern w:val="0"/>
          <w:sz w:val="24"/>
          <w:u w:val="single"/>
        </w:rPr>
        <w:t xml:space="preserve">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lang w:val="en-US" w:eastAsia="zh-CN"/>
        </w:rPr>
        <w:t>盖</w:t>
      </w:r>
      <w:r>
        <w:rPr>
          <w:rFonts w:hint="eastAsia" w:ascii="仿宋" w:hAnsi="仿宋" w:eastAsia="仿宋" w:cs="仿宋"/>
          <w:sz w:val="24"/>
        </w:rPr>
        <w:t xml:space="preserve">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right="280"/>
        <w:rPr>
          <w:rFonts w:hint="eastAsia" w:ascii="仿宋" w:hAnsi="仿宋" w:eastAsia="仿宋" w:cs="仿宋"/>
          <w:sz w:val="24"/>
        </w:rPr>
      </w:pPr>
    </w:p>
    <w:p>
      <w:pPr>
        <w:tabs>
          <w:tab w:val="left" w:pos="5580"/>
        </w:tabs>
        <w:spacing w:before="120" w:line="360" w:lineRule="auto"/>
        <w:ind w:firstLine="480" w:firstLineChars="200"/>
        <w:rPr>
          <w:rFonts w:hint="eastAsia" w:ascii="仿宋" w:hAnsi="仿宋" w:eastAsia="仿宋" w:cs="仿宋"/>
          <w:sz w:val="24"/>
        </w:rPr>
      </w:pPr>
    </w:p>
    <w:p>
      <w:pPr>
        <w:widowControl/>
        <w:jc w:val="left"/>
        <w:rPr>
          <w:rFonts w:hint="eastAsia" w:ascii="仿宋" w:hAnsi="仿宋" w:eastAsia="仿宋" w:cs="仿宋"/>
          <w:b/>
          <w:sz w:val="24"/>
        </w:rPr>
      </w:pPr>
    </w:p>
    <w:p>
      <w:pPr>
        <w:numPr>
          <w:ilvl w:val="0"/>
          <w:numId w:val="0"/>
        </w:numPr>
        <w:ind w:leftChars="0"/>
        <w:jc w:val="left"/>
        <w:outlineLvl w:val="2"/>
        <w:rPr>
          <w:rFonts w:hint="eastAsia" w:ascii="仿宋" w:hAnsi="仿宋" w:eastAsia="仿宋" w:cs="仿宋"/>
          <w:b/>
          <w:sz w:val="24"/>
          <w:szCs w:val="22"/>
        </w:rPr>
      </w:pPr>
      <w:bookmarkStart w:id="470" w:name="_Toc7005126"/>
      <w:r>
        <w:rPr>
          <w:rFonts w:hint="eastAsia" w:ascii="仿宋" w:hAnsi="仿宋" w:eastAsia="仿宋" w:cs="仿宋"/>
          <w:b/>
          <w:sz w:val="24"/>
          <w:szCs w:val="22"/>
          <w:lang w:val="en-US" w:eastAsia="zh-CN"/>
        </w:rPr>
        <w:t xml:space="preserve">6-6  </w:t>
      </w:r>
      <w:r>
        <w:rPr>
          <w:rFonts w:hint="eastAsia" w:ascii="仿宋" w:hAnsi="仿宋" w:eastAsia="仿宋" w:cs="仿宋"/>
          <w:b/>
          <w:sz w:val="24"/>
          <w:szCs w:val="22"/>
        </w:rPr>
        <w:t>供应商参加政府采购活动前3年内在经营活动中没有重大违法记录的书面声明（格式）</w:t>
      </w:r>
      <w:bookmarkEnd w:id="470"/>
    </w:p>
    <w:p>
      <w:pPr>
        <w:jc w:val="center"/>
        <w:rPr>
          <w:rFonts w:hint="eastAsia" w:ascii="仿宋" w:hAnsi="仿宋" w:eastAsia="仿宋" w:cs="仿宋"/>
          <w:sz w:val="24"/>
        </w:rPr>
      </w:pPr>
    </w:p>
    <w:p>
      <w:pPr>
        <w:jc w:val="center"/>
        <w:rPr>
          <w:rFonts w:hint="eastAsia" w:ascii="仿宋" w:hAnsi="仿宋" w:eastAsia="仿宋" w:cs="仿宋"/>
          <w:b/>
          <w:sz w:val="24"/>
        </w:rPr>
      </w:pPr>
      <w:r>
        <w:rPr>
          <w:rFonts w:hint="eastAsia" w:ascii="仿宋" w:hAnsi="仿宋" w:eastAsia="仿宋" w:cs="仿宋"/>
          <w:b/>
          <w:sz w:val="24"/>
        </w:rPr>
        <w:t>声明函</w:t>
      </w:r>
    </w:p>
    <w:p>
      <w:pPr>
        <w:jc w:val="center"/>
        <w:rPr>
          <w:rFonts w:hint="eastAsia" w:ascii="仿宋" w:hAnsi="仿宋" w:eastAsia="仿宋" w:cs="仿宋"/>
          <w:sz w:val="24"/>
        </w:rPr>
      </w:pPr>
    </w:p>
    <w:p>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pPr>
        <w:tabs>
          <w:tab w:val="left" w:pos="5580"/>
        </w:tabs>
        <w:spacing w:before="120" w:line="360" w:lineRule="auto"/>
        <w:ind w:firstLine="480" w:firstLineChars="200"/>
        <w:rPr>
          <w:rFonts w:hint="eastAsia" w:ascii="仿宋" w:hAnsi="仿宋" w:eastAsia="仿宋" w:cs="仿宋"/>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lang w:val="en-US" w:eastAsia="zh-CN"/>
        </w:rPr>
        <w:t>盖</w:t>
      </w:r>
      <w:r>
        <w:rPr>
          <w:rFonts w:hint="eastAsia" w:ascii="仿宋" w:hAnsi="仿宋" w:eastAsia="仿宋" w:cs="仿宋"/>
          <w:sz w:val="24"/>
        </w:rPr>
        <w:t xml:space="preserve">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after="120"/>
        <w:ind w:firstLine="480" w:firstLineChars="200"/>
        <w:rPr>
          <w:rFonts w:hint="eastAsia"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r>
        <w:rPr>
          <w:rFonts w:hint="eastAsia" w:ascii="仿宋" w:hAnsi="仿宋" w:eastAsia="仿宋" w:cs="仿宋"/>
        </w:rPr>
        <w:br w:type="page"/>
      </w:r>
    </w:p>
    <w:p>
      <w:pPr>
        <w:numPr>
          <w:ilvl w:val="0"/>
          <w:numId w:val="0"/>
        </w:numPr>
        <w:jc w:val="left"/>
        <w:outlineLvl w:val="2"/>
        <w:rPr>
          <w:rFonts w:hint="eastAsia" w:ascii="仿宋" w:hAnsi="仿宋" w:eastAsia="仿宋" w:cs="仿宋"/>
          <w:b/>
          <w:sz w:val="24"/>
          <w:szCs w:val="22"/>
        </w:rPr>
      </w:pPr>
      <w:bookmarkStart w:id="471" w:name="_Toc7005127"/>
      <w:r>
        <w:rPr>
          <w:rFonts w:hint="eastAsia" w:ascii="仿宋" w:hAnsi="仿宋" w:eastAsia="仿宋" w:cs="仿宋"/>
          <w:b/>
          <w:sz w:val="24"/>
          <w:szCs w:val="22"/>
          <w:lang w:val="en-US" w:eastAsia="zh-CN"/>
        </w:rPr>
        <w:t xml:space="preserve">6-7  </w:t>
      </w:r>
      <w:r>
        <w:rPr>
          <w:rFonts w:hint="eastAsia" w:ascii="仿宋" w:hAnsi="仿宋" w:eastAsia="仿宋" w:cs="仿宋"/>
          <w:b/>
          <w:sz w:val="24"/>
          <w:szCs w:val="22"/>
        </w:rPr>
        <w:t>供应商控股股东名称、控股公司的名称和存在管理、被管理关系的单位名称说明</w:t>
      </w:r>
      <w:bookmarkEnd w:id="471"/>
    </w:p>
    <w:p>
      <w:pPr>
        <w:ind w:firstLine="420"/>
        <w:rPr>
          <w:rFonts w:hint="eastAsia" w:ascii="仿宋" w:hAnsi="仿宋" w:eastAsia="仿宋" w:cs="仿宋"/>
          <w:szCs w:val="21"/>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陕西省采购招标有限责任公司：</w:t>
      </w:r>
    </w:p>
    <w:p>
      <w:pPr>
        <w:spacing w:after="120"/>
        <w:rPr>
          <w:rFonts w:hint="eastAsia" w:ascii="仿宋" w:hAnsi="仿宋" w:eastAsia="仿宋" w:cs="仿宋"/>
        </w:rPr>
      </w:pPr>
    </w:p>
    <w:p>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我方的控股股东如下：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我方直接控股的企业如下：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lang w:val="en-US" w:eastAsia="zh-CN"/>
        </w:rPr>
        <w:t>盖</w:t>
      </w:r>
      <w:r>
        <w:rPr>
          <w:rFonts w:hint="eastAsia" w:ascii="仿宋" w:hAnsi="仿宋" w:eastAsia="仿宋" w:cs="仿宋"/>
          <w:sz w:val="24"/>
        </w:rPr>
        <w:t xml:space="preserve">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numPr>
          <w:ilvl w:val="0"/>
          <w:numId w:val="0"/>
        </w:numPr>
        <w:ind w:leftChars="0"/>
        <w:jc w:val="left"/>
        <w:outlineLvl w:val="2"/>
        <w:rPr>
          <w:rFonts w:hint="eastAsia" w:ascii="仿宋" w:hAnsi="仿宋" w:eastAsia="仿宋" w:cs="仿宋"/>
          <w:b/>
          <w:sz w:val="24"/>
          <w:szCs w:val="22"/>
        </w:rPr>
      </w:pPr>
      <w:bookmarkStart w:id="472" w:name="_Toc7005128"/>
      <w:r>
        <w:rPr>
          <w:rFonts w:hint="eastAsia" w:ascii="仿宋" w:hAnsi="仿宋" w:eastAsia="仿宋" w:cs="仿宋"/>
          <w:b/>
          <w:sz w:val="24"/>
          <w:szCs w:val="22"/>
          <w:lang w:val="en-US" w:eastAsia="zh-CN"/>
        </w:rPr>
        <w:t xml:space="preserve">6-8  </w:t>
      </w:r>
      <w:r>
        <w:rPr>
          <w:rFonts w:hint="eastAsia" w:ascii="仿宋" w:hAnsi="仿宋" w:eastAsia="仿宋" w:cs="仿宋"/>
          <w:b/>
          <w:sz w:val="24"/>
          <w:szCs w:val="22"/>
        </w:rPr>
        <w:t>供应商是否属于为本项目提供整体设计、规范编制或者项目管理、监理、检测等服务的供应商声明</w:t>
      </w:r>
      <w:bookmarkEnd w:id="472"/>
    </w:p>
    <w:p>
      <w:pPr>
        <w:ind w:firstLine="420"/>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lang w:val="en-US" w:eastAsia="zh-CN"/>
        </w:rPr>
        <w:t>盖</w:t>
      </w:r>
      <w:r>
        <w:rPr>
          <w:rFonts w:hint="eastAsia" w:ascii="仿宋" w:hAnsi="仿宋" w:eastAsia="仿宋" w:cs="仿宋"/>
          <w:sz w:val="24"/>
        </w:rPr>
        <w:t xml:space="preserve">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sz w:val="24"/>
        </w:rPr>
      </w:pPr>
    </w:p>
    <w:p>
      <w:pPr>
        <w:spacing w:after="120"/>
        <w:rPr>
          <w:rFonts w:hint="eastAsia" w:ascii="仿宋" w:hAnsi="仿宋" w:eastAsia="仿宋" w:cs="仿宋"/>
          <w:b/>
          <w:sz w:val="24"/>
        </w:rPr>
      </w:pPr>
      <w:bookmarkStart w:id="473" w:name="_Toc7005129"/>
      <w:r>
        <w:rPr>
          <w:rFonts w:hint="eastAsia" w:ascii="仿宋" w:hAnsi="仿宋" w:eastAsia="仿宋" w:cs="仿宋"/>
          <w:b/>
          <w:sz w:val="24"/>
        </w:rPr>
        <w:t>6-9</w:t>
      </w:r>
      <w:r>
        <w:rPr>
          <w:rFonts w:hint="eastAsia" w:ascii="仿宋" w:hAnsi="仿宋" w:eastAsia="仿宋" w:cs="仿宋"/>
          <w:b/>
          <w:sz w:val="24"/>
          <w:lang w:val="en-US" w:eastAsia="zh-CN"/>
        </w:rPr>
        <w:t xml:space="preserve">  </w:t>
      </w:r>
      <w:r>
        <w:rPr>
          <w:rFonts w:hint="eastAsia" w:ascii="仿宋" w:hAnsi="仿宋" w:eastAsia="仿宋" w:cs="仿宋"/>
          <w:b/>
          <w:sz w:val="24"/>
        </w:rPr>
        <w:t>证明供应商符合特定资格条件的证明材料</w:t>
      </w:r>
      <w:bookmarkEnd w:id="473"/>
      <w:r>
        <w:rPr>
          <w:rFonts w:hint="eastAsia" w:ascii="仿宋" w:hAnsi="仿宋" w:eastAsia="仿宋" w:cs="仿宋"/>
          <w:b/>
          <w:sz w:val="24"/>
        </w:rPr>
        <w:t>：</w:t>
      </w:r>
    </w:p>
    <w:p>
      <w:pPr>
        <w:pStyle w:val="2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在“信用中国”网站（www.creditchina.gov.cn）和中国政府采购网（www.ccgp.gov.cn）上未被列入失信被执行人、重大税收违法失信主体、政府采购严重违法失信行为记录名单（提供网站截图）</w:t>
      </w:r>
    </w:p>
    <w:p>
      <w:pPr>
        <w:rPr>
          <w:rFonts w:hint="default" w:eastAsia="仿宋"/>
          <w:lang w:val="en-US" w:eastAsia="zh-CN"/>
        </w:rPr>
      </w:pPr>
      <w:r>
        <w:rPr>
          <w:rFonts w:hint="eastAsia" w:eastAsia="仿宋"/>
          <w:lang w:val="en-US" w:eastAsia="zh-CN"/>
        </w:rPr>
        <w:t>2.供应商须提供有效的中华人民共和国自然资源部颁发的地质灾害防治危险性单位（甲级）资质或省级人民政府自然资源主管部门颁发的地质灾害防治单位甲级资质；且具备有效的安全生产许可证。</w:t>
      </w:r>
    </w:p>
    <w:p>
      <w:pPr>
        <w:pStyle w:val="22"/>
        <w:rPr>
          <w:rFonts w:hint="eastAsia" w:ascii="仿宋" w:hAnsi="仿宋" w:eastAsia="仿宋" w:cs="仿宋"/>
        </w:rPr>
      </w:pPr>
      <w:r>
        <w:rPr>
          <w:rFonts w:hint="eastAsia" w:ascii="仿宋" w:hAnsi="仿宋" w:eastAsia="仿宋" w:cs="仿宋"/>
        </w:rPr>
        <w:br w:type="page"/>
      </w:r>
    </w:p>
    <w:p>
      <w:pPr>
        <w:spacing w:after="120"/>
        <w:rPr>
          <w:rFonts w:hint="eastAsia" w:ascii="仿宋" w:hAnsi="仿宋" w:eastAsia="仿宋" w:cs="仿宋"/>
        </w:rPr>
      </w:pPr>
    </w:p>
    <w:p>
      <w:pPr>
        <w:pStyle w:val="197"/>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采购项目编号：SCZK2023-CS-1216/004</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autoSpaceDE w:val="0"/>
        <w:autoSpaceDN w:val="0"/>
        <w:adjustRightInd w:val="0"/>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神木市能源局煤矿采空区大面积悬顶治理地质勘察设计服务项目</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autoSpaceDE w:val="0"/>
        <w:autoSpaceDN w:val="0"/>
        <w:adjustRightInd w:val="0"/>
        <w:snapToGrid w:val="0"/>
        <w:spacing w:line="360" w:lineRule="auto"/>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r>
        <w:rPr>
          <w:rStyle w:val="96"/>
          <w:rFonts w:hint="eastAsia" w:ascii="仿宋" w:hAnsi="仿宋" w:eastAsia="仿宋" w:cs="仿宋"/>
        </w:rPr>
        <w:t>商务及技术文件</w:t>
      </w:r>
      <w:r>
        <w:rPr>
          <w:rFonts w:hint="eastAsia" w:ascii="仿宋" w:hAnsi="仿宋" w:eastAsia="仿宋" w:cs="仿宋"/>
          <w:b/>
          <w:bCs/>
          <w:sz w:val="32"/>
          <w:szCs w:val="32"/>
          <w:lang w:val="zh-CN"/>
        </w:rPr>
        <w:t>）</w:t>
      </w: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zh-CN"/>
        </w:rPr>
        <w:t>包  号：</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hint="eastAsia" w:ascii="仿宋" w:hAnsi="仿宋" w:eastAsia="仿宋" w:cs="仿宋"/>
          <w:b/>
          <w:bCs/>
          <w:sz w:val="32"/>
          <w:szCs w:val="32"/>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pPr>
        <w:pStyle w:val="22"/>
        <w:rPr>
          <w:rFonts w:hint="eastAsia" w:ascii="仿宋" w:hAnsi="仿宋" w:eastAsia="仿宋" w:cs="仿宋"/>
        </w:rPr>
      </w:pPr>
      <w:r>
        <w:rPr>
          <w:rFonts w:hint="eastAsia" w:ascii="仿宋" w:hAnsi="仿宋" w:eastAsia="仿宋" w:cs="仿宋"/>
        </w:rPr>
        <w:br w:type="page"/>
      </w: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p>
    <w:p>
      <w:pPr>
        <w:pStyle w:val="22"/>
        <w:rPr>
          <w:rFonts w:hint="eastAsia" w:ascii="仿宋" w:hAnsi="仿宋" w:eastAsia="仿宋" w:cs="仿宋"/>
        </w:rPr>
      </w:pPr>
    </w:p>
    <w:p>
      <w:pPr>
        <w:pStyle w:val="3"/>
        <w:jc w:val="center"/>
        <w:rPr>
          <w:rFonts w:hint="eastAsia" w:ascii="仿宋" w:hAnsi="仿宋" w:eastAsia="仿宋" w:cs="仿宋"/>
          <w:b/>
          <w:bCs/>
          <w:lang w:val="zh-CN"/>
        </w:rPr>
      </w:pPr>
      <w:r>
        <w:rPr>
          <w:rFonts w:hint="eastAsia" w:ascii="仿宋" w:hAnsi="仿宋" w:eastAsia="仿宋" w:cs="仿宋"/>
          <w:b/>
          <w:bCs/>
          <w:lang w:val="zh-CN"/>
        </w:rPr>
        <w:t>目  录</w:t>
      </w:r>
    </w:p>
    <w:p>
      <w:pPr>
        <w:spacing w:after="120"/>
        <w:ind w:firstLine="315" w:firstLineChars="150"/>
        <w:rPr>
          <w:rFonts w:hint="eastAsia" w:ascii="仿宋" w:hAnsi="仿宋" w:eastAsia="仿宋" w:cs="仿宋"/>
        </w:rPr>
      </w:pP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第一部分  磋商响应函</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第二部分  磋商响应报价表 </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第三部分  偏离表</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第四部分  响应方案说明</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第五部分  </w:t>
      </w:r>
      <w:r>
        <w:rPr>
          <w:rFonts w:hint="eastAsia" w:ascii="仿宋" w:hAnsi="仿宋" w:eastAsia="仿宋" w:cs="仿宋"/>
          <w:sz w:val="24"/>
          <w:lang w:val="en-US" w:eastAsia="zh-CN"/>
        </w:rPr>
        <w:t>中小</w:t>
      </w:r>
      <w:r>
        <w:rPr>
          <w:rFonts w:hint="eastAsia" w:ascii="仿宋" w:hAnsi="仿宋" w:eastAsia="仿宋" w:cs="仿宋"/>
          <w:sz w:val="24"/>
        </w:rPr>
        <w:t>企业、监狱企业、残疾人福利单位声明函或证明</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第六部分  保证金支付凭证或担保函（复印件）</w:t>
      </w:r>
    </w:p>
    <w:p>
      <w:pPr>
        <w:pStyle w:val="22"/>
        <w:spacing w:line="480" w:lineRule="auto"/>
        <w:ind w:firstLine="480"/>
        <w:rPr>
          <w:rFonts w:hint="eastAsia" w:ascii="仿宋" w:hAnsi="仿宋" w:eastAsia="仿宋" w:cs="仿宋"/>
          <w:sz w:val="24"/>
        </w:rPr>
      </w:pPr>
    </w:p>
    <w:p>
      <w:pPr>
        <w:pStyle w:val="22"/>
        <w:ind w:firstLine="480"/>
        <w:rPr>
          <w:rFonts w:hint="eastAsia" w:ascii="仿宋" w:hAnsi="仿宋" w:eastAsia="仿宋" w:cs="仿宋"/>
          <w:sz w:val="24"/>
        </w:rPr>
      </w:pPr>
    </w:p>
    <w:p>
      <w:pPr>
        <w:widowControl/>
        <w:jc w:val="left"/>
        <w:rPr>
          <w:rFonts w:hint="eastAsia" w:ascii="仿宋" w:hAnsi="仿宋" w:eastAsia="仿宋" w:cs="仿宋"/>
        </w:rPr>
      </w:pPr>
      <w:r>
        <w:rPr>
          <w:rFonts w:hint="eastAsia" w:ascii="仿宋" w:hAnsi="仿宋" w:eastAsia="仿宋" w:cs="仿宋"/>
        </w:rPr>
        <w:br w:type="page"/>
      </w:r>
    </w:p>
    <w:p>
      <w:pPr>
        <w:pStyle w:val="3"/>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pPr>
        <w:autoSpaceDE w:val="0"/>
        <w:autoSpaceDN w:val="0"/>
        <w:adjustRightInd w:val="0"/>
        <w:snapToGrid w:val="0"/>
        <w:spacing w:line="312" w:lineRule="auto"/>
        <w:rPr>
          <w:rFonts w:hint="eastAsia" w:ascii="仿宋" w:hAnsi="仿宋" w:eastAsia="仿宋" w:cs="仿宋"/>
          <w:b/>
          <w:bCs/>
          <w:sz w:val="24"/>
          <w:lang w:val="zh-CN"/>
        </w:rPr>
      </w:pPr>
    </w:p>
    <w:p>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陕西省采购招标有限责任公司：</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我单位收到贵公司</w:t>
      </w:r>
      <w:r>
        <w:rPr>
          <w:rFonts w:hint="eastAsia" w:ascii="仿宋" w:hAnsi="仿宋" w:eastAsia="仿宋" w:cs="仿宋"/>
          <w:sz w:val="24"/>
          <w:u w:val="single"/>
          <w:lang w:val="zh-CN"/>
        </w:rPr>
        <w:t>（项目名称）</w:t>
      </w:r>
      <w:r>
        <w:rPr>
          <w:rFonts w:hint="eastAsia" w:ascii="仿宋" w:hAnsi="仿宋" w:eastAsia="仿宋" w:cs="仿宋"/>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、按竞争性磋商文件的规定，我公司的首次磋商响应报价为人民币（大写）：</w:t>
      </w: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 xml:space="preserve">        </w:t>
      </w:r>
      <w:r>
        <w:rPr>
          <w:rFonts w:hint="eastAsia" w:ascii="仿宋" w:hAnsi="仿宋" w:eastAsia="仿宋" w:cs="仿宋"/>
          <w:sz w:val="24"/>
          <w:lang w:val="zh-CN"/>
        </w:rPr>
        <w:t>元），并对其后的磋商报价负法律责任。</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、我方提交的响应文件正本一份、副本</w:t>
      </w:r>
      <w:r>
        <w:rPr>
          <w:rFonts w:hint="eastAsia" w:ascii="仿宋" w:hAnsi="仿宋" w:eastAsia="仿宋" w:cs="仿宋"/>
          <w:sz w:val="24"/>
          <w:u w:val="single"/>
          <w:lang w:val="zh-CN"/>
        </w:rPr>
        <w:t xml:space="preserve"> 两 </w:t>
      </w:r>
      <w:r>
        <w:rPr>
          <w:rFonts w:hint="eastAsia" w:ascii="仿宋" w:hAnsi="仿宋" w:eastAsia="仿宋" w:cs="仿宋"/>
          <w:sz w:val="24"/>
          <w:lang w:val="zh-CN"/>
        </w:rPr>
        <w:t>份。</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九、有关于本响应文件的函电，请按下列地址联系。</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pPr>
        <w:pStyle w:val="22"/>
        <w:rPr>
          <w:rFonts w:hint="eastAsia" w:ascii="仿宋" w:hAnsi="仿宋" w:eastAsia="仿宋" w:cs="仿宋"/>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pStyle w:val="22"/>
        <w:rPr>
          <w:rFonts w:hint="eastAsia" w:ascii="仿宋" w:hAnsi="仿宋" w:eastAsia="仿宋" w:cs="仿宋"/>
        </w:rPr>
      </w:pPr>
    </w:p>
    <w:p>
      <w:pPr>
        <w:pStyle w:val="3"/>
        <w:jc w:val="center"/>
        <w:rPr>
          <w:rFonts w:hint="eastAsia" w:ascii="仿宋" w:hAnsi="仿宋" w:eastAsia="仿宋" w:cs="仿宋"/>
          <w:b/>
          <w:bCs/>
          <w:sz w:val="32"/>
          <w:szCs w:val="32"/>
        </w:rPr>
      </w:pPr>
      <w:bookmarkStart w:id="474" w:name="_Hlt520356241"/>
      <w:bookmarkEnd w:id="474"/>
      <w:r>
        <w:rPr>
          <w:rFonts w:hint="eastAsia" w:ascii="仿宋" w:hAnsi="仿宋" w:eastAsia="仿宋" w:cs="仿宋"/>
        </w:rPr>
        <w:br w:type="page"/>
      </w:r>
      <w:bookmarkStart w:id="475" w:name="_Toc415499901"/>
      <w:bookmarkStart w:id="476" w:name="_Toc8496"/>
      <w:bookmarkStart w:id="477" w:name="_Toc232176284"/>
      <w:bookmarkStart w:id="478" w:name="_Toc230099805"/>
      <w:bookmarkStart w:id="479" w:name="_Toc256342154"/>
      <w:bookmarkStart w:id="480" w:name="_Toc232395224"/>
      <w:bookmarkStart w:id="481" w:name="_Toc249525252"/>
      <w:bookmarkStart w:id="482" w:name="_Toc249515371"/>
      <w:bookmarkStart w:id="483" w:name="_Toc230583554"/>
      <w:bookmarkStart w:id="484" w:name="_Toc230013640"/>
      <w:r>
        <w:rPr>
          <w:rFonts w:hint="eastAsia" w:ascii="仿宋" w:hAnsi="仿宋" w:eastAsia="仿宋" w:cs="仿宋"/>
          <w:b/>
          <w:bCs/>
          <w:kern w:val="2"/>
          <w:sz w:val="32"/>
          <w:szCs w:val="32"/>
          <w:lang w:val="zh-CN" w:eastAsia="zh-CN" w:bidi="ar-SA"/>
        </w:rPr>
        <w:t>第二部分  磋商响应报价表</w:t>
      </w:r>
    </w:p>
    <w:p>
      <w:pPr>
        <w:autoSpaceDE w:val="0"/>
        <w:autoSpaceDN w:val="0"/>
        <w:adjustRightInd w:val="0"/>
        <w:snapToGrid w:val="0"/>
        <w:spacing w:line="360" w:lineRule="auto"/>
        <w:jc w:val="center"/>
        <w:rPr>
          <w:rFonts w:hint="eastAsia" w:ascii="仿宋" w:hAnsi="仿宋" w:eastAsia="仿宋" w:cs="仿宋"/>
          <w:b/>
          <w:bCs/>
          <w:sz w:val="32"/>
          <w:szCs w:val="32"/>
        </w:rPr>
      </w:pP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w:t>
      </w:r>
      <w:r>
        <w:rPr>
          <w:rFonts w:hint="eastAsia" w:ascii="仿宋" w:hAnsi="仿宋" w:eastAsia="仿宋" w:cs="仿宋"/>
          <w:b/>
          <w:bCs/>
          <w:sz w:val="28"/>
          <w:szCs w:val="36"/>
          <w:lang w:val="en-US" w:eastAsia="zh-CN"/>
        </w:rPr>
        <w:t>一览</w:t>
      </w:r>
      <w:r>
        <w:rPr>
          <w:rFonts w:hint="eastAsia" w:ascii="仿宋" w:hAnsi="仿宋" w:eastAsia="仿宋" w:cs="仿宋"/>
          <w:b/>
          <w:bCs/>
          <w:sz w:val="28"/>
          <w:szCs w:val="36"/>
          <w:lang w:val="zh-CN"/>
        </w:rPr>
        <w:t>表</w:t>
      </w:r>
    </w:p>
    <w:p>
      <w:pPr>
        <w:autoSpaceDE w:val="0"/>
        <w:autoSpaceDN w:val="0"/>
        <w:adjustRightInd w:val="0"/>
        <w:snapToGrid w:val="0"/>
        <w:spacing w:line="360" w:lineRule="auto"/>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22"/>
              <w:rPr>
                <w:rFonts w:hint="eastAsia" w:ascii="仿宋" w:hAnsi="仿宋" w:eastAsia="仿宋" w:cs="仿宋"/>
                <w:sz w:val="24"/>
                <w:u w:val="single"/>
              </w:rPr>
            </w:pPr>
            <w:r>
              <w:rPr>
                <w:rFonts w:hint="eastAsia" w:ascii="仿宋" w:hAnsi="仿宋" w:eastAsia="仿宋" w:cs="仿宋"/>
                <w:sz w:val="24"/>
              </w:rPr>
              <w:t xml:space="preserve">包号：（如有）          </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pPr>
              <w:pStyle w:val="22"/>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整（小写：¥</w:t>
            </w:r>
            <w:r>
              <w:rPr>
                <w:rFonts w:hint="eastAsia" w:ascii="仿宋" w:hAnsi="仿宋" w:eastAsia="仿宋" w:cs="仿宋"/>
                <w:sz w:val="24"/>
                <w:u w:val="single"/>
              </w:rPr>
              <w:t xml:space="preserve">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lang w:eastAsia="zh-CN"/>
              </w:rPr>
              <w:t>服务</w:t>
            </w:r>
            <w:r>
              <w:rPr>
                <w:rFonts w:hint="eastAsia" w:ascii="仿宋" w:hAnsi="仿宋" w:eastAsia="仿宋" w:cs="仿宋"/>
                <w:b/>
                <w:sz w:val="24"/>
              </w:rPr>
              <w:t>期</w:t>
            </w:r>
          </w:p>
        </w:tc>
        <w:tc>
          <w:tcPr>
            <w:tcW w:w="6697" w:type="dxa"/>
            <w:vAlign w:val="center"/>
          </w:tcPr>
          <w:p>
            <w:pPr>
              <w:pStyle w:val="22"/>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lang w:eastAsia="zh-CN"/>
              </w:rPr>
              <w:t>服务</w:t>
            </w:r>
            <w:r>
              <w:rPr>
                <w:rFonts w:hint="eastAsia" w:ascii="仿宋" w:hAnsi="仿宋" w:eastAsia="仿宋" w:cs="仿宋"/>
                <w:b/>
                <w:sz w:val="24"/>
              </w:rPr>
              <w:t>地点</w:t>
            </w:r>
          </w:p>
        </w:tc>
        <w:tc>
          <w:tcPr>
            <w:tcW w:w="6697" w:type="dxa"/>
            <w:vAlign w:val="center"/>
          </w:tcPr>
          <w:p>
            <w:pPr>
              <w:pStyle w:val="22"/>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pPr>
              <w:pStyle w:val="22"/>
              <w:rPr>
                <w:rFonts w:hint="eastAsia" w:ascii="仿宋" w:hAnsi="仿宋" w:eastAsia="仿宋" w:cs="仿宋"/>
                <w:sz w:val="24"/>
              </w:rPr>
            </w:pPr>
          </w:p>
        </w:tc>
      </w:tr>
    </w:tbl>
    <w:p>
      <w:pPr>
        <w:pStyle w:val="22"/>
        <w:rPr>
          <w:rFonts w:hint="eastAsia" w:ascii="仿宋" w:hAnsi="仿宋" w:eastAsia="仿宋" w:cs="仿宋"/>
          <w:lang w:val="zh-CN"/>
        </w:rPr>
      </w:pPr>
    </w:p>
    <w:p>
      <w:pPr>
        <w:autoSpaceDE w:val="0"/>
        <w:autoSpaceDN w:val="0"/>
        <w:adjustRightInd w:val="0"/>
        <w:snapToGrid w:val="0"/>
        <w:spacing w:line="360" w:lineRule="auto"/>
        <w:ind w:firstLine="960" w:firstLineChars="400"/>
        <w:rPr>
          <w:rFonts w:hint="eastAsia" w:ascii="仿宋" w:hAnsi="仿宋" w:eastAsia="仿宋" w:cs="仿宋"/>
          <w:sz w:val="24"/>
          <w:lang w:val="zh-CN"/>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adjustRightInd w:val="0"/>
        <w:snapToGrid w:val="0"/>
        <w:spacing w:line="360" w:lineRule="auto"/>
        <w:jc w:val="center"/>
        <w:rPr>
          <w:rFonts w:hint="eastAsia" w:ascii="仿宋" w:hAnsi="仿宋" w:eastAsia="仿宋" w:cs="仿宋"/>
          <w:b/>
          <w:sz w:val="42"/>
        </w:rPr>
      </w:pPr>
    </w:p>
    <w:p>
      <w:pPr>
        <w:adjustRightInd w:val="0"/>
        <w:snapToGrid w:val="0"/>
        <w:spacing w:line="360" w:lineRule="auto"/>
        <w:jc w:val="center"/>
        <w:rPr>
          <w:rFonts w:hint="eastAsia" w:ascii="仿宋" w:hAnsi="仿宋" w:eastAsia="仿宋" w:cs="仿宋"/>
          <w:b/>
          <w:sz w:val="42"/>
        </w:rPr>
        <w:sectPr>
          <w:footerReference r:id="rId7"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（首次）</w:t>
      </w:r>
      <w:r>
        <w:rPr>
          <w:rFonts w:hint="eastAsia" w:ascii="仿宋" w:hAnsi="仿宋" w:eastAsia="仿宋" w:cs="仿宋"/>
          <w:b/>
          <w:bCs/>
          <w:sz w:val="28"/>
          <w:szCs w:val="36"/>
          <w:lang w:val="en-US" w:eastAsia="zh-CN"/>
        </w:rPr>
        <w:t>响应</w:t>
      </w:r>
      <w:r>
        <w:rPr>
          <w:rFonts w:hint="eastAsia" w:ascii="仿宋" w:hAnsi="仿宋" w:eastAsia="仿宋" w:cs="仿宋"/>
          <w:b/>
          <w:bCs/>
          <w:sz w:val="28"/>
          <w:szCs w:val="36"/>
        </w:rPr>
        <w:t>分项报价表</w:t>
      </w:r>
    </w:p>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rPr>
          <w:rFonts w:hint="eastAsia" w:ascii="仿宋" w:hAnsi="仿宋" w:eastAsia="仿宋" w:cs="仿宋"/>
          <w:sz w:val="24"/>
        </w:rPr>
      </w:pPr>
      <w:r>
        <w:rPr>
          <w:rFonts w:hint="eastAsia" w:ascii="仿宋" w:hAnsi="仿宋" w:eastAsia="仿宋" w:cs="仿宋"/>
          <w:sz w:val="24"/>
        </w:rPr>
        <w:t>项目名称：</w:t>
      </w:r>
    </w:p>
    <w:p>
      <w:pPr>
        <w:pStyle w:val="22"/>
        <w:rPr>
          <w:rFonts w:hint="eastAsia"/>
        </w:rPr>
      </w:pPr>
    </w:p>
    <w:tbl>
      <w:tblPr>
        <w:tblStyle w:val="50"/>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789"/>
        <w:gridCol w:w="1277"/>
        <w:gridCol w:w="1642"/>
        <w:gridCol w:w="145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0"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789" w:type="dxa"/>
            <w:noWrap w:val="0"/>
            <w:vAlign w:val="center"/>
          </w:tcPr>
          <w:p>
            <w:pPr>
              <w:adjustRightInd w:val="0"/>
              <w:snapToGrid w:val="0"/>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服务内容</w:t>
            </w:r>
          </w:p>
        </w:tc>
        <w:tc>
          <w:tcPr>
            <w:tcW w:w="1277"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数量</w:t>
            </w:r>
          </w:p>
        </w:tc>
        <w:tc>
          <w:tcPr>
            <w:tcW w:w="1642"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单价（元）</w:t>
            </w:r>
          </w:p>
        </w:tc>
        <w:tc>
          <w:tcPr>
            <w:tcW w:w="1459"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小计（元）</w:t>
            </w:r>
          </w:p>
        </w:tc>
        <w:tc>
          <w:tcPr>
            <w:tcW w:w="911" w:type="dxa"/>
            <w:noWrap w:val="0"/>
            <w:vAlign w:val="center"/>
          </w:tcPr>
          <w:p>
            <w:pPr>
              <w:adjustRightInd w:val="0"/>
              <w:snapToGrid w:val="0"/>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4</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5</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bl>
    <w:p>
      <w:pPr>
        <w:spacing w:line="360" w:lineRule="auto"/>
        <w:ind w:firstLine="1920" w:firstLineChars="800"/>
        <w:rPr>
          <w:rFonts w:hint="eastAsia" w:ascii="仿宋" w:hAnsi="仿宋" w:eastAsia="仿宋" w:cs="仿宋"/>
          <w:sz w:val="24"/>
          <w:lang w:val="en-US" w:eastAsia="zh-CN"/>
        </w:rPr>
      </w:pPr>
    </w:p>
    <w:p>
      <w:pPr>
        <w:spacing w:line="360" w:lineRule="auto"/>
        <w:ind w:firstLine="1920" w:firstLineChars="800"/>
        <w:rPr>
          <w:rFonts w:hint="eastAsia" w:ascii="仿宋" w:hAnsi="仿宋" w:eastAsia="仿宋" w:cs="仿宋"/>
          <w:sz w:val="24"/>
          <w:lang w:val="en-US" w:eastAsia="zh-CN"/>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adjustRightInd w:val="0"/>
        <w:snapToGrid w:val="0"/>
        <w:spacing w:line="360" w:lineRule="auto"/>
        <w:jc w:val="center"/>
        <w:rPr>
          <w:rFonts w:hint="eastAsia" w:ascii="仿宋" w:hAnsi="仿宋" w:eastAsia="仿宋" w:cs="仿宋"/>
          <w:b/>
          <w:sz w:val="42"/>
        </w:rPr>
      </w:pP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75"/>
    <w:bookmarkEnd w:id="476"/>
    <w:bookmarkEnd w:id="477"/>
    <w:bookmarkEnd w:id="478"/>
    <w:bookmarkEnd w:id="479"/>
    <w:bookmarkEnd w:id="480"/>
    <w:bookmarkEnd w:id="481"/>
    <w:bookmarkEnd w:id="482"/>
    <w:bookmarkEnd w:id="483"/>
    <w:bookmarkEnd w:id="484"/>
    <w:p>
      <w:pPr>
        <w:pStyle w:val="3"/>
        <w:jc w:val="center"/>
        <w:rPr>
          <w:rFonts w:hint="eastAsia" w:ascii="仿宋" w:hAnsi="仿宋" w:eastAsia="仿宋" w:cs="仿宋"/>
          <w:b/>
          <w:bCs/>
        </w:rPr>
      </w:pPr>
      <w:bookmarkStart w:id="485" w:name="_Toc500747107"/>
      <w:bookmarkStart w:id="486" w:name="_Toc176882553"/>
      <w:bookmarkStart w:id="487" w:name="_Toc53722866"/>
      <w:bookmarkStart w:id="488" w:name="_Toc500747011"/>
      <w:bookmarkStart w:id="489" w:name="_Toc249515372"/>
      <w:bookmarkStart w:id="490" w:name="_Toc492955460"/>
      <w:bookmarkStart w:id="491" w:name="_Toc225933091"/>
      <w:bookmarkStart w:id="492" w:name="_Toc499711929"/>
      <w:bookmarkStart w:id="493" w:name="_Toc385992402"/>
      <w:bookmarkStart w:id="494" w:name="_Toc177817345"/>
      <w:bookmarkStart w:id="495" w:name="_Toc503063459"/>
      <w:bookmarkStart w:id="496" w:name="_Toc500747234"/>
      <w:bookmarkStart w:id="497" w:name="_Toc230099806"/>
      <w:bookmarkStart w:id="498" w:name="_Toc249525253"/>
      <w:bookmarkStart w:id="499" w:name="_Toc230013641"/>
      <w:bookmarkStart w:id="500" w:name="_Toc232395225"/>
      <w:bookmarkStart w:id="501" w:name="_Toc389620242"/>
      <w:bookmarkStart w:id="502" w:name="_Toc70687203"/>
      <w:bookmarkStart w:id="503" w:name="_Toc230583555"/>
      <w:bookmarkStart w:id="504" w:name="_Toc415499902"/>
      <w:bookmarkStart w:id="505" w:name="_Toc177189246"/>
      <w:bookmarkStart w:id="506" w:name="_Toc232176285"/>
      <w:bookmarkStart w:id="507" w:name="_Toc499711088"/>
      <w:bookmarkStart w:id="508" w:name="_Toc83547687"/>
      <w:bookmarkStart w:id="509" w:name="_Toc256342155"/>
      <w:bookmarkStart w:id="510" w:name="_Toc184043059"/>
      <w:bookmarkStart w:id="511" w:name="_Toc496324624"/>
      <w:bookmarkStart w:id="512" w:name="_Toc177995484"/>
    </w:p>
    <w:p>
      <w:pPr>
        <w:pStyle w:val="3"/>
        <w:jc w:val="center"/>
        <w:rPr>
          <w:rFonts w:hint="eastAsia" w:ascii="仿宋" w:hAnsi="仿宋" w:eastAsia="仿宋" w:cs="仿宋"/>
          <w:b/>
          <w:bCs/>
        </w:rPr>
      </w:pPr>
    </w:p>
    <w:p>
      <w:pPr>
        <w:pStyle w:val="3"/>
        <w:jc w:val="center"/>
        <w:rPr>
          <w:rFonts w:hint="eastAsia" w:ascii="仿宋" w:hAnsi="仿宋" w:eastAsia="仿宋" w:cs="仿宋"/>
          <w:b/>
          <w:bCs/>
        </w:rPr>
      </w:pPr>
      <w:r>
        <w:rPr>
          <w:rFonts w:hint="eastAsia" w:ascii="仿宋" w:hAnsi="仿宋" w:eastAsia="仿宋" w:cs="仿宋"/>
          <w:b/>
          <w:bCs/>
        </w:rPr>
        <w:t>第三部分  偏离表</w:t>
      </w:r>
    </w:p>
    <w:p>
      <w:pPr>
        <w:rPr>
          <w:rFonts w:hint="eastAsia" w:ascii="仿宋" w:hAnsi="仿宋" w:eastAsia="仿宋" w:cs="仿宋"/>
        </w:rPr>
      </w:pP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一、商务、合同条款偏离表</w:t>
      </w:r>
    </w:p>
    <w:p>
      <w:pPr>
        <w:pStyle w:val="22"/>
        <w:rPr>
          <w:rFonts w:hint="eastAsia" w:ascii="仿宋" w:hAnsi="仿宋" w:eastAsia="仿宋" w:cs="仿宋"/>
          <w:sz w:val="24"/>
        </w:rPr>
      </w:pPr>
      <w:r>
        <w:rPr>
          <w:rFonts w:hint="eastAsia" w:ascii="仿宋" w:hAnsi="仿宋" w:eastAsia="仿宋" w:cs="仿宋"/>
          <w:sz w:val="24"/>
        </w:rPr>
        <w:t>项目编号：</w:t>
      </w:r>
    </w:p>
    <w:p>
      <w:pPr>
        <w:pStyle w:val="22"/>
        <w:rPr>
          <w:rFonts w:hint="eastAsia" w:ascii="仿宋" w:hAnsi="仿宋" w:eastAsia="仿宋" w:cs="仿宋"/>
          <w:sz w:val="24"/>
        </w:rPr>
      </w:pPr>
      <w:r>
        <w:rPr>
          <w:rFonts w:hint="eastAsia" w:ascii="仿宋" w:hAnsi="仿宋" w:eastAsia="仿宋" w:cs="仿宋"/>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35"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磋商文件商务、合同条款</w:t>
            </w:r>
          </w:p>
        </w:tc>
        <w:tc>
          <w:tcPr>
            <w:tcW w:w="1701"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完全响应</w:t>
            </w:r>
          </w:p>
        </w:tc>
        <w:tc>
          <w:tcPr>
            <w:tcW w:w="1417"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有偏离</w:t>
            </w:r>
          </w:p>
        </w:tc>
        <w:tc>
          <w:tcPr>
            <w:tcW w:w="2195"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hint="eastAsia" w:ascii="仿宋" w:hAnsi="仿宋" w:eastAsia="仿宋" w:cs="仿宋"/>
                <w:sz w:val="24"/>
                <w:szCs w:val="24"/>
              </w:rPr>
            </w:pPr>
          </w:p>
        </w:tc>
        <w:tc>
          <w:tcPr>
            <w:tcW w:w="2835" w:type="dxa"/>
          </w:tcPr>
          <w:p>
            <w:pPr>
              <w:pStyle w:val="2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sz w:val="24"/>
                <w:szCs w:val="24"/>
                <w:lang w:eastAsia="zh-CN"/>
              </w:rPr>
              <w:t>）</w:t>
            </w:r>
          </w:p>
        </w:tc>
        <w:tc>
          <w:tcPr>
            <w:tcW w:w="1701" w:type="dxa"/>
          </w:tcPr>
          <w:p>
            <w:pPr>
              <w:pStyle w:val="28"/>
              <w:jc w:val="center"/>
              <w:rPr>
                <w:rFonts w:hint="eastAsia" w:ascii="仿宋" w:hAnsi="仿宋" w:eastAsia="仿宋" w:cs="仿宋"/>
                <w:sz w:val="24"/>
                <w:szCs w:val="24"/>
              </w:rPr>
            </w:pPr>
          </w:p>
        </w:tc>
        <w:tc>
          <w:tcPr>
            <w:tcW w:w="1417" w:type="dxa"/>
          </w:tcPr>
          <w:p>
            <w:pPr>
              <w:pStyle w:val="28"/>
              <w:jc w:val="center"/>
              <w:rPr>
                <w:rFonts w:hint="eastAsia" w:ascii="仿宋" w:hAnsi="仿宋" w:eastAsia="仿宋" w:cs="仿宋"/>
                <w:sz w:val="24"/>
                <w:szCs w:val="24"/>
              </w:rPr>
            </w:pPr>
          </w:p>
        </w:tc>
        <w:tc>
          <w:tcPr>
            <w:tcW w:w="2195" w:type="dxa"/>
          </w:tcPr>
          <w:p>
            <w:pPr>
              <w:pStyle w:val="28"/>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lang w:eastAsia="zh-CN"/>
              </w:rPr>
            </w:pPr>
            <w:r>
              <w:rPr>
                <w:rFonts w:hint="eastAsia" w:ascii="仿宋" w:hAnsi="仿宋" w:eastAsia="仿宋" w:cs="仿宋"/>
                <w:bCs/>
                <w:sz w:val="24"/>
                <w:lang w:eastAsia="zh-CN"/>
              </w:rPr>
              <w:t>（服务</w:t>
            </w:r>
            <w:r>
              <w:rPr>
                <w:rFonts w:hint="eastAsia" w:ascii="仿宋" w:hAnsi="仿宋" w:eastAsia="仿宋" w:cs="仿宋"/>
                <w:bCs/>
                <w:sz w:val="24"/>
              </w:rPr>
              <w:t>期</w:t>
            </w:r>
            <w:r>
              <w:rPr>
                <w:rFonts w:hint="eastAsia" w:ascii="仿宋" w:hAnsi="仿宋" w:eastAsia="仿宋" w:cs="仿宋"/>
                <w:bCs/>
                <w:sz w:val="24"/>
                <w:lang w:eastAsia="zh-CN"/>
              </w:rPr>
              <w:t>）</w:t>
            </w:r>
          </w:p>
        </w:tc>
        <w:tc>
          <w:tcPr>
            <w:tcW w:w="1701" w:type="dxa"/>
          </w:tcPr>
          <w:p>
            <w:pPr>
              <w:pStyle w:val="28"/>
              <w:ind w:left="1080" w:leftChars="257" w:hanging="540"/>
              <w:jc w:val="center"/>
              <w:rPr>
                <w:rFonts w:hint="eastAsia" w:ascii="仿宋" w:hAnsi="仿宋" w:eastAsia="仿宋" w:cs="仿宋"/>
                <w:sz w:val="24"/>
                <w:szCs w:val="24"/>
              </w:rPr>
            </w:pPr>
          </w:p>
        </w:tc>
        <w:tc>
          <w:tcPr>
            <w:tcW w:w="1417" w:type="dxa"/>
          </w:tcPr>
          <w:p>
            <w:pPr>
              <w:pStyle w:val="28"/>
              <w:ind w:left="1080" w:leftChars="257" w:hanging="540"/>
              <w:jc w:val="center"/>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rPr>
              <w:t>付款方式</w:t>
            </w:r>
            <w:r>
              <w:rPr>
                <w:rFonts w:hint="eastAsia" w:ascii="仿宋" w:hAnsi="仿宋" w:eastAsia="仿宋" w:cs="仿宋"/>
                <w:bCs/>
                <w:sz w:val="24"/>
                <w:lang w:eastAsia="zh-CN"/>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质保金</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rPr>
              <w:t>质保期</w:t>
            </w:r>
            <w:r>
              <w:rPr>
                <w:rFonts w:hint="eastAsia" w:ascii="仿宋" w:hAnsi="仿宋" w:eastAsia="仿宋" w:cs="仿宋"/>
                <w:bCs/>
                <w:sz w:val="24"/>
                <w:lang w:eastAsia="zh-CN"/>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r>
              <w:rPr>
                <w:rFonts w:hint="eastAsia" w:ascii="仿宋" w:hAnsi="仿宋" w:eastAsia="仿宋" w:cs="仿宋"/>
                <w:sz w:val="24"/>
              </w:rPr>
              <w:t>….</w:t>
            </w: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bl>
    <w:p>
      <w:pPr>
        <w:pStyle w:val="28"/>
        <w:ind w:left="1080" w:leftChars="257" w:hanging="540"/>
        <w:rPr>
          <w:rFonts w:hint="eastAsia" w:ascii="仿宋" w:hAnsi="仿宋" w:eastAsia="仿宋" w:cs="仿宋"/>
          <w:sz w:val="24"/>
          <w:szCs w:val="24"/>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sz w:val="21"/>
          <w:szCs w:val="21"/>
        </w:rPr>
        <w:t>注：</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lang w:val="en-US" w:eastAsia="zh-CN"/>
        </w:rPr>
        <w:t xml:space="preserve">. </w:t>
      </w:r>
      <w:r>
        <w:rPr>
          <w:rFonts w:hint="eastAsia" w:ascii="仿宋" w:hAnsi="仿宋" w:eastAsia="仿宋" w:cs="仿宋"/>
        </w:rPr>
        <w:t>对完全响应的，在下表相应列中标注“○”。对有偏离的条目在本表相应列中标注“正偏离”或“负偏离”，并在“偏离简述”栏中加以说明。</w:t>
      </w:r>
    </w:p>
    <w:p>
      <w:pPr>
        <w:snapToGrid w:val="0"/>
        <w:spacing w:after="120" w:afterLines="50"/>
        <w:ind w:left="842" w:leftChars="401"/>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rPr>
        <w:t>正偏离是指应答的条件高于磋商文件要求，负偏离是指应答的条件低于磋商文件要求，正偏离项目不作扣分处理。</w:t>
      </w:r>
    </w:p>
    <w:p>
      <w:pPr>
        <w:snapToGrid w:val="0"/>
        <w:spacing w:after="120" w:afterLines="50"/>
        <w:ind w:left="842" w:leftChars="401"/>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 xml:space="preserve">. </w:t>
      </w:r>
      <w:r>
        <w:rPr>
          <w:rFonts w:hint="eastAsia" w:ascii="仿宋" w:hAnsi="仿宋" w:eastAsia="仿宋" w:cs="仿宋"/>
        </w:rPr>
        <w:t>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 xml:space="preserve">. </w:t>
      </w:r>
      <w:r>
        <w:rPr>
          <w:rFonts w:hint="eastAsia" w:ascii="仿宋" w:hAnsi="仿宋" w:eastAsia="仿宋" w:cs="仿宋"/>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8"/>
        <w:ind w:left="1080" w:leftChars="257" w:hanging="540"/>
        <w:rPr>
          <w:rFonts w:hint="eastAsia" w:ascii="仿宋" w:hAnsi="仿宋" w:eastAsia="仿宋" w:cs="仿宋"/>
          <w:sz w:val="24"/>
          <w:szCs w:val="24"/>
        </w:rPr>
      </w:pPr>
    </w:p>
    <w:p>
      <w:pPr>
        <w:rPr>
          <w:rFonts w:hint="eastAsia" w:ascii="仿宋" w:hAnsi="仿宋" w:eastAsia="仿宋" w:cs="仿宋"/>
          <w:b/>
          <w:bCs/>
          <w:sz w:val="28"/>
          <w:szCs w:val="36"/>
        </w:rPr>
      </w:pPr>
      <w:bookmarkStart w:id="513" w:name="_Toc410631184"/>
      <w:bookmarkStart w:id="514" w:name="_Toc414445775"/>
      <w:bookmarkStart w:id="515" w:name="_Toc7005136"/>
      <w:bookmarkStart w:id="516" w:name="_Toc416103825"/>
      <w:r>
        <w:rPr>
          <w:rFonts w:hint="eastAsia" w:ascii="仿宋" w:hAnsi="仿宋" w:eastAsia="仿宋" w:cs="仿宋"/>
          <w:b/>
          <w:bCs/>
          <w:sz w:val="28"/>
          <w:szCs w:val="36"/>
        </w:rPr>
        <w:br w:type="page"/>
      </w:r>
    </w:p>
    <w:p>
      <w:pPr>
        <w:pStyle w:val="4"/>
        <w:jc w:val="center"/>
        <w:rPr>
          <w:rFonts w:hint="eastAsia" w:ascii="仿宋" w:hAnsi="仿宋" w:eastAsia="仿宋" w:cs="仿宋"/>
        </w:rPr>
      </w:pPr>
      <w:r>
        <w:rPr>
          <w:rFonts w:hint="eastAsia" w:ascii="仿宋" w:hAnsi="仿宋" w:eastAsia="仿宋" w:cs="仿宋"/>
          <w:b/>
          <w:bCs/>
          <w:sz w:val="28"/>
          <w:szCs w:val="36"/>
        </w:rPr>
        <w:t>二、技术偏离表</w:t>
      </w:r>
      <w:bookmarkEnd w:id="513"/>
      <w:bookmarkEnd w:id="514"/>
      <w:bookmarkEnd w:id="515"/>
      <w:bookmarkEnd w:id="516"/>
    </w:p>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rPr>
          <w:rFonts w:hint="eastAsia" w:ascii="仿宋" w:hAnsi="仿宋" w:eastAsia="仿宋" w:cs="仿宋"/>
        </w:rPr>
      </w:pPr>
      <w:r>
        <w:rPr>
          <w:rFonts w:hint="eastAsia" w:ascii="仿宋" w:hAnsi="仿宋" w:eastAsia="仿宋" w:cs="仿宋"/>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sz w:val="24"/>
              </w:rPr>
            </w:pPr>
            <w:r>
              <w:rPr>
                <w:rFonts w:hint="eastAsia" w:ascii="仿宋" w:hAnsi="仿宋" w:eastAsia="仿宋" w:cs="仿宋"/>
                <w:sz w:val="24"/>
              </w:rPr>
              <w:t>磋商文件条目号</w:t>
            </w:r>
          </w:p>
        </w:tc>
        <w:tc>
          <w:tcPr>
            <w:tcW w:w="1932" w:type="dxa"/>
          </w:tcPr>
          <w:p>
            <w:pPr>
              <w:spacing w:line="400" w:lineRule="exact"/>
              <w:jc w:val="center"/>
              <w:rPr>
                <w:rFonts w:hint="eastAsia" w:ascii="仿宋" w:hAnsi="仿宋" w:eastAsia="仿宋" w:cs="仿宋"/>
                <w:sz w:val="24"/>
              </w:rPr>
            </w:pPr>
            <w:r>
              <w:rPr>
                <w:rFonts w:hint="eastAsia" w:ascii="仿宋" w:hAnsi="仿宋" w:eastAsia="仿宋" w:cs="仿宋"/>
                <w:sz w:val="24"/>
              </w:rPr>
              <w:t>技术条款要求</w:t>
            </w:r>
          </w:p>
        </w:tc>
        <w:tc>
          <w:tcPr>
            <w:tcW w:w="1236" w:type="dxa"/>
          </w:tcPr>
          <w:p>
            <w:pPr>
              <w:spacing w:line="400" w:lineRule="exact"/>
              <w:jc w:val="center"/>
              <w:rPr>
                <w:rFonts w:hint="eastAsia" w:ascii="仿宋" w:hAnsi="仿宋" w:eastAsia="仿宋" w:cs="仿宋"/>
                <w:sz w:val="24"/>
              </w:rPr>
            </w:pPr>
            <w:r>
              <w:rPr>
                <w:rFonts w:hint="eastAsia" w:ascii="仿宋" w:hAnsi="仿宋" w:eastAsia="仿宋" w:cs="仿宋"/>
                <w:sz w:val="24"/>
              </w:rPr>
              <w:t>完全响应</w:t>
            </w:r>
          </w:p>
        </w:tc>
        <w:tc>
          <w:tcPr>
            <w:tcW w:w="1236" w:type="dxa"/>
          </w:tcPr>
          <w:p>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bCs/>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bCs/>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bl>
    <w:p>
      <w:pPr>
        <w:spacing w:line="360" w:lineRule="auto"/>
        <w:ind w:firstLine="1920" w:firstLineChars="800"/>
        <w:rPr>
          <w:rFonts w:hint="eastAsia" w:ascii="仿宋" w:hAnsi="仿宋" w:eastAsia="仿宋" w:cs="仿宋"/>
          <w:sz w:val="24"/>
          <w:lang w:val="en-US" w:eastAsia="zh-CN"/>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spacing w:line="360" w:lineRule="auto"/>
        <w:rPr>
          <w:rFonts w:hint="eastAsia" w:ascii="仿宋" w:hAnsi="仿宋" w:eastAsia="仿宋" w:cs="仿宋"/>
        </w:rPr>
      </w:pPr>
    </w:p>
    <w:p>
      <w:pPr>
        <w:snapToGrid w:val="0"/>
        <w:spacing w:after="120" w:afterLines="50"/>
        <w:ind w:left="850" w:hanging="850" w:hangingChars="405"/>
        <w:rPr>
          <w:rFonts w:hint="eastAsia"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sz w:val="32"/>
          <w:szCs w:val="32"/>
        </w:rPr>
      </w:pPr>
    </w:p>
    <w:p>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pPr>
        <w:pStyle w:val="3"/>
        <w:jc w:val="center"/>
        <w:rPr>
          <w:rFonts w:hint="eastAsia" w:ascii="仿宋" w:hAnsi="仿宋" w:eastAsia="仿宋" w:cs="仿宋"/>
          <w:b/>
          <w:bCs/>
        </w:rPr>
      </w:pPr>
      <w:r>
        <w:rPr>
          <w:rFonts w:hint="eastAsia" w:ascii="仿宋" w:hAnsi="仿宋" w:eastAsia="仿宋" w:cs="仿宋"/>
          <w:b/>
          <w:bCs/>
        </w:rPr>
        <w:t>第四部分  响应方案说明</w:t>
      </w:r>
    </w:p>
    <w:p>
      <w:pPr>
        <w:pStyle w:val="22"/>
        <w:rPr>
          <w:rFonts w:hint="eastAsia" w:ascii="仿宋" w:hAnsi="仿宋" w:eastAsia="仿宋" w:cs="仿宋"/>
          <w:lang w:val="zh-CN"/>
        </w:rPr>
      </w:pPr>
    </w:p>
    <w:p>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pPr>
        <w:pStyle w:val="22"/>
        <w:rPr>
          <w:rFonts w:hint="eastAsia" w:ascii="仿宋" w:hAnsi="仿宋" w:eastAsia="仿宋" w:cs="仿宋"/>
          <w:lang w:val="zh-CN"/>
        </w:rPr>
      </w:pPr>
      <w:r>
        <w:rPr>
          <w:rFonts w:hint="eastAsia" w:ascii="仿宋" w:hAnsi="仿宋" w:eastAsia="仿宋" w:cs="仿宋"/>
          <w:lang w:val="zh-CN"/>
        </w:rPr>
        <w:br w:type="page"/>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spacing w:after="120"/>
        <w:rPr>
          <w:rFonts w:hint="eastAsia" w:ascii="仿宋" w:hAnsi="仿宋" w:eastAsia="仿宋" w:cs="仿宋"/>
        </w:rPr>
      </w:pPr>
    </w:p>
    <w:p>
      <w:pPr>
        <w:pStyle w:val="3"/>
        <w:jc w:val="center"/>
        <w:rPr>
          <w:rFonts w:hint="eastAsia" w:ascii="仿宋" w:hAnsi="仿宋" w:eastAsia="仿宋" w:cs="仿宋"/>
          <w:b/>
          <w:bCs/>
        </w:rPr>
      </w:pPr>
      <w:r>
        <w:rPr>
          <w:rFonts w:hint="eastAsia" w:ascii="仿宋" w:hAnsi="仿宋" w:eastAsia="仿宋" w:cs="仿宋"/>
          <w:b/>
          <w:bCs/>
        </w:rPr>
        <w:t xml:space="preserve">第五部分 </w:t>
      </w:r>
      <w:r>
        <w:rPr>
          <w:rFonts w:hint="eastAsia" w:ascii="仿宋" w:hAnsi="仿宋" w:eastAsia="仿宋" w:cs="仿宋"/>
          <w:b/>
          <w:bCs/>
          <w:lang w:val="en-US" w:eastAsia="zh-CN"/>
        </w:rPr>
        <w:t>中小</w:t>
      </w:r>
      <w:r>
        <w:rPr>
          <w:rFonts w:hint="eastAsia" w:ascii="仿宋" w:hAnsi="仿宋" w:eastAsia="仿宋" w:cs="仿宋"/>
          <w:b/>
          <w:bCs/>
        </w:rPr>
        <w:t>企业、监狱企业、残疾人福利单位声明函或证明</w:t>
      </w:r>
    </w:p>
    <w:p>
      <w:pPr>
        <w:pStyle w:val="197"/>
        <w:rPr>
          <w:rFonts w:hint="eastAsia" w:ascii="仿宋" w:hAnsi="仿宋" w:eastAsia="仿宋" w:cs="仿宋"/>
          <w:b/>
          <w:bCs/>
          <w:sz w:val="32"/>
          <w:szCs w:val="32"/>
        </w:rPr>
      </w:pPr>
    </w:p>
    <w:p>
      <w:pPr>
        <w:ind w:left="315" w:leftChars="150" w:firstLine="270" w:firstLineChars="150"/>
        <w:rPr>
          <w:rFonts w:hint="eastAsia" w:ascii="仿宋" w:hAnsi="仿宋" w:eastAsia="仿宋" w:cs="仿宋"/>
          <w:kern w:val="0"/>
          <w:sz w:val="18"/>
          <w:szCs w:val="18"/>
        </w:rPr>
      </w:pPr>
      <w:bookmarkStart w:id="517" w:name="_Toc7005133"/>
    </w:p>
    <w:p>
      <w:pPr>
        <w:pStyle w:val="4"/>
        <w:jc w:val="center"/>
        <w:rPr>
          <w:rFonts w:hint="eastAsia" w:ascii="仿宋" w:hAnsi="仿宋" w:eastAsia="仿宋" w:cs="仿宋"/>
          <w:b/>
          <w:bCs/>
          <w:sz w:val="28"/>
          <w:szCs w:val="36"/>
          <w:lang w:eastAsia="zh-CN"/>
        </w:rPr>
      </w:pPr>
      <w:r>
        <w:rPr>
          <w:rFonts w:hint="eastAsia" w:ascii="仿宋" w:hAnsi="仿宋" w:eastAsia="仿宋" w:cs="仿宋"/>
          <w:b/>
          <w:bCs/>
          <w:sz w:val="28"/>
          <w:szCs w:val="36"/>
        </w:rPr>
        <w:t>中小企业声明函</w:t>
      </w:r>
      <w:r>
        <w:rPr>
          <w:rFonts w:hint="eastAsia" w:ascii="仿宋" w:hAnsi="仿宋" w:eastAsia="仿宋" w:cs="仿宋"/>
          <w:b/>
          <w:bCs/>
          <w:sz w:val="28"/>
          <w:szCs w:val="36"/>
          <w:lang w:eastAsia="zh-CN"/>
        </w:rPr>
        <w:t>（</w:t>
      </w:r>
      <w:r>
        <w:rPr>
          <w:rFonts w:hint="eastAsia" w:ascii="仿宋" w:hAnsi="仿宋" w:eastAsia="仿宋" w:cs="仿宋"/>
          <w:b/>
          <w:bCs/>
          <w:sz w:val="28"/>
          <w:szCs w:val="36"/>
        </w:rPr>
        <w:t>工程、服务</w:t>
      </w:r>
      <w:r>
        <w:rPr>
          <w:rFonts w:hint="eastAsia" w:ascii="仿宋" w:hAnsi="仿宋" w:eastAsia="仿宋" w:cs="仿宋"/>
          <w:b/>
          <w:bCs/>
          <w:sz w:val="28"/>
          <w:szCs w:val="36"/>
          <w:lang w:eastAsia="zh-CN"/>
        </w:rPr>
        <w:t>）</w:t>
      </w:r>
    </w:p>
    <w:p>
      <w:pPr>
        <w:rPr>
          <w:rFonts w:hint="eastAsia" w:ascii="仿宋" w:hAnsi="仿宋" w:eastAsia="仿宋" w:cs="仿宋"/>
          <w:kern w:val="0"/>
          <w:sz w:val="30"/>
          <w:szCs w:val="30"/>
        </w:rPr>
      </w:pP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w:t>
      </w:r>
      <w:r>
        <w:rPr>
          <w:rFonts w:hint="eastAsia" w:ascii="仿宋" w:hAnsi="仿宋" w:eastAsia="仿宋" w:cs="仿宋"/>
          <w:kern w:val="0"/>
          <w:sz w:val="24"/>
          <w:lang w:eastAsia="zh-CN"/>
        </w:rPr>
        <w:t>（</w:t>
      </w:r>
      <w:r>
        <w:rPr>
          <w:rFonts w:hint="eastAsia" w:ascii="仿宋" w:hAnsi="仿宋" w:eastAsia="仿宋" w:cs="仿宋"/>
          <w:kern w:val="0"/>
          <w:sz w:val="24"/>
        </w:rPr>
        <w:t>联合体</w:t>
      </w:r>
      <w:r>
        <w:rPr>
          <w:rFonts w:hint="eastAsia" w:ascii="仿宋" w:hAnsi="仿宋" w:eastAsia="仿宋" w:cs="仿宋"/>
          <w:kern w:val="0"/>
          <w:sz w:val="24"/>
          <w:lang w:eastAsia="zh-CN"/>
        </w:rPr>
        <w:t>）</w:t>
      </w:r>
      <w:r>
        <w:rPr>
          <w:rFonts w:hint="eastAsia" w:ascii="仿宋" w:hAnsi="仿宋" w:eastAsia="仿宋" w:cs="仿宋"/>
          <w:kern w:val="0"/>
          <w:sz w:val="24"/>
        </w:rPr>
        <w:t>郑重声明，根据《政府采购促进中小企业发展管理办法》</w:t>
      </w:r>
      <w:r>
        <w:rPr>
          <w:rFonts w:hint="eastAsia" w:ascii="仿宋" w:hAnsi="仿宋" w:eastAsia="仿宋" w:cs="仿宋"/>
          <w:kern w:val="0"/>
          <w:sz w:val="24"/>
          <w:lang w:eastAsia="zh-CN"/>
        </w:rPr>
        <w:t>（</w:t>
      </w:r>
      <w:r>
        <w:rPr>
          <w:rFonts w:hint="eastAsia" w:ascii="仿宋" w:hAnsi="仿宋" w:eastAsia="仿宋" w:cs="仿宋"/>
          <w:kern w:val="0"/>
          <w:sz w:val="24"/>
        </w:rPr>
        <w:t>财库﹝2020﹞46号</w:t>
      </w:r>
      <w:r>
        <w:rPr>
          <w:rFonts w:hint="eastAsia" w:ascii="仿宋" w:hAnsi="仿宋" w:eastAsia="仿宋" w:cs="仿宋"/>
          <w:kern w:val="0"/>
          <w:sz w:val="24"/>
          <w:lang w:eastAsia="zh-CN"/>
        </w:rPr>
        <w:t>）</w:t>
      </w:r>
      <w:r>
        <w:rPr>
          <w:rFonts w:hint="eastAsia" w:ascii="仿宋" w:hAnsi="仿宋" w:eastAsia="仿宋" w:cs="仿宋"/>
          <w:kern w:val="0"/>
          <w:sz w:val="24"/>
        </w:rPr>
        <w:t>的规定，本公司</w:t>
      </w:r>
      <w:r>
        <w:rPr>
          <w:rFonts w:hint="eastAsia" w:ascii="仿宋" w:hAnsi="仿宋" w:eastAsia="仿宋" w:cs="仿宋"/>
          <w:kern w:val="0"/>
          <w:sz w:val="24"/>
          <w:lang w:eastAsia="zh-CN"/>
        </w:rPr>
        <w:t>（</w:t>
      </w:r>
      <w:r>
        <w:rPr>
          <w:rFonts w:hint="eastAsia" w:ascii="仿宋" w:hAnsi="仿宋" w:eastAsia="仿宋" w:cs="仿宋"/>
          <w:kern w:val="0"/>
          <w:sz w:val="24"/>
        </w:rPr>
        <w:t>联合体</w:t>
      </w:r>
      <w:r>
        <w:rPr>
          <w:rFonts w:hint="eastAsia" w:ascii="仿宋" w:hAnsi="仿宋" w:eastAsia="仿宋" w:cs="仿宋"/>
          <w:kern w:val="0"/>
          <w:sz w:val="24"/>
          <w:lang w:eastAsia="zh-CN"/>
        </w:rPr>
        <w:t>）</w:t>
      </w:r>
      <w:r>
        <w:rPr>
          <w:rFonts w:hint="eastAsia" w:ascii="仿宋" w:hAnsi="仿宋" w:eastAsia="仿宋" w:cs="仿宋"/>
          <w:kern w:val="0"/>
          <w:sz w:val="24"/>
        </w:rPr>
        <w:t>参加</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单位名称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项目名称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采购</w:t>
      </w:r>
      <w:r>
        <w:rPr>
          <w:rFonts w:hint="eastAsia" w:ascii="仿宋" w:hAnsi="仿宋" w:eastAsia="仿宋" w:cs="仿宋"/>
          <w:kern w:val="0"/>
          <w:sz w:val="24"/>
        </w:rPr>
        <w:t>活动，工程的施工单位全部为符合政策要求的中小企业</w:t>
      </w:r>
      <w:r>
        <w:rPr>
          <w:rFonts w:hint="eastAsia" w:ascii="仿宋" w:hAnsi="仿宋" w:eastAsia="仿宋" w:cs="仿宋"/>
          <w:kern w:val="0"/>
          <w:sz w:val="24"/>
          <w:lang w:eastAsia="zh-CN"/>
        </w:rPr>
        <w:t>（</w:t>
      </w:r>
      <w:r>
        <w:rPr>
          <w:rFonts w:hint="eastAsia" w:ascii="仿宋" w:hAnsi="仿宋" w:eastAsia="仿宋" w:cs="仿宋"/>
          <w:kern w:val="0"/>
          <w:sz w:val="24"/>
        </w:rPr>
        <w:t>或者</w:t>
      </w:r>
      <w:r>
        <w:rPr>
          <w:rFonts w:hint="eastAsia" w:ascii="仿宋" w:hAnsi="仿宋" w:eastAsia="仿宋" w:cs="仿宋"/>
          <w:kern w:val="0"/>
          <w:sz w:val="24"/>
          <w:lang w:eastAsia="zh-CN"/>
        </w:rPr>
        <w:t>：</w:t>
      </w:r>
      <w:r>
        <w:rPr>
          <w:rFonts w:hint="eastAsia" w:ascii="仿宋" w:hAnsi="仿宋" w:eastAsia="仿宋" w:cs="仿宋"/>
          <w:kern w:val="0"/>
          <w:sz w:val="24"/>
        </w:rPr>
        <w:t>服务全部由符合政策要求的中小企业承接</w:t>
      </w:r>
      <w:r>
        <w:rPr>
          <w:rFonts w:hint="eastAsia" w:ascii="仿宋" w:hAnsi="仿宋" w:eastAsia="仿宋" w:cs="仿宋"/>
          <w:kern w:val="0"/>
          <w:sz w:val="24"/>
          <w:lang w:eastAsia="zh-CN"/>
        </w:rPr>
        <w:t>）</w:t>
      </w:r>
      <w:r>
        <w:rPr>
          <w:rFonts w:hint="eastAsia" w:ascii="仿宋" w:hAnsi="仿宋" w:eastAsia="仿宋" w:cs="仿宋"/>
          <w:kern w:val="0"/>
          <w:sz w:val="24"/>
        </w:rPr>
        <w:t>。相关企业</w:t>
      </w:r>
      <w:r>
        <w:rPr>
          <w:rFonts w:hint="eastAsia" w:ascii="仿宋" w:hAnsi="仿宋" w:eastAsia="仿宋" w:cs="仿宋"/>
          <w:kern w:val="0"/>
          <w:sz w:val="24"/>
          <w:lang w:eastAsia="zh-CN"/>
        </w:rPr>
        <w:t>（</w:t>
      </w:r>
      <w:r>
        <w:rPr>
          <w:rFonts w:hint="eastAsia" w:ascii="仿宋" w:hAnsi="仿宋" w:eastAsia="仿宋" w:cs="仿宋"/>
          <w:kern w:val="0"/>
          <w:sz w:val="24"/>
        </w:rPr>
        <w:t>含联合体中的中小企业、签订分包意向协议的中小企业</w:t>
      </w:r>
      <w:r>
        <w:rPr>
          <w:rFonts w:hint="eastAsia" w:ascii="仿宋" w:hAnsi="仿宋" w:eastAsia="仿宋" w:cs="仿宋"/>
          <w:kern w:val="0"/>
          <w:sz w:val="24"/>
          <w:lang w:eastAsia="zh-CN"/>
        </w:rPr>
        <w:t>）</w:t>
      </w:r>
      <w:r>
        <w:rPr>
          <w:rFonts w:hint="eastAsia" w:ascii="仿宋" w:hAnsi="仿宋" w:eastAsia="仿宋" w:cs="仿宋"/>
          <w:kern w:val="0"/>
          <w:sz w:val="24"/>
        </w:rPr>
        <w:t>的具体情况如下：</w:t>
      </w:r>
    </w:p>
    <w:p>
      <w:pPr>
        <w:pStyle w:val="69"/>
        <w:numPr>
          <w:ilvl w:val="0"/>
          <w:numId w:val="13"/>
        </w:numPr>
        <w:spacing w:line="560" w:lineRule="exact"/>
        <w:ind w:left="0" w:leftChars="0" w:firstLine="600" w:firstLineChars="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标的名称</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其他未列明行业</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；承建</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承接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企业为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中型</w:t>
      </w:r>
      <w:r>
        <w:rPr>
          <w:rFonts w:hint="eastAsia" w:ascii="仿宋" w:hAnsi="仿宋" w:eastAsia="仿宋" w:cs="仿宋"/>
          <w:kern w:val="0"/>
          <w:sz w:val="24"/>
          <w:szCs w:val="24"/>
          <w:u w:val="single"/>
          <w:lang w:val="en-US" w:eastAsia="zh-CN"/>
        </w:rPr>
        <w:t>企业</w:t>
      </w:r>
      <w:r>
        <w:rPr>
          <w:rFonts w:hint="eastAsia" w:ascii="仿宋" w:hAnsi="仿宋" w:eastAsia="仿宋" w:cs="仿宋"/>
          <w:kern w:val="0"/>
          <w:sz w:val="24"/>
          <w:szCs w:val="24"/>
          <w:u w:val="single"/>
        </w:rPr>
        <w:t>、小型企业、微型企业</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560" w:lineRule="exact"/>
        <w:ind w:left="17" w:leftChars="8" w:firstLine="460" w:firstLineChars="19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标的名称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kern w:val="0"/>
          <w:sz w:val="24"/>
          <w:szCs w:val="24"/>
          <w:u w:val="single"/>
          <w:lang w:eastAsia="zh-CN"/>
        </w:rPr>
        <w:t>其他未列明行业</w:t>
      </w:r>
      <w:r>
        <w:rPr>
          <w:rFonts w:hint="eastAsia" w:ascii="仿宋" w:hAnsi="仿宋" w:eastAsia="仿宋" w:cs="仿宋"/>
          <w:kern w:val="0"/>
          <w:sz w:val="24"/>
          <w:u w:val="single"/>
        </w:rPr>
        <w:t xml:space="preserve"> </w:t>
      </w:r>
      <w:r>
        <w:rPr>
          <w:rFonts w:hint="eastAsia" w:ascii="仿宋" w:hAnsi="仿宋" w:eastAsia="仿宋" w:cs="仿宋"/>
          <w:kern w:val="0"/>
          <w:sz w:val="24"/>
        </w:rPr>
        <w:t>；承建</w:t>
      </w:r>
      <w:r>
        <w:rPr>
          <w:rFonts w:hint="eastAsia" w:ascii="仿宋" w:hAnsi="仿宋" w:eastAsia="仿宋" w:cs="仿宋"/>
          <w:kern w:val="0"/>
          <w:sz w:val="24"/>
          <w:lang w:eastAsia="zh-CN"/>
        </w:rPr>
        <w:t>（</w:t>
      </w:r>
      <w:r>
        <w:rPr>
          <w:rFonts w:hint="eastAsia" w:ascii="仿宋" w:hAnsi="仿宋" w:eastAsia="仿宋" w:cs="仿宋"/>
          <w:kern w:val="0"/>
          <w:sz w:val="24"/>
        </w:rPr>
        <w:t>承接</w:t>
      </w:r>
      <w:r>
        <w:rPr>
          <w:rFonts w:hint="eastAsia" w:ascii="仿宋" w:hAnsi="仿宋" w:eastAsia="仿宋" w:cs="仿宋"/>
          <w:kern w:val="0"/>
          <w:sz w:val="24"/>
          <w:lang w:eastAsia="zh-CN"/>
        </w:rPr>
        <w:t>）</w:t>
      </w:r>
      <w:r>
        <w:rPr>
          <w:rFonts w:hint="eastAsia" w:ascii="仿宋" w:hAnsi="仿宋" w:eastAsia="仿宋" w:cs="仿宋"/>
          <w:kern w:val="0"/>
          <w:sz w:val="24"/>
        </w:rPr>
        <w:t>企业为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企业名称</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中型</w:t>
      </w:r>
      <w:r>
        <w:rPr>
          <w:rFonts w:hint="eastAsia" w:ascii="仿宋" w:hAnsi="仿宋" w:eastAsia="仿宋" w:cs="仿宋"/>
          <w:kern w:val="0"/>
          <w:sz w:val="24"/>
          <w:u w:val="single"/>
          <w:lang w:val="en-US" w:eastAsia="zh-CN"/>
        </w:rPr>
        <w:t>企业</w:t>
      </w:r>
      <w:r>
        <w:rPr>
          <w:rFonts w:hint="eastAsia" w:ascii="仿宋" w:hAnsi="仿宋" w:eastAsia="仿宋" w:cs="仿宋"/>
          <w:kern w:val="0"/>
          <w:sz w:val="24"/>
          <w:u w:val="single"/>
        </w:rPr>
        <w:t>、小型企业、微型企业</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60" w:lineRule="exact"/>
        <w:ind w:firstLine="4320" w:firstLineChars="1800"/>
        <w:rPr>
          <w:rFonts w:hint="eastAsia" w:ascii="仿宋" w:hAnsi="仿宋" w:eastAsia="仿宋" w:cs="仿宋"/>
          <w:kern w:val="0"/>
          <w:sz w:val="24"/>
          <w:lang w:eastAsia="zh-CN"/>
        </w:rPr>
      </w:pPr>
      <w:r>
        <w:rPr>
          <w:rFonts w:hint="eastAsia" w:ascii="仿宋" w:hAnsi="仿宋" w:eastAsia="仿宋" w:cs="仿宋"/>
          <w:kern w:val="0"/>
          <w:sz w:val="24"/>
        </w:rPr>
        <w:t>企业名称</w:t>
      </w:r>
      <w:r>
        <w:rPr>
          <w:rFonts w:hint="eastAsia" w:ascii="仿宋" w:hAnsi="仿宋" w:eastAsia="仿宋" w:cs="仿宋"/>
          <w:kern w:val="0"/>
          <w:sz w:val="24"/>
          <w:lang w:eastAsia="zh-CN"/>
        </w:rPr>
        <w:t>（</w:t>
      </w:r>
      <w:r>
        <w:rPr>
          <w:rFonts w:hint="eastAsia" w:ascii="仿宋" w:hAnsi="仿宋" w:eastAsia="仿宋" w:cs="仿宋"/>
          <w:kern w:val="0"/>
          <w:sz w:val="24"/>
        </w:rPr>
        <w:t>盖章</w:t>
      </w:r>
      <w:r>
        <w:rPr>
          <w:rFonts w:hint="eastAsia" w:ascii="仿宋" w:hAnsi="仿宋" w:eastAsia="仿宋" w:cs="仿宋"/>
          <w:kern w:val="0"/>
          <w:sz w:val="24"/>
          <w:lang w:eastAsia="zh-CN"/>
        </w:rPr>
        <w:t>）：</w:t>
      </w:r>
    </w:p>
    <w:p>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pPr>
        <w:spacing w:line="560" w:lineRule="exact"/>
        <w:ind w:firstLine="5400" w:firstLineChars="1800"/>
        <w:rPr>
          <w:rFonts w:hint="eastAsia" w:ascii="仿宋" w:hAnsi="仿宋" w:eastAsia="仿宋" w:cs="仿宋"/>
          <w:kern w:val="0"/>
          <w:sz w:val="30"/>
          <w:szCs w:val="30"/>
        </w:rPr>
      </w:pPr>
    </w:p>
    <w:p>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pPr>
        <w:ind w:firstLine="105" w:firstLineChars="50"/>
        <w:rPr>
          <w:rFonts w:hint="eastAsia" w:ascii="仿宋" w:hAnsi="仿宋" w:eastAsia="仿宋" w:cs="仿宋"/>
          <w:kern w:val="0"/>
          <w:szCs w:val="21"/>
        </w:rPr>
      </w:pPr>
      <w:r>
        <w:rPr>
          <w:rFonts w:hint="eastAsia" w:ascii="仿宋" w:hAnsi="仿宋" w:eastAsia="仿宋" w:cs="仿宋"/>
          <w:kern w:val="0"/>
          <w:szCs w:val="21"/>
        </w:rPr>
        <w:t>（从业人员、营业收入、资产总额填报上一年度数据，无上一年度数据的新成立企业可不填报）</w:t>
      </w:r>
    </w:p>
    <w:p>
      <w:pPr>
        <w:rPr>
          <w:rFonts w:hint="eastAsia" w:ascii="仿宋" w:hAnsi="仿宋" w:eastAsia="仿宋" w:cs="仿宋"/>
          <w:b/>
          <w:sz w:val="28"/>
          <w:szCs w:val="28"/>
        </w:rPr>
      </w:pPr>
      <w:r>
        <w:rPr>
          <w:rFonts w:hint="eastAsia" w:ascii="仿宋" w:hAnsi="仿宋" w:eastAsia="仿宋" w:cs="仿宋"/>
          <w:b/>
          <w:sz w:val="28"/>
          <w:szCs w:val="28"/>
        </w:rPr>
        <w:br w:type="page"/>
      </w:r>
    </w:p>
    <w:bookmarkEnd w:id="517"/>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pPr>
        <w:spacing w:line="360" w:lineRule="auto"/>
        <w:rPr>
          <w:rFonts w:hint="eastAsia" w:ascii="仿宋" w:hAnsi="仿宋" w:eastAsia="仿宋" w:cs="仿宋"/>
          <w:b/>
          <w:kern w:val="0"/>
          <w:sz w:val="24"/>
          <w:szCs w:val="20"/>
        </w:rPr>
      </w:pP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widowControl/>
        <w:spacing w:before="100" w:beforeAutospacing="1" w:after="100" w:afterAutospacing="1" w:line="360" w:lineRule="auto"/>
        <w:jc w:val="left"/>
        <w:rPr>
          <w:rFonts w:hint="eastAsia" w:ascii="仿宋" w:hAnsi="仿宋" w:eastAsia="仿宋" w:cs="仿宋"/>
          <w:kern w:val="0"/>
          <w:sz w:val="24"/>
          <w:u w:val="single"/>
        </w:rPr>
      </w:pPr>
    </w:p>
    <w:p>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pPr>
        <w:rPr>
          <w:rFonts w:hint="eastAsia" w:ascii="仿宋" w:hAnsi="仿宋" w:eastAsia="仿宋" w:cs="仿宋"/>
          <w:sz w:val="32"/>
          <w:szCs w:val="32"/>
        </w:rPr>
      </w:pPr>
    </w:p>
    <w:p>
      <w:pPr>
        <w:pStyle w:val="4"/>
        <w:jc w:val="center"/>
        <w:rPr>
          <w:rFonts w:hint="eastAsia" w:ascii="仿宋" w:hAnsi="仿宋" w:eastAsia="仿宋" w:cs="仿宋"/>
          <w:b/>
          <w:sz w:val="32"/>
          <w:szCs w:val="32"/>
        </w:rPr>
      </w:pPr>
      <w:bookmarkStart w:id="518" w:name="_Toc7005134"/>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bookmarkEnd w:id="518"/>
    </w:p>
    <w:p>
      <w:pPr>
        <w:spacing w:after="120"/>
        <w:rPr>
          <w:rFonts w:hint="eastAsia" w:ascii="仿宋" w:hAnsi="仿宋" w:eastAsia="仿宋" w:cs="仿宋"/>
        </w:rPr>
      </w:pPr>
    </w:p>
    <w:p>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pPr>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ind w:firstLine="3600" w:firstLineChars="1500"/>
        <w:rPr>
          <w:rFonts w:hint="eastAsia" w:ascii="仿宋" w:hAnsi="仿宋" w:eastAsia="仿宋" w:cs="仿宋"/>
          <w:sz w:val="24"/>
        </w:rPr>
      </w:pPr>
    </w:p>
    <w:p>
      <w:pPr>
        <w:rPr>
          <w:rFonts w:hint="eastAsia" w:ascii="仿宋" w:hAnsi="仿宋" w:eastAsia="仿宋" w:cs="仿宋"/>
          <w:sz w:val="24"/>
        </w:rPr>
      </w:pPr>
    </w:p>
    <w:p>
      <w:pPr>
        <w:snapToGrid w:val="0"/>
        <w:spacing w:before="120" w:beforeLines="50"/>
        <w:jc w:val="center"/>
        <w:rPr>
          <w:rFonts w:hint="eastAsia" w:ascii="仿宋" w:hAnsi="仿宋" w:eastAsia="仿宋" w:cs="仿宋"/>
          <w:b/>
          <w:sz w:val="24"/>
          <w:szCs w:val="21"/>
        </w:rPr>
      </w:pPr>
    </w:p>
    <w:p>
      <w:pPr>
        <w:widowControl/>
        <w:jc w:val="left"/>
        <w:rPr>
          <w:rFonts w:hint="eastAsia" w:ascii="仿宋" w:hAnsi="仿宋" w:eastAsia="仿宋" w:cs="仿宋"/>
          <w:sz w:val="24"/>
        </w:rPr>
      </w:pPr>
      <w:r>
        <w:rPr>
          <w:rFonts w:hint="eastAsia" w:ascii="仿宋" w:hAnsi="仿宋" w:eastAsia="仿宋" w:cs="仿宋"/>
          <w:sz w:val="24"/>
        </w:rPr>
        <w:br w:type="page"/>
      </w: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四、响应承诺书</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pStyle w:val="22"/>
        <w:rPr>
          <w:rFonts w:hint="eastAsia" w:ascii="仿宋" w:hAnsi="仿宋" w:eastAsia="仿宋" w:cs="仿宋"/>
        </w:rPr>
      </w:pPr>
      <w:r>
        <w:rPr>
          <w:rFonts w:hint="eastAsia" w:ascii="仿宋" w:hAnsi="仿宋" w:eastAsia="仿宋" w:cs="仿宋"/>
        </w:rPr>
        <w:br w:type="page"/>
      </w:r>
    </w:p>
    <w:p>
      <w:pPr>
        <w:pStyle w:val="3"/>
        <w:jc w:val="center"/>
        <w:rPr>
          <w:rFonts w:hint="eastAsia" w:ascii="仿宋" w:hAnsi="仿宋" w:eastAsia="仿宋" w:cs="仿宋"/>
          <w:b/>
          <w:bCs/>
        </w:rPr>
      </w:pPr>
    </w:p>
    <w:p>
      <w:pPr>
        <w:pStyle w:val="3"/>
        <w:jc w:val="center"/>
        <w:rPr>
          <w:rFonts w:hint="eastAsia" w:ascii="仿宋" w:hAnsi="仿宋" w:eastAsia="仿宋" w:cs="仿宋"/>
          <w:b/>
          <w:bCs/>
        </w:rPr>
      </w:pPr>
      <w:r>
        <w:rPr>
          <w:rFonts w:hint="eastAsia" w:ascii="仿宋" w:hAnsi="仿宋" w:eastAsia="仿宋" w:cs="仿宋"/>
          <w:b/>
          <w:bCs/>
        </w:rPr>
        <w:t>第六部分  保证金支付凭证或担保函（复印件）</w:t>
      </w:r>
    </w:p>
    <w:p>
      <w:pPr>
        <w:pStyle w:val="197"/>
        <w:rPr>
          <w:rFonts w:hint="eastAsia" w:ascii="仿宋" w:hAnsi="仿宋" w:eastAsia="仿宋" w:cs="仿宋"/>
          <w:b/>
          <w:sz w:val="32"/>
          <w:szCs w:val="32"/>
        </w:rPr>
      </w:pPr>
    </w:p>
    <w:p>
      <w:pPr>
        <w:rPr>
          <w:rFonts w:hint="eastAsia" w:ascii="仿宋" w:hAnsi="仿宋" w:eastAsia="仿宋" w:cs="仿宋"/>
          <w:sz w:val="24"/>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autoSpaceDE w:val="0"/>
        <w:autoSpaceDN w:val="0"/>
        <w:adjustRightInd w:val="0"/>
        <w:spacing w:line="360" w:lineRule="auto"/>
        <w:jc w:val="center"/>
        <w:rPr>
          <w:rFonts w:hint="eastAsia" w:ascii="仿宋" w:hAnsi="仿宋" w:eastAsia="仿宋" w:cs="仿宋"/>
          <w:b/>
          <w:bCs/>
          <w:sz w:val="44"/>
          <w:szCs w:val="44"/>
          <w:lang w:val="zh-CN"/>
        </w:rPr>
      </w:pPr>
    </w:p>
    <w:p>
      <w:pPr>
        <w:autoSpaceDE w:val="0"/>
        <w:autoSpaceDN w:val="0"/>
        <w:adjustRightInd w:val="0"/>
        <w:snapToGrid w:val="0"/>
        <w:spacing w:line="288" w:lineRule="auto"/>
        <w:jc w:val="left"/>
        <w:rPr>
          <w:rFonts w:hint="eastAsia" w:ascii="仿宋" w:hAnsi="仿宋" w:eastAsia="仿宋" w:cs="仿宋"/>
          <w:bCs/>
          <w:sz w:val="44"/>
          <w:szCs w:val="44"/>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
        <w:rPr>
          <w:rFonts w:hint="eastAsia" w:ascii="仿宋" w:hAnsi="仿宋" w:eastAsia="仿宋" w:cs="仿宋"/>
          <w:b/>
          <w:bCs/>
          <w:sz w:val="28"/>
          <w:szCs w:val="36"/>
        </w:rPr>
      </w:pPr>
      <w:r>
        <w:rPr>
          <w:rFonts w:hint="eastAsia" w:ascii="仿宋" w:hAnsi="仿宋" w:eastAsia="仿宋" w:cs="仿宋"/>
          <w:b/>
          <w:bCs/>
          <w:sz w:val="28"/>
          <w:szCs w:val="36"/>
        </w:rPr>
        <w:t>附件1</w:t>
      </w: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磋商响应担保函</w:t>
      </w:r>
    </w:p>
    <w:p>
      <w:pPr>
        <w:snapToGrid w:val="0"/>
        <w:ind w:firstLine="3360" w:firstLineChars="1400"/>
        <w:rPr>
          <w:rFonts w:hint="eastAsia" w:ascii="仿宋" w:hAnsi="仿宋" w:eastAsia="仿宋" w:cs="仿宋"/>
          <w:sz w:val="24"/>
        </w:rPr>
      </w:pPr>
      <w:r>
        <w:rPr>
          <w:rFonts w:hint="eastAsia" w:ascii="仿宋" w:hAnsi="仿宋" w:eastAsia="仿宋" w:cs="仿宋"/>
          <w:bCs/>
          <w:sz w:val="24"/>
        </w:rPr>
        <w:t>（适用于保证金保函）</w:t>
      </w:r>
    </w:p>
    <w:p>
      <w:pPr>
        <w:snapToGrid w:val="0"/>
        <w:ind w:right="480"/>
        <w:jc w:val="center"/>
        <w:rPr>
          <w:rFonts w:hint="eastAsia" w:ascii="仿宋" w:hAnsi="仿宋" w:eastAsia="仿宋" w:cs="仿宋"/>
          <w:sz w:val="24"/>
          <w:lang w:eastAsia="zh-CN"/>
        </w:rPr>
      </w:pPr>
      <w:r>
        <w:rPr>
          <w:rFonts w:hint="eastAsia" w:ascii="仿宋" w:hAnsi="仿宋" w:eastAsia="仿宋" w:cs="仿宋"/>
          <w:sz w:val="24"/>
        </w:rPr>
        <w:t xml:space="preserve">                                             保函编号</w:t>
      </w:r>
      <w:r>
        <w:rPr>
          <w:rFonts w:hint="eastAsia" w:ascii="仿宋" w:hAnsi="仿宋" w:eastAsia="仿宋" w:cs="仿宋"/>
          <w:sz w:val="24"/>
          <w:lang w:eastAsia="zh-CN"/>
        </w:rPr>
        <w:t>：</w:t>
      </w:r>
    </w:p>
    <w:p>
      <w:pPr>
        <w:snapToGrid w:val="0"/>
        <w:ind w:right="480"/>
        <w:jc w:val="left"/>
        <w:rPr>
          <w:rFonts w:hint="eastAsia" w:ascii="仿宋" w:hAnsi="仿宋" w:eastAsia="仿宋" w:cs="仿宋"/>
          <w:sz w:val="24"/>
        </w:rPr>
      </w:pPr>
      <w:r>
        <w:rPr>
          <w:rFonts w:hint="eastAsia" w:ascii="仿宋" w:hAnsi="仿宋" w:eastAsia="仿宋" w:cs="仿宋"/>
          <w:sz w:val="24"/>
          <w:u w:val="single"/>
        </w:rPr>
        <w:t>陕西省采购招标有限责任公司</w:t>
      </w:r>
      <w:r>
        <w:rPr>
          <w:rFonts w:hint="eastAsia" w:ascii="仿宋" w:hAnsi="仿宋" w:eastAsia="仿宋" w:cs="仿宋"/>
          <w:sz w:val="24"/>
          <w:lang w:eastAsia="zh-CN"/>
        </w:rPr>
        <w:t>（</w:t>
      </w:r>
      <w:r>
        <w:rPr>
          <w:rFonts w:hint="eastAsia" w:ascii="仿宋" w:hAnsi="仿宋" w:eastAsia="仿宋" w:cs="仿宋"/>
          <w:sz w:val="24"/>
        </w:rPr>
        <w:t>下称受益人</w:t>
      </w:r>
      <w:r>
        <w:rPr>
          <w:rFonts w:hint="eastAsia" w:ascii="仿宋" w:hAnsi="仿宋" w:eastAsia="仿宋" w:cs="仿宋"/>
          <w:sz w:val="24"/>
          <w:lang w:eastAsia="zh-CN"/>
        </w:rPr>
        <w:t>）</w:t>
      </w:r>
      <w:r>
        <w:rPr>
          <w:rFonts w:hint="eastAsia" w:ascii="仿宋" w:hAnsi="仿宋" w:eastAsia="仿宋" w:cs="仿宋"/>
          <w:sz w:val="24"/>
        </w:rPr>
        <w:t>：</w:t>
      </w:r>
    </w:p>
    <w:p>
      <w:pPr>
        <w:snapToGrid w:val="0"/>
        <w:spacing w:line="288" w:lineRule="auto"/>
        <w:jc w:val="left"/>
        <w:rPr>
          <w:rFonts w:hint="eastAsia" w:ascii="仿宋" w:hAnsi="仿宋" w:eastAsia="仿宋" w:cs="仿宋"/>
          <w:sz w:val="24"/>
        </w:rPr>
      </w:pPr>
      <w:r>
        <w:rPr>
          <w:rFonts w:hint="eastAsia" w:ascii="仿宋" w:hAnsi="仿宋" w:eastAsia="仿宋" w:cs="仿宋"/>
          <w:sz w:val="24"/>
        </w:rPr>
        <w:t xml:space="preserve">    鉴于</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下称被保证人</w:t>
      </w:r>
      <w:r>
        <w:rPr>
          <w:rFonts w:hint="eastAsia" w:ascii="仿宋" w:hAnsi="仿宋" w:eastAsia="仿宋" w:cs="仿宋"/>
          <w:sz w:val="24"/>
          <w:lang w:eastAsia="zh-CN"/>
        </w:rPr>
        <w:t>）</w:t>
      </w:r>
      <w:r>
        <w:rPr>
          <w:rFonts w:hint="eastAsia" w:ascii="仿宋" w:hAnsi="仿宋" w:eastAsia="仿宋" w:cs="仿宋"/>
          <w:sz w:val="24"/>
        </w:rPr>
        <w:t>将于</w:t>
      </w:r>
      <w:r>
        <w:rPr>
          <w:rFonts w:hint="eastAsia" w:ascii="仿宋" w:hAnsi="仿宋" w:eastAsia="仿宋" w:cs="仿宋"/>
          <w:sz w:val="24"/>
          <w:u w:val="single"/>
        </w:rPr>
        <w:t>    年 月 日</w:t>
      </w:r>
      <w:r>
        <w:rPr>
          <w:rFonts w:hint="eastAsia" w:ascii="仿宋" w:hAnsi="仿宋" w:eastAsia="仿宋" w:cs="仿宋"/>
          <w:sz w:val="24"/>
        </w:rPr>
        <w:t>参加贵方竞争性磋商文件编号为</w:t>
      </w:r>
      <w:r>
        <w:rPr>
          <w:rFonts w:hint="eastAsia" w:ascii="仿宋" w:hAnsi="仿宋" w:eastAsia="仿宋" w:cs="仿宋"/>
          <w:sz w:val="24"/>
          <w:u w:val="single"/>
        </w:rPr>
        <w:t> （采购项目编号）</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的竞争性磋商</w:t>
      </w:r>
      <w:r>
        <w:rPr>
          <w:rFonts w:hint="eastAsia" w:ascii="仿宋" w:hAnsi="仿宋" w:eastAsia="仿宋" w:cs="仿宋"/>
          <w:sz w:val="24"/>
          <w:lang w:eastAsia="zh-CN"/>
        </w:rPr>
        <w:t>，</w:t>
      </w:r>
      <w:r>
        <w:rPr>
          <w:rFonts w:hint="eastAsia" w:ascii="仿宋" w:hAnsi="仿宋" w:eastAsia="仿宋" w:cs="仿宋"/>
          <w:sz w:val="24"/>
        </w:rPr>
        <w:t>我方接受被保证人的委托</w:t>
      </w:r>
      <w:r>
        <w:rPr>
          <w:rFonts w:hint="eastAsia" w:ascii="仿宋" w:hAnsi="仿宋" w:eastAsia="仿宋" w:cs="仿宋"/>
          <w:sz w:val="24"/>
          <w:lang w:eastAsia="zh-CN"/>
        </w:rPr>
        <w:t>，</w:t>
      </w:r>
      <w:r>
        <w:rPr>
          <w:rFonts w:hint="eastAsia" w:ascii="仿宋" w:hAnsi="仿宋" w:eastAsia="仿宋" w:cs="仿宋"/>
          <w:sz w:val="24"/>
        </w:rPr>
        <w:t>在此向受益人提供不可撤销的磋商保证：</w:t>
      </w:r>
    </w:p>
    <w:p>
      <w:pPr>
        <w:numPr>
          <w:ilvl w:val="0"/>
          <w:numId w:val="0"/>
        </w:num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一、</w:t>
      </w:r>
      <w:r>
        <w:rPr>
          <w:rFonts w:hint="eastAsia" w:ascii="仿宋" w:hAnsi="仿宋" w:eastAsia="仿宋" w:cs="仿宋"/>
          <w:sz w:val="24"/>
        </w:rPr>
        <w:t>本保证担保的担保金额为</w:t>
      </w:r>
      <w:r>
        <w:rPr>
          <w:rFonts w:hint="eastAsia" w:ascii="仿宋" w:hAnsi="仿宋" w:eastAsia="仿宋" w:cs="仿宋"/>
          <w:sz w:val="24"/>
          <w:u w:val="single"/>
        </w:rPr>
        <w:t>人民币</w:t>
      </w:r>
      <w:r>
        <w:rPr>
          <w:rFonts w:hint="eastAsia" w:ascii="仿宋" w:hAnsi="仿宋" w:eastAsia="仿宋" w:cs="仿宋"/>
          <w:sz w:val="24"/>
          <w:lang w:eastAsia="zh-CN"/>
        </w:rPr>
        <w:t>（</w:t>
      </w:r>
      <w:r>
        <w:rPr>
          <w:rFonts w:hint="eastAsia" w:ascii="仿宋" w:hAnsi="仿宋" w:eastAsia="仿宋" w:cs="仿宋"/>
          <w:sz w:val="24"/>
        </w:rPr>
        <w:t>币种</w:t>
      </w:r>
      <w:r>
        <w:rPr>
          <w:rFonts w:hint="eastAsia" w:ascii="仿宋" w:hAnsi="仿宋" w:eastAsia="仿宋" w:cs="仿宋"/>
          <w:sz w:val="24"/>
          <w:u w:val="single"/>
          <w:lang w:eastAsia="zh-CN"/>
        </w:rPr>
        <w:t>）</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小写</w:t>
      </w:r>
      <w:r>
        <w:rPr>
          <w:rFonts w:hint="eastAsia" w:ascii="仿宋" w:hAnsi="仿宋" w:eastAsia="仿宋" w:cs="仿宋"/>
          <w:sz w:val="24"/>
          <w:lang w:eastAsia="zh-CN"/>
        </w:rPr>
        <w:t>）</w:t>
      </w:r>
      <w:r>
        <w:rPr>
          <w:rFonts w:hint="eastAsia" w:ascii="仿宋" w:hAnsi="仿宋" w:eastAsia="仿宋" w:cs="仿宋"/>
          <w:sz w:val="24"/>
          <w:u w:val="single"/>
        </w:rPr>
        <w:t xml:space="preserve">     元整</w:t>
      </w:r>
      <w:r>
        <w:rPr>
          <w:rFonts w:hint="eastAsia" w:ascii="仿宋" w:hAnsi="仿宋" w:eastAsia="仿宋" w:cs="仿宋"/>
          <w:sz w:val="24"/>
          <w:lang w:eastAsia="zh-CN"/>
        </w:rPr>
        <w:t>（</w:t>
      </w:r>
      <w:r>
        <w:rPr>
          <w:rFonts w:hint="eastAsia" w:ascii="仿宋" w:hAnsi="仿宋" w:eastAsia="仿宋" w:cs="仿宋"/>
          <w:sz w:val="24"/>
        </w:rPr>
        <w:t>大写）。</w:t>
      </w:r>
    </w:p>
    <w:p>
      <w:pPr>
        <w:numPr>
          <w:ilvl w:val="0"/>
          <w:numId w:val="0"/>
        </w:num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二、本保证担保的保证期间为响应文件的有效期</w:t>
      </w:r>
      <w:r>
        <w:rPr>
          <w:rFonts w:hint="eastAsia" w:ascii="仿宋" w:hAnsi="仿宋" w:eastAsia="仿宋" w:cs="仿宋"/>
          <w:sz w:val="24"/>
          <w:lang w:eastAsia="zh-CN"/>
        </w:rPr>
        <w:t>（</w:t>
      </w:r>
      <w:r>
        <w:rPr>
          <w:rFonts w:hint="eastAsia" w:ascii="仿宋" w:hAnsi="仿宋" w:eastAsia="仿宋" w:cs="仿宋"/>
          <w:sz w:val="24"/>
        </w:rPr>
        <w:t>或延长的有效期</w:t>
      </w:r>
      <w:r>
        <w:rPr>
          <w:rFonts w:hint="eastAsia" w:ascii="仿宋" w:hAnsi="仿宋" w:eastAsia="仿宋" w:cs="仿宋"/>
          <w:sz w:val="24"/>
          <w:lang w:eastAsia="zh-CN"/>
        </w:rPr>
        <w:t>），</w:t>
      </w:r>
      <w:r>
        <w:rPr>
          <w:rFonts w:hint="eastAsia" w:ascii="仿宋" w:hAnsi="仿宋" w:eastAsia="仿宋" w:cs="仿宋"/>
          <w:sz w:val="24"/>
        </w:rPr>
        <w:t>延长有效期无须通知我方。</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三、在本保证担保的保证期间内</w:t>
      </w:r>
      <w:r>
        <w:rPr>
          <w:rFonts w:hint="eastAsia" w:ascii="仿宋" w:hAnsi="仿宋" w:eastAsia="仿宋" w:cs="仿宋"/>
          <w:sz w:val="24"/>
          <w:lang w:eastAsia="zh-CN"/>
        </w:rPr>
        <w:t>，</w:t>
      </w:r>
      <w:r>
        <w:rPr>
          <w:rFonts w:hint="eastAsia" w:ascii="仿宋" w:hAnsi="仿宋" w:eastAsia="仿宋" w:cs="仿宋"/>
          <w:sz w:val="24"/>
        </w:rPr>
        <w:t>如果被保证人出现下列情形之一</w:t>
      </w:r>
      <w:r>
        <w:rPr>
          <w:rFonts w:hint="eastAsia" w:ascii="仿宋" w:hAnsi="仿宋" w:eastAsia="仿宋" w:cs="仿宋"/>
          <w:sz w:val="24"/>
          <w:lang w:eastAsia="zh-CN"/>
        </w:rPr>
        <w:t>，</w:t>
      </w:r>
      <w:r>
        <w:rPr>
          <w:rFonts w:hint="eastAsia" w:ascii="仿宋" w:hAnsi="仿宋" w:eastAsia="仿宋" w:cs="仿宋"/>
          <w:sz w:val="24"/>
        </w:rPr>
        <w:t>受益人可以向我方提起索赔：</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lang w:val="en-US" w:eastAsia="zh-CN"/>
        </w:rPr>
        <w:t xml:space="preserve"> </w:t>
      </w:r>
      <w:r>
        <w:rPr>
          <w:rFonts w:hint="eastAsia" w:ascii="仿宋" w:hAnsi="仿宋" w:eastAsia="仿宋" w:cs="仿宋"/>
          <w:sz w:val="24"/>
        </w:rPr>
        <w:t>被保证人在响应文件有效期内撤回其响应文件；</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2.</w:t>
      </w:r>
      <w:r>
        <w:rPr>
          <w:rFonts w:hint="eastAsia" w:ascii="仿宋" w:hAnsi="仿宋" w:eastAsia="仿宋" w:cs="仿宋"/>
          <w:sz w:val="24"/>
          <w:lang w:val="en-US" w:eastAsia="zh-CN"/>
        </w:rPr>
        <w:t xml:space="preserve"> </w:t>
      </w:r>
      <w:r>
        <w:rPr>
          <w:rFonts w:hint="eastAsia" w:ascii="仿宋" w:hAnsi="仿宋" w:eastAsia="仿宋" w:cs="仿宋"/>
          <w:sz w:val="24"/>
        </w:rPr>
        <w:t>被保证人在响应文件有效期内收到受益人发出的成交通知书后</w:t>
      </w:r>
      <w:r>
        <w:rPr>
          <w:rFonts w:hint="eastAsia" w:ascii="仿宋" w:hAnsi="仿宋" w:eastAsia="仿宋" w:cs="仿宋"/>
          <w:sz w:val="24"/>
          <w:lang w:eastAsia="zh-CN"/>
        </w:rPr>
        <w:t>，</w:t>
      </w:r>
      <w:r>
        <w:rPr>
          <w:rFonts w:hint="eastAsia" w:ascii="仿宋" w:hAnsi="仿宋" w:eastAsia="仿宋" w:cs="仿宋"/>
          <w:sz w:val="24"/>
        </w:rPr>
        <w:t>不能或拒绝按竞争性磋商文件的要求签署合同；</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3.</w:t>
      </w:r>
      <w:r>
        <w:rPr>
          <w:rFonts w:hint="eastAsia" w:ascii="仿宋" w:hAnsi="仿宋" w:eastAsia="仿宋" w:cs="仿宋"/>
          <w:sz w:val="24"/>
          <w:lang w:val="en-US" w:eastAsia="zh-CN"/>
        </w:rPr>
        <w:t xml:space="preserve"> </w:t>
      </w:r>
      <w:r>
        <w:rPr>
          <w:rFonts w:hint="eastAsia" w:ascii="仿宋" w:hAnsi="仿宋" w:eastAsia="仿宋" w:cs="仿宋"/>
          <w:sz w:val="24"/>
        </w:rPr>
        <w:t>被保证人在有效期内收到受益人发出的成交通知书后</w:t>
      </w:r>
      <w:r>
        <w:rPr>
          <w:rFonts w:hint="eastAsia" w:ascii="仿宋" w:hAnsi="仿宋" w:eastAsia="仿宋" w:cs="仿宋"/>
          <w:sz w:val="24"/>
          <w:lang w:eastAsia="zh-CN"/>
        </w:rPr>
        <w:t>，</w:t>
      </w:r>
      <w:r>
        <w:rPr>
          <w:rFonts w:hint="eastAsia" w:ascii="仿宋" w:hAnsi="仿宋" w:eastAsia="仿宋" w:cs="仿宋"/>
          <w:sz w:val="24"/>
        </w:rPr>
        <w:t>不能或拒绝按竞争性磋商文件的规定提交履约担保；</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4.</w:t>
      </w:r>
      <w:r>
        <w:rPr>
          <w:rFonts w:hint="eastAsia" w:ascii="仿宋" w:hAnsi="仿宋" w:eastAsia="仿宋" w:cs="仿宋"/>
          <w:sz w:val="24"/>
          <w:lang w:val="en-US" w:eastAsia="zh-CN"/>
        </w:rPr>
        <w:t xml:space="preserve"> </w:t>
      </w:r>
      <w:r>
        <w:rPr>
          <w:rFonts w:hint="eastAsia" w:ascii="仿宋" w:hAnsi="仿宋" w:eastAsia="仿宋" w:cs="仿宋"/>
          <w:sz w:val="24"/>
        </w:rPr>
        <w:t>被保证人成交后未按照竞争性磋商文件规定交纳代理服务费。</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四、在本保证担保的保证期间内</w:t>
      </w:r>
      <w:r>
        <w:rPr>
          <w:rFonts w:hint="eastAsia" w:ascii="仿宋" w:hAnsi="仿宋" w:eastAsia="仿宋" w:cs="仿宋"/>
          <w:sz w:val="24"/>
          <w:lang w:eastAsia="zh-CN"/>
        </w:rPr>
        <w:t>，</w:t>
      </w:r>
      <w:r>
        <w:rPr>
          <w:rFonts w:hint="eastAsia" w:ascii="仿宋" w:hAnsi="仿宋" w:eastAsia="仿宋" w:cs="仿宋"/>
          <w:sz w:val="24"/>
        </w:rPr>
        <w:t>我方收到受益人经法定代表人或其授权委托代理人签字并加盖公章的书面索赔通知后</w:t>
      </w:r>
      <w:r>
        <w:rPr>
          <w:rFonts w:hint="eastAsia" w:ascii="仿宋" w:hAnsi="仿宋" w:eastAsia="仿宋" w:cs="仿宋"/>
          <w:sz w:val="24"/>
          <w:lang w:eastAsia="zh-CN"/>
        </w:rPr>
        <w:t>，</w:t>
      </w:r>
      <w:r>
        <w:rPr>
          <w:rFonts w:hint="eastAsia" w:ascii="仿宋" w:hAnsi="仿宋" w:eastAsia="仿宋" w:cs="仿宋"/>
          <w:sz w:val="24"/>
        </w:rPr>
        <w:t>将不争辩、不挑剔、不可撤销地立即向受益人支付本保证担保的担保金额。</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五、受益人的索赔通知应当说明索赔理由</w:t>
      </w:r>
      <w:r>
        <w:rPr>
          <w:rFonts w:hint="eastAsia" w:ascii="仿宋" w:hAnsi="仿宋" w:eastAsia="仿宋" w:cs="仿宋"/>
          <w:sz w:val="24"/>
          <w:lang w:eastAsia="zh-CN"/>
        </w:rPr>
        <w:t>，</w:t>
      </w:r>
      <w:r>
        <w:rPr>
          <w:rFonts w:hint="eastAsia" w:ascii="仿宋" w:hAnsi="仿宋" w:eastAsia="仿宋" w:cs="仿宋"/>
          <w:sz w:val="24"/>
        </w:rPr>
        <w:t>并必须在本保证担保的保证期间内送达我方。</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六、本保证担保项下的权利不得转让。</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七、本保证担保的保证期间届满</w:t>
      </w:r>
      <w:r>
        <w:rPr>
          <w:rFonts w:hint="eastAsia" w:ascii="仿宋" w:hAnsi="仿宋" w:eastAsia="仿宋" w:cs="仿宋"/>
          <w:sz w:val="24"/>
          <w:lang w:eastAsia="zh-CN"/>
        </w:rPr>
        <w:t>，</w:t>
      </w:r>
      <w:r>
        <w:rPr>
          <w:rFonts w:hint="eastAsia" w:ascii="仿宋" w:hAnsi="仿宋" w:eastAsia="仿宋" w:cs="仿宋"/>
          <w:sz w:val="24"/>
        </w:rPr>
        <w:t>或我方已向受益人支付本保证担保的担保金额</w:t>
      </w:r>
      <w:r>
        <w:rPr>
          <w:rFonts w:hint="eastAsia" w:ascii="仿宋" w:hAnsi="仿宋" w:eastAsia="仿宋" w:cs="仿宋"/>
          <w:sz w:val="24"/>
          <w:lang w:eastAsia="zh-CN"/>
        </w:rPr>
        <w:t>，</w:t>
      </w:r>
      <w:r>
        <w:rPr>
          <w:rFonts w:hint="eastAsia" w:ascii="仿宋" w:hAnsi="仿宋" w:eastAsia="仿宋" w:cs="仿宋"/>
          <w:sz w:val="24"/>
        </w:rPr>
        <w:t>我方的保证责任免除。</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八、本保证担保适用中华人民共和国法律。</w:t>
      </w:r>
    </w:p>
    <w:p>
      <w:pPr>
        <w:numPr>
          <w:ilvl w:val="0"/>
          <w:numId w:val="0"/>
        </w:numPr>
        <w:snapToGrid w:val="0"/>
        <w:spacing w:line="288" w:lineRule="auto"/>
        <w:rPr>
          <w:rFonts w:hint="eastAsia" w:ascii="仿宋" w:hAnsi="仿宋" w:eastAsia="仿宋" w:cs="仿宋"/>
          <w:sz w:val="24"/>
        </w:rPr>
      </w:pPr>
      <w:r>
        <w:rPr>
          <w:rFonts w:hint="eastAsia" w:ascii="仿宋" w:hAnsi="仿宋" w:eastAsia="仿宋" w:cs="仿宋"/>
          <w:sz w:val="24"/>
        </w:rPr>
        <w:t xml:space="preserve">    九、本保证担保以中文文本为准</w:t>
      </w:r>
      <w:r>
        <w:rPr>
          <w:rFonts w:hint="eastAsia" w:ascii="仿宋" w:hAnsi="仿宋" w:eastAsia="仿宋" w:cs="仿宋"/>
          <w:sz w:val="24"/>
          <w:lang w:eastAsia="zh-CN"/>
        </w:rPr>
        <w:t>，</w:t>
      </w:r>
      <w:r>
        <w:rPr>
          <w:rFonts w:hint="eastAsia" w:ascii="仿宋" w:hAnsi="仿宋" w:eastAsia="仿宋" w:cs="仿宋"/>
          <w:sz w:val="24"/>
        </w:rPr>
        <w:t>涂改无效。</w:t>
      </w:r>
    </w:p>
    <w:p>
      <w:pPr>
        <w:snapToGrid w:val="0"/>
        <w:spacing w:line="288" w:lineRule="auto"/>
        <w:rPr>
          <w:rFonts w:hint="eastAsia" w:ascii="仿宋" w:hAnsi="仿宋" w:eastAsia="仿宋" w:cs="仿宋"/>
          <w:sz w:val="24"/>
          <w:lang w:eastAsia="zh-CN"/>
        </w:rPr>
      </w:pPr>
    </w:p>
    <w:p>
      <w:pPr>
        <w:snapToGrid w:val="0"/>
        <w:spacing w:line="288" w:lineRule="auto"/>
        <w:rPr>
          <w:rFonts w:hint="eastAsia" w:ascii="仿宋" w:hAnsi="仿宋" w:eastAsia="仿宋" w:cs="仿宋"/>
          <w:sz w:val="24"/>
          <w:u w:val="single"/>
          <w:lang w:eastAsia="zh-CN"/>
        </w:rPr>
      </w:pPr>
      <w:r>
        <w:rPr>
          <w:rFonts w:hint="eastAsia" w:ascii="仿宋" w:hAnsi="仿宋" w:eastAsia="仿宋" w:cs="仿宋"/>
          <w:sz w:val="24"/>
        </w:rPr>
        <w:t>保证人</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pPr>
        <w:snapToGrid w:val="0"/>
        <w:spacing w:line="288" w:lineRule="auto"/>
        <w:rPr>
          <w:rFonts w:hint="eastAsia" w:ascii="仿宋" w:hAnsi="仿宋" w:eastAsia="仿宋" w:cs="仿宋"/>
          <w:sz w:val="24"/>
          <w:u w:val="single"/>
          <w:lang w:val="en-US" w:eastAsia="zh-CN"/>
        </w:rPr>
      </w:pPr>
      <w:r>
        <w:rPr>
          <w:rFonts w:hint="eastAsia" w:ascii="仿宋" w:hAnsi="仿宋" w:eastAsia="仿宋" w:cs="仿宋"/>
          <w:sz w:val="24"/>
        </w:rPr>
        <w:t>法定代表人或其授权委托代理人</w:t>
      </w:r>
      <w:r>
        <w:rPr>
          <w:rFonts w:hint="eastAsia" w:ascii="仿宋" w:hAnsi="仿宋" w:eastAsia="仿宋" w:cs="仿宋"/>
          <w:sz w:val="24"/>
          <w:lang w:eastAsia="zh-CN"/>
        </w:rPr>
        <w:t>（</w:t>
      </w:r>
      <w:r>
        <w:rPr>
          <w:rFonts w:hint="eastAsia" w:ascii="仿宋" w:hAnsi="仿宋" w:eastAsia="仿宋" w:cs="仿宋"/>
          <w:sz w:val="24"/>
        </w:rPr>
        <w:t>签字或盖章）：</w:t>
      </w:r>
      <w:r>
        <w:rPr>
          <w:rFonts w:hint="eastAsia" w:ascii="仿宋" w:hAnsi="仿宋" w:eastAsia="仿宋" w:cs="仿宋"/>
          <w:sz w:val="24"/>
          <w:u w:val="single"/>
          <w:lang w:val="en-US" w:eastAsia="zh-CN"/>
        </w:rPr>
        <w:t xml:space="preserve">     </w:t>
      </w:r>
    </w:p>
    <w:p>
      <w:pPr>
        <w:snapToGrid w:val="0"/>
        <w:spacing w:line="288" w:lineRule="auto"/>
        <w:rPr>
          <w:rFonts w:hint="eastAsia" w:ascii="仿宋" w:hAnsi="仿宋" w:eastAsia="仿宋" w:cs="仿宋"/>
          <w:sz w:val="24"/>
          <w:lang w:eastAsia="zh-CN"/>
        </w:rPr>
      </w:pPr>
      <w:r>
        <w:rPr>
          <w:rFonts w:hint="eastAsia" w:ascii="仿宋" w:hAnsi="仿宋" w:eastAsia="仿宋" w:cs="仿宋"/>
          <w:sz w:val="24"/>
        </w:rPr>
        <w:t>单位地址</w:t>
      </w:r>
      <w:r>
        <w:rPr>
          <w:rFonts w:hint="eastAsia" w:ascii="仿宋" w:hAnsi="仿宋" w:eastAsia="仿宋" w:cs="仿宋"/>
          <w:sz w:val="24"/>
          <w:lang w:eastAsia="zh-CN"/>
        </w:rPr>
        <w:t>：</w:t>
      </w:r>
    </w:p>
    <w:p>
      <w:pPr>
        <w:snapToGrid w:val="0"/>
        <w:spacing w:line="288" w:lineRule="auto"/>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lang w:eastAsia="zh-CN"/>
        </w:rPr>
        <w:t>：</w:t>
      </w:r>
      <w:r>
        <w:rPr>
          <w:rFonts w:hint="eastAsia" w:ascii="仿宋" w:hAnsi="仿宋" w:eastAsia="仿宋" w:cs="仿宋"/>
          <w:sz w:val="24"/>
        </w:rPr>
        <w:t xml:space="preserve">     </w:t>
      </w:r>
    </w:p>
    <w:p>
      <w:pPr>
        <w:snapToGrid w:val="0"/>
        <w:spacing w:line="288"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eastAsia="zh-CN"/>
        </w:rPr>
        <w:t>：</w:t>
      </w:r>
      <w:r>
        <w:rPr>
          <w:rFonts w:hint="eastAsia" w:ascii="仿宋" w:hAnsi="仿宋" w:eastAsia="仿宋" w:cs="仿宋"/>
          <w:sz w:val="24"/>
        </w:rPr>
        <w:t xml:space="preserve">     年    </w:t>
      </w:r>
      <w:r>
        <w:rPr>
          <w:rFonts w:hint="eastAsia" w:ascii="仿宋" w:hAnsi="仿宋" w:eastAsia="仿宋" w:cs="仿宋"/>
          <w:sz w:val="24"/>
          <w:lang w:val="en-US" w:eastAsia="zh-CN"/>
        </w:rPr>
        <w:t xml:space="preserve"> </w:t>
      </w:r>
      <w:r>
        <w:rPr>
          <w:rFonts w:hint="eastAsia" w:ascii="仿宋" w:hAnsi="仿宋" w:eastAsia="仿宋" w:cs="仿宋"/>
          <w:sz w:val="24"/>
        </w:rPr>
        <w:t>月    </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pStyle w:val="4"/>
        <w:rPr>
          <w:rFonts w:hint="eastAsia" w:ascii="仿宋" w:hAnsi="仿宋" w:eastAsia="仿宋" w:cs="仿宋"/>
          <w:b/>
          <w:bCs/>
          <w:kern w:val="0"/>
          <w:sz w:val="32"/>
          <w:szCs w:val="32"/>
        </w:rPr>
      </w:pPr>
      <w:bookmarkStart w:id="519" w:name="_Toc21748"/>
      <w:bookmarkStart w:id="520" w:name="_Toc515647799"/>
      <w:bookmarkStart w:id="521" w:name="_Toc532473491"/>
      <w:bookmarkStart w:id="522" w:name="_Toc16186"/>
      <w:r>
        <w:rPr>
          <w:rFonts w:hint="eastAsia" w:ascii="仿宋" w:hAnsi="仿宋" w:eastAsia="仿宋" w:cs="仿宋"/>
          <w:kern w:val="0"/>
          <w:sz w:val="24"/>
        </w:rPr>
        <w:br w:type="page"/>
      </w:r>
      <w:bookmarkEnd w:id="519"/>
      <w:bookmarkEnd w:id="520"/>
      <w:bookmarkEnd w:id="521"/>
      <w:bookmarkEnd w:id="522"/>
      <w:bookmarkStart w:id="523" w:name="_Toc532473492"/>
      <w:bookmarkStart w:id="524" w:name="_Toc20660404"/>
      <w:bookmarkStart w:id="525" w:name="_Toc6548"/>
      <w:bookmarkStart w:id="526" w:name="_Toc515647800"/>
      <w:bookmarkStart w:id="527" w:name="_Toc10951"/>
      <w:r>
        <w:rPr>
          <w:rFonts w:hint="eastAsia" w:ascii="仿宋" w:hAnsi="仿宋" w:eastAsia="仿宋" w:cs="仿宋"/>
          <w:b/>
          <w:bCs/>
          <w:sz w:val="28"/>
          <w:szCs w:val="36"/>
        </w:rPr>
        <w:t>附件2</w:t>
      </w: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23"/>
      <w:bookmarkEnd w:id="524"/>
      <w:bookmarkEnd w:id="525"/>
      <w:bookmarkEnd w:id="526"/>
      <w:bookmarkEnd w:id="527"/>
    </w:p>
    <w:p>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pPr>
        <w:snapToGrid w:val="0"/>
        <w:spacing w:line="336" w:lineRule="auto"/>
        <w:rPr>
          <w:rFonts w:hint="eastAsia" w:ascii="仿宋" w:hAnsi="仿宋" w:eastAsia="仿宋" w:cs="仿宋"/>
          <w:sz w:val="28"/>
          <w:szCs w:val="28"/>
        </w:rPr>
      </w:pPr>
    </w:p>
    <w:p>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pPr>
        <w:snapToGrid w:val="0"/>
        <w:spacing w:line="336" w:lineRule="auto"/>
        <w:rPr>
          <w:rFonts w:hint="eastAsia" w:ascii="仿宋" w:hAnsi="仿宋" w:eastAsia="仿宋" w:cs="仿宋"/>
          <w:sz w:val="24"/>
        </w:rPr>
      </w:pPr>
      <w:r>
        <w:rPr>
          <w:rFonts w:hint="eastAsia" w:ascii="仿宋" w:hAnsi="仿宋" w:eastAsia="仿宋" w:cs="仿宋"/>
          <w:sz w:val="24"/>
        </w:rPr>
        <w:t>　　2．主合同约定的应当缴纳履约保证金的情形</w:t>
      </w:r>
      <w:r>
        <w:rPr>
          <w:rFonts w:hint="eastAsia" w:ascii="仿宋" w:hAnsi="仿宋" w:eastAsia="仿宋" w:cs="仿宋"/>
          <w:sz w:val="24"/>
          <w:lang w:eastAsia="zh-CN"/>
        </w:rPr>
        <w:t>：</w:t>
      </w:r>
      <w:r>
        <w:rPr>
          <w:rFonts w:hint="eastAsia" w:ascii="仿宋" w:hAnsi="仿宋" w:eastAsia="仿宋" w:cs="仿宋"/>
          <w:sz w:val="24"/>
        </w:rPr>
        <w:t xml:space="preserve"> </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snapToGrid w:val="0"/>
        <w:spacing w:line="336" w:lineRule="auto"/>
        <w:rPr>
          <w:rFonts w:hint="eastAsia" w:ascii="仿宋" w:hAnsi="仿宋" w:eastAsia="仿宋" w:cs="仿宋"/>
          <w:sz w:val="24"/>
        </w:rPr>
      </w:pPr>
    </w:p>
    <w:p>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lang w:val="en-US" w:eastAsia="zh-CN"/>
        </w:rPr>
        <w:t>日期</w:t>
      </w:r>
      <w:r>
        <w:rPr>
          <w:rFonts w:hint="eastAsia" w:ascii="仿宋" w:hAnsi="仿宋" w:eastAsia="仿宋" w:cs="仿宋"/>
          <w:sz w:val="24"/>
        </w:rPr>
        <w:t>：</w:t>
      </w:r>
      <w:r>
        <w:rPr>
          <w:rFonts w:hint="eastAsia" w:ascii="仿宋" w:hAnsi="仿宋" w:eastAsia="仿宋" w:cs="仿宋"/>
          <w:sz w:val="24"/>
          <w:lang w:val="en-US" w:eastAsia="zh-CN"/>
        </w:rPr>
        <w:t xml:space="preserve">   年   月   日</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p>
      <w:pPr>
        <w:spacing w:after="120"/>
        <w:rPr>
          <w:rFonts w:hint="eastAsia" w:ascii="仿宋" w:hAnsi="仿宋" w:eastAsia="仿宋" w:cs="仿宋"/>
        </w:rPr>
      </w:pPr>
    </w:p>
    <w:p>
      <w:pPr>
        <w:rPr>
          <w:rFonts w:hint="eastAsia" w:ascii="仿宋" w:hAnsi="仿宋" w:eastAsia="仿宋" w:cs="仿宋"/>
          <w:b/>
          <w:bCs/>
          <w:sz w:val="28"/>
          <w:szCs w:val="36"/>
          <w:lang w:val="zh-CN"/>
        </w:rPr>
      </w:pPr>
      <w:r>
        <w:rPr>
          <w:rFonts w:hint="eastAsia" w:ascii="仿宋" w:hAnsi="仿宋" w:eastAsia="仿宋" w:cs="仿宋"/>
          <w:b/>
          <w:bCs/>
          <w:sz w:val="28"/>
          <w:szCs w:val="36"/>
          <w:lang w:val="zh-CN"/>
        </w:rPr>
        <w:br w:type="page"/>
      </w:r>
    </w:p>
    <w:p>
      <w:pPr>
        <w:pStyle w:val="4"/>
        <w:rPr>
          <w:rFonts w:hint="eastAsia" w:ascii="仿宋" w:hAnsi="仿宋" w:eastAsia="仿宋" w:cs="仿宋"/>
          <w:b/>
          <w:bCs/>
          <w:sz w:val="28"/>
          <w:szCs w:val="36"/>
          <w:lang w:val="zh-CN"/>
        </w:rPr>
      </w:pPr>
      <w:r>
        <w:rPr>
          <w:rFonts w:hint="eastAsia" w:ascii="仿宋" w:hAnsi="仿宋" w:eastAsia="仿宋" w:cs="仿宋"/>
          <w:b/>
          <w:bCs/>
          <w:sz w:val="28"/>
          <w:szCs w:val="36"/>
          <w:lang w:val="zh-CN"/>
        </w:rPr>
        <w:t>附件3</w:t>
      </w: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 xml:space="preserve"> （最后）磋商响应报价</w:t>
      </w:r>
      <w:r>
        <w:rPr>
          <w:rFonts w:hint="eastAsia" w:ascii="仿宋" w:hAnsi="仿宋" w:eastAsia="仿宋" w:cs="仿宋"/>
          <w:b/>
          <w:bCs/>
          <w:sz w:val="28"/>
          <w:szCs w:val="36"/>
          <w:lang w:val="en-US" w:eastAsia="zh-CN"/>
        </w:rPr>
        <w:t>一览</w:t>
      </w:r>
      <w:r>
        <w:rPr>
          <w:rFonts w:hint="eastAsia" w:ascii="仿宋" w:hAnsi="仿宋" w:eastAsia="仿宋" w:cs="仿宋"/>
          <w:b/>
          <w:bCs/>
          <w:sz w:val="28"/>
          <w:szCs w:val="36"/>
        </w:rPr>
        <w:t>表</w:t>
      </w:r>
    </w:p>
    <w:p>
      <w:pPr>
        <w:spacing w:after="120"/>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（随身携带，单独提供，无需装订在响应文件中）</w:t>
      </w:r>
    </w:p>
    <w:p>
      <w:pPr>
        <w:pStyle w:val="22"/>
        <w:rPr>
          <w:rFonts w:hint="eastAsia" w:ascii="仿宋" w:hAnsi="仿宋" w:eastAsia="仿宋" w:cs="仿宋"/>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w:t>
            </w:r>
          </w:p>
          <w:p>
            <w:pPr>
              <w:spacing w:after="120"/>
              <w:jc w:val="center"/>
              <w:rPr>
                <w:rFonts w:hint="eastAsia" w:ascii="仿宋" w:hAnsi="仿宋" w:eastAsia="仿宋" w:cs="仿宋"/>
                <w:b/>
                <w:sz w:val="24"/>
              </w:rPr>
            </w:pPr>
            <w:r>
              <w:rPr>
                <w:rFonts w:hint="eastAsia" w:ascii="仿宋" w:hAnsi="仿宋" w:eastAsia="仿宋" w:cs="仿宋"/>
                <w:b/>
                <w:sz w:val="24"/>
              </w:rPr>
              <w:t>项目名称</w:t>
            </w:r>
          </w:p>
        </w:tc>
        <w:tc>
          <w:tcPr>
            <w:tcW w:w="6981" w:type="dxa"/>
            <w:vAlign w:val="center"/>
          </w:tcPr>
          <w:p>
            <w:pPr>
              <w:spacing w:after="120"/>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spacing w:after="12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after="120"/>
              <w:rPr>
                <w:rFonts w:hint="eastAsia" w:ascii="仿宋" w:hAnsi="仿宋" w:eastAsia="仿宋" w:cs="仿宋"/>
                <w:sz w:val="24"/>
                <w:u w:val="single"/>
              </w:rPr>
            </w:pPr>
            <w:r>
              <w:rPr>
                <w:rFonts w:hint="eastAsia" w:ascii="仿宋" w:hAnsi="仿宋" w:eastAsia="仿宋" w:cs="仿宋"/>
                <w:sz w:val="24"/>
              </w:rPr>
              <w:t xml:space="preserve">包号：（如有）          </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响应总价</w:t>
            </w:r>
          </w:p>
        </w:tc>
        <w:tc>
          <w:tcPr>
            <w:tcW w:w="6981" w:type="dxa"/>
            <w:vAlign w:val="center"/>
          </w:tcPr>
          <w:p>
            <w:pPr>
              <w:spacing w:after="120"/>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整（小写：¥</w:t>
            </w:r>
            <w:r>
              <w:rPr>
                <w:rFonts w:hint="eastAsia" w:ascii="仿宋" w:hAnsi="仿宋" w:eastAsia="仿宋" w:cs="仿宋"/>
                <w:sz w:val="24"/>
                <w:u w:val="single"/>
              </w:rPr>
              <w:t xml:space="preserve">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lang w:eastAsia="zh-CN"/>
              </w:rPr>
              <w:t>服务</w:t>
            </w:r>
            <w:r>
              <w:rPr>
                <w:rFonts w:hint="eastAsia" w:ascii="仿宋" w:hAnsi="仿宋" w:eastAsia="仿宋" w:cs="仿宋"/>
                <w:b/>
                <w:sz w:val="24"/>
              </w:rPr>
              <w:t>期</w:t>
            </w:r>
          </w:p>
        </w:tc>
        <w:tc>
          <w:tcPr>
            <w:tcW w:w="6981" w:type="dxa"/>
            <w:vAlign w:val="center"/>
          </w:tcPr>
          <w:p>
            <w:pPr>
              <w:spacing w:after="12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lang w:eastAsia="zh-CN"/>
              </w:rPr>
              <w:t>服务</w:t>
            </w:r>
            <w:r>
              <w:rPr>
                <w:rFonts w:hint="eastAsia" w:ascii="仿宋" w:hAnsi="仿宋" w:eastAsia="仿宋" w:cs="仿宋"/>
                <w:b/>
                <w:sz w:val="24"/>
              </w:rPr>
              <w:t>地点</w:t>
            </w:r>
          </w:p>
        </w:tc>
        <w:tc>
          <w:tcPr>
            <w:tcW w:w="6981" w:type="dxa"/>
            <w:vAlign w:val="center"/>
          </w:tcPr>
          <w:p>
            <w:pPr>
              <w:spacing w:after="12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备注</w:t>
            </w:r>
          </w:p>
        </w:tc>
        <w:tc>
          <w:tcPr>
            <w:tcW w:w="6981" w:type="dxa"/>
            <w:vAlign w:val="center"/>
          </w:tcPr>
          <w:p>
            <w:pPr>
              <w:spacing w:after="120"/>
              <w:rPr>
                <w:rFonts w:hint="eastAsia" w:ascii="仿宋" w:hAnsi="仿宋" w:eastAsia="仿宋" w:cs="仿宋"/>
                <w:sz w:val="24"/>
              </w:rPr>
            </w:pPr>
          </w:p>
        </w:tc>
      </w:tr>
    </w:tbl>
    <w:p>
      <w:pPr>
        <w:pStyle w:val="22"/>
        <w:rPr>
          <w:rFonts w:hint="eastAsia" w:ascii="仿宋" w:hAnsi="仿宋" w:eastAsia="仿宋" w:cs="仿宋"/>
          <w:lang w:val="zh-CN"/>
        </w:rPr>
      </w:pPr>
    </w:p>
    <w:p>
      <w:pPr>
        <w:autoSpaceDE w:val="0"/>
        <w:autoSpaceDN w:val="0"/>
        <w:adjustRightInd w:val="0"/>
        <w:snapToGrid w:val="0"/>
        <w:spacing w:line="360" w:lineRule="auto"/>
        <w:rPr>
          <w:rFonts w:hint="eastAsia" w:ascii="仿宋" w:hAnsi="仿宋" w:eastAsia="仿宋" w:cs="仿宋"/>
          <w:b/>
          <w:bCs/>
          <w:sz w:val="24"/>
        </w:rPr>
      </w:pPr>
    </w:p>
    <w:p>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                                                                                     </w:t>
      </w: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rPr>
          <w:rFonts w:hint="eastAsia" w:ascii="仿宋" w:hAnsi="仿宋" w:eastAsia="仿宋" w:cs="仿宋"/>
          <w:b/>
          <w:bCs/>
          <w:sz w:val="28"/>
          <w:szCs w:val="36"/>
        </w:rPr>
      </w:pPr>
      <w:r>
        <w:rPr>
          <w:rFonts w:hint="eastAsia" w:ascii="仿宋" w:hAnsi="仿宋" w:eastAsia="仿宋" w:cs="仿宋"/>
          <w:b/>
          <w:bCs/>
          <w:sz w:val="28"/>
          <w:szCs w:val="36"/>
        </w:rPr>
        <w:br w:type="page"/>
      </w:r>
    </w:p>
    <w:p>
      <w:pPr>
        <w:pStyle w:val="4"/>
        <w:jc w:val="center"/>
        <w:rPr>
          <w:rFonts w:hint="eastAsia" w:ascii="仿宋" w:hAnsi="仿宋" w:eastAsia="仿宋" w:cs="仿宋"/>
          <w:b/>
          <w:bCs/>
          <w:sz w:val="28"/>
          <w:szCs w:val="36"/>
        </w:rPr>
      </w:pPr>
      <w:r>
        <w:rPr>
          <w:rFonts w:hint="eastAsia" w:ascii="仿宋" w:hAnsi="仿宋" w:eastAsia="仿宋" w:cs="仿宋"/>
          <w:b/>
          <w:bCs/>
          <w:sz w:val="28"/>
          <w:szCs w:val="36"/>
        </w:rPr>
        <w:t>（最后）</w:t>
      </w:r>
      <w:r>
        <w:rPr>
          <w:rFonts w:hint="eastAsia" w:ascii="仿宋" w:hAnsi="仿宋" w:eastAsia="仿宋" w:cs="仿宋"/>
          <w:b/>
          <w:bCs/>
          <w:sz w:val="28"/>
          <w:szCs w:val="36"/>
          <w:lang w:val="en-US" w:eastAsia="zh-CN"/>
        </w:rPr>
        <w:t>响应</w:t>
      </w:r>
      <w:r>
        <w:rPr>
          <w:rFonts w:hint="eastAsia" w:ascii="仿宋" w:hAnsi="仿宋" w:eastAsia="仿宋" w:cs="仿宋"/>
          <w:b/>
          <w:bCs/>
          <w:sz w:val="28"/>
          <w:szCs w:val="36"/>
        </w:rPr>
        <w:t>分项报价表</w:t>
      </w:r>
    </w:p>
    <w:p>
      <w:pPr>
        <w:pStyle w:val="22"/>
        <w:rPr>
          <w:rFonts w:hint="eastAsia" w:ascii="仿宋" w:hAnsi="仿宋" w:eastAsia="仿宋" w:cs="仿宋"/>
        </w:rPr>
      </w:pPr>
      <w:r>
        <w:rPr>
          <w:rFonts w:hint="eastAsia" w:ascii="仿宋" w:hAnsi="仿宋" w:eastAsia="仿宋" w:cs="仿宋"/>
        </w:rPr>
        <w:t xml:space="preserve">                      （随身携带，单独提供，无需装订在响应文件中）</w:t>
      </w:r>
    </w:p>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rPr>
          <w:rFonts w:hint="eastAsia" w:ascii="仿宋" w:hAnsi="仿宋" w:eastAsia="仿宋" w:cs="仿宋"/>
        </w:rPr>
      </w:pPr>
      <w:r>
        <w:rPr>
          <w:rFonts w:hint="eastAsia" w:ascii="仿宋" w:hAnsi="仿宋" w:eastAsia="仿宋" w:cs="仿宋"/>
          <w:sz w:val="24"/>
        </w:rPr>
        <w:t>项目名称：</w:t>
      </w:r>
    </w:p>
    <w:tbl>
      <w:tblPr>
        <w:tblStyle w:val="50"/>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789"/>
        <w:gridCol w:w="1277"/>
        <w:gridCol w:w="1642"/>
        <w:gridCol w:w="145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0"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789" w:type="dxa"/>
            <w:noWrap w:val="0"/>
            <w:vAlign w:val="center"/>
          </w:tcPr>
          <w:p>
            <w:pPr>
              <w:adjustRightInd w:val="0"/>
              <w:snapToGrid w:val="0"/>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服务内容</w:t>
            </w:r>
          </w:p>
        </w:tc>
        <w:tc>
          <w:tcPr>
            <w:tcW w:w="1277"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数量</w:t>
            </w:r>
          </w:p>
        </w:tc>
        <w:tc>
          <w:tcPr>
            <w:tcW w:w="1642"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单价（元）</w:t>
            </w:r>
          </w:p>
        </w:tc>
        <w:tc>
          <w:tcPr>
            <w:tcW w:w="1459" w:type="dxa"/>
            <w:noWrap w:val="0"/>
            <w:vAlign w:val="center"/>
          </w:tcPr>
          <w:p>
            <w:pPr>
              <w:adjustRightInd w:val="0"/>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小计（元）</w:t>
            </w:r>
          </w:p>
        </w:tc>
        <w:tc>
          <w:tcPr>
            <w:tcW w:w="911" w:type="dxa"/>
            <w:noWrap w:val="0"/>
            <w:vAlign w:val="center"/>
          </w:tcPr>
          <w:p>
            <w:pPr>
              <w:adjustRightInd w:val="0"/>
              <w:snapToGrid w:val="0"/>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4</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5</w:t>
            </w: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jc w:val="center"/>
              <w:rPr>
                <w:rFonts w:hint="eastAsia" w:ascii="仿宋_GB2312" w:eastAsia="仿宋_GB2312"/>
                <w:color w:val="auto"/>
                <w:sz w:val="24"/>
                <w:highlight w:val="none"/>
                <w:lang w:val="en-US" w:eastAsia="zh-CN"/>
              </w:rPr>
            </w:pPr>
          </w:p>
        </w:tc>
        <w:tc>
          <w:tcPr>
            <w:tcW w:w="2789" w:type="dxa"/>
            <w:noWrap w:val="0"/>
            <w:vAlign w:val="center"/>
          </w:tcPr>
          <w:p>
            <w:pPr>
              <w:adjustRightInd w:val="0"/>
              <w:snapToGrid w:val="0"/>
              <w:spacing w:line="360" w:lineRule="auto"/>
              <w:rPr>
                <w:rFonts w:ascii="仿宋_GB2312" w:hAnsi="Times New Roman" w:eastAsia="仿宋_GB2312" w:cs="Times New Roman"/>
                <w:color w:val="auto"/>
                <w:kern w:val="2"/>
                <w:sz w:val="24"/>
                <w:szCs w:val="24"/>
                <w:highlight w:val="none"/>
                <w:lang w:val="en-US" w:eastAsia="zh-CN" w:bidi="ar-SA"/>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0" w:type="dxa"/>
            <w:noWrap w:val="0"/>
            <w:vAlign w:val="center"/>
          </w:tcPr>
          <w:p>
            <w:pPr>
              <w:adjustRightInd w:val="0"/>
              <w:snapToGrid w:val="0"/>
              <w:spacing w:line="360" w:lineRule="auto"/>
              <w:rPr>
                <w:rFonts w:ascii="仿宋_GB2312" w:eastAsia="仿宋_GB2312"/>
                <w:color w:val="auto"/>
                <w:sz w:val="24"/>
                <w:highlight w:val="none"/>
              </w:rPr>
            </w:pPr>
          </w:p>
        </w:tc>
        <w:tc>
          <w:tcPr>
            <w:tcW w:w="2789" w:type="dxa"/>
            <w:noWrap w:val="0"/>
            <w:vAlign w:val="center"/>
          </w:tcPr>
          <w:p>
            <w:pPr>
              <w:adjustRightInd w:val="0"/>
              <w:snapToGrid w:val="0"/>
              <w:spacing w:line="360" w:lineRule="auto"/>
              <w:rPr>
                <w:rFonts w:ascii="仿宋_GB2312" w:eastAsia="仿宋_GB2312"/>
                <w:color w:val="auto"/>
                <w:sz w:val="24"/>
                <w:highlight w:val="none"/>
              </w:rPr>
            </w:pPr>
          </w:p>
        </w:tc>
        <w:tc>
          <w:tcPr>
            <w:tcW w:w="1277" w:type="dxa"/>
            <w:noWrap w:val="0"/>
            <w:vAlign w:val="center"/>
          </w:tcPr>
          <w:p>
            <w:pPr>
              <w:adjustRightInd w:val="0"/>
              <w:snapToGrid w:val="0"/>
              <w:spacing w:line="360" w:lineRule="auto"/>
              <w:rPr>
                <w:rFonts w:ascii="仿宋_GB2312" w:eastAsia="仿宋_GB2312"/>
                <w:color w:val="auto"/>
                <w:sz w:val="24"/>
                <w:highlight w:val="none"/>
              </w:rPr>
            </w:pPr>
          </w:p>
        </w:tc>
        <w:tc>
          <w:tcPr>
            <w:tcW w:w="1642" w:type="dxa"/>
            <w:noWrap w:val="0"/>
            <w:vAlign w:val="center"/>
          </w:tcPr>
          <w:p>
            <w:pPr>
              <w:adjustRightInd w:val="0"/>
              <w:snapToGrid w:val="0"/>
              <w:spacing w:line="360" w:lineRule="auto"/>
              <w:rPr>
                <w:rFonts w:ascii="仿宋_GB2312" w:eastAsia="仿宋_GB2312"/>
                <w:color w:val="auto"/>
                <w:sz w:val="24"/>
                <w:highlight w:val="none"/>
              </w:rPr>
            </w:pPr>
          </w:p>
        </w:tc>
        <w:tc>
          <w:tcPr>
            <w:tcW w:w="1459" w:type="dxa"/>
            <w:noWrap w:val="0"/>
            <w:vAlign w:val="center"/>
          </w:tcPr>
          <w:p>
            <w:pPr>
              <w:adjustRightInd w:val="0"/>
              <w:snapToGrid w:val="0"/>
              <w:spacing w:line="360" w:lineRule="auto"/>
              <w:rPr>
                <w:rFonts w:ascii="仿宋_GB2312" w:eastAsia="仿宋_GB2312"/>
                <w:color w:val="auto"/>
                <w:sz w:val="24"/>
                <w:highlight w:val="none"/>
              </w:rPr>
            </w:pPr>
          </w:p>
        </w:tc>
        <w:tc>
          <w:tcPr>
            <w:tcW w:w="911" w:type="dxa"/>
            <w:noWrap w:val="0"/>
            <w:vAlign w:val="center"/>
          </w:tcPr>
          <w:p>
            <w:pPr>
              <w:adjustRightInd w:val="0"/>
              <w:snapToGrid w:val="0"/>
              <w:spacing w:line="360" w:lineRule="auto"/>
              <w:rPr>
                <w:rFonts w:ascii="仿宋_GB2312" w:eastAsia="仿宋_GB2312"/>
                <w:color w:val="auto"/>
                <w:sz w:val="24"/>
                <w:highlight w:val="none"/>
              </w:rPr>
            </w:pPr>
          </w:p>
        </w:tc>
      </w:tr>
    </w:tbl>
    <w:p>
      <w:pPr>
        <w:autoSpaceDE w:val="0"/>
        <w:autoSpaceDN w:val="0"/>
        <w:adjustRightInd w:val="0"/>
        <w:snapToGrid w:val="0"/>
        <w:spacing w:before="120" w:line="360" w:lineRule="auto"/>
        <w:ind w:left="-206" w:leftChars="-98"/>
        <w:jc w:val="left"/>
        <w:rPr>
          <w:rFonts w:hint="eastAsia" w:ascii="仿宋" w:hAnsi="仿宋" w:eastAsia="仿宋" w:cs="仿宋"/>
          <w:kern w:val="0"/>
          <w:sz w:val="24"/>
          <w:szCs w:val="28"/>
        </w:rPr>
      </w:pPr>
    </w:p>
    <w:p>
      <w:pPr>
        <w:spacing w:line="360" w:lineRule="auto"/>
        <w:ind w:firstLine="1920" w:firstLineChars="800"/>
        <w:rPr>
          <w:rFonts w:hint="eastAsia" w:ascii="仿宋" w:hAnsi="仿宋" w:eastAsia="仿宋" w:cs="仿宋"/>
          <w:sz w:val="24"/>
          <w:lang w:val="en-US" w:eastAsia="zh-CN"/>
        </w:rPr>
      </w:pPr>
      <w:r>
        <w:rPr>
          <w:rFonts w:hint="eastAsia" w:ascii="仿宋" w:hAnsi="仿宋" w:eastAsia="仿宋" w:cs="仿宋"/>
          <w:sz w:val="24"/>
          <w:lang w:val="en-US" w:eastAsia="zh-CN"/>
        </w:rPr>
        <w:t>供应商</w:t>
      </w:r>
      <w:r>
        <w:rPr>
          <w:rFonts w:hint="eastAsia" w:ascii="仿宋" w:hAnsi="仿宋" w:eastAsia="仿宋" w:cs="仿宋"/>
          <w:sz w:val="24"/>
        </w:rPr>
        <w:t>（盖</w:t>
      </w:r>
      <w:r>
        <w:rPr>
          <w:rFonts w:hint="eastAsia" w:ascii="仿宋" w:hAnsi="仿宋" w:eastAsia="仿宋" w:cs="仿宋"/>
          <w:sz w:val="24"/>
          <w:lang w:val="en-US" w:eastAsia="zh-CN"/>
        </w:rPr>
        <w:t>公</w:t>
      </w:r>
      <w:r>
        <w:rPr>
          <w:rFonts w:hint="eastAsia" w:ascii="仿宋" w:hAnsi="仿宋" w:eastAsia="仿宋" w:cs="仿宋"/>
          <w:sz w:val="24"/>
        </w:rPr>
        <w:t>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p>
    <w:p>
      <w:pPr>
        <w:spacing w:line="360" w:lineRule="auto"/>
        <w:ind w:firstLine="1920" w:firstLineChars="800"/>
        <w:rPr>
          <w:rFonts w:hint="eastAsia" w:ascii="仿宋" w:hAnsi="仿宋" w:eastAsia="仿宋" w:cs="仿宋"/>
          <w:kern w:val="0"/>
          <w:sz w:val="24"/>
          <w:u w:val="single"/>
        </w:rPr>
      </w:pPr>
      <w:r>
        <w:rPr>
          <w:rFonts w:hint="eastAsia" w:ascii="仿宋" w:hAnsi="仿宋" w:eastAsia="仿宋" w:cs="仿宋"/>
          <w:sz w:val="24"/>
        </w:rPr>
        <w:t>日    期：</w:t>
      </w:r>
      <w:r>
        <w:rPr>
          <w:rFonts w:hint="eastAsia" w:ascii="仿宋" w:hAnsi="仿宋" w:eastAsia="仿宋" w:cs="仿宋"/>
          <w:sz w:val="32"/>
          <w:u w:val="single"/>
        </w:rPr>
        <w:t xml:space="preserve">        </w:t>
      </w:r>
    </w:p>
    <w:p>
      <w:pPr>
        <w:rPr>
          <w:rFonts w:hint="eastAsia" w:ascii="仿宋" w:hAnsi="仿宋" w:eastAsia="仿宋" w:cs="仿宋"/>
          <w:szCs w:val="21"/>
        </w:rPr>
      </w:pPr>
    </w:p>
    <w:p>
      <w:pPr>
        <w:pStyle w:val="22"/>
        <w:rPr>
          <w:rFonts w:hint="eastAsia" w:ascii="仿宋" w:hAnsi="仿宋" w:eastAsia="仿宋" w:cs="仿宋"/>
          <w:szCs w:val="21"/>
        </w:rPr>
      </w:pPr>
    </w:p>
    <w:p>
      <w:pPr>
        <w:numPr>
          <w:ilvl w:val="0"/>
          <w:numId w:val="0"/>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b/>
          <w:color w:val="auto"/>
          <w:kern w:val="0"/>
          <w:sz w:val="32"/>
          <w:szCs w:val="32"/>
          <w:highlight w:val="none"/>
          <w:shd w:val="clear" w:color="auto" w:fill="FFFFFF"/>
          <w:lang w:val="en-US" w:eastAsia="zh-CN" w:bidi="ar-SA"/>
        </w:rPr>
      </w:pPr>
    </w:p>
    <w:p>
      <w:pPr>
        <w:rPr>
          <w:rFonts w:hint="eastAsia" w:ascii="仿宋" w:hAnsi="仿宋" w:eastAsia="仿宋" w:cs="仿宋"/>
          <w:lang w:val="en-US" w:eastAsia="zh-CN"/>
        </w:rPr>
      </w:pPr>
    </w:p>
    <w:sectPr>
      <w:footerReference r:id="rId10" w:type="first"/>
      <w:headerReference r:id="rId8" w:type="default"/>
      <w:footerReference r:id="rId9"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5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238BBE3"/>
    <w:multiLevelType w:val="singleLevel"/>
    <w:tmpl w:val="C238BBE3"/>
    <w:lvl w:ilvl="0" w:tentative="0">
      <w:start w:val="2"/>
      <w:numFmt w:val="chineseCounting"/>
      <w:suff w:val="nothing"/>
      <w:lvlText w:val="%1、"/>
      <w:lvlJc w:val="left"/>
      <w:rPr>
        <w:rFonts w:hint="eastAsia"/>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035497F"/>
    <w:multiLevelType w:val="singleLevel"/>
    <w:tmpl w:val="1035497F"/>
    <w:lvl w:ilvl="0" w:tentative="0">
      <w:start w:val="5"/>
      <w:numFmt w:val="decimal"/>
      <w:suff w:val="space"/>
      <w:lvlText w:val="%1."/>
      <w:lvlJc w:val="left"/>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5AAB3475"/>
    <w:multiLevelType w:val="singleLevel"/>
    <w:tmpl w:val="5AAB3475"/>
    <w:lvl w:ilvl="0" w:tentative="0">
      <w:start w:val="1"/>
      <w:numFmt w:val="decimal"/>
      <w:lvlText w:val="%1."/>
      <w:lvlJc w:val="left"/>
      <w:pPr>
        <w:ind w:left="425" w:hanging="425"/>
      </w:pPr>
      <w:rPr>
        <w:rFonts w:hint="default"/>
      </w:rPr>
    </w:lvl>
  </w:abstractNum>
  <w:abstractNum w:abstractNumId="8">
    <w:nsid w:val="5AAB3487"/>
    <w:multiLevelType w:val="singleLevel"/>
    <w:tmpl w:val="5AAB3487"/>
    <w:lvl w:ilvl="0" w:tentative="0">
      <w:start w:val="1"/>
      <w:numFmt w:val="decimal"/>
      <w:lvlText w:val="%1)"/>
      <w:lvlJc w:val="left"/>
      <w:pPr>
        <w:ind w:left="567" w:hanging="425"/>
      </w:pPr>
      <w:rPr>
        <w:rFonts w:hint="default"/>
      </w:rPr>
    </w:lvl>
  </w:abstractNum>
  <w:abstractNum w:abstractNumId="9">
    <w:nsid w:val="624D1350"/>
    <w:multiLevelType w:val="singleLevel"/>
    <w:tmpl w:val="624D1350"/>
    <w:lvl w:ilvl="0" w:tentative="0">
      <w:start w:val="25"/>
      <w:numFmt w:val="decimal"/>
      <w:suff w:val="space"/>
      <w:lvlText w:val="%1."/>
      <w:lvlJc w:val="left"/>
    </w:lvl>
  </w:abstractNum>
  <w:abstractNum w:abstractNumId="10">
    <w:nsid w:val="6CEA2025"/>
    <w:multiLevelType w:val="multilevel"/>
    <w:tmpl w:val="6CEA2025"/>
    <w:lvl w:ilvl="0" w:tentative="0">
      <w:start w:val="1"/>
      <w:numFmt w:val="none"/>
      <w:pStyle w:val="241"/>
      <w:suff w:val="nothing"/>
      <w:lvlText w:val="%1"/>
      <w:lvlJc w:val="left"/>
      <w:pPr>
        <w:ind w:left="0" w:firstLine="0"/>
      </w:pPr>
      <w:rPr>
        <w:rFonts w:hint="default" w:ascii="Times New Roman" w:hAnsi="Times New Roman"/>
        <w:b/>
        <w:i w:val="0"/>
        <w:sz w:val="21"/>
      </w:rPr>
    </w:lvl>
    <w:lvl w:ilvl="1" w:tentative="0">
      <w:start w:val="1"/>
      <w:numFmt w:val="decimal"/>
      <w:pStyle w:val="242"/>
      <w:suff w:val="nothing"/>
      <w:lvlText w:val="%1%2　"/>
      <w:lvlJc w:val="left"/>
      <w:pPr>
        <w:ind w:left="315" w:firstLine="0"/>
      </w:pPr>
      <w:rPr>
        <w:rFonts w:hint="eastAsia" w:ascii="黑体" w:hAnsi="Times New Roman" w:eastAsia="黑体"/>
        <w:b w:val="0"/>
        <w:i w:val="0"/>
        <w:sz w:val="21"/>
      </w:rPr>
    </w:lvl>
    <w:lvl w:ilvl="2" w:tentative="0">
      <w:start w:val="1"/>
      <w:numFmt w:val="decimal"/>
      <w:pStyle w:val="243"/>
      <w:suff w:val="nothing"/>
      <w:lvlText w:val="%1%2.%3　"/>
      <w:lvlJc w:val="left"/>
      <w:pPr>
        <w:ind w:left="630" w:firstLine="0"/>
      </w:pPr>
      <w:rPr>
        <w:rFonts w:hint="eastAsia" w:ascii="黑体" w:hAnsi="Times New Roman" w:eastAsia="黑体"/>
        <w:b w:val="0"/>
        <w:i w:val="0"/>
        <w:sz w:val="21"/>
      </w:rPr>
    </w:lvl>
    <w:lvl w:ilvl="3" w:tentative="0">
      <w:start w:val="1"/>
      <w:numFmt w:val="decimal"/>
      <w:pStyle w:val="244"/>
      <w:suff w:val="nothing"/>
      <w:lvlText w:val="%1%2.%3.%4　"/>
      <w:lvlJc w:val="left"/>
      <w:pPr>
        <w:ind w:left="567" w:firstLine="0"/>
      </w:pPr>
      <w:rPr>
        <w:rFonts w:hint="eastAsia" w:ascii="黑体" w:hAnsi="Times New Roman" w:eastAsia="黑体"/>
        <w:b w:val="0"/>
        <w:i w:val="0"/>
        <w:sz w:val="21"/>
      </w:rPr>
    </w:lvl>
    <w:lvl w:ilvl="4" w:tentative="0">
      <w:start w:val="1"/>
      <w:numFmt w:val="decimal"/>
      <w:pStyle w:val="246"/>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7"/>
      <w:suff w:val="nothing"/>
      <w:lvlText w:val="%1%2.%3.%4.%5.%6　"/>
      <w:lvlJc w:val="left"/>
      <w:pPr>
        <w:ind w:left="0" w:firstLine="0"/>
      </w:pPr>
      <w:rPr>
        <w:rFonts w:hint="eastAsia" w:ascii="黑体" w:hAnsi="Times New Roman" w:eastAsia="黑体"/>
        <w:b w:val="0"/>
        <w:i w:val="0"/>
        <w:sz w:val="21"/>
      </w:rPr>
    </w:lvl>
    <w:lvl w:ilvl="6" w:tentative="0">
      <w:start w:val="1"/>
      <w:numFmt w:val="decimal"/>
      <w:pStyle w:val="2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76933334"/>
    <w:multiLevelType w:val="multilevel"/>
    <w:tmpl w:val="76933334"/>
    <w:lvl w:ilvl="0" w:tentative="0">
      <w:start w:val="1"/>
      <w:numFmt w:val="none"/>
      <w:pStyle w:val="24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0"/>
  </w:num>
  <w:num w:numId="4">
    <w:abstractNumId w:val="12"/>
  </w:num>
  <w:num w:numId="5">
    <w:abstractNumId w:val="5"/>
  </w:num>
  <w:num w:numId="6">
    <w:abstractNumId w:val="6"/>
  </w:num>
  <w:num w:numId="7">
    <w:abstractNumId w:val="9"/>
  </w:num>
  <w:num w:numId="8">
    <w:abstractNumId w:val="4"/>
  </w:num>
  <w:num w:numId="9">
    <w:abstractNumId w:val="1"/>
  </w:num>
  <w:num w:numId="10">
    <w:abstractNumId w:val="7"/>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Y2Zjc5YWNjMWU3YTZlYjhlNTM1NzFkNjMxZjQ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80752A"/>
    <w:rsid w:val="03C4317A"/>
    <w:rsid w:val="03CF5E03"/>
    <w:rsid w:val="041E1097"/>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72707"/>
    <w:rsid w:val="082B0E32"/>
    <w:rsid w:val="0838785B"/>
    <w:rsid w:val="08545BC6"/>
    <w:rsid w:val="08727C1D"/>
    <w:rsid w:val="087D0B78"/>
    <w:rsid w:val="08894DF6"/>
    <w:rsid w:val="0920129B"/>
    <w:rsid w:val="09225EC4"/>
    <w:rsid w:val="09823E4D"/>
    <w:rsid w:val="098852A8"/>
    <w:rsid w:val="09A06B78"/>
    <w:rsid w:val="09C608D2"/>
    <w:rsid w:val="09EA3E64"/>
    <w:rsid w:val="0A123F9D"/>
    <w:rsid w:val="0A4B18CE"/>
    <w:rsid w:val="0A601059"/>
    <w:rsid w:val="0A8A4B12"/>
    <w:rsid w:val="0AB2170F"/>
    <w:rsid w:val="0AB25DFE"/>
    <w:rsid w:val="0AC800D5"/>
    <w:rsid w:val="0AD57BB7"/>
    <w:rsid w:val="0AFA19A7"/>
    <w:rsid w:val="0AFC1D7D"/>
    <w:rsid w:val="0B065FC2"/>
    <w:rsid w:val="0B1020C4"/>
    <w:rsid w:val="0B181252"/>
    <w:rsid w:val="0B2543AA"/>
    <w:rsid w:val="0B651CEF"/>
    <w:rsid w:val="0B705986"/>
    <w:rsid w:val="0BFE6640"/>
    <w:rsid w:val="0C275A89"/>
    <w:rsid w:val="0C774C9E"/>
    <w:rsid w:val="0CBB5882"/>
    <w:rsid w:val="0CD61017"/>
    <w:rsid w:val="0D531CDF"/>
    <w:rsid w:val="0D7C25A0"/>
    <w:rsid w:val="0DCA3125"/>
    <w:rsid w:val="0E211365"/>
    <w:rsid w:val="0E416A77"/>
    <w:rsid w:val="0E5C2657"/>
    <w:rsid w:val="0E5C7CE8"/>
    <w:rsid w:val="0EA34036"/>
    <w:rsid w:val="0EB049DF"/>
    <w:rsid w:val="0EB63F9D"/>
    <w:rsid w:val="0EFA06A7"/>
    <w:rsid w:val="0F227C07"/>
    <w:rsid w:val="0F245037"/>
    <w:rsid w:val="0F54794B"/>
    <w:rsid w:val="0F6A354E"/>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95DC4"/>
    <w:rsid w:val="142A3E2D"/>
    <w:rsid w:val="144A7973"/>
    <w:rsid w:val="144C2515"/>
    <w:rsid w:val="149F40AE"/>
    <w:rsid w:val="14E5758A"/>
    <w:rsid w:val="14FB7DA2"/>
    <w:rsid w:val="15567E44"/>
    <w:rsid w:val="158710F3"/>
    <w:rsid w:val="15920D94"/>
    <w:rsid w:val="15BC1451"/>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179A5"/>
    <w:rsid w:val="17E50036"/>
    <w:rsid w:val="1820060E"/>
    <w:rsid w:val="18205BA9"/>
    <w:rsid w:val="18370FAA"/>
    <w:rsid w:val="188D7D42"/>
    <w:rsid w:val="1890464C"/>
    <w:rsid w:val="18C45643"/>
    <w:rsid w:val="19146F58"/>
    <w:rsid w:val="19153875"/>
    <w:rsid w:val="19575882"/>
    <w:rsid w:val="195E155B"/>
    <w:rsid w:val="197321D5"/>
    <w:rsid w:val="199944A6"/>
    <w:rsid w:val="199F4EAD"/>
    <w:rsid w:val="19BE3F0C"/>
    <w:rsid w:val="1A0C41D1"/>
    <w:rsid w:val="1A336BE7"/>
    <w:rsid w:val="1A497C7A"/>
    <w:rsid w:val="1A612D7C"/>
    <w:rsid w:val="1A654C99"/>
    <w:rsid w:val="1A7F6A7E"/>
    <w:rsid w:val="1A807E72"/>
    <w:rsid w:val="1A8A2A47"/>
    <w:rsid w:val="1B16166A"/>
    <w:rsid w:val="1BB93E83"/>
    <w:rsid w:val="1BC644B6"/>
    <w:rsid w:val="1BF50CA0"/>
    <w:rsid w:val="1C613AB1"/>
    <w:rsid w:val="1C763D6F"/>
    <w:rsid w:val="1C8C0466"/>
    <w:rsid w:val="1CC854C2"/>
    <w:rsid w:val="1D0121D0"/>
    <w:rsid w:val="1D525097"/>
    <w:rsid w:val="1D5B524F"/>
    <w:rsid w:val="1D6D3522"/>
    <w:rsid w:val="1DAB5588"/>
    <w:rsid w:val="1DD72694"/>
    <w:rsid w:val="1DDE1DE9"/>
    <w:rsid w:val="1DFA7416"/>
    <w:rsid w:val="1E0F11DA"/>
    <w:rsid w:val="1EFD5795"/>
    <w:rsid w:val="1F474868"/>
    <w:rsid w:val="1F883C9F"/>
    <w:rsid w:val="1F971592"/>
    <w:rsid w:val="1FB94E27"/>
    <w:rsid w:val="1FE57CFE"/>
    <w:rsid w:val="1FF41576"/>
    <w:rsid w:val="200A3A73"/>
    <w:rsid w:val="208337BA"/>
    <w:rsid w:val="20947DAF"/>
    <w:rsid w:val="20AF20C5"/>
    <w:rsid w:val="20EB717A"/>
    <w:rsid w:val="20ED7306"/>
    <w:rsid w:val="20F96916"/>
    <w:rsid w:val="211106C5"/>
    <w:rsid w:val="21431785"/>
    <w:rsid w:val="219E251A"/>
    <w:rsid w:val="21C24F4B"/>
    <w:rsid w:val="21D73DBD"/>
    <w:rsid w:val="22071464"/>
    <w:rsid w:val="22283C9F"/>
    <w:rsid w:val="2232235C"/>
    <w:rsid w:val="23291785"/>
    <w:rsid w:val="23710488"/>
    <w:rsid w:val="2381304A"/>
    <w:rsid w:val="23A7789F"/>
    <w:rsid w:val="23BB002C"/>
    <w:rsid w:val="23C33515"/>
    <w:rsid w:val="23EB0775"/>
    <w:rsid w:val="23F1680C"/>
    <w:rsid w:val="242E494F"/>
    <w:rsid w:val="243479AD"/>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55C6D"/>
    <w:rsid w:val="274D71B2"/>
    <w:rsid w:val="2751147F"/>
    <w:rsid w:val="27706CF6"/>
    <w:rsid w:val="279C6957"/>
    <w:rsid w:val="27D32B77"/>
    <w:rsid w:val="27DE5929"/>
    <w:rsid w:val="27E14C4C"/>
    <w:rsid w:val="27E64D5A"/>
    <w:rsid w:val="282160D2"/>
    <w:rsid w:val="286C62A1"/>
    <w:rsid w:val="28737881"/>
    <w:rsid w:val="289E5635"/>
    <w:rsid w:val="28A069B8"/>
    <w:rsid w:val="28C21683"/>
    <w:rsid w:val="28F72971"/>
    <w:rsid w:val="290F3C6E"/>
    <w:rsid w:val="2A3073E0"/>
    <w:rsid w:val="2AE35535"/>
    <w:rsid w:val="2AF41E87"/>
    <w:rsid w:val="2B496FA3"/>
    <w:rsid w:val="2B532BFE"/>
    <w:rsid w:val="2B6A469F"/>
    <w:rsid w:val="2BAC65A8"/>
    <w:rsid w:val="2BB024B4"/>
    <w:rsid w:val="2BC36EC4"/>
    <w:rsid w:val="2BC60F98"/>
    <w:rsid w:val="2BCB45F0"/>
    <w:rsid w:val="2BD650E5"/>
    <w:rsid w:val="2C066A1A"/>
    <w:rsid w:val="2C0B4AE6"/>
    <w:rsid w:val="2C3F7504"/>
    <w:rsid w:val="2C8165FA"/>
    <w:rsid w:val="2C944EC5"/>
    <w:rsid w:val="2CAC7CBD"/>
    <w:rsid w:val="2CCC08A3"/>
    <w:rsid w:val="2D0A514C"/>
    <w:rsid w:val="2D2F30DD"/>
    <w:rsid w:val="2D3F44AA"/>
    <w:rsid w:val="2DB235BF"/>
    <w:rsid w:val="2E527FE0"/>
    <w:rsid w:val="2E577392"/>
    <w:rsid w:val="2E6E6547"/>
    <w:rsid w:val="2E8B1B62"/>
    <w:rsid w:val="2E970AE4"/>
    <w:rsid w:val="2EB227A5"/>
    <w:rsid w:val="2F502084"/>
    <w:rsid w:val="2F822BAC"/>
    <w:rsid w:val="2F96630B"/>
    <w:rsid w:val="2FAC7913"/>
    <w:rsid w:val="301F6139"/>
    <w:rsid w:val="30641E74"/>
    <w:rsid w:val="30810E1D"/>
    <w:rsid w:val="30D616E4"/>
    <w:rsid w:val="30F97581"/>
    <w:rsid w:val="314256C4"/>
    <w:rsid w:val="316E48C8"/>
    <w:rsid w:val="31947CF5"/>
    <w:rsid w:val="31C65637"/>
    <w:rsid w:val="32417274"/>
    <w:rsid w:val="324A563C"/>
    <w:rsid w:val="324A57AF"/>
    <w:rsid w:val="329F04E5"/>
    <w:rsid w:val="32F9755F"/>
    <w:rsid w:val="331B2806"/>
    <w:rsid w:val="333214D1"/>
    <w:rsid w:val="3370495E"/>
    <w:rsid w:val="33CC0FC6"/>
    <w:rsid w:val="33DD0EAC"/>
    <w:rsid w:val="340622E0"/>
    <w:rsid w:val="341220B6"/>
    <w:rsid w:val="34143D51"/>
    <w:rsid w:val="34302898"/>
    <w:rsid w:val="345B460B"/>
    <w:rsid w:val="347B1D25"/>
    <w:rsid w:val="348E2B4F"/>
    <w:rsid w:val="34BB4966"/>
    <w:rsid w:val="35C97D56"/>
    <w:rsid w:val="35EE5D6B"/>
    <w:rsid w:val="36054F45"/>
    <w:rsid w:val="3637765B"/>
    <w:rsid w:val="363A3F05"/>
    <w:rsid w:val="365311E6"/>
    <w:rsid w:val="367112A8"/>
    <w:rsid w:val="37473FEE"/>
    <w:rsid w:val="375445E4"/>
    <w:rsid w:val="376964D6"/>
    <w:rsid w:val="378D71CC"/>
    <w:rsid w:val="379C0110"/>
    <w:rsid w:val="379C3619"/>
    <w:rsid w:val="384A2F51"/>
    <w:rsid w:val="387C3364"/>
    <w:rsid w:val="38CC73F3"/>
    <w:rsid w:val="395B66C1"/>
    <w:rsid w:val="395E3B0F"/>
    <w:rsid w:val="39AE15AC"/>
    <w:rsid w:val="39E218FD"/>
    <w:rsid w:val="39E83FB4"/>
    <w:rsid w:val="3A153790"/>
    <w:rsid w:val="3A1F11A7"/>
    <w:rsid w:val="3A86575A"/>
    <w:rsid w:val="3AC94052"/>
    <w:rsid w:val="3B115AB0"/>
    <w:rsid w:val="3B341FC1"/>
    <w:rsid w:val="3B6F11E8"/>
    <w:rsid w:val="3B732683"/>
    <w:rsid w:val="3B851216"/>
    <w:rsid w:val="3D084D63"/>
    <w:rsid w:val="3D0B4A9A"/>
    <w:rsid w:val="3D420A8C"/>
    <w:rsid w:val="3D517AA3"/>
    <w:rsid w:val="3DA349DC"/>
    <w:rsid w:val="3DEC56E0"/>
    <w:rsid w:val="3E0F5C92"/>
    <w:rsid w:val="3E2D6905"/>
    <w:rsid w:val="3E3457B0"/>
    <w:rsid w:val="3E9753EA"/>
    <w:rsid w:val="3E9948D1"/>
    <w:rsid w:val="3EE41CB3"/>
    <w:rsid w:val="3F43088C"/>
    <w:rsid w:val="3F5E71A0"/>
    <w:rsid w:val="3F7F3F6B"/>
    <w:rsid w:val="3FAA346A"/>
    <w:rsid w:val="3FAB317E"/>
    <w:rsid w:val="3FE327A2"/>
    <w:rsid w:val="40602185"/>
    <w:rsid w:val="406D3C7A"/>
    <w:rsid w:val="408D0A8F"/>
    <w:rsid w:val="40DD4529"/>
    <w:rsid w:val="412A3AB2"/>
    <w:rsid w:val="414920DE"/>
    <w:rsid w:val="414A5F02"/>
    <w:rsid w:val="41550B18"/>
    <w:rsid w:val="41E371A6"/>
    <w:rsid w:val="4206324A"/>
    <w:rsid w:val="421F113C"/>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66CE0"/>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06229"/>
    <w:rsid w:val="4C4F0B45"/>
    <w:rsid w:val="4C5D5C39"/>
    <w:rsid w:val="4C7F1DD7"/>
    <w:rsid w:val="4D74458A"/>
    <w:rsid w:val="4D7908B5"/>
    <w:rsid w:val="4DA40847"/>
    <w:rsid w:val="4DA74A82"/>
    <w:rsid w:val="4DA969FC"/>
    <w:rsid w:val="4DAE54FF"/>
    <w:rsid w:val="4DB73FDD"/>
    <w:rsid w:val="4E3B70D2"/>
    <w:rsid w:val="4E5C3A58"/>
    <w:rsid w:val="4E7B1D31"/>
    <w:rsid w:val="4E865AFC"/>
    <w:rsid w:val="4F066320"/>
    <w:rsid w:val="4F0C4606"/>
    <w:rsid w:val="4F3D5624"/>
    <w:rsid w:val="4F4E6EBF"/>
    <w:rsid w:val="4F7D4C71"/>
    <w:rsid w:val="4FA80A1B"/>
    <w:rsid w:val="4FB235F0"/>
    <w:rsid w:val="4FCA7073"/>
    <w:rsid w:val="4FE259E9"/>
    <w:rsid w:val="50092961"/>
    <w:rsid w:val="5018559F"/>
    <w:rsid w:val="501D7C2E"/>
    <w:rsid w:val="50963550"/>
    <w:rsid w:val="50AE2734"/>
    <w:rsid w:val="50BD3A0A"/>
    <w:rsid w:val="50E35A2B"/>
    <w:rsid w:val="512C7508"/>
    <w:rsid w:val="51E657D3"/>
    <w:rsid w:val="52321D93"/>
    <w:rsid w:val="52420452"/>
    <w:rsid w:val="524A5FDD"/>
    <w:rsid w:val="52533FC1"/>
    <w:rsid w:val="525C30D5"/>
    <w:rsid w:val="52B85DAB"/>
    <w:rsid w:val="52F30FD8"/>
    <w:rsid w:val="530973DA"/>
    <w:rsid w:val="53BB70AD"/>
    <w:rsid w:val="53DA43C4"/>
    <w:rsid w:val="53E267AB"/>
    <w:rsid w:val="54D02C4B"/>
    <w:rsid w:val="54E9053C"/>
    <w:rsid w:val="550D6F8B"/>
    <w:rsid w:val="55112B45"/>
    <w:rsid w:val="551D1A51"/>
    <w:rsid w:val="55351206"/>
    <w:rsid w:val="55653C63"/>
    <w:rsid w:val="558F79BB"/>
    <w:rsid w:val="55A649AE"/>
    <w:rsid w:val="55D93627"/>
    <w:rsid w:val="56391200"/>
    <w:rsid w:val="56552F27"/>
    <w:rsid w:val="56602AF8"/>
    <w:rsid w:val="569D1848"/>
    <w:rsid w:val="56B13A64"/>
    <w:rsid w:val="56BA3AA0"/>
    <w:rsid w:val="56CF6D97"/>
    <w:rsid w:val="56D66689"/>
    <w:rsid w:val="570E46A2"/>
    <w:rsid w:val="57847C36"/>
    <w:rsid w:val="580558FE"/>
    <w:rsid w:val="584E2691"/>
    <w:rsid w:val="586A742C"/>
    <w:rsid w:val="5881039C"/>
    <w:rsid w:val="58C134D7"/>
    <w:rsid w:val="58C94C3F"/>
    <w:rsid w:val="591E42EB"/>
    <w:rsid w:val="592A1676"/>
    <w:rsid w:val="59E71DDE"/>
    <w:rsid w:val="5A064D2E"/>
    <w:rsid w:val="5A496D02"/>
    <w:rsid w:val="5A53496E"/>
    <w:rsid w:val="5A644BDD"/>
    <w:rsid w:val="5A7756D8"/>
    <w:rsid w:val="5A96078C"/>
    <w:rsid w:val="5ABB0552"/>
    <w:rsid w:val="5AC87CD6"/>
    <w:rsid w:val="5AE85A5C"/>
    <w:rsid w:val="5B18744E"/>
    <w:rsid w:val="5B5A2D8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9F50E9"/>
    <w:rsid w:val="61394E2C"/>
    <w:rsid w:val="617F4494"/>
    <w:rsid w:val="61BF6E9A"/>
    <w:rsid w:val="61FE7898"/>
    <w:rsid w:val="621C7A8F"/>
    <w:rsid w:val="62A11A47"/>
    <w:rsid w:val="62B4089B"/>
    <w:rsid w:val="62E94FF3"/>
    <w:rsid w:val="62F475B6"/>
    <w:rsid w:val="630C6A64"/>
    <w:rsid w:val="631F7E44"/>
    <w:rsid w:val="63376FCF"/>
    <w:rsid w:val="635D124F"/>
    <w:rsid w:val="637C04DD"/>
    <w:rsid w:val="63964CCA"/>
    <w:rsid w:val="63B3451B"/>
    <w:rsid w:val="640D39AF"/>
    <w:rsid w:val="644B5969"/>
    <w:rsid w:val="648D18F2"/>
    <w:rsid w:val="652A2E44"/>
    <w:rsid w:val="654E4849"/>
    <w:rsid w:val="65686657"/>
    <w:rsid w:val="65BD69EB"/>
    <w:rsid w:val="664977CF"/>
    <w:rsid w:val="66886A01"/>
    <w:rsid w:val="66EC4975"/>
    <w:rsid w:val="66F92550"/>
    <w:rsid w:val="67016B09"/>
    <w:rsid w:val="67203D95"/>
    <w:rsid w:val="67597141"/>
    <w:rsid w:val="67AA4E8D"/>
    <w:rsid w:val="67F83FF2"/>
    <w:rsid w:val="681B27B3"/>
    <w:rsid w:val="683116BC"/>
    <w:rsid w:val="688F3871"/>
    <w:rsid w:val="68D862F5"/>
    <w:rsid w:val="68DC76F5"/>
    <w:rsid w:val="68E74072"/>
    <w:rsid w:val="69173BDC"/>
    <w:rsid w:val="697D0493"/>
    <w:rsid w:val="69BD4674"/>
    <w:rsid w:val="6A036769"/>
    <w:rsid w:val="6A325674"/>
    <w:rsid w:val="6A40574E"/>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CDE55CC"/>
    <w:rsid w:val="6D045B43"/>
    <w:rsid w:val="6D12175F"/>
    <w:rsid w:val="6D1F5AF0"/>
    <w:rsid w:val="6D360A02"/>
    <w:rsid w:val="6D42342C"/>
    <w:rsid w:val="6E1D76E4"/>
    <w:rsid w:val="6E4870A7"/>
    <w:rsid w:val="6E544C48"/>
    <w:rsid w:val="6E67178A"/>
    <w:rsid w:val="6E9C74ED"/>
    <w:rsid w:val="6ED54165"/>
    <w:rsid w:val="6EF45FED"/>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EC7281"/>
    <w:rsid w:val="73393BC2"/>
    <w:rsid w:val="73730750"/>
    <w:rsid w:val="737B44DB"/>
    <w:rsid w:val="73842E33"/>
    <w:rsid w:val="73D310AD"/>
    <w:rsid w:val="73DB55DA"/>
    <w:rsid w:val="74262B1B"/>
    <w:rsid w:val="747F1F65"/>
    <w:rsid w:val="74A6094A"/>
    <w:rsid w:val="74CC21DF"/>
    <w:rsid w:val="74E16F35"/>
    <w:rsid w:val="753F3D93"/>
    <w:rsid w:val="75532D3D"/>
    <w:rsid w:val="758805C2"/>
    <w:rsid w:val="7588697C"/>
    <w:rsid w:val="75AD6FF9"/>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810ADD"/>
    <w:rsid w:val="788E2C97"/>
    <w:rsid w:val="78D36201"/>
    <w:rsid w:val="78DC47E1"/>
    <w:rsid w:val="78E431C4"/>
    <w:rsid w:val="78EB4A40"/>
    <w:rsid w:val="7962674D"/>
    <w:rsid w:val="796C6682"/>
    <w:rsid w:val="79BB696B"/>
    <w:rsid w:val="79F944AF"/>
    <w:rsid w:val="7A2F69EB"/>
    <w:rsid w:val="7A4413F9"/>
    <w:rsid w:val="7A5711E4"/>
    <w:rsid w:val="7A822D65"/>
    <w:rsid w:val="7AEA0E27"/>
    <w:rsid w:val="7B5E75D4"/>
    <w:rsid w:val="7BAF6112"/>
    <w:rsid w:val="7BBE1FE9"/>
    <w:rsid w:val="7BE84071"/>
    <w:rsid w:val="7BEE5100"/>
    <w:rsid w:val="7C2F7BF3"/>
    <w:rsid w:val="7C4A702F"/>
    <w:rsid w:val="7C735E4E"/>
    <w:rsid w:val="7D034BDB"/>
    <w:rsid w:val="7D071AF5"/>
    <w:rsid w:val="7D394FD8"/>
    <w:rsid w:val="7D7E764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4"/>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4"/>
    <w:qFormat/>
    <w:uiPriority w:val="99"/>
    <w:pPr>
      <w:tabs>
        <w:tab w:val="left" w:pos="588"/>
      </w:tabs>
      <w:spacing w:line="360" w:lineRule="auto"/>
      <w:outlineLvl w:val="2"/>
    </w:pPr>
    <w:rPr>
      <w:rFonts w:ascii="Tahoma" w:hAnsi="Tahoma"/>
    </w:rPr>
  </w:style>
  <w:style w:type="paragraph" w:styleId="5">
    <w:name w:val="heading 4"/>
    <w:basedOn w:val="1"/>
    <w:next w:val="1"/>
    <w:link w:val="14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3"/>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4"/>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4"/>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9"/>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6"/>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line="440" w:lineRule="exact"/>
      <w:ind w:left="1680"/>
      <w:jc w:val="left"/>
    </w:pPr>
    <w:rPr>
      <w:rFonts w:ascii="Calibri" w:hAnsi="Calibri"/>
      <w:sz w:val="18"/>
      <w:szCs w:val="18"/>
    </w:rPr>
  </w:style>
  <w:style w:type="paragraph" w:styleId="12">
    <w:name w:val="Note Heading"/>
    <w:basedOn w:val="13"/>
    <w:next w:val="13"/>
    <w:link w:val="201"/>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7"/>
    <w:qFormat/>
    <w:uiPriority w:val="0"/>
    <w:pPr>
      <w:spacing w:line="360" w:lineRule="auto"/>
      <w:ind w:firstLine="200" w:firstLineChars="200"/>
    </w:pPr>
    <w:rPr>
      <w:sz w:val="24"/>
      <w:szCs w:val="20"/>
    </w:rPr>
  </w:style>
  <w:style w:type="paragraph" w:styleId="15">
    <w:name w:val="caption"/>
    <w:basedOn w:val="1"/>
    <w:next w:val="1"/>
    <w:link w:val="95"/>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1"/>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1"/>
    <w:qFormat/>
    <w:uiPriority w:val="0"/>
    <w:pPr>
      <w:jc w:val="left"/>
    </w:pPr>
    <w:rPr>
      <w:rFonts w:ascii="Tahoma" w:hAnsi="Tahoma"/>
    </w:rPr>
  </w:style>
  <w:style w:type="paragraph" w:styleId="20">
    <w:name w:val="Salutation"/>
    <w:basedOn w:val="13"/>
    <w:next w:val="13"/>
    <w:link w:val="200"/>
    <w:qFormat/>
    <w:uiPriority w:val="0"/>
    <w:rPr>
      <w:rFonts w:ascii="..ì." w:eastAsia="..ì." w:cs="Times New Roman"/>
      <w:color w:val="auto"/>
      <w:szCs w:val="20"/>
    </w:rPr>
  </w:style>
  <w:style w:type="paragraph" w:styleId="21">
    <w:name w:val="Body Text 3"/>
    <w:basedOn w:val="1"/>
    <w:link w:val="208"/>
    <w:qFormat/>
    <w:uiPriority w:val="99"/>
    <w:pPr>
      <w:spacing w:after="120"/>
    </w:pPr>
    <w:rPr>
      <w:rFonts w:eastAsia="宋体"/>
      <w:sz w:val="16"/>
      <w:szCs w:val="16"/>
    </w:rPr>
  </w:style>
  <w:style w:type="paragraph" w:styleId="22">
    <w:name w:val="Body Text"/>
    <w:basedOn w:val="1"/>
    <w:next w:val="1"/>
    <w:link w:val="135"/>
    <w:qFormat/>
    <w:uiPriority w:val="99"/>
    <w:pPr>
      <w:spacing w:line="360" w:lineRule="auto"/>
    </w:pPr>
    <w:rPr>
      <w:rFonts w:ascii="Tahoma" w:hAnsi="Tahoma"/>
    </w:rPr>
  </w:style>
  <w:style w:type="paragraph" w:styleId="23">
    <w:name w:val="Body Text Indent"/>
    <w:basedOn w:val="1"/>
    <w:link w:val="167"/>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2"/>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8"/>
    <w:qFormat/>
    <w:uiPriority w:val="99"/>
    <w:pPr>
      <w:spacing w:line="360" w:lineRule="auto"/>
      <w:ind w:left="2500" w:leftChars="2500"/>
    </w:pPr>
    <w:rPr>
      <w:rFonts w:ascii="Tahoma" w:hAnsi="Tahoma"/>
    </w:rPr>
  </w:style>
  <w:style w:type="paragraph" w:styleId="31">
    <w:name w:val="Body Text Indent 2"/>
    <w:basedOn w:val="1"/>
    <w:link w:val="163"/>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qFormat/>
    <w:uiPriority w:val="0"/>
    <w:rPr>
      <w:sz w:val="18"/>
      <w:szCs w:val="18"/>
    </w:rPr>
  </w:style>
  <w:style w:type="paragraph" w:styleId="33">
    <w:name w:val="footer"/>
    <w:basedOn w:val="1"/>
    <w:link w:val="138"/>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1"/>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9"/>
    <w:qFormat/>
    <w:uiPriority w:val="99"/>
    <w:pPr>
      <w:spacing w:line="360" w:lineRule="auto"/>
      <w:ind w:right="26"/>
    </w:pPr>
    <w:rPr>
      <w:rFonts w:ascii="宋体" w:eastAsia="宋体"/>
      <w:szCs w:val="20"/>
    </w:rPr>
  </w:style>
  <w:style w:type="paragraph" w:styleId="43">
    <w:name w:val="HTML Preformatted"/>
    <w:basedOn w:val="1"/>
    <w:link w:val="2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5"/>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unhideWhenUsed/>
    <w:qFormat/>
    <w:uiPriority w:val="99"/>
    <w:pPr>
      <w:spacing w:line="440" w:lineRule="exact"/>
    </w:pPr>
    <w:rPr>
      <w:b/>
      <w:bCs/>
      <w:sz w:val="24"/>
      <w:szCs w:val="28"/>
    </w:rPr>
  </w:style>
  <w:style w:type="paragraph" w:styleId="48">
    <w:name w:val="Body Text First Indent"/>
    <w:basedOn w:val="22"/>
    <w:link w:val="132"/>
    <w:qFormat/>
    <w:uiPriority w:val="0"/>
    <w:pPr>
      <w:spacing w:after="120" w:line="240" w:lineRule="auto"/>
      <w:ind w:firstLine="100" w:firstLineChars="100"/>
    </w:pPr>
  </w:style>
  <w:style w:type="paragraph" w:styleId="49">
    <w:name w:val="Body Text First Indent 2"/>
    <w:basedOn w:val="23"/>
    <w:link w:val="168"/>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RFI Heading 2nd Level Char"/>
    <w:next w:val="64"/>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64">
    <w:name w:val="Normal 0.51"/>
    <w:next w:val="1"/>
    <w:qFormat/>
    <w:uiPriority w:val="0"/>
    <w:pPr>
      <w:spacing w:before="180" w:after="120"/>
      <w:ind w:left="720"/>
      <w:jc w:val="both"/>
    </w:pPr>
    <w:rPr>
      <w:rFonts w:ascii="Times New Roman" w:hAnsi="Times New Roman" w:eastAsia="宋体" w:cs="Times New Roman"/>
      <w:kern w:val="2"/>
      <w:sz w:val="24"/>
      <w:lang w:val="en-US" w:eastAsia="zh-CN" w:bidi="ar-SA"/>
    </w:rPr>
  </w:style>
  <w:style w:type="paragraph" w:customStyle="1" w:styleId="6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unhideWhenUsed/>
    <w:qFormat/>
    <w:uiPriority w:val="0"/>
    <w:pPr>
      <w:ind w:firstLine="420" w:firstLineChars="200"/>
    </w:pPr>
  </w:style>
  <w:style w:type="paragraph" w:customStyle="1" w:styleId="67">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qFormat/>
    <w:uiPriority w:val="99"/>
    <w:pPr>
      <w:ind w:firstLine="420" w:firstLineChars="200"/>
    </w:pPr>
    <w:rPr>
      <w:rFonts w:ascii="Calibri" w:hAnsi="Calibri"/>
      <w:szCs w:val="22"/>
    </w:rPr>
  </w:style>
  <w:style w:type="paragraph" w:styleId="69">
    <w:name w:val="List Paragraph"/>
    <w:basedOn w:val="1"/>
    <w:qFormat/>
    <w:uiPriority w:val="34"/>
    <w:pPr>
      <w:ind w:firstLine="420" w:firstLineChars="200"/>
    </w:pPr>
    <w:rPr>
      <w:rFonts w:ascii="Calibri" w:hAnsi="Calibri" w:eastAsia="宋体"/>
      <w:szCs w:val="22"/>
    </w:rPr>
  </w:style>
  <w:style w:type="paragraph" w:customStyle="1" w:styleId="70">
    <w:name w:val="_Style 2"/>
    <w:basedOn w:val="1"/>
    <w:qFormat/>
    <w:uiPriority w:val="34"/>
    <w:pPr>
      <w:ind w:firstLine="420" w:firstLineChars="200"/>
    </w:pPr>
    <w:rPr>
      <w:rFonts w:ascii="Calibri" w:hAnsi="Calibri"/>
      <w:szCs w:val="22"/>
    </w:rPr>
  </w:style>
  <w:style w:type="paragraph" w:customStyle="1" w:styleId="71">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qFormat/>
    <w:uiPriority w:val="0"/>
    <w:pPr>
      <w:spacing w:line="360" w:lineRule="auto"/>
      <w:jc w:val="center"/>
    </w:pPr>
    <w:rPr>
      <w:rFonts w:ascii="Arial" w:hAnsi="Arial" w:eastAsia="黑体"/>
      <w:sz w:val="32"/>
      <w:szCs w:val="28"/>
    </w:rPr>
  </w:style>
  <w:style w:type="paragraph" w:customStyle="1" w:styleId="74">
    <w:name w:val="目录"/>
    <w:link w:val="106"/>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6"/>
    <w:qFormat/>
    <w:uiPriority w:val="0"/>
    <w:pPr>
      <w:tabs>
        <w:tab w:val="left" w:pos="567"/>
      </w:tabs>
      <w:wordWrap w:val="0"/>
      <w:spacing w:line="377" w:lineRule="auto"/>
      <w:ind w:left="567" w:hanging="567"/>
      <w:jc w:val="left"/>
    </w:pPr>
  </w:style>
  <w:style w:type="paragraph" w:customStyle="1" w:styleId="77">
    <w:name w:val="表格格式"/>
    <w:basedOn w:val="1"/>
    <w:qFormat/>
    <w:uiPriority w:val="0"/>
    <w:pPr>
      <w:adjustRightInd w:val="0"/>
      <w:snapToGrid w:val="0"/>
      <w:jc w:val="left"/>
      <w:textAlignment w:val="baseline"/>
    </w:pPr>
    <w:rPr>
      <w:rFonts w:ascii="宋体"/>
      <w:kern w:val="0"/>
      <w:szCs w:val="20"/>
    </w:rPr>
  </w:style>
  <w:style w:type="paragraph" w:customStyle="1" w:styleId="78">
    <w:name w:val="样式5"/>
    <w:basedOn w:val="14"/>
    <w:qFormat/>
    <w:uiPriority w:val="0"/>
    <w:pPr>
      <w:ind w:firstLine="420"/>
    </w:pPr>
    <w:rPr>
      <w:sz w:val="21"/>
      <w:szCs w:val="21"/>
    </w:rPr>
  </w:style>
  <w:style w:type="paragraph" w:customStyle="1" w:styleId="79">
    <w:name w:val="标题2"/>
    <w:basedOn w:val="3"/>
    <w:next w:val="1"/>
    <w:link w:val="96"/>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qFormat/>
    <w:uiPriority w:val="0"/>
    <w:pPr>
      <w:spacing w:line="300" w:lineRule="auto"/>
      <w:jc w:val="center"/>
      <w:outlineLvl w:val="0"/>
    </w:pPr>
    <w:rPr>
      <w:b/>
      <w:sz w:val="24"/>
    </w:rPr>
  </w:style>
  <w:style w:type="paragraph" w:customStyle="1" w:styleId="82">
    <w:name w:val="Char1"/>
    <w:basedOn w:val="1"/>
    <w:qFormat/>
    <w:uiPriority w:val="0"/>
    <w:pPr>
      <w:adjustRightInd w:val="0"/>
      <w:spacing w:line="360" w:lineRule="auto"/>
    </w:pPr>
    <w:rPr>
      <w:kern w:val="0"/>
      <w:sz w:val="24"/>
      <w:szCs w:val="20"/>
    </w:rPr>
  </w:style>
  <w:style w:type="paragraph" w:customStyle="1" w:styleId="83">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4"/>
    <w:next w:val="1"/>
    <w:link w:val="140"/>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qFormat/>
    <w:uiPriority w:val="0"/>
    <w:pPr>
      <w:jc w:val="center"/>
    </w:pPr>
    <w:rPr>
      <w:sz w:val="28"/>
      <w:szCs w:val="28"/>
    </w:rPr>
  </w:style>
  <w:style w:type="paragraph" w:customStyle="1" w:styleId="89">
    <w:name w:val="正文首行缩进1"/>
    <w:basedOn w:val="22"/>
    <w:qFormat/>
    <w:uiPriority w:val="0"/>
    <w:pPr>
      <w:suppressAutoHyphens/>
      <w:spacing w:line="300" w:lineRule="auto"/>
      <w:ind w:left="426"/>
    </w:pPr>
    <w:rPr>
      <w:rFonts w:ascii="宋体" w:hAnsi="宋体"/>
      <w:szCs w:val="20"/>
    </w:rPr>
  </w:style>
  <w:style w:type="paragraph" w:customStyle="1" w:styleId="90">
    <w:name w:val="纯文本1"/>
    <w:basedOn w:val="1"/>
    <w:qFormat/>
    <w:uiPriority w:val="0"/>
    <w:rPr>
      <w:rFonts w:ascii="宋体" w:hAnsi="Courier New"/>
    </w:rPr>
  </w:style>
  <w:style w:type="paragraph" w:customStyle="1" w:styleId="91">
    <w:name w:val="样式 首行不缩进"/>
    <w:basedOn w:val="1"/>
    <w:qFormat/>
    <w:uiPriority w:val="0"/>
    <w:pPr>
      <w:spacing w:before="120" w:after="120" w:line="360" w:lineRule="auto"/>
      <w:jc w:val="center"/>
    </w:pPr>
    <w:rPr>
      <w:rFonts w:cs="宋体"/>
      <w:sz w:val="24"/>
      <w:szCs w:val="20"/>
    </w:rPr>
  </w:style>
  <w:style w:type="paragraph" w:customStyle="1" w:styleId="92">
    <w:name w:val="图题"/>
    <w:link w:val="115"/>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qFormat/>
    <w:uiPriority w:val="0"/>
    <w:pPr>
      <w:widowControl/>
      <w:snapToGrid w:val="0"/>
      <w:spacing w:before="60" w:after="60"/>
      <w:ind w:left="11"/>
      <w:jc w:val="center"/>
    </w:pPr>
    <w:rPr>
      <w:kern w:val="0"/>
      <w:szCs w:val="21"/>
    </w:rPr>
  </w:style>
  <w:style w:type="character" w:customStyle="1" w:styleId="95">
    <w:name w:val="题注 Char"/>
    <w:link w:val="15"/>
    <w:qFormat/>
    <w:uiPriority w:val="0"/>
    <w:rPr>
      <w:rFonts w:ascii="华文中宋" w:eastAsia="华文中宋"/>
      <w:kern w:val="2"/>
      <w:sz w:val="36"/>
    </w:rPr>
  </w:style>
  <w:style w:type="character" w:customStyle="1" w:styleId="96">
    <w:name w:val="标题2 Char Char"/>
    <w:link w:val="79"/>
    <w:qFormat/>
    <w:uiPriority w:val="0"/>
    <w:rPr>
      <w:rFonts w:eastAsia="黑体"/>
      <w:kern w:val="2"/>
      <w:sz w:val="32"/>
      <w:szCs w:val="24"/>
    </w:rPr>
  </w:style>
  <w:style w:type="character" w:customStyle="1" w:styleId="97">
    <w:name w:val="批注框文本 Char"/>
    <w:link w:val="32"/>
    <w:qFormat/>
    <w:uiPriority w:val="0"/>
    <w:rPr>
      <w:kern w:val="2"/>
      <w:sz w:val="18"/>
      <w:szCs w:val="18"/>
    </w:rPr>
  </w:style>
  <w:style w:type="character" w:customStyle="1" w:styleId="98">
    <w:name w:val="refresh"/>
    <w:basedOn w:val="52"/>
    <w:qFormat/>
    <w:uiPriority w:val="0"/>
  </w:style>
  <w:style w:type="character" w:customStyle="1" w:styleId="99">
    <w:name w:val="小列表 Char Char"/>
    <w:link w:val="93"/>
    <w:qFormat/>
    <w:uiPriority w:val="0"/>
    <w:rPr>
      <w:rFonts w:eastAsia="Arial Unicode MS"/>
      <w:kern w:val="2"/>
      <w:sz w:val="24"/>
      <w:szCs w:val="28"/>
    </w:rPr>
  </w:style>
  <w:style w:type="character" w:customStyle="1" w:styleId="100">
    <w:name w:val="del"/>
    <w:basedOn w:val="52"/>
    <w:qFormat/>
    <w:uiPriority w:val="0"/>
  </w:style>
  <w:style w:type="character" w:customStyle="1" w:styleId="101">
    <w:name w:val="批注文字 Char1"/>
    <w:link w:val="19"/>
    <w:qFormat/>
    <w:uiPriority w:val="0"/>
    <w:rPr>
      <w:rFonts w:ascii="Tahoma" w:hAnsi="Tahoma"/>
      <w:kern w:val="2"/>
      <w:sz w:val="21"/>
      <w:szCs w:val="24"/>
    </w:rPr>
  </w:style>
  <w:style w:type="character" w:customStyle="1" w:styleId="102">
    <w:name w:val="正文缩进 Char1"/>
    <w:qFormat/>
    <w:uiPriority w:val="0"/>
    <w:rPr>
      <w:rFonts w:eastAsia="宋体"/>
      <w:kern w:val="2"/>
      <w:sz w:val="21"/>
      <w:szCs w:val="24"/>
      <w:lang w:val="en-US" w:eastAsia="zh-CN" w:bidi="ar-SA"/>
    </w:rPr>
  </w:style>
  <w:style w:type="character" w:customStyle="1" w:styleId="103">
    <w:name w:val="标题 5 Char"/>
    <w:link w:val="6"/>
    <w:qFormat/>
    <w:uiPriority w:val="99"/>
    <w:rPr>
      <w:b/>
      <w:bCs/>
      <w:kern w:val="2"/>
      <w:sz w:val="24"/>
      <w:szCs w:val="28"/>
    </w:rPr>
  </w:style>
  <w:style w:type="character" w:customStyle="1" w:styleId="104">
    <w:name w:val="标题 2 Char"/>
    <w:link w:val="3"/>
    <w:qFormat/>
    <w:uiPriority w:val="99"/>
    <w:rPr>
      <w:rFonts w:ascii="Cambria" w:hAnsi="Cambria"/>
      <w:b/>
      <w:bCs/>
      <w:kern w:val="2"/>
      <w:sz w:val="32"/>
      <w:szCs w:val="32"/>
    </w:rPr>
  </w:style>
  <w:style w:type="character" w:customStyle="1" w:styleId="105">
    <w:name w:val="表格字体小四 Char Char"/>
    <w:link w:val="75"/>
    <w:qFormat/>
    <w:uiPriority w:val="0"/>
    <w:rPr>
      <w:kern w:val="2"/>
      <w:sz w:val="24"/>
      <w:szCs w:val="24"/>
      <w:lang w:val="en-US" w:eastAsia="zh-CN" w:bidi="ar-SA"/>
    </w:rPr>
  </w:style>
  <w:style w:type="character" w:customStyle="1" w:styleId="106">
    <w:name w:val="目录 Char Char"/>
    <w:link w:val="74"/>
    <w:qFormat/>
    <w:uiPriority w:val="0"/>
    <w:rPr>
      <w:rFonts w:ascii="仿宋_GB2312" w:hAnsi="宋体" w:eastAsia="仿宋_GB2312"/>
      <w:sz w:val="28"/>
      <w:szCs w:val="28"/>
      <w:lang w:val="en-US" w:eastAsia="zh-CN" w:bidi="ar-SA"/>
    </w:rPr>
  </w:style>
  <w:style w:type="character" w:customStyle="1" w:styleId="107">
    <w:name w:val="三级 Char Char"/>
    <w:link w:val="80"/>
    <w:qFormat/>
    <w:uiPriority w:val="0"/>
    <w:rPr>
      <w:rFonts w:eastAsia="黑体"/>
      <w:bCs/>
      <w:kern w:val="2"/>
      <w:sz w:val="30"/>
      <w:szCs w:val="24"/>
    </w:rPr>
  </w:style>
  <w:style w:type="character" w:customStyle="1" w:styleId="108">
    <w:name w:val="label"/>
    <w:basedOn w:val="52"/>
    <w:qFormat/>
    <w:uiPriority w:val="0"/>
  </w:style>
  <w:style w:type="character" w:customStyle="1" w:styleId="109">
    <w:name w:val="标题 8 Char"/>
    <w:link w:val="9"/>
    <w:qFormat/>
    <w:uiPriority w:val="99"/>
    <w:rPr>
      <w:rFonts w:ascii="Arial" w:hAnsi="Arial" w:eastAsia="黑体"/>
      <w:kern w:val="2"/>
      <w:sz w:val="24"/>
      <w:szCs w:val="28"/>
    </w:rPr>
  </w:style>
  <w:style w:type="character" w:customStyle="1" w:styleId="110">
    <w:name w:val="open2"/>
    <w:basedOn w:val="52"/>
    <w:qFormat/>
    <w:uiPriority w:val="0"/>
  </w:style>
  <w:style w:type="character" w:customStyle="1" w:styleId="111">
    <w:name w:val="15"/>
    <w:qFormat/>
    <w:uiPriority w:val="0"/>
    <w:rPr>
      <w:rFonts w:hint="default" w:ascii="Calibri" w:hAnsi="Calibri" w:cs="Calibri"/>
      <w:color w:val="0000FF"/>
      <w:u w:val="single"/>
    </w:rPr>
  </w:style>
  <w:style w:type="character" w:customStyle="1" w:styleId="112">
    <w:name w:val="trans"/>
    <w:basedOn w:val="52"/>
    <w:qFormat/>
    <w:uiPriority w:val="0"/>
  </w:style>
  <w:style w:type="character" w:customStyle="1" w:styleId="113">
    <w:name w:val="del2"/>
    <w:basedOn w:val="52"/>
    <w:qFormat/>
    <w:uiPriority w:val="0"/>
  </w:style>
  <w:style w:type="character" w:customStyle="1" w:styleId="114">
    <w:name w:val="标题 3 Char"/>
    <w:link w:val="4"/>
    <w:qFormat/>
    <w:uiPriority w:val="99"/>
    <w:rPr>
      <w:rFonts w:ascii="Tahoma" w:hAnsi="Tahoma"/>
      <w:b/>
      <w:bCs/>
      <w:kern w:val="2"/>
      <w:sz w:val="32"/>
      <w:szCs w:val="32"/>
    </w:rPr>
  </w:style>
  <w:style w:type="character" w:customStyle="1" w:styleId="115">
    <w:name w:val="图题 Char Char"/>
    <w:link w:val="92"/>
    <w:qFormat/>
    <w:uiPriority w:val="0"/>
    <w:rPr>
      <w:kern w:val="2"/>
      <w:sz w:val="24"/>
      <w:szCs w:val="24"/>
      <w:lang w:val="en-US" w:eastAsia="zh-CN" w:bidi="ar-SA"/>
    </w:rPr>
  </w:style>
  <w:style w:type="character" w:customStyle="1" w:styleId="116">
    <w:name w:val="pagelinks"/>
    <w:basedOn w:val="52"/>
    <w:qFormat/>
    <w:uiPriority w:val="0"/>
  </w:style>
  <w:style w:type="character" w:customStyle="1" w:styleId="117">
    <w:name w:val="morewin"/>
    <w:basedOn w:val="52"/>
    <w:qFormat/>
    <w:uiPriority w:val="0"/>
  </w:style>
  <w:style w:type="character" w:customStyle="1" w:styleId="118">
    <w:name w:val="open"/>
    <w:basedOn w:val="52"/>
    <w:qFormat/>
    <w:uiPriority w:val="0"/>
  </w:style>
  <w:style w:type="character" w:customStyle="1" w:styleId="119">
    <w:name w:val="样式2 Char Char"/>
    <w:link w:val="81"/>
    <w:qFormat/>
    <w:uiPriority w:val="0"/>
    <w:rPr>
      <w:b/>
      <w:kern w:val="2"/>
      <w:sz w:val="24"/>
      <w:szCs w:val="24"/>
    </w:rPr>
  </w:style>
  <w:style w:type="character" w:customStyle="1" w:styleId="120">
    <w:name w:val="批注文字 Char"/>
    <w:qFormat/>
    <w:uiPriority w:val="99"/>
    <w:rPr>
      <w:kern w:val="2"/>
      <w:sz w:val="24"/>
      <w:szCs w:val="28"/>
    </w:rPr>
  </w:style>
  <w:style w:type="character" w:customStyle="1" w:styleId="121">
    <w:name w:val="图片 Char Char"/>
    <w:link w:val="88"/>
    <w:qFormat/>
    <w:uiPriority w:val="0"/>
    <w:rPr>
      <w:kern w:val="2"/>
      <w:sz w:val="28"/>
      <w:szCs w:val="28"/>
    </w:rPr>
  </w:style>
  <w:style w:type="character" w:customStyle="1" w:styleId="122">
    <w:name w:val="标题 1 Char"/>
    <w:link w:val="2"/>
    <w:qFormat/>
    <w:uiPriority w:val="99"/>
    <w:rPr>
      <w:rFonts w:ascii="Tahoma" w:hAnsi="Tahoma"/>
      <w:b/>
      <w:bCs/>
      <w:kern w:val="44"/>
      <w:sz w:val="24"/>
      <w:szCs w:val="44"/>
    </w:rPr>
  </w:style>
  <w:style w:type="character" w:customStyle="1" w:styleId="123">
    <w:name w:val="页眉 Char"/>
    <w:link w:val="34"/>
    <w:qFormat/>
    <w:uiPriority w:val="99"/>
    <w:rPr>
      <w:rFonts w:ascii="Tahoma" w:hAnsi="Tahoma"/>
      <w:kern w:val="2"/>
      <w:sz w:val="18"/>
      <w:szCs w:val="18"/>
    </w:rPr>
  </w:style>
  <w:style w:type="character" w:customStyle="1" w:styleId="124">
    <w:name w:val="标题 7 Char"/>
    <w:link w:val="8"/>
    <w:qFormat/>
    <w:uiPriority w:val="99"/>
    <w:rPr>
      <w:b/>
      <w:bCs/>
      <w:kern w:val="2"/>
      <w:sz w:val="24"/>
      <w:szCs w:val="28"/>
    </w:rPr>
  </w:style>
  <w:style w:type="character" w:customStyle="1" w:styleId="125">
    <w:name w:val="标题 Char"/>
    <w:link w:val="46"/>
    <w:qFormat/>
    <w:uiPriority w:val="0"/>
    <w:rPr>
      <w:rFonts w:ascii="Cambria" w:hAnsi="Cambria"/>
      <w:b/>
      <w:bCs/>
      <w:kern w:val="2"/>
      <w:sz w:val="32"/>
      <w:szCs w:val="32"/>
    </w:rPr>
  </w:style>
  <w:style w:type="character" w:customStyle="1" w:styleId="126">
    <w:name w:val="标题 9 Char"/>
    <w:link w:val="10"/>
    <w:qFormat/>
    <w:uiPriority w:val="99"/>
    <w:rPr>
      <w:rFonts w:ascii="Arial" w:hAnsi="Arial" w:eastAsia="黑体"/>
      <w:kern w:val="2"/>
      <w:sz w:val="24"/>
      <w:szCs w:val="21"/>
    </w:rPr>
  </w:style>
  <w:style w:type="character" w:customStyle="1" w:styleId="127">
    <w:name w:val="error"/>
    <w:qFormat/>
    <w:uiPriority w:val="0"/>
    <w:rPr>
      <w:color w:val="CC0000"/>
    </w:rPr>
  </w:style>
  <w:style w:type="character" w:customStyle="1" w:styleId="128">
    <w:name w:val="add"/>
    <w:basedOn w:val="52"/>
    <w:qFormat/>
    <w:uiPriority w:val="0"/>
  </w:style>
  <w:style w:type="character" w:customStyle="1" w:styleId="129">
    <w:name w:val="批注主题 Char"/>
    <w:link w:val="47"/>
    <w:qFormat/>
    <w:uiPriority w:val="99"/>
    <w:rPr>
      <w:rFonts w:ascii="Tahoma" w:hAnsi="Tahoma"/>
      <w:b/>
      <w:bCs/>
      <w:kern w:val="2"/>
      <w:sz w:val="24"/>
      <w:szCs w:val="28"/>
    </w:rPr>
  </w:style>
  <w:style w:type="character" w:customStyle="1" w:styleId="130">
    <w:name w:val="pagebanner"/>
    <w:basedOn w:val="52"/>
    <w:qFormat/>
    <w:uiPriority w:val="0"/>
  </w:style>
  <w:style w:type="character" w:customStyle="1" w:styleId="131">
    <w:name w:val="文档结构图 Char"/>
    <w:link w:val="17"/>
    <w:qFormat/>
    <w:uiPriority w:val="99"/>
    <w:rPr>
      <w:rFonts w:ascii="宋体"/>
      <w:kern w:val="2"/>
      <w:sz w:val="18"/>
      <w:szCs w:val="18"/>
    </w:rPr>
  </w:style>
  <w:style w:type="character" w:customStyle="1" w:styleId="132">
    <w:name w:val="正文首行缩进 Char"/>
    <w:link w:val="48"/>
    <w:qFormat/>
    <w:uiPriority w:val="0"/>
    <w:rPr>
      <w:rFonts w:ascii="Tahoma" w:hAnsi="Tahoma"/>
      <w:kern w:val="2"/>
      <w:sz w:val="21"/>
      <w:szCs w:val="24"/>
    </w:rPr>
  </w:style>
  <w:style w:type="character" w:customStyle="1" w:styleId="133">
    <w:name w:val="表格标题 Char Char"/>
    <w:link w:val="86"/>
    <w:qFormat/>
    <w:uiPriority w:val="0"/>
    <w:rPr>
      <w:rFonts w:ascii="Arial" w:hAnsi="Arial" w:cs="Arial"/>
      <w:kern w:val="2"/>
      <w:sz w:val="24"/>
      <w:szCs w:val="24"/>
    </w:rPr>
  </w:style>
  <w:style w:type="character" w:customStyle="1" w:styleId="134">
    <w:name w:val="标题 6 Char"/>
    <w:link w:val="7"/>
    <w:qFormat/>
    <w:uiPriority w:val="99"/>
    <w:rPr>
      <w:rFonts w:ascii="Arial" w:hAnsi="Arial" w:eastAsia="黑体"/>
      <w:b/>
      <w:bCs/>
      <w:kern w:val="2"/>
      <w:sz w:val="24"/>
      <w:szCs w:val="28"/>
    </w:rPr>
  </w:style>
  <w:style w:type="character" w:customStyle="1" w:styleId="135">
    <w:name w:val="正文文本 Char"/>
    <w:link w:val="22"/>
    <w:qFormat/>
    <w:uiPriority w:val="99"/>
    <w:rPr>
      <w:rFonts w:ascii="Tahoma" w:hAnsi="Tahoma"/>
      <w:kern w:val="2"/>
      <w:sz w:val="21"/>
      <w:szCs w:val="24"/>
    </w:rPr>
  </w:style>
  <w:style w:type="character" w:customStyle="1" w:styleId="136">
    <w:name w:val="10"/>
    <w:qFormat/>
    <w:uiPriority w:val="0"/>
    <w:rPr>
      <w:rFonts w:hint="default" w:ascii="Calibri" w:hAnsi="Calibri" w:cs="Calibri"/>
    </w:rPr>
  </w:style>
  <w:style w:type="character" w:customStyle="1" w:styleId="137">
    <w:name w:val="正文缩进 Char"/>
    <w:link w:val="14"/>
    <w:qFormat/>
    <w:uiPriority w:val="0"/>
    <w:rPr>
      <w:kern w:val="2"/>
      <w:sz w:val="24"/>
    </w:rPr>
  </w:style>
  <w:style w:type="character" w:customStyle="1" w:styleId="138">
    <w:name w:val="页脚 Char"/>
    <w:link w:val="33"/>
    <w:qFormat/>
    <w:uiPriority w:val="99"/>
    <w:rPr>
      <w:rFonts w:ascii="Tahoma" w:hAnsi="Tahoma"/>
      <w:kern w:val="2"/>
      <w:sz w:val="18"/>
      <w:szCs w:val="18"/>
    </w:rPr>
  </w:style>
  <w:style w:type="character" w:customStyle="1" w:styleId="139">
    <w:name w:val="mod"/>
    <w:basedOn w:val="52"/>
    <w:qFormat/>
    <w:uiPriority w:val="0"/>
  </w:style>
  <w:style w:type="character" w:customStyle="1" w:styleId="140">
    <w:name w:val="标题3 Char Char"/>
    <w:link w:val="84"/>
    <w:qFormat/>
    <w:uiPriority w:val="0"/>
    <w:rPr>
      <w:rFonts w:eastAsia="黑体"/>
      <w:kern w:val="2"/>
      <w:sz w:val="28"/>
      <w:szCs w:val="32"/>
    </w:rPr>
  </w:style>
  <w:style w:type="character" w:customStyle="1" w:styleId="141">
    <w:name w:val="标题 4 Char"/>
    <w:link w:val="5"/>
    <w:qFormat/>
    <w:uiPriority w:val="99"/>
    <w:rPr>
      <w:b/>
      <w:sz w:val="24"/>
      <w:szCs w:val="24"/>
    </w:rPr>
  </w:style>
  <w:style w:type="paragraph" w:customStyle="1" w:styleId="142">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qFormat/>
    <w:uiPriority w:val="0"/>
    <w:rPr>
      <w:color w:val="BA2636"/>
      <w:sz w:val="12"/>
      <w:szCs w:val="12"/>
    </w:rPr>
  </w:style>
  <w:style w:type="character" w:customStyle="1" w:styleId="144">
    <w:name w:val="gjfg"/>
    <w:basedOn w:val="52"/>
    <w:qFormat/>
    <w:uiPriority w:val="0"/>
  </w:style>
  <w:style w:type="character" w:customStyle="1" w:styleId="145">
    <w:name w:val="redfilenumber"/>
    <w:basedOn w:val="52"/>
    <w:qFormat/>
    <w:uiPriority w:val="0"/>
    <w:rPr>
      <w:color w:val="BA2636"/>
      <w:sz w:val="12"/>
      <w:szCs w:val="12"/>
    </w:rPr>
  </w:style>
  <w:style w:type="character" w:customStyle="1" w:styleId="146">
    <w:name w:val="qxdate"/>
    <w:basedOn w:val="52"/>
    <w:qFormat/>
    <w:uiPriority w:val="0"/>
    <w:rPr>
      <w:color w:val="333333"/>
      <w:sz w:val="12"/>
      <w:szCs w:val="12"/>
    </w:rPr>
  </w:style>
  <w:style w:type="character" w:customStyle="1" w:styleId="147">
    <w:name w:val="prev"/>
    <w:basedOn w:val="52"/>
    <w:qFormat/>
    <w:uiPriority w:val="0"/>
    <w:rPr>
      <w:rFonts w:ascii="微软雅黑" w:hAnsi="微软雅黑" w:eastAsia="微软雅黑" w:cs="微软雅黑"/>
      <w:sz w:val="14"/>
      <w:szCs w:val="14"/>
    </w:rPr>
  </w:style>
  <w:style w:type="character" w:customStyle="1" w:styleId="148">
    <w:name w:val="cfdate"/>
    <w:basedOn w:val="52"/>
    <w:qFormat/>
    <w:uiPriority w:val="0"/>
    <w:rPr>
      <w:color w:val="333333"/>
      <w:sz w:val="12"/>
      <w:szCs w:val="12"/>
    </w:rPr>
  </w:style>
  <w:style w:type="character" w:customStyle="1" w:styleId="149">
    <w:name w:val="displayarti"/>
    <w:basedOn w:val="52"/>
    <w:qFormat/>
    <w:uiPriority w:val="0"/>
    <w:rPr>
      <w:color w:val="FFFFFF"/>
      <w:shd w:val="clear" w:color="auto" w:fill="A00000"/>
    </w:rPr>
  </w:style>
  <w:style w:type="character" w:customStyle="1" w:styleId="150">
    <w:name w:val="next2"/>
    <w:basedOn w:val="52"/>
    <w:qFormat/>
    <w:uiPriority w:val="0"/>
    <w:rPr>
      <w:rFonts w:hint="eastAsia" w:ascii="微软雅黑" w:hAnsi="微软雅黑" w:eastAsia="微软雅黑" w:cs="微软雅黑"/>
      <w:sz w:val="14"/>
      <w:szCs w:val="14"/>
    </w:rPr>
  </w:style>
  <w:style w:type="character" w:customStyle="1" w:styleId="151">
    <w:name w:val="next3"/>
    <w:basedOn w:val="52"/>
    <w:qFormat/>
    <w:uiPriority w:val="0"/>
    <w:rPr>
      <w:color w:val="888888"/>
    </w:rPr>
  </w:style>
  <w:style w:type="character" w:customStyle="1" w:styleId="152">
    <w:name w:val="next"/>
    <w:basedOn w:val="52"/>
    <w:qFormat/>
    <w:uiPriority w:val="0"/>
    <w:rPr>
      <w:rFonts w:ascii="微软雅黑" w:hAnsi="微软雅黑" w:eastAsia="微软雅黑" w:cs="微软雅黑"/>
      <w:sz w:val="14"/>
      <w:szCs w:val="14"/>
    </w:rPr>
  </w:style>
  <w:style w:type="character" w:customStyle="1" w:styleId="153">
    <w:name w:val="prev1"/>
    <w:basedOn w:val="52"/>
    <w:qFormat/>
    <w:uiPriority w:val="0"/>
    <w:rPr>
      <w:color w:val="888888"/>
    </w:rPr>
  </w:style>
  <w:style w:type="paragraph" w:customStyle="1" w:styleId="154">
    <w:name w:val="Body text|21"/>
    <w:basedOn w:val="1"/>
    <w:link w:val="156"/>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qFormat/>
    <w:uiPriority w:val="0"/>
    <w:rPr>
      <w:rFonts w:ascii="PMingLiU" w:hAnsi="PMingLiU" w:eastAsia="PMingLiU" w:cs="PMingLiU"/>
      <w:spacing w:val="30"/>
    </w:rPr>
  </w:style>
  <w:style w:type="character" w:customStyle="1" w:styleId="157">
    <w:name w:val="Body text|2 + Spacing 3 pt"/>
    <w:basedOn w:val="156"/>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qFormat/>
    <w:uiPriority w:val="0"/>
    <w:pPr>
      <w:adjustRightInd w:val="0"/>
      <w:snapToGrid w:val="0"/>
      <w:spacing w:after="50" w:line="360" w:lineRule="auto"/>
    </w:pPr>
    <w:rPr>
      <w:sz w:val="24"/>
    </w:rPr>
  </w:style>
  <w:style w:type="paragraph" w:customStyle="1" w:styleId="159">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qFormat/>
    <w:uiPriority w:val="0"/>
    <w:rPr>
      <w:rFonts w:ascii="仿宋_GB2312" w:eastAsia="仿宋_GB2312"/>
      <w:b/>
      <w:sz w:val="32"/>
      <w:szCs w:val="32"/>
    </w:rPr>
  </w:style>
  <w:style w:type="paragraph" w:customStyle="1" w:styleId="161">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Char"/>
    <w:basedOn w:val="52"/>
    <w:link w:val="23"/>
    <w:qFormat/>
    <w:uiPriority w:val="99"/>
    <w:rPr>
      <w:rFonts w:ascii="Tahoma" w:hAnsi="Tahoma" w:eastAsia="Arial Unicode MS" w:cs="Times New Roman"/>
      <w:kern w:val="2"/>
      <w:sz w:val="21"/>
      <w:szCs w:val="24"/>
    </w:rPr>
  </w:style>
  <w:style w:type="character" w:customStyle="1" w:styleId="168">
    <w:name w:val="正文首行缩进 2 Char"/>
    <w:basedOn w:val="167"/>
    <w:link w:val="49"/>
    <w:qFormat/>
    <w:uiPriority w:val="0"/>
    <w:rPr>
      <w:rFonts w:ascii="Times New Roman" w:hAnsi="Times New Roman" w:eastAsia="宋体" w:cs="Times New Roman"/>
      <w:kern w:val="2"/>
      <w:sz w:val="21"/>
      <w:szCs w:val="24"/>
    </w:rPr>
  </w:style>
  <w:style w:type="character" w:customStyle="1" w:styleId="169">
    <w:name w:val="正文文本 2 Char"/>
    <w:basedOn w:val="52"/>
    <w:link w:val="42"/>
    <w:qFormat/>
    <w:uiPriority w:val="99"/>
    <w:rPr>
      <w:rFonts w:ascii="宋体" w:hAnsi="Times New Roman" w:eastAsia="宋体" w:cs="Times New Roman"/>
      <w:kern w:val="2"/>
      <w:sz w:val="21"/>
    </w:rPr>
  </w:style>
  <w:style w:type="paragraph" w:customStyle="1" w:styleId="170">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2">
    <w:name w:val="Char2"/>
    <w:qFormat/>
    <w:uiPriority w:val="0"/>
    <w:rPr>
      <w:rFonts w:ascii="Arial" w:hAnsi="Arial" w:eastAsia="黑体"/>
      <w:b/>
      <w:bCs/>
      <w:kern w:val="2"/>
      <w:sz w:val="32"/>
      <w:szCs w:val="32"/>
      <w:lang w:val="en-US" w:eastAsia="zh-CN" w:bidi="ar-SA"/>
    </w:rPr>
  </w:style>
  <w:style w:type="character" w:customStyle="1" w:styleId="173">
    <w:name w:val="样式 标题 2 + (符号) 宋体 小四 Char"/>
    <w:qFormat/>
    <w:uiPriority w:val="0"/>
    <w:rPr>
      <w:rFonts w:ascii="Arial" w:hAnsi="Arial" w:eastAsia="宋体"/>
      <w:b/>
      <w:bCs/>
      <w:kern w:val="2"/>
      <w:sz w:val="24"/>
      <w:szCs w:val="32"/>
      <w:lang w:val="en-US" w:eastAsia="zh-CN" w:bidi="ar-SA"/>
    </w:rPr>
  </w:style>
  <w:style w:type="paragraph" w:customStyle="1" w:styleId="174">
    <w:name w:val="样式1"/>
    <w:basedOn w:val="1"/>
    <w:next w:val="4"/>
    <w:qFormat/>
    <w:uiPriority w:val="99"/>
    <w:rPr>
      <w:rFonts w:eastAsia="宋体"/>
      <w:sz w:val="24"/>
      <w:szCs w:val="20"/>
    </w:rPr>
  </w:style>
  <w:style w:type="paragraph" w:customStyle="1" w:styleId="175">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7">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7">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8">
    <w:name w:val="日期 Char"/>
    <w:link w:val="30"/>
    <w:qFormat/>
    <w:uiPriority w:val="99"/>
    <w:rPr>
      <w:rFonts w:ascii="Tahoma" w:hAnsi="Tahoma" w:eastAsia="Arial Unicode MS" w:cs="Times New Roman"/>
      <w:kern w:val="2"/>
      <w:sz w:val="21"/>
      <w:szCs w:val="24"/>
    </w:rPr>
  </w:style>
  <w:style w:type="character" w:customStyle="1" w:styleId="199">
    <w:name w:val="Char Char"/>
    <w:qFormat/>
    <w:uiPriority w:val="0"/>
    <w:rPr>
      <w:rFonts w:eastAsia="宋体"/>
      <w:kern w:val="2"/>
      <w:sz w:val="24"/>
      <w:lang w:val="en-US" w:eastAsia="zh-CN" w:bidi="ar-SA"/>
    </w:rPr>
  </w:style>
  <w:style w:type="character" w:customStyle="1" w:styleId="200">
    <w:name w:val="称呼 Char"/>
    <w:basedOn w:val="52"/>
    <w:link w:val="20"/>
    <w:qFormat/>
    <w:uiPriority w:val="0"/>
    <w:rPr>
      <w:rFonts w:ascii="..ì." w:hAnsi="Times New Roman" w:eastAsia="..ì." w:cs="Times New Roman"/>
      <w:sz w:val="24"/>
    </w:rPr>
  </w:style>
  <w:style w:type="character" w:customStyle="1" w:styleId="201">
    <w:name w:val="注释标题 Char"/>
    <w:basedOn w:val="52"/>
    <w:link w:val="12"/>
    <w:qFormat/>
    <w:uiPriority w:val="0"/>
    <w:rPr>
      <w:rFonts w:ascii="..ì." w:hAnsi="Times New Roman" w:eastAsia="..ì." w:cs="Times New Roman"/>
      <w:sz w:val="24"/>
    </w:rPr>
  </w:style>
  <w:style w:type="paragraph" w:customStyle="1" w:styleId="202">
    <w:name w:val="1 Char Char Char Char"/>
    <w:basedOn w:val="1"/>
    <w:qFormat/>
    <w:uiPriority w:val="0"/>
    <w:rPr>
      <w:rFonts w:ascii="Tahoma" w:hAnsi="Tahoma" w:eastAsia="宋体"/>
      <w:sz w:val="24"/>
      <w:szCs w:val="20"/>
    </w:rPr>
  </w:style>
  <w:style w:type="paragraph" w:customStyle="1" w:styleId="20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4">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5">
    <w:name w:val="标题 1 Char1"/>
    <w:qFormat/>
    <w:uiPriority w:val="99"/>
    <w:rPr>
      <w:rFonts w:ascii="黑体" w:eastAsia="黑体"/>
      <w:sz w:val="52"/>
      <w:lang w:bidi="ar-SA"/>
    </w:rPr>
  </w:style>
  <w:style w:type="paragraph" w:customStyle="1" w:styleId="206">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7">
    <w:name w:val="3"/>
    <w:basedOn w:val="1"/>
    <w:next w:val="21"/>
    <w:qFormat/>
    <w:uiPriority w:val="99"/>
    <w:rPr>
      <w:rFonts w:ascii="宋体" w:eastAsia="宋体"/>
      <w:sz w:val="24"/>
      <w:szCs w:val="20"/>
    </w:rPr>
  </w:style>
  <w:style w:type="character" w:customStyle="1" w:styleId="208">
    <w:name w:val="正文文本 3 Char"/>
    <w:basedOn w:val="52"/>
    <w:link w:val="21"/>
    <w:qFormat/>
    <w:uiPriority w:val="99"/>
    <w:rPr>
      <w:rFonts w:ascii="Times New Roman" w:hAnsi="Times New Roman" w:eastAsia="宋体" w:cs="Times New Roman"/>
      <w:kern w:val="2"/>
      <w:sz w:val="16"/>
      <w:szCs w:val="16"/>
    </w:rPr>
  </w:style>
  <w:style w:type="paragraph" w:customStyle="1" w:styleId="209">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0">
    <w:name w:val="2"/>
    <w:basedOn w:val="1"/>
    <w:next w:val="23"/>
    <w:qFormat/>
    <w:uiPriority w:val="99"/>
    <w:pPr>
      <w:ind w:left="432"/>
    </w:pPr>
    <w:rPr>
      <w:rFonts w:eastAsia="宋体"/>
      <w:szCs w:val="20"/>
    </w:rPr>
  </w:style>
  <w:style w:type="character" w:customStyle="1" w:styleId="211">
    <w:name w:val="正文文本缩进 3 Char"/>
    <w:link w:val="39"/>
    <w:qFormat/>
    <w:uiPriority w:val="99"/>
    <w:rPr>
      <w:rFonts w:ascii="Times New Roman" w:hAnsi="Times New Roman" w:eastAsia="Arial Unicode MS" w:cs="Times New Roman"/>
      <w:kern w:val="2"/>
      <w:sz w:val="16"/>
      <w:szCs w:val="16"/>
    </w:rPr>
  </w:style>
  <w:style w:type="paragraph" w:customStyle="1" w:styleId="212">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3">
    <w:name w:val="Char1111"/>
    <w:basedOn w:val="1"/>
    <w:qFormat/>
    <w:uiPriority w:val="0"/>
    <w:rPr>
      <w:rFonts w:ascii="Tahoma" w:hAnsi="Tahoma" w:eastAsia="宋体"/>
      <w:sz w:val="24"/>
      <w:szCs w:val="20"/>
    </w:rPr>
  </w:style>
  <w:style w:type="character" w:customStyle="1" w:styleId="214">
    <w:name w:val="font161"/>
    <w:qFormat/>
    <w:uiPriority w:val="99"/>
    <w:rPr>
      <w:b/>
      <w:bCs/>
      <w:sz w:val="32"/>
      <w:szCs w:val="32"/>
    </w:rPr>
  </w:style>
  <w:style w:type="paragraph" w:customStyle="1" w:styleId="215">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6">
    <w:name w:val="表格"/>
    <w:basedOn w:val="1"/>
    <w:qFormat/>
    <w:uiPriority w:val="99"/>
    <w:pPr>
      <w:jc w:val="center"/>
      <w:textAlignment w:val="center"/>
    </w:pPr>
    <w:rPr>
      <w:rFonts w:ascii="华文细黑" w:hAnsi="华文细黑" w:eastAsia="宋体"/>
      <w:kern w:val="0"/>
      <w:szCs w:val="20"/>
    </w:rPr>
  </w:style>
  <w:style w:type="paragraph" w:customStyle="1" w:styleId="217">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8">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9">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0">
    <w:name w:val="样式 粉红"/>
    <w:qFormat/>
    <w:uiPriority w:val="99"/>
    <w:rPr>
      <w:color w:val="auto"/>
      <w:u w:val="none"/>
    </w:rPr>
  </w:style>
  <w:style w:type="character" w:customStyle="1" w:styleId="221">
    <w:name w:val="Char Char1"/>
    <w:qFormat/>
    <w:uiPriority w:val="0"/>
    <w:rPr>
      <w:rFonts w:eastAsia="宋体"/>
      <w:kern w:val="2"/>
      <w:sz w:val="24"/>
      <w:lang w:val="en-US" w:eastAsia="zh-CN" w:bidi="ar-SA"/>
    </w:rPr>
  </w:style>
  <w:style w:type="character" w:customStyle="1" w:styleId="222">
    <w:name w:val="纯文本 Char"/>
    <w:link w:val="28"/>
    <w:qFormat/>
    <w:uiPriority w:val="0"/>
    <w:rPr>
      <w:rFonts w:ascii="宋体" w:hAnsi="Courier New" w:eastAsia="Arial Unicode MS" w:cs="Times New Roman"/>
      <w:kern w:val="2"/>
      <w:sz w:val="21"/>
      <w:szCs w:val="21"/>
    </w:rPr>
  </w:style>
  <w:style w:type="paragraph" w:customStyle="1" w:styleId="223">
    <w:name w:val="Char Char Char Char"/>
    <w:basedOn w:val="1"/>
    <w:qFormat/>
    <w:uiPriority w:val="0"/>
    <w:pPr>
      <w:widowControl/>
      <w:spacing w:after="160" w:line="240" w:lineRule="exact"/>
      <w:jc w:val="left"/>
    </w:pPr>
    <w:rPr>
      <w:rFonts w:eastAsia="宋体"/>
      <w:szCs w:val="20"/>
    </w:rPr>
  </w:style>
  <w:style w:type="paragraph" w:customStyle="1" w:styleId="224">
    <w:name w:val="p17"/>
    <w:basedOn w:val="1"/>
    <w:qFormat/>
    <w:uiPriority w:val="99"/>
    <w:pPr>
      <w:widowControl/>
    </w:pPr>
    <w:rPr>
      <w:rFonts w:eastAsia="宋体"/>
      <w:kern w:val="0"/>
      <w:szCs w:val="21"/>
    </w:rPr>
  </w:style>
  <w:style w:type="character" w:customStyle="1" w:styleId="225">
    <w:name w:val="H4 Char"/>
    <w:qFormat/>
    <w:uiPriority w:val="0"/>
    <w:rPr>
      <w:b/>
      <w:sz w:val="28"/>
    </w:rPr>
  </w:style>
  <w:style w:type="character" w:customStyle="1" w:styleId="226">
    <w:name w:val="Char Char2"/>
    <w:qFormat/>
    <w:uiPriority w:val="0"/>
    <w:rPr>
      <w:rFonts w:eastAsia="宋体"/>
      <w:kern w:val="2"/>
      <w:sz w:val="24"/>
      <w:lang w:val="en-US" w:eastAsia="zh-CN" w:bidi="ar-SA"/>
    </w:rPr>
  </w:style>
  <w:style w:type="character" w:customStyle="1" w:styleId="227">
    <w:name w:val="Char Char111"/>
    <w:qFormat/>
    <w:uiPriority w:val="99"/>
    <w:rPr>
      <w:rFonts w:eastAsia="宋体"/>
      <w:kern w:val="2"/>
      <w:sz w:val="24"/>
      <w:lang w:val="en-US" w:eastAsia="zh-CN" w:bidi="ar-SA"/>
    </w:rPr>
  </w:style>
  <w:style w:type="paragraph" w:customStyle="1" w:styleId="228">
    <w:name w:val="Char Char Char Char111"/>
    <w:basedOn w:val="1"/>
    <w:qFormat/>
    <w:uiPriority w:val="0"/>
    <w:pPr>
      <w:widowControl/>
      <w:spacing w:after="160" w:line="240" w:lineRule="exact"/>
      <w:jc w:val="left"/>
    </w:pPr>
    <w:rPr>
      <w:rFonts w:eastAsia="宋体"/>
      <w:szCs w:val="20"/>
    </w:rPr>
  </w:style>
  <w:style w:type="paragraph" w:customStyle="1" w:styleId="229">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0">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2">
    <w:name w:val="章标题"/>
    <w:next w:val="1"/>
    <w:link w:val="249"/>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3">
    <w:name w:val="一级条标题"/>
    <w:basedOn w:val="242"/>
    <w:next w:val="1"/>
    <w:link w:val="250"/>
    <w:qFormat/>
    <w:uiPriority w:val="0"/>
    <w:pPr>
      <w:numPr>
        <w:ilvl w:val="2"/>
      </w:numPr>
      <w:tabs>
        <w:tab w:val="left" w:pos="360"/>
      </w:tabs>
      <w:spacing w:beforeLines="0" w:afterLines="0"/>
      <w:ind w:left="315"/>
      <w:outlineLvl w:val="2"/>
    </w:pPr>
  </w:style>
  <w:style w:type="paragraph" w:customStyle="1" w:styleId="244">
    <w:name w:val="二级条标题"/>
    <w:basedOn w:val="243"/>
    <w:next w:val="1"/>
    <w:link w:val="251"/>
    <w:qFormat/>
    <w:uiPriority w:val="0"/>
    <w:pPr>
      <w:numPr>
        <w:ilvl w:val="3"/>
      </w:numPr>
      <w:ind w:left="315"/>
      <w:outlineLvl w:val="3"/>
    </w:pPr>
  </w:style>
  <w:style w:type="paragraph" w:customStyle="1" w:styleId="245">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6">
    <w:name w:val="三级条标题"/>
    <w:basedOn w:val="244"/>
    <w:next w:val="1"/>
    <w:qFormat/>
    <w:uiPriority w:val="0"/>
    <w:pPr>
      <w:numPr>
        <w:ilvl w:val="4"/>
      </w:numPr>
      <w:tabs>
        <w:tab w:val="left" w:pos="1680"/>
        <w:tab w:val="left" w:pos="2100"/>
      </w:tabs>
      <w:ind w:left="2100" w:hanging="420"/>
      <w:outlineLvl w:val="4"/>
    </w:pPr>
  </w:style>
  <w:style w:type="paragraph" w:customStyle="1" w:styleId="247">
    <w:name w:val="四级条标题"/>
    <w:basedOn w:val="246"/>
    <w:next w:val="1"/>
    <w:qFormat/>
    <w:uiPriority w:val="0"/>
    <w:pPr>
      <w:numPr>
        <w:ilvl w:val="5"/>
      </w:numPr>
      <w:tabs>
        <w:tab w:val="left" w:pos="2520"/>
      </w:tabs>
      <w:ind w:left="2520" w:hanging="420"/>
      <w:outlineLvl w:val="5"/>
    </w:pPr>
  </w:style>
  <w:style w:type="paragraph" w:customStyle="1" w:styleId="248">
    <w:name w:val="五级条标题"/>
    <w:basedOn w:val="247"/>
    <w:next w:val="1"/>
    <w:qFormat/>
    <w:uiPriority w:val="0"/>
    <w:pPr>
      <w:numPr>
        <w:ilvl w:val="6"/>
      </w:numPr>
      <w:tabs>
        <w:tab w:val="left" w:pos="2940"/>
      </w:tabs>
      <w:ind w:left="2940" w:hanging="420"/>
      <w:outlineLvl w:val="6"/>
    </w:pPr>
  </w:style>
  <w:style w:type="character" w:customStyle="1" w:styleId="249">
    <w:name w:val="章标题 Char"/>
    <w:link w:val="242"/>
    <w:qFormat/>
    <w:uiPriority w:val="0"/>
    <w:rPr>
      <w:rFonts w:ascii="黑体" w:eastAsia="黑体"/>
      <w:sz w:val="21"/>
    </w:rPr>
  </w:style>
  <w:style w:type="character" w:customStyle="1" w:styleId="250">
    <w:name w:val="一级条标题 Char"/>
    <w:link w:val="243"/>
    <w:qFormat/>
    <w:uiPriority w:val="0"/>
    <w:rPr>
      <w:rFonts w:ascii="黑体" w:eastAsia="黑体"/>
      <w:sz w:val="21"/>
    </w:rPr>
  </w:style>
  <w:style w:type="character" w:customStyle="1" w:styleId="251">
    <w:name w:val="二级条标题 Char"/>
    <w:link w:val="244"/>
    <w:qFormat/>
    <w:uiPriority w:val="0"/>
    <w:rPr>
      <w:rFonts w:ascii="黑体" w:eastAsia="黑体"/>
      <w:sz w:val="21"/>
    </w:rPr>
  </w:style>
  <w:style w:type="character" w:customStyle="1" w:styleId="252">
    <w:name w:val="Heading 1 Char"/>
    <w:qFormat/>
    <w:locked/>
    <w:uiPriority w:val="0"/>
    <w:rPr>
      <w:rFonts w:ascii="黑体" w:hAnsi="Times New Roman" w:eastAsia="黑体" w:cs="Times New Roman"/>
      <w:kern w:val="0"/>
      <w:sz w:val="20"/>
      <w:szCs w:val="20"/>
    </w:rPr>
  </w:style>
  <w:style w:type="character" w:customStyle="1" w:styleId="253">
    <w:name w:val="Heading 2 Char"/>
    <w:qFormat/>
    <w:locked/>
    <w:uiPriority w:val="0"/>
    <w:rPr>
      <w:rFonts w:ascii="Times New Roman" w:hAnsi="Times New Roman" w:eastAsia="宋体" w:cs="Times New Roman"/>
      <w:b/>
      <w:kern w:val="0"/>
      <w:sz w:val="32"/>
      <w:szCs w:val="32"/>
    </w:rPr>
  </w:style>
  <w:style w:type="character" w:customStyle="1" w:styleId="254">
    <w:name w:val="标题 3 Char1"/>
    <w:qFormat/>
    <w:locked/>
    <w:uiPriority w:val="99"/>
    <w:rPr>
      <w:rFonts w:eastAsia="宋体"/>
      <w:b/>
      <w:sz w:val="32"/>
      <w:lang w:val="en-US" w:eastAsia="zh-CN" w:bidi="ar-SA"/>
    </w:rPr>
  </w:style>
  <w:style w:type="character" w:customStyle="1" w:styleId="255">
    <w:name w:val="Heading 4 Char"/>
    <w:qFormat/>
    <w:locked/>
    <w:uiPriority w:val="0"/>
    <w:rPr>
      <w:rFonts w:ascii="Times New Roman" w:hAnsi="Times New Roman" w:eastAsia="宋体" w:cs="Times New Roman"/>
      <w:b/>
      <w:kern w:val="0"/>
      <w:sz w:val="20"/>
      <w:szCs w:val="20"/>
    </w:rPr>
  </w:style>
  <w:style w:type="character" w:customStyle="1" w:styleId="256">
    <w:name w:val="Heading 5 Char"/>
    <w:qFormat/>
    <w:locked/>
    <w:uiPriority w:val="0"/>
    <w:rPr>
      <w:rFonts w:ascii="Times New Roman" w:hAnsi="Times New Roman" w:eastAsia="宋体" w:cs="Times New Roman"/>
      <w:b/>
      <w:bCs/>
      <w:sz w:val="28"/>
      <w:szCs w:val="28"/>
    </w:rPr>
  </w:style>
  <w:style w:type="character" w:customStyle="1" w:styleId="257">
    <w:name w:val="Heading 6 Char"/>
    <w:qFormat/>
    <w:locked/>
    <w:uiPriority w:val="0"/>
    <w:rPr>
      <w:rFonts w:ascii="Arial" w:hAnsi="Arial" w:eastAsia="黑体" w:cs="Times New Roman"/>
      <w:b/>
      <w:bCs/>
      <w:kern w:val="0"/>
      <w:sz w:val="24"/>
      <w:szCs w:val="24"/>
    </w:rPr>
  </w:style>
  <w:style w:type="character" w:customStyle="1" w:styleId="258">
    <w:name w:val="Heading 7 Char"/>
    <w:qFormat/>
    <w:locked/>
    <w:uiPriority w:val="0"/>
    <w:rPr>
      <w:rFonts w:ascii="Times New Roman" w:hAnsi="Times New Roman" w:eastAsia="宋体" w:cs="Times New Roman"/>
      <w:b/>
      <w:bCs/>
      <w:kern w:val="0"/>
      <w:sz w:val="24"/>
      <w:szCs w:val="24"/>
    </w:rPr>
  </w:style>
  <w:style w:type="character" w:customStyle="1" w:styleId="259">
    <w:name w:val="Heading 8 Char"/>
    <w:qFormat/>
    <w:locked/>
    <w:uiPriority w:val="0"/>
    <w:rPr>
      <w:rFonts w:ascii="Arial" w:hAnsi="Arial" w:eastAsia="黑体" w:cs="Times New Roman"/>
      <w:kern w:val="0"/>
      <w:sz w:val="24"/>
      <w:szCs w:val="24"/>
    </w:rPr>
  </w:style>
  <w:style w:type="character" w:customStyle="1" w:styleId="260">
    <w:name w:val="Heading 9 Char"/>
    <w:qFormat/>
    <w:locked/>
    <w:uiPriority w:val="0"/>
    <w:rPr>
      <w:rFonts w:ascii="Arial" w:hAnsi="Arial" w:eastAsia="黑体" w:cs="Times New Roman"/>
      <w:kern w:val="0"/>
      <w:sz w:val="21"/>
      <w:szCs w:val="21"/>
    </w:rPr>
  </w:style>
  <w:style w:type="character" w:customStyle="1" w:styleId="261">
    <w:name w:val="Document Map Char"/>
    <w:qFormat/>
    <w:locked/>
    <w:uiPriority w:val="0"/>
    <w:rPr>
      <w:rFonts w:ascii="Times New Roman" w:hAnsi="Times New Roman" w:eastAsia="宋体" w:cs="Times New Roman"/>
      <w:sz w:val="24"/>
      <w:szCs w:val="24"/>
      <w:shd w:val="clear" w:color="auto" w:fill="000080"/>
    </w:rPr>
  </w:style>
  <w:style w:type="character" w:customStyle="1" w:styleId="262">
    <w:name w:val="Date Char"/>
    <w:qFormat/>
    <w:locked/>
    <w:uiPriority w:val="0"/>
    <w:rPr>
      <w:rFonts w:ascii="Times New Roman" w:hAnsi="Times New Roman" w:eastAsia="宋体" w:cs="Times New Roman"/>
      <w:sz w:val="20"/>
      <w:szCs w:val="20"/>
    </w:rPr>
  </w:style>
  <w:style w:type="character" w:customStyle="1" w:styleId="263">
    <w:name w:val="Header Char"/>
    <w:qFormat/>
    <w:locked/>
    <w:uiPriority w:val="0"/>
    <w:rPr>
      <w:rFonts w:ascii="Times New Roman" w:hAnsi="Times New Roman" w:eastAsia="宋体" w:cs="Times New Roman"/>
      <w:kern w:val="0"/>
      <w:sz w:val="20"/>
      <w:szCs w:val="20"/>
    </w:rPr>
  </w:style>
  <w:style w:type="character" w:customStyle="1" w:styleId="264">
    <w:name w:val="Footer Char"/>
    <w:qFormat/>
    <w:locked/>
    <w:uiPriority w:val="0"/>
    <w:rPr>
      <w:rFonts w:ascii="Times New Roman" w:hAnsi="Times New Roman" w:eastAsia="宋体" w:cs="Times New Roman"/>
      <w:kern w:val="0"/>
      <w:sz w:val="20"/>
      <w:szCs w:val="20"/>
    </w:rPr>
  </w:style>
  <w:style w:type="character" w:customStyle="1" w:styleId="265">
    <w:name w:val="Plain Text Char"/>
    <w:qFormat/>
    <w:locked/>
    <w:uiPriority w:val="0"/>
    <w:rPr>
      <w:rFonts w:ascii="宋体" w:hAnsi="Courier New" w:eastAsia="宋体" w:cs="Times New Roman"/>
      <w:sz w:val="20"/>
      <w:szCs w:val="20"/>
    </w:rPr>
  </w:style>
  <w:style w:type="character" w:customStyle="1" w:styleId="266">
    <w:name w:val="Body Text Indent 2 Char"/>
    <w:qFormat/>
    <w:locked/>
    <w:uiPriority w:val="0"/>
    <w:rPr>
      <w:rFonts w:ascii="Times New Roman" w:hAnsi="Times New Roman" w:eastAsia="宋体" w:cs="Times New Roman"/>
      <w:sz w:val="30"/>
      <w:szCs w:val="30"/>
    </w:rPr>
  </w:style>
  <w:style w:type="character" w:customStyle="1" w:styleId="267">
    <w:name w:val="Body Text Indent 3 Char"/>
    <w:qFormat/>
    <w:locked/>
    <w:uiPriority w:val="0"/>
    <w:rPr>
      <w:rFonts w:ascii="Times New Roman" w:hAnsi="Times New Roman" w:eastAsia="宋体" w:cs="Times New Roman"/>
      <w:sz w:val="30"/>
      <w:szCs w:val="30"/>
    </w:rPr>
  </w:style>
  <w:style w:type="character" w:customStyle="1" w:styleId="268">
    <w:name w:val="Body Text First Indent 2 Char"/>
    <w:qFormat/>
    <w:locked/>
    <w:uiPriority w:val="0"/>
    <w:rPr>
      <w:rFonts w:ascii="Times New Roman" w:hAnsi="Times New Roman" w:eastAsia="宋体" w:cs="Times New Roman"/>
      <w:kern w:val="2"/>
      <w:sz w:val="24"/>
      <w:szCs w:val="24"/>
    </w:rPr>
  </w:style>
  <w:style w:type="character" w:customStyle="1" w:styleId="269">
    <w:name w:val="Body Text 2 Char"/>
    <w:qFormat/>
    <w:locked/>
    <w:uiPriority w:val="0"/>
    <w:rPr>
      <w:rFonts w:ascii="宋体" w:hAnsi="Times New Roman" w:eastAsia="宋体" w:cs="Times New Roman"/>
      <w:sz w:val="20"/>
      <w:szCs w:val="20"/>
    </w:rPr>
  </w:style>
  <w:style w:type="character" w:customStyle="1" w:styleId="270">
    <w:name w:val="Balloon Text Char"/>
    <w:qFormat/>
    <w:locked/>
    <w:uiPriority w:val="0"/>
    <w:rPr>
      <w:rFonts w:ascii="Times New Roman" w:hAnsi="Times New Roman" w:eastAsia="宋体" w:cs="Times New Roman"/>
      <w:sz w:val="18"/>
      <w:szCs w:val="18"/>
    </w:rPr>
  </w:style>
  <w:style w:type="character" w:customStyle="1" w:styleId="271">
    <w:name w:val="Salutation Char"/>
    <w:qFormat/>
    <w:locked/>
    <w:uiPriority w:val="0"/>
    <w:rPr>
      <w:rFonts w:ascii="..ì." w:hAnsi="Times New Roman" w:eastAsia="..ì." w:cs="Times New Roman"/>
      <w:kern w:val="0"/>
      <w:sz w:val="20"/>
      <w:szCs w:val="20"/>
    </w:rPr>
  </w:style>
  <w:style w:type="character" w:customStyle="1" w:styleId="272">
    <w:name w:val="Note Heading Char"/>
    <w:qFormat/>
    <w:locked/>
    <w:uiPriority w:val="0"/>
    <w:rPr>
      <w:rFonts w:ascii="..ì." w:hAnsi="Times New Roman" w:eastAsia="..ì." w:cs="Times New Roman"/>
      <w:kern w:val="0"/>
      <w:sz w:val="20"/>
      <w:szCs w:val="20"/>
    </w:rPr>
  </w:style>
  <w:style w:type="paragraph" w:customStyle="1" w:styleId="273">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4">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5">
    <w:name w:val="Body Text 3 Char"/>
    <w:qFormat/>
    <w:locked/>
    <w:uiPriority w:val="0"/>
    <w:rPr>
      <w:rFonts w:ascii="Times New Roman" w:hAnsi="Times New Roman" w:eastAsia="宋体" w:cs="Times New Roman"/>
      <w:sz w:val="16"/>
      <w:szCs w:val="16"/>
    </w:rPr>
  </w:style>
  <w:style w:type="character" w:customStyle="1" w:styleId="276">
    <w:name w:val="Title Char"/>
    <w:qFormat/>
    <w:locked/>
    <w:uiPriority w:val="0"/>
    <w:rPr>
      <w:rFonts w:ascii="Arial" w:hAnsi="Arial" w:eastAsia="宋体" w:cs="Times New Roman"/>
      <w:b/>
      <w:kern w:val="0"/>
      <w:sz w:val="20"/>
      <w:szCs w:val="20"/>
    </w:rPr>
  </w:style>
  <w:style w:type="character" w:customStyle="1" w:styleId="277">
    <w:name w:val="Comment Subject Char"/>
    <w:qFormat/>
    <w:locked/>
    <w:uiPriority w:val="0"/>
    <w:rPr>
      <w:rFonts w:ascii="Times New Roman" w:hAnsi="Times New Roman" w:eastAsia="宋体" w:cs="Times New Roman"/>
      <w:b/>
      <w:bCs/>
      <w:sz w:val="24"/>
      <w:szCs w:val="24"/>
    </w:rPr>
  </w:style>
  <w:style w:type="character" w:customStyle="1" w:styleId="278">
    <w:name w:val="Comment Text Char"/>
    <w:qFormat/>
    <w:locked/>
    <w:uiPriority w:val="0"/>
    <w:rPr>
      <w:rFonts w:ascii="Times New Roman" w:hAnsi="Times New Roman" w:eastAsia="宋体"/>
      <w:sz w:val="24"/>
    </w:rPr>
  </w:style>
  <w:style w:type="paragraph" w:customStyle="1" w:styleId="279">
    <w:name w:val="List Paragraph1"/>
    <w:basedOn w:val="1"/>
    <w:qFormat/>
    <w:uiPriority w:val="0"/>
    <w:pPr>
      <w:ind w:firstLine="420" w:firstLineChars="200"/>
    </w:pPr>
    <w:rPr>
      <w:rFonts w:eastAsia="宋体"/>
    </w:rPr>
  </w:style>
  <w:style w:type="paragraph" w:customStyle="1" w:styleId="280">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1">
    <w:name w:val="未处理的提及"/>
    <w:unhideWhenUsed/>
    <w:qFormat/>
    <w:uiPriority w:val="99"/>
    <w:rPr>
      <w:color w:val="605E5C"/>
      <w:shd w:val="clear" w:color="auto" w:fill="E1DFDD"/>
    </w:rPr>
  </w:style>
  <w:style w:type="character" w:customStyle="1" w:styleId="282">
    <w:name w:val="Char Char11"/>
    <w:qFormat/>
    <w:uiPriority w:val="99"/>
    <w:rPr>
      <w:rFonts w:eastAsia="宋体"/>
      <w:kern w:val="2"/>
      <w:sz w:val="24"/>
      <w:lang w:val="en-US" w:eastAsia="zh-CN"/>
    </w:rPr>
  </w:style>
  <w:style w:type="character" w:customStyle="1" w:styleId="283">
    <w:name w:val="正文文本 Char1"/>
    <w:semiHidden/>
    <w:qFormat/>
    <w:uiPriority w:val="0"/>
    <w:rPr>
      <w:rFonts w:ascii="Times New Roman" w:hAnsi="Times New Roman" w:eastAsia="宋体" w:cs="Times New Roman"/>
      <w:szCs w:val="24"/>
    </w:rPr>
  </w:style>
  <w:style w:type="paragraph" w:customStyle="1" w:styleId="284">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Char11"/>
    <w:basedOn w:val="1"/>
    <w:qFormat/>
    <w:uiPriority w:val="99"/>
    <w:rPr>
      <w:rFonts w:ascii="Tahoma" w:hAnsi="Tahoma" w:eastAsia="宋体"/>
      <w:sz w:val="24"/>
      <w:szCs w:val="20"/>
    </w:rPr>
  </w:style>
  <w:style w:type="paragraph" w:customStyle="1" w:styleId="286">
    <w:name w:val="Char Char Char Char1"/>
    <w:basedOn w:val="1"/>
    <w:qFormat/>
    <w:uiPriority w:val="99"/>
    <w:pPr>
      <w:widowControl/>
      <w:spacing w:after="160" w:line="240" w:lineRule="exact"/>
      <w:jc w:val="left"/>
    </w:pPr>
    <w:rPr>
      <w:rFonts w:eastAsia="宋体"/>
      <w:szCs w:val="20"/>
    </w:rPr>
  </w:style>
  <w:style w:type="paragraph" w:customStyle="1" w:styleId="287">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8">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Char Char Char Char11"/>
    <w:basedOn w:val="1"/>
    <w:qFormat/>
    <w:uiPriority w:val="99"/>
    <w:pPr>
      <w:widowControl/>
      <w:spacing w:after="160" w:line="240" w:lineRule="exact"/>
      <w:jc w:val="left"/>
    </w:pPr>
    <w:rPr>
      <w:rFonts w:eastAsia="宋体"/>
      <w:szCs w:val="20"/>
    </w:rPr>
  </w:style>
  <w:style w:type="paragraph" w:customStyle="1" w:styleId="290">
    <w:name w:val="Char12"/>
    <w:basedOn w:val="1"/>
    <w:qFormat/>
    <w:uiPriority w:val="99"/>
    <w:rPr>
      <w:rFonts w:ascii="Tahoma" w:hAnsi="Tahoma" w:eastAsia="宋体"/>
      <w:sz w:val="24"/>
      <w:szCs w:val="20"/>
    </w:rPr>
  </w:style>
  <w:style w:type="paragraph" w:customStyle="1" w:styleId="291">
    <w:name w:val="Char111"/>
    <w:basedOn w:val="1"/>
    <w:qFormat/>
    <w:uiPriority w:val="99"/>
    <w:rPr>
      <w:rFonts w:ascii="Tahoma" w:hAnsi="Tahoma" w:eastAsia="宋体"/>
      <w:sz w:val="24"/>
      <w:szCs w:val="20"/>
    </w:rPr>
  </w:style>
  <w:style w:type="paragraph" w:customStyle="1" w:styleId="292">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 Char Char Char2"/>
    <w:basedOn w:val="1"/>
    <w:qFormat/>
    <w:uiPriority w:val="99"/>
    <w:pPr>
      <w:widowControl/>
      <w:spacing w:after="160" w:line="240" w:lineRule="exact"/>
      <w:jc w:val="left"/>
    </w:pPr>
    <w:rPr>
      <w:rFonts w:eastAsia="宋体"/>
      <w:szCs w:val="20"/>
    </w:rPr>
  </w:style>
  <w:style w:type="character" w:customStyle="1" w:styleId="294">
    <w:name w:val="正文文本 字符"/>
    <w:qFormat/>
    <w:uiPriority w:val="0"/>
    <w:rPr>
      <w:b/>
      <w:i/>
      <w:szCs w:val="24"/>
    </w:rPr>
  </w:style>
  <w:style w:type="paragraph" w:customStyle="1" w:styleId="295">
    <w:name w:val="纯文本2"/>
    <w:basedOn w:val="1"/>
    <w:qFormat/>
    <w:uiPriority w:val="0"/>
    <w:rPr>
      <w:rFonts w:ascii="宋体" w:hAnsi="Courier New" w:cs="Courier New"/>
      <w:szCs w:val="21"/>
    </w:rPr>
  </w:style>
  <w:style w:type="paragraph" w:customStyle="1" w:styleId="296">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7">
    <w:name w:val="HTML 预设格式 Char"/>
    <w:basedOn w:val="52"/>
    <w:link w:val="43"/>
    <w:qFormat/>
    <w:uiPriority w:val="0"/>
    <w:rPr>
      <w:rFonts w:ascii="黑体" w:hAnsi="Courier New" w:eastAsia="黑体"/>
    </w:rPr>
  </w:style>
  <w:style w:type="paragraph" w:customStyle="1" w:styleId="298">
    <w:name w:val="Oth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5A865-95BD-42B4-83EC-0CC68B0F75D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68</Pages>
  <Words>28779</Words>
  <Characters>32177</Characters>
  <Lines>287</Lines>
  <Paragraphs>80</Paragraphs>
  <TotalTime>27</TotalTime>
  <ScaleCrop>false</ScaleCrop>
  <LinksUpToDate>false</LinksUpToDate>
  <CharactersWithSpaces>36455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尚智</cp:lastModifiedBy>
  <cp:lastPrinted>2021-01-08T03:14:00Z</cp:lastPrinted>
  <dcterms:modified xsi:type="dcterms:W3CDTF">2023-08-11T13:22:03Z</dcterms:modified>
  <dc:title>_x0001_</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218699DD5EA74A19B8394C5351A72D8D</vt:lpwstr>
  </property>
</Properties>
</file>