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榆林市第二强制隔离戒毒所关于大门口及农场排洪改造工程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采购需求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</w:pPr>
      <w:bookmarkStart w:id="0" w:name="_GoBack"/>
      <w:bookmarkEnd w:id="0"/>
    </w:p>
    <w:tbl>
      <w:tblPr>
        <w:tblStyle w:val="4"/>
        <w:tblW w:w="9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19"/>
        <w:gridCol w:w="1802"/>
        <w:gridCol w:w="1242"/>
        <w:gridCol w:w="1495"/>
        <w:gridCol w:w="1272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8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目号</w:t>
            </w:r>
          </w:p>
        </w:tc>
        <w:tc>
          <w:tcPr>
            <w:tcW w:w="1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品目名称</w:t>
            </w:r>
          </w:p>
        </w:tc>
        <w:tc>
          <w:tcPr>
            <w:tcW w:w="18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采购标的</w:t>
            </w:r>
          </w:p>
        </w:tc>
        <w:tc>
          <w:tcPr>
            <w:tcW w:w="1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数量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（单位）</w:t>
            </w:r>
          </w:p>
        </w:tc>
        <w:tc>
          <w:tcPr>
            <w:tcW w:w="1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技术规格、参数及要求</w:t>
            </w:r>
          </w:p>
        </w:tc>
        <w:tc>
          <w:tcPr>
            <w:tcW w:w="12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品目预算(元)</w:t>
            </w:r>
          </w:p>
        </w:tc>
        <w:tc>
          <w:tcPr>
            <w:tcW w:w="12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1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其他建筑物、构筑物修缮</w:t>
            </w:r>
          </w:p>
        </w:tc>
        <w:tc>
          <w:tcPr>
            <w:tcW w:w="18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default" w:ascii="宋体" w:hAnsi="宋体" w:eastAsia="宋体" w:cs="宋体"/>
                <w:lang w:val="en-US"/>
              </w:rPr>
              <w:t>其他建筑物、构筑物修缮</w:t>
            </w:r>
          </w:p>
        </w:tc>
        <w:tc>
          <w:tcPr>
            <w:tcW w:w="1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292000.00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292000.00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6FC67937"/>
    <w:rsid w:val="6FC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2"/>
    <w:uiPriority w:val="0"/>
    <w:pPr>
      <w:spacing w:line="600" w:lineRule="exact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2022-10-28T06:19:00Z</dcterms:created>
  <dc:creator>丫丫 ¹⁵⁸⁹¹²²⁴⁷¹⁵</dc:creator>
  <cp:lastModifiedBy>丫丫 ¹⁵⁸⁹¹²²⁴⁷¹⁵</cp:lastModifiedBy>
  <dcterms:modified xsi:type="dcterms:W3CDTF">2022-10-28T06:21:35Z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AAF590CDD642422B960F00E0A025532B</vt:lpwstr>
  </property>
</Properties>
</file>