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jc w:val="left"/>
        <w:textAlignment w:val="auto"/>
        <w:rPr>
          <w:rFonts w:hint="eastAsia" w:ascii="宋体" w:hAnsi="宋体" w:eastAsia="宋体" w:cs="宋体"/>
          <w:b w:val="0"/>
          <w:bCs w:val="0"/>
          <w:sz w:val="24"/>
          <w:szCs w:val="24"/>
        </w:rPr>
      </w:pPr>
      <w:r>
        <w:rPr>
          <w:rStyle w:val="12"/>
          <w:rFonts w:hint="eastAsia" w:ascii="宋体" w:hAnsi="宋体" w:eastAsia="宋体" w:cs="宋体"/>
          <w:b/>
          <w:bCs/>
          <w:i w:val="0"/>
          <w:iCs w:val="0"/>
          <w:caps w:val="0"/>
          <w:color w:val="333333"/>
          <w:spacing w:val="0"/>
          <w:sz w:val="24"/>
          <w:szCs w:val="24"/>
          <w:shd w:val="clear" w:fill="FFFFFF"/>
        </w:rPr>
        <w:t>项目概况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关于采购法律援助物品制作、格式文书制作货物项目采购项目的潜在供应商应在登录全国公共资源交易中心平台（陕西省）使用CA锁报名后自行下载获取采购文件，并于2022年10月31日 11时30分（北京时间）前提交响应文件。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2"/>
          <w:rFonts w:hint="eastAsia" w:ascii="宋体" w:hAnsi="宋体" w:eastAsia="宋体" w:cs="宋体"/>
          <w:b/>
          <w:bCs/>
          <w:i w:val="0"/>
          <w:iCs w:val="0"/>
          <w:caps w:val="0"/>
          <w:color w:val="auto"/>
          <w:spacing w:val="0"/>
          <w:sz w:val="24"/>
          <w:szCs w:val="24"/>
          <w:shd w:val="clear" w:fill="FFFFFF"/>
        </w:rPr>
        <w:t>一、项目基本情况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项目编号：YLZCD2022-112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项目名称：关于采购法律援助物品制作、格式文书制作货物项目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采购方式：竞争性谈判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预算金额：852,575.00元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采购需求：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合同包1(榆林市法律援助中心关于采购法律援助物品制作、格式文书制作货物项目):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504"/>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合同包预算金额：852,575.00元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504"/>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合同包最高限价：852,575.00元</w:t>
      </w:r>
    </w:p>
    <w:tbl>
      <w:tblPr>
        <w:tblStyle w:val="10"/>
        <w:tblW w:w="974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59"/>
        <w:gridCol w:w="1603"/>
        <w:gridCol w:w="1556"/>
        <w:gridCol w:w="1157"/>
        <w:gridCol w:w="1631"/>
        <w:gridCol w:w="1417"/>
        <w:gridCol w:w="14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jc w:val="center"/>
        </w:trPr>
        <w:tc>
          <w:tcPr>
            <w:tcW w:w="95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60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55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5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63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41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41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jc w:val="center"/>
        </w:trPr>
        <w:tc>
          <w:tcPr>
            <w:tcW w:w="95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60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本册</w:t>
            </w:r>
          </w:p>
        </w:tc>
        <w:tc>
          <w:tcPr>
            <w:tcW w:w="155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852575</w:t>
            </w:r>
          </w:p>
        </w:tc>
        <w:tc>
          <w:tcPr>
            <w:tcW w:w="115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163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1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852,575.00</w:t>
            </w:r>
          </w:p>
        </w:tc>
        <w:tc>
          <w:tcPr>
            <w:tcW w:w="141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852,575.00</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504"/>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504"/>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合同履行期限：合同签订之日起30日历天内完成供货并验收合格。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333333"/>
          <w:spacing w:val="0"/>
          <w:sz w:val="24"/>
          <w:szCs w:val="24"/>
        </w:rPr>
      </w:pPr>
      <w:r>
        <w:rPr>
          <w:rStyle w:val="12"/>
          <w:rFonts w:hint="eastAsia" w:ascii="宋体" w:hAnsi="宋体" w:eastAsia="宋体" w:cs="宋体"/>
          <w:b/>
          <w:bCs/>
          <w:i w:val="0"/>
          <w:iCs w:val="0"/>
          <w:caps w:val="0"/>
          <w:color w:val="333333"/>
          <w:spacing w:val="0"/>
          <w:sz w:val="24"/>
          <w:szCs w:val="24"/>
          <w:shd w:val="clear" w:fill="FFFFFF"/>
        </w:rPr>
        <w:t>二、申请人的资格要求：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1.满足《中华人民共和国政府采购法》第二十二条规定;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2.落实政府采购政策需满足的资格要求：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合同包1(榆林市法律援助中心关于采购法律援助物品制作、格式文书制作货物项目)落实政府采购政策需满足的资格要求如下: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节能产品政府采购实施意见》（财库〔2004〕185号）；（2）《环境标志产品政府采购实施的意见》（财库〔2006〕90号）；（3）《国务院办公厅关于建立政府强制采购节能产品制度的通知》（国办发〔2007〕51号）；（4）《榆林市财政局关于进一步加大政府采购支持中小企业力度的通知》 陕财办采函〔2022〕10号；（5）《政府采购促进中小企业发展管理办法》（财库〔2020〕46号）；（6）根据《陕西省财政厅关于进一步加大政府采购支持中小企业力度的通知》（陕财办采〔2022〕5号）；（7）陕西省财政厅关于印发《陕西省中小企业政府采购信用融资办法》（陕财办采〔2018〕23号）相关政策、业务流程、办理平台（http：//www.ccgp-shaanxi.gov.cn/zcdservice/zcd/shanxi/）；（8）财政部司法部关于政府采购支持监狱企业发展有关问题的通知（财库〔2014〕68号）；（9）《财政部民政部中国残疾人联合会关于促进残疾人就业政府采购政策的通知》（财库〔2017〕141号）；（10）《关于在政府采购活动中查询及使用信用记录有关问题的通知》（财库〔2016〕125号）；（11）其他需要落实的政府采购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3.本项目的特定资格要求：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合同包1(榆林市法律援助中心关于采购法律援助物品制作、格式文书制作货物项目)特定资格要求如下: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333333"/>
          <w:spacing w:val="0"/>
          <w:sz w:val="24"/>
          <w:szCs w:val="24"/>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2）财务状况报告：经会计事务所或审计机构出具的2021年度财务审计报告；2022年至今新成立公司须提供银行资信证明及成立以来的财务报表，至少包括资产负债表、利润表、现金流量表；（3）税收缴纳证明：提供2022年1月至今已缴纳的至少1个月的纳税证明（银行缴费凭证）或完税证明，依法免税的单位应提供相关证明材料；（4）社保缴纳证明：提供2022年1月至谈判截止时间止至少1个月的社会保障资金银行缴费单据或社保机构开具的社会保险参保缴费情况证明，依法不需要缴纳社会保障资金的单位应提供相关证明材料（加盖公章的复印件）；（5）参加政府采购活动前三年内，在经营活动中没有重大违法记录的书面声明；（6）提供具有履行合同所必需的设备和专业技术能力的证明资料或承诺书；（7）对列入“信用中国”网站(www.creditchina.gov.cn)“记录失信被执行人、重大税收违法失信主体、企业经营异常名录”记录名单；中国政府采购网(www.ccgp.gov.cn)“政府采购严重违法失信行为信息记录”的</w:t>
      </w:r>
      <w:r>
        <w:rPr>
          <w:rFonts w:hint="eastAsia" w:ascii="宋体" w:hAnsi="宋体" w:eastAsia="宋体" w:cs="宋体"/>
          <w:i w:val="0"/>
          <w:iCs w:val="0"/>
          <w:caps w:val="0"/>
          <w:color w:val="auto"/>
          <w:spacing w:val="0"/>
          <w:sz w:val="24"/>
          <w:szCs w:val="24"/>
          <w:shd w:val="clear" w:fill="FFFFFF"/>
        </w:rPr>
        <w:t>单位，应当拒绝参与政府采购活动（附投标截止日前的查询结果但以投标截止日当天查询结果为准）。提供“信用中国”网站(www.creditchina.gov.cn)、中国政府采购网(www.ccgp.gov.cn)等网页截图及信用中国报告加盖投标人公章（鲜章）为准；（8）谈判保证金交纳凭证或投标保函；（9）提供《榆林市政府采购货物类项目供应商信用承诺书》承诺书；（10）本项目专门面向中小企业采购，投标人须填写《中小企业声明函》。（11）本项目不接受联合体投标，单位负责人为同一人或者存在直接控股、管理关系的不同投标人，不得参加同一合同项下的政府采购活动；备注：事业单位法人参与投标可不提供财务状况报告和社会保障资金缴纳证明及税收缴纳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2"/>
          <w:rFonts w:hint="eastAsia" w:ascii="宋体" w:hAnsi="宋体" w:eastAsia="宋体" w:cs="宋体"/>
          <w:b/>
          <w:bCs/>
          <w:i w:val="0"/>
          <w:iCs w:val="0"/>
          <w:caps w:val="0"/>
          <w:color w:val="auto"/>
          <w:spacing w:val="0"/>
          <w:sz w:val="24"/>
          <w:szCs w:val="24"/>
          <w:shd w:val="clear" w:fill="FFFFFF"/>
        </w:rPr>
        <w:t>三、获取招标文件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时间：2022年10月24日至2022年10月28日，每天上午09:00:00至12:00:00，下午14:00:00至17:00:00（北京时间）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途径：登录全国公共资源交易中心平台（陕西省）使用CA锁报名后自行下载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2"/>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时间：2022年10月31日 11时30分00秒（北京时间）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提交投标文件地点：网上递交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开标地点：榆林市公共资源交易中心十楼开标室3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2"/>
          <w:rFonts w:hint="eastAsia" w:ascii="宋体" w:hAnsi="宋体" w:eastAsia="宋体" w:cs="宋体"/>
          <w:b/>
          <w:bCs/>
          <w:i w:val="0"/>
          <w:iCs w:val="0"/>
          <w:caps w:val="0"/>
          <w:color w:val="auto"/>
          <w:spacing w:val="0"/>
          <w:sz w:val="24"/>
          <w:szCs w:val="24"/>
          <w:shd w:val="clear" w:fill="FFFFFF"/>
        </w:rPr>
        <w:t>五、公告期限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2"/>
          <w:rFonts w:hint="eastAsia" w:ascii="宋体" w:hAnsi="宋体" w:eastAsia="宋体" w:cs="宋体"/>
          <w:b/>
          <w:bCs/>
          <w:i w:val="0"/>
          <w:iCs w:val="0"/>
          <w:caps w:val="0"/>
          <w:color w:val="auto"/>
          <w:spacing w:val="0"/>
          <w:sz w:val="24"/>
          <w:szCs w:val="24"/>
          <w:shd w:val="clear" w:fill="FFFFFF"/>
        </w:rPr>
        <w:t>六、其他补充事宜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供应商登录全国公共资源交易中心平台（陕西省）（http：//www.sxggzyjy.cn/）,选择“电子交易平台→陕西政府采购交易系统→陕西省公共资源交易平台→投标人”进行登录，登录后选择“交易乙方”身份进入投标人界面进行报名并下载竞争性谈判文件。未及时下载竞争性谈判文件将会影响后续开评标活动，其后果自负。（2）供应商须按照陕西省财政厅关于政府采购供应商注册登记有关事项的通知中的要求，通过陕西省政府采购网（http：//www.ccgp-shaanxi.gov.cn/）注册登记加入陕西省政府采购供应商库；（3）供应商初次使用交易平台，须先完成诚信入库登记、CA锁认证及企业信息绑定。相关操作流程详见全国公共资源交易平台（陕西省）网站首页“服务指南”下载专区中的《陕西省公共资源交易中心政府采购项目投标指南》。（4）特别提醒：①本项目将采取“不见面”开标的形式，供应商无须到达开标现场，即可在网上直接参与开标活动。相关注意事项具体详见竞争性谈判文件要求。②本项目采用电子化招投标的方式，供应商使用CA锁对谈判响应文件进行制作、签封、加密、递交、解密等相关招投标事宜。电子谈判响应文件制作软件技术支持热线：400-998-0000；CA锁购买：榆林市市民大厦四楼窗口,联系电话：0912-3515031。（5）投标人应随时关注发布的变更公告，当澄清或修改的内容影响投标文件编制时，将在交易平台上同步发布答疑文件，此时投标人应从“项目流程·〉答疑文件下载”下载最新发布的答疑文件（*.SXSCF格式），并使用该文件重新编制电子投标文件（*.SXSTF格式），使用旧版电子招标文件或旧版答疑文件制作的电子投标文件，系统将拒绝接收。各投标人在提交投标文件截止时间之前，应随时关注发布的变更公告，代理公司不再单独通知，因投标人未及时关注所造成的一切后果由投标人自行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333333"/>
          <w:spacing w:val="0"/>
          <w:sz w:val="24"/>
          <w:szCs w:val="24"/>
        </w:rPr>
      </w:pPr>
      <w:r>
        <w:rPr>
          <w:rStyle w:val="12"/>
          <w:rFonts w:hint="eastAsia" w:ascii="宋体" w:hAnsi="宋体" w:eastAsia="宋体" w:cs="宋体"/>
          <w:b/>
          <w:bCs/>
          <w:i w:val="0"/>
          <w:iCs w:val="0"/>
          <w:caps w:val="0"/>
          <w:color w:val="333333"/>
          <w:spacing w:val="0"/>
          <w:sz w:val="24"/>
          <w:szCs w:val="24"/>
          <w:shd w:val="clear" w:fill="FFFFFF"/>
        </w:rPr>
        <w:t>七、对本次招标提出询问，请按以下方式联系。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jc w:val="left"/>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rPr>
        <w:t>1.采购人信息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名称：榆林市法律援助中心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地址：榆林市高新区长兴路207号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联系方式：0912-3284441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名称：榆林众昌达项目管理有限公司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地址：榆林市高新技术产业园区兴达路国际商务大厦写字中心B612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联系方式：0912-3836262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项目联系人：高涛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384"/>
        <w:jc w:val="both"/>
        <w:textAlignment w:val="auto"/>
        <w:rPr>
          <w:rFonts w:cs="宋体"/>
        </w:rPr>
      </w:pPr>
      <w:r>
        <w:rPr>
          <w:rFonts w:hint="eastAsia" w:ascii="宋体" w:hAnsi="宋体" w:eastAsia="宋体" w:cs="宋体"/>
          <w:i w:val="0"/>
          <w:iCs w:val="0"/>
          <w:caps w:val="0"/>
          <w:color w:val="auto"/>
          <w:spacing w:val="0"/>
          <w:sz w:val="24"/>
          <w:szCs w:val="24"/>
          <w:shd w:val="clear" w:fill="FFFFFF"/>
        </w:rPr>
        <w:t>电话：18691998073</w:t>
      </w:r>
    </w:p>
    <w:p>
      <w:pPr>
        <w:pStyle w:val="9"/>
        <w:shd w:val="clear" w:color="auto" w:fill="FFFFFF"/>
        <w:spacing w:beforeAutospacing="0" w:afterAutospacing="0" w:line="360" w:lineRule="auto"/>
        <w:ind w:firstLine="480"/>
        <w:jc w:val="right"/>
        <w:textAlignment w:val="baseline"/>
        <w:rPr>
          <w:rFonts w:cs="宋体"/>
          <w:color w:val="333333"/>
        </w:rPr>
      </w:pPr>
      <w:r>
        <w:rPr>
          <w:rFonts w:hint="eastAsia" w:cs="宋体"/>
          <w:color w:val="333333"/>
          <w:shd w:val="clear" w:color="auto" w:fill="FFFFFF"/>
        </w:rPr>
        <w:t>榆林众昌达项目管理有限公司</w:t>
      </w:r>
    </w:p>
    <w:p>
      <w:pPr>
        <w:pStyle w:val="9"/>
        <w:shd w:val="clear" w:color="auto" w:fill="FFFFFF"/>
        <w:spacing w:beforeAutospacing="0" w:afterAutospacing="0" w:line="360" w:lineRule="auto"/>
        <w:ind w:firstLine="480"/>
        <w:jc w:val="right"/>
        <w:textAlignment w:val="baseline"/>
        <w:rPr>
          <w:rFonts w:cs="宋体"/>
          <w:color w:val="333333"/>
        </w:rPr>
      </w:pPr>
      <w:r>
        <w:rPr>
          <w:rFonts w:hint="eastAsia" w:cs="宋体"/>
          <w:color w:val="333333"/>
          <w:shd w:val="clear" w:color="auto" w:fill="FFFFFF"/>
        </w:rPr>
        <w:t>2022年</w:t>
      </w:r>
      <w:r>
        <w:rPr>
          <w:rFonts w:hint="eastAsia" w:cs="宋体"/>
          <w:color w:val="333333"/>
          <w:shd w:val="clear" w:color="auto" w:fill="FFFFFF"/>
          <w:lang w:val="en-US" w:eastAsia="zh-CN"/>
        </w:rPr>
        <w:t>10</w:t>
      </w:r>
      <w:r>
        <w:rPr>
          <w:rFonts w:hint="eastAsia" w:cs="宋体"/>
          <w:color w:val="333333"/>
          <w:shd w:val="clear" w:color="auto" w:fill="FFFFFF"/>
        </w:rPr>
        <w:t>月</w:t>
      </w:r>
      <w:r>
        <w:rPr>
          <w:rFonts w:hint="eastAsia" w:cs="宋体"/>
          <w:color w:val="333333"/>
          <w:shd w:val="clear" w:color="auto" w:fill="FFFFFF"/>
          <w:lang w:val="en-US" w:eastAsia="zh-CN"/>
        </w:rPr>
        <w:t>23</w:t>
      </w:r>
      <w:r>
        <w:rPr>
          <w:rFonts w:hint="eastAsia" w:cs="宋体"/>
          <w:color w:val="333333"/>
          <w:shd w:val="clear" w:color="auto"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MTc0ZjcwYTJiYWZjZmMxODk5N2MxMTYyNWE2YjEifQ=="/>
  </w:docVars>
  <w:rsids>
    <w:rsidRoot w:val="36F74D5B"/>
    <w:rsid w:val="36F74D5B"/>
    <w:rsid w:val="542A4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4"/>
    <w:basedOn w:val="1"/>
    <w:next w:val="1"/>
    <w:qFormat/>
    <w:uiPriority w:val="9"/>
    <w:pPr>
      <w:keepNext/>
      <w:keepLines/>
      <w:widowControl/>
      <w:spacing w:before="280" w:after="290" w:line="376" w:lineRule="auto"/>
      <w:jc w:val="left"/>
      <w:outlineLvl w:val="3"/>
    </w:pPr>
    <w:rPr>
      <w:rFonts w:ascii="Arial" w:hAnsi="Arial" w:eastAsia="黑体"/>
      <w:b/>
      <w:bCs/>
      <w:kern w:val="0"/>
      <w:sz w:val="28"/>
      <w:szCs w:val="28"/>
    </w:rPr>
  </w:style>
  <w:style w:type="paragraph" w:styleId="6">
    <w:name w:val="heading 6"/>
    <w:basedOn w:val="1"/>
    <w:next w:val="1"/>
    <w:qFormat/>
    <w:uiPriority w:val="9"/>
    <w:pPr>
      <w:widowControl/>
      <w:spacing w:line="360" w:lineRule="auto"/>
      <w:outlineLvl w:val="5"/>
    </w:pPr>
    <w:rPr>
      <w:rFonts w:ascii="Arial" w:hAnsi="Arial" w:eastAsia="黑体"/>
      <w:szCs w:val="21"/>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ind w:firstLine="552"/>
    </w:pPr>
    <w:rPr>
      <w:rFonts w:ascii="宋体"/>
      <w:sz w:val="28"/>
    </w:rPr>
  </w:style>
  <w:style w:type="paragraph" w:customStyle="1" w:styleId="4">
    <w:name w:val="样式 正文文本缩进 + 首行缩进:  2 字符 行距: 1.5 倍行距"/>
    <w:basedOn w:val="3"/>
    <w:qFormat/>
    <w:uiPriority w:val="0"/>
    <w:pPr>
      <w:ind w:firstLine="560"/>
    </w:pPr>
    <w:rPr>
      <w:rFonts w:eastAsia="仿宋_GB2312"/>
    </w:rPr>
  </w:style>
  <w:style w:type="paragraph" w:styleId="7">
    <w:name w:val="Body Text"/>
    <w:basedOn w:val="1"/>
    <w:next w:val="1"/>
    <w:uiPriority w:val="0"/>
    <w:pPr>
      <w:spacing w:line="360" w:lineRule="auto"/>
      <w:ind w:left="122"/>
    </w:pPr>
    <w:rPr>
      <w:rFonts w:ascii="宋体" w:hAnsi="宋体" w:eastAsia="宋体"/>
      <w:sz w:val="24"/>
      <w:szCs w:val="24"/>
      <w:lang w:eastAsia="en-US"/>
    </w:rPr>
  </w:style>
  <w:style w:type="paragraph" w:styleId="8">
    <w:name w:val="envelope return"/>
    <w:basedOn w:val="1"/>
    <w:qFormat/>
    <w:uiPriority w:val="0"/>
    <w:pPr>
      <w:snapToGrid w:val="0"/>
    </w:pPr>
    <w:rPr>
      <w:rFonts w:ascii="Arial" w:hAnsi="Arial"/>
    </w:rPr>
  </w:style>
  <w:style w:type="paragraph" w:styleId="9">
    <w:name w:val="Normal (Web)"/>
    <w:basedOn w:val="1"/>
    <w:next w:val="8"/>
    <w:unhideWhenUsed/>
    <w:qFormat/>
    <w:uiPriority w:val="99"/>
    <w:pPr>
      <w:widowControl/>
      <w:spacing w:beforeAutospacing="1" w:afterAutospacing="1"/>
      <w:jc w:val="left"/>
    </w:pPr>
    <w:rPr>
      <w:rFonts w:ascii="宋体" w:hAnsi="宋体"/>
      <w:kern w:val="0"/>
      <w:sz w:val="24"/>
      <w:szCs w:val="24"/>
    </w:rPr>
  </w:style>
  <w:style w:type="character" w:styleId="12">
    <w:name w:val="Strong"/>
    <w:basedOn w:val="11"/>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2022-10-23T12:07:00Z</dcterms:created>
  <dc:creator>青山不改，绿水长流</dc:creator>
  <cp:lastModifiedBy>青山不改，绿水长流</cp:lastModifiedBy>
  <dcterms:modified xsi:type="dcterms:W3CDTF">2022-10-23T13:45:14Z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19FED146F14B4340B721FD53CC9E1915</vt:lpwstr>
  </property>
</Properties>
</file>