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pPr>
      <w:r>
        <w:drawing>
          <wp:inline distT="0" distB="0" distL="114300" distR="114300">
            <wp:extent cx="963930" cy="951865"/>
            <wp:effectExtent l="0" t="0" r="762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963930" cy="951865"/>
                    </a:xfrm>
                    <a:prstGeom prst="rect">
                      <a:avLst/>
                    </a:prstGeom>
                    <a:noFill/>
                    <a:ln>
                      <a:noFill/>
                    </a:ln>
                  </pic:spPr>
                </pic:pic>
              </a:graphicData>
            </a:graphic>
          </wp:inline>
        </w:drawing>
      </w:r>
    </w:p>
    <w:p>
      <w:pPr>
        <w:jc w:val="left"/>
        <w:rPr>
          <w:rFonts w:hint="default" w:ascii="宋体" w:hAnsi="宋体" w:eastAsia="宋体" w:cs="宋体"/>
          <w:b/>
          <w:bCs/>
          <w:color w:val="auto"/>
          <w:sz w:val="32"/>
          <w:szCs w:val="32"/>
          <w:lang w:val="en-US" w:eastAsia="zh-CN"/>
        </w:rPr>
      </w:pPr>
      <w:r>
        <w:rPr>
          <w:rFonts w:hint="eastAsia" w:ascii="宋体" w:hAnsi="宋体" w:cs="宋体"/>
          <w:b/>
          <w:bCs/>
          <w:color w:val="auto"/>
          <w:sz w:val="32"/>
          <w:szCs w:val="32"/>
        </w:rPr>
        <w:t>采购项目编号：</w:t>
      </w:r>
      <w:r>
        <w:rPr>
          <w:rFonts w:hint="eastAsia" w:ascii="宋体" w:hAnsi="宋体" w:cs="宋体"/>
          <w:b/>
          <w:bCs/>
          <w:color w:val="auto"/>
          <w:sz w:val="32"/>
          <w:szCs w:val="32"/>
          <w:lang w:val="en-US" w:eastAsia="zh-CN"/>
        </w:rPr>
        <w:t>HHXC-2023-017</w:t>
      </w:r>
    </w:p>
    <w:p>
      <w:pPr>
        <w:spacing w:before="156" w:beforeLines="50" w:line="360" w:lineRule="auto"/>
        <w:jc w:val="both"/>
        <w:rPr>
          <w:rFonts w:hint="eastAsia" w:ascii="宋体" w:hAnsi="宋体" w:cs="宋体"/>
          <w:b/>
          <w:bCs/>
          <w:color w:val="auto"/>
          <w:sz w:val="84"/>
          <w:szCs w:val="84"/>
        </w:rPr>
      </w:pPr>
    </w:p>
    <w:p>
      <w:pPr>
        <w:pStyle w:val="5"/>
        <w:ind w:left="0" w:leftChars="0" w:firstLine="0" w:firstLineChars="0"/>
        <w:jc w:val="center"/>
        <w:rPr>
          <w:rFonts w:hint="eastAsia" w:ascii="宋体" w:hAnsi="宋体" w:eastAsia="宋体" w:cs="宋体"/>
          <w:color w:val="auto"/>
        </w:rPr>
      </w:pPr>
      <w:r>
        <w:rPr>
          <w:rFonts w:hint="eastAsia" w:ascii="宋体" w:hAnsi="宋体" w:eastAsia="宋体" w:cs="宋体"/>
          <w:b/>
          <w:bCs/>
          <w:i w:val="0"/>
          <w:iCs w:val="0"/>
          <w:caps w:val="0"/>
          <w:color w:val="222222"/>
          <w:spacing w:val="0"/>
          <w:sz w:val="48"/>
          <w:szCs w:val="48"/>
          <w:highlight w:val="none"/>
          <w:shd w:val="clear" w:fill="FFFFFF"/>
          <w:lang w:val="en-US" w:eastAsia="zh-CN"/>
        </w:rPr>
        <w:t>205省道佳县至米脂公路工程可行性研究报告编制服务</w:t>
      </w:r>
    </w:p>
    <w:p>
      <w:pPr>
        <w:pStyle w:val="5"/>
        <w:rPr>
          <w:rFonts w:hint="eastAsia" w:ascii="宋体" w:hAnsi="宋体" w:cs="宋体"/>
          <w:color w:val="auto"/>
        </w:rPr>
      </w:pPr>
    </w:p>
    <w:p>
      <w:pPr>
        <w:spacing w:before="156" w:beforeLines="50" w:line="360" w:lineRule="auto"/>
        <w:jc w:val="center"/>
        <w:rPr>
          <w:rFonts w:hint="eastAsia" w:ascii="宋体" w:hAnsi="宋体" w:cs="宋体"/>
          <w:b/>
          <w:bCs/>
          <w:color w:val="auto"/>
          <w:sz w:val="84"/>
          <w:szCs w:val="84"/>
          <w:lang w:val="en-US" w:eastAsia="zh-CN"/>
        </w:rPr>
      </w:pPr>
    </w:p>
    <w:p>
      <w:pPr>
        <w:spacing w:before="156" w:beforeLines="50" w:line="360" w:lineRule="auto"/>
        <w:jc w:val="center"/>
        <w:rPr>
          <w:rFonts w:hint="eastAsia" w:ascii="宋体" w:hAnsi="宋体" w:cs="宋体"/>
          <w:b/>
          <w:bCs/>
          <w:color w:val="auto"/>
          <w:sz w:val="84"/>
          <w:szCs w:val="84"/>
        </w:rPr>
      </w:pPr>
      <w:r>
        <w:rPr>
          <w:rFonts w:hint="eastAsia" w:ascii="宋体" w:hAnsi="宋体" w:cs="宋体"/>
          <w:b/>
          <w:bCs/>
          <w:color w:val="auto"/>
          <w:sz w:val="84"/>
          <w:szCs w:val="84"/>
          <w:lang w:val="en-US" w:eastAsia="zh-CN"/>
        </w:rPr>
        <w:t>竞争性谈判</w:t>
      </w:r>
      <w:r>
        <w:rPr>
          <w:rFonts w:hint="eastAsia" w:ascii="宋体" w:hAnsi="宋体" w:cs="宋体"/>
          <w:b/>
          <w:bCs/>
          <w:color w:val="auto"/>
          <w:sz w:val="84"/>
          <w:szCs w:val="84"/>
        </w:rPr>
        <w:t>文件</w:t>
      </w:r>
    </w:p>
    <w:p>
      <w:pPr>
        <w:rPr>
          <w:rFonts w:hint="eastAsia" w:ascii="宋体" w:hAnsi="宋体" w:cs="宋体"/>
          <w:b/>
          <w:color w:val="auto"/>
          <w:sz w:val="32"/>
          <w:szCs w:val="32"/>
        </w:rPr>
      </w:pPr>
    </w:p>
    <w:p>
      <w:pPr>
        <w:tabs>
          <w:tab w:val="left" w:pos="3861"/>
        </w:tabs>
        <w:rPr>
          <w:rFonts w:hint="eastAsia" w:ascii="宋体" w:hAnsi="宋体" w:cs="宋体"/>
          <w:color w:val="auto"/>
        </w:rPr>
      </w:pPr>
    </w:p>
    <w:p>
      <w:pPr>
        <w:pStyle w:val="6"/>
        <w:rPr>
          <w:rFonts w:hint="eastAsia"/>
          <w:color w:val="auto"/>
        </w:rPr>
      </w:pPr>
    </w:p>
    <w:p>
      <w:pPr>
        <w:rPr>
          <w:rFonts w:hint="eastAsia"/>
          <w:color w:val="auto"/>
        </w:rPr>
      </w:pPr>
    </w:p>
    <w:p>
      <w:pPr>
        <w:pStyle w:val="24"/>
        <w:rPr>
          <w:rFonts w:hint="eastAsia"/>
          <w:color w:val="auto"/>
        </w:rPr>
      </w:pPr>
    </w:p>
    <w:p>
      <w:pPr>
        <w:pStyle w:val="6"/>
        <w:rPr>
          <w:rFonts w:hint="eastAsia"/>
          <w:color w:val="auto"/>
        </w:rPr>
      </w:pPr>
    </w:p>
    <w:p>
      <w:pPr>
        <w:tabs>
          <w:tab w:val="left" w:pos="2520"/>
        </w:tabs>
        <w:spacing w:line="720" w:lineRule="auto"/>
        <w:ind w:firstLine="643" w:firstLineChars="200"/>
        <w:rPr>
          <w:rFonts w:hint="default" w:ascii="宋体" w:hAnsi="宋体" w:cs="宋体"/>
          <w:color w:val="auto"/>
          <w:lang w:val="en-US"/>
        </w:rPr>
      </w:pPr>
      <w:r>
        <w:rPr>
          <w:rFonts w:hint="eastAsia" w:ascii="宋体" w:hAnsi="宋体" w:cs="宋体"/>
          <w:b/>
          <w:color w:val="auto"/>
          <w:sz w:val="32"/>
          <w:szCs w:val="32"/>
        </w:rPr>
        <w:t>采购单位：榆林市交通运输局</w:t>
      </w:r>
    </w:p>
    <w:p>
      <w:pPr>
        <w:spacing w:line="720" w:lineRule="auto"/>
        <w:ind w:firstLine="643" w:firstLineChars="200"/>
        <w:rPr>
          <w:rFonts w:hint="eastAsia" w:ascii="宋体" w:hAnsi="宋体" w:cs="宋体"/>
          <w:b/>
          <w:color w:val="auto"/>
          <w:sz w:val="32"/>
          <w:szCs w:val="32"/>
        </w:rPr>
      </w:pPr>
      <w:r>
        <w:rPr>
          <w:rFonts w:hint="eastAsia" w:ascii="宋体" w:hAnsi="宋体" w:cs="宋体"/>
          <w:b/>
          <w:color w:val="auto"/>
          <w:sz w:val="32"/>
          <w:szCs w:val="32"/>
        </w:rPr>
        <w:t>代理机构：</w:t>
      </w:r>
      <w:r>
        <w:rPr>
          <w:rFonts w:hint="eastAsia" w:ascii="宋体" w:hAnsi="宋体" w:cs="宋体"/>
          <w:b/>
          <w:color w:val="auto"/>
          <w:sz w:val="32"/>
          <w:szCs w:val="32"/>
          <w:lang w:eastAsia="zh-CN"/>
        </w:rPr>
        <w:t>榆林瀚海星辰项目管理有限公司</w:t>
      </w:r>
    </w:p>
    <w:p>
      <w:pPr>
        <w:spacing w:line="720" w:lineRule="auto"/>
        <w:ind w:firstLine="643" w:firstLineChars="200"/>
        <w:rPr>
          <w:rFonts w:hint="default"/>
          <w:b/>
          <w:bCs/>
          <w:lang w:val="en-US"/>
        </w:rPr>
      </w:pPr>
      <w:r>
        <w:rPr>
          <w:rFonts w:hint="eastAsia" w:ascii="宋体" w:hAnsi="宋体" w:cs="宋体"/>
          <w:b/>
          <w:color w:val="auto"/>
          <w:sz w:val="32"/>
          <w:szCs w:val="32"/>
        </w:rPr>
        <w:t>时     间：二〇二</w:t>
      </w:r>
      <w:r>
        <w:rPr>
          <w:rFonts w:hint="eastAsia" w:ascii="宋体" w:hAnsi="宋体" w:cs="宋体"/>
          <w:b/>
          <w:color w:val="auto"/>
          <w:sz w:val="32"/>
          <w:szCs w:val="32"/>
          <w:lang w:val="en-US" w:eastAsia="zh-CN"/>
        </w:rPr>
        <w:t>三</w:t>
      </w:r>
      <w:r>
        <w:rPr>
          <w:rFonts w:hint="eastAsia" w:ascii="宋体" w:hAnsi="宋体" w:cs="宋体"/>
          <w:b/>
          <w:color w:val="auto"/>
          <w:sz w:val="32"/>
          <w:szCs w:val="32"/>
        </w:rPr>
        <w:t>年</w:t>
      </w:r>
      <w:r>
        <w:rPr>
          <w:rFonts w:hint="eastAsia" w:ascii="宋体" w:hAnsi="宋体" w:cs="宋体"/>
          <w:b/>
          <w:color w:val="auto"/>
          <w:sz w:val="32"/>
          <w:szCs w:val="32"/>
          <w:lang w:val="en-US" w:eastAsia="zh-CN"/>
        </w:rPr>
        <w:t>五月</w:t>
      </w:r>
    </w:p>
    <w:p>
      <w:pPr>
        <w:rPr>
          <w:rFonts w:hint="eastAsia" w:ascii="宋体" w:hAnsi="宋体" w:eastAsia="宋体" w:cs="宋体"/>
          <w:b/>
          <w:bCs/>
          <w:sz w:val="44"/>
          <w:szCs w:val="44"/>
        </w:rPr>
      </w:pPr>
      <w:r>
        <w:rPr>
          <w:rFonts w:hint="eastAsia" w:ascii="宋体" w:hAnsi="宋体" w:eastAsia="宋体" w:cs="宋体"/>
          <w:b/>
          <w:bCs/>
          <w:sz w:val="44"/>
          <w:szCs w:val="44"/>
        </w:rPr>
        <w:br w:type="page"/>
      </w:r>
    </w:p>
    <w:p>
      <w:pPr>
        <w:spacing w:before="0" w:beforeLines="0" w:after="0" w:afterLines="0" w:line="600" w:lineRule="auto"/>
        <w:ind w:left="0" w:leftChars="0" w:right="0" w:rightChars="0" w:firstLine="0" w:firstLineChars="0"/>
        <w:jc w:val="center"/>
      </w:pPr>
      <w:r>
        <w:rPr>
          <w:rFonts w:hint="eastAsia" w:ascii="宋体" w:hAnsi="宋体" w:eastAsia="宋体" w:cs="宋体"/>
          <w:b/>
          <w:bCs/>
          <w:sz w:val="44"/>
          <w:szCs w:val="44"/>
        </w:rPr>
        <w:t>目</w:t>
      </w:r>
      <w:r>
        <w:rPr>
          <w:rFonts w:hint="eastAsia" w:ascii="宋体" w:hAnsi="宋体" w:eastAsia="宋体" w:cs="宋体"/>
          <w:b/>
          <w:bCs/>
          <w:sz w:val="44"/>
          <w:szCs w:val="44"/>
          <w:lang w:val="en-US" w:eastAsia="zh-CN"/>
        </w:rPr>
        <w:t xml:space="preserve"> </w:t>
      </w:r>
      <w:r>
        <w:rPr>
          <w:rFonts w:hint="eastAsia" w:ascii="宋体" w:hAnsi="宋体" w:eastAsia="宋体" w:cs="宋体"/>
          <w:b/>
          <w:bCs/>
          <w:sz w:val="44"/>
          <w:szCs w:val="44"/>
        </w:rPr>
        <w:t>录</w:t>
      </w:r>
    </w:p>
    <w:p>
      <w:pPr>
        <w:pStyle w:val="12"/>
        <w:tabs>
          <w:tab w:val="right" w:leader="dot" w:pos="8306"/>
        </w:tabs>
        <w:spacing w:line="720" w:lineRule="auto"/>
        <w:rPr>
          <w:sz w:val="32"/>
          <w:szCs w:val="40"/>
        </w:rPr>
      </w:pPr>
      <w:r>
        <w:rPr>
          <w:sz w:val="44"/>
          <w:szCs w:val="52"/>
        </w:rPr>
        <w:fldChar w:fldCharType="begin"/>
      </w:r>
      <w:r>
        <w:rPr>
          <w:sz w:val="44"/>
          <w:szCs w:val="52"/>
        </w:rPr>
        <w:instrText xml:space="preserve">TOC \o "1-2" \h \u </w:instrText>
      </w:r>
      <w:r>
        <w:rPr>
          <w:sz w:val="44"/>
          <w:szCs w:val="52"/>
        </w:rPr>
        <w:fldChar w:fldCharType="separate"/>
      </w:r>
      <w:r>
        <w:rPr>
          <w:sz w:val="32"/>
          <w:szCs w:val="52"/>
        </w:rPr>
        <w:fldChar w:fldCharType="begin"/>
      </w:r>
      <w:r>
        <w:rPr>
          <w:sz w:val="32"/>
          <w:szCs w:val="52"/>
        </w:rPr>
        <w:instrText xml:space="preserve"> HYPERLINK \l _Toc5870 </w:instrText>
      </w:r>
      <w:r>
        <w:rPr>
          <w:sz w:val="32"/>
          <w:szCs w:val="52"/>
        </w:rPr>
        <w:fldChar w:fldCharType="separate"/>
      </w:r>
      <w:r>
        <w:rPr>
          <w:rFonts w:hint="eastAsia" w:ascii="宋体" w:hAnsi="宋体" w:eastAsia="宋体" w:cs="宋体"/>
          <w:sz w:val="32"/>
          <w:szCs w:val="24"/>
        </w:rPr>
        <w:t xml:space="preserve">第一部分  </w:t>
      </w:r>
      <w:r>
        <w:rPr>
          <w:rFonts w:hint="eastAsia" w:ascii="宋体" w:hAnsi="宋体" w:cs="宋体"/>
          <w:sz w:val="32"/>
          <w:szCs w:val="24"/>
          <w:lang w:val="en-US" w:eastAsia="zh-CN"/>
        </w:rPr>
        <w:t>竞争性谈判</w:t>
      </w:r>
      <w:r>
        <w:rPr>
          <w:rFonts w:hint="eastAsia" w:ascii="宋体" w:hAnsi="宋体" w:eastAsia="宋体" w:cs="宋体"/>
          <w:sz w:val="32"/>
          <w:szCs w:val="24"/>
        </w:rPr>
        <w:t>公告</w:t>
      </w:r>
      <w:r>
        <w:rPr>
          <w:sz w:val="32"/>
          <w:szCs w:val="40"/>
        </w:rPr>
        <w:tab/>
      </w:r>
      <w:r>
        <w:rPr>
          <w:sz w:val="32"/>
          <w:szCs w:val="40"/>
        </w:rPr>
        <w:fldChar w:fldCharType="begin"/>
      </w:r>
      <w:r>
        <w:rPr>
          <w:sz w:val="32"/>
          <w:szCs w:val="40"/>
        </w:rPr>
        <w:instrText xml:space="preserve"> PAGEREF _Toc5870 \h </w:instrText>
      </w:r>
      <w:r>
        <w:rPr>
          <w:sz w:val="32"/>
          <w:szCs w:val="40"/>
        </w:rPr>
        <w:fldChar w:fldCharType="separate"/>
      </w:r>
      <w:r>
        <w:rPr>
          <w:sz w:val="32"/>
          <w:szCs w:val="40"/>
        </w:rPr>
        <w:t>1</w:t>
      </w:r>
      <w:r>
        <w:rPr>
          <w:sz w:val="32"/>
          <w:szCs w:val="40"/>
        </w:rPr>
        <w:fldChar w:fldCharType="end"/>
      </w:r>
      <w:r>
        <w:rPr>
          <w:sz w:val="32"/>
          <w:szCs w:val="52"/>
        </w:rPr>
        <w:fldChar w:fldCharType="end"/>
      </w:r>
    </w:p>
    <w:p>
      <w:pPr>
        <w:pStyle w:val="12"/>
        <w:tabs>
          <w:tab w:val="right" w:leader="dot" w:pos="8306"/>
        </w:tabs>
        <w:spacing w:line="720" w:lineRule="auto"/>
        <w:rPr>
          <w:sz w:val="32"/>
          <w:szCs w:val="40"/>
        </w:rPr>
      </w:pPr>
      <w:r>
        <w:rPr>
          <w:sz w:val="32"/>
          <w:szCs w:val="52"/>
        </w:rPr>
        <w:fldChar w:fldCharType="begin"/>
      </w:r>
      <w:r>
        <w:rPr>
          <w:sz w:val="32"/>
          <w:szCs w:val="52"/>
        </w:rPr>
        <w:instrText xml:space="preserve"> HYPERLINK \l _Toc31701 </w:instrText>
      </w:r>
      <w:r>
        <w:rPr>
          <w:sz w:val="32"/>
          <w:szCs w:val="52"/>
        </w:rPr>
        <w:fldChar w:fldCharType="separate"/>
      </w:r>
      <w:r>
        <w:rPr>
          <w:rFonts w:hint="eastAsia" w:ascii="宋体" w:hAnsi="宋体" w:eastAsia="宋体" w:cs="宋体"/>
          <w:sz w:val="32"/>
          <w:szCs w:val="56"/>
        </w:rPr>
        <w:t xml:space="preserve">第二部分 </w:t>
      </w:r>
      <w:r>
        <w:rPr>
          <w:rFonts w:hint="eastAsia" w:ascii="宋体" w:hAnsi="宋体" w:cs="宋体"/>
          <w:sz w:val="32"/>
          <w:szCs w:val="56"/>
          <w:lang w:val="en-US" w:eastAsia="zh-CN"/>
        </w:rPr>
        <w:t xml:space="preserve"> </w:t>
      </w:r>
      <w:r>
        <w:rPr>
          <w:rFonts w:hint="eastAsia" w:ascii="宋体" w:hAnsi="宋体" w:eastAsia="宋体" w:cs="宋体"/>
          <w:sz w:val="32"/>
          <w:szCs w:val="56"/>
          <w:lang w:val="en-US" w:eastAsia="zh-CN"/>
        </w:rPr>
        <w:t>供应商须知前附表</w:t>
      </w:r>
      <w:r>
        <w:rPr>
          <w:sz w:val="32"/>
          <w:szCs w:val="40"/>
        </w:rPr>
        <w:tab/>
      </w:r>
      <w:r>
        <w:rPr>
          <w:sz w:val="32"/>
          <w:szCs w:val="40"/>
        </w:rPr>
        <w:fldChar w:fldCharType="begin"/>
      </w:r>
      <w:r>
        <w:rPr>
          <w:sz w:val="32"/>
          <w:szCs w:val="40"/>
        </w:rPr>
        <w:instrText xml:space="preserve"> PAGEREF _Toc31701 \h </w:instrText>
      </w:r>
      <w:r>
        <w:rPr>
          <w:sz w:val="32"/>
          <w:szCs w:val="40"/>
        </w:rPr>
        <w:fldChar w:fldCharType="separate"/>
      </w:r>
      <w:r>
        <w:rPr>
          <w:sz w:val="32"/>
          <w:szCs w:val="40"/>
        </w:rPr>
        <w:t>5</w:t>
      </w:r>
      <w:r>
        <w:rPr>
          <w:sz w:val="32"/>
          <w:szCs w:val="40"/>
        </w:rPr>
        <w:fldChar w:fldCharType="end"/>
      </w:r>
      <w:r>
        <w:rPr>
          <w:sz w:val="32"/>
          <w:szCs w:val="52"/>
        </w:rPr>
        <w:fldChar w:fldCharType="end"/>
      </w:r>
    </w:p>
    <w:p>
      <w:pPr>
        <w:pStyle w:val="12"/>
        <w:tabs>
          <w:tab w:val="right" w:leader="dot" w:pos="8306"/>
        </w:tabs>
        <w:spacing w:line="720" w:lineRule="auto"/>
        <w:rPr>
          <w:sz w:val="32"/>
          <w:szCs w:val="40"/>
        </w:rPr>
      </w:pPr>
      <w:r>
        <w:rPr>
          <w:sz w:val="32"/>
          <w:szCs w:val="52"/>
        </w:rPr>
        <w:fldChar w:fldCharType="begin"/>
      </w:r>
      <w:r>
        <w:rPr>
          <w:sz w:val="32"/>
          <w:szCs w:val="52"/>
        </w:rPr>
        <w:instrText xml:space="preserve"> HYPERLINK \l _Toc6888 </w:instrText>
      </w:r>
      <w:r>
        <w:rPr>
          <w:sz w:val="32"/>
          <w:szCs w:val="52"/>
        </w:rPr>
        <w:fldChar w:fldCharType="separate"/>
      </w:r>
      <w:r>
        <w:rPr>
          <w:rFonts w:hint="eastAsia" w:ascii="宋体" w:hAnsi="宋体" w:cs="宋体"/>
          <w:bCs/>
          <w:sz w:val="32"/>
          <w:szCs w:val="52"/>
        </w:rPr>
        <w:t>第三部分  供应商须知</w:t>
      </w:r>
      <w:r>
        <w:rPr>
          <w:sz w:val="32"/>
          <w:szCs w:val="40"/>
        </w:rPr>
        <w:tab/>
      </w:r>
      <w:r>
        <w:rPr>
          <w:sz w:val="32"/>
          <w:szCs w:val="40"/>
        </w:rPr>
        <w:fldChar w:fldCharType="begin"/>
      </w:r>
      <w:r>
        <w:rPr>
          <w:sz w:val="32"/>
          <w:szCs w:val="40"/>
        </w:rPr>
        <w:instrText xml:space="preserve"> PAGEREF _Toc6888 \h </w:instrText>
      </w:r>
      <w:r>
        <w:rPr>
          <w:sz w:val="32"/>
          <w:szCs w:val="40"/>
        </w:rPr>
        <w:fldChar w:fldCharType="separate"/>
      </w:r>
      <w:r>
        <w:rPr>
          <w:sz w:val="32"/>
          <w:szCs w:val="40"/>
        </w:rPr>
        <w:t>13</w:t>
      </w:r>
      <w:r>
        <w:rPr>
          <w:sz w:val="32"/>
          <w:szCs w:val="40"/>
        </w:rPr>
        <w:fldChar w:fldCharType="end"/>
      </w:r>
      <w:r>
        <w:rPr>
          <w:sz w:val="32"/>
          <w:szCs w:val="52"/>
        </w:rPr>
        <w:fldChar w:fldCharType="end"/>
      </w:r>
    </w:p>
    <w:p>
      <w:pPr>
        <w:pStyle w:val="12"/>
        <w:tabs>
          <w:tab w:val="right" w:leader="dot" w:pos="8306"/>
        </w:tabs>
        <w:spacing w:line="720" w:lineRule="auto"/>
        <w:rPr>
          <w:sz w:val="32"/>
          <w:szCs w:val="40"/>
        </w:rPr>
      </w:pPr>
      <w:r>
        <w:rPr>
          <w:sz w:val="32"/>
          <w:szCs w:val="52"/>
        </w:rPr>
        <w:fldChar w:fldCharType="begin"/>
      </w:r>
      <w:r>
        <w:rPr>
          <w:sz w:val="32"/>
          <w:szCs w:val="52"/>
        </w:rPr>
        <w:instrText xml:space="preserve"> HYPERLINK \l _Toc31112 </w:instrText>
      </w:r>
      <w:r>
        <w:rPr>
          <w:sz w:val="32"/>
          <w:szCs w:val="52"/>
        </w:rPr>
        <w:fldChar w:fldCharType="separate"/>
      </w:r>
      <w:r>
        <w:rPr>
          <w:rFonts w:hint="eastAsia" w:ascii="宋体" w:hAnsi="宋体" w:cs="仿宋_GB2312"/>
          <w:sz w:val="32"/>
          <w:szCs w:val="36"/>
        </w:rPr>
        <w:t xml:space="preserve">第四部分  </w:t>
      </w:r>
      <w:r>
        <w:rPr>
          <w:rFonts w:hint="eastAsia" w:ascii="宋体" w:hAnsi="宋体" w:cs="仿宋_GB2312"/>
          <w:bCs/>
          <w:sz w:val="32"/>
          <w:szCs w:val="36"/>
        </w:rPr>
        <w:t>政府采购合同</w:t>
      </w:r>
      <w:r>
        <w:rPr>
          <w:sz w:val="32"/>
          <w:szCs w:val="40"/>
        </w:rPr>
        <w:tab/>
      </w:r>
      <w:r>
        <w:rPr>
          <w:sz w:val="32"/>
          <w:szCs w:val="40"/>
        </w:rPr>
        <w:fldChar w:fldCharType="begin"/>
      </w:r>
      <w:r>
        <w:rPr>
          <w:sz w:val="32"/>
          <w:szCs w:val="40"/>
        </w:rPr>
        <w:instrText xml:space="preserve"> PAGEREF _Toc31112 \h </w:instrText>
      </w:r>
      <w:r>
        <w:rPr>
          <w:sz w:val="32"/>
          <w:szCs w:val="40"/>
        </w:rPr>
        <w:fldChar w:fldCharType="separate"/>
      </w:r>
      <w:r>
        <w:rPr>
          <w:sz w:val="32"/>
          <w:szCs w:val="40"/>
        </w:rPr>
        <w:t>28</w:t>
      </w:r>
      <w:r>
        <w:rPr>
          <w:sz w:val="32"/>
          <w:szCs w:val="40"/>
        </w:rPr>
        <w:fldChar w:fldCharType="end"/>
      </w:r>
      <w:r>
        <w:rPr>
          <w:sz w:val="32"/>
          <w:szCs w:val="52"/>
        </w:rPr>
        <w:fldChar w:fldCharType="end"/>
      </w:r>
    </w:p>
    <w:p>
      <w:pPr>
        <w:pStyle w:val="12"/>
        <w:tabs>
          <w:tab w:val="right" w:leader="dot" w:pos="8306"/>
        </w:tabs>
        <w:spacing w:line="720" w:lineRule="auto"/>
        <w:rPr>
          <w:sz w:val="32"/>
          <w:szCs w:val="40"/>
        </w:rPr>
      </w:pPr>
      <w:r>
        <w:rPr>
          <w:sz w:val="32"/>
          <w:szCs w:val="52"/>
        </w:rPr>
        <w:fldChar w:fldCharType="begin"/>
      </w:r>
      <w:r>
        <w:rPr>
          <w:sz w:val="32"/>
          <w:szCs w:val="52"/>
        </w:rPr>
        <w:instrText xml:space="preserve"> HYPERLINK \l _Toc31372 </w:instrText>
      </w:r>
      <w:r>
        <w:rPr>
          <w:sz w:val="32"/>
          <w:szCs w:val="52"/>
        </w:rPr>
        <w:fldChar w:fldCharType="separate"/>
      </w:r>
      <w:r>
        <w:rPr>
          <w:rFonts w:hint="eastAsia" w:ascii="宋体" w:hAnsi="宋体" w:cs="宋体"/>
          <w:kern w:val="44"/>
          <w:sz w:val="32"/>
          <w:szCs w:val="36"/>
        </w:rPr>
        <w:t>第五部分  商务要求</w:t>
      </w:r>
      <w:r>
        <w:rPr>
          <w:sz w:val="32"/>
          <w:szCs w:val="40"/>
        </w:rPr>
        <w:tab/>
      </w:r>
      <w:r>
        <w:rPr>
          <w:sz w:val="32"/>
          <w:szCs w:val="40"/>
        </w:rPr>
        <w:fldChar w:fldCharType="begin"/>
      </w:r>
      <w:r>
        <w:rPr>
          <w:sz w:val="32"/>
          <w:szCs w:val="40"/>
        </w:rPr>
        <w:instrText xml:space="preserve"> PAGEREF _Toc31372 \h </w:instrText>
      </w:r>
      <w:r>
        <w:rPr>
          <w:sz w:val="32"/>
          <w:szCs w:val="40"/>
        </w:rPr>
        <w:fldChar w:fldCharType="separate"/>
      </w:r>
      <w:r>
        <w:rPr>
          <w:sz w:val="32"/>
          <w:szCs w:val="40"/>
        </w:rPr>
        <w:t>32</w:t>
      </w:r>
      <w:r>
        <w:rPr>
          <w:sz w:val="32"/>
          <w:szCs w:val="40"/>
        </w:rPr>
        <w:fldChar w:fldCharType="end"/>
      </w:r>
      <w:r>
        <w:rPr>
          <w:sz w:val="32"/>
          <w:szCs w:val="52"/>
        </w:rPr>
        <w:fldChar w:fldCharType="end"/>
      </w:r>
    </w:p>
    <w:p>
      <w:pPr>
        <w:pStyle w:val="12"/>
        <w:tabs>
          <w:tab w:val="right" w:leader="dot" w:pos="8306"/>
        </w:tabs>
        <w:spacing w:line="720" w:lineRule="auto"/>
        <w:rPr>
          <w:sz w:val="32"/>
          <w:szCs w:val="40"/>
        </w:rPr>
      </w:pPr>
      <w:r>
        <w:rPr>
          <w:sz w:val="32"/>
          <w:szCs w:val="52"/>
        </w:rPr>
        <w:fldChar w:fldCharType="begin"/>
      </w:r>
      <w:r>
        <w:rPr>
          <w:sz w:val="32"/>
          <w:szCs w:val="52"/>
        </w:rPr>
        <w:instrText xml:space="preserve"> HYPERLINK \l _Toc28550 </w:instrText>
      </w:r>
      <w:r>
        <w:rPr>
          <w:sz w:val="32"/>
          <w:szCs w:val="52"/>
        </w:rPr>
        <w:fldChar w:fldCharType="separate"/>
      </w:r>
      <w:r>
        <w:rPr>
          <w:rFonts w:hint="eastAsia" w:ascii="宋体" w:hAnsi="宋体" w:cs="宋体"/>
          <w:sz w:val="32"/>
          <w:szCs w:val="48"/>
        </w:rPr>
        <w:t xml:space="preserve">第六部分 </w:t>
      </w:r>
      <w:r>
        <w:rPr>
          <w:rFonts w:hint="eastAsia" w:ascii="宋体" w:hAnsi="宋体" w:cs="宋体"/>
          <w:sz w:val="32"/>
          <w:szCs w:val="48"/>
          <w:lang w:val="en-US" w:eastAsia="zh-CN"/>
        </w:rPr>
        <w:t xml:space="preserve"> </w:t>
      </w:r>
      <w:r>
        <w:rPr>
          <w:rFonts w:hint="eastAsia" w:ascii="宋体" w:hAnsi="宋体" w:cs="宋体"/>
          <w:sz w:val="32"/>
          <w:szCs w:val="48"/>
        </w:rPr>
        <w:t>采购内容及要求</w:t>
      </w:r>
      <w:r>
        <w:rPr>
          <w:sz w:val="32"/>
          <w:szCs w:val="40"/>
        </w:rPr>
        <w:tab/>
      </w:r>
      <w:r>
        <w:rPr>
          <w:sz w:val="32"/>
          <w:szCs w:val="40"/>
        </w:rPr>
        <w:fldChar w:fldCharType="begin"/>
      </w:r>
      <w:r>
        <w:rPr>
          <w:sz w:val="32"/>
          <w:szCs w:val="40"/>
        </w:rPr>
        <w:instrText xml:space="preserve"> PAGEREF _Toc28550 \h </w:instrText>
      </w:r>
      <w:r>
        <w:rPr>
          <w:sz w:val="32"/>
          <w:szCs w:val="40"/>
        </w:rPr>
        <w:fldChar w:fldCharType="separate"/>
      </w:r>
      <w:r>
        <w:rPr>
          <w:sz w:val="32"/>
          <w:szCs w:val="40"/>
        </w:rPr>
        <w:t>34</w:t>
      </w:r>
      <w:r>
        <w:rPr>
          <w:sz w:val="32"/>
          <w:szCs w:val="40"/>
        </w:rPr>
        <w:fldChar w:fldCharType="end"/>
      </w:r>
      <w:r>
        <w:rPr>
          <w:sz w:val="32"/>
          <w:szCs w:val="52"/>
        </w:rPr>
        <w:fldChar w:fldCharType="end"/>
      </w:r>
    </w:p>
    <w:p>
      <w:pPr>
        <w:pStyle w:val="12"/>
        <w:tabs>
          <w:tab w:val="right" w:leader="dot" w:pos="8306"/>
        </w:tabs>
        <w:spacing w:line="720" w:lineRule="auto"/>
        <w:rPr>
          <w:sz w:val="32"/>
          <w:szCs w:val="40"/>
        </w:rPr>
      </w:pPr>
      <w:r>
        <w:rPr>
          <w:sz w:val="32"/>
          <w:szCs w:val="52"/>
        </w:rPr>
        <w:fldChar w:fldCharType="begin"/>
      </w:r>
      <w:r>
        <w:rPr>
          <w:sz w:val="32"/>
          <w:szCs w:val="52"/>
        </w:rPr>
        <w:instrText xml:space="preserve"> HYPERLINK \l _Toc31867 </w:instrText>
      </w:r>
      <w:r>
        <w:rPr>
          <w:sz w:val="32"/>
          <w:szCs w:val="52"/>
        </w:rPr>
        <w:fldChar w:fldCharType="separate"/>
      </w:r>
      <w:r>
        <w:rPr>
          <w:rFonts w:hint="eastAsia" w:ascii="宋体" w:hAnsi="宋体" w:cs="宋体"/>
          <w:sz w:val="32"/>
          <w:szCs w:val="36"/>
        </w:rPr>
        <w:t xml:space="preserve">第七部分 </w:t>
      </w:r>
      <w:r>
        <w:rPr>
          <w:rFonts w:hint="eastAsia" w:ascii="宋体" w:hAnsi="宋体" w:cs="宋体"/>
          <w:sz w:val="32"/>
          <w:szCs w:val="36"/>
          <w:lang w:val="en-US" w:eastAsia="zh-CN"/>
        </w:rPr>
        <w:t xml:space="preserve"> </w:t>
      </w:r>
      <w:r>
        <w:rPr>
          <w:rFonts w:hint="eastAsia" w:ascii="宋体" w:hAnsi="宋体" w:cs="宋体"/>
          <w:sz w:val="32"/>
          <w:szCs w:val="36"/>
        </w:rPr>
        <w:t>评审方法</w:t>
      </w:r>
      <w:r>
        <w:rPr>
          <w:sz w:val="32"/>
          <w:szCs w:val="40"/>
        </w:rPr>
        <w:tab/>
      </w:r>
      <w:r>
        <w:rPr>
          <w:sz w:val="32"/>
          <w:szCs w:val="40"/>
        </w:rPr>
        <w:fldChar w:fldCharType="begin"/>
      </w:r>
      <w:r>
        <w:rPr>
          <w:sz w:val="32"/>
          <w:szCs w:val="40"/>
        </w:rPr>
        <w:instrText xml:space="preserve"> PAGEREF _Toc31867 \h </w:instrText>
      </w:r>
      <w:r>
        <w:rPr>
          <w:sz w:val="32"/>
          <w:szCs w:val="40"/>
        </w:rPr>
        <w:fldChar w:fldCharType="separate"/>
      </w:r>
      <w:r>
        <w:rPr>
          <w:sz w:val="32"/>
          <w:szCs w:val="40"/>
        </w:rPr>
        <w:t>35</w:t>
      </w:r>
      <w:r>
        <w:rPr>
          <w:sz w:val="32"/>
          <w:szCs w:val="40"/>
        </w:rPr>
        <w:fldChar w:fldCharType="end"/>
      </w:r>
      <w:r>
        <w:rPr>
          <w:sz w:val="32"/>
          <w:szCs w:val="52"/>
        </w:rPr>
        <w:fldChar w:fldCharType="end"/>
      </w:r>
    </w:p>
    <w:p>
      <w:pPr>
        <w:pStyle w:val="12"/>
        <w:tabs>
          <w:tab w:val="right" w:leader="dot" w:pos="8306"/>
        </w:tabs>
        <w:spacing w:line="720" w:lineRule="auto"/>
        <w:rPr>
          <w:sz w:val="32"/>
          <w:szCs w:val="40"/>
        </w:rPr>
      </w:pPr>
      <w:r>
        <w:rPr>
          <w:sz w:val="32"/>
          <w:szCs w:val="52"/>
        </w:rPr>
        <w:fldChar w:fldCharType="begin"/>
      </w:r>
      <w:r>
        <w:rPr>
          <w:sz w:val="32"/>
          <w:szCs w:val="52"/>
        </w:rPr>
        <w:instrText xml:space="preserve"> HYPERLINK \l _Toc22050 </w:instrText>
      </w:r>
      <w:r>
        <w:rPr>
          <w:sz w:val="32"/>
          <w:szCs w:val="52"/>
        </w:rPr>
        <w:fldChar w:fldCharType="separate"/>
      </w:r>
      <w:r>
        <w:rPr>
          <w:rFonts w:hint="eastAsia" w:ascii="宋体" w:hAnsi="宋体" w:cs="宋体"/>
          <w:sz w:val="32"/>
          <w:szCs w:val="36"/>
        </w:rPr>
        <w:t xml:space="preserve">第八部分 </w:t>
      </w:r>
      <w:r>
        <w:rPr>
          <w:rFonts w:hint="eastAsia" w:ascii="宋体" w:hAnsi="宋体" w:cs="宋体"/>
          <w:sz w:val="32"/>
          <w:szCs w:val="36"/>
          <w:lang w:val="en-US" w:eastAsia="zh-CN"/>
        </w:rPr>
        <w:t xml:space="preserve"> </w:t>
      </w:r>
      <w:r>
        <w:rPr>
          <w:rFonts w:hint="eastAsia" w:ascii="宋体" w:hAnsi="宋体" w:cs="宋体"/>
          <w:sz w:val="32"/>
          <w:szCs w:val="36"/>
        </w:rPr>
        <w:t>竞争性谈判响应文件格式</w:t>
      </w:r>
      <w:r>
        <w:rPr>
          <w:sz w:val="32"/>
          <w:szCs w:val="40"/>
        </w:rPr>
        <w:tab/>
      </w:r>
      <w:r>
        <w:rPr>
          <w:sz w:val="32"/>
          <w:szCs w:val="40"/>
        </w:rPr>
        <w:fldChar w:fldCharType="begin"/>
      </w:r>
      <w:r>
        <w:rPr>
          <w:sz w:val="32"/>
          <w:szCs w:val="40"/>
        </w:rPr>
        <w:instrText xml:space="preserve"> PAGEREF _Toc22050 \h </w:instrText>
      </w:r>
      <w:r>
        <w:rPr>
          <w:sz w:val="32"/>
          <w:szCs w:val="40"/>
        </w:rPr>
        <w:fldChar w:fldCharType="separate"/>
      </w:r>
      <w:r>
        <w:rPr>
          <w:sz w:val="32"/>
          <w:szCs w:val="40"/>
        </w:rPr>
        <w:t>40</w:t>
      </w:r>
      <w:r>
        <w:rPr>
          <w:sz w:val="32"/>
          <w:szCs w:val="40"/>
        </w:rPr>
        <w:fldChar w:fldCharType="end"/>
      </w:r>
      <w:r>
        <w:rPr>
          <w:sz w:val="32"/>
          <w:szCs w:val="52"/>
        </w:rPr>
        <w:fldChar w:fldCharType="end"/>
      </w:r>
    </w:p>
    <w:p>
      <w:pPr>
        <w:spacing w:line="720" w:lineRule="auto"/>
        <w:jc w:val="both"/>
      </w:pPr>
      <w:r>
        <w:rPr>
          <w:sz w:val="32"/>
          <w:szCs w:val="52"/>
        </w:rPr>
        <w:fldChar w:fldCharType="end"/>
      </w:r>
    </w:p>
    <w:p>
      <w:pPr>
        <w:spacing w:line="500" w:lineRule="exact"/>
        <w:jc w:val="center"/>
        <w:outlineLvl w:val="0"/>
        <w:rPr>
          <w:rFonts w:hint="eastAsia" w:ascii="宋体" w:hAnsi="宋体" w:eastAsia="宋体" w:cs="宋体"/>
          <w:b/>
          <w:color w:val="000000"/>
          <w:sz w:val="40"/>
          <w:szCs w:val="18"/>
        </w:rPr>
        <w:sectPr>
          <w:headerReference r:id="rId3" w:type="default"/>
          <w:footerReference r:id="rId4" w:type="default"/>
          <w:pgSz w:w="11906" w:h="16838"/>
          <w:pgMar w:top="1440" w:right="1800" w:bottom="1440" w:left="1800" w:header="851" w:footer="992" w:gutter="0"/>
          <w:cols w:space="720" w:num="1"/>
          <w:docGrid w:type="lines" w:linePitch="312" w:charSpace="0"/>
        </w:sectPr>
      </w:pPr>
    </w:p>
    <w:p>
      <w:pPr>
        <w:spacing w:line="500" w:lineRule="exact"/>
        <w:jc w:val="center"/>
        <w:outlineLvl w:val="0"/>
        <w:rPr>
          <w:rFonts w:hint="eastAsia" w:ascii="宋体" w:hAnsi="宋体" w:eastAsia="宋体" w:cs="宋体"/>
          <w:sz w:val="28"/>
          <w:szCs w:val="28"/>
        </w:rPr>
      </w:pPr>
      <w:bookmarkStart w:id="0" w:name="_Toc17638"/>
      <w:bookmarkStart w:id="1" w:name="_Toc17481"/>
      <w:bookmarkStart w:id="2" w:name="_Toc5870"/>
      <w:r>
        <w:rPr>
          <w:rFonts w:hint="eastAsia" w:ascii="宋体" w:hAnsi="宋体" w:eastAsia="宋体" w:cs="宋体"/>
          <w:b/>
          <w:color w:val="000000"/>
          <w:sz w:val="40"/>
          <w:szCs w:val="18"/>
        </w:rPr>
        <w:t xml:space="preserve">第一部分  </w:t>
      </w:r>
      <w:r>
        <w:rPr>
          <w:rFonts w:hint="eastAsia" w:ascii="宋体" w:hAnsi="宋体" w:cs="宋体"/>
          <w:b/>
          <w:color w:val="000000"/>
          <w:sz w:val="40"/>
          <w:szCs w:val="18"/>
          <w:lang w:val="en-US" w:eastAsia="zh-CN"/>
        </w:rPr>
        <w:t>竞争性谈判</w:t>
      </w:r>
      <w:r>
        <w:rPr>
          <w:rFonts w:hint="eastAsia" w:ascii="宋体" w:hAnsi="宋体" w:eastAsia="宋体" w:cs="宋体"/>
          <w:b/>
          <w:color w:val="000000"/>
          <w:sz w:val="40"/>
          <w:szCs w:val="18"/>
        </w:rPr>
        <w:t>公告</w:t>
      </w:r>
      <w:bookmarkEnd w:id="0"/>
      <w:bookmarkEnd w:id="1"/>
      <w:bookmarkEnd w:id="2"/>
    </w:p>
    <w:p>
      <w:pPr>
        <w:pStyle w:val="2"/>
        <w:rPr>
          <w:rFonts w:hint="eastAsia" w:ascii="Calibri" w:hAnsi="Calibri" w:eastAsia="宋体" w:cs="Times New Roman"/>
          <w:b/>
          <w:bCs/>
          <w:kern w:val="2"/>
          <w:sz w:val="24"/>
          <w:szCs w:val="24"/>
          <w:lang w:val="en-US" w:eastAsia="zh-CN" w:bidi="ar-SA"/>
        </w:rPr>
      </w:pPr>
      <w:r>
        <w:rPr>
          <w:rFonts w:hint="eastAsia" w:ascii="Calibri" w:hAnsi="Calibri" w:eastAsia="宋体" w:cs="Times New Roman"/>
          <w:b/>
          <w:bCs/>
          <w:kern w:val="2"/>
          <w:sz w:val="24"/>
          <w:szCs w:val="24"/>
          <w:lang w:val="en-US" w:eastAsia="zh-CN" w:bidi="ar-SA"/>
        </w:rPr>
        <w:t>项目概况</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firstLine="480" w:firstLineChars="200"/>
        <w:jc w:val="both"/>
        <w:outlineLvl w:val="9"/>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205省道佳县至米脂公路工程可行性研究报告编制服务采购项目的潜在供应商应在全国公共资源交易中心平台（陕西省）获取采购文件，并于 2023年05月</w:t>
      </w:r>
      <w:r>
        <w:rPr>
          <w:rFonts w:hint="eastAsia" w:cs="Times New Roman"/>
          <w:kern w:val="2"/>
          <w:sz w:val="24"/>
          <w:szCs w:val="24"/>
          <w:lang w:val="en-US" w:eastAsia="zh-CN" w:bidi="ar-SA"/>
        </w:rPr>
        <w:t>12</w:t>
      </w:r>
      <w:r>
        <w:rPr>
          <w:rFonts w:hint="eastAsia" w:ascii="Calibri" w:hAnsi="Calibri" w:eastAsia="宋体" w:cs="Times New Roman"/>
          <w:kern w:val="2"/>
          <w:sz w:val="24"/>
          <w:szCs w:val="24"/>
          <w:lang w:val="en-US" w:eastAsia="zh-CN" w:bidi="ar-SA"/>
        </w:rPr>
        <w:t>日 13时30分 （北京时间）前提交响应文件。</w:t>
      </w:r>
    </w:p>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outlineLvl w:val="9"/>
        <w:rPr>
          <w:rStyle w:val="16"/>
          <w:rFonts w:hint="eastAsia" w:ascii="宋体" w:hAnsi="宋体" w:eastAsia="宋体" w:cs="宋体"/>
          <w:b/>
          <w:bCs/>
          <w:i w:val="0"/>
          <w:iCs w:val="0"/>
          <w:caps w:val="0"/>
          <w:color w:val="333333"/>
          <w:spacing w:val="0"/>
          <w:sz w:val="24"/>
          <w:szCs w:val="24"/>
          <w:shd w:val="clear" w:fill="FFFFFF"/>
        </w:rPr>
      </w:pPr>
      <w:r>
        <w:rPr>
          <w:rStyle w:val="16"/>
          <w:rFonts w:hint="eastAsia" w:ascii="宋体" w:hAnsi="宋体" w:eastAsia="宋体" w:cs="宋体"/>
          <w:b/>
          <w:bCs/>
          <w:i w:val="0"/>
          <w:iCs w:val="0"/>
          <w:caps w:val="0"/>
          <w:color w:val="333333"/>
          <w:spacing w:val="0"/>
          <w:sz w:val="24"/>
          <w:szCs w:val="24"/>
          <w:shd w:val="clear" w:fill="FFFFFF"/>
        </w:rPr>
        <w:t>一、项目基本情况</w:t>
      </w:r>
    </w:p>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项目编号：HHXC-2023-017</w:t>
      </w:r>
    </w:p>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项目名称：205省道佳县至米脂公路工程可行性研究报告编制服务</w:t>
      </w:r>
    </w:p>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采购方式：竞争性谈判</w:t>
      </w:r>
    </w:p>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预算金额：1,300,000.00元</w:t>
      </w:r>
    </w:p>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采购需求：</w:t>
      </w:r>
    </w:p>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合同包1(</w:t>
      </w:r>
      <w:r>
        <w:rPr>
          <w:rFonts w:hint="eastAsia" w:ascii="Calibri" w:hAnsi="Calibri" w:cs="Times New Roman"/>
          <w:kern w:val="2"/>
          <w:sz w:val="24"/>
          <w:szCs w:val="24"/>
          <w:lang w:val="en-US" w:eastAsia="zh-CN" w:bidi="ar-SA"/>
        </w:rPr>
        <w:t>2</w:t>
      </w:r>
      <w:r>
        <w:rPr>
          <w:rFonts w:hint="eastAsia" w:ascii="Calibri" w:hAnsi="Calibri" w:eastAsia="宋体" w:cs="Times New Roman"/>
          <w:kern w:val="2"/>
          <w:sz w:val="24"/>
          <w:szCs w:val="24"/>
          <w:lang w:val="en-US" w:eastAsia="zh-CN" w:bidi="ar-SA"/>
        </w:rPr>
        <w:t>05省道佳县至米脂公路工程可行性研究报告编制服务):</w:t>
      </w:r>
    </w:p>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合同包预算金额：1,300,000.00元</w:t>
      </w:r>
    </w:p>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合同包最高限价：1</w:t>
      </w:r>
      <w:r>
        <w:rPr>
          <w:rFonts w:hint="eastAsia" w:ascii="Calibri" w:hAnsi="Calibri" w:cs="Times New Roman"/>
          <w:kern w:val="2"/>
          <w:sz w:val="24"/>
          <w:szCs w:val="24"/>
          <w:lang w:val="en-US" w:eastAsia="zh-CN" w:bidi="ar-SA"/>
        </w:rPr>
        <w:t>,</w:t>
      </w:r>
      <w:r>
        <w:rPr>
          <w:rFonts w:hint="eastAsia" w:ascii="Calibri" w:hAnsi="Calibri" w:eastAsia="宋体" w:cs="Times New Roman"/>
          <w:kern w:val="2"/>
          <w:sz w:val="24"/>
          <w:szCs w:val="24"/>
          <w:lang w:val="en-US" w:eastAsia="zh-CN" w:bidi="ar-SA"/>
        </w:rPr>
        <w:t>300</w:t>
      </w:r>
      <w:r>
        <w:rPr>
          <w:rFonts w:hint="eastAsia" w:ascii="Calibri" w:hAnsi="Calibri" w:cs="Times New Roman"/>
          <w:kern w:val="2"/>
          <w:sz w:val="24"/>
          <w:szCs w:val="24"/>
          <w:lang w:val="en-US" w:eastAsia="zh-CN" w:bidi="ar-SA"/>
        </w:rPr>
        <w:t>,0</w:t>
      </w:r>
      <w:r>
        <w:rPr>
          <w:rFonts w:hint="eastAsia" w:ascii="Calibri" w:hAnsi="Calibri" w:eastAsia="宋体" w:cs="Times New Roman"/>
          <w:kern w:val="2"/>
          <w:sz w:val="24"/>
          <w:szCs w:val="24"/>
          <w:lang w:val="en-US" w:eastAsia="zh-CN" w:bidi="ar-SA"/>
        </w:rPr>
        <w:t>00.00元</w:t>
      </w:r>
    </w:p>
    <w:tbl>
      <w:tblPr>
        <w:tblStyle w:val="14"/>
        <w:tblW w:w="927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57"/>
        <w:gridCol w:w="1137"/>
        <w:gridCol w:w="2694"/>
        <w:gridCol w:w="748"/>
        <w:gridCol w:w="1095"/>
        <w:gridCol w:w="1529"/>
        <w:gridCol w:w="151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259" w:hRule="atLeast"/>
          <w:tblHeader/>
        </w:trPr>
        <w:tc>
          <w:tcPr>
            <w:tcW w:w="5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品目号</w:t>
            </w:r>
          </w:p>
        </w:tc>
        <w:tc>
          <w:tcPr>
            <w:tcW w:w="11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品目名称</w:t>
            </w:r>
          </w:p>
        </w:tc>
        <w:tc>
          <w:tcPr>
            <w:tcW w:w="276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采购标的</w:t>
            </w:r>
          </w:p>
        </w:tc>
        <w:tc>
          <w:tcPr>
            <w:tcW w:w="74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数量（单位）</w:t>
            </w:r>
          </w:p>
        </w:tc>
        <w:tc>
          <w:tcPr>
            <w:tcW w:w="11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技术规格、参数及要求</w:t>
            </w:r>
          </w:p>
        </w:tc>
        <w:tc>
          <w:tcPr>
            <w:tcW w:w="15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品目预算(元)</w:t>
            </w:r>
          </w:p>
        </w:tc>
        <w:tc>
          <w:tcPr>
            <w:tcW w:w="136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291"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其他工程管理服务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205省道佳县至米脂公路工程可行性研究报告编制服务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1,300,000.00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1</w:t>
            </w:r>
            <w:r>
              <w:rPr>
                <w:rFonts w:hint="eastAsia" w:ascii="Calibri" w:hAnsi="Calibri" w:cs="Times New Roman"/>
                <w:kern w:val="2"/>
                <w:sz w:val="24"/>
                <w:szCs w:val="24"/>
                <w:lang w:val="en-US" w:eastAsia="zh-CN" w:bidi="ar-SA"/>
              </w:rPr>
              <w:t>,</w:t>
            </w:r>
            <w:r>
              <w:rPr>
                <w:rFonts w:hint="eastAsia" w:ascii="Calibri" w:hAnsi="Calibri" w:eastAsia="宋体" w:cs="Times New Roman"/>
                <w:kern w:val="2"/>
                <w:sz w:val="24"/>
                <w:szCs w:val="24"/>
                <w:lang w:val="en-US" w:eastAsia="zh-CN" w:bidi="ar-SA"/>
              </w:rPr>
              <w:t>300</w:t>
            </w:r>
            <w:r>
              <w:rPr>
                <w:rFonts w:hint="eastAsia" w:ascii="Calibri" w:hAnsi="Calibri" w:cs="Times New Roman"/>
                <w:kern w:val="2"/>
                <w:sz w:val="24"/>
                <w:szCs w:val="24"/>
                <w:lang w:val="en-US" w:eastAsia="zh-CN" w:bidi="ar-SA"/>
              </w:rPr>
              <w:t>,0</w:t>
            </w:r>
            <w:r>
              <w:rPr>
                <w:rFonts w:hint="eastAsia" w:ascii="Calibri" w:hAnsi="Calibri" w:eastAsia="宋体" w:cs="Times New Roman"/>
                <w:kern w:val="2"/>
                <w:sz w:val="24"/>
                <w:szCs w:val="24"/>
                <w:lang w:val="en-US" w:eastAsia="zh-CN" w:bidi="ar-SA"/>
              </w:rPr>
              <w:t>00.00</w:t>
            </w:r>
          </w:p>
        </w:tc>
      </w:tr>
    </w:tbl>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本合同包不接受联合体投标</w:t>
      </w:r>
    </w:p>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合同履行期限：无</w:t>
      </w:r>
    </w:p>
    <w:p>
      <w:pPr>
        <w:pStyle w:val="2"/>
        <w:rPr>
          <w:rFonts w:hint="eastAsia" w:ascii="Calibri" w:hAnsi="Calibri" w:eastAsia="宋体" w:cs="Times New Roman"/>
          <w:b/>
          <w:bCs/>
          <w:kern w:val="2"/>
          <w:sz w:val="24"/>
          <w:szCs w:val="24"/>
          <w:lang w:val="en-US" w:eastAsia="zh-CN" w:bidi="ar-SA"/>
        </w:rPr>
      </w:pPr>
      <w:r>
        <w:rPr>
          <w:rFonts w:hint="eastAsia" w:ascii="Calibri" w:hAnsi="Calibri" w:eastAsia="宋体" w:cs="Times New Roman"/>
          <w:b/>
          <w:bCs/>
          <w:kern w:val="2"/>
          <w:sz w:val="24"/>
          <w:szCs w:val="24"/>
          <w:lang w:val="en-US" w:eastAsia="zh-CN" w:bidi="ar-SA"/>
        </w:rPr>
        <w:t>二、申请人的资格要求：</w:t>
      </w:r>
    </w:p>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1.满足《中华人民共和国政府采购法》第二十二条规定;</w:t>
      </w:r>
    </w:p>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2.落实政府采购政策需满足的资格要求：</w:t>
      </w:r>
    </w:p>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合同包1(205省道佳县至米脂公路工程可行性研究报告编制服务)特定资格要求如下:</w:t>
      </w:r>
    </w:p>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（1）《政府采购促进中小企业发展管理办法》（财库〔2020〕46号）；</w:t>
      </w:r>
    </w:p>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（2）《财政部司法部关于政府采购支持监狱企业发展有关问题的通知》（财库〔2014〕68号）；</w:t>
      </w:r>
    </w:p>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（3）《国务院办公厅关于建立政府强制采购节能产品制度的通知》（国办发〔2007〕51号）；</w:t>
      </w:r>
    </w:p>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（4）《节能产品政府采购实施意见》（财库[2004]185号）；</w:t>
      </w:r>
    </w:p>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（5）《环境标志产品政府采购实施的意见》（财库[2006]90号）；</w:t>
      </w:r>
    </w:p>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（6）《财政部、民政部、中国残疾人联合会关于促进残疾人就业政府采购政策的通知》（财库[2017]141号）；</w:t>
      </w:r>
    </w:p>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（7）陕西省财政厅关于印发《陕西省中小企业政府采购信用融资办法》（陕财办采〔2018〕23号）；相关政策、业务流程、办理平台(http://www.ccgpshaanxi.gov.cn/zcdservice/zcd/shanxi/)；</w:t>
      </w:r>
    </w:p>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（8）《关于在政府采购活动中查询及使用信用记录有关问题的通知》（财库〔2016〕125号）；</w:t>
      </w:r>
    </w:p>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（9）《榆林市财政局关于进一步加大政府采购支持中小企业力度的通知》（榆政财采发〔2022〕10号)；</w:t>
      </w:r>
    </w:p>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（10）《陕西省财政厅关于进一步加大政府采购支持中小企业力度的通知》(陕财采发〔2022〕5号)；</w:t>
      </w:r>
    </w:p>
    <w:p>
      <w:pPr>
        <w:pStyle w:val="2"/>
        <w:rPr>
          <w:rFonts w:hint="eastAsia"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3.本项目的特定资格要求：</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具有独立承担民事责任能力的法人、其他组织或自然人，并出具合法有效的营业执照副本；事业法人应提供事业单位法人证书；</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2.财务状况报告：提供</w:t>
      </w:r>
      <w:r>
        <w:rPr>
          <w:rFonts w:hint="eastAsia" w:ascii="宋体" w:hAnsi="宋体" w:eastAsia="宋体" w:cs="宋体"/>
          <w:sz w:val="24"/>
          <w:szCs w:val="24"/>
          <w:lang w:val="en-US" w:eastAsia="zh-CN"/>
        </w:rPr>
        <w:t>2021年或者</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年财务审计报告（至少包含资产负债表），成立时间至提交投标文件截止时间不足一年的提供其基本账户开户银行出具的资信证明及基本账户开户许可证或开户行基本信息；</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3.社会保障资金缴纳证明：提供2022年度至今已缴存的至少一个月的社会保障资金缴存单据或社保机构开具的社会保险参保缴费情况证明，依法不需要缴纳社会保障资金的单位应提供相关证明材料；</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4.税收缴纳证明：提供2022年度至今已缴纳的至少一个月的纳税证明或完税证明，依法免税的单位应提供相关证明材料；</w:t>
      </w:r>
    </w:p>
    <w:p>
      <w:pPr>
        <w:spacing w:line="360" w:lineRule="auto"/>
        <w:ind w:firstLine="480" w:firstLineChars="200"/>
        <w:outlineLvl w:val="9"/>
        <w:rPr>
          <w:rFonts w:hint="eastAsia" w:ascii="宋体" w:hAnsi="宋体" w:eastAsia="宋体" w:cs="宋体"/>
          <w:i w:val="0"/>
          <w:iCs w:val="0"/>
          <w:caps w:val="0"/>
          <w:color w:val="333333"/>
          <w:spacing w:val="0"/>
          <w:sz w:val="24"/>
          <w:szCs w:val="24"/>
          <w:shd w:val="clear" w:fill="FFFFFF"/>
          <w:lang w:eastAsia="zh-CN"/>
        </w:rPr>
      </w:pPr>
      <w:r>
        <w:rPr>
          <w:rFonts w:hint="eastAsia" w:ascii="宋体" w:hAnsi="宋体" w:eastAsia="宋体" w:cs="宋体"/>
          <w:sz w:val="24"/>
          <w:szCs w:val="24"/>
        </w:rPr>
        <w:t>5、供应商须具备工程咨询单位公路专业</w:t>
      </w:r>
      <w:r>
        <w:rPr>
          <w:rFonts w:hint="eastAsia" w:ascii="宋体" w:hAnsi="宋体" w:cs="宋体"/>
          <w:sz w:val="24"/>
          <w:szCs w:val="24"/>
          <w:lang w:val="en-US" w:eastAsia="zh-CN"/>
        </w:rPr>
        <w:t>乙级及以上</w:t>
      </w:r>
      <w:r>
        <w:rPr>
          <w:rFonts w:hint="eastAsia" w:ascii="宋体" w:hAnsi="宋体" w:eastAsia="宋体" w:cs="宋体"/>
          <w:sz w:val="24"/>
          <w:szCs w:val="24"/>
        </w:rPr>
        <w:t>资信证书；</w:t>
      </w:r>
      <w:r>
        <w:rPr>
          <w:rFonts w:hint="eastAsia" w:ascii="宋体" w:hAnsi="宋体" w:eastAsia="宋体" w:cs="宋体"/>
          <w:i w:val="0"/>
          <w:iCs w:val="0"/>
          <w:caps w:val="0"/>
          <w:color w:val="333333"/>
          <w:spacing w:val="0"/>
          <w:sz w:val="24"/>
          <w:szCs w:val="24"/>
          <w:shd w:val="clear" w:fill="FFFFFF"/>
        </w:rPr>
        <w:t>并在人员、设备、资金等方面具备相应的能力</w:t>
      </w:r>
      <w:r>
        <w:rPr>
          <w:rFonts w:hint="eastAsia" w:ascii="宋体" w:hAnsi="宋体" w:cs="宋体"/>
          <w:i w:val="0"/>
          <w:iCs w:val="0"/>
          <w:caps w:val="0"/>
          <w:color w:val="333333"/>
          <w:spacing w:val="0"/>
          <w:sz w:val="24"/>
          <w:szCs w:val="24"/>
          <w:shd w:val="clear" w:fill="FFFFFF"/>
          <w:lang w:eastAsia="zh-CN"/>
        </w:rPr>
        <w:t>；</w:t>
      </w:r>
    </w:p>
    <w:p>
      <w:pPr>
        <w:spacing w:line="360" w:lineRule="auto"/>
        <w:ind w:firstLine="480" w:firstLineChars="200"/>
        <w:outlineLvl w:val="9"/>
        <w:rPr>
          <w:rFonts w:hint="eastAsia" w:ascii="宋体" w:hAnsi="宋体" w:eastAsia="宋体" w:cs="宋体"/>
          <w:sz w:val="24"/>
          <w:szCs w:val="24"/>
        </w:rPr>
      </w:pPr>
      <w:r>
        <w:rPr>
          <w:rFonts w:hint="eastAsia" w:ascii="宋体" w:hAnsi="宋体" w:cs="宋体"/>
          <w:sz w:val="24"/>
          <w:szCs w:val="24"/>
          <w:lang w:val="en-US" w:eastAsia="zh-CN"/>
        </w:rPr>
        <w:t>6</w:t>
      </w:r>
      <w:r>
        <w:rPr>
          <w:rFonts w:hint="eastAsia" w:ascii="宋体" w:hAnsi="宋体" w:cs="宋体"/>
          <w:sz w:val="24"/>
          <w:szCs w:val="24"/>
          <w:lang w:eastAsia="zh-CN"/>
        </w:rPr>
        <w:t>、</w:t>
      </w:r>
      <w:r>
        <w:rPr>
          <w:rFonts w:hint="eastAsia" w:ascii="宋体" w:hAnsi="宋体" w:eastAsia="宋体" w:cs="宋体"/>
          <w:sz w:val="24"/>
          <w:szCs w:val="24"/>
        </w:rPr>
        <w:t>供应商应出具参加政府采购活动前三年内在经营活动中没有重大违法记录的书面声明（格式自拟，加盖供应商公章）；</w:t>
      </w:r>
    </w:p>
    <w:p>
      <w:pPr>
        <w:spacing w:line="360" w:lineRule="auto"/>
        <w:ind w:firstLine="480" w:firstLineChars="200"/>
        <w:outlineLvl w:val="9"/>
        <w:rPr>
          <w:rFonts w:hint="eastAsia" w:ascii="宋体" w:hAnsi="宋体" w:eastAsia="宋体" w:cs="宋体"/>
          <w:sz w:val="24"/>
          <w:szCs w:val="24"/>
        </w:rPr>
      </w:pPr>
      <w:r>
        <w:rPr>
          <w:rFonts w:hint="eastAsia" w:ascii="宋体" w:hAnsi="宋体" w:cs="宋体"/>
          <w:sz w:val="24"/>
          <w:szCs w:val="24"/>
          <w:lang w:val="en-US" w:eastAsia="zh-CN"/>
        </w:rPr>
        <w:t>7</w:t>
      </w:r>
      <w:r>
        <w:rPr>
          <w:rFonts w:hint="eastAsia" w:ascii="宋体" w:hAnsi="宋体" w:eastAsia="宋体" w:cs="宋体"/>
          <w:sz w:val="24"/>
          <w:szCs w:val="24"/>
        </w:rPr>
        <w:t>、供应商不得列入信用中国（http://www.creditchina.gov.cn/）被失信执行人、税收违法失信主体名单，不得列入中国政府采购网(www.ccgp.gov.cn)政府采购严重违法失信行为记录名单（网页查询截图并加盖供应商公章）；提供榆林市政府采购服务类项目供应商信用承诺书原件（格式见谈判文件）；</w:t>
      </w:r>
    </w:p>
    <w:p>
      <w:pPr>
        <w:spacing w:line="360" w:lineRule="auto"/>
        <w:ind w:firstLine="480" w:firstLineChars="200"/>
        <w:outlineLvl w:val="9"/>
        <w:rPr>
          <w:rFonts w:hint="eastAsia" w:ascii="宋体" w:hAnsi="宋体" w:cs="宋体"/>
          <w:sz w:val="24"/>
          <w:szCs w:val="24"/>
          <w:lang w:eastAsia="zh-CN"/>
        </w:rPr>
      </w:pPr>
      <w:r>
        <w:rPr>
          <w:rFonts w:hint="eastAsia" w:ascii="宋体" w:hAnsi="宋体" w:cs="宋体"/>
          <w:sz w:val="24"/>
          <w:szCs w:val="24"/>
          <w:lang w:val="en-US" w:eastAsia="zh-CN"/>
        </w:rPr>
        <w:t>8</w:t>
      </w:r>
      <w:r>
        <w:rPr>
          <w:rFonts w:hint="eastAsia" w:ascii="宋体" w:hAnsi="宋体" w:eastAsia="宋体" w:cs="宋体"/>
          <w:sz w:val="24"/>
          <w:szCs w:val="24"/>
        </w:rPr>
        <w:t>、本项目不接受联合体投标，单位负责人为同一人或者存在直接控股、管理关系的不同投标人，不得参加同一标段投标或者未划分标段的同一采购项目谈判</w:t>
      </w:r>
      <w:r>
        <w:rPr>
          <w:rFonts w:hint="eastAsia" w:ascii="宋体" w:hAnsi="宋体" w:cs="宋体"/>
          <w:sz w:val="24"/>
          <w:szCs w:val="24"/>
          <w:lang w:eastAsia="zh-CN"/>
        </w:rPr>
        <w:t>；</w:t>
      </w:r>
    </w:p>
    <w:p>
      <w:pPr>
        <w:tabs>
          <w:tab w:val="left" w:pos="646"/>
        </w:tabs>
        <w:spacing w:line="360" w:lineRule="auto"/>
        <w:ind w:firstLine="480" w:firstLineChars="200"/>
        <w:outlineLvl w:val="9"/>
        <w:rPr>
          <w:rFonts w:hint="eastAsia" w:ascii="宋体" w:hAnsi="宋体" w:eastAsia="宋体" w:cs="宋体"/>
          <w:sz w:val="24"/>
          <w:szCs w:val="24"/>
          <w:lang w:eastAsia="zh-CN"/>
        </w:rPr>
      </w:pPr>
      <w:r>
        <w:rPr>
          <w:rFonts w:hint="eastAsia" w:ascii="宋体" w:hAnsi="宋体" w:cs="宋体"/>
          <w:sz w:val="24"/>
          <w:szCs w:val="24"/>
          <w:lang w:val="en-US" w:eastAsia="zh-CN"/>
        </w:rPr>
        <w:t>9、</w:t>
      </w:r>
      <w:r>
        <w:rPr>
          <w:rFonts w:hint="eastAsia" w:ascii="宋体" w:hAnsi="宋体" w:eastAsia="宋体" w:cs="宋体"/>
          <w:sz w:val="24"/>
          <w:szCs w:val="24"/>
        </w:rPr>
        <w:t>书面声明：提供书面声明，包括声明具有履行合同所必需的设备和专业技术能力</w:t>
      </w:r>
      <w:r>
        <w:rPr>
          <w:rFonts w:hint="eastAsia" w:ascii="宋体" w:hAnsi="宋体" w:cs="宋体"/>
          <w:sz w:val="24"/>
          <w:szCs w:val="24"/>
          <w:lang w:eastAsia="zh-CN"/>
        </w:rPr>
        <w:t>；</w:t>
      </w:r>
    </w:p>
    <w:p>
      <w:pPr>
        <w:tabs>
          <w:tab w:val="left" w:pos="646"/>
        </w:tabs>
        <w:spacing w:line="360" w:lineRule="auto"/>
        <w:ind w:firstLine="480" w:firstLineChars="200"/>
        <w:outlineLvl w:val="9"/>
        <w:rPr>
          <w:rFonts w:hint="eastAsia"/>
          <w:lang w:eastAsia="zh-CN"/>
        </w:rPr>
      </w:pPr>
      <w:r>
        <w:rPr>
          <w:rFonts w:hint="eastAsia" w:ascii="宋体" w:hAnsi="宋体" w:cs="宋体"/>
          <w:kern w:val="2"/>
          <w:sz w:val="24"/>
          <w:szCs w:val="24"/>
          <w:lang w:val="en-US" w:eastAsia="zh-CN" w:bidi="ar-SA"/>
        </w:rPr>
        <w:t>10、谈判</w:t>
      </w:r>
      <w:r>
        <w:rPr>
          <w:rFonts w:hint="eastAsia" w:ascii="宋体" w:hAnsi="宋体" w:eastAsia="宋体" w:cs="宋体"/>
          <w:kern w:val="2"/>
          <w:sz w:val="24"/>
          <w:szCs w:val="24"/>
          <w:lang w:val="en-US" w:eastAsia="zh-CN" w:bidi="ar-SA"/>
        </w:rPr>
        <w:t>保证金：信用承诺书代替</w:t>
      </w:r>
      <w:r>
        <w:rPr>
          <w:rFonts w:hint="eastAsia" w:ascii="宋体" w:hAnsi="宋体" w:cs="宋体"/>
          <w:kern w:val="2"/>
          <w:sz w:val="24"/>
          <w:szCs w:val="24"/>
          <w:lang w:val="en-US" w:eastAsia="zh-CN" w:bidi="ar-SA"/>
        </w:rPr>
        <w:t>。</w:t>
      </w:r>
    </w:p>
    <w:p>
      <w:pPr>
        <w:spacing w:line="360" w:lineRule="auto"/>
        <w:outlineLvl w:val="9"/>
        <w:rPr>
          <w:rFonts w:hint="eastAsia" w:ascii="宋体" w:hAnsi="宋体" w:eastAsia="宋体" w:cs="宋体"/>
          <w:b/>
          <w:bCs/>
          <w:sz w:val="24"/>
          <w:szCs w:val="24"/>
        </w:rPr>
      </w:pPr>
      <w:r>
        <w:rPr>
          <w:rFonts w:hint="eastAsia" w:ascii="宋体" w:hAnsi="宋体" w:eastAsia="宋体" w:cs="宋体"/>
          <w:b/>
          <w:bCs/>
          <w:sz w:val="24"/>
          <w:szCs w:val="24"/>
        </w:rPr>
        <w:t>三、获取采购文件</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时间： 2023年</w:t>
      </w:r>
      <w:r>
        <w:rPr>
          <w:rFonts w:hint="eastAsia" w:ascii="宋体" w:hAnsi="宋体" w:cs="宋体"/>
          <w:sz w:val="24"/>
          <w:szCs w:val="24"/>
          <w:lang w:val="en-US" w:eastAsia="zh-CN"/>
        </w:rPr>
        <w:t>05</w:t>
      </w:r>
      <w:r>
        <w:rPr>
          <w:rFonts w:hint="eastAsia" w:ascii="宋体" w:hAnsi="宋体" w:eastAsia="宋体" w:cs="宋体"/>
          <w:sz w:val="24"/>
          <w:szCs w:val="24"/>
        </w:rPr>
        <w:t>月</w:t>
      </w:r>
      <w:r>
        <w:rPr>
          <w:rFonts w:hint="eastAsia" w:ascii="宋体" w:hAnsi="宋体" w:cs="宋体"/>
          <w:sz w:val="24"/>
          <w:szCs w:val="24"/>
          <w:lang w:val="en-US" w:eastAsia="zh-CN"/>
        </w:rPr>
        <w:t>06</w:t>
      </w:r>
      <w:r>
        <w:rPr>
          <w:rFonts w:hint="eastAsia" w:ascii="宋体" w:hAnsi="宋体" w:eastAsia="宋体" w:cs="宋体"/>
          <w:sz w:val="24"/>
          <w:szCs w:val="24"/>
        </w:rPr>
        <w:t>日 至 2023年05月0</w:t>
      </w:r>
      <w:r>
        <w:rPr>
          <w:rFonts w:hint="eastAsia" w:ascii="宋体" w:hAnsi="宋体" w:cs="宋体"/>
          <w:sz w:val="24"/>
          <w:szCs w:val="24"/>
          <w:lang w:val="en-US" w:eastAsia="zh-CN"/>
        </w:rPr>
        <w:t>9</w:t>
      </w:r>
      <w:r>
        <w:rPr>
          <w:rFonts w:hint="eastAsia" w:ascii="宋体" w:hAnsi="宋体" w:eastAsia="宋体" w:cs="宋体"/>
          <w:sz w:val="24"/>
          <w:szCs w:val="24"/>
        </w:rPr>
        <w:t>日 ，每天上午 08:00:00 至 12:00:00 ，下午 12:00:00 至 18:00:00 （北京时间）</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途径：全国公共资源交易中心平台（陕西省）</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方式：在线获取</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售价： 0元</w:t>
      </w:r>
    </w:p>
    <w:p>
      <w:pPr>
        <w:spacing w:line="360" w:lineRule="auto"/>
        <w:outlineLvl w:val="9"/>
        <w:rPr>
          <w:rFonts w:hint="eastAsia" w:ascii="宋体" w:hAnsi="宋体" w:eastAsia="宋体" w:cs="宋体"/>
          <w:b/>
          <w:bCs/>
          <w:sz w:val="24"/>
          <w:szCs w:val="24"/>
        </w:rPr>
      </w:pPr>
      <w:r>
        <w:rPr>
          <w:rFonts w:hint="eastAsia" w:ascii="宋体" w:hAnsi="宋体" w:eastAsia="宋体" w:cs="宋体"/>
          <w:b/>
          <w:bCs/>
          <w:sz w:val="24"/>
          <w:szCs w:val="24"/>
        </w:rPr>
        <w:t>四、响应文件提交</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截止时间： 2023年05月</w:t>
      </w:r>
      <w:r>
        <w:rPr>
          <w:rFonts w:hint="eastAsia" w:ascii="宋体" w:hAnsi="宋体" w:cs="宋体"/>
          <w:sz w:val="24"/>
          <w:szCs w:val="24"/>
          <w:lang w:val="en-US" w:eastAsia="zh-CN"/>
        </w:rPr>
        <w:t>12</w:t>
      </w:r>
      <w:r>
        <w:rPr>
          <w:rFonts w:hint="eastAsia" w:ascii="宋体" w:hAnsi="宋体" w:eastAsia="宋体" w:cs="宋体"/>
          <w:sz w:val="24"/>
          <w:szCs w:val="24"/>
        </w:rPr>
        <w:t>日 13时30分00秒 （北京时间）</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地点：榆林市公共资源交易中心十楼不见面开标6室</w:t>
      </w:r>
    </w:p>
    <w:p>
      <w:pPr>
        <w:spacing w:line="360" w:lineRule="auto"/>
        <w:outlineLvl w:val="9"/>
        <w:rPr>
          <w:rFonts w:hint="eastAsia" w:ascii="宋体" w:hAnsi="宋体" w:eastAsia="宋体" w:cs="宋体"/>
          <w:b/>
          <w:bCs/>
          <w:sz w:val="24"/>
          <w:szCs w:val="24"/>
        </w:rPr>
      </w:pPr>
      <w:r>
        <w:rPr>
          <w:rFonts w:hint="eastAsia" w:ascii="宋体" w:hAnsi="宋体" w:eastAsia="宋体" w:cs="宋体"/>
          <w:b/>
          <w:bCs/>
          <w:sz w:val="24"/>
          <w:szCs w:val="24"/>
        </w:rPr>
        <w:t>五、开启</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时间： 2023年05月</w:t>
      </w:r>
      <w:r>
        <w:rPr>
          <w:rFonts w:hint="eastAsia" w:ascii="宋体" w:hAnsi="宋体" w:cs="宋体"/>
          <w:sz w:val="24"/>
          <w:szCs w:val="24"/>
          <w:lang w:val="en-US" w:eastAsia="zh-CN"/>
        </w:rPr>
        <w:t>12</w:t>
      </w:r>
      <w:r>
        <w:rPr>
          <w:rFonts w:hint="eastAsia" w:ascii="宋体" w:hAnsi="宋体" w:eastAsia="宋体" w:cs="宋体"/>
          <w:sz w:val="24"/>
          <w:szCs w:val="24"/>
        </w:rPr>
        <w:t>日 13时30分00秒 （北京时间）</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地点：榆林市公共资源交易中心十楼不见面开标6室</w:t>
      </w:r>
    </w:p>
    <w:p>
      <w:pPr>
        <w:spacing w:line="360" w:lineRule="auto"/>
        <w:outlineLvl w:val="9"/>
        <w:rPr>
          <w:rFonts w:hint="eastAsia" w:ascii="宋体" w:hAnsi="宋体" w:eastAsia="宋体" w:cs="宋体"/>
          <w:b/>
          <w:bCs/>
          <w:sz w:val="24"/>
          <w:szCs w:val="24"/>
        </w:rPr>
      </w:pPr>
      <w:r>
        <w:rPr>
          <w:rFonts w:hint="eastAsia" w:ascii="宋体" w:hAnsi="宋体" w:eastAsia="宋体" w:cs="宋体"/>
          <w:b/>
          <w:bCs/>
          <w:sz w:val="24"/>
          <w:szCs w:val="24"/>
        </w:rPr>
        <w:t>六、公告期限</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自本公告发布之日起3个工作日。</w:t>
      </w:r>
    </w:p>
    <w:p>
      <w:pPr>
        <w:spacing w:line="360" w:lineRule="auto"/>
        <w:outlineLvl w:val="9"/>
        <w:rPr>
          <w:rFonts w:hint="eastAsia" w:ascii="宋体" w:hAnsi="宋体" w:eastAsia="宋体" w:cs="宋体"/>
          <w:b/>
          <w:bCs/>
          <w:sz w:val="24"/>
          <w:szCs w:val="24"/>
        </w:rPr>
      </w:pPr>
      <w:r>
        <w:rPr>
          <w:rFonts w:hint="eastAsia" w:ascii="宋体" w:hAnsi="宋体" w:eastAsia="宋体" w:cs="宋体"/>
          <w:b/>
          <w:bCs/>
          <w:sz w:val="24"/>
          <w:szCs w:val="24"/>
        </w:rPr>
        <w:t>七、其他补充事宜</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1）平台报名：登录全国公共资源交易中心平台（陕西省）（http://www.sxggzyjy.cn/）,选择“电子交易平台→陕西政府采购交易系统→陕西省公共资源交易平台→投标人”进行登录，登录后选择“交易乙方”身份进入投标人界面进行报名并下载招标文件。电子招标文件在获取期内进行下载，逾期下载通道将关闭，未及时下载招标文件将会影响后续开评标活动。</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（2）请投标人按照陕西省财政厅关于政府采购供应商注册登记有关事项的通知中的要求，通过陕西省政府采购网（http://www.ccgp-shaanxi.gov.cn/）注册登记加入陕西省政府采购供应商库。</w:t>
      </w:r>
    </w:p>
    <w:p>
      <w:pPr>
        <w:spacing w:line="360" w:lineRule="auto"/>
        <w:outlineLvl w:val="9"/>
        <w:rPr>
          <w:rFonts w:hint="eastAsia" w:ascii="宋体" w:hAnsi="宋体" w:eastAsia="宋体" w:cs="宋体"/>
          <w:sz w:val="24"/>
          <w:szCs w:val="24"/>
        </w:rPr>
      </w:pPr>
      <w:r>
        <w:rPr>
          <w:rFonts w:hint="eastAsia" w:ascii="宋体" w:hAnsi="宋体" w:eastAsia="宋体" w:cs="宋体"/>
          <w:b/>
          <w:bCs/>
          <w:sz w:val="24"/>
          <w:szCs w:val="24"/>
        </w:rPr>
        <w:t>八、对本次招标提出询问，请按以下方式联系。</w:t>
      </w:r>
      <w:r>
        <w:rPr>
          <w:rFonts w:hint="eastAsia" w:ascii="宋体" w:hAnsi="宋体" w:eastAsia="宋体" w:cs="宋体"/>
          <w:sz w:val="24"/>
          <w:szCs w:val="24"/>
        </w:rPr>
        <w:br w:type="textWrapping"/>
      </w:r>
      <w:r>
        <w:rPr>
          <w:rFonts w:hint="eastAsia" w:ascii="宋体" w:hAnsi="宋体" w:eastAsia="宋体" w:cs="宋体"/>
          <w:sz w:val="24"/>
          <w:szCs w:val="24"/>
        </w:rPr>
        <w:t>1.采购人信息</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名称：榆林市交通运输局</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地址：榆林市航宇路交通局</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联系方式：18166682288</w:t>
      </w:r>
    </w:p>
    <w:p>
      <w:pPr>
        <w:spacing w:line="360" w:lineRule="auto"/>
        <w:outlineLvl w:val="9"/>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采购代理机构信息</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名称：榆林瀚海星辰项目管理有限公司</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地址：陕西省榆林市市辖区陕西省榆林市高新技术产业园区明珠大道榆商大厦A座1415室</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联系方式：18220282132</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3.项目联系方式</w:t>
      </w:r>
    </w:p>
    <w:p>
      <w:pPr>
        <w:spacing w:line="360" w:lineRule="auto"/>
        <w:ind w:firstLine="480" w:firstLineChars="200"/>
        <w:outlineLvl w:val="9"/>
        <w:rPr>
          <w:rFonts w:hint="eastAsia" w:ascii="宋体" w:hAnsi="宋体" w:eastAsia="宋体" w:cs="宋体"/>
          <w:sz w:val="24"/>
          <w:szCs w:val="24"/>
          <w:lang w:eastAsia="zh-CN"/>
        </w:rPr>
      </w:pPr>
      <w:r>
        <w:rPr>
          <w:rFonts w:hint="eastAsia" w:ascii="宋体" w:hAnsi="宋体" w:eastAsia="宋体" w:cs="宋体"/>
          <w:sz w:val="24"/>
          <w:szCs w:val="24"/>
        </w:rPr>
        <w:t>项目联系人：薛</w:t>
      </w:r>
      <w:r>
        <w:rPr>
          <w:rFonts w:hint="eastAsia" w:ascii="宋体" w:hAnsi="宋体" w:eastAsia="宋体" w:cs="宋体"/>
          <w:sz w:val="24"/>
          <w:szCs w:val="24"/>
          <w:lang w:val="en-US" w:eastAsia="zh-CN"/>
        </w:rPr>
        <w:t>工</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电话：18220282132</w:t>
      </w:r>
    </w:p>
    <w:p>
      <w:pPr>
        <w:rPr>
          <w:rFonts w:hint="eastAsia" w:ascii="宋体" w:hAnsi="宋体" w:eastAsia="宋体" w:cs="宋体"/>
          <w:color w:val="000000"/>
          <w:sz w:val="40"/>
          <w:szCs w:val="40"/>
        </w:rPr>
      </w:pPr>
      <w:bookmarkStart w:id="3" w:name="_Toc10923"/>
      <w:bookmarkStart w:id="4" w:name="_Toc527968692"/>
      <w:bookmarkStart w:id="5" w:name="_Toc26346"/>
      <w:bookmarkStart w:id="6" w:name="_Toc24701"/>
      <w:bookmarkStart w:id="7" w:name="_Toc27577"/>
      <w:bookmarkStart w:id="8" w:name="_Toc24677"/>
      <w:r>
        <w:rPr>
          <w:rFonts w:hint="eastAsia" w:ascii="宋体" w:hAnsi="宋体" w:eastAsia="宋体" w:cs="宋体"/>
          <w:color w:val="000000"/>
          <w:sz w:val="40"/>
          <w:szCs w:val="40"/>
        </w:rPr>
        <w:br w:type="page"/>
      </w:r>
    </w:p>
    <w:p>
      <w:pPr>
        <w:pStyle w:val="3"/>
        <w:keepNext w:val="0"/>
        <w:keepLines w:val="0"/>
        <w:numPr>
          <w:ilvl w:val="0"/>
          <w:numId w:val="2"/>
        </w:numPr>
        <w:spacing w:line="240" w:lineRule="auto"/>
        <w:jc w:val="center"/>
        <w:rPr>
          <w:rFonts w:hint="eastAsia" w:ascii="宋体" w:hAnsi="宋体" w:eastAsia="宋体" w:cs="宋体"/>
          <w:color w:val="000000"/>
          <w:sz w:val="40"/>
          <w:szCs w:val="40"/>
        </w:rPr>
      </w:pPr>
      <w:r>
        <w:rPr>
          <w:rFonts w:hint="eastAsia" w:ascii="宋体" w:hAnsi="宋体" w:eastAsia="宋体" w:cs="宋体"/>
          <w:color w:val="000000"/>
          <w:sz w:val="40"/>
          <w:szCs w:val="40"/>
        </w:rPr>
        <w:t xml:space="preserve"> </w:t>
      </w:r>
      <w:bookmarkEnd w:id="3"/>
      <w:bookmarkEnd w:id="4"/>
      <w:bookmarkEnd w:id="5"/>
      <w:bookmarkEnd w:id="6"/>
      <w:bookmarkEnd w:id="7"/>
      <w:bookmarkEnd w:id="8"/>
      <w:bookmarkStart w:id="9" w:name="_Toc13376"/>
      <w:bookmarkStart w:id="10" w:name="_Toc3548"/>
      <w:bookmarkStart w:id="11" w:name="_Toc31701"/>
      <w:bookmarkStart w:id="12" w:name="_Toc17856"/>
      <w:r>
        <w:rPr>
          <w:rFonts w:hint="eastAsia" w:ascii="宋体" w:hAnsi="宋体" w:eastAsia="宋体" w:cs="宋体"/>
          <w:color w:val="000000"/>
          <w:sz w:val="40"/>
          <w:szCs w:val="40"/>
          <w:lang w:val="en-US" w:eastAsia="zh-CN"/>
        </w:rPr>
        <w:t>供应商须知前附表</w:t>
      </w:r>
      <w:bookmarkEnd w:id="9"/>
      <w:bookmarkEnd w:id="10"/>
      <w:bookmarkEnd w:id="11"/>
      <w:bookmarkEnd w:id="12"/>
    </w:p>
    <w:tbl>
      <w:tblPr>
        <w:tblStyle w:val="14"/>
        <w:tblW w:w="9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876"/>
        <w:gridCol w:w="6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noWrap w:val="0"/>
            <w:vAlign w:val="center"/>
          </w:tcPr>
          <w:p>
            <w:pPr>
              <w:spacing w:line="360" w:lineRule="auto"/>
              <w:jc w:val="center"/>
              <w:rPr>
                <w:rFonts w:ascii="宋体" w:hAnsi="宋体" w:cs="宋体"/>
                <w:b/>
                <w:sz w:val="24"/>
                <w:szCs w:val="24"/>
              </w:rPr>
            </w:pPr>
            <w:r>
              <w:rPr>
                <w:rFonts w:hint="eastAsia" w:ascii="宋体" w:hAnsi="宋体" w:cs="宋体"/>
                <w:b/>
                <w:sz w:val="24"/>
                <w:szCs w:val="24"/>
              </w:rPr>
              <w:t>项号</w:t>
            </w:r>
          </w:p>
        </w:tc>
        <w:tc>
          <w:tcPr>
            <w:tcW w:w="1876" w:type="dxa"/>
            <w:noWrap w:val="0"/>
            <w:vAlign w:val="center"/>
          </w:tcPr>
          <w:p>
            <w:pPr>
              <w:spacing w:line="360" w:lineRule="auto"/>
              <w:jc w:val="center"/>
              <w:rPr>
                <w:rFonts w:hint="default" w:ascii="宋体" w:hAnsi="宋体" w:eastAsia="宋体" w:cs="宋体"/>
                <w:b/>
                <w:sz w:val="24"/>
                <w:szCs w:val="24"/>
                <w:lang w:val="en-US" w:eastAsia="zh-CN"/>
              </w:rPr>
            </w:pPr>
            <w:r>
              <w:rPr>
                <w:rFonts w:hint="eastAsia" w:ascii="宋体" w:hAnsi="宋体" w:cs="宋体"/>
                <w:b/>
                <w:sz w:val="24"/>
                <w:szCs w:val="24"/>
                <w:lang w:val="en-US" w:eastAsia="zh-CN"/>
              </w:rPr>
              <w:t>条款名称</w:t>
            </w:r>
          </w:p>
        </w:tc>
        <w:tc>
          <w:tcPr>
            <w:tcW w:w="6954" w:type="dxa"/>
            <w:noWrap w:val="0"/>
            <w:vAlign w:val="center"/>
          </w:tcPr>
          <w:p>
            <w:pPr>
              <w:spacing w:line="360" w:lineRule="auto"/>
              <w:jc w:val="center"/>
              <w:rPr>
                <w:rFonts w:hint="eastAsia" w:ascii="宋体" w:hAnsi="宋体" w:eastAsia="宋体" w:cs="宋体"/>
                <w:b/>
                <w:kern w:val="2"/>
                <w:sz w:val="24"/>
                <w:szCs w:val="24"/>
                <w:lang w:val="en-US" w:eastAsia="zh-CN" w:bidi="ar-SA"/>
              </w:rPr>
            </w:pPr>
            <w:r>
              <w:rPr>
                <w:rFonts w:hint="eastAsia" w:ascii="宋体" w:hAnsi="宋体" w:cs="宋体"/>
                <w:b/>
                <w:sz w:val="24"/>
                <w:szCs w:val="24"/>
                <w:lang w:val="en-US" w:eastAsia="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noWrap w:val="0"/>
            <w:vAlign w:val="center"/>
          </w:tcPr>
          <w:p>
            <w:pPr>
              <w:spacing w:line="240" w:lineRule="auto"/>
              <w:ind w:left="0" w:firstLine="0" w:firstLineChars="0"/>
              <w:jc w:val="center"/>
              <w:rPr>
                <w:rFonts w:hint="eastAsia" w:ascii="宋体" w:hAnsi="宋体" w:eastAsia="宋体" w:cs="宋体"/>
                <w:b w:val="0"/>
                <w:bCs/>
                <w:sz w:val="24"/>
                <w:szCs w:val="24"/>
                <w:lang w:val="en-US" w:eastAsia="zh-CN"/>
              </w:rPr>
            </w:pPr>
            <w:r>
              <w:rPr>
                <w:rFonts w:hint="eastAsia" w:ascii="宋体" w:hAnsi="宋体" w:cs="宋体"/>
                <w:b w:val="0"/>
                <w:bCs/>
                <w:sz w:val="24"/>
                <w:szCs w:val="24"/>
                <w:lang w:val="en-US" w:eastAsia="zh-CN"/>
              </w:rPr>
              <w:t>1</w:t>
            </w:r>
          </w:p>
        </w:tc>
        <w:tc>
          <w:tcPr>
            <w:tcW w:w="1876" w:type="dxa"/>
            <w:noWrap w:val="0"/>
            <w:vAlign w:val="center"/>
          </w:tcPr>
          <w:p>
            <w:pPr>
              <w:adjustRightInd w:val="0"/>
              <w:snapToGrid w:val="0"/>
              <w:spacing w:line="450" w:lineRule="exact"/>
              <w:jc w:val="left"/>
              <w:rPr>
                <w:rFonts w:hint="eastAsia" w:ascii="宋体" w:hAnsi="宋体" w:cs="宋体"/>
                <w:sz w:val="24"/>
                <w:szCs w:val="24"/>
                <w:lang w:val="en-US" w:eastAsia="zh-CN"/>
              </w:rPr>
            </w:pPr>
            <w:r>
              <w:rPr>
                <w:rFonts w:hint="eastAsia" w:ascii="宋体" w:hAnsi="宋体" w:cs="宋体"/>
                <w:sz w:val="24"/>
                <w:szCs w:val="24"/>
              </w:rPr>
              <w:t>采购人</w:t>
            </w:r>
          </w:p>
        </w:tc>
        <w:tc>
          <w:tcPr>
            <w:tcW w:w="6954" w:type="dxa"/>
            <w:noWrap w:val="0"/>
            <w:vAlign w:val="center"/>
          </w:tcPr>
          <w:p>
            <w:pPr>
              <w:adjustRightInd w:val="0"/>
              <w:snapToGrid w:val="0"/>
              <w:spacing w:line="450" w:lineRule="exact"/>
              <w:jc w:val="left"/>
              <w:rPr>
                <w:rFonts w:hint="eastAsia" w:ascii="宋体" w:hAnsi="宋体" w:cs="宋体"/>
                <w:sz w:val="24"/>
                <w:szCs w:val="24"/>
                <w:lang w:val="en-US" w:eastAsia="zh-CN"/>
              </w:rPr>
            </w:pPr>
            <w:r>
              <w:rPr>
                <w:rFonts w:hint="eastAsia" w:ascii="宋体" w:hAnsi="宋体" w:cs="宋体"/>
                <w:sz w:val="24"/>
                <w:szCs w:val="24"/>
              </w:rPr>
              <w:t>榆林市交通运输局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noWrap w:val="0"/>
            <w:vAlign w:val="center"/>
          </w:tcPr>
          <w:p>
            <w:pPr>
              <w:spacing w:line="240" w:lineRule="auto"/>
              <w:ind w:left="0" w:firstLine="0" w:firstLineChars="0"/>
              <w:jc w:val="center"/>
              <w:rPr>
                <w:rFonts w:hint="eastAsia" w:ascii="宋体" w:hAnsi="宋体" w:eastAsia="宋体" w:cs="宋体"/>
                <w:b w:val="0"/>
                <w:bCs/>
                <w:sz w:val="24"/>
                <w:szCs w:val="24"/>
                <w:lang w:val="en-US" w:eastAsia="zh-CN"/>
              </w:rPr>
            </w:pPr>
            <w:r>
              <w:rPr>
                <w:rFonts w:hint="eastAsia" w:ascii="宋体" w:hAnsi="宋体" w:cs="宋体"/>
                <w:b w:val="0"/>
                <w:bCs/>
                <w:sz w:val="24"/>
                <w:szCs w:val="24"/>
                <w:lang w:val="en-US" w:eastAsia="zh-CN"/>
              </w:rPr>
              <w:t>2</w:t>
            </w:r>
          </w:p>
        </w:tc>
        <w:tc>
          <w:tcPr>
            <w:tcW w:w="1876" w:type="dxa"/>
            <w:noWrap w:val="0"/>
            <w:vAlign w:val="center"/>
          </w:tcPr>
          <w:p>
            <w:pPr>
              <w:adjustRightInd w:val="0"/>
              <w:snapToGrid w:val="0"/>
              <w:spacing w:line="450" w:lineRule="exact"/>
              <w:jc w:val="left"/>
              <w:rPr>
                <w:rFonts w:hint="eastAsia" w:ascii="宋体" w:hAnsi="宋体" w:cs="宋体"/>
                <w:sz w:val="24"/>
                <w:szCs w:val="24"/>
                <w:lang w:val="en-US" w:eastAsia="zh-CN"/>
              </w:rPr>
            </w:pPr>
            <w:r>
              <w:rPr>
                <w:rFonts w:hint="eastAsia" w:ascii="宋体" w:hAnsi="宋体" w:cs="宋体"/>
                <w:sz w:val="24"/>
                <w:szCs w:val="24"/>
              </w:rPr>
              <w:t>采购代理机构</w:t>
            </w:r>
          </w:p>
        </w:tc>
        <w:tc>
          <w:tcPr>
            <w:tcW w:w="6954" w:type="dxa"/>
            <w:noWrap w:val="0"/>
            <w:vAlign w:val="center"/>
          </w:tcPr>
          <w:p>
            <w:pPr>
              <w:adjustRightInd w:val="0"/>
              <w:snapToGrid w:val="0"/>
              <w:spacing w:line="450" w:lineRule="exact"/>
              <w:jc w:val="left"/>
              <w:rPr>
                <w:rFonts w:hint="eastAsia" w:ascii="宋体" w:hAnsi="宋体" w:cs="宋体"/>
                <w:sz w:val="24"/>
                <w:szCs w:val="24"/>
                <w:lang w:val="en-US" w:eastAsia="zh-CN"/>
              </w:rPr>
            </w:pPr>
            <w:r>
              <w:rPr>
                <w:rFonts w:hint="eastAsia" w:ascii="宋体" w:hAnsi="宋体" w:cs="宋体"/>
                <w:sz w:val="24"/>
                <w:szCs w:val="24"/>
                <w:lang w:eastAsia="zh-CN"/>
              </w:rPr>
              <w:t>榆林瀚海星辰项目管理有限公司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noWrap w:val="0"/>
            <w:vAlign w:val="center"/>
          </w:tcPr>
          <w:p>
            <w:pPr>
              <w:spacing w:line="240" w:lineRule="auto"/>
              <w:ind w:left="0" w:firstLine="0" w:firstLineChars="0"/>
              <w:jc w:val="center"/>
              <w:rPr>
                <w:rFonts w:hint="eastAsia" w:ascii="宋体" w:hAnsi="宋体" w:eastAsia="宋体" w:cs="宋体"/>
                <w:b w:val="0"/>
                <w:bCs/>
                <w:sz w:val="24"/>
                <w:szCs w:val="24"/>
                <w:lang w:val="en-US" w:eastAsia="zh-CN"/>
              </w:rPr>
            </w:pPr>
            <w:r>
              <w:rPr>
                <w:rFonts w:hint="eastAsia" w:ascii="宋体" w:hAnsi="宋体" w:cs="宋体"/>
                <w:b w:val="0"/>
                <w:bCs/>
                <w:sz w:val="24"/>
                <w:szCs w:val="24"/>
                <w:lang w:val="en-US" w:eastAsia="zh-CN"/>
              </w:rPr>
              <w:t>3</w:t>
            </w:r>
          </w:p>
        </w:tc>
        <w:tc>
          <w:tcPr>
            <w:tcW w:w="1876" w:type="dxa"/>
            <w:noWrap w:val="0"/>
            <w:vAlign w:val="center"/>
          </w:tcPr>
          <w:p>
            <w:pPr>
              <w:adjustRightInd w:val="0"/>
              <w:snapToGrid w:val="0"/>
              <w:spacing w:line="450" w:lineRule="exact"/>
              <w:jc w:val="left"/>
              <w:rPr>
                <w:rFonts w:hint="eastAsia" w:ascii="宋体" w:hAnsi="宋体" w:cs="宋体"/>
                <w:sz w:val="24"/>
                <w:szCs w:val="24"/>
                <w:lang w:val="en-US" w:eastAsia="zh-CN"/>
              </w:rPr>
            </w:pPr>
            <w:r>
              <w:rPr>
                <w:rFonts w:hint="eastAsia" w:ascii="宋体" w:hAnsi="宋体" w:cs="宋体"/>
                <w:sz w:val="24"/>
                <w:szCs w:val="24"/>
                <w:lang w:val="en-US" w:eastAsia="zh-CN"/>
              </w:rPr>
              <w:t>监督管理机构</w:t>
            </w:r>
          </w:p>
        </w:tc>
        <w:tc>
          <w:tcPr>
            <w:tcW w:w="6954" w:type="dxa"/>
            <w:noWrap w:val="0"/>
            <w:vAlign w:val="center"/>
          </w:tcPr>
          <w:p>
            <w:pPr>
              <w:adjustRightInd w:val="0"/>
              <w:snapToGrid w:val="0"/>
              <w:spacing w:line="450" w:lineRule="exact"/>
              <w:jc w:val="left"/>
              <w:rPr>
                <w:rFonts w:hint="eastAsia" w:ascii="宋体" w:hAnsi="宋体" w:cs="宋体"/>
                <w:sz w:val="24"/>
                <w:szCs w:val="24"/>
                <w:lang w:val="en-US" w:eastAsia="zh-CN"/>
              </w:rPr>
            </w:pPr>
            <w:r>
              <w:rPr>
                <w:rFonts w:hint="eastAsia" w:ascii="宋体" w:hAnsi="宋体" w:cs="宋体"/>
                <w:sz w:val="24"/>
                <w:szCs w:val="24"/>
                <w:lang w:eastAsia="zh-CN"/>
              </w:rPr>
              <w:t>榆</w:t>
            </w:r>
            <w:r>
              <w:rPr>
                <w:rFonts w:hint="default" w:ascii="宋体" w:hAnsi="宋体" w:cs="宋体"/>
                <w:sz w:val="24"/>
                <w:szCs w:val="24"/>
                <w:lang w:eastAsia="zh-CN"/>
              </w:rPr>
              <w:t>林市财政局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49" w:type="dxa"/>
            <w:noWrap w:val="0"/>
            <w:vAlign w:val="center"/>
          </w:tcPr>
          <w:p>
            <w:pPr>
              <w:spacing w:line="360" w:lineRule="auto"/>
              <w:jc w:val="center"/>
              <w:rPr>
                <w:rFonts w:hint="eastAsia" w:ascii="宋体" w:hAnsi="宋体" w:cs="宋体"/>
                <w:b w:val="0"/>
                <w:bCs/>
                <w:sz w:val="24"/>
                <w:szCs w:val="24"/>
                <w:lang w:val="en-US" w:eastAsia="zh-CN"/>
              </w:rPr>
            </w:pPr>
            <w:r>
              <w:rPr>
                <w:rFonts w:hint="eastAsia" w:ascii="宋体" w:hAnsi="宋体" w:cs="宋体"/>
                <w:b w:val="0"/>
                <w:bCs/>
                <w:sz w:val="24"/>
                <w:szCs w:val="24"/>
                <w:lang w:val="en-US" w:eastAsia="zh-CN"/>
              </w:rPr>
              <w:t>4</w:t>
            </w:r>
          </w:p>
        </w:tc>
        <w:tc>
          <w:tcPr>
            <w:tcW w:w="1876" w:type="dxa"/>
            <w:noWrap w:val="0"/>
            <w:vAlign w:val="center"/>
          </w:tcPr>
          <w:p>
            <w:pPr>
              <w:adjustRightInd w:val="0"/>
              <w:snapToGrid w:val="0"/>
              <w:spacing w:line="450" w:lineRule="exact"/>
              <w:jc w:val="left"/>
              <w:rPr>
                <w:rFonts w:hint="default" w:eastAsia="宋体"/>
                <w:lang w:val="en-US" w:eastAsia="zh-CN"/>
              </w:rPr>
            </w:pPr>
            <w:r>
              <w:rPr>
                <w:rFonts w:hint="eastAsia" w:ascii="宋体" w:hAnsi="宋体" w:cs="宋体"/>
                <w:sz w:val="24"/>
                <w:szCs w:val="24"/>
              </w:rPr>
              <w:t>采购项目名称</w:t>
            </w:r>
          </w:p>
        </w:tc>
        <w:tc>
          <w:tcPr>
            <w:tcW w:w="6954" w:type="dxa"/>
            <w:noWrap w:val="0"/>
            <w:vAlign w:val="center"/>
          </w:tcPr>
          <w:p>
            <w:pPr>
              <w:adjustRightInd w:val="0"/>
              <w:snapToGrid w:val="0"/>
              <w:spacing w:line="450" w:lineRule="exact"/>
              <w:jc w:val="left"/>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4"/>
                <w:szCs w:val="24"/>
                <w:lang w:val="en-US" w:eastAsia="zh-CN" w:bidi="ar-SA"/>
              </w:rPr>
              <w:t>205省道佳县至米脂公路工程可行性研究报告编制服务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49" w:type="dxa"/>
            <w:noWrap w:val="0"/>
            <w:vAlign w:val="center"/>
          </w:tcPr>
          <w:p>
            <w:pPr>
              <w:spacing w:line="360" w:lineRule="auto"/>
              <w:jc w:val="center"/>
              <w:rPr>
                <w:rFonts w:hint="eastAsia" w:ascii="宋体" w:hAnsi="宋体" w:cs="宋体"/>
                <w:b w:val="0"/>
                <w:bCs/>
                <w:sz w:val="24"/>
                <w:szCs w:val="24"/>
                <w:lang w:val="en-US" w:eastAsia="zh-CN"/>
              </w:rPr>
            </w:pPr>
            <w:r>
              <w:rPr>
                <w:rFonts w:hint="eastAsia" w:ascii="宋体" w:hAnsi="宋体" w:cs="宋体"/>
                <w:b w:val="0"/>
                <w:bCs/>
                <w:sz w:val="24"/>
                <w:szCs w:val="24"/>
                <w:lang w:val="en-US" w:eastAsia="zh-CN"/>
              </w:rPr>
              <w:t>5</w:t>
            </w:r>
          </w:p>
        </w:tc>
        <w:tc>
          <w:tcPr>
            <w:tcW w:w="1876" w:type="dxa"/>
            <w:noWrap w:val="0"/>
            <w:vAlign w:val="center"/>
          </w:tcPr>
          <w:p>
            <w:pPr>
              <w:adjustRightInd w:val="0"/>
              <w:snapToGrid w:val="0"/>
              <w:spacing w:line="450" w:lineRule="exact"/>
              <w:jc w:val="left"/>
              <w:rPr>
                <w:rFonts w:ascii="宋体" w:hAnsi="宋体" w:cs="宋体"/>
                <w:sz w:val="24"/>
                <w:szCs w:val="24"/>
              </w:rPr>
            </w:pPr>
            <w:r>
              <w:rPr>
                <w:rFonts w:hint="eastAsia" w:ascii="宋体" w:hAnsi="宋体" w:cs="宋体"/>
                <w:sz w:val="24"/>
                <w:szCs w:val="24"/>
              </w:rPr>
              <w:t>采购项目编号</w:t>
            </w:r>
          </w:p>
        </w:tc>
        <w:tc>
          <w:tcPr>
            <w:tcW w:w="6954" w:type="dxa"/>
            <w:noWrap w:val="0"/>
            <w:vAlign w:val="center"/>
          </w:tcPr>
          <w:p>
            <w:pPr>
              <w:adjustRightInd w:val="0"/>
              <w:snapToGrid w:val="0"/>
              <w:spacing w:line="450" w:lineRule="exact"/>
              <w:jc w:val="left"/>
              <w:rPr>
                <w:rFonts w:hint="eastAsia" w:ascii="宋体" w:hAnsi="宋体" w:eastAsia="宋体" w:cs="宋体"/>
                <w:sz w:val="24"/>
                <w:szCs w:val="24"/>
                <w:lang w:eastAsia="zh-CN"/>
              </w:rPr>
            </w:pPr>
            <w:r>
              <w:rPr>
                <w:rFonts w:hint="eastAsia" w:ascii="宋体" w:hAnsi="宋体" w:cs="宋体"/>
                <w:sz w:val="24"/>
                <w:szCs w:val="24"/>
                <w:lang w:eastAsia="zh-CN"/>
              </w:rPr>
              <w:t>HHXC-202</w:t>
            </w:r>
            <w:r>
              <w:rPr>
                <w:rFonts w:hint="eastAsia" w:ascii="宋体" w:hAnsi="宋体" w:cs="宋体"/>
                <w:sz w:val="24"/>
                <w:szCs w:val="24"/>
                <w:lang w:val="en-US" w:eastAsia="zh-CN"/>
              </w:rPr>
              <w:t>3</w:t>
            </w:r>
            <w:r>
              <w:rPr>
                <w:rFonts w:hint="eastAsia" w:ascii="宋体" w:hAnsi="宋体" w:cs="宋体"/>
                <w:sz w:val="24"/>
                <w:szCs w:val="24"/>
                <w:lang w:eastAsia="zh-CN"/>
              </w:rPr>
              <w:t>-01</w:t>
            </w:r>
            <w:r>
              <w:rPr>
                <w:rFonts w:hint="eastAsia" w:ascii="宋体" w:hAnsi="宋体" w:cs="宋体"/>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49" w:type="dxa"/>
            <w:noWrap w:val="0"/>
            <w:vAlign w:val="center"/>
          </w:tcPr>
          <w:p>
            <w:pPr>
              <w:spacing w:line="360" w:lineRule="auto"/>
              <w:jc w:val="center"/>
              <w:rPr>
                <w:rFonts w:hint="eastAsia" w:ascii="宋体" w:hAnsi="宋体" w:cs="宋体"/>
                <w:b w:val="0"/>
                <w:bCs/>
                <w:sz w:val="24"/>
                <w:szCs w:val="24"/>
                <w:lang w:val="en-US" w:eastAsia="zh-CN"/>
              </w:rPr>
            </w:pPr>
            <w:r>
              <w:rPr>
                <w:rFonts w:hint="eastAsia" w:ascii="宋体" w:hAnsi="宋体" w:cs="宋体"/>
                <w:b w:val="0"/>
                <w:bCs/>
                <w:sz w:val="24"/>
                <w:szCs w:val="24"/>
                <w:lang w:val="en-US" w:eastAsia="zh-CN"/>
              </w:rPr>
              <w:t>6</w:t>
            </w:r>
          </w:p>
        </w:tc>
        <w:tc>
          <w:tcPr>
            <w:tcW w:w="1876" w:type="dxa"/>
            <w:noWrap w:val="0"/>
            <w:vAlign w:val="center"/>
          </w:tcPr>
          <w:p>
            <w:pPr>
              <w:adjustRightInd w:val="0"/>
              <w:snapToGrid w:val="0"/>
              <w:spacing w:line="450" w:lineRule="exact"/>
              <w:jc w:val="left"/>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标段名称</w:t>
            </w:r>
          </w:p>
        </w:tc>
        <w:tc>
          <w:tcPr>
            <w:tcW w:w="6954" w:type="dxa"/>
            <w:noWrap w:val="0"/>
            <w:vAlign w:val="center"/>
          </w:tcPr>
          <w:p>
            <w:pPr>
              <w:adjustRightInd w:val="0"/>
              <w:snapToGrid w:val="0"/>
              <w:spacing w:line="450" w:lineRule="exact"/>
              <w:jc w:val="left"/>
              <w:rPr>
                <w:rFonts w:ascii="宋体" w:hAnsi="宋体" w:eastAsia="宋体" w:cs="宋体"/>
                <w:kern w:val="2"/>
                <w:sz w:val="24"/>
                <w:szCs w:val="24"/>
                <w:lang w:val="en-US" w:eastAsia="zh-CN" w:bidi="ar-SA"/>
              </w:rPr>
            </w:pPr>
            <w:r>
              <w:rPr>
                <w:rFonts w:hint="eastAsia" w:ascii="Calibri" w:hAnsi="Calibri" w:eastAsia="宋体" w:cs="Times New Roman"/>
                <w:kern w:val="2"/>
                <w:sz w:val="24"/>
                <w:szCs w:val="24"/>
                <w:lang w:val="en-US" w:eastAsia="zh-CN" w:bidi="ar-SA"/>
              </w:rPr>
              <w:t>205省道佳县至米脂公路工程可行性研究报告编制服务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49" w:type="dxa"/>
            <w:noWrap w:val="0"/>
            <w:vAlign w:val="center"/>
          </w:tcPr>
          <w:p>
            <w:pPr>
              <w:spacing w:line="360" w:lineRule="auto"/>
              <w:jc w:val="center"/>
              <w:rPr>
                <w:rFonts w:hint="eastAsia" w:ascii="宋体" w:hAnsi="宋体" w:cs="宋体"/>
                <w:b w:val="0"/>
                <w:bCs/>
                <w:sz w:val="24"/>
                <w:szCs w:val="24"/>
                <w:lang w:val="en-US" w:eastAsia="zh-CN"/>
              </w:rPr>
            </w:pPr>
            <w:r>
              <w:rPr>
                <w:rFonts w:hint="eastAsia" w:ascii="宋体" w:hAnsi="宋体" w:cs="宋体"/>
                <w:b w:val="0"/>
                <w:bCs/>
                <w:sz w:val="24"/>
                <w:szCs w:val="24"/>
                <w:lang w:val="en-US" w:eastAsia="zh-CN"/>
              </w:rPr>
              <w:t>7</w:t>
            </w:r>
          </w:p>
        </w:tc>
        <w:tc>
          <w:tcPr>
            <w:tcW w:w="1876" w:type="dxa"/>
            <w:noWrap w:val="0"/>
            <w:vAlign w:val="center"/>
          </w:tcPr>
          <w:p>
            <w:pPr>
              <w:adjustRightInd w:val="0"/>
              <w:snapToGrid w:val="0"/>
              <w:spacing w:line="450" w:lineRule="exact"/>
              <w:jc w:val="left"/>
              <w:rPr>
                <w:rFonts w:ascii="宋体" w:hAnsi="宋体" w:cs="宋体"/>
                <w:sz w:val="24"/>
                <w:szCs w:val="24"/>
              </w:rPr>
            </w:pPr>
            <w:r>
              <w:rPr>
                <w:rFonts w:hint="eastAsia" w:ascii="宋体" w:hAnsi="宋体" w:cs="宋体"/>
                <w:sz w:val="24"/>
                <w:szCs w:val="24"/>
                <w:lang w:val="en-US" w:eastAsia="zh-CN"/>
              </w:rPr>
              <w:t>标段编号</w:t>
            </w:r>
          </w:p>
        </w:tc>
        <w:tc>
          <w:tcPr>
            <w:tcW w:w="6954" w:type="dxa"/>
            <w:noWrap w:val="0"/>
            <w:vAlign w:val="center"/>
          </w:tcPr>
          <w:p>
            <w:pPr>
              <w:adjustRightInd w:val="0"/>
              <w:snapToGrid w:val="0"/>
              <w:spacing w:line="450" w:lineRule="exact"/>
              <w:jc w:val="left"/>
              <w:rPr>
                <w:rFonts w:ascii="宋体" w:hAnsi="宋体" w:cs="宋体"/>
                <w:sz w:val="24"/>
                <w:szCs w:val="24"/>
              </w:rPr>
            </w:pPr>
            <w:r>
              <w:rPr>
                <w:rFonts w:hint="eastAsia" w:ascii="宋体" w:hAnsi="宋体" w:cs="宋体"/>
                <w:sz w:val="24"/>
                <w:szCs w:val="24"/>
                <w:lang w:eastAsia="zh-CN"/>
              </w:rPr>
              <w:t>HHXC-202</w:t>
            </w:r>
            <w:r>
              <w:rPr>
                <w:rFonts w:hint="eastAsia" w:ascii="宋体" w:hAnsi="宋体" w:cs="宋体"/>
                <w:sz w:val="24"/>
                <w:szCs w:val="24"/>
                <w:lang w:val="en-US" w:eastAsia="zh-CN"/>
              </w:rPr>
              <w:t>3</w:t>
            </w:r>
            <w:r>
              <w:rPr>
                <w:rFonts w:hint="eastAsia" w:ascii="宋体" w:hAnsi="宋体" w:cs="宋体"/>
                <w:sz w:val="24"/>
                <w:szCs w:val="24"/>
                <w:lang w:eastAsia="zh-CN"/>
              </w:rPr>
              <w:t>-01</w:t>
            </w:r>
            <w:r>
              <w:rPr>
                <w:rFonts w:hint="eastAsia" w:ascii="宋体" w:hAnsi="宋体" w:cs="宋体"/>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749" w:type="dxa"/>
            <w:noWrap w:val="0"/>
            <w:vAlign w:val="center"/>
          </w:tcPr>
          <w:p>
            <w:pPr>
              <w:spacing w:line="360" w:lineRule="auto"/>
              <w:jc w:val="center"/>
              <w:rPr>
                <w:rFonts w:hint="eastAsia" w:ascii="宋体" w:hAnsi="宋体" w:cs="宋体"/>
                <w:b w:val="0"/>
                <w:bCs/>
                <w:sz w:val="24"/>
                <w:szCs w:val="24"/>
                <w:lang w:val="en-US" w:eastAsia="zh-CN"/>
              </w:rPr>
            </w:pPr>
            <w:r>
              <w:rPr>
                <w:rFonts w:hint="eastAsia" w:ascii="宋体" w:hAnsi="宋体" w:cs="宋体"/>
                <w:b w:val="0"/>
                <w:bCs/>
                <w:sz w:val="24"/>
                <w:szCs w:val="24"/>
                <w:lang w:val="en-US" w:eastAsia="zh-CN"/>
              </w:rPr>
              <w:t>8</w:t>
            </w:r>
          </w:p>
        </w:tc>
        <w:tc>
          <w:tcPr>
            <w:tcW w:w="1876" w:type="dxa"/>
            <w:noWrap w:val="0"/>
            <w:vAlign w:val="center"/>
          </w:tcPr>
          <w:p>
            <w:pPr>
              <w:spacing w:line="360" w:lineRule="auto"/>
              <w:rPr>
                <w:rFonts w:hint="default" w:ascii="宋体" w:hAnsi="宋体" w:eastAsia="宋体" w:cs="宋体"/>
                <w:sz w:val="24"/>
                <w:szCs w:val="24"/>
                <w:lang w:val="en-US" w:eastAsia="zh-CN"/>
              </w:rPr>
            </w:pPr>
            <w:r>
              <w:rPr>
                <w:rFonts w:hint="eastAsia" w:ascii="宋体" w:hAnsi="宋体" w:cs="宋体"/>
                <w:sz w:val="24"/>
                <w:szCs w:val="24"/>
                <w:lang w:val="en-US" w:eastAsia="zh-CN"/>
              </w:rPr>
              <w:t>最高限价</w:t>
            </w:r>
          </w:p>
        </w:tc>
        <w:tc>
          <w:tcPr>
            <w:tcW w:w="6954" w:type="dxa"/>
            <w:noWrap w:val="0"/>
            <w:vAlign w:val="center"/>
          </w:tcPr>
          <w:p>
            <w:pPr>
              <w:spacing w:line="360" w:lineRule="auto"/>
              <w:rPr>
                <w:rFonts w:ascii="宋体" w:hAnsi="宋体" w:cs="宋体"/>
                <w:sz w:val="24"/>
                <w:szCs w:val="24"/>
              </w:rPr>
            </w:pPr>
            <w:r>
              <w:rPr>
                <w:rFonts w:hint="eastAsia" w:ascii="宋体" w:hAnsi="宋体" w:cs="宋体"/>
                <w:sz w:val="24"/>
                <w:szCs w:val="24"/>
              </w:rPr>
              <w:t>项目性质：财政拨款</w:t>
            </w:r>
          </w:p>
          <w:p>
            <w:pPr>
              <w:adjustRightInd w:val="0"/>
              <w:snapToGrid w:val="0"/>
              <w:spacing w:line="450" w:lineRule="exact"/>
              <w:jc w:val="left"/>
              <w:rPr>
                <w:rFonts w:ascii="宋体" w:hAnsi="宋体" w:cs="仿宋_GB2312"/>
                <w:b/>
                <w:bCs/>
                <w:sz w:val="24"/>
                <w:szCs w:val="24"/>
              </w:rPr>
            </w:pPr>
            <w:r>
              <w:rPr>
                <w:rFonts w:hint="eastAsia" w:ascii="宋体" w:hAnsi="宋体" w:cs="宋体"/>
                <w:b/>
                <w:bCs/>
                <w:sz w:val="24"/>
                <w:szCs w:val="24"/>
              </w:rPr>
              <w:t>本项目采购总预算</w:t>
            </w:r>
            <w:r>
              <w:rPr>
                <w:rFonts w:hint="eastAsia" w:ascii="宋体" w:hAnsi="宋体" w:cs="宋体"/>
                <w:b/>
                <w:bCs/>
                <w:sz w:val="24"/>
                <w:szCs w:val="24"/>
                <w:lang w:eastAsia="zh-CN"/>
              </w:rPr>
              <w:t>（</w:t>
            </w:r>
            <w:r>
              <w:rPr>
                <w:rFonts w:hint="eastAsia" w:ascii="宋体" w:hAnsi="宋体" w:cs="宋体"/>
                <w:b/>
                <w:bCs/>
                <w:sz w:val="24"/>
                <w:szCs w:val="24"/>
                <w:lang w:val="en-US" w:eastAsia="zh-CN"/>
              </w:rPr>
              <w:t>即最高限价</w:t>
            </w:r>
            <w:r>
              <w:rPr>
                <w:rFonts w:hint="eastAsia" w:ascii="宋体" w:hAnsi="宋体" w:cs="宋体"/>
                <w:b/>
                <w:bCs/>
                <w:sz w:val="24"/>
                <w:szCs w:val="24"/>
                <w:lang w:eastAsia="zh-CN"/>
              </w:rPr>
              <w:t>）</w:t>
            </w:r>
            <w:r>
              <w:rPr>
                <w:rFonts w:hint="eastAsia" w:ascii="宋体" w:hAnsi="宋体" w:cs="宋体"/>
                <w:b/>
                <w:bCs/>
                <w:sz w:val="24"/>
                <w:szCs w:val="24"/>
              </w:rPr>
              <w:t>：</w:t>
            </w:r>
            <w:r>
              <w:rPr>
                <w:rFonts w:hint="eastAsia" w:ascii="宋体" w:hAnsi="宋体" w:cs="宋体"/>
                <w:b/>
                <w:bCs/>
                <w:sz w:val="24"/>
                <w:szCs w:val="24"/>
                <w:lang w:val="en-US" w:eastAsia="zh-CN"/>
              </w:rPr>
              <w:t>1300000.00元</w:t>
            </w:r>
          </w:p>
          <w:p>
            <w:pPr>
              <w:spacing w:line="360" w:lineRule="auto"/>
              <w:rPr>
                <w:rFonts w:hint="eastAsia" w:ascii="宋体" w:hAnsi="宋体" w:eastAsia="宋体" w:cs="宋体"/>
                <w:kern w:val="2"/>
                <w:sz w:val="24"/>
                <w:szCs w:val="24"/>
                <w:lang w:val="en-US" w:eastAsia="zh-CN" w:bidi="ar-SA"/>
              </w:rPr>
            </w:pPr>
            <w:r>
              <w:rPr>
                <w:rFonts w:hint="eastAsia" w:ascii="宋体" w:hAnsi="宋体" w:cs="宋体"/>
                <w:sz w:val="24"/>
                <w:szCs w:val="24"/>
              </w:rPr>
              <w:t>供应商报价超出采购预算，作为不实质响应竞争性谈判文件，按无谈判响应文件处理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jc w:val="center"/>
        </w:trPr>
        <w:tc>
          <w:tcPr>
            <w:tcW w:w="749" w:type="dxa"/>
            <w:noWrap w:val="0"/>
            <w:vAlign w:val="center"/>
          </w:tcPr>
          <w:p>
            <w:pPr>
              <w:numPr>
                <w:ilvl w:val="0"/>
                <w:numId w:val="0"/>
              </w:numPr>
              <w:spacing w:line="360" w:lineRule="auto"/>
              <w:jc w:val="center"/>
              <w:rPr>
                <w:rFonts w:hint="eastAsia" w:ascii="宋体" w:hAnsi="宋体" w:eastAsia="宋体" w:cs="宋体"/>
                <w:b w:val="0"/>
                <w:bCs/>
                <w:sz w:val="24"/>
                <w:szCs w:val="24"/>
                <w:lang w:val="en-US" w:eastAsia="zh-CN"/>
              </w:rPr>
            </w:pPr>
            <w:r>
              <w:rPr>
                <w:rFonts w:hint="eastAsia" w:ascii="宋体" w:hAnsi="宋体" w:cs="宋体"/>
                <w:b w:val="0"/>
                <w:bCs/>
                <w:sz w:val="24"/>
                <w:szCs w:val="24"/>
                <w:lang w:val="en-US" w:eastAsia="zh-CN"/>
              </w:rPr>
              <w:t>9</w:t>
            </w:r>
          </w:p>
        </w:tc>
        <w:tc>
          <w:tcPr>
            <w:tcW w:w="1876" w:type="dxa"/>
            <w:noWrap w:val="0"/>
            <w:vAlign w:val="center"/>
          </w:tcPr>
          <w:p>
            <w:pPr>
              <w:spacing w:line="360" w:lineRule="auto"/>
              <w:rPr>
                <w:rFonts w:ascii="宋体" w:hAnsi="宋体" w:cs="宋体"/>
                <w:sz w:val="24"/>
                <w:szCs w:val="24"/>
              </w:rPr>
            </w:pPr>
            <w:r>
              <w:rPr>
                <w:rFonts w:hint="eastAsia" w:ascii="宋体" w:hAnsi="宋体" w:cs="宋体"/>
                <w:sz w:val="24"/>
                <w:szCs w:val="24"/>
              </w:rPr>
              <w:t>采购内容</w:t>
            </w:r>
          </w:p>
        </w:tc>
        <w:tc>
          <w:tcPr>
            <w:tcW w:w="6954" w:type="dxa"/>
            <w:noWrap w:val="0"/>
            <w:vAlign w:val="center"/>
          </w:tcPr>
          <w:p>
            <w:pPr>
              <w:spacing w:line="360" w:lineRule="auto"/>
              <w:rPr>
                <w:rFonts w:ascii="宋体" w:hAnsi="宋体" w:cs="宋体"/>
                <w:sz w:val="24"/>
                <w:szCs w:val="24"/>
              </w:rPr>
            </w:pPr>
            <w:r>
              <w:rPr>
                <w:rFonts w:hint="eastAsia" w:ascii="宋体" w:hAnsi="宋体" w:cs="宋体"/>
                <w:sz w:val="24"/>
                <w:szCs w:val="24"/>
              </w:rPr>
              <w:t>具体见竞争性谈判文件第</w:t>
            </w:r>
            <w:r>
              <w:rPr>
                <w:rFonts w:hint="eastAsia" w:ascii="宋体" w:hAnsi="宋体" w:cs="宋体"/>
                <w:sz w:val="24"/>
                <w:szCs w:val="24"/>
                <w:lang w:val="en-US" w:eastAsia="zh-CN"/>
              </w:rPr>
              <w:t>六</w:t>
            </w:r>
            <w:r>
              <w:rPr>
                <w:rFonts w:hint="eastAsia" w:ascii="宋体" w:hAnsi="宋体" w:cs="宋体"/>
                <w:sz w:val="24"/>
                <w:szCs w:val="24"/>
              </w:rPr>
              <w:t>部分采购内容及要求</w:t>
            </w:r>
          </w:p>
          <w:p>
            <w:pPr>
              <w:spacing w:line="360" w:lineRule="auto"/>
              <w:rPr>
                <w:rFonts w:hint="eastAsia" w:ascii="宋体" w:hAnsi="宋体" w:eastAsia="宋体" w:cs="宋体"/>
                <w:kern w:val="2"/>
                <w:sz w:val="24"/>
                <w:szCs w:val="24"/>
                <w:lang w:val="en-US" w:eastAsia="zh-CN" w:bidi="ar-SA"/>
              </w:rPr>
            </w:pPr>
            <w:r>
              <w:rPr>
                <w:rFonts w:hint="eastAsia" w:ascii="宋体" w:hAnsi="宋体" w:cs="宋体"/>
                <w:sz w:val="24"/>
                <w:szCs w:val="24"/>
              </w:rPr>
              <w:t>本次采购、报价、谈判、评审和合同授予均以项目为单位，供应商必须就整个项目进行响应。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49" w:type="dxa"/>
            <w:noWrap w:val="0"/>
            <w:vAlign w:val="center"/>
          </w:tcPr>
          <w:p>
            <w:pPr>
              <w:numPr>
                <w:ilvl w:val="0"/>
                <w:numId w:val="0"/>
              </w:num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10</w:t>
            </w:r>
          </w:p>
        </w:tc>
        <w:tc>
          <w:tcPr>
            <w:tcW w:w="1876" w:type="dxa"/>
            <w:noWrap w:val="0"/>
            <w:vAlign w:val="center"/>
          </w:tcPr>
          <w:p>
            <w:pPr>
              <w:spacing w:line="360" w:lineRule="auto"/>
              <w:rPr>
                <w:rFonts w:hint="eastAsia" w:ascii="宋体" w:hAnsi="宋体" w:eastAsia="宋体" w:cs="宋体"/>
                <w:sz w:val="24"/>
                <w:szCs w:val="24"/>
                <w:lang w:eastAsia="zh-CN"/>
              </w:rPr>
            </w:pPr>
            <w:r>
              <w:rPr>
                <w:rFonts w:hint="eastAsia" w:ascii="宋体" w:hAnsi="宋体" w:cs="宋体"/>
                <w:sz w:val="24"/>
                <w:szCs w:val="24"/>
                <w:lang w:val="en-US" w:eastAsia="zh-CN"/>
              </w:rPr>
              <w:t>谈判</w:t>
            </w:r>
            <w:r>
              <w:rPr>
                <w:rFonts w:hint="eastAsia" w:ascii="宋体" w:hAnsi="宋体" w:cs="宋体"/>
                <w:sz w:val="24"/>
                <w:szCs w:val="24"/>
              </w:rPr>
              <w:t>报价</w:t>
            </w:r>
          </w:p>
        </w:tc>
        <w:tc>
          <w:tcPr>
            <w:tcW w:w="6954" w:type="dxa"/>
            <w:noWrap w:val="0"/>
            <w:vAlign w:val="center"/>
          </w:tcPr>
          <w:p>
            <w:pPr>
              <w:spacing w:line="360" w:lineRule="auto"/>
              <w:rPr>
                <w:rFonts w:hint="eastAsia" w:ascii="宋体" w:hAnsi="宋体" w:eastAsia="宋体" w:cs="宋体"/>
                <w:kern w:val="2"/>
                <w:sz w:val="24"/>
                <w:szCs w:val="24"/>
                <w:lang w:val="en-US" w:eastAsia="zh-CN" w:bidi="ar-SA"/>
              </w:rPr>
            </w:pPr>
            <w:r>
              <w:rPr>
                <w:rFonts w:hint="eastAsia" w:ascii="宋体" w:hAnsi="宋体" w:cs="宋体"/>
                <w:sz w:val="24"/>
                <w:szCs w:val="24"/>
              </w:rPr>
              <w:t>报价包含</w:t>
            </w:r>
            <w:r>
              <w:rPr>
                <w:rFonts w:hint="eastAsia" w:ascii="宋体" w:hAnsi="宋体" w:cs="仿宋_GB2312"/>
                <w:sz w:val="24"/>
                <w:szCs w:val="24"/>
              </w:rPr>
              <w:t>完成本次</w:t>
            </w:r>
            <w:r>
              <w:rPr>
                <w:rFonts w:hint="eastAsia" w:ascii="宋体" w:hAnsi="宋体" w:cs="仿宋_GB2312"/>
                <w:sz w:val="24"/>
                <w:szCs w:val="24"/>
                <w:lang w:val="en-US" w:eastAsia="zh-CN"/>
              </w:rPr>
              <w:t>谈判</w:t>
            </w:r>
            <w:r>
              <w:rPr>
                <w:rFonts w:hint="eastAsia" w:ascii="宋体" w:hAnsi="宋体" w:cs="仿宋_GB2312"/>
                <w:sz w:val="24"/>
                <w:szCs w:val="24"/>
              </w:rPr>
              <w:t>项目所包含的一切相关费用</w:t>
            </w:r>
            <w:r>
              <w:rPr>
                <w:rFonts w:hint="eastAsia" w:ascii="宋体" w:hAnsi="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9" w:type="dxa"/>
            <w:noWrap w:val="0"/>
            <w:vAlign w:val="center"/>
          </w:tcPr>
          <w:p>
            <w:pPr>
              <w:numPr>
                <w:ilvl w:val="0"/>
                <w:numId w:val="0"/>
              </w:num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11</w:t>
            </w:r>
          </w:p>
        </w:tc>
        <w:tc>
          <w:tcPr>
            <w:tcW w:w="1876" w:type="dxa"/>
            <w:noWrap w:val="0"/>
            <w:vAlign w:val="center"/>
          </w:tcPr>
          <w:p>
            <w:pPr>
              <w:spacing w:line="360" w:lineRule="auto"/>
              <w:rPr>
                <w:rFonts w:hint="eastAsia" w:ascii="宋体" w:hAnsi="宋体" w:cs="宋体"/>
                <w:sz w:val="24"/>
                <w:szCs w:val="24"/>
                <w:u w:val="single"/>
              </w:rPr>
            </w:pPr>
            <w:r>
              <w:rPr>
                <w:rFonts w:hint="eastAsia" w:ascii="宋体" w:hAnsi="宋体" w:cs="宋体"/>
                <w:sz w:val="24"/>
                <w:szCs w:val="24"/>
                <w:highlight w:val="none"/>
              </w:rPr>
              <w:t>竞争性谈判响应文件递交截止时间及谈判时间和地点</w:t>
            </w:r>
          </w:p>
        </w:tc>
        <w:tc>
          <w:tcPr>
            <w:tcW w:w="6954" w:type="dxa"/>
            <w:noWrap w:val="0"/>
            <w:vAlign w:val="center"/>
          </w:tcPr>
          <w:p>
            <w:pPr>
              <w:spacing w:line="360" w:lineRule="auto"/>
              <w:rPr>
                <w:rFonts w:ascii="宋体" w:hAnsi="宋体" w:cs="宋体"/>
                <w:color w:val="auto"/>
                <w:sz w:val="24"/>
                <w:szCs w:val="24"/>
                <w:highlight w:val="none"/>
              </w:rPr>
            </w:pPr>
            <w:r>
              <w:rPr>
                <w:rFonts w:hint="eastAsia" w:ascii="宋体" w:hAnsi="宋体" w:cs="宋体"/>
                <w:sz w:val="24"/>
                <w:szCs w:val="24"/>
                <w:highlight w:val="none"/>
              </w:rPr>
              <w:t>竞争性谈判响应文件递交截止时</w:t>
            </w:r>
            <w:r>
              <w:rPr>
                <w:rFonts w:hint="eastAsia" w:ascii="宋体" w:hAnsi="宋体" w:cs="宋体"/>
                <w:color w:val="auto"/>
                <w:sz w:val="24"/>
                <w:szCs w:val="24"/>
                <w:highlight w:val="none"/>
              </w:rPr>
              <w:t>间：</w:t>
            </w:r>
            <w:r>
              <w:rPr>
                <w:rFonts w:hint="eastAsia" w:ascii="宋体" w:hAnsi="宋体" w:cs="宋体"/>
                <w:color w:val="auto"/>
                <w:sz w:val="24"/>
                <w:szCs w:val="24"/>
                <w:highlight w:val="none"/>
                <w:lang w:eastAsia="zh-CN"/>
              </w:rPr>
              <w:t>202</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年</w:t>
            </w:r>
            <w:r>
              <w:rPr>
                <w:rFonts w:hint="eastAsia" w:ascii="宋体" w:hAnsi="宋体" w:cs="宋体"/>
                <w:color w:val="auto"/>
                <w:sz w:val="24"/>
                <w:szCs w:val="24"/>
                <w:highlight w:val="none"/>
                <w:lang w:val="en-US" w:eastAsia="zh-CN"/>
              </w:rPr>
              <w:t>05</w:t>
            </w:r>
            <w:r>
              <w:rPr>
                <w:rFonts w:hint="eastAsia" w:ascii="宋体" w:hAnsi="宋体" w:cs="宋体"/>
                <w:color w:val="auto"/>
                <w:sz w:val="24"/>
                <w:szCs w:val="24"/>
                <w:highlight w:val="none"/>
                <w:lang w:eastAsia="zh-CN"/>
              </w:rPr>
              <w:t>月</w:t>
            </w:r>
            <w:r>
              <w:rPr>
                <w:rFonts w:hint="eastAsia" w:ascii="宋体" w:hAnsi="宋体" w:cs="宋体"/>
                <w:color w:val="auto"/>
                <w:sz w:val="24"/>
                <w:szCs w:val="24"/>
                <w:highlight w:val="none"/>
                <w:lang w:val="en-US" w:eastAsia="zh-CN"/>
              </w:rPr>
              <w:t>12</w:t>
            </w:r>
            <w:r>
              <w:rPr>
                <w:rFonts w:hint="eastAsia" w:ascii="宋体" w:hAnsi="宋体" w:cs="宋体"/>
                <w:color w:val="auto"/>
                <w:sz w:val="24"/>
                <w:szCs w:val="24"/>
                <w:highlight w:val="none"/>
                <w:lang w:eastAsia="zh-CN"/>
              </w:rPr>
              <w:t>日</w:t>
            </w:r>
            <w:r>
              <w:rPr>
                <w:rFonts w:hint="eastAsia" w:ascii="宋体" w:hAnsi="宋体" w:cs="宋体"/>
                <w:color w:val="auto"/>
                <w:sz w:val="24"/>
                <w:szCs w:val="24"/>
                <w:highlight w:val="none"/>
                <w:lang w:val="en-US" w:eastAsia="zh-CN"/>
              </w:rPr>
              <w:t>13</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0时</w:t>
            </w:r>
          </w:p>
          <w:p>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谈判时间：</w:t>
            </w:r>
            <w:r>
              <w:rPr>
                <w:rFonts w:hint="eastAsia" w:ascii="宋体" w:hAnsi="宋体" w:cs="宋体"/>
                <w:color w:val="auto"/>
                <w:sz w:val="24"/>
                <w:szCs w:val="24"/>
                <w:highlight w:val="none"/>
                <w:lang w:eastAsia="zh-CN"/>
              </w:rPr>
              <w:t>202</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年</w:t>
            </w:r>
            <w:r>
              <w:rPr>
                <w:rFonts w:hint="eastAsia" w:ascii="宋体" w:hAnsi="宋体" w:cs="宋体"/>
                <w:color w:val="auto"/>
                <w:sz w:val="24"/>
                <w:szCs w:val="24"/>
                <w:highlight w:val="none"/>
                <w:lang w:val="en-US" w:eastAsia="zh-CN"/>
              </w:rPr>
              <w:t>05</w:t>
            </w:r>
            <w:r>
              <w:rPr>
                <w:rFonts w:hint="eastAsia" w:ascii="宋体" w:hAnsi="宋体" w:cs="宋体"/>
                <w:color w:val="auto"/>
                <w:sz w:val="24"/>
                <w:szCs w:val="24"/>
                <w:highlight w:val="none"/>
                <w:lang w:eastAsia="zh-CN"/>
              </w:rPr>
              <w:t>月</w:t>
            </w:r>
            <w:r>
              <w:rPr>
                <w:rFonts w:hint="eastAsia" w:ascii="宋体" w:hAnsi="宋体" w:cs="宋体"/>
                <w:color w:val="auto"/>
                <w:sz w:val="24"/>
                <w:szCs w:val="24"/>
                <w:highlight w:val="none"/>
                <w:lang w:val="en-US" w:eastAsia="zh-CN"/>
              </w:rPr>
              <w:t>12</w:t>
            </w:r>
            <w:r>
              <w:rPr>
                <w:rFonts w:hint="eastAsia" w:ascii="宋体" w:hAnsi="宋体" w:cs="宋体"/>
                <w:color w:val="auto"/>
                <w:sz w:val="24"/>
                <w:szCs w:val="24"/>
                <w:highlight w:val="none"/>
                <w:lang w:eastAsia="zh-CN"/>
              </w:rPr>
              <w:t>日</w:t>
            </w:r>
            <w:r>
              <w:rPr>
                <w:rFonts w:hint="eastAsia" w:ascii="宋体" w:hAnsi="宋体" w:cs="宋体"/>
                <w:color w:val="auto"/>
                <w:sz w:val="24"/>
                <w:szCs w:val="24"/>
                <w:highlight w:val="none"/>
                <w:lang w:val="en-US" w:eastAsia="zh-CN"/>
              </w:rPr>
              <w:t>13</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0时</w:t>
            </w:r>
          </w:p>
          <w:p>
            <w:pPr>
              <w:spacing w:line="360" w:lineRule="auto"/>
              <w:rPr>
                <w:rFonts w:hint="eastAsia" w:ascii="宋体" w:hAnsi="宋体" w:eastAsia="宋体" w:cs="宋体"/>
                <w:kern w:val="2"/>
                <w:sz w:val="24"/>
                <w:szCs w:val="24"/>
                <w:u w:val="single"/>
                <w:lang w:val="en-US" w:eastAsia="zh-CN" w:bidi="ar-SA"/>
              </w:rPr>
            </w:pPr>
            <w:r>
              <w:rPr>
                <w:rFonts w:hint="eastAsia" w:ascii="宋体" w:hAnsi="宋体" w:cs="宋体"/>
                <w:color w:val="auto"/>
                <w:sz w:val="24"/>
                <w:szCs w:val="24"/>
                <w:highlight w:val="none"/>
              </w:rPr>
              <w:t>谈判地点：</w:t>
            </w:r>
            <w:r>
              <w:rPr>
                <w:rFonts w:hint="eastAsia" w:ascii="宋体" w:hAnsi="宋体" w:eastAsia="宋体" w:cs="宋体"/>
                <w:sz w:val="24"/>
                <w:szCs w:val="24"/>
                <w:highlight w:val="none"/>
              </w:rPr>
              <w:t>榆林市公共资源交易中心十楼不见面开标6室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49" w:type="dxa"/>
            <w:noWrap w:val="0"/>
            <w:vAlign w:val="center"/>
          </w:tcPr>
          <w:p>
            <w:pPr>
              <w:numPr>
                <w:ilvl w:val="0"/>
                <w:numId w:val="0"/>
              </w:num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12</w:t>
            </w:r>
          </w:p>
        </w:tc>
        <w:tc>
          <w:tcPr>
            <w:tcW w:w="1876" w:type="dxa"/>
            <w:noWrap w:val="0"/>
            <w:vAlign w:val="center"/>
          </w:tcPr>
          <w:p>
            <w:pPr>
              <w:spacing w:line="360" w:lineRule="auto"/>
              <w:rPr>
                <w:rFonts w:ascii="宋体" w:hAnsi="宋体" w:cs="宋体"/>
                <w:sz w:val="24"/>
                <w:szCs w:val="24"/>
              </w:rPr>
            </w:pPr>
            <w:r>
              <w:rPr>
                <w:rFonts w:hint="eastAsia" w:ascii="宋体" w:hAnsi="宋体" w:cs="宋体"/>
                <w:sz w:val="24"/>
                <w:szCs w:val="24"/>
              </w:rPr>
              <w:t>是否退还谈判响应文件</w:t>
            </w:r>
          </w:p>
        </w:tc>
        <w:tc>
          <w:tcPr>
            <w:tcW w:w="6954" w:type="dxa"/>
            <w:noWrap w:val="0"/>
            <w:vAlign w:val="center"/>
          </w:tcPr>
          <w:p>
            <w:pPr>
              <w:spacing w:line="360" w:lineRule="auto"/>
              <w:rPr>
                <w:rFonts w:hint="eastAsia" w:ascii="宋体" w:hAnsi="宋体" w:eastAsia="宋体" w:cs="宋体"/>
                <w:kern w:val="2"/>
                <w:sz w:val="24"/>
                <w:szCs w:val="24"/>
                <w:lang w:val="en-US" w:eastAsia="zh-CN" w:bidi="ar-SA"/>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否</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749" w:type="dxa"/>
            <w:noWrap w:val="0"/>
            <w:vAlign w:val="center"/>
          </w:tcPr>
          <w:p>
            <w:pPr>
              <w:numPr>
                <w:ilvl w:val="0"/>
                <w:numId w:val="0"/>
              </w:num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13</w:t>
            </w:r>
          </w:p>
        </w:tc>
        <w:tc>
          <w:tcPr>
            <w:tcW w:w="1876" w:type="dxa"/>
            <w:noWrap w:val="0"/>
            <w:vAlign w:val="center"/>
          </w:tcPr>
          <w:p>
            <w:pPr>
              <w:spacing w:line="360" w:lineRule="auto"/>
              <w:rPr>
                <w:rFonts w:ascii="宋体" w:hAnsi="宋体" w:cs="宋体"/>
                <w:sz w:val="24"/>
                <w:szCs w:val="24"/>
              </w:rPr>
            </w:pPr>
            <w:r>
              <w:rPr>
                <w:rFonts w:hint="eastAsia" w:ascii="宋体" w:hAnsi="宋体" w:cs="宋体"/>
                <w:sz w:val="24"/>
                <w:szCs w:val="24"/>
                <w:lang w:val="en-US" w:eastAsia="zh-CN"/>
              </w:rPr>
              <w:t>是否允许递交备选谈判方案</w:t>
            </w:r>
          </w:p>
        </w:tc>
        <w:tc>
          <w:tcPr>
            <w:tcW w:w="6954" w:type="dxa"/>
            <w:noWrap w:val="0"/>
            <w:vAlign w:val="center"/>
          </w:tcPr>
          <w:p>
            <w:pPr>
              <w:spacing w:line="360" w:lineRule="auto"/>
              <w:rPr>
                <w:rFonts w:hint="eastAsia" w:ascii="宋体" w:hAnsi="宋体" w:eastAsia="宋体" w:cs="宋体"/>
                <w:kern w:val="2"/>
                <w:sz w:val="24"/>
                <w:szCs w:val="24"/>
                <w:lang w:val="en-US" w:eastAsia="zh-CN" w:bidi="ar-SA"/>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否</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749" w:type="dxa"/>
            <w:noWrap w:val="0"/>
            <w:vAlign w:val="center"/>
          </w:tcPr>
          <w:p>
            <w:pPr>
              <w:numPr>
                <w:ilvl w:val="0"/>
                <w:numId w:val="0"/>
              </w:num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14</w:t>
            </w:r>
          </w:p>
        </w:tc>
        <w:tc>
          <w:tcPr>
            <w:tcW w:w="1876" w:type="dxa"/>
            <w:noWrap w:val="0"/>
            <w:vAlign w:val="center"/>
          </w:tcPr>
          <w:p>
            <w:pPr>
              <w:spacing w:line="360" w:lineRule="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其他事项</w:t>
            </w:r>
          </w:p>
        </w:tc>
        <w:tc>
          <w:tcPr>
            <w:tcW w:w="6954" w:type="dxa"/>
            <w:noWrap w:val="0"/>
            <w:vAlign w:val="center"/>
          </w:tcPr>
          <w:p>
            <w:pPr>
              <w:spacing w:line="360" w:lineRule="auto"/>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本次招标采用项目整体打包方式，投标人可根据自身的资质情况和经营范围进行投标，但不得将其自行分解或只对本次项目中的品目进行不完全投标，任何不完全的投标将按无效投标处理。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749" w:type="dxa"/>
            <w:noWrap w:val="0"/>
            <w:vAlign w:val="center"/>
          </w:tcPr>
          <w:p>
            <w:pPr>
              <w:numPr>
                <w:ilvl w:val="0"/>
                <w:numId w:val="0"/>
              </w:num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15</w:t>
            </w:r>
          </w:p>
        </w:tc>
        <w:tc>
          <w:tcPr>
            <w:tcW w:w="1876" w:type="dxa"/>
            <w:noWrap w:val="0"/>
            <w:vAlign w:val="center"/>
          </w:tcPr>
          <w:p>
            <w:pPr>
              <w:spacing w:line="360" w:lineRule="auto"/>
              <w:rPr>
                <w:rFonts w:hint="default" w:eastAsia="宋体"/>
                <w:color w:val="auto"/>
                <w:lang w:val="en-US" w:eastAsia="zh-CN"/>
              </w:rPr>
            </w:pPr>
            <w:r>
              <w:rPr>
                <w:rFonts w:hint="eastAsia" w:ascii="宋体" w:hAnsi="宋体" w:cs="宋体"/>
                <w:color w:val="auto"/>
                <w:sz w:val="24"/>
                <w:szCs w:val="24"/>
                <w:highlight w:val="none"/>
                <w:lang w:val="en-US" w:eastAsia="zh-CN"/>
              </w:rPr>
              <w:t>服务</w:t>
            </w:r>
            <w:r>
              <w:rPr>
                <w:rFonts w:hint="eastAsia" w:ascii="宋体" w:hAnsi="宋体" w:cs="宋体"/>
                <w:color w:val="auto"/>
                <w:sz w:val="24"/>
                <w:szCs w:val="24"/>
                <w:highlight w:val="none"/>
              </w:rPr>
              <w:t>期</w:t>
            </w:r>
          </w:p>
        </w:tc>
        <w:tc>
          <w:tcPr>
            <w:tcW w:w="6954" w:type="dxa"/>
            <w:noWrap w:val="0"/>
            <w:vAlign w:val="center"/>
          </w:tcPr>
          <w:p>
            <w:pPr>
              <w:spacing w:line="360" w:lineRule="auto"/>
              <w:rPr>
                <w:rFonts w:hint="eastAsia" w:ascii="Calibri" w:hAnsi="Calibri" w:eastAsia="宋体" w:cs="Times New Roman"/>
                <w:color w:val="auto"/>
                <w:kern w:val="2"/>
                <w:sz w:val="21"/>
                <w:szCs w:val="24"/>
                <w:lang w:val="en-US" w:eastAsia="zh-CN" w:bidi="ar-SA"/>
              </w:rPr>
            </w:pPr>
            <w:r>
              <w:rPr>
                <w:rFonts w:hint="eastAsia" w:ascii="宋体" w:hAnsi="宋体" w:cs="宋体"/>
                <w:color w:val="auto"/>
                <w:sz w:val="24"/>
                <w:szCs w:val="24"/>
                <w:lang w:val="en-US" w:eastAsia="zh-CN"/>
              </w:rPr>
              <w:t>合同签订之日至获得有关政府部门可研报告批复之日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749" w:type="dxa"/>
            <w:noWrap w:val="0"/>
            <w:vAlign w:val="center"/>
          </w:tcPr>
          <w:p>
            <w:pPr>
              <w:numPr>
                <w:ilvl w:val="0"/>
                <w:numId w:val="0"/>
              </w:num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1876" w:type="dxa"/>
            <w:noWrap w:val="0"/>
            <w:vAlign w:val="center"/>
          </w:tcPr>
          <w:p>
            <w:pPr>
              <w:spacing w:line="360" w:lineRule="auto"/>
              <w:rPr>
                <w:rFonts w:ascii="宋体" w:hAnsi="宋体" w:cs="宋体"/>
                <w:color w:val="auto"/>
                <w:sz w:val="24"/>
                <w:szCs w:val="24"/>
              </w:rPr>
            </w:pPr>
            <w:r>
              <w:rPr>
                <w:rFonts w:hint="eastAsia" w:ascii="宋体" w:hAnsi="宋体" w:cs="宋体"/>
                <w:color w:val="auto"/>
                <w:sz w:val="24"/>
                <w:szCs w:val="24"/>
                <w:lang w:val="en-US" w:eastAsia="zh-CN"/>
              </w:rPr>
              <w:t>服务</w:t>
            </w:r>
            <w:r>
              <w:rPr>
                <w:rFonts w:hint="eastAsia" w:ascii="宋体" w:hAnsi="宋体" w:cs="宋体"/>
                <w:color w:val="auto"/>
                <w:sz w:val="24"/>
                <w:szCs w:val="24"/>
              </w:rPr>
              <w:t>地点</w:t>
            </w:r>
          </w:p>
        </w:tc>
        <w:tc>
          <w:tcPr>
            <w:tcW w:w="6954" w:type="dxa"/>
            <w:noWrap w:val="0"/>
            <w:vAlign w:val="center"/>
          </w:tcPr>
          <w:p>
            <w:pPr>
              <w:spacing w:line="360" w:lineRule="auto"/>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rPr>
              <w:t>采购人</w:t>
            </w:r>
            <w:r>
              <w:rPr>
                <w:rFonts w:hint="eastAsia" w:ascii="宋体" w:hAnsi="宋体" w:cs="宋体"/>
                <w:color w:val="auto"/>
                <w:sz w:val="24"/>
              </w:rPr>
              <w:t>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49" w:type="dxa"/>
            <w:noWrap w:val="0"/>
            <w:vAlign w:val="center"/>
          </w:tcPr>
          <w:p>
            <w:pPr>
              <w:numPr>
                <w:ilvl w:val="0"/>
                <w:numId w:val="0"/>
              </w:num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17</w:t>
            </w:r>
          </w:p>
        </w:tc>
        <w:tc>
          <w:tcPr>
            <w:tcW w:w="1876" w:type="dxa"/>
            <w:noWrap w:val="0"/>
            <w:vAlign w:val="center"/>
          </w:tcPr>
          <w:p>
            <w:pPr>
              <w:adjustRightInd w:val="0"/>
              <w:snapToGrid w:val="0"/>
              <w:spacing w:line="360" w:lineRule="auto"/>
              <w:jc w:val="left"/>
              <w:rPr>
                <w:color w:val="auto"/>
              </w:rPr>
            </w:pPr>
            <w:r>
              <w:rPr>
                <w:rFonts w:hint="eastAsia"/>
                <w:color w:val="auto"/>
                <w:sz w:val="24"/>
                <w:szCs w:val="24"/>
              </w:rPr>
              <w:t>付款方式</w:t>
            </w:r>
          </w:p>
        </w:tc>
        <w:tc>
          <w:tcPr>
            <w:tcW w:w="6954" w:type="dxa"/>
            <w:noWrap w:val="0"/>
            <w:vAlign w:val="center"/>
          </w:tcPr>
          <w:p>
            <w:pPr>
              <w:adjustRightInd w:val="0"/>
              <w:snapToGrid w:val="0"/>
              <w:spacing w:line="360" w:lineRule="auto"/>
              <w:jc w:val="left"/>
              <w:rPr>
                <w:rFonts w:hint="eastAsia" w:ascii="Calibri" w:hAnsi="Calibri" w:eastAsia="宋体" w:cs="Times New Roman"/>
                <w:color w:val="auto"/>
                <w:kern w:val="2"/>
                <w:sz w:val="21"/>
                <w:szCs w:val="24"/>
                <w:lang w:val="en-US" w:eastAsia="zh-CN" w:bidi="ar-SA"/>
              </w:rPr>
            </w:pPr>
            <w:r>
              <w:rPr>
                <w:rFonts w:hint="eastAsia"/>
                <w:color w:val="auto"/>
                <w:sz w:val="24"/>
                <w:szCs w:val="24"/>
                <w:lang w:val="en-US" w:eastAsia="zh-CN"/>
              </w:rPr>
              <w:t>合同约定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749" w:type="dxa"/>
            <w:noWrap w:val="0"/>
            <w:vAlign w:val="center"/>
          </w:tcPr>
          <w:p>
            <w:pPr>
              <w:numPr>
                <w:ilvl w:val="0"/>
                <w:numId w:val="0"/>
              </w:num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1876" w:type="dxa"/>
            <w:noWrap w:val="0"/>
            <w:vAlign w:val="center"/>
          </w:tcPr>
          <w:p>
            <w:pPr>
              <w:spacing w:line="360" w:lineRule="auto"/>
              <w:jc w:val="both"/>
              <w:rPr>
                <w:color w:val="auto"/>
              </w:rPr>
            </w:pPr>
            <w:r>
              <w:rPr>
                <w:rFonts w:hint="eastAsia" w:ascii="宋体" w:hAnsi="宋体" w:cs="宋体"/>
                <w:color w:val="auto"/>
                <w:sz w:val="24"/>
                <w:szCs w:val="24"/>
              </w:rPr>
              <w:t>谈判保证金</w:t>
            </w:r>
          </w:p>
        </w:tc>
        <w:tc>
          <w:tcPr>
            <w:tcW w:w="6954" w:type="dxa"/>
            <w:noWrap w:val="0"/>
            <w:vAlign w:val="center"/>
          </w:tcPr>
          <w:p>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Pr>
                <w:rFonts w:hint="eastAsia" w:ascii="Calibri" w:hAnsi="Calibri" w:eastAsia="宋体" w:cs="Times New Roman"/>
                <w:color w:val="auto"/>
                <w:kern w:val="2"/>
                <w:sz w:val="21"/>
                <w:szCs w:val="24"/>
                <w:lang w:val="en-US" w:eastAsia="zh-CN" w:bidi="ar-SA"/>
              </w:rPr>
            </w:pPr>
            <w:r>
              <w:rPr>
                <w:rFonts w:hint="eastAsia" w:ascii="宋体" w:hAnsi="宋体" w:eastAsia="宋体" w:cs="宋体"/>
                <w:kern w:val="2"/>
                <w:sz w:val="24"/>
                <w:szCs w:val="24"/>
                <w:lang w:val="en-US" w:eastAsia="zh-CN" w:bidi="ar-SA"/>
              </w:rPr>
              <w:t>信用承诺书代替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749" w:type="dxa"/>
            <w:noWrap w:val="0"/>
            <w:vAlign w:val="center"/>
          </w:tcPr>
          <w:p>
            <w:pPr>
              <w:numPr>
                <w:ilvl w:val="0"/>
                <w:numId w:val="0"/>
              </w:num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1876" w:type="dxa"/>
            <w:noWrap w:val="0"/>
            <w:vAlign w:val="center"/>
          </w:tcPr>
          <w:p>
            <w:pPr>
              <w:spacing w:line="360" w:lineRule="auto"/>
              <w:rPr>
                <w:rFonts w:ascii="宋体" w:hAnsi="宋体" w:cs="宋体"/>
                <w:sz w:val="24"/>
                <w:szCs w:val="24"/>
              </w:rPr>
            </w:pPr>
            <w:r>
              <w:rPr>
                <w:rFonts w:hint="eastAsia" w:ascii="宋体" w:hAnsi="宋体" w:cs="宋体"/>
                <w:sz w:val="24"/>
                <w:szCs w:val="24"/>
              </w:rPr>
              <w:t>谈判有效期</w:t>
            </w:r>
          </w:p>
        </w:tc>
        <w:tc>
          <w:tcPr>
            <w:tcW w:w="6954" w:type="dxa"/>
            <w:noWrap w:val="0"/>
            <w:vAlign w:val="center"/>
          </w:tcPr>
          <w:p>
            <w:pPr>
              <w:spacing w:line="360" w:lineRule="auto"/>
              <w:rPr>
                <w:rFonts w:hint="eastAsia" w:ascii="宋体" w:hAnsi="宋体" w:eastAsia="宋体" w:cs="宋体"/>
                <w:kern w:val="2"/>
                <w:sz w:val="24"/>
                <w:szCs w:val="24"/>
                <w:lang w:val="en-US" w:eastAsia="zh-CN" w:bidi="ar-SA"/>
              </w:rPr>
            </w:pPr>
            <w:r>
              <w:rPr>
                <w:rFonts w:hint="eastAsia" w:ascii="宋体" w:hAnsi="宋体" w:cs="宋体"/>
                <w:sz w:val="24"/>
                <w:szCs w:val="24"/>
              </w:rPr>
              <w:t>谈判响应文件从投标截止日起，投标有效期为90天，投标有效期短于此规定期限的响应文件，视为无效文件。成交供应商的响应文件有效期延长至合同执行完毕。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noWrap w:val="0"/>
            <w:vAlign w:val="center"/>
          </w:tcPr>
          <w:p>
            <w:pPr>
              <w:numPr>
                <w:ilvl w:val="0"/>
                <w:numId w:val="0"/>
              </w:num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20</w:t>
            </w:r>
          </w:p>
        </w:tc>
        <w:tc>
          <w:tcPr>
            <w:tcW w:w="1876" w:type="dxa"/>
            <w:noWrap w:val="0"/>
            <w:vAlign w:val="center"/>
          </w:tcPr>
          <w:p>
            <w:pPr>
              <w:numPr>
                <w:ilvl w:val="0"/>
                <w:numId w:val="0"/>
              </w:numPr>
              <w:spacing w:line="360" w:lineRule="auto"/>
              <w:rPr>
                <w:rFonts w:ascii="宋体" w:hAnsi="宋体" w:cs="宋体"/>
                <w:sz w:val="24"/>
                <w:szCs w:val="24"/>
              </w:rPr>
            </w:pPr>
            <w:r>
              <w:rPr>
                <w:rFonts w:hint="eastAsia" w:ascii="宋体" w:hAnsi="宋体" w:cs="宋体"/>
                <w:sz w:val="24"/>
                <w:szCs w:val="24"/>
                <w:lang w:val="en-US" w:eastAsia="zh-CN"/>
              </w:rPr>
              <w:t>不见面开标说明</w:t>
            </w:r>
          </w:p>
        </w:tc>
        <w:tc>
          <w:tcPr>
            <w:tcW w:w="6954" w:type="dxa"/>
            <w:noWrap w:val="0"/>
            <w:vAlign w:val="center"/>
          </w:tcPr>
          <w:p>
            <w:pPr>
              <w:numPr>
                <w:ilvl w:val="0"/>
                <w:numId w:val="0"/>
              </w:numPr>
              <w:spacing w:line="360" w:lineRule="auto"/>
              <w:rPr>
                <w:rFonts w:hint="eastAsia" w:ascii="思源宋体 CN Light" w:hAnsi="思源宋体 CN Light" w:eastAsia="思源宋体 CN Light" w:cs="思源宋体 CN Light"/>
                <w:sz w:val="24"/>
                <w:szCs w:val="24"/>
              </w:rPr>
            </w:pPr>
            <w:r>
              <w:rPr>
                <w:rFonts w:hint="eastAsia" w:ascii="宋体" w:hAnsi="宋体" w:cs="宋体"/>
                <w:sz w:val="24"/>
                <w:szCs w:val="24"/>
              </w:rPr>
              <w:t>该项目将采取“不见面”开标的形式，投标人无须到达开标现场，即可在网上直接参与开标活动。相关注意事项如下：</w:t>
            </w:r>
          </w:p>
          <w:p>
            <w:pPr>
              <w:numPr>
                <w:ilvl w:val="0"/>
                <w:numId w:val="3"/>
              </w:numPr>
              <w:spacing w:line="360" w:lineRule="auto"/>
              <w:rPr>
                <w:rFonts w:hint="eastAsia"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开标当日，请各供应商在开标截止时间前至少提前半小时登录“不见面”开标系统登录方式有以下几种：</w:t>
            </w:r>
          </w:p>
          <w:p>
            <w:pPr>
              <w:numPr>
                <w:ilvl w:val="0"/>
                <w:numId w:val="4"/>
              </w:numPr>
              <w:spacing w:line="360" w:lineRule="auto"/>
              <w:rPr>
                <w:rFonts w:hint="eastAsia"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IE浏览器输入网址：</w:t>
            </w:r>
          </w:p>
          <w:p>
            <w:pPr>
              <w:spacing w:line="360" w:lineRule="auto"/>
              <w:rPr>
                <w:rFonts w:hint="eastAsia"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fldChar w:fldCharType="begin"/>
            </w:r>
            <w:r>
              <w:rPr>
                <w:rFonts w:hint="eastAsia" w:ascii="思源宋体 CN Light" w:hAnsi="思源宋体 CN Light" w:eastAsia="思源宋体 CN Light" w:cs="思源宋体 CN Light"/>
                <w:sz w:val="24"/>
                <w:szCs w:val="24"/>
              </w:rPr>
              <w:instrText xml:space="preserve"> HYPERLINK "http://219.145.120.168:8082/BidOpeningHall/bidhall/default/login），" </w:instrText>
            </w:r>
            <w:r>
              <w:rPr>
                <w:rFonts w:hint="eastAsia" w:ascii="思源宋体 CN Light" w:hAnsi="思源宋体 CN Light" w:eastAsia="思源宋体 CN Light" w:cs="思源宋体 CN Light"/>
                <w:sz w:val="24"/>
                <w:szCs w:val="24"/>
              </w:rPr>
              <w:fldChar w:fldCharType="separate"/>
            </w:r>
            <w:r>
              <w:rPr>
                <w:rStyle w:val="20"/>
                <w:rFonts w:hint="default" w:ascii="思源宋体 CN Light" w:hAnsi="思源宋体 CN Light" w:eastAsia="思源宋体 CN Light" w:cs="思源宋体 CN Light"/>
                <w:color w:val="auto"/>
                <w:sz w:val="24"/>
                <w:szCs w:val="24"/>
              </w:rPr>
              <w:t>http://111.20.184.126:8081/BidOpeningHallCS/bidhall/default/login；</w:t>
            </w:r>
            <w:r>
              <w:rPr>
                <w:rFonts w:hint="eastAsia" w:ascii="思源宋体 CN Light" w:hAnsi="思源宋体 CN Light" w:eastAsia="思源宋体 CN Light" w:cs="思源宋体 CN Light"/>
                <w:sz w:val="24"/>
                <w:szCs w:val="24"/>
              </w:rPr>
              <w:fldChar w:fldCharType="end"/>
            </w:r>
          </w:p>
          <w:p>
            <w:pPr>
              <w:numPr>
                <w:ilvl w:val="0"/>
                <w:numId w:val="4"/>
              </w:numPr>
              <w:spacing w:line="360" w:lineRule="auto"/>
              <w:rPr>
                <w:rFonts w:hint="eastAsia"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在【全国公共资源交易平台（陕西省·榆林市）】网站首页点击不见面开标模块进</w:t>
            </w:r>
            <w:bookmarkStart w:id="404" w:name="_GoBack"/>
            <w:bookmarkEnd w:id="404"/>
            <w:r>
              <w:rPr>
                <w:rFonts w:hint="eastAsia" w:ascii="思源宋体 CN Light" w:hAnsi="思源宋体 CN Light" w:eastAsia="思源宋体 CN Light" w:cs="思源宋体 CN Light"/>
                <w:sz w:val="24"/>
                <w:szCs w:val="24"/>
              </w:rPr>
              <w:t>入；</w:t>
            </w:r>
          </w:p>
          <w:p>
            <w:pPr>
              <w:numPr>
                <w:ilvl w:val="0"/>
                <w:numId w:val="4"/>
              </w:numPr>
              <w:spacing w:line="360" w:lineRule="auto"/>
              <w:rPr>
                <w:rFonts w:hint="eastAsia"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在【全国公共资源交易平台（陕西省）】网站首页点击不见面开标模块选择榆林市进入。</w:t>
            </w:r>
          </w:p>
          <w:p>
            <w:pPr>
              <w:spacing w:line="360" w:lineRule="auto"/>
              <w:rPr>
                <w:rFonts w:ascii="思源宋体 CN Light" w:hAnsi="思源宋体 CN Light" w:eastAsia="思源宋体 CN Light" w:cs="思源宋体 CN Light"/>
                <w:b/>
                <w:bCs/>
                <w:sz w:val="24"/>
                <w:szCs w:val="24"/>
              </w:rPr>
            </w:pPr>
            <w:r>
              <w:rPr>
                <w:rFonts w:hint="eastAsia" w:ascii="思源宋体 CN Light" w:hAnsi="思源宋体 CN Light" w:eastAsia="思源宋体 CN Light" w:cs="思源宋体 CN Light"/>
                <w:b/>
                <w:bCs/>
                <w:sz w:val="24"/>
                <w:szCs w:val="24"/>
              </w:rPr>
              <w:t>注：登录不见面开标系统请选择IE11浏览器</w:t>
            </w:r>
          </w:p>
          <w:p>
            <w:pPr>
              <w:spacing w:line="360" w:lineRule="auto"/>
              <w:rPr>
                <w:rFonts w:hint="eastAsia"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2、供应商应按要求及时签到</w:t>
            </w:r>
            <w:r>
              <w:rPr>
                <w:rFonts w:hint="eastAsia" w:ascii="思源宋体 CN Light" w:hAnsi="思源宋体 CN Light" w:eastAsia="思源宋体 CN Light" w:cs="思源宋体 CN Light"/>
                <w:b/>
                <w:bCs/>
                <w:sz w:val="24"/>
                <w:szCs w:val="24"/>
              </w:rPr>
              <w:t>（签到时间为投标截止时间前1小时内，如果未签到将视为放弃投标资格）</w:t>
            </w:r>
            <w:r>
              <w:rPr>
                <w:rFonts w:hint="eastAsia" w:ascii="思源宋体 CN Light" w:hAnsi="思源宋体 CN Light" w:eastAsia="思源宋体 CN Light" w:cs="思源宋体 CN Light"/>
                <w:sz w:val="24"/>
                <w:szCs w:val="24"/>
              </w:rPr>
              <w:t>，评审过程中，评标委员会可能会就某些问题要求供应商进行在线澄清，请供应商保持在线直到评审结束；</w:t>
            </w:r>
          </w:p>
          <w:p>
            <w:pPr>
              <w:spacing w:line="360" w:lineRule="auto"/>
              <w:rPr>
                <w:rFonts w:hint="eastAsia" w:ascii="思源宋体 CN Light" w:hAnsi="思源宋体 CN Light" w:eastAsia="思源宋体 CN Light" w:cs="思源宋体 CN Light"/>
                <w:b/>
                <w:bCs/>
                <w:sz w:val="24"/>
                <w:szCs w:val="24"/>
              </w:rPr>
            </w:pPr>
            <w:r>
              <w:rPr>
                <w:rFonts w:hint="eastAsia" w:ascii="思源宋体 CN Light" w:hAnsi="思源宋体 CN Light" w:eastAsia="思源宋体 CN Light" w:cs="思源宋体 CN Light"/>
                <w:sz w:val="24"/>
                <w:szCs w:val="24"/>
              </w:rPr>
              <w:t>3、谈判供应商在开标时无需提交纸质谈判响应文件，待开标结束后，成交单位需邮寄补交一正两幅</w:t>
            </w:r>
            <w:r>
              <w:rPr>
                <w:rFonts w:hint="eastAsia" w:ascii="思源宋体 CN Light" w:hAnsi="思源宋体 CN Light" w:eastAsia="思源宋体 CN Light" w:cs="思源宋体 CN Light"/>
                <w:sz w:val="24"/>
                <w:szCs w:val="24"/>
                <w:lang w:eastAsia="zh-CN"/>
              </w:rPr>
              <w:t>，</w:t>
            </w:r>
            <w:r>
              <w:rPr>
                <w:rFonts w:hint="eastAsia" w:ascii="思源宋体 CN Light" w:hAnsi="思源宋体 CN Light" w:eastAsia="思源宋体 CN Light" w:cs="思源宋体 CN Light"/>
                <w:sz w:val="24"/>
                <w:szCs w:val="24"/>
              </w:rPr>
              <w:t>纸质谈判响应文件</w:t>
            </w:r>
            <w:r>
              <w:rPr>
                <w:rFonts w:hint="eastAsia" w:ascii="思源宋体 CN Light" w:hAnsi="思源宋体 CN Light" w:eastAsia="思源宋体 CN Light" w:cs="思源宋体 CN Light"/>
                <w:sz w:val="24"/>
                <w:szCs w:val="24"/>
                <w:lang w:eastAsia="zh-CN"/>
              </w:rPr>
              <w:t>，</w:t>
            </w:r>
            <w:r>
              <w:rPr>
                <w:rFonts w:hint="eastAsia" w:ascii="思源宋体 CN Light" w:hAnsi="思源宋体 CN Light" w:eastAsia="思源宋体 CN Light" w:cs="思源宋体 CN Light"/>
                <w:sz w:val="24"/>
                <w:szCs w:val="24"/>
                <w:lang w:val="en-US" w:eastAsia="zh-CN"/>
              </w:rPr>
              <w:t>电子U盘两份</w:t>
            </w:r>
            <w:r>
              <w:rPr>
                <w:rFonts w:hint="eastAsia" w:ascii="思源宋体 CN Light" w:hAnsi="思源宋体 CN Light" w:eastAsia="思源宋体 CN Light" w:cs="思源宋体 CN Light"/>
                <w:sz w:val="24"/>
                <w:szCs w:val="24"/>
              </w:rPr>
              <w:t>及谈判文件要求需要单独邮寄的资料</w:t>
            </w:r>
            <w:r>
              <w:rPr>
                <w:rFonts w:hint="eastAsia" w:ascii="思源宋体 CN Light" w:hAnsi="思源宋体 CN Light" w:eastAsia="思源宋体 CN Light" w:cs="思源宋体 CN Light"/>
                <w:b/>
                <w:bCs/>
                <w:sz w:val="24"/>
                <w:szCs w:val="24"/>
              </w:rPr>
              <w:t>（公示结果公告及备案用）。</w:t>
            </w:r>
          </w:p>
          <w:p>
            <w:pPr>
              <w:spacing w:line="360" w:lineRule="auto"/>
              <w:rPr>
                <w:rFonts w:hint="eastAsia" w:ascii="思源宋体 CN Light" w:hAnsi="思源宋体 CN Light" w:eastAsia="思源宋体 CN Light" w:cs="思源宋体 CN Light"/>
                <w:b/>
                <w:bCs/>
                <w:sz w:val="24"/>
                <w:szCs w:val="24"/>
              </w:rPr>
            </w:pPr>
            <w:r>
              <w:rPr>
                <w:rFonts w:hint="eastAsia" w:ascii="思源宋体 CN Light" w:hAnsi="思源宋体 CN Light" w:eastAsia="思源宋体 CN Light" w:cs="思源宋体 CN Light"/>
                <w:sz w:val="24"/>
                <w:szCs w:val="24"/>
              </w:rPr>
              <w:t>4、谈判过程中，供应商在收到工作人员“开始解密”指令后，请及时使用CA对电子谈判响应文件进行解密。解密时所用CA应与加密谈判响应文件时所用CA相同；</w:t>
            </w:r>
            <w:r>
              <w:rPr>
                <w:rFonts w:hint="eastAsia" w:ascii="思源宋体 CN Light" w:hAnsi="思源宋体 CN Light" w:eastAsia="思源宋体 CN Light" w:cs="思源宋体 CN Light"/>
                <w:b/>
                <w:bCs/>
                <w:sz w:val="24"/>
                <w:szCs w:val="24"/>
              </w:rPr>
              <w:t>注：解密时间为30分钟，在解密时间内供应商全部解密完成后，可提前进入开标下一阶段。</w:t>
            </w:r>
          </w:p>
          <w:p>
            <w:pPr>
              <w:spacing w:line="360" w:lineRule="auto"/>
              <w:rPr>
                <w:rFonts w:hint="eastAsia"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5、相关技术问题，请咨询软件开发商：</w:t>
            </w:r>
          </w:p>
          <w:p>
            <w:pPr>
              <w:spacing w:line="360" w:lineRule="auto"/>
              <w:rPr>
                <w:rFonts w:hint="eastAsia"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（1）技术支持热线：400-998-0000/400-928-0095</w:t>
            </w:r>
          </w:p>
          <w:p>
            <w:pPr>
              <w:spacing w:line="360" w:lineRule="auto"/>
              <w:rPr>
                <w:rFonts w:hint="eastAsia" w:ascii="宋体" w:hAnsi="宋体" w:eastAsia="宋体" w:cs="宋体"/>
                <w:kern w:val="2"/>
                <w:sz w:val="24"/>
                <w:szCs w:val="24"/>
                <w:lang w:val="en-US" w:eastAsia="zh-CN" w:bidi="ar-SA"/>
              </w:rPr>
            </w:pPr>
            <w:r>
              <w:rPr>
                <w:rFonts w:hint="eastAsia" w:ascii="思源宋体 CN Light" w:hAnsi="思源宋体 CN Light" w:eastAsia="思源宋体 CN Light" w:cs="思源宋体 CN Light"/>
                <w:sz w:val="24"/>
                <w:szCs w:val="24"/>
              </w:rPr>
              <w:t>6、榆林不见面开标系统操作手册下载方式：登录【全国公共资源交易平台（陕西省·榆林市）】网站首页选择【服务指南】-【下载专区】-点击【</w:t>
            </w:r>
            <w:r>
              <w:rPr>
                <w:rFonts w:hint="eastAsia" w:ascii="思源宋体 CN Light" w:hAnsi="思源宋体 CN Light" w:eastAsia="思源宋体 CN Light" w:cs="思源宋体 CN Light"/>
                <w:sz w:val="24"/>
                <w:szCs w:val="24"/>
              </w:rPr>
              <w:fldChar w:fldCharType="begin"/>
            </w:r>
            <w:r>
              <w:rPr>
                <w:rFonts w:hint="eastAsia" w:ascii="思源宋体 CN Light" w:hAnsi="思源宋体 CN Light" w:eastAsia="思源宋体 CN Light" w:cs="思源宋体 CN Light"/>
                <w:sz w:val="24"/>
                <w:szCs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思源宋体 CN Light" w:hAnsi="思源宋体 CN Light" w:eastAsia="思源宋体 CN Light" w:cs="思源宋体 CN Light"/>
                <w:sz w:val="24"/>
                <w:szCs w:val="24"/>
              </w:rPr>
              <w:fldChar w:fldCharType="separate"/>
            </w:r>
            <w:r>
              <w:rPr>
                <w:rFonts w:hint="eastAsia" w:ascii="思源宋体 CN Light" w:hAnsi="思源宋体 CN Light" w:eastAsia="思源宋体 CN Light" w:cs="思源宋体 CN Light"/>
                <w:sz w:val="24"/>
                <w:szCs w:val="24"/>
              </w:rPr>
              <w:t>榆林不见面开标系统操作手册（投标人）</w:t>
            </w:r>
            <w:r>
              <w:rPr>
                <w:rFonts w:hint="eastAsia" w:ascii="思源宋体 CN Light" w:hAnsi="思源宋体 CN Light" w:eastAsia="思源宋体 CN Light" w:cs="思源宋体 CN Light"/>
                <w:sz w:val="24"/>
                <w:szCs w:val="24"/>
              </w:rPr>
              <w:fldChar w:fldCharType="end"/>
            </w:r>
            <w:r>
              <w:rPr>
                <w:rFonts w:hint="eastAsia" w:ascii="思源宋体 CN Light" w:hAnsi="思源宋体 CN Light" w:eastAsia="思源宋体 CN Light" w:cs="思源宋体 CN Light"/>
                <w:sz w:val="24"/>
                <w:szCs w:val="24"/>
              </w:rPr>
              <w:t>】进行下载。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noWrap w:val="0"/>
            <w:vAlign w:val="center"/>
          </w:tcPr>
          <w:p>
            <w:pPr>
              <w:numPr>
                <w:ilvl w:val="0"/>
                <w:numId w:val="0"/>
              </w:num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21</w:t>
            </w:r>
          </w:p>
        </w:tc>
        <w:tc>
          <w:tcPr>
            <w:tcW w:w="1876" w:type="dxa"/>
            <w:noWrap w:val="0"/>
            <w:vAlign w:val="center"/>
          </w:tcPr>
          <w:p>
            <w:pPr>
              <w:widowControl/>
              <w:ind w:right="-150"/>
              <w:rPr>
                <w:rFonts w:hint="eastAsia"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竞争性谈判响应文件递交方式</w:t>
            </w:r>
          </w:p>
          <w:p>
            <w:pPr>
              <w:spacing w:line="360" w:lineRule="auto"/>
              <w:ind w:firstLine="480" w:firstLineChars="200"/>
              <w:rPr>
                <w:rFonts w:hint="eastAsia" w:ascii="思源宋体 CN Light" w:hAnsi="思源宋体 CN Light" w:eastAsia="思源宋体 CN Light" w:cs="思源宋体 CN Light"/>
                <w:sz w:val="24"/>
                <w:szCs w:val="24"/>
              </w:rPr>
            </w:pPr>
          </w:p>
        </w:tc>
        <w:tc>
          <w:tcPr>
            <w:tcW w:w="6954" w:type="dxa"/>
            <w:noWrap w:val="0"/>
            <w:vAlign w:val="center"/>
          </w:tcPr>
          <w:p>
            <w:pPr>
              <w:widowControl/>
              <w:spacing w:line="360" w:lineRule="auto"/>
              <w:ind w:right="-150"/>
              <w:rPr>
                <w:rFonts w:hint="eastAsia"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1、供应商应于提交竞争性谈判响应文件截止时间前任意时段登录交易平台〖首页〉电子交易平台〉企业端〗在线提交电子谈判响应文件，逾期提交系统间拒绝接收。</w:t>
            </w:r>
          </w:p>
          <w:p>
            <w:pPr>
              <w:spacing w:line="360" w:lineRule="auto"/>
              <w:rPr>
                <w:rFonts w:hint="eastAsia" w:ascii="思源宋体 CN Light" w:hAnsi="思源宋体 CN Light" w:eastAsia="思源宋体 CN Light" w:cs="思源宋体 CN Light"/>
                <w:kern w:val="2"/>
                <w:sz w:val="24"/>
                <w:szCs w:val="24"/>
                <w:lang w:val="en-US" w:eastAsia="zh-CN" w:bidi="ar-SA"/>
              </w:rPr>
            </w:pPr>
            <w:r>
              <w:rPr>
                <w:rFonts w:hint="eastAsia" w:ascii="思源宋体 CN Light" w:hAnsi="思源宋体 CN Light" w:eastAsia="思源宋体 CN Light" w:cs="思源宋体 CN Light"/>
                <w:sz w:val="24"/>
                <w:szCs w:val="24"/>
              </w:rPr>
              <w:t>2、本项目采用“不见面”开标形式，供应商可登录榆林交易平台〖首页〉不见面开标〗在线参与开评标过程，详见谈判文件以及交易平台〖首页〉服务指南〉下载专区〗中的《榆林市不见面开标大厅操作手册（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9" w:type="dxa"/>
            <w:noWrap w:val="0"/>
            <w:vAlign w:val="center"/>
          </w:tcPr>
          <w:p>
            <w:pPr>
              <w:numPr>
                <w:ilvl w:val="0"/>
                <w:numId w:val="0"/>
              </w:num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22</w:t>
            </w:r>
          </w:p>
        </w:tc>
        <w:tc>
          <w:tcPr>
            <w:tcW w:w="1876" w:type="dxa"/>
            <w:noWrap w:val="0"/>
            <w:vAlign w:val="center"/>
          </w:tcPr>
          <w:p>
            <w:pPr>
              <w:spacing w:line="360" w:lineRule="auto"/>
              <w:rPr>
                <w:rFonts w:ascii="宋体" w:hAnsi="宋体" w:cs="宋体"/>
                <w:sz w:val="24"/>
                <w:szCs w:val="24"/>
              </w:rPr>
            </w:pPr>
            <w:r>
              <w:rPr>
                <w:rFonts w:hint="eastAsia" w:ascii="宋体" w:hAnsi="宋体" w:cs="宋体"/>
                <w:sz w:val="24"/>
                <w:szCs w:val="24"/>
                <w:lang w:val="en-US" w:eastAsia="zh-CN"/>
              </w:rPr>
              <w:t>供应商资格要求</w:t>
            </w:r>
          </w:p>
        </w:tc>
        <w:tc>
          <w:tcPr>
            <w:tcW w:w="6954" w:type="dxa"/>
            <w:noWrap w:val="0"/>
            <w:vAlign w:val="center"/>
          </w:tcPr>
          <w:p>
            <w:pPr>
              <w:spacing w:line="360" w:lineRule="auto"/>
              <w:rPr>
                <w:rFonts w:hint="eastAsia" w:ascii="宋体" w:hAnsi="宋体" w:cs="宋体"/>
                <w:sz w:val="24"/>
                <w:szCs w:val="24"/>
              </w:rPr>
            </w:pPr>
            <w:r>
              <w:rPr>
                <w:rFonts w:hint="eastAsia" w:ascii="宋体" w:hAnsi="宋体" w:cs="宋体"/>
                <w:b/>
                <w:bCs/>
                <w:sz w:val="24"/>
                <w:szCs w:val="24"/>
              </w:rPr>
              <w:t>谈判响应文件中需提交以下资质及谈判文件要求的其他证明材料：</w:t>
            </w:r>
          </w:p>
          <w:p>
            <w:pPr>
              <w:adjustRightInd w:val="0"/>
              <w:snapToGrid w:val="0"/>
              <w:spacing w:line="360" w:lineRule="auto"/>
              <w:rPr>
                <w:rFonts w:hint="eastAsia" w:ascii="宋体" w:hAnsi="宋体" w:cs="宋体"/>
                <w:color w:val="000000"/>
                <w:sz w:val="24"/>
              </w:rPr>
            </w:pPr>
            <w:r>
              <w:rPr>
                <w:rFonts w:hint="eastAsia" w:ascii="宋体" w:hAnsi="宋体" w:cs="宋体"/>
                <w:color w:val="000000"/>
                <w:sz w:val="24"/>
              </w:rPr>
              <w:t>（一）基本资格条件：符合《中华人民共和国政府采购法》第二十二条的规定。</w:t>
            </w:r>
          </w:p>
          <w:p>
            <w:pPr>
              <w:adjustRightInd w:val="0"/>
              <w:snapToGrid w:val="0"/>
              <w:spacing w:line="360" w:lineRule="auto"/>
              <w:rPr>
                <w:rFonts w:hint="eastAsia" w:ascii="宋体" w:hAnsi="宋体" w:cs="宋体"/>
                <w:color w:val="000000"/>
                <w:sz w:val="24"/>
              </w:rPr>
            </w:pPr>
            <w:r>
              <w:rPr>
                <w:rFonts w:hint="eastAsia" w:ascii="宋体" w:hAnsi="宋体" w:cs="宋体"/>
                <w:color w:val="000000"/>
                <w:sz w:val="24"/>
              </w:rPr>
              <w:t>（二）特定资格条件：</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具有独立承担民事责任能力的法人、其他组织或自然人，并出具合法有效的营业执照副本；事业法人应提供事业单位法人证书；</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2.财务状况报告：提供</w:t>
            </w:r>
            <w:r>
              <w:rPr>
                <w:rFonts w:hint="eastAsia" w:ascii="宋体" w:hAnsi="宋体" w:eastAsia="宋体" w:cs="宋体"/>
                <w:sz w:val="24"/>
                <w:szCs w:val="24"/>
                <w:lang w:val="en-US" w:eastAsia="zh-CN"/>
              </w:rPr>
              <w:t>2021年或者</w:t>
            </w:r>
            <w:r>
              <w:rPr>
                <w:rFonts w:hint="eastAsia" w:ascii="宋体" w:hAnsi="宋体" w:eastAsia="宋体" w:cs="宋体"/>
                <w:sz w:val="24"/>
                <w:szCs w:val="24"/>
              </w:rPr>
              <w:t>202</w:t>
            </w:r>
            <w:r>
              <w:rPr>
                <w:rFonts w:hint="eastAsia" w:ascii="宋体" w:hAnsi="宋体" w:eastAsia="宋体" w:cs="宋体"/>
                <w:sz w:val="24"/>
                <w:szCs w:val="24"/>
                <w:lang w:val="en-US" w:eastAsia="zh-CN"/>
              </w:rPr>
              <w:t>2</w:t>
            </w:r>
            <w:r>
              <w:rPr>
                <w:rFonts w:hint="eastAsia" w:ascii="宋体" w:hAnsi="宋体" w:eastAsia="宋体" w:cs="宋体"/>
                <w:sz w:val="24"/>
                <w:szCs w:val="24"/>
              </w:rPr>
              <w:t>年财务审计报告（至少包含资产负债表），成立时间至提交投标文件截止时间不足一年的提供其基本账户开户银行出具的资信证明及基本账户开户许可证或开户行基本信息；</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3.社会保障资金缴纳证明：提供2022年度至今已缴存的至少一个月的社会保障资金缴存单据或社保机构开具的社会保险参保缴费情况证明，依法不需要缴纳社会保障资金的单位应提供相关证明材料；</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4.税收缴纳证明：提供2022年度至今已缴纳的至少一个月的纳税证明或完税证明，依法免税的单位应提供相关证明材料；</w:t>
            </w:r>
          </w:p>
          <w:p>
            <w:pPr>
              <w:spacing w:line="360" w:lineRule="auto"/>
              <w:ind w:firstLine="480" w:firstLineChars="200"/>
              <w:outlineLvl w:val="9"/>
              <w:rPr>
                <w:rFonts w:hint="eastAsia" w:ascii="宋体" w:hAnsi="宋体" w:cs="宋体"/>
                <w:sz w:val="24"/>
                <w:szCs w:val="24"/>
                <w:lang w:eastAsia="zh-CN"/>
              </w:rPr>
            </w:pPr>
            <w:r>
              <w:rPr>
                <w:rFonts w:hint="eastAsia" w:ascii="宋体" w:hAnsi="宋体" w:eastAsia="宋体" w:cs="宋体"/>
                <w:sz w:val="24"/>
                <w:szCs w:val="24"/>
              </w:rPr>
              <w:t>5、供应商须具备工程咨询单位公路专业</w:t>
            </w:r>
            <w:r>
              <w:rPr>
                <w:rFonts w:hint="eastAsia" w:ascii="宋体" w:hAnsi="宋体" w:eastAsia="宋体" w:cs="宋体"/>
                <w:sz w:val="24"/>
                <w:szCs w:val="24"/>
                <w:lang w:val="en-US" w:eastAsia="zh-CN"/>
              </w:rPr>
              <w:t>乙级及以上</w:t>
            </w:r>
            <w:r>
              <w:rPr>
                <w:rFonts w:hint="eastAsia" w:ascii="宋体" w:hAnsi="宋体" w:eastAsia="宋体" w:cs="宋体"/>
                <w:sz w:val="24"/>
                <w:szCs w:val="24"/>
              </w:rPr>
              <w:t>资信证书；并在人员、设备、资金等方面具备相应的能力</w:t>
            </w:r>
            <w:r>
              <w:rPr>
                <w:rFonts w:hint="eastAsia" w:ascii="宋体" w:hAnsi="宋体" w:cs="宋体"/>
                <w:sz w:val="24"/>
                <w:szCs w:val="24"/>
                <w:lang w:eastAsia="zh-CN"/>
              </w:rPr>
              <w:t>；</w:t>
            </w:r>
          </w:p>
          <w:p>
            <w:pPr>
              <w:spacing w:line="360" w:lineRule="auto"/>
              <w:ind w:firstLine="480" w:firstLineChars="200"/>
              <w:outlineLvl w:val="9"/>
              <w:rPr>
                <w:rFonts w:hint="eastAsia" w:ascii="宋体" w:hAnsi="宋体" w:eastAsia="宋体" w:cs="宋体"/>
                <w:sz w:val="24"/>
                <w:szCs w:val="24"/>
              </w:rPr>
            </w:pPr>
            <w:r>
              <w:rPr>
                <w:rFonts w:hint="eastAsia" w:ascii="宋体" w:hAnsi="宋体" w:cs="宋体"/>
                <w:sz w:val="24"/>
                <w:szCs w:val="24"/>
                <w:lang w:val="en-US" w:eastAsia="zh-CN"/>
              </w:rPr>
              <w:t>6</w:t>
            </w:r>
            <w:r>
              <w:rPr>
                <w:rFonts w:hint="eastAsia" w:ascii="宋体" w:hAnsi="宋体" w:cs="宋体"/>
                <w:sz w:val="24"/>
                <w:szCs w:val="24"/>
                <w:lang w:eastAsia="zh-CN"/>
              </w:rPr>
              <w:t>、</w:t>
            </w:r>
            <w:r>
              <w:rPr>
                <w:rFonts w:hint="eastAsia" w:ascii="宋体" w:hAnsi="宋体" w:eastAsia="宋体" w:cs="宋体"/>
                <w:sz w:val="24"/>
                <w:szCs w:val="24"/>
              </w:rPr>
              <w:t>供应商应出具参加政府采购活动前三年内在经营活动中没有重大违法记录的书面声明（格式自拟，加盖供应商公章）；</w:t>
            </w:r>
          </w:p>
          <w:p>
            <w:pPr>
              <w:spacing w:line="360" w:lineRule="auto"/>
              <w:ind w:firstLine="480" w:firstLineChars="200"/>
              <w:outlineLvl w:val="9"/>
              <w:rPr>
                <w:rFonts w:hint="eastAsia" w:ascii="宋体" w:hAnsi="宋体" w:eastAsia="宋体" w:cs="宋体"/>
                <w:sz w:val="24"/>
                <w:szCs w:val="24"/>
              </w:rPr>
            </w:pPr>
            <w:r>
              <w:rPr>
                <w:rFonts w:hint="eastAsia" w:ascii="宋体" w:hAnsi="宋体" w:cs="宋体"/>
                <w:sz w:val="24"/>
                <w:szCs w:val="24"/>
                <w:lang w:val="en-US" w:eastAsia="zh-CN"/>
              </w:rPr>
              <w:t>7</w:t>
            </w:r>
            <w:r>
              <w:rPr>
                <w:rFonts w:hint="eastAsia" w:ascii="宋体" w:hAnsi="宋体" w:eastAsia="宋体" w:cs="宋体"/>
                <w:sz w:val="24"/>
                <w:szCs w:val="24"/>
              </w:rPr>
              <w:t>、供应商不得列入信用中国（http://www.creditchina.gov.cn/）被失信执行人、税收违法失信主体名单，不得列入中国政府采购网(www.ccgp.gov.cn)政府采购严重违法失信行为记录名单（网页查询截图并加盖供应商公章）；提供榆林市政府采购服务类项目供应商信用承诺书原件（格式见谈判文件）；</w:t>
            </w:r>
          </w:p>
          <w:p>
            <w:pPr>
              <w:spacing w:line="360" w:lineRule="auto"/>
              <w:ind w:firstLine="480" w:firstLineChars="200"/>
              <w:outlineLvl w:val="9"/>
              <w:rPr>
                <w:rFonts w:hint="eastAsia" w:ascii="宋体" w:hAnsi="宋体" w:cs="宋体"/>
                <w:sz w:val="24"/>
                <w:szCs w:val="24"/>
                <w:lang w:eastAsia="zh-CN"/>
              </w:rPr>
            </w:pPr>
            <w:r>
              <w:rPr>
                <w:rFonts w:hint="eastAsia" w:ascii="宋体" w:hAnsi="宋体" w:cs="宋体"/>
                <w:sz w:val="24"/>
                <w:szCs w:val="24"/>
                <w:lang w:val="en-US" w:eastAsia="zh-CN"/>
              </w:rPr>
              <w:t>8</w:t>
            </w:r>
            <w:r>
              <w:rPr>
                <w:rFonts w:hint="eastAsia" w:ascii="宋体" w:hAnsi="宋体" w:eastAsia="宋体" w:cs="宋体"/>
                <w:sz w:val="24"/>
                <w:szCs w:val="24"/>
              </w:rPr>
              <w:t>、本项目不接受联合体投标，单位负责人为同一人或者存在直接控股、管理关系的不同投标人，不得参加同一标段投标或者未划分标段的同一采购项目谈判</w:t>
            </w:r>
            <w:r>
              <w:rPr>
                <w:rFonts w:hint="eastAsia" w:ascii="宋体" w:hAnsi="宋体" w:cs="宋体"/>
                <w:sz w:val="24"/>
                <w:szCs w:val="24"/>
                <w:lang w:eastAsia="zh-CN"/>
              </w:rPr>
              <w:t>；</w:t>
            </w:r>
          </w:p>
          <w:p>
            <w:pPr>
              <w:tabs>
                <w:tab w:val="left" w:pos="646"/>
              </w:tabs>
              <w:spacing w:line="360" w:lineRule="auto"/>
              <w:ind w:firstLine="480" w:firstLineChars="200"/>
              <w:outlineLvl w:val="9"/>
              <w:rPr>
                <w:rFonts w:hint="eastAsia" w:ascii="宋体" w:hAnsi="宋体" w:eastAsia="宋体" w:cs="宋体"/>
                <w:sz w:val="24"/>
                <w:szCs w:val="24"/>
                <w:lang w:eastAsia="zh-CN"/>
              </w:rPr>
            </w:pPr>
            <w:r>
              <w:rPr>
                <w:rFonts w:hint="eastAsia" w:ascii="宋体" w:hAnsi="宋体" w:cs="宋体"/>
                <w:sz w:val="24"/>
                <w:szCs w:val="24"/>
                <w:lang w:val="en-US" w:eastAsia="zh-CN"/>
              </w:rPr>
              <w:t>9、</w:t>
            </w:r>
            <w:r>
              <w:rPr>
                <w:rFonts w:hint="eastAsia" w:ascii="宋体" w:hAnsi="宋体" w:eastAsia="宋体" w:cs="宋体"/>
                <w:sz w:val="24"/>
                <w:szCs w:val="24"/>
              </w:rPr>
              <w:t>书面声明：提供书面声明，包括声明具有履行合同所必需的设备和专业技术能力</w:t>
            </w:r>
            <w:r>
              <w:rPr>
                <w:rFonts w:hint="eastAsia" w:ascii="宋体" w:hAnsi="宋体" w:cs="宋体"/>
                <w:sz w:val="24"/>
                <w:szCs w:val="24"/>
                <w:lang w:eastAsia="zh-CN"/>
              </w:rPr>
              <w:t>；</w:t>
            </w:r>
          </w:p>
          <w:p>
            <w:pPr>
              <w:tabs>
                <w:tab w:val="left" w:pos="646"/>
              </w:tabs>
              <w:spacing w:line="360" w:lineRule="auto"/>
              <w:ind w:firstLine="480" w:firstLineChars="200"/>
              <w:outlineLvl w:val="9"/>
              <w:rPr>
                <w:rFonts w:hint="eastAsia"/>
                <w:lang w:eastAsia="zh-CN"/>
              </w:rPr>
            </w:pPr>
            <w:r>
              <w:rPr>
                <w:rFonts w:hint="eastAsia" w:ascii="宋体" w:hAnsi="宋体" w:cs="宋体"/>
                <w:kern w:val="2"/>
                <w:sz w:val="24"/>
                <w:szCs w:val="24"/>
                <w:lang w:val="en-US" w:eastAsia="zh-CN" w:bidi="ar-SA"/>
              </w:rPr>
              <w:t>10、谈判</w:t>
            </w:r>
            <w:r>
              <w:rPr>
                <w:rFonts w:hint="eastAsia" w:ascii="宋体" w:hAnsi="宋体" w:eastAsia="宋体" w:cs="宋体"/>
                <w:kern w:val="2"/>
                <w:sz w:val="24"/>
                <w:szCs w:val="24"/>
                <w:lang w:val="en-US" w:eastAsia="zh-CN" w:bidi="ar-SA"/>
              </w:rPr>
              <w:t>保证金：信用承诺书代替</w:t>
            </w:r>
            <w:r>
              <w:rPr>
                <w:rFonts w:hint="eastAsia" w:ascii="宋体" w:hAnsi="宋体" w:cs="宋体"/>
                <w:kern w:val="2"/>
                <w:sz w:val="24"/>
                <w:szCs w:val="24"/>
                <w:lang w:val="en-US" w:eastAsia="zh-CN" w:bidi="ar-SA"/>
              </w:rPr>
              <w:t>。</w:t>
            </w:r>
          </w:p>
          <w:p>
            <w:pPr>
              <w:tabs>
                <w:tab w:val="left" w:pos="646"/>
              </w:tabs>
              <w:spacing w:line="360" w:lineRule="auto"/>
              <w:outlineLvl w:val="9"/>
              <w:rPr>
                <w:rFonts w:hint="eastAsia" w:ascii="宋体" w:hAnsi="宋体" w:eastAsia="宋体" w:cs="宋体"/>
                <w:kern w:val="2"/>
                <w:sz w:val="24"/>
                <w:szCs w:val="24"/>
                <w:lang w:val="en-US" w:eastAsia="zh-CN" w:bidi="ar-SA"/>
              </w:rPr>
            </w:pPr>
            <w:r>
              <w:rPr>
                <w:rFonts w:hint="eastAsia" w:ascii="宋体" w:hAnsi="宋体" w:cs="宋体"/>
                <w:b/>
                <w:bCs/>
                <w:color w:val="000000"/>
                <w:sz w:val="24"/>
                <w:szCs w:val="24"/>
              </w:rPr>
              <w:t>注：上述资质为必备资质，谈判响应文件中欠缺其中任何一项，按无效响应文件处理。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9" w:type="dxa"/>
            <w:noWrap w:val="0"/>
            <w:vAlign w:val="center"/>
          </w:tcPr>
          <w:p>
            <w:pPr>
              <w:numPr>
                <w:ilvl w:val="0"/>
                <w:numId w:val="0"/>
              </w:num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23</w:t>
            </w:r>
          </w:p>
        </w:tc>
        <w:tc>
          <w:tcPr>
            <w:tcW w:w="1876" w:type="dxa"/>
            <w:noWrap w:val="0"/>
            <w:vAlign w:val="center"/>
          </w:tcPr>
          <w:p>
            <w:pPr>
              <w:adjustRightInd w:val="0"/>
              <w:snapToGrid w:val="0"/>
              <w:spacing w:line="360" w:lineRule="auto"/>
              <w:rPr>
                <w:rFonts w:ascii="宋体" w:hAnsi="宋体" w:cs="宋体"/>
                <w:sz w:val="24"/>
                <w:szCs w:val="24"/>
              </w:rPr>
            </w:pPr>
            <w:r>
              <w:rPr>
                <w:rFonts w:hint="eastAsia" w:ascii="宋体" w:hAnsi="宋体" w:cs="宋体"/>
                <w:sz w:val="24"/>
                <w:szCs w:val="24"/>
                <w:lang w:val="en-US" w:eastAsia="zh-CN"/>
              </w:rPr>
              <w:t>是否</w:t>
            </w:r>
            <w:r>
              <w:rPr>
                <w:rFonts w:hint="eastAsia" w:ascii="宋体" w:hAnsi="宋体" w:cs="宋体"/>
                <w:sz w:val="24"/>
                <w:szCs w:val="24"/>
              </w:rPr>
              <w:t>专门面向中小企业采购项目</w:t>
            </w:r>
          </w:p>
        </w:tc>
        <w:tc>
          <w:tcPr>
            <w:tcW w:w="6954" w:type="dxa"/>
            <w:noWrap w:val="0"/>
            <w:vAlign w:val="center"/>
          </w:tcPr>
          <w:p>
            <w:pPr>
              <w:spacing w:line="360" w:lineRule="auto"/>
              <w:rPr>
                <w:rFonts w:ascii="宋体" w:hAnsi="宋体" w:cs="宋体"/>
                <w:sz w:val="24"/>
                <w:szCs w:val="24"/>
              </w:rPr>
            </w:pPr>
            <w:r>
              <w:rPr>
                <w:rFonts w:hint="eastAsia" w:ascii="宋体" w:hAnsi="宋体" w:cs="宋体"/>
                <w:sz w:val="24"/>
                <w:szCs w:val="24"/>
              </w:rPr>
              <w:t>支持中小企业发展：</w:t>
            </w:r>
          </w:p>
          <w:p>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专门面向中小企业采购项目</w:t>
            </w:r>
          </w:p>
          <w:p>
            <w:pPr>
              <w:adjustRightInd w:val="0"/>
              <w:snapToGrid w:val="0"/>
              <w:spacing w:line="360" w:lineRule="auto"/>
              <w:rPr>
                <w:rFonts w:hint="eastAsia"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lang w:eastAsia="zh-CN"/>
              </w:rPr>
              <w:instrText xml:space="preserve">,</w:instrText>
            </w:r>
            <w:r>
              <w:rPr>
                <w:rFonts w:hint="eastAsia" w:ascii="宋体" w:hAnsi="宋体" w:cs="宋体"/>
                <w:position w:val="2"/>
                <w:sz w:val="16"/>
                <w:szCs w:val="24"/>
                <w:lang w:eastAsia="zh-CN"/>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非专门面向中小企业采购项目（价格扣除）：</w:t>
            </w:r>
          </w:p>
          <w:p>
            <w:pPr>
              <w:adjustRightInd w:val="0"/>
              <w:snapToGrid w:val="0"/>
              <w:spacing w:line="360" w:lineRule="auto"/>
              <w:rPr>
                <w:rFonts w:hint="eastAsia" w:ascii="宋体" w:hAnsi="宋体" w:cs="宋体"/>
                <w:sz w:val="24"/>
                <w:szCs w:val="24"/>
              </w:rPr>
            </w:pPr>
            <w:r>
              <w:rPr>
                <w:rFonts w:hint="eastAsia" w:ascii="宋体" w:hAnsi="宋体" w:cs="宋体"/>
                <w:sz w:val="24"/>
                <w:szCs w:val="24"/>
              </w:rPr>
              <w:sym w:font="Wingdings" w:char="F081"/>
            </w:r>
            <w:r>
              <w:rPr>
                <w:rFonts w:hint="eastAsia" w:ascii="宋体" w:hAnsi="宋体" w:cs="宋体"/>
                <w:sz w:val="24"/>
                <w:szCs w:val="24"/>
              </w:rPr>
              <w:t>对小型和微型企业产品的价格给与10%~20%的扣除，用扣除后的价格参与评审。本项目的扣除比例为：小型企业扣除20%，微型企业扣除20%。</w:t>
            </w:r>
          </w:p>
          <w:p>
            <w:pPr>
              <w:adjustRightInd w:val="0"/>
              <w:snapToGrid w:val="0"/>
              <w:spacing w:line="360" w:lineRule="auto"/>
              <w:rPr>
                <w:rFonts w:hint="eastAsia" w:ascii="宋体" w:hAnsi="宋体" w:cs="宋体"/>
                <w:sz w:val="24"/>
                <w:szCs w:val="24"/>
              </w:rPr>
            </w:pPr>
            <w:r>
              <w:rPr>
                <w:rFonts w:hint="eastAsia" w:ascii="宋体" w:hAnsi="宋体" w:cs="宋体"/>
                <w:sz w:val="24"/>
                <w:szCs w:val="24"/>
              </w:rPr>
              <w:sym w:font="Wingdings" w:char="F082"/>
            </w:r>
            <w:r>
              <w:rPr>
                <w:rFonts w:hint="eastAsia" w:ascii="宋体" w:hAnsi="宋体" w:cs="宋体"/>
                <w:sz w:val="24"/>
                <w:szCs w:val="24"/>
              </w:rPr>
              <w:t>本项目接收联合体投标的，若小型和微型企业的协议合同金额占到联合体协议合同金额30%以上的，可给予联合体 2% ~3%的扣除，用扣除后的价格参与评审。本项目的扣除比例为：6%。</w:t>
            </w:r>
          </w:p>
          <w:p>
            <w:pPr>
              <w:adjustRightInd w:val="0"/>
              <w:snapToGrid w:val="0"/>
              <w:spacing w:line="360" w:lineRule="auto"/>
              <w:rPr>
                <w:rFonts w:hint="eastAsia"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lang w:eastAsia="zh-CN"/>
              </w:rPr>
              <w:instrText xml:space="preserve">,</w:instrText>
            </w:r>
            <w:r>
              <w:rPr>
                <w:rFonts w:hint="eastAsia" w:ascii="宋体" w:hAnsi="宋体" w:cs="宋体"/>
                <w:position w:val="2"/>
                <w:sz w:val="16"/>
                <w:szCs w:val="24"/>
                <w:lang w:eastAsia="zh-CN"/>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非专门面向中小企业采购项目</w:t>
            </w:r>
          </w:p>
          <w:p>
            <w:pPr>
              <w:adjustRightInd w:val="0"/>
              <w:snapToGrid w:val="0"/>
              <w:spacing w:line="360" w:lineRule="auto"/>
              <w:rPr>
                <w:rFonts w:hint="eastAsia" w:ascii="宋体" w:hAnsi="宋体" w:eastAsia="宋体" w:cs="宋体"/>
                <w:kern w:val="2"/>
                <w:sz w:val="24"/>
                <w:szCs w:val="24"/>
                <w:lang w:val="en-US" w:eastAsia="zh-CN" w:bidi="ar-SA"/>
              </w:rPr>
            </w:pPr>
            <w:r>
              <w:rPr>
                <w:rFonts w:hint="eastAsia" w:ascii="宋体" w:hAnsi="宋体" w:cs="宋体"/>
                <w:sz w:val="24"/>
                <w:szCs w:val="24"/>
              </w:rPr>
              <w:sym w:font="Wingdings" w:char="F081"/>
            </w:r>
            <w:r>
              <w:rPr>
                <w:rFonts w:hint="eastAsia" w:ascii="宋体" w:hAnsi="宋体" w:cs="宋体"/>
                <w:sz w:val="24"/>
                <w:szCs w:val="24"/>
              </w:rPr>
              <w:t>供应商提供的货物既有中小企业制造货物，也有大型企业制造货物的，不享受《政府采购促进中小企业发展管理办法》规定的中小企业扶持政策。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noWrap w:val="0"/>
            <w:vAlign w:val="center"/>
          </w:tcPr>
          <w:p>
            <w:pPr>
              <w:numPr>
                <w:ilvl w:val="0"/>
                <w:numId w:val="0"/>
              </w:num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24</w:t>
            </w:r>
          </w:p>
        </w:tc>
        <w:tc>
          <w:tcPr>
            <w:tcW w:w="1876" w:type="dxa"/>
            <w:noWrap w:val="0"/>
            <w:vAlign w:val="center"/>
          </w:tcPr>
          <w:p>
            <w:pPr>
              <w:adjustRightInd w:val="0"/>
              <w:snapToGrid w:val="0"/>
              <w:spacing w:line="360" w:lineRule="auto"/>
              <w:rPr>
                <w:rFonts w:ascii="宋体" w:hAnsi="宋体" w:cs="宋体"/>
                <w:sz w:val="24"/>
                <w:szCs w:val="24"/>
              </w:rPr>
            </w:pPr>
            <w:r>
              <w:rPr>
                <w:rFonts w:hint="eastAsia" w:ascii="宋体" w:hAnsi="宋体" w:cs="宋体"/>
                <w:sz w:val="24"/>
                <w:szCs w:val="24"/>
                <w:lang w:val="en-US" w:eastAsia="zh-CN"/>
              </w:rPr>
              <w:t>是否</w:t>
            </w:r>
            <w:r>
              <w:rPr>
                <w:rFonts w:hint="eastAsia" w:ascii="宋体" w:hAnsi="宋体" w:cs="宋体"/>
                <w:sz w:val="24"/>
                <w:szCs w:val="24"/>
              </w:rPr>
              <w:t>专门面向监狱企业采购项目</w:t>
            </w:r>
          </w:p>
        </w:tc>
        <w:tc>
          <w:tcPr>
            <w:tcW w:w="6954" w:type="dxa"/>
            <w:noWrap w:val="0"/>
            <w:vAlign w:val="center"/>
          </w:tcPr>
          <w:p>
            <w:pPr>
              <w:spacing w:line="360" w:lineRule="auto"/>
              <w:rPr>
                <w:rFonts w:ascii="宋体" w:hAnsi="宋体" w:cs="宋体"/>
                <w:sz w:val="24"/>
                <w:szCs w:val="24"/>
              </w:rPr>
            </w:pPr>
            <w:r>
              <w:rPr>
                <w:rFonts w:hint="eastAsia" w:ascii="宋体" w:hAnsi="宋体" w:cs="宋体"/>
                <w:sz w:val="24"/>
                <w:szCs w:val="24"/>
              </w:rPr>
              <w:t>支持监狱企业发展：</w:t>
            </w:r>
          </w:p>
          <w:p>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专门面向监狱企业采购项目</w:t>
            </w:r>
          </w:p>
          <w:p>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position w:val="-4"/>
                <w:sz w:val="36"/>
                <w:szCs w:val="24"/>
                <w:lang w:eastAsia="zh-CN"/>
              </w:rPr>
              <w:instrText xml:space="preserve">,</w:instrText>
            </w:r>
            <w:r>
              <w:rPr>
                <w:rFonts w:hint="eastAsia" w:ascii="宋体" w:hAnsi="宋体" w:cs="宋体"/>
                <w:position w:val="0"/>
                <w:sz w:val="25"/>
                <w:szCs w:val="24"/>
                <w:lang w:eastAsia="zh-CN"/>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非专门面向监狱企业采购项目（价格扣除）：监狱企业可视同小微企业在价格评审时给予6%~10%的扣除，用扣除后的价格参与评审。本项目的扣除比例为：扣除6%。</w:t>
            </w:r>
          </w:p>
          <w:p>
            <w:pPr>
              <w:adjustRightInd w:val="0"/>
              <w:snapToGrid w:val="0"/>
              <w:spacing w:line="360" w:lineRule="auto"/>
              <w:rPr>
                <w:rFonts w:hint="eastAsia" w:ascii="宋体" w:hAnsi="宋体" w:eastAsia="宋体" w:cs="宋体"/>
                <w:kern w:val="2"/>
                <w:sz w:val="24"/>
                <w:szCs w:val="24"/>
                <w:lang w:val="en-US" w:eastAsia="zh-CN" w:bidi="ar-SA"/>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position w:val="-4"/>
                <w:sz w:val="36"/>
                <w:szCs w:val="24"/>
                <w:lang w:eastAsia="zh-CN"/>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非专门面向监狱企业采购项目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749" w:type="dxa"/>
            <w:noWrap w:val="0"/>
            <w:vAlign w:val="center"/>
          </w:tcPr>
          <w:p>
            <w:pPr>
              <w:numPr>
                <w:ilvl w:val="0"/>
                <w:numId w:val="0"/>
              </w:num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25</w:t>
            </w:r>
          </w:p>
        </w:tc>
        <w:tc>
          <w:tcPr>
            <w:tcW w:w="1876" w:type="dxa"/>
            <w:noWrap w:val="0"/>
            <w:vAlign w:val="center"/>
          </w:tcPr>
          <w:p>
            <w:pPr>
              <w:spacing w:line="360" w:lineRule="auto"/>
              <w:rPr>
                <w:rFonts w:hint="default" w:ascii="宋体" w:hAnsi="宋体" w:eastAsia="宋体" w:cs="宋体"/>
                <w:sz w:val="24"/>
                <w:szCs w:val="24"/>
                <w:lang w:val="en-US" w:eastAsia="zh-CN"/>
              </w:rPr>
            </w:pPr>
            <w:r>
              <w:rPr>
                <w:rFonts w:hint="eastAsia" w:hAnsi="宋体" w:cs="宋体"/>
                <w:kern w:val="0"/>
                <w:sz w:val="24"/>
                <w:szCs w:val="24"/>
                <w:lang w:bidi="ar"/>
              </w:rPr>
              <w:t>标的所属行业</w:t>
            </w:r>
          </w:p>
        </w:tc>
        <w:tc>
          <w:tcPr>
            <w:tcW w:w="6954" w:type="dxa"/>
            <w:noWrap w:val="0"/>
            <w:vAlign w:val="center"/>
          </w:tcPr>
          <w:p>
            <w:pPr>
              <w:spacing w:line="360" w:lineRule="auto"/>
              <w:rPr>
                <w:rFonts w:hint="eastAsia" w:ascii="宋体" w:hAnsi="宋体" w:eastAsia="宋体" w:cs="宋体"/>
                <w:kern w:val="2"/>
                <w:sz w:val="24"/>
                <w:szCs w:val="24"/>
                <w:lang w:val="en-US" w:eastAsia="zh-CN" w:bidi="ar-SA"/>
              </w:rPr>
            </w:pPr>
            <w:r>
              <w:rPr>
                <w:rFonts w:hint="eastAsia" w:hAnsi="宋体" w:cs="宋体"/>
                <w:kern w:val="0"/>
                <w:sz w:val="24"/>
                <w:szCs w:val="24"/>
                <w:lang w:val="en-US" w:eastAsia="zh-CN" w:bidi="ar"/>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noWrap w:val="0"/>
            <w:vAlign w:val="center"/>
          </w:tcPr>
          <w:p>
            <w:pPr>
              <w:numPr>
                <w:ilvl w:val="0"/>
                <w:numId w:val="0"/>
              </w:num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26</w:t>
            </w:r>
          </w:p>
        </w:tc>
        <w:tc>
          <w:tcPr>
            <w:tcW w:w="1876" w:type="dxa"/>
            <w:noWrap w:val="0"/>
            <w:vAlign w:val="center"/>
          </w:tcPr>
          <w:p>
            <w:pPr>
              <w:spacing w:line="360" w:lineRule="auto"/>
              <w:rPr>
                <w:rFonts w:ascii="宋体" w:hAnsi="宋体" w:cs="宋体"/>
                <w:sz w:val="24"/>
                <w:szCs w:val="24"/>
              </w:rPr>
            </w:pPr>
            <w:r>
              <w:rPr>
                <w:rFonts w:hint="eastAsia" w:ascii="宋体" w:hAnsi="宋体" w:cs="宋体"/>
                <w:sz w:val="24"/>
                <w:szCs w:val="24"/>
                <w:lang w:val="en-US" w:eastAsia="zh-CN"/>
              </w:rPr>
              <w:t>是否组织</w:t>
            </w:r>
            <w:r>
              <w:rPr>
                <w:rFonts w:hint="eastAsia" w:ascii="宋体" w:hAnsi="宋体" w:cs="宋体"/>
                <w:sz w:val="24"/>
                <w:szCs w:val="24"/>
              </w:rPr>
              <w:t>踏勘现场</w:t>
            </w:r>
          </w:p>
        </w:tc>
        <w:tc>
          <w:tcPr>
            <w:tcW w:w="6954" w:type="dxa"/>
            <w:noWrap w:val="0"/>
            <w:vAlign w:val="center"/>
          </w:tcPr>
          <w:p>
            <w:pPr>
              <w:spacing w:line="360" w:lineRule="auto"/>
              <w:rPr>
                <w:rFonts w:hint="eastAsia" w:ascii="宋体" w:hAnsi="宋体" w:eastAsia="宋体" w:cs="宋体"/>
                <w:kern w:val="2"/>
                <w:sz w:val="24"/>
                <w:szCs w:val="24"/>
                <w:lang w:val="en-US" w:eastAsia="zh-CN" w:bidi="ar-SA"/>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不组织</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组织，</w:t>
            </w:r>
            <w:r>
              <w:rPr>
                <w:rFonts w:hint="eastAsia" w:ascii="宋体" w:hAnsi="宋体" w:cs="宋体"/>
                <w:color w:val="000000"/>
                <w:sz w:val="24"/>
                <w:szCs w:val="24"/>
              </w:rPr>
              <w:t>本项目采购人及采购代理机构不集中组织踏勘现场；需要现场踏勘的，由投标人自行踏勘，安全责任由投标人自负，费用自理。如需踏勘，请按招标公告中的联系方式联系采购人</w:t>
            </w:r>
            <w:r>
              <w:rPr>
                <w:rFonts w:hint="eastAsia" w:ascii="宋体" w:hAnsi="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noWrap w:val="0"/>
            <w:vAlign w:val="center"/>
          </w:tcPr>
          <w:p>
            <w:pPr>
              <w:numPr>
                <w:ilvl w:val="0"/>
                <w:numId w:val="0"/>
              </w:num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27</w:t>
            </w:r>
          </w:p>
        </w:tc>
        <w:tc>
          <w:tcPr>
            <w:tcW w:w="1876" w:type="dxa"/>
            <w:noWrap w:val="0"/>
            <w:vAlign w:val="center"/>
          </w:tcPr>
          <w:p>
            <w:pPr>
              <w:spacing w:line="360" w:lineRule="auto"/>
              <w:rPr>
                <w:rFonts w:ascii="宋体" w:hAnsi="宋体" w:cs="宋体"/>
                <w:sz w:val="24"/>
                <w:szCs w:val="24"/>
              </w:rPr>
            </w:pPr>
            <w:r>
              <w:rPr>
                <w:rFonts w:hint="eastAsia" w:ascii="宋体" w:hAnsi="宋体" w:cs="宋体"/>
                <w:sz w:val="24"/>
                <w:szCs w:val="24"/>
              </w:rPr>
              <w:t>投标答疑会</w:t>
            </w:r>
          </w:p>
        </w:tc>
        <w:tc>
          <w:tcPr>
            <w:tcW w:w="6954" w:type="dxa"/>
            <w:noWrap w:val="0"/>
            <w:vAlign w:val="center"/>
          </w:tcPr>
          <w:p>
            <w:pPr>
              <w:spacing w:line="360" w:lineRule="auto"/>
              <w:rPr>
                <w:rFonts w:hint="eastAsia" w:ascii="宋体" w:hAnsi="宋体" w:eastAsia="宋体" w:cs="宋体"/>
                <w:kern w:val="2"/>
                <w:sz w:val="24"/>
                <w:szCs w:val="24"/>
                <w:lang w:val="en-US" w:eastAsia="zh-CN" w:bidi="ar-SA"/>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不召开</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召开，招标代理机构将对供应商所提出的问题予以解答，并出具书面答疑纪要。答疑纪要为招标文件的组成部分，与招标文件具有同等法律效力。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jc w:val="center"/>
        </w:trPr>
        <w:tc>
          <w:tcPr>
            <w:tcW w:w="749" w:type="dxa"/>
            <w:noWrap w:val="0"/>
            <w:vAlign w:val="center"/>
          </w:tcPr>
          <w:p>
            <w:pPr>
              <w:numPr>
                <w:ilvl w:val="0"/>
                <w:numId w:val="0"/>
              </w:num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28</w:t>
            </w:r>
          </w:p>
        </w:tc>
        <w:tc>
          <w:tcPr>
            <w:tcW w:w="1876" w:type="dxa"/>
            <w:noWrap w:val="0"/>
            <w:vAlign w:val="center"/>
          </w:tcPr>
          <w:p>
            <w:pPr>
              <w:spacing w:line="360" w:lineRule="auto"/>
              <w:rPr>
                <w:rFonts w:ascii="宋体" w:hAnsi="宋体" w:cs="宋体"/>
                <w:color w:val="FF0000"/>
                <w:sz w:val="24"/>
                <w:szCs w:val="24"/>
              </w:rPr>
            </w:pPr>
            <w:r>
              <w:rPr>
                <w:rFonts w:hint="eastAsia" w:ascii="宋体" w:hAnsi="宋体" w:cs="宋体"/>
                <w:sz w:val="24"/>
                <w:szCs w:val="24"/>
              </w:rPr>
              <w:t>分包</w:t>
            </w:r>
          </w:p>
        </w:tc>
        <w:tc>
          <w:tcPr>
            <w:tcW w:w="6954" w:type="dxa"/>
            <w:noWrap w:val="0"/>
            <w:vAlign w:val="center"/>
          </w:tcPr>
          <w:p>
            <w:pPr>
              <w:spacing w:line="360" w:lineRule="auto"/>
              <w:rPr>
                <w:rFonts w:hint="eastAsia" w:ascii="宋体" w:hAnsi="宋体" w:eastAsia="宋体" w:cs="宋体"/>
                <w:color w:val="FF0000"/>
                <w:kern w:val="2"/>
                <w:sz w:val="24"/>
                <w:szCs w:val="24"/>
                <w:lang w:val="en-US" w:eastAsia="zh-CN" w:bidi="ar-SA"/>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不允许</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允许，分包内容要求：在征得招标人同意后，承包人可以将本项目的专业工程进行分包。分包金额要求：接受分包的第三人资质要求；符合施工拟分包的专业工程国家相关强制规定。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noWrap w:val="0"/>
            <w:vAlign w:val="center"/>
          </w:tcPr>
          <w:p>
            <w:pPr>
              <w:numPr>
                <w:ilvl w:val="0"/>
                <w:numId w:val="0"/>
              </w:num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29</w:t>
            </w:r>
          </w:p>
        </w:tc>
        <w:tc>
          <w:tcPr>
            <w:tcW w:w="1876" w:type="dxa"/>
            <w:noWrap w:val="0"/>
            <w:vAlign w:val="center"/>
          </w:tcPr>
          <w:p>
            <w:pPr>
              <w:spacing w:line="360" w:lineRule="auto"/>
              <w:rPr>
                <w:rFonts w:hint="eastAsia" w:ascii="宋体" w:hAnsi="宋体" w:eastAsia="宋体" w:cs="宋体"/>
                <w:color w:val="FF0000"/>
                <w:sz w:val="24"/>
                <w:szCs w:val="24"/>
                <w:lang w:val="en-US" w:eastAsia="zh-CN"/>
              </w:rPr>
            </w:pPr>
            <w:r>
              <w:rPr>
                <w:rFonts w:hint="eastAsia" w:ascii="宋体" w:hAnsi="宋体" w:cs="宋体"/>
                <w:sz w:val="24"/>
                <w:szCs w:val="24"/>
                <w:lang w:val="en-US" w:eastAsia="zh-CN"/>
              </w:rPr>
              <w:t>构成竞争性谈判文件的其他文件</w:t>
            </w:r>
          </w:p>
        </w:tc>
        <w:tc>
          <w:tcPr>
            <w:tcW w:w="6954" w:type="dxa"/>
            <w:noWrap w:val="0"/>
            <w:vAlign w:val="center"/>
          </w:tcPr>
          <w:p>
            <w:pPr>
              <w:spacing w:line="360" w:lineRule="auto"/>
              <w:rPr>
                <w:rFonts w:hint="eastAsia" w:ascii="宋体" w:hAnsi="宋体" w:eastAsia="宋体" w:cs="宋体"/>
                <w:color w:val="FF0000"/>
                <w:kern w:val="2"/>
                <w:sz w:val="24"/>
                <w:szCs w:val="24"/>
                <w:lang w:val="en-US" w:eastAsia="zh-CN" w:bidi="ar-SA"/>
              </w:rPr>
            </w:pPr>
            <w:r>
              <w:rPr>
                <w:rFonts w:hint="eastAsia" w:ascii="宋体" w:hAnsi="宋体" w:cs="宋体"/>
                <w:sz w:val="24"/>
                <w:szCs w:val="24"/>
              </w:rPr>
              <w:t>谈判响应文件中的复印件（含扫描件）必须加盖供应商公章（鲜章），否则按无效文件处理。所有复印件应是最新、有效、清晰的。因复印件不清晰而可能导致资料无效，由谈判供应商自行负责。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49" w:type="dxa"/>
            <w:noWrap w:val="0"/>
            <w:vAlign w:val="center"/>
          </w:tcPr>
          <w:p>
            <w:pPr>
              <w:numPr>
                <w:ilvl w:val="0"/>
                <w:numId w:val="0"/>
              </w:num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30</w:t>
            </w:r>
          </w:p>
        </w:tc>
        <w:tc>
          <w:tcPr>
            <w:tcW w:w="1876" w:type="dxa"/>
            <w:noWrap w:val="0"/>
            <w:vAlign w:val="center"/>
          </w:tcPr>
          <w:p>
            <w:pPr>
              <w:spacing w:line="360" w:lineRule="auto"/>
              <w:rPr>
                <w:rFonts w:ascii="宋体" w:hAnsi="宋体" w:cs="宋体"/>
                <w:sz w:val="24"/>
                <w:szCs w:val="24"/>
              </w:rPr>
            </w:pPr>
            <w:r>
              <w:rPr>
                <w:rFonts w:hint="eastAsia" w:ascii="宋体" w:hAnsi="宋体" w:cs="宋体"/>
                <w:sz w:val="24"/>
                <w:szCs w:val="24"/>
              </w:rPr>
              <w:t>合同签订</w:t>
            </w:r>
          </w:p>
        </w:tc>
        <w:tc>
          <w:tcPr>
            <w:tcW w:w="6954" w:type="dxa"/>
            <w:noWrap w:val="0"/>
            <w:vAlign w:val="center"/>
          </w:tcPr>
          <w:p>
            <w:pPr>
              <w:spacing w:line="360" w:lineRule="auto"/>
              <w:rPr>
                <w:rFonts w:hint="eastAsia" w:ascii="宋体" w:hAnsi="宋体" w:eastAsia="宋体" w:cs="宋体"/>
                <w:kern w:val="2"/>
                <w:sz w:val="24"/>
                <w:szCs w:val="24"/>
                <w:lang w:val="en-US" w:eastAsia="zh-CN" w:bidi="ar-SA"/>
              </w:rPr>
            </w:pPr>
            <w:r>
              <w:rPr>
                <w:rFonts w:hint="eastAsia" w:ascii="宋体" w:hAnsi="宋体" w:cs="宋体"/>
                <w:sz w:val="24"/>
                <w:szCs w:val="24"/>
              </w:rPr>
              <w:t>成交供应商和采购人签订合同。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749" w:type="dxa"/>
            <w:noWrap w:val="0"/>
            <w:vAlign w:val="center"/>
          </w:tcPr>
          <w:p>
            <w:pPr>
              <w:numPr>
                <w:ilvl w:val="0"/>
                <w:numId w:val="0"/>
              </w:num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31</w:t>
            </w:r>
          </w:p>
        </w:tc>
        <w:tc>
          <w:tcPr>
            <w:tcW w:w="1876" w:type="dxa"/>
            <w:noWrap w:val="0"/>
            <w:vAlign w:val="center"/>
          </w:tcPr>
          <w:p>
            <w:pPr>
              <w:pStyle w:val="9"/>
            </w:pPr>
            <w:r>
              <w:rPr>
                <w:rFonts w:hint="eastAsia" w:ascii="宋体" w:hAnsi="宋体" w:cs="宋体"/>
                <w:sz w:val="24"/>
                <w:szCs w:val="24"/>
              </w:rPr>
              <w:t>其他</w:t>
            </w:r>
          </w:p>
        </w:tc>
        <w:tc>
          <w:tcPr>
            <w:tcW w:w="6954" w:type="dxa"/>
            <w:noWrap w:val="0"/>
            <w:vAlign w:val="center"/>
          </w:tcPr>
          <w:p>
            <w:pPr>
              <w:spacing w:line="360" w:lineRule="auto"/>
              <w:rPr>
                <w:rFonts w:ascii="宋体" w:hAnsi="宋体" w:cs="宋体"/>
                <w:sz w:val="24"/>
                <w:szCs w:val="24"/>
              </w:rPr>
            </w:pPr>
            <w:r>
              <w:rPr>
                <w:rFonts w:hint="eastAsia" w:ascii="宋体" w:hAnsi="宋体" w:cs="宋体"/>
                <w:sz w:val="24"/>
                <w:szCs w:val="24"/>
              </w:rPr>
              <w:t>1、供应商若对竞争性谈判文件有质疑的，应当在谈判截止时间2日前以书面形式向采购代理机构提出。在此之后提出的质疑无效。</w:t>
            </w:r>
          </w:p>
          <w:p>
            <w:pPr>
              <w:pStyle w:val="9"/>
              <w:rPr>
                <w:rFonts w:hint="eastAsia" w:ascii="Calibri" w:hAnsi="Calibri" w:eastAsia="宋体" w:cs="Times New Roman"/>
                <w:kern w:val="2"/>
                <w:sz w:val="18"/>
                <w:szCs w:val="24"/>
                <w:lang w:val="en-US" w:eastAsia="zh-CN" w:bidi="ar-SA"/>
              </w:rPr>
            </w:pPr>
            <w:r>
              <w:rPr>
                <w:rFonts w:hint="eastAsia" w:ascii="宋体" w:hAnsi="宋体" w:cs="宋体"/>
                <w:sz w:val="24"/>
                <w:szCs w:val="24"/>
              </w:rPr>
              <w:t>2、当供应商不足三家时，按相关文件执行。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749" w:type="dxa"/>
            <w:noWrap w:val="0"/>
            <w:vAlign w:val="center"/>
          </w:tcPr>
          <w:p>
            <w:pPr>
              <w:numPr>
                <w:ilvl w:val="0"/>
                <w:numId w:val="0"/>
              </w:num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32</w:t>
            </w:r>
          </w:p>
        </w:tc>
        <w:tc>
          <w:tcPr>
            <w:tcW w:w="1876" w:type="dxa"/>
            <w:noWrap w:val="0"/>
            <w:vAlign w:val="center"/>
          </w:tcPr>
          <w:p>
            <w:pPr>
              <w:spacing w:line="360" w:lineRule="auto"/>
              <w:jc w:val="left"/>
              <w:rPr>
                <w:rFonts w:ascii="宋体" w:hAnsi="宋体" w:cs="宋体"/>
                <w:sz w:val="24"/>
                <w:szCs w:val="24"/>
              </w:rPr>
            </w:pPr>
            <w:r>
              <w:rPr>
                <w:rFonts w:hint="eastAsia" w:ascii="宋体" w:hAnsi="宋体" w:cs="宋体"/>
                <w:sz w:val="24"/>
                <w:szCs w:val="24"/>
                <w:lang w:val="en-US" w:eastAsia="zh-CN"/>
              </w:rPr>
              <w:t>政采贷业务</w:t>
            </w:r>
          </w:p>
        </w:tc>
        <w:tc>
          <w:tcPr>
            <w:tcW w:w="6954" w:type="dxa"/>
            <w:noWrap w:val="0"/>
            <w:vAlign w:val="center"/>
          </w:tcPr>
          <w:p>
            <w:pPr>
              <w:spacing w:line="360" w:lineRule="auto"/>
              <w:jc w:val="left"/>
              <w:rPr>
                <w:rStyle w:val="25"/>
                <w:rFonts w:hint="eastAsia" w:ascii="宋体" w:hAnsi="宋体"/>
                <w:color w:val="000000"/>
                <w:sz w:val="24"/>
              </w:rPr>
            </w:pPr>
            <w:r>
              <w:rPr>
                <w:rStyle w:val="25"/>
                <w:rFonts w:hint="eastAsia" w:ascii="宋体" w:hAnsi="宋体"/>
                <w:color w:val="000000"/>
                <w:sz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w:t>
            </w:r>
            <w:r>
              <w:rPr>
                <w:rStyle w:val="25"/>
                <w:rFonts w:hint="eastAsia" w:ascii="宋体" w:hAnsi="宋体"/>
                <w:color w:val="000000"/>
                <w:sz w:val="24"/>
              </w:rPr>
              <w:drawing>
                <wp:inline distT="0" distB="0" distL="114300" distR="114300">
                  <wp:extent cx="190500" cy="142875"/>
                  <wp:effectExtent l="0" t="0" r="0" b="952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0"/>
                          <a:stretch>
                            <a:fillRect/>
                          </a:stretch>
                        </pic:blipFill>
                        <pic:spPr>
                          <a:xfrm>
                            <a:off x="0" y="0"/>
                            <a:ext cx="190500" cy="142875"/>
                          </a:xfrm>
                          <a:prstGeom prst="rect">
                            <a:avLst/>
                          </a:prstGeom>
                          <a:noFill/>
                          <a:ln>
                            <a:noFill/>
                          </a:ln>
                        </pic:spPr>
                      </pic:pic>
                    </a:graphicData>
                  </a:graphic>
                </wp:inline>
              </w:drawing>
            </w:r>
            <w:r>
              <w:rPr>
                <w:rStyle w:val="25"/>
                <w:rFonts w:hint="eastAsia" w:ascii="宋体" w:hAnsi="宋体"/>
                <w:color w:val="000000"/>
                <w:sz w:val="24"/>
              </w:rPr>
              <w:t>http://www.ccgp-shaanxi.gov.cn/zcdservice/zcd/shanxi/）在线申请，依法参加政府采购信用融资活动。</w:t>
            </w:r>
          </w:p>
          <w:p>
            <w:pPr>
              <w:spacing w:line="360" w:lineRule="auto"/>
              <w:jc w:val="left"/>
              <w:rPr>
                <w:rFonts w:hint="eastAsia" w:ascii="宋体" w:hAnsi="宋体" w:eastAsia="宋体" w:cs="宋体"/>
                <w:kern w:val="2"/>
                <w:sz w:val="24"/>
                <w:szCs w:val="24"/>
                <w:lang w:val="en-US" w:eastAsia="zh-CN" w:bidi="ar-SA"/>
              </w:rPr>
            </w:pPr>
            <w:r>
              <w:rPr>
                <w:rStyle w:val="25"/>
                <w:rFonts w:hint="eastAsia" w:ascii="宋体" w:hAnsi="宋体"/>
                <w:color w:val="000000"/>
                <w:sz w:val="24"/>
              </w:rPr>
              <w:t>目前的合作银行有：北京银行、中国建设银行、中信银行、中国平安银行、中国光大银行、浦发银行、兴业银行、中国工商银行、秦农银行、浙商银行、中国银行、西安银行、中国农业银行、中国邮政储蓄银行（排名不分先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749" w:type="dxa"/>
            <w:noWrap w:val="0"/>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33</w:t>
            </w:r>
          </w:p>
        </w:tc>
        <w:tc>
          <w:tcPr>
            <w:tcW w:w="1876" w:type="dxa"/>
            <w:noWrap w:val="0"/>
            <w:vAlign w:val="center"/>
          </w:tcPr>
          <w:p>
            <w:pPr>
              <w:spacing w:line="360" w:lineRule="auto"/>
              <w:rPr>
                <w:rFonts w:ascii="宋体" w:hAnsi="宋体" w:cs="宋体"/>
                <w:sz w:val="24"/>
                <w:szCs w:val="24"/>
              </w:rPr>
            </w:pPr>
            <w:r>
              <w:rPr>
                <w:rFonts w:hint="eastAsia" w:ascii="宋体" w:hAnsi="宋体" w:cs="仿宋_GB2312"/>
                <w:sz w:val="24"/>
                <w:szCs w:val="24"/>
              </w:rPr>
              <w:t>招标代理服务费</w:t>
            </w:r>
          </w:p>
        </w:tc>
        <w:tc>
          <w:tcPr>
            <w:tcW w:w="6954" w:type="dxa"/>
            <w:noWrap w:val="0"/>
            <w:vAlign w:val="center"/>
          </w:tcPr>
          <w:p>
            <w:pPr>
              <w:spacing w:line="360" w:lineRule="auto"/>
              <w:rPr>
                <w:rFonts w:ascii="宋体" w:hAnsi="宋体" w:cs="仿宋_GB2312"/>
                <w:sz w:val="24"/>
                <w:szCs w:val="24"/>
              </w:rPr>
            </w:pPr>
            <w:r>
              <w:rPr>
                <w:rFonts w:hint="eastAsia" w:ascii="宋体" w:hAnsi="宋体" w:cs="仿宋_GB2312"/>
                <w:sz w:val="24"/>
                <w:szCs w:val="24"/>
              </w:rPr>
              <w:t>(1)招标代理服务费的收取参见国家计委颁布的《招标代理服务收费管理暂行办法》（计价格[2002]1980号）和（发改办价格[2011]534号）中</w:t>
            </w:r>
            <w:r>
              <w:rPr>
                <w:rFonts w:hint="eastAsia" w:ascii="宋体" w:hAnsi="宋体"/>
                <w:sz w:val="24"/>
                <w:szCs w:val="24"/>
              </w:rPr>
              <w:t>规定的差额定律累进法计算,向成交供应商收取。</w:t>
            </w:r>
          </w:p>
          <w:p>
            <w:pPr>
              <w:spacing w:line="360" w:lineRule="auto"/>
              <w:rPr>
                <w:rFonts w:ascii="宋体" w:hAnsi="宋体" w:cs="宋体"/>
                <w:sz w:val="24"/>
                <w:szCs w:val="24"/>
              </w:rPr>
            </w:pPr>
            <w:r>
              <w:rPr>
                <w:rFonts w:hint="eastAsia" w:ascii="宋体" w:hAnsi="宋体" w:cs="仿宋_GB2312"/>
                <w:sz w:val="24"/>
                <w:szCs w:val="24"/>
              </w:rPr>
              <w:t>(2)</w:t>
            </w:r>
            <w:r>
              <w:rPr>
                <w:rFonts w:hint="eastAsia" w:ascii="宋体" w:hAnsi="宋体" w:cs="宋体"/>
                <w:sz w:val="24"/>
                <w:szCs w:val="24"/>
              </w:rPr>
              <w:t>支付方式：成交供应商应在领取通知书的同时，向</w:t>
            </w:r>
            <w:r>
              <w:rPr>
                <w:rFonts w:hint="eastAsia" w:ascii="宋体" w:hAnsi="宋体" w:cs="宋体"/>
                <w:sz w:val="24"/>
                <w:szCs w:val="24"/>
                <w:lang w:eastAsia="zh-CN"/>
              </w:rPr>
              <w:t>榆林瀚海星辰项目管理有限公司</w:t>
            </w:r>
            <w:r>
              <w:rPr>
                <w:rFonts w:hint="eastAsia" w:ascii="宋体" w:hAnsi="宋体" w:cs="宋体"/>
                <w:sz w:val="24"/>
                <w:szCs w:val="24"/>
              </w:rPr>
              <w:t>交纳本项目采购代理服务费。</w:t>
            </w:r>
          </w:p>
          <w:p>
            <w:pPr>
              <w:spacing w:line="360" w:lineRule="auto"/>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hint="eastAsia" w:ascii="宋体" w:hAnsi="宋体" w:cs="宋体"/>
                <w:sz w:val="24"/>
                <w:szCs w:val="24"/>
              </w:rPr>
              <w:t>采购代理服务费按差额定率累进法计算：</w:t>
            </w:r>
          </w:p>
          <w:tbl>
            <w:tblPr>
              <w:tblStyle w:val="14"/>
              <w:tblW w:w="61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9"/>
              <w:gridCol w:w="1214"/>
              <w:gridCol w:w="1444"/>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049" w:type="dxa"/>
                  <w:noWrap w:val="0"/>
                  <w:vAlign w:val="top"/>
                </w:tcPr>
                <w:p>
                  <w:pPr>
                    <w:spacing w:line="360" w:lineRule="auto"/>
                    <w:rPr>
                      <w:rFonts w:ascii="宋体" w:hAnsi="宋体" w:cs="宋体"/>
                      <w:sz w:val="24"/>
                      <w:szCs w:val="24"/>
                    </w:rPr>
                  </w:pPr>
                  <w:r>
                    <w:rPr>
                      <w:rFonts w:hint="eastAsia" w:ascii="宋体" w:hAnsi="宋体" w:cs="宋体"/>
                      <w:sz w:val="24"/>
                      <w:szCs w:val="24"/>
                    </w:rPr>
                    <w:t>服务类型/费率/中标金额（万元）</w:t>
                  </w:r>
                </w:p>
              </w:tc>
              <w:tc>
                <w:tcPr>
                  <w:tcW w:w="1214" w:type="dxa"/>
                  <w:noWrap w:val="0"/>
                  <w:vAlign w:val="center"/>
                </w:tcPr>
                <w:p>
                  <w:pPr>
                    <w:spacing w:line="360" w:lineRule="auto"/>
                    <w:rPr>
                      <w:rFonts w:ascii="宋体" w:hAnsi="宋体" w:cs="宋体"/>
                      <w:sz w:val="24"/>
                      <w:szCs w:val="24"/>
                    </w:rPr>
                  </w:pPr>
                  <w:r>
                    <w:rPr>
                      <w:rFonts w:hint="eastAsia" w:ascii="宋体" w:hAnsi="宋体" w:cs="宋体"/>
                      <w:sz w:val="24"/>
                      <w:szCs w:val="24"/>
                    </w:rPr>
                    <w:t>货物招标</w:t>
                  </w:r>
                </w:p>
              </w:tc>
              <w:tc>
                <w:tcPr>
                  <w:tcW w:w="1444" w:type="dxa"/>
                  <w:noWrap w:val="0"/>
                  <w:vAlign w:val="center"/>
                </w:tcPr>
                <w:p>
                  <w:pPr>
                    <w:spacing w:line="360" w:lineRule="auto"/>
                    <w:jc w:val="center"/>
                    <w:rPr>
                      <w:rFonts w:ascii="宋体" w:hAnsi="宋体" w:cs="宋体"/>
                      <w:sz w:val="24"/>
                      <w:szCs w:val="24"/>
                    </w:rPr>
                  </w:pPr>
                  <w:r>
                    <w:rPr>
                      <w:rFonts w:hint="eastAsia" w:ascii="宋体" w:hAnsi="宋体" w:cs="宋体"/>
                      <w:sz w:val="24"/>
                      <w:szCs w:val="24"/>
                    </w:rPr>
                    <w:t>服务招标</w:t>
                  </w:r>
                </w:p>
              </w:tc>
              <w:tc>
                <w:tcPr>
                  <w:tcW w:w="1445" w:type="dxa"/>
                  <w:noWrap w:val="0"/>
                  <w:vAlign w:val="center"/>
                </w:tcPr>
                <w:p>
                  <w:pPr>
                    <w:spacing w:line="360" w:lineRule="auto"/>
                    <w:rPr>
                      <w:rFonts w:ascii="宋体" w:hAnsi="宋体" w:cs="宋体"/>
                      <w:sz w:val="24"/>
                      <w:szCs w:val="24"/>
                    </w:rPr>
                  </w:pPr>
                  <w:r>
                    <w:rPr>
                      <w:rFonts w:hint="eastAsia" w:ascii="宋体" w:hAnsi="宋体" w:cs="宋体"/>
                      <w:sz w:val="24"/>
                      <w:szCs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049" w:type="dxa"/>
                  <w:noWrap w:val="0"/>
                  <w:vAlign w:val="top"/>
                </w:tcPr>
                <w:p>
                  <w:pPr>
                    <w:spacing w:line="360" w:lineRule="auto"/>
                    <w:rPr>
                      <w:rFonts w:ascii="宋体" w:hAnsi="宋体" w:cs="宋体"/>
                      <w:sz w:val="24"/>
                      <w:szCs w:val="24"/>
                    </w:rPr>
                  </w:pPr>
                  <w:r>
                    <w:rPr>
                      <w:rFonts w:hint="eastAsia" w:ascii="宋体" w:hAnsi="宋体" w:cs="宋体"/>
                      <w:sz w:val="24"/>
                      <w:szCs w:val="24"/>
                    </w:rPr>
                    <w:t>100以下</w:t>
                  </w:r>
                </w:p>
              </w:tc>
              <w:tc>
                <w:tcPr>
                  <w:tcW w:w="1214" w:type="dxa"/>
                  <w:noWrap w:val="0"/>
                  <w:vAlign w:val="top"/>
                </w:tcPr>
                <w:p>
                  <w:pPr>
                    <w:spacing w:line="360" w:lineRule="auto"/>
                    <w:rPr>
                      <w:rFonts w:ascii="宋体" w:hAnsi="宋体" w:cs="宋体"/>
                      <w:sz w:val="24"/>
                      <w:szCs w:val="24"/>
                    </w:rPr>
                  </w:pPr>
                  <w:r>
                    <w:rPr>
                      <w:rFonts w:hint="eastAsia" w:ascii="宋体" w:hAnsi="宋体" w:cs="宋体"/>
                      <w:sz w:val="24"/>
                      <w:szCs w:val="24"/>
                    </w:rPr>
                    <w:t>1.5%</w:t>
                  </w:r>
                </w:p>
              </w:tc>
              <w:tc>
                <w:tcPr>
                  <w:tcW w:w="1444" w:type="dxa"/>
                  <w:noWrap w:val="0"/>
                  <w:vAlign w:val="top"/>
                </w:tcPr>
                <w:p>
                  <w:pPr>
                    <w:spacing w:line="360" w:lineRule="auto"/>
                    <w:rPr>
                      <w:rFonts w:ascii="宋体" w:hAnsi="宋体" w:cs="宋体"/>
                      <w:sz w:val="24"/>
                      <w:szCs w:val="24"/>
                    </w:rPr>
                  </w:pPr>
                  <w:r>
                    <w:rPr>
                      <w:rFonts w:hint="eastAsia" w:ascii="宋体" w:hAnsi="宋体" w:cs="宋体"/>
                      <w:sz w:val="24"/>
                      <w:szCs w:val="24"/>
                    </w:rPr>
                    <w:t>1.5%</w:t>
                  </w:r>
                </w:p>
              </w:tc>
              <w:tc>
                <w:tcPr>
                  <w:tcW w:w="1445" w:type="dxa"/>
                  <w:noWrap w:val="0"/>
                  <w:vAlign w:val="top"/>
                </w:tcPr>
                <w:p>
                  <w:pPr>
                    <w:spacing w:line="360" w:lineRule="auto"/>
                    <w:rPr>
                      <w:rFonts w:ascii="宋体" w:hAnsi="宋体" w:cs="宋体"/>
                      <w:sz w:val="24"/>
                      <w:szCs w:val="24"/>
                    </w:rPr>
                  </w:pPr>
                  <w:r>
                    <w:rPr>
                      <w:rFonts w:hint="eastAsia" w:ascii="宋体" w:hAnsi="宋体" w:cs="宋体"/>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pPr>
                    <w:spacing w:line="360" w:lineRule="auto"/>
                    <w:rPr>
                      <w:rFonts w:ascii="宋体" w:hAnsi="宋体" w:cs="宋体"/>
                      <w:sz w:val="24"/>
                      <w:szCs w:val="24"/>
                    </w:rPr>
                  </w:pPr>
                  <w:r>
                    <w:rPr>
                      <w:rFonts w:hint="eastAsia" w:ascii="宋体" w:hAnsi="宋体" w:cs="宋体"/>
                      <w:sz w:val="24"/>
                      <w:szCs w:val="24"/>
                    </w:rPr>
                    <w:t>100-500</w:t>
                  </w:r>
                </w:p>
              </w:tc>
              <w:tc>
                <w:tcPr>
                  <w:tcW w:w="1214" w:type="dxa"/>
                  <w:noWrap w:val="0"/>
                  <w:vAlign w:val="top"/>
                </w:tcPr>
                <w:p>
                  <w:pPr>
                    <w:spacing w:line="360" w:lineRule="auto"/>
                    <w:rPr>
                      <w:rFonts w:ascii="宋体" w:hAnsi="宋体" w:cs="宋体"/>
                      <w:sz w:val="24"/>
                      <w:szCs w:val="24"/>
                    </w:rPr>
                  </w:pPr>
                  <w:r>
                    <w:rPr>
                      <w:rFonts w:hint="eastAsia" w:ascii="宋体" w:hAnsi="宋体" w:cs="宋体"/>
                      <w:sz w:val="24"/>
                      <w:szCs w:val="24"/>
                    </w:rPr>
                    <w:t>1.1%</w:t>
                  </w:r>
                </w:p>
              </w:tc>
              <w:tc>
                <w:tcPr>
                  <w:tcW w:w="1444" w:type="dxa"/>
                  <w:noWrap w:val="0"/>
                  <w:vAlign w:val="top"/>
                </w:tcPr>
                <w:p>
                  <w:pPr>
                    <w:spacing w:line="360" w:lineRule="auto"/>
                    <w:rPr>
                      <w:rFonts w:ascii="宋体" w:hAnsi="宋体" w:cs="宋体"/>
                      <w:sz w:val="24"/>
                      <w:szCs w:val="24"/>
                    </w:rPr>
                  </w:pPr>
                  <w:r>
                    <w:rPr>
                      <w:rFonts w:hint="eastAsia" w:ascii="宋体" w:hAnsi="宋体" w:cs="宋体"/>
                      <w:sz w:val="24"/>
                      <w:szCs w:val="24"/>
                    </w:rPr>
                    <w:t>0.8%</w:t>
                  </w:r>
                </w:p>
              </w:tc>
              <w:tc>
                <w:tcPr>
                  <w:tcW w:w="1445" w:type="dxa"/>
                  <w:noWrap w:val="0"/>
                  <w:vAlign w:val="top"/>
                </w:tcPr>
                <w:p>
                  <w:pPr>
                    <w:spacing w:line="360" w:lineRule="auto"/>
                    <w:rPr>
                      <w:rFonts w:ascii="宋体" w:hAnsi="宋体" w:cs="宋体"/>
                      <w:sz w:val="24"/>
                      <w:szCs w:val="24"/>
                    </w:rPr>
                  </w:pPr>
                  <w:r>
                    <w:rPr>
                      <w:rFonts w:hint="eastAsia" w:ascii="宋体" w:hAnsi="宋体" w:cs="宋体"/>
                      <w:sz w:val="24"/>
                      <w:szCs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pPr>
                    <w:spacing w:line="360" w:lineRule="auto"/>
                    <w:rPr>
                      <w:rFonts w:ascii="宋体" w:hAnsi="宋体" w:cs="宋体"/>
                      <w:sz w:val="24"/>
                      <w:szCs w:val="24"/>
                    </w:rPr>
                  </w:pPr>
                  <w:r>
                    <w:rPr>
                      <w:rFonts w:hint="eastAsia" w:ascii="宋体" w:hAnsi="宋体" w:cs="宋体"/>
                      <w:sz w:val="24"/>
                      <w:szCs w:val="24"/>
                    </w:rPr>
                    <w:t>500-1000</w:t>
                  </w:r>
                </w:p>
              </w:tc>
              <w:tc>
                <w:tcPr>
                  <w:tcW w:w="1214" w:type="dxa"/>
                  <w:noWrap w:val="0"/>
                  <w:vAlign w:val="top"/>
                </w:tcPr>
                <w:p>
                  <w:pPr>
                    <w:spacing w:line="360" w:lineRule="auto"/>
                    <w:rPr>
                      <w:rFonts w:ascii="宋体" w:hAnsi="宋体" w:cs="宋体"/>
                      <w:sz w:val="24"/>
                      <w:szCs w:val="24"/>
                    </w:rPr>
                  </w:pPr>
                  <w:r>
                    <w:rPr>
                      <w:rFonts w:hint="eastAsia" w:ascii="宋体" w:hAnsi="宋体" w:cs="宋体"/>
                      <w:sz w:val="24"/>
                      <w:szCs w:val="24"/>
                    </w:rPr>
                    <w:t>0.8%</w:t>
                  </w:r>
                </w:p>
              </w:tc>
              <w:tc>
                <w:tcPr>
                  <w:tcW w:w="1444" w:type="dxa"/>
                  <w:noWrap w:val="0"/>
                  <w:vAlign w:val="top"/>
                </w:tcPr>
                <w:p>
                  <w:pPr>
                    <w:spacing w:line="360" w:lineRule="auto"/>
                    <w:rPr>
                      <w:rFonts w:ascii="宋体" w:hAnsi="宋体" w:cs="宋体"/>
                      <w:sz w:val="24"/>
                      <w:szCs w:val="24"/>
                    </w:rPr>
                  </w:pPr>
                  <w:r>
                    <w:rPr>
                      <w:rFonts w:hint="eastAsia" w:ascii="宋体" w:hAnsi="宋体" w:cs="宋体"/>
                      <w:sz w:val="24"/>
                      <w:szCs w:val="24"/>
                    </w:rPr>
                    <w:t>0.45%</w:t>
                  </w:r>
                </w:p>
              </w:tc>
              <w:tc>
                <w:tcPr>
                  <w:tcW w:w="1445" w:type="dxa"/>
                  <w:noWrap w:val="0"/>
                  <w:vAlign w:val="top"/>
                </w:tcPr>
                <w:p>
                  <w:pPr>
                    <w:spacing w:line="360" w:lineRule="auto"/>
                    <w:rPr>
                      <w:rFonts w:ascii="宋体" w:hAnsi="宋体" w:cs="宋体"/>
                      <w:sz w:val="24"/>
                      <w:szCs w:val="24"/>
                    </w:rPr>
                  </w:pPr>
                  <w:r>
                    <w:rPr>
                      <w:rFonts w:hint="eastAsia" w:ascii="宋体" w:hAnsi="宋体" w:cs="宋体"/>
                      <w:sz w:val="24"/>
                      <w:szCs w:val="24"/>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pPr>
                    <w:spacing w:line="360" w:lineRule="auto"/>
                    <w:rPr>
                      <w:rFonts w:ascii="宋体" w:hAnsi="宋体" w:cs="宋体"/>
                      <w:sz w:val="24"/>
                      <w:szCs w:val="24"/>
                    </w:rPr>
                  </w:pPr>
                  <w:r>
                    <w:rPr>
                      <w:rFonts w:hint="eastAsia" w:ascii="宋体" w:hAnsi="宋体" w:cs="宋体"/>
                      <w:sz w:val="24"/>
                      <w:szCs w:val="24"/>
                    </w:rPr>
                    <w:t>1000-5000</w:t>
                  </w:r>
                </w:p>
              </w:tc>
              <w:tc>
                <w:tcPr>
                  <w:tcW w:w="1214" w:type="dxa"/>
                  <w:noWrap w:val="0"/>
                  <w:vAlign w:val="top"/>
                </w:tcPr>
                <w:p>
                  <w:pPr>
                    <w:spacing w:line="360" w:lineRule="auto"/>
                    <w:rPr>
                      <w:rFonts w:ascii="宋体" w:hAnsi="宋体" w:cs="宋体"/>
                      <w:sz w:val="24"/>
                      <w:szCs w:val="24"/>
                    </w:rPr>
                  </w:pPr>
                  <w:r>
                    <w:rPr>
                      <w:rFonts w:hint="eastAsia" w:ascii="宋体" w:hAnsi="宋体" w:cs="宋体"/>
                      <w:sz w:val="24"/>
                      <w:szCs w:val="24"/>
                    </w:rPr>
                    <w:t>0.5%</w:t>
                  </w:r>
                </w:p>
              </w:tc>
              <w:tc>
                <w:tcPr>
                  <w:tcW w:w="1444" w:type="dxa"/>
                  <w:noWrap w:val="0"/>
                  <w:vAlign w:val="top"/>
                </w:tcPr>
                <w:p>
                  <w:pPr>
                    <w:spacing w:line="360" w:lineRule="auto"/>
                    <w:rPr>
                      <w:rFonts w:ascii="宋体" w:hAnsi="宋体" w:cs="宋体"/>
                      <w:sz w:val="24"/>
                      <w:szCs w:val="24"/>
                    </w:rPr>
                  </w:pPr>
                  <w:r>
                    <w:rPr>
                      <w:rFonts w:hint="eastAsia" w:ascii="宋体" w:hAnsi="宋体" w:cs="宋体"/>
                      <w:sz w:val="24"/>
                      <w:szCs w:val="24"/>
                    </w:rPr>
                    <w:t>0.25%</w:t>
                  </w:r>
                </w:p>
              </w:tc>
              <w:tc>
                <w:tcPr>
                  <w:tcW w:w="1445" w:type="dxa"/>
                  <w:noWrap w:val="0"/>
                  <w:vAlign w:val="top"/>
                </w:tcPr>
                <w:p>
                  <w:pPr>
                    <w:spacing w:line="360" w:lineRule="auto"/>
                    <w:rPr>
                      <w:rFonts w:ascii="宋体" w:hAnsi="宋体" w:cs="宋体"/>
                      <w:sz w:val="24"/>
                      <w:szCs w:val="24"/>
                    </w:rPr>
                  </w:pPr>
                  <w:r>
                    <w:rPr>
                      <w:rFonts w:hint="eastAsia" w:ascii="宋体" w:hAnsi="宋体" w:cs="宋体"/>
                      <w:sz w:val="24"/>
                      <w:szCs w:val="24"/>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pPr>
                    <w:spacing w:line="360" w:lineRule="auto"/>
                    <w:rPr>
                      <w:rFonts w:ascii="宋体" w:hAnsi="宋体" w:cs="宋体"/>
                      <w:sz w:val="24"/>
                      <w:szCs w:val="24"/>
                    </w:rPr>
                  </w:pPr>
                  <w:r>
                    <w:rPr>
                      <w:rFonts w:hint="eastAsia" w:ascii="宋体" w:hAnsi="宋体" w:cs="宋体"/>
                      <w:sz w:val="24"/>
                      <w:szCs w:val="24"/>
                    </w:rPr>
                    <w:t>5000-10000</w:t>
                  </w:r>
                </w:p>
              </w:tc>
              <w:tc>
                <w:tcPr>
                  <w:tcW w:w="1214" w:type="dxa"/>
                  <w:noWrap w:val="0"/>
                  <w:vAlign w:val="top"/>
                </w:tcPr>
                <w:p>
                  <w:pPr>
                    <w:spacing w:line="360" w:lineRule="auto"/>
                    <w:rPr>
                      <w:rFonts w:ascii="宋体" w:hAnsi="宋体" w:cs="宋体"/>
                      <w:sz w:val="24"/>
                      <w:szCs w:val="24"/>
                    </w:rPr>
                  </w:pPr>
                  <w:r>
                    <w:rPr>
                      <w:rFonts w:hint="eastAsia" w:ascii="宋体" w:hAnsi="宋体" w:cs="宋体"/>
                      <w:sz w:val="24"/>
                      <w:szCs w:val="24"/>
                    </w:rPr>
                    <w:t>0.25%</w:t>
                  </w:r>
                </w:p>
              </w:tc>
              <w:tc>
                <w:tcPr>
                  <w:tcW w:w="1444" w:type="dxa"/>
                  <w:noWrap w:val="0"/>
                  <w:vAlign w:val="top"/>
                </w:tcPr>
                <w:p>
                  <w:pPr>
                    <w:spacing w:line="360" w:lineRule="auto"/>
                    <w:rPr>
                      <w:rFonts w:ascii="宋体" w:hAnsi="宋体" w:cs="宋体"/>
                      <w:sz w:val="24"/>
                      <w:szCs w:val="24"/>
                    </w:rPr>
                  </w:pPr>
                  <w:r>
                    <w:rPr>
                      <w:rFonts w:hint="eastAsia" w:ascii="宋体" w:hAnsi="宋体" w:cs="宋体"/>
                      <w:sz w:val="24"/>
                      <w:szCs w:val="24"/>
                    </w:rPr>
                    <w:t>0.1%</w:t>
                  </w:r>
                </w:p>
              </w:tc>
              <w:tc>
                <w:tcPr>
                  <w:tcW w:w="1445" w:type="dxa"/>
                  <w:noWrap w:val="0"/>
                  <w:vAlign w:val="top"/>
                </w:tcPr>
                <w:p>
                  <w:pPr>
                    <w:spacing w:line="360" w:lineRule="auto"/>
                    <w:rPr>
                      <w:rFonts w:ascii="宋体" w:hAnsi="宋体" w:cs="宋体"/>
                      <w:sz w:val="24"/>
                      <w:szCs w:val="24"/>
                    </w:rPr>
                  </w:pPr>
                  <w:r>
                    <w:rPr>
                      <w:rFonts w:hint="eastAsia" w:ascii="宋体" w:hAnsi="宋体" w:cs="宋体"/>
                      <w:sz w:val="24"/>
                      <w:szCs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pPr>
                    <w:spacing w:line="360" w:lineRule="auto"/>
                    <w:rPr>
                      <w:rFonts w:ascii="宋体" w:hAnsi="宋体" w:cs="宋体"/>
                      <w:sz w:val="24"/>
                      <w:szCs w:val="24"/>
                    </w:rPr>
                  </w:pPr>
                  <w:r>
                    <w:rPr>
                      <w:rFonts w:hint="eastAsia" w:ascii="宋体" w:hAnsi="宋体" w:cs="宋体"/>
                      <w:sz w:val="24"/>
                      <w:szCs w:val="24"/>
                    </w:rPr>
                    <w:t>10000-100000</w:t>
                  </w:r>
                </w:p>
              </w:tc>
              <w:tc>
                <w:tcPr>
                  <w:tcW w:w="1214" w:type="dxa"/>
                  <w:noWrap w:val="0"/>
                  <w:vAlign w:val="top"/>
                </w:tcPr>
                <w:p>
                  <w:pPr>
                    <w:spacing w:line="360" w:lineRule="auto"/>
                    <w:rPr>
                      <w:rFonts w:ascii="宋体" w:hAnsi="宋体" w:cs="宋体"/>
                      <w:sz w:val="24"/>
                      <w:szCs w:val="24"/>
                    </w:rPr>
                  </w:pPr>
                  <w:r>
                    <w:rPr>
                      <w:rFonts w:hint="eastAsia" w:ascii="宋体" w:hAnsi="宋体" w:cs="宋体"/>
                      <w:sz w:val="24"/>
                      <w:szCs w:val="24"/>
                    </w:rPr>
                    <w:t>0.05%</w:t>
                  </w:r>
                </w:p>
              </w:tc>
              <w:tc>
                <w:tcPr>
                  <w:tcW w:w="1444" w:type="dxa"/>
                  <w:noWrap w:val="0"/>
                  <w:vAlign w:val="top"/>
                </w:tcPr>
                <w:p>
                  <w:pPr>
                    <w:spacing w:line="360" w:lineRule="auto"/>
                    <w:rPr>
                      <w:rFonts w:ascii="宋体" w:hAnsi="宋体" w:cs="宋体"/>
                      <w:sz w:val="24"/>
                      <w:szCs w:val="24"/>
                    </w:rPr>
                  </w:pPr>
                  <w:r>
                    <w:rPr>
                      <w:rFonts w:hint="eastAsia" w:ascii="宋体" w:hAnsi="宋体" w:cs="宋体"/>
                      <w:sz w:val="24"/>
                      <w:szCs w:val="24"/>
                    </w:rPr>
                    <w:t>0.05%</w:t>
                  </w:r>
                </w:p>
              </w:tc>
              <w:tc>
                <w:tcPr>
                  <w:tcW w:w="1445" w:type="dxa"/>
                  <w:noWrap w:val="0"/>
                  <w:vAlign w:val="top"/>
                </w:tcPr>
                <w:p>
                  <w:pPr>
                    <w:spacing w:line="360" w:lineRule="auto"/>
                    <w:rPr>
                      <w:rFonts w:ascii="宋体" w:hAnsi="宋体" w:cs="宋体"/>
                      <w:sz w:val="24"/>
                      <w:szCs w:val="24"/>
                    </w:rPr>
                  </w:pPr>
                  <w:r>
                    <w:rPr>
                      <w:rFonts w:hint="eastAsia" w:ascii="宋体" w:hAnsi="宋体" w:cs="宋体"/>
                      <w:sz w:val="24"/>
                      <w:szCs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049" w:type="dxa"/>
                  <w:noWrap w:val="0"/>
                  <w:vAlign w:val="top"/>
                </w:tcPr>
                <w:p>
                  <w:pPr>
                    <w:spacing w:line="360" w:lineRule="auto"/>
                    <w:rPr>
                      <w:rFonts w:ascii="宋体" w:hAnsi="宋体" w:cs="宋体"/>
                      <w:sz w:val="24"/>
                      <w:szCs w:val="24"/>
                    </w:rPr>
                  </w:pPr>
                  <w:r>
                    <w:rPr>
                      <w:rFonts w:hint="eastAsia" w:ascii="宋体" w:hAnsi="宋体" w:cs="宋体"/>
                      <w:sz w:val="24"/>
                      <w:szCs w:val="24"/>
                    </w:rPr>
                    <w:t>1000000以上</w:t>
                  </w:r>
                </w:p>
              </w:tc>
              <w:tc>
                <w:tcPr>
                  <w:tcW w:w="1214" w:type="dxa"/>
                  <w:noWrap w:val="0"/>
                  <w:vAlign w:val="top"/>
                </w:tcPr>
                <w:p>
                  <w:pPr>
                    <w:spacing w:line="360" w:lineRule="auto"/>
                    <w:rPr>
                      <w:rFonts w:ascii="宋体" w:hAnsi="宋体" w:cs="宋体"/>
                      <w:sz w:val="24"/>
                      <w:szCs w:val="24"/>
                    </w:rPr>
                  </w:pPr>
                  <w:r>
                    <w:rPr>
                      <w:rFonts w:hint="eastAsia" w:ascii="宋体" w:hAnsi="宋体" w:cs="宋体"/>
                      <w:sz w:val="24"/>
                      <w:szCs w:val="24"/>
                    </w:rPr>
                    <w:t>0.01%</w:t>
                  </w:r>
                </w:p>
              </w:tc>
              <w:tc>
                <w:tcPr>
                  <w:tcW w:w="1444" w:type="dxa"/>
                  <w:noWrap w:val="0"/>
                  <w:vAlign w:val="top"/>
                </w:tcPr>
                <w:p>
                  <w:pPr>
                    <w:spacing w:line="360" w:lineRule="auto"/>
                    <w:rPr>
                      <w:rFonts w:ascii="宋体" w:hAnsi="宋体" w:cs="宋体"/>
                      <w:sz w:val="24"/>
                      <w:szCs w:val="24"/>
                    </w:rPr>
                  </w:pPr>
                  <w:r>
                    <w:rPr>
                      <w:rFonts w:hint="eastAsia" w:ascii="宋体" w:hAnsi="宋体" w:cs="宋体"/>
                      <w:sz w:val="24"/>
                      <w:szCs w:val="24"/>
                    </w:rPr>
                    <w:t>0.01%</w:t>
                  </w:r>
                </w:p>
              </w:tc>
              <w:tc>
                <w:tcPr>
                  <w:tcW w:w="1445" w:type="dxa"/>
                  <w:noWrap w:val="0"/>
                  <w:vAlign w:val="top"/>
                </w:tcPr>
                <w:p>
                  <w:pPr>
                    <w:spacing w:line="360" w:lineRule="auto"/>
                    <w:rPr>
                      <w:rFonts w:ascii="宋体" w:hAnsi="宋体" w:cs="宋体"/>
                      <w:sz w:val="24"/>
                      <w:szCs w:val="24"/>
                    </w:rPr>
                  </w:pPr>
                  <w:r>
                    <w:rPr>
                      <w:rFonts w:hint="eastAsia" w:ascii="宋体" w:hAnsi="宋体" w:cs="宋体"/>
                      <w:sz w:val="24"/>
                      <w:szCs w:val="24"/>
                    </w:rPr>
                    <w:t>0.01%</w:t>
                  </w:r>
                </w:p>
              </w:tc>
            </w:tr>
          </w:tbl>
          <w:p>
            <w:pPr>
              <w:spacing w:line="360" w:lineRule="auto"/>
              <w:rPr>
                <w:rFonts w:hint="eastAsia" w:ascii="宋体" w:hAnsi="宋体" w:eastAsia="宋体" w:cs="宋体"/>
                <w:kern w:val="2"/>
                <w:sz w:val="24"/>
                <w:szCs w:val="24"/>
                <w:lang w:val="en-US" w:eastAsia="zh-CN" w:bidi="ar-SA"/>
              </w:rPr>
            </w:pPr>
            <w:r>
              <w:rPr>
                <w:rFonts w:hint="eastAsia" w:ascii="宋体" w:hAnsi="宋体" w:cs="宋体"/>
                <w:sz w:val="24"/>
                <w:szCs w:val="24"/>
                <w:lang w:eastAsia="zh-CN"/>
              </w:rPr>
              <w:t>（</w:t>
            </w:r>
            <w:r>
              <w:rPr>
                <w:rFonts w:hint="eastAsia" w:ascii="宋体" w:hAnsi="宋体" w:cs="宋体"/>
                <w:sz w:val="24"/>
                <w:szCs w:val="24"/>
                <w:lang w:val="en-US" w:eastAsia="zh-CN"/>
              </w:rPr>
              <w:t>4</w:t>
            </w:r>
            <w:r>
              <w:rPr>
                <w:rFonts w:hint="eastAsia" w:ascii="宋体" w:hAnsi="宋体" w:cs="宋体"/>
                <w:sz w:val="24"/>
                <w:szCs w:val="24"/>
                <w:lang w:eastAsia="zh-CN"/>
              </w:rPr>
              <w:t>）</w:t>
            </w:r>
            <w:r>
              <w:rPr>
                <w:rFonts w:hint="eastAsia" w:ascii="宋体" w:hAnsi="宋体" w:cs="宋体"/>
                <w:sz w:val="24"/>
                <w:szCs w:val="24"/>
              </w:rPr>
              <w:t>本项目项目属性：</w:t>
            </w:r>
            <w:r>
              <w:rPr>
                <w:rFonts w:hint="eastAsia" w:ascii="宋体" w:hAnsi="宋体" w:cs="宋体"/>
                <w:sz w:val="24"/>
                <w:szCs w:val="24"/>
                <w:lang w:val="en-US" w:eastAsia="zh-CN"/>
              </w:rPr>
              <w:t>服务</w:t>
            </w:r>
            <w:r>
              <w:rPr>
                <w:rFonts w:hint="eastAsia" w:ascii="宋体" w:hAnsi="宋体" w:cs="宋体"/>
                <w:sz w:val="24"/>
                <w:szCs w:val="24"/>
              </w:rPr>
              <w:t>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749" w:type="dxa"/>
            <w:noWrap w:val="0"/>
            <w:vAlign w:val="center"/>
          </w:tcPr>
          <w:p>
            <w:pPr>
              <w:spacing w:line="360" w:lineRule="auto"/>
              <w:jc w:val="center"/>
              <w:rPr>
                <w:rFonts w:hint="default" w:ascii="宋体" w:hAnsi="宋体" w:eastAsia="宋体" w:cs="仿宋_GB2312"/>
                <w:sz w:val="24"/>
                <w:szCs w:val="24"/>
                <w:lang w:val="en-US" w:eastAsia="zh-CN"/>
              </w:rPr>
            </w:pPr>
            <w:r>
              <w:rPr>
                <w:rFonts w:hint="eastAsia" w:ascii="宋体" w:hAnsi="宋体" w:cs="仿宋_GB2312"/>
                <w:sz w:val="24"/>
                <w:szCs w:val="24"/>
                <w:lang w:val="en-US" w:eastAsia="zh-CN"/>
              </w:rPr>
              <w:t>34</w:t>
            </w:r>
          </w:p>
        </w:tc>
        <w:tc>
          <w:tcPr>
            <w:tcW w:w="1876" w:type="dxa"/>
            <w:noWrap w:val="0"/>
            <w:vAlign w:val="center"/>
          </w:tcPr>
          <w:p>
            <w:pPr>
              <w:spacing w:line="360" w:lineRule="auto"/>
              <w:rPr>
                <w:rFonts w:ascii="宋体" w:hAnsi="宋体" w:cs="宋体"/>
                <w:sz w:val="24"/>
                <w:szCs w:val="24"/>
              </w:rPr>
            </w:pPr>
            <w:r>
              <w:rPr>
                <w:rFonts w:hint="eastAsia" w:ascii="宋体" w:hAnsi="宋体" w:cs="宋体"/>
                <w:sz w:val="24"/>
                <w:szCs w:val="24"/>
              </w:rPr>
              <w:t>谈判报价轮次</w:t>
            </w:r>
          </w:p>
        </w:tc>
        <w:tc>
          <w:tcPr>
            <w:tcW w:w="6954" w:type="dxa"/>
            <w:noWrap w:val="0"/>
            <w:vAlign w:val="center"/>
          </w:tcPr>
          <w:p>
            <w:pPr>
              <w:spacing w:line="360" w:lineRule="auto"/>
              <w:rPr>
                <w:rFonts w:ascii="宋体" w:hAnsi="宋体" w:cs="宋体"/>
                <w:sz w:val="24"/>
                <w:szCs w:val="24"/>
              </w:rPr>
            </w:pPr>
            <w:r>
              <w:rPr>
                <w:rFonts w:hint="eastAsia" w:ascii="宋体" w:hAnsi="宋体" w:cs="宋体"/>
                <w:sz w:val="24"/>
                <w:szCs w:val="24"/>
              </w:rPr>
              <w:t>多轮（报价文件中报价为第一轮，谈判现场为第二轮）</w:t>
            </w:r>
          </w:p>
          <w:p>
            <w:pPr>
              <w:spacing w:line="360" w:lineRule="auto"/>
              <w:rPr>
                <w:rFonts w:hint="eastAsia" w:ascii="宋体" w:hAnsi="宋体" w:eastAsia="宋体" w:cs="宋体"/>
                <w:kern w:val="2"/>
                <w:sz w:val="24"/>
                <w:szCs w:val="24"/>
                <w:lang w:val="en-US" w:eastAsia="zh-CN" w:bidi="ar-SA"/>
              </w:rPr>
            </w:pPr>
            <w:r>
              <w:rPr>
                <w:rFonts w:hint="eastAsia" w:ascii="宋体" w:hAnsi="宋体" w:cs="宋体"/>
                <w:sz w:val="24"/>
                <w:szCs w:val="24"/>
              </w:rPr>
              <w:t>最后一轮报价时间：谈判现场通知</w:t>
            </w:r>
            <w:r>
              <w:rPr>
                <w:rFonts w:hint="eastAsia" w:ascii="宋体" w:hAnsi="宋体" w:cs="宋体"/>
                <w:b/>
                <w:bCs/>
                <w:sz w:val="24"/>
                <w:szCs w:val="24"/>
              </w:rPr>
              <w:t>（供应商保持在线直到评审结束，请投标单位本项目授权委托人或法人代表保持手机畅通，以便于接收最后报价通知，各供应商在CA锁-网上报价进行最后报价。）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jc w:val="center"/>
        </w:trPr>
        <w:tc>
          <w:tcPr>
            <w:tcW w:w="749" w:type="dxa"/>
            <w:noWrap w:val="0"/>
            <w:vAlign w:val="center"/>
          </w:tcPr>
          <w:p>
            <w:pPr>
              <w:spacing w:line="360" w:lineRule="auto"/>
              <w:jc w:val="center"/>
              <w:rPr>
                <w:rFonts w:hint="default" w:ascii="宋体" w:hAnsi="宋体" w:eastAsia="宋体" w:cs="仿宋_GB2312"/>
                <w:sz w:val="24"/>
                <w:szCs w:val="24"/>
                <w:lang w:val="en-US" w:eastAsia="zh-CN"/>
              </w:rPr>
            </w:pPr>
            <w:r>
              <w:rPr>
                <w:rFonts w:hint="eastAsia" w:ascii="宋体" w:hAnsi="宋体" w:cs="仿宋_GB2312"/>
                <w:sz w:val="24"/>
                <w:szCs w:val="24"/>
                <w:lang w:val="en-US" w:eastAsia="zh-CN"/>
              </w:rPr>
              <w:t>35</w:t>
            </w:r>
          </w:p>
        </w:tc>
        <w:tc>
          <w:tcPr>
            <w:tcW w:w="1876" w:type="dxa"/>
            <w:noWrap w:val="0"/>
            <w:vAlign w:val="center"/>
          </w:tcPr>
          <w:p>
            <w:pPr>
              <w:spacing w:line="360" w:lineRule="auto"/>
              <w:rPr>
                <w:rFonts w:ascii="宋体" w:hAnsi="宋体" w:cs="宋体"/>
                <w:sz w:val="24"/>
                <w:szCs w:val="24"/>
              </w:rPr>
            </w:pPr>
            <w:r>
              <w:rPr>
                <w:rFonts w:hint="eastAsia" w:ascii="宋体" w:hAnsi="宋体" w:cs="宋体"/>
                <w:b/>
                <w:bCs/>
                <w:kern w:val="0"/>
                <w:sz w:val="24"/>
                <w:szCs w:val="24"/>
              </w:rPr>
              <w:t>特别提醒</w:t>
            </w:r>
          </w:p>
        </w:tc>
        <w:tc>
          <w:tcPr>
            <w:tcW w:w="6954" w:type="dxa"/>
            <w:noWrap w:val="0"/>
            <w:vAlign w:val="center"/>
          </w:tcPr>
          <w:p>
            <w:pPr>
              <w:widowControl/>
              <w:spacing w:line="360" w:lineRule="auto"/>
              <w:jc w:val="left"/>
            </w:pPr>
            <w:r>
              <w:rPr>
                <w:rFonts w:hint="eastAsia" w:ascii="宋体" w:hAnsi="宋体" w:cs="宋体"/>
                <w:b/>
                <w:bCs/>
                <w:kern w:val="0"/>
                <w:sz w:val="24"/>
                <w:szCs w:val="24"/>
              </w:rPr>
              <w:t>本项目采用电子化投标的方式。</w:t>
            </w:r>
          </w:p>
          <w:p>
            <w:pPr>
              <w:spacing w:line="360" w:lineRule="auto"/>
              <w:rPr>
                <w:rFonts w:ascii="宋体" w:hAnsi="宋体" w:cs="宋体"/>
                <w:sz w:val="24"/>
                <w:szCs w:val="24"/>
              </w:rPr>
            </w:pPr>
            <w:r>
              <w:rPr>
                <w:rFonts w:hint="eastAsia" w:ascii="宋体" w:hAnsi="宋体" w:cs="宋体"/>
                <w:sz w:val="24"/>
                <w:szCs w:val="24"/>
                <w:lang w:val="en-US" w:eastAsia="zh-CN"/>
              </w:rPr>
              <w:t>1、本项目采用电子化不见面开标方式，供应商使用数字认证证书（CA 锁） 对响应文件进行签章、加密、上传、签到、解密；自行在“全国公共资源交易中心平台（陕西省）”上进行二次报价。供应商应在全国公共资源交 易平台（陕西省˙榆林市）（http://yl.sxggzyjy.cn/），选择“服务指南”， 点击“下载专区”；提前熟知“政府采购投标单位手册”、“政府采购投标单位二次报价手册”、“榆林不见面开标系统操作手册（投标人）”、“榆林不见面开标大厅投标人询标操作手册V1.0”。请供应商仔细阅读操作手册，了解操作流程，熟练掌握不见面开标、不见面询标操作相关事宜，若无法正常投标，供应商自行承担责任。电子响应文件制作软件技术支持热 线：400-998-0000。</w:t>
            </w:r>
          </w:p>
          <w:p>
            <w:pPr>
              <w:spacing w:line="360" w:lineRule="auto"/>
              <w:rPr>
                <w:rFonts w:ascii="宋体" w:hAnsi="宋体" w:cs="宋体"/>
                <w:sz w:val="24"/>
                <w:szCs w:val="24"/>
              </w:rPr>
            </w:pPr>
            <w:r>
              <w:rPr>
                <w:rFonts w:hint="eastAsia" w:ascii="宋体" w:hAnsi="宋体" w:cs="宋体"/>
                <w:sz w:val="24"/>
                <w:szCs w:val="24"/>
                <w:lang w:val="en-US" w:eastAsia="zh-CN"/>
              </w:rPr>
              <w:t xml:space="preserve">2、关于制作电子响应文件，供应商须在“全国公共资源交易中心平台（陕西省）（http://www.sxggzyjy.cn/）”的“服务指南”栏目“下载专区”中，下载“陕西省公共资源交易平台政府采购电子标书制作工具（V8.0.0.2)”，并升级至最新版本，使用该客户端制作电子响应文件，制作后缀为“.SXSTF”的电子响应文件。 </w:t>
            </w:r>
          </w:p>
          <w:p>
            <w:pPr>
              <w:spacing w:line="360" w:lineRule="auto"/>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3、提交电子响应文件的方法，登录全国公共资源交易中心平台（陕西省）（http://www.sxggzyjy.cn/），选择“电子交易平台—政府采购交易系统（企业端）”进行登录，登录后进入菜单“采购业务—我的项目—项目流程—上传电子响应文件”。上传成功后，电子化平台将予以记录，逾期系统将拒绝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49" w:type="dxa"/>
            <w:noWrap w:val="0"/>
            <w:vAlign w:val="center"/>
          </w:tcPr>
          <w:p>
            <w:pPr>
              <w:spacing w:line="360" w:lineRule="auto"/>
              <w:jc w:val="center"/>
              <w:rPr>
                <w:rFonts w:hint="default" w:ascii="宋体" w:hAnsi="宋体" w:eastAsia="宋体" w:cs="仿宋_GB2312"/>
                <w:sz w:val="24"/>
                <w:szCs w:val="24"/>
                <w:lang w:val="en-US" w:eastAsia="zh-CN"/>
              </w:rPr>
            </w:pPr>
            <w:r>
              <w:rPr>
                <w:rFonts w:hint="eastAsia" w:ascii="宋体" w:hAnsi="宋体" w:cs="仿宋_GB2312"/>
                <w:sz w:val="24"/>
                <w:szCs w:val="24"/>
                <w:lang w:val="en-US" w:eastAsia="zh-CN"/>
              </w:rPr>
              <w:t>36</w:t>
            </w:r>
          </w:p>
        </w:tc>
        <w:tc>
          <w:tcPr>
            <w:tcW w:w="1876" w:type="dxa"/>
            <w:noWrap w:val="0"/>
            <w:vAlign w:val="center"/>
          </w:tcPr>
          <w:p>
            <w:pPr>
              <w:pStyle w:val="24"/>
              <w:spacing w:line="360" w:lineRule="auto"/>
              <w:ind w:firstLine="0" w:firstLineChars="0"/>
              <w:rPr>
                <w:rFonts w:hint="eastAsia" w:ascii="宋体" w:hAnsi="宋体" w:cs="宋体"/>
                <w:kern w:val="0"/>
                <w:sz w:val="24"/>
                <w:szCs w:val="24"/>
              </w:rPr>
            </w:pPr>
            <w:r>
              <w:rPr>
                <w:rFonts w:hint="eastAsia" w:ascii="宋体" w:hAnsi="宋体" w:cs="宋体"/>
                <w:b/>
                <w:bCs/>
                <w:sz w:val="24"/>
                <w:szCs w:val="22"/>
              </w:rPr>
              <w:t>信用承诺公示要求</w:t>
            </w:r>
          </w:p>
        </w:tc>
        <w:tc>
          <w:tcPr>
            <w:tcW w:w="6954" w:type="dxa"/>
            <w:noWrap w:val="0"/>
            <w:vAlign w:val="center"/>
          </w:tcPr>
          <w:p>
            <w:pPr>
              <w:pStyle w:val="24"/>
              <w:spacing w:line="360" w:lineRule="auto"/>
              <w:ind w:left="0" w:leftChars="0" w:firstLine="0" w:firstLineChars="0"/>
              <w:rPr>
                <w:rFonts w:hint="eastAsia" w:ascii="宋体" w:hAnsi="宋体" w:cs="宋体"/>
                <w:sz w:val="24"/>
                <w:szCs w:val="22"/>
              </w:rPr>
            </w:pPr>
            <w:r>
              <w:rPr>
                <w:rFonts w:hint="eastAsia" w:ascii="宋体" w:hAnsi="宋体" w:cs="宋体"/>
                <w:sz w:val="24"/>
                <w:szCs w:val="22"/>
              </w:rPr>
              <w:t>为深入贯彻信用体系建设的有关精神，根据市发改委《关于在工程招投标活动中推行信用监管试点示范工作的通知》（榆政发改发〔2020〕329号）和市财政局《关于在政府采购活动中使用信用记录和信用报告以及开展承诺工作的通知》（榆政财采函〔2020〕9号）在工程建设和政府采购领域全面推行信用公开承诺制，进入公共资源交易平台的各方交易主体，均应在“信用中国（陕西榆林）”网站进行注册、登陆，自主上报信用承诺书（网址：</w:t>
            </w:r>
            <w:r>
              <w:rPr>
                <w:rFonts w:hint="eastAsia" w:ascii="宋体" w:hAnsi="宋体" w:cs="宋体"/>
                <w:sz w:val="24"/>
                <w:szCs w:val="22"/>
              </w:rPr>
              <w:fldChar w:fldCharType="begin"/>
            </w:r>
            <w:r>
              <w:rPr>
                <w:rFonts w:hint="eastAsia" w:ascii="宋体" w:hAnsi="宋体" w:cs="宋体"/>
                <w:sz w:val="24"/>
                <w:szCs w:val="22"/>
              </w:rPr>
              <w:instrText xml:space="preserve"> HYPERLINK "https://credit.yl.gov.cn/），各相关交易主体注册、登陆后根据承诺事项选择相应的模板填写《信用承诺书》，并载明承诺事由，政府采购活动中，各方交易主体的承诺事由为\“公共资源交易平台的所有活动\”。" </w:instrText>
            </w:r>
            <w:r>
              <w:rPr>
                <w:rFonts w:hint="eastAsia" w:ascii="宋体" w:hAnsi="宋体" w:cs="宋体"/>
                <w:sz w:val="24"/>
                <w:szCs w:val="22"/>
              </w:rPr>
              <w:fldChar w:fldCharType="separate"/>
            </w:r>
            <w:r>
              <w:rPr>
                <w:rFonts w:hint="eastAsia" w:ascii="宋体" w:hAnsi="宋体" w:cs="宋体"/>
                <w:sz w:val="24"/>
                <w:szCs w:val="22"/>
              </w:rPr>
              <w:t>https://credit.yl.gov.cn/），各相关交易主体注册、登陆后根据承诺事项选择相应的模板填写《信用承诺书》，并载明承诺事由，政府采购活动中，各方交易主体的承诺事由为“公共资源交易平台的所有活动”。</w:t>
            </w:r>
            <w:r>
              <w:rPr>
                <w:rFonts w:hint="eastAsia" w:ascii="宋体" w:hAnsi="宋体" w:cs="宋体"/>
                <w:sz w:val="24"/>
                <w:szCs w:val="22"/>
              </w:rPr>
              <w:fldChar w:fldCharType="end"/>
            </w:r>
          </w:p>
          <w:p>
            <w:pPr>
              <w:spacing w:line="360" w:lineRule="auto"/>
              <w:rPr>
                <w:rFonts w:hint="eastAsia" w:ascii="宋体" w:hAnsi="宋体" w:eastAsia="宋体" w:cs="宋体"/>
                <w:kern w:val="0"/>
                <w:sz w:val="24"/>
                <w:szCs w:val="24"/>
                <w:lang w:val="en-US" w:eastAsia="zh-CN" w:bidi="ar-SA"/>
              </w:rPr>
            </w:pPr>
            <w:r>
              <w:rPr>
                <w:rFonts w:hint="eastAsia" w:ascii="宋体" w:hAnsi="宋体" w:cs="宋体"/>
                <w:sz w:val="24"/>
                <w:szCs w:val="22"/>
              </w:rPr>
              <w:t>附件：信用承诺上报操作指南</w:t>
            </w:r>
          </w:p>
        </w:tc>
      </w:tr>
    </w:tbl>
    <w:p>
      <w:pPr>
        <w:pStyle w:val="4"/>
        <w:numPr>
          <w:ilvl w:val="0"/>
          <w:numId w:val="0"/>
        </w:numPr>
        <w:ind w:leftChars="0"/>
        <w:rPr>
          <w:rFonts w:hint="eastAsia"/>
        </w:rPr>
      </w:pPr>
    </w:p>
    <w:p>
      <w:pPr>
        <w:rPr>
          <w:rFonts w:hint="eastAsia" w:ascii="宋体" w:hAnsi="宋体" w:cs="宋体"/>
          <w:sz w:val="36"/>
          <w:szCs w:val="36"/>
        </w:rPr>
      </w:pPr>
      <w:r>
        <w:rPr>
          <w:rFonts w:hint="eastAsia" w:ascii="宋体" w:hAnsi="宋体" w:cs="宋体"/>
          <w:sz w:val="36"/>
          <w:szCs w:val="36"/>
        </w:rPr>
        <w:br w:type="page"/>
      </w:r>
    </w:p>
    <w:p>
      <w:pPr>
        <w:spacing w:line="240" w:lineRule="auto"/>
        <w:jc w:val="center"/>
        <w:outlineLvl w:val="0"/>
        <w:rPr>
          <w:rFonts w:ascii="宋体" w:hAnsi="宋体" w:cs="宋体"/>
          <w:b/>
          <w:bCs/>
          <w:sz w:val="36"/>
          <w:szCs w:val="36"/>
        </w:rPr>
      </w:pPr>
      <w:bookmarkStart w:id="13" w:name="_Toc6888"/>
      <w:bookmarkStart w:id="14" w:name="_Toc28262"/>
      <w:bookmarkStart w:id="15" w:name="_Toc20188"/>
      <w:bookmarkStart w:id="16" w:name="_Toc31229"/>
      <w:bookmarkStart w:id="17" w:name="_Toc17474"/>
      <w:bookmarkStart w:id="18" w:name="_Toc26946"/>
      <w:r>
        <w:rPr>
          <w:rFonts w:hint="eastAsia" w:ascii="宋体" w:hAnsi="宋体" w:cs="宋体"/>
          <w:b/>
          <w:bCs/>
          <w:sz w:val="36"/>
          <w:szCs w:val="36"/>
        </w:rPr>
        <w:t>第三部分  供应商须知</w:t>
      </w:r>
      <w:bookmarkEnd w:id="13"/>
      <w:bookmarkEnd w:id="14"/>
    </w:p>
    <w:p>
      <w:pPr>
        <w:spacing w:line="360" w:lineRule="auto"/>
        <w:outlineLvl w:val="9"/>
        <w:rPr>
          <w:rFonts w:ascii="宋体" w:hAnsi="宋体" w:eastAsia="宋体" w:cs="宋体"/>
          <w:sz w:val="36"/>
          <w:szCs w:val="24"/>
        </w:rPr>
      </w:pPr>
      <w:bookmarkStart w:id="19" w:name="_Toc23623"/>
      <w:bookmarkStart w:id="20" w:name="_Toc31058"/>
      <w:bookmarkStart w:id="21" w:name="_Toc246928895"/>
      <w:bookmarkStart w:id="22" w:name="_Toc32198"/>
      <w:bookmarkStart w:id="23" w:name="_Toc465958088"/>
      <w:bookmarkStart w:id="24" w:name="_Toc30345"/>
      <w:r>
        <w:rPr>
          <w:rFonts w:hint="eastAsia" w:ascii="宋体" w:hAnsi="宋体" w:eastAsia="宋体" w:cs="宋体"/>
          <w:sz w:val="36"/>
          <w:szCs w:val="24"/>
        </w:rPr>
        <w:t>A 总则</w:t>
      </w:r>
      <w:bookmarkEnd w:id="19"/>
      <w:bookmarkEnd w:id="20"/>
      <w:bookmarkEnd w:id="21"/>
      <w:bookmarkEnd w:id="22"/>
      <w:bookmarkEnd w:id="23"/>
      <w:bookmarkEnd w:id="24"/>
    </w:p>
    <w:p>
      <w:pPr>
        <w:spacing w:line="360" w:lineRule="auto"/>
        <w:outlineLvl w:val="9"/>
        <w:rPr>
          <w:rFonts w:hint="eastAsia" w:ascii="宋体" w:hAnsi="宋体" w:cs="宋体"/>
          <w:sz w:val="24"/>
          <w:szCs w:val="24"/>
        </w:rPr>
      </w:pPr>
      <w:bookmarkStart w:id="25" w:name="_Toc7587"/>
      <w:bookmarkStart w:id="26" w:name="_Toc31417"/>
      <w:bookmarkStart w:id="27" w:name="_Toc4811"/>
      <w:bookmarkStart w:id="28" w:name="_Toc465958089"/>
      <w:bookmarkStart w:id="29" w:name="_Toc13194"/>
      <w:bookmarkStart w:id="30" w:name="_Toc246928896"/>
      <w:bookmarkStart w:id="31" w:name="_Toc21639"/>
      <w:r>
        <w:rPr>
          <w:rFonts w:hint="eastAsia" w:ascii="宋体" w:hAnsi="宋体" w:cs="宋体"/>
          <w:sz w:val="24"/>
          <w:szCs w:val="24"/>
        </w:rPr>
        <w:t>1 适用范围</w:t>
      </w:r>
      <w:bookmarkEnd w:id="25"/>
      <w:bookmarkEnd w:id="26"/>
      <w:bookmarkEnd w:id="27"/>
      <w:bookmarkEnd w:id="28"/>
      <w:bookmarkEnd w:id="29"/>
      <w:bookmarkEnd w:id="30"/>
      <w:bookmarkEnd w:id="31"/>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1.1本竞争性谈判文件仅适用于本谈判公告中所叙述项目的</w:t>
      </w:r>
      <w:r>
        <w:rPr>
          <w:rFonts w:hint="eastAsia" w:ascii="宋体" w:hAnsi="宋体" w:cs="宋体"/>
          <w:sz w:val="24"/>
        </w:rPr>
        <w:t>货物及服务采购</w:t>
      </w:r>
      <w:r>
        <w:rPr>
          <w:rFonts w:hint="eastAsia" w:ascii="宋体" w:hAnsi="宋体" w:cs="宋体"/>
          <w:sz w:val="24"/>
          <w:szCs w:val="24"/>
        </w:rPr>
        <w:t>。</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1.2本次采购属政府采购，采购人，采购代理机构、供应商、谈判小组的相关行为均受《中华人民共和国政府采购法》、财政部规章及政府采购项目所在地有关法规、规章的约束，其权利受到上述法律法规的保护。</w:t>
      </w:r>
    </w:p>
    <w:p>
      <w:pPr>
        <w:spacing w:line="360" w:lineRule="auto"/>
        <w:outlineLvl w:val="9"/>
        <w:rPr>
          <w:rFonts w:hint="eastAsia" w:ascii="宋体" w:hAnsi="宋体" w:cs="宋体"/>
          <w:sz w:val="24"/>
          <w:szCs w:val="24"/>
        </w:rPr>
      </w:pPr>
      <w:bookmarkStart w:id="32" w:name="_Toc31636"/>
      <w:bookmarkStart w:id="33" w:name="_Toc246928897"/>
      <w:bookmarkStart w:id="34" w:name="_Toc465958090"/>
      <w:bookmarkStart w:id="35" w:name="_Toc28727"/>
      <w:bookmarkStart w:id="36" w:name="_Toc9614"/>
      <w:bookmarkStart w:id="37" w:name="_Toc18894"/>
      <w:bookmarkStart w:id="38" w:name="_Toc6698"/>
      <w:r>
        <w:rPr>
          <w:rFonts w:hint="eastAsia" w:ascii="宋体" w:hAnsi="宋体" w:cs="宋体"/>
          <w:sz w:val="24"/>
          <w:szCs w:val="24"/>
        </w:rPr>
        <w:t>2 定义</w:t>
      </w:r>
      <w:bookmarkEnd w:id="32"/>
      <w:bookmarkEnd w:id="33"/>
      <w:bookmarkEnd w:id="34"/>
      <w:bookmarkEnd w:id="35"/>
      <w:bookmarkEnd w:id="36"/>
      <w:bookmarkEnd w:id="37"/>
      <w:bookmarkEnd w:id="38"/>
      <w:r>
        <w:rPr>
          <w:rFonts w:hint="eastAsia" w:ascii="宋体" w:hAnsi="宋体" w:cs="宋体"/>
          <w:sz w:val="24"/>
          <w:szCs w:val="24"/>
        </w:rPr>
        <w:t xml:space="preserve"> </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2.1 “采购人”系指榆林市交通运输局。</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“采购代理机构”系指</w:t>
      </w:r>
      <w:r>
        <w:rPr>
          <w:rFonts w:hint="eastAsia" w:ascii="宋体" w:hAnsi="宋体" w:cs="宋体"/>
          <w:sz w:val="24"/>
          <w:szCs w:val="24"/>
          <w:lang w:eastAsia="zh-CN"/>
        </w:rPr>
        <w:t>榆林瀚海星辰项目管理有限公司</w:t>
      </w:r>
      <w:r>
        <w:rPr>
          <w:rFonts w:hint="eastAsia" w:ascii="宋体" w:hAnsi="宋体" w:cs="宋体"/>
          <w:sz w:val="24"/>
          <w:szCs w:val="24"/>
        </w:rPr>
        <w:t>。</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2.2 “供应商”系指响应采购人要求，向采购人提交竞争性谈判响应文件的供应商。</w:t>
      </w:r>
    </w:p>
    <w:p>
      <w:pPr>
        <w:spacing w:line="360" w:lineRule="auto"/>
        <w:ind w:firstLine="480" w:firstLineChars="200"/>
        <w:outlineLvl w:val="9"/>
        <w:rPr>
          <w:rFonts w:ascii="宋体" w:hAnsi="宋体" w:cs="仿宋_GB2312"/>
          <w:sz w:val="24"/>
          <w:szCs w:val="24"/>
        </w:rPr>
      </w:pPr>
      <w:bookmarkStart w:id="39" w:name="_Toc246928898"/>
      <w:r>
        <w:rPr>
          <w:rFonts w:hint="eastAsia" w:ascii="宋体" w:hAnsi="宋体" w:cs="仿宋_GB2312"/>
          <w:sz w:val="24"/>
          <w:szCs w:val="24"/>
        </w:rPr>
        <w:t>2.3 “货物”系指供应商按招标文件规定，须向买方提供的货物、备品配件、耗材、设备及其它有关技术资料和材料。</w:t>
      </w:r>
    </w:p>
    <w:p>
      <w:pPr>
        <w:spacing w:line="360" w:lineRule="auto"/>
        <w:ind w:firstLine="480" w:firstLineChars="200"/>
        <w:outlineLvl w:val="9"/>
        <w:rPr>
          <w:rFonts w:ascii="宋体" w:hAnsi="宋体" w:cs="宋体"/>
          <w:sz w:val="24"/>
          <w:szCs w:val="24"/>
        </w:rPr>
      </w:pPr>
      <w:r>
        <w:rPr>
          <w:rFonts w:hint="eastAsia" w:ascii="宋体" w:hAnsi="宋体" w:cs="仿宋_GB2312"/>
          <w:sz w:val="24"/>
          <w:szCs w:val="24"/>
        </w:rPr>
        <w:t>2.4 “服务”系指招标文件规定供应商须承担的测试、检验、调试、技术支持、售后服务以及其他类似服务的义务。</w:t>
      </w:r>
    </w:p>
    <w:bookmarkEnd w:id="39"/>
    <w:p>
      <w:pPr>
        <w:spacing w:line="360" w:lineRule="auto"/>
        <w:outlineLvl w:val="9"/>
        <w:rPr>
          <w:rFonts w:hint="eastAsia" w:ascii="宋体" w:hAnsi="宋体" w:cs="宋体"/>
          <w:sz w:val="24"/>
          <w:szCs w:val="24"/>
        </w:rPr>
      </w:pPr>
      <w:bookmarkStart w:id="40" w:name="_Toc26952"/>
      <w:bookmarkStart w:id="41" w:name="_Toc19646"/>
      <w:bookmarkStart w:id="42" w:name="_Toc465958091"/>
      <w:bookmarkStart w:id="43" w:name="_Toc20739"/>
      <w:bookmarkStart w:id="44" w:name="_Toc16727"/>
      <w:bookmarkStart w:id="45" w:name="_Toc27989"/>
      <w:r>
        <w:rPr>
          <w:rFonts w:hint="eastAsia" w:ascii="宋体" w:hAnsi="宋体" w:cs="宋体"/>
          <w:sz w:val="24"/>
          <w:szCs w:val="24"/>
        </w:rPr>
        <w:t>3 合格的</w:t>
      </w:r>
      <w:bookmarkEnd w:id="40"/>
      <w:bookmarkEnd w:id="41"/>
      <w:bookmarkEnd w:id="42"/>
      <w:bookmarkEnd w:id="43"/>
      <w:bookmarkEnd w:id="44"/>
      <w:bookmarkEnd w:id="45"/>
      <w:r>
        <w:rPr>
          <w:rFonts w:hint="eastAsia" w:ascii="宋体" w:hAnsi="宋体" w:cs="宋体"/>
          <w:sz w:val="24"/>
          <w:szCs w:val="24"/>
        </w:rPr>
        <w:t>供应商</w:t>
      </w:r>
    </w:p>
    <w:p>
      <w:pPr>
        <w:wordWrap w:val="0"/>
        <w:topLinePunct/>
        <w:spacing w:line="360" w:lineRule="auto"/>
        <w:ind w:firstLine="480" w:firstLineChars="200"/>
        <w:jc w:val="left"/>
        <w:outlineLvl w:val="9"/>
        <w:rPr>
          <w:rFonts w:ascii="宋体" w:hAnsi="宋体"/>
          <w:sz w:val="24"/>
        </w:rPr>
      </w:pPr>
      <w:bookmarkStart w:id="46" w:name="_Toc21286"/>
      <w:bookmarkStart w:id="47" w:name="_Toc246928899"/>
      <w:bookmarkStart w:id="48" w:name="_Toc18171"/>
      <w:bookmarkStart w:id="49" w:name="_Toc9563"/>
      <w:bookmarkStart w:id="50" w:name="_Toc465958092"/>
      <w:bookmarkStart w:id="51" w:name="_Toc3389"/>
      <w:bookmarkStart w:id="52" w:name="_Toc18683"/>
      <w:r>
        <w:rPr>
          <w:rFonts w:hint="eastAsia" w:ascii="宋体" w:hAnsi="宋体" w:cs="宋体"/>
          <w:sz w:val="24"/>
          <w:szCs w:val="24"/>
        </w:rPr>
        <w:t xml:space="preserve">3.1 </w:t>
      </w:r>
      <w:r>
        <w:rPr>
          <w:rFonts w:hint="eastAsia" w:ascii="宋体" w:hAnsi="宋体"/>
          <w:sz w:val="24"/>
        </w:rPr>
        <w:t>合格的供应商：满足下列资格条件且有能力提供项目所需服务的供应商。</w:t>
      </w:r>
    </w:p>
    <w:p>
      <w:pPr>
        <w:spacing w:line="360" w:lineRule="auto"/>
        <w:ind w:firstLine="480" w:firstLineChars="200"/>
        <w:outlineLvl w:val="9"/>
        <w:rPr>
          <w:rFonts w:ascii="宋体" w:hAnsi="宋体"/>
          <w:bCs/>
          <w:sz w:val="24"/>
        </w:rPr>
      </w:pPr>
      <w:r>
        <w:rPr>
          <w:rFonts w:hint="eastAsia" w:ascii="宋体" w:hAnsi="宋体" w:cs="宋体"/>
          <w:sz w:val="24"/>
          <w:szCs w:val="24"/>
        </w:rPr>
        <w:t>3.2</w:t>
      </w:r>
      <w:r>
        <w:rPr>
          <w:rFonts w:hint="eastAsia" w:ascii="宋体" w:hAnsi="宋体"/>
          <w:bCs/>
          <w:sz w:val="24"/>
        </w:rPr>
        <w:t>资格条件</w:t>
      </w:r>
    </w:p>
    <w:p>
      <w:pPr>
        <w:spacing w:line="360" w:lineRule="auto"/>
        <w:ind w:firstLine="480" w:firstLineChars="200"/>
        <w:outlineLvl w:val="9"/>
        <w:rPr>
          <w:rFonts w:hint="eastAsia" w:ascii="宋体" w:hAnsi="宋体" w:cs="宋体"/>
          <w:sz w:val="24"/>
          <w:szCs w:val="24"/>
        </w:rPr>
      </w:pPr>
      <w:r>
        <w:rPr>
          <w:rFonts w:hint="eastAsia" w:ascii="宋体" w:hAnsi="宋体"/>
          <w:bCs/>
          <w:sz w:val="24"/>
        </w:rPr>
        <w:t>3.2.1</w:t>
      </w:r>
      <w:r>
        <w:rPr>
          <w:rFonts w:hint="eastAsia" w:ascii="宋体" w:hAnsi="宋体" w:cs="宋体"/>
          <w:sz w:val="24"/>
          <w:szCs w:val="24"/>
        </w:rPr>
        <w:t>供应商应当符合《中华人民共和国政府采购法》第二十二条第一款规定的投标人基本资格条件；以及竞争性谈判文件规定的供应商</w:t>
      </w:r>
      <w:r>
        <w:rPr>
          <w:rFonts w:hint="eastAsia" w:ascii="宋体" w:hAnsi="宋体" w:cs="宋体"/>
          <w:sz w:val="24"/>
        </w:rPr>
        <w:t>特定资格条件</w:t>
      </w:r>
      <w:r>
        <w:rPr>
          <w:rFonts w:hint="eastAsia" w:ascii="宋体" w:hAnsi="宋体" w:cs="宋体"/>
          <w:sz w:val="24"/>
          <w:szCs w:val="24"/>
        </w:rPr>
        <w:t>。</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3.3供应商必须从采购代理机构获取竞争性谈判文件，供应商自行转让或复制的竞争性谈判文件视为无效文件；竞争性谈判文件一经售出，一律不退，仅作为本次谈判使用。</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3.4法定代表人或者负责人为同一人或者存在控股、管理关系的两个以上供应商，不得参加同一政府采购项目投标。</w:t>
      </w:r>
    </w:p>
    <w:p>
      <w:pPr>
        <w:spacing w:line="360" w:lineRule="auto"/>
        <w:ind w:firstLine="480" w:firstLineChars="200"/>
        <w:outlineLvl w:val="9"/>
        <w:rPr>
          <w:rFonts w:hint="eastAsia" w:ascii="宋体" w:hAnsi="宋体" w:cs="宋体"/>
          <w:color w:val="000000"/>
          <w:sz w:val="24"/>
          <w:szCs w:val="24"/>
        </w:rPr>
      </w:pPr>
      <w:r>
        <w:rPr>
          <w:rFonts w:hint="eastAsia" w:ascii="宋体" w:hAnsi="宋体" w:cs="宋体"/>
          <w:sz w:val="24"/>
          <w:szCs w:val="24"/>
        </w:rPr>
        <w:t>3.5是否接受联合体投标：见投标人须知前附表。接受联合体投标的，两个以上的自</w:t>
      </w:r>
      <w:r>
        <w:rPr>
          <w:rFonts w:hint="eastAsia" w:ascii="宋体" w:hAnsi="宋体" w:cs="宋体"/>
          <w:color w:val="000000"/>
          <w:sz w:val="24"/>
          <w:szCs w:val="24"/>
        </w:rPr>
        <w:t>然人、法人或者其他组织可以组成一个联合体，以一个供应商的身份共同参加政府采购。以联合体形式进行政府采购的，参加联合体的供应商均应当具备招标文件规定的条件，并应当向采购人提交联合协议，载明联合体各方承担的工作和义务。联合体各方应当共同与采购人签订采购合同，就采购合同约定的事项对采购人承担连带责任。</w:t>
      </w:r>
    </w:p>
    <w:p>
      <w:pPr>
        <w:spacing w:line="360" w:lineRule="auto"/>
        <w:ind w:firstLine="480" w:firstLineChars="200"/>
        <w:outlineLvl w:val="9"/>
        <w:rPr>
          <w:rFonts w:ascii="宋体" w:hAnsi="宋体" w:cs="宋体"/>
          <w:color w:val="000000"/>
          <w:sz w:val="24"/>
          <w:szCs w:val="24"/>
        </w:rPr>
      </w:pPr>
      <w:r>
        <w:rPr>
          <w:rFonts w:hint="eastAsia" w:ascii="宋体" w:hAnsi="宋体" w:cs="宋体"/>
          <w:color w:val="000000"/>
          <w:sz w:val="24"/>
          <w:szCs w:val="24"/>
        </w:rPr>
        <w:t>3.6供应商应参照《中华人民共和国政府采购法》及其它有关的中国法律和法规。</w:t>
      </w:r>
    </w:p>
    <w:p>
      <w:pPr>
        <w:spacing w:line="360" w:lineRule="auto"/>
        <w:outlineLvl w:val="9"/>
        <w:rPr>
          <w:rFonts w:hint="eastAsia" w:ascii="宋体" w:hAnsi="宋体" w:cs="宋体"/>
          <w:sz w:val="24"/>
          <w:szCs w:val="24"/>
        </w:rPr>
      </w:pPr>
      <w:r>
        <w:rPr>
          <w:rFonts w:hint="eastAsia" w:ascii="宋体" w:hAnsi="宋体" w:cs="宋体"/>
          <w:sz w:val="24"/>
          <w:szCs w:val="24"/>
        </w:rPr>
        <w:t>4 费用</w:t>
      </w:r>
      <w:bookmarkEnd w:id="46"/>
      <w:bookmarkEnd w:id="47"/>
      <w:bookmarkEnd w:id="48"/>
      <w:bookmarkEnd w:id="49"/>
      <w:bookmarkEnd w:id="50"/>
      <w:bookmarkEnd w:id="51"/>
      <w:bookmarkEnd w:id="52"/>
    </w:p>
    <w:p>
      <w:pPr>
        <w:spacing w:line="360" w:lineRule="auto"/>
        <w:ind w:firstLine="480" w:firstLineChars="200"/>
        <w:outlineLvl w:val="9"/>
        <w:rPr>
          <w:rFonts w:ascii="宋体" w:hAnsi="宋体" w:cs="宋体"/>
          <w:sz w:val="24"/>
        </w:rPr>
      </w:pPr>
      <w:r>
        <w:rPr>
          <w:rFonts w:hint="eastAsia" w:ascii="宋体" w:hAnsi="宋体" w:cs="宋体"/>
          <w:sz w:val="24"/>
        </w:rPr>
        <w:t>4.1 供应商应承担所有与编写和提交竞争性谈判响应文件有关的费用，无论谈判过程中的做法和结果如何，供应商自行承担参加谈判相关的全部费用。</w:t>
      </w:r>
    </w:p>
    <w:p>
      <w:pPr>
        <w:spacing w:line="360" w:lineRule="auto"/>
        <w:outlineLvl w:val="9"/>
        <w:rPr>
          <w:rFonts w:ascii="宋体" w:hAnsi="宋体" w:eastAsia="宋体" w:cs="宋体"/>
          <w:sz w:val="44"/>
        </w:rPr>
      </w:pPr>
      <w:bookmarkStart w:id="53" w:name="_Toc3331"/>
      <w:bookmarkStart w:id="54" w:name="_Toc1383"/>
      <w:bookmarkStart w:id="55" w:name="_Toc24227"/>
      <w:bookmarkStart w:id="56" w:name="_Toc26140"/>
      <w:bookmarkStart w:id="57" w:name="_Toc246928900"/>
      <w:bookmarkStart w:id="58" w:name="_Toc465958093"/>
      <w:r>
        <w:rPr>
          <w:rFonts w:hint="eastAsia" w:ascii="宋体" w:hAnsi="宋体" w:eastAsia="宋体" w:cs="宋体"/>
          <w:sz w:val="44"/>
        </w:rPr>
        <w:t>B 竞争性谈判文件说明</w:t>
      </w:r>
      <w:bookmarkEnd w:id="53"/>
      <w:bookmarkEnd w:id="54"/>
      <w:bookmarkEnd w:id="55"/>
      <w:bookmarkEnd w:id="56"/>
      <w:bookmarkEnd w:id="57"/>
      <w:bookmarkEnd w:id="58"/>
    </w:p>
    <w:p>
      <w:pPr>
        <w:spacing w:line="360" w:lineRule="auto"/>
        <w:outlineLvl w:val="9"/>
        <w:rPr>
          <w:rFonts w:hint="eastAsia" w:ascii="宋体" w:hAnsi="宋体" w:cs="宋体"/>
          <w:sz w:val="24"/>
          <w:szCs w:val="24"/>
        </w:rPr>
      </w:pPr>
      <w:bookmarkStart w:id="59" w:name="_Toc246928901"/>
      <w:bookmarkStart w:id="60" w:name="_Toc21132"/>
      <w:bookmarkStart w:id="61" w:name="_Toc6287"/>
      <w:bookmarkStart w:id="62" w:name="_Toc16142"/>
      <w:bookmarkStart w:id="63" w:name="_Toc7327"/>
      <w:bookmarkStart w:id="64" w:name="_Toc465958094"/>
      <w:bookmarkStart w:id="65" w:name="_Toc15639"/>
      <w:r>
        <w:rPr>
          <w:rFonts w:hint="eastAsia" w:ascii="宋体" w:hAnsi="宋体" w:cs="宋体"/>
          <w:sz w:val="24"/>
          <w:szCs w:val="24"/>
        </w:rPr>
        <w:t>5 竞争性谈判文件的构成</w:t>
      </w:r>
      <w:bookmarkEnd w:id="59"/>
      <w:bookmarkEnd w:id="60"/>
      <w:bookmarkEnd w:id="61"/>
      <w:bookmarkEnd w:id="62"/>
      <w:bookmarkEnd w:id="63"/>
      <w:bookmarkEnd w:id="64"/>
      <w:bookmarkEnd w:id="65"/>
    </w:p>
    <w:p>
      <w:pPr>
        <w:spacing w:line="360" w:lineRule="auto"/>
        <w:ind w:firstLine="480" w:firstLineChars="200"/>
        <w:outlineLvl w:val="9"/>
        <w:rPr>
          <w:rFonts w:hint="eastAsia" w:ascii="宋体" w:hAnsi="宋体" w:cs="宋体"/>
          <w:sz w:val="24"/>
        </w:rPr>
      </w:pPr>
      <w:r>
        <w:rPr>
          <w:rFonts w:hint="eastAsia" w:ascii="宋体" w:hAnsi="宋体" w:cs="宋体"/>
          <w:sz w:val="24"/>
        </w:rPr>
        <w:t>5.1 竞争性谈判文件以阐明所需提供的货物、采购、谈判程序和合同条件。竞争性谈判文件包括：</w:t>
      </w:r>
    </w:p>
    <w:p>
      <w:pPr>
        <w:spacing w:line="360" w:lineRule="auto"/>
        <w:ind w:firstLine="480" w:firstLineChars="200"/>
        <w:outlineLvl w:val="9"/>
        <w:rPr>
          <w:rFonts w:hint="eastAsia" w:ascii="宋体" w:hAnsi="宋体" w:cs="宋体"/>
          <w:sz w:val="24"/>
        </w:rPr>
      </w:pPr>
      <w:r>
        <w:rPr>
          <w:rFonts w:hint="eastAsia" w:ascii="宋体" w:hAnsi="宋体" w:cs="宋体"/>
          <w:sz w:val="24"/>
        </w:rPr>
        <w:t>5.1.1 竞争性谈判公告；</w:t>
      </w:r>
    </w:p>
    <w:p>
      <w:pPr>
        <w:spacing w:line="360" w:lineRule="auto"/>
        <w:ind w:firstLine="480" w:firstLineChars="200"/>
        <w:outlineLvl w:val="9"/>
        <w:rPr>
          <w:rFonts w:hint="eastAsia" w:ascii="宋体" w:hAnsi="宋体" w:cs="宋体"/>
          <w:sz w:val="24"/>
        </w:rPr>
      </w:pPr>
      <w:r>
        <w:rPr>
          <w:rFonts w:hint="eastAsia" w:ascii="宋体" w:hAnsi="宋体" w:cs="宋体"/>
          <w:sz w:val="24"/>
        </w:rPr>
        <w:t>5.1.2 供应商须知前附表；</w:t>
      </w:r>
    </w:p>
    <w:p>
      <w:pPr>
        <w:spacing w:line="360" w:lineRule="auto"/>
        <w:ind w:firstLine="480" w:firstLineChars="200"/>
        <w:outlineLvl w:val="9"/>
        <w:rPr>
          <w:rFonts w:hint="eastAsia" w:ascii="宋体" w:hAnsi="宋体" w:cs="宋体"/>
          <w:sz w:val="24"/>
        </w:rPr>
      </w:pPr>
      <w:r>
        <w:rPr>
          <w:rFonts w:hint="eastAsia" w:ascii="宋体" w:hAnsi="宋体" w:cs="宋体"/>
          <w:sz w:val="24"/>
        </w:rPr>
        <w:t>5.1.3 供应商须知；</w:t>
      </w:r>
    </w:p>
    <w:p>
      <w:pPr>
        <w:spacing w:line="360" w:lineRule="auto"/>
        <w:ind w:firstLine="480" w:firstLineChars="200"/>
        <w:outlineLvl w:val="9"/>
        <w:rPr>
          <w:rFonts w:hint="eastAsia" w:ascii="宋体" w:hAnsi="宋体" w:cs="宋体"/>
          <w:sz w:val="24"/>
        </w:rPr>
      </w:pPr>
      <w:r>
        <w:rPr>
          <w:rFonts w:hint="eastAsia" w:ascii="宋体" w:hAnsi="宋体" w:cs="宋体"/>
          <w:sz w:val="24"/>
        </w:rPr>
        <w:t>5.1.4 政府采购合同；</w:t>
      </w:r>
      <w:r>
        <w:rPr>
          <w:rFonts w:hint="eastAsia" w:ascii="宋体" w:hAnsi="宋体" w:cs="宋体"/>
          <w:sz w:val="24"/>
        </w:rPr>
        <w:tab/>
      </w:r>
    </w:p>
    <w:p>
      <w:pPr>
        <w:spacing w:line="360" w:lineRule="auto"/>
        <w:ind w:firstLine="480" w:firstLineChars="200"/>
        <w:outlineLvl w:val="9"/>
        <w:rPr>
          <w:rFonts w:hint="eastAsia" w:ascii="宋体" w:hAnsi="宋体" w:cs="宋体"/>
          <w:sz w:val="24"/>
        </w:rPr>
      </w:pPr>
      <w:r>
        <w:rPr>
          <w:rFonts w:hint="eastAsia" w:ascii="宋体" w:hAnsi="宋体" w:cs="宋体"/>
          <w:sz w:val="24"/>
        </w:rPr>
        <w:t>5.1.5 商务要求；</w:t>
      </w:r>
    </w:p>
    <w:p>
      <w:pPr>
        <w:spacing w:line="360" w:lineRule="auto"/>
        <w:ind w:firstLine="480" w:firstLineChars="200"/>
        <w:outlineLvl w:val="9"/>
        <w:rPr>
          <w:rFonts w:hint="eastAsia" w:ascii="宋体" w:hAnsi="宋体" w:cs="宋体"/>
          <w:sz w:val="24"/>
        </w:rPr>
      </w:pPr>
      <w:r>
        <w:rPr>
          <w:rFonts w:hint="eastAsia" w:ascii="宋体" w:hAnsi="宋体" w:cs="宋体"/>
          <w:sz w:val="24"/>
        </w:rPr>
        <w:t xml:space="preserve">5.1.6 采购内容及要求； </w:t>
      </w:r>
    </w:p>
    <w:p>
      <w:pPr>
        <w:spacing w:line="360" w:lineRule="auto"/>
        <w:ind w:firstLine="480" w:firstLineChars="200"/>
        <w:outlineLvl w:val="9"/>
        <w:rPr>
          <w:rFonts w:hint="eastAsia" w:ascii="宋体" w:hAnsi="宋体" w:cs="宋体"/>
          <w:sz w:val="24"/>
        </w:rPr>
      </w:pPr>
      <w:r>
        <w:rPr>
          <w:rFonts w:hint="eastAsia" w:ascii="宋体" w:hAnsi="宋体" w:cs="宋体"/>
          <w:sz w:val="24"/>
        </w:rPr>
        <w:t>5.1.7 评审方法；</w:t>
      </w:r>
    </w:p>
    <w:p>
      <w:pPr>
        <w:spacing w:line="360" w:lineRule="auto"/>
        <w:ind w:firstLine="480" w:firstLineChars="200"/>
        <w:outlineLvl w:val="9"/>
        <w:rPr>
          <w:rFonts w:hint="eastAsia" w:ascii="宋体" w:hAnsi="宋体" w:cs="宋体"/>
          <w:sz w:val="24"/>
        </w:rPr>
      </w:pPr>
      <w:r>
        <w:rPr>
          <w:rFonts w:hint="eastAsia" w:ascii="宋体" w:hAnsi="宋体" w:cs="宋体"/>
          <w:sz w:val="24"/>
        </w:rPr>
        <w:t>5.1.8竞争性谈判响应文件格式</w:t>
      </w:r>
    </w:p>
    <w:p>
      <w:pPr>
        <w:spacing w:line="360" w:lineRule="auto"/>
        <w:ind w:firstLine="480" w:firstLineChars="200"/>
        <w:outlineLvl w:val="9"/>
        <w:rPr>
          <w:rFonts w:hint="eastAsia" w:ascii="宋体" w:hAnsi="宋体" w:cs="宋体"/>
          <w:sz w:val="24"/>
        </w:rPr>
      </w:pPr>
      <w:r>
        <w:rPr>
          <w:rFonts w:hint="eastAsia" w:ascii="宋体" w:hAnsi="宋体" w:cs="宋体"/>
          <w:sz w:val="24"/>
        </w:rPr>
        <w:t>5.1.9封袋正面标识式样</w:t>
      </w:r>
    </w:p>
    <w:p>
      <w:pPr>
        <w:spacing w:line="360" w:lineRule="auto"/>
        <w:ind w:firstLine="480" w:firstLineChars="200"/>
        <w:outlineLvl w:val="9"/>
        <w:rPr>
          <w:rFonts w:hint="eastAsia" w:ascii="宋体" w:hAnsi="宋体" w:cs="宋体"/>
          <w:sz w:val="24"/>
        </w:rPr>
      </w:pPr>
      <w:r>
        <w:rPr>
          <w:rFonts w:hint="eastAsia" w:ascii="宋体" w:hAnsi="宋体" w:cs="宋体"/>
          <w:sz w:val="24"/>
        </w:rPr>
        <w:t>5.2 供应商应认真阅读竞争性谈判文件中所有的事项、格式、条款和规范要求等。</w:t>
      </w:r>
    </w:p>
    <w:p>
      <w:pPr>
        <w:spacing w:line="360" w:lineRule="auto"/>
        <w:ind w:firstLine="480" w:firstLineChars="200"/>
        <w:outlineLvl w:val="9"/>
        <w:rPr>
          <w:rFonts w:hint="eastAsia" w:ascii="宋体" w:hAnsi="宋体" w:cs="宋体"/>
          <w:sz w:val="24"/>
        </w:rPr>
      </w:pPr>
      <w:r>
        <w:rPr>
          <w:rFonts w:hint="eastAsia" w:ascii="宋体" w:hAnsi="宋体" w:cs="宋体"/>
          <w:sz w:val="24"/>
        </w:rPr>
        <w:t>5.3 供应商没有对竞争性谈判文件全面做出实质性响应是供应商的风险。采购人有权拒绝没有对竞争性谈判文件要求做出实质性响应的谈判。</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5.4采购项目需要落实的政府采购政策：国务院财政部门会同有关部门制定的采购需求标准、预留采购份额、价格评审优惠、优先采购等措施，实现节约能源、保护环境、扶持不发达地区和少数民族地区、促进中小企业发展等目标的政府采购政策。</w:t>
      </w:r>
    </w:p>
    <w:p>
      <w:pPr>
        <w:pStyle w:val="13"/>
        <w:spacing w:before="0" w:beforeAutospacing="0" w:after="0" w:afterAutospacing="0" w:line="360" w:lineRule="auto"/>
        <w:ind w:firstLine="480" w:firstLineChars="200"/>
        <w:jc w:val="both"/>
        <w:outlineLvl w:val="9"/>
        <w:rPr>
          <w:rFonts w:ascii="宋体" w:hAnsi="宋体" w:cs="宋体"/>
          <w:bCs/>
          <w:szCs w:val="24"/>
        </w:rPr>
      </w:pPr>
      <w:r>
        <w:rPr>
          <w:rFonts w:hint="eastAsia" w:ascii="宋体" w:hAnsi="宋体" w:cs="宋体"/>
          <w:bCs/>
          <w:szCs w:val="24"/>
        </w:rPr>
        <w:t>5.4.1</w:t>
      </w:r>
      <w:r>
        <w:rPr>
          <w:rFonts w:hint="eastAsia" w:ascii="宋体" w:hAnsi="宋体" w:cs="宋体"/>
          <w:spacing w:val="6"/>
          <w:kern w:val="2"/>
          <w:szCs w:val="24"/>
        </w:rPr>
        <w:t>根据</w:t>
      </w:r>
      <w:r>
        <w:rPr>
          <w:rFonts w:hint="eastAsia" w:ascii="宋体" w:hAnsi="宋体" w:cs="宋体"/>
          <w:kern w:val="2"/>
          <w:szCs w:val="24"/>
        </w:rPr>
        <w:t>《政府采购促进中小企业发展管理办法》（财库【2020】46号）</w:t>
      </w:r>
      <w:r>
        <w:rPr>
          <w:rFonts w:hint="eastAsia" w:ascii="宋体" w:hAnsi="宋体" w:cs="宋体"/>
          <w:spacing w:val="6"/>
          <w:kern w:val="2"/>
          <w:szCs w:val="24"/>
        </w:rPr>
        <w:t>的规定</w:t>
      </w:r>
      <w:r>
        <w:rPr>
          <w:rFonts w:hint="eastAsia" w:ascii="宋体" w:hAnsi="宋体" w:cs="宋体"/>
          <w:kern w:val="2"/>
          <w:szCs w:val="24"/>
        </w:rPr>
        <w:t>中、小、微企业参加投标时对小型和微型企业产品的价格给予20%的扣除，用扣除后的价格参与评审。</w:t>
      </w:r>
    </w:p>
    <w:p>
      <w:pPr>
        <w:widowControl/>
        <w:tabs>
          <w:tab w:val="left" w:pos="1620"/>
        </w:tabs>
        <w:spacing w:line="360" w:lineRule="auto"/>
        <w:ind w:firstLine="420" w:firstLineChars="175"/>
        <w:jc w:val="left"/>
        <w:outlineLvl w:val="9"/>
        <w:rPr>
          <w:rFonts w:ascii="宋体" w:hAnsi="宋体" w:cs="宋体"/>
          <w:bCs/>
          <w:kern w:val="0"/>
          <w:sz w:val="24"/>
          <w:szCs w:val="24"/>
        </w:rPr>
      </w:pPr>
      <w:r>
        <w:rPr>
          <w:rFonts w:hint="eastAsia" w:ascii="宋体" w:hAnsi="宋体" w:cs="宋体"/>
          <w:bCs/>
          <w:kern w:val="0"/>
          <w:sz w:val="24"/>
          <w:szCs w:val="24"/>
        </w:rPr>
        <w:t>5.4.2《财政部司法部关于政府采购支持监狱企业发展有关问题的通知》--财库[2014]68号 ；</w:t>
      </w:r>
    </w:p>
    <w:p>
      <w:pPr>
        <w:widowControl/>
        <w:tabs>
          <w:tab w:val="left" w:pos="1620"/>
        </w:tabs>
        <w:spacing w:line="360" w:lineRule="auto"/>
        <w:ind w:firstLine="420" w:firstLineChars="175"/>
        <w:jc w:val="left"/>
        <w:outlineLvl w:val="9"/>
        <w:rPr>
          <w:rFonts w:ascii="宋体" w:hAnsi="宋体" w:cs="宋体"/>
          <w:bCs/>
          <w:kern w:val="0"/>
          <w:sz w:val="24"/>
          <w:szCs w:val="24"/>
        </w:rPr>
      </w:pPr>
      <w:r>
        <w:rPr>
          <w:rFonts w:hint="eastAsia" w:ascii="宋体" w:hAnsi="宋体" w:cs="宋体"/>
          <w:bCs/>
          <w:kern w:val="0"/>
          <w:sz w:val="24"/>
          <w:szCs w:val="24"/>
        </w:rPr>
        <w:t>5.4.3《国务院办公厅关于建立政府强制采购节能产品制度的通知》--国办发[2007]51号 ；</w:t>
      </w:r>
    </w:p>
    <w:p>
      <w:pPr>
        <w:widowControl/>
        <w:tabs>
          <w:tab w:val="left" w:pos="1620"/>
        </w:tabs>
        <w:spacing w:line="360" w:lineRule="auto"/>
        <w:ind w:firstLine="420" w:firstLineChars="175"/>
        <w:jc w:val="left"/>
        <w:outlineLvl w:val="9"/>
        <w:rPr>
          <w:rFonts w:ascii="宋体" w:hAnsi="宋体" w:cs="宋体"/>
          <w:bCs/>
          <w:kern w:val="0"/>
          <w:sz w:val="24"/>
          <w:szCs w:val="24"/>
        </w:rPr>
      </w:pPr>
      <w:r>
        <w:rPr>
          <w:rFonts w:hint="eastAsia" w:ascii="宋体" w:hAnsi="宋体" w:cs="宋体"/>
          <w:bCs/>
          <w:kern w:val="0"/>
          <w:sz w:val="24"/>
          <w:szCs w:val="24"/>
        </w:rPr>
        <w:t xml:space="preserve">5.4.4《节能产品政府采购实施意见》--（财库[2004]185号）； </w:t>
      </w:r>
    </w:p>
    <w:p>
      <w:pPr>
        <w:widowControl/>
        <w:tabs>
          <w:tab w:val="left" w:pos="1620"/>
        </w:tabs>
        <w:spacing w:line="360" w:lineRule="auto"/>
        <w:ind w:firstLine="420" w:firstLineChars="175"/>
        <w:jc w:val="left"/>
        <w:outlineLvl w:val="9"/>
        <w:rPr>
          <w:rFonts w:ascii="宋体" w:hAnsi="宋体" w:cs="宋体"/>
          <w:bCs/>
          <w:kern w:val="0"/>
          <w:sz w:val="24"/>
          <w:szCs w:val="24"/>
        </w:rPr>
      </w:pPr>
      <w:r>
        <w:rPr>
          <w:rFonts w:hint="eastAsia" w:ascii="宋体" w:hAnsi="宋体" w:cs="宋体"/>
          <w:bCs/>
          <w:kern w:val="0"/>
          <w:sz w:val="24"/>
          <w:szCs w:val="24"/>
        </w:rPr>
        <w:t>5.4.5《环境标志产品政府采购实施的意见》--财库[2006]90号，投标人所投产品应优先选择财政部、国家发展改革委公布的环境标志产品政府采购清单目录内的产品（须提供节能、环保认证证书复印件加盖公章）</w:t>
      </w:r>
      <w:r>
        <w:rPr>
          <w:rFonts w:hint="eastAsia" w:ascii="宋体" w:hAnsi="宋体" w:cs="宋体"/>
          <w:sz w:val="24"/>
          <w:szCs w:val="24"/>
        </w:rPr>
        <w:t>；</w:t>
      </w:r>
    </w:p>
    <w:p>
      <w:pPr>
        <w:spacing w:line="360" w:lineRule="auto"/>
        <w:ind w:firstLine="420" w:firstLineChars="175"/>
        <w:outlineLvl w:val="9"/>
        <w:rPr>
          <w:rFonts w:ascii="宋体" w:hAnsi="宋体" w:cs="宋体"/>
          <w:bCs/>
          <w:kern w:val="0"/>
          <w:sz w:val="24"/>
          <w:szCs w:val="24"/>
        </w:rPr>
      </w:pPr>
      <w:r>
        <w:rPr>
          <w:rFonts w:hint="eastAsia" w:ascii="宋体" w:hAnsi="宋体" w:cs="宋体"/>
          <w:bCs/>
          <w:kern w:val="0"/>
          <w:sz w:val="24"/>
          <w:szCs w:val="24"/>
        </w:rPr>
        <w:t>5.4.6《财政部民政部中国残疾人联合会关于促进残疾人就业政府采购政策的通知》--（财库〔2017〕141号）；</w:t>
      </w:r>
    </w:p>
    <w:p>
      <w:pPr>
        <w:pStyle w:val="6"/>
        <w:spacing w:line="360" w:lineRule="auto"/>
        <w:outlineLvl w:val="9"/>
        <w:rPr>
          <w:rFonts w:ascii="宋体" w:hAnsi="宋体" w:cs="宋体"/>
          <w:bCs/>
          <w:kern w:val="0"/>
          <w:sz w:val="24"/>
          <w:szCs w:val="24"/>
        </w:rPr>
      </w:pPr>
      <w:r>
        <w:rPr>
          <w:rFonts w:hint="eastAsia" w:ascii="宋体" w:hAnsi="宋体" w:cs="宋体"/>
          <w:bCs/>
          <w:kern w:val="0"/>
          <w:sz w:val="24"/>
          <w:szCs w:val="24"/>
        </w:rPr>
        <w:t xml:space="preserve">    5.4.7《政府采购贫困地区农副产品实施方案》--（财库〔2019〕41号）；</w:t>
      </w:r>
    </w:p>
    <w:p>
      <w:pPr>
        <w:widowControl/>
        <w:tabs>
          <w:tab w:val="left" w:pos="1620"/>
        </w:tabs>
        <w:adjustRightInd w:val="0"/>
        <w:snapToGrid w:val="0"/>
        <w:spacing w:line="360" w:lineRule="auto"/>
        <w:ind w:firstLine="480" w:firstLineChars="200"/>
        <w:jc w:val="left"/>
        <w:outlineLvl w:val="9"/>
        <w:rPr>
          <w:rFonts w:ascii="宋体" w:hAnsi="宋体" w:cs="宋体"/>
          <w:bCs/>
          <w:kern w:val="0"/>
          <w:sz w:val="24"/>
          <w:szCs w:val="24"/>
        </w:rPr>
      </w:pPr>
      <w:r>
        <w:rPr>
          <w:rFonts w:hint="eastAsia" w:ascii="宋体" w:hAnsi="宋体" w:cs="宋体"/>
          <w:bCs/>
          <w:kern w:val="0"/>
          <w:sz w:val="24"/>
          <w:szCs w:val="24"/>
        </w:rPr>
        <w:t>5.4.8《关于在政府采购活动中查询及使用信用记录有关问题的通知》（财库〔2016〕125号）；</w:t>
      </w:r>
    </w:p>
    <w:p>
      <w:pPr>
        <w:pStyle w:val="6"/>
        <w:spacing w:line="360" w:lineRule="auto"/>
        <w:ind w:left="19" w:leftChars="9" w:firstLine="458" w:firstLineChars="191"/>
        <w:outlineLvl w:val="9"/>
      </w:pPr>
      <w:r>
        <w:rPr>
          <w:rFonts w:hint="eastAsia" w:ascii="宋体" w:hAnsi="宋体" w:cs="宋体"/>
          <w:bCs/>
          <w:kern w:val="0"/>
          <w:sz w:val="24"/>
          <w:szCs w:val="24"/>
        </w:rPr>
        <w:t xml:space="preserve">5.4.9《关于开展政府采购信用担保试点工作的通知》（财库【2011】124号）。 </w:t>
      </w:r>
    </w:p>
    <w:p>
      <w:pPr>
        <w:widowControl/>
        <w:tabs>
          <w:tab w:val="left" w:pos="1620"/>
        </w:tabs>
        <w:adjustRightInd w:val="0"/>
        <w:snapToGrid w:val="0"/>
        <w:spacing w:line="360" w:lineRule="auto"/>
        <w:ind w:firstLine="480" w:firstLineChars="200"/>
        <w:jc w:val="left"/>
        <w:outlineLvl w:val="9"/>
        <w:rPr>
          <w:rFonts w:ascii="宋体" w:hAnsi="宋体" w:cs="宋体"/>
          <w:bCs/>
          <w:kern w:val="0"/>
          <w:sz w:val="24"/>
          <w:szCs w:val="24"/>
        </w:rPr>
      </w:pPr>
      <w:r>
        <w:rPr>
          <w:rFonts w:hint="eastAsia" w:ascii="宋体" w:hAnsi="宋体" w:cs="仿宋_GB2312"/>
          <w:kern w:val="0"/>
          <w:sz w:val="24"/>
          <w:szCs w:val="24"/>
        </w:rPr>
        <w:t>5.4.10</w:t>
      </w:r>
      <w:r>
        <w:rPr>
          <w:rFonts w:hint="eastAsia" w:ascii="宋体" w:hAnsi="宋体" w:cs="宋体"/>
          <w:bCs/>
          <w:kern w:val="0"/>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w:t>
      </w:r>
      <w:r>
        <w:rPr>
          <w:rFonts w:hint="eastAsia" w:ascii="宋体" w:hAnsi="宋体" w:cs="宋体"/>
          <w:bCs/>
          <w:kern w:val="0"/>
          <w:sz w:val="24"/>
          <w:szCs w:val="24"/>
        </w:rPr>
        <w:drawing>
          <wp:inline distT="0" distB="0" distL="114300" distR="114300">
            <wp:extent cx="190500" cy="142875"/>
            <wp:effectExtent l="0" t="0" r="0" b="952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0"/>
                    <a:stretch>
                      <a:fillRect/>
                    </a:stretch>
                  </pic:blipFill>
                  <pic:spPr>
                    <a:xfrm>
                      <a:off x="0" y="0"/>
                      <a:ext cx="190500" cy="142875"/>
                    </a:xfrm>
                    <a:prstGeom prst="rect">
                      <a:avLst/>
                    </a:prstGeom>
                    <a:noFill/>
                    <a:ln>
                      <a:noFill/>
                    </a:ln>
                  </pic:spPr>
                </pic:pic>
              </a:graphicData>
            </a:graphic>
          </wp:inline>
        </w:drawing>
      </w:r>
      <w:r>
        <w:rPr>
          <w:rFonts w:hint="eastAsia" w:ascii="宋体" w:hAnsi="宋体" w:cs="宋体"/>
          <w:bCs/>
          <w:kern w:val="0"/>
          <w:sz w:val="24"/>
          <w:szCs w:val="24"/>
        </w:rPr>
        <w:t>http://www.ccgp-shaanxi.gov.cn/zcdservice/zcd/shanxi/）在线申请，依法参加政府采购信用融资活动。</w:t>
      </w:r>
    </w:p>
    <w:p>
      <w:pPr>
        <w:adjustRightInd w:val="0"/>
        <w:snapToGrid w:val="0"/>
        <w:spacing w:line="360" w:lineRule="auto"/>
        <w:outlineLvl w:val="9"/>
        <w:rPr>
          <w:rFonts w:ascii="宋体" w:hAnsi="宋体" w:cs="宋体"/>
          <w:bCs/>
          <w:kern w:val="0"/>
          <w:sz w:val="24"/>
          <w:szCs w:val="24"/>
        </w:rPr>
      </w:pPr>
      <w:r>
        <w:rPr>
          <w:rFonts w:hint="eastAsia" w:ascii="宋体" w:hAnsi="宋体" w:cs="宋体"/>
          <w:bCs/>
          <w:kern w:val="0"/>
          <w:sz w:val="24"/>
          <w:szCs w:val="24"/>
        </w:rPr>
        <w:t>目前的合作银行有：北京银行、中国建设银行、中信银行、中国平安银行、中国光大银行、浦发银行、兴业银行、中国工商银行、秦农银行、浙商银行、中国银行、西安银行、中国农业银行、中国邮政储蓄银行（排名不分先后）。</w:t>
      </w:r>
    </w:p>
    <w:p>
      <w:pPr>
        <w:spacing w:line="360" w:lineRule="auto"/>
        <w:outlineLvl w:val="9"/>
        <w:rPr>
          <w:rFonts w:hint="eastAsia" w:ascii="宋体" w:hAnsi="宋体" w:cs="宋体"/>
          <w:sz w:val="24"/>
          <w:szCs w:val="24"/>
        </w:rPr>
      </w:pPr>
      <w:bookmarkStart w:id="66" w:name="_Toc32248"/>
      <w:bookmarkStart w:id="67" w:name="_Toc465958095"/>
      <w:bookmarkStart w:id="68" w:name="_Toc9452"/>
      <w:bookmarkStart w:id="69" w:name="_Toc2275"/>
      <w:bookmarkStart w:id="70" w:name="_Toc29090"/>
      <w:bookmarkStart w:id="71" w:name="_Toc7858"/>
      <w:bookmarkStart w:id="72" w:name="_Toc246928902"/>
      <w:r>
        <w:rPr>
          <w:rFonts w:hint="eastAsia" w:ascii="宋体" w:hAnsi="宋体" w:cs="宋体"/>
          <w:sz w:val="24"/>
          <w:szCs w:val="24"/>
        </w:rPr>
        <w:t>6 竞争性谈判文件的澄清</w:t>
      </w:r>
      <w:bookmarkEnd w:id="66"/>
      <w:bookmarkEnd w:id="67"/>
      <w:bookmarkEnd w:id="68"/>
      <w:bookmarkEnd w:id="69"/>
      <w:bookmarkEnd w:id="70"/>
      <w:bookmarkEnd w:id="71"/>
      <w:bookmarkEnd w:id="72"/>
    </w:p>
    <w:p>
      <w:pPr>
        <w:spacing w:line="360" w:lineRule="auto"/>
        <w:ind w:firstLine="480" w:firstLineChars="200"/>
        <w:outlineLvl w:val="9"/>
        <w:rPr>
          <w:rFonts w:ascii="宋体" w:hAnsi="宋体" w:cs="宋体"/>
          <w:sz w:val="24"/>
        </w:rPr>
      </w:pPr>
      <w:r>
        <w:rPr>
          <w:rFonts w:hint="eastAsia" w:ascii="宋体" w:hAnsi="宋体" w:cs="宋体"/>
          <w:sz w:val="24"/>
        </w:rPr>
        <w:t>6.1 任何要求对竞争性谈判文件澄清的供应商，均应以书面形式在谈判截止时间2日前通知采购代理机构。采购代理机构将以书面形式予以答复，并在其认为必要时，将不标明查询来源的书面答复通知竞争性谈判文件收受人。</w:t>
      </w:r>
    </w:p>
    <w:p>
      <w:pPr>
        <w:spacing w:line="360" w:lineRule="auto"/>
        <w:ind w:firstLine="480" w:firstLineChars="200"/>
        <w:outlineLvl w:val="9"/>
        <w:rPr>
          <w:rFonts w:ascii="宋体" w:hAnsi="宋体" w:cs="宋体"/>
          <w:sz w:val="24"/>
        </w:rPr>
      </w:pPr>
      <w:r>
        <w:rPr>
          <w:rFonts w:hint="eastAsia" w:ascii="宋体" w:hAnsi="宋体" w:cs="宋体"/>
          <w:sz w:val="24"/>
        </w:rPr>
        <w:t>6.2 供应商收到上述通知后，应当立即向采购代理机构发出回函予以确认。</w:t>
      </w:r>
    </w:p>
    <w:p>
      <w:pPr>
        <w:spacing w:line="360" w:lineRule="auto"/>
        <w:ind w:firstLine="480" w:firstLineChars="200"/>
        <w:outlineLvl w:val="9"/>
        <w:rPr>
          <w:rFonts w:ascii="宋体" w:hAnsi="宋体" w:cs="宋体"/>
          <w:sz w:val="24"/>
        </w:rPr>
      </w:pPr>
      <w:r>
        <w:rPr>
          <w:rFonts w:hint="eastAsia" w:ascii="宋体" w:hAnsi="宋体" w:cs="宋体"/>
          <w:sz w:val="24"/>
        </w:rPr>
        <w:t>6.3 该澄清的内容为竞争性谈判文件的组成部分。</w:t>
      </w:r>
    </w:p>
    <w:p>
      <w:pPr>
        <w:spacing w:line="360" w:lineRule="auto"/>
        <w:outlineLvl w:val="9"/>
        <w:rPr>
          <w:rFonts w:hint="eastAsia" w:ascii="宋体" w:hAnsi="宋体" w:cs="宋体"/>
          <w:sz w:val="24"/>
          <w:szCs w:val="24"/>
        </w:rPr>
      </w:pPr>
      <w:bookmarkStart w:id="73" w:name="_Toc465958096"/>
      <w:bookmarkStart w:id="74" w:name="_Toc11107"/>
      <w:bookmarkStart w:id="75" w:name="_Toc28323"/>
      <w:bookmarkStart w:id="76" w:name="_Toc29244"/>
      <w:bookmarkStart w:id="77" w:name="_Toc246928903"/>
      <w:bookmarkStart w:id="78" w:name="_Toc25100"/>
      <w:bookmarkStart w:id="79" w:name="_Toc30004"/>
      <w:r>
        <w:rPr>
          <w:rFonts w:hint="eastAsia" w:ascii="宋体" w:hAnsi="宋体" w:cs="宋体"/>
          <w:sz w:val="24"/>
          <w:szCs w:val="24"/>
        </w:rPr>
        <w:t>7 竞争性谈判文件的修改</w:t>
      </w:r>
      <w:bookmarkEnd w:id="73"/>
      <w:bookmarkEnd w:id="74"/>
      <w:bookmarkEnd w:id="75"/>
      <w:bookmarkEnd w:id="76"/>
      <w:bookmarkEnd w:id="77"/>
      <w:bookmarkEnd w:id="78"/>
      <w:bookmarkEnd w:id="79"/>
    </w:p>
    <w:p>
      <w:pPr>
        <w:spacing w:line="360" w:lineRule="auto"/>
        <w:ind w:firstLine="480" w:firstLineChars="200"/>
        <w:outlineLvl w:val="9"/>
        <w:rPr>
          <w:rFonts w:hint="eastAsia" w:ascii="宋体" w:hAnsi="宋体" w:cs="宋体"/>
          <w:sz w:val="24"/>
        </w:rPr>
      </w:pPr>
      <w:r>
        <w:rPr>
          <w:rFonts w:hint="eastAsia" w:ascii="宋体" w:hAnsi="宋体" w:cs="宋体"/>
          <w:sz w:val="24"/>
        </w:rPr>
        <w:t>7.1 在竞争性谈判截止期前，无论出于何种原因，采购人可主动地或在解答供应商要求澄清的问题时对竞争性谈判文件进行修改。</w:t>
      </w:r>
    </w:p>
    <w:p>
      <w:pPr>
        <w:spacing w:line="360" w:lineRule="auto"/>
        <w:ind w:firstLine="480" w:firstLineChars="200"/>
        <w:outlineLvl w:val="9"/>
        <w:rPr>
          <w:rFonts w:hint="eastAsia" w:ascii="宋体" w:hAnsi="宋体" w:cs="宋体"/>
          <w:sz w:val="24"/>
        </w:rPr>
      </w:pPr>
      <w:r>
        <w:rPr>
          <w:rFonts w:hint="eastAsia" w:ascii="宋体" w:hAnsi="宋体" w:cs="宋体"/>
          <w:sz w:val="24"/>
        </w:rPr>
        <w:t>7.2 竞争性谈判文件的修改将以书面形式通知所有竞争性谈判文件的收受人，供应商在收到该通知后应立即以书面形式予以确认。</w:t>
      </w:r>
    </w:p>
    <w:p>
      <w:pPr>
        <w:spacing w:line="360" w:lineRule="auto"/>
        <w:ind w:firstLine="480" w:firstLineChars="200"/>
        <w:outlineLvl w:val="9"/>
        <w:rPr>
          <w:rFonts w:hint="eastAsia" w:ascii="宋体" w:hAnsi="宋体" w:cs="宋体"/>
          <w:sz w:val="24"/>
        </w:rPr>
      </w:pPr>
      <w:r>
        <w:rPr>
          <w:rFonts w:hint="eastAsia" w:ascii="宋体" w:hAnsi="宋体" w:cs="宋体"/>
          <w:sz w:val="24"/>
        </w:rPr>
        <w:t>7.3 为使供应商在准备竞争性谈判响应文件时，有充分的时间对竞争性谈判文件的修改进行研究考虑，采购人可自行决定，酌情推迟竞争性谈判响应文件截止日期和谈判时间，并以书面形式通知所有已领取竞争性谈判文件的供应商。</w:t>
      </w:r>
    </w:p>
    <w:p>
      <w:pPr>
        <w:spacing w:line="360" w:lineRule="auto"/>
        <w:ind w:firstLine="480" w:firstLineChars="200"/>
        <w:outlineLvl w:val="9"/>
        <w:rPr>
          <w:rFonts w:ascii="宋体" w:hAnsi="宋体" w:cs="宋体"/>
          <w:sz w:val="24"/>
        </w:rPr>
      </w:pPr>
      <w:r>
        <w:rPr>
          <w:rFonts w:hint="eastAsia" w:ascii="宋体" w:hAnsi="宋体" w:cs="宋体"/>
          <w:sz w:val="24"/>
        </w:rPr>
        <w:t>7.4 竞争性谈判文件修改书将构成竞争性谈判文件的一部分，对采购人和供应商都具有约束力。</w:t>
      </w:r>
    </w:p>
    <w:p>
      <w:pPr>
        <w:spacing w:line="360" w:lineRule="auto"/>
        <w:outlineLvl w:val="9"/>
        <w:rPr>
          <w:rFonts w:hint="eastAsia" w:ascii="宋体" w:hAnsi="宋体" w:cs="宋体"/>
          <w:sz w:val="24"/>
          <w:szCs w:val="24"/>
        </w:rPr>
      </w:pPr>
      <w:r>
        <w:rPr>
          <w:rFonts w:hint="eastAsia" w:ascii="宋体" w:hAnsi="宋体" w:cs="宋体"/>
          <w:sz w:val="24"/>
          <w:szCs w:val="24"/>
        </w:rPr>
        <w:t>8 竞争性谈判文件的获取</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招标采购公告发布后，有意向的投标人应从采购代理机构获取竞争性谈判文件及平台报名并下载谈判文件，仅作为本次招标使用。投标单位自行转让或复制的竞争性谈判文件视为无效文件。</w:t>
      </w:r>
    </w:p>
    <w:p>
      <w:pPr>
        <w:spacing w:line="360" w:lineRule="auto"/>
        <w:outlineLvl w:val="9"/>
        <w:rPr>
          <w:rFonts w:hint="eastAsia" w:ascii="宋体" w:hAnsi="宋体" w:cs="宋体"/>
          <w:sz w:val="24"/>
          <w:szCs w:val="24"/>
        </w:rPr>
      </w:pPr>
      <w:r>
        <w:rPr>
          <w:rFonts w:hint="eastAsia" w:ascii="宋体" w:hAnsi="宋体" w:cs="宋体"/>
          <w:sz w:val="24"/>
          <w:szCs w:val="24"/>
        </w:rPr>
        <w:t>9 解释权归属</w:t>
      </w:r>
    </w:p>
    <w:p>
      <w:pPr>
        <w:spacing w:line="360" w:lineRule="auto"/>
        <w:ind w:firstLine="566" w:firstLineChars="236"/>
        <w:outlineLvl w:val="9"/>
      </w:pPr>
      <w:r>
        <w:rPr>
          <w:rFonts w:hint="eastAsia" w:ascii="宋体" w:hAnsi="宋体" w:cs="宋体"/>
          <w:sz w:val="24"/>
          <w:szCs w:val="24"/>
        </w:rPr>
        <w:t xml:space="preserve">本次竞争性谈判文件的解释权归采购代理机构。 </w:t>
      </w:r>
    </w:p>
    <w:p>
      <w:pPr>
        <w:spacing w:line="360" w:lineRule="auto"/>
        <w:outlineLvl w:val="9"/>
        <w:rPr>
          <w:rFonts w:ascii="宋体" w:hAnsi="宋体" w:eastAsia="宋体" w:cs="宋体"/>
          <w:sz w:val="36"/>
        </w:rPr>
      </w:pPr>
      <w:bookmarkStart w:id="80" w:name="_Toc465958097"/>
      <w:bookmarkStart w:id="81" w:name="_Toc30520"/>
      <w:bookmarkStart w:id="82" w:name="_Toc246928904"/>
      <w:bookmarkStart w:id="83" w:name="_Toc19669"/>
      <w:bookmarkStart w:id="84" w:name="_Toc28020"/>
      <w:bookmarkStart w:id="85" w:name="_Toc585"/>
      <w:r>
        <w:rPr>
          <w:rFonts w:hint="eastAsia" w:ascii="宋体" w:hAnsi="宋体" w:eastAsia="宋体" w:cs="宋体"/>
          <w:sz w:val="36"/>
        </w:rPr>
        <w:t>C 竞争性谈判响应文件的编写</w:t>
      </w:r>
      <w:bookmarkEnd w:id="80"/>
      <w:bookmarkEnd w:id="81"/>
      <w:bookmarkEnd w:id="82"/>
      <w:bookmarkEnd w:id="83"/>
      <w:bookmarkEnd w:id="84"/>
      <w:bookmarkEnd w:id="85"/>
    </w:p>
    <w:p>
      <w:pPr>
        <w:spacing w:line="360" w:lineRule="auto"/>
        <w:outlineLvl w:val="9"/>
        <w:rPr>
          <w:rFonts w:hint="eastAsia" w:ascii="宋体" w:hAnsi="宋体" w:cs="宋体"/>
          <w:sz w:val="24"/>
          <w:szCs w:val="24"/>
        </w:rPr>
      </w:pPr>
      <w:bookmarkStart w:id="86" w:name="_Toc465958098"/>
      <w:bookmarkStart w:id="87" w:name="_Toc32164"/>
      <w:bookmarkStart w:id="88" w:name="_Toc3361"/>
      <w:bookmarkStart w:id="89" w:name="_Toc20725"/>
      <w:bookmarkStart w:id="90" w:name="_Toc246928905"/>
      <w:bookmarkStart w:id="91" w:name="_Toc25855"/>
      <w:bookmarkStart w:id="92" w:name="_Toc25916"/>
      <w:r>
        <w:rPr>
          <w:rFonts w:hint="eastAsia" w:ascii="宋体" w:hAnsi="宋体" w:cs="宋体"/>
          <w:sz w:val="24"/>
          <w:szCs w:val="24"/>
        </w:rPr>
        <w:t>10 谈判语言</w:t>
      </w:r>
      <w:bookmarkEnd w:id="86"/>
      <w:bookmarkEnd w:id="87"/>
      <w:bookmarkEnd w:id="88"/>
      <w:bookmarkEnd w:id="89"/>
      <w:bookmarkEnd w:id="90"/>
      <w:bookmarkEnd w:id="91"/>
      <w:bookmarkEnd w:id="92"/>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10.1 由供应商编写的竞争性谈判响应文件和往来信件应以中文书写。</w:t>
      </w:r>
    </w:p>
    <w:p>
      <w:pPr>
        <w:spacing w:line="360" w:lineRule="auto"/>
        <w:outlineLvl w:val="9"/>
        <w:rPr>
          <w:rFonts w:hint="eastAsia" w:ascii="宋体" w:hAnsi="宋体" w:cs="宋体"/>
          <w:sz w:val="24"/>
          <w:szCs w:val="24"/>
        </w:rPr>
      </w:pPr>
      <w:bookmarkStart w:id="93" w:name="_Toc30244"/>
      <w:bookmarkStart w:id="94" w:name="_Toc6421"/>
      <w:bookmarkStart w:id="95" w:name="_Toc26252"/>
      <w:bookmarkStart w:id="96" w:name="_Toc465958099"/>
      <w:bookmarkStart w:id="97" w:name="_Toc12423"/>
      <w:bookmarkStart w:id="98" w:name="_Toc14629"/>
      <w:bookmarkStart w:id="99" w:name="_Toc246928906"/>
      <w:r>
        <w:rPr>
          <w:rFonts w:hint="eastAsia" w:ascii="宋体" w:hAnsi="宋体" w:cs="宋体"/>
          <w:sz w:val="24"/>
          <w:szCs w:val="24"/>
        </w:rPr>
        <w:t>11 计量单位</w:t>
      </w:r>
      <w:bookmarkEnd w:id="93"/>
      <w:bookmarkEnd w:id="94"/>
      <w:bookmarkEnd w:id="95"/>
      <w:bookmarkEnd w:id="96"/>
      <w:bookmarkEnd w:id="97"/>
      <w:bookmarkEnd w:id="98"/>
      <w:bookmarkEnd w:id="99"/>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11.1 除在竞争性谈判文件中有特殊要求外，计量单位应使用中华人民共和国法定计量单位及通用图形符号。</w:t>
      </w:r>
    </w:p>
    <w:p>
      <w:pPr>
        <w:spacing w:line="360" w:lineRule="auto"/>
        <w:ind w:firstLine="480" w:firstLineChars="200"/>
        <w:outlineLvl w:val="9"/>
        <w:rPr>
          <w:rFonts w:ascii="宋体" w:hAnsi="宋体" w:cs="宋体"/>
          <w:sz w:val="24"/>
        </w:rPr>
      </w:pPr>
      <w:r>
        <w:rPr>
          <w:rFonts w:hint="eastAsia" w:ascii="宋体" w:hAnsi="宋体" w:cs="宋体"/>
          <w:sz w:val="24"/>
          <w:szCs w:val="24"/>
        </w:rPr>
        <w:t>11.2 本次采购、谈判报价、谈判、评审和合同授予均以项目为单位，供应商必须就整个项目进行响应，不得将整个项目中的</w:t>
      </w:r>
      <w:r>
        <w:rPr>
          <w:rFonts w:hint="eastAsia" w:ascii="宋体" w:hAnsi="宋体" w:cs="宋体"/>
          <w:sz w:val="24"/>
        </w:rPr>
        <w:t>内容拆开谈判。拆开谈判的，按无效竞争性谈判响应文件处理。</w:t>
      </w:r>
    </w:p>
    <w:p>
      <w:pPr>
        <w:spacing w:line="360" w:lineRule="auto"/>
        <w:outlineLvl w:val="9"/>
        <w:rPr>
          <w:rFonts w:hint="eastAsia" w:ascii="宋体" w:hAnsi="宋体" w:cs="宋体"/>
          <w:sz w:val="24"/>
          <w:szCs w:val="24"/>
        </w:rPr>
      </w:pPr>
      <w:bookmarkStart w:id="100" w:name="_Toc246928907"/>
      <w:bookmarkStart w:id="101" w:name="_Toc13655"/>
      <w:bookmarkStart w:id="102" w:name="_Toc27123"/>
      <w:bookmarkStart w:id="103" w:name="_Toc465958100"/>
      <w:bookmarkStart w:id="104" w:name="_Toc1098"/>
      <w:bookmarkStart w:id="105" w:name="_Toc26388"/>
      <w:bookmarkStart w:id="106" w:name="_Toc3415"/>
      <w:r>
        <w:rPr>
          <w:rFonts w:hint="eastAsia" w:ascii="宋体" w:hAnsi="宋体" w:cs="宋体"/>
          <w:sz w:val="24"/>
          <w:szCs w:val="24"/>
        </w:rPr>
        <w:t>12 竞争性谈判响应文件的构成</w:t>
      </w:r>
      <w:bookmarkEnd w:id="100"/>
      <w:bookmarkEnd w:id="101"/>
      <w:bookmarkEnd w:id="102"/>
      <w:bookmarkEnd w:id="103"/>
      <w:bookmarkEnd w:id="104"/>
      <w:bookmarkEnd w:id="105"/>
      <w:bookmarkEnd w:id="106"/>
    </w:p>
    <w:p>
      <w:pPr>
        <w:spacing w:line="360" w:lineRule="auto"/>
        <w:ind w:firstLine="480" w:firstLineChars="200"/>
        <w:outlineLvl w:val="9"/>
        <w:rPr>
          <w:rFonts w:ascii="宋体" w:hAnsi="宋体" w:cs="宋体"/>
          <w:sz w:val="24"/>
        </w:rPr>
      </w:pPr>
      <w:r>
        <w:rPr>
          <w:rFonts w:hint="eastAsia" w:ascii="宋体" w:hAnsi="宋体" w:cs="宋体"/>
          <w:sz w:val="24"/>
          <w:szCs w:val="24"/>
        </w:rPr>
        <w:t>12.1 供应商编写的竞争性谈判响应</w:t>
      </w:r>
      <w:r>
        <w:rPr>
          <w:rFonts w:hint="eastAsia" w:ascii="宋体" w:hAnsi="宋体" w:cs="宋体"/>
          <w:sz w:val="24"/>
        </w:rPr>
        <w:t>文件应包括下列部分：</w:t>
      </w:r>
    </w:p>
    <w:p>
      <w:pPr>
        <w:spacing w:line="360" w:lineRule="auto"/>
        <w:ind w:firstLine="480" w:firstLineChars="200"/>
        <w:outlineLvl w:val="9"/>
        <w:rPr>
          <w:rFonts w:hint="eastAsia" w:ascii="宋体" w:hAnsi="宋体" w:cs="宋体"/>
          <w:sz w:val="24"/>
        </w:rPr>
      </w:pPr>
      <w:r>
        <w:rPr>
          <w:rFonts w:hint="eastAsia" w:ascii="宋体" w:hAnsi="宋体" w:cs="宋体"/>
          <w:sz w:val="24"/>
        </w:rPr>
        <w:t>12.1.1 响应函（格式）；</w:t>
      </w:r>
    </w:p>
    <w:p>
      <w:pPr>
        <w:spacing w:line="360" w:lineRule="auto"/>
        <w:ind w:firstLine="480" w:firstLineChars="200"/>
        <w:outlineLvl w:val="9"/>
        <w:rPr>
          <w:rFonts w:hint="eastAsia" w:ascii="宋体" w:hAnsi="宋体" w:cs="宋体"/>
          <w:sz w:val="24"/>
        </w:rPr>
      </w:pPr>
      <w:r>
        <w:rPr>
          <w:rFonts w:hint="eastAsia" w:ascii="宋体" w:hAnsi="宋体" w:cs="宋体"/>
          <w:sz w:val="24"/>
        </w:rPr>
        <w:t>12.1.2 第一次谈判报价表；</w:t>
      </w:r>
    </w:p>
    <w:p>
      <w:pPr>
        <w:spacing w:line="360" w:lineRule="auto"/>
        <w:ind w:firstLine="480" w:firstLineChars="200"/>
        <w:outlineLvl w:val="9"/>
        <w:rPr>
          <w:rFonts w:hint="eastAsia" w:ascii="宋体" w:hAnsi="宋体" w:cs="宋体"/>
          <w:sz w:val="24"/>
        </w:rPr>
      </w:pPr>
      <w:r>
        <w:rPr>
          <w:rFonts w:hint="eastAsia" w:ascii="宋体" w:hAnsi="宋体" w:cs="宋体"/>
          <w:sz w:val="24"/>
        </w:rPr>
        <w:t>12.1.3 竞争性谈判响应文件格式的所有内容。具体见竞争性谈判响应文件格式</w:t>
      </w:r>
    </w:p>
    <w:p>
      <w:pPr>
        <w:spacing w:line="360" w:lineRule="auto"/>
        <w:ind w:firstLine="480" w:firstLineChars="200"/>
        <w:outlineLvl w:val="9"/>
        <w:rPr>
          <w:rFonts w:hint="eastAsia" w:ascii="宋体" w:hAnsi="宋体" w:cs="宋体"/>
          <w:sz w:val="24"/>
        </w:rPr>
      </w:pPr>
      <w:r>
        <w:rPr>
          <w:rFonts w:hint="eastAsia" w:ascii="宋体" w:hAnsi="宋体" w:cs="宋体"/>
          <w:sz w:val="24"/>
        </w:rPr>
        <w:t>12.2 供应商的所有资格证明文件均应当为合法、有效文件，否则将被视为该文件未递交。</w:t>
      </w:r>
    </w:p>
    <w:p>
      <w:pPr>
        <w:spacing w:line="360" w:lineRule="auto"/>
        <w:ind w:firstLine="480" w:firstLineChars="200"/>
        <w:outlineLvl w:val="9"/>
        <w:rPr>
          <w:rFonts w:ascii="宋体" w:hAnsi="宋体" w:cs="宋体"/>
          <w:sz w:val="24"/>
        </w:rPr>
      </w:pPr>
      <w:r>
        <w:rPr>
          <w:rFonts w:hint="eastAsia" w:ascii="宋体" w:hAnsi="宋体" w:cs="宋体"/>
          <w:sz w:val="24"/>
        </w:rPr>
        <w:t>12.3 上述文件应当按照竞争性谈判文件规定的格式填写、签署和盖章。</w:t>
      </w:r>
    </w:p>
    <w:p>
      <w:pPr>
        <w:spacing w:line="360" w:lineRule="auto"/>
        <w:outlineLvl w:val="9"/>
        <w:rPr>
          <w:rFonts w:hint="eastAsia" w:ascii="宋体" w:hAnsi="宋体" w:cs="宋体"/>
          <w:sz w:val="24"/>
          <w:szCs w:val="24"/>
        </w:rPr>
      </w:pPr>
      <w:bookmarkStart w:id="107" w:name="_Toc23839"/>
      <w:bookmarkStart w:id="108" w:name="_Toc285"/>
      <w:bookmarkStart w:id="109" w:name="_Toc246928909"/>
      <w:bookmarkStart w:id="110" w:name="_Toc7488"/>
      <w:bookmarkStart w:id="111" w:name="_Toc27931"/>
      <w:bookmarkStart w:id="112" w:name="_Toc11558"/>
      <w:bookmarkStart w:id="113" w:name="_Toc465958101"/>
      <w:r>
        <w:rPr>
          <w:rFonts w:hint="eastAsia" w:ascii="宋体" w:hAnsi="宋体" w:cs="宋体"/>
          <w:sz w:val="24"/>
          <w:szCs w:val="24"/>
        </w:rPr>
        <w:t>13 谈判报价</w:t>
      </w:r>
      <w:bookmarkEnd w:id="107"/>
      <w:bookmarkEnd w:id="108"/>
      <w:bookmarkEnd w:id="109"/>
      <w:bookmarkEnd w:id="110"/>
      <w:bookmarkEnd w:id="111"/>
      <w:bookmarkEnd w:id="112"/>
      <w:bookmarkEnd w:id="113"/>
    </w:p>
    <w:p>
      <w:pPr>
        <w:spacing w:line="360" w:lineRule="auto"/>
        <w:ind w:firstLine="480" w:firstLineChars="200"/>
        <w:outlineLvl w:val="9"/>
        <w:rPr>
          <w:rFonts w:ascii="宋体" w:hAnsi="宋体" w:cs="宋体"/>
          <w:sz w:val="24"/>
        </w:rPr>
      </w:pPr>
      <w:r>
        <w:rPr>
          <w:rFonts w:hint="eastAsia" w:ascii="宋体" w:hAnsi="宋体" w:cs="宋体"/>
          <w:sz w:val="24"/>
          <w:szCs w:val="24"/>
        </w:rPr>
        <w:t>13.1 所有谈判均以人民币</w:t>
      </w:r>
      <w:r>
        <w:rPr>
          <w:rFonts w:hint="eastAsia" w:ascii="宋体" w:hAnsi="宋体" w:cs="宋体"/>
          <w:sz w:val="24"/>
        </w:rPr>
        <w:t>报价。</w:t>
      </w:r>
    </w:p>
    <w:p>
      <w:pPr>
        <w:spacing w:line="360" w:lineRule="auto"/>
        <w:ind w:firstLine="480" w:firstLineChars="200"/>
        <w:outlineLvl w:val="9"/>
        <w:rPr>
          <w:rFonts w:ascii="宋体" w:hAnsi="宋体" w:cs="宋体"/>
          <w:sz w:val="24"/>
        </w:rPr>
      </w:pPr>
      <w:r>
        <w:rPr>
          <w:rFonts w:hint="eastAsia" w:ascii="宋体" w:hAnsi="宋体" w:cs="宋体"/>
          <w:sz w:val="24"/>
        </w:rPr>
        <w:t>13.2 供应商依据竞争性谈判文件提供的货物及服务要求等资料并自行考虑风险因素计算谈判报价，一旦成交，谈判报价将不会因国家政策调整及市场变化因素而得到调整。</w:t>
      </w:r>
    </w:p>
    <w:p>
      <w:pPr>
        <w:spacing w:line="360" w:lineRule="auto"/>
        <w:ind w:firstLine="480" w:firstLineChars="200"/>
        <w:outlineLvl w:val="9"/>
        <w:rPr>
          <w:rFonts w:ascii="宋体" w:hAnsi="宋体" w:cs="宋体"/>
          <w:sz w:val="24"/>
        </w:rPr>
      </w:pPr>
      <w:bookmarkStart w:id="114" w:name="_Toc246928911"/>
      <w:r>
        <w:rPr>
          <w:rFonts w:hint="eastAsia" w:ascii="宋体" w:hAnsi="宋体" w:cs="宋体"/>
          <w:sz w:val="24"/>
        </w:rPr>
        <w:t>13.3 供应商应对所列的所有服务进行响应，不得将采购内容拆开谈判。</w:t>
      </w:r>
    </w:p>
    <w:p>
      <w:pPr>
        <w:spacing w:line="360" w:lineRule="auto"/>
        <w:ind w:firstLine="480" w:firstLineChars="200"/>
        <w:outlineLvl w:val="9"/>
        <w:rPr>
          <w:rFonts w:ascii="宋体" w:hAnsi="宋体" w:cs="宋体"/>
          <w:sz w:val="24"/>
        </w:rPr>
      </w:pPr>
      <w:r>
        <w:rPr>
          <w:rFonts w:hint="eastAsia" w:ascii="宋体" w:hAnsi="宋体" w:cs="宋体"/>
          <w:sz w:val="24"/>
        </w:rPr>
        <w:t>13.4 采购人只接受供应商提供的唯一谈判响应方案，不接受备选方案。</w:t>
      </w:r>
    </w:p>
    <w:p>
      <w:pPr>
        <w:spacing w:line="360" w:lineRule="auto"/>
        <w:outlineLvl w:val="9"/>
        <w:rPr>
          <w:rFonts w:hint="eastAsia" w:ascii="宋体" w:hAnsi="宋体" w:cs="宋体"/>
          <w:sz w:val="24"/>
          <w:szCs w:val="24"/>
        </w:rPr>
      </w:pPr>
      <w:bookmarkStart w:id="115" w:name="_Toc28059"/>
      <w:bookmarkStart w:id="116" w:name="_Toc7647"/>
      <w:bookmarkStart w:id="117" w:name="_Toc14151"/>
      <w:bookmarkStart w:id="118" w:name="_Toc10046"/>
      <w:bookmarkStart w:id="119" w:name="_Toc465958102"/>
      <w:bookmarkStart w:id="120" w:name="_Toc30975"/>
      <w:r>
        <w:rPr>
          <w:rFonts w:hint="eastAsia" w:ascii="宋体" w:hAnsi="宋体" w:cs="宋体"/>
          <w:sz w:val="24"/>
          <w:szCs w:val="24"/>
        </w:rPr>
        <w:t>14 证明供应商资格的证明文件</w:t>
      </w:r>
      <w:bookmarkEnd w:id="114"/>
      <w:bookmarkEnd w:id="115"/>
      <w:bookmarkEnd w:id="116"/>
      <w:bookmarkEnd w:id="117"/>
      <w:bookmarkEnd w:id="118"/>
      <w:bookmarkEnd w:id="119"/>
      <w:bookmarkEnd w:id="120"/>
    </w:p>
    <w:p>
      <w:pPr>
        <w:spacing w:line="360" w:lineRule="auto"/>
        <w:ind w:firstLine="480" w:firstLineChars="200"/>
        <w:outlineLvl w:val="9"/>
        <w:rPr>
          <w:rFonts w:hint="eastAsia" w:ascii="宋体" w:hAnsi="宋体" w:cs="宋体"/>
          <w:sz w:val="24"/>
        </w:rPr>
      </w:pPr>
      <w:r>
        <w:rPr>
          <w:rFonts w:hint="eastAsia" w:ascii="宋体" w:hAnsi="宋体" w:cs="宋体"/>
          <w:sz w:val="24"/>
          <w:szCs w:val="24"/>
        </w:rPr>
        <w:t>1</w:t>
      </w:r>
      <w:r>
        <w:rPr>
          <w:rFonts w:hint="eastAsia" w:ascii="宋体" w:hAnsi="宋体" w:cs="宋体"/>
          <w:sz w:val="24"/>
          <w:szCs w:val="24"/>
          <w:lang w:val="en-US" w:eastAsia="zh-CN"/>
        </w:rPr>
        <w:t>4</w:t>
      </w:r>
      <w:r>
        <w:rPr>
          <w:rFonts w:hint="eastAsia" w:ascii="宋体" w:hAnsi="宋体" w:cs="宋体"/>
          <w:sz w:val="24"/>
          <w:szCs w:val="24"/>
        </w:rPr>
        <w:t>.1 供应商必须按要求提交证明文件，以证</w:t>
      </w:r>
      <w:r>
        <w:rPr>
          <w:rFonts w:hint="eastAsia" w:ascii="宋体" w:hAnsi="宋体" w:cs="宋体"/>
          <w:sz w:val="24"/>
        </w:rPr>
        <w:t>明其有资格参加谈判和成交后有履行合同的能力，并作为其竞争性谈判响应文件的一部分。</w:t>
      </w:r>
    </w:p>
    <w:p>
      <w:pPr>
        <w:spacing w:line="360" w:lineRule="auto"/>
        <w:ind w:firstLine="480" w:firstLineChars="200"/>
        <w:outlineLvl w:val="9"/>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4</w:t>
      </w:r>
      <w:r>
        <w:rPr>
          <w:rFonts w:hint="eastAsia" w:ascii="宋体" w:hAnsi="宋体" w:cs="宋体"/>
          <w:sz w:val="24"/>
        </w:rPr>
        <w:t>.2供应商应具有履行合同所需的财务、技术和生产能力；</w:t>
      </w:r>
    </w:p>
    <w:p>
      <w:pPr>
        <w:spacing w:line="360" w:lineRule="auto"/>
        <w:ind w:firstLine="480" w:firstLineChars="200"/>
        <w:outlineLvl w:val="9"/>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4</w:t>
      </w:r>
      <w:r>
        <w:rPr>
          <w:rFonts w:hint="eastAsia" w:ascii="宋体" w:hAnsi="宋体" w:cs="宋体"/>
          <w:sz w:val="24"/>
        </w:rPr>
        <w:t>.3供应商应有能力履行竞争性谈判文件所规定的由供应商在服务地点提供服务的人员及技术支持和服务；</w:t>
      </w:r>
    </w:p>
    <w:p>
      <w:pPr>
        <w:spacing w:line="360" w:lineRule="auto"/>
        <w:ind w:firstLine="480" w:firstLineChars="200"/>
        <w:outlineLvl w:val="9"/>
        <w:rPr>
          <w:rFonts w:ascii="宋体" w:hAnsi="宋体" w:cs="宋体"/>
          <w:sz w:val="24"/>
        </w:rPr>
      </w:pPr>
      <w:r>
        <w:rPr>
          <w:rFonts w:hint="eastAsia" w:ascii="宋体" w:hAnsi="宋体" w:cs="宋体"/>
          <w:sz w:val="24"/>
        </w:rPr>
        <w:t>1</w:t>
      </w:r>
      <w:r>
        <w:rPr>
          <w:rFonts w:hint="eastAsia" w:ascii="宋体" w:hAnsi="宋体" w:cs="宋体"/>
          <w:sz w:val="24"/>
          <w:lang w:val="en-US" w:eastAsia="zh-CN"/>
        </w:rPr>
        <w:t>4</w:t>
      </w:r>
      <w:r>
        <w:rPr>
          <w:rFonts w:hint="eastAsia" w:ascii="宋体" w:hAnsi="宋体" w:cs="宋体"/>
          <w:sz w:val="24"/>
        </w:rPr>
        <w:t>.4供应商认为能够证明供应商及其提供服务的等其他文件。</w:t>
      </w:r>
    </w:p>
    <w:p>
      <w:pPr>
        <w:spacing w:line="360" w:lineRule="auto"/>
        <w:outlineLvl w:val="9"/>
        <w:rPr>
          <w:rFonts w:hint="eastAsia" w:ascii="宋体" w:hAnsi="宋体" w:cs="宋体"/>
          <w:sz w:val="24"/>
          <w:szCs w:val="24"/>
        </w:rPr>
      </w:pPr>
      <w:bookmarkStart w:id="121" w:name="_Toc19118"/>
      <w:bookmarkStart w:id="122" w:name="_Toc465958103"/>
      <w:bookmarkStart w:id="123" w:name="_Toc28780"/>
      <w:bookmarkStart w:id="124" w:name="_Toc246928912"/>
      <w:bookmarkStart w:id="125" w:name="_Toc7233"/>
      <w:bookmarkStart w:id="126" w:name="_Toc32534"/>
      <w:bookmarkStart w:id="127" w:name="_Toc23372"/>
      <w:r>
        <w:rPr>
          <w:rFonts w:hint="eastAsia" w:ascii="宋体" w:hAnsi="宋体" w:cs="宋体"/>
          <w:sz w:val="24"/>
          <w:szCs w:val="24"/>
        </w:rPr>
        <w:t>15 证明服务符合竞争性谈判文件规定的文件</w:t>
      </w:r>
      <w:bookmarkEnd w:id="121"/>
      <w:bookmarkEnd w:id="122"/>
      <w:bookmarkEnd w:id="123"/>
      <w:bookmarkEnd w:id="124"/>
      <w:bookmarkEnd w:id="125"/>
      <w:bookmarkEnd w:id="126"/>
      <w:bookmarkEnd w:id="127"/>
    </w:p>
    <w:p>
      <w:pPr>
        <w:spacing w:line="360" w:lineRule="auto"/>
        <w:ind w:firstLine="480" w:firstLineChars="200"/>
        <w:outlineLvl w:val="9"/>
        <w:rPr>
          <w:rFonts w:ascii="宋体" w:hAnsi="宋体" w:cs="宋体"/>
          <w:sz w:val="24"/>
        </w:rPr>
      </w:pPr>
      <w:r>
        <w:rPr>
          <w:rFonts w:hint="eastAsia" w:ascii="宋体" w:hAnsi="宋体" w:cs="宋体"/>
          <w:sz w:val="24"/>
        </w:rPr>
        <w:t>15.1 供应商所提供的服务须符合法律、法规、相关规章及国家强制性技术标准和竞争性谈判文件的规定。</w:t>
      </w:r>
    </w:p>
    <w:p>
      <w:pPr>
        <w:spacing w:line="360" w:lineRule="auto"/>
        <w:ind w:firstLine="480" w:firstLineChars="200"/>
        <w:outlineLvl w:val="9"/>
        <w:rPr>
          <w:rFonts w:ascii="宋体" w:hAnsi="宋体" w:cs="宋体"/>
          <w:sz w:val="24"/>
        </w:rPr>
      </w:pPr>
      <w:r>
        <w:rPr>
          <w:rFonts w:hint="eastAsia" w:ascii="宋体" w:hAnsi="宋体" w:cs="宋体"/>
          <w:sz w:val="24"/>
        </w:rPr>
        <w:t>15.2 供应商应对竞争性谈判文件中的各项条款做出清晰准确的答复。</w:t>
      </w:r>
    </w:p>
    <w:p>
      <w:pPr>
        <w:spacing w:line="360" w:lineRule="auto"/>
        <w:ind w:left="-181" w:leftChars="-86" w:firstLine="660" w:firstLineChars="275"/>
        <w:outlineLvl w:val="9"/>
        <w:rPr>
          <w:rFonts w:ascii="宋体" w:hAnsi="宋体" w:cs="宋体"/>
          <w:sz w:val="24"/>
        </w:rPr>
      </w:pPr>
      <w:r>
        <w:rPr>
          <w:rFonts w:hint="eastAsia" w:ascii="宋体" w:hAnsi="宋体" w:cs="宋体"/>
          <w:sz w:val="24"/>
        </w:rPr>
        <w:t>15.3 提交文件可以是文字资料也可以是图纸、图片等资料。</w:t>
      </w:r>
    </w:p>
    <w:p>
      <w:pPr>
        <w:spacing w:line="360" w:lineRule="auto"/>
        <w:outlineLvl w:val="9"/>
        <w:rPr>
          <w:rFonts w:hint="eastAsia" w:ascii="宋体" w:hAnsi="宋体" w:cs="宋体"/>
          <w:sz w:val="24"/>
          <w:szCs w:val="24"/>
        </w:rPr>
      </w:pPr>
      <w:bookmarkStart w:id="128" w:name="_Toc21933"/>
      <w:bookmarkStart w:id="129" w:name="_Toc465958104"/>
      <w:bookmarkStart w:id="130" w:name="_Toc6620"/>
      <w:bookmarkStart w:id="131" w:name="_Toc4194"/>
      <w:bookmarkStart w:id="132" w:name="_Toc22564"/>
      <w:bookmarkStart w:id="133" w:name="_Toc27673"/>
      <w:bookmarkStart w:id="134" w:name="_Toc246928913"/>
      <w:r>
        <w:rPr>
          <w:rFonts w:hint="eastAsia" w:ascii="宋体" w:hAnsi="宋体" w:cs="宋体"/>
          <w:sz w:val="24"/>
          <w:szCs w:val="24"/>
        </w:rPr>
        <w:t>16 谈判保证金</w:t>
      </w:r>
      <w:bookmarkEnd w:id="128"/>
      <w:bookmarkEnd w:id="129"/>
      <w:bookmarkEnd w:id="130"/>
      <w:bookmarkEnd w:id="131"/>
      <w:bookmarkEnd w:id="132"/>
      <w:bookmarkEnd w:id="133"/>
      <w:bookmarkEnd w:id="134"/>
    </w:p>
    <w:p>
      <w:pPr>
        <w:spacing w:line="360" w:lineRule="auto"/>
        <w:ind w:firstLine="480" w:firstLineChars="200"/>
        <w:outlineLvl w:val="9"/>
        <w:rPr>
          <w:rFonts w:hint="eastAsia" w:ascii="宋体" w:hAnsi="宋体" w:cs="宋体"/>
          <w:sz w:val="24"/>
          <w:szCs w:val="24"/>
        </w:rPr>
      </w:pPr>
      <w:bookmarkStart w:id="135" w:name="_Toc4576"/>
      <w:bookmarkStart w:id="136" w:name="_Toc20201"/>
      <w:bookmarkStart w:id="137" w:name="_Toc22789"/>
      <w:bookmarkStart w:id="138" w:name="_Toc246928914"/>
      <w:bookmarkStart w:id="139" w:name="_Toc8022"/>
      <w:bookmarkStart w:id="140" w:name="_Toc465958105"/>
      <w:bookmarkStart w:id="141" w:name="_Toc4413"/>
      <w:r>
        <w:rPr>
          <w:rFonts w:hint="eastAsia" w:ascii="宋体" w:hAnsi="宋体" w:eastAsia="宋体" w:cs="宋体"/>
          <w:kern w:val="2"/>
          <w:sz w:val="24"/>
          <w:szCs w:val="24"/>
          <w:lang w:val="en-US" w:eastAsia="zh-CN" w:bidi="ar-SA"/>
        </w:rPr>
        <w:t>信用承诺书代替</w:t>
      </w:r>
      <w:r>
        <w:rPr>
          <w:rFonts w:hint="eastAsia" w:ascii="宋体" w:hAnsi="宋体" w:cs="宋体"/>
          <w:kern w:val="2"/>
          <w:sz w:val="24"/>
          <w:szCs w:val="24"/>
          <w:lang w:val="en-US" w:eastAsia="zh-CN" w:bidi="ar-SA"/>
        </w:rPr>
        <w:t>。</w:t>
      </w:r>
    </w:p>
    <w:p>
      <w:pPr>
        <w:spacing w:line="360" w:lineRule="auto"/>
        <w:outlineLvl w:val="9"/>
        <w:rPr>
          <w:rFonts w:hint="eastAsia" w:ascii="宋体" w:hAnsi="宋体" w:cs="宋体"/>
          <w:sz w:val="24"/>
          <w:szCs w:val="24"/>
        </w:rPr>
      </w:pPr>
      <w:r>
        <w:rPr>
          <w:rFonts w:hint="eastAsia" w:ascii="宋体" w:hAnsi="宋体" w:cs="宋体"/>
          <w:sz w:val="24"/>
          <w:szCs w:val="24"/>
        </w:rPr>
        <w:t>17 谈判有效期</w:t>
      </w:r>
      <w:bookmarkEnd w:id="135"/>
      <w:bookmarkEnd w:id="136"/>
      <w:bookmarkEnd w:id="137"/>
      <w:bookmarkEnd w:id="138"/>
      <w:bookmarkEnd w:id="139"/>
      <w:bookmarkEnd w:id="140"/>
      <w:bookmarkEnd w:id="141"/>
    </w:p>
    <w:p>
      <w:pPr>
        <w:spacing w:line="360" w:lineRule="auto"/>
        <w:ind w:firstLine="480" w:firstLineChars="200"/>
        <w:outlineLvl w:val="9"/>
        <w:rPr>
          <w:rFonts w:ascii="宋体" w:hAnsi="宋体" w:cs="宋体"/>
          <w:sz w:val="24"/>
        </w:rPr>
      </w:pPr>
      <w:r>
        <w:rPr>
          <w:rFonts w:hint="eastAsia" w:ascii="宋体" w:hAnsi="宋体" w:cs="宋体"/>
          <w:sz w:val="24"/>
        </w:rPr>
        <w:t>17.1  竞争性谈判响应文件从开标之日起，谈判有效期为90日历天。谈判有效期不满足要求的谈判属于无效谈判情形。</w:t>
      </w:r>
    </w:p>
    <w:p>
      <w:pPr>
        <w:spacing w:line="360" w:lineRule="auto"/>
        <w:ind w:firstLine="480" w:firstLineChars="200"/>
        <w:outlineLvl w:val="9"/>
        <w:rPr>
          <w:rFonts w:ascii="宋体" w:hAnsi="宋体" w:cs="宋体"/>
          <w:sz w:val="24"/>
        </w:rPr>
      </w:pPr>
      <w:r>
        <w:rPr>
          <w:rFonts w:hint="eastAsia" w:ascii="宋体" w:hAnsi="宋体" w:cs="宋体"/>
          <w:sz w:val="24"/>
          <w:szCs w:val="24"/>
        </w:rPr>
        <w:t>17.2成交供应商的竞争性谈判响应文件有效期延长至合同执行完毕。</w:t>
      </w:r>
    </w:p>
    <w:p>
      <w:pPr>
        <w:spacing w:line="360" w:lineRule="auto"/>
        <w:ind w:firstLine="480" w:firstLineChars="200"/>
        <w:outlineLvl w:val="9"/>
        <w:rPr>
          <w:rFonts w:ascii="宋体" w:hAnsi="宋体" w:cs="宋体"/>
          <w:sz w:val="24"/>
        </w:rPr>
      </w:pPr>
      <w:r>
        <w:rPr>
          <w:rFonts w:hint="eastAsia" w:ascii="宋体" w:hAnsi="宋体" w:cs="宋体"/>
          <w:sz w:val="24"/>
        </w:rPr>
        <w:t>17.3  特殊情况下，采购人可于谈判有效期满之前要求供应商同意延长有效期，要求与答复均应为书面形式。供应商可以拒绝上述要求，其谈判保证金不被没收。对于同意该要求的供应商，既不要求也不允许其修改竞争性谈判响应文件，但将要求其相应延长谈判保证金的有效期，有关退还和没收谈判保证金的规定在谈判有效期的延长期内继续有效。</w:t>
      </w:r>
    </w:p>
    <w:p>
      <w:pPr>
        <w:spacing w:line="360" w:lineRule="auto"/>
        <w:outlineLvl w:val="9"/>
        <w:rPr>
          <w:rFonts w:hint="eastAsia" w:ascii="宋体" w:hAnsi="宋体" w:cs="宋体"/>
          <w:sz w:val="24"/>
          <w:szCs w:val="24"/>
        </w:rPr>
      </w:pPr>
      <w:bookmarkStart w:id="142" w:name="_Toc246928915"/>
      <w:bookmarkStart w:id="143" w:name="_Toc22552"/>
      <w:bookmarkStart w:id="144" w:name="_Toc14012"/>
      <w:bookmarkStart w:id="145" w:name="_Toc282"/>
      <w:bookmarkStart w:id="146" w:name="_Toc15795"/>
      <w:bookmarkStart w:id="147" w:name="_Toc17754"/>
      <w:bookmarkStart w:id="148" w:name="_Toc465958106"/>
      <w:r>
        <w:rPr>
          <w:rFonts w:hint="eastAsia" w:ascii="宋体" w:hAnsi="宋体" w:cs="宋体"/>
          <w:sz w:val="24"/>
          <w:szCs w:val="24"/>
        </w:rPr>
        <w:t>18 竞争性谈判响应文件的签署及</w:t>
      </w:r>
      <w:bookmarkEnd w:id="142"/>
      <w:r>
        <w:rPr>
          <w:rFonts w:hint="eastAsia" w:ascii="宋体" w:hAnsi="宋体" w:cs="宋体"/>
          <w:sz w:val="24"/>
          <w:szCs w:val="24"/>
        </w:rPr>
        <w:t>规定</w:t>
      </w:r>
      <w:bookmarkEnd w:id="143"/>
      <w:bookmarkEnd w:id="144"/>
      <w:bookmarkEnd w:id="145"/>
      <w:bookmarkEnd w:id="146"/>
      <w:bookmarkEnd w:id="147"/>
      <w:bookmarkEnd w:id="148"/>
    </w:p>
    <w:p>
      <w:pPr>
        <w:spacing w:line="360" w:lineRule="auto"/>
        <w:ind w:firstLine="480" w:firstLineChars="200"/>
        <w:outlineLvl w:val="9"/>
        <w:rPr>
          <w:rFonts w:ascii="宋体" w:hAnsi="宋体" w:cs="宋体"/>
          <w:sz w:val="24"/>
        </w:rPr>
      </w:pPr>
      <w:r>
        <w:rPr>
          <w:rFonts w:hint="eastAsia" w:ascii="宋体" w:hAnsi="宋体" w:cs="宋体"/>
          <w:sz w:val="24"/>
        </w:rPr>
        <w:t>18.1 纸质谈判响应文件正本和所有副本均需</w:t>
      </w:r>
      <w:r>
        <w:rPr>
          <w:rFonts w:hint="eastAsia" w:ascii="宋体" w:hAnsi="宋体" w:cs="宋体"/>
          <w:sz w:val="24"/>
          <w:szCs w:val="24"/>
        </w:rPr>
        <w:t>用A4幅面纸张</w:t>
      </w:r>
      <w:r>
        <w:rPr>
          <w:rFonts w:hint="eastAsia" w:ascii="宋体" w:hAnsi="宋体" w:cs="宋体"/>
          <w:sz w:val="24"/>
        </w:rPr>
        <w:t>打印或用不褪色的蓝(黑)色墨水(汁)书写,并由投标人法定代表人或经法定代表人正式授权的代表签字。谈判响应文件若由授权代表签署，须按招标文件规定的格式提供的“法定代表人授权委托书”原件附在谈判响应文件中。所有要求签字（名）处，均须由签字（名）者本人用不褪色的蓝(黑)色墨水(汁)书写，不得用任何形式的图章代替。所有谈判响应文件正本和副本须按规定的顺序编排、并编制目录、逐页标注连续页码，每一页的正下方清楚标明页码，并统一装订（胶装）成册。</w:t>
      </w:r>
    </w:p>
    <w:p>
      <w:pPr>
        <w:adjustRightInd w:val="0"/>
        <w:snapToGrid w:val="0"/>
        <w:spacing w:line="360" w:lineRule="auto"/>
        <w:ind w:firstLine="480" w:firstLineChars="200"/>
        <w:outlineLvl w:val="9"/>
        <w:rPr>
          <w:rFonts w:hint="eastAsia" w:ascii="宋体" w:hAnsi="宋体" w:cs="宋体"/>
          <w:sz w:val="24"/>
          <w:szCs w:val="22"/>
        </w:rPr>
      </w:pPr>
      <w:r>
        <w:rPr>
          <w:rFonts w:hint="eastAsia" w:ascii="宋体" w:hAnsi="宋体" w:cs="宋体"/>
          <w:sz w:val="24"/>
        </w:rPr>
        <w:t>18.2  除投标人对错处作必要修改外，谈判响应文件中不许有加行、涂抹或改写。若有修改须由授权代表或法定代表人在修改处签字</w:t>
      </w:r>
      <w:r>
        <w:rPr>
          <w:rFonts w:hint="eastAsia" w:ascii="宋体" w:hAnsi="宋体" w:cs="宋体"/>
          <w:sz w:val="24"/>
          <w:szCs w:val="22"/>
        </w:rPr>
        <w:t xml:space="preserve">。 </w:t>
      </w:r>
    </w:p>
    <w:p>
      <w:pPr>
        <w:adjustRightInd w:val="0"/>
        <w:snapToGrid w:val="0"/>
        <w:spacing w:line="360" w:lineRule="auto"/>
        <w:ind w:firstLine="480" w:firstLineChars="200"/>
        <w:outlineLvl w:val="9"/>
        <w:rPr>
          <w:rFonts w:hint="eastAsia" w:ascii="宋体" w:hAnsi="宋体" w:cs="宋体"/>
          <w:sz w:val="24"/>
          <w:szCs w:val="22"/>
        </w:rPr>
      </w:pPr>
      <w:r>
        <w:rPr>
          <w:rFonts w:hint="eastAsia" w:ascii="宋体" w:hAnsi="宋体" w:cs="宋体"/>
          <w:sz w:val="24"/>
          <w:szCs w:val="22"/>
        </w:rPr>
        <w:t xml:space="preserve">18.3  </w:t>
      </w:r>
      <w:r>
        <w:rPr>
          <w:rFonts w:hint="eastAsia" w:ascii="宋体" w:hAnsi="宋体" w:cs="宋体"/>
          <w:sz w:val="24"/>
        </w:rPr>
        <w:t>投标人</w:t>
      </w:r>
      <w:r>
        <w:rPr>
          <w:rFonts w:hint="eastAsia" w:ascii="宋体" w:hAnsi="宋体" w:cs="宋体"/>
          <w:sz w:val="24"/>
          <w:szCs w:val="22"/>
        </w:rPr>
        <w:t>名称应填写全称，</w:t>
      </w:r>
      <w:r>
        <w:rPr>
          <w:rFonts w:hint="eastAsia" w:ascii="宋体" w:hAnsi="宋体" w:cs="宋体"/>
          <w:sz w:val="24"/>
        </w:rPr>
        <w:t>谈判响应文件</w:t>
      </w:r>
      <w:r>
        <w:rPr>
          <w:rFonts w:hint="eastAsia" w:ascii="宋体" w:hAnsi="宋体" w:cs="宋体"/>
          <w:sz w:val="24"/>
          <w:szCs w:val="22"/>
        </w:rPr>
        <w:t>正本必须逐页加盖</w:t>
      </w:r>
      <w:r>
        <w:rPr>
          <w:rFonts w:hint="eastAsia" w:ascii="宋体" w:hAnsi="宋体" w:cs="宋体"/>
          <w:sz w:val="24"/>
        </w:rPr>
        <w:t>投标人</w:t>
      </w:r>
      <w:r>
        <w:rPr>
          <w:rFonts w:hint="eastAsia" w:ascii="宋体" w:hAnsi="宋体" w:cs="宋体"/>
          <w:sz w:val="24"/>
          <w:szCs w:val="22"/>
        </w:rPr>
        <w:t>公章，</w:t>
      </w:r>
      <w:r>
        <w:rPr>
          <w:rFonts w:hint="eastAsia" w:ascii="宋体" w:hAnsi="宋体" w:cs="宋体"/>
          <w:sz w:val="24"/>
        </w:rPr>
        <w:t>谈判响应文件</w:t>
      </w:r>
      <w:r>
        <w:rPr>
          <w:rFonts w:hint="eastAsia" w:ascii="宋体" w:hAnsi="宋体" w:cs="宋体"/>
          <w:sz w:val="24"/>
          <w:szCs w:val="22"/>
        </w:rPr>
        <w:t>正本和副本必须加盖骑缝章。</w:t>
      </w:r>
    </w:p>
    <w:p>
      <w:pPr>
        <w:adjustRightInd w:val="0"/>
        <w:snapToGrid w:val="0"/>
        <w:spacing w:line="360" w:lineRule="auto"/>
        <w:ind w:firstLine="480" w:firstLineChars="200"/>
        <w:outlineLvl w:val="9"/>
        <w:rPr>
          <w:rFonts w:hint="eastAsia" w:ascii="宋体" w:hAnsi="宋体" w:cs="宋体"/>
          <w:sz w:val="24"/>
        </w:rPr>
      </w:pPr>
      <w:r>
        <w:rPr>
          <w:rFonts w:hint="eastAsia" w:ascii="宋体" w:hAnsi="宋体" w:cs="宋体"/>
          <w:sz w:val="24"/>
        </w:rPr>
        <w:t>18.4本项目采用电子化投标的方式。投标人须使用数字认证证书对电子化谈判响应文件进行签章、加密、递交及开标时解密等相关招投标事宜。</w:t>
      </w:r>
    </w:p>
    <w:p>
      <w:pPr>
        <w:adjustRightInd w:val="0"/>
        <w:snapToGrid w:val="0"/>
        <w:spacing w:line="360" w:lineRule="auto"/>
        <w:ind w:firstLine="480" w:firstLineChars="200"/>
        <w:outlineLvl w:val="9"/>
        <w:rPr>
          <w:rFonts w:hint="eastAsia" w:ascii="宋体" w:hAnsi="宋体" w:cs="宋体"/>
          <w:sz w:val="24"/>
        </w:rPr>
      </w:pPr>
      <w:r>
        <w:rPr>
          <w:rFonts w:hint="eastAsia" w:ascii="宋体" w:hAnsi="宋体" w:cs="宋体"/>
          <w:sz w:val="24"/>
          <w:szCs w:val="22"/>
        </w:rPr>
        <w:t>18.5  采购人拒绝接受以电报、电话、传真、电</w:t>
      </w:r>
      <w:r>
        <w:rPr>
          <w:rFonts w:hint="eastAsia" w:ascii="宋体" w:hAnsi="宋体" w:cs="宋体"/>
          <w:sz w:val="24"/>
        </w:rPr>
        <w:t>子邮件形式的投标。</w:t>
      </w:r>
    </w:p>
    <w:p>
      <w:pPr>
        <w:adjustRightInd w:val="0"/>
        <w:snapToGrid w:val="0"/>
        <w:spacing w:line="360" w:lineRule="auto"/>
        <w:ind w:firstLine="480" w:firstLineChars="200"/>
        <w:outlineLvl w:val="9"/>
        <w:rPr>
          <w:rFonts w:hint="eastAsia" w:ascii="宋体" w:hAnsi="宋体" w:cs="宋体"/>
          <w:sz w:val="24"/>
        </w:rPr>
      </w:pPr>
      <w:r>
        <w:rPr>
          <w:rFonts w:hint="eastAsia" w:ascii="宋体" w:hAnsi="宋体" w:cs="宋体"/>
          <w:sz w:val="24"/>
        </w:rPr>
        <w:t>18.6  未按上述要求编制及签署的谈判响应文件视为无效谈判响应文件。</w:t>
      </w:r>
    </w:p>
    <w:p>
      <w:pPr>
        <w:adjustRightInd w:val="0"/>
        <w:snapToGrid w:val="0"/>
        <w:spacing w:line="360" w:lineRule="auto"/>
        <w:ind w:firstLine="480" w:firstLineChars="200"/>
        <w:outlineLvl w:val="9"/>
        <w:rPr>
          <w:rFonts w:ascii="宋体" w:hAnsi="宋体" w:cs="宋体"/>
          <w:sz w:val="24"/>
          <w:szCs w:val="22"/>
        </w:rPr>
      </w:pPr>
      <w:r>
        <w:rPr>
          <w:rFonts w:hint="eastAsia" w:ascii="宋体" w:hAnsi="宋体" w:cs="宋体"/>
          <w:sz w:val="24"/>
          <w:szCs w:val="22"/>
        </w:rPr>
        <w:t xml:space="preserve">18.7电子谈判文件下载。供应商登录全国公共资源交易平台（陕西省） 网站〖首 </w:t>
      </w:r>
    </w:p>
    <w:p>
      <w:pPr>
        <w:adjustRightInd w:val="0"/>
        <w:snapToGrid w:val="0"/>
        <w:spacing w:line="360" w:lineRule="auto"/>
        <w:outlineLvl w:val="9"/>
        <w:rPr>
          <w:rFonts w:hint="eastAsia" w:ascii="宋体" w:hAnsi="宋体" w:cs="宋体"/>
          <w:sz w:val="24"/>
          <w:szCs w:val="22"/>
        </w:rPr>
      </w:pPr>
      <w:r>
        <w:rPr>
          <w:rFonts w:hint="eastAsia" w:ascii="宋体" w:hAnsi="宋体" w:cs="宋体"/>
          <w:sz w:val="24"/>
          <w:szCs w:val="22"/>
        </w:rPr>
        <w:t xml:space="preserve">页·〉电子交易平台·〉企业端〗后，选择项目点击 “我要投标”，参与投标活动。然后即可在〖我的项目〗中点击“项目流程&gt;交易文件下载”下载电子谈判文件。 </w:t>
      </w:r>
    </w:p>
    <w:p>
      <w:pPr>
        <w:adjustRightInd w:val="0"/>
        <w:snapToGrid w:val="0"/>
        <w:spacing w:line="360" w:lineRule="auto"/>
        <w:ind w:firstLine="480" w:firstLineChars="200"/>
        <w:outlineLvl w:val="9"/>
        <w:rPr>
          <w:rFonts w:ascii="宋体" w:hAnsi="宋体" w:cs="宋体"/>
          <w:sz w:val="24"/>
          <w:szCs w:val="22"/>
        </w:rPr>
      </w:pPr>
      <w:r>
        <w:rPr>
          <w:rFonts w:hint="eastAsia" w:ascii="宋体" w:hAnsi="宋体" w:cs="宋体"/>
          <w:sz w:val="24"/>
          <w:szCs w:val="22"/>
        </w:rPr>
        <w:t xml:space="preserve">18.8 电子谈判文件需要使用专用软件打开、浏览。供应商可在全国公共资源交易平台（陕西省）网站〖首页·〉服务指南·〉下载专区〗免费下载“陕西省公共资源交易平台政府采购电子标书制作工具(V8.0.0.36)”，并升级至最新版本，使用该客户端可以打开电子谈判响应文件。软件操作手册详见全国公共资源交易平台（陕西省）网站〖首页·〉服务指南·〉下载专区〗中的《陕西省公共资源交易（政府采购类）响应文件制作软件操作手册》。 </w:t>
      </w:r>
    </w:p>
    <w:p>
      <w:pPr>
        <w:adjustRightInd w:val="0"/>
        <w:snapToGrid w:val="0"/>
        <w:spacing w:line="360" w:lineRule="auto"/>
        <w:ind w:firstLine="480" w:firstLineChars="200"/>
        <w:outlineLvl w:val="9"/>
        <w:rPr>
          <w:rFonts w:ascii="宋体" w:hAnsi="宋体" w:cs="宋体"/>
          <w:sz w:val="24"/>
          <w:szCs w:val="22"/>
        </w:rPr>
      </w:pPr>
      <w:r>
        <w:rPr>
          <w:rFonts w:hint="eastAsia" w:ascii="宋体" w:hAnsi="宋体" w:cs="宋体"/>
          <w:sz w:val="24"/>
          <w:szCs w:val="22"/>
        </w:rPr>
        <w:t>18.9 制作电子</w:t>
      </w:r>
      <w:r>
        <w:rPr>
          <w:rFonts w:hint="eastAsia" w:ascii="宋体" w:hAnsi="宋体" w:cs="宋体"/>
          <w:sz w:val="24"/>
        </w:rPr>
        <w:t>谈判响应文件</w:t>
      </w:r>
      <w:r>
        <w:rPr>
          <w:rFonts w:hint="eastAsia" w:ascii="宋体" w:hAnsi="宋体" w:cs="宋体"/>
          <w:sz w:val="24"/>
          <w:szCs w:val="22"/>
        </w:rPr>
        <w:t>。电子</w:t>
      </w:r>
      <w:r>
        <w:rPr>
          <w:rFonts w:hint="eastAsia" w:ascii="宋体" w:hAnsi="宋体" w:cs="宋体"/>
          <w:sz w:val="24"/>
        </w:rPr>
        <w:t>谈判响应文件</w:t>
      </w:r>
      <w:r>
        <w:rPr>
          <w:rFonts w:hint="eastAsia" w:ascii="宋体" w:hAnsi="宋体" w:cs="宋体"/>
          <w:sz w:val="24"/>
          <w:szCs w:val="22"/>
        </w:rPr>
        <w:t xml:space="preserve">同样需要使用上述软件进行编制。在编制过程中，如有技术性问题，请先翻阅操作手册，或致电软件开发商。 </w:t>
      </w:r>
    </w:p>
    <w:p>
      <w:pPr>
        <w:adjustRightInd w:val="0"/>
        <w:snapToGrid w:val="0"/>
        <w:spacing w:line="360" w:lineRule="auto"/>
        <w:ind w:firstLine="480" w:firstLineChars="200"/>
        <w:outlineLvl w:val="9"/>
        <w:rPr>
          <w:rFonts w:ascii="宋体" w:hAnsi="宋体" w:cs="宋体"/>
          <w:sz w:val="24"/>
          <w:szCs w:val="22"/>
        </w:rPr>
      </w:pPr>
      <w:r>
        <w:rPr>
          <w:rFonts w:hint="eastAsia" w:ascii="宋体" w:hAnsi="宋体" w:cs="宋体"/>
          <w:sz w:val="24"/>
          <w:szCs w:val="22"/>
        </w:rPr>
        <w:t xml:space="preserve">技术支持热线：4009280095、4009980000 </w:t>
      </w:r>
    </w:p>
    <w:p>
      <w:pPr>
        <w:pStyle w:val="6"/>
        <w:spacing w:line="360" w:lineRule="auto"/>
        <w:ind w:firstLine="480" w:firstLineChars="200"/>
        <w:outlineLvl w:val="9"/>
        <w:rPr>
          <w:rFonts w:ascii="宋体" w:hAnsi="宋体" w:cs="宋体"/>
          <w:sz w:val="24"/>
          <w:szCs w:val="22"/>
        </w:rPr>
      </w:pPr>
      <w:r>
        <w:rPr>
          <w:rFonts w:hint="eastAsia" w:ascii="宋体" w:hAnsi="宋体" w:cs="宋体"/>
          <w:sz w:val="24"/>
          <w:szCs w:val="22"/>
        </w:rPr>
        <w:t>CA 锁购买：榆林市市民大厦四楼窗口,电话：0912-3515031</w:t>
      </w:r>
    </w:p>
    <w:p>
      <w:pPr>
        <w:spacing w:before="120" w:after="120" w:line="360" w:lineRule="auto"/>
        <w:outlineLvl w:val="9"/>
        <w:rPr>
          <w:rFonts w:ascii="宋体" w:hAnsi="宋体" w:eastAsia="宋体" w:cs="宋体"/>
          <w:sz w:val="36"/>
        </w:rPr>
      </w:pPr>
      <w:bookmarkStart w:id="149" w:name="_Toc12354"/>
      <w:bookmarkStart w:id="150" w:name="_Toc12671"/>
      <w:bookmarkStart w:id="151" w:name="_Toc465958107"/>
      <w:bookmarkStart w:id="152" w:name="_Toc246928916"/>
      <w:bookmarkStart w:id="153" w:name="_Toc28593"/>
      <w:bookmarkStart w:id="154" w:name="_Toc26918"/>
      <w:r>
        <w:rPr>
          <w:rFonts w:hint="eastAsia" w:ascii="宋体" w:hAnsi="宋体" w:eastAsia="宋体" w:cs="宋体"/>
          <w:sz w:val="36"/>
        </w:rPr>
        <w:t>D 竞争性谈判响应文件的递交</w:t>
      </w:r>
      <w:bookmarkEnd w:id="149"/>
      <w:bookmarkEnd w:id="150"/>
      <w:bookmarkEnd w:id="151"/>
      <w:bookmarkEnd w:id="152"/>
      <w:bookmarkEnd w:id="153"/>
      <w:bookmarkEnd w:id="154"/>
    </w:p>
    <w:p>
      <w:pPr>
        <w:spacing w:line="360" w:lineRule="auto"/>
        <w:outlineLvl w:val="9"/>
        <w:rPr>
          <w:rFonts w:hint="eastAsia" w:ascii="宋体" w:hAnsi="宋体" w:cs="宋体"/>
          <w:sz w:val="24"/>
          <w:szCs w:val="24"/>
        </w:rPr>
      </w:pPr>
      <w:bookmarkStart w:id="155" w:name="_Toc465958108"/>
      <w:bookmarkStart w:id="156" w:name="_Toc14296"/>
      <w:bookmarkStart w:id="157" w:name="_Toc22531"/>
      <w:bookmarkStart w:id="158" w:name="_Toc17004"/>
      <w:bookmarkStart w:id="159" w:name="_Toc20693"/>
      <w:bookmarkStart w:id="160" w:name="_Toc246928917"/>
      <w:bookmarkStart w:id="161" w:name="_Toc5378"/>
      <w:r>
        <w:rPr>
          <w:rFonts w:hint="eastAsia" w:ascii="宋体" w:hAnsi="宋体" w:cs="宋体"/>
          <w:sz w:val="24"/>
          <w:szCs w:val="24"/>
        </w:rPr>
        <w:t>19 竞争性谈判响应文件的密封和标记</w:t>
      </w:r>
      <w:bookmarkEnd w:id="155"/>
      <w:bookmarkEnd w:id="156"/>
      <w:bookmarkEnd w:id="157"/>
      <w:bookmarkEnd w:id="158"/>
      <w:bookmarkEnd w:id="159"/>
      <w:bookmarkEnd w:id="160"/>
      <w:bookmarkEnd w:id="161"/>
    </w:p>
    <w:p>
      <w:pPr>
        <w:spacing w:line="360" w:lineRule="auto"/>
        <w:ind w:firstLine="480" w:firstLineChars="200"/>
        <w:outlineLvl w:val="9"/>
        <w:rPr>
          <w:rFonts w:ascii="宋体" w:hAnsi="宋体" w:cs="仿宋_GB2312"/>
          <w:bCs/>
          <w:sz w:val="24"/>
          <w:szCs w:val="22"/>
        </w:rPr>
      </w:pPr>
      <w:bookmarkStart w:id="162" w:name="_Toc4222"/>
      <w:bookmarkStart w:id="163" w:name="_Toc10052"/>
      <w:bookmarkStart w:id="164" w:name="_Toc246928918"/>
      <w:bookmarkStart w:id="165" w:name="_Toc2644"/>
      <w:bookmarkStart w:id="166" w:name="_Toc465958109"/>
      <w:bookmarkStart w:id="167" w:name="_Toc27391"/>
      <w:bookmarkStart w:id="168" w:name="_Toc27827"/>
      <w:r>
        <w:rPr>
          <w:rFonts w:hint="eastAsia" w:ascii="宋体" w:hAnsi="宋体" w:cs="仿宋_GB2312"/>
          <w:bCs/>
          <w:sz w:val="24"/>
        </w:rPr>
        <w:t>19.1开标后成交供应商应提交正本壹份、副本贰份、</w:t>
      </w:r>
      <w:r>
        <w:rPr>
          <w:rFonts w:hint="eastAsia" w:ascii="宋体" w:hAnsi="宋体"/>
          <w:sz w:val="24"/>
        </w:rPr>
        <w:t>电子文件（U盘或移动硬盘，谢绝光盘）</w:t>
      </w:r>
      <w:r>
        <w:rPr>
          <w:rFonts w:hint="eastAsia" w:ascii="宋体" w:hAnsi="宋体" w:cs="仿宋_GB2312"/>
          <w:bCs/>
          <w:sz w:val="24"/>
          <w:lang w:val="en-US" w:eastAsia="zh-CN"/>
        </w:rPr>
        <w:t>两</w:t>
      </w:r>
      <w:r>
        <w:rPr>
          <w:rFonts w:hint="eastAsia" w:ascii="宋体" w:hAnsi="宋体"/>
          <w:sz w:val="24"/>
        </w:rPr>
        <w:t>份邮寄至代理机构</w:t>
      </w:r>
      <w:r>
        <w:rPr>
          <w:rFonts w:hint="eastAsia" w:ascii="宋体" w:hAnsi="宋体" w:cs="仿宋_GB2312"/>
          <w:bCs/>
          <w:sz w:val="24"/>
        </w:rPr>
        <w:t>。</w:t>
      </w:r>
    </w:p>
    <w:p>
      <w:pPr>
        <w:spacing w:line="360" w:lineRule="auto"/>
        <w:outlineLvl w:val="9"/>
        <w:rPr>
          <w:rFonts w:hint="eastAsia" w:ascii="宋体" w:hAnsi="宋体" w:cs="宋体"/>
          <w:sz w:val="24"/>
          <w:szCs w:val="24"/>
        </w:rPr>
      </w:pPr>
      <w:r>
        <w:rPr>
          <w:rFonts w:hint="eastAsia" w:ascii="宋体" w:hAnsi="宋体" w:cs="宋体"/>
          <w:sz w:val="24"/>
          <w:szCs w:val="24"/>
        </w:rPr>
        <w:t>20 竞争性谈判响应文件的递交</w:t>
      </w:r>
      <w:bookmarkEnd w:id="162"/>
      <w:bookmarkEnd w:id="163"/>
      <w:bookmarkEnd w:id="164"/>
      <w:bookmarkEnd w:id="165"/>
      <w:bookmarkEnd w:id="166"/>
      <w:bookmarkEnd w:id="167"/>
      <w:bookmarkEnd w:id="168"/>
    </w:p>
    <w:p>
      <w:pPr>
        <w:spacing w:line="360" w:lineRule="auto"/>
        <w:ind w:firstLine="480" w:firstLineChars="200"/>
        <w:outlineLvl w:val="9"/>
        <w:rPr>
          <w:rFonts w:ascii="宋体" w:hAnsi="宋体" w:cs="宋体"/>
          <w:sz w:val="24"/>
        </w:rPr>
      </w:pPr>
      <w:r>
        <w:rPr>
          <w:rFonts w:hint="eastAsia" w:ascii="宋体" w:hAnsi="宋体" w:cs="宋体"/>
          <w:sz w:val="24"/>
          <w:szCs w:val="24"/>
        </w:rPr>
        <w:t>20.1 无论供应商成交与否，其竞争性谈判响应文件</w:t>
      </w:r>
      <w:r>
        <w:rPr>
          <w:rFonts w:hint="eastAsia" w:ascii="宋体" w:hAnsi="宋体" w:cs="宋体"/>
          <w:sz w:val="24"/>
        </w:rPr>
        <w:t>恕不退还。</w:t>
      </w:r>
    </w:p>
    <w:p>
      <w:pPr>
        <w:pStyle w:val="9"/>
        <w:spacing w:line="360" w:lineRule="auto"/>
        <w:ind w:firstLine="480" w:firstLineChars="200"/>
        <w:outlineLvl w:val="9"/>
        <w:rPr>
          <w:rFonts w:ascii="宋体" w:hAnsi="宋体" w:cs="宋体"/>
          <w:sz w:val="24"/>
        </w:rPr>
      </w:pPr>
      <w:r>
        <w:rPr>
          <w:rFonts w:hint="eastAsia" w:ascii="宋体" w:hAnsi="宋体" w:cs="宋体"/>
          <w:sz w:val="24"/>
        </w:rPr>
        <w:t>20.2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w:t>
      </w:r>
    </w:p>
    <w:p>
      <w:pPr>
        <w:pStyle w:val="9"/>
        <w:spacing w:line="360" w:lineRule="auto"/>
        <w:outlineLvl w:val="9"/>
        <w:rPr>
          <w:rFonts w:ascii="宋体" w:hAnsi="宋体" w:cs="宋体"/>
          <w:sz w:val="24"/>
        </w:rPr>
      </w:pPr>
      <w:r>
        <w:rPr>
          <w:rFonts w:hint="eastAsia" w:ascii="宋体" w:hAnsi="宋体" w:cs="宋体"/>
          <w:sz w:val="24"/>
        </w:rPr>
        <w:t>企业端&gt;我的项目”，点击“项目流程”，在打开的“项目管理”对话框中选择“上传</w:t>
      </w:r>
    </w:p>
    <w:p>
      <w:pPr>
        <w:pStyle w:val="9"/>
        <w:spacing w:line="360" w:lineRule="auto"/>
        <w:outlineLvl w:val="9"/>
        <w:rPr>
          <w:rFonts w:ascii="宋体" w:hAnsi="宋体" w:cs="宋体"/>
          <w:sz w:val="24"/>
        </w:rPr>
      </w:pPr>
      <w:r>
        <w:rPr>
          <w:rFonts w:hint="eastAsia" w:ascii="宋体" w:hAnsi="宋体" w:cs="宋体"/>
          <w:sz w:val="24"/>
        </w:rPr>
        <w:t>响应文件”，上传加密的电子响应文件。上传成功后，电子化平台将予以记录。</w:t>
      </w:r>
    </w:p>
    <w:p>
      <w:pPr>
        <w:spacing w:line="360" w:lineRule="auto"/>
        <w:ind w:firstLine="480" w:firstLineChars="200"/>
        <w:outlineLvl w:val="9"/>
        <w:rPr>
          <w:rFonts w:ascii="宋体" w:hAnsi="宋体" w:cs="宋体"/>
          <w:sz w:val="24"/>
        </w:rPr>
      </w:pPr>
      <w:r>
        <w:rPr>
          <w:rFonts w:hint="eastAsia" w:ascii="宋体" w:hAnsi="宋体" w:cs="宋体"/>
          <w:sz w:val="24"/>
        </w:rPr>
        <w:t>20.3 采购人或采购代理机构有权按本须知的规定，通过修改竞争性谈判文件延长谈判截止时间。在此情况下，采购人和供应商受谈判截止时间制约的所有权利和义务均应当延长至新的截止期。</w:t>
      </w:r>
    </w:p>
    <w:p>
      <w:pPr>
        <w:spacing w:line="360" w:lineRule="auto"/>
        <w:ind w:firstLine="480" w:firstLineChars="200"/>
        <w:outlineLvl w:val="9"/>
        <w:rPr>
          <w:rFonts w:ascii="宋体" w:hAnsi="宋体" w:cs="宋体"/>
          <w:sz w:val="24"/>
        </w:rPr>
      </w:pPr>
      <w:r>
        <w:rPr>
          <w:rFonts w:hint="eastAsia" w:ascii="宋体" w:hAnsi="宋体" w:cs="宋体"/>
          <w:sz w:val="24"/>
        </w:rPr>
        <w:t>20.4 采购人及采购代理机构将拒绝接收竞争性谈判文件规定的谈判截止时间之后递交的任何竞争性谈判响应文件。</w:t>
      </w:r>
    </w:p>
    <w:p>
      <w:pPr>
        <w:spacing w:line="360" w:lineRule="auto"/>
        <w:outlineLvl w:val="9"/>
        <w:rPr>
          <w:rFonts w:hint="eastAsia" w:ascii="宋体" w:hAnsi="宋体" w:cs="宋体"/>
          <w:sz w:val="24"/>
          <w:szCs w:val="24"/>
        </w:rPr>
      </w:pPr>
      <w:bookmarkStart w:id="169" w:name="_Toc29885"/>
      <w:bookmarkStart w:id="170" w:name="_Toc7672"/>
      <w:bookmarkStart w:id="171" w:name="_Toc465958110"/>
      <w:bookmarkStart w:id="172" w:name="_Toc13225"/>
      <w:bookmarkStart w:id="173" w:name="_Toc10103"/>
      <w:bookmarkStart w:id="174" w:name="_Toc4701"/>
      <w:r>
        <w:rPr>
          <w:rFonts w:hint="eastAsia" w:ascii="宋体" w:hAnsi="宋体" w:cs="宋体"/>
          <w:sz w:val="24"/>
          <w:szCs w:val="24"/>
        </w:rPr>
        <w:t>21 竞争性谈判响应文件的修改与撤回</w:t>
      </w:r>
      <w:bookmarkEnd w:id="169"/>
      <w:bookmarkEnd w:id="170"/>
      <w:bookmarkEnd w:id="171"/>
      <w:bookmarkEnd w:id="172"/>
      <w:bookmarkEnd w:id="173"/>
      <w:bookmarkEnd w:id="174"/>
    </w:p>
    <w:p>
      <w:pPr>
        <w:spacing w:line="360" w:lineRule="auto"/>
        <w:ind w:firstLine="480" w:firstLineChars="200"/>
        <w:outlineLvl w:val="9"/>
        <w:rPr>
          <w:rFonts w:ascii="宋体" w:hAnsi="宋体" w:cs="宋体"/>
          <w:sz w:val="24"/>
        </w:rPr>
      </w:pPr>
      <w:r>
        <w:rPr>
          <w:rFonts w:hint="eastAsia" w:ascii="宋体" w:hAnsi="宋体" w:cs="宋体"/>
          <w:sz w:val="24"/>
          <w:szCs w:val="24"/>
        </w:rPr>
        <w:t>21.1 供应商在谈判截止时间前，可以对所递交的竞争性谈判响应文</w:t>
      </w:r>
      <w:r>
        <w:rPr>
          <w:rFonts w:hint="eastAsia" w:ascii="宋体" w:hAnsi="宋体" w:cs="宋体"/>
          <w:sz w:val="24"/>
        </w:rPr>
        <w:t>件进行补充、修改或者撤回，并书面通知采购代理机构。补充、修改的内容应当按竞争性谈判文件要求签署、盖章，并作为竞争性谈判响应文件的组成部分。</w:t>
      </w:r>
    </w:p>
    <w:p>
      <w:pPr>
        <w:spacing w:line="360" w:lineRule="auto"/>
        <w:ind w:firstLine="480" w:firstLineChars="200"/>
        <w:outlineLvl w:val="9"/>
        <w:rPr>
          <w:rFonts w:ascii="宋体" w:hAnsi="宋体" w:cs="宋体"/>
          <w:sz w:val="24"/>
        </w:rPr>
      </w:pPr>
      <w:r>
        <w:rPr>
          <w:rFonts w:hint="eastAsia" w:ascii="宋体" w:hAnsi="宋体" w:cs="宋体"/>
          <w:sz w:val="24"/>
        </w:rPr>
        <w:t>21.2 谈判截止时间后，供应商不得对其竞争性谈判响应文件做任何修改。</w:t>
      </w:r>
    </w:p>
    <w:p>
      <w:pPr>
        <w:spacing w:line="360" w:lineRule="auto"/>
        <w:ind w:firstLine="480" w:firstLineChars="200"/>
        <w:outlineLvl w:val="9"/>
        <w:rPr>
          <w:rFonts w:ascii="宋体" w:hAnsi="宋体" w:cs="宋体"/>
          <w:sz w:val="24"/>
        </w:rPr>
      </w:pPr>
      <w:r>
        <w:rPr>
          <w:rFonts w:hint="eastAsia" w:ascii="宋体" w:hAnsi="宋体" w:cs="宋体"/>
          <w:sz w:val="24"/>
        </w:rPr>
        <w:t>21.3 从谈判截止期至供应商在谈判函格式中确定的谈判有效期之间，供应商不得撤销其谈判，否则其谈判保证金将按照本须知的规定不予退还。</w:t>
      </w:r>
    </w:p>
    <w:p>
      <w:pPr>
        <w:spacing w:line="360" w:lineRule="auto"/>
        <w:outlineLvl w:val="9"/>
        <w:rPr>
          <w:rFonts w:ascii="宋体" w:hAnsi="宋体" w:eastAsia="宋体" w:cs="宋体"/>
          <w:sz w:val="36"/>
        </w:rPr>
      </w:pPr>
      <w:bookmarkStart w:id="175" w:name="_Toc21818"/>
      <w:bookmarkStart w:id="176" w:name="_Toc3199"/>
      <w:bookmarkStart w:id="177" w:name="_Toc22666"/>
      <w:bookmarkStart w:id="178" w:name="_Toc24049"/>
      <w:bookmarkStart w:id="179" w:name="_Toc465958111"/>
      <w:bookmarkStart w:id="180" w:name="_Toc246928919"/>
      <w:r>
        <w:rPr>
          <w:rFonts w:hint="eastAsia" w:ascii="宋体" w:hAnsi="宋体" w:eastAsia="宋体" w:cs="宋体"/>
          <w:sz w:val="36"/>
        </w:rPr>
        <w:t>E 开标与评审</w:t>
      </w:r>
      <w:bookmarkEnd w:id="175"/>
      <w:bookmarkEnd w:id="176"/>
      <w:bookmarkEnd w:id="177"/>
      <w:bookmarkEnd w:id="178"/>
      <w:bookmarkEnd w:id="179"/>
      <w:bookmarkEnd w:id="180"/>
    </w:p>
    <w:p>
      <w:pPr>
        <w:spacing w:line="360" w:lineRule="auto"/>
        <w:outlineLvl w:val="9"/>
        <w:rPr>
          <w:rFonts w:hint="eastAsia" w:ascii="宋体" w:hAnsi="宋体" w:cs="宋体"/>
          <w:sz w:val="24"/>
          <w:szCs w:val="24"/>
        </w:rPr>
      </w:pPr>
      <w:bookmarkStart w:id="181" w:name="_Toc15292"/>
      <w:bookmarkStart w:id="182" w:name="_Toc11145"/>
      <w:bookmarkStart w:id="183" w:name="_Toc6346"/>
      <w:bookmarkStart w:id="184" w:name="_Toc28426"/>
      <w:bookmarkStart w:id="185" w:name="_Toc25438"/>
      <w:bookmarkStart w:id="186" w:name="_Toc246928920"/>
      <w:bookmarkStart w:id="187" w:name="_Toc465958112"/>
      <w:r>
        <w:rPr>
          <w:rFonts w:hint="eastAsia" w:ascii="宋体" w:hAnsi="宋体" w:cs="宋体"/>
          <w:sz w:val="24"/>
          <w:szCs w:val="24"/>
        </w:rPr>
        <w:t xml:space="preserve">22 </w:t>
      </w:r>
      <w:bookmarkEnd w:id="181"/>
      <w:bookmarkEnd w:id="182"/>
      <w:bookmarkEnd w:id="183"/>
      <w:bookmarkEnd w:id="184"/>
      <w:bookmarkEnd w:id="185"/>
      <w:bookmarkEnd w:id="186"/>
      <w:bookmarkEnd w:id="187"/>
      <w:r>
        <w:rPr>
          <w:rFonts w:hint="eastAsia" w:ascii="宋体" w:hAnsi="宋体" w:cs="宋体"/>
          <w:sz w:val="24"/>
          <w:szCs w:val="24"/>
        </w:rPr>
        <w:t>开标</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22.1 采购代理机构在规定的时间和地点组织谈判。谈判时所有供应商代表自愿参加，不参加的视为认同开标结果，参加谈判的代表应签名报到以证明其出席。</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22.2 谈判有效供应商不足三家的，按照国家相关法律、法规及有关规定执行。</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22.3 采购代理机构将做开标记录，存档备查。</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22.4在开标、评审过程中，如因停电、断网、电子化系统故障等特殊原因导致电子化开、评标无法正常进行时，视具体情况确定是否从线上转线下或者停止开评标活动。 </w:t>
      </w:r>
    </w:p>
    <w:p>
      <w:pPr>
        <w:spacing w:line="360" w:lineRule="auto"/>
        <w:outlineLvl w:val="9"/>
        <w:rPr>
          <w:rFonts w:hint="eastAsia" w:ascii="宋体" w:hAnsi="宋体" w:cs="宋体"/>
          <w:sz w:val="24"/>
          <w:szCs w:val="24"/>
        </w:rPr>
      </w:pPr>
      <w:bookmarkStart w:id="188" w:name="_Toc9869"/>
      <w:bookmarkStart w:id="189" w:name="_Toc465958115"/>
      <w:bookmarkStart w:id="190" w:name="_Toc30377"/>
      <w:bookmarkStart w:id="191" w:name="_Toc23381"/>
      <w:bookmarkStart w:id="192" w:name="_Toc29724"/>
      <w:bookmarkStart w:id="193" w:name="_Toc32736"/>
      <w:bookmarkStart w:id="194" w:name="_Toc246928923"/>
      <w:r>
        <w:rPr>
          <w:rFonts w:hint="eastAsia" w:ascii="宋体" w:hAnsi="宋体" w:cs="宋体"/>
          <w:sz w:val="24"/>
          <w:szCs w:val="24"/>
        </w:rPr>
        <w:t>2</w:t>
      </w:r>
      <w:r>
        <w:rPr>
          <w:rFonts w:hint="eastAsia" w:ascii="宋体" w:hAnsi="宋体" w:cs="宋体"/>
          <w:sz w:val="24"/>
          <w:szCs w:val="24"/>
          <w:lang w:val="en-US" w:eastAsia="zh-CN"/>
        </w:rPr>
        <w:t>3</w:t>
      </w:r>
      <w:r>
        <w:rPr>
          <w:rFonts w:hint="eastAsia" w:ascii="宋体" w:hAnsi="宋体" w:cs="宋体"/>
          <w:sz w:val="24"/>
          <w:szCs w:val="24"/>
        </w:rPr>
        <w:t xml:space="preserve"> 谈判小组</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3</w:t>
      </w:r>
      <w:r>
        <w:rPr>
          <w:rFonts w:hint="eastAsia" w:ascii="宋体" w:hAnsi="宋体" w:cs="宋体"/>
          <w:sz w:val="24"/>
          <w:szCs w:val="24"/>
        </w:rPr>
        <w:t>.1 采购代理机构根据《中华人民共和国政府采购法》、《中华人民共和国政府采购法实施条例》和“财政部第87号部长令”的规定，依法组建谈判小组，谈判小组专家成员在陕西省政府采购网专家抽取管理系统中随机抽取。</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3</w:t>
      </w:r>
      <w:r>
        <w:rPr>
          <w:rFonts w:hint="eastAsia" w:ascii="宋体" w:hAnsi="宋体" w:cs="宋体"/>
          <w:sz w:val="24"/>
          <w:szCs w:val="24"/>
        </w:rPr>
        <w:t>.2 谈判小组成员由采购人代表和评审专家3人以上单数组成，评审专家人数应占总人数的2/3以上。</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3</w:t>
      </w:r>
      <w:r>
        <w:rPr>
          <w:rFonts w:hint="eastAsia" w:ascii="宋体" w:hAnsi="宋体" w:cs="宋体"/>
          <w:sz w:val="24"/>
          <w:szCs w:val="24"/>
        </w:rPr>
        <w:t>.3 谈判小组成员对各供应商竞争性谈判响应文件进行审查、质疑、评估和比较，并推荐出成交候选供应商。</w:t>
      </w:r>
    </w:p>
    <w:p>
      <w:pPr>
        <w:spacing w:line="360" w:lineRule="auto"/>
        <w:outlineLvl w:val="9"/>
        <w:rPr>
          <w:rFonts w:hint="eastAsia" w:ascii="宋体" w:hAnsi="宋体" w:cs="宋体"/>
          <w:sz w:val="24"/>
          <w:szCs w:val="24"/>
        </w:rPr>
      </w:pPr>
      <w:bookmarkStart w:id="195" w:name="_Toc20915"/>
      <w:bookmarkStart w:id="196" w:name="_Toc32220"/>
      <w:bookmarkStart w:id="197" w:name="_Toc12022"/>
      <w:bookmarkStart w:id="198" w:name="_Toc21518"/>
      <w:bookmarkStart w:id="199" w:name="_Toc246928922"/>
      <w:bookmarkStart w:id="200" w:name="_Toc465958114"/>
      <w:bookmarkStart w:id="201" w:name="_Toc32401"/>
      <w:r>
        <w:rPr>
          <w:rFonts w:hint="eastAsia" w:ascii="宋体" w:hAnsi="宋体" w:cs="宋体"/>
          <w:sz w:val="24"/>
          <w:szCs w:val="24"/>
        </w:rPr>
        <w:t>2</w:t>
      </w:r>
      <w:r>
        <w:rPr>
          <w:rFonts w:hint="eastAsia" w:ascii="宋体" w:hAnsi="宋体" w:cs="宋体"/>
          <w:sz w:val="24"/>
          <w:szCs w:val="24"/>
          <w:lang w:val="en-US" w:eastAsia="zh-CN"/>
        </w:rPr>
        <w:t>4</w:t>
      </w:r>
      <w:r>
        <w:rPr>
          <w:rFonts w:hint="eastAsia" w:ascii="宋体" w:hAnsi="宋体" w:cs="宋体"/>
          <w:sz w:val="24"/>
          <w:szCs w:val="24"/>
        </w:rPr>
        <w:t xml:space="preserve"> 对供应商资格的审查</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4</w:t>
      </w:r>
      <w:r>
        <w:rPr>
          <w:rFonts w:hint="eastAsia" w:ascii="宋体" w:hAnsi="宋体" w:cs="宋体"/>
          <w:sz w:val="24"/>
          <w:szCs w:val="24"/>
        </w:rPr>
        <w:t>.1开标结束后，</w:t>
      </w:r>
      <w:r>
        <w:rPr>
          <w:rFonts w:hint="eastAsia" w:ascii="宋体" w:hAnsi="宋体" w:cs="宋体"/>
          <w:sz w:val="24"/>
          <w:szCs w:val="24"/>
          <w:lang w:val="en-US" w:eastAsia="zh-CN"/>
        </w:rPr>
        <w:t>谈判小组</w:t>
      </w:r>
      <w:r>
        <w:rPr>
          <w:rFonts w:hint="eastAsia" w:ascii="宋体" w:hAnsi="宋体" w:cs="宋体"/>
          <w:sz w:val="24"/>
          <w:szCs w:val="24"/>
        </w:rPr>
        <w:t>应当依法对供应商的资格证明文件进行审查，不符合竞争性谈判文件要求的按无效谈判响应处理，不得进入后续评审，签字确认检查结果。</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4</w:t>
      </w:r>
      <w:r>
        <w:rPr>
          <w:rFonts w:hint="eastAsia" w:ascii="宋体" w:hAnsi="宋体" w:cs="宋体"/>
          <w:sz w:val="24"/>
          <w:szCs w:val="24"/>
        </w:rPr>
        <w:t>.2不符合竞争性谈判文件要求的按无效文件处理，不得进入后续评审工作。</w:t>
      </w:r>
    </w:p>
    <w:p>
      <w:pPr>
        <w:spacing w:line="360" w:lineRule="auto"/>
        <w:ind w:firstLine="480" w:firstLineChars="200"/>
        <w:outlineLvl w:val="9"/>
        <w:rPr>
          <w:rFonts w:hint="eastAsia"/>
        </w:rPr>
      </w:pPr>
      <w:r>
        <w:rPr>
          <w:rFonts w:hint="eastAsia" w:ascii="宋体" w:hAnsi="宋体" w:cs="宋体"/>
          <w:sz w:val="24"/>
          <w:szCs w:val="24"/>
        </w:rPr>
        <w:t>2</w:t>
      </w:r>
      <w:r>
        <w:rPr>
          <w:rFonts w:hint="eastAsia" w:ascii="宋体" w:hAnsi="宋体" w:cs="宋体"/>
          <w:sz w:val="24"/>
          <w:szCs w:val="24"/>
          <w:lang w:val="en-US" w:eastAsia="zh-CN"/>
        </w:rPr>
        <w:t>4</w:t>
      </w:r>
      <w:r>
        <w:rPr>
          <w:rFonts w:hint="eastAsia" w:ascii="宋体" w:hAnsi="宋体" w:cs="宋体"/>
          <w:sz w:val="24"/>
          <w:szCs w:val="24"/>
        </w:rPr>
        <w:t>.3合格投标人不足三家的，不得评标。</w:t>
      </w:r>
      <w:bookmarkEnd w:id="195"/>
      <w:bookmarkEnd w:id="196"/>
      <w:bookmarkEnd w:id="197"/>
      <w:bookmarkEnd w:id="198"/>
      <w:bookmarkEnd w:id="199"/>
      <w:bookmarkEnd w:id="200"/>
      <w:bookmarkEnd w:id="201"/>
    </w:p>
    <w:p>
      <w:pPr>
        <w:spacing w:line="360" w:lineRule="auto"/>
        <w:outlineLvl w:val="9"/>
        <w:rPr>
          <w:rFonts w:hint="eastAsia" w:ascii="宋体" w:hAnsi="宋体" w:cs="宋体"/>
          <w:sz w:val="24"/>
          <w:szCs w:val="24"/>
        </w:rPr>
      </w:pPr>
      <w:r>
        <w:rPr>
          <w:rFonts w:hint="eastAsia" w:ascii="宋体" w:hAnsi="宋体" w:cs="宋体"/>
          <w:sz w:val="24"/>
          <w:szCs w:val="24"/>
        </w:rPr>
        <w:t>25 评标</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25.1谈判小组对通过资格审查的供应商进行商务、技术符合性审查，审查不合格者不进入下一步评审。</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25.2 对竞争性谈判响应文件含义不明确、同类问题表述不一致或者有明显文字和计算错误的内容，谈判小组可以要求供应商在规定的时间内做出必要的澄清、说明或者纠正。供应商的澄清、说明或者补正应当采用书面形式，有其授权的代表签字，并不得超出竞争性谈判响应文件的范围或者改变竞争性谈判响应文件的实质性内容。</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25.3 澄清文件将作为竞争性谈判响应文件的一部分。</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25.4 算术错误将按以下方法更正：</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25.4.1 竞争性谈判响应文件的大写金额和小写金额不一致的，以大写金额为准；</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25.4.2 总价金额与按单价汇总金额不一致的，以单价金额计算结果为准；</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25.4.3 单价金额小数点有明显错位的，应当以总价为准，并修改单价；</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25.4.4 对不同文字文本竞争性谈判响应文件的解释发生异议的，以中文文本为准；</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25.4.5 对于供应商不接受对其错误的更改，其谈判属于无效谈判情形。</w:t>
      </w:r>
    </w:p>
    <w:bookmarkEnd w:id="188"/>
    <w:bookmarkEnd w:id="189"/>
    <w:bookmarkEnd w:id="190"/>
    <w:bookmarkEnd w:id="191"/>
    <w:bookmarkEnd w:id="192"/>
    <w:bookmarkEnd w:id="193"/>
    <w:bookmarkEnd w:id="194"/>
    <w:p>
      <w:pPr>
        <w:spacing w:line="360" w:lineRule="auto"/>
        <w:outlineLvl w:val="9"/>
        <w:rPr>
          <w:rFonts w:hint="eastAsia" w:ascii="宋体" w:hAnsi="宋体" w:cs="宋体"/>
          <w:sz w:val="24"/>
          <w:szCs w:val="24"/>
        </w:rPr>
      </w:pPr>
      <w:bookmarkStart w:id="202" w:name="_Toc25350"/>
      <w:bookmarkStart w:id="203" w:name="_Toc12911"/>
      <w:bookmarkStart w:id="204" w:name="_Toc465958116"/>
      <w:bookmarkStart w:id="205" w:name="_Toc2865"/>
      <w:bookmarkStart w:id="206" w:name="_Toc8037"/>
      <w:bookmarkStart w:id="207" w:name="_Toc6609"/>
      <w:bookmarkStart w:id="208" w:name="_Toc246928924"/>
      <w:r>
        <w:rPr>
          <w:rFonts w:hint="eastAsia" w:ascii="宋体" w:hAnsi="宋体" w:cs="宋体"/>
          <w:sz w:val="24"/>
          <w:szCs w:val="24"/>
        </w:rPr>
        <w:t>26 竞争性谈判响应文件的评价和比较</w:t>
      </w:r>
    </w:p>
    <w:p>
      <w:pPr>
        <w:spacing w:line="360" w:lineRule="auto"/>
        <w:ind w:firstLine="480" w:firstLineChars="200"/>
        <w:outlineLvl w:val="9"/>
        <w:rPr>
          <w:rFonts w:ascii="宋体" w:hAnsi="宋体" w:cs="宋体"/>
          <w:sz w:val="24"/>
        </w:rPr>
      </w:pPr>
      <w:r>
        <w:rPr>
          <w:rFonts w:hint="eastAsia" w:ascii="宋体" w:hAnsi="宋体" w:cs="宋体"/>
          <w:sz w:val="24"/>
        </w:rPr>
        <w:t>26.1 谈判小组将对有效的竞争性谈判响应文件进行评估和比较。</w:t>
      </w:r>
    </w:p>
    <w:p>
      <w:pPr>
        <w:spacing w:line="360" w:lineRule="auto"/>
        <w:ind w:firstLine="480" w:firstLineChars="200"/>
        <w:outlineLvl w:val="9"/>
        <w:rPr>
          <w:rFonts w:ascii="宋体" w:hAnsi="宋体" w:cs="宋体"/>
          <w:sz w:val="24"/>
        </w:rPr>
      </w:pPr>
      <w:r>
        <w:rPr>
          <w:rFonts w:hint="eastAsia" w:ascii="宋体" w:hAnsi="宋体" w:cs="宋体"/>
          <w:sz w:val="24"/>
        </w:rPr>
        <w:t>26.2 评审时除考虑谈判报价竞争有利性以外，还将考虑以下因素：</w:t>
      </w:r>
    </w:p>
    <w:p>
      <w:pPr>
        <w:spacing w:line="360" w:lineRule="auto"/>
        <w:ind w:firstLine="480" w:firstLineChars="200"/>
        <w:outlineLvl w:val="9"/>
        <w:rPr>
          <w:rFonts w:ascii="宋体" w:hAnsi="宋体" w:cs="宋体"/>
          <w:sz w:val="24"/>
          <w:szCs w:val="22"/>
        </w:rPr>
      </w:pPr>
      <w:r>
        <w:rPr>
          <w:rFonts w:hint="eastAsia" w:ascii="宋体" w:hAnsi="宋体" w:cs="宋体"/>
          <w:sz w:val="24"/>
        </w:rPr>
        <w:t>26.2.1竞争性谈判响应文件中各项报价的合理性，谈判小组</w:t>
      </w:r>
      <w:r>
        <w:rPr>
          <w:rFonts w:hint="eastAsia" w:ascii="宋体" w:hAnsi="宋体" w:cs="宋体"/>
          <w:sz w:val="24"/>
          <w:szCs w:val="22"/>
        </w:rPr>
        <w:t>认为投标人的报价明显低于其他通过符合性审查投标人的报价，有可能影响产品质量或者不能诚信履约的，应当要求其在评标现场合理的时间内提供书面说明，必要时提交相关证明材料，竞争性谈判响应文件中各项报价的合理性，评标委员会三分之二以上专家认为某投标报价有低于成本价嫌疑的，为无效报价；</w:t>
      </w:r>
    </w:p>
    <w:p>
      <w:pPr>
        <w:spacing w:line="360" w:lineRule="auto"/>
        <w:ind w:firstLine="480" w:firstLineChars="200"/>
        <w:outlineLvl w:val="9"/>
        <w:rPr>
          <w:rFonts w:ascii="宋体" w:hAnsi="宋体" w:cs="宋体"/>
          <w:sz w:val="24"/>
        </w:rPr>
      </w:pPr>
      <w:r>
        <w:rPr>
          <w:rFonts w:hint="eastAsia" w:ascii="宋体" w:hAnsi="宋体" w:cs="宋体"/>
          <w:sz w:val="24"/>
        </w:rPr>
        <w:t>26.2.2承诺的交货期及付款方式；</w:t>
      </w:r>
    </w:p>
    <w:p>
      <w:pPr>
        <w:spacing w:line="360" w:lineRule="auto"/>
        <w:ind w:firstLine="480" w:firstLineChars="200"/>
        <w:outlineLvl w:val="9"/>
        <w:rPr>
          <w:rFonts w:ascii="宋体" w:hAnsi="宋体" w:cs="宋体"/>
          <w:sz w:val="24"/>
        </w:rPr>
      </w:pPr>
      <w:r>
        <w:rPr>
          <w:rFonts w:hint="eastAsia" w:ascii="宋体" w:hAnsi="宋体" w:cs="宋体"/>
          <w:sz w:val="24"/>
        </w:rPr>
        <w:t>26.2.3项目的实施方案的完整合理性；</w:t>
      </w:r>
    </w:p>
    <w:p>
      <w:pPr>
        <w:spacing w:line="360" w:lineRule="auto"/>
        <w:ind w:firstLine="480" w:firstLineChars="200"/>
        <w:outlineLvl w:val="9"/>
        <w:rPr>
          <w:rFonts w:ascii="宋体" w:hAnsi="宋体" w:cs="宋体"/>
          <w:sz w:val="24"/>
        </w:rPr>
      </w:pPr>
      <w:r>
        <w:rPr>
          <w:rFonts w:hint="eastAsia" w:ascii="宋体" w:hAnsi="宋体" w:cs="宋体"/>
          <w:sz w:val="24"/>
        </w:rPr>
        <w:t>26.2.4项目的人员配备情况的合理性；</w:t>
      </w:r>
    </w:p>
    <w:p>
      <w:pPr>
        <w:spacing w:line="360" w:lineRule="auto"/>
        <w:ind w:firstLine="480" w:firstLineChars="200"/>
        <w:outlineLvl w:val="9"/>
        <w:rPr>
          <w:rFonts w:ascii="宋体" w:hAnsi="宋体" w:cs="宋体"/>
          <w:sz w:val="24"/>
          <w:szCs w:val="22"/>
        </w:rPr>
      </w:pPr>
      <w:r>
        <w:rPr>
          <w:rFonts w:hint="eastAsia" w:ascii="宋体" w:hAnsi="宋体" w:cs="宋体"/>
          <w:sz w:val="24"/>
          <w:szCs w:val="22"/>
        </w:rPr>
        <w:t>26.2.5供应商提供服务的承诺情况；</w:t>
      </w:r>
    </w:p>
    <w:p>
      <w:pPr>
        <w:spacing w:line="360" w:lineRule="auto"/>
        <w:ind w:firstLine="480" w:firstLineChars="200"/>
        <w:outlineLvl w:val="9"/>
        <w:rPr>
          <w:rFonts w:ascii="宋体" w:hAnsi="宋体" w:cs="宋体"/>
          <w:sz w:val="24"/>
          <w:szCs w:val="22"/>
        </w:rPr>
      </w:pPr>
      <w:r>
        <w:rPr>
          <w:rFonts w:hint="eastAsia" w:ascii="宋体" w:hAnsi="宋体" w:cs="宋体"/>
          <w:sz w:val="24"/>
          <w:szCs w:val="22"/>
        </w:rPr>
        <w:t>26.2.6其他特殊要求因素（如安全及环保等）。</w:t>
      </w:r>
    </w:p>
    <w:bookmarkEnd w:id="202"/>
    <w:bookmarkEnd w:id="203"/>
    <w:bookmarkEnd w:id="204"/>
    <w:bookmarkEnd w:id="205"/>
    <w:bookmarkEnd w:id="206"/>
    <w:bookmarkEnd w:id="207"/>
    <w:bookmarkEnd w:id="208"/>
    <w:p>
      <w:pPr>
        <w:spacing w:line="360" w:lineRule="auto"/>
        <w:outlineLvl w:val="9"/>
        <w:rPr>
          <w:rFonts w:hint="eastAsia" w:ascii="宋体" w:hAnsi="宋体" w:cs="宋体"/>
          <w:sz w:val="24"/>
          <w:szCs w:val="24"/>
        </w:rPr>
      </w:pPr>
      <w:bookmarkStart w:id="209" w:name="_Toc20736"/>
      <w:bookmarkStart w:id="210" w:name="_Toc26106"/>
      <w:bookmarkStart w:id="211" w:name="_Toc20287"/>
      <w:bookmarkStart w:id="212" w:name="_Toc8450"/>
      <w:bookmarkStart w:id="213" w:name="_Toc11926"/>
      <w:bookmarkStart w:id="214" w:name="_Toc465958117"/>
      <w:r>
        <w:rPr>
          <w:rFonts w:hint="eastAsia" w:ascii="宋体" w:hAnsi="宋体" w:cs="宋体"/>
          <w:sz w:val="24"/>
          <w:szCs w:val="24"/>
        </w:rPr>
        <w:t>27 评审原则及主要方法</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27.1 谈判小组将遵循公开、公平、公正和择优的原则，禁止不正当竞争。对所有供应商的竞争性谈判响应文件评审，都采用相同的程序和标准。</w:t>
      </w:r>
    </w:p>
    <w:p>
      <w:pPr>
        <w:spacing w:line="360" w:lineRule="auto"/>
        <w:outlineLvl w:val="9"/>
        <w:rPr>
          <w:rFonts w:hint="eastAsia" w:ascii="宋体" w:hAnsi="宋体" w:cs="宋体"/>
          <w:sz w:val="24"/>
          <w:szCs w:val="24"/>
        </w:rPr>
      </w:pPr>
      <w:r>
        <w:rPr>
          <w:rFonts w:hint="eastAsia" w:ascii="宋体" w:hAnsi="宋体" w:cs="宋体"/>
          <w:sz w:val="24"/>
          <w:szCs w:val="24"/>
        </w:rPr>
        <w:t>27.2 评审过程的保密：在竞争性谈判响应文件的审查、谈判、报价、成交候选供应商推荐以及授予合同的过程中，供应商向采购人和谈判小组施加影响的任何行为，都将会导致其报价被拒绝；成交供应商确定后，采购人不对未成交供应商就评审过程以及未能成交原因做出任何解释。未成交供应商不得向谈判小组成员或其他相关人员索问评审过程的情况和材料。与评审有关的其他任何情况均严格保密。</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27.3 竞争性谈判响应文件的初步评审（含资格性检查和符合性审查）</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27.3.1 谈判小组将审查竞争性谈判响应文件是否完整、采购人和代理机构审查资格证明文件是否合格，谈判保证金是否合格、有无计算上的错误等，不合格均按无效投标处理。</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27.4 在详细评审之前，谈判小组要审查每份竞争性谈判响应文件是否实质上响应了竞争性谈判文件的要求。实质上响应的谈判应该是与竞争性谈判文件要求的全部条款、条件和规格参数相符，没有偏离的谈判。谈判小组对供应商提供的响应参数、人员配置、售后服务承诺，能满足采购人服务要求的，则可进行二次报价。</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27.5 实质上没有响应竞争性谈判文件要求的谈判将被拒绝。供应商不得通过修正或撤销不合要求的偏离从而使其谈判成为实质性响应的谈判。供应商或竞争性谈判响应文件出现的下列情形将按照无效谈判处理，由谈判小组否决其谈判：</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27.5.1投标单位的投标报价超过采购预算；</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27.5.2 谈判响应文件、投标函未加盖投标人公章，或未经法定代表人（负责人）或其授权代表签字或盖章的；</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27.5.3投标单位未按照谈判文件规定时间缴纳、未足额缴纳保证金；</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27.5.4 谈判响应文件没有法定代表人（负责人）授权书（法人直接投标除外）或授权书的合法性或有效性不符合谈判文件规定的；</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27.5.5 谈判响应文件未按招标文件规定要求装订、签署、盖章的,无投标有效期或有效期达不到招标文件要求的；</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27.5.6谈判响应文件的关键内容字迹模糊、无法辨认的；</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27.5.7提供虚假证明（包括第三方提供的虚假证明），开具虚假资质，出现虚假应答，除按无效谈判响应文件处理外，并进行相应的处罚；</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 xml:space="preserve">27.5.8 对谈判文件未做实质性响应或有重大缺项漏项,明显不符合技术规格、技术标准的要求的；  </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27.5.9 投标人针对同一项目递交两份或多份内容不同的谈判响应文件，未书面声明哪一份是有效的或出现选择性报价的；</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27.5.10投标报价大于项目预算或与市场价偏离较大，低于成本，形成不正当竞争的；</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27.5.11投标人有围标、串标现象（不同投标人的谈判响应文件错漏之处一致的、不同投标人的投标报价或者报价组成异常一致的或者成规律性变化的），经查证属实的。</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27.5.12逾期提交电子响应文件；</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27.5.13提交的响应文件与本项目不相符；</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27.5.14供应商拒绝对电子响应文件进行解密；</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27.5.15因供应商自身原因（如未带 CA 锁、或所带 CA 锁与制作电子响应文件使用的 CA锁不一致、或沿用旧版谈判文件编制响应文件等情形），导致在规定时间内无法解密响应文件；</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27.5.16上传的电子响应文件无法打开。</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27.5.17谈判文件规定的其他要求。</w:t>
      </w:r>
    </w:p>
    <w:bookmarkEnd w:id="209"/>
    <w:bookmarkEnd w:id="210"/>
    <w:bookmarkEnd w:id="211"/>
    <w:bookmarkEnd w:id="212"/>
    <w:bookmarkEnd w:id="213"/>
    <w:bookmarkEnd w:id="214"/>
    <w:p>
      <w:pPr>
        <w:spacing w:line="360" w:lineRule="auto"/>
        <w:outlineLvl w:val="9"/>
        <w:rPr>
          <w:rFonts w:hint="eastAsia" w:ascii="宋体" w:hAnsi="宋体" w:cs="宋体"/>
          <w:sz w:val="24"/>
          <w:szCs w:val="24"/>
        </w:rPr>
      </w:pPr>
      <w:bookmarkStart w:id="215" w:name="_Toc497712095"/>
      <w:bookmarkStart w:id="216" w:name="_Toc246928925"/>
      <w:bookmarkStart w:id="217" w:name="_Toc24562"/>
      <w:bookmarkStart w:id="218" w:name="_Toc497551782"/>
      <w:bookmarkStart w:id="219" w:name="_Toc389620199"/>
      <w:bookmarkStart w:id="220" w:name="_Toc497711547"/>
      <w:bookmarkStart w:id="221" w:name="_Toc2448"/>
      <w:bookmarkStart w:id="222" w:name="_Toc385992360"/>
      <w:bookmarkStart w:id="223" w:name="_Toc25216"/>
      <w:bookmarkStart w:id="224" w:name="_Toc497546880"/>
      <w:bookmarkStart w:id="225" w:name="_Toc492955421"/>
      <w:bookmarkStart w:id="226" w:name="_Toc4915"/>
      <w:bookmarkStart w:id="227" w:name="_Toc465958118"/>
      <w:r>
        <w:rPr>
          <w:rFonts w:hint="eastAsia" w:ascii="宋体" w:hAnsi="宋体" w:cs="宋体"/>
          <w:sz w:val="24"/>
          <w:szCs w:val="24"/>
        </w:rPr>
        <w:t>28 谈判</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28.1谈判过程依次为记录第一次谈判投标报价、竞争性谈判响应文件资格性审查、符合性审查、谈判与承诺、最后报价五个阶段。</w:t>
      </w:r>
    </w:p>
    <w:p>
      <w:pPr>
        <w:spacing w:line="360" w:lineRule="auto"/>
        <w:outlineLvl w:val="9"/>
        <w:rPr>
          <w:rFonts w:hint="eastAsia" w:ascii="宋体" w:hAnsi="宋体" w:cs="宋体"/>
          <w:sz w:val="24"/>
          <w:szCs w:val="24"/>
        </w:rPr>
      </w:pPr>
      <w:r>
        <w:rPr>
          <w:rFonts w:hint="eastAsia" w:ascii="宋体" w:hAnsi="宋体" w:cs="宋体"/>
          <w:sz w:val="24"/>
          <w:szCs w:val="24"/>
        </w:rPr>
        <w:t>资格审查小组对各供应商的资质证明文件进行评审，不符合竞争性谈判文件要求的按无效谈判响应处理，不得进入后续评审。对通过资格审查的供应商，谈判小组对于各个供应商的竞争性谈判响应文件进行符合性审查，审查不合格者不进入下一步评审。</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28.2谈判后，供应商应按谈判小组规定的时间进行最后报价，各供应商请携带电脑现场进行最后报价，最后报价现场不对供应商公布。该谈判报价为不可更改价格，作为谈判小组推荐成交候选人的依据。</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28.3特殊情况处理：按相关法律法规执行。</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 xml:space="preserve">28.4评审方法：谈判小组从质量和服务均能满足采购文件实质性响应要求的供应商中，按照最后报价由低到高的顺序提出成交候选人。 </w:t>
      </w:r>
    </w:p>
    <w:p>
      <w:pPr>
        <w:spacing w:line="360" w:lineRule="auto"/>
        <w:outlineLvl w:val="9"/>
        <w:rPr>
          <w:rFonts w:hint="eastAsia" w:ascii="宋体" w:hAnsi="宋体" w:cs="宋体"/>
          <w:sz w:val="24"/>
          <w:szCs w:val="24"/>
        </w:rPr>
      </w:pPr>
      <w:r>
        <w:rPr>
          <w:rFonts w:hint="eastAsia" w:ascii="宋体" w:hAnsi="宋体" w:cs="宋体"/>
          <w:sz w:val="24"/>
          <w:szCs w:val="24"/>
        </w:rPr>
        <w:t>F</w:t>
      </w:r>
      <w:bookmarkStart w:id="228" w:name="_Hlt491765714"/>
      <w:bookmarkEnd w:id="228"/>
      <w:r>
        <w:rPr>
          <w:rFonts w:hint="eastAsia" w:ascii="宋体" w:hAnsi="宋体" w:cs="宋体"/>
          <w:sz w:val="24"/>
          <w:szCs w:val="24"/>
        </w:rPr>
        <w:t xml:space="preserve"> </w:t>
      </w:r>
      <w:bookmarkStart w:id="229" w:name="_Hlt497547134"/>
      <w:bookmarkEnd w:id="229"/>
      <w:r>
        <w:rPr>
          <w:rFonts w:hint="eastAsia" w:ascii="宋体" w:hAnsi="宋体" w:cs="宋体"/>
          <w:sz w:val="24"/>
          <w:szCs w:val="24"/>
        </w:rPr>
        <w:t>授予合同</w:t>
      </w:r>
      <w:bookmarkEnd w:id="215"/>
      <w:bookmarkEnd w:id="216"/>
      <w:bookmarkEnd w:id="217"/>
      <w:bookmarkEnd w:id="218"/>
      <w:bookmarkEnd w:id="219"/>
      <w:bookmarkEnd w:id="220"/>
      <w:bookmarkEnd w:id="221"/>
      <w:bookmarkEnd w:id="222"/>
      <w:bookmarkEnd w:id="223"/>
      <w:bookmarkEnd w:id="224"/>
      <w:bookmarkEnd w:id="225"/>
      <w:bookmarkEnd w:id="226"/>
      <w:bookmarkEnd w:id="227"/>
    </w:p>
    <w:p>
      <w:pPr>
        <w:spacing w:line="360" w:lineRule="auto"/>
        <w:outlineLvl w:val="9"/>
        <w:rPr>
          <w:rFonts w:hint="eastAsia" w:ascii="宋体" w:hAnsi="宋体" w:cs="宋体"/>
          <w:sz w:val="24"/>
          <w:szCs w:val="24"/>
        </w:rPr>
      </w:pPr>
      <w:bookmarkStart w:id="230" w:name="_Toc389620200"/>
      <w:bookmarkStart w:id="231" w:name="_Toc9423"/>
      <w:bookmarkStart w:id="232" w:name="_Toc465958119"/>
      <w:bookmarkStart w:id="233" w:name="_Toc246928926"/>
      <w:bookmarkStart w:id="234" w:name="_Toc385992361"/>
      <w:bookmarkStart w:id="235" w:name="_Toc21436"/>
      <w:bookmarkStart w:id="236" w:name="_Toc30376"/>
      <w:bookmarkStart w:id="237" w:name="_Toc264"/>
      <w:bookmarkStart w:id="238" w:name="_Toc17220"/>
      <w:bookmarkStart w:id="239" w:name="_Toc6603"/>
      <w:bookmarkStart w:id="240" w:name="_Toc30811"/>
      <w:bookmarkStart w:id="241" w:name="_Toc465958121"/>
      <w:bookmarkStart w:id="242" w:name="_Toc15641"/>
      <w:bookmarkStart w:id="243" w:name="_Toc389620205"/>
      <w:bookmarkStart w:id="244" w:name="_Toc246928928"/>
      <w:bookmarkStart w:id="245" w:name="_Toc9330"/>
      <w:bookmarkStart w:id="246" w:name="_Toc5090"/>
      <w:bookmarkStart w:id="247" w:name="_Toc385992366"/>
      <w:r>
        <w:rPr>
          <w:rFonts w:hint="eastAsia" w:ascii="宋体" w:hAnsi="宋体" w:cs="宋体"/>
          <w:sz w:val="24"/>
          <w:szCs w:val="24"/>
        </w:rPr>
        <w:t>29 成交准则</w:t>
      </w:r>
      <w:bookmarkEnd w:id="230"/>
      <w:bookmarkEnd w:id="231"/>
      <w:bookmarkEnd w:id="232"/>
      <w:bookmarkEnd w:id="233"/>
      <w:bookmarkEnd w:id="234"/>
      <w:bookmarkEnd w:id="235"/>
      <w:bookmarkEnd w:id="236"/>
      <w:bookmarkEnd w:id="237"/>
      <w:bookmarkEnd w:id="238"/>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29.1合同将授予竞争性谈判响应文件符合竞争性谈判文件要求、并能圆满地履行合同、对采购人最为有利且价格最低的供应商。</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29.2谈判小组将根据评审方法推荐成交候选供应商名单。</w:t>
      </w:r>
      <w:bookmarkStart w:id="248" w:name="_Toc385992362"/>
      <w:bookmarkStart w:id="249" w:name="_Toc389620201"/>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29.3采购代理机构在评审结束后将评审报告送采购人，采购人在收到评审报告后按照评审报告中推荐的成交候选供应商顺序确定成交供应商。</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29.4成交供应商因不可抗力或自身原因不能履行政府采购合同的，采购人可以再排位在成交供应商之后的第一位的成交候选供应商签订政府采购合同，以此类推。</w:t>
      </w:r>
    </w:p>
    <w:bookmarkEnd w:id="248"/>
    <w:bookmarkEnd w:id="249"/>
    <w:p>
      <w:pPr>
        <w:spacing w:line="360" w:lineRule="auto"/>
        <w:outlineLvl w:val="9"/>
        <w:rPr>
          <w:rFonts w:hint="eastAsia" w:ascii="宋体" w:hAnsi="宋体" w:cs="宋体"/>
          <w:sz w:val="24"/>
          <w:szCs w:val="24"/>
        </w:rPr>
      </w:pPr>
      <w:bookmarkStart w:id="250" w:name="_Toc385992364"/>
      <w:bookmarkStart w:id="251" w:name="_Toc389620203"/>
      <w:bookmarkStart w:id="252" w:name="_Toc246928927"/>
      <w:bookmarkStart w:id="253" w:name="_Toc12205"/>
      <w:bookmarkStart w:id="254" w:name="_Toc19435"/>
      <w:bookmarkStart w:id="255" w:name="_Toc30974"/>
      <w:bookmarkStart w:id="256" w:name="_Toc19328"/>
      <w:bookmarkStart w:id="257" w:name="_Toc465958120"/>
      <w:bookmarkStart w:id="258" w:name="_Toc21691"/>
      <w:r>
        <w:rPr>
          <w:rFonts w:hint="eastAsia" w:ascii="宋体" w:hAnsi="宋体" w:cs="宋体"/>
          <w:sz w:val="24"/>
          <w:szCs w:val="24"/>
        </w:rPr>
        <w:t xml:space="preserve">30 </w:t>
      </w:r>
      <w:bookmarkEnd w:id="250"/>
      <w:bookmarkEnd w:id="251"/>
      <w:r>
        <w:rPr>
          <w:rFonts w:hint="eastAsia" w:ascii="宋体" w:hAnsi="宋体" w:cs="宋体"/>
          <w:sz w:val="24"/>
          <w:szCs w:val="24"/>
        </w:rPr>
        <w:t>成交通知</w:t>
      </w:r>
      <w:bookmarkEnd w:id="252"/>
      <w:r>
        <w:rPr>
          <w:rFonts w:hint="eastAsia" w:ascii="宋体" w:hAnsi="宋体" w:cs="宋体"/>
          <w:sz w:val="24"/>
          <w:szCs w:val="24"/>
        </w:rPr>
        <w:t>书</w:t>
      </w:r>
      <w:bookmarkEnd w:id="253"/>
      <w:bookmarkEnd w:id="254"/>
      <w:bookmarkEnd w:id="255"/>
      <w:bookmarkEnd w:id="256"/>
      <w:bookmarkEnd w:id="257"/>
      <w:bookmarkEnd w:id="258"/>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30.1 在谈判有效期内，确定成交供应商后，成交结果在财政部门指定的政府采购信息发布媒体上公告。</w:t>
      </w:r>
    </w:p>
    <w:p>
      <w:pPr>
        <w:spacing w:line="360" w:lineRule="auto"/>
        <w:ind w:firstLine="480" w:firstLineChars="200"/>
        <w:outlineLvl w:val="9"/>
        <w:rPr>
          <w:rFonts w:hint="eastAsia" w:ascii="宋体" w:hAnsi="宋体" w:cs="宋体"/>
          <w:sz w:val="24"/>
          <w:szCs w:val="24"/>
          <w:lang w:eastAsia="zh-CN"/>
        </w:rPr>
      </w:pPr>
      <w:r>
        <w:rPr>
          <w:rFonts w:hint="eastAsia" w:ascii="宋体" w:hAnsi="宋体" w:cs="宋体"/>
          <w:sz w:val="24"/>
          <w:szCs w:val="24"/>
        </w:rPr>
        <w:t>30.2 采购代理机构向成交供应商发出成交通知书</w:t>
      </w:r>
      <w:r>
        <w:rPr>
          <w:rFonts w:hint="eastAsia" w:ascii="宋体" w:hAnsi="宋体" w:cs="宋体"/>
          <w:sz w:val="24"/>
          <w:szCs w:val="24"/>
          <w:lang w:eastAsia="zh-CN"/>
        </w:rPr>
        <w:t>。</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30.3 成交通知书将作为签订合同的依据。</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30.4 对未成交者，采购人不做出解释，同时亦不退还竞争性谈判响应文件。</w:t>
      </w:r>
    </w:p>
    <w:bookmarkEnd w:id="239"/>
    <w:bookmarkEnd w:id="240"/>
    <w:bookmarkEnd w:id="241"/>
    <w:bookmarkEnd w:id="242"/>
    <w:bookmarkEnd w:id="243"/>
    <w:bookmarkEnd w:id="244"/>
    <w:bookmarkEnd w:id="245"/>
    <w:bookmarkEnd w:id="246"/>
    <w:bookmarkEnd w:id="247"/>
    <w:p>
      <w:pPr>
        <w:spacing w:line="360" w:lineRule="auto"/>
        <w:outlineLvl w:val="9"/>
        <w:rPr>
          <w:rFonts w:hint="eastAsia" w:ascii="宋体" w:hAnsi="宋体" w:cs="宋体"/>
          <w:sz w:val="24"/>
          <w:szCs w:val="24"/>
        </w:rPr>
      </w:pPr>
      <w:bookmarkStart w:id="259" w:name="_Toc23493"/>
      <w:bookmarkStart w:id="260" w:name="_Toc246928929"/>
      <w:bookmarkStart w:id="261" w:name="_Toc389620207"/>
      <w:bookmarkStart w:id="262" w:name="_Toc11754"/>
      <w:bookmarkStart w:id="263" w:name="_Toc465958122"/>
      <w:bookmarkStart w:id="264" w:name="_Toc9873"/>
      <w:bookmarkStart w:id="265" w:name="_Toc23291"/>
      <w:bookmarkStart w:id="266" w:name="_Toc385992368"/>
      <w:bookmarkStart w:id="267" w:name="_Toc20377"/>
      <w:r>
        <w:rPr>
          <w:rFonts w:hint="eastAsia" w:ascii="宋体" w:hAnsi="宋体" w:cs="宋体"/>
          <w:sz w:val="24"/>
          <w:szCs w:val="24"/>
        </w:rPr>
        <w:t>31 签订合同</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31.1成交供应商应当自成交通知书发出之日起10</w:t>
      </w:r>
      <w:r>
        <w:rPr>
          <w:rFonts w:hint="eastAsia" w:ascii="宋体" w:hAnsi="宋体" w:cs="宋体"/>
          <w:sz w:val="24"/>
          <w:szCs w:val="24"/>
          <w:lang w:val="en-US" w:eastAsia="zh-CN"/>
        </w:rPr>
        <w:t>个工作</w:t>
      </w:r>
      <w:r>
        <w:rPr>
          <w:rFonts w:hint="eastAsia" w:ascii="宋体" w:hAnsi="宋体" w:cs="宋体"/>
          <w:sz w:val="24"/>
          <w:szCs w:val="24"/>
        </w:rPr>
        <w:t>日内，按照竞争性谈判文件确定的事项和成交供应商的竞争性谈判响应文件与采购人签订政府采购合同；成交通知书发出后采购人改变成交结果的，或者成交供应商放弃成交项目的，应当依法承担法律责任。成交供应商拒绝与采购人签订合同的，谈判保证金不予退还，给采购人造成的损失超过谈判保证金数额的，还应当对超过部分予以赔偿，同时依法承担相应法律责任。采购人可以按照评审报告推荐的成交候选人名单顺序，确定下一候选人为成交供应商，也可以重新开展政府采购活动。</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31.2 竞争性谈判文件、成交供应商的竞争性谈判响应文件和补充文件（如澄清、承诺等）等，均为签订合同的依据。所签订的合同不得对竞争性谈判文件和成交供应商竞争性谈判响应文件作实质性修改。</w:t>
      </w:r>
    </w:p>
    <w:bookmarkEnd w:id="259"/>
    <w:bookmarkEnd w:id="260"/>
    <w:bookmarkEnd w:id="261"/>
    <w:bookmarkEnd w:id="262"/>
    <w:bookmarkEnd w:id="263"/>
    <w:bookmarkEnd w:id="264"/>
    <w:bookmarkEnd w:id="265"/>
    <w:bookmarkEnd w:id="266"/>
    <w:bookmarkEnd w:id="267"/>
    <w:p>
      <w:pPr>
        <w:spacing w:line="360" w:lineRule="auto"/>
        <w:outlineLvl w:val="9"/>
        <w:rPr>
          <w:rFonts w:hint="eastAsia" w:ascii="宋体" w:hAnsi="宋体" w:cs="宋体"/>
          <w:sz w:val="24"/>
          <w:szCs w:val="24"/>
        </w:rPr>
      </w:pPr>
      <w:r>
        <w:rPr>
          <w:rFonts w:hint="eastAsia" w:ascii="宋体" w:hAnsi="宋体" w:cs="宋体"/>
          <w:sz w:val="24"/>
          <w:szCs w:val="24"/>
        </w:rPr>
        <w:t xml:space="preserve">32 招标代理服务费 </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32.1  招标代理服务费的收取参见国家计委颁布的《招标代理服务收费管理暂行办法》（计价格[2002]1980号）和（发改办价格[2011]534号）中规定的差额定律累进法计算,向成交单位收取。</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32.2  成交单位在领取成交通知书前，须向采购代理机构一次性支付招标代理服务费。</w:t>
      </w:r>
    </w:p>
    <w:p>
      <w:pPr>
        <w:spacing w:line="360" w:lineRule="auto"/>
        <w:outlineLvl w:val="9"/>
        <w:rPr>
          <w:rFonts w:hint="eastAsia" w:ascii="宋体" w:hAnsi="宋体" w:cs="宋体"/>
          <w:sz w:val="24"/>
          <w:szCs w:val="24"/>
        </w:rPr>
      </w:pPr>
      <w:bookmarkStart w:id="268" w:name="_Hlt497548036"/>
      <w:bookmarkEnd w:id="268"/>
      <w:bookmarkStart w:id="269" w:name="_Toc497712133"/>
      <w:bookmarkStart w:id="270" w:name="_Toc347478708"/>
      <w:bookmarkStart w:id="271" w:name="_Toc9748"/>
      <w:bookmarkStart w:id="272" w:name="_Toc497546918"/>
      <w:bookmarkStart w:id="273" w:name="_Toc13928"/>
      <w:bookmarkStart w:id="274" w:name="_Toc10852"/>
      <w:bookmarkStart w:id="275" w:name="_Toc497551820"/>
      <w:bookmarkStart w:id="276" w:name="_Toc492955459"/>
      <w:bookmarkStart w:id="277" w:name="_Toc497711585"/>
      <w:bookmarkStart w:id="278" w:name="_Toc28607"/>
      <w:bookmarkStart w:id="279" w:name="_Toc93800308"/>
      <w:r>
        <w:rPr>
          <w:rFonts w:hint="eastAsia" w:ascii="宋体" w:hAnsi="宋体" w:cs="宋体"/>
          <w:sz w:val="24"/>
          <w:szCs w:val="24"/>
        </w:rPr>
        <w:t>33 其他</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谈判截止时间结束后，参加投标的投标人不足3家，或在评标期间，出现符合条件的投标人或者对竞争性谈判文件做出实质性响应的投标人不足3家的，按照中华人民共和国财政部令第87号《政府采购货物和服务招标投标管理办法》第四十一条、第四十三条、第四十四条等相关条款处理。</w:t>
      </w:r>
    </w:p>
    <w:p>
      <w:pPr>
        <w:spacing w:line="360" w:lineRule="auto"/>
        <w:outlineLvl w:val="9"/>
        <w:rPr>
          <w:rFonts w:hint="eastAsia" w:ascii="宋体" w:hAnsi="宋体" w:cs="宋体"/>
          <w:sz w:val="24"/>
          <w:szCs w:val="24"/>
        </w:rPr>
      </w:pPr>
      <w:r>
        <w:rPr>
          <w:rFonts w:hint="eastAsia" w:ascii="宋体" w:hAnsi="宋体" w:cs="宋体"/>
          <w:sz w:val="24"/>
          <w:szCs w:val="24"/>
        </w:rPr>
        <w:t>34 质疑提出与答复</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供应商如果认为采购程序、采购过程或中标结果使自身的合法权益受到损害，可以在知道或者应知其权益受到损害之日起7个工作日内，以书面形式向采购代理机构提出。</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1、供应商提出质疑应当提交质疑函和必要的证明材料，并按财政部《质疑函范本》给定的格式进行填写，范本下载详见【财政部国库司（gks.mof.gov.cn）】网站〖首页•〉政府采购管理〗栏目中的《政府采购供应商质疑函范本》。</w:t>
      </w:r>
    </w:p>
    <w:p>
      <w:pPr>
        <w:spacing w:line="360" w:lineRule="auto"/>
        <w:outlineLvl w:val="9"/>
        <w:rPr>
          <w:rFonts w:hint="eastAsia" w:ascii="宋体" w:hAnsi="宋体" w:cs="宋体"/>
          <w:sz w:val="24"/>
          <w:szCs w:val="24"/>
        </w:rPr>
      </w:pPr>
      <w:r>
        <w:rPr>
          <w:rFonts w:hint="eastAsia" w:ascii="宋体" w:hAnsi="宋体" w:cs="宋体"/>
          <w:sz w:val="24"/>
          <w:szCs w:val="24"/>
        </w:rPr>
        <w:t>《政府采购供应商质疑函范本》链接地址：</w:t>
      </w:r>
    </w:p>
    <w:p>
      <w:pPr>
        <w:spacing w:line="360" w:lineRule="auto"/>
        <w:outlineLvl w:val="9"/>
        <w:rPr>
          <w:rFonts w:hint="eastAsia" w:ascii="宋体" w:hAnsi="宋体" w:cs="宋体"/>
          <w:sz w:val="24"/>
          <w:szCs w:val="24"/>
        </w:rPr>
      </w:pPr>
      <w:r>
        <w:rPr>
          <w:rFonts w:hint="eastAsia" w:ascii="宋体" w:hAnsi="宋体" w:cs="宋体"/>
          <w:sz w:val="24"/>
          <w:szCs w:val="24"/>
        </w:rPr>
        <w:t>http://www.mof.gov.cn/gp/xxgkml/gks/201802/t20180201_2804587.htm</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2.1质疑函应当包括下列内容：</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（1）</w:t>
      </w:r>
      <w:r>
        <w:rPr>
          <w:rFonts w:hint="eastAsia" w:ascii="宋体" w:hAnsi="宋体" w:cs="宋体"/>
          <w:sz w:val="24"/>
          <w:szCs w:val="24"/>
          <w:lang w:val="zh-CN"/>
        </w:rPr>
        <w:t>投标人</w:t>
      </w:r>
      <w:r>
        <w:rPr>
          <w:rFonts w:hint="eastAsia" w:ascii="宋体" w:hAnsi="宋体" w:cs="宋体"/>
          <w:sz w:val="24"/>
          <w:szCs w:val="24"/>
        </w:rPr>
        <w:t>的姓名或者名称、地址、邮编、联系人及联系电话；</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（2）质疑项目的名称、编号；</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（3）具体、明确的质疑事项和与质疑事项相关的请求；</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（4）事实依据；</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（5）必要的法律依据；</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 xml:space="preserve">（6）提出质疑的日期。 </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3、在法定质疑期内，针对同一采购程序环节的质疑应当一次性提出。采购代理机构或采购人将在收到书面质疑后7个工作日内做出答复，并以书面形式通知质疑人和其他有关供应商。</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4、有下列情形之一的，属于无效质疑，采购代理机构和采购人不予受理：</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（1）质疑人不是参与本次政府采购项目的供应商或潜在供应商；</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（2）质疑人与质疑事项不存在利害关系的；</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（3）未在法定期限内提出质疑的；</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（4）质疑未以书面形式提出，或质疑函主要内容构成不完整的，或缺乏必要的证明材料及证明材料不完整的；</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（5）质疑函没有合法有效的签字、盖章或授权的；</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（6）以非法手段取得证据、材料的；</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（7）质疑答复后，同一质疑人就同一事项再次提出质疑的；</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（8）不符合法律、法规、规章和政府采购监管机构规定的其他条件的。</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5、质疑人对采购代理机构或采购人的答复不满意，以及采购代理机构或采购人未在规定时间内做出答复的，可以在答复期满后15个工作日内向政府采购监管机构提出投诉。</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6、供应商投诉的事项不得超出已质疑事项的范围。</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7、对捏造事实、提供虚假材料进行质疑、投诉的行为予以严肃处理：</w:t>
      </w:r>
    </w:p>
    <w:p>
      <w:pPr>
        <w:spacing w:line="360" w:lineRule="auto"/>
        <w:outlineLvl w:val="9"/>
        <w:rPr>
          <w:rFonts w:hint="eastAsia" w:ascii="宋体" w:hAnsi="宋体" w:cs="宋体"/>
          <w:sz w:val="24"/>
          <w:szCs w:val="24"/>
        </w:rPr>
      </w:pPr>
      <w:r>
        <w:rPr>
          <w:rFonts w:hint="eastAsia" w:ascii="宋体" w:hAnsi="宋体" w:cs="宋体"/>
          <w:sz w:val="24"/>
          <w:szCs w:val="24"/>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pPr>
        <w:spacing w:line="360" w:lineRule="auto"/>
        <w:ind w:firstLine="480" w:firstLineChars="200"/>
        <w:outlineLvl w:val="9"/>
        <w:rPr>
          <w:rFonts w:hint="eastAsia" w:ascii="宋体" w:hAnsi="宋体" w:cs="宋体"/>
          <w:sz w:val="24"/>
          <w:szCs w:val="24"/>
        </w:rPr>
      </w:pPr>
      <w:r>
        <w:rPr>
          <w:rFonts w:hint="eastAsia" w:ascii="宋体" w:hAnsi="宋体" w:cs="宋体"/>
          <w:sz w:val="24"/>
          <w:szCs w:val="24"/>
        </w:rPr>
        <w:t>8、对捏造事实诬告陷害他人、诽谤他人的法律适用：</w:t>
      </w:r>
    </w:p>
    <w:p>
      <w:pPr>
        <w:spacing w:line="360" w:lineRule="auto"/>
        <w:outlineLvl w:val="9"/>
        <w:rPr>
          <w:rFonts w:hint="eastAsia" w:ascii="宋体" w:hAnsi="宋体" w:cs="宋体"/>
          <w:sz w:val="24"/>
          <w:szCs w:val="24"/>
        </w:rPr>
      </w:pPr>
      <w:r>
        <w:rPr>
          <w:rFonts w:hint="eastAsia" w:ascii="宋体" w:hAnsi="宋体" w:cs="宋体"/>
          <w:sz w:val="24"/>
          <w:szCs w:val="24"/>
        </w:rPr>
        <w:t>《中华人民共和国刑法》第243条【诬告陷害罪】捏造事实诬告陷害他人，意图使他人受刑事追究，情节严重的，处三年以下有期徒刑、拘役或者管制；造成严重后果的，处三年以上十年以下有期徒刑。</w:t>
      </w:r>
    </w:p>
    <w:p>
      <w:pPr>
        <w:spacing w:line="360" w:lineRule="auto"/>
        <w:outlineLvl w:val="9"/>
        <w:rPr>
          <w:rFonts w:hint="eastAsia" w:ascii="宋体" w:hAnsi="宋体" w:cs="宋体"/>
          <w:sz w:val="24"/>
          <w:szCs w:val="24"/>
        </w:rPr>
      </w:pPr>
      <w:r>
        <w:rPr>
          <w:rFonts w:hint="eastAsia" w:ascii="宋体" w:hAnsi="宋体" w:cs="宋体"/>
          <w:sz w:val="24"/>
          <w:szCs w:val="24"/>
        </w:rPr>
        <w:t>《中华人民共和国刑法》第246条【侮辱罪、诽谤罪】以暴力或者其他方法公然侮辱他人或者捏造事实诽谤他人，情节严重的，处三年以下有期徒刑、拘役、管制或者剥夺政治权利。</w:t>
      </w:r>
    </w:p>
    <w:p>
      <w:pPr>
        <w:spacing w:line="360" w:lineRule="auto"/>
        <w:ind w:firstLine="480" w:firstLineChars="200"/>
        <w:outlineLvl w:val="9"/>
        <w:rPr>
          <w:rFonts w:hint="eastAsia" w:ascii="宋体" w:hAnsi="宋体" w:cs="宋体"/>
          <w:sz w:val="24"/>
          <w:szCs w:val="24"/>
          <w:lang w:eastAsia="zh-CN"/>
        </w:rPr>
      </w:pPr>
      <w:r>
        <w:rPr>
          <w:rFonts w:hint="eastAsia" w:ascii="宋体" w:hAnsi="宋体" w:cs="宋体"/>
          <w:sz w:val="24"/>
          <w:szCs w:val="24"/>
        </w:rPr>
        <w:t>9、质疑函递交地址：</w:t>
      </w:r>
      <w:r>
        <w:rPr>
          <w:rFonts w:hint="eastAsia" w:ascii="宋体" w:hAnsi="宋体" w:cs="宋体"/>
          <w:sz w:val="24"/>
          <w:szCs w:val="24"/>
          <w:lang w:eastAsia="zh-CN"/>
        </w:rPr>
        <w:t>陕西省榆林市高新技术产业园区明珠大道榆商大厦A座1605室</w:t>
      </w:r>
    </w:p>
    <w:p>
      <w:pPr>
        <w:spacing w:line="360" w:lineRule="auto"/>
        <w:ind w:firstLine="480" w:firstLineChars="200"/>
        <w:outlineLvl w:val="9"/>
        <w:rPr>
          <w:rFonts w:hint="eastAsia" w:ascii="宋体" w:hAnsi="宋体" w:cs="宋体"/>
          <w:sz w:val="24"/>
          <w:szCs w:val="24"/>
          <w:lang w:eastAsia="zh-CN"/>
        </w:rPr>
      </w:pPr>
      <w:r>
        <w:rPr>
          <w:rFonts w:hint="eastAsia" w:ascii="宋体" w:hAnsi="宋体" w:cs="宋体"/>
          <w:sz w:val="24"/>
          <w:szCs w:val="24"/>
        </w:rPr>
        <w:t>联系人：</w:t>
      </w:r>
      <w:r>
        <w:rPr>
          <w:rFonts w:hint="eastAsia" w:ascii="宋体" w:hAnsi="宋体" w:cs="宋体"/>
          <w:sz w:val="24"/>
          <w:szCs w:val="24"/>
          <w:lang w:val="en-US" w:eastAsia="zh-CN"/>
        </w:rPr>
        <w:t>薛工</w:t>
      </w:r>
    </w:p>
    <w:p>
      <w:pPr>
        <w:spacing w:line="360" w:lineRule="auto"/>
        <w:ind w:firstLine="480" w:firstLineChars="200"/>
        <w:outlineLvl w:val="9"/>
        <w:rPr>
          <w:rFonts w:hint="default" w:ascii="宋体" w:hAnsi="宋体" w:cs="宋体"/>
          <w:sz w:val="24"/>
          <w:szCs w:val="24"/>
          <w:lang w:val="en-US" w:eastAsia="zh-CN"/>
        </w:rPr>
      </w:pPr>
      <w:r>
        <w:rPr>
          <w:rFonts w:hint="eastAsia" w:ascii="宋体" w:hAnsi="宋体" w:cs="宋体"/>
          <w:sz w:val="24"/>
          <w:szCs w:val="24"/>
        </w:rPr>
        <w:t>联系方式：</w:t>
      </w:r>
      <w:r>
        <w:rPr>
          <w:rFonts w:hint="eastAsia" w:ascii="宋体" w:hAnsi="宋体" w:cs="宋体"/>
          <w:sz w:val="24"/>
          <w:szCs w:val="24"/>
          <w:lang w:val="en-US" w:eastAsia="zh-CN"/>
        </w:rPr>
        <w:t>18220282132</w:t>
      </w:r>
    </w:p>
    <w:bookmarkEnd w:id="269"/>
    <w:bookmarkEnd w:id="270"/>
    <w:bookmarkEnd w:id="271"/>
    <w:bookmarkEnd w:id="272"/>
    <w:bookmarkEnd w:id="273"/>
    <w:bookmarkEnd w:id="274"/>
    <w:bookmarkEnd w:id="275"/>
    <w:bookmarkEnd w:id="276"/>
    <w:bookmarkEnd w:id="277"/>
    <w:bookmarkEnd w:id="278"/>
    <w:bookmarkEnd w:id="279"/>
    <w:p>
      <w:pPr>
        <w:spacing w:line="360" w:lineRule="auto"/>
        <w:outlineLvl w:val="9"/>
        <w:rPr>
          <w:rFonts w:hint="eastAsia" w:ascii="宋体" w:hAnsi="宋体" w:cs="宋体"/>
          <w:sz w:val="24"/>
          <w:szCs w:val="24"/>
        </w:rPr>
        <w:sectPr>
          <w:footerReference r:id="rId5" w:type="default"/>
          <w:pgSz w:w="11906" w:h="16838"/>
          <w:pgMar w:top="1440" w:right="1486" w:bottom="1440" w:left="1180" w:header="851" w:footer="992" w:gutter="0"/>
          <w:pgNumType w:fmt="decimal" w:start="1"/>
          <w:cols w:space="720" w:num="1"/>
          <w:docGrid w:type="lines" w:linePitch="312" w:charSpace="0"/>
        </w:sectPr>
      </w:pPr>
    </w:p>
    <w:p>
      <w:pPr>
        <w:pStyle w:val="3"/>
        <w:spacing w:line="240" w:lineRule="auto"/>
        <w:jc w:val="center"/>
        <w:rPr>
          <w:rFonts w:ascii="宋体" w:hAnsi="宋体" w:cs="仿宋_GB2312"/>
          <w:sz w:val="36"/>
          <w:szCs w:val="22"/>
        </w:rPr>
      </w:pPr>
      <w:bookmarkStart w:id="280" w:name="_Toc31112"/>
      <w:r>
        <w:rPr>
          <w:rFonts w:hint="eastAsia" w:ascii="宋体" w:hAnsi="宋体" w:cs="仿宋_GB2312"/>
          <w:sz w:val="36"/>
          <w:szCs w:val="22"/>
        </w:rPr>
        <w:t xml:space="preserve">第四部分  </w:t>
      </w:r>
      <w:r>
        <w:rPr>
          <w:rFonts w:hint="eastAsia" w:ascii="宋体" w:hAnsi="宋体" w:cs="仿宋_GB2312"/>
          <w:bCs/>
          <w:sz w:val="36"/>
          <w:szCs w:val="22"/>
        </w:rPr>
        <w:t>政府采购合同</w:t>
      </w:r>
      <w:bookmarkEnd w:id="15"/>
      <w:bookmarkEnd w:id="16"/>
      <w:bookmarkEnd w:id="17"/>
      <w:bookmarkEnd w:id="18"/>
      <w:bookmarkEnd w:id="280"/>
    </w:p>
    <w:p>
      <w:pPr>
        <w:outlineLvl w:val="9"/>
        <w:rPr>
          <w:rFonts w:hint="eastAsia" w:ascii="宋体" w:hAnsi="宋体" w:cs="宋体"/>
          <w:b/>
          <w:bCs/>
          <w:kern w:val="0"/>
          <w:sz w:val="24"/>
          <w:szCs w:val="24"/>
        </w:rPr>
      </w:pPr>
      <w:bookmarkStart w:id="281" w:name="_Toc497551821"/>
      <w:bookmarkStart w:id="282" w:name="_Toc347478744"/>
      <w:bookmarkStart w:id="283" w:name="_Toc492955460"/>
      <w:bookmarkStart w:id="284" w:name="_Toc497546919"/>
      <w:bookmarkStart w:id="285" w:name="_Toc17437"/>
      <w:bookmarkStart w:id="286" w:name="_Toc497711586"/>
      <w:bookmarkStart w:id="287" w:name="_Toc389620242"/>
      <w:bookmarkStart w:id="288" w:name="_Toc462325839"/>
      <w:bookmarkStart w:id="289" w:name="_Toc497712134"/>
      <w:bookmarkStart w:id="290" w:name="_Toc385992402"/>
      <w:r>
        <w:rPr>
          <w:rFonts w:hint="eastAsia" w:ascii="宋体" w:hAnsi="宋体" w:cs="宋体"/>
          <w:b/>
          <w:bCs/>
          <w:kern w:val="0"/>
          <w:sz w:val="24"/>
          <w:szCs w:val="24"/>
        </w:rPr>
        <w:t>甲方（采购人）：榆林市交通运输局</w:t>
      </w:r>
    </w:p>
    <w:p>
      <w:pPr>
        <w:spacing w:line="520" w:lineRule="exact"/>
        <w:outlineLvl w:val="9"/>
        <w:rPr>
          <w:rFonts w:hint="eastAsia" w:ascii="宋体" w:hAnsi="宋体" w:cs="宋体"/>
          <w:kern w:val="0"/>
          <w:sz w:val="24"/>
          <w:szCs w:val="24"/>
        </w:rPr>
      </w:pPr>
      <w:r>
        <w:rPr>
          <w:rFonts w:hint="eastAsia" w:ascii="宋体" w:hAnsi="宋体" w:cs="宋体"/>
          <w:b/>
          <w:bCs/>
          <w:kern w:val="0"/>
          <w:sz w:val="24"/>
          <w:szCs w:val="24"/>
        </w:rPr>
        <w:t xml:space="preserve">乙方（供应商）：    </w:t>
      </w:r>
    </w:p>
    <w:p>
      <w:pPr>
        <w:autoSpaceDE w:val="0"/>
        <w:autoSpaceDN w:val="0"/>
        <w:adjustRightInd w:val="0"/>
        <w:spacing w:line="520" w:lineRule="exact"/>
        <w:ind w:firstLine="480" w:firstLineChars="200"/>
        <w:outlineLvl w:val="9"/>
        <w:rPr>
          <w:rFonts w:hint="eastAsia" w:ascii="宋体" w:hAnsi="宋体" w:cs="宋体"/>
          <w:bCs/>
          <w:kern w:val="0"/>
          <w:sz w:val="24"/>
        </w:rPr>
      </w:pPr>
      <w:r>
        <w:rPr>
          <w:rFonts w:hint="eastAsia" w:ascii="宋体" w:hAnsi="宋体" w:cs="宋体"/>
          <w:kern w:val="0"/>
          <w:sz w:val="24"/>
          <w:u w:val="single"/>
        </w:rPr>
        <w:t>榆林市交通运输局205省道佳县至米脂公路工程可行性研究报告编制</w:t>
      </w:r>
      <w:r>
        <w:rPr>
          <w:rFonts w:hint="eastAsia" w:ascii="宋体" w:hAnsi="宋体" w:cs="宋体"/>
          <w:bCs/>
          <w:kern w:val="0"/>
          <w:sz w:val="24"/>
          <w:u w:val="single"/>
        </w:rPr>
        <w:t>(项目编号：  )</w:t>
      </w:r>
      <w:r>
        <w:rPr>
          <w:rFonts w:hint="eastAsia" w:ascii="宋体" w:hAnsi="宋体" w:cs="宋体"/>
          <w:bCs/>
          <w:kern w:val="0"/>
          <w:sz w:val="24"/>
        </w:rPr>
        <w:t>由</w:t>
      </w:r>
      <w:r>
        <w:rPr>
          <w:rFonts w:hint="eastAsia" w:ascii="宋体" w:hAnsi="宋体" w:cs="宋体"/>
          <w:bCs/>
          <w:kern w:val="0"/>
          <w:sz w:val="24"/>
          <w:u w:val="single"/>
        </w:rPr>
        <w:t>榆林市交通运输局</w:t>
      </w:r>
      <w:r>
        <w:rPr>
          <w:rFonts w:hint="eastAsia" w:ascii="宋体" w:hAnsi="宋体" w:cs="宋体"/>
          <w:bCs/>
          <w:kern w:val="0"/>
          <w:sz w:val="24"/>
        </w:rPr>
        <w:t>委托</w:t>
      </w:r>
      <w:r>
        <w:rPr>
          <w:rFonts w:hint="eastAsia" w:ascii="宋体" w:hAnsi="宋体" w:cs="宋体"/>
          <w:kern w:val="0"/>
          <w:sz w:val="24"/>
          <w:u w:val="single"/>
        </w:rPr>
        <w:t xml:space="preserve">           </w:t>
      </w:r>
      <w:r>
        <w:rPr>
          <w:rFonts w:hint="eastAsia" w:ascii="宋体" w:hAnsi="宋体" w:cs="宋体"/>
          <w:bCs/>
          <w:kern w:val="0"/>
          <w:sz w:val="24"/>
        </w:rPr>
        <w:t>组织公开招标，确定</w:t>
      </w:r>
      <w:r>
        <w:rPr>
          <w:rFonts w:hint="eastAsia" w:ascii="宋体" w:hAnsi="宋体" w:cs="宋体"/>
          <w:bCs/>
          <w:kern w:val="0"/>
          <w:sz w:val="24"/>
          <w:u w:val="single"/>
        </w:rPr>
        <w:t xml:space="preserve">         </w:t>
      </w:r>
      <w:r>
        <w:rPr>
          <w:rFonts w:hint="eastAsia" w:ascii="宋体" w:hAnsi="宋体" w:cs="宋体"/>
          <w:bCs/>
          <w:kern w:val="0"/>
          <w:sz w:val="24"/>
        </w:rPr>
        <w:t>为中标供应商。</w:t>
      </w:r>
    </w:p>
    <w:p>
      <w:pPr>
        <w:spacing w:line="520" w:lineRule="exact"/>
        <w:ind w:firstLine="482" w:firstLineChars="200"/>
        <w:outlineLvl w:val="9"/>
        <w:rPr>
          <w:rFonts w:hint="eastAsia" w:ascii="宋体" w:hAnsi="宋体" w:cs="宋体"/>
          <w:b/>
          <w:bCs/>
          <w:kern w:val="0"/>
          <w:sz w:val="24"/>
          <w:szCs w:val="24"/>
        </w:rPr>
      </w:pPr>
      <w:r>
        <w:rPr>
          <w:rFonts w:hint="eastAsia" w:ascii="宋体" w:hAnsi="宋体" w:cs="宋体"/>
          <w:b/>
          <w:bCs/>
          <w:kern w:val="0"/>
          <w:sz w:val="24"/>
          <w:szCs w:val="24"/>
        </w:rPr>
        <w:t>第一条 合同依据</w:t>
      </w:r>
    </w:p>
    <w:p>
      <w:pPr>
        <w:spacing w:line="520" w:lineRule="exact"/>
        <w:ind w:firstLine="480" w:firstLineChars="200"/>
        <w:outlineLvl w:val="9"/>
        <w:rPr>
          <w:rFonts w:hint="eastAsia" w:ascii="宋体" w:hAnsi="宋体" w:cs="宋体"/>
          <w:kern w:val="0"/>
          <w:sz w:val="24"/>
          <w:szCs w:val="24"/>
        </w:rPr>
      </w:pPr>
      <w:r>
        <w:rPr>
          <w:rFonts w:hint="eastAsia" w:ascii="宋体" w:hAnsi="宋体" w:cs="宋体"/>
          <w:kern w:val="0"/>
          <w:sz w:val="24"/>
          <w:szCs w:val="24"/>
        </w:rPr>
        <w:t xml:space="preserve">1.1 </w:t>
      </w:r>
      <w:r>
        <w:rPr>
          <w:rFonts w:ascii="Times New Roman" w:hAnsi="Times New Roman"/>
          <w:kern w:val="0"/>
          <w:sz w:val="24"/>
          <w:szCs w:val="24"/>
        </w:rPr>
        <w:t>《中华人民共和国</w:t>
      </w:r>
      <w:r>
        <w:rPr>
          <w:rFonts w:hint="eastAsia" w:ascii="Times New Roman" w:hAnsi="Times New Roman"/>
          <w:kern w:val="0"/>
          <w:sz w:val="24"/>
          <w:szCs w:val="24"/>
        </w:rPr>
        <w:t>政府采购</w:t>
      </w:r>
      <w:r>
        <w:rPr>
          <w:rFonts w:ascii="Times New Roman" w:hAnsi="Times New Roman"/>
          <w:kern w:val="0"/>
          <w:sz w:val="24"/>
          <w:szCs w:val="24"/>
        </w:rPr>
        <w:t>法》</w:t>
      </w:r>
      <w:r>
        <w:rPr>
          <w:rFonts w:hint="eastAsia" w:ascii="Times New Roman" w:hAnsi="Times New Roman"/>
          <w:kern w:val="0"/>
          <w:sz w:val="24"/>
          <w:szCs w:val="24"/>
        </w:rPr>
        <w:t>、</w:t>
      </w:r>
      <w:r>
        <w:rPr>
          <w:rFonts w:hint="eastAsia" w:ascii="宋体" w:hAnsi="宋体" w:cs="宋体"/>
          <w:kern w:val="0"/>
          <w:sz w:val="24"/>
          <w:szCs w:val="24"/>
        </w:rPr>
        <w:t>《中华人民共和国民法典》、《公路建设市场管理办法》及国家的各项政策、法规等。</w:t>
      </w:r>
    </w:p>
    <w:p>
      <w:pPr>
        <w:spacing w:line="520" w:lineRule="exact"/>
        <w:ind w:firstLine="480" w:firstLineChars="200"/>
        <w:outlineLvl w:val="9"/>
        <w:rPr>
          <w:rFonts w:hint="eastAsia" w:ascii="宋体" w:hAnsi="宋体" w:cs="宋体"/>
          <w:kern w:val="0"/>
          <w:sz w:val="24"/>
          <w:szCs w:val="24"/>
        </w:rPr>
      </w:pPr>
      <w:r>
        <w:rPr>
          <w:rFonts w:hint="eastAsia" w:ascii="宋体" w:hAnsi="宋体" w:cs="宋体"/>
          <w:kern w:val="0"/>
          <w:sz w:val="24"/>
          <w:szCs w:val="24"/>
        </w:rPr>
        <w:t>1.2 交通运输部颁布的相关标准、规范、规定等。</w:t>
      </w:r>
    </w:p>
    <w:p>
      <w:pPr>
        <w:spacing w:line="520" w:lineRule="exact"/>
        <w:ind w:firstLine="480" w:firstLineChars="200"/>
        <w:outlineLvl w:val="9"/>
        <w:rPr>
          <w:rFonts w:hint="eastAsia" w:ascii="宋体" w:hAnsi="宋体" w:cs="宋体"/>
          <w:b/>
          <w:bCs/>
          <w:kern w:val="0"/>
          <w:sz w:val="24"/>
          <w:szCs w:val="24"/>
        </w:rPr>
      </w:pPr>
      <w:r>
        <w:rPr>
          <w:rFonts w:hint="eastAsia" w:ascii="宋体" w:hAnsi="宋体" w:cs="宋体"/>
          <w:kern w:val="0"/>
          <w:sz w:val="24"/>
          <w:szCs w:val="24"/>
        </w:rPr>
        <w:t>1.3 招标文件、投标文件及中标通知书。</w:t>
      </w:r>
    </w:p>
    <w:p>
      <w:pPr>
        <w:spacing w:line="520" w:lineRule="exact"/>
        <w:ind w:firstLine="482" w:firstLineChars="200"/>
        <w:outlineLvl w:val="9"/>
        <w:rPr>
          <w:rFonts w:hint="eastAsia" w:ascii="宋体" w:hAnsi="宋体" w:cs="宋体"/>
          <w:b/>
          <w:bCs/>
          <w:kern w:val="0"/>
          <w:sz w:val="24"/>
          <w:szCs w:val="24"/>
        </w:rPr>
      </w:pPr>
      <w:r>
        <w:rPr>
          <w:rFonts w:hint="eastAsia" w:ascii="宋体" w:hAnsi="宋体" w:cs="宋体"/>
          <w:b/>
          <w:bCs/>
          <w:kern w:val="0"/>
          <w:sz w:val="24"/>
          <w:szCs w:val="24"/>
        </w:rPr>
        <w:t>第二条  本合同工程可行性研究报告编制目的及内容</w:t>
      </w:r>
    </w:p>
    <w:p>
      <w:pPr>
        <w:spacing w:line="520" w:lineRule="exact"/>
        <w:ind w:firstLine="480" w:firstLineChars="200"/>
        <w:outlineLvl w:val="9"/>
        <w:rPr>
          <w:rFonts w:hint="eastAsia" w:ascii="宋体" w:hAnsi="宋体" w:cs="宋体"/>
          <w:kern w:val="0"/>
          <w:sz w:val="24"/>
          <w:szCs w:val="24"/>
        </w:rPr>
      </w:pPr>
      <w:r>
        <w:rPr>
          <w:rFonts w:hint="eastAsia" w:ascii="宋体" w:hAnsi="宋体" w:cs="宋体"/>
          <w:kern w:val="0"/>
          <w:sz w:val="24"/>
          <w:szCs w:val="24"/>
        </w:rPr>
        <w:t>2.1 工程名称：</w:t>
      </w:r>
      <w:r>
        <w:rPr>
          <w:rFonts w:hint="eastAsia" w:ascii="宋体" w:hAnsi="宋体" w:cs="宋体"/>
          <w:kern w:val="0"/>
          <w:sz w:val="24"/>
          <w:u w:val="single"/>
        </w:rPr>
        <w:t>205省道佳县至米脂公路工程可行性研究报告编制</w:t>
      </w:r>
    </w:p>
    <w:p>
      <w:pPr>
        <w:spacing w:line="520" w:lineRule="exact"/>
        <w:ind w:firstLine="480" w:firstLineChars="200"/>
        <w:outlineLvl w:val="9"/>
        <w:rPr>
          <w:rFonts w:hint="eastAsia" w:ascii="宋体" w:hAnsi="宋体" w:cs="宋体"/>
          <w:kern w:val="0"/>
          <w:sz w:val="24"/>
          <w:szCs w:val="24"/>
        </w:rPr>
      </w:pPr>
      <w:r>
        <w:rPr>
          <w:rFonts w:hint="eastAsia" w:ascii="宋体" w:hAnsi="宋体" w:cs="宋体"/>
          <w:kern w:val="0"/>
          <w:sz w:val="24"/>
          <w:szCs w:val="24"/>
        </w:rPr>
        <w:t>2.2 编制目的：对项目建设的必要性、技术可行性、经济合理性和实施可能性进行综合性研究论证，为政府决策提供依据。</w:t>
      </w:r>
    </w:p>
    <w:p>
      <w:pPr>
        <w:autoSpaceDE w:val="0"/>
        <w:autoSpaceDN w:val="0"/>
        <w:snapToGrid w:val="0"/>
        <w:spacing w:line="520" w:lineRule="exact"/>
        <w:ind w:firstLine="480" w:firstLineChars="200"/>
        <w:textAlignment w:val="bottom"/>
        <w:outlineLvl w:val="9"/>
        <w:rPr>
          <w:rFonts w:hint="eastAsia" w:ascii="宋体" w:hAnsi="宋体" w:cs="宋体"/>
          <w:kern w:val="0"/>
          <w:sz w:val="24"/>
          <w:szCs w:val="24"/>
        </w:rPr>
      </w:pPr>
      <w:r>
        <w:rPr>
          <w:rFonts w:hint="eastAsia" w:ascii="宋体" w:hAnsi="宋体" w:cs="宋体"/>
          <w:kern w:val="0"/>
          <w:sz w:val="24"/>
          <w:szCs w:val="24"/>
        </w:rPr>
        <w:t>2.3 编制内容：</w:t>
      </w:r>
    </w:p>
    <w:p>
      <w:pPr>
        <w:spacing w:line="520" w:lineRule="exact"/>
        <w:ind w:firstLine="480" w:firstLineChars="200"/>
        <w:outlineLvl w:val="9"/>
        <w:rPr>
          <w:rFonts w:hint="eastAsia" w:ascii="宋体" w:hAnsi="宋体" w:cs="宋体"/>
          <w:kern w:val="0"/>
          <w:sz w:val="24"/>
          <w:szCs w:val="24"/>
        </w:rPr>
      </w:pPr>
      <w:r>
        <w:rPr>
          <w:rFonts w:hint="eastAsia" w:ascii="宋体" w:hAnsi="宋体" w:cs="宋体"/>
          <w:kern w:val="0"/>
          <w:sz w:val="24"/>
          <w:szCs w:val="24"/>
        </w:rPr>
        <w:t>2.3.1 通过对项目沿线进行充分的调查研究，对可能的建设方案从技术、经济、安全、环境等方面进行综合比选论证，研究确定项目起、终点，提出推荐方案，明确建设规模，确定技术标准，估算项目投资，分析投资效益，编制工可报告。</w:t>
      </w:r>
    </w:p>
    <w:p>
      <w:pPr>
        <w:spacing w:line="520" w:lineRule="exact"/>
        <w:ind w:firstLine="480" w:firstLineChars="200"/>
        <w:outlineLvl w:val="9"/>
        <w:rPr>
          <w:rFonts w:hint="eastAsia" w:ascii="宋体" w:hAnsi="宋体" w:cs="宋体"/>
          <w:kern w:val="0"/>
          <w:sz w:val="24"/>
          <w:szCs w:val="24"/>
        </w:rPr>
      </w:pPr>
      <w:r>
        <w:rPr>
          <w:rFonts w:hint="eastAsia" w:ascii="宋体" w:hAnsi="宋体" w:cs="宋体"/>
          <w:kern w:val="0"/>
          <w:sz w:val="24"/>
          <w:szCs w:val="24"/>
        </w:rPr>
        <w:t>2.3.2 调查研究项目自然地理环境、影响区域经济社会及交通运输的现状与发展、交通量预测、建设的必要性、技术标准、建设条件、建设方案及规模、投资估算及资金筹措、经济评价、实施安排、土地利用评价、工程环境影响分析、节能评价、社会评价等，特殊复杂的重大项目，还应进行风险分析。</w:t>
      </w:r>
    </w:p>
    <w:p>
      <w:pPr>
        <w:spacing w:line="520" w:lineRule="exact"/>
        <w:ind w:firstLine="482" w:firstLineChars="200"/>
        <w:outlineLvl w:val="9"/>
        <w:rPr>
          <w:rFonts w:hint="eastAsia" w:ascii="宋体" w:hAnsi="宋体" w:cs="宋体"/>
          <w:kern w:val="0"/>
          <w:sz w:val="24"/>
          <w:szCs w:val="24"/>
        </w:rPr>
      </w:pPr>
      <w:r>
        <w:rPr>
          <w:rFonts w:hint="eastAsia" w:ascii="宋体" w:hAnsi="宋体" w:cs="宋体"/>
          <w:b/>
          <w:kern w:val="0"/>
          <w:sz w:val="24"/>
          <w:szCs w:val="24"/>
        </w:rPr>
        <w:t>第三条  乙方应按下列要求完成可研编制工作</w:t>
      </w:r>
      <w:r>
        <w:rPr>
          <w:rFonts w:hint="eastAsia" w:ascii="宋体" w:hAnsi="宋体" w:cs="宋体"/>
          <w:kern w:val="0"/>
          <w:sz w:val="24"/>
          <w:szCs w:val="24"/>
        </w:rPr>
        <w:t>：</w:t>
      </w:r>
    </w:p>
    <w:p>
      <w:pPr>
        <w:spacing w:line="520" w:lineRule="exact"/>
        <w:ind w:right="185" w:rightChars="88" w:firstLine="480" w:firstLineChars="200"/>
        <w:outlineLvl w:val="9"/>
        <w:rPr>
          <w:rFonts w:hint="eastAsia" w:ascii="宋体" w:hAnsi="宋体" w:cs="宋体"/>
          <w:kern w:val="0"/>
          <w:sz w:val="24"/>
          <w:szCs w:val="24"/>
        </w:rPr>
      </w:pPr>
      <w:r>
        <w:rPr>
          <w:rFonts w:hint="eastAsia" w:ascii="宋体" w:hAnsi="宋体" w:cs="宋体"/>
          <w:kern w:val="0"/>
          <w:sz w:val="24"/>
          <w:szCs w:val="24"/>
        </w:rPr>
        <w:t>3.1 工程地点：</w:t>
      </w:r>
      <w:r>
        <w:rPr>
          <w:rFonts w:hint="eastAsia" w:ascii="宋体" w:hAnsi="宋体" w:cs="宋体"/>
          <w:kern w:val="0"/>
          <w:sz w:val="24"/>
          <w:szCs w:val="24"/>
          <w:u w:val="single"/>
        </w:rPr>
        <w:t>陕西省榆林市</w:t>
      </w:r>
    </w:p>
    <w:p>
      <w:pPr>
        <w:spacing w:line="520" w:lineRule="exact"/>
        <w:ind w:right="185" w:rightChars="88" w:firstLine="480" w:firstLineChars="200"/>
        <w:outlineLvl w:val="9"/>
        <w:rPr>
          <w:rFonts w:hint="eastAsia" w:ascii="宋体" w:hAnsi="宋体" w:cs="宋体"/>
          <w:color w:val="000000"/>
          <w:kern w:val="0"/>
          <w:sz w:val="24"/>
          <w:szCs w:val="24"/>
        </w:rPr>
      </w:pPr>
      <w:r>
        <w:rPr>
          <w:rFonts w:hint="eastAsia" w:ascii="宋体" w:hAnsi="宋体" w:cs="宋体"/>
          <w:kern w:val="0"/>
          <w:sz w:val="24"/>
          <w:szCs w:val="24"/>
        </w:rPr>
        <w:t>3.2 编制期限：</w:t>
      </w:r>
      <w:r>
        <w:rPr>
          <w:rFonts w:hint="eastAsia" w:ascii="宋体" w:hAnsi="宋体" w:cs="宋体"/>
          <w:kern w:val="0"/>
          <w:sz w:val="24"/>
          <w:szCs w:val="24"/>
          <w:u w:val="single"/>
        </w:rPr>
        <w:t>合同签订之日至获得有关政府部门可研报告批复之日。</w:t>
      </w:r>
    </w:p>
    <w:p>
      <w:pPr>
        <w:spacing w:line="520" w:lineRule="exact"/>
        <w:ind w:right="160" w:rightChars="76" w:firstLine="480" w:firstLineChars="200"/>
        <w:outlineLvl w:val="9"/>
        <w:rPr>
          <w:rFonts w:hint="eastAsia" w:ascii="宋体" w:hAnsi="宋体" w:cs="宋体"/>
          <w:kern w:val="0"/>
          <w:sz w:val="24"/>
          <w:szCs w:val="24"/>
          <w:u w:val="single"/>
        </w:rPr>
      </w:pPr>
      <w:r>
        <w:rPr>
          <w:rFonts w:hint="eastAsia" w:ascii="宋体" w:hAnsi="宋体" w:cs="宋体"/>
          <w:kern w:val="0"/>
          <w:sz w:val="24"/>
          <w:szCs w:val="24"/>
        </w:rPr>
        <w:t>3.3 编制进度：</w:t>
      </w:r>
      <w:r>
        <w:rPr>
          <w:rFonts w:hint="eastAsia" w:ascii="宋体" w:hAnsi="宋体" w:cs="宋体"/>
          <w:kern w:val="0"/>
          <w:sz w:val="24"/>
          <w:szCs w:val="24"/>
          <w:u w:val="single"/>
        </w:rPr>
        <w:t>经双方协商后确定报告编制进度。</w:t>
      </w:r>
    </w:p>
    <w:p>
      <w:pPr>
        <w:spacing w:line="520" w:lineRule="exact"/>
        <w:ind w:left="158" w:leftChars="75" w:right="160" w:rightChars="76" w:firstLine="331" w:firstLineChars="138"/>
        <w:outlineLvl w:val="9"/>
        <w:rPr>
          <w:rFonts w:hint="eastAsia" w:ascii="宋体" w:hAnsi="宋体" w:cs="宋体"/>
          <w:kern w:val="0"/>
          <w:sz w:val="24"/>
          <w:szCs w:val="24"/>
          <w:u w:val="single"/>
        </w:rPr>
      </w:pPr>
      <w:r>
        <w:rPr>
          <w:rFonts w:hint="eastAsia" w:ascii="宋体" w:hAnsi="宋体" w:cs="宋体"/>
          <w:kern w:val="0"/>
          <w:sz w:val="24"/>
          <w:szCs w:val="24"/>
        </w:rPr>
        <w:t>3.4 质量要求：</w:t>
      </w:r>
      <w:r>
        <w:rPr>
          <w:rFonts w:hint="eastAsia" w:ascii="宋体" w:hAnsi="宋体" w:cs="宋体"/>
          <w:kern w:val="0"/>
          <w:sz w:val="24"/>
          <w:szCs w:val="24"/>
          <w:u w:val="single"/>
        </w:rPr>
        <w:t>报告内容达到国家规定的可行性报告编制深度要求，质量符合要求，并通过相关部门组织的专家评审，成为初步设计遵循的依据。</w:t>
      </w:r>
    </w:p>
    <w:p>
      <w:pPr>
        <w:spacing w:line="520" w:lineRule="exact"/>
        <w:ind w:firstLine="472" w:firstLineChars="196"/>
        <w:outlineLvl w:val="9"/>
        <w:rPr>
          <w:rFonts w:hint="eastAsia" w:ascii="宋体" w:hAnsi="宋体" w:cs="宋体"/>
          <w:b/>
          <w:bCs/>
          <w:kern w:val="0"/>
          <w:sz w:val="24"/>
          <w:szCs w:val="24"/>
        </w:rPr>
      </w:pPr>
      <w:r>
        <w:rPr>
          <w:rFonts w:hint="eastAsia" w:ascii="宋体" w:hAnsi="宋体" w:cs="宋体"/>
          <w:b/>
          <w:bCs/>
          <w:kern w:val="0"/>
          <w:sz w:val="24"/>
          <w:szCs w:val="24"/>
        </w:rPr>
        <w:t>第四条  提交报告要求</w:t>
      </w:r>
    </w:p>
    <w:p>
      <w:pPr>
        <w:spacing w:line="520" w:lineRule="exact"/>
        <w:ind w:firstLine="480" w:firstLineChars="200"/>
        <w:outlineLvl w:val="9"/>
        <w:rPr>
          <w:rFonts w:hint="eastAsia" w:ascii="Times New Roman" w:hAnsi="Times New Roman"/>
          <w:kern w:val="0"/>
          <w:sz w:val="24"/>
          <w:szCs w:val="24"/>
        </w:rPr>
      </w:pPr>
      <w:r>
        <w:rPr>
          <w:rFonts w:hint="eastAsia" w:ascii="宋体" w:hAnsi="宋体" w:cs="宋体"/>
          <w:kern w:val="0"/>
          <w:sz w:val="24"/>
          <w:szCs w:val="24"/>
        </w:rPr>
        <w:t xml:space="preserve">4.1 </w:t>
      </w:r>
      <w:r>
        <w:rPr>
          <w:rFonts w:hint="eastAsia" w:ascii="Times New Roman" w:hAnsi="Times New Roman"/>
          <w:kern w:val="0"/>
          <w:sz w:val="24"/>
          <w:szCs w:val="24"/>
          <w:u w:val="single"/>
        </w:rPr>
        <w:t xml:space="preserve">     </w:t>
      </w:r>
      <w:r>
        <w:rPr>
          <w:rFonts w:ascii="Times New Roman" w:hAnsi="Times New Roman"/>
          <w:kern w:val="0"/>
          <w:sz w:val="24"/>
          <w:szCs w:val="24"/>
        </w:rPr>
        <w:t>年</w:t>
      </w:r>
      <w:r>
        <w:rPr>
          <w:rFonts w:hint="eastAsia" w:ascii="Times New Roman" w:hAnsi="Times New Roman"/>
          <w:kern w:val="0"/>
          <w:sz w:val="24"/>
          <w:szCs w:val="24"/>
          <w:u w:val="single"/>
        </w:rPr>
        <w:t xml:space="preserve">   </w:t>
      </w:r>
      <w:r>
        <w:rPr>
          <w:rFonts w:ascii="Times New Roman" w:hAnsi="Times New Roman"/>
          <w:kern w:val="0"/>
          <w:sz w:val="24"/>
          <w:szCs w:val="24"/>
        </w:rPr>
        <w:t>月底前，乙方</w:t>
      </w:r>
      <w:r>
        <w:rPr>
          <w:rFonts w:hint="eastAsia" w:ascii="Times New Roman" w:hAnsi="Times New Roman"/>
          <w:kern w:val="0"/>
          <w:sz w:val="24"/>
          <w:szCs w:val="24"/>
        </w:rPr>
        <w:t>按</w:t>
      </w:r>
      <w:r>
        <w:rPr>
          <w:rFonts w:ascii="Times New Roman" w:hAnsi="Times New Roman"/>
          <w:kern w:val="0"/>
          <w:sz w:val="24"/>
          <w:szCs w:val="24"/>
        </w:rPr>
        <w:t>甲方</w:t>
      </w:r>
      <w:r>
        <w:rPr>
          <w:rFonts w:hint="eastAsia" w:ascii="Times New Roman" w:hAnsi="Times New Roman"/>
          <w:kern w:val="0"/>
          <w:sz w:val="24"/>
          <w:szCs w:val="24"/>
        </w:rPr>
        <w:t>需求向甲方</w:t>
      </w:r>
      <w:r>
        <w:rPr>
          <w:rFonts w:ascii="Times New Roman" w:hAnsi="Times New Roman"/>
          <w:kern w:val="0"/>
          <w:sz w:val="24"/>
          <w:szCs w:val="24"/>
        </w:rPr>
        <w:t>提交工程可行性研究报告（送审稿），待审查修改后提交正式报告。</w:t>
      </w:r>
    </w:p>
    <w:p>
      <w:pPr>
        <w:spacing w:line="520" w:lineRule="exact"/>
        <w:ind w:firstLine="472" w:firstLineChars="196"/>
        <w:outlineLvl w:val="9"/>
        <w:rPr>
          <w:rFonts w:hint="eastAsia" w:ascii="宋体" w:hAnsi="宋体" w:cs="宋体"/>
          <w:b/>
          <w:bCs/>
          <w:kern w:val="0"/>
          <w:sz w:val="24"/>
          <w:szCs w:val="24"/>
        </w:rPr>
      </w:pPr>
      <w:r>
        <w:rPr>
          <w:rFonts w:hint="eastAsia" w:ascii="宋体" w:hAnsi="宋体" w:cs="宋体"/>
          <w:b/>
          <w:bCs/>
          <w:kern w:val="0"/>
          <w:sz w:val="24"/>
          <w:szCs w:val="24"/>
        </w:rPr>
        <w:t>第五条  验收依据、标准及方式</w:t>
      </w:r>
    </w:p>
    <w:p>
      <w:pPr>
        <w:spacing w:line="520" w:lineRule="exact"/>
        <w:ind w:firstLine="480" w:firstLineChars="200"/>
        <w:outlineLvl w:val="9"/>
        <w:rPr>
          <w:rFonts w:hint="eastAsia" w:ascii="宋体" w:hAnsi="宋体" w:cs="宋体"/>
          <w:kern w:val="0"/>
          <w:sz w:val="24"/>
          <w:szCs w:val="24"/>
        </w:rPr>
      </w:pPr>
      <w:r>
        <w:rPr>
          <w:rFonts w:hint="eastAsia" w:ascii="宋体" w:hAnsi="宋体" w:cs="宋体"/>
          <w:kern w:val="0"/>
          <w:sz w:val="24"/>
          <w:szCs w:val="24"/>
        </w:rPr>
        <w:t>5.1验收依据：招标文件、投标文件，本合同及附件文本，合同签订时国家及行业现行的标准和技术规范。</w:t>
      </w:r>
    </w:p>
    <w:p>
      <w:pPr>
        <w:spacing w:line="520" w:lineRule="exact"/>
        <w:ind w:firstLine="480" w:firstLineChars="200"/>
        <w:outlineLvl w:val="9"/>
        <w:rPr>
          <w:rFonts w:hint="eastAsia" w:ascii="宋体" w:hAnsi="宋体" w:cs="宋体"/>
          <w:kern w:val="0"/>
          <w:sz w:val="24"/>
          <w:szCs w:val="24"/>
        </w:rPr>
      </w:pPr>
      <w:r>
        <w:rPr>
          <w:rFonts w:hint="eastAsia" w:ascii="宋体" w:hAnsi="宋体" w:cs="宋体"/>
          <w:bCs/>
          <w:kern w:val="0"/>
          <w:sz w:val="24"/>
        </w:rPr>
        <w:t xml:space="preserve">5.2 </w:t>
      </w:r>
      <w:r>
        <w:rPr>
          <w:rFonts w:hint="eastAsia" w:ascii="宋体" w:hAnsi="宋体" w:cs="宋体"/>
          <w:kern w:val="0"/>
          <w:sz w:val="24"/>
          <w:szCs w:val="24"/>
        </w:rPr>
        <w:t>验收标准：根据国家及行业部门对可行性研究报告的有关规定、技术规范和要求进行验收。</w:t>
      </w:r>
    </w:p>
    <w:p>
      <w:pPr>
        <w:spacing w:line="520" w:lineRule="exact"/>
        <w:ind w:firstLine="480" w:firstLineChars="200"/>
        <w:outlineLvl w:val="9"/>
        <w:rPr>
          <w:rFonts w:hint="eastAsia" w:ascii="宋体" w:hAnsi="宋体" w:cs="宋体"/>
          <w:kern w:val="0"/>
          <w:sz w:val="24"/>
          <w:szCs w:val="24"/>
        </w:rPr>
      </w:pPr>
      <w:r>
        <w:rPr>
          <w:rFonts w:hint="eastAsia" w:ascii="宋体" w:hAnsi="宋体" w:cs="宋体"/>
          <w:kern w:val="0"/>
          <w:sz w:val="24"/>
          <w:szCs w:val="24"/>
        </w:rPr>
        <w:t>5.3 验收方式：乙方编写的《可行性研究报告》通过相关部门组织的专家评审。</w:t>
      </w:r>
    </w:p>
    <w:p>
      <w:pPr>
        <w:spacing w:line="520" w:lineRule="exact"/>
        <w:ind w:firstLine="472" w:firstLineChars="196"/>
        <w:outlineLvl w:val="9"/>
        <w:rPr>
          <w:rFonts w:hint="eastAsia" w:ascii="宋体" w:hAnsi="宋体" w:cs="宋体"/>
          <w:b/>
          <w:bCs/>
          <w:kern w:val="0"/>
          <w:sz w:val="24"/>
          <w:szCs w:val="24"/>
        </w:rPr>
      </w:pPr>
      <w:r>
        <w:rPr>
          <w:rFonts w:hint="eastAsia" w:ascii="宋体" w:hAnsi="宋体" w:cs="宋体"/>
          <w:b/>
          <w:bCs/>
          <w:kern w:val="0"/>
          <w:sz w:val="24"/>
          <w:szCs w:val="24"/>
        </w:rPr>
        <w:t>第六条  报告编制取费标准及支付</w:t>
      </w:r>
    </w:p>
    <w:p>
      <w:pPr>
        <w:autoSpaceDE w:val="0"/>
        <w:autoSpaceDN w:val="0"/>
        <w:adjustRightInd w:val="0"/>
        <w:spacing w:line="520" w:lineRule="exact"/>
        <w:ind w:firstLine="480" w:firstLineChars="200"/>
        <w:outlineLvl w:val="9"/>
        <w:rPr>
          <w:rFonts w:hint="eastAsia" w:ascii="宋体" w:hAnsi="宋体" w:cs="宋体"/>
          <w:bCs/>
          <w:kern w:val="0"/>
          <w:sz w:val="24"/>
        </w:rPr>
      </w:pPr>
      <w:r>
        <w:rPr>
          <w:rFonts w:hint="eastAsia" w:ascii="宋体" w:hAnsi="宋体" w:cs="宋体"/>
          <w:bCs/>
          <w:kern w:val="0"/>
          <w:sz w:val="24"/>
        </w:rPr>
        <w:t>6.1 合同总价款为人民币（大写）</w:t>
      </w:r>
      <w:r>
        <w:rPr>
          <w:rFonts w:hint="eastAsia" w:ascii="宋体" w:hAnsi="宋体" w:cs="宋体"/>
          <w:bCs/>
          <w:kern w:val="0"/>
          <w:sz w:val="24"/>
          <w:u w:val="single"/>
        </w:rPr>
        <w:t xml:space="preserve">        </w:t>
      </w:r>
      <w:r>
        <w:rPr>
          <w:rFonts w:hint="eastAsia" w:ascii="宋体" w:hAnsi="宋体" w:cs="宋体"/>
          <w:bCs/>
          <w:kern w:val="0"/>
          <w:sz w:val="24"/>
        </w:rPr>
        <w:t>元整 （￥</w:t>
      </w:r>
      <w:r>
        <w:rPr>
          <w:rFonts w:hint="eastAsia" w:ascii="宋体" w:hAnsi="宋体" w:cs="宋体"/>
          <w:bCs/>
          <w:kern w:val="0"/>
          <w:sz w:val="24"/>
          <w:u w:val="single"/>
        </w:rPr>
        <w:t xml:space="preserve">      </w:t>
      </w:r>
      <w:r>
        <w:rPr>
          <w:rFonts w:hint="eastAsia" w:ascii="宋体" w:hAnsi="宋体" w:cs="宋体"/>
          <w:bCs/>
          <w:kern w:val="0"/>
          <w:sz w:val="24"/>
        </w:rPr>
        <w:t>元 ）。</w:t>
      </w:r>
    </w:p>
    <w:p>
      <w:pPr>
        <w:autoSpaceDE w:val="0"/>
        <w:autoSpaceDN w:val="0"/>
        <w:adjustRightInd w:val="0"/>
        <w:spacing w:line="520" w:lineRule="exact"/>
        <w:ind w:firstLine="480" w:firstLineChars="200"/>
        <w:outlineLvl w:val="9"/>
        <w:rPr>
          <w:rFonts w:hint="eastAsia" w:ascii="宋体" w:hAnsi="宋体" w:cs="宋体"/>
          <w:bCs/>
          <w:kern w:val="0"/>
          <w:sz w:val="24"/>
        </w:rPr>
      </w:pPr>
      <w:r>
        <w:rPr>
          <w:rFonts w:hint="eastAsia" w:ascii="宋体" w:hAnsi="宋体" w:cs="宋体"/>
          <w:bCs/>
          <w:kern w:val="0"/>
          <w:sz w:val="24"/>
        </w:rPr>
        <w:t>6.2 合同总价指为本次服务工作所需的全部费用。</w:t>
      </w:r>
    </w:p>
    <w:p>
      <w:pPr>
        <w:spacing w:line="520" w:lineRule="exact"/>
        <w:ind w:left="2" w:firstLine="480" w:firstLineChars="200"/>
        <w:outlineLvl w:val="9"/>
        <w:rPr>
          <w:rFonts w:hint="eastAsia" w:ascii="宋体" w:hAnsi="宋体" w:cs="宋体"/>
          <w:kern w:val="0"/>
          <w:sz w:val="24"/>
          <w:szCs w:val="24"/>
        </w:rPr>
      </w:pPr>
      <w:r>
        <w:rPr>
          <w:rFonts w:hint="eastAsia" w:ascii="宋体" w:hAnsi="宋体" w:cs="宋体"/>
          <w:kern w:val="0"/>
          <w:sz w:val="24"/>
          <w:szCs w:val="24"/>
        </w:rPr>
        <w:t>6.3 可研编制费支付办法</w:t>
      </w:r>
    </w:p>
    <w:p>
      <w:pPr>
        <w:spacing w:line="520" w:lineRule="exact"/>
        <w:ind w:left="2" w:firstLine="480" w:firstLineChars="200"/>
        <w:outlineLvl w:val="9"/>
        <w:rPr>
          <w:rFonts w:hint="eastAsia" w:ascii="宋体" w:hAnsi="宋体" w:cs="宋体"/>
          <w:kern w:val="0"/>
          <w:sz w:val="24"/>
          <w:szCs w:val="24"/>
        </w:rPr>
      </w:pPr>
      <w:r>
        <w:rPr>
          <w:rFonts w:hint="eastAsia" w:ascii="宋体" w:hAnsi="宋体" w:cs="宋体"/>
          <w:kern w:val="0"/>
          <w:sz w:val="24"/>
          <w:szCs w:val="24"/>
        </w:rPr>
        <w:t>6.3.1乙方在规定时间按期完成工程可行性研究报告（送审稿）的编制工作，甲方支付合同费用的80％。</w:t>
      </w:r>
    </w:p>
    <w:p>
      <w:pPr>
        <w:spacing w:line="520" w:lineRule="exact"/>
        <w:ind w:left="2" w:firstLine="480" w:firstLineChars="200"/>
        <w:outlineLvl w:val="9"/>
        <w:rPr>
          <w:rFonts w:hint="eastAsia" w:ascii="宋体" w:hAnsi="宋体" w:cs="宋体"/>
          <w:kern w:val="0"/>
          <w:sz w:val="24"/>
          <w:szCs w:val="24"/>
        </w:rPr>
      </w:pPr>
      <w:r>
        <w:rPr>
          <w:rFonts w:hint="eastAsia" w:ascii="宋体" w:hAnsi="宋体" w:cs="宋体"/>
          <w:kern w:val="0"/>
          <w:sz w:val="24"/>
          <w:szCs w:val="24"/>
        </w:rPr>
        <w:t>6.3.2 工程可行性研究报告通过</w:t>
      </w:r>
      <w:r>
        <w:rPr>
          <w:rFonts w:hint="eastAsia" w:ascii="Times New Roman" w:hAnsi="Times New Roman"/>
          <w:kern w:val="0"/>
          <w:sz w:val="24"/>
          <w:szCs w:val="24"/>
        </w:rPr>
        <w:t>相关部门组织的专家</w:t>
      </w:r>
      <w:r>
        <w:rPr>
          <w:rFonts w:ascii="Times New Roman" w:hAnsi="Times New Roman"/>
          <w:kern w:val="0"/>
          <w:sz w:val="24"/>
          <w:szCs w:val="24"/>
        </w:rPr>
        <w:t>评审</w:t>
      </w:r>
      <w:r>
        <w:rPr>
          <w:rFonts w:hint="eastAsia" w:ascii="Times New Roman" w:hAnsi="Times New Roman"/>
          <w:kern w:val="0"/>
          <w:sz w:val="24"/>
          <w:szCs w:val="24"/>
        </w:rPr>
        <w:t>，</w:t>
      </w:r>
      <w:r>
        <w:rPr>
          <w:rFonts w:hint="eastAsia" w:ascii="宋体" w:hAnsi="宋体" w:cs="宋体"/>
          <w:kern w:val="0"/>
          <w:sz w:val="24"/>
          <w:szCs w:val="24"/>
        </w:rPr>
        <w:t>甲方支付剩余合同费用。</w:t>
      </w:r>
    </w:p>
    <w:p>
      <w:pPr>
        <w:shd w:val="clear" w:color="auto" w:fill="FFFFFF"/>
        <w:spacing w:line="520" w:lineRule="exact"/>
        <w:ind w:firstLine="480" w:firstLineChars="200"/>
        <w:textAlignment w:val="baseline"/>
        <w:outlineLvl w:val="9"/>
        <w:rPr>
          <w:rFonts w:hint="eastAsia" w:ascii="宋体" w:hAnsi="宋体" w:cs="宋体"/>
          <w:kern w:val="0"/>
          <w:sz w:val="24"/>
          <w:szCs w:val="24"/>
        </w:rPr>
      </w:pPr>
      <w:r>
        <w:rPr>
          <w:rFonts w:hint="eastAsia" w:ascii="宋体" w:hAnsi="宋体" w:cs="宋体"/>
          <w:kern w:val="0"/>
          <w:sz w:val="24"/>
          <w:szCs w:val="24"/>
        </w:rPr>
        <w:t>以上支付均以银行转帐方式进行。乙方须在正式转帐前向甲方提交正式发票，按相关规定办理划款手续。</w:t>
      </w:r>
    </w:p>
    <w:p>
      <w:pPr>
        <w:spacing w:line="520" w:lineRule="exact"/>
        <w:ind w:left="2" w:firstLine="482" w:firstLineChars="200"/>
        <w:outlineLvl w:val="9"/>
        <w:rPr>
          <w:rFonts w:hint="eastAsia" w:ascii="宋体" w:hAnsi="宋体" w:cs="宋体"/>
          <w:b/>
          <w:bCs/>
          <w:kern w:val="0"/>
          <w:sz w:val="24"/>
          <w:szCs w:val="24"/>
        </w:rPr>
      </w:pPr>
      <w:r>
        <w:rPr>
          <w:rFonts w:hint="eastAsia" w:ascii="宋体" w:hAnsi="宋体" w:cs="宋体"/>
          <w:b/>
          <w:bCs/>
          <w:kern w:val="0"/>
          <w:sz w:val="24"/>
          <w:szCs w:val="24"/>
        </w:rPr>
        <w:t>第七条  双方责任</w:t>
      </w:r>
    </w:p>
    <w:p>
      <w:pPr>
        <w:spacing w:line="520" w:lineRule="exact"/>
        <w:ind w:left="2" w:firstLine="480" w:firstLineChars="200"/>
        <w:outlineLvl w:val="9"/>
        <w:rPr>
          <w:rFonts w:hint="eastAsia" w:ascii="宋体" w:hAnsi="宋体" w:cs="宋体"/>
          <w:kern w:val="0"/>
          <w:sz w:val="24"/>
          <w:szCs w:val="24"/>
        </w:rPr>
      </w:pPr>
      <w:r>
        <w:rPr>
          <w:rFonts w:hint="eastAsia" w:ascii="宋体" w:hAnsi="宋体" w:cs="宋体"/>
          <w:kern w:val="0"/>
          <w:sz w:val="24"/>
          <w:szCs w:val="24"/>
        </w:rPr>
        <w:t>7.1 甲方职责：</w:t>
      </w:r>
    </w:p>
    <w:p>
      <w:pPr>
        <w:spacing w:line="520" w:lineRule="exact"/>
        <w:ind w:left="2" w:firstLine="480" w:firstLineChars="200"/>
        <w:outlineLvl w:val="9"/>
        <w:rPr>
          <w:rFonts w:hint="eastAsia" w:ascii="宋体" w:hAnsi="宋体" w:cs="宋体"/>
          <w:kern w:val="0"/>
          <w:sz w:val="24"/>
          <w:szCs w:val="24"/>
        </w:rPr>
      </w:pPr>
      <w:r>
        <w:rPr>
          <w:rFonts w:hint="eastAsia" w:ascii="宋体" w:hAnsi="宋体" w:cs="宋体"/>
          <w:kern w:val="0"/>
          <w:sz w:val="24"/>
          <w:szCs w:val="24"/>
        </w:rPr>
        <w:t>7.1.1 向乙方提供开展工作所需的有关资料，并对提供的时间、进度和资料的可靠性负责。</w:t>
      </w:r>
    </w:p>
    <w:p>
      <w:pPr>
        <w:spacing w:line="520" w:lineRule="exact"/>
        <w:ind w:left="2" w:firstLine="480" w:firstLineChars="200"/>
        <w:outlineLvl w:val="9"/>
        <w:rPr>
          <w:rFonts w:hint="eastAsia" w:ascii="宋体" w:hAnsi="宋体" w:cs="宋体"/>
          <w:kern w:val="0"/>
          <w:sz w:val="24"/>
          <w:szCs w:val="24"/>
        </w:rPr>
      </w:pPr>
      <w:r>
        <w:rPr>
          <w:rFonts w:hint="eastAsia" w:ascii="宋体" w:hAnsi="宋体" w:cs="宋体"/>
          <w:kern w:val="0"/>
          <w:sz w:val="24"/>
          <w:szCs w:val="24"/>
        </w:rPr>
        <w:t>7.1.2 负责按时组织报告文件的审查。</w:t>
      </w:r>
    </w:p>
    <w:p>
      <w:pPr>
        <w:spacing w:line="520" w:lineRule="exact"/>
        <w:ind w:left="1" w:firstLine="480" w:firstLineChars="200"/>
        <w:outlineLvl w:val="9"/>
        <w:rPr>
          <w:rFonts w:hint="eastAsia" w:ascii="宋体" w:hAnsi="宋体" w:cs="宋体"/>
          <w:kern w:val="0"/>
          <w:sz w:val="24"/>
          <w:szCs w:val="24"/>
        </w:rPr>
      </w:pPr>
      <w:r>
        <w:rPr>
          <w:rFonts w:hint="eastAsia" w:ascii="宋体" w:hAnsi="宋体" w:cs="宋体"/>
          <w:kern w:val="0"/>
          <w:sz w:val="24"/>
          <w:szCs w:val="24"/>
        </w:rPr>
        <w:t>7.1.3 协助解决该项工作相关事宜。</w:t>
      </w:r>
    </w:p>
    <w:p>
      <w:pPr>
        <w:spacing w:line="520" w:lineRule="exact"/>
        <w:ind w:left="2" w:firstLine="480" w:firstLineChars="200"/>
        <w:outlineLvl w:val="9"/>
        <w:rPr>
          <w:rFonts w:hint="eastAsia" w:ascii="宋体" w:hAnsi="宋体" w:cs="宋体"/>
          <w:kern w:val="0"/>
          <w:sz w:val="24"/>
          <w:szCs w:val="24"/>
        </w:rPr>
      </w:pPr>
      <w:r>
        <w:rPr>
          <w:rFonts w:hint="eastAsia" w:ascii="宋体" w:hAnsi="宋体" w:cs="宋体"/>
          <w:kern w:val="0"/>
          <w:sz w:val="24"/>
          <w:szCs w:val="24"/>
        </w:rPr>
        <w:t>7.1.4 按合同规定及时支付乙方合同费用。</w:t>
      </w:r>
    </w:p>
    <w:p>
      <w:pPr>
        <w:spacing w:line="520" w:lineRule="exact"/>
        <w:ind w:left="2" w:firstLine="480" w:firstLineChars="200"/>
        <w:outlineLvl w:val="9"/>
        <w:rPr>
          <w:rFonts w:hint="eastAsia" w:ascii="宋体" w:hAnsi="宋体" w:cs="宋体"/>
          <w:b/>
          <w:bCs/>
          <w:kern w:val="0"/>
          <w:sz w:val="24"/>
          <w:szCs w:val="24"/>
        </w:rPr>
      </w:pPr>
      <w:r>
        <w:rPr>
          <w:rFonts w:hint="eastAsia" w:ascii="宋体" w:hAnsi="宋体" w:cs="宋体"/>
          <w:kern w:val="0"/>
          <w:sz w:val="24"/>
          <w:szCs w:val="24"/>
        </w:rPr>
        <w:t>7.2 乙方职责</w:t>
      </w:r>
    </w:p>
    <w:p>
      <w:pPr>
        <w:spacing w:line="520" w:lineRule="exact"/>
        <w:ind w:firstLine="480" w:firstLineChars="200"/>
        <w:outlineLvl w:val="9"/>
        <w:rPr>
          <w:rFonts w:hint="eastAsia" w:ascii="宋体" w:hAnsi="宋体" w:cs="宋体"/>
          <w:kern w:val="0"/>
          <w:sz w:val="24"/>
          <w:szCs w:val="24"/>
        </w:rPr>
      </w:pPr>
      <w:r>
        <w:rPr>
          <w:rFonts w:hint="eastAsia" w:ascii="宋体" w:hAnsi="宋体" w:cs="宋体"/>
          <w:kern w:val="0"/>
          <w:sz w:val="24"/>
          <w:szCs w:val="24"/>
        </w:rPr>
        <w:t>7.2.1 按中标通知书及现行部颁规范、标准、规程、定额的要求，按时完成报告的编制工作并保证工可质量和深度。</w:t>
      </w:r>
    </w:p>
    <w:p>
      <w:pPr>
        <w:spacing w:line="520" w:lineRule="exact"/>
        <w:ind w:firstLine="480" w:firstLineChars="200"/>
        <w:outlineLvl w:val="9"/>
        <w:rPr>
          <w:rFonts w:hint="eastAsia" w:ascii="宋体" w:hAnsi="宋体" w:cs="宋体"/>
          <w:kern w:val="0"/>
          <w:sz w:val="24"/>
          <w:szCs w:val="24"/>
        </w:rPr>
      </w:pPr>
      <w:r>
        <w:rPr>
          <w:rFonts w:hint="eastAsia" w:ascii="宋体" w:hAnsi="宋体" w:cs="宋体"/>
          <w:kern w:val="0"/>
          <w:sz w:val="24"/>
          <w:szCs w:val="24"/>
        </w:rPr>
        <w:t>7.2.2 按合同规定时间提交工程可行性研究报告。</w:t>
      </w:r>
    </w:p>
    <w:p>
      <w:pPr>
        <w:spacing w:line="520" w:lineRule="exact"/>
        <w:ind w:firstLine="480" w:firstLineChars="200"/>
        <w:outlineLvl w:val="9"/>
        <w:rPr>
          <w:rFonts w:hint="eastAsia" w:ascii="宋体" w:hAnsi="宋体" w:cs="宋体"/>
          <w:kern w:val="0"/>
          <w:sz w:val="24"/>
          <w:szCs w:val="24"/>
        </w:rPr>
      </w:pPr>
      <w:r>
        <w:rPr>
          <w:rFonts w:hint="eastAsia" w:ascii="宋体" w:hAnsi="宋体" w:cs="宋体"/>
          <w:kern w:val="0"/>
          <w:sz w:val="24"/>
          <w:szCs w:val="24"/>
        </w:rPr>
        <w:t>7.2.3根据</w:t>
      </w:r>
      <w:r>
        <w:rPr>
          <w:rFonts w:hint="eastAsia" w:ascii="宋体" w:hAnsi="宋体" w:cs="宋体"/>
          <w:color w:val="000000"/>
          <w:kern w:val="0"/>
          <w:sz w:val="24"/>
          <w:szCs w:val="24"/>
        </w:rPr>
        <w:t>专家评审会</w:t>
      </w:r>
      <w:r>
        <w:rPr>
          <w:rFonts w:hint="eastAsia" w:ascii="宋体" w:hAnsi="宋体" w:cs="宋体"/>
          <w:kern w:val="0"/>
          <w:sz w:val="24"/>
          <w:szCs w:val="24"/>
        </w:rPr>
        <w:t>及甲方的审查意见，修改完善工程可行性研究报告，并获得批复文件。</w:t>
      </w:r>
    </w:p>
    <w:p>
      <w:pPr>
        <w:spacing w:line="520" w:lineRule="exact"/>
        <w:ind w:firstLine="482" w:firstLineChars="200"/>
        <w:outlineLvl w:val="9"/>
        <w:rPr>
          <w:rFonts w:hint="eastAsia" w:ascii="宋体" w:hAnsi="宋体" w:cs="宋体"/>
          <w:b/>
          <w:bCs/>
          <w:kern w:val="0"/>
          <w:sz w:val="24"/>
          <w:szCs w:val="24"/>
        </w:rPr>
      </w:pPr>
      <w:r>
        <w:rPr>
          <w:rFonts w:hint="eastAsia" w:ascii="宋体" w:hAnsi="宋体" w:cs="宋体"/>
          <w:b/>
          <w:bCs/>
          <w:kern w:val="0"/>
          <w:sz w:val="24"/>
          <w:szCs w:val="24"/>
        </w:rPr>
        <w:t>第八条  违约责任</w:t>
      </w:r>
    </w:p>
    <w:p>
      <w:pPr>
        <w:spacing w:line="520" w:lineRule="exact"/>
        <w:ind w:left="2" w:firstLine="480" w:firstLineChars="200"/>
        <w:outlineLvl w:val="9"/>
        <w:rPr>
          <w:rFonts w:hint="eastAsia" w:ascii="宋体" w:hAnsi="宋体" w:cs="宋体"/>
          <w:kern w:val="0"/>
          <w:sz w:val="24"/>
          <w:szCs w:val="24"/>
        </w:rPr>
      </w:pPr>
      <w:r>
        <w:rPr>
          <w:rFonts w:hint="eastAsia" w:ascii="宋体" w:hAnsi="宋体" w:cs="宋体"/>
          <w:kern w:val="0"/>
          <w:sz w:val="24"/>
          <w:szCs w:val="24"/>
        </w:rPr>
        <w:t>8.1 甲方违约责任</w:t>
      </w:r>
    </w:p>
    <w:p>
      <w:pPr>
        <w:spacing w:line="520" w:lineRule="exact"/>
        <w:ind w:left="2" w:firstLine="480" w:firstLineChars="200"/>
        <w:outlineLvl w:val="9"/>
        <w:rPr>
          <w:rFonts w:hint="eastAsia" w:ascii="宋体" w:hAnsi="宋体" w:cs="宋体"/>
          <w:kern w:val="0"/>
          <w:sz w:val="24"/>
          <w:szCs w:val="24"/>
        </w:rPr>
      </w:pPr>
      <w:r>
        <w:rPr>
          <w:rFonts w:hint="eastAsia" w:ascii="宋体" w:hAnsi="宋体" w:cs="宋体"/>
          <w:kern w:val="0"/>
          <w:sz w:val="24"/>
          <w:szCs w:val="24"/>
        </w:rPr>
        <w:t>8.1.1 甲方未达到本合同第7.1条规定的要求或提供资料不准确，造成报告编制工作返工、停工、窝工或修改报告文件，应按乙方实际消耗的工作量增付费用，其增付费用额度和工期延长等由双方协商确定后，签定补充协议。</w:t>
      </w:r>
    </w:p>
    <w:p>
      <w:pPr>
        <w:spacing w:line="520" w:lineRule="exact"/>
        <w:ind w:firstLine="480" w:firstLineChars="200"/>
        <w:outlineLvl w:val="9"/>
        <w:rPr>
          <w:rFonts w:hint="eastAsia" w:ascii="宋体" w:hAnsi="宋体" w:cs="宋体"/>
          <w:kern w:val="0"/>
          <w:sz w:val="24"/>
          <w:szCs w:val="24"/>
        </w:rPr>
      </w:pPr>
      <w:r>
        <w:rPr>
          <w:rFonts w:hint="eastAsia" w:ascii="宋体" w:hAnsi="宋体" w:cs="宋体"/>
          <w:kern w:val="0"/>
          <w:sz w:val="24"/>
          <w:szCs w:val="24"/>
        </w:rPr>
        <w:t>8.1.2 在合同执行期间，由于甲方原因要求停止报告编制工作，应及时书面通知乙方，已付乙方的费用无权索回，并按乙方实际完成的工作量支付所需费用。</w:t>
      </w:r>
    </w:p>
    <w:p>
      <w:pPr>
        <w:spacing w:line="520" w:lineRule="exact"/>
        <w:ind w:left="2" w:firstLine="480" w:firstLineChars="200"/>
        <w:outlineLvl w:val="9"/>
        <w:rPr>
          <w:rFonts w:hint="eastAsia" w:ascii="宋体" w:hAnsi="宋体" w:cs="宋体"/>
          <w:b/>
          <w:bCs/>
          <w:kern w:val="0"/>
          <w:sz w:val="24"/>
          <w:szCs w:val="24"/>
        </w:rPr>
      </w:pPr>
      <w:r>
        <w:rPr>
          <w:rFonts w:hint="eastAsia" w:ascii="宋体" w:hAnsi="宋体" w:cs="宋体"/>
          <w:kern w:val="0"/>
          <w:sz w:val="24"/>
          <w:szCs w:val="24"/>
        </w:rPr>
        <w:t>8.2 乙方违约责任</w:t>
      </w:r>
    </w:p>
    <w:p>
      <w:pPr>
        <w:spacing w:line="520" w:lineRule="exact"/>
        <w:ind w:left="1" w:firstLine="480" w:firstLineChars="200"/>
        <w:outlineLvl w:val="9"/>
        <w:rPr>
          <w:rFonts w:hint="eastAsia" w:ascii="宋体" w:hAnsi="宋体" w:cs="宋体"/>
          <w:kern w:val="0"/>
          <w:sz w:val="24"/>
          <w:szCs w:val="24"/>
        </w:rPr>
      </w:pPr>
      <w:r>
        <w:rPr>
          <w:rFonts w:hint="eastAsia" w:ascii="宋体" w:hAnsi="宋体" w:cs="宋体"/>
          <w:kern w:val="0"/>
          <w:sz w:val="24"/>
          <w:szCs w:val="24"/>
        </w:rPr>
        <w:t>8.2.1 在合同期限内，因乙方原因终止合同，乙方应向甲方赔偿合同总价的50%的损失。</w:t>
      </w:r>
    </w:p>
    <w:p>
      <w:pPr>
        <w:spacing w:line="520" w:lineRule="exact"/>
        <w:ind w:left="2" w:firstLine="480" w:firstLineChars="200"/>
        <w:outlineLvl w:val="9"/>
        <w:rPr>
          <w:rFonts w:hint="eastAsia" w:ascii="宋体" w:hAnsi="宋体" w:cs="宋体"/>
          <w:kern w:val="0"/>
          <w:sz w:val="24"/>
          <w:szCs w:val="24"/>
        </w:rPr>
      </w:pPr>
      <w:r>
        <w:rPr>
          <w:rFonts w:hint="eastAsia" w:ascii="宋体" w:hAnsi="宋体" w:cs="宋体"/>
          <w:kern w:val="0"/>
          <w:sz w:val="24"/>
          <w:szCs w:val="24"/>
        </w:rPr>
        <w:t>8.2.2</w:t>
      </w:r>
      <w:r>
        <w:rPr>
          <w:rFonts w:ascii="Times New Roman" w:hAnsi="Times New Roman"/>
          <w:kern w:val="0"/>
          <w:sz w:val="24"/>
          <w:szCs w:val="24"/>
        </w:rPr>
        <w:t>因乙方原因引起报告返工，返工费用自理，未按合同规定期限提交报告，每延期一周应向甲方返还应付款额的千分之</w:t>
      </w:r>
      <w:r>
        <w:rPr>
          <w:rFonts w:ascii="Times New Roman" w:hAnsi="Times New Roman"/>
          <w:kern w:val="0"/>
          <w:sz w:val="24"/>
          <w:szCs w:val="24"/>
          <w:u w:val="single"/>
        </w:rPr>
        <w:t xml:space="preserve"> </w:t>
      </w:r>
      <w:r>
        <w:rPr>
          <w:rFonts w:hint="eastAsia" w:ascii="Times New Roman" w:hAnsi="Times New Roman"/>
          <w:kern w:val="0"/>
          <w:sz w:val="24"/>
          <w:szCs w:val="24"/>
          <w:u w:val="single"/>
        </w:rPr>
        <w:t>一</w:t>
      </w:r>
      <w:r>
        <w:rPr>
          <w:rFonts w:ascii="Times New Roman" w:hAnsi="Times New Roman"/>
          <w:kern w:val="0"/>
          <w:sz w:val="24"/>
          <w:szCs w:val="24"/>
          <w:u w:val="single"/>
        </w:rPr>
        <w:t xml:space="preserve"> </w:t>
      </w:r>
      <w:r>
        <w:rPr>
          <w:rFonts w:ascii="Times New Roman" w:hAnsi="Times New Roman"/>
          <w:kern w:val="0"/>
          <w:sz w:val="24"/>
          <w:szCs w:val="24"/>
        </w:rPr>
        <w:t>（</w:t>
      </w:r>
      <w:r>
        <w:rPr>
          <w:rFonts w:hint="eastAsia" w:ascii="Times New Roman" w:hAnsi="Times New Roman"/>
          <w:kern w:val="0"/>
          <w:sz w:val="24"/>
          <w:szCs w:val="24"/>
          <w:u w:val="single"/>
        </w:rPr>
        <w:t xml:space="preserve"> </w:t>
      </w:r>
      <w:r>
        <w:rPr>
          <w:rFonts w:ascii="Times New Roman" w:hAnsi="Times New Roman"/>
          <w:kern w:val="0"/>
          <w:sz w:val="24"/>
          <w:szCs w:val="24"/>
          <w:u w:val="single"/>
        </w:rPr>
        <w:t xml:space="preserve">1 </w:t>
      </w:r>
      <w:r>
        <w:rPr>
          <w:rFonts w:ascii="Times New Roman" w:hAnsi="Times New Roman"/>
          <w:kern w:val="0"/>
          <w:sz w:val="24"/>
          <w:szCs w:val="24"/>
        </w:rPr>
        <w:t>‰）的违约金。</w:t>
      </w:r>
    </w:p>
    <w:p>
      <w:pPr>
        <w:spacing w:line="520" w:lineRule="exact"/>
        <w:ind w:firstLine="482" w:firstLineChars="200"/>
        <w:outlineLvl w:val="9"/>
        <w:rPr>
          <w:rFonts w:hint="eastAsia" w:ascii="宋体" w:hAnsi="宋体" w:cs="宋体"/>
          <w:kern w:val="0"/>
          <w:sz w:val="24"/>
          <w:szCs w:val="24"/>
        </w:rPr>
      </w:pPr>
      <w:r>
        <w:rPr>
          <w:rFonts w:hint="eastAsia" w:ascii="宋体" w:hAnsi="宋体" w:cs="宋体"/>
          <w:b/>
          <w:bCs/>
          <w:kern w:val="0"/>
          <w:sz w:val="24"/>
          <w:szCs w:val="24"/>
        </w:rPr>
        <w:t>第九条  其 它</w:t>
      </w:r>
    </w:p>
    <w:p>
      <w:pPr>
        <w:spacing w:line="520" w:lineRule="exact"/>
        <w:ind w:left="2" w:firstLine="480" w:firstLineChars="200"/>
        <w:outlineLvl w:val="9"/>
        <w:rPr>
          <w:rFonts w:hint="eastAsia" w:ascii="宋体" w:hAnsi="宋体" w:cs="宋体"/>
          <w:kern w:val="0"/>
          <w:sz w:val="24"/>
          <w:szCs w:val="24"/>
        </w:rPr>
      </w:pPr>
      <w:r>
        <w:rPr>
          <w:rFonts w:hint="eastAsia" w:ascii="宋体" w:hAnsi="宋体" w:cs="宋体"/>
          <w:kern w:val="0"/>
          <w:sz w:val="24"/>
          <w:szCs w:val="24"/>
        </w:rPr>
        <w:t>9.1 在合同执行期间，如遇不可抗拒的各种因素，乙方应主动报告甲方，并采取有力措施，最大限度减少损失，损失费用双方协商解决。</w:t>
      </w:r>
    </w:p>
    <w:p>
      <w:pPr>
        <w:spacing w:line="520" w:lineRule="exact"/>
        <w:ind w:left="2" w:firstLine="480" w:firstLineChars="200"/>
        <w:outlineLvl w:val="9"/>
        <w:rPr>
          <w:rFonts w:hint="eastAsia" w:ascii="宋体" w:hAnsi="宋体" w:cs="宋体"/>
          <w:kern w:val="0"/>
          <w:sz w:val="24"/>
          <w:szCs w:val="24"/>
        </w:rPr>
      </w:pPr>
      <w:r>
        <w:rPr>
          <w:rFonts w:hint="eastAsia" w:ascii="宋体" w:hAnsi="宋体" w:cs="宋体"/>
          <w:kern w:val="0"/>
          <w:sz w:val="24"/>
          <w:szCs w:val="24"/>
        </w:rPr>
        <w:t>9.2 在合同执行期间，乙方不得以任何借口和形式对本合同其中任何部分予以转让。</w:t>
      </w:r>
    </w:p>
    <w:p>
      <w:pPr>
        <w:spacing w:line="520" w:lineRule="exact"/>
        <w:ind w:left="2" w:firstLine="480" w:firstLineChars="200"/>
        <w:outlineLvl w:val="9"/>
        <w:rPr>
          <w:rFonts w:hint="eastAsia" w:ascii="宋体" w:hAnsi="宋体" w:cs="宋体"/>
          <w:kern w:val="0"/>
          <w:sz w:val="24"/>
          <w:szCs w:val="24"/>
        </w:rPr>
      </w:pPr>
      <w:r>
        <w:rPr>
          <w:rFonts w:hint="eastAsia" w:ascii="宋体" w:hAnsi="宋体" w:cs="宋体"/>
          <w:kern w:val="0"/>
          <w:sz w:val="24"/>
          <w:szCs w:val="24"/>
        </w:rPr>
        <w:t>9.3 执行合同期间，未尽事宜，双方协商解决，必要时，签订补充合同；发生纠纷时，可向榆林市仲裁机关申请仲裁或向榆林市人民法院申请诉讼。</w:t>
      </w:r>
    </w:p>
    <w:p>
      <w:pPr>
        <w:spacing w:line="520" w:lineRule="exact"/>
        <w:ind w:firstLine="480" w:firstLineChars="200"/>
        <w:outlineLvl w:val="9"/>
        <w:rPr>
          <w:rFonts w:hint="eastAsia" w:ascii="宋体" w:hAnsi="宋体" w:cs="宋体"/>
          <w:kern w:val="0"/>
          <w:sz w:val="24"/>
          <w:szCs w:val="24"/>
        </w:rPr>
      </w:pPr>
      <w:r>
        <w:rPr>
          <w:rFonts w:hint="eastAsia" w:ascii="宋体" w:hAnsi="宋体" w:cs="宋体"/>
          <w:kern w:val="0"/>
          <w:sz w:val="24"/>
          <w:szCs w:val="24"/>
        </w:rPr>
        <w:t>9.4 本合同自甲、乙双方法人代表或委托人签字、盖章之日起生效，</w:t>
      </w:r>
      <w:r>
        <w:rPr>
          <w:rFonts w:hint="eastAsia"/>
          <w:color w:val="000000"/>
          <w:kern w:val="0"/>
          <w:sz w:val="24"/>
        </w:rPr>
        <w:t>自双方履行完合同约定的义务后自动终止</w:t>
      </w:r>
      <w:r>
        <w:rPr>
          <w:rFonts w:hint="eastAsia" w:ascii="宋体" w:hAnsi="宋体" w:cs="宋体"/>
          <w:kern w:val="0"/>
          <w:sz w:val="24"/>
          <w:szCs w:val="24"/>
        </w:rPr>
        <w:t>。</w:t>
      </w:r>
    </w:p>
    <w:p>
      <w:pPr>
        <w:spacing w:line="520" w:lineRule="exact"/>
        <w:ind w:firstLine="480" w:firstLineChars="200"/>
        <w:outlineLvl w:val="9"/>
        <w:rPr>
          <w:rFonts w:hint="eastAsia" w:ascii="宋体" w:hAnsi="宋体" w:cs="宋体"/>
          <w:kern w:val="0"/>
          <w:sz w:val="24"/>
          <w:szCs w:val="24"/>
        </w:rPr>
      </w:pPr>
      <w:r>
        <w:rPr>
          <w:rFonts w:hint="eastAsia" w:ascii="宋体" w:hAnsi="宋体" w:cs="宋体"/>
          <w:kern w:val="0"/>
          <w:sz w:val="24"/>
          <w:szCs w:val="24"/>
        </w:rPr>
        <w:t>9.5 本合同正本一式两份，甲、乙双方各执一份；副本一式四份，甲方二份、乙方二份。</w:t>
      </w:r>
    </w:p>
    <w:p>
      <w:pPr>
        <w:spacing w:line="520" w:lineRule="exact"/>
        <w:jc w:val="center"/>
        <w:outlineLvl w:val="9"/>
        <w:rPr>
          <w:rFonts w:hint="eastAsia" w:ascii="宋体" w:hAnsi="宋体" w:cs="宋体"/>
          <w:sz w:val="24"/>
          <w:szCs w:val="24"/>
        </w:rPr>
      </w:pPr>
      <w:r>
        <w:rPr>
          <w:rFonts w:hint="eastAsia" w:ascii="宋体" w:hAnsi="宋体" w:cs="宋体"/>
          <w:kern w:val="0"/>
          <w:sz w:val="24"/>
          <w:szCs w:val="24"/>
        </w:rPr>
        <w:t>（以下无正文）</w:t>
      </w:r>
    </w:p>
    <w:p>
      <w:pPr>
        <w:pStyle w:val="9"/>
        <w:outlineLvl w:val="9"/>
        <w:rPr>
          <w:rFonts w:hint="eastAsia" w:ascii="宋体" w:hAnsi="宋体" w:cs="宋体"/>
          <w:sz w:val="24"/>
          <w:szCs w:val="24"/>
        </w:rPr>
      </w:pPr>
    </w:p>
    <w:p>
      <w:pPr>
        <w:pStyle w:val="9"/>
        <w:outlineLvl w:val="9"/>
        <w:rPr>
          <w:rFonts w:hint="eastAsia" w:ascii="宋体" w:hAnsi="宋体" w:cs="宋体"/>
          <w:sz w:val="24"/>
          <w:szCs w:val="24"/>
        </w:rPr>
      </w:pPr>
    </w:p>
    <w:tbl>
      <w:tblPr>
        <w:tblStyle w:val="14"/>
        <w:tblW w:w="8679" w:type="dxa"/>
        <w:tblInd w:w="0" w:type="dxa"/>
        <w:tblLayout w:type="autofit"/>
        <w:tblCellMar>
          <w:top w:w="0" w:type="dxa"/>
          <w:left w:w="108" w:type="dxa"/>
          <w:bottom w:w="0" w:type="dxa"/>
          <w:right w:w="108" w:type="dxa"/>
        </w:tblCellMar>
      </w:tblPr>
      <w:tblGrid>
        <w:gridCol w:w="4273"/>
        <w:gridCol w:w="4406"/>
      </w:tblGrid>
      <w:tr>
        <w:tblPrEx>
          <w:tblCellMar>
            <w:top w:w="0" w:type="dxa"/>
            <w:left w:w="108" w:type="dxa"/>
            <w:bottom w:w="0" w:type="dxa"/>
            <w:right w:w="108" w:type="dxa"/>
          </w:tblCellMar>
        </w:tblPrEx>
        <w:trPr>
          <w:trHeight w:val="665" w:hRule="atLeast"/>
        </w:trPr>
        <w:tc>
          <w:tcPr>
            <w:tcW w:w="4273" w:type="dxa"/>
            <w:noWrap w:val="0"/>
            <w:vAlign w:val="top"/>
          </w:tcPr>
          <w:p>
            <w:pPr>
              <w:outlineLvl w:val="9"/>
              <w:rPr>
                <w:rFonts w:hint="eastAsia" w:ascii="宋体" w:hAnsi="宋体" w:cs="宋体"/>
                <w:sz w:val="24"/>
                <w:szCs w:val="24"/>
              </w:rPr>
            </w:pPr>
            <w:r>
              <w:rPr>
                <w:rFonts w:hint="eastAsia" w:ascii="宋体" w:hAnsi="宋体" w:cs="宋体"/>
                <w:sz w:val="24"/>
                <w:szCs w:val="24"/>
              </w:rPr>
              <w:t>甲 方：</w:t>
            </w:r>
            <w:r>
              <w:rPr>
                <w:rFonts w:hint="eastAsia" w:ascii="宋体" w:hAnsi="宋体" w:cs="宋体"/>
                <w:sz w:val="24"/>
                <w:szCs w:val="24"/>
                <w:u w:val="single"/>
              </w:rPr>
              <w:t xml:space="preserve">                         </w:t>
            </w:r>
          </w:p>
        </w:tc>
        <w:tc>
          <w:tcPr>
            <w:tcW w:w="4406" w:type="dxa"/>
            <w:noWrap w:val="0"/>
            <w:vAlign w:val="top"/>
          </w:tcPr>
          <w:p>
            <w:pPr>
              <w:outlineLvl w:val="9"/>
              <w:rPr>
                <w:rFonts w:hint="eastAsia" w:ascii="宋体" w:hAnsi="宋体" w:cs="宋体"/>
                <w:sz w:val="24"/>
                <w:szCs w:val="24"/>
              </w:rPr>
            </w:pPr>
            <w:r>
              <w:rPr>
                <w:rFonts w:hint="eastAsia" w:ascii="宋体" w:hAnsi="宋体" w:cs="宋体"/>
                <w:sz w:val="24"/>
                <w:szCs w:val="24"/>
              </w:rPr>
              <w:t>甲 方：</w:t>
            </w:r>
            <w:r>
              <w:rPr>
                <w:rFonts w:hint="eastAsia" w:ascii="宋体" w:hAnsi="宋体" w:cs="宋体"/>
                <w:sz w:val="24"/>
                <w:szCs w:val="24"/>
                <w:u w:val="single"/>
              </w:rPr>
              <w:t xml:space="preserve">                         </w:t>
            </w:r>
          </w:p>
        </w:tc>
      </w:tr>
      <w:tr>
        <w:tblPrEx>
          <w:tblCellMar>
            <w:top w:w="0" w:type="dxa"/>
            <w:left w:w="108" w:type="dxa"/>
            <w:bottom w:w="0" w:type="dxa"/>
            <w:right w:w="108" w:type="dxa"/>
          </w:tblCellMar>
        </w:tblPrEx>
        <w:trPr>
          <w:trHeight w:val="665" w:hRule="atLeast"/>
        </w:trPr>
        <w:tc>
          <w:tcPr>
            <w:tcW w:w="4273" w:type="dxa"/>
            <w:noWrap w:val="0"/>
            <w:vAlign w:val="top"/>
          </w:tcPr>
          <w:p>
            <w:pPr>
              <w:ind w:firstLine="1440" w:firstLineChars="600"/>
              <w:outlineLvl w:val="9"/>
              <w:rPr>
                <w:rFonts w:hint="eastAsia" w:ascii="宋体" w:hAnsi="宋体" w:cs="宋体"/>
                <w:sz w:val="24"/>
                <w:szCs w:val="24"/>
              </w:rPr>
            </w:pPr>
            <w:r>
              <w:rPr>
                <w:rFonts w:hint="eastAsia" w:ascii="宋体" w:hAnsi="宋体" w:cs="宋体"/>
                <w:sz w:val="24"/>
                <w:szCs w:val="24"/>
              </w:rPr>
              <w:t>（盖章）</w:t>
            </w:r>
          </w:p>
        </w:tc>
        <w:tc>
          <w:tcPr>
            <w:tcW w:w="4406" w:type="dxa"/>
            <w:noWrap w:val="0"/>
            <w:vAlign w:val="top"/>
          </w:tcPr>
          <w:p>
            <w:pPr>
              <w:ind w:firstLine="1440" w:firstLineChars="600"/>
              <w:outlineLvl w:val="9"/>
              <w:rPr>
                <w:rFonts w:hint="eastAsia" w:ascii="宋体" w:hAnsi="宋体" w:cs="宋体"/>
                <w:sz w:val="24"/>
                <w:szCs w:val="24"/>
              </w:rPr>
            </w:pPr>
            <w:r>
              <w:rPr>
                <w:rFonts w:hint="eastAsia" w:ascii="宋体" w:hAnsi="宋体" w:cs="宋体"/>
                <w:sz w:val="24"/>
                <w:szCs w:val="24"/>
              </w:rPr>
              <w:t>（盖章）</w:t>
            </w:r>
          </w:p>
        </w:tc>
      </w:tr>
      <w:tr>
        <w:tblPrEx>
          <w:tblCellMar>
            <w:top w:w="0" w:type="dxa"/>
            <w:left w:w="108" w:type="dxa"/>
            <w:bottom w:w="0" w:type="dxa"/>
            <w:right w:w="108" w:type="dxa"/>
          </w:tblCellMar>
        </w:tblPrEx>
        <w:trPr>
          <w:trHeight w:val="665" w:hRule="atLeast"/>
        </w:trPr>
        <w:tc>
          <w:tcPr>
            <w:tcW w:w="4273" w:type="dxa"/>
            <w:noWrap w:val="0"/>
            <w:vAlign w:val="top"/>
          </w:tcPr>
          <w:p>
            <w:pPr>
              <w:tabs>
                <w:tab w:val="left" w:pos="4057"/>
              </w:tabs>
              <w:outlineLvl w:val="9"/>
              <w:rPr>
                <w:rFonts w:hint="eastAsia" w:ascii="宋体" w:hAnsi="宋体" w:cs="宋体"/>
                <w:sz w:val="24"/>
                <w:szCs w:val="24"/>
              </w:rPr>
            </w:pPr>
            <w:r>
              <w:rPr>
                <w:rFonts w:hint="eastAsia" w:ascii="宋体" w:hAnsi="宋体" w:cs="宋体"/>
                <w:sz w:val="24"/>
                <w:szCs w:val="24"/>
              </w:rPr>
              <w:t>法定代表人：</w:t>
            </w:r>
            <w:r>
              <w:rPr>
                <w:rFonts w:hint="eastAsia" w:ascii="宋体" w:hAnsi="宋体" w:cs="宋体"/>
                <w:sz w:val="24"/>
                <w:szCs w:val="24"/>
                <w:u w:val="single"/>
              </w:rPr>
              <w:t xml:space="preserve">                     </w:t>
            </w:r>
          </w:p>
        </w:tc>
        <w:tc>
          <w:tcPr>
            <w:tcW w:w="4406" w:type="dxa"/>
            <w:noWrap w:val="0"/>
            <w:vAlign w:val="top"/>
          </w:tcPr>
          <w:p>
            <w:pPr>
              <w:tabs>
                <w:tab w:val="left" w:pos="4057"/>
              </w:tabs>
              <w:outlineLvl w:val="9"/>
              <w:rPr>
                <w:rFonts w:hint="eastAsia" w:ascii="宋体" w:hAnsi="宋体" w:cs="宋体"/>
                <w:sz w:val="24"/>
                <w:szCs w:val="24"/>
              </w:rPr>
            </w:pPr>
            <w:r>
              <w:rPr>
                <w:rFonts w:hint="eastAsia" w:ascii="宋体" w:hAnsi="宋体" w:cs="宋体"/>
                <w:sz w:val="24"/>
                <w:szCs w:val="24"/>
              </w:rPr>
              <w:t>法定代表人：</w:t>
            </w:r>
            <w:r>
              <w:rPr>
                <w:rFonts w:hint="eastAsia" w:ascii="宋体" w:hAnsi="宋体" w:cs="宋体"/>
                <w:sz w:val="24"/>
                <w:szCs w:val="24"/>
                <w:u w:val="single"/>
              </w:rPr>
              <w:t xml:space="preserve">                     </w:t>
            </w:r>
          </w:p>
        </w:tc>
      </w:tr>
      <w:tr>
        <w:tblPrEx>
          <w:tblCellMar>
            <w:top w:w="0" w:type="dxa"/>
            <w:left w:w="108" w:type="dxa"/>
            <w:bottom w:w="0" w:type="dxa"/>
            <w:right w:w="108" w:type="dxa"/>
          </w:tblCellMar>
        </w:tblPrEx>
        <w:trPr>
          <w:trHeight w:val="665" w:hRule="atLeast"/>
        </w:trPr>
        <w:tc>
          <w:tcPr>
            <w:tcW w:w="4273" w:type="dxa"/>
            <w:noWrap w:val="0"/>
            <w:vAlign w:val="top"/>
          </w:tcPr>
          <w:p>
            <w:pPr>
              <w:outlineLvl w:val="9"/>
              <w:rPr>
                <w:rFonts w:hint="eastAsia" w:ascii="宋体" w:hAnsi="宋体" w:cs="宋体"/>
                <w:sz w:val="24"/>
                <w:szCs w:val="24"/>
              </w:rPr>
            </w:pPr>
            <w:r>
              <w:rPr>
                <w:rFonts w:hint="eastAsia" w:ascii="宋体" w:hAnsi="宋体" w:cs="宋体"/>
                <w:sz w:val="24"/>
                <w:szCs w:val="24"/>
              </w:rPr>
              <w:t>或</w:t>
            </w:r>
          </w:p>
        </w:tc>
        <w:tc>
          <w:tcPr>
            <w:tcW w:w="4406" w:type="dxa"/>
            <w:noWrap w:val="0"/>
            <w:vAlign w:val="top"/>
          </w:tcPr>
          <w:p>
            <w:pPr>
              <w:outlineLvl w:val="9"/>
              <w:rPr>
                <w:rFonts w:hint="eastAsia" w:ascii="宋体" w:hAnsi="宋体" w:cs="宋体"/>
                <w:sz w:val="24"/>
                <w:szCs w:val="24"/>
              </w:rPr>
            </w:pPr>
            <w:r>
              <w:rPr>
                <w:rFonts w:hint="eastAsia" w:ascii="宋体" w:hAnsi="宋体" w:cs="宋体"/>
                <w:sz w:val="24"/>
                <w:szCs w:val="24"/>
              </w:rPr>
              <w:t>或</w:t>
            </w:r>
          </w:p>
        </w:tc>
      </w:tr>
      <w:tr>
        <w:tblPrEx>
          <w:tblCellMar>
            <w:top w:w="0" w:type="dxa"/>
            <w:left w:w="108" w:type="dxa"/>
            <w:bottom w:w="0" w:type="dxa"/>
            <w:right w:w="108" w:type="dxa"/>
          </w:tblCellMar>
        </w:tblPrEx>
        <w:trPr>
          <w:trHeight w:val="665" w:hRule="atLeast"/>
        </w:trPr>
        <w:tc>
          <w:tcPr>
            <w:tcW w:w="4273" w:type="dxa"/>
            <w:noWrap w:val="0"/>
            <w:vAlign w:val="top"/>
          </w:tcPr>
          <w:p>
            <w:pPr>
              <w:tabs>
                <w:tab w:val="left" w:pos="4082"/>
              </w:tabs>
              <w:outlineLvl w:val="9"/>
              <w:rPr>
                <w:rFonts w:hint="eastAsia" w:ascii="宋体" w:hAnsi="宋体" w:cs="宋体"/>
                <w:sz w:val="24"/>
                <w:szCs w:val="24"/>
              </w:rPr>
            </w:pPr>
            <w:r>
              <w:rPr>
                <w:rFonts w:hint="eastAsia" w:ascii="宋体" w:hAnsi="宋体" w:cs="宋体"/>
                <w:sz w:val="24"/>
                <w:szCs w:val="24"/>
              </w:rPr>
              <w:t>委托代理人：</w:t>
            </w:r>
            <w:r>
              <w:rPr>
                <w:rFonts w:hint="eastAsia" w:ascii="宋体" w:hAnsi="宋体" w:cs="宋体"/>
                <w:sz w:val="24"/>
                <w:szCs w:val="24"/>
                <w:u w:val="single"/>
              </w:rPr>
              <w:t xml:space="preserve">                     </w:t>
            </w:r>
            <w:r>
              <w:rPr>
                <w:rFonts w:hint="eastAsia" w:ascii="宋体" w:hAnsi="宋体" w:cs="宋体"/>
                <w:sz w:val="24"/>
                <w:szCs w:val="24"/>
              </w:rPr>
              <w:t xml:space="preserve"> </w:t>
            </w:r>
          </w:p>
        </w:tc>
        <w:tc>
          <w:tcPr>
            <w:tcW w:w="4406" w:type="dxa"/>
            <w:noWrap w:val="0"/>
            <w:vAlign w:val="top"/>
          </w:tcPr>
          <w:p>
            <w:pPr>
              <w:tabs>
                <w:tab w:val="left" w:pos="4082"/>
              </w:tabs>
              <w:outlineLvl w:val="9"/>
              <w:rPr>
                <w:rFonts w:hint="eastAsia" w:ascii="宋体" w:hAnsi="宋体" w:cs="宋体"/>
                <w:sz w:val="24"/>
                <w:szCs w:val="24"/>
              </w:rPr>
            </w:pPr>
            <w:r>
              <w:rPr>
                <w:rFonts w:hint="eastAsia" w:ascii="宋体" w:hAnsi="宋体" w:cs="宋体"/>
                <w:sz w:val="24"/>
                <w:szCs w:val="24"/>
              </w:rPr>
              <w:t>委托代理人：</w:t>
            </w:r>
            <w:r>
              <w:rPr>
                <w:rFonts w:hint="eastAsia" w:ascii="宋体" w:hAnsi="宋体" w:cs="宋体"/>
                <w:sz w:val="24"/>
                <w:szCs w:val="24"/>
                <w:u w:val="single"/>
              </w:rPr>
              <w:t xml:space="preserve">                     </w:t>
            </w:r>
            <w:r>
              <w:rPr>
                <w:rFonts w:hint="eastAsia" w:ascii="宋体" w:hAnsi="宋体" w:cs="宋体"/>
                <w:sz w:val="24"/>
                <w:szCs w:val="24"/>
              </w:rPr>
              <w:t xml:space="preserve"> </w:t>
            </w:r>
          </w:p>
        </w:tc>
      </w:tr>
      <w:tr>
        <w:tblPrEx>
          <w:tblCellMar>
            <w:top w:w="0" w:type="dxa"/>
            <w:left w:w="108" w:type="dxa"/>
            <w:bottom w:w="0" w:type="dxa"/>
            <w:right w:w="108" w:type="dxa"/>
          </w:tblCellMar>
        </w:tblPrEx>
        <w:trPr>
          <w:trHeight w:val="665" w:hRule="atLeast"/>
        </w:trPr>
        <w:tc>
          <w:tcPr>
            <w:tcW w:w="4273" w:type="dxa"/>
            <w:noWrap w:val="0"/>
            <w:vAlign w:val="top"/>
          </w:tcPr>
          <w:p>
            <w:pPr>
              <w:outlineLvl w:val="9"/>
              <w:rPr>
                <w:rFonts w:hint="eastAsia" w:ascii="宋体" w:hAnsi="宋体" w:cs="宋体"/>
                <w:kern w:val="0"/>
                <w:sz w:val="24"/>
                <w:szCs w:val="24"/>
                <w:u w:val="single"/>
              </w:rPr>
            </w:pPr>
            <w:r>
              <w:rPr>
                <w:rFonts w:hint="eastAsia" w:ascii="宋体" w:hAnsi="宋体" w:cs="宋体"/>
                <w:kern w:val="0"/>
                <w:sz w:val="24"/>
                <w:szCs w:val="24"/>
              </w:rPr>
              <w:t>开户行名称：</w:t>
            </w:r>
            <w:r>
              <w:rPr>
                <w:rFonts w:hint="eastAsia" w:ascii="宋体" w:hAnsi="宋体" w:cs="宋体"/>
                <w:kern w:val="0"/>
                <w:sz w:val="24"/>
                <w:szCs w:val="24"/>
                <w:u w:val="single"/>
              </w:rPr>
              <w:t xml:space="preserve">                      </w:t>
            </w:r>
          </w:p>
        </w:tc>
        <w:tc>
          <w:tcPr>
            <w:tcW w:w="4406" w:type="dxa"/>
            <w:noWrap w:val="0"/>
            <w:vAlign w:val="top"/>
          </w:tcPr>
          <w:p>
            <w:pPr>
              <w:outlineLvl w:val="9"/>
              <w:rPr>
                <w:rFonts w:hint="eastAsia" w:ascii="宋体" w:hAnsi="宋体" w:cs="宋体"/>
                <w:kern w:val="0"/>
                <w:sz w:val="24"/>
                <w:szCs w:val="24"/>
                <w:u w:val="single"/>
              </w:rPr>
            </w:pPr>
            <w:r>
              <w:rPr>
                <w:rFonts w:hint="eastAsia" w:ascii="宋体" w:hAnsi="宋体" w:cs="宋体"/>
                <w:kern w:val="0"/>
                <w:sz w:val="24"/>
                <w:szCs w:val="24"/>
              </w:rPr>
              <w:t>开户行名称：</w:t>
            </w:r>
            <w:r>
              <w:rPr>
                <w:rFonts w:hint="eastAsia" w:ascii="宋体" w:hAnsi="宋体" w:cs="宋体"/>
                <w:kern w:val="0"/>
                <w:sz w:val="24"/>
                <w:szCs w:val="24"/>
                <w:u w:val="single"/>
              </w:rPr>
              <w:t xml:space="preserve">                      </w:t>
            </w:r>
          </w:p>
        </w:tc>
      </w:tr>
      <w:tr>
        <w:tblPrEx>
          <w:tblCellMar>
            <w:top w:w="0" w:type="dxa"/>
            <w:left w:w="108" w:type="dxa"/>
            <w:bottom w:w="0" w:type="dxa"/>
            <w:right w:w="108" w:type="dxa"/>
          </w:tblCellMar>
        </w:tblPrEx>
        <w:trPr>
          <w:trHeight w:val="665" w:hRule="atLeast"/>
        </w:trPr>
        <w:tc>
          <w:tcPr>
            <w:tcW w:w="4273" w:type="dxa"/>
            <w:noWrap w:val="0"/>
            <w:vAlign w:val="top"/>
          </w:tcPr>
          <w:p>
            <w:pPr>
              <w:outlineLvl w:val="9"/>
              <w:rPr>
                <w:rFonts w:hint="eastAsia" w:ascii="宋体" w:hAnsi="宋体" w:cs="宋体"/>
                <w:kern w:val="0"/>
                <w:sz w:val="24"/>
                <w:szCs w:val="24"/>
                <w:u w:val="single"/>
              </w:rPr>
            </w:pPr>
            <w:r>
              <w:rPr>
                <w:rFonts w:hint="eastAsia" w:ascii="宋体" w:hAnsi="宋体" w:cs="宋体"/>
                <w:kern w:val="0"/>
                <w:sz w:val="24"/>
                <w:szCs w:val="24"/>
              </w:rPr>
              <w:t>账号名称：</w:t>
            </w:r>
            <w:r>
              <w:rPr>
                <w:rFonts w:hint="eastAsia" w:ascii="宋体" w:hAnsi="宋体" w:cs="宋体"/>
                <w:kern w:val="0"/>
                <w:sz w:val="24"/>
                <w:szCs w:val="24"/>
                <w:u w:val="single"/>
              </w:rPr>
              <w:t xml:space="preserve">                       </w:t>
            </w:r>
          </w:p>
        </w:tc>
        <w:tc>
          <w:tcPr>
            <w:tcW w:w="4406" w:type="dxa"/>
            <w:noWrap w:val="0"/>
            <w:vAlign w:val="top"/>
          </w:tcPr>
          <w:p>
            <w:pPr>
              <w:outlineLvl w:val="9"/>
              <w:rPr>
                <w:rFonts w:hint="eastAsia" w:ascii="宋体" w:hAnsi="宋体" w:cs="宋体"/>
                <w:kern w:val="0"/>
                <w:sz w:val="24"/>
                <w:szCs w:val="24"/>
                <w:u w:val="single"/>
              </w:rPr>
            </w:pPr>
            <w:r>
              <w:rPr>
                <w:rFonts w:hint="eastAsia" w:ascii="宋体" w:hAnsi="宋体" w:cs="宋体"/>
                <w:kern w:val="0"/>
                <w:sz w:val="24"/>
                <w:szCs w:val="24"/>
              </w:rPr>
              <w:t>账号名称：</w:t>
            </w:r>
            <w:r>
              <w:rPr>
                <w:rFonts w:hint="eastAsia" w:ascii="宋体" w:hAnsi="宋体" w:cs="宋体"/>
                <w:kern w:val="0"/>
                <w:sz w:val="24"/>
                <w:szCs w:val="24"/>
                <w:u w:val="single"/>
              </w:rPr>
              <w:t xml:space="preserve">                       </w:t>
            </w:r>
          </w:p>
        </w:tc>
      </w:tr>
      <w:tr>
        <w:tblPrEx>
          <w:tblCellMar>
            <w:top w:w="0" w:type="dxa"/>
            <w:left w:w="108" w:type="dxa"/>
            <w:bottom w:w="0" w:type="dxa"/>
            <w:right w:w="108" w:type="dxa"/>
          </w:tblCellMar>
        </w:tblPrEx>
        <w:trPr>
          <w:trHeight w:val="665" w:hRule="atLeast"/>
        </w:trPr>
        <w:tc>
          <w:tcPr>
            <w:tcW w:w="4273" w:type="dxa"/>
            <w:noWrap w:val="0"/>
            <w:vAlign w:val="top"/>
          </w:tcPr>
          <w:p>
            <w:pPr>
              <w:outlineLvl w:val="9"/>
              <w:rPr>
                <w:rFonts w:hint="eastAsia" w:ascii="宋体" w:hAnsi="宋体" w:cs="宋体"/>
                <w:kern w:val="0"/>
                <w:sz w:val="24"/>
                <w:szCs w:val="24"/>
                <w:u w:val="single"/>
              </w:rPr>
            </w:pPr>
            <w:r>
              <w:rPr>
                <w:rFonts w:hint="eastAsia" w:ascii="宋体" w:hAnsi="宋体" w:cs="宋体"/>
                <w:kern w:val="0"/>
                <w:sz w:val="24"/>
                <w:szCs w:val="24"/>
              </w:rPr>
              <w:t>账 号：</w:t>
            </w:r>
            <w:r>
              <w:rPr>
                <w:rFonts w:hint="eastAsia" w:ascii="宋体" w:hAnsi="宋体" w:cs="宋体"/>
                <w:kern w:val="0"/>
                <w:sz w:val="24"/>
                <w:szCs w:val="24"/>
                <w:u w:val="single"/>
              </w:rPr>
              <w:t xml:space="preserve">                           </w:t>
            </w:r>
          </w:p>
        </w:tc>
        <w:tc>
          <w:tcPr>
            <w:tcW w:w="4406" w:type="dxa"/>
            <w:noWrap w:val="0"/>
            <w:vAlign w:val="top"/>
          </w:tcPr>
          <w:p>
            <w:pPr>
              <w:outlineLvl w:val="9"/>
              <w:rPr>
                <w:rFonts w:hint="eastAsia" w:ascii="宋体" w:hAnsi="宋体" w:cs="宋体"/>
                <w:kern w:val="0"/>
                <w:sz w:val="24"/>
                <w:szCs w:val="24"/>
                <w:u w:val="single"/>
              </w:rPr>
            </w:pPr>
            <w:r>
              <w:rPr>
                <w:rFonts w:hint="eastAsia" w:ascii="宋体" w:hAnsi="宋体" w:cs="宋体"/>
                <w:kern w:val="0"/>
                <w:sz w:val="24"/>
                <w:szCs w:val="24"/>
              </w:rPr>
              <w:t>账 号：</w:t>
            </w:r>
            <w:r>
              <w:rPr>
                <w:rFonts w:hint="eastAsia" w:ascii="宋体" w:hAnsi="宋体" w:cs="宋体"/>
                <w:kern w:val="0"/>
                <w:sz w:val="24"/>
                <w:szCs w:val="24"/>
                <w:u w:val="single"/>
              </w:rPr>
              <w:t xml:space="preserve">                           </w:t>
            </w:r>
          </w:p>
        </w:tc>
      </w:tr>
      <w:tr>
        <w:tblPrEx>
          <w:tblCellMar>
            <w:top w:w="0" w:type="dxa"/>
            <w:left w:w="108" w:type="dxa"/>
            <w:bottom w:w="0" w:type="dxa"/>
            <w:right w:w="108" w:type="dxa"/>
          </w:tblCellMar>
        </w:tblPrEx>
        <w:trPr>
          <w:trHeight w:val="665" w:hRule="atLeast"/>
        </w:trPr>
        <w:tc>
          <w:tcPr>
            <w:tcW w:w="4273" w:type="dxa"/>
            <w:noWrap w:val="0"/>
            <w:vAlign w:val="top"/>
          </w:tcPr>
          <w:p>
            <w:pPr>
              <w:outlineLvl w:val="9"/>
              <w:rPr>
                <w:rFonts w:hint="eastAsia" w:ascii="宋体" w:hAnsi="宋体" w:cs="宋体"/>
                <w:sz w:val="24"/>
                <w:szCs w:val="24"/>
              </w:rPr>
            </w:pPr>
            <w:r>
              <w:rPr>
                <w:rFonts w:hint="eastAsia" w:ascii="宋体" w:hAnsi="宋体" w:cs="宋体"/>
                <w:sz w:val="24"/>
                <w:szCs w:val="24"/>
              </w:rPr>
              <w:t>地 址：</w:t>
            </w:r>
            <w:r>
              <w:rPr>
                <w:rFonts w:hint="eastAsia" w:ascii="宋体" w:hAnsi="宋体" w:cs="宋体"/>
                <w:sz w:val="24"/>
                <w:szCs w:val="24"/>
                <w:u w:val="single"/>
              </w:rPr>
              <w:t xml:space="preserve">                           </w:t>
            </w:r>
          </w:p>
        </w:tc>
        <w:tc>
          <w:tcPr>
            <w:tcW w:w="4406" w:type="dxa"/>
            <w:noWrap w:val="0"/>
            <w:vAlign w:val="top"/>
          </w:tcPr>
          <w:p>
            <w:pPr>
              <w:outlineLvl w:val="9"/>
              <w:rPr>
                <w:rFonts w:hint="eastAsia" w:ascii="宋体" w:hAnsi="宋体" w:cs="宋体"/>
                <w:sz w:val="24"/>
                <w:szCs w:val="24"/>
              </w:rPr>
            </w:pPr>
            <w:r>
              <w:rPr>
                <w:rFonts w:hint="eastAsia" w:ascii="宋体" w:hAnsi="宋体" w:cs="宋体"/>
                <w:sz w:val="24"/>
                <w:szCs w:val="24"/>
              </w:rPr>
              <w:t>地 址：</w:t>
            </w:r>
            <w:r>
              <w:rPr>
                <w:rFonts w:hint="eastAsia" w:ascii="宋体" w:hAnsi="宋体" w:cs="宋体"/>
                <w:sz w:val="24"/>
                <w:szCs w:val="24"/>
                <w:u w:val="single"/>
              </w:rPr>
              <w:t xml:space="preserve">                           </w:t>
            </w:r>
          </w:p>
        </w:tc>
      </w:tr>
      <w:tr>
        <w:tblPrEx>
          <w:tblCellMar>
            <w:top w:w="0" w:type="dxa"/>
            <w:left w:w="108" w:type="dxa"/>
            <w:bottom w:w="0" w:type="dxa"/>
            <w:right w:w="108" w:type="dxa"/>
          </w:tblCellMar>
        </w:tblPrEx>
        <w:trPr>
          <w:trHeight w:val="665" w:hRule="atLeast"/>
        </w:trPr>
        <w:tc>
          <w:tcPr>
            <w:tcW w:w="4273" w:type="dxa"/>
            <w:noWrap w:val="0"/>
            <w:vAlign w:val="top"/>
          </w:tcPr>
          <w:p>
            <w:pPr>
              <w:outlineLvl w:val="9"/>
              <w:rPr>
                <w:rFonts w:hint="eastAsia" w:ascii="宋体" w:hAnsi="宋体" w:cs="宋体"/>
                <w:sz w:val="24"/>
                <w:szCs w:val="24"/>
              </w:rPr>
            </w:pPr>
            <w:r>
              <w:rPr>
                <w:rFonts w:hint="eastAsia" w:ascii="宋体" w:hAnsi="宋体" w:cs="宋体"/>
                <w:sz w:val="24"/>
                <w:szCs w:val="24"/>
              </w:rPr>
              <w:t>电 话：</w:t>
            </w:r>
            <w:r>
              <w:rPr>
                <w:rFonts w:hint="eastAsia" w:ascii="宋体" w:hAnsi="宋体" w:cs="宋体"/>
                <w:sz w:val="24"/>
                <w:szCs w:val="24"/>
                <w:u w:val="single"/>
              </w:rPr>
              <w:t xml:space="preserve">                          </w:t>
            </w:r>
          </w:p>
        </w:tc>
        <w:tc>
          <w:tcPr>
            <w:tcW w:w="4406" w:type="dxa"/>
            <w:noWrap w:val="0"/>
            <w:vAlign w:val="top"/>
          </w:tcPr>
          <w:p>
            <w:pPr>
              <w:outlineLvl w:val="9"/>
              <w:rPr>
                <w:rFonts w:hint="eastAsia" w:ascii="宋体" w:hAnsi="宋体" w:cs="宋体"/>
                <w:sz w:val="24"/>
                <w:szCs w:val="24"/>
              </w:rPr>
            </w:pPr>
            <w:r>
              <w:rPr>
                <w:rFonts w:hint="eastAsia" w:ascii="宋体" w:hAnsi="宋体" w:cs="宋体"/>
                <w:sz w:val="24"/>
                <w:szCs w:val="24"/>
              </w:rPr>
              <w:t>电 话：</w:t>
            </w:r>
            <w:r>
              <w:rPr>
                <w:rFonts w:hint="eastAsia" w:ascii="宋体" w:hAnsi="宋体" w:cs="宋体"/>
                <w:sz w:val="24"/>
                <w:szCs w:val="24"/>
                <w:u w:val="single"/>
              </w:rPr>
              <w:t xml:space="preserve">                          </w:t>
            </w:r>
          </w:p>
        </w:tc>
      </w:tr>
      <w:tr>
        <w:tblPrEx>
          <w:tblCellMar>
            <w:top w:w="0" w:type="dxa"/>
            <w:left w:w="108" w:type="dxa"/>
            <w:bottom w:w="0" w:type="dxa"/>
            <w:right w:w="108" w:type="dxa"/>
          </w:tblCellMar>
        </w:tblPrEx>
        <w:trPr>
          <w:trHeight w:val="665" w:hRule="atLeast"/>
        </w:trPr>
        <w:tc>
          <w:tcPr>
            <w:tcW w:w="4273" w:type="dxa"/>
            <w:noWrap w:val="0"/>
            <w:vAlign w:val="top"/>
          </w:tcPr>
          <w:p>
            <w:pPr>
              <w:tabs>
                <w:tab w:val="left" w:pos="4007"/>
              </w:tabs>
              <w:outlineLvl w:val="9"/>
              <w:rPr>
                <w:rFonts w:hint="eastAsia" w:ascii="宋体" w:hAnsi="宋体" w:cs="宋体"/>
                <w:sz w:val="24"/>
                <w:szCs w:val="24"/>
              </w:rPr>
            </w:pPr>
            <w:r>
              <w:rPr>
                <w:rFonts w:hint="eastAsia" w:ascii="宋体" w:hAnsi="宋体" w:cs="宋体"/>
                <w:sz w:val="24"/>
                <w:szCs w:val="24"/>
              </w:rPr>
              <w:t>传 真：</w:t>
            </w:r>
            <w:r>
              <w:rPr>
                <w:rFonts w:hint="eastAsia" w:ascii="宋体" w:hAnsi="宋体" w:cs="宋体"/>
                <w:sz w:val="24"/>
                <w:szCs w:val="24"/>
                <w:u w:val="single"/>
              </w:rPr>
              <w:t xml:space="preserve">                          </w:t>
            </w:r>
          </w:p>
        </w:tc>
        <w:tc>
          <w:tcPr>
            <w:tcW w:w="4406" w:type="dxa"/>
            <w:noWrap w:val="0"/>
            <w:vAlign w:val="top"/>
          </w:tcPr>
          <w:p>
            <w:pPr>
              <w:tabs>
                <w:tab w:val="left" w:pos="4007"/>
              </w:tabs>
              <w:outlineLvl w:val="9"/>
              <w:rPr>
                <w:rFonts w:hint="eastAsia" w:ascii="宋体" w:hAnsi="宋体" w:cs="宋体"/>
                <w:sz w:val="24"/>
                <w:szCs w:val="24"/>
              </w:rPr>
            </w:pPr>
            <w:r>
              <w:rPr>
                <w:rFonts w:hint="eastAsia" w:ascii="宋体" w:hAnsi="宋体" w:cs="宋体"/>
                <w:sz w:val="24"/>
                <w:szCs w:val="24"/>
              </w:rPr>
              <w:t>传 真：</w:t>
            </w:r>
            <w:r>
              <w:rPr>
                <w:rFonts w:hint="eastAsia" w:ascii="宋体" w:hAnsi="宋体" w:cs="宋体"/>
                <w:sz w:val="24"/>
                <w:szCs w:val="24"/>
                <w:u w:val="single"/>
              </w:rPr>
              <w:t xml:space="preserve">                          </w:t>
            </w:r>
          </w:p>
        </w:tc>
      </w:tr>
      <w:bookmarkEnd w:id="281"/>
      <w:bookmarkEnd w:id="282"/>
      <w:bookmarkEnd w:id="283"/>
      <w:bookmarkEnd w:id="284"/>
      <w:bookmarkEnd w:id="285"/>
      <w:bookmarkEnd w:id="286"/>
      <w:bookmarkEnd w:id="287"/>
      <w:bookmarkEnd w:id="288"/>
      <w:bookmarkEnd w:id="289"/>
      <w:bookmarkEnd w:id="290"/>
    </w:tbl>
    <w:p>
      <w:pPr>
        <w:jc w:val="both"/>
        <w:outlineLvl w:val="9"/>
        <w:rPr>
          <w:rFonts w:cs="宋体"/>
          <w:kern w:val="0"/>
          <w:sz w:val="24"/>
        </w:rPr>
      </w:pPr>
    </w:p>
    <w:p>
      <w:pPr>
        <w:ind w:firstLine="5056" w:firstLineChars="2107"/>
        <w:jc w:val="both"/>
        <w:outlineLvl w:val="9"/>
        <w:rPr>
          <w:rFonts w:cs="宋体"/>
          <w:kern w:val="0"/>
          <w:sz w:val="24"/>
        </w:rPr>
      </w:pPr>
      <w:r>
        <w:rPr>
          <w:rFonts w:cs="宋体"/>
          <w:kern w:val="0"/>
          <w:sz w:val="24"/>
        </w:rPr>
        <w:t>签订日期：      年   月  日</w:t>
      </w:r>
    </w:p>
    <w:p>
      <w:pPr>
        <w:rPr>
          <w:rFonts w:hint="eastAsia"/>
          <w:lang w:val="en-US" w:eastAsia="zh-CN"/>
        </w:rPr>
      </w:pPr>
      <w:r>
        <w:rPr>
          <w:rFonts w:hint="eastAsia"/>
          <w:lang w:val="en-US" w:eastAsia="zh-CN"/>
        </w:rPr>
        <w:br w:type="page"/>
      </w:r>
    </w:p>
    <w:p>
      <w:pPr>
        <w:spacing w:line="360" w:lineRule="auto"/>
        <w:jc w:val="center"/>
        <w:outlineLvl w:val="0"/>
        <w:rPr>
          <w:rFonts w:ascii="宋体" w:hAnsi="宋体" w:cs="宋体"/>
          <w:b/>
          <w:kern w:val="44"/>
          <w:sz w:val="36"/>
          <w:szCs w:val="22"/>
        </w:rPr>
      </w:pPr>
      <w:bookmarkStart w:id="291" w:name="_Toc1473"/>
      <w:bookmarkStart w:id="292" w:name="_Toc31372"/>
      <w:bookmarkStart w:id="293" w:name="_Toc7545"/>
      <w:bookmarkStart w:id="294" w:name="_Toc7885"/>
      <w:r>
        <w:rPr>
          <w:rFonts w:hint="eastAsia" w:ascii="宋体" w:hAnsi="宋体" w:cs="宋体"/>
          <w:b/>
          <w:kern w:val="44"/>
          <w:sz w:val="36"/>
          <w:szCs w:val="22"/>
        </w:rPr>
        <w:t>第五部分  商务要求</w:t>
      </w:r>
      <w:bookmarkEnd w:id="291"/>
      <w:bookmarkEnd w:id="292"/>
      <w:bookmarkEnd w:id="293"/>
      <w:bookmarkEnd w:id="294"/>
    </w:p>
    <w:p>
      <w:pPr>
        <w:spacing w:line="480" w:lineRule="auto"/>
        <w:ind w:firstLine="448" w:firstLineChars="186"/>
        <w:rPr>
          <w:rFonts w:hint="default" w:ascii="宋体" w:hAnsi="宋体" w:eastAsia="宋体" w:cs="宋体"/>
          <w:sz w:val="24"/>
          <w:szCs w:val="24"/>
          <w:lang w:val="en-US" w:eastAsia="zh-CN"/>
        </w:rPr>
      </w:pPr>
      <w:bookmarkStart w:id="295" w:name="_Toc14458"/>
      <w:r>
        <w:rPr>
          <w:rFonts w:hint="eastAsia" w:ascii="宋体" w:hAnsi="宋体" w:cs="宋体"/>
          <w:b/>
          <w:bCs/>
          <w:sz w:val="24"/>
        </w:rPr>
        <w:t>一、</w:t>
      </w:r>
      <w:r>
        <w:rPr>
          <w:rFonts w:hint="eastAsia" w:ascii="宋体" w:hAnsi="宋体" w:cs="宋体"/>
          <w:b/>
          <w:bCs/>
          <w:sz w:val="24"/>
          <w:highlight w:val="none"/>
          <w:lang w:val="en-US" w:eastAsia="zh-CN"/>
        </w:rPr>
        <w:t>服务</w:t>
      </w:r>
      <w:r>
        <w:rPr>
          <w:rFonts w:hint="eastAsia" w:ascii="宋体" w:hAnsi="宋体" w:cs="宋体"/>
          <w:b/>
          <w:bCs/>
          <w:sz w:val="24"/>
          <w:highlight w:val="none"/>
        </w:rPr>
        <w:t>地点</w:t>
      </w:r>
      <w:r>
        <w:rPr>
          <w:rFonts w:hint="eastAsia" w:ascii="宋体" w:hAnsi="宋体" w:cs="宋体"/>
          <w:b/>
          <w:bCs/>
          <w:sz w:val="24"/>
          <w:szCs w:val="24"/>
        </w:rPr>
        <w:t>：</w:t>
      </w:r>
      <w:r>
        <w:rPr>
          <w:rFonts w:hint="eastAsia" w:ascii="宋体" w:hAnsi="宋体" w:cs="宋体"/>
          <w:sz w:val="24"/>
          <w:lang w:val="en-US" w:eastAsia="zh-CN"/>
        </w:rPr>
        <w:t>陕西省榆林市</w:t>
      </w:r>
    </w:p>
    <w:p>
      <w:pPr>
        <w:spacing w:line="520" w:lineRule="exact"/>
        <w:ind w:right="185" w:rightChars="88" w:firstLine="482" w:firstLineChars="200"/>
        <w:outlineLvl w:val="9"/>
        <w:rPr>
          <w:rFonts w:hint="eastAsia" w:ascii="宋体" w:hAnsi="宋体" w:cs="宋体"/>
          <w:color w:val="000000"/>
          <w:kern w:val="0"/>
          <w:sz w:val="24"/>
          <w:szCs w:val="24"/>
        </w:rPr>
      </w:pPr>
      <w:r>
        <w:rPr>
          <w:rFonts w:hint="eastAsia" w:ascii="宋体" w:hAnsi="宋体" w:cs="宋体"/>
          <w:b/>
          <w:bCs/>
          <w:sz w:val="24"/>
          <w:highlight w:val="none"/>
        </w:rPr>
        <w:t>二、</w:t>
      </w:r>
      <w:r>
        <w:rPr>
          <w:rFonts w:hint="eastAsia" w:ascii="宋体" w:hAnsi="宋体" w:cs="宋体"/>
          <w:b/>
          <w:bCs/>
          <w:sz w:val="24"/>
          <w:highlight w:val="none"/>
          <w:lang w:val="en-US" w:eastAsia="zh-CN"/>
        </w:rPr>
        <w:t>服务</w:t>
      </w:r>
      <w:r>
        <w:rPr>
          <w:rFonts w:hint="eastAsia" w:ascii="宋体" w:hAnsi="宋体" w:cs="宋体"/>
          <w:b/>
          <w:bCs/>
          <w:sz w:val="24"/>
          <w:highlight w:val="none"/>
        </w:rPr>
        <w:t>期</w:t>
      </w:r>
      <w:r>
        <w:rPr>
          <w:rFonts w:hint="eastAsia" w:ascii="宋体" w:hAnsi="宋体" w:cs="宋体"/>
          <w:b/>
          <w:bCs/>
          <w:color w:val="auto"/>
          <w:sz w:val="24"/>
          <w:highlight w:val="none"/>
        </w:rPr>
        <w:t>：</w:t>
      </w:r>
      <w:r>
        <w:rPr>
          <w:rFonts w:hint="eastAsia" w:ascii="宋体" w:hAnsi="宋体" w:cs="宋体"/>
          <w:kern w:val="0"/>
          <w:sz w:val="24"/>
          <w:szCs w:val="24"/>
          <w:u w:val="none"/>
        </w:rPr>
        <w:t>合同签订之日至获得有关政府部门可研报告批复之日。</w:t>
      </w:r>
    </w:p>
    <w:p>
      <w:pPr>
        <w:spacing w:line="520" w:lineRule="exact"/>
        <w:ind w:right="160" w:rightChars="76" w:firstLine="482" w:firstLineChars="200"/>
        <w:outlineLvl w:val="9"/>
        <w:rPr>
          <w:rFonts w:hint="eastAsia" w:ascii="宋体" w:hAnsi="宋体" w:cs="宋体"/>
          <w:kern w:val="0"/>
          <w:sz w:val="24"/>
          <w:szCs w:val="24"/>
          <w:u w:val="none"/>
        </w:rPr>
      </w:pPr>
      <w:r>
        <w:rPr>
          <w:rFonts w:hint="eastAsia" w:ascii="宋体" w:hAnsi="宋体" w:cs="宋体"/>
          <w:b/>
          <w:bCs/>
          <w:kern w:val="0"/>
          <w:sz w:val="24"/>
          <w:szCs w:val="24"/>
          <w:lang w:val="en-US" w:eastAsia="zh-CN"/>
        </w:rPr>
        <w:t>三、</w:t>
      </w:r>
      <w:r>
        <w:rPr>
          <w:rFonts w:hint="eastAsia" w:ascii="宋体" w:hAnsi="宋体" w:cs="宋体"/>
          <w:b/>
          <w:bCs/>
          <w:kern w:val="0"/>
          <w:sz w:val="24"/>
          <w:szCs w:val="24"/>
        </w:rPr>
        <w:t>编制进度：</w:t>
      </w:r>
      <w:r>
        <w:rPr>
          <w:rFonts w:hint="eastAsia" w:ascii="宋体" w:hAnsi="宋体" w:cs="宋体"/>
          <w:kern w:val="0"/>
          <w:sz w:val="24"/>
          <w:szCs w:val="24"/>
          <w:u w:val="none"/>
        </w:rPr>
        <w:t>经双方协商后确定报告编制进度。</w:t>
      </w:r>
    </w:p>
    <w:p>
      <w:pPr>
        <w:spacing w:line="520" w:lineRule="exact"/>
        <w:ind w:left="158" w:leftChars="75" w:right="160" w:rightChars="76" w:firstLine="332" w:firstLineChars="138"/>
        <w:outlineLvl w:val="9"/>
        <w:rPr>
          <w:rFonts w:ascii="宋体" w:hAnsi="宋体" w:cs="宋体"/>
          <w:b w:val="0"/>
          <w:bCs w:val="0"/>
          <w:color w:val="FF0000"/>
          <w:sz w:val="24"/>
          <w:szCs w:val="24"/>
          <w:highlight w:val="none"/>
        </w:rPr>
      </w:pPr>
      <w:r>
        <w:rPr>
          <w:rFonts w:hint="eastAsia" w:ascii="宋体" w:hAnsi="宋体" w:cs="宋体"/>
          <w:b/>
          <w:bCs/>
          <w:kern w:val="0"/>
          <w:sz w:val="24"/>
          <w:szCs w:val="24"/>
          <w:lang w:val="en-US" w:eastAsia="zh-CN"/>
        </w:rPr>
        <w:t>四、</w:t>
      </w:r>
      <w:r>
        <w:rPr>
          <w:rFonts w:hint="eastAsia" w:ascii="宋体" w:hAnsi="宋体" w:cs="宋体"/>
          <w:b/>
          <w:bCs/>
          <w:kern w:val="0"/>
          <w:sz w:val="24"/>
          <w:szCs w:val="24"/>
        </w:rPr>
        <w:t>质量要求：</w:t>
      </w:r>
      <w:r>
        <w:rPr>
          <w:rFonts w:hint="eastAsia" w:ascii="宋体" w:hAnsi="宋体" w:cs="宋体"/>
          <w:kern w:val="0"/>
          <w:sz w:val="24"/>
          <w:szCs w:val="24"/>
          <w:u w:val="none"/>
        </w:rPr>
        <w:t>报告内容达到国家规定的可行性报告编制深度要求，质量符合要求，并通过相关部门组织的专家评审，成为初步设计遵循的依据。</w:t>
      </w:r>
    </w:p>
    <w:p>
      <w:pPr>
        <w:spacing w:line="480" w:lineRule="auto"/>
        <w:ind w:firstLine="482" w:firstLineChars="200"/>
        <w:rPr>
          <w:rFonts w:ascii="宋体" w:hAnsi="宋体" w:cs="宋体"/>
          <w:b/>
          <w:bCs/>
          <w:sz w:val="24"/>
        </w:rPr>
      </w:pPr>
      <w:r>
        <w:rPr>
          <w:rFonts w:hint="eastAsia" w:ascii="宋体" w:hAnsi="宋体" w:cs="宋体"/>
          <w:b/>
          <w:bCs/>
          <w:sz w:val="24"/>
          <w:lang w:val="en-US" w:eastAsia="zh-CN"/>
        </w:rPr>
        <w:t>五</w:t>
      </w:r>
      <w:r>
        <w:rPr>
          <w:rFonts w:hint="eastAsia" w:ascii="宋体" w:hAnsi="宋体" w:cs="宋体"/>
          <w:b/>
          <w:bCs/>
          <w:sz w:val="24"/>
        </w:rPr>
        <w:t>、合同价款</w:t>
      </w:r>
    </w:p>
    <w:p>
      <w:pPr>
        <w:spacing w:line="480" w:lineRule="auto"/>
        <w:ind w:firstLine="480" w:firstLineChars="200"/>
        <w:rPr>
          <w:rFonts w:ascii="宋体" w:hAnsi="宋体" w:cs="仿宋_GB2312"/>
          <w:sz w:val="24"/>
        </w:rPr>
      </w:pPr>
      <w:r>
        <w:rPr>
          <w:rFonts w:hint="eastAsia" w:ascii="宋体" w:hAnsi="宋体" w:cs="宋体"/>
          <w:sz w:val="24"/>
        </w:rPr>
        <w:t>1、</w:t>
      </w:r>
      <w:r>
        <w:rPr>
          <w:rFonts w:hint="eastAsia" w:ascii="宋体" w:hAnsi="宋体" w:cs="宋体"/>
          <w:sz w:val="24"/>
          <w:szCs w:val="24"/>
        </w:rPr>
        <w:t>谈判报价包含完成本次采购所要求的服务且验收合格的所有费用，包括</w:t>
      </w:r>
      <w:r>
        <w:rPr>
          <w:rFonts w:hint="eastAsia" w:ascii="宋体" w:hAnsi="宋体" w:cs="仿宋_GB2312"/>
          <w:sz w:val="24"/>
        </w:rPr>
        <w:t>产品供应费、运杂费、</w:t>
      </w:r>
      <w:r>
        <w:rPr>
          <w:rFonts w:hint="eastAsia" w:ascii="宋体" w:hAnsi="宋体" w:cs="宋体"/>
          <w:sz w:val="24"/>
          <w:szCs w:val="24"/>
        </w:rPr>
        <w:t>仓储保管费、</w:t>
      </w:r>
      <w:r>
        <w:rPr>
          <w:rFonts w:hint="eastAsia" w:ascii="宋体" w:hAnsi="宋体" w:cs="仿宋_GB2312"/>
          <w:sz w:val="24"/>
        </w:rPr>
        <w:t>装卸费、保险费、税费</w:t>
      </w:r>
      <w:r>
        <w:rPr>
          <w:rFonts w:hint="eastAsia" w:ascii="宋体" w:hAnsi="宋体" w:cs="宋体"/>
          <w:sz w:val="24"/>
          <w:szCs w:val="24"/>
        </w:rPr>
        <w:t>等</w:t>
      </w:r>
      <w:r>
        <w:rPr>
          <w:rFonts w:hint="eastAsia" w:ascii="宋体" w:hAnsi="宋体" w:cs="仿宋_GB2312"/>
          <w:sz w:val="24"/>
        </w:rPr>
        <w:t>产品达到正常使用条件下所包含的一切费用。</w:t>
      </w:r>
    </w:p>
    <w:p>
      <w:pPr>
        <w:spacing w:line="480" w:lineRule="auto"/>
        <w:ind w:firstLine="480" w:firstLineChars="200"/>
        <w:rPr>
          <w:rFonts w:ascii="宋体" w:hAnsi="宋体" w:cs="宋体"/>
          <w:sz w:val="24"/>
        </w:rPr>
      </w:pPr>
      <w:r>
        <w:rPr>
          <w:rFonts w:hint="eastAsia" w:ascii="宋体" w:hAnsi="宋体" w:cs="宋体"/>
          <w:sz w:val="24"/>
        </w:rPr>
        <w:t>2、合同总价一次包死，不受市场价变化的影响。</w:t>
      </w:r>
    </w:p>
    <w:p>
      <w:pPr>
        <w:spacing w:line="480" w:lineRule="auto"/>
        <w:ind w:firstLine="482" w:firstLineChars="200"/>
        <w:rPr>
          <w:rFonts w:ascii="宋体" w:hAnsi="宋体" w:cs="宋体"/>
          <w:b/>
          <w:bCs/>
          <w:color w:val="auto"/>
          <w:sz w:val="24"/>
        </w:rPr>
      </w:pPr>
      <w:r>
        <w:rPr>
          <w:rFonts w:hint="eastAsia" w:ascii="宋体" w:hAnsi="宋体" w:cs="宋体"/>
          <w:b/>
          <w:bCs/>
          <w:color w:val="auto"/>
          <w:sz w:val="24"/>
          <w:lang w:val="en-US" w:eastAsia="zh-CN"/>
        </w:rPr>
        <w:t>六</w:t>
      </w:r>
      <w:r>
        <w:rPr>
          <w:rFonts w:hint="eastAsia" w:ascii="宋体" w:hAnsi="宋体" w:cs="宋体"/>
          <w:b/>
          <w:bCs/>
          <w:color w:val="auto"/>
          <w:sz w:val="24"/>
        </w:rPr>
        <w:t>、款项结算</w:t>
      </w:r>
    </w:p>
    <w:p>
      <w:pPr>
        <w:widowControl/>
        <w:tabs>
          <w:tab w:val="left" w:pos="1620"/>
        </w:tabs>
        <w:adjustRightInd w:val="0"/>
        <w:snapToGrid w:val="0"/>
        <w:spacing w:line="480" w:lineRule="auto"/>
        <w:ind w:firstLine="480" w:firstLineChars="200"/>
        <w:jc w:val="left"/>
        <w:rPr>
          <w:rFonts w:ascii="宋体" w:hAnsi="宋体" w:cs="宋体"/>
          <w:color w:val="auto"/>
          <w:sz w:val="24"/>
          <w:szCs w:val="24"/>
        </w:rPr>
      </w:pPr>
      <w:r>
        <w:rPr>
          <w:rFonts w:hint="eastAsia"/>
          <w:color w:val="auto"/>
          <w:sz w:val="24"/>
          <w:szCs w:val="24"/>
        </w:rPr>
        <w:t>1、付款方式：</w:t>
      </w:r>
      <w:r>
        <w:rPr>
          <w:rFonts w:hint="eastAsia"/>
          <w:color w:val="auto"/>
          <w:sz w:val="24"/>
          <w:szCs w:val="24"/>
          <w:lang w:val="en-US" w:eastAsia="zh-CN"/>
        </w:rPr>
        <w:t>合同约定</w:t>
      </w:r>
      <w:r>
        <w:rPr>
          <w:rFonts w:hint="eastAsia"/>
          <w:color w:val="auto"/>
          <w:sz w:val="24"/>
          <w:szCs w:val="24"/>
        </w:rPr>
        <w:t>。</w:t>
      </w:r>
    </w:p>
    <w:p>
      <w:pPr>
        <w:spacing w:line="520" w:lineRule="exact"/>
        <w:ind w:left="2" w:firstLine="480" w:firstLineChars="200"/>
        <w:rPr>
          <w:rFonts w:hint="eastAsia" w:ascii="宋体" w:hAnsi="宋体" w:cs="仿宋_GB2312"/>
          <w:sz w:val="24"/>
          <w:szCs w:val="22"/>
        </w:rPr>
      </w:pPr>
      <w:r>
        <w:rPr>
          <w:rFonts w:hint="eastAsia" w:ascii="宋体" w:hAnsi="宋体" w:cs="仿宋_GB2312"/>
          <w:sz w:val="24"/>
          <w:szCs w:val="22"/>
        </w:rPr>
        <w:t>2、结算方式：</w:t>
      </w:r>
    </w:p>
    <w:p>
      <w:pPr>
        <w:spacing w:line="520" w:lineRule="exact"/>
        <w:ind w:left="2" w:firstLine="480" w:firstLineChars="200"/>
        <w:outlineLvl w:val="9"/>
        <w:rPr>
          <w:rFonts w:hint="eastAsia"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eastAsia="zh-CN"/>
        </w:rPr>
        <w:t>、</w:t>
      </w:r>
      <w:r>
        <w:rPr>
          <w:rFonts w:hint="eastAsia" w:ascii="宋体" w:hAnsi="宋体" w:cs="宋体"/>
          <w:kern w:val="0"/>
          <w:sz w:val="24"/>
          <w:szCs w:val="24"/>
        </w:rPr>
        <w:t>乙方在规定时间按期完成工程可行性研究报告（送审稿）的编制工作，甲方支付合同费用的80％。</w:t>
      </w:r>
    </w:p>
    <w:p>
      <w:pPr>
        <w:spacing w:line="520" w:lineRule="exact"/>
        <w:ind w:left="2" w:firstLine="480" w:firstLineChars="200"/>
        <w:outlineLvl w:val="9"/>
        <w:rPr>
          <w:rFonts w:hint="eastAsia" w:ascii="宋体" w:hAnsi="宋体" w:cs="宋体"/>
          <w:kern w:val="0"/>
          <w:sz w:val="24"/>
          <w:szCs w:val="24"/>
        </w:rPr>
      </w:pPr>
      <w:r>
        <w:rPr>
          <w:rFonts w:hint="eastAsia" w:ascii="宋体" w:hAnsi="宋体" w:cs="宋体"/>
          <w:kern w:val="0"/>
          <w:sz w:val="24"/>
          <w:szCs w:val="24"/>
        </w:rPr>
        <w:t>2</w:t>
      </w:r>
      <w:r>
        <w:rPr>
          <w:rFonts w:hint="eastAsia" w:ascii="宋体" w:hAnsi="宋体" w:cs="宋体"/>
          <w:kern w:val="0"/>
          <w:sz w:val="24"/>
          <w:szCs w:val="24"/>
          <w:lang w:eastAsia="zh-CN"/>
        </w:rPr>
        <w:t>、</w:t>
      </w:r>
      <w:r>
        <w:rPr>
          <w:rFonts w:hint="eastAsia" w:ascii="宋体" w:hAnsi="宋体" w:cs="宋体"/>
          <w:kern w:val="0"/>
          <w:sz w:val="24"/>
          <w:szCs w:val="24"/>
        </w:rPr>
        <w:t>工程可行性研究报告通过</w:t>
      </w:r>
      <w:r>
        <w:rPr>
          <w:rFonts w:hint="eastAsia" w:ascii="Times New Roman" w:hAnsi="Times New Roman"/>
          <w:kern w:val="0"/>
          <w:sz w:val="24"/>
          <w:szCs w:val="24"/>
        </w:rPr>
        <w:t>相关部门组织的专家</w:t>
      </w:r>
      <w:r>
        <w:rPr>
          <w:rFonts w:ascii="Times New Roman" w:hAnsi="Times New Roman"/>
          <w:kern w:val="0"/>
          <w:sz w:val="24"/>
          <w:szCs w:val="24"/>
        </w:rPr>
        <w:t>评审</w:t>
      </w:r>
      <w:r>
        <w:rPr>
          <w:rFonts w:hint="eastAsia" w:ascii="Times New Roman" w:hAnsi="Times New Roman"/>
          <w:kern w:val="0"/>
          <w:sz w:val="24"/>
          <w:szCs w:val="24"/>
        </w:rPr>
        <w:t>，</w:t>
      </w:r>
      <w:r>
        <w:rPr>
          <w:rFonts w:hint="eastAsia" w:ascii="宋体" w:hAnsi="宋体" w:cs="宋体"/>
          <w:kern w:val="0"/>
          <w:sz w:val="24"/>
          <w:szCs w:val="24"/>
        </w:rPr>
        <w:t>甲方支付剩余合同费用。</w:t>
      </w:r>
    </w:p>
    <w:p>
      <w:pPr>
        <w:shd w:val="clear" w:color="auto" w:fill="FFFFFF"/>
        <w:spacing w:line="520" w:lineRule="exact"/>
        <w:ind w:firstLine="480" w:firstLineChars="200"/>
        <w:textAlignment w:val="baseline"/>
        <w:outlineLvl w:val="9"/>
        <w:rPr>
          <w:rFonts w:hint="eastAsia" w:ascii="宋体" w:hAnsi="宋体" w:cs="宋体"/>
          <w:kern w:val="0"/>
          <w:sz w:val="24"/>
          <w:szCs w:val="24"/>
        </w:rPr>
      </w:pPr>
      <w:r>
        <w:rPr>
          <w:rFonts w:hint="eastAsia" w:ascii="宋体" w:hAnsi="宋体" w:cs="宋体"/>
          <w:kern w:val="0"/>
          <w:sz w:val="24"/>
          <w:szCs w:val="24"/>
        </w:rPr>
        <w:t>以上支付均以银行转帐方式进行。乙方须在正式转帐前向甲方提交正式发票，按相关规定办理划款手续。</w:t>
      </w:r>
    </w:p>
    <w:p>
      <w:pPr>
        <w:spacing w:line="480" w:lineRule="auto"/>
        <w:rPr>
          <w:rFonts w:hint="eastAsia" w:ascii="宋体" w:hAnsi="宋体" w:cs="宋体"/>
          <w:b/>
          <w:bCs/>
          <w:sz w:val="24"/>
        </w:rPr>
      </w:pPr>
      <w:r>
        <w:rPr>
          <w:rFonts w:hint="eastAsia" w:ascii="宋体" w:hAnsi="宋体" w:cs="宋体"/>
          <w:b/>
          <w:bCs/>
          <w:sz w:val="24"/>
          <w:lang w:val="en-US" w:eastAsia="zh-CN"/>
        </w:rPr>
        <w:t>七</w:t>
      </w:r>
      <w:r>
        <w:rPr>
          <w:rFonts w:hint="eastAsia" w:ascii="宋体" w:hAnsi="宋体" w:cs="宋体"/>
          <w:b/>
          <w:bCs/>
          <w:sz w:val="24"/>
        </w:rPr>
        <w:t>、</w:t>
      </w:r>
      <w:r>
        <w:rPr>
          <w:rFonts w:hint="eastAsia" w:ascii="宋体" w:hAnsi="宋体" w:cs="宋体"/>
          <w:b/>
          <w:bCs/>
          <w:sz w:val="24"/>
          <w:lang w:val="en-US" w:eastAsia="zh-CN"/>
        </w:rPr>
        <w:t>谈</w:t>
      </w:r>
      <w:r>
        <w:rPr>
          <w:rFonts w:hint="eastAsia" w:ascii="宋体" w:hAnsi="宋体" w:eastAsia="宋体" w:cs="宋体"/>
          <w:b/>
          <w:bCs/>
          <w:sz w:val="24"/>
          <w:lang w:val="en-US" w:eastAsia="zh-CN"/>
        </w:rPr>
        <w:t>判有效期</w:t>
      </w:r>
      <w:r>
        <w:rPr>
          <w:rStyle w:val="25"/>
          <w:rFonts w:hint="eastAsia" w:ascii="宋体" w:hAnsi="宋体" w:eastAsia="宋体" w:cs="Times New Roman"/>
          <w:color w:val="auto"/>
          <w:sz w:val="24"/>
          <w:lang w:eastAsia="zh-CN"/>
        </w:rPr>
        <w:t>：</w:t>
      </w:r>
      <w:r>
        <w:rPr>
          <w:rStyle w:val="25"/>
          <w:rFonts w:hint="eastAsia" w:ascii="宋体" w:hAnsi="宋体" w:eastAsia="宋体" w:cs="Times New Roman"/>
          <w:color w:val="auto"/>
          <w:sz w:val="24"/>
          <w:lang w:val="en-US" w:eastAsia="zh-CN"/>
        </w:rPr>
        <w:t>谈判</w:t>
      </w:r>
      <w:r>
        <w:rPr>
          <w:rStyle w:val="25"/>
          <w:rFonts w:hint="eastAsia" w:ascii="宋体" w:hAnsi="宋体" w:eastAsia="宋体" w:cs="Times New Roman"/>
          <w:color w:val="auto"/>
          <w:sz w:val="24"/>
          <w:lang w:eastAsia="zh-CN"/>
        </w:rPr>
        <w:t>截止日起，</w:t>
      </w:r>
      <w:r>
        <w:rPr>
          <w:rStyle w:val="25"/>
          <w:rFonts w:hint="eastAsia" w:ascii="宋体" w:hAnsi="宋体" w:eastAsia="宋体" w:cs="Times New Roman"/>
          <w:color w:val="auto"/>
          <w:sz w:val="24"/>
          <w:lang w:val="en-US" w:eastAsia="zh-CN"/>
        </w:rPr>
        <w:t>谈判</w:t>
      </w:r>
      <w:r>
        <w:rPr>
          <w:rStyle w:val="25"/>
          <w:rFonts w:hint="eastAsia" w:ascii="宋体" w:hAnsi="宋体" w:eastAsia="宋体" w:cs="Times New Roman"/>
          <w:color w:val="auto"/>
          <w:sz w:val="24"/>
          <w:lang w:eastAsia="zh-CN"/>
        </w:rPr>
        <w:t>有效期为90天</w:t>
      </w:r>
    </w:p>
    <w:p>
      <w:pPr>
        <w:spacing w:line="480" w:lineRule="auto"/>
        <w:rPr>
          <w:rFonts w:ascii="宋体" w:hAnsi="宋体" w:cs="宋体"/>
          <w:b/>
          <w:bCs/>
          <w:sz w:val="24"/>
        </w:rPr>
      </w:pPr>
      <w:r>
        <w:rPr>
          <w:rFonts w:hint="eastAsia" w:ascii="宋体" w:hAnsi="宋体" w:cs="宋体"/>
          <w:b/>
          <w:bCs/>
          <w:sz w:val="24"/>
          <w:lang w:val="en-US" w:eastAsia="zh-CN"/>
        </w:rPr>
        <w:t>八、技</w:t>
      </w:r>
      <w:r>
        <w:rPr>
          <w:rFonts w:hint="eastAsia" w:ascii="宋体" w:hAnsi="宋体" w:cs="宋体"/>
          <w:b/>
          <w:bCs/>
          <w:sz w:val="24"/>
        </w:rPr>
        <w:t>术服务</w:t>
      </w:r>
    </w:p>
    <w:p>
      <w:pPr>
        <w:spacing w:line="480" w:lineRule="auto"/>
        <w:ind w:firstLine="480" w:firstLineChars="200"/>
        <w:rPr>
          <w:rFonts w:ascii="宋体" w:hAnsi="宋体" w:cs="宋体"/>
          <w:sz w:val="24"/>
        </w:rPr>
      </w:pPr>
      <w:r>
        <w:rPr>
          <w:rFonts w:hint="eastAsia" w:ascii="宋体" w:hAnsi="宋体" w:cs="宋体"/>
          <w:sz w:val="24"/>
        </w:rPr>
        <w:t>1、服务承诺：标书有明确的服务承诺。</w:t>
      </w:r>
    </w:p>
    <w:p>
      <w:pPr>
        <w:spacing w:line="480" w:lineRule="auto"/>
        <w:rPr>
          <w:rFonts w:ascii="宋体" w:hAnsi="宋体" w:cs="宋体"/>
          <w:b/>
          <w:bCs/>
          <w:sz w:val="24"/>
        </w:rPr>
      </w:pPr>
      <w:r>
        <w:rPr>
          <w:rFonts w:hint="eastAsia" w:ascii="宋体" w:hAnsi="宋体" w:cs="宋体"/>
          <w:b/>
          <w:bCs/>
          <w:sz w:val="24"/>
          <w:lang w:val="en-US" w:eastAsia="zh-CN"/>
        </w:rPr>
        <w:t>九</w:t>
      </w:r>
      <w:r>
        <w:rPr>
          <w:rFonts w:hint="eastAsia" w:ascii="宋体" w:hAnsi="宋体" w:cs="宋体"/>
          <w:b/>
          <w:bCs/>
          <w:sz w:val="24"/>
        </w:rPr>
        <w:t>、违约责任</w:t>
      </w:r>
    </w:p>
    <w:p>
      <w:pPr>
        <w:spacing w:line="520" w:lineRule="exact"/>
        <w:ind w:firstLine="480" w:firstLineChars="200"/>
        <w:rPr>
          <w:rFonts w:ascii="宋体" w:hAnsi="宋体" w:cs="宋体"/>
          <w:sz w:val="24"/>
        </w:rPr>
      </w:pPr>
      <w:r>
        <w:rPr>
          <w:rFonts w:hint="eastAsia" w:ascii="宋体" w:hAnsi="宋体" w:cs="宋体"/>
          <w:sz w:val="24"/>
        </w:rPr>
        <w:t>1、按</w:t>
      </w:r>
      <w:r>
        <w:rPr>
          <w:rFonts w:asciiTheme="majorEastAsia" w:hAnsiTheme="majorEastAsia" w:eastAsiaTheme="majorEastAsia"/>
          <w:kern w:val="0"/>
          <w:sz w:val="24"/>
        </w:rPr>
        <w:t>《中华人民共和国</w:t>
      </w:r>
      <w:r>
        <w:rPr>
          <w:rFonts w:hint="eastAsia" w:asciiTheme="majorEastAsia" w:hAnsiTheme="majorEastAsia" w:eastAsiaTheme="majorEastAsia"/>
          <w:kern w:val="0"/>
          <w:sz w:val="24"/>
        </w:rPr>
        <w:t>政府采购</w:t>
      </w:r>
      <w:r>
        <w:rPr>
          <w:rFonts w:asciiTheme="majorEastAsia" w:hAnsiTheme="majorEastAsia" w:eastAsiaTheme="majorEastAsia"/>
          <w:kern w:val="0"/>
          <w:sz w:val="24"/>
        </w:rPr>
        <w:t>法》</w:t>
      </w:r>
      <w:r>
        <w:rPr>
          <w:rFonts w:hint="eastAsia" w:asciiTheme="majorEastAsia" w:hAnsiTheme="majorEastAsia" w:eastAsiaTheme="majorEastAsia"/>
          <w:kern w:val="0"/>
          <w:sz w:val="24"/>
        </w:rPr>
        <w:t>、</w:t>
      </w:r>
      <w:r>
        <w:rPr>
          <w:rFonts w:asciiTheme="majorEastAsia" w:hAnsiTheme="majorEastAsia" w:eastAsiaTheme="majorEastAsia"/>
          <w:kern w:val="0"/>
          <w:sz w:val="24"/>
        </w:rPr>
        <w:t>《中华人民共和国</w:t>
      </w:r>
      <w:r>
        <w:rPr>
          <w:rFonts w:hint="eastAsia" w:asciiTheme="majorEastAsia" w:hAnsiTheme="majorEastAsia" w:eastAsiaTheme="majorEastAsia"/>
          <w:kern w:val="0"/>
          <w:sz w:val="24"/>
        </w:rPr>
        <w:t>民法典</w:t>
      </w:r>
      <w:r>
        <w:rPr>
          <w:rFonts w:asciiTheme="majorEastAsia" w:hAnsiTheme="majorEastAsia" w:eastAsiaTheme="majorEastAsia"/>
          <w:kern w:val="0"/>
          <w:sz w:val="24"/>
        </w:rPr>
        <w:t>》</w:t>
      </w:r>
      <w:r>
        <w:rPr>
          <w:rFonts w:hint="eastAsia" w:asciiTheme="majorEastAsia" w:hAnsiTheme="majorEastAsia" w:eastAsiaTheme="majorEastAsia"/>
          <w:kern w:val="0"/>
          <w:sz w:val="24"/>
        </w:rPr>
        <w:t>等相关法律、法规</w:t>
      </w:r>
      <w:r>
        <w:rPr>
          <w:rFonts w:hint="eastAsia" w:ascii="宋体" w:hAnsi="宋体" w:cs="宋体"/>
          <w:sz w:val="24"/>
        </w:rPr>
        <w:t>中的相关条款执行。</w:t>
      </w:r>
    </w:p>
    <w:p>
      <w:pPr>
        <w:spacing w:line="480" w:lineRule="auto"/>
        <w:ind w:firstLine="480" w:firstLineChars="200"/>
        <w:rPr>
          <w:rFonts w:ascii="宋体" w:hAnsi="宋体" w:cs="宋体"/>
          <w:sz w:val="24"/>
        </w:rPr>
      </w:pPr>
      <w:r>
        <w:rPr>
          <w:rFonts w:hint="eastAsia" w:ascii="宋体" w:hAnsi="宋体" w:cs="宋体"/>
          <w:sz w:val="24"/>
        </w:rPr>
        <w:t>2、未按合同要求提供产品质量不能满足技术要求，采购人同招标公司有权终止合同和对供方违约行为进行追究，同时按政府采购法的有关规定进行相应的处罚。</w:t>
      </w:r>
    </w:p>
    <w:bookmarkEnd w:id="295"/>
    <w:p>
      <w:pPr>
        <w:rPr>
          <w:rFonts w:hint="eastAsia" w:ascii="宋体" w:hAnsi="宋体" w:cs="宋体"/>
          <w:color w:val="auto"/>
          <w:sz w:val="32"/>
          <w:szCs w:val="32"/>
        </w:rPr>
      </w:pPr>
      <w:r>
        <w:rPr>
          <w:rFonts w:hint="eastAsia" w:ascii="宋体" w:hAnsi="宋体" w:cs="宋体"/>
          <w:color w:val="auto"/>
          <w:sz w:val="32"/>
          <w:szCs w:val="32"/>
        </w:rPr>
        <w:br w:type="page"/>
      </w:r>
    </w:p>
    <w:p>
      <w:pPr>
        <w:pStyle w:val="3"/>
        <w:spacing w:line="360" w:lineRule="auto"/>
        <w:jc w:val="center"/>
        <w:rPr>
          <w:rFonts w:ascii="宋体" w:hAnsi="宋体" w:cs="宋体"/>
          <w:color w:val="auto"/>
          <w:sz w:val="32"/>
          <w:szCs w:val="32"/>
        </w:rPr>
      </w:pPr>
      <w:bookmarkStart w:id="296" w:name="_Toc18444"/>
      <w:bookmarkStart w:id="297" w:name="_Toc11253"/>
      <w:bookmarkStart w:id="298" w:name="_Toc9204"/>
      <w:bookmarkStart w:id="299" w:name="_Toc28550"/>
      <w:r>
        <w:rPr>
          <w:rFonts w:hint="eastAsia" w:ascii="宋体" w:hAnsi="宋体" w:cs="宋体"/>
          <w:color w:val="auto"/>
          <w:sz w:val="32"/>
          <w:szCs w:val="32"/>
        </w:rPr>
        <w:t xml:space="preserve">第六部分 </w:t>
      </w:r>
      <w:r>
        <w:rPr>
          <w:rFonts w:hint="eastAsia" w:ascii="宋体" w:hAnsi="宋体" w:cs="宋体"/>
          <w:color w:val="auto"/>
          <w:sz w:val="32"/>
          <w:szCs w:val="32"/>
          <w:lang w:val="en-US" w:eastAsia="zh-CN"/>
        </w:rPr>
        <w:t xml:space="preserve"> </w:t>
      </w:r>
      <w:r>
        <w:rPr>
          <w:rFonts w:hint="eastAsia" w:ascii="宋体" w:hAnsi="宋体" w:cs="宋体"/>
          <w:color w:val="auto"/>
          <w:sz w:val="32"/>
          <w:szCs w:val="32"/>
        </w:rPr>
        <w:t>采购内容及要求</w:t>
      </w:r>
      <w:bookmarkEnd w:id="296"/>
      <w:bookmarkEnd w:id="297"/>
      <w:bookmarkEnd w:id="298"/>
      <w:bookmarkEnd w:id="299"/>
    </w:p>
    <w:p>
      <w:pPr>
        <w:spacing w:line="520" w:lineRule="exact"/>
        <w:ind w:firstLine="482" w:firstLineChars="200"/>
        <w:outlineLvl w:val="9"/>
        <w:rPr>
          <w:rFonts w:hint="eastAsia" w:ascii="宋体" w:hAnsi="宋体" w:cs="宋体"/>
          <w:b/>
          <w:bCs/>
          <w:kern w:val="0"/>
          <w:sz w:val="24"/>
          <w:szCs w:val="24"/>
        </w:rPr>
      </w:pPr>
      <w:r>
        <w:rPr>
          <w:rFonts w:hint="eastAsia" w:ascii="宋体" w:hAnsi="宋体" w:cs="宋体"/>
          <w:b/>
          <w:bCs/>
          <w:kern w:val="0"/>
          <w:sz w:val="24"/>
          <w:szCs w:val="24"/>
        </w:rPr>
        <w:t>编制目的：</w:t>
      </w:r>
    </w:p>
    <w:p>
      <w:pPr>
        <w:spacing w:line="520" w:lineRule="exact"/>
        <w:ind w:firstLine="480" w:firstLineChars="200"/>
        <w:outlineLvl w:val="9"/>
        <w:rPr>
          <w:rFonts w:hint="eastAsia" w:ascii="宋体" w:hAnsi="宋体" w:cs="宋体"/>
          <w:kern w:val="0"/>
          <w:sz w:val="24"/>
          <w:szCs w:val="24"/>
        </w:rPr>
      </w:pPr>
      <w:r>
        <w:rPr>
          <w:rFonts w:hint="eastAsia" w:ascii="宋体" w:hAnsi="宋体" w:cs="宋体"/>
          <w:kern w:val="0"/>
          <w:sz w:val="24"/>
          <w:szCs w:val="24"/>
        </w:rPr>
        <w:t>对项目建设的必要性、技术可行性、经济合理性和实施可能性进行综合性研究论证，为政府决策提供依据。</w:t>
      </w:r>
    </w:p>
    <w:p>
      <w:pPr>
        <w:autoSpaceDE w:val="0"/>
        <w:autoSpaceDN w:val="0"/>
        <w:snapToGrid w:val="0"/>
        <w:spacing w:line="520" w:lineRule="exact"/>
        <w:ind w:firstLine="482" w:firstLineChars="200"/>
        <w:textAlignment w:val="bottom"/>
        <w:outlineLvl w:val="9"/>
        <w:rPr>
          <w:rFonts w:hint="eastAsia" w:ascii="宋体" w:hAnsi="宋体" w:cs="宋体"/>
          <w:b/>
          <w:bCs/>
          <w:kern w:val="0"/>
          <w:sz w:val="24"/>
          <w:szCs w:val="24"/>
        </w:rPr>
      </w:pPr>
      <w:r>
        <w:rPr>
          <w:rFonts w:hint="eastAsia" w:ascii="宋体" w:hAnsi="宋体" w:cs="宋体"/>
          <w:b/>
          <w:bCs/>
          <w:kern w:val="0"/>
          <w:sz w:val="24"/>
          <w:szCs w:val="24"/>
        </w:rPr>
        <w:t>编制内容：</w:t>
      </w:r>
    </w:p>
    <w:p>
      <w:pPr>
        <w:spacing w:line="520" w:lineRule="exact"/>
        <w:ind w:firstLine="480" w:firstLineChars="200"/>
        <w:outlineLvl w:val="9"/>
        <w:rPr>
          <w:rFonts w:hint="eastAsia"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eastAsia="zh-CN"/>
        </w:rPr>
        <w:t>、</w:t>
      </w:r>
      <w:r>
        <w:rPr>
          <w:rFonts w:hint="eastAsia" w:ascii="宋体" w:hAnsi="宋体" w:cs="宋体"/>
          <w:kern w:val="0"/>
          <w:sz w:val="24"/>
          <w:szCs w:val="24"/>
        </w:rPr>
        <w:t>通过对项目沿线进行充分的调查研究，对可能的建设方案从技术、经济、安全、环境等方面进行综合比选论证，研究确定项目起、终点，提出推荐方案，明确建设规模，确定技术标准，估算项目投资，分析投资效益，编制工可报告。</w:t>
      </w:r>
    </w:p>
    <w:p>
      <w:pPr>
        <w:spacing w:line="520" w:lineRule="exact"/>
        <w:ind w:firstLine="480" w:firstLineChars="200"/>
        <w:outlineLvl w:val="9"/>
        <w:rPr>
          <w:rFonts w:ascii="宋体" w:hAnsi="宋体" w:cs="宋体"/>
          <w:b w:val="0"/>
          <w:bCs w:val="0"/>
          <w:color w:val="FF0000"/>
          <w:sz w:val="24"/>
          <w:szCs w:val="24"/>
          <w:highlight w:val="none"/>
        </w:rPr>
      </w:pPr>
      <w:r>
        <w:rPr>
          <w:rFonts w:hint="eastAsia" w:ascii="宋体" w:hAnsi="宋体" w:cs="宋体"/>
          <w:kern w:val="0"/>
          <w:sz w:val="24"/>
          <w:szCs w:val="24"/>
        </w:rPr>
        <w:t>2</w:t>
      </w:r>
      <w:r>
        <w:rPr>
          <w:rFonts w:hint="eastAsia" w:ascii="宋体" w:hAnsi="宋体" w:cs="宋体"/>
          <w:kern w:val="0"/>
          <w:sz w:val="24"/>
          <w:szCs w:val="24"/>
          <w:lang w:eastAsia="zh-CN"/>
        </w:rPr>
        <w:t>、</w:t>
      </w:r>
      <w:r>
        <w:rPr>
          <w:rFonts w:hint="eastAsia" w:ascii="宋体" w:hAnsi="宋体" w:cs="宋体"/>
          <w:kern w:val="0"/>
          <w:sz w:val="24"/>
          <w:szCs w:val="24"/>
        </w:rPr>
        <w:t>调查研究项目自然地理环境、影响区域经济社会及交通运输的现状与发展、交通量预测、建设的必要性、技术标准、建设条件、建设方案及规模、投资估算及资金筹措、经济评价、实施安排、土地利用评价、工程环境影响分析、节能评价、社会评价等，特殊复杂的重大项目，还应进行风险分析。</w:t>
      </w:r>
    </w:p>
    <w:p>
      <w:pPr>
        <w:spacing w:line="520" w:lineRule="exact"/>
        <w:ind w:firstLine="482" w:firstLineChars="200"/>
        <w:outlineLvl w:val="9"/>
        <w:rPr>
          <w:rFonts w:hint="eastAsia" w:ascii="宋体" w:hAnsi="宋体" w:cs="宋体"/>
          <w:kern w:val="0"/>
          <w:sz w:val="24"/>
          <w:szCs w:val="24"/>
        </w:rPr>
      </w:pPr>
      <w:r>
        <w:rPr>
          <w:rFonts w:hint="eastAsia" w:ascii="宋体" w:hAnsi="宋体" w:cs="宋体"/>
          <w:b/>
          <w:kern w:val="0"/>
          <w:sz w:val="24"/>
          <w:szCs w:val="24"/>
        </w:rPr>
        <w:t>应按下列要求完成可研编制工作</w:t>
      </w:r>
      <w:r>
        <w:rPr>
          <w:rFonts w:hint="eastAsia" w:ascii="宋体" w:hAnsi="宋体" w:cs="宋体"/>
          <w:kern w:val="0"/>
          <w:sz w:val="24"/>
          <w:szCs w:val="24"/>
        </w:rPr>
        <w:t>：</w:t>
      </w:r>
    </w:p>
    <w:p>
      <w:pPr>
        <w:spacing w:line="520" w:lineRule="exact"/>
        <w:ind w:right="185" w:rightChars="88" w:firstLine="480" w:firstLineChars="200"/>
        <w:outlineLvl w:val="9"/>
        <w:rPr>
          <w:rFonts w:hint="eastAsia" w:ascii="宋体" w:hAnsi="宋体" w:cs="宋体"/>
          <w:kern w:val="0"/>
          <w:sz w:val="24"/>
          <w:szCs w:val="24"/>
          <w:u w:val="none"/>
        </w:rPr>
      </w:pPr>
      <w:r>
        <w:rPr>
          <w:rFonts w:hint="eastAsia" w:ascii="宋体" w:hAnsi="宋体" w:cs="宋体"/>
          <w:kern w:val="0"/>
          <w:sz w:val="24"/>
          <w:szCs w:val="24"/>
          <w:u w:val="none"/>
          <w:lang w:val="en-US" w:eastAsia="zh-CN"/>
        </w:rPr>
        <w:t>1.</w:t>
      </w:r>
      <w:r>
        <w:rPr>
          <w:rFonts w:hint="eastAsia" w:ascii="宋体" w:hAnsi="宋体" w:cs="宋体"/>
          <w:kern w:val="0"/>
          <w:sz w:val="24"/>
          <w:szCs w:val="24"/>
          <w:u w:val="none"/>
        </w:rPr>
        <w:t>工程地点：陕西省榆林市</w:t>
      </w:r>
    </w:p>
    <w:p>
      <w:pPr>
        <w:spacing w:line="520" w:lineRule="exact"/>
        <w:ind w:right="185" w:rightChars="88" w:firstLine="480" w:firstLineChars="200"/>
        <w:outlineLvl w:val="9"/>
        <w:rPr>
          <w:rFonts w:hint="eastAsia" w:ascii="宋体" w:hAnsi="宋体" w:cs="宋体"/>
          <w:color w:val="000000"/>
          <w:kern w:val="0"/>
          <w:sz w:val="24"/>
          <w:szCs w:val="24"/>
          <w:u w:val="none"/>
        </w:rPr>
      </w:pPr>
      <w:r>
        <w:rPr>
          <w:rFonts w:hint="eastAsia" w:ascii="宋体" w:hAnsi="宋体" w:cs="宋体"/>
          <w:kern w:val="0"/>
          <w:sz w:val="24"/>
          <w:szCs w:val="24"/>
          <w:u w:val="none"/>
          <w:lang w:val="en-US" w:eastAsia="zh-CN"/>
        </w:rPr>
        <w:t>2.</w:t>
      </w:r>
      <w:r>
        <w:rPr>
          <w:rFonts w:hint="eastAsia" w:ascii="宋体" w:hAnsi="宋体" w:cs="宋体"/>
          <w:kern w:val="0"/>
          <w:sz w:val="24"/>
          <w:szCs w:val="24"/>
          <w:u w:val="none"/>
        </w:rPr>
        <w:t>编制期限：合同签订之日至获得有关政府部门可研报告批复之日。</w:t>
      </w:r>
    </w:p>
    <w:p>
      <w:pPr>
        <w:spacing w:line="520" w:lineRule="exact"/>
        <w:ind w:right="160" w:rightChars="76" w:firstLine="480" w:firstLineChars="200"/>
        <w:outlineLvl w:val="9"/>
        <w:rPr>
          <w:rFonts w:hint="eastAsia" w:ascii="宋体" w:hAnsi="宋体" w:cs="宋体"/>
          <w:kern w:val="0"/>
          <w:sz w:val="24"/>
          <w:szCs w:val="24"/>
          <w:u w:val="none"/>
        </w:rPr>
      </w:pPr>
      <w:r>
        <w:rPr>
          <w:rFonts w:hint="eastAsia" w:ascii="宋体" w:hAnsi="宋体" w:cs="宋体"/>
          <w:kern w:val="0"/>
          <w:sz w:val="24"/>
          <w:szCs w:val="24"/>
          <w:u w:val="none"/>
          <w:lang w:val="en-US" w:eastAsia="zh-CN"/>
        </w:rPr>
        <w:t>3.</w:t>
      </w:r>
      <w:r>
        <w:rPr>
          <w:rFonts w:hint="eastAsia" w:ascii="宋体" w:hAnsi="宋体" w:cs="宋体"/>
          <w:kern w:val="0"/>
          <w:sz w:val="24"/>
          <w:szCs w:val="24"/>
          <w:u w:val="none"/>
        </w:rPr>
        <w:t>编制进度：经双方协商后确定报告编制进度。</w:t>
      </w:r>
    </w:p>
    <w:p>
      <w:pPr>
        <w:spacing w:line="520" w:lineRule="exact"/>
        <w:ind w:left="158" w:leftChars="75" w:right="160" w:rightChars="76" w:firstLine="331" w:firstLineChars="138"/>
        <w:outlineLvl w:val="9"/>
        <w:rPr>
          <w:rFonts w:hint="eastAsia" w:ascii="宋体" w:hAnsi="宋体" w:cs="宋体"/>
          <w:kern w:val="0"/>
          <w:sz w:val="24"/>
          <w:szCs w:val="24"/>
          <w:u w:val="none"/>
        </w:rPr>
      </w:pPr>
      <w:r>
        <w:rPr>
          <w:rFonts w:hint="eastAsia" w:ascii="宋体" w:hAnsi="宋体" w:cs="宋体"/>
          <w:kern w:val="0"/>
          <w:sz w:val="24"/>
          <w:szCs w:val="24"/>
          <w:u w:val="none"/>
          <w:lang w:val="en-US" w:eastAsia="zh-CN"/>
        </w:rPr>
        <w:t>4.</w:t>
      </w:r>
      <w:r>
        <w:rPr>
          <w:rFonts w:hint="eastAsia" w:ascii="宋体" w:hAnsi="宋体" w:cs="宋体"/>
          <w:kern w:val="0"/>
          <w:sz w:val="24"/>
          <w:szCs w:val="24"/>
          <w:u w:val="none"/>
        </w:rPr>
        <w:t>质量要求：报告内容达到国家规定的可行性报告编制深度要求，质量符合要求，并通过相关部门组织的专家评审，成为初步设计遵循的依据。</w:t>
      </w:r>
    </w:p>
    <w:p>
      <w:pPr>
        <w:spacing w:line="520" w:lineRule="exact"/>
        <w:ind w:firstLine="472" w:firstLineChars="196"/>
        <w:outlineLvl w:val="9"/>
        <w:rPr>
          <w:rFonts w:hint="eastAsia" w:ascii="宋体" w:hAnsi="宋体" w:cs="宋体"/>
          <w:b/>
          <w:bCs/>
          <w:kern w:val="0"/>
          <w:sz w:val="24"/>
          <w:szCs w:val="24"/>
        </w:rPr>
      </w:pPr>
      <w:r>
        <w:rPr>
          <w:rFonts w:hint="eastAsia" w:ascii="宋体" w:hAnsi="宋体" w:cs="宋体"/>
          <w:b/>
          <w:bCs/>
          <w:kern w:val="0"/>
          <w:sz w:val="24"/>
          <w:szCs w:val="24"/>
        </w:rPr>
        <w:t>提交报告要求</w:t>
      </w:r>
    </w:p>
    <w:p>
      <w:pPr>
        <w:spacing w:line="520" w:lineRule="exact"/>
        <w:ind w:firstLine="480" w:firstLineChars="200"/>
        <w:outlineLvl w:val="9"/>
        <w:rPr>
          <w:rFonts w:hint="eastAsia" w:ascii="Times New Roman" w:hAnsi="Times New Roman"/>
          <w:kern w:val="0"/>
          <w:sz w:val="24"/>
          <w:szCs w:val="24"/>
        </w:rPr>
      </w:pPr>
      <w:r>
        <w:rPr>
          <w:rFonts w:ascii="Times New Roman" w:hAnsi="Times New Roman"/>
          <w:kern w:val="0"/>
          <w:sz w:val="24"/>
          <w:szCs w:val="24"/>
        </w:rPr>
        <w:t>乙方</w:t>
      </w:r>
      <w:r>
        <w:rPr>
          <w:rFonts w:hint="eastAsia" w:ascii="Times New Roman" w:hAnsi="Times New Roman"/>
          <w:kern w:val="0"/>
          <w:sz w:val="24"/>
          <w:szCs w:val="24"/>
        </w:rPr>
        <w:t>按</w:t>
      </w:r>
      <w:r>
        <w:rPr>
          <w:rFonts w:ascii="Times New Roman" w:hAnsi="Times New Roman"/>
          <w:kern w:val="0"/>
          <w:sz w:val="24"/>
          <w:szCs w:val="24"/>
        </w:rPr>
        <w:t>甲方</w:t>
      </w:r>
      <w:r>
        <w:rPr>
          <w:rFonts w:hint="eastAsia" w:ascii="Times New Roman" w:hAnsi="Times New Roman"/>
          <w:kern w:val="0"/>
          <w:sz w:val="24"/>
          <w:szCs w:val="24"/>
        </w:rPr>
        <w:t>需求向甲方</w:t>
      </w:r>
      <w:r>
        <w:rPr>
          <w:rFonts w:ascii="Times New Roman" w:hAnsi="Times New Roman"/>
          <w:kern w:val="0"/>
          <w:sz w:val="24"/>
          <w:szCs w:val="24"/>
        </w:rPr>
        <w:t>提交工程可行性研究报告（送审稿），待审查修改后提交正式报告。</w:t>
      </w:r>
    </w:p>
    <w:p>
      <w:r>
        <w:br w:type="page"/>
      </w:r>
    </w:p>
    <w:p>
      <w:pPr>
        <w:pStyle w:val="3"/>
        <w:spacing w:line="240" w:lineRule="auto"/>
        <w:jc w:val="center"/>
        <w:rPr>
          <w:rFonts w:ascii="宋体" w:hAnsi="宋体" w:cs="宋体"/>
          <w:bCs/>
          <w:sz w:val="24"/>
          <w:szCs w:val="24"/>
        </w:rPr>
      </w:pPr>
      <w:bookmarkStart w:id="300" w:name="_Toc28145"/>
      <w:bookmarkStart w:id="301" w:name="_Toc15720"/>
      <w:bookmarkStart w:id="302" w:name="_Toc3969"/>
      <w:bookmarkStart w:id="303" w:name="_Toc31867"/>
      <w:bookmarkStart w:id="304" w:name="_Toc13760"/>
      <w:r>
        <w:rPr>
          <w:rFonts w:hint="eastAsia" w:ascii="宋体" w:hAnsi="宋体" w:cs="宋体"/>
          <w:sz w:val="36"/>
          <w:szCs w:val="22"/>
        </w:rPr>
        <w:t xml:space="preserve">第七部分 </w:t>
      </w:r>
      <w:r>
        <w:rPr>
          <w:rFonts w:hint="eastAsia" w:ascii="宋体" w:hAnsi="宋体" w:cs="宋体"/>
          <w:sz w:val="36"/>
          <w:szCs w:val="22"/>
          <w:lang w:val="en-US" w:eastAsia="zh-CN"/>
        </w:rPr>
        <w:t xml:space="preserve"> </w:t>
      </w:r>
      <w:r>
        <w:rPr>
          <w:rFonts w:hint="eastAsia" w:ascii="宋体" w:hAnsi="宋体" w:cs="宋体"/>
          <w:sz w:val="36"/>
          <w:szCs w:val="22"/>
        </w:rPr>
        <w:t>评审方法</w:t>
      </w:r>
      <w:bookmarkEnd w:id="300"/>
      <w:bookmarkEnd w:id="301"/>
      <w:bookmarkEnd w:id="302"/>
      <w:bookmarkEnd w:id="303"/>
      <w:bookmarkEnd w:id="304"/>
    </w:p>
    <w:p>
      <w:pPr>
        <w:spacing w:line="360" w:lineRule="auto"/>
        <w:outlineLvl w:val="9"/>
        <w:rPr>
          <w:rFonts w:ascii="宋体" w:hAnsi="宋体" w:cs="宋体"/>
          <w:b/>
          <w:bCs/>
          <w:sz w:val="24"/>
          <w:szCs w:val="24"/>
        </w:rPr>
      </w:pPr>
      <w:r>
        <w:rPr>
          <w:rFonts w:hint="eastAsia" w:ascii="宋体" w:hAnsi="宋体" w:cs="宋体"/>
          <w:b/>
          <w:bCs/>
          <w:sz w:val="24"/>
          <w:szCs w:val="24"/>
        </w:rPr>
        <w:t>一、评审方法</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按照中华人民共和国财政部令第 74 号--《政府采购非招标采购方式管理办法》</w:t>
      </w:r>
    </w:p>
    <w:p>
      <w:pPr>
        <w:spacing w:line="360" w:lineRule="auto"/>
        <w:outlineLvl w:val="9"/>
        <w:rPr>
          <w:rFonts w:ascii="宋体" w:hAnsi="宋体" w:cs="宋体"/>
          <w:sz w:val="24"/>
          <w:szCs w:val="24"/>
        </w:rPr>
      </w:pPr>
      <w:r>
        <w:rPr>
          <w:rFonts w:hint="eastAsia" w:ascii="宋体" w:hAnsi="宋体" w:cs="宋体"/>
          <w:sz w:val="24"/>
          <w:szCs w:val="24"/>
        </w:rPr>
        <w:t>的规定，本次评审采用最低评标价法，即质量和服务均能满足谈判文件要求的供应</w:t>
      </w:r>
    </w:p>
    <w:p>
      <w:pPr>
        <w:spacing w:line="360" w:lineRule="auto"/>
        <w:outlineLvl w:val="9"/>
        <w:rPr>
          <w:rFonts w:ascii="宋体" w:hAnsi="宋体" w:cs="宋体"/>
          <w:sz w:val="24"/>
          <w:szCs w:val="24"/>
        </w:rPr>
      </w:pPr>
      <w:r>
        <w:rPr>
          <w:rFonts w:hint="eastAsia" w:ascii="宋体" w:hAnsi="宋体" w:cs="宋体"/>
          <w:sz w:val="24"/>
          <w:szCs w:val="24"/>
        </w:rPr>
        <w:t>商中，按照最后报价由低到高的顺序依次排序，推荐成交候选人。</w:t>
      </w:r>
    </w:p>
    <w:p>
      <w:pPr>
        <w:spacing w:line="360" w:lineRule="auto"/>
        <w:outlineLvl w:val="9"/>
        <w:rPr>
          <w:rFonts w:ascii="宋体" w:hAnsi="宋体" w:cs="宋体"/>
          <w:b/>
          <w:bCs/>
          <w:sz w:val="24"/>
          <w:szCs w:val="24"/>
        </w:rPr>
      </w:pPr>
      <w:r>
        <w:rPr>
          <w:rFonts w:hint="eastAsia" w:ascii="宋体" w:hAnsi="宋体" w:cs="宋体"/>
          <w:b/>
          <w:bCs/>
          <w:sz w:val="24"/>
          <w:szCs w:val="24"/>
        </w:rPr>
        <w:t>二、评审程序</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按照资格审查、符合性审查、谈判、最终报价推荐成交候选单位等步骤进行评审，</w:t>
      </w:r>
    </w:p>
    <w:p>
      <w:pPr>
        <w:spacing w:line="360" w:lineRule="auto"/>
        <w:outlineLvl w:val="9"/>
        <w:rPr>
          <w:rFonts w:ascii="宋体" w:hAnsi="宋体" w:cs="宋体"/>
          <w:sz w:val="24"/>
          <w:szCs w:val="24"/>
        </w:rPr>
      </w:pPr>
      <w:r>
        <w:rPr>
          <w:rFonts w:hint="eastAsia" w:ascii="宋体" w:hAnsi="宋体" w:cs="宋体"/>
          <w:sz w:val="24"/>
          <w:szCs w:val="24"/>
        </w:rPr>
        <w:t>资格性审查由采购人和代理机构共同审查，符合性审查由谈判小组审查。在上一步评审中被废标者，不进入下一步的评审。</w:t>
      </w:r>
    </w:p>
    <w:p>
      <w:pPr>
        <w:spacing w:line="360" w:lineRule="auto"/>
        <w:outlineLvl w:val="9"/>
        <w:rPr>
          <w:rFonts w:ascii="宋体" w:hAnsi="宋体" w:cs="宋体"/>
          <w:sz w:val="24"/>
          <w:szCs w:val="24"/>
        </w:rPr>
      </w:pPr>
      <w:r>
        <w:rPr>
          <w:rFonts w:hint="eastAsia" w:ascii="宋体" w:hAnsi="宋体" w:cs="宋体"/>
          <w:sz w:val="24"/>
          <w:szCs w:val="24"/>
        </w:rPr>
        <w:t>1、对竞争性谈判响应文件的符合性审查：</w:t>
      </w:r>
    </w:p>
    <w:p>
      <w:pPr>
        <w:spacing w:line="360" w:lineRule="auto"/>
        <w:outlineLvl w:val="9"/>
        <w:rPr>
          <w:rFonts w:ascii="宋体" w:hAnsi="宋体" w:cs="宋体"/>
          <w:sz w:val="24"/>
          <w:szCs w:val="24"/>
        </w:rPr>
      </w:pPr>
      <w:r>
        <w:rPr>
          <w:rFonts w:hint="eastAsia" w:ascii="宋体" w:hAnsi="宋体" w:cs="宋体"/>
          <w:sz w:val="24"/>
          <w:szCs w:val="24"/>
        </w:rPr>
        <w:t>按照以下内容对竞争性谈判响应文件符合性审查，一项不合格其投标即为无效投标。</w:t>
      </w:r>
    </w:p>
    <w:tbl>
      <w:tblPr>
        <w:tblStyle w:val="14"/>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973"/>
        <w:gridCol w:w="5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noWrap w:val="0"/>
            <w:vAlign w:val="center"/>
          </w:tcPr>
          <w:p>
            <w:pPr>
              <w:jc w:val="center"/>
              <w:outlineLvl w:val="9"/>
              <w:rPr>
                <w:rFonts w:ascii="宋体" w:hAnsi="宋体" w:cs="宋体"/>
                <w:b/>
                <w:bCs/>
                <w:sz w:val="24"/>
                <w:szCs w:val="24"/>
              </w:rPr>
            </w:pPr>
            <w:r>
              <w:rPr>
                <w:rFonts w:hint="eastAsia" w:ascii="宋体" w:hAnsi="宋体" w:cs="宋体"/>
                <w:b/>
                <w:bCs/>
                <w:sz w:val="24"/>
                <w:szCs w:val="24"/>
              </w:rPr>
              <w:t>序号</w:t>
            </w:r>
          </w:p>
        </w:tc>
        <w:tc>
          <w:tcPr>
            <w:tcW w:w="2973" w:type="dxa"/>
            <w:noWrap w:val="0"/>
            <w:vAlign w:val="center"/>
          </w:tcPr>
          <w:p>
            <w:pPr>
              <w:jc w:val="center"/>
              <w:outlineLvl w:val="9"/>
              <w:rPr>
                <w:rFonts w:ascii="宋体" w:hAnsi="宋体" w:cs="宋体"/>
                <w:b/>
                <w:bCs/>
                <w:sz w:val="24"/>
                <w:szCs w:val="24"/>
              </w:rPr>
            </w:pPr>
            <w:r>
              <w:rPr>
                <w:rFonts w:hint="eastAsia" w:ascii="宋体" w:hAnsi="宋体" w:cs="宋体"/>
                <w:b/>
                <w:bCs/>
                <w:sz w:val="24"/>
                <w:szCs w:val="24"/>
              </w:rPr>
              <w:t>评审名称</w:t>
            </w:r>
          </w:p>
        </w:tc>
        <w:tc>
          <w:tcPr>
            <w:tcW w:w="5536" w:type="dxa"/>
            <w:noWrap w:val="0"/>
            <w:vAlign w:val="center"/>
          </w:tcPr>
          <w:p>
            <w:pPr>
              <w:jc w:val="center"/>
              <w:outlineLvl w:val="9"/>
              <w:rPr>
                <w:rFonts w:ascii="宋体" w:hAnsi="宋体" w:cs="宋体"/>
                <w:b/>
                <w:bCs/>
                <w:sz w:val="24"/>
                <w:szCs w:val="24"/>
              </w:rPr>
            </w:pPr>
            <w:r>
              <w:rPr>
                <w:rFonts w:hint="eastAsia" w:ascii="宋体" w:hAnsi="宋体" w:cs="宋体"/>
                <w:b/>
                <w:bCs/>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pPr>
              <w:jc w:val="center"/>
              <w:outlineLvl w:val="9"/>
              <w:rPr>
                <w:rFonts w:ascii="宋体" w:hAnsi="宋体" w:cs="宋体"/>
                <w:sz w:val="24"/>
                <w:szCs w:val="24"/>
              </w:rPr>
            </w:pPr>
            <w:r>
              <w:rPr>
                <w:rFonts w:hint="eastAsia" w:ascii="宋体" w:hAnsi="宋体" w:cs="宋体"/>
                <w:sz w:val="24"/>
                <w:szCs w:val="24"/>
              </w:rPr>
              <w:t>1</w:t>
            </w:r>
          </w:p>
        </w:tc>
        <w:tc>
          <w:tcPr>
            <w:tcW w:w="2973" w:type="dxa"/>
            <w:noWrap w:val="0"/>
            <w:vAlign w:val="center"/>
          </w:tcPr>
          <w:p>
            <w:pPr>
              <w:jc w:val="center"/>
              <w:outlineLvl w:val="9"/>
              <w:rPr>
                <w:rFonts w:ascii="宋体" w:hAnsi="宋体" w:cs="宋体"/>
                <w:sz w:val="24"/>
                <w:szCs w:val="24"/>
              </w:rPr>
            </w:pPr>
            <w:r>
              <w:rPr>
                <w:rFonts w:hint="eastAsia" w:ascii="宋体" w:hAnsi="宋体" w:cs="宋体"/>
                <w:sz w:val="24"/>
                <w:szCs w:val="24"/>
              </w:rPr>
              <w:t>响应函签署、盖章</w:t>
            </w:r>
          </w:p>
        </w:tc>
        <w:tc>
          <w:tcPr>
            <w:tcW w:w="5536" w:type="dxa"/>
            <w:noWrap w:val="0"/>
            <w:vAlign w:val="center"/>
          </w:tcPr>
          <w:p>
            <w:pPr>
              <w:outlineLvl w:val="9"/>
              <w:rPr>
                <w:rFonts w:ascii="宋体" w:hAnsi="宋体" w:cs="宋体"/>
                <w:sz w:val="24"/>
                <w:szCs w:val="24"/>
              </w:rPr>
            </w:pPr>
            <w:r>
              <w:rPr>
                <w:rFonts w:hint="eastAsia" w:ascii="宋体" w:hAnsi="宋体" w:cs="宋体"/>
                <w:sz w:val="24"/>
                <w:szCs w:val="24"/>
              </w:rPr>
              <w:t>谈判函加盖投标人公章，且经法定代表人或其授权代表签字或盖章的。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778" w:type="dxa"/>
            <w:noWrap w:val="0"/>
            <w:vAlign w:val="center"/>
          </w:tcPr>
          <w:p>
            <w:pPr>
              <w:jc w:val="center"/>
              <w:outlineLvl w:val="9"/>
              <w:rPr>
                <w:rFonts w:ascii="宋体" w:hAnsi="宋体" w:cs="宋体"/>
                <w:sz w:val="24"/>
                <w:szCs w:val="24"/>
              </w:rPr>
            </w:pPr>
            <w:r>
              <w:rPr>
                <w:rFonts w:hint="eastAsia" w:ascii="宋体" w:hAnsi="宋体" w:cs="宋体"/>
                <w:sz w:val="24"/>
                <w:szCs w:val="24"/>
              </w:rPr>
              <w:t>2</w:t>
            </w:r>
          </w:p>
        </w:tc>
        <w:tc>
          <w:tcPr>
            <w:tcW w:w="2973" w:type="dxa"/>
            <w:noWrap w:val="0"/>
            <w:vAlign w:val="center"/>
          </w:tcPr>
          <w:p>
            <w:pPr>
              <w:jc w:val="center"/>
              <w:outlineLvl w:val="9"/>
              <w:rPr>
                <w:rFonts w:ascii="宋体" w:hAnsi="宋体" w:cs="宋体"/>
                <w:sz w:val="24"/>
                <w:szCs w:val="24"/>
              </w:rPr>
            </w:pPr>
            <w:r>
              <w:rPr>
                <w:rFonts w:hint="eastAsia" w:ascii="宋体" w:hAnsi="宋体" w:cs="宋体"/>
                <w:sz w:val="24"/>
                <w:szCs w:val="24"/>
                <w:lang w:val="en-US" w:eastAsia="zh-CN"/>
              </w:rPr>
              <w:t>谈判</w:t>
            </w:r>
            <w:r>
              <w:rPr>
                <w:rFonts w:hint="eastAsia" w:ascii="宋体" w:hAnsi="宋体" w:cs="宋体"/>
                <w:sz w:val="24"/>
                <w:szCs w:val="24"/>
              </w:rPr>
              <w:t>保证金</w:t>
            </w:r>
          </w:p>
        </w:tc>
        <w:tc>
          <w:tcPr>
            <w:tcW w:w="5536" w:type="dxa"/>
            <w:noWrap w:val="0"/>
            <w:vAlign w:val="center"/>
          </w:tcPr>
          <w:p>
            <w:pPr>
              <w:outlineLvl w:val="9"/>
              <w:rPr>
                <w:rFonts w:ascii="宋体" w:hAnsi="宋体" w:cs="宋体"/>
                <w:sz w:val="24"/>
                <w:szCs w:val="24"/>
              </w:rPr>
            </w:pPr>
            <w:r>
              <w:rPr>
                <w:rFonts w:hint="eastAsia" w:ascii="宋体" w:hAnsi="宋体" w:eastAsia="宋体" w:cs="宋体"/>
                <w:kern w:val="2"/>
                <w:sz w:val="24"/>
                <w:szCs w:val="24"/>
                <w:lang w:val="en-US" w:eastAsia="zh-CN" w:bidi="ar-SA"/>
              </w:rPr>
              <w:t>信用承诺书代替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778" w:type="dxa"/>
            <w:noWrap w:val="0"/>
            <w:vAlign w:val="center"/>
          </w:tcPr>
          <w:p>
            <w:pPr>
              <w:jc w:val="center"/>
              <w:outlineLvl w:val="9"/>
              <w:rPr>
                <w:rFonts w:ascii="宋体" w:hAnsi="宋体" w:cs="宋体"/>
                <w:sz w:val="24"/>
                <w:szCs w:val="24"/>
              </w:rPr>
            </w:pPr>
            <w:r>
              <w:rPr>
                <w:rFonts w:hint="eastAsia" w:ascii="宋体" w:hAnsi="宋体" w:cs="宋体"/>
                <w:sz w:val="24"/>
                <w:szCs w:val="24"/>
              </w:rPr>
              <w:t>3</w:t>
            </w:r>
          </w:p>
        </w:tc>
        <w:tc>
          <w:tcPr>
            <w:tcW w:w="2973" w:type="dxa"/>
            <w:noWrap w:val="0"/>
            <w:vAlign w:val="center"/>
          </w:tcPr>
          <w:p>
            <w:pPr>
              <w:jc w:val="center"/>
              <w:outlineLvl w:val="9"/>
              <w:rPr>
                <w:rFonts w:ascii="宋体" w:hAnsi="宋体" w:cs="宋体"/>
                <w:sz w:val="24"/>
                <w:szCs w:val="24"/>
              </w:rPr>
            </w:pPr>
            <w:r>
              <w:rPr>
                <w:rFonts w:hint="eastAsia" w:ascii="宋体" w:hAnsi="宋体" w:cs="宋体"/>
                <w:sz w:val="24"/>
                <w:szCs w:val="24"/>
              </w:rPr>
              <w:t>法定代表人授权书</w:t>
            </w:r>
          </w:p>
        </w:tc>
        <w:tc>
          <w:tcPr>
            <w:tcW w:w="5536" w:type="dxa"/>
            <w:noWrap w:val="0"/>
            <w:vAlign w:val="center"/>
          </w:tcPr>
          <w:p>
            <w:pPr>
              <w:outlineLvl w:val="9"/>
              <w:rPr>
                <w:rFonts w:ascii="宋体" w:hAnsi="宋体" w:cs="宋体"/>
                <w:sz w:val="24"/>
                <w:szCs w:val="24"/>
              </w:rPr>
            </w:pPr>
            <w:r>
              <w:rPr>
                <w:rFonts w:hint="eastAsia" w:ascii="宋体" w:hAnsi="宋体" w:cs="宋体"/>
                <w:sz w:val="24"/>
                <w:szCs w:val="24"/>
              </w:rPr>
              <w:t>谈判响应文件有法定代表人授权书（法人直接投标除外）且授权书的合法性和有效性符合竞争性谈判文件规定的。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778" w:type="dxa"/>
            <w:noWrap w:val="0"/>
            <w:vAlign w:val="center"/>
          </w:tcPr>
          <w:p>
            <w:pPr>
              <w:jc w:val="center"/>
              <w:outlineLvl w:val="9"/>
              <w:rPr>
                <w:rFonts w:ascii="宋体" w:hAnsi="宋体" w:cs="宋体"/>
                <w:sz w:val="24"/>
                <w:szCs w:val="24"/>
              </w:rPr>
            </w:pPr>
            <w:r>
              <w:rPr>
                <w:rFonts w:hint="eastAsia" w:ascii="宋体" w:hAnsi="宋体" w:cs="宋体"/>
                <w:sz w:val="24"/>
                <w:szCs w:val="24"/>
              </w:rPr>
              <w:t>4</w:t>
            </w:r>
          </w:p>
        </w:tc>
        <w:tc>
          <w:tcPr>
            <w:tcW w:w="2973" w:type="dxa"/>
            <w:noWrap w:val="0"/>
            <w:vAlign w:val="center"/>
          </w:tcPr>
          <w:p>
            <w:pPr>
              <w:jc w:val="center"/>
              <w:outlineLvl w:val="9"/>
              <w:rPr>
                <w:rFonts w:ascii="宋体" w:hAnsi="宋体" w:cs="宋体"/>
                <w:sz w:val="24"/>
                <w:szCs w:val="24"/>
              </w:rPr>
            </w:pPr>
            <w:r>
              <w:rPr>
                <w:rFonts w:hint="eastAsia" w:ascii="宋体" w:hAnsi="宋体" w:cs="宋体"/>
                <w:sz w:val="24"/>
                <w:szCs w:val="24"/>
              </w:rPr>
              <w:t>谈判文件签署、盖章及投标有效期</w:t>
            </w:r>
          </w:p>
        </w:tc>
        <w:tc>
          <w:tcPr>
            <w:tcW w:w="5536" w:type="dxa"/>
            <w:noWrap w:val="0"/>
            <w:vAlign w:val="center"/>
          </w:tcPr>
          <w:p>
            <w:pPr>
              <w:outlineLvl w:val="9"/>
              <w:rPr>
                <w:rFonts w:ascii="宋体" w:hAnsi="宋体" w:cs="宋体"/>
                <w:sz w:val="24"/>
                <w:szCs w:val="24"/>
              </w:rPr>
            </w:pPr>
            <w:r>
              <w:rPr>
                <w:rFonts w:hint="eastAsia" w:ascii="宋体" w:hAnsi="宋体" w:cs="宋体"/>
                <w:sz w:val="24"/>
                <w:szCs w:val="24"/>
              </w:rPr>
              <w:t>谈判响应文件按竞争性谈判文件规定要求装订、签署、盖章的,投标有效期达到竞争性谈判文件要求的。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778" w:type="dxa"/>
            <w:noWrap w:val="0"/>
            <w:vAlign w:val="center"/>
          </w:tcPr>
          <w:p>
            <w:pPr>
              <w:jc w:val="center"/>
              <w:outlineLvl w:val="9"/>
              <w:rPr>
                <w:rFonts w:ascii="宋体" w:hAnsi="宋体" w:cs="宋体"/>
                <w:sz w:val="24"/>
                <w:szCs w:val="24"/>
              </w:rPr>
            </w:pPr>
            <w:r>
              <w:rPr>
                <w:rFonts w:hint="eastAsia" w:ascii="宋体" w:hAnsi="宋体" w:cs="宋体"/>
                <w:sz w:val="24"/>
                <w:szCs w:val="24"/>
              </w:rPr>
              <w:t>5</w:t>
            </w:r>
          </w:p>
        </w:tc>
        <w:tc>
          <w:tcPr>
            <w:tcW w:w="2973" w:type="dxa"/>
            <w:noWrap w:val="0"/>
            <w:vAlign w:val="center"/>
          </w:tcPr>
          <w:p>
            <w:pPr>
              <w:jc w:val="center"/>
              <w:outlineLvl w:val="9"/>
              <w:rPr>
                <w:rFonts w:ascii="宋体" w:hAnsi="宋体" w:cs="宋体"/>
                <w:sz w:val="24"/>
                <w:szCs w:val="24"/>
              </w:rPr>
            </w:pPr>
            <w:r>
              <w:rPr>
                <w:rFonts w:hint="eastAsia" w:ascii="宋体" w:hAnsi="宋体" w:cs="宋体"/>
                <w:sz w:val="24"/>
                <w:szCs w:val="24"/>
              </w:rPr>
              <w:t>谈判响应文件编写</w:t>
            </w:r>
          </w:p>
        </w:tc>
        <w:tc>
          <w:tcPr>
            <w:tcW w:w="5536" w:type="dxa"/>
            <w:noWrap w:val="0"/>
            <w:vAlign w:val="center"/>
          </w:tcPr>
          <w:p>
            <w:pPr>
              <w:outlineLvl w:val="9"/>
              <w:rPr>
                <w:rFonts w:ascii="宋体" w:hAnsi="宋体" w:cs="宋体"/>
                <w:sz w:val="24"/>
                <w:szCs w:val="24"/>
              </w:rPr>
            </w:pPr>
            <w:r>
              <w:rPr>
                <w:rFonts w:hint="eastAsia" w:ascii="宋体" w:hAnsi="宋体" w:cs="宋体"/>
                <w:sz w:val="24"/>
                <w:szCs w:val="24"/>
              </w:rPr>
              <w:t>谈判响应文件按照竞争性谈判文件要求的格式编写及谈判响应文件的关键内容字迹清晰、可辨认的。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pPr>
              <w:jc w:val="center"/>
              <w:outlineLvl w:val="9"/>
              <w:rPr>
                <w:rFonts w:ascii="宋体" w:hAnsi="宋体" w:cs="宋体"/>
                <w:sz w:val="24"/>
                <w:szCs w:val="24"/>
              </w:rPr>
            </w:pPr>
            <w:r>
              <w:rPr>
                <w:rFonts w:hint="eastAsia" w:ascii="宋体" w:hAnsi="宋体" w:cs="宋体"/>
                <w:sz w:val="24"/>
                <w:szCs w:val="24"/>
              </w:rPr>
              <w:t>6</w:t>
            </w:r>
          </w:p>
        </w:tc>
        <w:tc>
          <w:tcPr>
            <w:tcW w:w="2973" w:type="dxa"/>
            <w:noWrap w:val="0"/>
            <w:vAlign w:val="center"/>
          </w:tcPr>
          <w:p>
            <w:pPr>
              <w:jc w:val="center"/>
              <w:outlineLvl w:val="9"/>
              <w:rPr>
                <w:rFonts w:ascii="宋体" w:hAnsi="宋体" w:cs="宋体"/>
                <w:sz w:val="24"/>
                <w:szCs w:val="24"/>
              </w:rPr>
            </w:pPr>
            <w:r>
              <w:rPr>
                <w:rFonts w:hint="eastAsia" w:ascii="宋体" w:hAnsi="宋体" w:cs="宋体"/>
                <w:sz w:val="24"/>
                <w:szCs w:val="24"/>
              </w:rPr>
              <w:t>虚假材料</w:t>
            </w:r>
          </w:p>
        </w:tc>
        <w:tc>
          <w:tcPr>
            <w:tcW w:w="5536" w:type="dxa"/>
            <w:noWrap w:val="0"/>
            <w:vAlign w:val="center"/>
          </w:tcPr>
          <w:p>
            <w:pPr>
              <w:outlineLvl w:val="9"/>
              <w:rPr>
                <w:rFonts w:ascii="宋体" w:hAnsi="宋体" w:cs="宋体"/>
                <w:sz w:val="24"/>
                <w:szCs w:val="24"/>
              </w:rPr>
            </w:pPr>
            <w:r>
              <w:rPr>
                <w:rFonts w:hint="eastAsia" w:ascii="宋体" w:hAnsi="宋体" w:cs="宋体"/>
                <w:sz w:val="24"/>
                <w:szCs w:val="24"/>
              </w:rPr>
              <w:t>未提供虚假证明（包括第三方提供的虚假证明），未开具虚假资质，未出现虚假应答。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778" w:type="dxa"/>
            <w:noWrap w:val="0"/>
            <w:vAlign w:val="center"/>
          </w:tcPr>
          <w:p>
            <w:pPr>
              <w:jc w:val="center"/>
              <w:outlineLvl w:val="9"/>
              <w:rPr>
                <w:rFonts w:ascii="宋体" w:hAnsi="宋体" w:cs="宋体"/>
                <w:sz w:val="24"/>
                <w:szCs w:val="24"/>
              </w:rPr>
            </w:pPr>
            <w:r>
              <w:rPr>
                <w:rFonts w:hint="eastAsia" w:ascii="宋体" w:hAnsi="宋体" w:cs="宋体"/>
                <w:sz w:val="24"/>
                <w:szCs w:val="24"/>
              </w:rPr>
              <w:t>7</w:t>
            </w:r>
          </w:p>
        </w:tc>
        <w:tc>
          <w:tcPr>
            <w:tcW w:w="2973" w:type="dxa"/>
            <w:noWrap w:val="0"/>
            <w:vAlign w:val="center"/>
          </w:tcPr>
          <w:p>
            <w:pPr>
              <w:jc w:val="center"/>
              <w:outlineLvl w:val="9"/>
              <w:rPr>
                <w:rFonts w:ascii="宋体" w:hAnsi="宋体" w:cs="宋体"/>
                <w:sz w:val="24"/>
                <w:szCs w:val="24"/>
              </w:rPr>
            </w:pPr>
            <w:r>
              <w:rPr>
                <w:rFonts w:hint="eastAsia" w:ascii="宋体" w:hAnsi="宋体" w:cs="宋体"/>
                <w:sz w:val="24"/>
                <w:szCs w:val="24"/>
              </w:rPr>
              <w:t>实质性响应</w:t>
            </w:r>
          </w:p>
        </w:tc>
        <w:tc>
          <w:tcPr>
            <w:tcW w:w="5536" w:type="dxa"/>
            <w:noWrap w:val="0"/>
            <w:vAlign w:val="center"/>
          </w:tcPr>
          <w:p>
            <w:pPr>
              <w:outlineLvl w:val="9"/>
              <w:rPr>
                <w:rFonts w:ascii="宋体" w:hAnsi="宋体" w:cs="宋体"/>
                <w:sz w:val="24"/>
                <w:szCs w:val="24"/>
              </w:rPr>
            </w:pPr>
            <w:r>
              <w:rPr>
                <w:rFonts w:hint="eastAsia" w:ascii="宋体" w:hAnsi="宋体" w:cs="宋体"/>
                <w:sz w:val="24"/>
                <w:szCs w:val="24"/>
              </w:rPr>
              <w:t>对竞争性谈判文件做出了实质性响应没有重大缺项漏项,无明显不符合技术规格、技术标准的要求的。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trPr>
        <w:tc>
          <w:tcPr>
            <w:tcW w:w="778" w:type="dxa"/>
            <w:noWrap w:val="0"/>
            <w:vAlign w:val="center"/>
          </w:tcPr>
          <w:p>
            <w:pPr>
              <w:jc w:val="center"/>
              <w:outlineLvl w:val="9"/>
              <w:rPr>
                <w:rFonts w:ascii="宋体" w:hAnsi="宋体" w:cs="宋体"/>
                <w:sz w:val="24"/>
                <w:szCs w:val="24"/>
              </w:rPr>
            </w:pPr>
            <w:r>
              <w:rPr>
                <w:rFonts w:hint="eastAsia" w:ascii="宋体" w:hAnsi="宋体" w:cs="宋体"/>
                <w:sz w:val="24"/>
                <w:szCs w:val="24"/>
              </w:rPr>
              <w:t>8</w:t>
            </w:r>
          </w:p>
        </w:tc>
        <w:tc>
          <w:tcPr>
            <w:tcW w:w="2973" w:type="dxa"/>
            <w:noWrap w:val="0"/>
            <w:vAlign w:val="center"/>
          </w:tcPr>
          <w:p>
            <w:pPr>
              <w:jc w:val="center"/>
              <w:outlineLvl w:val="9"/>
              <w:rPr>
                <w:rFonts w:ascii="宋体" w:hAnsi="宋体" w:cs="宋体"/>
                <w:sz w:val="24"/>
                <w:szCs w:val="24"/>
              </w:rPr>
            </w:pPr>
            <w:r>
              <w:rPr>
                <w:rFonts w:hint="eastAsia" w:ascii="宋体" w:hAnsi="宋体" w:cs="宋体"/>
                <w:sz w:val="24"/>
                <w:szCs w:val="24"/>
              </w:rPr>
              <w:t>报价</w:t>
            </w:r>
          </w:p>
        </w:tc>
        <w:tc>
          <w:tcPr>
            <w:tcW w:w="5536" w:type="dxa"/>
            <w:noWrap w:val="0"/>
            <w:vAlign w:val="center"/>
          </w:tcPr>
          <w:p>
            <w:pPr>
              <w:outlineLvl w:val="9"/>
              <w:rPr>
                <w:rFonts w:ascii="宋体" w:hAnsi="宋体" w:cs="宋体"/>
                <w:sz w:val="24"/>
                <w:szCs w:val="24"/>
              </w:rPr>
            </w:pPr>
            <w:r>
              <w:rPr>
                <w:rFonts w:hint="eastAsia" w:ascii="宋体" w:hAnsi="宋体" w:cs="宋体"/>
                <w:sz w:val="24"/>
                <w:szCs w:val="24"/>
              </w:rPr>
              <w:t>1）供应商在同一份谈判响应文件中，只有一个有效报价的；</w:t>
            </w:r>
          </w:p>
          <w:p>
            <w:pPr>
              <w:outlineLvl w:val="9"/>
              <w:rPr>
                <w:rFonts w:ascii="宋体" w:hAnsi="宋体" w:cs="宋体"/>
                <w:sz w:val="24"/>
                <w:szCs w:val="24"/>
              </w:rPr>
            </w:pPr>
            <w:r>
              <w:rPr>
                <w:rFonts w:hint="eastAsia" w:ascii="宋体" w:hAnsi="宋体" w:cs="宋体"/>
                <w:sz w:val="24"/>
                <w:szCs w:val="24"/>
              </w:rPr>
              <w:t>2）报价未超过竞争性谈判文件中规定的预算金额或者未与市场价格偏离较大、低于成本、形成不正当竞争的。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78" w:type="dxa"/>
            <w:noWrap w:val="0"/>
            <w:vAlign w:val="center"/>
          </w:tcPr>
          <w:p>
            <w:pPr>
              <w:jc w:val="center"/>
              <w:outlineLvl w:val="9"/>
              <w:rPr>
                <w:rFonts w:ascii="宋体" w:hAnsi="宋体" w:cs="宋体"/>
                <w:sz w:val="24"/>
                <w:szCs w:val="24"/>
              </w:rPr>
            </w:pPr>
            <w:r>
              <w:rPr>
                <w:rFonts w:hint="eastAsia" w:ascii="宋体" w:hAnsi="宋体" w:cs="宋体"/>
                <w:sz w:val="24"/>
                <w:szCs w:val="24"/>
              </w:rPr>
              <w:t>9</w:t>
            </w:r>
          </w:p>
        </w:tc>
        <w:tc>
          <w:tcPr>
            <w:tcW w:w="2973" w:type="dxa"/>
            <w:noWrap w:val="0"/>
            <w:vAlign w:val="center"/>
          </w:tcPr>
          <w:p>
            <w:pPr>
              <w:jc w:val="center"/>
              <w:outlineLvl w:val="9"/>
              <w:rPr>
                <w:rFonts w:ascii="宋体" w:hAnsi="宋体" w:cs="宋体"/>
                <w:sz w:val="24"/>
                <w:szCs w:val="24"/>
              </w:rPr>
            </w:pPr>
            <w:r>
              <w:rPr>
                <w:rFonts w:hint="eastAsia" w:ascii="宋体" w:hAnsi="宋体" w:cs="宋体"/>
                <w:sz w:val="24"/>
                <w:szCs w:val="24"/>
              </w:rPr>
              <w:t>商务要求</w:t>
            </w:r>
          </w:p>
        </w:tc>
        <w:tc>
          <w:tcPr>
            <w:tcW w:w="5536" w:type="dxa"/>
            <w:noWrap w:val="0"/>
            <w:vAlign w:val="center"/>
          </w:tcPr>
          <w:p>
            <w:pPr>
              <w:outlineLvl w:val="9"/>
              <w:rPr>
                <w:rFonts w:ascii="宋体" w:hAnsi="宋体" w:cs="宋体"/>
                <w:sz w:val="24"/>
                <w:szCs w:val="24"/>
              </w:rPr>
            </w:pPr>
            <w:r>
              <w:rPr>
                <w:rFonts w:hint="eastAsia" w:ascii="宋体" w:hAnsi="宋体" w:cs="宋体"/>
                <w:sz w:val="24"/>
                <w:szCs w:val="24"/>
              </w:rPr>
              <w:t>商务要求逐条响应并满足竞争性谈判文件要求。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78" w:type="dxa"/>
            <w:noWrap w:val="0"/>
            <w:vAlign w:val="center"/>
          </w:tcPr>
          <w:p>
            <w:pPr>
              <w:jc w:val="center"/>
              <w:outlineLvl w:val="9"/>
              <w:rPr>
                <w:rFonts w:ascii="宋体" w:hAnsi="宋体" w:cs="宋体"/>
                <w:sz w:val="24"/>
                <w:szCs w:val="24"/>
              </w:rPr>
            </w:pPr>
            <w:r>
              <w:rPr>
                <w:rFonts w:hint="eastAsia" w:ascii="宋体" w:hAnsi="宋体" w:cs="宋体"/>
                <w:sz w:val="24"/>
                <w:szCs w:val="24"/>
              </w:rPr>
              <w:t>10</w:t>
            </w:r>
          </w:p>
        </w:tc>
        <w:tc>
          <w:tcPr>
            <w:tcW w:w="2973" w:type="dxa"/>
            <w:noWrap w:val="0"/>
            <w:vAlign w:val="center"/>
          </w:tcPr>
          <w:p>
            <w:pPr>
              <w:jc w:val="center"/>
              <w:outlineLvl w:val="9"/>
              <w:rPr>
                <w:rFonts w:ascii="宋体" w:hAnsi="宋体" w:cs="宋体"/>
                <w:sz w:val="24"/>
                <w:szCs w:val="24"/>
              </w:rPr>
            </w:pPr>
            <w:r>
              <w:rPr>
                <w:rFonts w:hint="eastAsia" w:ascii="宋体" w:hAnsi="宋体" w:cs="宋体"/>
                <w:sz w:val="24"/>
                <w:szCs w:val="24"/>
              </w:rPr>
              <w:t>响应方案</w:t>
            </w:r>
          </w:p>
        </w:tc>
        <w:tc>
          <w:tcPr>
            <w:tcW w:w="5536" w:type="dxa"/>
            <w:noWrap w:val="0"/>
            <w:vAlign w:val="center"/>
          </w:tcPr>
          <w:p>
            <w:pPr>
              <w:outlineLvl w:val="9"/>
              <w:rPr>
                <w:rFonts w:hint="eastAsia" w:ascii="宋体" w:hAnsi="宋体" w:eastAsia="宋体" w:cs="宋体"/>
                <w:sz w:val="24"/>
                <w:szCs w:val="24"/>
                <w:lang w:eastAsia="zh-CN"/>
              </w:rPr>
            </w:pPr>
            <w:r>
              <w:rPr>
                <w:rFonts w:hint="eastAsia" w:ascii="宋体" w:hAnsi="宋体" w:cs="宋体"/>
                <w:sz w:val="24"/>
                <w:szCs w:val="24"/>
                <w:lang w:val="en-US" w:eastAsia="zh-CN"/>
              </w:rPr>
              <w:t>1.</w:t>
            </w:r>
            <w:r>
              <w:rPr>
                <w:rFonts w:hint="eastAsia" w:ascii="宋体" w:hAnsi="宋体" w:cs="宋体"/>
                <w:sz w:val="24"/>
                <w:szCs w:val="24"/>
              </w:rPr>
              <w:t>人员配备（技能、资质及分工等）等情况</w:t>
            </w:r>
            <w:r>
              <w:rPr>
                <w:rFonts w:hint="eastAsia" w:ascii="宋体" w:hAnsi="宋体" w:cs="宋体"/>
                <w:sz w:val="24"/>
                <w:szCs w:val="24"/>
                <w:lang w:eastAsia="zh-CN"/>
              </w:rPr>
              <w:t>；</w:t>
            </w:r>
          </w:p>
          <w:p>
            <w:pPr>
              <w:outlineLvl w:val="9"/>
              <w:rPr>
                <w:rFonts w:hint="eastAsia" w:ascii="宋体" w:hAnsi="宋体" w:eastAsia="宋体" w:cs="宋体"/>
                <w:sz w:val="24"/>
                <w:szCs w:val="24"/>
                <w:lang w:eastAsia="zh-CN"/>
              </w:rPr>
            </w:pPr>
            <w:r>
              <w:rPr>
                <w:rFonts w:hint="eastAsia" w:ascii="宋体" w:hAnsi="宋体" w:cs="宋体"/>
                <w:sz w:val="24"/>
                <w:szCs w:val="24"/>
                <w:lang w:val="en-US" w:eastAsia="zh-CN"/>
              </w:rPr>
              <w:t>2.</w:t>
            </w:r>
            <w:r>
              <w:rPr>
                <w:rFonts w:hint="eastAsia" w:ascii="宋体" w:hAnsi="宋体" w:cs="宋体"/>
                <w:sz w:val="24"/>
                <w:szCs w:val="24"/>
              </w:rPr>
              <w:t>主要负责人员资质、相关管理经验等配备情况</w:t>
            </w:r>
            <w:r>
              <w:rPr>
                <w:rFonts w:hint="eastAsia" w:ascii="宋体" w:hAnsi="宋体" w:cs="宋体"/>
                <w:sz w:val="24"/>
                <w:szCs w:val="24"/>
                <w:lang w:eastAsia="zh-CN"/>
              </w:rPr>
              <w:t>；</w:t>
            </w:r>
          </w:p>
          <w:p>
            <w:pPr>
              <w:outlineLvl w:val="9"/>
              <w:rPr>
                <w:rFonts w:hint="eastAsia" w:ascii="宋体" w:hAnsi="宋体" w:eastAsia="宋体" w:cs="宋体"/>
                <w:sz w:val="24"/>
                <w:szCs w:val="24"/>
                <w:lang w:eastAsia="zh-CN"/>
              </w:rPr>
            </w:pPr>
            <w:r>
              <w:rPr>
                <w:rFonts w:hint="eastAsia" w:ascii="宋体" w:hAnsi="宋体" w:cs="宋体"/>
                <w:sz w:val="24"/>
                <w:szCs w:val="24"/>
                <w:lang w:val="en-US" w:eastAsia="zh-CN"/>
              </w:rPr>
              <w:t>3.</w:t>
            </w:r>
            <w:r>
              <w:rPr>
                <w:rFonts w:hint="eastAsia" w:ascii="宋体" w:hAnsi="宋体" w:cs="宋体"/>
                <w:sz w:val="24"/>
                <w:szCs w:val="24"/>
              </w:rPr>
              <w:t>项目组织实施计划完整可行，分工明确到位，协调措施有力，具有完成项目的组织能力</w:t>
            </w:r>
            <w:r>
              <w:rPr>
                <w:rFonts w:hint="eastAsia" w:ascii="宋体" w:hAnsi="宋体" w:cs="宋体"/>
                <w:sz w:val="24"/>
                <w:szCs w:val="24"/>
                <w:lang w:eastAsia="zh-CN"/>
              </w:rPr>
              <w:t>；</w:t>
            </w:r>
          </w:p>
          <w:p>
            <w:pPr>
              <w:outlineLvl w:val="9"/>
              <w:rPr>
                <w:rFonts w:hint="eastAsia" w:ascii="宋体" w:hAnsi="宋体" w:eastAsia="宋体" w:cs="宋体"/>
                <w:sz w:val="24"/>
                <w:szCs w:val="24"/>
                <w:lang w:eastAsia="zh-CN"/>
              </w:rPr>
            </w:pPr>
            <w:r>
              <w:rPr>
                <w:rFonts w:hint="eastAsia" w:ascii="宋体" w:hAnsi="宋体" w:cs="宋体"/>
                <w:sz w:val="24"/>
                <w:szCs w:val="24"/>
                <w:lang w:val="en-US" w:eastAsia="zh-CN"/>
              </w:rPr>
              <w:t>4.</w:t>
            </w:r>
            <w:r>
              <w:rPr>
                <w:rFonts w:hint="eastAsia" w:ascii="宋体" w:hAnsi="宋体" w:cs="宋体"/>
                <w:sz w:val="24"/>
                <w:szCs w:val="24"/>
              </w:rPr>
              <w:t>服务承诺</w:t>
            </w:r>
            <w:r>
              <w:rPr>
                <w:rFonts w:hint="eastAsia" w:ascii="宋体" w:hAnsi="宋体" w:cs="宋体"/>
                <w:sz w:val="24"/>
                <w:szCs w:val="24"/>
                <w:lang w:eastAsia="zh-CN"/>
              </w:rPr>
              <w:t>；</w:t>
            </w:r>
          </w:p>
          <w:p>
            <w:pPr>
              <w:outlineLvl w:val="9"/>
              <w:rPr>
                <w:rFonts w:hint="eastAsia" w:ascii="宋体" w:hAnsi="宋体" w:eastAsia="宋体" w:cs="宋体"/>
                <w:sz w:val="24"/>
                <w:szCs w:val="24"/>
                <w:lang w:eastAsia="zh-CN"/>
              </w:rPr>
            </w:pPr>
            <w:r>
              <w:rPr>
                <w:rFonts w:hint="eastAsia" w:ascii="宋体" w:hAnsi="宋体" w:cs="宋体"/>
                <w:sz w:val="24"/>
                <w:szCs w:val="24"/>
                <w:lang w:val="en-US" w:eastAsia="zh-CN"/>
              </w:rPr>
              <w:t>5.</w:t>
            </w:r>
            <w:r>
              <w:rPr>
                <w:rFonts w:hint="eastAsia" w:ascii="宋体" w:hAnsi="宋体" w:cs="宋体"/>
                <w:sz w:val="24"/>
                <w:szCs w:val="24"/>
              </w:rPr>
              <w:t>管理制度</w:t>
            </w:r>
            <w:r>
              <w:rPr>
                <w:rFonts w:hint="eastAsia" w:ascii="宋体" w:hAnsi="宋体" w:cs="宋体"/>
                <w:sz w:val="24"/>
                <w:szCs w:val="24"/>
                <w:lang w:eastAsia="zh-CN"/>
              </w:rPr>
              <w:t>；</w:t>
            </w:r>
          </w:p>
          <w:p>
            <w:pPr>
              <w:outlineLvl w:val="9"/>
              <w:rPr>
                <w:rFonts w:hint="eastAsia" w:ascii="宋体" w:hAnsi="宋体" w:eastAsia="宋体" w:cs="宋体"/>
                <w:sz w:val="24"/>
                <w:szCs w:val="24"/>
                <w:lang w:eastAsia="zh-CN"/>
              </w:rPr>
            </w:pPr>
            <w:r>
              <w:rPr>
                <w:rFonts w:hint="eastAsia" w:ascii="宋体" w:hAnsi="宋体" w:cs="宋体"/>
                <w:sz w:val="24"/>
                <w:szCs w:val="24"/>
                <w:lang w:val="en-US" w:eastAsia="zh-CN"/>
              </w:rPr>
              <w:t>6.</w:t>
            </w:r>
            <w:r>
              <w:rPr>
                <w:rFonts w:hint="eastAsia" w:ascii="宋体" w:hAnsi="宋体" w:cs="宋体"/>
                <w:sz w:val="24"/>
                <w:szCs w:val="24"/>
              </w:rPr>
              <w:t>是否设置合理的奖惩、考核制度</w:t>
            </w:r>
            <w:r>
              <w:rPr>
                <w:rFonts w:hint="eastAsia" w:ascii="宋体" w:hAnsi="宋体" w:cs="宋体"/>
                <w:sz w:val="24"/>
                <w:szCs w:val="24"/>
                <w:lang w:eastAsia="zh-CN"/>
              </w:rPr>
              <w:t>；</w:t>
            </w:r>
          </w:p>
          <w:p>
            <w:pPr>
              <w:outlineLvl w:val="9"/>
              <w:rPr>
                <w:rFonts w:hint="default" w:eastAsia="宋体"/>
                <w:lang w:val="en-US" w:eastAsia="zh-CN"/>
              </w:rPr>
            </w:pPr>
            <w:r>
              <w:rPr>
                <w:rFonts w:hint="eastAsia" w:ascii="宋体" w:hAnsi="宋体" w:cs="宋体"/>
                <w:sz w:val="24"/>
                <w:szCs w:val="24"/>
                <w:lang w:val="en-US" w:eastAsia="zh-CN"/>
              </w:rPr>
              <w:t>7.</w:t>
            </w:r>
            <w:r>
              <w:rPr>
                <w:rFonts w:hint="eastAsia" w:ascii="宋体" w:hAnsi="宋体" w:cs="宋体"/>
                <w:sz w:val="24"/>
                <w:szCs w:val="24"/>
              </w:rPr>
              <w:t>具有相应的财力、物力、人力保障，能够保证服务正常运转</w:t>
            </w:r>
            <w:r>
              <w:rPr>
                <w:rFonts w:hint="eastAsia" w:ascii="宋体" w:hAnsi="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78" w:type="dxa"/>
            <w:noWrap w:val="0"/>
            <w:vAlign w:val="center"/>
          </w:tcPr>
          <w:p>
            <w:pPr>
              <w:jc w:val="center"/>
              <w:outlineLvl w:val="9"/>
              <w:rPr>
                <w:rFonts w:ascii="宋体" w:hAnsi="宋体" w:cs="宋体"/>
                <w:sz w:val="24"/>
                <w:szCs w:val="24"/>
              </w:rPr>
            </w:pPr>
            <w:r>
              <w:rPr>
                <w:rFonts w:hint="eastAsia" w:ascii="宋体" w:hAnsi="宋体" w:cs="宋体"/>
                <w:sz w:val="24"/>
                <w:szCs w:val="24"/>
              </w:rPr>
              <w:t>11</w:t>
            </w:r>
          </w:p>
        </w:tc>
        <w:tc>
          <w:tcPr>
            <w:tcW w:w="2973" w:type="dxa"/>
            <w:noWrap w:val="0"/>
            <w:vAlign w:val="center"/>
          </w:tcPr>
          <w:p>
            <w:pPr>
              <w:jc w:val="center"/>
              <w:outlineLvl w:val="9"/>
              <w:rPr>
                <w:rFonts w:ascii="宋体" w:hAnsi="宋体" w:cs="宋体"/>
                <w:sz w:val="24"/>
                <w:szCs w:val="24"/>
              </w:rPr>
            </w:pPr>
            <w:r>
              <w:rPr>
                <w:rFonts w:hint="eastAsia" w:ascii="宋体" w:hAnsi="宋体" w:cs="宋体"/>
                <w:sz w:val="24"/>
                <w:szCs w:val="24"/>
              </w:rPr>
              <w:t>其他要求</w:t>
            </w:r>
          </w:p>
        </w:tc>
        <w:tc>
          <w:tcPr>
            <w:tcW w:w="5536" w:type="dxa"/>
            <w:noWrap w:val="0"/>
            <w:vAlign w:val="center"/>
          </w:tcPr>
          <w:p>
            <w:pPr>
              <w:outlineLvl w:val="9"/>
              <w:rPr>
                <w:rFonts w:ascii="宋体" w:hAnsi="宋体" w:cs="宋体"/>
                <w:sz w:val="24"/>
                <w:szCs w:val="24"/>
              </w:rPr>
            </w:pPr>
            <w:r>
              <w:rPr>
                <w:rFonts w:hint="eastAsia" w:ascii="宋体" w:hAnsi="宋体" w:cs="宋体"/>
                <w:sz w:val="24"/>
                <w:szCs w:val="24"/>
              </w:rPr>
              <w:t>满足谈判文件规定的其他要求。</w:t>
            </w:r>
          </w:p>
        </w:tc>
      </w:tr>
    </w:tbl>
    <w:p>
      <w:pPr>
        <w:spacing w:line="360" w:lineRule="auto"/>
        <w:ind w:firstLine="480" w:firstLineChars="200"/>
        <w:outlineLvl w:val="9"/>
        <w:rPr>
          <w:rFonts w:ascii="宋体" w:hAnsi="宋体" w:cs="宋体"/>
          <w:sz w:val="24"/>
          <w:szCs w:val="24"/>
        </w:rPr>
      </w:pPr>
      <w:r>
        <w:rPr>
          <w:rFonts w:hint="eastAsia" w:ascii="宋体" w:hAnsi="宋体" w:cs="宋体"/>
          <w:sz w:val="24"/>
          <w:szCs w:val="24"/>
        </w:rPr>
        <w:t>2、对于竞争性谈判响应文件中可能出现的不一致和算术计算错误按以下方法</w:t>
      </w:r>
    </w:p>
    <w:p>
      <w:pPr>
        <w:spacing w:line="360" w:lineRule="auto"/>
        <w:outlineLvl w:val="9"/>
        <w:rPr>
          <w:rFonts w:ascii="宋体" w:hAnsi="宋体" w:cs="宋体"/>
          <w:sz w:val="24"/>
          <w:szCs w:val="24"/>
        </w:rPr>
      </w:pPr>
      <w:r>
        <w:rPr>
          <w:rFonts w:hint="eastAsia" w:ascii="宋体" w:hAnsi="宋体" w:cs="宋体"/>
          <w:sz w:val="24"/>
          <w:szCs w:val="24"/>
        </w:rPr>
        <w:t>更正：</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1）开标时，竞争性谈判响应文件中谈判报价表（报价表）内容与竞争性谈判</w:t>
      </w:r>
    </w:p>
    <w:p>
      <w:pPr>
        <w:spacing w:line="360" w:lineRule="auto"/>
        <w:outlineLvl w:val="9"/>
        <w:rPr>
          <w:rFonts w:ascii="宋体" w:hAnsi="宋体" w:cs="宋体"/>
          <w:sz w:val="24"/>
          <w:szCs w:val="24"/>
        </w:rPr>
      </w:pPr>
      <w:r>
        <w:rPr>
          <w:rFonts w:hint="eastAsia" w:ascii="宋体" w:hAnsi="宋体" w:cs="宋体"/>
          <w:sz w:val="24"/>
          <w:szCs w:val="24"/>
        </w:rPr>
        <w:t>响应文件中明细表内容不一致的，以谈判报价表（报价表）为准。</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2）用数字表示的金额和用文字表示的金额不一致的，以文字表示的金额为准。</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3）总价金额与按单价汇总金额不一致的，以单价金额计算结果为准；但单价</w:t>
      </w:r>
    </w:p>
    <w:p>
      <w:pPr>
        <w:spacing w:line="360" w:lineRule="auto"/>
        <w:outlineLvl w:val="9"/>
        <w:rPr>
          <w:rFonts w:ascii="宋体" w:hAnsi="宋体" w:cs="宋体"/>
          <w:sz w:val="24"/>
          <w:szCs w:val="24"/>
        </w:rPr>
      </w:pPr>
      <w:r>
        <w:rPr>
          <w:rFonts w:hint="eastAsia" w:ascii="宋体" w:hAnsi="宋体" w:cs="宋体"/>
          <w:sz w:val="24"/>
          <w:szCs w:val="24"/>
        </w:rPr>
        <w:t>金额小数点有明显错位的，以总价为准，并修正单价。</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谈判小组将按照上述修正错误的方法修正竞争性谈判响应文件中的谈判报价，修正后的价格对供应商具有约束力。如果供应商不接受修正后的价格，其谈判将被拒绝。</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3、对于经初审合格的所有谈判，由谈判小组各成员依据谈判响应文件，从质量和服务均能满足谈判文件要求的供应商中，按照最后报价（依照政策性扣减）由低到高的顺序依次排序，推荐成交候选人。谈判报价相同的，按照技术指标优劣顺序排序或由全体谈判小组成员无记名投票，得票高者排序在前。</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4、政策性扣减</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依据《中华人民共和国政府采购法》和《中华人民共和国政府采购实施条例》</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的有关规定，落实政府采购“扶持小微企业、监狱企业、福利企业”等相关政策。</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(1)《政府采购促进中小企业发展管理办法》（财库〔2020〕46 号）；</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(2)《财政部 司法部关于政府采购支持监狱企业发展有关问题的通知》（财</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库〔2014〕68 号）；</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(3)《财政部、民政部、中国残疾人联合会关于促进残疾人就业政府采购政策</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的通知》（财库[2017]141 号）。</w:t>
      </w:r>
    </w:p>
    <w:p>
      <w:pPr>
        <w:spacing w:line="360" w:lineRule="auto"/>
        <w:ind w:firstLine="480" w:firstLineChars="200"/>
        <w:outlineLvl w:val="9"/>
        <w:rPr>
          <w:sz w:val="24"/>
          <w:szCs w:val="24"/>
        </w:rPr>
      </w:pPr>
      <w:r>
        <w:rPr>
          <w:rFonts w:hint="eastAsia"/>
          <w:sz w:val="24"/>
          <w:szCs w:val="24"/>
        </w:rPr>
        <w:t>（4）《国务院办公厅关于建立政府强制采购节能产品制度的通知》（国办发〔2007〕</w:t>
      </w:r>
    </w:p>
    <w:p>
      <w:pPr>
        <w:spacing w:line="360" w:lineRule="auto"/>
        <w:outlineLvl w:val="9"/>
        <w:rPr>
          <w:sz w:val="24"/>
          <w:szCs w:val="24"/>
        </w:rPr>
      </w:pPr>
      <w:r>
        <w:rPr>
          <w:rFonts w:hint="eastAsia"/>
          <w:sz w:val="24"/>
          <w:szCs w:val="24"/>
        </w:rPr>
        <w:t>51 号）；</w:t>
      </w:r>
    </w:p>
    <w:p>
      <w:pPr>
        <w:spacing w:line="360" w:lineRule="auto"/>
        <w:ind w:firstLine="480" w:firstLineChars="200"/>
        <w:outlineLvl w:val="9"/>
        <w:rPr>
          <w:sz w:val="24"/>
          <w:szCs w:val="24"/>
        </w:rPr>
      </w:pPr>
      <w:r>
        <w:rPr>
          <w:rFonts w:hint="eastAsia"/>
          <w:sz w:val="24"/>
          <w:szCs w:val="24"/>
        </w:rPr>
        <w:t>（5）《节能产品政府采购实施意见》（财库[2004]185 号）；</w:t>
      </w:r>
    </w:p>
    <w:p>
      <w:pPr>
        <w:spacing w:line="360" w:lineRule="auto"/>
        <w:ind w:firstLine="480" w:firstLineChars="200"/>
        <w:outlineLvl w:val="9"/>
        <w:rPr>
          <w:sz w:val="24"/>
          <w:szCs w:val="24"/>
        </w:rPr>
      </w:pPr>
      <w:r>
        <w:rPr>
          <w:rFonts w:hint="eastAsia"/>
          <w:sz w:val="24"/>
          <w:szCs w:val="24"/>
        </w:rPr>
        <w:t>（6）《环境标志产品政府采购实施的意见》（财库[2006]90 号）；</w:t>
      </w:r>
    </w:p>
    <w:p>
      <w:pPr>
        <w:spacing w:line="360" w:lineRule="auto"/>
        <w:ind w:firstLine="480" w:firstLineChars="200"/>
        <w:outlineLvl w:val="9"/>
        <w:rPr>
          <w:sz w:val="24"/>
          <w:szCs w:val="24"/>
        </w:rPr>
      </w:pPr>
      <w:r>
        <w:rPr>
          <w:rFonts w:hint="eastAsia"/>
          <w:sz w:val="24"/>
          <w:szCs w:val="24"/>
        </w:rPr>
        <w:t>（7） 《陕西省中小企业政府采购信用融资办法》（陕财办采〔2018〕23 号）。</w:t>
      </w:r>
    </w:p>
    <w:p>
      <w:pPr>
        <w:spacing w:line="360" w:lineRule="auto"/>
        <w:outlineLvl w:val="9"/>
        <w:rPr>
          <w:sz w:val="24"/>
          <w:szCs w:val="24"/>
        </w:rPr>
      </w:pPr>
      <w:r>
        <w:rPr>
          <w:rFonts w:hint="eastAsia"/>
          <w:sz w:val="24"/>
          <w:szCs w:val="24"/>
        </w:rPr>
        <w:t>在政府采购活动中，供应商提供的货物、工程 或者服务符合下列情形的，享受管理办法规定的中小企业扶持政策：</w:t>
      </w:r>
    </w:p>
    <w:p>
      <w:pPr>
        <w:spacing w:line="360" w:lineRule="auto"/>
        <w:ind w:firstLine="480" w:firstLineChars="200"/>
        <w:outlineLvl w:val="9"/>
        <w:rPr>
          <w:sz w:val="24"/>
          <w:szCs w:val="24"/>
        </w:rPr>
      </w:pPr>
      <w:r>
        <w:rPr>
          <w:rFonts w:hint="eastAsia"/>
          <w:sz w:val="24"/>
          <w:szCs w:val="24"/>
        </w:rPr>
        <w:t>1）在货物采购项目中，货物由中小企业制造，即货物由中小企业生产且使用该中小企业商号或者注册商标；</w:t>
      </w:r>
    </w:p>
    <w:p>
      <w:pPr>
        <w:spacing w:line="360" w:lineRule="auto"/>
        <w:ind w:firstLine="480" w:firstLineChars="200"/>
        <w:outlineLvl w:val="9"/>
        <w:rPr>
          <w:sz w:val="24"/>
          <w:szCs w:val="24"/>
        </w:rPr>
      </w:pPr>
      <w:r>
        <w:rPr>
          <w:rFonts w:hint="eastAsia"/>
          <w:sz w:val="24"/>
          <w:szCs w:val="24"/>
        </w:rPr>
        <w:t>2）在工程采购项目中，工程由中小企业承建，即工程施工单位为中小企业；</w:t>
      </w:r>
    </w:p>
    <w:p>
      <w:pPr>
        <w:spacing w:line="360" w:lineRule="auto"/>
        <w:ind w:firstLine="480" w:firstLineChars="200"/>
        <w:outlineLvl w:val="9"/>
        <w:rPr>
          <w:sz w:val="24"/>
          <w:szCs w:val="24"/>
        </w:rPr>
      </w:pPr>
      <w:r>
        <w:rPr>
          <w:rFonts w:hint="eastAsia"/>
          <w:sz w:val="24"/>
          <w:szCs w:val="24"/>
        </w:rPr>
        <w:t>3）在服务采购项目中，服务由中小企业承接，即提供服务的人员为中小企业依照《中华人民共和国劳动合同法》 订立劳动合同的从业人员。</w:t>
      </w:r>
    </w:p>
    <w:p>
      <w:pPr>
        <w:spacing w:line="360" w:lineRule="auto"/>
        <w:ind w:firstLine="480" w:firstLineChars="200"/>
        <w:outlineLvl w:val="9"/>
        <w:rPr>
          <w:sz w:val="24"/>
          <w:szCs w:val="24"/>
        </w:rPr>
      </w:pPr>
      <w:r>
        <w:rPr>
          <w:rFonts w:hint="eastAsia"/>
          <w:sz w:val="24"/>
          <w:szCs w:val="24"/>
        </w:rPr>
        <w:t>在货物采购项目中，供应商提供的货物既有中小企业制造货物，也有大型企业制造货物的，不享受管理办法规定的中小企业扶持政策。</w:t>
      </w:r>
    </w:p>
    <w:p>
      <w:pPr>
        <w:spacing w:line="360" w:lineRule="auto"/>
        <w:ind w:firstLine="480" w:firstLineChars="200"/>
        <w:outlineLvl w:val="9"/>
        <w:rPr>
          <w:sz w:val="24"/>
          <w:szCs w:val="24"/>
        </w:rPr>
      </w:pPr>
      <w:r>
        <w:rPr>
          <w:rFonts w:hint="eastAsia"/>
          <w:sz w:val="24"/>
          <w:szCs w:val="24"/>
        </w:rPr>
        <w:t>以联合体形式参加政府采购活动，联合体各方均为中小企业的，联合体视同</w:t>
      </w:r>
    </w:p>
    <w:p>
      <w:pPr>
        <w:spacing w:line="360" w:lineRule="auto"/>
        <w:outlineLvl w:val="9"/>
        <w:rPr>
          <w:sz w:val="24"/>
          <w:szCs w:val="24"/>
        </w:rPr>
      </w:pPr>
      <w:r>
        <w:rPr>
          <w:rFonts w:hint="eastAsia"/>
          <w:sz w:val="24"/>
          <w:szCs w:val="24"/>
        </w:rPr>
        <w:t>中小企业。其中，联合体各方均为小微企业的，联合体视同小微企业。</w:t>
      </w:r>
    </w:p>
    <w:p>
      <w:pPr>
        <w:spacing w:line="360" w:lineRule="auto"/>
        <w:ind w:firstLine="482" w:firstLineChars="200"/>
        <w:outlineLvl w:val="9"/>
        <w:rPr>
          <w:b/>
          <w:bCs/>
          <w:sz w:val="24"/>
          <w:szCs w:val="24"/>
        </w:rPr>
      </w:pPr>
      <w:r>
        <w:rPr>
          <w:rFonts w:hint="eastAsia"/>
          <w:b/>
          <w:bCs/>
          <w:sz w:val="24"/>
          <w:szCs w:val="24"/>
        </w:rPr>
        <w:t>供应商为非联合体参与投标的情况：</w:t>
      </w:r>
    </w:p>
    <w:p>
      <w:pPr>
        <w:spacing w:line="360" w:lineRule="auto"/>
        <w:ind w:firstLine="480" w:firstLineChars="200"/>
        <w:outlineLvl w:val="9"/>
        <w:rPr>
          <w:sz w:val="24"/>
          <w:szCs w:val="24"/>
        </w:rPr>
      </w:pPr>
      <w:r>
        <w:rPr>
          <w:rFonts w:hint="eastAsia"/>
          <w:sz w:val="24"/>
          <w:szCs w:val="24"/>
        </w:rPr>
        <w:t>①根据《政府采购促进中小企业发展管理办法》的相关规定，对于经主管预算单位统筹后未预留份额专门面向中小企业采购的采购项目，以及预留份额项目中的非预20%的扣除，用扣除后的价格参加评审。</w:t>
      </w:r>
    </w:p>
    <w:p>
      <w:pPr>
        <w:spacing w:line="360" w:lineRule="auto"/>
        <w:ind w:firstLine="480" w:firstLineChars="200"/>
        <w:outlineLvl w:val="9"/>
        <w:rPr>
          <w:sz w:val="24"/>
          <w:szCs w:val="24"/>
        </w:rPr>
      </w:pPr>
      <w:r>
        <w:rPr>
          <w:rFonts w:hint="eastAsia"/>
          <w:sz w:val="24"/>
          <w:szCs w:val="24"/>
        </w:rPr>
        <w:t>②中小企业参加政府采购活动，应当出具管理办法规定的《中小企业声明函》，</w:t>
      </w:r>
    </w:p>
    <w:p>
      <w:pPr>
        <w:spacing w:line="360" w:lineRule="auto"/>
        <w:outlineLvl w:val="9"/>
        <w:rPr>
          <w:sz w:val="24"/>
          <w:szCs w:val="24"/>
        </w:rPr>
      </w:pPr>
      <w:r>
        <w:rPr>
          <w:rFonts w:hint="eastAsia"/>
          <w:sz w:val="24"/>
          <w:szCs w:val="24"/>
        </w:rPr>
        <w:t>否则不得享受相关中小企业扶持政策。任何单位和个人不得要求供应商提供《中小企业声明函》之外的中小企业身份证明文件。</w:t>
      </w:r>
    </w:p>
    <w:p>
      <w:pPr>
        <w:spacing w:line="360" w:lineRule="auto"/>
        <w:ind w:firstLine="480" w:firstLineChars="200"/>
        <w:outlineLvl w:val="9"/>
        <w:rPr>
          <w:sz w:val="24"/>
          <w:szCs w:val="24"/>
        </w:rPr>
      </w:pPr>
      <w:r>
        <w:rPr>
          <w:rFonts w:hint="eastAsia"/>
          <w:sz w:val="24"/>
          <w:szCs w:val="24"/>
        </w:rPr>
        <w:t>③根据《财政部民政部中国残疾人联合会关于促进残疾人就业政府采购政策的通知》（财库〔2017〕141 号）的规定，对符合条件的残疾人福利性单位产品的价格给予10%的扣除，用扣除后的价格参与评审。</w:t>
      </w:r>
    </w:p>
    <w:p>
      <w:pPr>
        <w:spacing w:line="360" w:lineRule="auto"/>
        <w:ind w:firstLine="480" w:firstLineChars="200"/>
        <w:outlineLvl w:val="9"/>
        <w:rPr>
          <w:sz w:val="24"/>
          <w:szCs w:val="24"/>
        </w:rPr>
      </w:pPr>
      <w:r>
        <w:rPr>
          <w:rFonts w:hint="eastAsia"/>
          <w:sz w:val="24"/>
          <w:szCs w:val="24"/>
        </w:rPr>
        <w:t>④中小企业、监狱企业级和残疾人福利企业优惠政策同中小企业，以上政策同时具备的仅对其进行一次10%的价格扣除，不重复扣除。</w:t>
      </w:r>
    </w:p>
    <w:p>
      <w:pPr>
        <w:spacing w:line="360" w:lineRule="auto"/>
        <w:ind w:firstLine="480" w:firstLineChars="200"/>
        <w:outlineLvl w:val="9"/>
        <w:rPr>
          <w:sz w:val="24"/>
          <w:szCs w:val="24"/>
        </w:rPr>
      </w:pPr>
      <w:r>
        <w:rPr>
          <w:rFonts w:hint="eastAsia"/>
          <w:sz w:val="24"/>
          <w:szCs w:val="24"/>
        </w:rPr>
        <w:t>评审过程中，如涉及，在同等条件下优先采购具有环境标志、节能、自主创新的产品。</w:t>
      </w:r>
    </w:p>
    <w:p>
      <w:pPr>
        <w:spacing w:line="360" w:lineRule="auto"/>
        <w:ind w:firstLine="480" w:firstLineChars="200"/>
        <w:outlineLvl w:val="9"/>
        <w:rPr>
          <w:sz w:val="24"/>
          <w:szCs w:val="24"/>
        </w:rPr>
      </w:pPr>
      <w:r>
        <w:rPr>
          <w:rFonts w:hint="eastAsia"/>
          <w:sz w:val="24"/>
          <w:szCs w:val="24"/>
        </w:rPr>
        <w:t>环境标志产品是指由财政部、国家环境保护总局颁布的环境标志产品政府采购清单”中的有效期内的产品。其评标价=投标报价*（1-1%）；</w:t>
      </w:r>
    </w:p>
    <w:p>
      <w:pPr>
        <w:spacing w:line="360" w:lineRule="auto"/>
        <w:ind w:firstLine="480" w:firstLineChars="200"/>
        <w:outlineLvl w:val="9"/>
        <w:rPr>
          <w:sz w:val="24"/>
          <w:szCs w:val="24"/>
        </w:rPr>
      </w:pPr>
      <w:r>
        <w:rPr>
          <w:rFonts w:hint="eastAsia"/>
          <w:sz w:val="24"/>
          <w:szCs w:val="24"/>
        </w:rPr>
        <w:t>节能产品是指由财政部、国家发展改革委颁布的“节能产品政府采购清单”中的有效期内的产品。其评标价=投标报价*（1-3%）；</w:t>
      </w:r>
    </w:p>
    <w:p>
      <w:pPr>
        <w:spacing w:line="360" w:lineRule="auto"/>
        <w:ind w:firstLine="480" w:firstLineChars="200"/>
        <w:outlineLvl w:val="9"/>
        <w:rPr>
          <w:sz w:val="24"/>
          <w:szCs w:val="24"/>
        </w:rPr>
      </w:pPr>
      <w:r>
        <w:rPr>
          <w:rFonts w:hint="eastAsia"/>
          <w:sz w:val="24"/>
          <w:szCs w:val="24"/>
        </w:rPr>
        <w:t>根据《政府采购促进中小企业发展管理办法》及《财政部司法部关于政府采购支持监狱企业发展有关问题的通知》，属中小企业的，投标人须提供《中小企业声明函》，其划型标准严格按照工业和信息化部、国家统计局、国家发展和改革委员会、财政部出台的《中小企业划型标准规定》（工信部联企业[2011]300号）执行。提供其他小微企业制造的货物时还需提供货物制造商的小微企业声明函。</w:t>
      </w:r>
    </w:p>
    <w:p>
      <w:pPr>
        <w:spacing w:line="360" w:lineRule="auto"/>
        <w:ind w:firstLine="480" w:firstLineChars="200"/>
        <w:outlineLvl w:val="9"/>
        <w:rPr>
          <w:sz w:val="24"/>
          <w:szCs w:val="24"/>
        </w:rPr>
      </w:pPr>
      <w:r>
        <w:rPr>
          <w:rFonts w:hint="eastAsia"/>
          <w:sz w:val="24"/>
          <w:szCs w:val="24"/>
        </w:rPr>
        <w:t>投标人提供的《中小企业声明函》必须真实有效，如果被举报经查实出具虚假声明函的，将被取消投标资格，并按有关规定予以处理。监狱、戒毒企业视同小微企业，享受政府采购相关政策；</w:t>
      </w:r>
    </w:p>
    <w:p>
      <w:pPr>
        <w:spacing w:line="360" w:lineRule="auto"/>
        <w:ind w:firstLine="480" w:firstLineChars="200"/>
        <w:outlineLvl w:val="9"/>
        <w:rPr>
          <w:sz w:val="24"/>
          <w:szCs w:val="24"/>
        </w:rPr>
      </w:pPr>
      <w:r>
        <w:rPr>
          <w:rFonts w:hint="eastAsia"/>
          <w:sz w:val="24"/>
          <w:szCs w:val="24"/>
        </w:rPr>
        <w:t>监狱和戒毒企业须提供由省级以上监狱管理局、戒毒管理局(含新疆生产建设兵团)出具的属于监狱企业的证明文件。</w:t>
      </w:r>
    </w:p>
    <w:p>
      <w:pPr>
        <w:spacing w:line="360" w:lineRule="auto"/>
        <w:ind w:firstLine="480" w:firstLineChars="200"/>
        <w:outlineLvl w:val="9"/>
        <w:rPr>
          <w:sz w:val="24"/>
          <w:szCs w:val="24"/>
        </w:rPr>
      </w:pPr>
      <w:r>
        <w:rPr>
          <w:rFonts w:hint="eastAsia"/>
          <w:sz w:val="24"/>
          <w:szCs w:val="24"/>
        </w:rPr>
        <w:t>根据《财政部 民政部 中国残疾人联合会关于促进残疾人就业政府采购政策</w:t>
      </w:r>
    </w:p>
    <w:p>
      <w:pPr>
        <w:spacing w:line="360" w:lineRule="auto"/>
        <w:outlineLvl w:val="9"/>
        <w:rPr>
          <w:sz w:val="24"/>
          <w:szCs w:val="24"/>
        </w:rPr>
      </w:pPr>
      <w:r>
        <w:rPr>
          <w:rFonts w:hint="eastAsia"/>
          <w:sz w:val="24"/>
          <w:szCs w:val="24"/>
        </w:rPr>
        <w:t>的通知》（财库〔2017〕，符合条件的残疾人福利性单位在参加政府采购活动时，</w:t>
      </w:r>
    </w:p>
    <w:p>
      <w:pPr>
        <w:spacing w:line="360" w:lineRule="auto"/>
        <w:outlineLvl w:val="9"/>
        <w:rPr>
          <w:sz w:val="24"/>
          <w:szCs w:val="24"/>
        </w:rPr>
      </w:pPr>
      <w:r>
        <w:rPr>
          <w:rFonts w:hint="eastAsia"/>
          <w:sz w:val="24"/>
          <w:szCs w:val="24"/>
        </w:rPr>
        <w:t>应当提供本通知规定的《残疾人福利性单位声明函》（见附件），并对声明的真</w:t>
      </w:r>
    </w:p>
    <w:p>
      <w:pPr>
        <w:spacing w:line="360" w:lineRule="auto"/>
        <w:outlineLvl w:val="9"/>
        <w:rPr>
          <w:sz w:val="24"/>
          <w:szCs w:val="24"/>
        </w:rPr>
      </w:pPr>
      <w:r>
        <w:rPr>
          <w:rFonts w:hint="eastAsia"/>
          <w:sz w:val="24"/>
          <w:szCs w:val="24"/>
        </w:rPr>
        <w:t>实性负责。中标、成交供应商为残疾人福利性单位的，采购人或者其委托的采购</w:t>
      </w:r>
    </w:p>
    <w:p>
      <w:pPr>
        <w:spacing w:line="360" w:lineRule="auto"/>
        <w:outlineLvl w:val="9"/>
        <w:rPr>
          <w:sz w:val="24"/>
          <w:szCs w:val="24"/>
        </w:rPr>
      </w:pPr>
      <w:r>
        <w:rPr>
          <w:rFonts w:hint="eastAsia"/>
          <w:sz w:val="24"/>
          <w:szCs w:val="24"/>
        </w:rPr>
        <w:t>代理机构应当随中标、成交结果同时公告其《残疾人福利性单位声明函》，接受</w:t>
      </w:r>
    </w:p>
    <w:p>
      <w:pPr>
        <w:spacing w:line="360" w:lineRule="auto"/>
        <w:outlineLvl w:val="9"/>
        <w:rPr>
          <w:sz w:val="24"/>
          <w:szCs w:val="24"/>
        </w:rPr>
      </w:pPr>
      <w:r>
        <w:rPr>
          <w:rFonts w:hint="eastAsia"/>
          <w:sz w:val="24"/>
          <w:szCs w:val="24"/>
        </w:rPr>
        <w:t>社会监督。投标人提供的《残疾人福利性单位声明函》与事实不符的，依照《政</w:t>
      </w:r>
    </w:p>
    <w:p>
      <w:pPr>
        <w:spacing w:line="360" w:lineRule="auto"/>
        <w:outlineLvl w:val="9"/>
        <w:rPr>
          <w:sz w:val="24"/>
          <w:szCs w:val="24"/>
        </w:rPr>
      </w:pPr>
      <w:r>
        <w:rPr>
          <w:rFonts w:hint="eastAsia"/>
          <w:sz w:val="24"/>
          <w:szCs w:val="24"/>
        </w:rPr>
        <w:t>府采购法》第七十七条第一款的规定追究法律责任。</w:t>
      </w:r>
    </w:p>
    <w:p>
      <w:pPr>
        <w:outlineLvl w:val="9"/>
        <w:rPr>
          <w:rFonts w:ascii="宋体" w:hAnsi="宋体" w:cs="宋体"/>
          <w:sz w:val="24"/>
          <w:szCs w:val="24"/>
        </w:rPr>
      </w:pPr>
      <w:r>
        <w:rPr>
          <w:rFonts w:hint="eastAsia" w:ascii="宋体" w:hAnsi="宋体" w:cs="宋体"/>
          <w:b/>
          <w:bCs/>
          <w:sz w:val="24"/>
          <w:szCs w:val="24"/>
        </w:rPr>
        <w:t>三、谈判方法</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1、谈判原则：按照财政部令《第 74 号》文件精神，谈判方式应采取“符合采</w:t>
      </w:r>
    </w:p>
    <w:p>
      <w:pPr>
        <w:spacing w:line="360" w:lineRule="auto"/>
        <w:outlineLvl w:val="9"/>
        <w:rPr>
          <w:rFonts w:ascii="宋体" w:hAnsi="宋体" w:cs="宋体"/>
          <w:sz w:val="24"/>
          <w:szCs w:val="24"/>
        </w:rPr>
      </w:pPr>
      <w:r>
        <w:rPr>
          <w:rFonts w:hint="eastAsia" w:ascii="宋体" w:hAnsi="宋体" w:cs="宋体"/>
          <w:sz w:val="24"/>
          <w:szCs w:val="24"/>
        </w:rPr>
        <w:t>购需求情况下，坚持低价优先原则。”谈判小组应当从质量和服务均能满足谈判文</w:t>
      </w:r>
    </w:p>
    <w:p>
      <w:pPr>
        <w:spacing w:line="360" w:lineRule="auto"/>
        <w:outlineLvl w:val="9"/>
        <w:rPr>
          <w:rFonts w:ascii="宋体" w:hAnsi="宋体" w:cs="宋体"/>
          <w:sz w:val="24"/>
          <w:szCs w:val="24"/>
        </w:rPr>
      </w:pPr>
      <w:r>
        <w:rPr>
          <w:rFonts w:hint="eastAsia" w:ascii="宋体" w:hAnsi="宋体" w:cs="宋体"/>
          <w:sz w:val="24"/>
          <w:szCs w:val="24"/>
        </w:rPr>
        <w:t>件实质性要求的供应商中，按照最后报价由低到高的顺序推荐成交候选供应商，经</w:t>
      </w:r>
    </w:p>
    <w:p>
      <w:pPr>
        <w:spacing w:line="360" w:lineRule="auto"/>
        <w:outlineLvl w:val="9"/>
        <w:rPr>
          <w:rFonts w:hint="eastAsia" w:ascii="宋体" w:hAnsi="宋体" w:cs="宋体"/>
          <w:sz w:val="24"/>
          <w:szCs w:val="24"/>
        </w:rPr>
      </w:pPr>
      <w:r>
        <w:rPr>
          <w:rFonts w:hint="eastAsia" w:ascii="宋体" w:hAnsi="宋体" w:cs="宋体"/>
          <w:sz w:val="24"/>
          <w:szCs w:val="24"/>
        </w:rPr>
        <w:t>采购人确认，以供应商的最低报价作为成交价格。</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2、谈判程序：分步评审，每一步评审不符合者，不进入下一步评审。由谈判小组成员集中与单一参加谈判的供应商分别进行谈判，可以进行多轮报价，直至采购方满意为止。</w:t>
      </w:r>
    </w:p>
    <w:p>
      <w:pPr>
        <w:spacing w:line="360" w:lineRule="auto"/>
        <w:ind w:firstLine="480" w:firstLineChars="200"/>
        <w:outlineLvl w:val="9"/>
        <w:rPr>
          <w:rFonts w:ascii="宋体" w:hAnsi="宋体" w:cs="宋体"/>
          <w:sz w:val="24"/>
          <w:szCs w:val="24"/>
        </w:rPr>
      </w:pPr>
      <w:r>
        <w:rPr>
          <w:rFonts w:hint="eastAsia" w:ascii="宋体" w:hAnsi="宋体" w:cs="宋体"/>
          <w:sz w:val="24"/>
          <w:szCs w:val="24"/>
        </w:rPr>
        <w:t>3、竞争性谈判确定的最终价格及服务等仍不能满足采购人的要求，采购人及谈</w:t>
      </w:r>
    </w:p>
    <w:p>
      <w:pPr>
        <w:spacing w:line="360" w:lineRule="auto"/>
        <w:outlineLvl w:val="9"/>
        <w:rPr>
          <w:rFonts w:ascii="宋体" w:hAnsi="宋体" w:cs="宋体"/>
          <w:sz w:val="24"/>
          <w:szCs w:val="24"/>
        </w:rPr>
      </w:pPr>
      <w:r>
        <w:rPr>
          <w:rFonts w:hint="eastAsia" w:ascii="宋体" w:hAnsi="宋体" w:cs="宋体"/>
          <w:sz w:val="24"/>
          <w:szCs w:val="24"/>
        </w:rPr>
        <w:t>判小组将保留最终放弃本次谈判的权利。</w:t>
      </w:r>
    </w:p>
    <w:p>
      <w:pPr>
        <w:spacing w:line="360" w:lineRule="auto"/>
        <w:outlineLvl w:val="9"/>
        <w:rPr>
          <w:rFonts w:ascii="宋体" w:hAnsi="宋体" w:cs="宋体"/>
          <w:sz w:val="24"/>
          <w:szCs w:val="24"/>
        </w:rPr>
      </w:pPr>
      <w:r>
        <w:rPr>
          <w:rFonts w:hint="eastAsia" w:ascii="宋体" w:hAnsi="宋体" w:cs="宋体"/>
          <w:b/>
          <w:bCs/>
          <w:sz w:val="24"/>
          <w:szCs w:val="24"/>
        </w:rPr>
        <w:t>四、成交：</w:t>
      </w:r>
    </w:p>
    <w:p>
      <w:pPr>
        <w:spacing w:line="360" w:lineRule="auto"/>
        <w:outlineLvl w:val="9"/>
        <w:rPr>
          <w:rFonts w:ascii="宋体" w:hAnsi="宋体" w:cs="宋体"/>
          <w:sz w:val="24"/>
          <w:szCs w:val="24"/>
        </w:rPr>
      </w:pPr>
      <w:r>
        <w:rPr>
          <w:rFonts w:hint="eastAsia" w:ascii="宋体" w:hAnsi="宋体" w:cs="宋体"/>
          <w:sz w:val="24"/>
          <w:szCs w:val="24"/>
        </w:rPr>
        <w:t>1、评审结果报告由全体评委签字确认。</w:t>
      </w:r>
    </w:p>
    <w:p>
      <w:pPr>
        <w:spacing w:line="360" w:lineRule="auto"/>
        <w:outlineLvl w:val="9"/>
        <w:rPr>
          <w:rFonts w:ascii="宋体" w:hAnsi="宋体" w:cs="宋体"/>
          <w:sz w:val="24"/>
          <w:szCs w:val="24"/>
        </w:rPr>
      </w:pPr>
      <w:r>
        <w:rPr>
          <w:rFonts w:hint="eastAsia" w:ascii="宋体" w:hAnsi="宋体" w:cs="宋体"/>
          <w:sz w:val="24"/>
          <w:szCs w:val="24"/>
        </w:rPr>
        <w:t>2、采购人根据谈判报告中推荐的成交候选人排列顺序确定成交人，以复函通知采购代理公司。</w:t>
      </w:r>
    </w:p>
    <w:p>
      <w:pPr>
        <w:spacing w:line="360" w:lineRule="auto"/>
        <w:jc w:val="center"/>
        <w:outlineLvl w:val="9"/>
        <w:rPr>
          <w:rFonts w:ascii="宋体" w:hAnsi="宋体" w:cs="宋体"/>
          <w:sz w:val="36"/>
          <w:szCs w:val="22"/>
        </w:rPr>
        <w:sectPr>
          <w:footerReference r:id="rId6" w:type="default"/>
          <w:footnotePr>
            <w:pos w:val="beneathText"/>
          </w:footnotePr>
          <w:pgSz w:w="11906" w:h="16838"/>
          <w:pgMar w:top="1440" w:right="1800" w:bottom="1440" w:left="1800" w:header="1091" w:footer="992" w:gutter="0"/>
          <w:pgNumType w:fmt="decimal"/>
          <w:cols w:space="720" w:num="1"/>
          <w:titlePg/>
          <w:docGrid w:type="lines" w:linePitch="312" w:charSpace="0"/>
        </w:sectPr>
      </w:pPr>
    </w:p>
    <w:p>
      <w:pPr>
        <w:pStyle w:val="3"/>
        <w:numPr>
          <w:ilvl w:val="0"/>
          <w:numId w:val="5"/>
        </w:numPr>
        <w:spacing w:line="360" w:lineRule="auto"/>
        <w:jc w:val="center"/>
        <w:rPr>
          <w:rFonts w:hint="eastAsia" w:ascii="宋体" w:hAnsi="宋体" w:cs="宋体"/>
          <w:sz w:val="36"/>
          <w:szCs w:val="22"/>
        </w:rPr>
      </w:pPr>
      <w:bookmarkStart w:id="305" w:name="_Toc29159"/>
      <w:r>
        <w:rPr>
          <w:rFonts w:hint="eastAsia" w:ascii="宋体" w:hAnsi="宋体" w:cs="宋体"/>
          <w:sz w:val="36"/>
          <w:szCs w:val="22"/>
        </w:rPr>
        <w:t xml:space="preserve"> </w:t>
      </w:r>
      <w:bookmarkStart w:id="306" w:name="_Toc6976"/>
      <w:bookmarkStart w:id="307" w:name="_Toc26130"/>
      <w:bookmarkStart w:id="308" w:name="_Toc22050"/>
      <w:bookmarkStart w:id="309" w:name="_Toc23574"/>
      <w:r>
        <w:rPr>
          <w:rFonts w:hint="eastAsia" w:ascii="宋体" w:hAnsi="宋体" w:cs="宋体"/>
          <w:sz w:val="36"/>
          <w:szCs w:val="22"/>
        </w:rPr>
        <w:t>竞争性谈判响应文件格式</w:t>
      </w:r>
      <w:bookmarkEnd w:id="305"/>
      <w:bookmarkEnd w:id="306"/>
      <w:bookmarkEnd w:id="307"/>
      <w:bookmarkEnd w:id="308"/>
      <w:bookmarkEnd w:id="309"/>
    </w:p>
    <w:p>
      <w:pPr>
        <w:numPr>
          <w:ilvl w:val="0"/>
          <w:numId w:val="0"/>
        </w:numPr>
      </w:pPr>
    </w:p>
    <w:p>
      <w:pPr>
        <w:spacing w:line="360" w:lineRule="auto"/>
        <w:jc w:val="right"/>
        <w:outlineLvl w:val="9"/>
        <w:rPr>
          <w:rFonts w:ascii="宋体" w:hAnsi="宋体" w:cs="宋体"/>
          <w:bCs/>
          <w:sz w:val="48"/>
          <w:szCs w:val="48"/>
        </w:rPr>
      </w:pPr>
      <w:r>
        <w:rPr>
          <w:rFonts w:hint="eastAsia" w:ascii="宋体" w:hAnsi="宋体" w:cs="宋体"/>
          <w:b/>
          <w:bCs/>
          <w:sz w:val="44"/>
          <w:szCs w:val="44"/>
          <w:lang w:val="en-US" w:eastAsia="zh-CN"/>
        </w:rPr>
        <w:t>正/副本</w:t>
      </w:r>
      <w:r>
        <w:rPr>
          <w:rFonts w:hint="eastAsia" w:ascii="宋体" w:hAnsi="宋体" w:cs="宋体"/>
          <w:b/>
          <w:bCs/>
          <w:sz w:val="44"/>
          <w:szCs w:val="44"/>
        </w:rPr>
        <w:t xml:space="preserve"> </w:t>
      </w:r>
    </w:p>
    <w:p>
      <w:pPr>
        <w:spacing w:line="360" w:lineRule="auto"/>
        <w:jc w:val="left"/>
        <w:outlineLvl w:val="9"/>
        <w:rPr>
          <w:rFonts w:ascii="宋体" w:hAnsi="宋体" w:cs="宋体"/>
          <w:b/>
          <w:sz w:val="28"/>
          <w:szCs w:val="28"/>
        </w:rPr>
      </w:pPr>
      <w:r>
        <w:rPr>
          <w:rFonts w:hint="eastAsia" w:ascii="宋体" w:hAnsi="宋体" w:cs="宋体"/>
          <w:b/>
          <w:sz w:val="28"/>
          <w:szCs w:val="28"/>
        </w:rPr>
        <w:t>采购项目编号：</w:t>
      </w:r>
    </w:p>
    <w:p>
      <w:pPr>
        <w:pStyle w:val="6"/>
        <w:outlineLvl w:val="9"/>
      </w:pPr>
    </w:p>
    <w:p>
      <w:pPr>
        <w:outlineLvl w:val="9"/>
      </w:pPr>
    </w:p>
    <w:p>
      <w:pPr>
        <w:pStyle w:val="5"/>
        <w:ind w:left="0" w:leftChars="0" w:firstLine="0" w:firstLineChars="0"/>
        <w:jc w:val="center"/>
        <w:rPr>
          <w:rFonts w:hint="eastAsia" w:ascii="宋体" w:hAnsi="宋体" w:eastAsia="宋体" w:cs="宋体"/>
          <w:color w:val="auto"/>
        </w:rPr>
      </w:pPr>
      <w:r>
        <w:rPr>
          <w:rFonts w:hint="eastAsia" w:ascii="宋体" w:hAnsi="宋体" w:eastAsia="宋体" w:cs="宋体"/>
          <w:b/>
          <w:bCs/>
          <w:i w:val="0"/>
          <w:iCs w:val="0"/>
          <w:caps w:val="0"/>
          <w:color w:val="222222"/>
          <w:spacing w:val="0"/>
          <w:sz w:val="48"/>
          <w:szCs w:val="48"/>
          <w:highlight w:val="none"/>
          <w:shd w:val="clear" w:fill="FFFFFF"/>
          <w:lang w:val="en-US" w:eastAsia="zh-CN"/>
        </w:rPr>
        <w:t>205省道佳县至米脂公路工程可行性研究报告编制服务</w:t>
      </w:r>
    </w:p>
    <w:p>
      <w:pPr>
        <w:pStyle w:val="6"/>
        <w:outlineLvl w:val="9"/>
      </w:pPr>
    </w:p>
    <w:p>
      <w:pPr>
        <w:outlineLvl w:val="9"/>
      </w:pPr>
    </w:p>
    <w:p>
      <w:pPr>
        <w:pStyle w:val="8"/>
        <w:outlineLvl w:val="9"/>
      </w:pPr>
    </w:p>
    <w:p>
      <w:pPr>
        <w:outlineLvl w:val="9"/>
      </w:pPr>
    </w:p>
    <w:p>
      <w:pPr>
        <w:spacing w:line="360" w:lineRule="auto"/>
        <w:jc w:val="center"/>
        <w:outlineLvl w:val="9"/>
        <w:rPr>
          <w:rFonts w:ascii="宋体" w:hAnsi="宋体" w:cs="宋体"/>
          <w:b/>
          <w:sz w:val="24"/>
          <w:szCs w:val="24"/>
        </w:rPr>
      </w:pPr>
      <w:r>
        <w:rPr>
          <w:rFonts w:hint="eastAsia" w:ascii="宋体" w:hAnsi="宋体" w:cs="宋体"/>
          <w:b/>
          <w:sz w:val="72"/>
          <w:szCs w:val="72"/>
        </w:rPr>
        <w:t>竞争性谈判响应文件</w:t>
      </w:r>
      <w:r>
        <w:rPr>
          <w:rFonts w:hint="eastAsia" w:ascii="宋体" w:hAnsi="宋体" w:cs="宋体"/>
          <w:b/>
          <w:sz w:val="24"/>
          <w:szCs w:val="24"/>
        </w:rPr>
        <w:t xml:space="preserve"> </w:t>
      </w:r>
    </w:p>
    <w:p>
      <w:pPr>
        <w:outlineLvl w:val="9"/>
      </w:pPr>
    </w:p>
    <w:p>
      <w:pPr>
        <w:pStyle w:val="5"/>
        <w:outlineLvl w:val="9"/>
      </w:pPr>
    </w:p>
    <w:p>
      <w:pPr>
        <w:pStyle w:val="5"/>
        <w:outlineLvl w:val="9"/>
      </w:pPr>
    </w:p>
    <w:p>
      <w:pPr>
        <w:outlineLvl w:val="9"/>
      </w:pPr>
    </w:p>
    <w:p>
      <w:pPr>
        <w:pStyle w:val="6"/>
        <w:outlineLvl w:val="9"/>
      </w:pPr>
    </w:p>
    <w:p>
      <w:pPr>
        <w:spacing w:line="360" w:lineRule="auto"/>
        <w:jc w:val="center"/>
        <w:outlineLvl w:val="9"/>
        <w:rPr>
          <w:rFonts w:ascii="宋体" w:hAnsi="宋体" w:cs="宋体"/>
          <w:b/>
          <w:sz w:val="28"/>
          <w:szCs w:val="22"/>
        </w:rPr>
      </w:pPr>
      <w:r>
        <w:rPr>
          <w:rFonts w:hint="eastAsia" w:ascii="宋体" w:hAnsi="宋体" w:cs="宋体"/>
          <w:b/>
          <w:sz w:val="28"/>
          <w:szCs w:val="22"/>
        </w:rPr>
        <w:t>谈判供应商：</w:t>
      </w:r>
      <w:r>
        <w:rPr>
          <w:rFonts w:hint="eastAsia" w:ascii="宋体" w:hAnsi="宋体" w:cs="宋体"/>
          <w:b/>
          <w:sz w:val="28"/>
          <w:u w:val="single"/>
        </w:rPr>
        <w:t xml:space="preserve">                     </w:t>
      </w:r>
      <w:r>
        <w:rPr>
          <w:rFonts w:hint="eastAsia" w:ascii="宋体" w:hAnsi="宋体" w:cs="宋体"/>
          <w:b/>
          <w:sz w:val="28"/>
          <w:szCs w:val="22"/>
        </w:rPr>
        <w:t>（盖章）</w:t>
      </w:r>
    </w:p>
    <w:p>
      <w:pPr>
        <w:spacing w:line="360" w:lineRule="auto"/>
        <w:ind w:firstLine="1265" w:firstLineChars="450"/>
        <w:outlineLvl w:val="9"/>
        <w:rPr>
          <w:rFonts w:ascii="宋体" w:hAnsi="宋体" w:cs="宋体"/>
          <w:b/>
          <w:sz w:val="28"/>
          <w:szCs w:val="22"/>
        </w:rPr>
      </w:pPr>
    </w:p>
    <w:p>
      <w:pPr>
        <w:spacing w:line="360" w:lineRule="auto"/>
        <w:ind w:firstLine="1687" w:firstLineChars="600"/>
        <w:outlineLvl w:val="9"/>
        <w:rPr>
          <w:rFonts w:ascii="宋体" w:hAnsi="宋体" w:cs="宋体"/>
          <w:b/>
          <w:sz w:val="28"/>
          <w:szCs w:val="22"/>
        </w:rPr>
      </w:pPr>
      <w:r>
        <w:rPr>
          <w:rFonts w:hint="eastAsia" w:ascii="宋体" w:hAnsi="宋体" w:cs="宋体"/>
          <w:b/>
          <w:sz w:val="28"/>
          <w:szCs w:val="22"/>
        </w:rPr>
        <w:t>法定代表人或被授权人（签字或盖章）：</w:t>
      </w:r>
    </w:p>
    <w:p>
      <w:pPr>
        <w:spacing w:line="360" w:lineRule="auto"/>
        <w:jc w:val="center"/>
        <w:outlineLvl w:val="9"/>
        <w:rPr>
          <w:rFonts w:ascii="宋体" w:hAnsi="宋体" w:cs="宋体"/>
          <w:b/>
          <w:sz w:val="28"/>
          <w:szCs w:val="22"/>
        </w:rPr>
      </w:pPr>
    </w:p>
    <w:p>
      <w:pPr>
        <w:spacing w:line="360" w:lineRule="auto"/>
        <w:jc w:val="center"/>
        <w:outlineLvl w:val="9"/>
        <w:rPr>
          <w:rFonts w:hint="default" w:ascii="宋体" w:hAnsi="宋体" w:cs="宋体"/>
          <w:b/>
          <w:sz w:val="28"/>
          <w:szCs w:val="22"/>
          <w:lang w:val="en-US" w:eastAsia="zh-CN"/>
        </w:rPr>
        <w:sectPr>
          <w:footnotePr>
            <w:pos w:val="beneathText"/>
          </w:footnotePr>
          <w:pgSz w:w="11906" w:h="16838"/>
          <w:pgMar w:top="1440" w:right="1800" w:bottom="1440" w:left="1800" w:header="1091" w:footer="992" w:gutter="0"/>
          <w:pgNumType w:fmt="decimal"/>
          <w:cols w:space="720" w:num="1"/>
          <w:titlePg/>
          <w:docGrid w:type="lines" w:linePitch="312" w:charSpace="0"/>
        </w:sectPr>
      </w:pPr>
      <w:r>
        <w:rPr>
          <w:rFonts w:hint="eastAsia" w:ascii="宋体" w:hAnsi="宋体" w:cs="宋体"/>
          <w:b/>
          <w:sz w:val="28"/>
          <w:szCs w:val="22"/>
        </w:rPr>
        <w:t>二零二</w:t>
      </w:r>
      <w:r>
        <w:rPr>
          <w:rFonts w:hint="eastAsia" w:ascii="宋体" w:hAnsi="宋体" w:cs="宋体"/>
          <w:b/>
          <w:sz w:val="28"/>
          <w:szCs w:val="22"/>
          <w:lang w:val="en-US" w:eastAsia="zh-CN"/>
        </w:rPr>
        <w:t>三</w:t>
      </w:r>
      <w:r>
        <w:rPr>
          <w:rFonts w:hint="eastAsia" w:ascii="宋体" w:hAnsi="宋体" w:cs="宋体"/>
          <w:b/>
          <w:sz w:val="28"/>
          <w:szCs w:val="22"/>
        </w:rPr>
        <w:t>年 月</w:t>
      </w:r>
      <w:bookmarkStart w:id="310" w:name="_Toc21305"/>
      <w:bookmarkStart w:id="311" w:name="_Toc357087380"/>
      <w:r>
        <w:rPr>
          <w:rFonts w:hint="eastAsia" w:ascii="宋体" w:hAnsi="宋体" w:cs="宋体"/>
          <w:b/>
          <w:sz w:val="28"/>
          <w:szCs w:val="22"/>
          <w:lang w:val="en-US" w:eastAsia="zh-CN"/>
        </w:rPr>
        <w:t xml:space="preserve">  日</w:t>
      </w:r>
    </w:p>
    <w:p>
      <w:pPr>
        <w:outlineLvl w:val="9"/>
      </w:pPr>
      <w:bookmarkStart w:id="312" w:name="_Toc22764"/>
      <w:bookmarkStart w:id="313" w:name="_Toc465958130"/>
      <w:bookmarkStart w:id="314" w:name="_Toc24244"/>
      <w:bookmarkStart w:id="315" w:name="_Toc15746"/>
      <w:bookmarkStart w:id="316" w:name="_Toc6250"/>
      <w:bookmarkStart w:id="317" w:name="_Toc30709"/>
    </w:p>
    <w:p>
      <w:pPr>
        <w:tabs>
          <w:tab w:val="left" w:pos="3329"/>
        </w:tabs>
        <w:jc w:val="center"/>
        <w:outlineLvl w:val="9"/>
        <w:rPr>
          <w:rFonts w:hint="eastAsia"/>
          <w:b/>
          <w:sz w:val="44"/>
        </w:rPr>
      </w:pPr>
    </w:p>
    <w:p>
      <w:pPr>
        <w:pStyle w:val="6"/>
        <w:outlineLvl w:val="9"/>
        <w:rPr>
          <w:rFonts w:hint="eastAsia"/>
        </w:rPr>
      </w:pPr>
    </w:p>
    <w:p>
      <w:pPr>
        <w:tabs>
          <w:tab w:val="left" w:pos="3329"/>
        </w:tabs>
        <w:jc w:val="center"/>
        <w:outlineLvl w:val="9"/>
        <w:rPr>
          <w:b/>
          <w:sz w:val="44"/>
        </w:rPr>
      </w:pPr>
      <w:r>
        <w:rPr>
          <w:rFonts w:hint="eastAsia"/>
          <w:b/>
          <w:sz w:val="44"/>
        </w:rPr>
        <w:t>目  录</w:t>
      </w:r>
    </w:p>
    <w:p>
      <w:pPr>
        <w:jc w:val="center"/>
        <w:outlineLvl w:val="9"/>
        <w:rPr>
          <w:rFonts w:hint="eastAsia" w:hAnsi="宋体" w:eastAsia="宋体"/>
          <w:b w:val="0"/>
          <w:bCs w:val="0"/>
          <w:sz w:val="32"/>
          <w:szCs w:val="20"/>
          <w:lang w:eastAsia="zh-CN"/>
        </w:rPr>
      </w:pPr>
      <w:r>
        <w:rPr>
          <w:rFonts w:hint="eastAsia" w:hAnsi="宋体"/>
          <w:b w:val="0"/>
          <w:bCs w:val="0"/>
          <w:sz w:val="32"/>
          <w:szCs w:val="20"/>
          <w:lang w:eastAsia="zh-CN"/>
        </w:rPr>
        <w:t>（</w:t>
      </w:r>
      <w:r>
        <w:rPr>
          <w:rFonts w:hint="eastAsia" w:hAnsi="宋体"/>
          <w:b w:val="0"/>
          <w:bCs w:val="0"/>
          <w:sz w:val="32"/>
          <w:szCs w:val="20"/>
          <w:lang w:val="en-US" w:eastAsia="zh-CN"/>
        </w:rPr>
        <w:t>格式自拟</w:t>
      </w:r>
      <w:r>
        <w:rPr>
          <w:rFonts w:hint="eastAsia" w:hAnsi="宋体"/>
          <w:b w:val="0"/>
          <w:bCs w:val="0"/>
          <w:sz w:val="32"/>
          <w:szCs w:val="20"/>
          <w:lang w:eastAsia="zh-CN"/>
        </w:rPr>
        <w:t>）</w:t>
      </w:r>
    </w:p>
    <w:p>
      <w:pPr>
        <w:outlineLvl w:val="9"/>
        <w:rPr>
          <w:rFonts w:ascii="宋体" w:hAnsi="宋体" w:eastAsia="宋体" w:cs="宋体"/>
          <w:szCs w:val="22"/>
        </w:rPr>
      </w:pPr>
    </w:p>
    <w:p>
      <w:pPr>
        <w:outlineLvl w:val="9"/>
        <w:rPr>
          <w:rFonts w:ascii="宋体" w:hAnsi="宋体" w:eastAsia="宋体" w:cs="宋体"/>
          <w:szCs w:val="22"/>
        </w:rPr>
      </w:pPr>
    </w:p>
    <w:p>
      <w:pPr>
        <w:outlineLvl w:val="9"/>
        <w:rPr>
          <w:rFonts w:ascii="宋体" w:hAnsi="宋体" w:eastAsia="宋体" w:cs="宋体"/>
          <w:szCs w:val="22"/>
        </w:rPr>
      </w:pPr>
    </w:p>
    <w:p>
      <w:pPr>
        <w:outlineLvl w:val="9"/>
        <w:rPr>
          <w:rFonts w:ascii="宋体" w:hAnsi="宋体" w:eastAsia="宋体" w:cs="宋体"/>
          <w:szCs w:val="22"/>
        </w:rPr>
      </w:pPr>
    </w:p>
    <w:p>
      <w:pPr>
        <w:outlineLvl w:val="9"/>
        <w:rPr>
          <w:rFonts w:ascii="宋体" w:hAnsi="宋体" w:eastAsia="宋体" w:cs="宋体"/>
          <w:szCs w:val="22"/>
        </w:rPr>
      </w:pPr>
    </w:p>
    <w:p>
      <w:pPr>
        <w:outlineLvl w:val="9"/>
        <w:rPr>
          <w:rFonts w:ascii="宋体" w:hAnsi="宋体" w:eastAsia="宋体" w:cs="宋体"/>
          <w:szCs w:val="22"/>
        </w:rPr>
      </w:pPr>
    </w:p>
    <w:p>
      <w:pPr>
        <w:outlineLvl w:val="9"/>
        <w:rPr>
          <w:rFonts w:ascii="宋体" w:hAnsi="宋体" w:eastAsia="宋体" w:cs="宋体"/>
          <w:szCs w:val="22"/>
        </w:rPr>
      </w:pPr>
    </w:p>
    <w:p>
      <w:pPr>
        <w:outlineLvl w:val="9"/>
        <w:rPr>
          <w:rFonts w:ascii="宋体" w:hAnsi="宋体" w:eastAsia="宋体" w:cs="宋体"/>
          <w:szCs w:val="22"/>
        </w:rPr>
      </w:pPr>
    </w:p>
    <w:p>
      <w:pPr>
        <w:outlineLvl w:val="9"/>
        <w:rPr>
          <w:rFonts w:ascii="宋体" w:hAnsi="宋体" w:eastAsia="宋体" w:cs="宋体"/>
          <w:szCs w:val="22"/>
        </w:rPr>
      </w:pPr>
    </w:p>
    <w:bookmarkEnd w:id="310"/>
    <w:bookmarkEnd w:id="311"/>
    <w:bookmarkEnd w:id="312"/>
    <w:bookmarkEnd w:id="313"/>
    <w:bookmarkEnd w:id="314"/>
    <w:bookmarkEnd w:id="315"/>
    <w:bookmarkEnd w:id="316"/>
    <w:bookmarkEnd w:id="317"/>
    <w:p>
      <w:pPr>
        <w:spacing w:line="400" w:lineRule="atLeast"/>
        <w:ind w:firstLine="540" w:firstLineChars="225"/>
        <w:outlineLvl w:val="9"/>
        <w:rPr>
          <w:rFonts w:ascii="宋体" w:hAnsi="宋体" w:cs="宋体"/>
          <w:sz w:val="24"/>
          <w:szCs w:val="24"/>
        </w:rPr>
      </w:pPr>
    </w:p>
    <w:p>
      <w:pPr>
        <w:spacing w:line="400" w:lineRule="atLeast"/>
        <w:ind w:firstLine="540" w:firstLineChars="225"/>
        <w:outlineLvl w:val="9"/>
        <w:rPr>
          <w:rFonts w:ascii="宋体" w:hAnsi="宋体" w:cs="宋体"/>
          <w:sz w:val="24"/>
          <w:szCs w:val="24"/>
        </w:rPr>
      </w:pPr>
    </w:p>
    <w:p>
      <w:pPr>
        <w:spacing w:line="360" w:lineRule="auto"/>
        <w:outlineLvl w:val="9"/>
        <w:rPr>
          <w:rFonts w:ascii="宋体" w:hAnsi="宋体" w:cs="宋体"/>
          <w:sz w:val="24"/>
          <w:szCs w:val="24"/>
        </w:rPr>
      </w:pPr>
    </w:p>
    <w:p>
      <w:pPr>
        <w:spacing w:line="360" w:lineRule="auto"/>
        <w:outlineLvl w:val="9"/>
        <w:rPr>
          <w:rFonts w:ascii="宋体" w:hAnsi="宋体" w:cs="宋体"/>
          <w:sz w:val="24"/>
          <w:szCs w:val="24"/>
        </w:rPr>
      </w:pPr>
    </w:p>
    <w:p>
      <w:pPr>
        <w:spacing w:line="360" w:lineRule="auto"/>
        <w:outlineLvl w:val="9"/>
        <w:rPr>
          <w:rFonts w:ascii="宋体" w:hAnsi="宋体" w:cs="宋体"/>
          <w:sz w:val="24"/>
          <w:szCs w:val="24"/>
        </w:rPr>
      </w:pPr>
    </w:p>
    <w:p>
      <w:pPr>
        <w:spacing w:line="360" w:lineRule="auto"/>
        <w:outlineLvl w:val="9"/>
        <w:rPr>
          <w:rFonts w:ascii="宋体" w:hAnsi="宋体" w:cs="宋体"/>
          <w:sz w:val="24"/>
          <w:szCs w:val="24"/>
        </w:rPr>
      </w:pPr>
    </w:p>
    <w:p>
      <w:pPr>
        <w:spacing w:line="360" w:lineRule="auto"/>
        <w:outlineLvl w:val="9"/>
        <w:rPr>
          <w:rFonts w:ascii="宋体" w:hAnsi="宋体" w:cs="宋体"/>
          <w:sz w:val="24"/>
          <w:szCs w:val="24"/>
        </w:rPr>
      </w:pPr>
    </w:p>
    <w:p>
      <w:pPr>
        <w:pStyle w:val="7"/>
        <w:outlineLvl w:val="9"/>
        <w:rPr>
          <w:rFonts w:hAnsi="宋体" w:cs="宋体"/>
          <w:szCs w:val="24"/>
        </w:rPr>
      </w:pPr>
    </w:p>
    <w:p>
      <w:pPr>
        <w:pStyle w:val="7"/>
        <w:outlineLvl w:val="9"/>
        <w:rPr>
          <w:rFonts w:hAnsi="宋体" w:cs="宋体"/>
          <w:szCs w:val="24"/>
        </w:rPr>
      </w:pPr>
    </w:p>
    <w:p>
      <w:pPr>
        <w:pStyle w:val="7"/>
        <w:outlineLvl w:val="9"/>
        <w:rPr>
          <w:rFonts w:hAnsi="宋体" w:cs="宋体"/>
          <w:szCs w:val="24"/>
        </w:rPr>
      </w:pPr>
    </w:p>
    <w:p>
      <w:pPr>
        <w:pStyle w:val="7"/>
        <w:outlineLvl w:val="9"/>
        <w:rPr>
          <w:rFonts w:hAnsi="宋体" w:cs="宋体"/>
          <w:szCs w:val="24"/>
        </w:rPr>
      </w:pPr>
    </w:p>
    <w:p>
      <w:pPr>
        <w:pStyle w:val="7"/>
        <w:outlineLvl w:val="9"/>
        <w:rPr>
          <w:rFonts w:hAnsi="宋体" w:cs="宋体"/>
          <w:szCs w:val="24"/>
        </w:rPr>
      </w:pPr>
    </w:p>
    <w:p>
      <w:pPr>
        <w:pStyle w:val="7"/>
        <w:outlineLvl w:val="9"/>
        <w:rPr>
          <w:rFonts w:hAnsi="宋体" w:cs="宋体"/>
          <w:szCs w:val="24"/>
        </w:rPr>
      </w:pPr>
    </w:p>
    <w:p>
      <w:pPr>
        <w:pStyle w:val="7"/>
        <w:outlineLvl w:val="9"/>
        <w:rPr>
          <w:rFonts w:hAnsi="宋体" w:cs="宋体"/>
          <w:szCs w:val="24"/>
        </w:rPr>
      </w:pPr>
    </w:p>
    <w:p>
      <w:pPr>
        <w:pStyle w:val="7"/>
        <w:outlineLvl w:val="9"/>
        <w:rPr>
          <w:rFonts w:hAnsi="宋体" w:cs="宋体"/>
          <w:szCs w:val="24"/>
        </w:rPr>
      </w:pPr>
    </w:p>
    <w:p>
      <w:pPr>
        <w:spacing w:line="360" w:lineRule="auto"/>
        <w:outlineLvl w:val="9"/>
        <w:rPr>
          <w:rFonts w:ascii="宋体" w:hAnsi="宋体" w:cs="宋体"/>
          <w:sz w:val="24"/>
          <w:szCs w:val="24"/>
        </w:rPr>
      </w:pPr>
    </w:p>
    <w:p>
      <w:pPr>
        <w:rPr>
          <w:rFonts w:hint="eastAsia" w:ascii="宋体" w:hAnsi="宋体" w:eastAsia="宋体" w:cs="宋体"/>
          <w:szCs w:val="22"/>
        </w:rPr>
      </w:pPr>
      <w:r>
        <w:rPr>
          <w:rFonts w:hint="eastAsia" w:ascii="宋体" w:hAnsi="宋体" w:eastAsia="宋体" w:cs="宋体"/>
          <w:szCs w:val="22"/>
        </w:rPr>
        <w:br w:type="page"/>
      </w:r>
    </w:p>
    <w:p>
      <w:pPr>
        <w:jc w:val="center"/>
        <w:outlineLvl w:val="1"/>
        <w:rPr>
          <w:rFonts w:ascii="宋体" w:hAnsi="宋体" w:cs="宋体"/>
          <w:b/>
          <w:bCs/>
          <w:sz w:val="40"/>
          <w:szCs w:val="40"/>
        </w:rPr>
      </w:pPr>
      <w:bookmarkStart w:id="318" w:name="_Toc15113"/>
      <w:bookmarkStart w:id="319" w:name="_Toc13201"/>
      <w:bookmarkStart w:id="320" w:name="_Toc25774"/>
      <w:r>
        <w:rPr>
          <w:rFonts w:hint="eastAsia" w:ascii="宋体" w:hAnsi="宋体" w:eastAsia="宋体" w:cs="宋体"/>
          <w:b/>
          <w:bCs/>
          <w:sz w:val="32"/>
          <w:szCs w:val="36"/>
        </w:rPr>
        <w:t>一、响应函</w:t>
      </w:r>
      <w:bookmarkEnd w:id="318"/>
      <w:bookmarkEnd w:id="319"/>
      <w:bookmarkEnd w:id="320"/>
    </w:p>
    <w:p>
      <w:pPr>
        <w:spacing w:line="360" w:lineRule="auto"/>
        <w:outlineLvl w:val="9"/>
        <w:rPr>
          <w:rFonts w:hint="eastAsia" w:ascii="宋体" w:hAnsi="宋体" w:eastAsia="宋体" w:cs="宋体"/>
          <w:sz w:val="24"/>
          <w:lang w:eastAsia="zh-CN"/>
        </w:rPr>
      </w:pPr>
      <w:bookmarkStart w:id="321" w:name="_Toc190"/>
      <w:bookmarkStart w:id="322" w:name="_Toc698"/>
      <w:bookmarkStart w:id="323" w:name="_Toc25167"/>
      <w:bookmarkStart w:id="324" w:name="_Toc465958131"/>
      <w:bookmarkStart w:id="325" w:name="_Toc21360"/>
      <w:r>
        <w:rPr>
          <w:rFonts w:hint="eastAsia" w:ascii="宋体" w:hAnsi="宋体" w:cs="宋体"/>
          <w:sz w:val="24"/>
        </w:rPr>
        <w:t>致：</w:t>
      </w:r>
      <w:r>
        <w:rPr>
          <w:rFonts w:hint="eastAsia" w:ascii="宋体" w:hAnsi="宋体" w:cs="宋体"/>
          <w:sz w:val="24"/>
          <w:lang w:eastAsia="zh-CN"/>
        </w:rPr>
        <w:t>榆林瀚海星辰项目管理有限公司</w:t>
      </w:r>
    </w:p>
    <w:p>
      <w:pPr>
        <w:spacing w:line="400" w:lineRule="atLeast"/>
        <w:ind w:firstLine="540" w:firstLineChars="225"/>
        <w:outlineLvl w:val="9"/>
        <w:rPr>
          <w:rFonts w:ascii="宋体" w:hAnsi="宋体" w:cs="宋体"/>
          <w:sz w:val="24"/>
        </w:rPr>
      </w:pPr>
      <w:r>
        <w:rPr>
          <w:rFonts w:hint="eastAsia" w:ascii="宋体" w:hAnsi="宋体" w:cs="宋体"/>
          <w:sz w:val="24"/>
        </w:rPr>
        <w:t>根据已收到贵方的采购项目编号为（采购项目编号）的（采购项目名称）的竞争性谈判文件，签字代表</w:t>
      </w:r>
      <w:r>
        <w:rPr>
          <w:rFonts w:hint="eastAsia" w:ascii="宋体" w:hAnsi="宋体" w:cs="宋体"/>
          <w:sz w:val="24"/>
          <w:u w:val="single"/>
        </w:rPr>
        <w:t xml:space="preserve">              </w:t>
      </w:r>
      <w:r>
        <w:rPr>
          <w:rFonts w:hint="eastAsia" w:ascii="宋体" w:hAnsi="宋体" w:cs="宋体"/>
          <w:sz w:val="24"/>
        </w:rPr>
        <w:t>(全名、职务)经正式授权并代表 (供应商名称、地址、统一社会信用代码）</w:t>
      </w:r>
      <w:r>
        <w:rPr>
          <w:rFonts w:hint="eastAsia" w:ascii="宋体" w:hAnsi="宋体" w:cs="宋体"/>
          <w:sz w:val="24"/>
          <w:lang w:eastAsia="zh-CN"/>
        </w:rPr>
        <w:t>。</w:t>
      </w:r>
      <w:r>
        <w:rPr>
          <w:rFonts w:hint="eastAsia" w:ascii="宋体" w:hAnsi="宋体" w:cs="宋体"/>
          <w:sz w:val="24"/>
        </w:rPr>
        <w:t>为此，我方郑重声明以下几点，并愿负法律责任。</w:t>
      </w:r>
    </w:p>
    <w:p>
      <w:pPr>
        <w:spacing w:line="360" w:lineRule="auto"/>
        <w:outlineLvl w:val="9"/>
        <w:rPr>
          <w:rFonts w:ascii="宋体" w:hAnsi="宋体" w:cs="宋体"/>
          <w:sz w:val="24"/>
        </w:rPr>
      </w:pPr>
      <w:r>
        <w:rPr>
          <w:rFonts w:hint="eastAsia" w:ascii="宋体" w:hAnsi="宋体" w:cs="宋体"/>
          <w:sz w:val="24"/>
        </w:rPr>
        <w:t xml:space="preserve">    (1) </w:t>
      </w:r>
      <w:r>
        <w:rPr>
          <w:rFonts w:hint="eastAsia" w:ascii="宋体" w:hAnsi="宋体" w:cs="宋体"/>
          <w:sz w:val="24"/>
          <w:szCs w:val="24"/>
        </w:rPr>
        <w:t>谈判函</w:t>
      </w:r>
    </w:p>
    <w:p>
      <w:pPr>
        <w:spacing w:line="360" w:lineRule="auto"/>
        <w:outlineLvl w:val="9"/>
        <w:rPr>
          <w:rFonts w:ascii="宋体" w:hAnsi="宋体" w:cs="宋体"/>
          <w:sz w:val="24"/>
        </w:rPr>
      </w:pPr>
      <w:r>
        <w:rPr>
          <w:rFonts w:hint="eastAsia" w:ascii="宋体" w:hAnsi="宋体" w:cs="宋体"/>
          <w:sz w:val="24"/>
        </w:rPr>
        <w:t xml:space="preserve">    (2) 报价一览表</w:t>
      </w:r>
    </w:p>
    <w:p>
      <w:pPr>
        <w:spacing w:line="360" w:lineRule="auto"/>
        <w:outlineLvl w:val="9"/>
        <w:rPr>
          <w:rFonts w:ascii="宋体" w:hAnsi="宋体" w:cs="宋体"/>
          <w:sz w:val="24"/>
        </w:rPr>
      </w:pPr>
      <w:r>
        <w:rPr>
          <w:rFonts w:hint="eastAsia" w:ascii="宋体" w:hAnsi="宋体" w:cs="宋体"/>
          <w:sz w:val="24"/>
        </w:rPr>
        <w:t xml:space="preserve">    (3) 按供应商须知要求提供的全部文件和竞争性谈判文件要求的响应文件。</w:t>
      </w:r>
    </w:p>
    <w:p>
      <w:pPr>
        <w:spacing w:line="360" w:lineRule="auto"/>
        <w:outlineLvl w:val="9"/>
        <w:rPr>
          <w:rFonts w:ascii="宋体" w:hAnsi="宋体" w:cs="宋体"/>
          <w:sz w:val="24"/>
        </w:rPr>
      </w:pPr>
      <w:r>
        <w:rPr>
          <w:rFonts w:hint="eastAsia" w:ascii="宋体" w:hAnsi="宋体" w:cs="宋体"/>
          <w:sz w:val="24"/>
        </w:rPr>
        <w:t xml:space="preserve">    (4) 供应商资格证明文件。</w:t>
      </w:r>
    </w:p>
    <w:p>
      <w:pPr>
        <w:spacing w:line="360" w:lineRule="auto"/>
        <w:outlineLvl w:val="9"/>
        <w:rPr>
          <w:rFonts w:ascii="宋体" w:hAnsi="宋体" w:cs="宋体"/>
          <w:sz w:val="24"/>
        </w:rPr>
      </w:pPr>
      <w:r>
        <w:rPr>
          <w:rFonts w:hint="eastAsia" w:ascii="宋体" w:hAnsi="宋体" w:cs="宋体"/>
          <w:sz w:val="24"/>
        </w:rPr>
        <w:tab/>
      </w:r>
      <w:r>
        <w:rPr>
          <w:rFonts w:hint="eastAsia" w:ascii="宋体" w:hAnsi="宋体" w:cs="宋体"/>
          <w:sz w:val="24"/>
        </w:rPr>
        <w:t>据此函，签字代表宣布同意如下：</w:t>
      </w:r>
    </w:p>
    <w:p>
      <w:pPr>
        <w:spacing w:line="360" w:lineRule="auto"/>
        <w:outlineLvl w:val="9"/>
        <w:rPr>
          <w:rFonts w:ascii="宋体" w:hAnsi="宋体" w:cs="宋体"/>
          <w:sz w:val="24"/>
          <w:u w:val="single"/>
        </w:rPr>
      </w:pPr>
      <w:r>
        <w:rPr>
          <w:rFonts w:hint="eastAsia" w:ascii="宋体" w:hAnsi="宋体" w:cs="宋体"/>
          <w:sz w:val="24"/>
        </w:rPr>
        <w:t xml:space="preserve">  </w:t>
      </w:r>
      <w:r>
        <w:rPr>
          <w:rFonts w:hint="eastAsia" w:ascii="宋体" w:hAnsi="宋体" w:cs="宋体"/>
          <w:sz w:val="24"/>
        </w:rPr>
        <w:tab/>
      </w:r>
      <w:r>
        <w:rPr>
          <w:rFonts w:hint="eastAsia" w:ascii="宋体" w:hAnsi="宋体" w:cs="宋体"/>
          <w:sz w:val="24"/>
        </w:rPr>
        <w:t>1. 所附报价一览表中规定的谈判报价为：</w:t>
      </w:r>
      <w:r>
        <w:rPr>
          <w:rFonts w:hint="eastAsia" w:ascii="宋体" w:hAnsi="宋体" w:cs="宋体"/>
          <w:sz w:val="24"/>
          <w:u w:val="single"/>
        </w:rPr>
        <w:t xml:space="preserve">        </w:t>
      </w:r>
      <w:r>
        <w:rPr>
          <w:rFonts w:hint="eastAsia" w:ascii="宋体" w:hAnsi="宋体" w:cs="宋体"/>
          <w:sz w:val="24"/>
        </w:rPr>
        <w:t>元（即：</w:t>
      </w:r>
      <w:r>
        <w:rPr>
          <w:rFonts w:hint="eastAsia" w:ascii="宋体" w:hAnsi="宋体" w:cs="宋体"/>
          <w:sz w:val="24"/>
          <w:u w:val="single"/>
        </w:rPr>
        <w:t xml:space="preserve">         大写金额</w:t>
      </w:r>
      <w:r>
        <w:rPr>
          <w:rFonts w:hint="eastAsia" w:ascii="宋体" w:hAnsi="宋体" w:cs="宋体"/>
          <w:sz w:val="24"/>
        </w:rPr>
        <w:t>），交货期</w:t>
      </w:r>
      <w:r>
        <w:rPr>
          <w:rFonts w:hint="eastAsia" w:ascii="宋体" w:hAnsi="宋体" w:cs="宋体"/>
          <w:sz w:val="24"/>
          <w:u w:val="single"/>
        </w:rPr>
        <w:t xml:space="preserve">         </w:t>
      </w:r>
      <w:r>
        <w:rPr>
          <w:rFonts w:hint="eastAsia" w:ascii="宋体" w:hAnsi="宋体" w:cs="宋体"/>
          <w:sz w:val="24"/>
        </w:rPr>
        <w:t>；</w:t>
      </w:r>
    </w:p>
    <w:p>
      <w:pPr>
        <w:spacing w:line="360" w:lineRule="auto"/>
        <w:ind w:firstLine="420"/>
        <w:outlineLvl w:val="9"/>
        <w:rPr>
          <w:rFonts w:ascii="宋体" w:hAnsi="宋体" w:cs="宋体"/>
          <w:sz w:val="24"/>
        </w:rPr>
      </w:pPr>
      <w:r>
        <w:rPr>
          <w:rFonts w:hint="eastAsia" w:ascii="宋体" w:hAnsi="宋体" w:cs="宋体"/>
          <w:sz w:val="24"/>
        </w:rPr>
        <w:t>2. 供应商将按竞争性谈判文件的规定履行合同责任和义务；</w:t>
      </w:r>
    </w:p>
    <w:p>
      <w:pPr>
        <w:spacing w:line="360" w:lineRule="auto"/>
        <w:ind w:firstLine="420"/>
        <w:outlineLvl w:val="9"/>
        <w:rPr>
          <w:rFonts w:ascii="宋体" w:hAnsi="宋体" w:cs="宋体"/>
          <w:sz w:val="24"/>
        </w:rPr>
      </w:pPr>
      <w:r>
        <w:rPr>
          <w:rFonts w:hint="eastAsia" w:ascii="宋体" w:hAnsi="宋体" w:cs="宋体"/>
          <w:sz w:val="24"/>
        </w:rPr>
        <w:t>3. 供应商已详细审查全部竞争性谈判文件，包括修改文件（如有的话）以及全部参考资料和有关附件。我们完全理解并同意放弃对这方面有不明及误解的权利；</w:t>
      </w:r>
    </w:p>
    <w:p>
      <w:pPr>
        <w:spacing w:line="360" w:lineRule="auto"/>
        <w:ind w:firstLine="420"/>
        <w:outlineLvl w:val="9"/>
        <w:rPr>
          <w:rFonts w:ascii="宋体" w:hAnsi="宋体" w:cs="宋体"/>
          <w:sz w:val="24"/>
        </w:rPr>
      </w:pPr>
      <w:r>
        <w:rPr>
          <w:rFonts w:hint="eastAsia" w:ascii="宋体" w:hAnsi="宋体" w:cs="宋体"/>
          <w:sz w:val="24"/>
        </w:rPr>
        <w:t>4. 谈判报价自谈判截止之日起有效期为</w:t>
      </w:r>
      <w:r>
        <w:rPr>
          <w:rFonts w:hint="eastAsia" w:ascii="宋体" w:hAnsi="宋体" w:cs="宋体"/>
          <w:sz w:val="24"/>
          <w:u w:val="single"/>
        </w:rPr>
        <w:t xml:space="preserve">      </w:t>
      </w:r>
      <w:r>
        <w:rPr>
          <w:rFonts w:hint="eastAsia" w:ascii="宋体" w:hAnsi="宋体" w:cs="宋体"/>
          <w:sz w:val="24"/>
        </w:rPr>
        <w:t>个日历天；</w:t>
      </w:r>
    </w:p>
    <w:p>
      <w:pPr>
        <w:spacing w:line="360" w:lineRule="auto"/>
        <w:ind w:firstLine="420"/>
        <w:outlineLvl w:val="9"/>
        <w:rPr>
          <w:rFonts w:ascii="宋体" w:hAnsi="宋体" w:cs="宋体"/>
          <w:sz w:val="24"/>
        </w:rPr>
      </w:pPr>
      <w:r>
        <w:rPr>
          <w:rFonts w:hint="eastAsia" w:ascii="宋体" w:hAnsi="宋体" w:cs="宋体"/>
          <w:sz w:val="24"/>
        </w:rPr>
        <w:t>5. 如果在规定的宣读谈判报价时间后，供应商在谈判有效期内撤回谈判报价；或入选后未按竞争性谈判文件中供应商须知规定的向采购代理机构交纳足额的招标代理服务费，其谈判保证金将被贵方没收；</w:t>
      </w:r>
    </w:p>
    <w:p>
      <w:pPr>
        <w:spacing w:line="360" w:lineRule="auto"/>
        <w:ind w:firstLine="420"/>
        <w:outlineLvl w:val="9"/>
        <w:rPr>
          <w:rFonts w:ascii="宋体" w:hAnsi="宋体" w:cs="宋体"/>
          <w:sz w:val="24"/>
        </w:rPr>
      </w:pPr>
      <w:r>
        <w:rPr>
          <w:rFonts w:hint="eastAsia" w:ascii="宋体" w:hAnsi="宋体" w:cs="宋体"/>
          <w:sz w:val="24"/>
        </w:rPr>
        <w:t>6. 供应商同意提供按照贵方可能要求的与其报价有关的一切数据或资料。</w:t>
      </w:r>
    </w:p>
    <w:p>
      <w:pPr>
        <w:spacing w:line="360" w:lineRule="auto"/>
        <w:ind w:firstLine="420"/>
        <w:outlineLvl w:val="9"/>
        <w:rPr>
          <w:rFonts w:ascii="宋体" w:hAnsi="宋体" w:cs="宋体"/>
          <w:sz w:val="24"/>
        </w:rPr>
      </w:pPr>
      <w:r>
        <w:rPr>
          <w:rFonts w:hint="eastAsia" w:ascii="宋体" w:hAnsi="宋体" w:cs="宋体"/>
          <w:sz w:val="24"/>
        </w:rPr>
        <w:t>7. 与本谈判有关的一切正式往来通讯请寄：</w:t>
      </w:r>
    </w:p>
    <w:p>
      <w:pPr>
        <w:spacing w:line="360" w:lineRule="auto"/>
        <w:ind w:firstLine="360" w:firstLineChars="150"/>
        <w:outlineLvl w:val="9"/>
        <w:rPr>
          <w:rFonts w:ascii="宋体" w:hAnsi="宋体" w:cs="宋体"/>
          <w:sz w:val="24"/>
        </w:rPr>
      </w:pPr>
      <w:r>
        <w:rPr>
          <w:rFonts w:hint="eastAsia" w:ascii="宋体" w:hAnsi="宋体" w:cs="宋体"/>
          <w:sz w:val="24"/>
        </w:rPr>
        <w:t>地址：</w:t>
      </w:r>
      <w:r>
        <w:rPr>
          <w:rFonts w:hint="eastAsia" w:ascii="宋体" w:hAnsi="宋体" w:cs="宋体"/>
          <w:sz w:val="24"/>
          <w:u w:val="single"/>
        </w:rPr>
        <w:t xml:space="preserve">                               </w:t>
      </w:r>
      <w:r>
        <w:rPr>
          <w:rFonts w:hint="eastAsia" w:ascii="宋体" w:hAnsi="宋体" w:cs="宋体"/>
          <w:sz w:val="24"/>
        </w:rPr>
        <w:t xml:space="preserve">   邮编：</w:t>
      </w:r>
      <w:r>
        <w:rPr>
          <w:rFonts w:hint="eastAsia" w:ascii="宋体" w:hAnsi="宋体" w:cs="宋体"/>
          <w:sz w:val="24"/>
          <w:u w:val="single"/>
        </w:rPr>
        <w:t xml:space="preserve">                    </w:t>
      </w:r>
    </w:p>
    <w:p>
      <w:pPr>
        <w:spacing w:line="360" w:lineRule="auto"/>
        <w:ind w:firstLine="360" w:firstLineChars="150"/>
        <w:outlineLvl w:val="9"/>
        <w:rPr>
          <w:rFonts w:ascii="宋体" w:hAnsi="宋体" w:cs="宋体"/>
          <w:sz w:val="24"/>
        </w:rPr>
      </w:pPr>
      <w:r>
        <w:rPr>
          <w:rFonts w:hint="eastAsia" w:ascii="宋体" w:hAnsi="宋体" w:cs="宋体"/>
          <w:sz w:val="24"/>
        </w:rPr>
        <w:t>电话：</w:t>
      </w:r>
      <w:r>
        <w:rPr>
          <w:rFonts w:hint="eastAsia" w:ascii="宋体" w:hAnsi="宋体" w:cs="宋体"/>
          <w:sz w:val="24"/>
          <w:u w:val="single"/>
        </w:rPr>
        <w:t xml:space="preserve">                                </w:t>
      </w:r>
      <w:r>
        <w:rPr>
          <w:rFonts w:hint="eastAsia" w:ascii="宋体" w:hAnsi="宋体" w:cs="宋体"/>
          <w:sz w:val="24"/>
        </w:rPr>
        <w:t xml:space="preserve">  传真：</w:t>
      </w:r>
      <w:r>
        <w:rPr>
          <w:rFonts w:hint="eastAsia" w:ascii="宋体" w:hAnsi="宋体" w:cs="宋体"/>
          <w:sz w:val="24"/>
          <w:u w:val="single"/>
        </w:rPr>
        <w:t xml:space="preserve">                    </w:t>
      </w:r>
      <w:r>
        <w:rPr>
          <w:rFonts w:hint="eastAsia" w:ascii="宋体" w:hAnsi="宋体" w:cs="宋体"/>
          <w:sz w:val="24"/>
        </w:rPr>
        <w:t xml:space="preserve"> </w:t>
      </w:r>
    </w:p>
    <w:p>
      <w:pPr>
        <w:spacing w:line="360" w:lineRule="auto"/>
        <w:ind w:firstLine="360" w:firstLineChars="150"/>
        <w:outlineLvl w:val="9"/>
        <w:rPr>
          <w:rFonts w:ascii="宋体" w:hAnsi="宋体" w:cs="宋体"/>
          <w:sz w:val="24"/>
        </w:rPr>
      </w:pPr>
      <w:r>
        <w:rPr>
          <w:rFonts w:hint="eastAsia" w:ascii="宋体" w:hAnsi="宋体" w:cs="宋体"/>
          <w:sz w:val="24"/>
        </w:rPr>
        <w:t>供应商代表姓名、职务：</w:t>
      </w:r>
      <w:r>
        <w:rPr>
          <w:rFonts w:hint="eastAsia" w:ascii="宋体" w:hAnsi="宋体" w:cs="宋体"/>
          <w:sz w:val="24"/>
          <w:u w:val="single"/>
        </w:rPr>
        <w:t xml:space="preserve">                                   </w:t>
      </w:r>
    </w:p>
    <w:p>
      <w:pPr>
        <w:spacing w:line="360" w:lineRule="auto"/>
        <w:ind w:firstLine="360" w:firstLineChars="150"/>
        <w:outlineLvl w:val="9"/>
        <w:rPr>
          <w:rFonts w:ascii="宋体" w:hAnsi="宋体" w:cs="宋体"/>
          <w:sz w:val="24"/>
        </w:rPr>
      </w:pPr>
      <w:r>
        <w:rPr>
          <w:rFonts w:hint="eastAsia" w:ascii="宋体" w:hAnsi="宋体" w:cs="宋体"/>
          <w:sz w:val="24"/>
        </w:rPr>
        <w:t>供应商名称：</w:t>
      </w:r>
      <w:r>
        <w:rPr>
          <w:rFonts w:hint="eastAsia" w:ascii="宋体" w:hAnsi="宋体" w:cs="宋体"/>
          <w:sz w:val="24"/>
          <w:u w:val="single"/>
        </w:rPr>
        <w:t xml:space="preserve">                    （公章）</w:t>
      </w:r>
    </w:p>
    <w:p>
      <w:pPr>
        <w:spacing w:line="360" w:lineRule="auto"/>
        <w:ind w:firstLine="360" w:firstLineChars="150"/>
        <w:outlineLvl w:val="9"/>
        <w:rPr>
          <w:rFonts w:ascii="宋体" w:hAnsi="宋体" w:cs="宋体"/>
          <w:sz w:val="24"/>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宋体"/>
          <w:sz w:val="24"/>
        </w:rPr>
        <w:t>：</w:t>
      </w:r>
      <w:r>
        <w:rPr>
          <w:rFonts w:hint="eastAsia" w:ascii="宋体" w:hAnsi="宋体" w:cs="宋体"/>
          <w:sz w:val="24"/>
          <w:u w:val="single"/>
        </w:rPr>
        <w:t xml:space="preserve">                       </w:t>
      </w:r>
    </w:p>
    <w:p>
      <w:pPr>
        <w:spacing w:line="360" w:lineRule="auto"/>
        <w:ind w:firstLine="360" w:firstLineChars="150"/>
        <w:outlineLvl w:val="9"/>
        <w:rPr>
          <w:rFonts w:ascii="宋体" w:hAnsi="宋体" w:cs="宋体"/>
        </w:rPr>
      </w:pPr>
      <w:r>
        <w:rPr>
          <w:rFonts w:hint="eastAsia" w:ascii="宋体" w:hAnsi="宋体" w:cs="宋体"/>
          <w:sz w:val="24"/>
        </w:rPr>
        <w:t xml:space="preserve">日期：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bookmarkEnd w:id="321"/>
    <w:bookmarkEnd w:id="322"/>
    <w:bookmarkEnd w:id="323"/>
    <w:bookmarkEnd w:id="324"/>
    <w:bookmarkEnd w:id="325"/>
    <w:p>
      <w:pPr>
        <w:rPr>
          <w:rFonts w:ascii="宋体" w:hAnsi="宋体" w:eastAsia="宋体" w:cs="宋体"/>
        </w:rPr>
      </w:pPr>
      <w:r>
        <w:rPr>
          <w:rFonts w:hint="eastAsia" w:ascii="宋体" w:hAnsi="宋体" w:eastAsia="宋体" w:cs="宋体"/>
        </w:rPr>
        <w:br w:type="page"/>
      </w:r>
    </w:p>
    <w:p>
      <w:pPr>
        <w:jc w:val="center"/>
        <w:outlineLvl w:val="1"/>
        <w:rPr>
          <w:rFonts w:hint="eastAsia" w:ascii="宋体" w:hAnsi="宋体" w:eastAsia="宋体" w:cs="宋体"/>
          <w:b/>
          <w:bCs/>
          <w:sz w:val="32"/>
          <w:szCs w:val="36"/>
        </w:rPr>
      </w:pPr>
      <w:bookmarkStart w:id="326" w:name="_Toc16096"/>
      <w:bookmarkStart w:id="327" w:name="_Toc7276"/>
      <w:bookmarkStart w:id="328" w:name="_Toc29850"/>
      <w:r>
        <w:rPr>
          <w:rFonts w:hint="eastAsia" w:ascii="宋体" w:hAnsi="宋体" w:eastAsia="宋体" w:cs="宋体"/>
          <w:b/>
          <w:bCs/>
          <w:sz w:val="32"/>
          <w:szCs w:val="36"/>
          <w:lang w:val="en-US" w:eastAsia="zh-CN"/>
        </w:rPr>
        <w:t>二、</w:t>
      </w:r>
      <w:r>
        <w:rPr>
          <w:rFonts w:hint="eastAsia" w:ascii="宋体" w:hAnsi="宋体" w:eastAsia="宋体" w:cs="宋体"/>
          <w:b/>
          <w:bCs/>
          <w:sz w:val="32"/>
          <w:szCs w:val="36"/>
        </w:rPr>
        <w:t>第一次谈判报价表</w:t>
      </w:r>
      <w:bookmarkEnd w:id="326"/>
      <w:bookmarkEnd w:id="327"/>
      <w:bookmarkEnd w:id="328"/>
    </w:p>
    <w:tbl>
      <w:tblPr>
        <w:tblStyle w:val="14"/>
        <w:tblW w:w="8999"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69"/>
        <w:gridCol w:w="703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482" w:hRule="atLeast"/>
        </w:trPr>
        <w:tc>
          <w:tcPr>
            <w:tcW w:w="1969" w:type="dxa"/>
            <w:tcBorders>
              <w:bottom w:val="single" w:color="auto" w:sz="4" w:space="0"/>
            </w:tcBorders>
            <w:noWrap w:val="0"/>
            <w:vAlign w:val="center"/>
          </w:tcPr>
          <w:p>
            <w:pPr>
              <w:spacing w:line="360" w:lineRule="auto"/>
              <w:jc w:val="center"/>
              <w:outlineLvl w:val="9"/>
              <w:rPr>
                <w:rFonts w:ascii="宋体" w:hAnsi="宋体" w:cs="宋体"/>
                <w:b/>
                <w:bCs/>
                <w:sz w:val="24"/>
              </w:rPr>
            </w:pPr>
            <w:bookmarkStart w:id="329" w:name="OLE_LINK14"/>
            <w:r>
              <w:rPr>
                <w:rFonts w:hint="eastAsia" w:ascii="宋体" w:hAnsi="宋体" w:cs="宋体"/>
                <w:b/>
                <w:bCs/>
                <w:sz w:val="24"/>
              </w:rPr>
              <w:t>采购项目名称</w:t>
            </w:r>
          </w:p>
        </w:tc>
        <w:tc>
          <w:tcPr>
            <w:tcW w:w="7030" w:type="dxa"/>
            <w:noWrap w:val="0"/>
            <w:vAlign w:val="center"/>
          </w:tcPr>
          <w:p>
            <w:pPr>
              <w:spacing w:line="360" w:lineRule="auto"/>
              <w:jc w:val="center"/>
              <w:outlineLvl w:val="9"/>
              <w:rPr>
                <w:rFonts w:ascii="宋体" w:hAnsi="宋体" w:cs="宋体"/>
                <w:b w:val="0"/>
                <w:bCs/>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67" w:hRule="atLeast"/>
        </w:trPr>
        <w:tc>
          <w:tcPr>
            <w:tcW w:w="1969" w:type="dxa"/>
            <w:tcBorders>
              <w:bottom w:val="single" w:color="auto" w:sz="4" w:space="0"/>
            </w:tcBorders>
            <w:noWrap w:val="0"/>
            <w:vAlign w:val="center"/>
          </w:tcPr>
          <w:p>
            <w:pPr>
              <w:spacing w:line="360" w:lineRule="auto"/>
              <w:jc w:val="center"/>
              <w:outlineLvl w:val="9"/>
              <w:rPr>
                <w:rFonts w:ascii="宋体" w:hAnsi="宋体" w:cs="宋体"/>
                <w:b/>
                <w:bCs/>
                <w:sz w:val="24"/>
              </w:rPr>
            </w:pPr>
            <w:r>
              <w:rPr>
                <w:rFonts w:hint="eastAsia" w:ascii="宋体" w:hAnsi="宋体" w:cs="宋体"/>
                <w:b/>
                <w:bCs/>
                <w:sz w:val="24"/>
              </w:rPr>
              <w:t>采购项目编号</w:t>
            </w:r>
          </w:p>
        </w:tc>
        <w:tc>
          <w:tcPr>
            <w:tcW w:w="7030" w:type="dxa"/>
            <w:tcBorders>
              <w:bottom w:val="single" w:color="auto" w:sz="4" w:space="0"/>
            </w:tcBorders>
            <w:noWrap w:val="0"/>
            <w:vAlign w:val="center"/>
          </w:tcPr>
          <w:p>
            <w:pPr>
              <w:spacing w:line="360" w:lineRule="auto"/>
              <w:jc w:val="center"/>
              <w:outlineLvl w:val="9"/>
              <w:rPr>
                <w:rFonts w:ascii="宋体" w:hAnsi="宋体" w:cs="宋体"/>
                <w:bCs/>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258" w:hRule="atLeast"/>
        </w:trPr>
        <w:tc>
          <w:tcPr>
            <w:tcW w:w="1969" w:type="dxa"/>
            <w:noWrap w:val="0"/>
            <w:vAlign w:val="center"/>
          </w:tcPr>
          <w:p>
            <w:pPr>
              <w:spacing w:line="360" w:lineRule="auto"/>
              <w:jc w:val="center"/>
              <w:outlineLvl w:val="9"/>
              <w:rPr>
                <w:rFonts w:ascii="宋体" w:hAnsi="宋体" w:cs="宋体"/>
                <w:b/>
                <w:bCs/>
                <w:sz w:val="24"/>
              </w:rPr>
            </w:pPr>
            <w:r>
              <w:rPr>
                <w:rFonts w:hint="eastAsia" w:ascii="宋体" w:hAnsi="宋体" w:cs="宋体"/>
                <w:b/>
                <w:bCs/>
                <w:sz w:val="24"/>
              </w:rPr>
              <w:t>供应商名称</w:t>
            </w:r>
          </w:p>
          <w:p>
            <w:pPr>
              <w:spacing w:line="360" w:lineRule="auto"/>
              <w:jc w:val="center"/>
              <w:outlineLvl w:val="9"/>
              <w:rPr>
                <w:rFonts w:ascii="宋体" w:hAnsi="宋体" w:cs="宋体"/>
                <w:b/>
                <w:bCs/>
                <w:sz w:val="24"/>
              </w:rPr>
            </w:pPr>
            <w:r>
              <w:rPr>
                <w:rFonts w:hint="eastAsia" w:ascii="宋体" w:hAnsi="宋体" w:cs="宋体"/>
                <w:b/>
                <w:bCs/>
                <w:sz w:val="24"/>
              </w:rPr>
              <w:t>(单位名称)</w:t>
            </w:r>
          </w:p>
        </w:tc>
        <w:tc>
          <w:tcPr>
            <w:tcW w:w="7030" w:type="dxa"/>
            <w:noWrap w:val="0"/>
            <w:vAlign w:val="center"/>
          </w:tcPr>
          <w:p>
            <w:pPr>
              <w:spacing w:line="360" w:lineRule="auto"/>
              <w:jc w:val="center"/>
              <w:outlineLvl w:val="9"/>
              <w:rPr>
                <w:rFonts w:ascii="宋体" w:hAnsi="宋体" w:cs="宋体"/>
                <w:b/>
                <w:bCs/>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115" w:hRule="atLeast"/>
        </w:trPr>
        <w:tc>
          <w:tcPr>
            <w:tcW w:w="1969" w:type="dxa"/>
            <w:noWrap w:val="0"/>
            <w:vAlign w:val="center"/>
          </w:tcPr>
          <w:p>
            <w:pPr>
              <w:spacing w:line="360" w:lineRule="auto"/>
              <w:jc w:val="center"/>
              <w:outlineLvl w:val="9"/>
              <w:rPr>
                <w:rFonts w:ascii="宋体" w:hAnsi="宋体" w:cs="宋体"/>
                <w:b/>
                <w:bCs/>
                <w:sz w:val="24"/>
              </w:rPr>
            </w:pPr>
            <w:r>
              <w:rPr>
                <w:rFonts w:hint="eastAsia" w:ascii="宋体" w:hAnsi="宋体" w:cs="宋体"/>
                <w:b/>
                <w:bCs/>
                <w:sz w:val="24"/>
              </w:rPr>
              <w:t>谈判报价</w:t>
            </w:r>
          </w:p>
          <w:p>
            <w:pPr>
              <w:spacing w:line="360" w:lineRule="auto"/>
              <w:jc w:val="center"/>
              <w:outlineLvl w:val="9"/>
              <w:rPr>
                <w:rFonts w:ascii="宋体" w:hAnsi="宋体" w:cs="宋体"/>
                <w:b/>
                <w:bCs/>
                <w:sz w:val="24"/>
              </w:rPr>
            </w:pPr>
            <w:r>
              <w:rPr>
                <w:rFonts w:hint="eastAsia" w:ascii="宋体" w:hAnsi="宋体" w:cs="宋体"/>
                <w:b/>
                <w:bCs/>
                <w:sz w:val="24"/>
              </w:rPr>
              <w:t>（人民币）</w:t>
            </w:r>
          </w:p>
        </w:tc>
        <w:tc>
          <w:tcPr>
            <w:tcW w:w="7030" w:type="dxa"/>
            <w:noWrap w:val="0"/>
            <w:vAlign w:val="top"/>
          </w:tcPr>
          <w:p>
            <w:pPr>
              <w:spacing w:line="360" w:lineRule="auto"/>
              <w:outlineLvl w:val="9"/>
              <w:rPr>
                <w:rFonts w:ascii="宋体" w:hAnsi="宋体" w:cs="宋体"/>
                <w:b/>
                <w:bCs/>
                <w:sz w:val="24"/>
              </w:rPr>
            </w:pPr>
          </w:p>
          <w:p>
            <w:pPr>
              <w:spacing w:line="360" w:lineRule="auto"/>
              <w:outlineLvl w:val="9"/>
              <w:rPr>
                <w:rFonts w:ascii="宋体" w:hAnsi="宋体" w:cs="宋体"/>
                <w:b/>
                <w:bCs/>
                <w:sz w:val="24"/>
              </w:rPr>
            </w:pPr>
            <w:r>
              <w:rPr>
                <w:rFonts w:hint="eastAsia" w:ascii="宋体" w:hAnsi="宋体" w:cs="宋体"/>
                <w:b/>
                <w:bCs/>
                <w:sz w:val="24"/>
              </w:rPr>
              <w:t>人 民 币（大写）：</w:t>
            </w:r>
            <w:r>
              <w:rPr>
                <w:rFonts w:hint="eastAsia" w:ascii="宋体" w:hAnsi="宋体" w:cs="宋体"/>
                <w:b/>
                <w:bCs/>
                <w:sz w:val="24"/>
                <w:u w:val="single"/>
              </w:rPr>
              <w:t xml:space="preserve">                  </w:t>
            </w:r>
            <w:r>
              <w:rPr>
                <w:rFonts w:hint="eastAsia" w:ascii="宋体" w:hAnsi="宋体" w:cs="宋体"/>
                <w:b/>
                <w:bCs/>
                <w:sz w:val="24"/>
              </w:rPr>
              <w:t xml:space="preserve"> 元</w:t>
            </w:r>
          </w:p>
          <w:p>
            <w:pPr>
              <w:spacing w:line="360" w:lineRule="auto"/>
              <w:outlineLvl w:val="9"/>
              <w:rPr>
                <w:rFonts w:ascii="宋体" w:hAnsi="宋体" w:cs="宋体"/>
                <w:b/>
                <w:bCs/>
                <w:sz w:val="24"/>
              </w:rPr>
            </w:pPr>
          </w:p>
          <w:p>
            <w:pPr>
              <w:spacing w:line="360" w:lineRule="auto"/>
              <w:outlineLvl w:val="9"/>
              <w:rPr>
                <w:rFonts w:ascii="宋体" w:hAnsi="宋体" w:cs="宋体"/>
                <w:b/>
                <w:bCs/>
                <w:sz w:val="24"/>
              </w:rPr>
            </w:pPr>
            <w:r>
              <w:rPr>
                <w:rFonts w:hint="eastAsia" w:ascii="宋体" w:hAnsi="宋体" w:cs="宋体"/>
                <w:b/>
                <w:bCs/>
                <w:sz w:val="24"/>
              </w:rPr>
              <w:t>人 民 币（小写）：</w:t>
            </w:r>
            <w:r>
              <w:rPr>
                <w:rFonts w:hint="eastAsia" w:ascii="宋体" w:hAnsi="宋体" w:cs="宋体"/>
                <w:b/>
                <w:bCs/>
                <w:sz w:val="24"/>
                <w:u w:val="single"/>
              </w:rPr>
              <w:t xml:space="preserve">                 </w:t>
            </w:r>
            <w:r>
              <w:rPr>
                <w:rFonts w:hint="eastAsia" w:ascii="宋体" w:hAnsi="宋体" w:cs="宋体"/>
                <w:b/>
                <w:bCs/>
                <w:sz w:val="24"/>
              </w:rPr>
              <w:t xml:space="preserve"> 元</w:t>
            </w:r>
          </w:p>
          <w:p>
            <w:pPr>
              <w:spacing w:line="360" w:lineRule="auto"/>
              <w:outlineLvl w:val="9"/>
              <w:rPr>
                <w:rFonts w:ascii="宋体" w:hAnsi="宋体" w:cs="宋体"/>
                <w:b/>
                <w:bCs/>
                <w:sz w:val="24"/>
              </w:rPr>
            </w:pPr>
            <w:r>
              <w:rPr>
                <w:rFonts w:hint="eastAsia" w:ascii="宋体" w:hAnsi="宋体" w:cs="宋体"/>
                <w:b/>
                <w:bCs/>
                <w:sz w:val="24"/>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39" w:hRule="atLeast"/>
        </w:trPr>
        <w:tc>
          <w:tcPr>
            <w:tcW w:w="1969" w:type="dxa"/>
            <w:noWrap w:val="0"/>
            <w:vAlign w:val="center"/>
          </w:tcPr>
          <w:p>
            <w:pPr>
              <w:spacing w:line="360" w:lineRule="auto"/>
              <w:jc w:val="center"/>
              <w:outlineLvl w:val="9"/>
              <w:rPr>
                <w:rFonts w:ascii="宋体" w:hAnsi="宋体" w:cs="宋体"/>
                <w:b/>
                <w:bCs/>
                <w:sz w:val="24"/>
              </w:rPr>
            </w:pPr>
            <w:r>
              <w:rPr>
                <w:rFonts w:hint="eastAsia" w:ascii="宋体" w:hAnsi="宋体" w:cs="宋体"/>
                <w:b/>
                <w:bCs/>
                <w:sz w:val="24"/>
                <w:lang w:val="en-US" w:eastAsia="zh-CN"/>
              </w:rPr>
              <w:t>服务</w:t>
            </w:r>
            <w:r>
              <w:rPr>
                <w:rFonts w:hint="eastAsia" w:ascii="宋体" w:hAnsi="宋体" w:cs="宋体"/>
                <w:b/>
                <w:bCs/>
                <w:sz w:val="24"/>
              </w:rPr>
              <w:t>期</w:t>
            </w:r>
          </w:p>
        </w:tc>
        <w:tc>
          <w:tcPr>
            <w:tcW w:w="7030" w:type="dxa"/>
            <w:noWrap w:val="0"/>
            <w:vAlign w:val="top"/>
          </w:tcPr>
          <w:p>
            <w:pPr>
              <w:spacing w:line="360" w:lineRule="auto"/>
              <w:outlineLvl w:val="9"/>
              <w:rPr>
                <w:rFonts w:ascii="宋体" w:hAnsi="宋体" w:cs="宋体"/>
                <w:b/>
                <w:bCs/>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77" w:hRule="atLeast"/>
        </w:trPr>
        <w:tc>
          <w:tcPr>
            <w:tcW w:w="1969" w:type="dxa"/>
            <w:noWrap w:val="0"/>
            <w:vAlign w:val="center"/>
          </w:tcPr>
          <w:p>
            <w:pPr>
              <w:spacing w:line="360" w:lineRule="auto"/>
              <w:jc w:val="center"/>
              <w:outlineLvl w:val="9"/>
              <w:rPr>
                <w:rFonts w:hint="eastAsia" w:ascii="宋体" w:hAnsi="宋体" w:eastAsia="宋体" w:cs="宋体"/>
                <w:b/>
                <w:bCs/>
                <w:sz w:val="24"/>
                <w:lang w:eastAsia="zh-CN"/>
              </w:rPr>
            </w:pPr>
            <w:r>
              <w:rPr>
                <w:rFonts w:hint="eastAsia" w:ascii="宋体" w:hAnsi="宋体" w:cs="宋体"/>
                <w:b/>
                <w:bCs/>
                <w:sz w:val="24"/>
                <w:lang w:val="en-US" w:eastAsia="zh-CN"/>
              </w:rPr>
              <w:t>备注</w:t>
            </w:r>
          </w:p>
        </w:tc>
        <w:tc>
          <w:tcPr>
            <w:tcW w:w="7030" w:type="dxa"/>
            <w:noWrap w:val="0"/>
            <w:vAlign w:val="top"/>
          </w:tcPr>
          <w:p>
            <w:pPr>
              <w:spacing w:line="360" w:lineRule="auto"/>
              <w:outlineLvl w:val="9"/>
              <w:rPr>
                <w:rFonts w:ascii="宋体" w:hAnsi="宋体" w:cs="宋体"/>
                <w:b/>
                <w:bCs/>
                <w:sz w:val="24"/>
              </w:rPr>
            </w:pPr>
          </w:p>
        </w:tc>
      </w:tr>
      <w:bookmarkEnd w:id="329"/>
    </w:tbl>
    <w:p>
      <w:pPr>
        <w:spacing w:line="360" w:lineRule="auto"/>
        <w:ind w:right="-161"/>
        <w:outlineLvl w:val="9"/>
        <w:rPr>
          <w:rFonts w:hint="eastAsia" w:ascii="宋体" w:hAnsi="宋体" w:cs="宋体"/>
          <w:sz w:val="24"/>
          <w:szCs w:val="24"/>
        </w:rPr>
      </w:pPr>
    </w:p>
    <w:p>
      <w:pPr>
        <w:pStyle w:val="7"/>
        <w:outlineLvl w:val="9"/>
        <w:rPr>
          <w:rFonts w:hAnsi="宋体" w:cs="宋体"/>
          <w:szCs w:val="24"/>
        </w:rPr>
      </w:pPr>
    </w:p>
    <w:p>
      <w:pPr>
        <w:pStyle w:val="7"/>
        <w:outlineLvl w:val="9"/>
        <w:rPr>
          <w:rFonts w:hAnsi="宋体" w:cs="宋体"/>
          <w:szCs w:val="24"/>
        </w:rPr>
      </w:pPr>
    </w:p>
    <w:p>
      <w:pPr>
        <w:pStyle w:val="7"/>
        <w:outlineLvl w:val="9"/>
        <w:rPr>
          <w:rFonts w:hAnsi="宋体" w:cs="宋体"/>
          <w:szCs w:val="24"/>
        </w:rPr>
      </w:pPr>
    </w:p>
    <w:p>
      <w:pPr>
        <w:spacing w:line="360" w:lineRule="auto"/>
        <w:ind w:right="-161"/>
        <w:outlineLvl w:val="9"/>
        <w:rPr>
          <w:rFonts w:ascii="宋体" w:hAnsi="宋体" w:cs="宋体"/>
          <w:sz w:val="24"/>
          <w:szCs w:val="24"/>
        </w:rPr>
      </w:pPr>
    </w:p>
    <w:p>
      <w:pPr>
        <w:spacing w:line="360" w:lineRule="auto"/>
        <w:ind w:right="-161" w:firstLine="2640" w:firstLineChars="1100"/>
        <w:outlineLvl w:val="9"/>
        <w:rPr>
          <w:rFonts w:ascii="宋体" w:hAnsi="宋体" w:cs="宋体"/>
          <w:sz w:val="24"/>
          <w:szCs w:val="24"/>
        </w:rPr>
      </w:pPr>
      <w:r>
        <w:rPr>
          <w:rFonts w:hint="eastAsia" w:ascii="宋体" w:hAnsi="宋体" w:cs="宋体"/>
          <w:sz w:val="24"/>
          <w:szCs w:val="24"/>
        </w:rPr>
        <w:t>法定代表人或被授权代表（签字或盖章）：</w:t>
      </w:r>
      <w:r>
        <w:rPr>
          <w:rFonts w:hint="eastAsia" w:ascii="宋体" w:hAnsi="宋体" w:cs="宋体"/>
          <w:sz w:val="24"/>
          <w:szCs w:val="24"/>
          <w:u w:val="single"/>
        </w:rPr>
        <w:t xml:space="preserve">                 </w:t>
      </w:r>
      <w:r>
        <w:rPr>
          <w:rFonts w:hint="eastAsia" w:ascii="宋体" w:hAnsi="宋体" w:cs="宋体"/>
          <w:sz w:val="24"/>
          <w:szCs w:val="24"/>
        </w:rPr>
        <w:t xml:space="preserve">                 </w:t>
      </w:r>
    </w:p>
    <w:p>
      <w:pPr>
        <w:spacing w:line="360" w:lineRule="auto"/>
        <w:ind w:right="-161" w:firstLine="2640" w:firstLineChars="1100"/>
        <w:outlineLvl w:val="9"/>
        <w:rPr>
          <w:rFonts w:ascii="宋体" w:hAnsi="宋体" w:cs="宋体"/>
          <w:sz w:val="24"/>
          <w:szCs w:val="24"/>
        </w:rPr>
      </w:pPr>
      <w:r>
        <w:rPr>
          <w:rFonts w:hint="eastAsia" w:ascii="宋体" w:hAnsi="宋体" w:cs="宋体"/>
          <w:sz w:val="24"/>
          <w:szCs w:val="24"/>
        </w:rPr>
        <w:t>供       应       商（公        章）：</w:t>
      </w:r>
      <w:r>
        <w:rPr>
          <w:rFonts w:hint="eastAsia" w:ascii="宋体" w:hAnsi="宋体" w:cs="宋体"/>
          <w:sz w:val="24"/>
          <w:szCs w:val="24"/>
          <w:u w:val="single"/>
        </w:rPr>
        <w:t xml:space="preserve">                                    </w:t>
      </w:r>
    </w:p>
    <w:p>
      <w:pPr>
        <w:spacing w:line="360" w:lineRule="auto"/>
        <w:ind w:firstLine="2640" w:firstLineChars="1100"/>
        <w:outlineLvl w:val="9"/>
        <w:rPr>
          <w:rFonts w:ascii="宋体" w:hAnsi="宋体" w:cs="宋体"/>
          <w:sz w:val="24"/>
          <w:szCs w:val="24"/>
        </w:rPr>
      </w:pPr>
      <w:r>
        <w:rPr>
          <w:rFonts w:hint="eastAsia" w:ascii="宋体" w:hAnsi="宋体" w:cs="宋体"/>
          <w:sz w:val="24"/>
          <w:szCs w:val="24"/>
        </w:rPr>
        <w:t>日                              期  ：</w:t>
      </w:r>
      <w:r>
        <w:rPr>
          <w:rFonts w:hint="eastAsia" w:ascii="宋体" w:hAnsi="宋体" w:cs="宋体"/>
          <w:sz w:val="24"/>
          <w:szCs w:val="24"/>
          <w:u w:val="single"/>
        </w:rPr>
        <w:t xml:space="preserve">                            </w:t>
      </w:r>
    </w:p>
    <w:p>
      <w:pPr>
        <w:outlineLvl w:val="9"/>
        <w:rPr>
          <w:rFonts w:hint="eastAsia"/>
        </w:rPr>
      </w:pPr>
      <w:bookmarkStart w:id="330" w:name="_Toc23496"/>
      <w:bookmarkStart w:id="331" w:name="_Toc9067"/>
      <w:bookmarkStart w:id="332" w:name="_Toc8483"/>
      <w:bookmarkStart w:id="333" w:name="_Toc29346"/>
      <w:bookmarkStart w:id="334" w:name="_Toc27665"/>
      <w:bookmarkStart w:id="335" w:name="_Toc30603"/>
      <w:bookmarkStart w:id="336" w:name="_Toc29567"/>
      <w:bookmarkStart w:id="337" w:name="_Toc465958133"/>
      <w:bookmarkStart w:id="338" w:name="_Toc31054"/>
      <w:bookmarkStart w:id="339" w:name="_Toc14320"/>
      <w:bookmarkStart w:id="340" w:name="_Toc26959"/>
      <w:bookmarkStart w:id="341" w:name="_Toc25449"/>
      <w:bookmarkStart w:id="342" w:name="_Toc7129"/>
      <w:bookmarkStart w:id="343" w:name="_Toc30297"/>
    </w:p>
    <w:p>
      <w:r>
        <w:rPr>
          <w:rFonts w:hint="eastAsia"/>
        </w:rPr>
        <w:br w:type="page"/>
      </w:r>
      <w:bookmarkEnd w:id="330"/>
    </w:p>
    <w:p>
      <w:pPr>
        <w:spacing w:line="480" w:lineRule="auto"/>
        <w:ind w:right="-161"/>
        <w:jc w:val="center"/>
        <w:outlineLvl w:val="1"/>
        <w:rPr>
          <w:rFonts w:ascii="宋体" w:hAnsi="宋体" w:cs="宋体"/>
          <w:b/>
          <w:bCs/>
          <w:sz w:val="24"/>
          <w:szCs w:val="24"/>
          <w:u w:val="single"/>
        </w:rPr>
      </w:pPr>
      <w:bookmarkStart w:id="344" w:name="_Toc9795"/>
      <w:bookmarkStart w:id="345" w:name="_Toc7877"/>
      <w:bookmarkStart w:id="346" w:name="_Toc22255"/>
      <w:r>
        <w:rPr>
          <w:rFonts w:hint="eastAsia"/>
          <w:b/>
          <w:bCs/>
          <w:sz w:val="36"/>
          <w:szCs w:val="16"/>
        </w:rPr>
        <w:t>三、资格证明文件</w:t>
      </w:r>
      <w:bookmarkEnd w:id="331"/>
      <w:bookmarkEnd w:id="332"/>
      <w:bookmarkEnd w:id="333"/>
      <w:bookmarkEnd w:id="334"/>
      <w:bookmarkEnd w:id="335"/>
      <w:bookmarkEnd w:id="336"/>
      <w:bookmarkEnd w:id="344"/>
      <w:bookmarkEnd w:id="345"/>
      <w:bookmarkEnd w:id="346"/>
    </w:p>
    <w:p>
      <w:pPr>
        <w:spacing w:line="360" w:lineRule="auto"/>
        <w:ind w:firstLine="482" w:firstLineChars="200"/>
        <w:outlineLvl w:val="9"/>
        <w:rPr>
          <w:b/>
          <w:bCs/>
        </w:rPr>
      </w:pPr>
      <w:r>
        <w:rPr>
          <w:rFonts w:hint="eastAsia" w:ascii="宋体" w:hAnsi="宋体" w:cs="宋体"/>
          <w:b/>
          <w:bCs/>
          <w:sz w:val="24"/>
          <w:szCs w:val="24"/>
        </w:rPr>
        <w:t>谈判响应文件中附以下资质证明文件的复印件加盖公章。</w:t>
      </w:r>
    </w:p>
    <w:p>
      <w:pPr>
        <w:spacing w:line="360" w:lineRule="auto"/>
        <w:ind w:firstLine="720" w:firstLineChars="300"/>
        <w:outlineLvl w:val="9"/>
        <w:rPr>
          <w:rFonts w:ascii="宋体" w:hAnsi="宋体" w:cs="仿宋_GB2312"/>
          <w:bCs/>
          <w:kern w:val="0"/>
          <w:sz w:val="24"/>
          <w:szCs w:val="24"/>
        </w:rPr>
      </w:pPr>
      <w:r>
        <w:rPr>
          <w:rFonts w:hint="eastAsia" w:ascii="宋体" w:hAnsi="宋体" w:cs="宋体"/>
          <w:kern w:val="0"/>
          <w:sz w:val="24"/>
          <w:szCs w:val="24"/>
        </w:rPr>
        <w:t>1、供应商为本项目提供的资格证明要求见供应商须知前附表；</w:t>
      </w:r>
    </w:p>
    <w:p>
      <w:pPr>
        <w:spacing w:line="360" w:lineRule="auto"/>
        <w:ind w:firstLine="720" w:firstLineChars="300"/>
        <w:outlineLvl w:val="9"/>
        <w:rPr>
          <w:rFonts w:ascii="宋体" w:hAnsi="宋体" w:cs="仿宋_GB2312"/>
          <w:bCs/>
          <w:kern w:val="0"/>
          <w:sz w:val="24"/>
          <w:szCs w:val="24"/>
        </w:rPr>
      </w:pPr>
      <w:r>
        <w:rPr>
          <w:rFonts w:hint="eastAsia" w:ascii="宋体" w:hAnsi="宋体" w:cs="仿宋_GB2312"/>
          <w:bCs/>
          <w:kern w:val="0"/>
          <w:sz w:val="24"/>
          <w:szCs w:val="24"/>
        </w:rPr>
        <w:t>2、供应商按照谈判文件要求提供本项目所需要的其他资质证明材料。</w:t>
      </w:r>
    </w:p>
    <w:p>
      <w:pPr>
        <w:spacing w:line="360" w:lineRule="auto"/>
        <w:ind w:firstLine="720" w:firstLineChars="300"/>
        <w:outlineLvl w:val="9"/>
      </w:pPr>
      <w:r>
        <w:rPr>
          <w:rFonts w:hint="eastAsia" w:ascii="宋体" w:hAnsi="宋体" w:cs="仿宋_GB2312"/>
          <w:bCs/>
          <w:kern w:val="0"/>
          <w:sz w:val="24"/>
          <w:szCs w:val="24"/>
        </w:rPr>
        <w:t>3、其他可以证明供应商实力的文件。</w:t>
      </w:r>
    </w:p>
    <w:p>
      <w:pPr>
        <w:pStyle w:val="9"/>
        <w:outlineLvl w:val="9"/>
      </w:pPr>
    </w:p>
    <w:p>
      <w:pPr>
        <w:outlineLvl w:val="9"/>
        <w:rPr>
          <w:rFonts w:ascii="宋体" w:hAnsi="宋体" w:eastAsia="宋体" w:cs="宋体"/>
          <w:szCs w:val="22"/>
        </w:rPr>
      </w:pPr>
    </w:p>
    <w:p>
      <w:pPr>
        <w:outlineLvl w:val="9"/>
        <w:rPr>
          <w:rFonts w:ascii="宋体" w:hAnsi="宋体" w:eastAsia="宋体" w:cs="宋体"/>
          <w:szCs w:val="22"/>
        </w:rPr>
      </w:pPr>
    </w:p>
    <w:p>
      <w:pPr>
        <w:outlineLvl w:val="9"/>
        <w:rPr>
          <w:rFonts w:ascii="宋体" w:hAnsi="宋体" w:eastAsia="宋体" w:cs="宋体"/>
          <w:szCs w:val="22"/>
        </w:rPr>
      </w:pPr>
    </w:p>
    <w:p>
      <w:pPr>
        <w:outlineLvl w:val="9"/>
        <w:rPr>
          <w:rFonts w:ascii="宋体" w:hAnsi="宋体" w:eastAsia="宋体" w:cs="宋体"/>
          <w:szCs w:val="22"/>
        </w:rPr>
      </w:pPr>
    </w:p>
    <w:p>
      <w:pPr>
        <w:outlineLvl w:val="9"/>
        <w:rPr>
          <w:rFonts w:ascii="宋体" w:hAnsi="宋体" w:cs="宋体"/>
          <w:szCs w:val="22"/>
        </w:rPr>
      </w:pPr>
    </w:p>
    <w:p>
      <w:pPr>
        <w:pStyle w:val="9"/>
        <w:outlineLvl w:val="9"/>
        <w:rPr>
          <w:rFonts w:ascii="宋体" w:hAnsi="宋体" w:cs="宋体"/>
          <w:szCs w:val="22"/>
        </w:rPr>
      </w:pPr>
    </w:p>
    <w:p>
      <w:pPr>
        <w:pStyle w:val="9"/>
        <w:outlineLvl w:val="9"/>
        <w:rPr>
          <w:rFonts w:ascii="宋体" w:hAnsi="宋体" w:cs="宋体"/>
          <w:szCs w:val="22"/>
        </w:rPr>
      </w:pPr>
    </w:p>
    <w:p>
      <w:pPr>
        <w:pStyle w:val="9"/>
        <w:outlineLvl w:val="9"/>
        <w:rPr>
          <w:rFonts w:ascii="宋体" w:hAnsi="宋体" w:cs="宋体"/>
          <w:szCs w:val="22"/>
        </w:rPr>
      </w:pPr>
    </w:p>
    <w:p>
      <w:pPr>
        <w:pStyle w:val="9"/>
        <w:outlineLvl w:val="9"/>
        <w:rPr>
          <w:rFonts w:ascii="宋体" w:hAnsi="宋体" w:cs="宋体"/>
          <w:szCs w:val="22"/>
        </w:rPr>
      </w:pPr>
    </w:p>
    <w:p>
      <w:pPr>
        <w:pStyle w:val="9"/>
        <w:outlineLvl w:val="9"/>
        <w:rPr>
          <w:rFonts w:ascii="宋体" w:hAnsi="宋体" w:cs="宋体"/>
          <w:szCs w:val="22"/>
        </w:rPr>
      </w:pPr>
    </w:p>
    <w:p>
      <w:pPr>
        <w:pStyle w:val="9"/>
        <w:outlineLvl w:val="9"/>
        <w:rPr>
          <w:rFonts w:ascii="宋体" w:hAnsi="宋体" w:cs="宋体"/>
          <w:szCs w:val="22"/>
        </w:rPr>
      </w:pPr>
    </w:p>
    <w:p>
      <w:pPr>
        <w:pStyle w:val="9"/>
        <w:outlineLvl w:val="9"/>
        <w:rPr>
          <w:rFonts w:ascii="宋体" w:hAnsi="宋体" w:cs="宋体"/>
          <w:szCs w:val="22"/>
        </w:rPr>
      </w:pPr>
    </w:p>
    <w:p>
      <w:pPr>
        <w:pStyle w:val="9"/>
        <w:outlineLvl w:val="9"/>
        <w:rPr>
          <w:rFonts w:ascii="宋体" w:hAnsi="宋体" w:cs="宋体"/>
          <w:szCs w:val="22"/>
        </w:rPr>
      </w:pPr>
    </w:p>
    <w:p>
      <w:pPr>
        <w:pStyle w:val="9"/>
        <w:outlineLvl w:val="9"/>
        <w:rPr>
          <w:rFonts w:ascii="宋体" w:hAnsi="宋体" w:cs="宋体"/>
          <w:szCs w:val="22"/>
        </w:rPr>
      </w:pPr>
    </w:p>
    <w:p>
      <w:pPr>
        <w:pStyle w:val="9"/>
        <w:outlineLvl w:val="9"/>
        <w:rPr>
          <w:rFonts w:ascii="宋体" w:hAnsi="宋体" w:cs="宋体"/>
          <w:szCs w:val="22"/>
        </w:rPr>
      </w:pPr>
    </w:p>
    <w:p>
      <w:pPr>
        <w:pStyle w:val="9"/>
        <w:outlineLvl w:val="9"/>
        <w:rPr>
          <w:rFonts w:ascii="宋体" w:hAnsi="宋体" w:cs="宋体"/>
          <w:szCs w:val="22"/>
        </w:rPr>
      </w:pPr>
    </w:p>
    <w:p>
      <w:pPr>
        <w:pStyle w:val="9"/>
        <w:outlineLvl w:val="9"/>
        <w:rPr>
          <w:rFonts w:ascii="宋体" w:hAnsi="宋体" w:cs="宋体"/>
          <w:szCs w:val="22"/>
        </w:rPr>
      </w:pPr>
    </w:p>
    <w:p>
      <w:pPr>
        <w:pStyle w:val="9"/>
        <w:outlineLvl w:val="9"/>
        <w:rPr>
          <w:rFonts w:ascii="宋体" w:hAnsi="宋体" w:cs="宋体"/>
          <w:szCs w:val="22"/>
        </w:rPr>
      </w:pPr>
    </w:p>
    <w:p>
      <w:pPr>
        <w:pStyle w:val="9"/>
        <w:outlineLvl w:val="9"/>
        <w:rPr>
          <w:rFonts w:ascii="宋体" w:hAnsi="宋体" w:cs="宋体"/>
          <w:szCs w:val="22"/>
        </w:rPr>
      </w:pPr>
    </w:p>
    <w:p>
      <w:pPr>
        <w:pStyle w:val="9"/>
        <w:outlineLvl w:val="9"/>
        <w:rPr>
          <w:rFonts w:ascii="宋体" w:hAnsi="宋体" w:cs="宋体"/>
          <w:szCs w:val="22"/>
        </w:rPr>
      </w:pPr>
    </w:p>
    <w:p>
      <w:pPr>
        <w:pStyle w:val="9"/>
        <w:outlineLvl w:val="9"/>
        <w:rPr>
          <w:rFonts w:ascii="宋体" w:hAnsi="宋体" w:cs="宋体"/>
          <w:szCs w:val="22"/>
        </w:rPr>
      </w:pPr>
    </w:p>
    <w:p>
      <w:pPr>
        <w:pStyle w:val="9"/>
        <w:outlineLvl w:val="9"/>
        <w:rPr>
          <w:rFonts w:ascii="宋体" w:hAnsi="宋体" w:cs="宋体"/>
          <w:szCs w:val="22"/>
        </w:rPr>
      </w:pPr>
    </w:p>
    <w:p>
      <w:pPr>
        <w:pStyle w:val="9"/>
        <w:outlineLvl w:val="9"/>
        <w:rPr>
          <w:rFonts w:ascii="宋体" w:hAnsi="宋体" w:cs="宋体"/>
          <w:szCs w:val="22"/>
        </w:rPr>
      </w:pPr>
    </w:p>
    <w:p>
      <w:pPr>
        <w:pStyle w:val="9"/>
        <w:jc w:val="both"/>
        <w:outlineLvl w:val="9"/>
        <w:rPr>
          <w:rFonts w:ascii="宋体" w:hAnsi="宋体" w:cs="宋体"/>
          <w:b/>
          <w:sz w:val="32"/>
          <w:szCs w:val="22"/>
        </w:rPr>
        <w:sectPr>
          <w:type w:val="continuous"/>
          <w:pgSz w:w="11906" w:h="16838"/>
          <w:pgMar w:top="1440" w:right="1800" w:bottom="1440" w:left="1800" w:header="720" w:footer="720" w:gutter="0"/>
          <w:pgNumType w:fmt="decimal"/>
          <w:cols w:space="720" w:num="1"/>
          <w:docGrid w:type="lines" w:linePitch="312" w:charSpace="0"/>
        </w:sectPr>
      </w:pPr>
    </w:p>
    <w:p>
      <w:pPr>
        <w:spacing w:line="360" w:lineRule="atLeast"/>
        <w:outlineLvl w:val="9"/>
        <w:rPr>
          <w:rFonts w:ascii="宋体" w:hAnsi="宋体" w:cs="宋体"/>
          <w:b/>
          <w:bCs/>
          <w:sz w:val="28"/>
          <w:szCs w:val="28"/>
        </w:rPr>
      </w:pPr>
      <w:r>
        <w:rPr>
          <w:rFonts w:hint="eastAsia" w:ascii="宋体" w:hAnsi="宋体" w:cs="宋体"/>
          <w:b/>
          <w:bCs/>
          <w:sz w:val="28"/>
          <w:szCs w:val="28"/>
        </w:rPr>
        <w:t>附件：</w:t>
      </w:r>
    </w:p>
    <w:p>
      <w:pPr>
        <w:pStyle w:val="13"/>
        <w:widowControl/>
        <w:shd w:val="clear" w:color="060000" w:fill="FFFFFF"/>
        <w:adjustRightInd w:val="0"/>
        <w:snapToGrid w:val="0"/>
        <w:spacing w:before="0" w:beforeAutospacing="0" w:after="150" w:afterAutospacing="0" w:line="500" w:lineRule="exact"/>
        <w:ind w:firstLine="480"/>
        <w:jc w:val="center"/>
        <w:outlineLvl w:val="9"/>
        <w:rPr>
          <w:rFonts w:ascii="宋体" w:hAnsi="宋体" w:cs="宋体"/>
          <w:color w:val="333333"/>
          <w:szCs w:val="24"/>
        </w:rPr>
      </w:pPr>
      <w:r>
        <w:rPr>
          <w:rFonts w:hint="eastAsia" w:ascii="宋体" w:hAnsi="宋体" w:cs="宋体"/>
          <w:b/>
          <w:bCs/>
          <w:color w:val="333333"/>
          <w:sz w:val="36"/>
          <w:szCs w:val="36"/>
          <w:shd w:val="clear" w:color="070000" w:fill="FFFFFF"/>
        </w:rPr>
        <w:t>榆林市政府采购</w:t>
      </w:r>
      <w:r>
        <w:rPr>
          <w:rFonts w:hint="eastAsia" w:ascii="宋体" w:hAnsi="宋体" w:cs="宋体"/>
          <w:b/>
          <w:bCs/>
          <w:color w:val="333333"/>
          <w:sz w:val="36"/>
          <w:szCs w:val="36"/>
          <w:shd w:val="clear" w:color="070000" w:fill="FFFFFF"/>
          <w:lang w:val="en-US" w:eastAsia="zh-CN"/>
        </w:rPr>
        <w:t>服务</w:t>
      </w:r>
      <w:r>
        <w:rPr>
          <w:rFonts w:hint="eastAsia" w:ascii="宋体" w:hAnsi="宋体" w:cs="宋体"/>
          <w:b/>
          <w:bCs/>
          <w:color w:val="333333"/>
          <w:sz w:val="36"/>
          <w:szCs w:val="36"/>
          <w:shd w:val="clear" w:color="070000" w:fill="FFFFFF"/>
        </w:rPr>
        <w:t>类项目供应商信用承诺书</w:t>
      </w:r>
    </w:p>
    <w:p>
      <w:pPr>
        <w:pStyle w:val="13"/>
        <w:widowControl/>
        <w:shd w:val="clear" w:color="auto" w:fill="FFFFFF"/>
        <w:adjustRightInd w:val="0"/>
        <w:snapToGrid w:val="0"/>
        <w:spacing w:before="0" w:beforeAutospacing="0" w:after="150" w:afterAutospacing="0" w:line="560" w:lineRule="exact"/>
        <w:ind w:firstLine="480"/>
        <w:jc w:val="both"/>
        <w:outlineLvl w:val="9"/>
        <w:rPr>
          <w:rFonts w:ascii="宋体" w:hAnsi="宋体" w:cs="宋体"/>
          <w:color w:val="333333"/>
          <w:sz w:val="24"/>
          <w:szCs w:val="24"/>
        </w:rPr>
      </w:pPr>
      <w:r>
        <w:rPr>
          <w:rFonts w:hint="eastAsia" w:ascii="宋体" w:hAnsi="宋体" w:cs="宋体"/>
          <w:color w:val="333333"/>
          <w:sz w:val="24"/>
          <w:szCs w:val="24"/>
          <w:shd w:val="clear" w:color="auto" w:fill="FFFFFF"/>
        </w:rPr>
        <w:t>市场主体名称：</w:t>
      </w:r>
    </w:p>
    <w:p>
      <w:pPr>
        <w:pStyle w:val="13"/>
        <w:widowControl/>
        <w:shd w:val="clear" w:color="auto" w:fill="FFFFFF"/>
        <w:adjustRightInd w:val="0"/>
        <w:snapToGrid w:val="0"/>
        <w:spacing w:before="0" w:beforeAutospacing="0" w:after="150" w:afterAutospacing="0" w:line="560" w:lineRule="exact"/>
        <w:ind w:firstLine="480"/>
        <w:jc w:val="both"/>
        <w:outlineLvl w:val="9"/>
        <w:rPr>
          <w:rFonts w:ascii="宋体" w:hAnsi="宋体" w:cs="宋体"/>
          <w:color w:val="333333"/>
          <w:sz w:val="24"/>
          <w:szCs w:val="24"/>
        </w:rPr>
      </w:pPr>
      <w:r>
        <w:rPr>
          <w:rFonts w:hint="eastAsia" w:ascii="宋体" w:hAnsi="宋体" w:cs="宋体"/>
          <w:color w:val="333333"/>
          <w:sz w:val="24"/>
          <w:szCs w:val="24"/>
          <w:shd w:val="clear" w:color="auto" w:fill="FFFFFF"/>
        </w:rPr>
        <w:t>证件类型：统一社会信用代码</w:t>
      </w:r>
    </w:p>
    <w:p>
      <w:pPr>
        <w:pStyle w:val="13"/>
        <w:widowControl/>
        <w:shd w:val="clear" w:color="auto" w:fill="FFFFFF"/>
        <w:adjustRightInd w:val="0"/>
        <w:snapToGrid w:val="0"/>
        <w:spacing w:before="0" w:beforeAutospacing="0" w:after="150" w:afterAutospacing="0" w:line="560" w:lineRule="exact"/>
        <w:ind w:firstLine="480"/>
        <w:jc w:val="both"/>
        <w:outlineLvl w:val="9"/>
        <w:rPr>
          <w:rFonts w:ascii="宋体" w:hAnsi="宋体" w:cs="宋体"/>
          <w:color w:val="333333"/>
          <w:sz w:val="24"/>
          <w:szCs w:val="24"/>
          <w:shd w:val="clear" w:color="auto" w:fill="FFFFFF"/>
        </w:rPr>
      </w:pPr>
      <w:r>
        <w:rPr>
          <w:rFonts w:hint="eastAsia" w:ascii="宋体" w:hAnsi="宋体" w:cs="宋体"/>
          <w:color w:val="333333"/>
          <w:sz w:val="24"/>
          <w:szCs w:val="24"/>
          <w:shd w:val="clear" w:color="auto" w:fill="FFFFFF"/>
        </w:rPr>
        <w:t>证件号码：</w:t>
      </w:r>
    </w:p>
    <w:p>
      <w:pPr>
        <w:pStyle w:val="13"/>
        <w:widowControl/>
        <w:shd w:val="clear" w:color="auto" w:fill="FFFFFF"/>
        <w:adjustRightInd w:val="0"/>
        <w:snapToGrid w:val="0"/>
        <w:spacing w:before="0" w:beforeAutospacing="0" w:after="150" w:afterAutospacing="0" w:line="560" w:lineRule="exact"/>
        <w:ind w:firstLine="480"/>
        <w:jc w:val="both"/>
        <w:outlineLvl w:val="9"/>
        <w:rPr>
          <w:rFonts w:ascii="宋体" w:hAnsi="宋体" w:cs="宋体"/>
          <w:color w:val="333333"/>
          <w:sz w:val="24"/>
          <w:szCs w:val="24"/>
          <w:shd w:val="clear" w:color="auto" w:fill="FFFFFF"/>
        </w:rPr>
      </w:pPr>
      <w:r>
        <w:rPr>
          <w:rFonts w:hint="eastAsia" w:ascii="宋体" w:hAnsi="宋体" w:cs="宋体"/>
          <w:color w:val="333333"/>
          <w:sz w:val="24"/>
          <w:szCs w:val="24"/>
          <w:shd w:val="clear" w:color="auto" w:fill="FFFFFF"/>
        </w:rPr>
        <w:t>法人代表：</w:t>
      </w:r>
    </w:p>
    <w:p>
      <w:pPr>
        <w:pStyle w:val="13"/>
        <w:widowControl/>
        <w:shd w:val="clear" w:color="auto" w:fill="FFFFFF"/>
        <w:adjustRightInd w:val="0"/>
        <w:snapToGrid w:val="0"/>
        <w:spacing w:before="0" w:beforeAutospacing="0" w:after="150" w:afterAutospacing="0" w:line="560" w:lineRule="exact"/>
        <w:ind w:firstLine="480"/>
        <w:jc w:val="both"/>
        <w:outlineLvl w:val="9"/>
        <w:rPr>
          <w:rFonts w:hint="eastAsia" w:ascii="宋体" w:hAnsi="宋体" w:cs="宋体"/>
          <w:color w:val="333333"/>
          <w:sz w:val="24"/>
          <w:szCs w:val="24"/>
          <w:shd w:val="clear" w:color="auto" w:fill="FFFFFF"/>
        </w:rPr>
      </w:pPr>
      <w:r>
        <w:rPr>
          <w:rFonts w:hint="eastAsia" w:ascii="宋体" w:hAnsi="宋体" w:cs="宋体"/>
          <w:color w:val="333333"/>
          <w:sz w:val="24"/>
          <w:szCs w:val="24"/>
          <w:shd w:val="clear" w:color="auto" w:fill="FFFFFF"/>
        </w:rPr>
        <w:t>承诺有效期限：   年    月   日—   年   月   日（有效期一年）</w:t>
      </w:r>
    </w:p>
    <w:p>
      <w:pPr>
        <w:pStyle w:val="13"/>
        <w:widowControl/>
        <w:shd w:val="clear" w:color="auto" w:fill="FFFFFF"/>
        <w:adjustRightInd w:val="0"/>
        <w:snapToGrid w:val="0"/>
        <w:spacing w:before="0" w:beforeAutospacing="0" w:after="150" w:afterAutospacing="0" w:line="560" w:lineRule="exact"/>
        <w:ind w:firstLine="480"/>
        <w:jc w:val="both"/>
        <w:outlineLvl w:val="9"/>
        <w:rPr>
          <w:rFonts w:ascii="宋体" w:hAnsi="宋体" w:cs="宋体"/>
          <w:color w:val="333333"/>
          <w:sz w:val="24"/>
          <w:szCs w:val="24"/>
        </w:rPr>
      </w:pPr>
      <w:r>
        <w:rPr>
          <w:rFonts w:hint="eastAsia" w:ascii="宋体" w:hAnsi="宋体" w:cs="宋体"/>
          <w:color w:val="333333"/>
          <w:sz w:val="24"/>
          <w:szCs w:val="24"/>
          <w:shd w:val="clear" w:color="auto" w:fill="FFFFFF"/>
        </w:rPr>
        <w:t>承诺内容：</w:t>
      </w:r>
    </w:p>
    <w:p>
      <w:pPr>
        <w:pStyle w:val="13"/>
        <w:widowControl/>
        <w:shd w:val="clear" w:color="auto" w:fill="FFFFFF"/>
        <w:adjustRightInd w:val="0"/>
        <w:snapToGrid w:val="0"/>
        <w:spacing w:before="0" w:beforeAutospacing="0" w:after="150" w:afterAutospacing="0" w:line="560" w:lineRule="exact"/>
        <w:ind w:firstLine="640"/>
        <w:jc w:val="both"/>
        <w:outlineLvl w:val="9"/>
        <w:rPr>
          <w:rFonts w:ascii="宋体" w:hAnsi="宋体" w:cs="宋体"/>
          <w:color w:val="333333"/>
          <w:sz w:val="24"/>
          <w:szCs w:val="24"/>
        </w:rPr>
      </w:pPr>
      <w:r>
        <w:rPr>
          <w:rFonts w:hint="eastAsia" w:ascii="宋体" w:hAnsi="宋体" w:cs="宋体"/>
          <w:color w:val="333333"/>
          <w:sz w:val="24"/>
          <w:szCs w:val="24"/>
          <w:shd w:val="clear" w:color="auto" w:fill="FFFFFF"/>
        </w:rPr>
        <w:t>为维护公开、公平、公正的政府采购市场秩序，树立诚实守信的政府采购供应商形象，本单位自愿做出以下承诺：</w:t>
      </w:r>
    </w:p>
    <w:p>
      <w:pPr>
        <w:pStyle w:val="13"/>
        <w:widowControl/>
        <w:shd w:val="clear" w:color="auto" w:fill="FFFFFF"/>
        <w:adjustRightInd w:val="0"/>
        <w:snapToGrid w:val="0"/>
        <w:spacing w:before="0" w:beforeAutospacing="0" w:after="150" w:afterAutospacing="0" w:line="560" w:lineRule="exact"/>
        <w:ind w:firstLine="640"/>
        <w:jc w:val="both"/>
        <w:outlineLvl w:val="9"/>
        <w:rPr>
          <w:rFonts w:ascii="宋体" w:hAnsi="宋体" w:cs="宋体"/>
          <w:color w:val="333333"/>
          <w:sz w:val="24"/>
          <w:szCs w:val="24"/>
        </w:rPr>
      </w:pPr>
      <w:r>
        <w:rPr>
          <w:rFonts w:hint="eastAsia" w:ascii="宋体" w:hAnsi="宋体" w:cs="宋体"/>
          <w:color w:val="333333"/>
          <w:sz w:val="24"/>
          <w:szCs w:val="24"/>
          <w:shd w:val="clear" w:color="auto" w:fill="FFFFFF"/>
        </w:rPr>
        <w:t>一、承诺本单位严格遵守国家法律、法规和规章，全面履行应尽的责任和义务，全面做到履约守信，具备《政府采购法》第二十二条第一款规定的条件;</w:t>
      </w:r>
    </w:p>
    <w:p>
      <w:pPr>
        <w:pStyle w:val="13"/>
        <w:widowControl/>
        <w:shd w:val="clear" w:color="auto" w:fill="FFFFFF"/>
        <w:adjustRightInd w:val="0"/>
        <w:snapToGrid w:val="0"/>
        <w:spacing w:before="0" w:beforeAutospacing="0" w:after="150" w:afterAutospacing="0" w:line="560" w:lineRule="exact"/>
        <w:ind w:firstLine="640"/>
        <w:jc w:val="both"/>
        <w:outlineLvl w:val="9"/>
        <w:rPr>
          <w:rFonts w:ascii="宋体" w:hAnsi="宋体" w:cs="宋体"/>
          <w:color w:val="333333"/>
          <w:sz w:val="24"/>
          <w:szCs w:val="24"/>
        </w:rPr>
      </w:pPr>
      <w:r>
        <w:rPr>
          <w:rFonts w:hint="eastAsia" w:ascii="宋体" w:hAnsi="宋体" w:cs="宋体"/>
          <w:color w:val="333333"/>
          <w:sz w:val="24"/>
          <w:szCs w:val="24"/>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pPr>
        <w:pStyle w:val="13"/>
        <w:widowControl/>
        <w:shd w:val="clear" w:color="auto" w:fill="FFFFFF"/>
        <w:adjustRightInd w:val="0"/>
        <w:snapToGrid w:val="0"/>
        <w:spacing w:before="0" w:beforeAutospacing="0" w:after="150" w:afterAutospacing="0" w:line="560" w:lineRule="exact"/>
        <w:ind w:firstLine="640"/>
        <w:jc w:val="both"/>
        <w:outlineLvl w:val="9"/>
        <w:rPr>
          <w:rFonts w:ascii="宋体" w:hAnsi="宋体" w:cs="宋体"/>
          <w:color w:val="333333"/>
          <w:sz w:val="24"/>
          <w:szCs w:val="24"/>
        </w:rPr>
      </w:pPr>
      <w:r>
        <w:rPr>
          <w:rFonts w:hint="eastAsia" w:ascii="宋体" w:hAnsi="宋体" w:cs="宋体"/>
          <w:color w:val="333333"/>
          <w:sz w:val="24"/>
          <w:szCs w:val="24"/>
          <w:shd w:val="clear" w:color="auto" w:fill="FFFFFF"/>
        </w:rPr>
        <w:t>三、承诺本单位严格依法开展生产经营活动，主动接受行业监管，自愿接受依法开展的日常检查；违法失信经营后将自愿接受约束和惩戒，并依法承担相应责任；</w:t>
      </w:r>
    </w:p>
    <w:p>
      <w:pPr>
        <w:pStyle w:val="13"/>
        <w:widowControl/>
        <w:shd w:val="clear" w:color="auto" w:fill="FFFFFF"/>
        <w:adjustRightInd w:val="0"/>
        <w:snapToGrid w:val="0"/>
        <w:spacing w:before="0" w:beforeAutospacing="0" w:after="150" w:afterAutospacing="0" w:line="560" w:lineRule="exact"/>
        <w:ind w:firstLine="640"/>
        <w:jc w:val="both"/>
        <w:outlineLvl w:val="9"/>
        <w:rPr>
          <w:rFonts w:ascii="宋体" w:hAnsi="宋体" w:cs="宋体"/>
          <w:color w:val="333333"/>
          <w:sz w:val="24"/>
          <w:szCs w:val="24"/>
        </w:rPr>
      </w:pPr>
      <w:r>
        <w:rPr>
          <w:rFonts w:hint="eastAsia" w:ascii="宋体" w:hAnsi="宋体" w:cs="宋体"/>
          <w:color w:val="333333"/>
          <w:sz w:val="24"/>
          <w:szCs w:val="24"/>
          <w:shd w:val="clear" w:color="auto" w:fill="FFFFFF"/>
        </w:rPr>
        <w:t>四、承诺本单位自觉接受行政管理部门、行业组织、社会公众、新闻舆论的监督；</w:t>
      </w:r>
    </w:p>
    <w:p>
      <w:pPr>
        <w:pStyle w:val="13"/>
        <w:widowControl/>
        <w:shd w:val="clear" w:color="auto" w:fill="FFFFFF"/>
        <w:adjustRightInd w:val="0"/>
        <w:snapToGrid w:val="0"/>
        <w:spacing w:before="0" w:beforeAutospacing="0" w:after="150" w:afterAutospacing="0" w:line="560" w:lineRule="exact"/>
        <w:ind w:firstLine="640"/>
        <w:jc w:val="both"/>
        <w:outlineLvl w:val="9"/>
        <w:rPr>
          <w:rFonts w:ascii="宋体" w:hAnsi="宋体" w:cs="宋体"/>
          <w:color w:val="333333"/>
          <w:sz w:val="24"/>
          <w:szCs w:val="24"/>
        </w:rPr>
      </w:pPr>
      <w:r>
        <w:rPr>
          <w:rFonts w:hint="eastAsia" w:ascii="宋体" w:hAnsi="宋体" w:cs="宋体"/>
          <w:color w:val="333333"/>
          <w:sz w:val="24"/>
          <w:szCs w:val="24"/>
          <w:shd w:val="clear" w:color="auto" w:fill="FFFFFF"/>
        </w:rPr>
        <w:t>五、承诺本单位自我约束、自我管理，重合同、守信用，不制假售假、商标侵权、虚假宣传、违约毁约、恶意逃债、偷税漏税、价格欺诈、垄断和不正当竞争，维护经营者、消费者的合法权益；</w:t>
      </w:r>
    </w:p>
    <w:p>
      <w:pPr>
        <w:pStyle w:val="13"/>
        <w:widowControl/>
        <w:shd w:val="clear" w:color="auto" w:fill="FFFFFF"/>
        <w:adjustRightInd w:val="0"/>
        <w:snapToGrid w:val="0"/>
        <w:spacing w:before="0" w:beforeAutospacing="0" w:after="150" w:afterAutospacing="0" w:line="560" w:lineRule="exact"/>
        <w:ind w:firstLine="640"/>
        <w:jc w:val="both"/>
        <w:outlineLvl w:val="9"/>
        <w:rPr>
          <w:rFonts w:ascii="宋体" w:hAnsi="宋体" w:cs="宋体"/>
          <w:color w:val="333333"/>
          <w:sz w:val="24"/>
          <w:szCs w:val="24"/>
        </w:rPr>
      </w:pPr>
      <w:r>
        <w:rPr>
          <w:rFonts w:hint="eastAsia" w:ascii="宋体" w:hAnsi="宋体" w:cs="宋体"/>
          <w:color w:val="333333"/>
          <w:sz w:val="24"/>
          <w:szCs w:val="24"/>
          <w:shd w:val="clear" w:color="auto" w:fill="FFFFFF"/>
        </w:rPr>
        <w:t>六、承诺本单位提出政府采购质疑和投诉坚持依法依规、诚实信用原则，在全国范围12个月内没有三次以上查无实据的政府采购投诉；</w:t>
      </w:r>
    </w:p>
    <w:p>
      <w:pPr>
        <w:pStyle w:val="13"/>
        <w:widowControl/>
        <w:shd w:val="clear" w:color="auto" w:fill="FFFFFF"/>
        <w:adjustRightInd w:val="0"/>
        <w:snapToGrid w:val="0"/>
        <w:spacing w:before="0" w:beforeAutospacing="0" w:after="150" w:afterAutospacing="0" w:line="560" w:lineRule="exact"/>
        <w:ind w:firstLine="640"/>
        <w:jc w:val="both"/>
        <w:outlineLvl w:val="9"/>
        <w:rPr>
          <w:rFonts w:ascii="宋体" w:hAnsi="宋体" w:cs="宋体"/>
          <w:color w:val="333333"/>
          <w:sz w:val="24"/>
          <w:szCs w:val="24"/>
        </w:rPr>
      </w:pPr>
      <w:r>
        <w:rPr>
          <w:rFonts w:hint="eastAsia" w:ascii="宋体" w:hAnsi="宋体" w:cs="宋体"/>
          <w:color w:val="333333"/>
          <w:sz w:val="24"/>
          <w:szCs w:val="24"/>
          <w:shd w:val="clear" w:color="auto" w:fill="FFFFFF"/>
        </w:rPr>
        <w:t>七、根据政府采购相关法律法规的规定需要作出的其他承诺：</w:t>
      </w:r>
      <w:r>
        <w:rPr>
          <w:rFonts w:hint="eastAsia" w:ascii="宋体" w:hAnsi="宋体" w:cs="宋体"/>
          <w:color w:val="333333"/>
          <w:sz w:val="24"/>
          <w:szCs w:val="24"/>
          <w:u w:val="single"/>
          <w:shd w:val="clear" w:color="auto" w:fill="FFFFFF"/>
        </w:rPr>
        <w:t>                                                              </w:t>
      </w:r>
    </w:p>
    <w:p>
      <w:pPr>
        <w:pStyle w:val="13"/>
        <w:widowControl/>
        <w:shd w:val="clear" w:color="auto" w:fill="FFFFFF"/>
        <w:adjustRightInd w:val="0"/>
        <w:snapToGrid w:val="0"/>
        <w:spacing w:before="0" w:beforeAutospacing="0" w:after="150" w:afterAutospacing="0" w:line="560" w:lineRule="exact"/>
        <w:ind w:firstLine="640"/>
        <w:jc w:val="both"/>
        <w:outlineLvl w:val="9"/>
        <w:rPr>
          <w:rFonts w:ascii="宋体" w:hAnsi="宋体" w:cs="宋体"/>
          <w:color w:val="333333"/>
          <w:sz w:val="24"/>
          <w:szCs w:val="24"/>
          <w:shd w:val="clear" w:color="auto" w:fill="FFFFFF"/>
        </w:rPr>
      </w:pPr>
      <w:r>
        <w:rPr>
          <w:rFonts w:hint="eastAsia" w:ascii="宋体" w:hAnsi="宋体" w:cs="宋体"/>
          <w:color w:val="333333"/>
          <w:sz w:val="24"/>
          <w:szCs w:val="24"/>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pStyle w:val="13"/>
        <w:widowControl/>
        <w:shd w:val="clear" w:color="auto" w:fill="FFFFFF"/>
        <w:adjustRightInd w:val="0"/>
        <w:snapToGrid w:val="0"/>
        <w:spacing w:before="0" w:beforeAutospacing="0" w:after="150" w:afterAutospacing="0" w:line="560" w:lineRule="exact"/>
        <w:ind w:firstLine="640"/>
        <w:jc w:val="both"/>
        <w:outlineLvl w:val="9"/>
        <w:rPr>
          <w:rFonts w:ascii="宋体" w:hAnsi="宋体" w:cs="宋体"/>
          <w:color w:val="333333"/>
          <w:sz w:val="24"/>
          <w:szCs w:val="24"/>
          <w:shd w:val="clear" w:color="auto" w:fill="FFFFFF"/>
        </w:rPr>
      </w:pPr>
      <w:r>
        <w:rPr>
          <w:rFonts w:hint="eastAsia" w:ascii="宋体" w:hAnsi="宋体" w:cs="宋体"/>
          <w:color w:val="333333"/>
          <w:sz w:val="24"/>
          <w:szCs w:val="24"/>
          <w:shd w:val="clear" w:color="auto" w:fill="FFFFFF"/>
        </w:rPr>
        <w:t>         </w:t>
      </w:r>
    </w:p>
    <w:p>
      <w:pPr>
        <w:pStyle w:val="13"/>
        <w:widowControl/>
        <w:shd w:val="clear" w:color="auto" w:fill="FFFFFF"/>
        <w:adjustRightInd w:val="0"/>
        <w:snapToGrid w:val="0"/>
        <w:spacing w:before="0" w:beforeAutospacing="0" w:after="150" w:afterAutospacing="0" w:line="560" w:lineRule="exact"/>
        <w:ind w:firstLine="640"/>
        <w:jc w:val="both"/>
        <w:outlineLvl w:val="9"/>
        <w:rPr>
          <w:rFonts w:ascii="宋体" w:hAnsi="宋体" w:cs="宋体"/>
          <w:color w:val="333333"/>
          <w:sz w:val="24"/>
          <w:szCs w:val="24"/>
        </w:rPr>
      </w:pPr>
      <w:r>
        <w:rPr>
          <w:rFonts w:hint="eastAsia" w:ascii="宋体" w:hAnsi="宋体" w:cs="宋体"/>
          <w:color w:val="333333"/>
          <w:sz w:val="24"/>
          <w:szCs w:val="24"/>
          <w:shd w:val="clear" w:color="auto" w:fill="FFFFFF"/>
        </w:rPr>
        <w:t xml:space="preserve">              承诺单位（盖章）：</w:t>
      </w:r>
    </w:p>
    <w:p>
      <w:pPr>
        <w:pStyle w:val="13"/>
        <w:widowControl/>
        <w:shd w:val="clear" w:color="auto" w:fill="FFFFFF"/>
        <w:adjustRightInd w:val="0"/>
        <w:snapToGrid w:val="0"/>
        <w:spacing w:before="0" w:beforeAutospacing="0" w:after="150" w:afterAutospacing="0" w:line="560" w:lineRule="exact"/>
        <w:ind w:firstLine="640"/>
        <w:jc w:val="both"/>
        <w:outlineLvl w:val="9"/>
        <w:rPr>
          <w:rFonts w:ascii="宋体" w:hAnsi="宋体" w:cs="宋体"/>
          <w:color w:val="333333"/>
          <w:sz w:val="24"/>
          <w:szCs w:val="24"/>
          <w:shd w:val="clear" w:color="auto" w:fill="FFFFFF"/>
        </w:rPr>
      </w:pPr>
      <w:r>
        <w:rPr>
          <w:rFonts w:hint="eastAsia" w:ascii="宋体" w:hAnsi="宋体" w:cs="宋体"/>
          <w:color w:val="333333"/>
          <w:sz w:val="24"/>
          <w:szCs w:val="24"/>
          <w:shd w:val="clear" w:color="auto" w:fill="FFFFFF"/>
        </w:rPr>
        <w:t xml:space="preserve">      法定代表人（负责人）：          </w:t>
      </w:r>
    </w:p>
    <w:p>
      <w:pPr>
        <w:pStyle w:val="13"/>
        <w:widowControl/>
        <w:shd w:val="clear" w:color="auto" w:fill="FFFFFF"/>
        <w:adjustRightInd w:val="0"/>
        <w:snapToGrid w:val="0"/>
        <w:spacing w:before="0" w:beforeAutospacing="0" w:after="150" w:afterAutospacing="0" w:line="560" w:lineRule="exact"/>
        <w:ind w:firstLine="2160" w:firstLineChars="900"/>
        <w:jc w:val="both"/>
        <w:outlineLvl w:val="9"/>
        <w:rPr>
          <w:rFonts w:ascii="宋体" w:hAnsi="宋体" w:cs="宋体"/>
          <w:color w:val="333333"/>
          <w:sz w:val="24"/>
          <w:szCs w:val="24"/>
          <w:shd w:val="clear" w:color="auto" w:fill="FFFFFF"/>
        </w:rPr>
      </w:pPr>
      <w:r>
        <w:rPr>
          <w:rFonts w:hint="eastAsia" w:ascii="宋体" w:hAnsi="宋体" w:cs="宋体"/>
          <w:color w:val="333333"/>
          <w:sz w:val="24"/>
          <w:szCs w:val="24"/>
          <w:shd w:val="clear" w:color="auto" w:fill="FFFFFF"/>
        </w:rPr>
        <w:t>法定代表人（负责人）身份证号：</w:t>
      </w:r>
    </w:p>
    <w:p>
      <w:pPr>
        <w:pStyle w:val="13"/>
        <w:widowControl/>
        <w:shd w:val="clear" w:color="auto" w:fill="FFFFFF"/>
        <w:adjustRightInd w:val="0"/>
        <w:snapToGrid w:val="0"/>
        <w:spacing w:before="0" w:beforeAutospacing="0" w:after="150" w:afterAutospacing="0" w:line="560" w:lineRule="exact"/>
        <w:ind w:firstLine="640"/>
        <w:jc w:val="both"/>
        <w:outlineLvl w:val="9"/>
        <w:rPr>
          <w:rFonts w:ascii="宋体" w:hAnsi="宋体" w:cs="宋体"/>
          <w:color w:val="333333"/>
          <w:sz w:val="24"/>
          <w:szCs w:val="24"/>
        </w:rPr>
      </w:pPr>
      <w:r>
        <w:rPr>
          <w:rFonts w:hint="eastAsia" w:ascii="宋体" w:hAnsi="宋体" w:cs="宋体"/>
          <w:color w:val="333333"/>
          <w:sz w:val="24"/>
          <w:szCs w:val="24"/>
          <w:shd w:val="clear" w:color="auto" w:fill="FFFFFF"/>
        </w:rPr>
        <w:t>         承诺日期：</w:t>
      </w:r>
    </w:p>
    <w:p>
      <w:pPr>
        <w:pStyle w:val="6"/>
        <w:adjustRightInd w:val="0"/>
        <w:snapToGrid w:val="0"/>
        <w:spacing w:line="500" w:lineRule="exact"/>
        <w:outlineLvl w:val="9"/>
        <w:rPr>
          <w:rFonts w:ascii="宋体" w:hAnsi="宋体" w:cs="宋体"/>
          <w:color w:val="333333"/>
          <w:kern w:val="0"/>
          <w:sz w:val="24"/>
          <w:szCs w:val="24"/>
          <w:shd w:val="clear" w:color="070000" w:fill="FFFFFF"/>
        </w:rPr>
      </w:pPr>
      <w:r>
        <w:rPr>
          <w:rFonts w:hint="eastAsia" w:ascii="宋体" w:hAnsi="宋体" w:cs="宋体"/>
          <w:b/>
          <w:sz w:val="24"/>
          <w:szCs w:val="24"/>
        </w:rPr>
        <w:t xml:space="preserve">    </w:t>
      </w:r>
      <w:r>
        <w:rPr>
          <w:rFonts w:hint="eastAsia" w:ascii="宋体" w:hAnsi="宋体" w:cs="宋体"/>
          <w:color w:val="333333"/>
          <w:kern w:val="0"/>
          <w:sz w:val="24"/>
          <w:szCs w:val="24"/>
          <w:shd w:val="clear" w:color="070000" w:fill="FFFFFF"/>
        </w:rPr>
        <w:t xml:space="preserve"> </w:t>
      </w:r>
    </w:p>
    <w:p>
      <w:pPr>
        <w:outlineLvl w:val="9"/>
        <w:rPr>
          <w:rFonts w:hint="eastAsia" w:ascii="宋体" w:hAnsi="宋体" w:eastAsia="宋体" w:cs="宋体"/>
          <w:color w:val="333333"/>
          <w:kern w:val="0"/>
          <w:sz w:val="24"/>
          <w:szCs w:val="24"/>
          <w:shd w:val="clear" w:color="070000" w:fill="FFFFFF"/>
          <w:lang w:eastAsia="zh-CN"/>
        </w:rPr>
      </w:pPr>
      <w:r>
        <w:rPr>
          <w:rFonts w:hint="eastAsia" w:ascii="宋体" w:hAnsi="宋体" w:cs="宋体"/>
          <w:color w:val="333333"/>
          <w:kern w:val="0"/>
          <w:sz w:val="24"/>
          <w:szCs w:val="24"/>
          <w:shd w:val="clear" w:color="070000" w:fill="FFFFFF"/>
          <w:lang w:eastAsia="zh-CN"/>
        </w:rPr>
        <w:t>（</w:t>
      </w:r>
      <w:r>
        <w:rPr>
          <w:rFonts w:hint="eastAsia" w:ascii="宋体" w:hAnsi="宋体" w:cs="宋体"/>
          <w:color w:val="333333"/>
          <w:kern w:val="0"/>
          <w:sz w:val="24"/>
          <w:szCs w:val="24"/>
          <w:shd w:val="clear" w:color="070000" w:fill="FFFFFF"/>
          <w:lang w:val="en-US" w:eastAsia="zh-CN"/>
        </w:rPr>
        <w:t>信用中国陕西榆林承诺截图须在投标文件中提供并加盖企业公章</w:t>
      </w:r>
      <w:r>
        <w:rPr>
          <w:rFonts w:hint="eastAsia" w:ascii="宋体" w:hAnsi="宋体" w:cs="宋体"/>
          <w:color w:val="333333"/>
          <w:kern w:val="0"/>
          <w:sz w:val="24"/>
          <w:szCs w:val="24"/>
          <w:shd w:val="clear" w:color="070000" w:fill="FFFFFF"/>
          <w:lang w:eastAsia="zh-CN"/>
        </w:rPr>
        <w:t>）</w:t>
      </w:r>
    </w:p>
    <w:p>
      <w:pPr>
        <w:pStyle w:val="6"/>
        <w:outlineLvl w:val="9"/>
        <w:rPr>
          <w:rFonts w:ascii="宋体" w:hAnsi="宋体" w:cs="宋体"/>
          <w:color w:val="333333"/>
          <w:kern w:val="0"/>
          <w:sz w:val="31"/>
          <w:szCs w:val="31"/>
          <w:shd w:val="clear" w:color="070000" w:fill="FFFFFF"/>
        </w:rPr>
      </w:pPr>
    </w:p>
    <w:p>
      <w:pPr>
        <w:outlineLvl w:val="9"/>
        <w:rPr>
          <w:rFonts w:ascii="宋体" w:hAnsi="宋体" w:cs="宋体"/>
          <w:color w:val="333333"/>
          <w:kern w:val="0"/>
          <w:sz w:val="31"/>
          <w:szCs w:val="31"/>
          <w:shd w:val="clear" w:color="070000" w:fill="FFFFFF"/>
        </w:rPr>
      </w:pPr>
    </w:p>
    <w:p>
      <w:pPr>
        <w:pStyle w:val="6"/>
        <w:outlineLvl w:val="9"/>
        <w:rPr>
          <w:rFonts w:ascii="宋体" w:hAnsi="宋体" w:cs="宋体"/>
          <w:color w:val="333333"/>
          <w:kern w:val="0"/>
          <w:sz w:val="31"/>
          <w:szCs w:val="31"/>
          <w:shd w:val="clear" w:color="070000" w:fill="FFFFFF"/>
        </w:rPr>
      </w:pPr>
    </w:p>
    <w:p>
      <w:pPr>
        <w:rPr>
          <w:rFonts w:hint="eastAsia" w:ascii="宋体" w:hAnsi="宋体" w:cs="宋体"/>
          <w:b/>
          <w:sz w:val="32"/>
          <w:szCs w:val="22"/>
        </w:rPr>
      </w:pPr>
      <w:r>
        <w:rPr>
          <w:rFonts w:hint="eastAsia" w:ascii="宋体" w:hAnsi="宋体" w:cs="宋体"/>
          <w:b/>
          <w:sz w:val="32"/>
          <w:szCs w:val="22"/>
        </w:rPr>
        <w:br w:type="page"/>
      </w:r>
    </w:p>
    <w:p>
      <w:pPr>
        <w:bidi w:val="0"/>
        <w:jc w:val="center"/>
        <w:rPr>
          <w:rFonts w:hint="eastAsia" w:ascii="宋体" w:hAnsi="宋体" w:eastAsia="宋体" w:cs="宋体"/>
          <w:b/>
          <w:bCs/>
          <w:sz w:val="32"/>
          <w:szCs w:val="32"/>
        </w:rPr>
      </w:pPr>
      <w:bookmarkStart w:id="347" w:name="_Toc7829"/>
      <w:bookmarkStart w:id="348" w:name="_Toc4435"/>
      <w:bookmarkStart w:id="349" w:name="_Toc4458"/>
      <w:r>
        <w:rPr>
          <w:rFonts w:hint="eastAsia" w:ascii="宋体" w:hAnsi="宋体" w:eastAsia="宋体" w:cs="宋体"/>
          <w:b/>
          <w:bCs/>
          <w:sz w:val="32"/>
          <w:szCs w:val="32"/>
        </w:rPr>
        <w:t>投标人信用承诺书 Ⅰ (并附网页截图)</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cs="宋体"/>
          <w:sz w:val="24"/>
          <w:szCs w:val="24"/>
          <w:lang w:val="en-US" w:eastAsia="zh-CN"/>
        </w:rPr>
        <w:t>供应商</w:t>
      </w:r>
      <w:r>
        <w:rPr>
          <w:rFonts w:hint="eastAsia" w:ascii="宋体" w:hAnsi="宋体" w:eastAsia="宋体" w:cs="宋体"/>
          <w:sz w:val="24"/>
          <w:szCs w:val="24"/>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统一社会信用代码：</w:t>
      </w:r>
      <w:r>
        <w:rPr>
          <w:rFonts w:hint="eastAsia" w:ascii="宋体" w:hAnsi="宋体" w:eastAsia="宋体" w:cs="宋体"/>
          <w:sz w:val="24"/>
          <w:szCs w:val="24"/>
          <w:u w:val="none"/>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u w:val="none"/>
        </w:rPr>
        <w:t xml:space="preserve"> </w:t>
      </w:r>
      <w:r>
        <w:rPr>
          <w:rFonts w:hint="eastAsia" w:ascii="宋体" w:hAnsi="宋体" w:eastAsia="宋体" w:cs="宋体"/>
          <w:sz w:val="24"/>
          <w:szCs w:val="24"/>
        </w:rPr>
        <w:t xml:space="preserve"> 法定代表人：     </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承诺有效期限：</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年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日 —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月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日</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在</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招投标活动中，我公司 (单位) 郑重作出以下信用承诺</w:t>
      </w:r>
      <w:r>
        <w:rPr>
          <w:rFonts w:hint="eastAsia" w:ascii="宋体" w:hAnsi="宋体" w:eastAsia="宋体" w:cs="宋体"/>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w:t>
      </w:r>
      <w:r>
        <w:rPr>
          <w:rFonts w:hint="eastAsia" w:ascii="宋体" w:hAnsi="宋体" w:eastAsia="宋体" w:cs="宋体"/>
          <w:sz w:val="24"/>
          <w:szCs w:val="24"/>
        </w:rPr>
        <w:t xml:space="preserve"> 能严格遵守法律法规、职业道德和行业规范，具有独立承担民事责任的能</w:t>
      </w:r>
    </w:p>
    <w:p>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sz w:val="24"/>
          <w:szCs w:val="24"/>
        </w:rPr>
      </w:pPr>
      <w:r>
        <w:rPr>
          <w:rFonts w:hint="eastAsia" w:ascii="宋体" w:hAnsi="宋体" w:eastAsia="宋体" w:cs="宋体"/>
          <w:sz w:val="24"/>
          <w:szCs w:val="24"/>
        </w:rPr>
        <w:t>力；符合依法依规应当具备的相关资质 (资格) 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sz w:val="24"/>
          <w:szCs w:val="24"/>
        </w:rPr>
      </w:pPr>
      <w:r>
        <w:rPr>
          <w:rFonts w:hint="eastAsia" w:ascii="宋体" w:hAnsi="宋体" w:eastAsia="宋体" w:cs="宋体"/>
          <w:sz w:val="24"/>
          <w:szCs w:val="24"/>
        </w:rPr>
        <w:t>(二) 不得有以下违法违规行为：1.围标串标；以他人名义或者其他方式弄虚作假投标；出让出租资格、资质证书供他人投标；恶意竞标、强揽工程；以暴力、威胁、 利诱等手段阻止或者控制其他潜在投标人参与招投标活动。2.向招投标监督部门、交 易中心、招标人、招标代理机构、评审委员会及其成员等当事主体赠送财物。3.投标 截止后至中标人确定前，修改或者撤销投标文件。4.在被确定为中标人后无正当理由： 不按照招标文件和投标文件与招标人签订合同；在签订合同时向招标人提出附加条件、 或者改变投标文件的实质性内容；放弃中标；不按照招标文件的规定提交履约信用承诺。5.招投标法规定的其它违法违规行为。</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sz w:val="24"/>
          <w:szCs w:val="24"/>
        </w:rPr>
      </w:pPr>
      <w:r>
        <w:rPr>
          <w:rFonts w:hint="eastAsia" w:ascii="宋体" w:hAnsi="宋体" w:eastAsia="宋体" w:cs="宋体"/>
          <w:sz w:val="24"/>
          <w:szCs w:val="24"/>
        </w:rPr>
        <w:t>(三) 自愿接受招投标监督部门和有关行政监督部门的依法检查。</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sz w:val="24"/>
          <w:szCs w:val="24"/>
        </w:rPr>
      </w:pPr>
      <w:r>
        <w:rPr>
          <w:rFonts w:hint="eastAsia" w:ascii="宋体" w:hAnsi="宋体" w:eastAsia="宋体" w:cs="宋体"/>
          <w:sz w:val="24"/>
          <w:szCs w:val="24"/>
        </w:rPr>
        <w:t>(四) 同意将此信用承诺纳入陕西省公共信用信息平台和榆林市公共信用信息共 享平台，并上网公示，接受社会监督。</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sz w:val="24"/>
          <w:szCs w:val="24"/>
        </w:rPr>
        <w:sectPr>
          <w:pgSz w:w="11906" w:h="16839"/>
          <w:pgMar w:top="1440" w:right="1417" w:bottom="1440" w:left="1417" w:header="850" w:footer="850" w:gutter="0"/>
          <w:cols w:equalWidth="0" w:num="1">
            <w:col w:w="9036"/>
          </w:cols>
        </w:sectPr>
      </w:pPr>
      <w:r>
        <w:rPr>
          <w:rFonts w:hint="eastAsia" w:ascii="宋体" w:hAnsi="宋体" w:eastAsia="宋体" w:cs="宋体"/>
          <w:sz w:val="24"/>
          <w:szCs w:val="24"/>
        </w:rPr>
        <w:t>(五) 若我公司 (单位) 及相关参与人员违背以上承诺事项，即被视为失信企业 (法人) ，依据《关于对公共资源交易领域严重失信主体开展联合惩戒的备忘录》(发改法规[2018]457 号) ， 自愿接受失信联合惩戒和依法给予的行政处罚 (处理) ，并</w:t>
      </w:r>
    </w:p>
    <w:p>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sz w:val="24"/>
          <w:szCs w:val="24"/>
        </w:rPr>
      </w:pPr>
      <w:r>
        <w:rPr>
          <w:rFonts w:hint="eastAsia" w:ascii="宋体" w:hAnsi="宋体" w:eastAsia="宋体" w:cs="宋体"/>
          <w:sz w:val="24"/>
          <w:szCs w:val="24"/>
        </w:rPr>
        <w:t>依法承担赔偿责任和刑事责任。</w:t>
      </w:r>
    </w:p>
    <w:p>
      <w:pPr>
        <w:pStyle w:val="9"/>
        <w:rPr>
          <w:rFonts w:hint="eastAsia"/>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right="202" w:rightChars="96"/>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法定代表人 (签章)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投标人 (盖章) ：</w:t>
      </w:r>
      <w:r>
        <w:rPr>
          <w:rFonts w:hint="eastAsia" w:ascii="宋体" w:hAnsi="宋体" w:eastAsia="宋体" w:cs="宋体"/>
          <w:sz w:val="24"/>
          <w:szCs w:val="24"/>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t>承诺时间：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年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日</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sectPr>
          <w:type w:val="continuous"/>
          <w:pgSz w:w="11906" w:h="16839"/>
          <w:pgMar w:top="400" w:right="1330" w:bottom="449" w:left="1539" w:header="0" w:footer="208" w:gutter="0"/>
          <w:cols w:space="425" w:num="1"/>
        </w:sectPr>
      </w:pP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b/>
          <w:bCs/>
          <w:sz w:val="32"/>
          <w:szCs w:val="32"/>
        </w:rPr>
      </w:pPr>
      <w:r>
        <w:rPr>
          <w:rFonts w:hint="eastAsia" w:ascii="宋体" w:hAnsi="宋体" w:cs="宋体"/>
          <w:b/>
          <w:bCs/>
          <w:sz w:val="32"/>
          <w:szCs w:val="32"/>
          <w:lang w:val="en-US" w:eastAsia="zh-CN"/>
        </w:rPr>
        <w:t>供应商</w:t>
      </w:r>
      <w:r>
        <w:rPr>
          <w:rFonts w:hint="eastAsia" w:ascii="宋体" w:hAnsi="宋体" w:eastAsia="宋体" w:cs="宋体"/>
          <w:b/>
          <w:bCs/>
          <w:sz w:val="32"/>
          <w:szCs w:val="32"/>
        </w:rPr>
        <w:t>委托代理人员信用承诺书</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Ⅱ (并附网页截图)</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在</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项目招投标活动中，我个人郑重作出以下信用承诺</w:t>
      </w:r>
      <w:r>
        <w:rPr>
          <w:rFonts w:hint="eastAsia" w:ascii="宋体" w:hAnsi="宋体" w:eastAsia="宋体" w:cs="宋体"/>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 一) 能严格遵守法律法规、职业道德和行业规范，具有独立承担民事责任的能力</w:t>
      </w:r>
      <w:r>
        <w:rPr>
          <w:rFonts w:hint="eastAsia" w:ascii="宋体" w:hAnsi="宋体" w:eastAsia="宋体" w:cs="宋体"/>
          <w:sz w:val="24"/>
          <w:szCs w:val="24"/>
          <w:lang w:eastAsia="zh-CN"/>
        </w:rPr>
        <w:t>；</w:t>
      </w:r>
      <w:r>
        <w:rPr>
          <w:rFonts w:hint="eastAsia" w:ascii="宋体" w:hAnsi="宋体" w:eastAsia="宋体" w:cs="宋体"/>
          <w:sz w:val="24"/>
          <w:szCs w:val="24"/>
        </w:rPr>
        <w:t>无法律法规规定禁止开展从业活动情形。我所递交的文件资料合法、真实、准确、 完整、有效，无弄虚作假等情形。</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(二) 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 诺。5.招投标法规定的其它违法违规行为。</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(三) 自愿接受招投标监督部门和有关行政监督部门的依法检查。</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(四) 同意将此信用承诺纳入陕西省公共信用信息平台和榆林市公共信用信息共 享平台，并接受社会监督。</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(五) 若我违背以上承诺事项，即被视为失信人，依据《关于对公共资源交易领 域严重失信主体开展联合惩戒的备忘录》  (发改法规[2018]457 号) ， 自愿接受失信 联合惩戒和依法给予的行政处罚 (处理) ，并依法承担赔偿责任和刑事责任。</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承诺有效期限：</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月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日 —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 xml:space="preserve">投标人：                                     </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 xml:space="preserve">承诺人 (签字) ：                            </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sectPr>
          <w:footerReference r:id="rId7" w:type="default"/>
          <w:pgSz w:w="11906" w:h="16839"/>
          <w:pgMar w:top="1440" w:right="1417" w:bottom="1440" w:left="1417" w:header="850" w:footer="850" w:gutter="0"/>
          <w:cols w:space="720" w:num="1"/>
        </w:sectPr>
      </w:pPr>
      <w:r>
        <w:rPr>
          <w:rFonts w:hint="eastAsia" w:ascii="宋体" w:hAnsi="宋体" w:eastAsia="宋体" w:cs="宋体"/>
          <w:sz w:val="24"/>
          <w:szCs w:val="24"/>
        </w:rPr>
        <w:t>承诺时间：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月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p>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sz w:val="24"/>
          <w:szCs w:val="24"/>
        </w:rPr>
      </w:pPr>
      <w:r>
        <w:rPr>
          <w:rFonts w:hint="eastAsia" w:ascii="宋体" w:hAnsi="宋体" w:eastAsia="宋体" w:cs="宋体"/>
          <w:b/>
          <w:bCs/>
          <w:sz w:val="32"/>
          <w:szCs w:val="32"/>
        </w:rPr>
        <w:t>投标信用承诺书</w:t>
      </w:r>
      <w:r>
        <w:rPr>
          <w:rFonts w:hint="eastAsia" w:ascii="宋体" w:hAnsi="宋体" w:cs="宋体"/>
          <w:b/>
          <w:bCs/>
          <w:sz w:val="32"/>
          <w:szCs w:val="32"/>
          <w:lang w:val="en-US" w:eastAsia="zh-CN"/>
        </w:rPr>
        <w:t xml:space="preserve"> </w:t>
      </w:r>
      <w:r>
        <w:rPr>
          <w:rFonts w:hint="eastAsia" w:ascii="宋体" w:hAnsi="宋体" w:eastAsia="宋体" w:cs="宋体"/>
          <w:b/>
          <w:bCs/>
          <w:sz w:val="32"/>
          <w:szCs w:val="32"/>
        </w:rPr>
        <w:t>Ⅲ</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(并附网页截图)</w:t>
      </w:r>
    </w:p>
    <w:p>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 xml:space="preserve">项目名称：          </w:t>
      </w:r>
    </w:p>
    <w:p>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供应商</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统一社会信用代码：</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法人代表：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在本项目标段</w:t>
      </w:r>
      <w:r>
        <w:rPr>
          <w:rFonts w:hint="eastAsia" w:ascii="宋体" w:hAnsi="宋体" w:eastAsia="宋体" w:cs="宋体"/>
          <w:sz w:val="24"/>
          <w:szCs w:val="24"/>
          <w:lang w:val="en-US" w:eastAsia="zh-CN"/>
        </w:rPr>
        <w:t>谈判</w:t>
      </w:r>
      <w:r>
        <w:rPr>
          <w:rFonts w:hint="eastAsia" w:ascii="宋体" w:hAnsi="宋体" w:eastAsia="宋体" w:cs="宋体"/>
          <w:sz w:val="24"/>
          <w:szCs w:val="24"/>
        </w:rPr>
        <w:t>活动中，我公司 (单位) 自愿作出以下投标信用承诺：</w:t>
      </w:r>
    </w:p>
    <w:p>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w:t>
      </w:r>
      <w:r>
        <w:rPr>
          <w:rFonts w:hint="eastAsia" w:ascii="宋体" w:hAnsi="宋体" w:eastAsia="宋体" w:cs="宋体"/>
          <w:sz w:val="24"/>
          <w:szCs w:val="24"/>
          <w:lang w:eastAsia="zh-CN"/>
        </w:rPr>
        <w:t>）</w:t>
      </w:r>
      <w:r>
        <w:rPr>
          <w:rFonts w:hint="eastAsia" w:ascii="宋体" w:hAnsi="宋体" w:eastAsia="宋体" w:cs="宋体"/>
          <w:sz w:val="24"/>
          <w:szCs w:val="24"/>
        </w:rPr>
        <w:t xml:space="preserve"> 能严格遵守法律法规、职业道德和行业规范。</w:t>
      </w:r>
    </w:p>
    <w:p>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(二) 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w:t>
      </w:r>
      <w:r>
        <w:rPr>
          <w:rFonts w:hint="eastAsia" w:ascii="宋体" w:hAnsi="宋体" w:eastAsia="宋体" w:cs="宋体"/>
          <w:sz w:val="24"/>
          <w:szCs w:val="24"/>
          <w:lang w:val="en-US" w:eastAsia="zh-CN"/>
        </w:rPr>
        <w:t>谈判响应</w:t>
      </w:r>
      <w:r>
        <w:rPr>
          <w:rFonts w:hint="eastAsia" w:ascii="宋体" w:hAnsi="宋体" w:eastAsia="宋体" w:cs="宋体"/>
          <w:sz w:val="24"/>
          <w:szCs w:val="24"/>
        </w:rPr>
        <w:t>文件。4.在被确定为中标人后无正当理由：不按照</w:t>
      </w:r>
      <w:r>
        <w:rPr>
          <w:rFonts w:hint="eastAsia" w:ascii="宋体" w:hAnsi="宋体" w:eastAsia="宋体" w:cs="宋体"/>
          <w:sz w:val="24"/>
          <w:szCs w:val="24"/>
          <w:lang w:val="en-US" w:eastAsia="zh-CN"/>
        </w:rPr>
        <w:t>谈判</w:t>
      </w:r>
      <w:r>
        <w:rPr>
          <w:rFonts w:hint="eastAsia" w:ascii="宋体" w:hAnsi="宋体" w:eastAsia="宋体" w:cs="宋体"/>
          <w:sz w:val="24"/>
          <w:szCs w:val="24"/>
        </w:rPr>
        <w:t>文件和</w:t>
      </w:r>
      <w:r>
        <w:rPr>
          <w:rFonts w:hint="eastAsia" w:ascii="宋体" w:hAnsi="宋体" w:eastAsia="宋体" w:cs="宋体"/>
          <w:sz w:val="24"/>
          <w:szCs w:val="24"/>
          <w:lang w:val="en-US" w:eastAsia="zh-CN"/>
        </w:rPr>
        <w:t>谈判响应</w:t>
      </w:r>
      <w:r>
        <w:rPr>
          <w:rFonts w:hint="eastAsia" w:ascii="宋体" w:hAnsi="宋体" w:eastAsia="宋体" w:cs="宋体"/>
          <w:sz w:val="24"/>
          <w:szCs w:val="24"/>
        </w:rPr>
        <w:t>文件与招标人签订合同；在签订合同时向招标人提出附加条件、或者改变</w:t>
      </w:r>
      <w:r>
        <w:rPr>
          <w:rFonts w:hint="eastAsia" w:ascii="宋体" w:hAnsi="宋体" w:eastAsia="宋体" w:cs="宋体"/>
          <w:sz w:val="24"/>
          <w:szCs w:val="24"/>
          <w:lang w:val="en-US" w:eastAsia="zh-CN"/>
        </w:rPr>
        <w:t>谈判响应</w:t>
      </w:r>
      <w:r>
        <w:rPr>
          <w:rFonts w:hint="eastAsia" w:ascii="宋体" w:hAnsi="宋体" w:eastAsia="宋体" w:cs="宋体"/>
          <w:sz w:val="24"/>
          <w:szCs w:val="24"/>
        </w:rPr>
        <w:t>文件的实质性内容；放弃中标；不按照</w:t>
      </w:r>
      <w:r>
        <w:rPr>
          <w:rFonts w:hint="eastAsia" w:ascii="宋体" w:hAnsi="宋体" w:eastAsia="宋体" w:cs="宋体"/>
          <w:sz w:val="24"/>
          <w:szCs w:val="24"/>
          <w:lang w:val="en-US" w:eastAsia="zh-CN"/>
        </w:rPr>
        <w:t>谈判</w:t>
      </w:r>
      <w:r>
        <w:rPr>
          <w:rFonts w:hint="eastAsia" w:ascii="宋体" w:hAnsi="宋体" w:eastAsia="宋体" w:cs="宋体"/>
          <w:sz w:val="24"/>
          <w:szCs w:val="24"/>
        </w:rPr>
        <w:t>文件的规定提交履约信用承诺</w:t>
      </w:r>
      <w:r>
        <w:rPr>
          <w:rFonts w:hint="eastAsia" w:ascii="宋体" w:hAnsi="宋体" w:eastAsia="宋体" w:cs="宋体"/>
          <w:sz w:val="24"/>
          <w:szCs w:val="24"/>
          <w:lang w:eastAsia="zh-CN"/>
        </w:rPr>
        <w:t>。</w:t>
      </w:r>
      <w:r>
        <w:rPr>
          <w:rFonts w:hint="eastAsia" w:ascii="宋体" w:hAnsi="宋体" w:eastAsia="宋体" w:cs="宋体"/>
          <w:sz w:val="24"/>
          <w:szCs w:val="24"/>
        </w:rPr>
        <w:t>5.招投标法规定的其它违法违规行为。</w:t>
      </w:r>
    </w:p>
    <w:p>
      <w:pPr>
        <w:keepNext w:val="0"/>
        <w:keepLines w:val="0"/>
        <w:pageBreakBefore w:val="0"/>
        <w:widowControl/>
        <w:kinsoku w:val="0"/>
        <w:wordWrap/>
        <w:overflowPunct/>
        <w:topLinePunct w:val="0"/>
        <w:autoSpaceDE w:val="0"/>
        <w:autoSpaceDN w:val="0"/>
        <w:bidi w:val="0"/>
        <w:adjustRightInd w:val="0"/>
        <w:snapToGrid w:val="0"/>
        <w:spacing w:line="48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 xml:space="preserve">(三) 若我公司 (单位) 及相关参与人员违背以上承诺事项，即被视为失信企业 (法人) ，依据《关于对公共资源交易领域严重失信主体开展联合惩戒的备忘录》(发改法规[2018]457 号) </w:t>
      </w:r>
      <w:r>
        <w:rPr>
          <w:rFonts w:hint="eastAsia" w:ascii="宋体" w:hAnsi="宋体" w:eastAsia="宋体" w:cs="宋体"/>
          <w:sz w:val="24"/>
          <w:szCs w:val="24"/>
          <w:lang w:eastAsia="zh-CN"/>
        </w:rPr>
        <w:t>，</w:t>
      </w:r>
      <w:r>
        <w:rPr>
          <w:rFonts w:hint="eastAsia" w:ascii="宋体" w:hAnsi="宋体" w:eastAsia="宋体" w:cs="宋体"/>
          <w:sz w:val="24"/>
          <w:szCs w:val="24"/>
        </w:rPr>
        <w:t>自愿接受 1 至 3 年内限制参与公共资源交易活动。</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法定代表人 (签章) ：           投标人 (盖章) ：</w:t>
      </w:r>
      <w:r>
        <w:rPr>
          <w:rFonts w:hint="eastAsia" w:ascii="宋体" w:hAnsi="宋体" w:eastAsia="宋体" w:cs="宋体"/>
          <w:sz w:val="24"/>
          <w:szCs w:val="24"/>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承诺时间：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年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月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宋体" w:hAnsi="宋体" w:cs="宋体"/>
          <w:b/>
          <w:sz w:val="32"/>
          <w:szCs w:val="22"/>
        </w:rPr>
      </w:pPr>
      <w:r>
        <w:rPr>
          <w:rFonts w:hint="eastAsia" w:ascii="宋体" w:hAnsi="宋体" w:eastAsia="宋体" w:cs="宋体"/>
          <w:b/>
          <w:bCs/>
          <w:sz w:val="24"/>
          <w:szCs w:val="24"/>
        </w:rPr>
        <w:t>说明：本承诺书效力和作用等同投标保证金，其有效期与投标有效期一致。</w:t>
      </w:r>
      <w:r>
        <w:rPr>
          <w:rFonts w:hint="eastAsia" w:ascii="宋体" w:hAnsi="宋体" w:cs="宋体"/>
          <w:b/>
          <w:sz w:val="32"/>
          <w:szCs w:val="22"/>
        </w:rPr>
        <w:br w:type="page"/>
      </w:r>
    </w:p>
    <w:p>
      <w:pPr>
        <w:pStyle w:val="9"/>
        <w:jc w:val="center"/>
        <w:outlineLvl w:val="1"/>
        <w:rPr>
          <w:rFonts w:hint="eastAsia" w:ascii="宋体" w:hAnsi="宋体" w:cs="宋体"/>
          <w:b/>
          <w:sz w:val="32"/>
          <w:szCs w:val="22"/>
        </w:rPr>
      </w:pPr>
      <w:r>
        <w:rPr>
          <w:rFonts w:hint="eastAsia" w:ascii="宋体" w:hAnsi="宋体" w:cs="宋体"/>
          <w:b/>
          <w:sz w:val="32"/>
          <w:szCs w:val="22"/>
        </w:rPr>
        <w:t>四、响应方案</w:t>
      </w:r>
      <w:bookmarkEnd w:id="347"/>
      <w:bookmarkEnd w:id="348"/>
      <w:bookmarkEnd w:id="349"/>
    </w:p>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val="en-US" w:eastAsia="zh-CN"/>
        </w:rPr>
        <w:t>1.</w:t>
      </w:r>
      <w:r>
        <w:rPr>
          <w:rFonts w:hint="eastAsia" w:ascii="宋体" w:hAnsi="宋体" w:cs="宋体"/>
          <w:color w:val="auto"/>
          <w:sz w:val="24"/>
          <w:szCs w:val="24"/>
        </w:rPr>
        <w:t>人员配备（技能、资质及分工等）等情况</w:t>
      </w:r>
      <w:r>
        <w:rPr>
          <w:rFonts w:hint="eastAsia" w:ascii="宋体" w:hAnsi="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val="en-US" w:eastAsia="zh-CN"/>
        </w:rPr>
        <w:t>2.</w:t>
      </w:r>
      <w:r>
        <w:rPr>
          <w:rFonts w:hint="eastAsia" w:ascii="宋体" w:hAnsi="宋体" w:cs="宋体"/>
          <w:color w:val="auto"/>
          <w:sz w:val="24"/>
          <w:szCs w:val="24"/>
        </w:rPr>
        <w:t>主要负责人员资质、相关管理经验等配备情况</w:t>
      </w:r>
      <w:r>
        <w:rPr>
          <w:rFonts w:hint="eastAsia" w:ascii="宋体" w:hAnsi="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val="en-US" w:eastAsia="zh-CN"/>
        </w:rPr>
        <w:t>3.</w:t>
      </w:r>
      <w:r>
        <w:rPr>
          <w:rFonts w:hint="eastAsia" w:ascii="宋体" w:hAnsi="宋体" w:cs="宋体"/>
          <w:color w:val="auto"/>
          <w:sz w:val="24"/>
          <w:szCs w:val="24"/>
        </w:rPr>
        <w:t>项目组织实施计划完整可行，分工明确到位，协调措施有力，具有完成项目的组织能力</w:t>
      </w:r>
      <w:r>
        <w:rPr>
          <w:rFonts w:hint="eastAsia" w:ascii="宋体" w:hAnsi="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val="en-US" w:eastAsia="zh-CN"/>
        </w:rPr>
        <w:t>4.</w:t>
      </w:r>
      <w:r>
        <w:rPr>
          <w:rFonts w:hint="eastAsia" w:ascii="宋体" w:hAnsi="宋体" w:cs="宋体"/>
          <w:color w:val="auto"/>
          <w:sz w:val="24"/>
          <w:szCs w:val="24"/>
        </w:rPr>
        <w:t>服务承诺</w:t>
      </w:r>
      <w:r>
        <w:rPr>
          <w:rFonts w:hint="eastAsia" w:ascii="宋体" w:hAnsi="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val="en-US" w:eastAsia="zh-CN"/>
        </w:rPr>
        <w:t>5.</w:t>
      </w:r>
      <w:r>
        <w:rPr>
          <w:rFonts w:hint="eastAsia" w:ascii="宋体" w:hAnsi="宋体" w:cs="宋体"/>
          <w:color w:val="auto"/>
          <w:sz w:val="24"/>
          <w:szCs w:val="24"/>
        </w:rPr>
        <w:t>管理制度</w:t>
      </w:r>
      <w:r>
        <w:rPr>
          <w:rFonts w:hint="eastAsia" w:ascii="宋体" w:hAnsi="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color w:val="auto"/>
          <w:sz w:val="24"/>
          <w:szCs w:val="24"/>
          <w:lang w:eastAsia="zh-CN"/>
        </w:rPr>
      </w:pPr>
      <w:r>
        <w:rPr>
          <w:rFonts w:hint="eastAsia" w:ascii="宋体" w:hAnsi="宋体" w:cs="宋体"/>
          <w:color w:val="auto"/>
          <w:sz w:val="24"/>
          <w:szCs w:val="24"/>
          <w:lang w:val="en-US" w:eastAsia="zh-CN"/>
        </w:rPr>
        <w:t>6.</w:t>
      </w:r>
      <w:r>
        <w:rPr>
          <w:rFonts w:hint="eastAsia" w:ascii="宋体" w:hAnsi="宋体" w:cs="宋体"/>
          <w:color w:val="auto"/>
          <w:sz w:val="24"/>
          <w:szCs w:val="24"/>
        </w:rPr>
        <w:t>是否设置合理的奖惩、考核制度</w:t>
      </w:r>
      <w:r>
        <w:rPr>
          <w:rFonts w:hint="eastAsia" w:ascii="宋体" w:hAnsi="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cs="宋体"/>
          <w:color w:val="auto"/>
          <w:sz w:val="24"/>
          <w:szCs w:val="24"/>
        </w:rPr>
      </w:pPr>
      <w:r>
        <w:rPr>
          <w:rFonts w:hint="eastAsia" w:ascii="宋体" w:hAnsi="宋体" w:cs="宋体"/>
          <w:color w:val="auto"/>
          <w:sz w:val="24"/>
          <w:szCs w:val="24"/>
          <w:lang w:val="en-US" w:eastAsia="zh-CN"/>
        </w:rPr>
        <w:t>7.</w:t>
      </w:r>
      <w:r>
        <w:rPr>
          <w:rFonts w:hint="eastAsia" w:ascii="宋体" w:hAnsi="宋体" w:cs="宋体"/>
          <w:color w:val="auto"/>
          <w:sz w:val="24"/>
          <w:szCs w:val="24"/>
        </w:rPr>
        <w:t>具有相应的财力、物力、人力保障，能够保证服务正常运转</w:t>
      </w:r>
      <w:r>
        <w:rPr>
          <w:rFonts w:hint="eastAsia" w:ascii="宋体" w:hAnsi="宋体" w:cs="宋体"/>
          <w:color w:val="auto"/>
          <w:sz w:val="24"/>
          <w:szCs w:val="24"/>
          <w:lang w:eastAsia="zh-CN"/>
        </w:rPr>
        <w:t>；</w:t>
      </w:r>
    </w:p>
    <w:p>
      <w:pPr>
        <w:spacing w:line="360" w:lineRule="auto"/>
        <w:ind w:right="-161" w:firstLine="2640" w:firstLineChars="1100"/>
        <w:outlineLvl w:val="9"/>
        <w:rPr>
          <w:rFonts w:hint="eastAsia" w:ascii="宋体" w:hAnsi="宋体" w:cs="宋体"/>
          <w:sz w:val="24"/>
        </w:rPr>
      </w:pPr>
    </w:p>
    <w:p>
      <w:pPr>
        <w:spacing w:line="360" w:lineRule="auto"/>
        <w:ind w:right="-161" w:firstLine="2640" w:firstLineChars="1100"/>
        <w:outlineLvl w:val="9"/>
        <w:rPr>
          <w:rFonts w:hint="eastAsia" w:ascii="宋体" w:hAnsi="宋体" w:cs="宋体"/>
          <w:sz w:val="24"/>
        </w:rPr>
      </w:pPr>
    </w:p>
    <w:p>
      <w:pPr>
        <w:spacing w:line="360" w:lineRule="auto"/>
        <w:ind w:right="-161" w:firstLine="2640" w:firstLineChars="1100"/>
        <w:outlineLvl w:val="9"/>
        <w:rPr>
          <w:rFonts w:ascii="宋体" w:hAnsi="宋体" w:cs="宋体"/>
          <w:sz w:val="24"/>
          <w:u w:val="single"/>
        </w:rPr>
      </w:pPr>
      <w:r>
        <w:rPr>
          <w:rFonts w:hint="eastAsia" w:ascii="宋体" w:hAnsi="宋体" w:cs="宋体"/>
          <w:sz w:val="24"/>
        </w:rPr>
        <w:t>供应商名称（公章）：</w:t>
      </w:r>
    </w:p>
    <w:p>
      <w:pPr>
        <w:spacing w:line="360" w:lineRule="auto"/>
        <w:ind w:right="-161" w:firstLine="2640" w:firstLineChars="1100"/>
        <w:outlineLvl w:val="9"/>
        <w:rPr>
          <w:rFonts w:ascii="宋体" w:hAnsi="宋体" w:cs="宋体"/>
          <w:sz w:val="24"/>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宋体"/>
          <w:sz w:val="24"/>
        </w:rPr>
        <w:t>：</w:t>
      </w:r>
    </w:p>
    <w:p>
      <w:pPr>
        <w:spacing w:line="360" w:lineRule="auto"/>
        <w:ind w:right="480" w:firstLine="2640" w:firstLineChars="1100"/>
        <w:outlineLvl w:val="9"/>
        <w:rPr>
          <w:rFonts w:ascii="宋体" w:hAnsi="宋体" w:cs="宋体"/>
          <w:sz w:val="24"/>
        </w:rPr>
        <w:sectPr>
          <w:pgSz w:w="11906" w:h="16838"/>
          <w:pgMar w:top="1440" w:right="1800" w:bottom="1440" w:left="1800" w:header="1134" w:footer="1134" w:gutter="0"/>
          <w:pgNumType w:fmt="decimal"/>
          <w:cols w:space="720" w:num="1"/>
          <w:titlePg/>
          <w:docGrid w:type="lines" w:linePitch="312" w:charSpace="0"/>
        </w:sectPr>
      </w:pPr>
      <w:r>
        <w:rPr>
          <w:rFonts w:hint="eastAsia" w:ascii="宋体" w:hAnsi="宋体" w:cs="宋体"/>
          <w:sz w:val="24"/>
        </w:rPr>
        <w:t>日期：</w:t>
      </w:r>
    </w:p>
    <w:bookmarkEnd w:id="337"/>
    <w:bookmarkEnd w:id="338"/>
    <w:bookmarkEnd w:id="339"/>
    <w:bookmarkEnd w:id="340"/>
    <w:bookmarkEnd w:id="341"/>
    <w:bookmarkEnd w:id="342"/>
    <w:bookmarkEnd w:id="343"/>
    <w:p>
      <w:pPr>
        <w:pStyle w:val="6"/>
        <w:jc w:val="center"/>
        <w:outlineLvl w:val="1"/>
        <w:rPr>
          <w:rFonts w:ascii="宋体" w:hAnsi="宋体" w:cs="宋体"/>
          <w:b/>
          <w:color w:val="000000"/>
          <w:sz w:val="32"/>
          <w:szCs w:val="32"/>
        </w:rPr>
      </w:pPr>
      <w:bookmarkStart w:id="350" w:name="_Toc29761"/>
      <w:bookmarkStart w:id="351" w:name="_Toc10723"/>
      <w:bookmarkStart w:id="352" w:name="_Toc26758"/>
      <w:r>
        <w:rPr>
          <w:rFonts w:hint="eastAsia" w:ascii="宋体" w:hAnsi="宋体" w:cs="宋体"/>
          <w:b/>
          <w:color w:val="000000"/>
          <w:sz w:val="32"/>
          <w:szCs w:val="32"/>
        </w:rPr>
        <w:t>五、商务偏离表</w:t>
      </w:r>
      <w:bookmarkEnd w:id="350"/>
      <w:bookmarkEnd w:id="351"/>
      <w:bookmarkEnd w:id="352"/>
      <w:r>
        <w:rPr>
          <w:rFonts w:hint="eastAsia" w:ascii="宋体" w:hAnsi="宋体" w:cs="宋体"/>
          <w:b/>
          <w:color w:val="000000"/>
          <w:sz w:val="32"/>
          <w:szCs w:val="32"/>
        </w:rPr>
        <w:t xml:space="preserve"> </w:t>
      </w:r>
    </w:p>
    <w:p>
      <w:pPr>
        <w:spacing w:line="360" w:lineRule="auto"/>
        <w:ind w:firstLine="240" w:firstLineChars="100"/>
        <w:outlineLvl w:val="9"/>
        <w:rPr>
          <w:rFonts w:ascii="宋体" w:hAnsi="宋体" w:cs="宋体"/>
          <w:color w:val="000000"/>
          <w:sz w:val="24"/>
          <w:u w:val="single"/>
        </w:rPr>
      </w:pPr>
      <w:r>
        <w:rPr>
          <w:rFonts w:hint="eastAsia" w:ascii="宋体" w:hAnsi="宋体" w:cs="宋体"/>
          <w:color w:val="000000"/>
          <w:sz w:val="24"/>
        </w:rPr>
        <w:t>供应商名称：                             采购项目编号：</w:t>
      </w:r>
    </w:p>
    <w:tbl>
      <w:tblPr>
        <w:tblStyle w:val="14"/>
        <w:tblW w:w="879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931"/>
        <w:gridCol w:w="3231"/>
        <w:gridCol w:w="807"/>
        <w:gridCol w:w="10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751" w:type="dxa"/>
            <w:noWrap w:val="0"/>
            <w:vAlign w:val="top"/>
          </w:tcPr>
          <w:p>
            <w:pPr>
              <w:spacing w:line="360" w:lineRule="auto"/>
              <w:jc w:val="center"/>
              <w:outlineLvl w:val="9"/>
              <w:rPr>
                <w:rFonts w:ascii="宋体" w:hAnsi="宋体" w:cs="宋体"/>
                <w:b/>
                <w:color w:val="000000"/>
                <w:sz w:val="24"/>
              </w:rPr>
            </w:pPr>
            <w:r>
              <w:rPr>
                <w:rFonts w:hint="eastAsia" w:ascii="宋体" w:hAnsi="宋体" w:cs="宋体"/>
                <w:b/>
                <w:color w:val="000000"/>
                <w:sz w:val="24"/>
              </w:rPr>
              <w:t>序号</w:t>
            </w:r>
          </w:p>
        </w:tc>
        <w:tc>
          <w:tcPr>
            <w:tcW w:w="2931" w:type="dxa"/>
            <w:noWrap w:val="0"/>
            <w:vAlign w:val="top"/>
          </w:tcPr>
          <w:p>
            <w:pPr>
              <w:spacing w:line="360" w:lineRule="auto"/>
              <w:jc w:val="center"/>
              <w:outlineLvl w:val="9"/>
              <w:rPr>
                <w:rFonts w:ascii="宋体" w:hAnsi="宋体" w:cs="宋体"/>
                <w:b/>
                <w:color w:val="000000"/>
                <w:sz w:val="24"/>
              </w:rPr>
            </w:pPr>
            <w:r>
              <w:rPr>
                <w:rFonts w:hint="eastAsia" w:ascii="宋体" w:hAnsi="宋体" w:cs="宋体"/>
                <w:b/>
                <w:color w:val="000000"/>
                <w:sz w:val="24"/>
              </w:rPr>
              <w:t>竞争性谈判文件商务要求</w:t>
            </w:r>
          </w:p>
        </w:tc>
        <w:tc>
          <w:tcPr>
            <w:tcW w:w="3231" w:type="dxa"/>
            <w:noWrap w:val="0"/>
            <w:vAlign w:val="top"/>
          </w:tcPr>
          <w:p>
            <w:pPr>
              <w:spacing w:line="360" w:lineRule="auto"/>
              <w:jc w:val="center"/>
              <w:outlineLvl w:val="9"/>
              <w:rPr>
                <w:rFonts w:ascii="宋体" w:hAnsi="宋体" w:cs="宋体"/>
                <w:b/>
                <w:color w:val="000000"/>
                <w:sz w:val="24"/>
              </w:rPr>
            </w:pPr>
            <w:r>
              <w:rPr>
                <w:rFonts w:hint="eastAsia" w:ascii="宋体" w:hAnsi="宋体" w:cs="宋体"/>
                <w:b/>
                <w:color w:val="000000"/>
                <w:sz w:val="24"/>
              </w:rPr>
              <w:t>竞争性谈判响应文件商务响应</w:t>
            </w:r>
          </w:p>
        </w:tc>
        <w:tc>
          <w:tcPr>
            <w:tcW w:w="807" w:type="dxa"/>
            <w:noWrap w:val="0"/>
            <w:vAlign w:val="top"/>
          </w:tcPr>
          <w:p>
            <w:pPr>
              <w:spacing w:line="360" w:lineRule="auto"/>
              <w:jc w:val="center"/>
              <w:outlineLvl w:val="9"/>
              <w:rPr>
                <w:rFonts w:ascii="宋体" w:hAnsi="宋体" w:cs="宋体"/>
                <w:b/>
                <w:color w:val="000000"/>
                <w:sz w:val="24"/>
              </w:rPr>
            </w:pPr>
            <w:r>
              <w:rPr>
                <w:rFonts w:hint="eastAsia" w:ascii="宋体" w:hAnsi="宋体" w:cs="宋体"/>
                <w:b/>
                <w:color w:val="000000"/>
                <w:sz w:val="24"/>
              </w:rPr>
              <w:t>偏离</w:t>
            </w:r>
          </w:p>
        </w:tc>
        <w:tc>
          <w:tcPr>
            <w:tcW w:w="1072" w:type="dxa"/>
            <w:noWrap w:val="0"/>
            <w:vAlign w:val="top"/>
          </w:tcPr>
          <w:p>
            <w:pPr>
              <w:spacing w:line="360" w:lineRule="auto"/>
              <w:jc w:val="center"/>
              <w:outlineLvl w:val="9"/>
              <w:rPr>
                <w:rFonts w:ascii="宋体" w:hAnsi="宋体" w:cs="宋体"/>
                <w:b/>
                <w:color w:val="000000"/>
                <w:sz w:val="24"/>
              </w:rPr>
            </w:pPr>
            <w:r>
              <w:rPr>
                <w:rFonts w:hint="eastAsia" w:ascii="宋体" w:hAnsi="宋体" w:cs="宋体"/>
                <w:b/>
                <w:color w:val="000000"/>
                <w:sz w:val="24"/>
              </w:rPr>
              <w:t>响应</w:t>
            </w:r>
            <w:r>
              <w:rPr>
                <w:rFonts w:hint="eastAsia" w:ascii="宋体" w:hAnsi="宋体" w:cs="宋体"/>
                <w:b/>
                <w:color w:val="000000"/>
                <w:sz w:val="24"/>
                <w:szCs w:val="22"/>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outlineLvl w:val="9"/>
              <w:rPr>
                <w:rFonts w:ascii="宋体" w:hAnsi="宋体" w:cs="宋体"/>
                <w:color w:val="000000"/>
                <w:sz w:val="24"/>
              </w:rPr>
            </w:pPr>
          </w:p>
        </w:tc>
        <w:tc>
          <w:tcPr>
            <w:tcW w:w="2931" w:type="dxa"/>
            <w:noWrap w:val="0"/>
            <w:vAlign w:val="top"/>
          </w:tcPr>
          <w:p>
            <w:pPr>
              <w:spacing w:line="360" w:lineRule="auto"/>
              <w:jc w:val="center"/>
              <w:outlineLvl w:val="9"/>
              <w:rPr>
                <w:rFonts w:ascii="宋体" w:hAnsi="宋体" w:cs="宋体"/>
                <w:color w:val="000000"/>
                <w:sz w:val="24"/>
              </w:rPr>
            </w:pPr>
          </w:p>
        </w:tc>
        <w:tc>
          <w:tcPr>
            <w:tcW w:w="3231" w:type="dxa"/>
            <w:noWrap w:val="0"/>
            <w:vAlign w:val="top"/>
          </w:tcPr>
          <w:p>
            <w:pPr>
              <w:spacing w:line="360" w:lineRule="auto"/>
              <w:jc w:val="center"/>
              <w:outlineLvl w:val="9"/>
              <w:rPr>
                <w:rFonts w:ascii="宋体" w:hAnsi="宋体" w:cs="宋体"/>
                <w:color w:val="000000"/>
                <w:sz w:val="24"/>
              </w:rPr>
            </w:pPr>
          </w:p>
        </w:tc>
        <w:tc>
          <w:tcPr>
            <w:tcW w:w="807" w:type="dxa"/>
            <w:noWrap w:val="0"/>
            <w:vAlign w:val="top"/>
          </w:tcPr>
          <w:p>
            <w:pPr>
              <w:spacing w:line="360" w:lineRule="auto"/>
              <w:jc w:val="center"/>
              <w:outlineLvl w:val="9"/>
              <w:rPr>
                <w:rFonts w:ascii="宋体" w:hAnsi="宋体" w:cs="宋体"/>
                <w:color w:val="000000"/>
                <w:sz w:val="24"/>
              </w:rPr>
            </w:pPr>
          </w:p>
        </w:tc>
        <w:tc>
          <w:tcPr>
            <w:tcW w:w="1072" w:type="dxa"/>
            <w:noWrap w:val="0"/>
            <w:vAlign w:val="top"/>
          </w:tcPr>
          <w:p>
            <w:pPr>
              <w:spacing w:line="360" w:lineRule="auto"/>
              <w:jc w:val="center"/>
              <w:outlineLvl w:val="9"/>
              <w:rPr>
                <w:rFonts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outlineLvl w:val="9"/>
              <w:rPr>
                <w:rFonts w:ascii="宋体" w:hAnsi="宋体" w:cs="宋体"/>
                <w:color w:val="000000"/>
                <w:sz w:val="24"/>
              </w:rPr>
            </w:pPr>
          </w:p>
        </w:tc>
        <w:tc>
          <w:tcPr>
            <w:tcW w:w="2931" w:type="dxa"/>
            <w:noWrap w:val="0"/>
            <w:vAlign w:val="top"/>
          </w:tcPr>
          <w:p>
            <w:pPr>
              <w:spacing w:line="360" w:lineRule="auto"/>
              <w:jc w:val="center"/>
              <w:outlineLvl w:val="9"/>
              <w:rPr>
                <w:rFonts w:ascii="宋体" w:hAnsi="宋体" w:cs="宋体"/>
                <w:color w:val="000000"/>
                <w:sz w:val="24"/>
              </w:rPr>
            </w:pPr>
          </w:p>
        </w:tc>
        <w:tc>
          <w:tcPr>
            <w:tcW w:w="3231" w:type="dxa"/>
            <w:noWrap w:val="0"/>
            <w:vAlign w:val="top"/>
          </w:tcPr>
          <w:p>
            <w:pPr>
              <w:spacing w:line="360" w:lineRule="auto"/>
              <w:jc w:val="center"/>
              <w:outlineLvl w:val="9"/>
              <w:rPr>
                <w:rFonts w:ascii="宋体" w:hAnsi="宋体" w:cs="宋体"/>
                <w:color w:val="000000"/>
                <w:sz w:val="24"/>
              </w:rPr>
            </w:pPr>
          </w:p>
        </w:tc>
        <w:tc>
          <w:tcPr>
            <w:tcW w:w="807" w:type="dxa"/>
            <w:noWrap w:val="0"/>
            <w:vAlign w:val="top"/>
          </w:tcPr>
          <w:p>
            <w:pPr>
              <w:spacing w:line="360" w:lineRule="auto"/>
              <w:jc w:val="center"/>
              <w:outlineLvl w:val="9"/>
              <w:rPr>
                <w:rFonts w:ascii="宋体" w:hAnsi="宋体" w:cs="宋体"/>
                <w:color w:val="000000"/>
                <w:sz w:val="24"/>
              </w:rPr>
            </w:pPr>
          </w:p>
        </w:tc>
        <w:tc>
          <w:tcPr>
            <w:tcW w:w="1072" w:type="dxa"/>
            <w:noWrap w:val="0"/>
            <w:vAlign w:val="top"/>
          </w:tcPr>
          <w:p>
            <w:pPr>
              <w:spacing w:line="360" w:lineRule="auto"/>
              <w:jc w:val="center"/>
              <w:outlineLvl w:val="9"/>
              <w:rPr>
                <w:rFonts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outlineLvl w:val="9"/>
              <w:rPr>
                <w:rFonts w:ascii="宋体" w:hAnsi="宋体" w:cs="宋体"/>
                <w:color w:val="000000"/>
                <w:sz w:val="24"/>
              </w:rPr>
            </w:pPr>
          </w:p>
        </w:tc>
        <w:tc>
          <w:tcPr>
            <w:tcW w:w="2931" w:type="dxa"/>
            <w:noWrap w:val="0"/>
            <w:vAlign w:val="top"/>
          </w:tcPr>
          <w:p>
            <w:pPr>
              <w:spacing w:line="360" w:lineRule="auto"/>
              <w:jc w:val="center"/>
              <w:outlineLvl w:val="9"/>
              <w:rPr>
                <w:rFonts w:ascii="宋体" w:hAnsi="宋体" w:cs="宋体"/>
                <w:color w:val="000000"/>
                <w:sz w:val="24"/>
              </w:rPr>
            </w:pPr>
          </w:p>
        </w:tc>
        <w:tc>
          <w:tcPr>
            <w:tcW w:w="3231" w:type="dxa"/>
            <w:noWrap w:val="0"/>
            <w:vAlign w:val="top"/>
          </w:tcPr>
          <w:p>
            <w:pPr>
              <w:spacing w:line="360" w:lineRule="auto"/>
              <w:jc w:val="center"/>
              <w:outlineLvl w:val="9"/>
              <w:rPr>
                <w:rFonts w:ascii="宋体" w:hAnsi="宋体" w:cs="宋体"/>
                <w:color w:val="000000"/>
                <w:sz w:val="24"/>
              </w:rPr>
            </w:pPr>
          </w:p>
        </w:tc>
        <w:tc>
          <w:tcPr>
            <w:tcW w:w="807" w:type="dxa"/>
            <w:noWrap w:val="0"/>
            <w:vAlign w:val="top"/>
          </w:tcPr>
          <w:p>
            <w:pPr>
              <w:spacing w:line="360" w:lineRule="auto"/>
              <w:jc w:val="center"/>
              <w:outlineLvl w:val="9"/>
              <w:rPr>
                <w:rFonts w:ascii="宋体" w:hAnsi="宋体" w:cs="宋体"/>
                <w:color w:val="000000"/>
                <w:sz w:val="24"/>
              </w:rPr>
            </w:pPr>
          </w:p>
        </w:tc>
        <w:tc>
          <w:tcPr>
            <w:tcW w:w="1072" w:type="dxa"/>
            <w:noWrap w:val="0"/>
            <w:vAlign w:val="top"/>
          </w:tcPr>
          <w:p>
            <w:pPr>
              <w:spacing w:line="360" w:lineRule="auto"/>
              <w:jc w:val="center"/>
              <w:outlineLvl w:val="9"/>
              <w:rPr>
                <w:rFonts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outlineLvl w:val="9"/>
              <w:rPr>
                <w:rFonts w:ascii="宋体" w:hAnsi="宋体" w:cs="宋体"/>
                <w:color w:val="000000"/>
                <w:sz w:val="24"/>
              </w:rPr>
            </w:pPr>
          </w:p>
        </w:tc>
        <w:tc>
          <w:tcPr>
            <w:tcW w:w="2931" w:type="dxa"/>
            <w:noWrap w:val="0"/>
            <w:vAlign w:val="top"/>
          </w:tcPr>
          <w:p>
            <w:pPr>
              <w:spacing w:line="360" w:lineRule="auto"/>
              <w:jc w:val="center"/>
              <w:outlineLvl w:val="9"/>
              <w:rPr>
                <w:rFonts w:ascii="宋体" w:hAnsi="宋体" w:cs="宋体"/>
                <w:color w:val="000000"/>
                <w:sz w:val="24"/>
              </w:rPr>
            </w:pPr>
          </w:p>
        </w:tc>
        <w:tc>
          <w:tcPr>
            <w:tcW w:w="3231" w:type="dxa"/>
            <w:noWrap w:val="0"/>
            <w:vAlign w:val="top"/>
          </w:tcPr>
          <w:p>
            <w:pPr>
              <w:spacing w:line="360" w:lineRule="auto"/>
              <w:jc w:val="center"/>
              <w:outlineLvl w:val="9"/>
              <w:rPr>
                <w:rFonts w:ascii="宋体" w:hAnsi="宋体" w:cs="宋体"/>
                <w:color w:val="000000"/>
                <w:sz w:val="24"/>
              </w:rPr>
            </w:pPr>
          </w:p>
        </w:tc>
        <w:tc>
          <w:tcPr>
            <w:tcW w:w="807" w:type="dxa"/>
            <w:noWrap w:val="0"/>
            <w:vAlign w:val="top"/>
          </w:tcPr>
          <w:p>
            <w:pPr>
              <w:spacing w:line="360" w:lineRule="auto"/>
              <w:jc w:val="center"/>
              <w:outlineLvl w:val="9"/>
              <w:rPr>
                <w:rFonts w:ascii="宋体" w:hAnsi="宋体" w:cs="宋体"/>
                <w:color w:val="000000"/>
                <w:sz w:val="24"/>
              </w:rPr>
            </w:pPr>
          </w:p>
        </w:tc>
        <w:tc>
          <w:tcPr>
            <w:tcW w:w="1072" w:type="dxa"/>
            <w:noWrap w:val="0"/>
            <w:vAlign w:val="top"/>
          </w:tcPr>
          <w:p>
            <w:pPr>
              <w:spacing w:line="360" w:lineRule="auto"/>
              <w:jc w:val="center"/>
              <w:outlineLvl w:val="9"/>
              <w:rPr>
                <w:rFonts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outlineLvl w:val="9"/>
              <w:rPr>
                <w:rFonts w:ascii="宋体" w:hAnsi="宋体" w:cs="宋体"/>
                <w:color w:val="000000"/>
                <w:sz w:val="24"/>
              </w:rPr>
            </w:pPr>
          </w:p>
        </w:tc>
        <w:tc>
          <w:tcPr>
            <w:tcW w:w="2931" w:type="dxa"/>
            <w:noWrap w:val="0"/>
            <w:vAlign w:val="top"/>
          </w:tcPr>
          <w:p>
            <w:pPr>
              <w:spacing w:line="360" w:lineRule="auto"/>
              <w:jc w:val="center"/>
              <w:outlineLvl w:val="9"/>
              <w:rPr>
                <w:rFonts w:ascii="宋体" w:hAnsi="宋体" w:cs="宋体"/>
                <w:color w:val="000000"/>
                <w:sz w:val="24"/>
              </w:rPr>
            </w:pPr>
          </w:p>
        </w:tc>
        <w:tc>
          <w:tcPr>
            <w:tcW w:w="3231" w:type="dxa"/>
            <w:noWrap w:val="0"/>
            <w:vAlign w:val="top"/>
          </w:tcPr>
          <w:p>
            <w:pPr>
              <w:spacing w:line="360" w:lineRule="auto"/>
              <w:jc w:val="center"/>
              <w:outlineLvl w:val="9"/>
              <w:rPr>
                <w:rFonts w:ascii="宋体" w:hAnsi="宋体" w:cs="宋体"/>
                <w:color w:val="000000"/>
                <w:sz w:val="24"/>
              </w:rPr>
            </w:pPr>
          </w:p>
        </w:tc>
        <w:tc>
          <w:tcPr>
            <w:tcW w:w="807" w:type="dxa"/>
            <w:noWrap w:val="0"/>
            <w:vAlign w:val="top"/>
          </w:tcPr>
          <w:p>
            <w:pPr>
              <w:spacing w:line="360" w:lineRule="auto"/>
              <w:jc w:val="center"/>
              <w:outlineLvl w:val="9"/>
              <w:rPr>
                <w:rFonts w:ascii="宋体" w:hAnsi="宋体" w:cs="宋体"/>
                <w:color w:val="000000"/>
                <w:sz w:val="24"/>
              </w:rPr>
            </w:pPr>
          </w:p>
        </w:tc>
        <w:tc>
          <w:tcPr>
            <w:tcW w:w="1072" w:type="dxa"/>
            <w:noWrap w:val="0"/>
            <w:vAlign w:val="top"/>
          </w:tcPr>
          <w:p>
            <w:pPr>
              <w:spacing w:line="360" w:lineRule="auto"/>
              <w:jc w:val="center"/>
              <w:outlineLvl w:val="9"/>
              <w:rPr>
                <w:rFonts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outlineLvl w:val="9"/>
              <w:rPr>
                <w:rFonts w:ascii="宋体" w:hAnsi="宋体" w:cs="宋体"/>
                <w:color w:val="000000"/>
                <w:sz w:val="24"/>
              </w:rPr>
            </w:pPr>
          </w:p>
        </w:tc>
        <w:tc>
          <w:tcPr>
            <w:tcW w:w="2931" w:type="dxa"/>
            <w:noWrap w:val="0"/>
            <w:vAlign w:val="top"/>
          </w:tcPr>
          <w:p>
            <w:pPr>
              <w:spacing w:line="360" w:lineRule="auto"/>
              <w:jc w:val="center"/>
              <w:outlineLvl w:val="9"/>
              <w:rPr>
                <w:rFonts w:ascii="宋体" w:hAnsi="宋体" w:cs="宋体"/>
                <w:color w:val="000000"/>
                <w:sz w:val="24"/>
              </w:rPr>
            </w:pPr>
          </w:p>
        </w:tc>
        <w:tc>
          <w:tcPr>
            <w:tcW w:w="3231" w:type="dxa"/>
            <w:noWrap w:val="0"/>
            <w:vAlign w:val="top"/>
          </w:tcPr>
          <w:p>
            <w:pPr>
              <w:spacing w:line="360" w:lineRule="auto"/>
              <w:jc w:val="center"/>
              <w:outlineLvl w:val="9"/>
              <w:rPr>
                <w:rFonts w:ascii="宋体" w:hAnsi="宋体" w:cs="宋体"/>
                <w:color w:val="000000"/>
                <w:sz w:val="24"/>
              </w:rPr>
            </w:pPr>
          </w:p>
        </w:tc>
        <w:tc>
          <w:tcPr>
            <w:tcW w:w="807" w:type="dxa"/>
            <w:noWrap w:val="0"/>
            <w:vAlign w:val="top"/>
          </w:tcPr>
          <w:p>
            <w:pPr>
              <w:spacing w:line="360" w:lineRule="auto"/>
              <w:jc w:val="center"/>
              <w:outlineLvl w:val="9"/>
              <w:rPr>
                <w:rFonts w:ascii="宋体" w:hAnsi="宋体" w:cs="宋体"/>
                <w:color w:val="000000"/>
                <w:sz w:val="24"/>
              </w:rPr>
            </w:pPr>
          </w:p>
        </w:tc>
        <w:tc>
          <w:tcPr>
            <w:tcW w:w="1072" w:type="dxa"/>
            <w:noWrap w:val="0"/>
            <w:vAlign w:val="top"/>
          </w:tcPr>
          <w:p>
            <w:pPr>
              <w:spacing w:line="360" w:lineRule="auto"/>
              <w:jc w:val="center"/>
              <w:outlineLvl w:val="9"/>
              <w:rPr>
                <w:rFonts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outlineLvl w:val="9"/>
              <w:rPr>
                <w:rFonts w:ascii="宋体" w:hAnsi="宋体" w:cs="宋体"/>
                <w:color w:val="000000"/>
                <w:sz w:val="24"/>
              </w:rPr>
            </w:pPr>
          </w:p>
        </w:tc>
        <w:tc>
          <w:tcPr>
            <w:tcW w:w="2931" w:type="dxa"/>
            <w:noWrap w:val="0"/>
            <w:vAlign w:val="top"/>
          </w:tcPr>
          <w:p>
            <w:pPr>
              <w:spacing w:line="360" w:lineRule="auto"/>
              <w:jc w:val="center"/>
              <w:outlineLvl w:val="9"/>
              <w:rPr>
                <w:rFonts w:ascii="宋体" w:hAnsi="宋体" w:cs="宋体"/>
                <w:color w:val="000000"/>
                <w:sz w:val="24"/>
              </w:rPr>
            </w:pPr>
          </w:p>
        </w:tc>
        <w:tc>
          <w:tcPr>
            <w:tcW w:w="3231" w:type="dxa"/>
            <w:noWrap w:val="0"/>
            <w:vAlign w:val="top"/>
          </w:tcPr>
          <w:p>
            <w:pPr>
              <w:spacing w:line="360" w:lineRule="auto"/>
              <w:jc w:val="center"/>
              <w:outlineLvl w:val="9"/>
              <w:rPr>
                <w:rFonts w:ascii="宋体" w:hAnsi="宋体" w:cs="宋体"/>
                <w:color w:val="000000"/>
                <w:sz w:val="24"/>
              </w:rPr>
            </w:pPr>
          </w:p>
        </w:tc>
        <w:tc>
          <w:tcPr>
            <w:tcW w:w="807" w:type="dxa"/>
            <w:noWrap w:val="0"/>
            <w:vAlign w:val="top"/>
          </w:tcPr>
          <w:p>
            <w:pPr>
              <w:spacing w:line="360" w:lineRule="auto"/>
              <w:jc w:val="center"/>
              <w:outlineLvl w:val="9"/>
              <w:rPr>
                <w:rFonts w:ascii="宋体" w:hAnsi="宋体" w:cs="宋体"/>
                <w:color w:val="000000"/>
                <w:sz w:val="24"/>
              </w:rPr>
            </w:pPr>
          </w:p>
        </w:tc>
        <w:tc>
          <w:tcPr>
            <w:tcW w:w="1072" w:type="dxa"/>
            <w:noWrap w:val="0"/>
            <w:vAlign w:val="top"/>
          </w:tcPr>
          <w:p>
            <w:pPr>
              <w:spacing w:line="360" w:lineRule="auto"/>
              <w:jc w:val="center"/>
              <w:outlineLvl w:val="9"/>
              <w:rPr>
                <w:rFonts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outlineLvl w:val="9"/>
              <w:rPr>
                <w:rFonts w:ascii="宋体" w:hAnsi="宋体" w:cs="宋体"/>
                <w:color w:val="000000"/>
                <w:sz w:val="24"/>
              </w:rPr>
            </w:pPr>
          </w:p>
        </w:tc>
        <w:tc>
          <w:tcPr>
            <w:tcW w:w="2931" w:type="dxa"/>
            <w:noWrap w:val="0"/>
            <w:vAlign w:val="top"/>
          </w:tcPr>
          <w:p>
            <w:pPr>
              <w:spacing w:line="360" w:lineRule="auto"/>
              <w:jc w:val="center"/>
              <w:outlineLvl w:val="9"/>
              <w:rPr>
                <w:rFonts w:ascii="宋体" w:hAnsi="宋体" w:cs="宋体"/>
                <w:color w:val="000000"/>
                <w:sz w:val="24"/>
              </w:rPr>
            </w:pPr>
          </w:p>
        </w:tc>
        <w:tc>
          <w:tcPr>
            <w:tcW w:w="3231" w:type="dxa"/>
            <w:noWrap w:val="0"/>
            <w:vAlign w:val="top"/>
          </w:tcPr>
          <w:p>
            <w:pPr>
              <w:spacing w:line="360" w:lineRule="auto"/>
              <w:jc w:val="center"/>
              <w:outlineLvl w:val="9"/>
              <w:rPr>
                <w:rFonts w:ascii="宋体" w:hAnsi="宋体" w:cs="宋体"/>
                <w:color w:val="000000"/>
                <w:sz w:val="24"/>
              </w:rPr>
            </w:pPr>
          </w:p>
        </w:tc>
        <w:tc>
          <w:tcPr>
            <w:tcW w:w="807" w:type="dxa"/>
            <w:noWrap w:val="0"/>
            <w:vAlign w:val="top"/>
          </w:tcPr>
          <w:p>
            <w:pPr>
              <w:spacing w:line="360" w:lineRule="auto"/>
              <w:jc w:val="center"/>
              <w:outlineLvl w:val="9"/>
              <w:rPr>
                <w:rFonts w:ascii="宋体" w:hAnsi="宋体" w:cs="宋体"/>
                <w:color w:val="000000"/>
                <w:sz w:val="24"/>
              </w:rPr>
            </w:pPr>
          </w:p>
        </w:tc>
        <w:tc>
          <w:tcPr>
            <w:tcW w:w="1072" w:type="dxa"/>
            <w:noWrap w:val="0"/>
            <w:vAlign w:val="top"/>
          </w:tcPr>
          <w:p>
            <w:pPr>
              <w:spacing w:line="360" w:lineRule="auto"/>
              <w:jc w:val="center"/>
              <w:outlineLvl w:val="9"/>
              <w:rPr>
                <w:rFonts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outlineLvl w:val="9"/>
              <w:rPr>
                <w:rFonts w:ascii="宋体" w:hAnsi="宋体" w:cs="宋体"/>
                <w:color w:val="000000"/>
                <w:sz w:val="24"/>
              </w:rPr>
            </w:pPr>
          </w:p>
        </w:tc>
        <w:tc>
          <w:tcPr>
            <w:tcW w:w="2931" w:type="dxa"/>
            <w:noWrap w:val="0"/>
            <w:vAlign w:val="top"/>
          </w:tcPr>
          <w:p>
            <w:pPr>
              <w:spacing w:line="360" w:lineRule="auto"/>
              <w:jc w:val="center"/>
              <w:outlineLvl w:val="9"/>
              <w:rPr>
                <w:rFonts w:ascii="宋体" w:hAnsi="宋体" w:cs="宋体"/>
                <w:color w:val="000000"/>
                <w:sz w:val="24"/>
              </w:rPr>
            </w:pPr>
          </w:p>
        </w:tc>
        <w:tc>
          <w:tcPr>
            <w:tcW w:w="3231" w:type="dxa"/>
            <w:noWrap w:val="0"/>
            <w:vAlign w:val="top"/>
          </w:tcPr>
          <w:p>
            <w:pPr>
              <w:spacing w:line="360" w:lineRule="auto"/>
              <w:jc w:val="center"/>
              <w:outlineLvl w:val="9"/>
              <w:rPr>
                <w:rFonts w:ascii="宋体" w:hAnsi="宋体" w:cs="宋体"/>
                <w:color w:val="000000"/>
                <w:sz w:val="24"/>
              </w:rPr>
            </w:pPr>
          </w:p>
        </w:tc>
        <w:tc>
          <w:tcPr>
            <w:tcW w:w="807" w:type="dxa"/>
            <w:noWrap w:val="0"/>
            <w:vAlign w:val="top"/>
          </w:tcPr>
          <w:p>
            <w:pPr>
              <w:spacing w:line="360" w:lineRule="auto"/>
              <w:jc w:val="center"/>
              <w:outlineLvl w:val="9"/>
              <w:rPr>
                <w:rFonts w:ascii="宋体" w:hAnsi="宋体" w:cs="宋体"/>
                <w:color w:val="000000"/>
                <w:sz w:val="24"/>
              </w:rPr>
            </w:pPr>
          </w:p>
        </w:tc>
        <w:tc>
          <w:tcPr>
            <w:tcW w:w="1072" w:type="dxa"/>
            <w:noWrap w:val="0"/>
            <w:vAlign w:val="top"/>
          </w:tcPr>
          <w:p>
            <w:pPr>
              <w:spacing w:line="360" w:lineRule="auto"/>
              <w:jc w:val="center"/>
              <w:outlineLvl w:val="9"/>
              <w:rPr>
                <w:rFonts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outlineLvl w:val="9"/>
              <w:rPr>
                <w:rFonts w:ascii="宋体" w:hAnsi="宋体" w:cs="宋体"/>
                <w:color w:val="000000"/>
                <w:sz w:val="24"/>
              </w:rPr>
            </w:pPr>
          </w:p>
        </w:tc>
        <w:tc>
          <w:tcPr>
            <w:tcW w:w="2931" w:type="dxa"/>
            <w:noWrap w:val="0"/>
            <w:vAlign w:val="top"/>
          </w:tcPr>
          <w:p>
            <w:pPr>
              <w:spacing w:line="360" w:lineRule="auto"/>
              <w:jc w:val="center"/>
              <w:outlineLvl w:val="9"/>
              <w:rPr>
                <w:rFonts w:ascii="宋体" w:hAnsi="宋体" w:cs="宋体"/>
                <w:color w:val="000000"/>
                <w:sz w:val="24"/>
              </w:rPr>
            </w:pPr>
          </w:p>
        </w:tc>
        <w:tc>
          <w:tcPr>
            <w:tcW w:w="3231" w:type="dxa"/>
            <w:noWrap w:val="0"/>
            <w:vAlign w:val="top"/>
          </w:tcPr>
          <w:p>
            <w:pPr>
              <w:spacing w:line="360" w:lineRule="auto"/>
              <w:jc w:val="center"/>
              <w:outlineLvl w:val="9"/>
              <w:rPr>
                <w:rFonts w:ascii="宋体" w:hAnsi="宋体" w:cs="宋体"/>
                <w:color w:val="000000"/>
                <w:sz w:val="24"/>
              </w:rPr>
            </w:pPr>
          </w:p>
        </w:tc>
        <w:tc>
          <w:tcPr>
            <w:tcW w:w="807" w:type="dxa"/>
            <w:noWrap w:val="0"/>
            <w:vAlign w:val="top"/>
          </w:tcPr>
          <w:p>
            <w:pPr>
              <w:spacing w:line="360" w:lineRule="auto"/>
              <w:jc w:val="center"/>
              <w:outlineLvl w:val="9"/>
              <w:rPr>
                <w:rFonts w:ascii="宋体" w:hAnsi="宋体" w:cs="宋体"/>
                <w:color w:val="000000"/>
                <w:sz w:val="24"/>
              </w:rPr>
            </w:pPr>
          </w:p>
        </w:tc>
        <w:tc>
          <w:tcPr>
            <w:tcW w:w="1072" w:type="dxa"/>
            <w:noWrap w:val="0"/>
            <w:vAlign w:val="top"/>
          </w:tcPr>
          <w:p>
            <w:pPr>
              <w:spacing w:line="360" w:lineRule="auto"/>
              <w:jc w:val="center"/>
              <w:outlineLvl w:val="9"/>
              <w:rPr>
                <w:rFonts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outlineLvl w:val="9"/>
              <w:rPr>
                <w:rFonts w:ascii="宋体" w:hAnsi="宋体" w:cs="宋体"/>
                <w:color w:val="000000"/>
                <w:sz w:val="24"/>
              </w:rPr>
            </w:pPr>
          </w:p>
        </w:tc>
        <w:tc>
          <w:tcPr>
            <w:tcW w:w="2931" w:type="dxa"/>
            <w:noWrap w:val="0"/>
            <w:vAlign w:val="top"/>
          </w:tcPr>
          <w:p>
            <w:pPr>
              <w:spacing w:line="360" w:lineRule="auto"/>
              <w:jc w:val="center"/>
              <w:outlineLvl w:val="9"/>
              <w:rPr>
                <w:rFonts w:ascii="宋体" w:hAnsi="宋体" w:cs="宋体"/>
                <w:color w:val="000000"/>
                <w:sz w:val="24"/>
              </w:rPr>
            </w:pPr>
          </w:p>
        </w:tc>
        <w:tc>
          <w:tcPr>
            <w:tcW w:w="3231" w:type="dxa"/>
            <w:noWrap w:val="0"/>
            <w:vAlign w:val="top"/>
          </w:tcPr>
          <w:p>
            <w:pPr>
              <w:spacing w:line="360" w:lineRule="auto"/>
              <w:jc w:val="center"/>
              <w:outlineLvl w:val="9"/>
              <w:rPr>
                <w:rFonts w:ascii="宋体" w:hAnsi="宋体" w:cs="宋体"/>
                <w:color w:val="000000"/>
                <w:sz w:val="24"/>
              </w:rPr>
            </w:pPr>
          </w:p>
        </w:tc>
        <w:tc>
          <w:tcPr>
            <w:tcW w:w="807" w:type="dxa"/>
            <w:noWrap w:val="0"/>
            <w:vAlign w:val="top"/>
          </w:tcPr>
          <w:p>
            <w:pPr>
              <w:spacing w:line="360" w:lineRule="auto"/>
              <w:jc w:val="center"/>
              <w:outlineLvl w:val="9"/>
              <w:rPr>
                <w:rFonts w:ascii="宋体" w:hAnsi="宋体" w:cs="宋体"/>
                <w:color w:val="000000"/>
                <w:sz w:val="24"/>
              </w:rPr>
            </w:pPr>
          </w:p>
        </w:tc>
        <w:tc>
          <w:tcPr>
            <w:tcW w:w="1072" w:type="dxa"/>
            <w:noWrap w:val="0"/>
            <w:vAlign w:val="top"/>
          </w:tcPr>
          <w:p>
            <w:pPr>
              <w:spacing w:line="360" w:lineRule="auto"/>
              <w:jc w:val="center"/>
              <w:outlineLvl w:val="9"/>
              <w:rPr>
                <w:rFonts w:ascii="宋体" w:hAnsi="宋体" w:cs="宋体"/>
                <w:color w:val="00000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pPr>
              <w:spacing w:line="360" w:lineRule="auto"/>
              <w:jc w:val="center"/>
              <w:outlineLvl w:val="9"/>
              <w:rPr>
                <w:rFonts w:ascii="宋体" w:hAnsi="宋体" w:cs="宋体"/>
                <w:color w:val="000000"/>
                <w:sz w:val="24"/>
              </w:rPr>
            </w:pPr>
          </w:p>
        </w:tc>
        <w:tc>
          <w:tcPr>
            <w:tcW w:w="2931" w:type="dxa"/>
            <w:noWrap w:val="0"/>
            <w:vAlign w:val="top"/>
          </w:tcPr>
          <w:p>
            <w:pPr>
              <w:spacing w:line="360" w:lineRule="auto"/>
              <w:jc w:val="center"/>
              <w:outlineLvl w:val="9"/>
              <w:rPr>
                <w:rFonts w:ascii="宋体" w:hAnsi="宋体" w:cs="宋体"/>
                <w:color w:val="000000"/>
                <w:sz w:val="24"/>
              </w:rPr>
            </w:pPr>
          </w:p>
        </w:tc>
        <w:tc>
          <w:tcPr>
            <w:tcW w:w="3231" w:type="dxa"/>
            <w:noWrap w:val="0"/>
            <w:vAlign w:val="top"/>
          </w:tcPr>
          <w:p>
            <w:pPr>
              <w:spacing w:line="360" w:lineRule="auto"/>
              <w:jc w:val="center"/>
              <w:outlineLvl w:val="9"/>
              <w:rPr>
                <w:rFonts w:ascii="宋体" w:hAnsi="宋体" w:cs="宋体"/>
                <w:color w:val="000000"/>
                <w:sz w:val="24"/>
              </w:rPr>
            </w:pPr>
          </w:p>
        </w:tc>
        <w:tc>
          <w:tcPr>
            <w:tcW w:w="807" w:type="dxa"/>
            <w:noWrap w:val="0"/>
            <w:vAlign w:val="top"/>
          </w:tcPr>
          <w:p>
            <w:pPr>
              <w:spacing w:line="360" w:lineRule="auto"/>
              <w:jc w:val="center"/>
              <w:outlineLvl w:val="9"/>
              <w:rPr>
                <w:rFonts w:ascii="宋体" w:hAnsi="宋体" w:cs="宋体"/>
                <w:color w:val="000000"/>
                <w:sz w:val="24"/>
              </w:rPr>
            </w:pPr>
          </w:p>
        </w:tc>
        <w:tc>
          <w:tcPr>
            <w:tcW w:w="1072" w:type="dxa"/>
            <w:noWrap w:val="0"/>
            <w:vAlign w:val="top"/>
          </w:tcPr>
          <w:p>
            <w:pPr>
              <w:spacing w:line="360" w:lineRule="auto"/>
              <w:jc w:val="center"/>
              <w:outlineLvl w:val="9"/>
              <w:rPr>
                <w:rFonts w:ascii="宋体" w:hAnsi="宋体" w:cs="宋体"/>
                <w:color w:val="000000"/>
                <w:sz w:val="24"/>
              </w:rPr>
            </w:pPr>
          </w:p>
        </w:tc>
      </w:tr>
    </w:tbl>
    <w:p>
      <w:pPr>
        <w:spacing w:line="360" w:lineRule="auto"/>
        <w:ind w:right="-161"/>
        <w:outlineLvl w:val="9"/>
        <w:rPr>
          <w:rFonts w:ascii="宋体" w:hAnsi="宋体" w:cs="宋体"/>
          <w:color w:val="000000"/>
          <w:sz w:val="24"/>
        </w:rPr>
      </w:pPr>
      <w:r>
        <w:rPr>
          <w:rFonts w:hint="eastAsia" w:ascii="宋体" w:hAnsi="宋体" w:cs="宋体"/>
          <w:color w:val="000000"/>
          <w:sz w:val="24"/>
        </w:rPr>
        <w:t>说明：</w:t>
      </w:r>
    </w:p>
    <w:p>
      <w:pPr>
        <w:spacing w:line="360" w:lineRule="auto"/>
        <w:ind w:right="-161" w:firstLine="480" w:firstLineChars="200"/>
        <w:outlineLvl w:val="9"/>
        <w:rPr>
          <w:rFonts w:ascii="宋体" w:hAnsi="宋体" w:cs="宋体"/>
          <w:color w:val="000000"/>
          <w:sz w:val="24"/>
        </w:rPr>
      </w:pPr>
      <w:r>
        <w:rPr>
          <w:rFonts w:hint="eastAsia" w:ascii="宋体" w:hAnsi="宋体" w:cs="宋体"/>
          <w:color w:val="000000"/>
          <w:sz w:val="24"/>
        </w:rPr>
        <w:t>1、谈判响应文件根据第五部分商务要求如实填写；</w:t>
      </w:r>
    </w:p>
    <w:p>
      <w:pPr>
        <w:spacing w:line="360" w:lineRule="auto"/>
        <w:ind w:right="-161" w:firstLine="480" w:firstLineChars="200"/>
        <w:outlineLvl w:val="9"/>
        <w:rPr>
          <w:rFonts w:ascii="宋体" w:hAnsi="宋体" w:cs="宋体"/>
          <w:color w:val="000000"/>
          <w:sz w:val="24"/>
        </w:rPr>
      </w:pPr>
      <w:r>
        <w:rPr>
          <w:rFonts w:hint="eastAsia" w:ascii="宋体" w:hAnsi="宋体" w:cs="宋体"/>
          <w:color w:val="000000"/>
          <w:sz w:val="24"/>
        </w:rPr>
        <w:t>2、偏离填写：优于、相同、低于；</w:t>
      </w:r>
    </w:p>
    <w:p>
      <w:pPr>
        <w:spacing w:line="360" w:lineRule="auto"/>
        <w:ind w:right="-161" w:firstLine="480" w:firstLineChars="200"/>
        <w:outlineLvl w:val="9"/>
      </w:pPr>
      <w:r>
        <w:rPr>
          <w:rFonts w:hint="eastAsia" w:ascii="宋体" w:hAnsi="宋体" w:cs="宋体"/>
          <w:color w:val="000000"/>
          <w:sz w:val="24"/>
        </w:rPr>
        <w:t xml:space="preserve">3、响应说明填写：对偏离做出详细的说明。 </w:t>
      </w:r>
      <w:r>
        <w:rPr>
          <w:rFonts w:hint="eastAsia" w:ascii="宋体" w:hAnsi="宋体" w:cs="宋体"/>
          <w:sz w:val="24"/>
        </w:rPr>
        <w:t xml:space="preserve"> </w:t>
      </w:r>
    </w:p>
    <w:p>
      <w:pPr>
        <w:spacing w:line="360" w:lineRule="auto"/>
        <w:ind w:right="-161" w:firstLine="2640" w:firstLineChars="1100"/>
        <w:outlineLvl w:val="9"/>
        <w:rPr>
          <w:rFonts w:ascii="宋体" w:hAnsi="宋体" w:cs="宋体"/>
          <w:color w:val="000000"/>
          <w:sz w:val="24"/>
          <w:szCs w:val="24"/>
        </w:rPr>
      </w:pPr>
    </w:p>
    <w:p>
      <w:pPr>
        <w:spacing w:line="480" w:lineRule="auto"/>
        <w:ind w:right="-161" w:firstLine="2640" w:firstLineChars="1100"/>
        <w:outlineLvl w:val="9"/>
        <w:rPr>
          <w:rFonts w:ascii="宋体" w:hAnsi="宋体" w:cs="仿宋_GB2312"/>
          <w:sz w:val="24"/>
          <w:szCs w:val="24"/>
          <w:u w:val="single"/>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仿宋_GB2312"/>
          <w:sz w:val="24"/>
          <w:szCs w:val="24"/>
        </w:rPr>
        <w:t>：</w:t>
      </w:r>
      <w:r>
        <w:rPr>
          <w:rFonts w:hint="eastAsia" w:ascii="宋体" w:hAnsi="宋体" w:cs="仿宋_GB2312"/>
          <w:sz w:val="24"/>
          <w:szCs w:val="24"/>
          <w:u w:val="single"/>
        </w:rPr>
        <w:t xml:space="preserve">                      </w:t>
      </w:r>
    </w:p>
    <w:p>
      <w:pPr>
        <w:spacing w:line="480" w:lineRule="auto"/>
        <w:ind w:right="-161" w:firstLine="2640" w:firstLineChars="1100"/>
        <w:outlineLvl w:val="9"/>
        <w:rPr>
          <w:rFonts w:ascii="宋体" w:hAnsi="宋体" w:cs="仿宋_GB2312"/>
          <w:sz w:val="24"/>
          <w:szCs w:val="24"/>
        </w:rPr>
      </w:pPr>
      <w:r>
        <w:rPr>
          <w:rFonts w:hint="eastAsia" w:ascii="宋体" w:hAnsi="宋体" w:cs="仿宋_GB2312"/>
          <w:sz w:val="24"/>
          <w:szCs w:val="24"/>
        </w:rPr>
        <w:t>投   标   单  位  公  章：</w:t>
      </w:r>
      <w:r>
        <w:rPr>
          <w:rFonts w:hint="eastAsia" w:ascii="宋体" w:hAnsi="宋体" w:cs="仿宋_GB2312"/>
          <w:sz w:val="24"/>
          <w:szCs w:val="24"/>
          <w:u w:val="single"/>
        </w:rPr>
        <w:t xml:space="preserve">                      </w:t>
      </w:r>
    </w:p>
    <w:p>
      <w:pPr>
        <w:spacing w:line="480" w:lineRule="auto"/>
        <w:ind w:right="480" w:firstLine="2640" w:firstLineChars="1100"/>
        <w:outlineLvl w:val="9"/>
        <w:rPr>
          <w:rFonts w:ascii="宋体" w:hAnsi="宋体" w:cs="仿宋_GB2312"/>
          <w:sz w:val="24"/>
          <w:szCs w:val="24"/>
          <w:u w:val="single"/>
        </w:rPr>
      </w:pPr>
      <w:r>
        <w:rPr>
          <w:rFonts w:hint="eastAsia" w:ascii="宋体" w:hAnsi="宋体" w:cs="仿宋_GB2312"/>
          <w:sz w:val="24"/>
          <w:szCs w:val="24"/>
        </w:rPr>
        <w:t>日                    期：</w:t>
      </w:r>
      <w:r>
        <w:rPr>
          <w:rFonts w:hint="eastAsia" w:ascii="宋体" w:hAnsi="宋体" w:cs="仿宋_GB2312"/>
          <w:sz w:val="24"/>
          <w:szCs w:val="24"/>
          <w:u w:val="single"/>
        </w:rPr>
        <w:t xml:space="preserve">                      </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w:t>
      </w:r>
      <w:r>
        <w:rPr>
          <w:rFonts w:hint="eastAsia" w:ascii="宋体" w:hAnsi="宋体" w:cs="仿宋_GB2312"/>
          <w:sz w:val="24"/>
          <w:szCs w:val="24"/>
          <w:u w:val="single"/>
        </w:rPr>
        <w:t xml:space="preserve">  </w:t>
      </w:r>
      <w:bookmarkStart w:id="353" w:name="_Toc311415661"/>
      <w:bookmarkStart w:id="354" w:name="_Toc347478750"/>
      <w:bookmarkStart w:id="355" w:name="_Toc283240500"/>
      <w:bookmarkStart w:id="356" w:name="_Toc312789407"/>
      <w:bookmarkStart w:id="357" w:name="_Toc334522295"/>
    </w:p>
    <w:bookmarkEnd w:id="353"/>
    <w:bookmarkEnd w:id="354"/>
    <w:bookmarkEnd w:id="355"/>
    <w:bookmarkEnd w:id="356"/>
    <w:bookmarkEnd w:id="357"/>
    <w:p>
      <w:pPr>
        <w:jc w:val="center"/>
        <w:outlineLvl w:val="9"/>
        <w:rPr>
          <w:rFonts w:ascii="宋体" w:hAnsi="宋体" w:cs="宋体"/>
          <w:b/>
          <w:sz w:val="32"/>
          <w:szCs w:val="32"/>
        </w:rPr>
        <w:sectPr>
          <w:pgSz w:w="11906" w:h="16838"/>
          <w:pgMar w:top="1440" w:right="1800" w:bottom="1440" w:left="1800" w:header="720" w:footer="720" w:gutter="0"/>
          <w:pgNumType w:fmt="decimal"/>
          <w:cols w:space="720" w:num="1"/>
          <w:docGrid w:type="lines" w:linePitch="312" w:charSpace="0"/>
        </w:sectPr>
      </w:pPr>
      <w:bookmarkStart w:id="358" w:name="_Hlt491766019"/>
      <w:bookmarkEnd w:id="358"/>
      <w:bookmarkStart w:id="359" w:name="_Hlt491573425"/>
      <w:bookmarkEnd w:id="359"/>
      <w:bookmarkStart w:id="360" w:name="_Hlt491572882"/>
      <w:bookmarkEnd w:id="360"/>
      <w:bookmarkStart w:id="361" w:name="_Hlt491765944"/>
      <w:bookmarkEnd w:id="361"/>
      <w:bookmarkStart w:id="362" w:name="_Hlt491765868"/>
      <w:bookmarkEnd w:id="362"/>
      <w:bookmarkStart w:id="363" w:name="_Toc354655332"/>
      <w:bookmarkStart w:id="364" w:name="_Toc17542"/>
      <w:bookmarkStart w:id="365" w:name="_Toc10670"/>
      <w:bookmarkStart w:id="366" w:name="_Toc19031"/>
      <w:bookmarkStart w:id="367" w:name="_Toc12278"/>
      <w:bookmarkStart w:id="368" w:name="_Toc14838"/>
      <w:bookmarkStart w:id="369" w:name="_Toc32070"/>
      <w:bookmarkStart w:id="370" w:name="_Toc465958135"/>
      <w:bookmarkStart w:id="371" w:name="_Toc389620250"/>
      <w:bookmarkStart w:id="372" w:name="_Toc385992410"/>
    </w:p>
    <w:p>
      <w:pPr>
        <w:adjustRightInd w:val="0"/>
        <w:jc w:val="center"/>
        <w:textAlignment w:val="baseline"/>
        <w:outlineLvl w:val="1"/>
        <w:rPr>
          <w:rFonts w:hint="default" w:ascii="宋体" w:hAnsi="宋体" w:eastAsia="宋体" w:cs="宋体"/>
          <w:color w:val="000000"/>
          <w:szCs w:val="22"/>
          <w:lang w:val="en-US"/>
        </w:rPr>
      </w:pPr>
      <w:bookmarkStart w:id="373" w:name="_Toc21689"/>
      <w:bookmarkStart w:id="374" w:name="_Toc12488"/>
      <w:bookmarkStart w:id="375" w:name="_Toc23225"/>
      <w:r>
        <w:rPr>
          <w:rFonts w:hint="eastAsia" w:ascii="宋体" w:hAnsi="宋体" w:cs="宋体"/>
          <w:b/>
          <w:sz w:val="32"/>
          <w:szCs w:val="32"/>
        </w:rPr>
        <w:t>六、</w:t>
      </w:r>
      <w:bookmarkEnd w:id="373"/>
      <w:bookmarkEnd w:id="374"/>
      <w:bookmarkEnd w:id="375"/>
      <w:r>
        <w:rPr>
          <w:rFonts w:hint="eastAsia" w:ascii="宋体" w:hAnsi="宋体" w:cs="宋体"/>
          <w:b/>
          <w:color w:val="000000"/>
          <w:kern w:val="0"/>
          <w:sz w:val="32"/>
          <w:szCs w:val="32"/>
          <w:lang w:val="en-US" w:eastAsia="zh-CN" w:bidi="ar-SA"/>
        </w:rPr>
        <w:t>供应商概况</w:t>
      </w:r>
    </w:p>
    <w:p>
      <w:pPr>
        <w:adjustRightInd w:val="0"/>
        <w:jc w:val="center"/>
        <w:textAlignment w:val="baseline"/>
        <w:outlineLvl w:val="9"/>
        <w:rPr>
          <w:rFonts w:ascii="宋体" w:hAnsi="宋体" w:eastAsia="宋体" w:cs="宋体"/>
          <w:b/>
          <w:bCs/>
          <w:color w:val="000000"/>
          <w:szCs w:val="22"/>
        </w:rPr>
      </w:pPr>
      <w:r>
        <w:rPr>
          <w:rFonts w:hint="eastAsia" w:ascii="宋体" w:hAnsi="宋体" w:eastAsia="宋体" w:cs="宋体"/>
          <w:b/>
          <w:bCs/>
          <w:color w:val="000000"/>
          <w:szCs w:val="22"/>
          <w:lang w:val="en-US" w:eastAsia="zh-CN"/>
        </w:rPr>
        <w:t>6</w:t>
      </w:r>
      <w:r>
        <w:rPr>
          <w:rFonts w:hint="eastAsia" w:ascii="宋体" w:hAnsi="宋体" w:eastAsia="宋体" w:cs="宋体"/>
          <w:b/>
          <w:bCs/>
          <w:color w:val="000000"/>
          <w:szCs w:val="22"/>
        </w:rPr>
        <w:t>.1法定代表人证明书</w:t>
      </w:r>
    </w:p>
    <w:tbl>
      <w:tblPr>
        <w:tblStyle w:val="14"/>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2207"/>
        <w:gridCol w:w="2205"/>
        <w:gridCol w:w="186"/>
        <w:gridCol w:w="2203"/>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9540" w:type="dxa"/>
            <w:gridSpan w:val="6"/>
            <w:noWrap w:val="0"/>
            <w:vAlign w:val="center"/>
          </w:tcPr>
          <w:p>
            <w:pPr>
              <w:tabs>
                <w:tab w:val="left" w:pos="210"/>
              </w:tabs>
              <w:spacing w:line="320" w:lineRule="exact"/>
              <w:outlineLvl w:val="9"/>
              <w:rPr>
                <w:rFonts w:hint="eastAsia" w:ascii="宋体" w:hAnsi="宋体" w:eastAsia="宋体" w:cs="Arial"/>
                <w:color w:val="000000"/>
                <w:kern w:val="0"/>
                <w:sz w:val="24"/>
                <w:lang w:eastAsia="zh-CN"/>
              </w:rPr>
            </w:pPr>
            <w:r>
              <w:rPr>
                <w:rFonts w:hint="eastAsia" w:ascii="宋体" w:hAnsi="宋体" w:cs="Arial"/>
                <w:color w:val="000000"/>
                <w:kern w:val="0"/>
                <w:sz w:val="24"/>
              </w:rPr>
              <w:t>致：</w:t>
            </w:r>
            <w:r>
              <w:rPr>
                <w:rFonts w:hint="eastAsia" w:ascii="宋体" w:hAnsi="宋体" w:cs="Arial"/>
                <w:color w:val="000000"/>
                <w:kern w:val="0"/>
                <w:sz w:val="24"/>
                <w:lang w:eastAsia="zh-CN"/>
              </w:rPr>
              <w:t>榆林瀚海星辰项目管理有限公司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579" w:type="dxa"/>
            <w:vMerge w:val="restart"/>
            <w:noWrap w:val="0"/>
            <w:vAlign w:val="center"/>
          </w:tcPr>
          <w:p>
            <w:pPr>
              <w:tabs>
                <w:tab w:val="left" w:pos="210"/>
              </w:tabs>
              <w:spacing w:line="320" w:lineRule="exact"/>
              <w:jc w:val="center"/>
              <w:outlineLvl w:val="9"/>
              <w:rPr>
                <w:rFonts w:ascii="宋体" w:hAnsi="宋体" w:cs="Arial"/>
                <w:color w:val="000000"/>
                <w:kern w:val="0"/>
                <w:sz w:val="24"/>
              </w:rPr>
            </w:pPr>
            <w:r>
              <w:rPr>
                <w:rFonts w:hint="eastAsia" w:ascii="宋体" w:hAnsi="宋体" w:cs="Arial"/>
                <w:color w:val="000000"/>
                <w:kern w:val="0"/>
                <w:sz w:val="24"/>
              </w:rPr>
              <w:t>企</w:t>
            </w:r>
          </w:p>
          <w:p>
            <w:pPr>
              <w:tabs>
                <w:tab w:val="left" w:pos="210"/>
              </w:tabs>
              <w:spacing w:line="320" w:lineRule="exact"/>
              <w:jc w:val="center"/>
              <w:outlineLvl w:val="9"/>
              <w:rPr>
                <w:rFonts w:ascii="宋体" w:hAnsi="宋体" w:cs="Arial"/>
                <w:color w:val="000000"/>
                <w:kern w:val="0"/>
                <w:sz w:val="24"/>
              </w:rPr>
            </w:pPr>
          </w:p>
          <w:p>
            <w:pPr>
              <w:tabs>
                <w:tab w:val="left" w:pos="210"/>
              </w:tabs>
              <w:spacing w:line="320" w:lineRule="exact"/>
              <w:jc w:val="center"/>
              <w:outlineLvl w:val="9"/>
              <w:rPr>
                <w:rFonts w:ascii="宋体" w:hAnsi="宋体" w:cs="Arial"/>
                <w:color w:val="000000"/>
                <w:kern w:val="0"/>
                <w:sz w:val="24"/>
              </w:rPr>
            </w:pPr>
            <w:r>
              <w:rPr>
                <w:rFonts w:hint="eastAsia" w:ascii="宋体" w:hAnsi="宋体" w:cs="Arial"/>
                <w:color w:val="000000"/>
                <w:kern w:val="0"/>
                <w:sz w:val="24"/>
              </w:rPr>
              <w:t>业</w:t>
            </w:r>
          </w:p>
          <w:p>
            <w:pPr>
              <w:tabs>
                <w:tab w:val="left" w:pos="210"/>
              </w:tabs>
              <w:spacing w:line="320" w:lineRule="exact"/>
              <w:jc w:val="center"/>
              <w:outlineLvl w:val="9"/>
              <w:rPr>
                <w:rFonts w:ascii="宋体" w:hAnsi="宋体" w:cs="Arial"/>
                <w:color w:val="000000"/>
                <w:kern w:val="0"/>
                <w:sz w:val="24"/>
              </w:rPr>
            </w:pPr>
          </w:p>
          <w:p>
            <w:pPr>
              <w:tabs>
                <w:tab w:val="left" w:pos="210"/>
              </w:tabs>
              <w:spacing w:line="320" w:lineRule="exact"/>
              <w:jc w:val="center"/>
              <w:outlineLvl w:val="9"/>
              <w:rPr>
                <w:rFonts w:ascii="宋体" w:hAnsi="宋体" w:cs="Arial"/>
                <w:color w:val="000000"/>
                <w:kern w:val="0"/>
                <w:sz w:val="24"/>
              </w:rPr>
            </w:pPr>
            <w:r>
              <w:rPr>
                <w:rFonts w:hint="eastAsia" w:ascii="宋体" w:hAnsi="宋体" w:cs="Arial"/>
                <w:color w:val="000000"/>
                <w:kern w:val="0"/>
                <w:sz w:val="24"/>
              </w:rPr>
              <w:t>法</w:t>
            </w:r>
          </w:p>
          <w:p>
            <w:pPr>
              <w:tabs>
                <w:tab w:val="left" w:pos="210"/>
              </w:tabs>
              <w:spacing w:line="320" w:lineRule="exact"/>
              <w:jc w:val="center"/>
              <w:outlineLvl w:val="9"/>
              <w:rPr>
                <w:rFonts w:ascii="宋体" w:hAnsi="宋体" w:cs="Arial"/>
                <w:color w:val="000000"/>
                <w:kern w:val="0"/>
                <w:sz w:val="24"/>
              </w:rPr>
            </w:pPr>
          </w:p>
          <w:p>
            <w:pPr>
              <w:tabs>
                <w:tab w:val="left" w:pos="210"/>
              </w:tabs>
              <w:spacing w:line="320" w:lineRule="exact"/>
              <w:jc w:val="center"/>
              <w:outlineLvl w:val="9"/>
              <w:rPr>
                <w:rFonts w:ascii="宋体" w:hAnsi="宋体" w:cs="Arial"/>
                <w:color w:val="000000"/>
                <w:kern w:val="0"/>
                <w:sz w:val="24"/>
              </w:rPr>
            </w:pPr>
            <w:r>
              <w:rPr>
                <w:rFonts w:hint="eastAsia" w:ascii="宋体" w:hAnsi="宋体" w:cs="Arial"/>
                <w:color w:val="000000"/>
                <w:kern w:val="0"/>
                <w:sz w:val="24"/>
              </w:rPr>
              <w:t>人</w:t>
            </w:r>
          </w:p>
        </w:tc>
        <w:tc>
          <w:tcPr>
            <w:tcW w:w="2207" w:type="dxa"/>
            <w:noWrap w:val="0"/>
            <w:vAlign w:val="center"/>
          </w:tcPr>
          <w:p>
            <w:pPr>
              <w:tabs>
                <w:tab w:val="left" w:pos="210"/>
              </w:tabs>
              <w:spacing w:line="320" w:lineRule="exact"/>
              <w:jc w:val="center"/>
              <w:outlineLvl w:val="9"/>
              <w:rPr>
                <w:rFonts w:ascii="宋体" w:hAnsi="宋体" w:cs="Arial"/>
                <w:color w:val="000000"/>
                <w:kern w:val="0"/>
                <w:sz w:val="24"/>
              </w:rPr>
            </w:pPr>
            <w:r>
              <w:rPr>
                <w:rFonts w:hint="eastAsia" w:ascii="宋体" w:hAnsi="宋体" w:cs="Arial"/>
                <w:color w:val="000000"/>
                <w:kern w:val="0"/>
                <w:sz w:val="24"/>
              </w:rPr>
              <w:t>企业名称</w:t>
            </w:r>
          </w:p>
        </w:tc>
        <w:tc>
          <w:tcPr>
            <w:tcW w:w="6754" w:type="dxa"/>
            <w:gridSpan w:val="4"/>
            <w:noWrap w:val="0"/>
            <w:vAlign w:val="center"/>
          </w:tcPr>
          <w:p>
            <w:pPr>
              <w:tabs>
                <w:tab w:val="left" w:pos="210"/>
              </w:tabs>
              <w:spacing w:line="320" w:lineRule="exact"/>
              <w:jc w:val="center"/>
              <w:outlineLvl w:val="9"/>
              <w:rPr>
                <w:rFonts w:ascii="宋体" w:hAnsi="宋体" w:cs="Arial"/>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579" w:type="dxa"/>
            <w:vMerge w:val="continue"/>
            <w:noWrap w:val="0"/>
            <w:vAlign w:val="center"/>
          </w:tcPr>
          <w:p>
            <w:pPr>
              <w:tabs>
                <w:tab w:val="left" w:pos="210"/>
              </w:tabs>
              <w:spacing w:line="320" w:lineRule="exact"/>
              <w:jc w:val="center"/>
              <w:outlineLvl w:val="9"/>
              <w:rPr>
                <w:rFonts w:ascii="宋体" w:hAnsi="宋体" w:cs="Arial"/>
                <w:color w:val="000000"/>
                <w:kern w:val="0"/>
                <w:sz w:val="24"/>
              </w:rPr>
            </w:pPr>
          </w:p>
        </w:tc>
        <w:tc>
          <w:tcPr>
            <w:tcW w:w="2207" w:type="dxa"/>
            <w:noWrap w:val="0"/>
            <w:vAlign w:val="center"/>
          </w:tcPr>
          <w:p>
            <w:pPr>
              <w:tabs>
                <w:tab w:val="left" w:pos="210"/>
              </w:tabs>
              <w:spacing w:line="320" w:lineRule="exact"/>
              <w:jc w:val="center"/>
              <w:outlineLvl w:val="9"/>
              <w:rPr>
                <w:rFonts w:ascii="宋体" w:hAnsi="宋体" w:cs="Arial"/>
                <w:color w:val="000000"/>
                <w:kern w:val="0"/>
                <w:sz w:val="24"/>
              </w:rPr>
            </w:pPr>
            <w:r>
              <w:rPr>
                <w:rFonts w:hint="eastAsia" w:ascii="宋体" w:hAnsi="宋体" w:cs="Arial"/>
                <w:color w:val="000000"/>
                <w:kern w:val="0"/>
                <w:sz w:val="24"/>
              </w:rPr>
              <w:t>法定地址</w:t>
            </w:r>
          </w:p>
        </w:tc>
        <w:tc>
          <w:tcPr>
            <w:tcW w:w="6754" w:type="dxa"/>
            <w:gridSpan w:val="4"/>
            <w:noWrap w:val="0"/>
            <w:vAlign w:val="center"/>
          </w:tcPr>
          <w:p>
            <w:pPr>
              <w:tabs>
                <w:tab w:val="left" w:pos="210"/>
              </w:tabs>
              <w:spacing w:line="320" w:lineRule="exact"/>
              <w:jc w:val="center"/>
              <w:outlineLvl w:val="9"/>
              <w:rPr>
                <w:rFonts w:ascii="宋体" w:hAnsi="宋体" w:cs="Arial"/>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579" w:type="dxa"/>
            <w:vMerge w:val="continue"/>
            <w:noWrap w:val="0"/>
            <w:vAlign w:val="center"/>
          </w:tcPr>
          <w:p>
            <w:pPr>
              <w:tabs>
                <w:tab w:val="left" w:pos="210"/>
              </w:tabs>
              <w:spacing w:line="320" w:lineRule="exact"/>
              <w:jc w:val="center"/>
              <w:outlineLvl w:val="9"/>
              <w:rPr>
                <w:rFonts w:ascii="宋体" w:hAnsi="宋体" w:cs="Arial"/>
                <w:color w:val="000000"/>
                <w:kern w:val="0"/>
                <w:sz w:val="24"/>
              </w:rPr>
            </w:pPr>
          </w:p>
        </w:tc>
        <w:tc>
          <w:tcPr>
            <w:tcW w:w="2207" w:type="dxa"/>
            <w:noWrap w:val="0"/>
            <w:vAlign w:val="center"/>
          </w:tcPr>
          <w:p>
            <w:pPr>
              <w:tabs>
                <w:tab w:val="left" w:pos="210"/>
              </w:tabs>
              <w:spacing w:line="320" w:lineRule="exact"/>
              <w:jc w:val="center"/>
              <w:outlineLvl w:val="9"/>
              <w:rPr>
                <w:rFonts w:ascii="宋体" w:hAnsi="宋体" w:cs="Arial"/>
                <w:color w:val="000000"/>
                <w:kern w:val="0"/>
                <w:sz w:val="24"/>
              </w:rPr>
            </w:pPr>
            <w:r>
              <w:rPr>
                <w:rFonts w:hint="eastAsia" w:ascii="宋体" w:hAnsi="宋体" w:cs="Arial"/>
                <w:color w:val="000000"/>
                <w:kern w:val="0"/>
                <w:sz w:val="24"/>
              </w:rPr>
              <w:t>邮政编码</w:t>
            </w:r>
          </w:p>
        </w:tc>
        <w:tc>
          <w:tcPr>
            <w:tcW w:w="6754" w:type="dxa"/>
            <w:gridSpan w:val="4"/>
            <w:noWrap w:val="0"/>
            <w:vAlign w:val="center"/>
          </w:tcPr>
          <w:p>
            <w:pPr>
              <w:tabs>
                <w:tab w:val="left" w:pos="210"/>
              </w:tabs>
              <w:spacing w:line="320" w:lineRule="exact"/>
              <w:jc w:val="center"/>
              <w:outlineLvl w:val="9"/>
              <w:rPr>
                <w:rFonts w:ascii="宋体" w:hAnsi="宋体" w:cs="Arial"/>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579" w:type="dxa"/>
            <w:vMerge w:val="continue"/>
            <w:noWrap w:val="0"/>
            <w:vAlign w:val="center"/>
          </w:tcPr>
          <w:p>
            <w:pPr>
              <w:tabs>
                <w:tab w:val="left" w:pos="210"/>
              </w:tabs>
              <w:spacing w:line="320" w:lineRule="exact"/>
              <w:jc w:val="center"/>
              <w:outlineLvl w:val="9"/>
              <w:rPr>
                <w:rFonts w:ascii="宋体" w:hAnsi="宋体" w:cs="Arial"/>
                <w:color w:val="000000"/>
                <w:kern w:val="0"/>
                <w:sz w:val="24"/>
              </w:rPr>
            </w:pPr>
          </w:p>
        </w:tc>
        <w:tc>
          <w:tcPr>
            <w:tcW w:w="2207" w:type="dxa"/>
            <w:noWrap w:val="0"/>
            <w:vAlign w:val="center"/>
          </w:tcPr>
          <w:p>
            <w:pPr>
              <w:tabs>
                <w:tab w:val="left" w:pos="210"/>
              </w:tabs>
              <w:spacing w:line="320" w:lineRule="exact"/>
              <w:jc w:val="center"/>
              <w:outlineLvl w:val="9"/>
              <w:rPr>
                <w:rFonts w:hint="default" w:ascii="宋体" w:hAnsi="宋体" w:eastAsia="宋体" w:cs="Arial"/>
                <w:color w:val="000000"/>
                <w:kern w:val="0"/>
                <w:sz w:val="24"/>
                <w:lang w:val="en-US" w:eastAsia="zh-CN"/>
              </w:rPr>
            </w:pPr>
            <w:r>
              <w:rPr>
                <w:rFonts w:hint="eastAsia" w:ascii="宋体" w:hAnsi="宋体" w:cs="Arial"/>
                <w:color w:val="000000"/>
                <w:kern w:val="0"/>
                <w:sz w:val="24"/>
                <w:lang w:val="en-US" w:eastAsia="zh-CN"/>
              </w:rPr>
              <w:t>统一社会信用代码</w:t>
            </w:r>
          </w:p>
        </w:tc>
        <w:tc>
          <w:tcPr>
            <w:tcW w:w="6754" w:type="dxa"/>
            <w:gridSpan w:val="4"/>
            <w:noWrap w:val="0"/>
            <w:vAlign w:val="center"/>
          </w:tcPr>
          <w:p>
            <w:pPr>
              <w:tabs>
                <w:tab w:val="left" w:pos="210"/>
              </w:tabs>
              <w:spacing w:line="320" w:lineRule="exact"/>
              <w:jc w:val="center"/>
              <w:outlineLvl w:val="9"/>
              <w:rPr>
                <w:rFonts w:ascii="宋体" w:hAnsi="宋体" w:cs="Arial"/>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579" w:type="dxa"/>
            <w:vMerge w:val="restart"/>
            <w:noWrap w:val="0"/>
            <w:vAlign w:val="center"/>
          </w:tcPr>
          <w:p>
            <w:pPr>
              <w:tabs>
                <w:tab w:val="left" w:pos="210"/>
              </w:tabs>
              <w:spacing w:line="320" w:lineRule="exact"/>
              <w:jc w:val="center"/>
              <w:outlineLvl w:val="9"/>
              <w:rPr>
                <w:rFonts w:ascii="宋体" w:hAnsi="宋体" w:cs="Arial"/>
                <w:color w:val="000000"/>
                <w:kern w:val="0"/>
                <w:sz w:val="24"/>
              </w:rPr>
            </w:pPr>
            <w:r>
              <w:rPr>
                <w:rFonts w:hint="eastAsia" w:ascii="宋体" w:hAnsi="宋体" w:cs="Arial"/>
                <w:color w:val="000000"/>
                <w:kern w:val="0"/>
                <w:sz w:val="24"/>
              </w:rPr>
              <w:t>法定代表人</w:t>
            </w:r>
          </w:p>
        </w:tc>
        <w:tc>
          <w:tcPr>
            <w:tcW w:w="2207" w:type="dxa"/>
            <w:noWrap w:val="0"/>
            <w:vAlign w:val="center"/>
          </w:tcPr>
          <w:p>
            <w:pPr>
              <w:tabs>
                <w:tab w:val="left" w:pos="210"/>
              </w:tabs>
              <w:spacing w:line="320" w:lineRule="exact"/>
              <w:jc w:val="center"/>
              <w:outlineLvl w:val="9"/>
              <w:rPr>
                <w:rFonts w:ascii="宋体" w:hAnsi="宋体" w:cs="Arial"/>
                <w:color w:val="000000"/>
                <w:kern w:val="0"/>
                <w:sz w:val="24"/>
              </w:rPr>
            </w:pPr>
            <w:r>
              <w:rPr>
                <w:rFonts w:hint="eastAsia" w:ascii="宋体" w:hAnsi="宋体" w:cs="Arial"/>
                <w:color w:val="000000"/>
                <w:kern w:val="0"/>
                <w:sz w:val="24"/>
              </w:rPr>
              <w:t>姓名</w:t>
            </w:r>
          </w:p>
        </w:tc>
        <w:tc>
          <w:tcPr>
            <w:tcW w:w="2391" w:type="dxa"/>
            <w:gridSpan w:val="2"/>
            <w:noWrap w:val="0"/>
            <w:vAlign w:val="center"/>
          </w:tcPr>
          <w:p>
            <w:pPr>
              <w:tabs>
                <w:tab w:val="left" w:pos="210"/>
              </w:tabs>
              <w:spacing w:line="320" w:lineRule="exact"/>
              <w:jc w:val="center"/>
              <w:outlineLvl w:val="9"/>
              <w:rPr>
                <w:rFonts w:ascii="宋体" w:hAnsi="宋体" w:cs="Arial"/>
                <w:color w:val="000000"/>
                <w:kern w:val="0"/>
                <w:sz w:val="24"/>
              </w:rPr>
            </w:pPr>
          </w:p>
        </w:tc>
        <w:tc>
          <w:tcPr>
            <w:tcW w:w="2203" w:type="dxa"/>
            <w:noWrap w:val="0"/>
            <w:vAlign w:val="center"/>
          </w:tcPr>
          <w:p>
            <w:pPr>
              <w:tabs>
                <w:tab w:val="left" w:pos="210"/>
              </w:tabs>
              <w:spacing w:line="320" w:lineRule="exact"/>
              <w:jc w:val="center"/>
              <w:outlineLvl w:val="9"/>
              <w:rPr>
                <w:rFonts w:ascii="宋体" w:hAnsi="宋体" w:cs="Arial"/>
                <w:color w:val="000000"/>
                <w:kern w:val="0"/>
                <w:sz w:val="24"/>
              </w:rPr>
            </w:pPr>
            <w:r>
              <w:rPr>
                <w:rFonts w:hint="eastAsia" w:ascii="宋体" w:hAnsi="宋体" w:cs="Arial"/>
                <w:color w:val="000000"/>
                <w:kern w:val="0"/>
                <w:sz w:val="24"/>
              </w:rPr>
              <w:t>性别</w:t>
            </w:r>
          </w:p>
        </w:tc>
        <w:tc>
          <w:tcPr>
            <w:tcW w:w="2160" w:type="dxa"/>
            <w:noWrap w:val="0"/>
            <w:vAlign w:val="center"/>
          </w:tcPr>
          <w:p>
            <w:pPr>
              <w:tabs>
                <w:tab w:val="left" w:pos="210"/>
              </w:tabs>
              <w:spacing w:line="320" w:lineRule="exact"/>
              <w:jc w:val="center"/>
              <w:outlineLvl w:val="9"/>
              <w:rPr>
                <w:rFonts w:ascii="宋体" w:hAnsi="宋体" w:cs="Arial"/>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579" w:type="dxa"/>
            <w:vMerge w:val="continue"/>
            <w:noWrap w:val="0"/>
            <w:vAlign w:val="center"/>
          </w:tcPr>
          <w:p>
            <w:pPr>
              <w:tabs>
                <w:tab w:val="left" w:pos="210"/>
              </w:tabs>
              <w:spacing w:line="320" w:lineRule="exact"/>
              <w:jc w:val="center"/>
              <w:outlineLvl w:val="9"/>
              <w:rPr>
                <w:rFonts w:ascii="宋体" w:hAnsi="宋体" w:cs="Arial"/>
                <w:color w:val="000000"/>
                <w:kern w:val="0"/>
                <w:sz w:val="24"/>
              </w:rPr>
            </w:pPr>
          </w:p>
        </w:tc>
        <w:tc>
          <w:tcPr>
            <w:tcW w:w="2207" w:type="dxa"/>
            <w:noWrap w:val="0"/>
            <w:vAlign w:val="center"/>
          </w:tcPr>
          <w:p>
            <w:pPr>
              <w:tabs>
                <w:tab w:val="left" w:pos="210"/>
              </w:tabs>
              <w:spacing w:line="320" w:lineRule="exact"/>
              <w:jc w:val="center"/>
              <w:outlineLvl w:val="9"/>
              <w:rPr>
                <w:rFonts w:ascii="宋体" w:hAnsi="宋体" w:cs="Arial"/>
                <w:color w:val="000000"/>
                <w:kern w:val="0"/>
                <w:sz w:val="24"/>
              </w:rPr>
            </w:pPr>
            <w:r>
              <w:rPr>
                <w:rFonts w:hint="eastAsia" w:ascii="宋体" w:hAnsi="宋体" w:cs="Arial"/>
                <w:color w:val="000000"/>
                <w:kern w:val="0"/>
                <w:sz w:val="24"/>
              </w:rPr>
              <w:t>职务</w:t>
            </w:r>
          </w:p>
        </w:tc>
        <w:tc>
          <w:tcPr>
            <w:tcW w:w="2391" w:type="dxa"/>
            <w:gridSpan w:val="2"/>
            <w:noWrap w:val="0"/>
            <w:vAlign w:val="center"/>
          </w:tcPr>
          <w:p>
            <w:pPr>
              <w:tabs>
                <w:tab w:val="left" w:pos="210"/>
              </w:tabs>
              <w:spacing w:line="320" w:lineRule="exact"/>
              <w:jc w:val="center"/>
              <w:outlineLvl w:val="9"/>
              <w:rPr>
                <w:rFonts w:ascii="宋体" w:hAnsi="宋体" w:cs="Arial"/>
                <w:color w:val="000000"/>
                <w:kern w:val="0"/>
                <w:sz w:val="24"/>
              </w:rPr>
            </w:pPr>
          </w:p>
        </w:tc>
        <w:tc>
          <w:tcPr>
            <w:tcW w:w="2203" w:type="dxa"/>
            <w:noWrap w:val="0"/>
            <w:vAlign w:val="center"/>
          </w:tcPr>
          <w:p>
            <w:pPr>
              <w:tabs>
                <w:tab w:val="left" w:pos="210"/>
              </w:tabs>
              <w:spacing w:line="320" w:lineRule="exact"/>
              <w:jc w:val="center"/>
              <w:outlineLvl w:val="9"/>
              <w:rPr>
                <w:rFonts w:ascii="宋体" w:hAnsi="宋体" w:cs="Arial"/>
                <w:color w:val="000000"/>
                <w:kern w:val="0"/>
                <w:sz w:val="24"/>
              </w:rPr>
            </w:pPr>
            <w:r>
              <w:rPr>
                <w:rFonts w:hint="eastAsia" w:ascii="宋体" w:hAnsi="宋体" w:cs="Arial"/>
                <w:color w:val="000000"/>
                <w:kern w:val="0"/>
                <w:sz w:val="24"/>
              </w:rPr>
              <w:t>联系电话</w:t>
            </w:r>
          </w:p>
        </w:tc>
        <w:tc>
          <w:tcPr>
            <w:tcW w:w="2160" w:type="dxa"/>
            <w:noWrap w:val="0"/>
            <w:vAlign w:val="center"/>
          </w:tcPr>
          <w:p>
            <w:pPr>
              <w:tabs>
                <w:tab w:val="left" w:pos="210"/>
              </w:tabs>
              <w:spacing w:line="320" w:lineRule="exact"/>
              <w:jc w:val="center"/>
              <w:outlineLvl w:val="9"/>
              <w:rPr>
                <w:rFonts w:ascii="宋体" w:hAnsi="宋体" w:cs="Arial"/>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579" w:type="dxa"/>
            <w:vMerge w:val="continue"/>
            <w:noWrap w:val="0"/>
            <w:vAlign w:val="center"/>
          </w:tcPr>
          <w:p>
            <w:pPr>
              <w:tabs>
                <w:tab w:val="left" w:pos="210"/>
              </w:tabs>
              <w:spacing w:line="320" w:lineRule="exact"/>
              <w:jc w:val="center"/>
              <w:outlineLvl w:val="9"/>
              <w:rPr>
                <w:rFonts w:ascii="宋体" w:hAnsi="宋体" w:cs="Arial"/>
                <w:color w:val="000000"/>
                <w:kern w:val="0"/>
                <w:sz w:val="24"/>
              </w:rPr>
            </w:pPr>
          </w:p>
        </w:tc>
        <w:tc>
          <w:tcPr>
            <w:tcW w:w="2207" w:type="dxa"/>
            <w:noWrap w:val="0"/>
            <w:vAlign w:val="center"/>
          </w:tcPr>
          <w:p>
            <w:pPr>
              <w:tabs>
                <w:tab w:val="left" w:pos="210"/>
              </w:tabs>
              <w:spacing w:line="320" w:lineRule="exact"/>
              <w:jc w:val="center"/>
              <w:outlineLvl w:val="9"/>
              <w:rPr>
                <w:rFonts w:ascii="宋体" w:hAnsi="宋体" w:cs="Arial"/>
                <w:color w:val="000000"/>
                <w:kern w:val="0"/>
                <w:sz w:val="24"/>
              </w:rPr>
            </w:pPr>
            <w:r>
              <w:rPr>
                <w:rFonts w:hint="eastAsia" w:ascii="宋体" w:hAnsi="宋体" w:cs="Arial"/>
                <w:color w:val="000000"/>
                <w:kern w:val="0"/>
                <w:sz w:val="24"/>
              </w:rPr>
              <w:t>传真</w:t>
            </w:r>
          </w:p>
        </w:tc>
        <w:tc>
          <w:tcPr>
            <w:tcW w:w="6754" w:type="dxa"/>
            <w:gridSpan w:val="4"/>
            <w:noWrap w:val="0"/>
            <w:vAlign w:val="center"/>
          </w:tcPr>
          <w:p>
            <w:pPr>
              <w:tabs>
                <w:tab w:val="left" w:pos="210"/>
              </w:tabs>
              <w:spacing w:line="320" w:lineRule="exact"/>
              <w:jc w:val="center"/>
              <w:outlineLvl w:val="9"/>
              <w:rPr>
                <w:rFonts w:ascii="宋体" w:hAnsi="宋体" w:cs="Arial"/>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jc w:val="center"/>
        </w:trPr>
        <w:tc>
          <w:tcPr>
            <w:tcW w:w="4991" w:type="dxa"/>
            <w:gridSpan w:val="3"/>
            <w:vMerge w:val="restart"/>
            <w:noWrap w:val="0"/>
            <w:vAlign w:val="center"/>
          </w:tcPr>
          <w:p>
            <w:pPr>
              <w:tabs>
                <w:tab w:val="left" w:pos="210"/>
              </w:tabs>
              <w:spacing w:line="320" w:lineRule="exact"/>
              <w:jc w:val="center"/>
              <w:outlineLvl w:val="9"/>
              <w:rPr>
                <w:rFonts w:ascii="宋体" w:hAnsi="宋体" w:cs="Arial"/>
                <w:color w:val="000000"/>
                <w:kern w:val="0"/>
                <w:sz w:val="24"/>
              </w:rPr>
            </w:pPr>
            <w:r>
              <w:rPr>
                <w:rFonts w:hint="eastAsia" w:ascii="宋体" w:hAnsi="宋体" w:cs="Arial"/>
                <w:color w:val="000000"/>
                <w:kern w:val="0"/>
                <w:sz w:val="24"/>
              </w:rPr>
              <w:t>法定代表人身份证（正反面）复印件</w:t>
            </w:r>
          </w:p>
        </w:tc>
        <w:tc>
          <w:tcPr>
            <w:tcW w:w="4549" w:type="dxa"/>
            <w:gridSpan w:val="3"/>
            <w:noWrap w:val="0"/>
            <w:vAlign w:val="center"/>
          </w:tcPr>
          <w:p>
            <w:pPr>
              <w:tabs>
                <w:tab w:val="left" w:pos="210"/>
              </w:tabs>
              <w:spacing w:line="320" w:lineRule="exact"/>
              <w:jc w:val="center"/>
              <w:outlineLvl w:val="9"/>
              <w:rPr>
                <w:rFonts w:hint="eastAsia" w:ascii="宋体" w:hAnsi="宋体" w:cs="Arial"/>
                <w:color w:val="000000"/>
                <w:kern w:val="0"/>
                <w:sz w:val="24"/>
              </w:rPr>
            </w:pPr>
            <w:r>
              <w:rPr>
                <w:rFonts w:hint="eastAsia" w:ascii="宋体" w:hAnsi="宋体" w:cs="Arial"/>
                <w:color w:val="000000"/>
                <w:kern w:val="0"/>
                <w:sz w:val="24"/>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atLeast"/>
          <w:jc w:val="center"/>
        </w:trPr>
        <w:tc>
          <w:tcPr>
            <w:tcW w:w="4991" w:type="dxa"/>
            <w:gridSpan w:val="3"/>
            <w:vMerge w:val="continue"/>
            <w:tcBorders>
              <w:bottom w:val="single" w:color="auto" w:sz="4" w:space="0"/>
            </w:tcBorders>
            <w:noWrap w:val="0"/>
            <w:vAlign w:val="center"/>
          </w:tcPr>
          <w:p>
            <w:pPr>
              <w:tabs>
                <w:tab w:val="left" w:pos="210"/>
              </w:tabs>
              <w:spacing w:line="320" w:lineRule="exact"/>
              <w:jc w:val="center"/>
              <w:outlineLvl w:val="9"/>
              <w:rPr>
                <w:rFonts w:ascii="宋体" w:hAnsi="宋体" w:cs="Arial"/>
                <w:color w:val="000000"/>
                <w:kern w:val="0"/>
                <w:sz w:val="24"/>
              </w:rPr>
            </w:pPr>
          </w:p>
        </w:tc>
        <w:tc>
          <w:tcPr>
            <w:tcW w:w="4549" w:type="dxa"/>
            <w:gridSpan w:val="3"/>
            <w:tcBorders>
              <w:bottom w:val="single" w:color="auto" w:sz="4" w:space="0"/>
            </w:tcBorders>
            <w:noWrap w:val="0"/>
            <w:vAlign w:val="bottom"/>
          </w:tcPr>
          <w:p>
            <w:pPr>
              <w:tabs>
                <w:tab w:val="left" w:pos="210"/>
              </w:tabs>
              <w:spacing w:line="320" w:lineRule="exact"/>
              <w:jc w:val="center"/>
              <w:outlineLvl w:val="9"/>
              <w:rPr>
                <w:rFonts w:ascii="宋体" w:hAnsi="宋体" w:cs="Arial"/>
                <w:color w:val="000000"/>
                <w:kern w:val="0"/>
                <w:sz w:val="24"/>
              </w:rPr>
            </w:pPr>
            <w:r>
              <w:rPr>
                <w:rFonts w:hint="eastAsia" w:ascii="宋体" w:hAnsi="宋体" w:cs="Arial"/>
                <w:color w:val="000000"/>
                <w:kern w:val="0"/>
                <w:sz w:val="24"/>
              </w:rPr>
              <w:t>（公章）</w:t>
            </w:r>
          </w:p>
          <w:p>
            <w:pPr>
              <w:tabs>
                <w:tab w:val="left" w:pos="210"/>
              </w:tabs>
              <w:spacing w:line="320" w:lineRule="exact"/>
              <w:jc w:val="center"/>
              <w:outlineLvl w:val="9"/>
              <w:rPr>
                <w:rFonts w:ascii="宋体" w:hAnsi="宋体" w:cs="Arial"/>
                <w:color w:val="000000"/>
                <w:kern w:val="0"/>
                <w:sz w:val="24"/>
              </w:rPr>
            </w:pPr>
          </w:p>
          <w:p>
            <w:pPr>
              <w:tabs>
                <w:tab w:val="left" w:pos="210"/>
              </w:tabs>
              <w:spacing w:line="320" w:lineRule="exact"/>
              <w:jc w:val="center"/>
              <w:outlineLvl w:val="9"/>
              <w:rPr>
                <w:rFonts w:ascii="宋体" w:hAnsi="宋体" w:cs="Arial"/>
                <w:color w:val="000000"/>
                <w:kern w:val="0"/>
                <w:sz w:val="24"/>
              </w:rPr>
            </w:pPr>
          </w:p>
          <w:p>
            <w:pPr>
              <w:tabs>
                <w:tab w:val="left" w:pos="210"/>
              </w:tabs>
              <w:spacing w:line="320" w:lineRule="exact"/>
              <w:jc w:val="center"/>
              <w:outlineLvl w:val="9"/>
              <w:rPr>
                <w:rFonts w:ascii="宋体" w:hAnsi="宋体" w:cs="Arial"/>
                <w:color w:val="000000"/>
                <w:kern w:val="0"/>
                <w:sz w:val="24"/>
              </w:rPr>
            </w:pPr>
          </w:p>
          <w:p>
            <w:pPr>
              <w:tabs>
                <w:tab w:val="left" w:pos="210"/>
              </w:tabs>
              <w:spacing w:line="320" w:lineRule="exact"/>
              <w:jc w:val="right"/>
              <w:outlineLvl w:val="9"/>
              <w:rPr>
                <w:rFonts w:ascii="宋体" w:hAnsi="宋体" w:cs="Arial"/>
                <w:color w:val="000000"/>
                <w:kern w:val="0"/>
                <w:sz w:val="24"/>
              </w:rPr>
            </w:pPr>
            <w:r>
              <w:rPr>
                <w:rFonts w:hint="eastAsia" w:ascii="宋体" w:hAnsi="宋体" w:cs="Arial"/>
                <w:color w:val="000000"/>
                <w:kern w:val="0"/>
                <w:sz w:val="24"/>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9540" w:type="dxa"/>
            <w:gridSpan w:val="6"/>
            <w:tcBorders>
              <w:top w:val="single" w:color="auto" w:sz="4" w:space="0"/>
              <w:left w:val="nil"/>
              <w:bottom w:val="nil"/>
              <w:right w:val="nil"/>
            </w:tcBorders>
            <w:noWrap w:val="0"/>
            <w:vAlign w:val="center"/>
          </w:tcPr>
          <w:p>
            <w:pPr>
              <w:tabs>
                <w:tab w:val="left" w:pos="210"/>
              </w:tabs>
              <w:spacing w:line="320" w:lineRule="exact"/>
              <w:ind w:firstLine="480" w:firstLineChars="200"/>
              <w:jc w:val="left"/>
              <w:outlineLvl w:val="9"/>
              <w:rPr>
                <w:rFonts w:ascii="宋体" w:hAnsi="宋体" w:cs="Arial"/>
                <w:color w:val="000000"/>
                <w:kern w:val="0"/>
                <w:sz w:val="24"/>
              </w:rPr>
            </w:pPr>
          </w:p>
        </w:tc>
      </w:tr>
    </w:tbl>
    <w:p>
      <w:pPr>
        <w:rPr>
          <w:rFonts w:hint="eastAsia" w:ascii="宋体" w:hAnsi="宋体" w:eastAsia="宋体" w:cs="宋体"/>
          <w:color w:val="000000"/>
          <w:szCs w:val="22"/>
          <w:lang w:val="en-US" w:eastAsia="zh-CN"/>
        </w:rPr>
      </w:pPr>
      <w:r>
        <w:rPr>
          <w:rFonts w:hint="eastAsia" w:ascii="宋体" w:hAnsi="宋体" w:eastAsia="宋体" w:cs="宋体"/>
          <w:color w:val="000000"/>
          <w:szCs w:val="22"/>
          <w:lang w:val="en-US" w:eastAsia="zh-CN"/>
        </w:rPr>
        <w:br w:type="page"/>
      </w:r>
    </w:p>
    <w:p>
      <w:pPr>
        <w:adjustRightInd w:val="0"/>
        <w:jc w:val="center"/>
        <w:textAlignment w:val="baseline"/>
        <w:outlineLvl w:val="9"/>
        <w:rPr>
          <w:rFonts w:ascii="宋体" w:hAnsi="宋体" w:eastAsia="宋体" w:cs="宋体"/>
          <w:b/>
          <w:bCs/>
          <w:color w:val="000000"/>
          <w:sz w:val="24"/>
          <w:szCs w:val="24"/>
        </w:rPr>
      </w:pPr>
      <w:r>
        <w:rPr>
          <w:rFonts w:hint="eastAsia" w:ascii="宋体" w:hAnsi="宋体" w:eastAsia="宋体" w:cs="宋体"/>
          <w:b/>
          <w:bCs/>
          <w:color w:val="000000"/>
          <w:szCs w:val="22"/>
          <w:lang w:val="en-US" w:eastAsia="zh-CN"/>
        </w:rPr>
        <w:t>6</w:t>
      </w:r>
      <w:r>
        <w:rPr>
          <w:rFonts w:hint="eastAsia" w:ascii="宋体" w:hAnsi="宋体" w:eastAsia="宋体" w:cs="宋体"/>
          <w:b/>
          <w:bCs/>
          <w:color w:val="000000"/>
          <w:szCs w:val="22"/>
        </w:rPr>
        <w:t>.2法定代表人授权委托书</w:t>
      </w:r>
    </w:p>
    <w:p>
      <w:pPr>
        <w:tabs>
          <w:tab w:val="left" w:pos="8820"/>
        </w:tabs>
        <w:spacing w:line="480" w:lineRule="auto"/>
        <w:ind w:firstLine="570"/>
        <w:outlineLvl w:val="9"/>
        <w:rPr>
          <w:rFonts w:ascii="宋体" w:hAnsi="宋体" w:cs="宋体"/>
          <w:color w:val="000000"/>
          <w:sz w:val="24"/>
          <w:szCs w:val="24"/>
          <w:u w:val="single"/>
        </w:rPr>
      </w:pPr>
      <w:r>
        <w:rPr>
          <w:rFonts w:hint="eastAsia" w:ascii="宋体" w:hAnsi="宋体" w:cs="宋体"/>
          <w:color w:val="000000"/>
          <w:sz w:val="24"/>
          <w:szCs w:val="24"/>
        </w:rPr>
        <w:t>本授权委托书声明：我</w:t>
      </w:r>
      <w:r>
        <w:rPr>
          <w:rFonts w:hint="eastAsia" w:ascii="宋体" w:hAnsi="宋体" w:cs="宋体"/>
          <w:color w:val="000000"/>
          <w:sz w:val="24"/>
          <w:szCs w:val="24"/>
          <w:u w:val="single"/>
        </w:rPr>
        <w:t>（法定代表人姓名）</w:t>
      </w:r>
      <w:r>
        <w:rPr>
          <w:rFonts w:hint="eastAsia" w:ascii="宋体" w:hAnsi="宋体" w:cs="宋体"/>
          <w:color w:val="000000"/>
          <w:sz w:val="24"/>
          <w:szCs w:val="24"/>
        </w:rPr>
        <w:t>系注册于</w:t>
      </w:r>
      <w:r>
        <w:rPr>
          <w:rFonts w:hint="eastAsia" w:ascii="宋体" w:hAnsi="宋体" w:cs="宋体"/>
          <w:color w:val="000000"/>
          <w:sz w:val="24"/>
          <w:szCs w:val="24"/>
          <w:u w:val="single"/>
        </w:rPr>
        <w:t xml:space="preserve">  （供应商地址）           </w:t>
      </w:r>
      <w:r>
        <w:rPr>
          <w:rFonts w:hint="eastAsia" w:ascii="宋体" w:hAnsi="宋体" w:cs="宋体"/>
          <w:color w:val="000000"/>
          <w:sz w:val="24"/>
          <w:szCs w:val="24"/>
        </w:rPr>
        <w:t>的</w:t>
      </w:r>
      <w:r>
        <w:rPr>
          <w:rFonts w:hint="eastAsia" w:ascii="宋体" w:hAnsi="宋体" w:cs="宋体"/>
          <w:color w:val="000000"/>
          <w:sz w:val="24"/>
          <w:szCs w:val="24"/>
          <w:u w:val="single"/>
        </w:rPr>
        <w:t xml:space="preserve">（供应商名称）  </w:t>
      </w:r>
      <w:r>
        <w:rPr>
          <w:rFonts w:hint="eastAsia" w:ascii="宋体" w:hAnsi="宋体" w:cs="宋体"/>
          <w:color w:val="000000"/>
          <w:sz w:val="24"/>
          <w:szCs w:val="24"/>
        </w:rPr>
        <w:t>的法定代表人，现代表公司授权下面签字的</w:t>
      </w:r>
      <w:r>
        <w:rPr>
          <w:rFonts w:hint="eastAsia" w:ascii="宋体" w:hAnsi="宋体" w:cs="宋体"/>
          <w:color w:val="000000"/>
          <w:sz w:val="24"/>
          <w:szCs w:val="24"/>
          <w:u w:val="single"/>
        </w:rPr>
        <w:t>（被授权人的姓名、职务）</w:t>
      </w:r>
      <w:r>
        <w:rPr>
          <w:rFonts w:hint="eastAsia" w:ascii="宋体" w:hAnsi="宋体" w:cs="宋体"/>
          <w:color w:val="000000"/>
          <w:sz w:val="24"/>
          <w:szCs w:val="24"/>
        </w:rPr>
        <w:t>为我公司合法代理人，代表本公司参加</w:t>
      </w:r>
      <w:r>
        <w:rPr>
          <w:rFonts w:hint="eastAsia" w:ascii="宋体" w:hAnsi="宋体" w:cs="宋体"/>
          <w:color w:val="000000"/>
          <w:sz w:val="24"/>
          <w:szCs w:val="24"/>
          <w:u w:val="single"/>
        </w:rPr>
        <w:t xml:space="preserve">  （采购项目名称） (</w:t>
      </w:r>
      <w:r>
        <w:rPr>
          <w:rFonts w:hint="eastAsia" w:ascii="宋体" w:hAnsi="宋体" w:cs="宋体"/>
          <w:color w:val="000000"/>
          <w:sz w:val="24"/>
          <w:szCs w:val="24"/>
        </w:rPr>
        <w:t>采购项目编号)为</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的谈判活动。代理人在本次谈判中所签署的一切文件和处理的一切有关事物，我公司均予承认。</w:t>
      </w:r>
    </w:p>
    <w:p>
      <w:pPr>
        <w:spacing w:line="480" w:lineRule="auto"/>
        <w:ind w:firstLine="480" w:firstLineChars="200"/>
        <w:outlineLvl w:val="9"/>
        <w:rPr>
          <w:rFonts w:ascii="宋体" w:hAnsi="宋体" w:cs="宋体"/>
          <w:color w:val="000000"/>
          <w:sz w:val="24"/>
          <w:szCs w:val="24"/>
        </w:rPr>
      </w:pPr>
      <w:r>
        <w:rPr>
          <w:rFonts w:hint="eastAsia" w:ascii="宋体" w:hAnsi="宋体" w:cs="宋体"/>
          <w:color w:val="000000"/>
          <w:sz w:val="24"/>
          <w:szCs w:val="24"/>
        </w:rPr>
        <w:t xml:space="preserve">本授权书于 </w:t>
      </w:r>
      <w:r>
        <w:rPr>
          <w:rFonts w:hint="eastAsia" w:ascii="宋体" w:hAnsi="宋体" w:cs="宋体"/>
          <w:color w:val="000000"/>
          <w:sz w:val="24"/>
          <w:szCs w:val="24"/>
          <w:u w:val="single"/>
        </w:rPr>
        <w:t xml:space="preserve">     </w:t>
      </w:r>
      <w:r>
        <w:rPr>
          <w:rFonts w:hint="eastAsia" w:ascii="宋体" w:hAnsi="宋体" w:cs="宋体"/>
          <w:color w:val="000000"/>
          <w:sz w:val="24"/>
          <w:szCs w:val="24"/>
        </w:rPr>
        <w:t>年</w:t>
      </w:r>
      <w:r>
        <w:rPr>
          <w:rFonts w:hint="eastAsia" w:ascii="宋体" w:hAnsi="宋体" w:cs="宋体"/>
          <w:color w:val="000000"/>
          <w:sz w:val="24"/>
          <w:szCs w:val="24"/>
          <w:u w:val="single"/>
        </w:rPr>
        <w:t xml:space="preserve">  </w:t>
      </w:r>
      <w:r>
        <w:rPr>
          <w:rFonts w:hint="eastAsia" w:ascii="宋体" w:hAnsi="宋体" w:cs="宋体"/>
          <w:color w:val="000000"/>
          <w:sz w:val="24"/>
          <w:szCs w:val="24"/>
        </w:rPr>
        <w:t>月</w:t>
      </w:r>
      <w:r>
        <w:rPr>
          <w:rFonts w:hint="eastAsia" w:ascii="宋体" w:hAnsi="宋体" w:cs="宋体"/>
          <w:color w:val="000000"/>
          <w:sz w:val="24"/>
          <w:szCs w:val="24"/>
          <w:u w:val="single"/>
        </w:rPr>
        <w:t xml:space="preserve">  </w:t>
      </w:r>
      <w:r>
        <w:rPr>
          <w:rFonts w:hint="eastAsia" w:ascii="宋体" w:hAnsi="宋体" w:cs="宋体"/>
          <w:color w:val="000000"/>
          <w:sz w:val="24"/>
          <w:szCs w:val="24"/>
        </w:rPr>
        <w:t>日签字（盖章）生效，有效期自谈判之日起</w:t>
      </w:r>
      <w:r>
        <w:rPr>
          <w:rFonts w:hint="eastAsia" w:ascii="宋体" w:hAnsi="宋体" w:cs="宋体"/>
          <w:color w:val="000000"/>
          <w:sz w:val="24"/>
          <w:szCs w:val="24"/>
          <w:u w:val="single"/>
        </w:rPr>
        <w:t xml:space="preserve">   </w:t>
      </w:r>
      <w:r>
        <w:rPr>
          <w:rFonts w:hint="eastAsia" w:ascii="宋体" w:hAnsi="宋体" w:cs="宋体"/>
          <w:color w:val="000000"/>
          <w:sz w:val="24"/>
          <w:szCs w:val="24"/>
        </w:rPr>
        <w:t>天，特此声明。</w:t>
      </w:r>
    </w:p>
    <w:p>
      <w:pPr>
        <w:spacing w:line="360" w:lineRule="auto"/>
        <w:outlineLvl w:val="9"/>
        <w:rPr>
          <w:rFonts w:ascii="宋体" w:hAnsi="宋体" w:cs="宋体"/>
          <w:color w:val="000000"/>
          <w:sz w:val="24"/>
          <w:szCs w:val="24"/>
        </w:rPr>
      </w:pPr>
      <w:r>
        <w:rPr>
          <w:rFonts w:hint="eastAsia" w:ascii="宋体" w:hAnsi="宋体" w:cs="宋体"/>
          <w:color w:val="000000"/>
          <w:sz w:val="24"/>
          <w:szCs w:val="24"/>
        </w:rPr>
        <w:t xml:space="preserve">    </w:t>
      </w:r>
      <w:bookmarkStart w:id="376" w:name="_Toc12419"/>
      <w:bookmarkStart w:id="377" w:name="_Toc17538"/>
      <w:bookmarkStart w:id="378" w:name="_Toc3685"/>
      <w:bookmarkStart w:id="379" w:name="_Toc26509"/>
      <w:r>
        <w:rPr>
          <w:rFonts w:hint="eastAsia" w:ascii="宋体" w:hAnsi="宋体" w:cs="宋体"/>
          <w:color w:val="000000"/>
          <w:sz w:val="24"/>
          <w:szCs w:val="24"/>
        </w:rPr>
        <w:t>附：法定代表人、被授权人身份证复印件。（注：如使用二代身份证需复印正、反两面）</w:t>
      </w:r>
      <w:bookmarkEnd w:id="376"/>
      <w:bookmarkEnd w:id="377"/>
      <w:bookmarkEnd w:id="378"/>
      <w:bookmarkEnd w:id="379"/>
    </w:p>
    <w:tbl>
      <w:tblPr>
        <w:tblStyle w:val="14"/>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2"/>
        <w:gridCol w:w="4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3" w:hRule="atLeast"/>
          <w:jc w:val="center"/>
        </w:trPr>
        <w:tc>
          <w:tcPr>
            <w:tcW w:w="432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outlineLvl w:val="9"/>
              <w:rPr>
                <w:rFonts w:ascii="宋体" w:hAnsi="宋体" w:cs="宋体"/>
                <w:color w:val="000000"/>
                <w:sz w:val="24"/>
                <w:szCs w:val="24"/>
              </w:rPr>
            </w:pPr>
          </w:p>
          <w:p>
            <w:pPr>
              <w:spacing w:line="360" w:lineRule="auto"/>
              <w:jc w:val="center"/>
              <w:outlineLvl w:val="9"/>
              <w:rPr>
                <w:rFonts w:ascii="宋体" w:hAnsi="宋体" w:cs="宋体"/>
                <w:color w:val="000000"/>
                <w:sz w:val="24"/>
                <w:szCs w:val="24"/>
              </w:rPr>
            </w:pPr>
            <w:bookmarkStart w:id="380" w:name="_Toc19741"/>
            <w:bookmarkStart w:id="381" w:name="_Toc5583"/>
            <w:bookmarkStart w:id="382" w:name="_Toc3175"/>
            <w:bookmarkStart w:id="383" w:name="_Toc12606"/>
            <w:r>
              <w:rPr>
                <w:rFonts w:hint="eastAsia" w:ascii="宋体" w:hAnsi="宋体" w:cs="宋体"/>
                <w:color w:val="000000"/>
                <w:sz w:val="24"/>
                <w:szCs w:val="24"/>
              </w:rPr>
              <w:t>法定代表人身份证复印件</w:t>
            </w:r>
            <w:bookmarkEnd w:id="380"/>
            <w:bookmarkEnd w:id="381"/>
            <w:bookmarkEnd w:id="382"/>
            <w:bookmarkEnd w:id="383"/>
          </w:p>
          <w:p>
            <w:pPr>
              <w:spacing w:line="360" w:lineRule="auto"/>
              <w:jc w:val="center"/>
              <w:outlineLvl w:val="9"/>
              <w:rPr>
                <w:rFonts w:ascii="宋体" w:hAnsi="宋体" w:cs="宋体"/>
                <w:color w:val="000000"/>
                <w:sz w:val="24"/>
                <w:szCs w:val="24"/>
              </w:rPr>
            </w:pPr>
          </w:p>
        </w:tc>
        <w:tc>
          <w:tcPr>
            <w:tcW w:w="4397" w:type="dxa"/>
            <w:tcBorders>
              <w:left w:val="single" w:color="auto" w:sz="4" w:space="0"/>
            </w:tcBorders>
            <w:noWrap w:val="0"/>
            <w:vAlign w:val="center"/>
          </w:tcPr>
          <w:p>
            <w:pPr>
              <w:spacing w:line="360" w:lineRule="auto"/>
              <w:jc w:val="center"/>
              <w:outlineLvl w:val="9"/>
              <w:rPr>
                <w:rFonts w:ascii="宋体" w:hAnsi="宋体" w:cs="宋体"/>
                <w:color w:val="000000"/>
                <w:sz w:val="24"/>
                <w:szCs w:val="24"/>
              </w:rPr>
            </w:pPr>
            <w:bookmarkStart w:id="384" w:name="_Toc2151"/>
            <w:bookmarkStart w:id="385" w:name="_Toc28825"/>
            <w:bookmarkStart w:id="386" w:name="_Toc31188"/>
            <w:bookmarkStart w:id="387" w:name="_Toc14341"/>
            <w:r>
              <w:rPr>
                <w:rFonts w:hint="eastAsia" w:ascii="宋体" w:hAnsi="宋体" w:cs="宋体"/>
                <w:color w:val="000000"/>
                <w:sz w:val="24"/>
                <w:szCs w:val="24"/>
              </w:rPr>
              <w:t>被授权人身份证复印件</w:t>
            </w:r>
            <w:bookmarkEnd w:id="384"/>
            <w:bookmarkEnd w:id="385"/>
            <w:bookmarkEnd w:id="386"/>
            <w:bookmarkEnd w:id="387"/>
          </w:p>
          <w:p>
            <w:pPr>
              <w:spacing w:line="360" w:lineRule="auto"/>
              <w:jc w:val="center"/>
              <w:outlineLvl w:val="9"/>
              <w:rPr>
                <w:rFonts w:ascii="宋体" w:hAnsi="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jc w:val="center"/>
        </w:trPr>
        <w:tc>
          <w:tcPr>
            <w:tcW w:w="432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outlineLvl w:val="9"/>
              <w:rPr>
                <w:rFonts w:ascii="宋体" w:hAnsi="宋体" w:cs="宋体"/>
                <w:color w:val="000000"/>
                <w:sz w:val="24"/>
                <w:szCs w:val="24"/>
              </w:rPr>
            </w:pPr>
            <w:bookmarkStart w:id="388" w:name="_Toc14312"/>
            <w:bookmarkStart w:id="389" w:name="_Toc28549"/>
            <w:bookmarkStart w:id="390" w:name="_Toc28695"/>
            <w:bookmarkStart w:id="391" w:name="_Toc12477"/>
            <w:r>
              <w:rPr>
                <w:rFonts w:hint="eastAsia" w:ascii="宋体" w:hAnsi="宋体" w:cs="宋体"/>
                <w:color w:val="000000"/>
                <w:sz w:val="24"/>
                <w:szCs w:val="24"/>
              </w:rPr>
              <w:t>法定代表人身份证复印件</w:t>
            </w:r>
            <w:bookmarkEnd w:id="388"/>
            <w:bookmarkEnd w:id="389"/>
            <w:bookmarkEnd w:id="390"/>
            <w:bookmarkEnd w:id="391"/>
          </w:p>
          <w:p>
            <w:pPr>
              <w:spacing w:line="360" w:lineRule="auto"/>
              <w:jc w:val="center"/>
              <w:outlineLvl w:val="9"/>
              <w:rPr>
                <w:rFonts w:ascii="宋体" w:hAnsi="宋体" w:cs="宋体"/>
                <w:color w:val="000000"/>
                <w:sz w:val="24"/>
                <w:szCs w:val="24"/>
              </w:rPr>
            </w:pPr>
          </w:p>
        </w:tc>
        <w:tc>
          <w:tcPr>
            <w:tcW w:w="4397" w:type="dxa"/>
            <w:tcBorders>
              <w:left w:val="single" w:color="auto" w:sz="4" w:space="0"/>
            </w:tcBorders>
            <w:noWrap w:val="0"/>
            <w:vAlign w:val="center"/>
          </w:tcPr>
          <w:p>
            <w:pPr>
              <w:spacing w:line="360" w:lineRule="auto"/>
              <w:jc w:val="center"/>
              <w:outlineLvl w:val="9"/>
              <w:rPr>
                <w:rFonts w:ascii="宋体" w:hAnsi="宋体" w:cs="宋体"/>
                <w:color w:val="000000"/>
                <w:sz w:val="24"/>
                <w:szCs w:val="24"/>
              </w:rPr>
            </w:pPr>
            <w:bookmarkStart w:id="392" w:name="_Toc17870"/>
            <w:bookmarkStart w:id="393" w:name="_Toc7697"/>
            <w:bookmarkStart w:id="394" w:name="_Toc5386"/>
            <w:bookmarkStart w:id="395" w:name="_Toc17968"/>
            <w:r>
              <w:rPr>
                <w:rFonts w:hint="eastAsia" w:ascii="宋体" w:hAnsi="宋体" w:cs="宋体"/>
                <w:color w:val="000000"/>
                <w:sz w:val="24"/>
                <w:szCs w:val="24"/>
              </w:rPr>
              <w:t>被授权人身份证复印件</w:t>
            </w:r>
            <w:bookmarkEnd w:id="392"/>
            <w:bookmarkEnd w:id="393"/>
            <w:bookmarkEnd w:id="394"/>
            <w:bookmarkEnd w:id="395"/>
          </w:p>
          <w:p>
            <w:pPr>
              <w:spacing w:line="360" w:lineRule="auto"/>
              <w:jc w:val="center"/>
              <w:outlineLvl w:val="9"/>
              <w:rPr>
                <w:rFonts w:ascii="宋体" w:hAnsi="宋体" w:cs="宋体"/>
                <w:color w:val="000000"/>
                <w:sz w:val="24"/>
                <w:szCs w:val="24"/>
              </w:rPr>
            </w:pPr>
          </w:p>
        </w:tc>
      </w:tr>
    </w:tbl>
    <w:p>
      <w:pPr>
        <w:spacing w:line="360" w:lineRule="auto"/>
        <w:ind w:firstLine="3360" w:firstLineChars="1400"/>
        <w:outlineLvl w:val="9"/>
        <w:rPr>
          <w:rFonts w:hint="eastAsia" w:ascii="宋体" w:hAnsi="宋体" w:cs="宋体"/>
          <w:color w:val="000000"/>
          <w:sz w:val="24"/>
          <w:szCs w:val="24"/>
        </w:rPr>
      </w:pPr>
    </w:p>
    <w:p>
      <w:pPr>
        <w:spacing w:line="360" w:lineRule="auto"/>
        <w:ind w:firstLine="3360" w:firstLineChars="1400"/>
        <w:outlineLvl w:val="9"/>
        <w:rPr>
          <w:rFonts w:hint="eastAsia" w:ascii="宋体" w:hAnsi="宋体" w:cs="宋体"/>
          <w:color w:val="000000"/>
          <w:sz w:val="24"/>
          <w:szCs w:val="24"/>
        </w:rPr>
      </w:pPr>
    </w:p>
    <w:p>
      <w:pPr>
        <w:spacing w:line="360" w:lineRule="auto"/>
        <w:ind w:firstLine="3360" w:firstLineChars="1400"/>
        <w:outlineLvl w:val="9"/>
        <w:rPr>
          <w:rFonts w:ascii="宋体" w:hAnsi="宋体" w:cs="宋体"/>
          <w:color w:val="000000"/>
          <w:sz w:val="24"/>
          <w:szCs w:val="24"/>
        </w:rPr>
      </w:pPr>
      <w:r>
        <w:rPr>
          <w:rFonts w:hint="eastAsia" w:ascii="宋体" w:hAnsi="宋体" w:cs="宋体"/>
          <w:color w:val="000000"/>
          <w:sz w:val="24"/>
          <w:szCs w:val="24"/>
        </w:rPr>
        <w:t>供应商：</w:t>
      </w:r>
      <w:r>
        <w:rPr>
          <w:rFonts w:hint="eastAsia" w:ascii="宋体" w:hAnsi="宋体" w:cs="宋体"/>
          <w:color w:val="000000"/>
          <w:sz w:val="24"/>
          <w:szCs w:val="24"/>
          <w:u w:val="single"/>
        </w:rPr>
        <w:t xml:space="preserve">                            </w:t>
      </w:r>
      <w:r>
        <w:rPr>
          <w:rFonts w:hint="eastAsia" w:ascii="宋体" w:hAnsi="宋体" w:cs="宋体"/>
          <w:color w:val="000000"/>
          <w:sz w:val="24"/>
          <w:szCs w:val="24"/>
        </w:rPr>
        <w:t>（公章）</w:t>
      </w:r>
    </w:p>
    <w:p>
      <w:pPr>
        <w:spacing w:line="360" w:lineRule="auto"/>
        <w:outlineLvl w:val="9"/>
        <w:rPr>
          <w:rFonts w:ascii="宋体" w:hAnsi="宋体" w:cs="宋体"/>
          <w:color w:val="000000"/>
          <w:sz w:val="24"/>
          <w:szCs w:val="24"/>
          <w:u w:val="single"/>
        </w:rPr>
      </w:pPr>
      <w:r>
        <w:rPr>
          <w:rFonts w:hint="eastAsia" w:ascii="宋体" w:hAnsi="宋体" w:cs="宋体"/>
          <w:color w:val="000000"/>
          <w:sz w:val="24"/>
          <w:szCs w:val="24"/>
        </w:rPr>
        <w:t xml:space="preserve">                            法定代表人（签字或盖章）：</w:t>
      </w:r>
      <w:r>
        <w:rPr>
          <w:rFonts w:hint="eastAsia" w:ascii="宋体" w:hAnsi="宋体" w:cs="宋体"/>
          <w:color w:val="000000"/>
          <w:sz w:val="24"/>
          <w:szCs w:val="24"/>
          <w:u w:val="single"/>
        </w:rPr>
        <w:t xml:space="preserve">                  </w:t>
      </w:r>
    </w:p>
    <w:p>
      <w:pPr>
        <w:spacing w:line="360" w:lineRule="auto"/>
        <w:ind w:firstLine="3360" w:firstLineChars="1400"/>
        <w:outlineLvl w:val="9"/>
        <w:rPr>
          <w:rFonts w:ascii="宋体" w:hAnsi="宋体" w:cs="宋体"/>
          <w:color w:val="000000"/>
          <w:sz w:val="24"/>
          <w:szCs w:val="24"/>
        </w:rPr>
      </w:pPr>
      <w:r>
        <w:rPr>
          <w:rFonts w:hint="eastAsia" w:ascii="宋体" w:hAnsi="宋体" w:cs="宋体"/>
          <w:color w:val="000000"/>
          <w:sz w:val="24"/>
          <w:szCs w:val="24"/>
        </w:rPr>
        <w:t xml:space="preserve">被授权代表（签字）： </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w:t>
      </w:r>
    </w:p>
    <w:bookmarkEnd w:id="363"/>
    <w:bookmarkEnd w:id="364"/>
    <w:bookmarkEnd w:id="365"/>
    <w:bookmarkEnd w:id="366"/>
    <w:bookmarkEnd w:id="367"/>
    <w:bookmarkEnd w:id="368"/>
    <w:bookmarkEnd w:id="369"/>
    <w:bookmarkEnd w:id="370"/>
    <w:p>
      <w:pPr>
        <w:pStyle w:val="7"/>
        <w:spacing w:line="360" w:lineRule="auto"/>
        <w:outlineLvl w:val="9"/>
        <w:rPr>
          <w:rFonts w:hint="default" w:ascii="Times New Roman" w:hAnsi="Times New Roman"/>
        </w:rPr>
      </w:pPr>
      <w:bookmarkStart w:id="396" w:name="_Toc246928973"/>
      <w:bookmarkStart w:id="397" w:name="_Toc465958138"/>
      <w:bookmarkStart w:id="398" w:name="_Toc26762"/>
    </w:p>
    <w:p>
      <w:pPr>
        <w:adjustRightInd w:val="0"/>
        <w:jc w:val="center"/>
        <w:textAlignment w:val="baseline"/>
        <w:outlineLvl w:val="1"/>
        <w:rPr>
          <w:rFonts w:hint="eastAsia" w:ascii="宋体" w:hAnsi="宋体" w:cs="宋体"/>
          <w:b/>
          <w:bCs/>
          <w:sz w:val="28"/>
          <w:szCs w:val="28"/>
        </w:rPr>
      </w:pPr>
      <w:bookmarkStart w:id="399" w:name="_Toc14105"/>
      <w:bookmarkStart w:id="400" w:name="_Toc5694"/>
      <w:bookmarkStart w:id="401" w:name="_Toc27647"/>
      <w:r>
        <w:rPr>
          <w:rFonts w:hint="eastAsia" w:ascii="宋体" w:hAnsi="宋体" w:eastAsia="宋体" w:cs="宋体"/>
          <w:b/>
          <w:color w:val="000000"/>
          <w:kern w:val="0"/>
          <w:sz w:val="32"/>
          <w:szCs w:val="32"/>
          <w:lang w:val="en-US" w:eastAsia="zh-CN" w:bidi="ar-SA"/>
        </w:rPr>
        <w:t>七、供</w:t>
      </w:r>
      <w:bookmarkEnd w:id="399"/>
      <w:bookmarkEnd w:id="400"/>
      <w:bookmarkEnd w:id="401"/>
      <w:r>
        <w:rPr>
          <w:rFonts w:hint="eastAsia" w:ascii="宋体" w:hAnsi="宋体" w:eastAsia="宋体" w:cs="宋体"/>
          <w:b/>
          <w:color w:val="000000"/>
          <w:kern w:val="0"/>
          <w:sz w:val="32"/>
          <w:szCs w:val="32"/>
          <w:lang w:val="en-US" w:eastAsia="zh-CN" w:bidi="ar-SA"/>
        </w:rPr>
        <w:t>应商</w:t>
      </w:r>
      <w:r>
        <w:rPr>
          <w:rFonts w:hint="eastAsia" w:ascii="宋体" w:hAnsi="宋体" w:cs="宋体"/>
          <w:b/>
          <w:color w:val="000000"/>
          <w:kern w:val="0"/>
          <w:sz w:val="32"/>
          <w:szCs w:val="32"/>
          <w:lang w:val="en-US" w:eastAsia="zh-CN" w:bidi="ar-SA"/>
        </w:rPr>
        <w:t>参加政府采购活动承诺书</w:t>
      </w:r>
    </w:p>
    <w:p>
      <w:pPr>
        <w:spacing w:before="120" w:beforeLines="50" w:line="360" w:lineRule="auto"/>
        <w:jc w:val="center"/>
        <w:outlineLvl w:val="9"/>
        <w:rPr>
          <w:rFonts w:hint="eastAsia" w:ascii="宋体" w:hAnsi="宋体" w:cs="宋体"/>
          <w:b/>
          <w:color w:val="auto"/>
          <w:sz w:val="32"/>
          <w:szCs w:val="32"/>
        </w:rPr>
      </w:pPr>
      <w:r>
        <w:rPr>
          <w:rFonts w:hint="eastAsia" w:ascii="宋体" w:hAnsi="宋体" w:cs="宋体"/>
          <w:b/>
          <w:color w:val="auto"/>
          <w:sz w:val="32"/>
          <w:szCs w:val="32"/>
        </w:rPr>
        <w:t>中小企业声明函</w:t>
      </w:r>
      <w:r>
        <w:rPr>
          <w:rFonts w:hint="eastAsia" w:ascii="宋体" w:hAnsi="宋体" w:cs="宋体"/>
          <w:b/>
          <w:color w:val="auto"/>
          <w:kern w:val="0"/>
          <w:sz w:val="32"/>
          <w:szCs w:val="32"/>
          <w:lang w:val="zh-CN"/>
        </w:rPr>
        <w:t>（</w:t>
      </w:r>
      <w:r>
        <w:rPr>
          <w:rFonts w:hint="eastAsia" w:ascii="宋体" w:hAnsi="宋体" w:cs="宋体"/>
          <w:b/>
          <w:color w:val="auto"/>
          <w:sz w:val="32"/>
          <w:szCs w:val="32"/>
        </w:rPr>
        <w:t>如用，不用可删除</w:t>
      </w:r>
      <w:r>
        <w:rPr>
          <w:rFonts w:hint="eastAsia" w:ascii="宋体" w:hAnsi="宋体" w:cs="宋体"/>
          <w:b/>
          <w:color w:val="auto"/>
          <w:kern w:val="0"/>
          <w:sz w:val="32"/>
          <w:szCs w:val="32"/>
          <w:lang w:val="zh-CN"/>
        </w:rPr>
        <w:t>）</w:t>
      </w:r>
    </w:p>
    <w:p>
      <w:pPr>
        <w:widowControl/>
        <w:spacing w:line="360" w:lineRule="auto"/>
        <w:ind w:firstLine="480" w:firstLineChars="200"/>
        <w:jc w:val="left"/>
        <w:outlineLvl w:val="9"/>
        <w:rPr>
          <w:rFonts w:hint="eastAsia" w:ascii="宋体" w:hAnsi="宋体" w:cs="宋体"/>
          <w:color w:val="auto"/>
          <w:sz w:val="24"/>
          <w:szCs w:val="24"/>
        </w:rPr>
      </w:pPr>
      <w:r>
        <w:rPr>
          <w:rFonts w:hint="eastAsia" w:ascii="宋体" w:hAnsi="宋体" w:cs="宋体"/>
          <w:color w:val="auto"/>
          <w:sz w:val="24"/>
          <w:szCs w:val="24"/>
        </w:rPr>
        <w:t xml:space="preserve">  </w:t>
      </w:r>
    </w:p>
    <w:p>
      <w:pPr>
        <w:widowControl/>
        <w:spacing w:line="360" w:lineRule="auto"/>
        <w:ind w:firstLine="480" w:firstLineChars="200"/>
        <w:jc w:val="left"/>
        <w:outlineLvl w:val="9"/>
        <w:rPr>
          <w:rFonts w:hint="eastAsia" w:ascii="宋体" w:hAnsi="宋体" w:cs="宋体"/>
          <w:color w:val="auto"/>
          <w:sz w:val="24"/>
          <w:szCs w:val="24"/>
        </w:rPr>
      </w:pPr>
      <w:r>
        <w:rPr>
          <w:rFonts w:hint="eastAsia" w:ascii="宋体" w:hAnsi="宋体" w:cs="宋体"/>
          <w:color w:val="auto"/>
          <w:kern w:val="0"/>
          <w:sz w:val="24"/>
          <w:szCs w:val="24"/>
          <w:lang w:bidi="ar"/>
        </w:rPr>
        <w:t>本公司郑重声明，根据《政府采购促进中小 企业发展管理办法》（财库﹝2020﹞46 号）的规定，本公司参加</w:t>
      </w:r>
      <w:r>
        <w:rPr>
          <w:rFonts w:hint="eastAsia" w:ascii="宋体" w:hAnsi="宋体" w:cs="宋体"/>
          <w:color w:val="auto"/>
          <w:kern w:val="0"/>
          <w:sz w:val="24"/>
          <w:szCs w:val="24"/>
          <w:u w:val="single"/>
          <w:lang w:bidi="ar"/>
        </w:rPr>
        <w:t>（单位名称）</w:t>
      </w:r>
      <w:r>
        <w:rPr>
          <w:rFonts w:hint="eastAsia" w:ascii="宋体" w:hAnsi="宋体" w:cs="宋体"/>
          <w:color w:val="auto"/>
          <w:kern w:val="0"/>
          <w:sz w:val="24"/>
          <w:szCs w:val="24"/>
          <w:lang w:bidi="ar"/>
        </w:rPr>
        <w:t>的</w:t>
      </w:r>
      <w:r>
        <w:rPr>
          <w:rFonts w:hint="eastAsia" w:ascii="宋体" w:hAnsi="宋体" w:cs="宋体"/>
          <w:color w:val="auto"/>
          <w:kern w:val="0"/>
          <w:sz w:val="24"/>
          <w:szCs w:val="24"/>
          <w:u w:val="single"/>
          <w:lang w:bidi="ar"/>
        </w:rPr>
        <w:t>（项目名称）</w:t>
      </w:r>
      <w:r>
        <w:rPr>
          <w:rFonts w:hint="eastAsia" w:ascii="宋体" w:hAnsi="宋体" w:cs="宋体"/>
          <w:color w:val="auto"/>
          <w:kern w:val="0"/>
          <w:sz w:val="24"/>
          <w:szCs w:val="24"/>
          <w:lang w:bidi="ar"/>
        </w:rPr>
        <w:t xml:space="preserve">采购活动，提供的货物全部由符合政策要求的中小企业制造。相关企业（含联合体中的中小企业、签订分包意向协议的中小企业）的具体情况如下： </w:t>
      </w:r>
    </w:p>
    <w:p>
      <w:pPr>
        <w:widowControl/>
        <w:spacing w:line="360" w:lineRule="auto"/>
        <w:ind w:firstLine="480" w:firstLineChars="200"/>
        <w:jc w:val="left"/>
        <w:outlineLvl w:val="9"/>
        <w:rPr>
          <w:rFonts w:hint="eastAsia" w:ascii="宋体" w:hAnsi="宋体" w:cs="宋体"/>
          <w:color w:val="auto"/>
          <w:sz w:val="24"/>
          <w:szCs w:val="24"/>
        </w:rPr>
      </w:pPr>
      <w:r>
        <w:rPr>
          <w:rFonts w:hint="eastAsia" w:ascii="宋体" w:hAnsi="宋体" w:cs="宋体"/>
          <w:color w:val="auto"/>
          <w:kern w:val="0"/>
          <w:sz w:val="24"/>
          <w:szCs w:val="24"/>
          <w:lang w:bidi="ar"/>
        </w:rPr>
        <w:t>1.</w:t>
      </w:r>
      <w:r>
        <w:rPr>
          <w:rFonts w:hint="eastAsia" w:ascii="宋体" w:hAnsi="宋体" w:cs="宋体"/>
          <w:color w:val="auto"/>
          <w:kern w:val="0"/>
          <w:sz w:val="24"/>
          <w:szCs w:val="24"/>
          <w:u w:val="single"/>
          <w:lang w:bidi="ar"/>
        </w:rPr>
        <w:t xml:space="preserve"> （标的名称）</w:t>
      </w:r>
      <w:r>
        <w:rPr>
          <w:rFonts w:hint="eastAsia" w:ascii="宋体" w:hAnsi="宋体" w:cs="宋体"/>
          <w:color w:val="auto"/>
          <w:kern w:val="0"/>
          <w:sz w:val="24"/>
          <w:szCs w:val="24"/>
          <w:lang w:bidi="ar"/>
        </w:rPr>
        <w:t xml:space="preserve"> ，属于</w:t>
      </w:r>
      <w:r>
        <w:rPr>
          <w:rFonts w:hint="eastAsia" w:ascii="宋体" w:hAnsi="宋体" w:cs="宋体"/>
          <w:color w:val="auto"/>
          <w:kern w:val="0"/>
          <w:sz w:val="24"/>
          <w:szCs w:val="24"/>
          <w:u w:val="single"/>
          <w:lang w:bidi="ar"/>
        </w:rPr>
        <w:t xml:space="preserve">（采购文件中明确的所属行业） </w:t>
      </w:r>
      <w:r>
        <w:rPr>
          <w:rFonts w:hint="eastAsia" w:ascii="宋体" w:hAnsi="宋体" w:cs="宋体"/>
          <w:color w:val="auto"/>
          <w:kern w:val="0"/>
          <w:sz w:val="24"/>
          <w:szCs w:val="24"/>
          <w:lang w:bidi="ar"/>
        </w:rPr>
        <w:t>行业；制造商为</w:t>
      </w:r>
      <w:r>
        <w:rPr>
          <w:rFonts w:hint="eastAsia" w:ascii="宋体" w:hAnsi="宋体" w:cs="宋体"/>
          <w:color w:val="auto"/>
          <w:kern w:val="0"/>
          <w:sz w:val="24"/>
          <w:szCs w:val="24"/>
          <w:u w:val="single"/>
          <w:lang w:bidi="ar"/>
        </w:rPr>
        <w:t>（企业名称）</w:t>
      </w:r>
      <w:r>
        <w:rPr>
          <w:rFonts w:hint="eastAsia" w:ascii="宋体" w:hAnsi="宋体" w:cs="宋体"/>
          <w:color w:val="auto"/>
          <w:kern w:val="0"/>
          <w:sz w:val="24"/>
          <w:szCs w:val="24"/>
          <w:lang w:bidi="ar"/>
        </w:rPr>
        <w:t xml:space="preserve">，从业人员 </w:t>
      </w:r>
      <w:r>
        <w:rPr>
          <w:rFonts w:hint="eastAsia" w:ascii="宋体" w:hAnsi="宋体" w:cs="宋体"/>
          <w:color w:val="auto"/>
          <w:kern w:val="0"/>
          <w:sz w:val="24"/>
          <w:szCs w:val="24"/>
          <w:u w:val="single"/>
          <w:lang w:bidi="ar"/>
        </w:rPr>
        <w:t xml:space="preserve">    </w:t>
      </w:r>
      <w:r>
        <w:rPr>
          <w:rFonts w:hint="eastAsia" w:ascii="宋体" w:hAnsi="宋体" w:cs="宋体"/>
          <w:color w:val="auto"/>
          <w:kern w:val="0"/>
          <w:sz w:val="24"/>
          <w:szCs w:val="24"/>
          <w:lang w:bidi="ar"/>
        </w:rPr>
        <w:t>人，营业收入为</w:t>
      </w:r>
      <w:r>
        <w:rPr>
          <w:rFonts w:hint="eastAsia" w:ascii="宋体" w:hAnsi="宋体" w:cs="宋体"/>
          <w:color w:val="auto"/>
          <w:kern w:val="0"/>
          <w:sz w:val="24"/>
          <w:szCs w:val="24"/>
          <w:u w:val="single"/>
          <w:lang w:bidi="ar"/>
        </w:rPr>
        <w:t xml:space="preserve">      </w:t>
      </w:r>
      <w:r>
        <w:rPr>
          <w:rFonts w:hint="eastAsia" w:ascii="宋体" w:hAnsi="宋体" w:cs="宋体"/>
          <w:color w:val="auto"/>
          <w:kern w:val="0"/>
          <w:sz w:val="24"/>
          <w:szCs w:val="24"/>
          <w:lang w:bidi="ar"/>
        </w:rPr>
        <w:t>万元，资产总额为</w:t>
      </w:r>
      <w:r>
        <w:rPr>
          <w:rFonts w:hint="eastAsia" w:ascii="宋体" w:hAnsi="宋体" w:cs="宋体"/>
          <w:color w:val="auto"/>
          <w:kern w:val="0"/>
          <w:sz w:val="24"/>
          <w:szCs w:val="24"/>
          <w:u w:val="single"/>
          <w:lang w:bidi="ar"/>
        </w:rPr>
        <w:t xml:space="preserve">      </w:t>
      </w:r>
      <w:r>
        <w:rPr>
          <w:rFonts w:hint="eastAsia" w:ascii="宋体" w:hAnsi="宋体" w:cs="宋体"/>
          <w:color w:val="auto"/>
          <w:kern w:val="0"/>
          <w:sz w:val="24"/>
          <w:szCs w:val="24"/>
          <w:lang w:bidi="ar"/>
        </w:rPr>
        <w:t>万元，属于</w:t>
      </w:r>
      <w:r>
        <w:rPr>
          <w:rFonts w:hint="eastAsia" w:ascii="宋体" w:hAnsi="宋体" w:cs="宋体"/>
          <w:color w:val="auto"/>
          <w:kern w:val="0"/>
          <w:sz w:val="24"/>
          <w:szCs w:val="24"/>
          <w:u w:val="single"/>
          <w:lang w:bidi="ar"/>
        </w:rPr>
        <w:t>（中型企业、小 型企业、微型企业）</w:t>
      </w:r>
      <w:r>
        <w:rPr>
          <w:rFonts w:hint="eastAsia" w:ascii="宋体" w:hAnsi="宋体" w:cs="宋体"/>
          <w:color w:val="auto"/>
          <w:kern w:val="0"/>
          <w:sz w:val="24"/>
          <w:szCs w:val="24"/>
          <w:lang w:bidi="ar"/>
        </w:rPr>
        <w:t xml:space="preserve">； </w:t>
      </w:r>
    </w:p>
    <w:p>
      <w:pPr>
        <w:widowControl/>
        <w:spacing w:line="360" w:lineRule="auto"/>
        <w:ind w:firstLine="480" w:firstLineChars="200"/>
        <w:jc w:val="left"/>
        <w:outlineLvl w:val="9"/>
        <w:rPr>
          <w:rFonts w:hint="eastAsia" w:ascii="宋体" w:hAnsi="宋体" w:cs="宋体"/>
          <w:color w:val="auto"/>
          <w:sz w:val="24"/>
          <w:szCs w:val="24"/>
        </w:rPr>
      </w:pPr>
      <w:r>
        <w:rPr>
          <w:rFonts w:hint="eastAsia" w:ascii="宋体" w:hAnsi="宋体" w:cs="宋体"/>
          <w:color w:val="auto"/>
          <w:kern w:val="0"/>
          <w:sz w:val="24"/>
          <w:szCs w:val="24"/>
          <w:lang w:bidi="ar"/>
        </w:rPr>
        <w:t>2.</w:t>
      </w:r>
      <w:r>
        <w:rPr>
          <w:rFonts w:hint="eastAsia" w:ascii="宋体" w:hAnsi="宋体" w:cs="宋体"/>
          <w:color w:val="auto"/>
          <w:kern w:val="0"/>
          <w:sz w:val="24"/>
          <w:szCs w:val="24"/>
          <w:u w:val="single"/>
          <w:lang w:bidi="ar"/>
        </w:rPr>
        <w:t xml:space="preserve">（标的名称） </w:t>
      </w:r>
      <w:r>
        <w:rPr>
          <w:rFonts w:hint="eastAsia" w:ascii="宋体" w:hAnsi="宋体" w:cs="宋体"/>
          <w:color w:val="auto"/>
          <w:kern w:val="0"/>
          <w:sz w:val="24"/>
          <w:szCs w:val="24"/>
          <w:lang w:bidi="ar"/>
        </w:rPr>
        <w:t>，属于</w:t>
      </w:r>
      <w:r>
        <w:rPr>
          <w:rFonts w:hint="eastAsia" w:ascii="宋体" w:hAnsi="宋体" w:cs="宋体"/>
          <w:color w:val="auto"/>
          <w:kern w:val="0"/>
          <w:sz w:val="24"/>
          <w:szCs w:val="24"/>
          <w:u w:val="single"/>
          <w:lang w:bidi="ar"/>
        </w:rPr>
        <w:t>（采购文件中明确的所属行业）</w:t>
      </w:r>
      <w:r>
        <w:rPr>
          <w:rFonts w:hint="eastAsia" w:ascii="宋体" w:hAnsi="宋体" w:cs="宋体"/>
          <w:color w:val="auto"/>
          <w:kern w:val="0"/>
          <w:sz w:val="24"/>
          <w:szCs w:val="24"/>
          <w:lang w:bidi="ar"/>
        </w:rPr>
        <w:t>行业；制造商为</w:t>
      </w:r>
      <w:r>
        <w:rPr>
          <w:rFonts w:hint="eastAsia" w:ascii="宋体" w:hAnsi="宋体" w:cs="宋体"/>
          <w:color w:val="auto"/>
          <w:kern w:val="0"/>
          <w:sz w:val="24"/>
          <w:szCs w:val="24"/>
          <w:u w:val="single"/>
          <w:lang w:bidi="ar"/>
        </w:rPr>
        <w:t>（企业名称）</w:t>
      </w:r>
      <w:r>
        <w:rPr>
          <w:rFonts w:hint="eastAsia" w:ascii="宋体" w:hAnsi="宋体" w:cs="宋体"/>
          <w:color w:val="auto"/>
          <w:kern w:val="0"/>
          <w:sz w:val="24"/>
          <w:szCs w:val="24"/>
          <w:lang w:bidi="ar"/>
        </w:rPr>
        <w:t>，从业人员</w:t>
      </w:r>
      <w:r>
        <w:rPr>
          <w:rFonts w:hint="eastAsia" w:ascii="宋体" w:hAnsi="宋体" w:cs="宋体"/>
          <w:color w:val="auto"/>
          <w:kern w:val="0"/>
          <w:sz w:val="24"/>
          <w:szCs w:val="24"/>
          <w:u w:val="single"/>
          <w:lang w:bidi="ar"/>
        </w:rPr>
        <w:t xml:space="preserve">     </w:t>
      </w:r>
      <w:r>
        <w:rPr>
          <w:rFonts w:hint="eastAsia" w:ascii="宋体" w:hAnsi="宋体" w:cs="宋体"/>
          <w:color w:val="auto"/>
          <w:kern w:val="0"/>
          <w:sz w:val="24"/>
          <w:szCs w:val="24"/>
          <w:lang w:bidi="ar"/>
        </w:rPr>
        <w:t>人，营业收入为</w:t>
      </w:r>
      <w:r>
        <w:rPr>
          <w:rFonts w:hint="eastAsia" w:ascii="宋体" w:hAnsi="宋体" w:cs="宋体"/>
          <w:color w:val="auto"/>
          <w:kern w:val="0"/>
          <w:sz w:val="24"/>
          <w:szCs w:val="24"/>
          <w:u w:val="single"/>
          <w:lang w:bidi="ar"/>
        </w:rPr>
        <w:t xml:space="preserve">     </w:t>
      </w:r>
      <w:r>
        <w:rPr>
          <w:rFonts w:hint="eastAsia" w:ascii="宋体" w:hAnsi="宋体" w:cs="宋体"/>
          <w:color w:val="auto"/>
          <w:kern w:val="0"/>
          <w:sz w:val="24"/>
          <w:szCs w:val="24"/>
          <w:lang w:bidi="ar"/>
        </w:rPr>
        <w:t>万元，资产总额为</w:t>
      </w:r>
      <w:r>
        <w:rPr>
          <w:rFonts w:hint="eastAsia" w:ascii="宋体" w:hAnsi="宋体" w:cs="宋体"/>
          <w:color w:val="auto"/>
          <w:kern w:val="0"/>
          <w:sz w:val="24"/>
          <w:szCs w:val="24"/>
          <w:u w:val="single"/>
          <w:lang w:bidi="ar"/>
        </w:rPr>
        <w:t xml:space="preserve">    </w:t>
      </w:r>
      <w:r>
        <w:rPr>
          <w:rFonts w:hint="eastAsia" w:ascii="宋体" w:hAnsi="宋体" w:cs="宋体"/>
          <w:color w:val="auto"/>
          <w:kern w:val="0"/>
          <w:sz w:val="24"/>
          <w:szCs w:val="24"/>
          <w:lang w:bidi="ar"/>
        </w:rPr>
        <w:t>万元，属于</w:t>
      </w:r>
      <w:r>
        <w:rPr>
          <w:rFonts w:hint="eastAsia" w:ascii="宋体" w:hAnsi="宋体" w:cs="宋体"/>
          <w:color w:val="auto"/>
          <w:kern w:val="0"/>
          <w:sz w:val="24"/>
          <w:szCs w:val="24"/>
          <w:u w:val="single"/>
          <w:lang w:bidi="ar"/>
        </w:rPr>
        <w:t>（中型企业、小型企业、微型企业）</w:t>
      </w:r>
      <w:r>
        <w:rPr>
          <w:rFonts w:hint="eastAsia" w:ascii="宋体" w:hAnsi="宋体" w:cs="宋体"/>
          <w:color w:val="auto"/>
          <w:kern w:val="0"/>
          <w:sz w:val="24"/>
          <w:szCs w:val="24"/>
          <w:lang w:bidi="ar"/>
        </w:rPr>
        <w:t xml:space="preserve">； </w:t>
      </w:r>
    </w:p>
    <w:p>
      <w:pPr>
        <w:widowControl/>
        <w:spacing w:line="360" w:lineRule="auto"/>
        <w:ind w:firstLine="480" w:firstLineChars="200"/>
        <w:jc w:val="left"/>
        <w:outlineLvl w:val="9"/>
        <w:rPr>
          <w:rFonts w:hint="eastAsia" w:ascii="宋体" w:hAnsi="宋体" w:cs="宋体"/>
          <w:color w:val="auto"/>
          <w:sz w:val="24"/>
          <w:szCs w:val="24"/>
        </w:rPr>
      </w:pPr>
      <w:r>
        <w:rPr>
          <w:rFonts w:hint="eastAsia" w:ascii="宋体" w:hAnsi="宋体" w:cs="宋体"/>
          <w:color w:val="auto"/>
          <w:kern w:val="0"/>
          <w:sz w:val="24"/>
          <w:szCs w:val="24"/>
          <w:lang w:bidi="ar"/>
        </w:rPr>
        <w:t>……</w:t>
      </w:r>
    </w:p>
    <w:p>
      <w:pPr>
        <w:widowControl/>
        <w:spacing w:line="360" w:lineRule="auto"/>
        <w:ind w:firstLine="480" w:firstLineChars="200"/>
        <w:jc w:val="left"/>
        <w:outlineLvl w:val="9"/>
        <w:rPr>
          <w:rFonts w:hint="eastAsia" w:ascii="宋体" w:hAnsi="宋体" w:cs="宋体"/>
          <w:color w:val="auto"/>
          <w:sz w:val="24"/>
          <w:szCs w:val="24"/>
        </w:rPr>
      </w:pPr>
      <w:r>
        <w:rPr>
          <w:rFonts w:hint="eastAsia" w:ascii="宋体" w:hAnsi="宋体" w:cs="宋体"/>
          <w:color w:val="auto"/>
          <w:kern w:val="0"/>
          <w:sz w:val="24"/>
          <w:szCs w:val="24"/>
          <w:lang w:bidi="ar"/>
        </w:rPr>
        <w:t>以上企业，不属于大企业的分支机构，不存在控股股东为大企业的情形，也不存在与大企业的负责人为同一人的情形。</w:t>
      </w:r>
    </w:p>
    <w:p>
      <w:pPr>
        <w:widowControl/>
        <w:spacing w:line="360" w:lineRule="auto"/>
        <w:ind w:firstLine="480" w:firstLineChars="200"/>
        <w:jc w:val="left"/>
        <w:outlineLvl w:val="9"/>
        <w:rPr>
          <w:rFonts w:hint="eastAsia" w:ascii="宋体" w:hAnsi="宋体" w:cs="宋体"/>
          <w:color w:val="auto"/>
          <w:sz w:val="24"/>
          <w:szCs w:val="24"/>
        </w:rPr>
      </w:pPr>
      <w:r>
        <w:rPr>
          <w:rFonts w:hint="eastAsia" w:ascii="宋体" w:hAnsi="宋体" w:cs="宋体"/>
          <w:color w:val="auto"/>
          <w:kern w:val="0"/>
          <w:sz w:val="24"/>
          <w:szCs w:val="24"/>
          <w:lang w:bidi="ar"/>
        </w:rPr>
        <w:t xml:space="preserve">本企业对上述声明内容的真实性负责。如有虚假，将依法承担相应责任。 </w:t>
      </w:r>
    </w:p>
    <w:p>
      <w:pPr>
        <w:widowControl/>
        <w:spacing w:line="360" w:lineRule="auto"/>
        <w:ind w:firstLine="3120" w:firstLineChars="1300"/>
        <w:jc w:val="left"/>
        <w:outlineLvl w:val="9"/>
        <w:rPr>
          <w:rFonts w:hint="eastAsia" w:ascii="宋体" w:hAnsi="宋体" w:cs="宋体"/>
          <w:color w:val="auto"/>
          <w:sz w:val="24"/>
          <w:szCs w:val="24"/>
          <w:u w:val="single"/>
        </w:rPr>
      </w:pPr>
      <w:r>
        <w:rPr>
          <w:rFonts w:hint="eastAsia" w:ascii="宋体" w:hAnsi="宋体" w:cs="宋体"/>
          <w:color w:val="auto"/>
          <w:kern w:val="0"/>
          <w:sz w:val="24"/>
          <w:szCs w:val="24"/>
          <w:lang w:bidi="ar"/>
        </w:rPr>
        <w:t>企业名称（盖章）：</w:t>
      </w:r>
      <w:r>
        <w:rPr>
          <w:rFonts w:hint="eastAsia" w:ascii="宋体" w:hAnsi="宋体" w:cs="宋体"/>
          <w:color w:val="auto"/>
          <w:kern w:val="0"/>
          <w:sz w:val="24"/>
          <w:szCs w:val="24"/>
          <w:u w:val="single"/>
          <w:lang w:bidi="ar"/>
        </w:rPr>
        <w:t xml:space="preserve">           </w:t>
      </w:r>
    </w:p>
    <w:p>
      <w:pPr>
        <w:widowControl/>
        <w:spacing w:line="360" w:lineRule="auto"/>
        <w:ind w:firstLine="3120" w:firstLineChars="1300"/>
        <w:jc w:val="left"/>
        <w:outlineLvl w:val="9"/>
        <w:rPr>
          <w:rFonts w:hint="eastAsia" w:ascii="宋体" w:hAnsi="宋体" w:cs="宋体"/>
          <w:color w:val="auto"/>
          <w:sz w:val="24"/>
          <w:szCs w:val="24"/>
          <w:u w:val="single"/>
        </w:rPr>
      </w:pPr>
      <w:r>
        <w:rPr>
          <w:rFonts w:hint="eastAsia" w:ascii="宋体" w:hAnsi="宋体" w:cs="宋体"/>
          <w:color w:val="auto"/>
          <w:kern w:val="0"/>
          <w:sz w:val="24"/>
          <w:szCs w:val="24"/>
          <w:lang w:bidi="ar"/>
        </w:rPr>
        <w:t>日 期：</w:t>
      </w:r>
      <w:r>
        <w:rPr>
          <w:rFonts w:hint="eastAsia" w:ascii="宋体" w:hAnsi="宋体" w:cs="宋体"/>
          <w:color w:val="auto"/>
          <w:kern w:val="0"/>
          <w:sz w:val="24"/>
          <w:szCs w:val="24"/>
          <w:u w:val="single"/>
          <w:lang w:bidi="ar"/>
        </w:rPr>
        <w:t xml:space="preserve">                      </w:t>
      </w:r>
    </w:p>
    <w:p>
      <w:pPr>
        <w:widowControl/>
        <w:spacing w:line="360" w:lineRule="auto"/>
        <w:jc w:val="left"/>
        <w:outlineLvl w:val="9"/>
        <w:rPr>
          <w:rFonts w:hint="eastAsia" w:ascii="宋体" w:hAnsi="宋体" w:cs="宋体"/>
          <w:color w:val="auto"/>
          <w:sz w:val="24"/>
          <w:szCs w:val="24"/>
        </w:rPr>
      </w:pPr>
      <w:r>
        <w:rPr>
          <w:rFonts w:hint="eastAsia" w:ascii="宋体" w:hAnsi="宋体" w:cs="宋体"/>
          <w:color w:val="auto"/>
          <w:sz w:val="24"/>
          <w:szCs w:val="24"/>
        </w:rPr>
        <w:t>注：</w:t>
      </w:r>
      <w:r>
        <w:rPr>
          <w:rFonts w:hint="eastAsia" w:ascii="宋体" w:hAnsi="宋体" w:cs="宋体"/>
          <w:color w:val="auto"/>
          <w:kern w:val="0"/>
          <w:sz w:val="24"/>
          <w:szCs w:val="24"/>
          <w:lang w:bidi="ar"/>
        </w:rPr>
        <w:t>从业人员、营业收入、资产总额填报上一年度数据，无上一年度数据的新成立企业可不填报。</w:t>
      </w:r>
    </w:p>
    <w:p>
      <w:pPr>
        <w:spacing w:line="360" w:lineRule="auto"/>
        <w:ind w:firstLine="480" w:firstLineChars="200"/>
        <w:outlineLvl w:val="9"/>
        <w:rPr>
          <w:rFonts w:hint="eastAsia" w:ascii="宋体" w:hAnsi="宋体" w:cs="仿宋"/>
          <w:color w:val="auto"/>
          <w:kern w:val="0"/>
          <w:sz w:val="24"/>
          <w:szCs w:val="24"/>
        </w:rPr>
      </w:pPr>
    </w:p>
    <w:p>
      <w:pPr>
        <w:tabs>
          <w:tab w:val="left" w:pos="1755"/>
        </w:tabs>
        <w:spacing w:line="360" w:lineRule="auto"/>
        <w:outlineLvl w:val="9"/>
        <w:rPr>
          <w:rFonts w:hint="eastAsia" w:ascii="仿宋" w:hAnsi="仿宋" w:eastAsia="仿宋" w:cs="仿宋"/>
          <w:b/>
          <w:bCs/>
          <w:color w:val="auto"/>
          <w:sz w:val="24"/>
          <w:szCs w:val="24"/>
        </w:rPr>
      </w:pPr>
    </w:p>
    <w:p>
      <w:pPr>
        <w:spacing w:line="360" w:lineRule="auto"/>
        <w:outlineLvl w:val="9"/>
        <w:rPr>
          <w:rFonts w:hint="eastAsia" w:hAnsi="宋体"/>
          <w:b/>
          <w:color w:val="auto"/>
          <w:spacing w:val="4"/>
          <w:sz w:val="30"/>
          <w:szCs w:val="30"/>
        </w:rPr>
      </w:pPr>
    </w:p>
    <w:p>
      <w:pPr>
        <w:pStyle w:val="6"/>
        <w:spacing w:line="360" w:lineRule="auto"/>
        <w:outlineLvl w:val="9"/>
        <w:rPr>
          <w:rFonts w:hint="eastAsia"/>
          <w:color w:val="auto"/>
        </w:rPr>
      </w:pPr>
    </w:p>
    <w:p>
      <w:pPr>
        <w:outlineLvl w:val="9"/>
        <w:rPr>
          <w:rFonts w:hint="eastAsia"/>
          <w:color w:val="auto"/>
        </w:rPr>
      </w:pPr>
    </w:p>
    <w:p>
      <w:pPr>
        <w:spacing w:before="120" w:beforeLines="50" w:line="360" w:lineRule="auto"/>
        <w:jc w:val="both"/>
        <w:outlineLvl w:val="9"/>
        <w:rPr>
          <w:rFonts w:hint="eastAsia" w:ascii="宋体" w:hAnsi="宋体" w:cs="宋体"/>
          <w:b/>
          <w:bCs/>
          <w:color w:val="auto"/>
          <w:sz w:val="28"/>
          <w:szCs w:val="28"/>
        </w:rPr>
      </w:pPr>
      <w:bookmarkStart w:id="402" w:name="_Toc48834336"/>
    </w:p>
    <w:bookmarkEnd w:id="402"/>
    <w:p>
      <w:pPr>
        <w:tabs>
          <w:tab w:val="left" w:pos="1755"/>
        </w:tabs>
        <w:spacing w:line="360" w:lineRule="auto"/>
        <w:ind w:firstLine="964" w:firstLineChars="300"/>
        <w:outlineLvl w:val="9"/>
        <w:rPr>
          <w:rFonts w:hint="eastAsia" w:ascii="宋体" w:hAnsi="宋体" w:cs="宋体"/>
          <w:b/>
          <w:bCs/>
          <w:color w:val="auto"/>
          <w:sz w:val="32"/>
          <w:szCs w:val="32"/>
        </w:rPr>
      </w:pPr>
      <w:r>
        <w:rPr>
          <w:rFonts w:hint="eastAsia" w:ascii="宋体" w:hAnsi="宋体" w:cs="宋体"/>
          <w:b/>
          <w:color w:val="auto"/>
          <w:kern w:val="0"/>
          <w:sz w:val="32"/>
          <w:szCs w:val="32"/>
          <w:lang w:val="zh-CN"/>
        </w:rPr>
        <w:t>残疾人福利性单位声明函（</w:t>
      </w:r>
      <w:r>
        <w:rPr>
          <w:rFonts w:hint="eastAsia" w:ascii="宋体" w:hAnsi="宋体" w:cs="宋体"/>
          <w:b/>
          <w:color w:val="auto"/>
          <w:sz w:val="32"/>
          <w:szCs w:val="32"/>
        </w:rPr>
        <w:t>如用，不用可删除</w:t>
      </w:r>
      <w:r>
        <w:rPr>
          <w:rFonts w:hint="eastAsia" w:ascii="宋体" w:hAnsi="宋体" w:cs="宋体"/>
          <w:b/>
          <w:color w:val="auto"/>
          <w:kern w:val="0"/>
          <w:sz w:val="32"/>
          <w:szCs w:val="32"/>
          <w:lang w:val="zh-CN"/>
        </w:rPr>
        <w:t>）</w:t>
      </w:r>
    </w:p>
    <w:p>
      <w:pPr>
        <w:spacing w:line="360" w:lineRule="auto"/>
        <w:outlineLvl w:val="9"/>
        <w:rPr>
          <w:rFonts w:hint="eastAsia" w:ascii="宋体" w:hAnsi="宋体" w:cs="宋体"/>
          <w:b/>
          <w:color w:val="auto"/>
          <w:spacing w:val="6"/>
          <w:sz w:val="32"/>
          <w:szCs w:val="32"/>
          <w:shd w:val="pct10" w:color="auto" w:fill="FFFFFF"/>
        </w:rPr>
      </w:pPr>
    </w:p>
    <w:p>
      <w:pPr>
        <w:spacing w:line="360" w:lineRule="auto"/>
        <w:ind w:firstLine="480" w:firstLineChars="200"/>
        <w:outlineLvl w:val="9"/>
        <w:rPr>
          <w:rFonts w:hint="eastAsia" w:ascii="宋体" w:hAnsi="宋体" w:cs="宋体"/>
          <w:color w:val="auto"/>
          <w:sz w:val="24"/>
        </w:rPr>
      </w:pPr>
      <w:r>
        <w:rPr>
          <w:rFonts w:hint="eastAsia" w:ascii="宋体" w:hAnsi="宋体" w:cs="宋体"/>
          <w:color w:val="auto"/>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宋体" w:hAnsi="宋体" w:cs="宋体"/>
          <w:color w:val="auto"/>
          <w:sz w:val="24"/>
          <w:u w:val="single"/>
        </w:rPr>
        <w:t xml:space="preserve">            </w:t>
      </w:r>
      <w:r>
        <w:rPr>
          <w:rFonts w:hint="eastAsia" w:ascii="宋体" w:hAnsi="宋体" w:cs="宋体"/>
          <w:color w:val="auto"/>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outlineLvl w:val="9"/>
        <w:rPr>
          <w:rFonts w:hint="eastAsia" w:ascii="宋体" w:hAnsi="宋体" w:cs="宋体"/>
          <w:color w:val="auto"/>
          <w:sz w:val="24"/>
        </w:rPr>
      </w:pPr>
      <w:r>
        <w:rPr>
          <w:rFonts w:hint="eastAsia" w:ascii="宋体" w:hAnsi="宋体" w:cs="宋体"/>
          <w:color w:val="auto"/>
          <w:sz w:val="24"/>
        </w:rPr>
        <w:t>本单位对上述声明的真实性负责。如有虚假，将依法承担相应责任。</w:t>
      </w:r>
    </w:p>
    <w:p>
      <w:pPr>
        <w:spacing w:line="360" w:lineRule="auto"/>
        <w:ind w:firstLine="480" w:firstLineChars="200"/>
        <w:outlineLvl w:val="9"/>
        <w:rPr>
          <w:rFonts w:hint="eastAsia" w:ascii="宋体" w:hAnsi="宋体" w:cs="宋体"/>
          <w:color w:val="auto"/>
          <w:sz w:val="24"/>
        </w:rPr>
      </w:pPr>
    </w:p>
    <w:p>
      <w:pPr>
        <w:spacing w:line="360" w:lineRule="auto"/>
        <w:ind w:firstLine="480" w:firstLineChars="200"/>
        <w:outlineLvl w:val="9"/>
        <w:rPr>
          <w:rFonts w:hint="eastAsia" w:ascii="宋体" w:hAnsi="宋体" w:cs="宋体"/>
          <w:color w:val="auto"/>
          <w:sz w:val="24"/>
        </w:rPr>
      </w:pPr>
    </w:p>
    <w:p>
      <w:pPr>
        <w:tabs>
          <w:tab w:val="left" w:pos="4860"/>
          <w:tab w:val="left" w:pos="8040"/>
          <w:tab w:val="left" w:pos="8160"/>
        </w:tabs>
        <w:spacing w:line="360" w:lineRule="auto"/>
        <w:ind w:right="862" w:firstLine="480" w:firstLineChars="200"/>
        <w:jc w:val="center"/>
        <w:outlineLvl w:val="9"/>
        <w:rPr>
          <w:rFonts w:hint="eastAsia" w:ascii="宋体" w:hAnsi="宋体" w:cs="宋体"/>
          <w:color w:val="auto"/>
          <w:sz w:val="24"/>
          <w:u w:val="single"/>
        </w:rPr>
      </w:pPr>
      <w:r>
        <w:rPr>
          <w:rFonts w:hint="eastAsia" w:ascii="宋体" w:hAnsi="宋体" w:cs="宋体"/>
          <w:color w:val="auto"/>
          <w:sz w:val="24"/>
        </w:rPr>
        <w:t xml:space="preserve">      单位名称（盖章）：</w:t>
      </w:r>
      <w:r>
        <w:rPr>
          <w:rFonts w:hint="eastAsia" w:ascii="宋体" w:hAnsi="宋体" w:cs="宋体"/>
          <w:color w:val="auto"/>
          <w:sz w:val="24"/>
          <w:u w:val="single"/>
        </w:rPr>
        <w:t xml:space="preserve">                   </w:t>
      </w:r>
    </w:p>
    <w:p>
      <w:pPr>
        <w:tabs>
          <w:tab w:val="left" w:pos="4860"/>
        </w:tabs>
        <w:spacing w:line="360" w:lineRule="auto"/>
        <w:ind w:right="1560" w:firstLine="480" w:firstLineChars="200"/>
        <w:jc w:val="center"/>
        <w:outlineLvl w:val="9"/>
        <w:rPr>
          <w:rFonts w:hint="eastAsia" w:ascii="宋体" w:hAnsi="宋体" w:cs="宋体"/>
          <w:color w:val="auto"/>
          <w:sz w:val="24"/>
        </w:rPr>
      </w:pPr>
      <w:r>
        <w:rPr>
          <w:rFonts w:hint="eastAsia" w:ascii="宋体" w:hAnsi="宋体" w:cs="宋体"/>
          <w:color w:val="auto"/>
          <w:sz w:val="24"/>
        </w:rPr>
        <w:t xml:space="preserve">       </w:t>
      </w:r>
    </w:p>
    <w:p>
      <w:pPr>
        <w:tabs>
          <w:tab w:val="left" w:pos="4860"/>
        </w:tabs>
        <w:spacing w:line="360" w:lineRule="auto"/>
        <w:ind w:right="1560" w:firstLine="480" w:firstLineChars="200"/>
        <w:jc w:val="center"/>
        <w:outlineLvl w:val="9"/>
        <w:rPr>
          <w:rFonts w:hint="eastAsia" w:ascii="宋体" w:hAnsi="宋体" w:cs="宋体"/>
          <w:color w:val="auto"/>
          <w:sz w:val="24"/>
        </w:rPr>
      </w:pPr>
      <w:r>
        <w:rPr>
          <w:rFonts w:hint="eastAsia" w:ascii="宋体" w:hAnsi="宋体" w:cs="宋体"/>
          <w:color w:val="auto"/>
          <w:sz w:val="24"/>
        </w:rPr>
        <w:t xml:space="preserve">                       日  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pPr>
        <w:spacing w:line="360" w:lineRule="auto"/>
        <w:ind w:firstLine="506" w:firstLineChars="200"/>
        <w:outlineLvl w:val="9"/>
        <w:rPr>
          <w:rFonts w:hint="eastAsia" w:ascii="宋体" w:hAnsi="宋体" w:cs="宋体"/>
          <w:b/>
          <w:color w:val="auto"/>
          <w:spacing w:val="6"/>
          <w:sz w:val="24"/>
          <w:shd w:val="pct10" w:color="auto" w:fill="FFFFFF"/>
        </w:rPr>
      </w:pPr>
    </w:p>
    <w:p>
      <w:pPr>
        <w:spacing w:line="360" w:lineRule="auto"/>
        <w:ind w:firstLine="506" w:firstLineChars="200"/>
        <w:outlineLvl w:val="9"/>
        <w:rPr>
          <w:rFonts w:hint="eastAsia" w:ascii="宋体" w:hAnsi="宋体" w:cs="宋体"/>
          <w:b/>
          <w:color w:val="auto"/>
          <w:spacing w:val="6"/>
          <w:sz w:val="24"/>
          <w:shd w:val="pct10" w:color="auto" w:fill="FFFFFF"/>
        </w:rPr>
      </w:pPr>
    </w:p>
    <w:p>
      <w:pPr>
        <w:kinsoku w:val="0"/>
        <w:spacing w:line="360" w:lineRule="auto"/>
        <w:ind w:firstLine="480" w:firstLineChars="200"/>
        <w:outlineLvl w:val="9"/>
        <w:rPr>
          <w:rFonts w:hint="eastAsia" w:ascii="宋体" w:hAnsi="宋体" w:cs="宋体"/>
          <w:color w:val="auto"/>
          <w:kern w:val="0"/>
          <w:sz w:val="24"/>
          <w:lang w:val="zh-CN"/>
        </w:rPr>
      </w:pPr>
      <w:r>
        <w:rPr>
          <w:rFonts w:hint="eastAsia" w:ascii="宋体" w:hAnsi="宋体" w:cs="宋体"/>
          <w:color w:val="auto"/>
          <w:kern w:val="0"/>
          <w:sz w:val="24"/>
          <w:lang w:val="zh-CN"/>
        </w:rPr>
        <w:t>备注：供应商提供的《残疾人福利性单位声明函》必须真实有效，如果被举报经查实出具虚假声明函的，将被取消投标资格，并按有关规定予以处理。</w:t>
      </w:r>
    </w:p>
    <w:p>
      <w:pPr>
        <w:tabs>
          <w:tab w:val="left" w:pos="5670"/>
        </w:tabs>
        <w:spacing w:line="360" w:lineRule="auto"/>
        <w:ind w:firstLine="566"/>
        <w:outlineLvl w:val="9"/>
        <w:rPr>
          <w:rFonts w:hint="eastAsia" w:ascii="宋体" w:hAnsi="宋体" w:cs="宋体"/>
          <w:color w:val="auto"/>
          <w:sz w:val="24"/>
          <w:szCs w:val="24"/>
        </w:rPr>
      </w:pPr>
      <w:r>
        <w:rPr>
          <w:rFonts w:hint="eastAsia" w:ascii="宋体" w:hAnsi="宋体" w:cs="宋体"/>
          <w:color w:val="auto"/>
          <w:sz w:val="24"/>
          <w:szCs w:val="24"/>
        </w:rPr>
        <w:t>根据《财政部 民政部 中国残疾人联合会关于促进残疾人就业政府采购政策的通知》（财库〔2017〕141号）的规定：</w:t>
      </w:r>
    </w:p>
    <w:p>
      <w:pPr>
        <w:tabs>
          <w:tab w:val="left" w:pos="5670"/>
        </w:tabs>
        <w:spacing w:line="360" w:lineRule="auto"/>
        <w:ind w:firstLine="480" w:firstLineChars="200"/>
        <w:outlineLvl w:val="9"/>
        <w:rPr>
          <w:rFonts w:hint="eastAsia" w:ascii="宋体" w:hAnsi="宋体" w:cs="宋体"/>
          <w:color w:val="auto"/>
          <w:sz w:val="24"/>
          <w:szCs w:val="24"/>
        </w:rPr>
      </w:pPr>
      <w:r>
        <w:rPr>
          <w:rFonts w:hint="eastAsia" w:ascii="宋体" w:hAnsi="宋体" w:cs="宋体"/>
          <w:color w:val="auto"/>
          <w:sz w:val="24"/>
          <w:szCs w:val="24"/>
        </w:rPr>
        <w:t>一、享受政府采购支持政策的残疾人福利性单位应当同时满足以下条件：</w:t>
      </w:r>
    </w:p>
    <w:p>
      <w:pPr>
        <w:tabs>
          <w:tab w:val="left" w:pos="5670"/>
        </w:tabs>
        <w:spacing w:line="360" w:lineRule="auto"/>
        <w:ind w:firstLine="566"/>
        <w:outlineLvl w:val="9"/>
        <w:rPr>
          <w:rFonts w:hint="eastAsia" w:ascii="宋体" w:hAnsi="宋体" w:cs="宋体"/>
          <w:color w:val="auto"/>
          <w:sz w:val="24"/>
          <w:szCs w:val="24"/>
        </w:rPr>
      </w:pPr>
      <w:r>
        <w:rPr>
          <w:rFonts w:hint="eastAsia" w:ascii="宋体" w:hAnsi="宋体" w:cs="宋体"/>
          <w:color w:val="auto"/>
          <w:sz w:val="24"/>
          <w:szCs w:val="24"/>
        </w:rPr>
        <w:t>（一）安置的残疾人占本单位在职职工人数的比例不低于25%（含25%），并且安置的残疾人人数不少于10人（含10人）；</w:t>
      </w:r>
    </w:p>
    <w:p>
      <w:pPr>
        <w:tabs>
          <w:tab w:val="left" w:pos="5670"/>
        </w:tabs>
        <w:spacing w:line="360" w:lineRule="auto"/>
        <w:ind w:firstLine="566"/>
        <w:outlineLvl w:val="9"/>
        <w:rPr>
          <w:rFonts w:hint="eastAsia" w:ascii="宋体" w:hAnsi="宋体" w:cs="宋体"/>
          <w:color w:val="auto"/>
          <w:sz w:val="24"/>
          <w:szCs w:val="24"/>
        </w:rPr>
      </w:pPr>
      <w:r>
        <w:rPr>
          <w:rFonts w:hint="eastAsia" w:ascii="宋体" w:hAnsi="宋体" w:cs="宋体"/>
          <w:color w:val="auto"/>
          <w:sz w:val="24"/>
          <w:szCs w:val="24"/>
        </w:rPr>
        <w:t>（二）依法与安置的每位残疾人签订了一年以上（含一年）的劳动合同或服务协议；</w:t>
      </w:r>
    </w:p>
    <w:p>
      <w:pPr>
        <w:tabs>
          <w:tab w:val="left" w:pos="5670"/>
        </w:tabs>
        <w:spacing w:line="360" w:lineRule="auto"/>
        <w:ind w:firstLine="566"/>
        <w:outlineLvl w:val="9"/>
        <w:rPr>
          <w:rFonts w:hint="eastAsia" w:ascii="宋体" w:hAnsi="宋体" w:cs="宋体"/>
          <w:color w:val="auto"/>
          <w:sz w:val="24"/>
          <w:szCs w:val="24"/>
        </w:rPr>
      </w:pPr>
      <w:r>
        <w:rPr>
          <w:rFonts w:hint="eastAsia" w:ascii="宋体" w:hAnsi="宋体" w:cs="宋体"/>
          <w:color w:val="auto"/>
          <w:sz w:val="24"/>
          <w:szCs w:val="24"/>
        </w:rPr>
        <w:t>（三）为安置的每位残疾人按月足额缴纳了基本养老保险、基本医疗保险、失业保险、工伤保险和生育保险等社会保险费；</w:t>
      </w:r>
    </w:p>
    <w:p>
      <w:pPr>
        <w:tabs>
          <w:tab w:val="left" w:pos="5670"/>
        </w:tabs>
        <w:spacing w:line="360" w:lineRule="auto"/>
        <w:ind w:firstLine="566"/>
        <w:outlineLvl w:val="9"/>
        <w:rPr>
          <w:rFonts w:hint="eastAsia" w:ascii="宋体" w:hAnsi="宋体" w:cs="宋体"/>
          <w:color w:val="auto"/>
          <w:sz w:val="24"/>
          <w:szCs w:val="24"/>
        </w:rPr>
      </w:pPr>
      <w:r>
        <w:rPr>
          <w:rFonts w:hint="eastAsia" w:ascii="宋体" w:hAnsi="宋体" w:cs="宋体"/>
          <w:color w:val="auto"/>
          <w:sz w:val="24"/>
          <w:szCs w:val="24"/>
        </w:rPr>
        <w:t>（四）通过银行等金融机构向安置的每位残疾人，按月支付了不低于单位所在区县适用的经省级人民政府批准的月最低工资标准的工资；</w:t>
      </w:r>
    </w:p>
    <w:p>
      <w:pPr>
        <w:tabs>
          <w:tab w:val="left" w:pos="5670"/>
        </w:tabs>
        <w:spacing w:line="360" w:lineRule="auto"/>
        <w:ind w:firstLine="566"/>
        <w:outlineLvl w:val="9"/>
        <w:rPr>
          <w:rFonts w:hint="eastAsia" w:ascii="宋体" w:hAnsi="宋体" w:cs="宋体"/>
          <w:color w:val="auto"/>
          <w:sz w:val="24"/>
          <w:szCs w:val="24"/>
        </w:rPr>
      </w:pPr>
      <w:r>
        <w:rPr>
          <w:rFonts w:hint="eastAsia" w:ascii="宋体" w:hAnsi="宋体" w:cs="宋体"/>
          <w:color w:val="auto"/>
          <w:sz w:val="24"/>
          <w:szCs w:val="24"/>
        </w:rPr>
        <w:t>（五）提供本单位承担的服务（以下简称产品），或者提供其他残疾人福利性单位提供的服。</w:t>
      </w:r>
    </w:p>
    <w:p>
      <w:pPr>
        <w:tabs>
          <w:tab w:val="left" w:pos="5670"/>
        </w:tabs>
        <w:spacing w:line="360" w:lineRule="auto"/>
        <w:ind w:firstLine="566"/>
        <w:outlineLvl w:val="9"/>
        <w:rPr>
          <w:rFonts w:hint="eastAsia" w:ascii="宋体" w:hAnsi="宋体" w:cs="宋体"/>
          <w:color w:val="auto"/>
          <w:sz w:val="24"/>
          <w:szCs w:val="24"/>
        </w:rPr>
      </w:pPr>
      <w:r>
        <w:rPr>
          <w:rFonts w:hint="eastAsia" w:ascii="宋体" w:hAnsi="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tabs>
          <w:tab w:val="left" w:pos="5670"/>
        </w:tabs>
        <w:spacing w:line="360" w:lineRule="auto"/>
        <w:ind w:firstLine="480" w:firstLineChars="200"/>
        <w:outlineLvl w:val="9"/>
        <w:rPr>
          <w:rFonts w:hint="eastAsia" w:ascii="宋体" w:hAnsi="宋体" w:cs="宋体"/>
          <w:color w:val="auto"/>
          <w:sz w:val="24"/>
          <w:szCs w:val="24"/>
        </w:rPr>
      </w:pPr>
      <w:r>
        <w:rPr>
          <w:rFonts w:hint="eastAsia" w:ascii="宋体" w:hAnsi="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403" w:name="_Toc48834337"/>
    </w:p>
    <w:p>
      <w:pPr>
        <w:tabs>
          <w:tab w:val="left" w:pos="5670"/>
        </w:tabs>
        <w:spacing w:line="360" w:lineRule="auto"/>
        <w:ind w:firstLine="3092" w:firstLineChars="1100"/>
        <w:outlineLvl w:val="9"/>
        <w:rPr>
          <w:rFonts w:hint="eastAsia" w:ascii="宋体" w:hAnsi="宋体" w:cs="宋体"/>
          <w:b/>
          <w:bCs/>
          <w:color w:val="auto"/>
          <w:sz w:val="28"/>
          <w:szCs w:val="28"/>
        </w:rPr>
      </w:pPr>
      <w:r>
        <w:rPr>
          <w:rFonts w:hint="eastAsia" w:ascii="宋体" w:hAnsi="宋体" w:cs="宋体"/>
          <w:b/>
          <w:bCs/>
          <w:color w:val="auto"/>
          <w:sz w:val="28"/>
          <w:szCs w:val="28"/>
        </w:rPr>
        <w:t>监狱企业证明函</w:t>
      </w:r>
      <w:bookmarkEnd w:id="403"/>
    </w:p>
    <w:p>
      <w:pPr>
        <w:spacing w:line="360" w:lineRule="auto"/>
        <w:ind w:firstLine="480" w:firstLineChars="200"/>
        <w:outlineLvl w:val="9"/>
        <w:rPr>
          <w:rFonts w:hint="eastAsia"/>
          <w:color w:val="auto"/>
          <w:sz w:val="24"/>
          <w:szCs w:val="24"/>
        </w:rPr>
      </w:pPr>
    </w:p>
    <w:p>
      <w:pPr>
        <w:spacing w:line="360" w:lineRule="auto"/>
        <w:ind w:firstLine="480" w:firstLineChars="200"/>
        <w:outlineLvl w:val="9"/>
        <w:rPr>
          <w:rFonts w:hint="eastAsia"/>
          <w:color w:val="auto"/>
          <w:sz w:val="24"/>
          <w:szCs w:val="24"/>
        </w:rPr>
      </w:pPr>
      <w:r>
        <w:rPr>
          <w:rFonts w:hint="eastAsia"/>
          <w:color w:val="auto"/>
          <w:sz w:val="24"/>
          <w:szCs w:val="24"/>
        </w:rPr>
        <w:t>监狱企业参加政府采购活动，要求享受相关优惠政策的，应当提供由省级以上监狱管理局、戒毒管理局（含新疆生产建设兵团）出具的属于监狱企业的证明文件。</w:t>
      </w:r>
    </w:p>
    <w:p>
      <w:pPr>
        <w:spacing w:line="560" w:lineRule="exact"/>
        <w:jc w:val="left"/>
        <w:outlineLvl w:val="9"/>
        <w:rPr>
          <w:rFonts w:hint="eastAsia" w:ascii="宋体" w:hAnsi="宋体" w:cs="宋体"/>
          <w:b/>
          <w:bCs/>
          <w:sz w:val="32"/>
          <w:szCs w:val="32"/>
        </w:rPr>
      </w:pPr>
      <w:r>
        <w:rPr>
          <w:rFonts w:hint="eastAsia"/>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pStyle w:val="6"/>
        <w:outlineLvl w:val="9"/>
        <w:rPr>
          <w:rFonts w:hint="eastAsia" w:ascii="宋体" w:hAnsi="宋体" w:cs="宋体"/>
          <w:b/>
          <w:bCs/>
          <w:sz w:val="32"/>
          <w:szCs w:val="32"/>
        </w:rPr>
      </w:pPr>
    </w:p>
    <w:p>
      <w:pPr>
        <w:outlineLvl w:val="9"/>
        <w:rPr>
          <w:rFonts w:hint="eastAsia"/>
        </w:rPr>
      </w:pPr>
    </w:p>
    <w:p>
      <w:pPr>
        <w:pStyle w:val="8"/>
        <w:tabs>
          <w:tab w:val="left" w:pos="5625"/>
        </w:tabs>
        <w:outlineLvl w:val="9"/>
        <w:rPr>
          <w:rFonts w:hint="eastAsia" w:ascii="宋体" w:hAnsi="宋体" w:eastAsia="宋体" w:cs="宋体"/>
          <w:b/>
          <w:bCs/>
          <w:sz w:val="32"/>
          <w:szCs w:val="32"/>
        </w:rPr>
      </w:pPr>
    </w:p>
    <w:p>
      <w:pPr>
        <w:spacing w:line="560" w:lineRule="exact"/>
        <w:jc w:val="left"/>
        <w:outlineLvl w:val="9"/>
        <w:rPr>
          <w:rFonts w:hint="eastAsia" w:ascii="宋体" w:hAnsi="宋体" w:cs="宋体"/>
          <w:b/>
          <w:bCs/>
          <w:sz w:val="28"/>
          <w:szCs w:val="28"/>
        </w:rPr>
      </w:pPr>
    </w:p>
    <w:p>
      <w:pPr>
        <w:pStyle w:val="6"/>
        <w:outlineLvl w:val="9"/>
        <w:rPr>
          <w:rFonts w:hint="eastAsia" w:ascii="宋体" w:hAnsi="宋体" w:cs="宋体"/>
          <w:b/>
          <w:bCs/>
          <w:sz w:val="28"/>
          <w:szCs w:val="28"/>
        </w:rPr>
      </w:pPr>
    </w:p>
    <w:p>
      <w:pPr>
        <w:outlineLvl w:val="9"/>
        <w:rPr>
          <w:rFonts w:hint="eastAsia"/>
        </w:rPr>
      </w:pPr>
    </w:p>
    <w:p>
      <w:pPr>
        <w:pStyle w:val="6"/>
        <w:outlineLvl w:val="9"/>
        <w:rPr>
          <w:rFonts w:hint="eastAsia"/>
        </w:rPr>
      </w:pPr>
    </w:p>
    <w:bookmarkEnd w:id="371"/>
    <w:bookmarkEnd w:id="372"/>
    <w:bookmarkEnd w:id="396"/>
    <w:bookmarkEnd w:id="397"/>
    <w:bookmarkEnd w:id="398"/>
    <w:p>
      <w:pPr>
        <w:spacing w:line="360" w:lineRule="auto"/>
        <w:outlineLvl w:val="9"/>
        <w:rPr>
          <w:rFonts w:hint="eastAsia" w:ascii="宋体" w:hAnsi="宋体" w:cs="宋体"/>
          <w:b/>
          <w:bCs/>
          <w:sz w:val="24"/>
          <w:szCs w:val="22"/>
        </w:rPr>
      </w:pPr>
      <w:r>
        <w:rPr>
          <w:rFonts w:hint="eastAsia" w:ascii="宋体" w:hAnsi="宋体" w:cs="宋体"/>
          <w:b/>
          <w:bCs/>
          <w:sz w:val="24"/>
          <w:szCs w:val="22"/>
        </w:rPr>
        <w:t>附件：信用承诺上报操作指南</w:t>
      </w:r>
    </w:p>
    <w:p>
      <w:pPr>
        <w:outlineLvl w:val="9"/>
      </w:pPr>
      <w:r>
        <w:drawing>
          <wp:inline distT="0" distB="0" distL="114300" distR="114300">
            <wp:extent cx="6110605" cy="3481070"/>
            <wp:effectExtent l="0" t="0" r="444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6110605" cy="3481070"/>
                    </a:xfrm>
                    <a:prstGeom prst="rect">
                      <a:avLst/>
                    </a:prstGeom>
                    <a:noFill/>
                    <a:ln>
                      <a:noFill/>
                    </a:ln>
                  </pic:spPr>
                </pic:pic>
              </a:graphicData>
            </a:graphic>
          </wp:inline>
        </w:drawing>
      </w:r>
    </w:p>
    <w:p>
      <w:pPr>
        <w:outlineLvl w:val="9"/>
      </w:pPr>
    </w:p>
    <w:p>
      <w:pPr>
        <w:outlineLvl w:val="9"/>
      </w:pPr>
      <w:r>
        <w:drawing>
          <wp:inline distT="0" distB="0" distL="114300" distR="114300">
            <wp:extent cx="6172200" cy="3448685"/>
            <wp:effectExtent l="0" t="0" r="0"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6172200" cy="3448685"/>
                    </a:xfrm>
                    <a:prstGeom prst="rect">
                      <a:avLst/>
                    </a:prstGeom>
                    <a:noFill/>
                    <a:ln>
                      <a:noFill/>
                    </a:ln>
                  </pic:spPr>
                </pic:pic>
              </a:graphicData>
            </a:graphic>
          </wp:inline>
        </w:drawing>
      </w:r>
      <w:r>
        <w:drawing>
          <wp:inline distT="0" distB="0" distL="114300" distR="114300">
            <wp:extent cx="5977255" cy="3370580"/>
            <wp:effectExtent l="0" t="0" r="444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977255" cy="3370580"/>
                    </a:xfrm>
                    <a:prstGeom prst="rect">
                      <a:avLst/>
                    </a:prstGeom>
                    <a:noFill/>
                    <a:ln>
                      <a:noFill/>
                    </a:ln>
                  </pic:spPr>
                </pic:pic>
              </a:graphicData>
            </a:graphic>
          </wp:inline>
        </w:drawing>
      </w:r>
    </w:p>
    <w:p>
      <w:pPr>
        <w:outlineLvl w:val="9"/>
      </w:pPr>
    </w:p>
    <w:p>
      <w:pPr>
        <w:outlineLvl w:val="9"/>
      </w:pPr>
      <w:r>
        <w:drawing>
          <wp:inline distT="0" distB="0" distL="114300" distR="114300">
            <wp:extent cx="5993130" cy="3397250"/>
            <wp:effectExtent l="0" t="0" r="762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993130" cy="3397250"/>
                    </a:xfrm>
                    <a:prstGeom prst="rect">
                      <a:avLst/>
                    </a:prstGeom>
                    <a:noFill/>
                    <a:ln>
                      <a:noFill/>
                    </a:ln>
                  </pic:spPr>
                </pic:pic>
              </a:graphicData>
            </a:graphic>
          </wp:inline>
        </w:drawing>
      </w:r>
      <w:r>
        <w:drawing>
          <wp:inline distT="0" distB="0" distL="114300" distR="114300">
            <wp:extent cx="6019165" cy="3403600"/>
            <wp:effectExtent l="0" t="0" r="63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6019165" cy="3403600"/>
                    </a:xfrm>
                    <a:prstGeom prst="rect">
                      <a:avLst/>
                    </a:prstGeom>
                    <a:noFill/>
                    <a:ln>
                      <a:noFill/>
                    </a:ln>
                  </pic:spPr>
                </pic:pic>
              </a:graphicData>
            </a:graphic>
          </wp:inline>
        </w:drawing>
      </w:r>
    </w:p>
    <w:p>
      <w:pPr>
        <w:outlineLvl w:val="9"/>
      </w:pPr>
    </w:p>
    <w:p>
      <w:pPr>
        <w:outlineLvl w:val="9"/>
      </w:pPr>
      <w:r>
        <w:drawing>
          <wp:inline distT="0" distB="0" distL="114300" distR="114300">
            <wp:extent cx="6025515" cy="3397885"/>
            <wp:effectExtent l="0" t="0" r="13335"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6025515" cy="3397885"/>
                    </a:xfrm>
                    <a:prstGeom prst="rect">
                      <a:avLst/>
                    </a:prstGeom>
                    <a:noFill/>
                    <a:ln>
                      <a:noFill/>
                    </a:ln>
                  </pic:spPr>
                </pic:pic>
              </a:graphicData>
            </a:graphic>
          </wp:inline>
        </w:drawing>
      </w:r>
      <w:r>
        <w:drawing>
          <wp:inline distT="0" distB="0" distL="114300" distR="114300">
            <wp:extent cx="6084570" cy="3452495"/>
            <wp:effectExtent l="0" t="0" r="11430"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6084570" cy="3452495"/>
                    </a:xfrm>
                    <a:prstGeom prst="rect">
                      <a:avLst/>
                    </a:prstGeom>
                    <a:noFill/>
                    <a:ln>
                      <a:noFill/>
                    </a:ln>
                  </pic:spPr>
                </pic:pic>
              </a:graphicData>
            </a:graphic>
          </wp:inline>
        </w:drawing>
      </w:r>
    </w:p>
    <w:p>
      <w:pPr>
        <w:outlineLvl w:val="9"/>
      </w:pPr>
    </w:p>
    <w:p>
      <w:pPr>
        <w:outlineLvl w:val="9"/>
      </w:pPr>
      <w:r>
        <w:drawing>
          <wp:inline distT="0" distB="0" distL="114300" distR="114300">
            <wp:extent cx="6120765" cy="3474720"/>
            <wp:effectExtent l="0" t="0" r="13335"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6120765" cy="3474720"/>
                    </a:xfrm>
                    <a:prstGeom prst="rect">
                      <a:avLst/>
                    </a:prstGeom>
                    <a:noFill/>
                    <a:ln>
                      <a:noFill/>
                    </a:ln>
                  </pic:spPr>
                </pic:pic>
              </a:graphicData>
            </a:graphic>
          </wp:inline>
        </w:drawing>
      </w:r>
      <w:r>
        <w:drawing>
          <wp:inline distT="0" distB="0" distL="114300" distR="114300">
            <wp:extent cx="5997575" cy="3375025"/>
            <wp:effectExtent l="0" t="0" r="3175" b="158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997575" cy="3375025"/>
                    </a:xfrm>
                    <a:prstGeom prst="rect">
                      <a:avLst/>
                    </a:prstGeom>
                    <a:noFill/>
                    <a:ln>
                      <a:noFill/>
                    </a:ln>
                  </pic:spPr>
                </pic:pic>
              </a:graphicData>
            </a:graphic>
          </wp:inline>
        </w:drawing>
      </w:r>
    </w:p>
    <w:p>
      <w:pPr>
        <w:outlineLvl w:val="9"/>
      </w:pPr>
    </w:p>
    <w:p>
      <w:pPr>
        <w:outlineLvl w:val="9"/>
        <w:rPr>
          <w:rFonts w:hint="eastAsia"/>
        </w:rPr>
      </w:pPr>
      <w:r>
        <w:drawing>
          <wp:inline distT="0" distB="0" distL="114300" distR="114300">
            <wp:extent cx="6045200" cy="3383280"/>
            <wp:effectExtent l="0" t="0" r="1270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6045200" cy="3383280"/>
                    </a:xfrm>
                    <a:prstGeom prst="rect">
                      <a:avLst/>
                    </a:prstGeom>
                    <a:noFill/>
                    <a:ln>
                      <a:noFill/>
                    </a:ln>
                  </pic:spPr>
                </pic:pic>
              </a:graphicData>
            </a:graphic>
          </wp:inline>
        </w:drawing>
      </w:r>
      <w:r>
        <w:drawing>
          <wp:inline distT="0" distB="0" distL="114300" distR="114300">
            <wp:extent cx="6045200" cy="3409950"/>
            <wp:effectExtent l="0" t="0" r="1270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6045200" cy="3409950"/>
                    </a:xfrm>
                    <a:prstGeom prst="rect">
                      <a:avLst/>
                    </a:prstGeom>
                    <a:noFill/>
                    <a:ln>
                      <a:noFill/>
                    </a:ln>
                  </pic:spPr>
                </pic:pic>
              </a:graphicData>
            </a:graphic>
          </wp:inline>
        </w:drawing>
      </w:r>
    </w:p>
    <w:p>
      <w:pPr>
        <w:spacing w:line="300" w:lineRule="auto"/>
        <w:ind w:firstLine="420" w:firstLineChars="200"/>
        <w:outlineLvl w:val="9"/>
        <w:rPr>
          <w:szCs w:val="24"/>
          <w:lang w:bidi="ar"/>
        </w:rPr>
      </w:pPr>
    </w:p>
    <w:p>
      <w:pPr>
        <w:pStyle w:val="10"/>
        <w:outlineLvl w:val="9"/>
        <w:rPr>
          <w:rFonts w:hint="eastAsia"/>
          <w:b/>
          <w:bCs/>
        </w:rPr>
      </w:pPr>
    </w:p>
    <w:p>
      <w:pPr>
        <w:spacing w:line="360" w:lineRule="auto"/>
        <w:outlineLvl w:val="9"/>
        <w:rPr>
          <w:rFonts w:hint="eastAsia" w:ascii="宋体" w:hAnsi="宋体" w:cs="宋体"/>
          <w:sz w:val="24"/>
          <w:szCs w:val="24"/>
        </w:rPr>
      </w:pPr>
    </w:p>
    <w:p>
      <w:pPr>
        <w:pStyle w:val="4"/>
        <w:numPr>
          <w:ilvl w:val="0"/>
          <w:numId w:val="0"/>
        </w:numPr>
        <w:ind w:leftChars="0"/>
        <w:rPr>
          <w:rFonts w:hint="eastAsia"/>
        </w:rPr>
      </w:pPr>
    </w:p>
    <w:p>
      <w:pPr>
        <w:pStyle w:val="9"/>
        <w:rPr>
          <w:rFonts w:hint="eastAsia"/>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onsolas">
    <w:panose1 w:val="020B0609020204030204"/>
    <w:charset w:val="00"/>
    <w:family w:val="auto"/>
    <w:pitch w:val="default"/>
    <w:sig w:usb0="E00006FF" w:usb1="0000FCFF" w:usb2="00000001" w:usb3="00000000" w:csb0="6000019F" w:csb1="DFD70000"/>
  </w:font>
  <w:font w:name="SourceHanSansCN-Regular">
    <w:altName w:val="Segoe Print"/>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思源宋体 CN Light">
    <w:altName w:val="宋体"/>
    <w:panose1 w:val="02020300000000000000"/>
    <w:charset w:val="86"/>
    <w:family w:val="auto"/>
    <w:pitch w:val="default"/>
    <w:sig w:usb0="00000000" w:usb1="00000000" w:usb2="00000016" w:usb3="00000000" w:csb0="60060107"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7864"/>
        <w:tab w:val="clear" w:pos="4153"/>
      </w:tabs>
      <w:jc w:val="left"/>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BF07F4"/>
    <w:multiLevelType w:val="singleLevel"/>
    <w:tmpl w:val="A6BF07F4"/>
    <w:lvl w:ilvl="0" w:tentative="0">
      <w:start w:val="2"/>
      <w:numFmt w:val="chineseCounting"/>
      <w:suff w:val="space"/>
      <w:lvlText w:val="第%1部分"/>
      <w:lvlJc w:val="left"/>
      <w:rPr>
        <w:rFonts w:hint="eastAsia"/>
      </w:rPr>
    </w:lvl>
  </w:abstractNum>
  <w:abstractNum w:abstractNumId="1">
    <w:nsid w:val="AE6F79D6"/>
    <w:multiLevelType w:val="singleLevel"/>
    <w:tmpl w:val="AE6F79D6"/>
    <w:lvl w:ilvl="0" w:tentative="0">
      <w:start w:val="1"/>
      <w:numFmt w:val="decimal"/>
      <w:suff w:val="nothing"/>
      <w:lvlText w:val="%1）"/>
      <w:lvlJc w:val="left"/>
    </w:lvl>
  </w:abstractNum>
  <w:abstractNum w:abstractNumId="2">
    <w:nsid w:val="C70142BC"/>
    <w:multiLevelType w:val="singleLevel"/>
    <w:tmpl w:val="C70142BC"/>
    <w:lvl w:ilvl="0" w:tentative="0">
      <w:start w:val="1"/>
      <w:numFmt w:val="decimal"/>
      <w:pStyle w:val="4"/>
      <w:lvlText w:val="%1."/>
      <w:lvlJc w:val="left"/>
      <w:pPr>
        <w:tabs>
          <w:tab w:val="left" w:pos="360"/>
        </w:tabs>
        <w:ind w:left="360" w:hanging="360"/>
      </w:pPr>
    </w:lvl>
  </w:abstractNum>
  <w:abstractNum w:abstractNumId="3">
    <w:nsid w:val="59FB0796"/>
    <w:multiLevelType w:val="singleLevel"/>
    <w:tmpl w:val="59FB0796"/>
    <w:lvl w:ilvl="0" w:tentative="0">
      <w:start w:val="1"/>
      <w:numFmt w:val="decimal"/>
      <w:suff w:val="nothing"/>
      <w:lvlText w:val="%1、"/>
      <w:lvlJc w:val="left"/>
    </w:lvl>
  </w:abstractNum>
  <w:abstractNum w:abstractNumId="4">
    <w:nsid w:val="7F3C2D04"/>
    <w:multiLevelType w:val="singleLevel"/>
    <w:tmpl w:val="7F3C2D04"/>
    <w:lvl w:ilvl="0" w:tentative="0">
      <w:start w:val="8"/>
      <w:numFmt w:val="chineseCounting"/>
      <w:suff w:val="space"/>
      <w:lvlText w:val="第%1部分"/>
      <w:lvlJc w:val="left"/>
      <w:rPr>
        <w:rFonts w:hint="eastAsia"/>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1MzZhN2I2YmM4ZTA1NDRhYjg5NDBlM2UzOTc4OWMifQ=="/>
  </w:docVars>
  <w:rsids>
    <w:rsidRoot w:val="12CE5092"/>
    <w:rsid w:val="12CE5092"/>
    <w:rsid w:val="15D867AD"/>
    <w:rsid w:val="19437701"/>
    <w:rsid w:val="21461589"/>
    <w:rsid w:val="33860D06"/>
    <w:rsid w:val="45182D52"/>
    <w:rsid w:val="4A477D42"/>
    <w:rsid w:val="4D796287"/>
    <w:rsid w:val="4F361923"/>
    <w:rsid w:val="553121D6"/>
    <w:rsid w:val="73915DAB"/>
    <w:rsid w:val="7696073A"/>
    <w:rsid w:val="7F2E41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beforeLines="0" w:after="330" w:afterLines="0" w:line="576" w:lineRule="auto"/>
      <w:outlineLvl w:val="0"/>
    </w:pPr>
    <w:rPr>
      <w:b/>
      <w:bCs/>
      <w:kern w:val="44"/>
      <w:sz w:val="44"/>
      <w:szCs w:val="44"/>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toa heading"/>
    <w:basedOn w:val="1"/>
    <w:next w:val="1"/>
    <w:unhideWhenUsed/>
    <w:qFormat/>
    <w:uiPriority w:val="99"/>
    <w:pPr>
      <w:spacing w:before="120"/>
    </w:pPr>
    <w:rPr>
      <w:rFonts w:ascii="Cambria" w:hAnsi="Cambria" w:cs="Times New Roman"/>
      <w:szCs w:val="24"/>
    </w:rPr>
  </w:style>
  <w:style w:type="paragraph" w:styleId="4">
    <w:name w:val="List Number"/>
    <w:basedOn w:val="1"/>
    <w:qFormat/>
    <w:uiPriority w:val="0"/>
    <w:pPr>
      <w:numPr>
        <w:ilvl w:val="0"/>
        <w:numId w:val="1"/>
      </w:numPr>
    </w:pPr>
  </w:style>
  <w:style w:type="paragraph" w:styleId="5">
    <w:name w:val="Normal Indent"/>
    <w:basedOn w:val="1"/>
    <w:qFormat/>
    <w:uiPriority w:val="0"/>
    <w:pPr>
      <w:ind w:firstLine="420"/>
    </w:pPr>
    <w:rPr>
      <w:szCs w:val="20"/>
    </w:rPr>
  </w:style>
  <w:style w:type="paragraph" w:styleId="6">
    <w:name w:val="Body Text"/>
    <w:basedOn w:val="1"/>
    <w:next w:val="1"/>
    <w:qFormat/>
    <w:uiPriority w:val="0"/>
    <w:pPr>
      <w:spacing w:after="120"/>
    </w:pPr>
    <w:rPr>
      <w:kern w:val="0"/>
      <w:sz w:val="20"/>
    </w:rPr>
  </w:style>
  <w:style w:type="paragraph" w:styleId="7">
    <w:name w:val="Plain Text"/>
    <w:basedOn w:val="6"/>
    <w:unhideWhenUsed/>
    <w:qFormat/>
    <w:uiPriority w:val="99"/>
    <w:rPr>
      <w:rFonts w:hint="eastAsia" w:ascii="宋体" w:hAnsi="Courier New"/>
      <w:sz w:val="24"/>
    </w:rPr>
  </w:style>
  <w:style w:type="paragraph" w:styleId="8">
    <w:name w:val="Body Text Indent 2"/>
    <w:basedOn w:val="1"/>
    <w:qFormat/>
    <w:uiPriority w:val="0"/>
    <w:pPr>
      <w:ind w:left="403"/>
    </w:pPr>
    <w:rPr>
      <w:rFonts w:ascii="楷体_GB2312" w:eastAsia="楷体_GB2312"/>
      <w:sz w:val="28"/>
    </w:rPr>
  </w:style>
  <w:style w:type="paragraph" w:styleId="9">
    <w:name w:val="footer"/>
    <w:basedOn w:val="1"/>
    <w:next w:val="1"/>
    <w:unhideWhenUsed/>
    <w:qFormat/>
    <w:uiPriority w:val="99"/>
    <w:pPr>
      <w:tabs>
        <w:tab w:val="center" w:pos="4153"/>
        <w:tab w:val="right" w:pos="8306"/>
      </w:tabs>
      <w:snapToGrid w:val="0"/>
      <w:jc w:val="left"/>
    </w:pPr>
    <w:rPr>
      <w:sz w:val="18"/>
    </w:rPr>
  </w:style>
  <w:style w:type="paragraph" w:styleId="10">
    <w:name w:val="envelope return"/>
    <w:basedOn w:val="1"/>
    <w:qFormat/>
    <w:uiPriority w:val="0"/>
    <w:pPr>
      <w:snapToGrid w:val="0"/>
    </w:pPr>
    <w:rPr>
      <w:rFonts w:ascii="Arial" w:hAnsi="Arial"/>
    </w:rPr>
  </w:style>
  <w:style w:type="paragraph" w:styleId="11">
    <w:name w:val="header"/>
    <w:basedOn w:val="1"/>
    <w:unhideWhenUsed/>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12">
    <w:name w:val="toc 1"/>
    <w:basedOn w:val="1"/>
    <w:next w:val="1"/>
    <w:qFormat/>
    <w:uiPriority w:val="0"/>
  </w:style>
  <w:style w:type="paragraph" w:styleId="13">
    <w:name w:val="Normal (Web)"/>
    <w:basedOn w:val="1"/>
    <w:next w:val="10"/>
    <w:qFormat/>
    <w:uiPriority w:val="0"/>
    <w:pPr>
      <w:spacing w:before="0" w:beforeAutospacing="1" w:after="0" w:afterAutospacing="1"/>
      <w:ind w:left="0" w:right="0"/>
      <w:jc w:val="left"/>
    </w:pPr>
    <w:rPr>
      <w:kern w:val="0"/>
      <w:sz w:val="24"/>
      <w:lang w:val="en-US" w:eastAsia="zh-CN" w:bidi="ar"/>
    </w:rPr>
  </w:style>
  <w:style w:type="character" w:styleId="16">
    <w:name w:val="Strong"/>
    <w:basedOn w:val="15"/>
    <w:qFormat/>
    <w:uiPriority w:val="0"/>
    <w:rPr>
      <w:b/>
      <w:bCs/>
    </w:rPr>
  </w:style>
  <w:style w:type="character" w:styleId="17">
    <w:name w:val="FollowedHyperlink"/>
    <w:basedOn w:val="15"/>
    <w:qFormat/>
    <w:uiPriority w:val="0"/>
    <w:rPr>
      <w:color w:val="333333"/>
      <w:u w:val="none"/>
    </w:rPr>
  </w:style>
  <w:style w:type="character" w:styleId="18">
    <w:name w:val="Emphasis"/>
    <w:basedOn w:val="15"/>
    <w:qFormat/>
    <w:uiPriority w:val="0"/>
  </w:style>
  <w:style w:type="character" w:styleId="19">
    <w:name w:val="HTML Definition"/>
    <w:basedOn w:val="15"/>
    <w:qFormat/>
    <w:uiPriority w:val="0"/>
    <w:rPr>
      <w:i/>
      <w:iCs/>
    </w:rPr>
  </w:style>
  <w:style w:type="character" w:styleId="20">
    <w:name w:val="Hyperlink"/>
    <w:qFormat/>
    <w:uiPriority w:val="0"/>
    <w:rPr>
      <w:rFonts w:hint="eastAsia" w:ascii="宋体" w:hAnsi="宋体" w:eastAsia="宋体" w:cs="宋体"/>
      <w:color w:val="000000"/>
      <w:sz w:val="18"/>
      <w:szCs w:val="18"/>
      <w:u w:val="none"/>
    </w:rPr>
  </w:style>
  <w:style w:type="character" w:styleId="21">
    <w:name w:val="HTML Code"/>
    <w:basedOn w:val="15"/>
    <w:qFormat/>
    <w:uiPriority w:val="0"/>
    <w:rPr>
      <w:rFonts w:hint="default" w:ascii="Consolas" w:hAnsi="Consolas" w:eastAsia="Consolas" w:cs="Consolas"/>
      <w:color w:val="C7254E"/>
      <w:sz w:val="21"/>
      <w:szCs w:val="21"/>
      <w:shd w:val="clear" w:fill="F9F2F4"/>
    </w:rPr>
  </w:style>
  <w:style w:type="character" w:styleId="22">
    <w:name w:val="HTML Keyboard"/>
    <w:basedOn w:val="15"/>
    <w:qFormat/>
    <w:uiPriority w:val="0"/>
    <w:rPr>
      <w:rFonts w:ascii="Consolas" w:hAnsi="Consolas" w:eastAsia="Consolas" w:cs="Consolas"/>
      <w:color w:val="FFFFFF"/>
      <w:sz w:val="21"/>
      <w:szCs w:val="21"/>
      <w:shd w:val="clear" w:fill="333333"/>
    </w:rPr>
  </w:style>
  <w:style w:type="character" w:styleId="23">
    <w:name w:val="HTML Sample"/>
    <w:basedOn w:val="15"/>
    <w:qFormat/>
    <w:uiPriority w:val="0"/>
    <w:rPr>
      <w:rFonts w:hint="default" w:ascii="Consolas" w:hAnsi="Consolas" w:eastAsia="Consolas" w:cs="Consolas"/>
      <w:sz w:val="21"/>
      <w:szCs w:val="21"/>
    </w:rPr>
  </w:style>
  <w:style w:type="paragraph" w:customStyle="1" w:styleId="24">
    <w:name w:val="正文缩进1"/>
    <w:basedOn w:val="1"/>
    <w:qFormat/>
    <w:uiPriority w:val="0"/>
    <w:pPr>
      <w:ind w:firstLine="420" w:firstLineChars="200"/>
    </w:pPr>
  </w:style>
  <w:style w:type="character" w:customStyle="1" w:styleId="25">
    <w:name w:val="NormalCharacter"/>
    <w:link w:val="26"/>
    <w:qFormat/>
    <w:uiPriority w:val="0"/>
  </w:style>
  <w:style w:type="paragraph" w:customStyle="1" w:styleId="26">
    <w:name w:val="UserStyle_34"/>
    <w:basedOn w:val="1"/>
    <w:link w:val="25"/>
    <w:qFormat/>
    <w:uiPriority w:val="0"/>
  </w:style>
  <w:style w:type="character" w:customStyle="1" w:styleId="27">
    <w:name w:val="nth-child(3)"/>
    <w:basedOn w:val="15"/>
    <w:qFormat/>
    <w:uiPriority w:val="0"/>
  </w:style>
  <w:style w:type="character" w:customStyle="1" w:styleId="28">
    <w:name w:val="last-child1"/>
    <w:basedOn w:val="15"/>
    <w:qFormat/>
    <w:uiPriority w:val="0"/>
    <w:rPr>
      <w:color w:val="FFFFFF"/>
    </w:rPr>
  </w:style>
  <w:style w:type="character" w:customStyle="1" w:styleId="29">
    <w:name w:val="nth-of-type(9)"/>
    <w:basedOn w:val="15"/>
    <w:qFormat/>
    <w:uiPriority w:val="0"/>
  </w:style>
  <w:style w:type="character" w:customStyle="1" w:styleId="30">
    <w:name w:val="nth-of-type(1)"/>
    <w:basedOn w:val="15"/>
    <w:qFormat/>
    <w:uiPriority w:val="0"/>
  </w:style>
  <w:style w:type="character" w:customStyle="1" w:styleId="31">
    <w:name w:val="nth-of-type(1)1"/>
    <w:basedOn w:val="15"/>
    <w:qFormat/>
    <w:uiPriority w:val="0"/>
  </w:style>
  <w:style w:type="character" w:customStyle="1" w:styleId="32">
    <w:name w:val="nth-of-type(1)2"/>
    <w:basedOn w:val="15"/>
    <w:qFormat/>
    <w:uiPriority w:val="0"/>
  </w:style>
  <w:style w:type="character" w:customStyle="1" w:styleId="33">
    <w:name w:val="nth-of-type(1)3"/>
    <w:basedOn w:val="15"/>
    <w:qFormat/>
    <w:uiPriority w:val="0"/>
  </w:style>
  <w:style w:type="character" w:customStyle="1" w:styleId="34">
    <w:name w:val="nth-of-type(1)4"/>
    <w:basedOn w:val="15"/>
    <w:qFormat/>
    <w:uiPriority w:val="0"/>
  </w:style>
  <w:style w:type="character" w:customStyle="1" w:styleId="35">
    <w:name w:val="nth-of-type(1)5"/>
    <w:basedOn w:val="15"/>
    <w:qFormat/>
    <w:uiPriority w:val="0"/>
    <w:rPr>
      <w:rFonts w:ascii="SourceHanSansCN-Regular" w:hAnsi="SourceHanSansCN-Regular" w:eastAsia="SourceHanSansCN-Regular" w:cs="SourceHanSansCN-Regular"/>
      <w:color w:val="FB560A"/>
      <w:sz w:val="21"/>
      <w:szCs w:val="21"/>
    </w:rPr>
  </w:style>
  <w:style w:type="character" w:customStyle="1" w:styleId="36">
    <w:name w:val="nth-of-type(1)6"/>
    <w:basedOn w:val="15"/>
    <w:qFormat/>
    <w:uiPriority w:val="0"/>
  </w:style>
  <w:style w:type="character" w:customStyle="1" w:styleId="37">
    <w:name w:val="nth-of-type(1)7"/>
    <w:basedOn w:val="15"/>
    <w:qFormat/>
    <w:uiPriority w:val="0"/>
  </w:style>
  <w:style w:type="character" w:customStyle="1" w:styleId="38">
    <w:name w:val="nth-of-type(1)8"/>
    <w:basedOn w:val="15"/>
    <w:qFormat/>
    <w:uiPriority w:val="0"/>
  </w:style>
  <w:style w:type="character" w:customStyle="1" w:styleId="39">
    <w:name w:val="nth-of-type(1)9"/>
    <w:basedOn w:val="15"/>
    <w:qFormat/>
    <w:uiPriority w:val="0"/>
  </w:style>
  <w:style w:type="character" w:customStyle="1" w:styleId="40">
    <w:name w:val="nth-of-type(1)10"/>
    <w:basedOn w:val="15"/>
    <w:qFormat/>
    <w:uiPriority w:val="0"/>
  </w:style>
  <w:style w:type="character" w:customStyle="1" w:styleId="41">
    <w:name w:val="nth-of-type(1)11"/>
    <w:basedOn w:val="15"/>
    <w:qFormat/>
    <w:uiPriority w:val="0"/>
  </w:style>
  <w:style w:type="character" w:customStyle="1" w:styleId="42">
    <w:name w:val="nth-of-type(1)12"/>
    <w:basedOn w:val="15"/>
    <w:qFormat/>
    <w:uiPriority w:val="0"/>
  </w:style>
  <w:style w:type="character" w:customStyle="1" w:styleId="43">
    <w:name w:val="nth-of-type(1)13"/>
    <w:basedOn w:val="15"/>
    <w:qFormat/>
    <w:uiPriority w:val="0"/>
  </w:style>
  <w:style w:type="character" w:customStyle="1" w:styleId="44">
    <w:name w:val="nth-of-type(1)14"/>
    <w:basedOn w:val="15"/>
    <w:qFormat/>
    <w:uiPriority w:val="0"/>
  </w:style>
  <w:style w:type="character" w:customStyle="1" w:styleId="45">
    <w:name w:val="nth-of-type(1)15"/>
    <w:basedOn w:val="15"/>
    <w:qFormat/>
    <w:uiPriority w:val="0"/>
  </w:style>
  <w:style w:type="character" w:customStyle="1" w:styleId="46">
    <w:name w:val="nth-of-type(1)16"/>
    <w:basedOn w:val="15"/>
    <w:qFormat/>
    <w:uiPriority w:val="0"/>
  </w:style>
  <w:style w:type="character" w:customStyle="1" w:styleId="47">
    <w:name w:val="nth-of-type(1)17"/>
    <w:basedOn w:val="15"/>
    <w:qFormat/>
    <w:uiPriority w:val="0"/>
    <w:rPr>
      <w:sz w:val="21"/>
      <w:szCs w:val="21"/>
    </w:rPr>
  </w:style>
  <w:style w:type="character" w:customStyle="1" w:styleId="48">
    <w:name w:val="nth-of-type(1)18"/>
    <w:basedOn w:val="15"/>
    <w:qFormat/>
    <w:uiPriority w:val="0"/>
  </w:style>
  <w:style w:type="character" w:customStyle="1" w:styleId="49">
    <w:name w:val="nth-of-type(2)"/>
    <w:basedOn w:val="15"/>
    <w:qFormat/>
    <w:uiPriority w:val="0"/>
  </w:style>
  <w:style w:type="character" w:customStyle="1" w:styleId="50">
    <w:name w:val="nth-of-type(2)1"/>
    <w:basedOn w:val="15"/>
    <w:qFormat/>
    <w:uiPriority w:val="0"/>
  </w:style>
  <w:style w:type="character" w:customStyle="1" w:styleId="51">
    <w:name w:val="nth-of-type(2)2"/>
    <w:basedOn w:val="15"/>
    <w:qFormat/>
    <w:uiPriority w:val="0"/>
  </w:style>
  <w:style w:type="character" w:customStyle="1" w:styleId="52">
    <w:name w:val="nth-of-type(2)3"/>
    <w:basedOn w:val="15"/>
    <w:qFormat/>
    <w:uiPriority w:val="0"/>
  </w:style>
  <w:style w:type="character" w:customStyle="1" w:styleId="53">
    <w:name w:val="nth-of-type(2)4"/>
    <w:basedOn w:val="15"/>
    <w:qFormat/>
    <w:uiPriority w:val="0"/>
  </w:style>
  <w:style w:type="character" w:customStyle="1" w:styleId="54">
    <w:name w:val="nth-of-type(2)5"/>
    <w:basedOn w:val="15"/>
    <w:qFormat/>
    <w:uiPriority w:val="0"/>
  </w:style>
  <w:style w:type="character" w:customStyle="1" w:styleId="55">
    <w:name w:val="nth-of-type(2)6"/>
    <w:basedOn w:val="15"/>
    <w:qFormat/>
    <w:uiPriority w:val="0"/>
  </w:style>
  <w:style w:type="character" w:customStyle="1" w:styleId="56">
    <w:name w:val="nth-of-type(2)7"/>
    <w:basedOn w:val="15"/>
    <w:qFormat/>
    <w:uiPriority w:val="0"/>
  </w:style>
  <w:style w:type="character" w:customStyle="1" w:styleId="57">
    <w:name w:val="nth-of-type(2)8"/>
    <w:basedOn w:val="15"/>
    <w:qFormat/>
    <w:uiPriority w:val="0"/>
  </w:style>
  <w:style w:type="character" w:customStyle="1" w:styleId="58">
    <w:name w:val="nth-of-type(2)9"/>
    <w:basedOn w:val="15"/>
    <w:qFormat/>
    <w:uiPriority w:val="0"/>
  </w:style>
  <w:style w:type="character" w:customStyle="1" w:styleId="59">
    <w:name w:val="nth-of-type(2)10"/>
    <w:basedOn w:val="15"/>
    <w:qFormat/>
    <w:uiPriority w:val="0"/>
  </w:style>
  <w:style w:type="character" w:customStyle="1" w:styleId="60">
    <w:name w:val="nth-of-type(2)11"/>
    <w:basedOn w:val="15"/>
    <w:qFormat/>
    <w:uiPriority w:val="0"/>
  </w:style>
  <w:style w:type="character" w:customStyle="1" w:styleId="61">
    <w:name w:val="nth-of-type(2)12"/>
    <w:basedOn w:val="15"/>
    <w:qFormat/>
    <w:uiPriority w:val="0"/>
  </w:style>
  <w:style w:type="character" w:customStyle="1" w:styleId="62">
    <w:name w:val="nth-of-type(2)13"/>
    <w:basedOn w:val="15"/>
    <w:qFormat/>
    <w:uiPriority w:val="0"/>
    <w:rPr>
      <w:sz w:val="21"/>
      <w:szCs w:val="21"/>
    </w:rPr>
  </w:style>
  <w:style w:type="character" w:customStyle="1" w:styleId="63">
    <w:name w:val="nth-of-type(2)14"/>
    <w:basedOn w:val="15"/>
    <w:qFormat/>
    <w:uiPriority w:val="0"/>
  </w:style>
  <w:style w:type="character" w:customStyle="1" w:styleId="64">
    <w:name w:val="nth-of-type(5)"/>
    <w:basedOn w:val="15"/>
    <w:qFormat/>
    <w:uiPriority w:val="0"/>
  </w:style>
  <w:style w:type="character" w:customStyle="1" w:styleId="65">
    <w:name w:val="nth-of-type(5)1"/>
    <w:basedOn w:val="15"/>
    <w:qFormat/>
    <w:uiPriority w:val="0"/>
  </w:style>
  <w:style w:type="character" w:customStyle="1" w:styleId="66">
    <w:name w:val="nth-of-type(5)2"/>
    <w:basedOn w:val="15"/>
    <w:qFormat/>
    <w:uiPriority w:val="0"/>
  </w:style>
  <w:style w:type="character" w:customStyle="1" w:styleId="67">
    <w:name w:val="nth-of-type(5)3"/>
    <w:basedOn w:val="15"/>
    <w:qFormat/>
    <w:uiPriority w:val="0"/>
  </w:style>
  <w:style w:type="character" w:customStyle="1" w:styleId="68">
    <w:name w:val="nth-of-type(5)4"/>
    <w:basedOn w:val="15"/>
    <w:qFormat/>
    <w:uiPriority w:val="0"/>
  </w:style>
  <w:style w:type="character" w:customStyle="1" w:styleId="69">
    <w:name w:val="nth-of-type(5)5"/>
    <w:basedOn w:val="15"/>
    <w:qFormat/>
    <w:uiPriority w:val="0"/>
    <w:rPr>
      <w:sz w:val="21"/>
      <w:szCs w:val="21"/>
    </w:rPr>
  </w:style>
  <w:style w:type="character" w:customStyle="1" w:styleId="70">
    <w:name w:val="nth-of-type(5)6"/>
    <w:basedOn w:val="15"/>
    <w:qFormat/>
    <w:uiPriority w:val="0"/>
  </w:style>
  <w:style w:type="character" w:customStyle="1" w:styleId="71">
    <w:name w:val="hover25"/>
    <w:basedOn w:val="15"/>
    <w:qFormat/>
    <w:uiPriority w:val="0"/>
    <w:rPr>
      <w:color w:val="167AE0"/>
    </w:rPr>
  </w:style>
  <w:style w:type="character" w:customStyle="1" w:styleId="72">
    <w:name w:val="hover26"/>
    <w:basedOn w:val="15"/>
    <w:qFormat/>
    <w:uiPriority w:val="0"/>
  </w:style>
  <w:style w:type="character" w:customStyle="1" w:styleId="73">
    <w:name w:val="nth-of-type(7)"/>
    <w:basedOn w:val="15"/>
    <w:qFormat/>
    <w:uiPriority w:val="0"/>
  </w:style>
  <w:style w:type="character" w:customStyle="1" w:styleId="74">
    <w:name w:val="lineshow"/>
    <w:basedOn w:val="15"/>
    <w:qFormat/>
    <w:uiPriority w:val="0"/>
  </w:style>
  <w:style w:type="character" w:customStyle="1" w:styleId="75">
    <w:name w:val="lineshow1"/>
    <w:basedOn w:val="15"/>
    <w:qFormat/>
    <w:uiPriority w:val="0"/>
  </w:style>
  <w:style w:type="character" w:customStyle="1" w:styleId="76">
    <w:name w:val="nth-of-type(6)"/>
    <w:basedOn w:val="15"/>
    <w:qFormat/>
    <w:uiPriority w:val="0"/>
  </w:style>
  <w:style w:type="character" w:customStyle="1" w:styleId="77">
    <w:name w:val="nth-of-type(6)1"/>
    <w:basedOn w:val="15"/>
    <w:qFormat/>
    <w:uiPriority w:val="0"/>
  </w:style>
  <w:style w:type="character" w:customStyle="1" w:styleId="78">
    <w:name w:val="nth-of-type(6)2"/>
    <w:basedOn w:val="15"/>
    <w:qFormat/>
    <w:uiPriority w:val="0"/>
  </w:style>
  <w:style w:type="character" w:customStyle="1" w:styleId="79">
    <w:name w:val="nth-of-type(6)3"/>
    <w:basedOn w:val="15"/>
    <w:qFormat/>
    <w:uiPriority w:val="0"/>
  </w:style>
  <w:style w:type="character" w:customStyle="1" w:styleId="80">
    <w:name w:val="nth-of-type(6)4"/>
    <w:basedOn w:val="15"/>
    <w:qFormat/>
    <w:uiPriority w:val="0"/>
    <w:rPr>
      <w:color w:val="0082DF"/>
    </w:rPr>
  </w:style>
  <w:style w:type="character" w:customStyle="1" w:styleId="81">
    <w:name w:val="nth-of-type(6)5"/>
    <w:basedOn w:val="15"/>
    <w:qFormat/>
    <w:uiPriority w:val="0"/>
  </w:style>
  <w:style w:type="character" w:customStyle="1" w:styleId="82">
    <w:name w:val="before2"/>
    <w:basedOn w:val="15"/>
    <w:qFormat/>
    <w:uiPriority w:val="0"/>
    <w:rPr>
      <w:shd w:val="clear" w:fill="C20E0C"/>
    </w:rPr>
  </w:style>
  <w:style w:type="character" w:customStyle="1" w:styleId="83">
    <w:name w:val="nth-child(1)"/>
    <w:basedOn w:val="15"/>
    <w:qFormat/>
    <w:uiPriority w:val="0"/>
  </w:style>
  <w:style w:type="character" w:customStyle="1" w:styleId="84">
    <w:name w:val="nth-of-type(4)"/>
    <w:basedOn w:val="15"/>
    <w:qFormat/>
    <w:uiPriority w:val="0"/>
  </w:style>
  <w:style w:type="character" w:customStyle="1" w:styleId="85">
    <w:name w:val="nth-of-type(4)1"/>
    <w:basedOn w:val="15"/>
    <w:qFormat/>
    <w:uiPriority w:val="0"/>
  </w:style>
  <w:style w:type="character" w:customStyle="1" w:styleId="86">
    <w:name w:val="nth-of-type(4)2"/>
    <w:basedOn w:val="15"/>
    <w:qFormat/>
    <w:uiPriority w:val="0"/>
  </w:style>
  <w:style w:type="character" w:customStyle="1" w:styleId="87">
    <w:name w:val="nth-of-type(3)"/>
    <w:basedOn w:val="15"/>
    <w:qFormat/>
    <w:uiPriority w:val="0"/>
  </w:style>
  <w:style w:type="character" w:customStyle="1" w:styleId="88">
    <w:name w:val="nth-of-type(3)1"/>
    <w:basedOn w:val="15"/>
    <w:qFormat/>
    <w:uiPriority w:val="0"/>
  </w:style>
  <w:style w:type="character" w:customStyle="1" w:styleId="89">
    <w:name w:val="nth-of-type(3)2"/>
    <w:basedOn w:val="15"/>
    <w:qFormat/>
    <w:uiPriority w:val="0"/>
  </w:style>
  <w:style w:type="character" w:customStyle="1" w:styleId="90">
    <w:name w:val="nth-of-type(3)3"/>
    <w:basedOn w:val="15"/>
    <w:qFormat/>
    <w:uiPriority w:val="0"/>
  </w:style>
  <w:style w:type="character" w:customStyle="1" w:styleId="91">
    <w:name w:val="nth-of-type(3)4"/>
    <w:basedOn w:val="15"/>
    <w:qFormat/>
    <w:uiPriority w:val="0"/>
  </w:style>
  <w:style w:type="character" w:customStyle="1" w:styleId="92">
    <w:name w:val="nth-of-type(3)5"/>
    <w:basedOn w:val="15"/>
    <w:qFormat/>
    <w:uiPriority w:val="0"/>
  </w:style>
  <w:style w:type="character" w:customStyle="1" w:styleId="93">
    <w:name w:val="nth-of-type(3)6"/>
    <w:basedOn w:val="15"/>
    <w:qFormat/>
    <w:uiPriority w:val="0"/>
    <w:rPr>
      <w:sz w:val="21"/>
      <w:szCs w:val="21"/>
    </w:rPr>
  </w:style>
  <w:style w:type="character" w:customStyle="1" w:styleId="94">
    <w:name w:val="nth-of-type(3)7"/>
    <w:basedOn w:val="15"/>
    <w:qFormat/>
    <w:uiPriority w:val="0"/>
  </w:style>
  <w:style w:type="character" w:customStyle="1" w:styleId="95">
    <w:name w:val="nth-of-type(8)"/>
    <w:basedOn w:val="15"/>
    <w:qFormat/>
    <w:uiPriority w:val="0"/>
  </w:style>
  <w:style w:type="character" w:customStyle="1" w:styleId="96">
    <w:name w:val="nth-of-type(10)"/>
    <w:basedOn w:val="15"/>
    <w:qFormat/>
    <w:uiPriority w:val="0"/>
  </w:style>
  <w:style w:type="character" w:customStyle="1" w:styleId="97">
    <w:name w:val="titleshow"/>
    <w:basedOn w:val="15"/>
    <w:qFormat/>
    <w:uiPriority w:val="0"/>
    <w:rPr>
      <w:color w:val="3E464C"/>
    </w:rPr>
  </w:style>
  <w:style w:type="character" w:customStyle="1" w:styleId="98">
    <w:name w:val="layui-this4"/>
    <w:basedOn w:val="15"/>
    <w:qFormat/>
    <w:uiPriority w:val="0"/>
    <w:rPr>
      <w:bdr w:val="single" w:color="EEEEEE" w:sz="6" w:space="0"/>
      <w:shd w:val="clear" w:fill="FFFFFF"/>
    </w:rPr>
  </w:style>
  <w:style w:type="character" w:customStyle="1" w:styleId="99">
    <w:name w:val="first-child1"/>
    <w:basedOn w:val="15"/>
    <w:qFormat/>
    <w:uiPriority w:val="0"/>
  </w:style>
  <w:style w:type="character" w:customStyle="1" w:styleId="100">
    <w:name w:val="first-child2"/>
    <w:basedOn w:val="15"/>
    <w:qFormat/>
    <w:uiPriority w:val="0"/>
  </w:style>
  <w:style w:type="character" w:customStyle="1" w:styleId="101">
    <w:name w:val="first-child3"/>
    <w:basedOn w:val="15"/>
    <w:qFormat/>
    <w:uiPriority w:val="0"/>
  </w:style>
  <w:style w:type="character" w:customStyle="1" w:styleId="102">
    <w:name w:val="first-child4"/>
    <w:basedOn w:val="15"/>
    <w:qFormat/>
    <w:uiPriority w:val="0"/>
  </w:style>
  <w:style w:type="character" w:customStyle="1" w:styleId="103">
    <w:name w:val="nth-child(2)"/>
    <w:basedOn w:val="15"/>
    <w:qFormat/>
    <w:uiPriority w:val="0"/>
  </w:style>
  <w:style w:type="character" w:customStyle="1" w:styleId="104">
    <w:name w:val="layui-laypage-curr"/>
    <w:basedOn w:val="1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28986</Words>
  <Characters>31152</Characters>
  <Lines>0</Lines>
  <Paragraphs>0</Paragraphs>
  <TotalTime>10</TotalTime>
  <ScaleCrop>false</ScaleCrop>
  <LinksUpToDate>false</LinksUpToDate>
  <CharactersWithSpaces>33536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2023-04-28T01:52:00Z</dcterms:created>
  <dc:creator>阿楠</dc:creator>
  <cp:lastModifiedBy>阿楠</cp:lastModifiedBy>
  <dcterms:modified xsi:type="dcterms:W3CDTF">2023-05-15T01:18:18Z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1A3D95612F884DC6BB78704469125480_11</vt:lpwstr>
  </property>
</Properties>
</file>