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jc w:val="left"/>
        <w:rPr>
          <w:rFonts w:hint="default" w:ascii="Times New Roman" w:hAnsi="Times New Roman" w:eastAsia="仿宋_GB2312" w:cs="Times New Roman"/>
          <w:b/>
          <w:bCs/>
          <w:i w:val="0"/>
          <w:iCs w:val="0"/>
          <w:color w:val="auto"/>
          <w:sz w:val="30"/>
          <w:szCs w:val="30"/>
          <w:highlight w:val="none"/>
          <w:lang w:val="zh-CN"/>
        </w:rPr>
      </w:pPr>
      <w:r>
        <w:rPr>
          <w:rFonts w:hint="default" w:ascii="Times New Roman" w:hAnsi="Times New Roman" w:eastAsia="仿宋_GB2312" w:cs="Times New Roman"/>
          <w:b/>
          <w:bCs/>
          <w:i w:val="0"/>
          <w:iCs w:val="0"/>
          <w:color w:val="auto"/>
          <w:sz w:val="30"/>
          <w:szCs w:val="30"/>
          <w:highlight w:val="none"/>
          <w:lang w:val="zh-CN"/>
        </w:rPr>
        <w:t>政府采购项目</w:t>
      </w:r>
    </w:p>
    <w:p>
      <w:pPr>
        <w:autoSpaceDE w:val="0"/>
        <w:autoSpaceDN w:val="0"/>
        <w:adjustRightInd w:val="0"/>
        <w:snapToGrid w:val="0"/>
        <w:spacing w:line="360" w:lineRule="auto"/>
        <w:jc w:val="left"/>
        <w:rPr>
          <w:rFonts w:hint="default" w:ascii="Times New Roman" w:hAnsi="Times New Roman" w:eastAsia="仿宋_GB2312" w:cs="Times New Roman"/>
          <w:b/>
          <w:bCs/>
          <w:i w:val="0"/>
          <w:iCs w:val="0"/>
          <w:color w:val="auto"/>
          <w:sz w:val="30"/>
          <w:szCs w:val="30"/>
          <w:highlight w:val="none"/>
          <w:lang w:val="zh-CN"/>
        </w:rPr>
      </w:pPr>
      <w:r>
        <w:rPr>
          <w:rFonts w:hint="default" w:ascii="Times New Roman" w:hAnsi="Times New Roman" w:eastAsia="仿宋_GB2312" w:cs="Times New Roman"/>
          <w:b/>
          <w:bCs/>
          <w:i w:val="0"/>
          <w:iCs w:val="0"/>
          <w:color w:val="auto"/>
          <w:sz w:val="30"/>
          <w:szCs w:val="30"/>
          <w:highlight w:val="none"/>
          <w:lang w:val="zh-CN"/>
        </w:rPr>
        <w:t>采购项目编号：</w:t>
      </w:r>
      <w:r>
        <w:rPr>
          <w:rFonts w:hint="eastAsia" w:eastAsia="仿宋_GB2312" w:cs="Times New Roman"/>
          <w:b/>
          <w:bCs/>
          <w:i w:val="0"/>
          <w:iCs w:val="0"/>
          <w:color w:val="auto"/>
          <w:sz w:val="30"/>
          <w:szCs w:val="30"/>
          <w:highlight w:val="none"/>
          <w:lang w:val="zh-CN"/>
        </w:rPr>
        <w:t>SCZD2022-CS-1334-001</w:t>
      </w:r>
    </w:p>
    <w:p>
      <w:pPr>
        <w:tabs>
          <w:tab w:val="left" w:pos="5670"/>
        </w:tabs>
        <w:autoSpaceDE w:val="0"/>
        <w:autoSpaceDN w:val="0"/>
        <w:adjustRightInd w:val="0"/>
        <w:snapToGrid w:val="0"/>
        <w:spacing w:line="360" w:lineRule="auto"/>
        <w:jc w:val="center"/>
        <w:rPr>
          <w:rFonts w:hint="default" w:ascii="Times New Roman" w:hAnsi="Times New Roman" w:eastAsia="仿宋_GB2312" w:cs="Times New Roman"/>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default" w:ascii="Times New Roman" w:hAnsi="Times New Roman" w:eastAsia="仿宋_GB2312" w:cs="Times New Roman"/>
          <w:i w:val="0"/>
          <w:iCs w:val="0"/>
          <w:color w:val="auto"/>
          <w:sz w:val="32"/>
          <w:szCs w:val="32"/>
          <w:highlight w:val="none"/>
        </w:rPr>
      </w:pPr>
    </w:p>
    <w:p>
      <w:pPr>
        <w:tabs>
          <w:tab w:val="left" w:pos="5670"/>
        </w:tabs>
        <w:autoSpaceDE w:val="0"/>
        <w:autoSpaceDN w:val="0"/>
        <w:adjustRightInd w:val="0"/>
        <w:snapToGrid w:val="0"/>
        <w:spacing w:line="360" w:lineRule="auto"/>
        <w:jc w:val="center"/>
        <w:rPr>
          <w:rFonts w:hint="default" w:ascii="Times New Roman" w:hAnsi="Times New Roman" w:eastAsia="仿宋_GB2312" w:cs="Times New Roman"/>
          <w:i w:val="0"/>
          <w:iCs w:val="0"/>
          <w:color w:val="auto"/>
          <w:sz w:val="32"/>
          <w:szCs w:val="32"/>
          <w:highlight w:val="none"/>
        </w:rPr>
      </w:pPr>
      <w:r>
        <w:rPr>
          <w:rFonts w:hint="default" w:ascii="Times New Roman" w:hAnsi="Times New Roman" w:eastAsia="仿宋_GB2312" w:cs="Times New Roman"/>
          <w:i w:val="0"/>
          <w:iCs w:val="0"/>
          <w:color w:val="auto"/>
          <w:sz w:val="32"/>
          <w:szCs w:val="32"/>
          <w:highlight w:val="none"/>
        </w:rPr>
        <w:t xml:space="preserve"> </w:t>
      </w:r>
    </w:p>
    <w:p>
      <w:pPr>
        <w:tabs>
          <w:tab w:val="left" w:pos="5670"/>
        </w:tabs>
        <w:autoSpaceDE w:val="0"/>
        <w:autoSpaceDN w:val="0"/>
        <w:adjustRightInd w:val="0"/>
        <w:snapToGrid w:val="0"/>
        <w:spacing w:line="360" w:lineRule="auto"/>
        <w:jc w:val="center"/>
        <w:rPr>
          <w:rFonts w:hint="default" w:ascii="Times New Roman" w:hAnsi="Times New Roman" w:eastAsia="仿宋_GB2312" w:cs="Times New Roman"/>
          <w:i w:val="0"/>
          <w:iCs w:val="0"/>
          <w:color w:val="auto"/>
          <w:sz w:val="32"/>
          <w:szCs w:val="32"/>
          <w:highlight w:val="none"/>
        </w:rPr>
      </w:pPr>
    </w:p>
    <w:p>
      <w:pPr>
        <w:tabs>
          <w:tab w:val="left" w:pos="5670"/>
        </w:tabs>
        <w:autoSpaceDE w:val="0"/>
        <w:autoSpaceDN w:val="0"/>
        <w:adjustRightInd w:val="0"/>
        <w:snapToGrid w:val="0"/>
        <w:spacing w:line="360" w:lineRule="auto"/>
        <w:jc w:val="center"/>
        <w:rPr>
          <w:rFonts w:hint="default" w:ascii="Times New Roman" w:hAnsi="Times New Roman" w:eastAsia="仿宋_GB2312" w:cs="Times New Roman"/>
          <w:b/>
          <w:bCs/>
          <w:i w:val="0"/>
          <w:iCs w:val="0"/>
          <w:color w:val="auto"/>
          <w:sz w:val="44"/>
          <w:szCs w:val="44"/>
          <w:highlight w:val="none"/>
        </w:rPr>
      </w:pPr>
      <w:r>
        <w:rPr>
          <w:rFonts w:hint="default" w:ascii="Times New Roman" w:hAnsi="Times New Roman" w:eastAsia="仿宋_GB2312" w:cs="Times New Roman"/>
          <w:b/>
          <w:bCs/>
          <w:i w:val="0"/>
          <w:iCs w:val="0"/>
          <w:color w:val="auto"/>
          <w:sz w:val="44"/>
          <w:szCs w:val="44"/>
          <w:highlight w:val="none"/>
        </w:rPr>
        <w:t>榆林市第三医院（市传染病医院）建设工程</w:t>
      </w:r>
    </w:p>
    <w:p>
      <w:pPr>
        <w:tabs>
          <w:tab w:val="left" w:pos="5670"/>
        </w:tabs>
        <w:autoSpaceDE w:val="0"/>
        <w:autoSpaceDN w:val="0"/>
        <w:adjustRightInd w:val="0"/>
        <w:snapToGrid w:val="0"/>
        <w:spacing w:line="360" w:lineRule="auto"/>
        <w:jc w:val="center"/>
        <w:rPr>
          <w:rFonts w:hint="default" w:ascii="Times New Roman" w:hAnsi="Times New Roman" w:eastAsia="仿宋_GB2312" w:cs="Times New Roman"/>
          <w:b/>
          <w:bCs/>
          <w:i w:val="0"/>
          <w:iCs w:val="0"/>
          <w:color w:val="auto"/>
          <w:sz w:val="36"/>
          <w:szCs w:val="36"/>
          <w:highlight w:val="none"/>
          <w:lang w:val="zh-CN"/>
        </w:rPr>
      </w:pPr>
      <w:r>
        <w:rPr>
          <w:rFonts w:hint="default" w:ascii="Times New Roman" w:hAnsi="Times New Roman" w:eastAsia="仿宋_GB2312" w:cs="Times New Roman"/>
          <w:b/>
          <w:bCs/>
          <w:i w:val="0"/>
          <w:iCs w:val="0"/>
          <w:color w:val="auto"/>
          <w:sz w:val="44"/>
          <w:szCs w:val="44"/>
          <w:highlight w:val="none"/>
        </w:rPr>
        <w:t>全过程造价咨询服务项目</w:t>
      </w:r>
    </w:p>
    <w:p>
      <w:pPr>
        <w:tabs>
          <w:tab w:val="left" w:pos="5670"/>
        </w:tabs>
        <w:autoSpaceDE w:val="0"/>
        <w:autoSpaceDN w:val="0"/>
        <w:adjustRightInd w:val="0"/>
        <w:snapToGrid w:val="0"/>
        <w:spacing w:line="360" w:lineRule="auto"/>
        <w:jc w:val="center"/>
        <w:rPr>
          <w:rFonts w:hint="default" w:ascii="Times New Roman" w:hAnsi="Times New Roman" w:eastAsia="仿宋_GB2312" w:cs="Times New Roman"/>
          <w:b/>
          <w:bCs/>
          <w:i w:val="0"/>
          <w:iCs w:val="0"/>
          <w:color w:val="auto"/>
          <w:sz w:val="52"/>
          <w:szCs w:val="52"/>
          <w:highlight w:val="none"/>
          <w:lang w:val="zh-CN"/>
        </w:rPr>
      </w:pPr>
      <w:r>
        <w:rPr>
          <w:rFonts w:hint="default" w:ascii="Times New Roman" w:hAnsi="Times New Roman" w:eastAsia="仿宋_GB2312" w:cs="Times New Roman"/>
          <w:b/>
          <w:bCs/>
          <w:i w:val="0"/>
          <w:iCs w:val="0"/>
          <w:color w:val="auto"/>
          <w:sz w:val="52"/>
          <w:szCs w:val="52"/>
          <w:highlight w:val="none"/>
          <w:lang w:val="zh-CN"/>
        </w:rPr>
        <w:t>竞争性磋商文件</w:t>
      </w:r>
    </w:p>
    <w:p>
      <w:pPr>
        <w:tabs>
          <w:tab w:val="left" w:pos="5670"/>
        </w:tabs>
        <w:autoSpaceDE w:val="0"/>
        <w:autoSpaceDN w:val="0"/>
        <w:adjustRightInd w:val="0"/>
        <w:snapToGrid w:val="0"/>
        <w:spacing w:line="360" w:lineRule="auto"/>
        <w:jc w:val="center"/>
        <w:rPr>
          <w:rFonts w:hint="default" w:ascii="Times New Roman" w:hAnsi="Times New Roman" w:eastAsia="仿宋_GB2312" w:cs="Times New Roman"/>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default" w:ascii="Times New Roman" w:hAnsi="Times New Roman" w:eastAsia="仿宋_GB2312" w:cs="Times New Roman"/>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default" w:ascii="Times New Roman" w:hAnsi="Times New Roman" w:eastAsia="仿宋_GB2312" w:cs="Times New Roman"/>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default" w:ascii="Times New Roman" w:hAnsi="Times New Roman" w:eastAsia="仿宋_GB2312" w:cs="Times New Roman"/>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default" w:ascii="Times New Roman" w:hAnsi="Times New Roman" w:eastAsia="仿宋_GB2312" w:cs="Times New Roman"/>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default" w:ascii="Times New Roman" w:hAnsi="Times New Roman" w:eastAsia="仿宋_GB2312" w:cs="Times New Roman"/>
          <w:b/>
          <w:bCs/>
          <w:i w:val="0"/>
          <w:iCs w:val="0"/>
          <w:color w:val="auto"/>
          <w:sz w:val="30"/>
          <w:szCs w:val="30"/>
          <w:highlight w:val="none"/>
        </w:rPr>
      </w:pPr>
    </w:p>
    <w:p>
      <w:pPr>
        <w:pStyle w:val="22"/>
        <w:rPr>
          <w:rFonts w:hint="default" w:ascii="Times New Roman" w:hAnsi="Times New Roman" w:eastAsia="仿宋_GB2312" w:cs="Times New Roman"/>
          <w:b/>
          <w:bCs/>
          <w:i w:val="0"/>
          <w:iCs w:val="0"/>
          <w:color w:val="auto"/>
          <w:sz w:val="30"/>
          <w:szCs w:val="30"/>
          <w:highlight w:val="none"/>
        </w:rPr>
      </w:pPr>
    </w:p>
    <w:p>
      <w:pPr>
        <w:pStyle w:val="22"/>
        <w:rPr>
          <w:rFonts w:hint="default" w:ascii="Times New Roman" w:hAnsi="Times New Roman" w:eastAsia="仿宋_GB2312" w:cs="Times New Roman"/>
          <w:b/>
          <w:bCs/>
          <w:i w:val="0"/>
          <w:iCs w:val="0"/>
          <w:color w:val="auto"/>
          <w:sz w:val="30"/>
          <w:szCs w:val="30"/>
          <w:highlight w:val="none"/>
        </w:rPr>
      </w:pPr>
    </w:p>
    <w:p>
      <w:pPr>
        <w:pStyle w:val="22"/>
        <w:rPr>
          <w:rFonts w:hint="default" w:ascii="Times New Roman" w:hAnsi="Times New Roman" w:eastAsia="仿宋_GB2312" w:cs="Times New Roman"/>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default" w:ascii="Times New Roman" w:hAnsi="Times New Roman" w:eastAsia="仿宋_GB2312" w:cs="Times New Roman"/>
          <w:b/>
          <w:bCs/>
          <w:i w:val="0"/>
          <w:iCs w:val="0"/>
          <w:color w:val="auto"/>
          <w:sz w:val="30"/>
          <w:szCs w:val="30"/>
          <w:highlight w:val="none"/>
        </w:rPr>
      </w:pPr>
      <w:r>
        <w:rPr>
          <w:rFonts w:hint="default" w:ascii="Times New Roman" w:hAnsi="Times New Roman" w:eastAsia="仿宋_GB2312" w:cs="Times New Roman"/>
          <w:b/>
          <w:bCs/>
          <w:i w:val="0"/>
          <w:iCs w:val="0"/>
          <w:color w:val="auto"/>
          <w:sz w:val="30"/>
          <w:szCs w:val="30"/>
          <w:highlight w:val="none"/>
          <w:lang w:val="zh-CN"/>
        </w:rPr>
        <w:t xml:space="preserve"> 陕西省采购招标有限责任公司</w:t>
      </w:r>
      <w:r>
        <w:rPr>
          <w:rFonts w:hint="default" w:ascii="Times New Roman" w:hAnsi="Times New Roman" w:eastAsia="仿宋_GB2312" w:cs="Times New Roman"/>
          <w:b/>
          <w:bCs/>
          <w:i w:val="0"/>
          <w:iCs w:val="0"/>
          <w:color w:val="auto"/>
          <w:sz w:val="30"/>
          <w:szCs w:val="30"/>
          <w:highlight w:val="none"/>
        </w:rPr>
        <w:t xml:space="preserve"> </w:t>
      </w:r>
    </w:p>
    <w:p>
      <w:pPr>
        <w:tabs>
          <w:tab w:val="left" w:pos="5460"/>
        </w:tabs>
        <w:autoSpaceDE w:val="0"/>
        <w:autoSpaceDN w:val="0"/>
        <w:adjustRightInd w:val="0"/>
        <w:snapToGrid w:val="0"/>
        <w:spacing w:line="360" w:lineRule="auto"/>
        <w:jc w:val="center"/>
        <w:rPr>
          <w:rFonts w:hint="default" w:ascii="Times New Roman" w:hAnsi="Times New Roman" w:eastAsia="仿宋_GB2312" w:cs="Times New Roman"/>
          <w:b/>
          <w:bCs/>
          <w:i w:val="0"/>
          <w:iCs w:val="0"/>
          <w:color w:val="auto"/>
          <w:sz w:val="30"/>
          <w:szCs w:val="30"/>
          <w:highlight w:val="none"/>
          <w:lang w:val="zh-CN"/>
        </w:rPr>
      </w:pPr>
      <w:r>
        <w:rPr>
          <w:rFonts w:hint="default" w:ascii="Times New Roman" w:hAnsi="Times New Roman" w:eastAsia="仿宋_GB2312" w:cs="Times New Roman"/>
          <w:b/>
          <w:bCs/>
          <w:i w:val="0"/>
          <w:iCs w:val="0"/>
          <w:color w:val="auto"/>
          <w:sz w:val="30"/>
          <w:szCs w:val="30"/>
          <w:highlight w:val="none"/>
          <w:lang w:val="zh-CN"/>
        </w:rPr>
        <w:t>二〇二二年</w:t>
      </w:r>
      <w:r>
        <w:rPr>
          <w:rFonts w:hint="eastAsia" w:eastAsia="仿宋_GB2312" w:cs="Times New Roman"/>
          <w:b/>
          <w:bCs/>
          <w:i w:val="0"/>
          <w:iCs w:val="0"/>
          <w:color w:val="auto"/>
          <w:sz w:val="30"/>
          <w:szCs w:val="30"/>
          <w:highlight w:val="none"/>
          <w:lang w:val="zh-CN"/>
        </w:rPr>
        <w:t>七</w:t>
      </w:r>
      <w:r>
        <w:rPr>
          <w:rFonts w:hint="default" w:ascii="Times New Roman" w:hAnsi="Times New Roman" w:eastAsia="仿宋_GB2312" w:cs="Times New Roman"/>
          <w:b/>
          <w:bCs/>
          <w:i w:val="0"/>
          <w:iCs w:val="0"/>
          <w:color w:val="auto"/>
          <w:sz w:val="30"/>
          <w:szCs w:val="30"/>
          <w:highlight w:val="none"/>
          <w:lang w:val="zh-CN"/>
        </w:rPr>
        <w:t>月</w:t>
      </w:r>
    </w:p>
    <w:p>
      <w:pPr>
        <w:tabs>
          <w:tab w:val="left" w:pos="3739"/>
        </w:tabs>
        <w:jc w:val="left"/>
        <w:rPr>
          <w:rFonts w:hint="default" w:ascii="Times New Roman" w:hAnsi="Times New Roman" w:eastAsia="仿宋_GB2312" w:cs="Times New Roman"/>
          <w:i w:val="0"/>
          <w:iCs w:val="0"/>
          <w:color w:val="auto"/>
          <w:sz w:val="32"/>
          <w:szCs w:val="32"/>
          <w:highlight w:val="none"/>
        </w:rPr>
      </w:pPr>
      <w:r>
        <w:rPr>
          <w:rFonts w:hint="default" w:ascii="Times New Roman" w:hAnsi="Times New Roman" w:eastAsia="仿宋_GB2312" w:cs="Times New Roman"/>
          <w:i w:val="0"/>
          <w:iCs w:val="0"/>
          <w:color w:val="auto"/>
          <w:sz w:val="32"/>
          <w:szCs w:val="32"/>
          <w:highlight w:val="none"/>
        </w:rPr>
        <w:tab/>
      </w:r>
    </w:p>
    <w:p>
      <w:pPr>
        <w:rPr>
          <w:rFonts w:hint="default" w:ascii="Times New Roman" w:hAnsi="Times New Roman" w:eastAsia="仿宋_GB2312" w:cs="Times New Roman"/>
          <w:i w:val="0"/>
          <w:iCs w:val="0"/>
          <w:color w:val="auto"/>
          <w:sz w:val="32"/>
          <w:szCs w:val="32"/>
          <w:highlight w:val="none"/>
        </w:rPr>
      </w:pPr>
      <w:r>
        <w:rPr>
          <w:rFonts w:hint="default" w:ascii="Times New Roman" w:hAnsi="Times New Roman" w:eastAsia="仿宋_GB2312" w:cs="Times New Roman"/>
          <w:i w:val="0"/>
          <w:iCs w:val="0"/>
          <w:color w:val="auto"/>
          <w:sz w:val="32"/>
          <w:szCs w:val="32"/>
          <w:highlight w:val="none"/>
        </w:rPr>
        <w:br w:type="page"/>
      </w:r>
    </w:p>
    <w:p>
      <w:pPr>
        <w:pStyle w:val="14"/>
        <w:ind w:firstLine="0" w:firstLineChars="0"/>
        <w:jc w:val="center"/>
        <w:rPr>
          <w:rFonts w:hint="default" w:ascii="Times New Roman" w:hAnsi="Times New Roman" w:eastAsia="仿宋_GB2312" w:cs="Times New Roman"/>
          <w:b/>
          <w:i w:val="0"/>
          <w:iCs w:val="0"/>
          <w:color w:val="auto"/>
          <w:sz w:val="32"/>
          <w:szCs w:val="32"/>
          <w:highlight w:val="none"/>
        </w:rPr>
      </w:pPr>
      <w:r>
        <w:rPr>
          <w:rFonts w:hint="default" w:ascii="Times New Roman" w:hAnsi="Times New Roman" w:eastAsia="仿宋_GB2312" w:cs="Times New Roman"/>
          <w:b/>
          <w:i w:val="0"/>
          <w:iCs w:val="0"/>
          <w:color w:val="auto"/>
          <w:sz w:val="32"/>
          <w:szCs w:val="32"/>
          <w:highlight w:val="none"/>
        </w:rPr>
        <w:t>目  录</w:t>
      </w:r>
    </w:p>
    <w:p>
      <w:pPr>
        <w:pStyle w:val="35"/>
        <w:tabs>
          <w:tab w:val="right" w:leader="dot" w:pos="8300"/>
          <w:tab w:val="clear" w:pos="9344"/>
        </w:tabs>
        <w:rPr>
          <w:rFonts w:hint="default" w:ascii="Times New Roman" w:hAnsi="Times New Roman" w:eastAsia="仿宋_GB2312" w:cs="Times New Roman"/>
          <w:b w:val="0"/>
          <w:bCs w:val="0"/>
          <w:i w:val="0"/>
          <w:iCs w:val="0"/>
          <w:caps w:val="0"/>
          <w:color w:val="auto"/>
          <w:sz w:val="28"/>
          <w:szCs w:val="28"/>
          <w:highlight w:val="none"/>
        </w:rPr>
      </w:pPr>
      <w:r>
        <w:rPr>
          <w:rFonts w:hint="default" w:ascii="Times New Roman" w:hAnsi="Times New Roman" w:eastAsia="仿宋_GB2312" w:cs="Times New Roman"/>
          <w:b w:val="0"/>
          <w:bCs w:val="0"/>
          <w:i w:val="0"/>
          <w:iCs w:val="0"/>
          <w:color w:val="auto"/>
          <w:sz w:val="28"/>
          <w:szCs w:val="28"/>
          <w:highlight w:val="none"/>
        </w:rPr>
        <w:fldChar w:fldCharType="begin"/>
      </w:r>
      <w:r>
        <w:rPr>
          <w:rFonts w:hint="default" w:ascii="Times New Roman" w:hAnsi="Times New Roman" w:eastAsia="仿宋_GB2312" w:cs="Times New Roman"/>
          <w:b w:val="0"/>
          <w:bCs w:val="0"/>
          <w:i w:val="0"/>
          <w:iCs w:val="0"/>
          <w:color w:val="auto"/>
          <w:sz w:val="28"/>
          <w:szCs w:val="28"/>
          <w:highlight w:val="none"/>
        </w:rPr>
        <w:instrText xml:space="preserve"> TOC \o "1-2" \h \z \u </w:instrText>
      </w:r>
      <w:r>
        <w:rPr>
          <w:rFonts w:hint="default" w:ascii="Times New Roman" w:hAnsi="Times New Roman" w:eastAsia="仿宋_GB2312" w:cs="Times New Roman"/>
          <w:b w:val="0"/>
          <w:bCs w:val="0"/>
          <w:i w:val="0"/>
          <w:iCs w:val="0"/>
          <w:color w:val="auto"/>
          <w:sz w:val="28"/>
          <w:szCs w:val="28"/>
          <w:highlight w:val="none"/>
        </w:rPr>
        <w:fldChar w:fldCharType="separate"/>
      </w:r>
      <w:r>
        <w:rPr>
          <w:rFonts w:hint="default" w:ascii="Times New Roman" w:hAnsi="Times New Roman" w:cs="Times New Roman"/>
          <w:i w:val="0"/>
          <w:iCs w:val="0"/>
          <w:color w:val="auto"/>
          <w:highlight w:val="none"/>
        </w:rPr>
        <w:fldChar w:fldCharType="begin"/>
      </w:r>
      <w:r>
        <w:rPr>
          <w:rFonts w:hint="default" w:ascii="Times New Roman" w:hAnsi="Times New Roman" w:cs="Times New Roman"/>
          <w:i w:val="0"/>
          <w:iCs w:val="0"/>
          <w:color w:val="auto"/>
          <w:highlight w:val="none"/>
        </w:rPr>
        <w:instrText xml:space="preserve"> HYPERLINK \l "_Toc68590965" </w:instrText>
      </w:r>
      <w:r>
        <w:rPr>
          <w:rFonts w:hint="default" w:ascii="Times New Roman" w:hAnsi="Times New Roman" w:cs="Times New Roman"/>
          <w:i w:val="0"/>
          <w:iCs w:val="0"/>
          <w:color w:val="auto"/>
          <w:highlight w:val="none"/>
        </w:rPr>
        <w:fldChar w:fldCharType="separate"/>
      </w:r>
      <w:r>
        <w:rPr>
          <w:rStyle w:val="59"/>
          <w:rFonts w:hint="default" w:ascii="Times New Roman" w:hAnsi="Times New Roman" w:eastAsia="仿宋_GB2312" w:cs="Times New Roman"/>
          <w:i w:val="0"/>
          <w:iCs w:val="0"/>
          <w:color w:val="auto"/>
          <w:sz w:val="28"/>
          <w:szCs w:val="28"/>
          <w:highlight w:val="none"/>
        </w:rPr>
        <w:t>第一章  磋商公告</w:t>
      </w:r>
      <w:r>
        <w:rPr>
          <w:rFonts w:hint="default" w:ascii="Times New Roman" w:hAnsi="Times New Roman" w:eastAsia="仿宋_GB2312" w:cs="Times New Roman"/>
          <w:i w:val="0"/>
          <w:iCs w:val="0"/>
          <w:color w:val="auto"/>
          <w:sz w:val="28"/>
          <w:szCs w:val="28"/>
          <w:highlight w:val="none"/>
        </w:rPr>
        <w:tab/>
      </w:r>
      <w:r>
        <w:rPr>
          <w:rFonts w:hint="default" w:ascii="Times New Roman" w:hAnsi="Times New Roman" w:eastAsia="仿宋_GB2312" w:cs="Times New Roman"/>
          <w:i w:val="0"/>
          <w:iCs w:val="0"/>
          <w:color w:val="auto"/>
          <w:sz w:val="28"/>
          <w:szCs w:val="28"/>
          <w:highlight w:val="none"/>
        </w:rPr>
        <w:fldChar w:fldCharType="begin"/>
      </w:r>
      <w:r>
        <w:rPr>
          <w:rFonts w:hint="default" w:ascii="Times New Roman" w:hAnsi="Times New Roman" w:eastAsia="仿宋_GB2312" w:cs="Times New Roman"/>
          <w:i w:val="0"/>
          <w:iCs w:val="0"/>
          <w:color w:val="auto"/>
          <w:sz w:val="28"/>
          <w:szCs w:val="28"/>
          <w:highlight w:val="none"/>
        </w:rPr>
        <w:instrText xml:space="preserve"> PAGEREF _Toc68590965 \h </w:instrText>
      </w:r>
      <w:r>
        <w:rPr>
          <w:rFonts w:hint="default" w:ascii="Times New Roman" w:hAnsi="Times New Roman" w:eastAsia="仿宋_GB2312" w:cs="Times New Roman"/>
          <w:i w:val="0"/>
          <w:iCs w:val="0"/>
          <w:color w:val="auto"/>
          <w:sz w:val="28"/>
          <w:szCs w:val="28"/>
          <w:highlight w:val="none"/>
        </w:rPr>
        <w:fldChar w:fldCharType="separate"/>
      </w:r>
      <w:r>
        <w:rPr>
          <w:rFonts w:hint="default" w:ascii="Times New Roman" w:hAnsi="Times New Roman" w:eastAsia="仿宋_GB2312" w:cs="Times New Roman"/>
          <w:i w:val="0"/>
          <w:iCs w:val="0"/>
          <w:color w:val="auto"/>
          <w:sz w:val="28"/>
          <w:szCs w:val="28"/>
          <w:highlight w:val="none"/>
        </w:rPr>
        <w:t>3</w:t>
      </w:r>
      <w:r>
        <w:rPr>
          <w:rFonts w:hint="default" w:ascii="Times New Roman" w:hAnsi="Times New Roman" w:eastAsia="仿宋_GB2312" w:cs="Times New Roman"/>
          <w:i w:val="0"/>
          <w:iCs w:val="0"/>
          <w:color w:val="auto"/>
          <w:sz w:val="28"/>
          <w:szCs w:val="28"/>
          <w:highlight w:val="none"/>
        </w:rPr>
        <w:fldChar w:fldCharType="end"/>
      </w:r>
      <w:r>
        <w:rPr>
          <w:rFonts w:hint="default" w:ascii="Times New Roman" w:hAnsi="Times New Roman" w:eastAsia="仿宋_GB2312" w:cs="Times New Roman"/>
          <w:i w:val="0"/>
          <w:iCs w:val="0"/>
          <w:color w:val="auto"/>
          <w:sz w:val="28"/>
          <w:szCs w:val="28"/>
          <w:highlight w:val="none"/>
        </w:rPr>
        <w:fldChar w:fldCharType="end"/>
      </w:r>
    </w:p>
    <w:p>
      <w:pPr>
        <w:pStyle w:val="35"/>
        <w:tabs>
          <w:tab w:val="right" w:leader="dot" w:pos="8300"/>
          <w:tab w:val="clear" w:pos="9344"/>
        </w:tabs>
        <w:rPr>
          <w:rFonts w:hint="default" w:ascii="Times New Roman" w:hAnsi="Times New Roman" w:eastAsia="仿宋_GB2312" w:cs="Times New Roman"/>
          <w:b w:val="0"/>
          <w:bCs w:val="0"/>
          <w:i w:val="0"/>
          <w:iCs w:val="0"/>
          <w:caps w:val="0"/>
          <w:color w:val="auto"/>
          <w:sz w:val="28"/>
          <w:szCs w:val="28"/>
          <w:highlight w:val="none"/>
        </w:rPr>
      </w:pPr>
      <w:r>
        <w:rPr>
          <w:rFonts w:hint="default" w:ascii="Times New Roman" w:hAnsi="Times New Roman" w:cs="Times New Roman"/>
          <w:i w:val="0"/>
          <w:iCs w:val="0"/>
          <w:color w:val="auto"/>
          <w:highlight w:val="none"/>
        </w:rPr>
        <w:fldChar w:fldCharType="begin"/>
      </w:r>
      <w:r>
        <w:rPr>
          <w:rFonts w:hint="default" w:ascii="Times New Roman" w:hAnsi="Times New Roman" w:cs="Times New Roman"/>
          <w:i w:val="0"/>
          <w:iCs w:val="0"/>
          <w:color w:val="auto"/>
          <w:highlight w:val="none"/>
        </w:rPr>
        <w:instrText xml:space="preserve"> HYPERLINK \l "_Toc68590966" </w:instrText>
      </w:r>
      <w:r>
        <w:rPr>
          <w:rFonts w:hint="default" w:ascii="Times New Roman" w:hAnsi="Times New Roman" w:cs="Times New Roman"/>
          <w:i w:val="0"/>
          <w:iCs w:val="0"/>
          <w:color w:val="auto"/>
          <w:highlight w:val="none"/>
        </w:rPr>
        <w:fldChar w:fldCharType="separate"/>
      </w:r>
      <w:r>
        <w:rPr>
          <w:rStyle w:val="59"/>
          <w:rFonts w:hint="default" w:ascii="Times New Roman" w:hAnsi="Times New Roman" w:eastAsia="仿宋_GB2312" w:cs="Times New Roman"/>
          <w:i w:val="0"/>
          <w:iCs w:val="0"/>
          <w:color w:val="auto"/>
          <w:sz w:val="28"/>
          <w:szCs w:val="28"/>
          <w:highlight w:val="none"/>
        </w:rPr>
        <w:t>第二章  供应商须知</w:t>
      </w:r>
      <w:r>
        <w:rPr>
          <w:rFonts w:hint="default" w:ascii="Times New Roman" w:hAnsi="Times New Roman" w:eastAsia="仿宋_GB2312" w:cs="Times New Roman"/>
          <w:i w:val="0"/>
          <w:iCs w:val="0"/>
          <w:color w:val="auto"/>
          <w:sz w:val="28"/>
          <w:szCs w:val="28"/>
          <w:highlight w:val="none"/>
        </w:rPr>
        <w:tab/>
      </w:r>
      <w:r>
        <w:rPr>
          <w:rFonts w:hint="default" w:ascii="Times New Roman" w:hAnsi="Times New Roman" w:eastAsia="仿宋_GB2312" w:cs="Times New Roman"/>
          <w:i w:val="0"/>
          <w:iCs w:val="0"/>
          <w:color w:val="auto"/>
          <w:sz w:val="28"/>
          <w:szCs w:val="28"/>
          <w:highlight w:val="none"/>
        </w:rPr>
        <w:fldChar w:fldCharType="begin"/>
      </w:r>
      <w:r>
        <w:rPr>
          <w:rFonts w:hint="default" w:ascii="Times New Roman" w:hAnsi="Times New Roman" w:eastAsia="仿宋_GB2312" w:cs="Times New Roman"/>
          <w:i w:val="0"/>
          <w:iCs w:val="0"/>
          <w:color w:val="auto"/>
          <w:sz w:val="28"/>
          <w:szCs w:val="28"/>
          <w:highlight w:val="none"/>
        </w:rPr>
        <w:instrText xml:space="preserve"> PAGEREF _Toc68590966 \h </w:instrText>
      </w:r>
      <w:r>
        <w:rPr>
          <w:rFonts w:hint="default" w:ascii="Times New Roman" w:hAnsi="Times New Roman" w:eastAsia="仿宋_GB2312" w:cs="Times New Roman"/>
          <w:i w:val="0"/>
          <w:iCs w:val="0"/>
          <w:color w:val="auto"/>
          <w:sz w:val="28"/>
          <w:szCs w:val="28"/>
          <w:highlight w:val="none"/>
        </w:rPr>
        <w:fldChar w:fldCharType="separate"/>
      </w:r>
      <w:r>
        <w:rPr>
          <w:rFonts w:hint="default" w:ascii="Times New Roman" w:hAnsi="Times New Roman" w:eastAsia="仿宋_GB2312" w:cs="Times New Roman"/>
          <w:i w:val="0"/>
          <w:iCs w:val="0"/>
          <w:color w:val="auto"/>
          <w:sz w:val="28"/>
          <w:szCs w:val="28"/>
          <w:highlight w:val="none"/>
        </w:rPr>
        <w:t>8</w:t>
      </w:r>
      <w:r>
        <w:rPr>
          <w:rFonts w:hint="default" w:ascii="Times New Roman" w:hAnsi="Times New Roman" w:eastAsia="仿宋_GB2312" w:cs="Times New Roman"/>
          <w:i w:val="0"/>
          <w:iCs w:val="0"/>
          <w:color w:val="auto"/>
          <w:sz w:val="28"/>
          <w:szCs w:val="28"/>
          <w:highlight w:val="none"/>
        </w:rPr>
        <w:fldChar w:fldCharType="end"/>
      </w:r>
      <w:r>
        <w:rPr>
          <w:rFonts w:hint="default" w:ascii="Times New Roman" w:hAnsi="Times New Roman" w:eastAsia="仿宋_GB2312" w:cs="Times New Roman"/>
          <w:i w:val="0"/>
          <w:iCs w:val="0"/>
          <w:color w:val="auto"/>
          <w:sz w:val="28"/>
          <w:szCs w:val="28"/>
          <w:highlight w:val="none"/>
        </w:rPr>
        <w:fldChar w:fldCharType="end"/>
      </w:r>
    </w:p>
    <w:p>
      <w:pPr>
        <w:pStyle w:val="35"/>
        <w:tabs>
          <w:tab w:val="right" w:leader="dot" w:pos="8300"/>
          <w:tab w:val="clear" w:pos="9344"/>
        </w:tabs>
        <w:rPr>
          <w:rFonts w:hint="default" w:ascii="Times New Roman" w:hAnsi="Times New Roman" w:eastAsia="仿宋_GB2312" w:cs="Times New Roman"/>
          <w:i w:val="0"/>
          <w:iCs w:val="0"/>
          <w:smallCaps w:val="0"/>
          <w:color w:val="auto"/>
          <w:kern w:val="2"/>
          <w:sz w:val="28"/>
          <w:szCs w:val="28"/>
          <w:highlight w:val="none"/>
        </w:rPr>
      </w:pPr>
      <w:r>
        <w:rPr>
          <w:rFonts w:hint="default" w:ascii="Times New Roman" w:hAnsi="Times New Roman" w:cs="Times New Roman"/>
          <w:i w:val="0"/>
          <w:iCs w:val="0"/>
          <w:color w:val="auto"/>
          <w:highlight w:val="none"/>
        </w:rPr>
        <w:fldChar w:fldCharType="begin"/>
      </w:r>
      <w:r>
        <w:rPr>
          <w:rFonts w:hint="default" w:ascii="Times New Roman" w:hAnsi="Times New Roman" w:cs="Times New Roman"/>
          <w:i w:val="0"/>
          <w:iCs w:val="0"/>
          <w:color w:val="auto"/>
          <w:highlight w:val="none"/>
        </w:rPr>
        <w:instrText xml:space="preserve"> HYPERLINK \l "_Toc68590975" </w:instrText>
      </w:r>
      <w:r>
        <w:rPr>
          <w:rFonts w:hint="default" w:ascii="Times New Roman" w:hAnsi="Times New Roman" w:cs="Times New Roman"/>
          <w:i w:val="0"/>
          <w:iCs w:val="0"/>
          <w:color w:val="auto"/>
          <w:highlight w:val="none"/>
        </w:rPr>
        <w:fldChar w:fldCharType="separate"/>
      </w:r>
      <w:r>
        <w:rPr>
          <w:rStyle w:val="59"/>
          <w:rFonts w:hint="default" w:ascii="Times New Roman" w:hAnsi="Times New Roman" w:eastAsia="仿宋_GB2312" w:cs="Times New Roman"/>
          <w:i w:val="0"/>
          <w:iCs w:val="0"/>
          <w:color w:val="auto"/>
          <w:sz w:val="28"/>
          <w:szCs w:val="28"/>
          <w:highlight w:val="none"/>
        </w:rPr>
        <w:t>第三章  评审办法和标准</w:t>
      </w:r>
      <w:r>
        <w:rPr>
          <w:rFonts w:hint="default" w:ascii="Times New Roman" w:hAnsi="Times New Roman" w:eastAsia="仿宋_GB2312" w:cs="Times New Roman"/>
          <w:i w:val="0"/>
          <w:iCs w:val="0"/>
          <w:color w:val="auto"/>
          <w:sz w:val="28"/>
          <w:szCs w:val="28"/>
          <w:highlight w:val="none"/>
        </w:rPr>
        <w:tab/>
      </w:r>
      <w:r>
        <w:rPr>
          <w:rFonts w:hint="default" w:ascii="Times New Roman" w:hAnsi="Times New Roman" w:eastAsia="仿宋_GB2312" w:cs="Times New Roman"/>
          <w:i w:val="0"/>
          <w:iCs w:val="0"/>
          <w:color w:val="auto"/>
          <w:sz w:val="28"/>
          <w:szCs w:val="28"/>
          <w:highlight w:val="none"/>
        </w:rPr>
        <w:fldChar w:fldCharType="begin"/>
      </w:r>
      <w:r>
        <w:rPr>
          <w:rFonts w:hint="default" w:ascii="Times New Roman" w:hAnsi="Times New Roman" w:eastAsia="仿宋_GB2312" w:cs="Times New Roman"/>
          <w:i w:val="0"/>
          <w:iCs w:val="0"/>
          <w:color w:val="auto"/>
          <w:sz w:val="28"/>
          <w:szCs w:val="28"/>
          <w:highlight w:val="none"/>
        </w:rPr>
        <w:instrText xml:space="preserve"> PAGEREF _Toc68590975 \h </w:instrText>
      </w:r>
      <w:r>
        <w:rPr>
          <w:rFonts w:hint="default" w:ascii="Times New Roman" w:hAnsi="Times New Roman" w:eastAsia="仿宋_GB2312" w:cs="Times New Roman"/>
          <w:i w:val="0"/>
          <w:iCs w:val="0"/>
          <w:color w:val="auto"/>
          <w:sz w:val="28"/>
          <w:szCs w:val="28"/>
          <w:highlight w:val="none"/>
        </w:rPr>
        <w:fldChar w:fldCharType="separate"/>
      </w:r>
      <w:r>
        <w:rPr>
          <w:rFonts w:hint="default" w:ascii="Times New Roman" w:hAnsi="Times New Roman" w:eastAsia="仿宋_GB2312" w:cs="Times New Roman"/>
          <w:i w:val="0"/>
          <w:iCs w:val="0"/>
          <w:color w:val="auto"/>
          <w:sz w:val="28"/>
          <w:szCs w:val="28"/>
          <w:highlight w:val="none"/>
        </w:rPr>
        <w:t>28</w:t>
      </w:r>
      <w:r>
        <w:rPr>
          <w:rFonts w:hint="default" w:ascii="Times New Roman" w:hAnsi="Times New Roman" w:eastAsia="仿宋_GB2312" w:cs="Times New Roman"/>
          <w:i w:val="0"/>
          <w:iCs w:val="0"/>
          <w:color w:val="auto"/>
          <w:sz w:val="28"/>
          <w:szCs w:val="28"/>
          <w:highlight w:val="none"/>
        </w:rPr>
        <w:fldChar w:fldCharType="end"/>
      </w:r>
      <w:r>
        <w:rPr>
          <w:rFonts w:hint="default" w:ascii="Times New Roman" w:hAnsi="Times New Roman" w:eastAsia="仿宋_GB2312" w:cs="Times New Roman"/>
          <w:i w:val="0"/>
          <w:iCs w:val="0"/>
          <w:color w:val="auto"/>
          <w:sz w:val="28"/>
          <w:szCs w:val="28"/>
          <w:highlight w:val="none"/>
        </w:rPr>
        <w:fldChar w:fldCharType="end"/>
      </w:r>
    </w:p>
    <w:p>
      <w:pPr>
        <w:pStyle w:val="35"/>
        <w:tabs>
          <w:tab w:val="right" w:leader="dot" w:pos="8300"/>
          <w:tab w:val="clear" w:pos="9344"/>
        </w:tabs>
        <w:rPr>
          <w:rFonts w:hint="default" w:ascii="Times New Roman" w:hAnsi="Times New Roman" w:eastAsia="仿宋_GB2312" w:cs="Times New Roman"/>
          <w:b w:val="0"/>
          <w:bCs w:val="0"/>
          <w:i w:val="0"/>
          <w:iCs w:val="0"/>
          <w:caps w:val="0"/>
          <w:color w:val="auto"/>
          <w:sz w:val="28"/>
          <w:szCs w:val="28"/>
          <w:highlight w:val="none"/>
        </w:rPr>
      </w:pPr>
      <w:r>
        <w:rPr>
          <w:rFonts w:hint="default" w:ascii="Times New Roman" w:hAnsi="Times New Roman" w:cs="Times New Roman"/>
          <w:i w:val="0"/>
          <w:iCs w:val="0"/>
          <w:color w:val="auto"/>
          <w:highlight w:val="none"/>
        </w:rPr>
        <w:fldChar w:fldCharType="begin"/>
      </w:r>
      <w:r>
        <w:rPr>
          <w:rFonts w:hint="default" w:ascii="Times New Roman" w:hAnsi="Times New Roman" w:cs="Times New Roman"/>
          <w:i w:val="0"/>
          <w:iCs w:val="0"/>
          <w:color w:val="auto"/>
          <w:highlight w:val="none"/>
        </w:rPr>
        <w:instrText xml:space="preserve"> HYPERLINK \l "_Toc68590979" </w:instrText>
      </w:r>
      <w:r>
        <w:rPr>
          <w:rFonts w:hint="default" w:ascii="Times New Roman" w:hAnsi="Times New Roman" w:cs="Times New Roman"/>
          <w:i w:val="0"/>
          <w:iCs w:val="0"/>
          <w:color w:val="auto"/>
          <w:highlight w:val="none"/>
        </w:rPr>
        <w:fldChar w:fldCharType="separate"/>
      </w:r>
      <w:r>
        <w:rPr>
          <w:rStyle w:val="59"/>
          <w:rFonts w:hint="default" w:ascii="Times New Roman" w:hAnsi="Times New Roman" w:eastAsia="仿宋_GB2312" w:cs="Times New Roman"/>
          <w:i w:val="0"/>
          <w:iCs w:val="0"/>
          <w:color w:val="auto"/>
          <w:sz w:val="28"/>
          <w:szCs w:val="28"/>
          <w:highlight w:val="none"/>
        </w:rPr>
        <w:t>第四章  拟签订的合同文本</w:t>
      </w:r>
      <w:r>
        <w:rPr>
          <w:rFonts w:hint="default" w:ascii="Times New Roman" w:hAnsi="Times New Roman" w:eastAsia="仿宋_GB2312" w:cs="Times New Roman"/>
          <w:i w:val="0"/>
          <w:iCs w:val="0"/>
          <w:color w:val="auto"/>
          <w:sz w:val="28"/>
          <w:szCs w:val="28"/>
          <w:highlight w:val="none"/>
        </w:rPr>
        <w:tab/>
      </w:r>
      <w:r>
        <w:rPr>
          <w:rFonts w:hint="default" w:ascii="Times New Roman" w:hAnsi="Times New Roman" w:eastAsia="仿宋_GB2312" w:cs="Times New Roman"/>
          <w:i w:val="0"/>
          <w:iCs w:val="0"/>
          <w:color w:val="auto"/>
          <w:sz w:val="28"/>
          <w:szCs w:val="28"/>
          <w:highlight w:val="none"/>
        </w:rPr>
        <w:fldChar w:fldCharType="begin"/>
      </w:r>
      <w:r>
        <w:rPr>
          <w:rFonts w:hint="default" w:ascii="Times New Roman" w:hAnsi="Times New Roman" w:eastAsia="仿宋_GB2312" w:cs="Times New Roman"/>
          <w:i w:val="0"/>
          <w:iCs w:val="0"/>
          <w:color w:val="auto"/>
          <w:sz w:val="28"/>
          <w:szCs w:val="28"/>
          <w:highlight w:val="none"/>
        </w:rPr>
        <w:instrText xml:space="preserve"> PAGEREF _Toc68590979 \h </w:instrText>
      </w:r>
      <w:r>
        <w:rPr>
          <w:rFonts w:hint="default" w:ascii="Times New Roman" w:hAnsi="Times New Roman" w:eastAsia="仿宋_GB2312" w:cs="Times New Roman"/>
          <w:i w:val="0"/>
          <w:iCs w:val="0"/>
          <w:color w:val="auto"/>
          <w:sz w:val="28"/>
          <w:szCs w:val="28"/>
          <w:highlight w:val="none"/>
        </w:rPr>
        <w:fldChar w:fldCharType="separate"/>
      </w:r>
      <w:r>
        <w:rPr>
          <w:rFonts w:hint="default" w:ascii="Times New Roman" w:hAnsi="Times New Roman" w:eastAsia="仿宋_GB2312" w:cs="Times New Roman"/>
          <w:i w:val="0"/>
          <w:iCs w:val="0"/>
          <w:color w:val="auto"/>
          <w:sz w:val="28"/>
          <w:szCs w:val="28"/>
          <w:highlight w:val="none"/>
        </w:rPr>
        <w:t>37</w:t>
      </w:r>
      <w:r>
        <w:rPr>
          <w:rFonts w:hint="default" w:ascii="Times New Roman" w:hAnsi="Times New Roman" w:eastAsia="仿宋_GB2312" w:cs="Times New Roman"/>
          <w:i w:val="0"/>
          <w:iCs w:val="0"/>
          <w:color w:val="auto"/>
          <w:sz w:val="28"/>
          <w:szCs w:val="28"/>
          <w:highlight w:val="none"/>
        </w:rPr>
        <w:fldChar w:fldCharType="end"/>
      </w:r>
      <w:r>
        <w:rPr>
          <w:rFonts w:hint="default" w:ascii="Times New Roman" w:hAnsi="Times New Roman" w:eastAsia="仿宋_GB2312" w:cs="Times New Roman"/>
          <w:i w:val="0"/>
          <w:iCs w:val="0"/>
          <w:color w:val="auto"/>
          <w:sz w:val="28"/>
          <w:szCs w:val="28"/>
          <w:highlight w:val="none"/>
        </w:rPr>
        <w:fldChar w:fldCharType="end"/>
      </w:r>
    </w:p>
    <w:p>
      <w:pPr>
        <w:pStyle w:val="35"/>
        <w:tabs>
          <w:tab w:val="right" w:leader="dot" w:pos="8300"/>
          <w:tab w:val="clear" w:pos="9344"/>
        </w:tabs>
        <w:rPr>
          <w:rFonts w:hint="default" w:ascii="Times New Roman" w:hAnsi="Times New Roman" w:eastAsia="仿宋_GB2312" w:cs="Times New Roman"/>
          <w:b w:val="0"/>
          <w:bCs w:val="0"/>
          <w:i w:val="0"/>
          <w:iCs w:val="0"/>
          <w:caps w:val="0"/>
          <w:color w:val="auto"/>
          <w:sz w:val="28"/>
          <w:szCs w:val="28"/>
          <w:highlight w:val="none"/>
        </w:rPr>
      </w:pPr>
      <w:r>
        <w:rPr>
          <w:rFonts w:hint="default" w:ascii="Times New Roman" w:hAnsi="Times New Roman" w:cs="Times New Roman"/>
          <w:i w:val="0"/>
          <w:iCs w:val="0"/>
          <w:color w:val="auto"/>
          <w:highlight w:val="none"/>
        </w:rPr>
        <w:fldChar w:fldCharType="begin"/>
      </w:r>
      <w:r>
        <w:rPr>
          <w:rFonts w:hint="default" w:ascii="Times New Roman" w:hAnsi="Times New Roman" w:cs="Times New Roman"/>
          <w:i w:val="0"/>
          <w:iCs w:val="0"/>
          <w:color w:val="auto"/>
          <w:highlight w:val="none"/>
        </w:rPr>
        <w:instrText xml:space="preserve"> HYPERLINK \l "_Toc68590980" </w:instrText>
      </w:r>
      <w:r>
        <w:rPr>
          <w:rFonts w:hint="default" w:ascii="Times New Roman" w:hAnsi="Times New Roman" w:cs="Times New Roman"/>
          <w:i w:val="0"/>
          <w:iCs w:val="0"/>
          <w:color w:val="auto"/>
          <w:highlight w:val="none"/>
        </w:rPr>
        <w:fldChar w:fldCharType="separate"/>
      </w:r>
      <w:r>
        <w:rPr>
          <w:rStyle w:val="59"/>
          <w:rFonts w:hint="default" w:ascii="Times New Roman" w:hAnsi="Times New Roman" w:eastAsia="仿宋_GB2312" w:cs="Times New Roman"/>
          <w:i w:val="0"/>
          <w:iCs w:val="0"/>
          <w:color w:val="auto"/>
          <w:sz w:val="28"/>
          <w:szCs w:val="28"/>
          <w:highlight w:val="none"/>
        </w:rPr>
        <w:t>第五章  采购内容及要求</w:t>
      </w:r>
      <w:r>
        <w:rPr>
          <w:rFonts w:hint="default" w:ascii="Times New Roman" w:hAnsi="Times New Roman" w:eastAsia="仿宋_GB2312" w:cs="Times New Roman"/>
          <w:i w:val="0"/>
          <w:iCs w:val="0"/>
          <w:color w:val="auto"/>
          <w:sz w:val="28"/>
          <w:szCs w:val="28"/>
          <w:highlight w:val="none"/>
        </w:rPr>
        <w:tab/>
      </w:r>
      <w:r>
        <w:rPr>
          <w:rFonts w:hint="default" w:ascii="Times New Roman" w:hAnsi="Times New Roman" w:eastAsia="仿宋_GB2312" w:cs="Times New Roman"/>
          <w:i w:val="0"/>
          <w:iCs w:val="0"/>
          <w:color w:val="auto"/>
          <w:sz w:val="28"/>
          <w:szCs w:val="28"/>
          <w:highlight w:val="none"/>
        </w:rPr>
        <w:fldChar w:fldCharType="begin"/>
      </w:r>
      <w:r>
        <w:rPr>
          <w:rFonts w:hint="default" w:ascii="Times New Roman" w:hAnsi="Times New Roman" w:eastAsia="仿宋_GB2312" w:cs="Times New Roman"/>
          <w:i w:val="0"/>
          <w:iCs w:val="0"/>
          <w:color w:val="auto"/>
          <w:sz w:val="28"/>
          <w:szCs w:val="28"/>
          <w:highlight w:val="none"/>
        </w:rPr>
        <w:instrText xml:space="preserve"> PAGEREF _Toc68590980 \h </w:instrText>
      </w:r>
      <w:r>
        <w:rPr>
          <w:rFonts w:hint="default" w:ascii="Times New Roman" w:hAnsi="Times New Roman" w:eastAsia="仿宋_GB2312" w:cs="Times New Roman"/>
          <w:i w:val="0"/>
          <w:iCs w:val="0"/>
          <w:color w:val="auto"/>
          <w:sz w:val="28"/>
          <w:szCs w:val="28"/>
          <w:highlight w:val="none"/>
        </w:rPr>
        <w:fldChar w:fldCharType="separate"/>
      </w:r>
      <w:r>
        <w:rPr>
          <w:rFonts w:hint="default" w:ascii="Times New Roman" w:hAnsi="Times New Roman" w:eastAsia="仿宋_GB2312" w:cs="Times New Roman"/>
          <w:i w:val="0"/>
          <w:iCs w:val="0"/>
          <w:color w:val="auto"/>
          <w:sz w:val="28"/>
          <w:szCs w:val="28"/>
          <w:highlight w:val="none"/>
        </w:rPr>
        <w:t>49</w:t>
      </w:r>
      <w:r>
        <w:rPr>
          <w:rFonts w:hint="default" w:ascii="Times New Roman" w:hAnsi="Times New Roman" w:eastAsia="仿宋_GB2312" w:cs="Times New Roman"/>
          <w:i w:val="0"/>
          <w:iCs w:val="0"/>
          <w:color w:val="auto"/>
          <w:sz w:val="28"/>
          <w:szCs w:val="28"/>
          <w:highlight w:val="none"/>
        </w:rPr>
        <w:fldChar w:fldCharType="end"/>
      </w:r>
      <w:r>
        <w:rPr>
          <w:rFonts w:hint="default" w:ascii="Times New Roman" w:hAnsi="Times New Roman" w:eastAsia="仿宋_GB2312" w:cs="Times New Roman"/>
          <w:i w:val="0"/>
          <w:iCs w:val="0"/>
          <w:color w:val="auto"/>
          <w:sz w:val="28"/>
          <w:szCs w:val="28"/>
          <w:highlight w:val="none"/>
        </w:rPr>
        <w:fldChar w:fldCharType="end"/>
      </w:r>
    </w:p>
    <w:p>
      <w:pPr>
        <w:pStyle w:val="35"/>
        <w:tabs>
          <w:tab w:val="right" w:leader="dot" w:pos="8300"/>
          <w:tab w:val="clear" w:pos="9344"/>
        </w:tabs>
        <w:rPr>
          <w:rFonts w:hint="default" w:ascii="Times New Roman" w:hAnsi="Times New Roman" w:eastAsia="仿宋_GB2312" w:cs="Times New Roman"/>
          <w:b w:val="0"/>
          <w:bCs w:val="0"/>
          <w:i w:val="0"/>
          <w:iCs w:val="0"/>
          <w:caps w:val="0"/>
          <w:color w:val="auto"/>
          <w:sz w:val="28"/>
          <w:szCs w:val="28"/>
          <w:highlight w:val="none"/>
        </w:rPr>
      </w:pPr>
      <w:r>
        <w:rPr>
          <w:rFonts w:hint="default" w:ascii="Times New Roman" w:hAnsi="Times New Roman" w:cs="Times New Roman"/>
          <w:i w:val="0"/>
          <w:iCs w:val="0"/>
          <w:color w:val="auto"/>
          <w:highlight w:val="none"/>
        </w:rPr>
        <w:fldChar w:fldCharType="begin"/>
      </w:r>
      <w:r>
        <w:rPr>
          <w:rFonts w:hint="default" w:ascii="Times New Roman" w:hAnsi="Times New Roman" w:cs="Times New Roman"/>
          <w:i w:val="0"/>
          <w:iCs w:val="0"/>
          <w:color w:val="auto"/>
          <w:highlight w:val="none"/>
        </w:rPr>
        <w:instrText xml:space="preserve"> HYPERLINK \l "_Toc68590981" </w:instrText>
      </w:r>
      <w:r>
        <w:rPr>
          <w:rFonts w:hint="default" w:ascii="Times New Roman" w:hAnsi="Times New Roman" w:cs="Times New Roman"/>
          <w:i w:val="0"/>
          <w:iCs w:val="0"/>
          <w:color w:val="auto"/>
          <w:highlight w:val="none"/>
        </w:rPr>
        <w:fldChar w:fldCharType="separate"/>
      </w:r>
      <w:r>
        <w:rPr>
          <w:rStyle w:val="59"/>
          <w:rFonts w:hint="default" w:ascii="Times New Roman" w:hAnsi="Times New Roman" w:eastAsia="仿宋_GB2312" w:cs="Times New Roman"/>
          <w:i w:val="0"/>
          <w:iCs w:val="0"/>
          <w:color w:val="auto"/>
          <w:sz w:val="28"/>
          <w:szCs w:val="28"/>
          <w:highlight w:val="none"/>
        </w:rPr>
        <w:t>第六章  磋商响应文件格式</w:t>
      </w:r>
      <w:r>
        <w:rPr>
          <w:rFonts w:hint="default" w:ascii="Times New Roman" w:hAnsi="Times New Roman" w:eastAsia="仿宋_GB2312" w:cs="Times New Roman"/>
          <w:i w:val="0"/>
          <w:iCs w:val="0"/>
          <w:color w:val="auto"/>
          <w:sz w:val="28"/>
          <w:szCs w:val="28"/>
          <w:highlight w:val="none"/>
        </w:rPr>
        <w:tab/>
      </w:r>
      <w:r>
        <w:rPr>
          <w:rFonts w:hint="default" w:ascii="Times New Roman" w:hAnsi="Times New Roman" w:eastAsia="仿宋_GB2312" w:cs="Times New Roman"/>
          <w:i w:val="0"/>
          <w:iCs w:val="0"/>
          <w:color w:val="auto"/>
          <w:sz w:val="28"/>
          <w:szCs w:val="28"/>
          <w:highlight w:val="none"/>
        </w:rPr>
        <w:fldChar w:fldCharType="begin"/>
      </w:r>
      <w:r>
        <w:rPr>
          <w:rFonts w:hint="default" w:ascii="Times New Roman" w:hAnsi="Times New Roman" w:eastAsia="仿宋_GB2312" w:cs="Times New Roman"/>
          <w:i w:val="0"/>
          <w:iCs w:val="0"/>
          <w:color w:val="auto"/>
          <w:sz w:val="28"/>
          <w:szCs w:val="28"/>
          <w:highlight w:val="none"/>
        </w:rPr>
        <w:instrText xml:space="preserve"> PAGEREF _Toc68590981 \h </w:instrText>
      </w:r>
      <w:r>
        <w:rPr>
          <w:rFonts w:hint="default" w:ascii="Times New Roman" w:hAnsi="Times New Roman" w:eastAsia="仿宋_GB2312" w:cs="Times New Roman"/>
          <w:i w:val="0"/>
          <w:iCs w:val="0"/>
          <w:color w:val="auto"/>
          <w:sz w:val="28"/>
          <w:szCs w:val="28"/>
          <w:highlight w:val="none"/>
        </w:rPr>
        <w:fldChar w:fldCharType="separate"/>
      </w:r>
      <w:r>
        <w:rPr>
          <w:rFonts w:hint="default" w:ascii="Times New Roman" w:hAnsi="Times New Roman" w:eastAsia="仿宋_GB2312" w:cs="Times New Roman"/>
          <w:i w:val="0"/>
          <w:iCs w:val="0"/>
          <w:color w:val="auto"/>
          <w:sz w:val="28"/>
          <w:szCs w:val="28"/>
          <w:highlight w:val="none"/>
        </w:rPr>
        <w:t>52</w:t>
      </w:r>
      <w:r>
        <w:rPr>
          <w:rFonts w:hint="default" w:ascii="Times New Roman" w:hAnsi="Times New Roman" w:eastAsia="仿宋_GB2312" w:cs="Times New Roman"/>
          <w:i w:val="0"/>
          <w:iCs w:val="0"/>
          <w:color w:val="auto"/>
          <w:sz w:val="28"/>
          <w:szCs w:val="28"/>
          <w:highlight w:val="none"/>
        </w:rPr>
        <w:fldChar w:fldCharType="end"/>
      </w:r>
      <w:r>
        <w:rPr>
          <w:rFonts w:hint="default" w:ascii="Times New Roman" w:hAnsi="Times New Roman" w:eastAsia="仿宋_GB2312" w:cs="Times New Roman"/>
          <w:i w:val="0"/>
          <w:iCs w:val="0"/>
          <w:color w:val="auto"/>
          <w:sz w:val="28"/>
          <w:szCs w:val="28"/>
          <w:highlight w:val="none"/>
        </w:rPr>
        <w:fldChar w:fldCharType="end"/>
      </w:r>
    </w:p>
    <w:p>
      <w:pPr>
        <w:tabs>
          <w:tab w:val="center" w:pos="4677"/>
          <w:tab w:val="left" w:pos="5040"/>
        </w:tabs>
        <w:adjustRightInd w:val="0"/>
        <w:snapToGrid w:val="0"/>
        <w:spacing w:line="360" w:lineRule="auto"/>
        <w:jc w:val="left"/>
        <w:rPr>
          <w:rFonts w:hint="default" w:ascii="Times New Roman" w:hAnsi="Times New Roman" w:eastAsia="仿宋_GB2312" w:cs="Times New Roman"/>
          <w:i w:val="0"/>
          <w:iCs w:val="0"/>
          <w:color w:val="auto"/>
          <w:szCs w:val="20"/>
          <w:highlight w:val="none"/>
        </w:rPr>
      </w:pPr>
      <w:r>
        <w:rPr>
          <w:rFonts w:hint="default" w:ascii="Times New Roman" w:hAnsi="Times New Roman" w:eastAsia="仿宋_GB2312" w:cs="Times New Roman"/>
          <w:i w:val="0"/>
          <w:iCs w:val="0"/>
          <w:color w:val="auto"/>
          <w:sz w:val="28"/>
          <w:szCs w:val="28"/>
          <w:highlight w:val="none"/>
        </w:rPr>
        <w:fldChar w:fldCharType="end"/>
      </w:r>
    </w:p>
    <w:p>
      <w:pPr>
        <w:rPr>
          <w:rFonts w:hint="default" w:ascii="Times New Roman" w:hAnsi="Times New Roman" w:eastAsia="仿宋_GB2312" w:cs="Times New Roman"/>
          <w:i w:val="0"/>
          <w:iCs w:val="0"/>
          <w:color w:val="auto"/>
          <w:szCs w:val="20"/>
          <w:highlight w:val="none"/>
        </w:rPr>
      </w:pPr>
      <w:r>
        <w:rPr>
          <w:rFonts w:hint="default" w:ascii="Times New Roman" w:hAnsi="Times New Roman" w:eastAsia="仿宋_GB2312" w:cs="Times New Roman"/>
          <w:i w:val="0"/>
          <w:iCs w:val="0"/>
          <w:color w:val="auto"/>
          <w:szCs w:val="20"/>
          <w:highlight w:val="none"/>
        </w:rPr>
        <w:br w:type="page"/>
      </w:r>
    </w:p>
    <w:p>
      <w:pPr>
        <w:pStyle w:val="46"/>
        <w:spacing w:line="360" w:lineRule="auto"/>
        <w:rPr>
          <w:rStyle w:val="203"/>
          <w:rFonts w:hint="default" w:ascii="Times New Roman" w:hAnsi="Times New Roman" w:eastAsia="宋体" w:cs="Times New Roman"/>
          <w:i w:val="0"/>
          <w:iCs w:val="0"/>
          <w:color w:val="auto"/>
          <w:sz w:val="36"/>
          <w:szCs w:val="36"/>
          <w:highlight w:val="none"/>
        </w:rPr>
      </w:pPr>
      <w:bookmarkStart w:id="0" w:name="_Toc58504445"/>
      <w:bookmarkStart w:id="1" w:name="_Toc21755"/>
      <w:bookmarkStart w:id="2" w:name="_Toc68590965"/>
      <w:bookmarkStart w:id="3" w:name="_Toc415499894"/>
      <w:bookmarkStart w:id="4" w:name="_Toc492955413"/>
      <w:bookmarkStart w:id="5" w:name="_Toc177817333"/>
      <w:bookmarkStart w:id="6" w:name="_Toc70687138"/>
      <w:bookmarkStart w:id="7" w:name="_Toc500747060"/>
      <w:bookmarkStart w:id="8" w:name="_Toc499711041"/>
      <w:bookmarkStart w:id="9" w:name="_Toc177995472"/>
      <w:bookmarkStart w:id="10" w:name="_Toc177189234"/>
      <w:bookmarkStart w:id="11" w:name="_Toc499711882"/>
      <w:bookmarkStart w:id="12" w:name="_Toc503063420"/>
      <w:bookmarkStart w:id="13" w:name="_Toc496324577"/>
      <w:bookmarkStart w:id="14" w:name="_Toc176882541"/>
      <w:bookmarkStart w:id="15" w:name="_Toc53722839"/>
      <w:bookmarkStart w:id="16" w:name="_Toc500746964"/>
      <w:bookmarkStart w:id="17" w:name="_Toc500747187"/>
      <w:bookmarkStart w:id="18" w:name="_Toc385992325"/>
      <w:bookmarkStart w:id="19" w:name="_Toc385992324"/>
      <w:r>
        <w:rPr>
          <w:rStyle w:val="203"/>
          <w:rFonts w:hint="default" w:ascii="Times New Roman" w:hAnsi="Times New Roman" w:eastAsia="宋体" w:cs="Times New Roman"/>
          <w:i w:val="0"/>
          <w:iCs w:val="0"/>
          <w:color w:val="auto"/>
          <w:sz w:val="36"/>
          <w:szCs w:val="36"/>
          <w:highlight w:val="none"/>
        </w:rPr>
        <w:t>第一章  磋商公告</w:t>
      </w:r>
      <w:bookmarkEnd w:id="0"/>
      <w:bookmarkEnd w:id="1"/>
      <w:bookmarkEnd w:id="2"/>
      <w:bookmarkEnd w:id="3"/>
    </w:p>
    <w:p>
      <w:pPr>
        <w:keepNext w:val="0"/>
        <w:keepLines w:val="0"/>
        <w:pageBreakBefore w:val="0"/>
        <w:widowControl w:val="0"/>
        <w:kinsoku/>
        <w:wordWrap/>
        <w:overflowPunct/>
        <w:topLinePunct w:val="0"/>
        <w:autoSpaceDE/>
        <w:autoSpaceDN/>
        <w:bidi w:val="0"/>
        <w:adjustRightInd/>
        <w:snapToGrid/>
        <w:spacing w:after="313" w:afterLines="100" w:line="440" w:lineRule="exact"/>
        <w:jc w:val="center"/>
        <w:textAlignment w:val="auto"/>
        <w:rPr>
          <w:rFonts w:hint="default" w:ascii="Times New Roman" w:hAnsi="Times New Roman" w:eastAsia="仿宋_GB2312" w:cs="Times New Roman"/>
          <w:b/>
          <w:i w:val="0"/>
          <w:iCs w:val="0"/>
          <w:color w:val="auto"/>
          <w:sz w:val="24"/>
          <w:szCs w:val="24"/>
          <w:highlight w:val="none"/>
        </w:rPr>
      </w:pPr>
      <w:r>
        <w:rPr>
          <w:rFonts w:hint="default" w:ascii="Times New Roman" w:hAnsi="Times New Roman" w:eastAsia="仿宋_GB2312" w:cs="Times New Roman"/>
          <w:b/>
          <w:i w:val="0"/>
          <w:iCs w:val="0"/>
          <w:color w:val="auto"/>
          <w:sz w:val="24"/>
          <w:szCs w:val="24"/>
          <w:highlight w:val="none"/>
        </w:rPr>
        <w:t>榆林市第三医院（市传染病医院）建设工程全过程造价咨询服务项目竞争性磋商公告</w:t>
      </w:r>
    </w:p>
    <w:p>
      <w:pPr>
        <w:widowControl/>
        <w:snapToGrid w:val="0"/>
        <w:spacing w:line="360" w:lineRule="auto"/>
        <w:ind w:right="-197" w:rightChars="-94"/>
        <w:jc w:val="left"/>
        <w:rPr>
          <w:rFonts w:hint="eastAsia" w:ascii="仿宋" w:hAnsi="仿宋" w:eastAsia="仿宋" w:cs="仿宋"/>
          <w:b/>
          <w:bCs/>
          <w:color w:val="auto"/>
          <w:kern w:val="0"/>
          <w:sz w:val="24"/>
          <w:highlight w:val="none"/>
          <w:u w:val="none"/>
          <w:lang w:eastAsia="zh-CN"/>
        </w:rPr>
      </w:pPr>
      <w:r>
        <w:rPr>
          <w:rFonts w:hint="eastAsia" w:ascii="仿宋" w:hAnsi="仿宋" w:eastAsia="仿宋" w:cs="仿宋"/>
          <w:b/>
          <w:bCs/>
          <w:color w:val="auto"/>
          <w:kern w:val="0"/>
          <w:sz w:val="24"/>
          <w:highlight w:val="none"/>
          <w:u w:val="none"/>
          <w:lang w:eastAsia="zh-CN"/>
        </w:rPr>
        <w:t>项目概况</w:t>
      </w:r>
    </w:p>
    <w:p>
      <w:pPr>
        <w:widowControl/>
        <w:snapToGrid w:val="0"/>
        <w:spacing w:line="360" w:lineRule="auto"/>
        <w:ind w:right="-197" w:rightChars="-94" w:firstLine="480" w:firstLineChars="200"/>
        <w:jc w:val="left"/>
        <w:rPr>
          <w:rFonts w:hint="eastAsia" w:ascii="仿宋" w:hAnsi="仿宋" w:eastAsia="仿宋" w:cs="仿宋"/>
          <w:color w:val="auto"/>
          <w:kern w:val="0"/>
          <w:sz w:val="24"/>
          <w:highlight w:val="none"/>
          <w:u w:val="none"/>
        </w:rPr>
      </w:pPr>
      <w:r>
        <w:rPr>
          <w:rFonts w:hint="eastAsia" w:ascii="仿宋" w:hAnsi="仿宋" w:eastAsia="仿宋" w:cs="仿宋"/>
          <w:color w:val="auto"/>
          <w:kern w:val="0"/>
          <w:sz w:val="24"/>
          <w:highlight w:val="none"/>
          <w:u w:val="none"/>
          <w:lang w:eastAsia="zh-CN"/>
        </w:rPr>
        <w:t>建设工程全过程造价咨询服务项目</w:t>
      </w:r>
      <w:r>
        <w:rPr>
          <w:rFonts w:hint="eastAsia" w:ascii="仿宋" w:hAnsi="仿宋" w:eastAsia="仿宋" w:cs="仿宋"/>
          <w:sz w:val="24"/>
          <w:u w:val="none"/>
        </w:rPr>
        <w:t>潜在</w:t>
      </w:r>
      <w:r>
        <w:rPr>
          <w:rFonts w:hint="eastAsia" w:ascii="仿宋" w:hAnsi="仿宋" w:eastAsia="仿宋" w:cs="仿宋"/>
          <w:sz w:val="24"/>
          <w:u w:val="none"/>
          <w:lang w:eastAsia="zh-CN"/>
        </w:rPr>
        <w:t>供应商应在</w:t>
      </w:r>
      <w:r>
        <w:rPr>
          <w:rFonts w:hint="eastAsia" w:ascii="仿宋" w:hAnsi="仿宋" w:eastAsia="仿宋" w:cs="仿宋"/>
          <w:sz w:val="24"/>
          <w:u w:val="none"/>
        </w:rPr>
        <w:t>全国公共资源交易中心平台（陕西省）获取采购文件，并于</w:t>
      </w:r>
      <w:r>
        <w:rPr>
          <w:rFonts w:hint="eastAsia" w:ascii="仿宋" w:hAnsi="仿宋" w:eastAsia="仿宋" w:cs="仿宋"/>
          <w:sz w:val="24"/>
          <w:u w:val="none"/>
          <w:lang w:eastAsia="zh-CN"/>
        </w:rPr>
        <w:t>2022年0</w:t>
      </w:r>
      <w:r>
        <w:rPr>
          <w:rFonts w:hint="eastAsia" w:ascii="仿宋" w:hAnsi="仿宋" w:eastAsia="仿宋" w:cs="仿宋"/>
          <w:sz w:val="24"/>
          <w:u w:val="none"/>
          <w:lang w:val="en-US" w:eastAsia="zh-CN"/>
        </w:rPr>
        <w:t>8</w:t>
      </w:r>
      <w:r>
        <w:rPr>
          <w:rFonts w:hint="eastAsia" w:ascii="仿宋" w:hAnsi="仿宋" w:eastAsia="仿宋" w:cs="仿宋"/>
          <w:sz w:val="24"/>
          <w:u w:val="none"/>
          <w:lang w:eastAsia="zh-CN"/>
        </w:rPr>
        <w:t>月</w:t>
      </w:r>
      <w:r>
        <w:rPr>
          <w:rFonts w:hint="eastAsia" w:ascii="仿宋" w:hAnsi="仿宋" w:eastAsia="仿宋" w:cs="仿宋"/>
          <w:sz w:val="24"/>
          <w:u w:val="none"/>
          <w:lang w:val="en-US" w:eastAsia="zh-CN"/>
        </w:rPr>
        <w:t>04日13</w:t>
      </w:r>
      <w:r>
        <w:rPr>
          <w:rFonts w:hint="eastAsia" w:ascii="仿宋" w:hAnsi="仿宋" w:eastAsia="仿宋" w:cs="仿宋"/>
          <w:sz w:val="24"/>
          <w:u w:val="none"/>
          <w:lang w:eastAsia="zh-CN"/>
        </w:rPr>
        <w:t>时</w:t>
      </w:r>
      <w:r>
        <w:rPr>
          <w:rFonts w:hint="eastAsia" w:ascii="仿宋" w:hAnsi="仿宋" w:eastAsia="仿宋" w:cs="仿宋"/>
          <w:sz w:val="24"/>
          <w:u w:val="none"/>
        </w:rPr>
        <w:t>30</w:t>
      </w:r>
      <w:r>
        <w:rPr>
          <w:rFonts w:hint="eastAsia" w:ascii="仿宋" w:hAnsi="仿宋" w:eastAsia="仿宋" w:cs="仿宋"/>
          <w:sz w:val="24"/>
          <w:u w:val="none"/>
          <w:lang w:eastAsia="zh-CN"/>
        </w:rPr>
        <w:t>分</w:t>
      </w:r>
      <w:r>
        <w:rPr>
          <w:rFonts w:hint="eastAsia" w:ascii="仿宋" w:hAnsi="仿宋" w:eastAsia="仿宋" w:cs="仿宋"/>
          <w:sz w:val="24"/>
          <w:u w:val="none"/>
          <w:lang w:val="en-US" w:eastAsia="zh-CN"/>
        </w:rPr>
        <w:t>(北京时间)</w:t>
      </w:r>
      <w:r>
        <w:rPr>
          <w:rFonts w:hint="eastAsia" w:ascii="仿宋" w:hAnsi="仿宋" w:eastAsia="仿宋" w:cs="仿宋"/>
          <w:sz w:val="24"/>
          <w:u w:val="none"/>
        </w:rPr>
        <w:t>前递交</w:t>
      </w:r>
      <w:r>
        <w:rPr>
          <w:rFonts w:hint="eastAsia" w:ascii="仿宋" w:hAnsi="仿宋" w:eastAsia="仿宋" w:cs="仿宋"/>
          <w:sz w:val="24"/>
          <w:u w:val="none"/>
          <w:lang w:eastAsia="zh-CN"/>
        </w:rPr>
        <w:t>响应</w:t>
      </w:r>
      <w:r>
        <w:rPr>
          <w:rFonts w:hint="eastAsia" w:ascii="仿宋" w:hAnsi="仿宋" w:eastAsia="仿宋" w:cs="仿宋"/>
          <w:sz w:val="24"/>
          <w:u w:val="none"/>
        </w:rPr>
        <w:t>文件。</w:t>
      </w:r>
      <w:r>
        <w:rPr>
          <w:rFonts w:hint="eastAsia" w:ascii="仿宋" w:hAnsi="仿宋" w:eastAsia="仿宋" w:cs="仿宋"/>
          <w:color w:val="auto"/>
          <w:kern w:val="0"/>
          <w:sz w:val="24"/>
          <w:highlight w:val="none"/>
          <w:u w:val="none"/>
        </w:rPr>
        <w:t xml:space="preserve"> </w:t>
      </w:r>
    </w:p>
    <w:p>
      <w:pPr>
        <w:keepNext w:val="0"/>
        <w:keepLines w:val="0"/>
        <w:pageBreakBefore w:val="0"/>
        <w:widowControl/>
        <w:kinsoku/>
        <w:wordWrap/>
        <w:overflowPunct/>
        <w:topLinePunct w:val="0"/>
        <w:autoSpaceDE/>
        <w:autoSpaceDN/>
        <w:bidi w:val="0"/>
        <w:adjustRightInd/>
        <w:snapToGrid w:val="0"/>
        <w:spacing w:line="500" w:lineRule="exact"/>
        <w:ind w:right="-197" w:rightChars="-94"/>
        <w:jc w:val="left"/>
        <w:textAlignment w:val="auto"/>
        <w:rPr>
          <w:rFonts w:hint="default" w:ascii="仿宋" w:hAnsi="仿宋" w:eastAsia="仿宋" w:cs="仿宋"/>
          <w:b/>
          <w:bCs/>
          <w:color w:val="auto"/>
          <w:kern w:val="0"/>
          <w:sz w:val="24"/>
          <w:highlight w:val="none"/>
          <w:lang w:eastAsia="zh-CN"/>
        </w:rPr>
      </w:pPr>
      <w:r>
        <w:rPr>
          <w:rFonts w:hint="default" w:ascii="仿宋" w:hAnsi="仿宋" w:eastAsia="仿宋" w:cs="仿宋"/>
          <w:b/>
          <w:bCs/>
          <w:color w:val="auto"/>
          <w:kern w:val="0"/>
          <w:sz w:val="24"/>
          <w:highlight w:val="none"/>
          <w:lang w:eastAsia="zh-CN"/>
        </w:rPr>
        <w:t>一、项目基本情况：</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lang w:eastAsia="zh-CN"/>
        </w:rPr>
      </w:pPr>
      <w:r>
        <w:rPr>
          <w:rFonts w:hint="default" w:ascii="Times New Roman" w:hAnsi="Times New Roman" w:eastAsia="仿宋_GB2312" w:cs="Times New Roman"/>
          <w:i w:val="0"/>
          <w:iCs w:val="0"/>
          <w:color w:val="auto"/>
          <w:kern w:val="0"/>
          <w:sz w:val="24"/>
          <w:highlight w:val="none"/>
        </w:rPr>
        <w:t>项目编号：</w:t>
      </w:r>
      <w:r>
        <w:rPr>
          <w:rFonts w:hint="eastAsia" w:eastAsia="仿宋_GB2312" w:cs="Times New Roman"/>
          <w:i w:val="0"/>
          <w:iCs w:val="0"/>
          <w:color w:val="auto"/>
          <w:kern w:val="0"/>
          <w:sz w:val="24"/>
          <w:highlight w:val="none"/>
          <w:lang w:eastAsia="zh-CN"/>
        </w:rPr>
        <w:t>SCZD2022-CS-1334-001</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 xml:space="preserve">项目名称：建设工程全过程造价咨询服务项目 </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lang w:eastAsia="zh-CN"/>
        </w:rPr>
      </w:pPr>
      <w:r>
        <w:rPr>
          <w:rFonts w:hint="eastAsia" w:eastAsia="仿宋_GB2312" w:cs="Times New Roman"/>
          <w:i w:val="0"/>
          <w:iCs w:val="0"/>
          <w:color w:val="auto"/>
          <w:kern w:val="0"/>
          <w:sz w:val="24"/>
          <w:highlight w:val="none"/>
          <w:lang w:eastAsia="zh-CN"/>
        </w:rPr>
        <w:t>采购方式：竞争性磋商</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预算金额：</w:t>
      </w:r>
      <w:r>
        <w:rPr>
          <w:rFonts w:hint="eastAsia" w:eastAsia="仿宋_GB2312" w:cs="Times New Roman"/>
          <w:i w:val="0"/>
          <w:iCs w:val="0"/>
          <w:color w:val="auto"/>
          <w:kern w:val="0"/>
          <w:sz w:val="24"/>
          <w:highlight w:val="none"/>
          <w:lang w:val="en-US" w:eastAsia="zh-CN"/>
        </w:rPr>
        <w:t>927</w:t>
      </w:r>
      <w:r>
        <w:rPr>
          <w:rFonts w:hint="default" w:ascii="Times New Roman" w:hAnsi="Times New Roman" w:eastAsia="仿宋_GB2312" w:cs="Times New Roman"/>
          <w:i w:val="0"/>
          <w:iCs w:val="0"/>
          <w:color w:val="auto"/>
          <w:kern w:val="0"/>
          <w:sz w:val="24"/>
          <w:highlight w:val="none"/>
        </w:rPr>
        <w:t>,</w:t>
      </w:r>
      <w:r>
        <w:rPr>
          <w:rFonts w:hint="eastAsia" w:eastAsia="仿宋_GB2312" w:cs="Times New Roman"/>
          <w:i w:val="0"/>
          <w:iCs w:val="0"/>
          <w:color w:val="auto"/>
          <w:kern w:val="0"/>
          <w:sz w:val="24"/>
          <w:highlight w:val="none"/>
          <w:lang w:val="en-US" w:eastAsia="zh-CN"/>
        </w:rPr>
        <w:t>9</w:t>
      </w:r>
      <w:r>
        <w:rPr>
          <w:rFonts w:hint="default" w:ascii="Times New Roman" w:hAnsi="Times New Roman" w:eastAsia="仿宋_GB2312" w:cs="Times New Roman"/>
          <w:i w:val="0"/>
          <w:iCs w:val="0"/>
          <w:color w:val="auto"/>
          <w:kern w:val="0"/>
          <w:sz w:val="24"/>
          <w:highlight w:val="none"/>
        </w:rPr>
        <w:t>00.00元</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采购需求：</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u w:val="none"/>
          <w:lang w:eastAsia="zh-CN"/>
        </w:rPr>
      </w:pPr>
      <w:r>
        <w:rPr>
          <w:rFonts w:hint="default" w:ascii="Times New Roman" w:hAnsi="Times New Roman" w:eastAsia="仿宋_GB2312" w:cs="Times New Roman"/>
          <w:i w:val="0"/>
          <w:iCs w:val="0"/>
          <w:color w:val="auto"/>
          <w:kern w:val="0"/>
          <w:sz w:val="24"/>
          <w:highlight w:val="none"/>
          <w:u w:val="none"/>
        </w:rPr>
        <w:t>榆林市第三医院（市传染病医院）建设工程全过程造价咨询服务项目，1项，</w:t>
      </w:r>
      <w:r>
        <w:rPr>
          <w:rFonts w:hint="eastAsia" w:eastAsia="仿宋_GB2312" w:cs="Times New Roman"/>
          <w:i w:val="0"/>
          <w:iCs w:val="0"/>
          <w:color w:val="auto"/>
          <w:kern w:val="0"/>
          <w:sz w:val="24"/>
          <w:highlight w:val="none"/>
          <w:u w:val="none"/>
          <w:lang w:eastAsia="zh-CN"/>
        </w:rPr>
        <w:t>最高限价</w:t>
      </w:r>
      <w:r>
        <w:rPr>
          <w:rFonts w:hint="default" w:ascii="Times New Roman" w:hAnsi="Times New Roman" w:eastAsia="仿宋_GB2312" w:cs="Times New Roman"/>
          <w:i w:val="0"/>
          <w:iCs w:val="0"/>
          <w:color w:val="auto"/>
          <w:kern w:val="0"/>
          <w:sz w:val="24"/>
          <w:highlight w:val="none"/>
          <w:u w:val="none"/>
        </w:rPr>
        <w:t>：</w:t>
      </w:r>
      <w:r>
        <w:rPr>
          <w:rFonts w:hint="eastAsia" w:eastAsia="仿宋_GB2312" w:cs="Times New Roman"/>
          <w:i w:val="0"/>
          <w:iCs w:val="0"/>
          <w:color w:val="auto"/>
          <w:kern w:val="0"/>
          <w:sz w:val="24"/>
          <w:highlight w:val="none"/>
          <w:u w:val="none"/>
          <w:lang w:val="en-US" w:eastAsia="zh-CN"/>
        </w:rPr>
        <w:t>927</w:t>
      </w:r>
      <w:r>
        <w:rPr>
          <w:rFonts w:hint="default" w:ascii="Times New Roman" w:hAnsi="Times New Roman" w:eastAsia="仿宋_GB2312" w:cs="Times New Roman"/>
          <w:i w:val="0"/>
          <w:iCs w:val="0"/>
          <w:color w:val="auto"/>
          <w:kern w:val="0"/>
          <w:sz w:val="24"/>
          <w:highlight w:val="none"/>
          <w:u w:val="none"/>
        </w:rPr>
        <w:t>,</w:t>
      </w:r>
      <w:r>
        <w:rPr>
          <w:rFonts w:hint="eastAsia" w:eastAsia="仿宋_GB2312" w:cs="Times New Roman"/>
          <w:i w:val="0"/>
          <w:iCs w:val="0"/>
          <w:color w:val="auto"/>
          <w:kern w:val="0"/>
          <w:sz w:val="24"/>
          <w:highlight w:val="none"/>
          <w:u w:val="none"/>
          <w:lang w:val="en-US" w:eastAsia="zh-CN"/>
        </w:rPr>
        <w:t>9</w:t>
      </w:r>
      <w:r>
        <w:rPr>
          <w:rFonts w:hint="default" w:ascii="Times New Roman" w:hAnsi="Times New Roman" w:eastAsia="仿宋_GB2312" w:cs="Times New Roman"/>
          <w:i w:val="0"/>
          <w:iCs w:val="0"/>
          <w:color w:val="auto"/>
          <w:kern w:val="0"/>
          <w:sz w:val="24"/>
          <w:highlight w:val="none"/>
          <w:u w:val="none"/>
        </w:rPr>
        <w:t>00.00元，项目概况：全过程造价咨询服务，具体内容详见竞争性磋商文件，简要技术要求、用途：</w:t>
      </w:r>
      <w:r>
        <w:rPr>
          <w:rFonts w:hint="eastAsia" w:eastAsia="仿宋_GB2312" w:cs="Times New Roman"/>
          <w:i w:val="0"/>
          <w:iCs w:val="0"/>
          <w:color w:val="auto"/>
          <w:kern w:val="0"/>
          <w:sz w:val="24"/>
          <w:highlight w:val="none"/>
          <w:u w:val="none"/>
          <w:lang w:eastAsia="zh-CN"/>
        </w:rPr>
        <w:t>医院自用。</w:t>
      </w:r>
    </w:p>
    <w:p>
      <w:pPr>
        <w:autoSpaceDE w:val="0"/>
        <w:autoSpaceDN w:val="0"/>
        <w:adjustRightInd w:val="0"/>
        <w:snapToGrid w:val="0"/>
        <w:spacing w:line="580" w:lineRule="exact"/>
        <w:ind w:firstLine="480" w:firstLineChars="200"/>
        <w:rPr>
          <w:rFonts w:hint="default" w:ascii="仿宋" w:hAnsi="仿宋" w:eastAsia="仿宋" w:cs="仿宋"/>
          <w:b w:val="0"/>
          <w:bCs w:val="0"/>
          <w:color w:val="000000"/>
          <w:sz w:val="24"/>
          <w:szCs w:val="24"/>
          <w:lang w:val="en-US" w:eastAsia="zh-CN" w:bidi="ar"/>
        </w:rPr>
      </w:pPr>
      <w:r>
        <w:rPr>
          <w:rFonts w:hint="default" w:ascii="Times New Roman" w:hAnsi="Times New Roman" w:eastAsia="仿宋_GB2312" w:cs="Times New Roman"/>
          <w:i w:val="0"/>
          <w:iCs w:val="0"/>
          <w:color w:val="auto"/>
          <w:kern w:val="0"/>
          <w:sz w:val="24"/>
          <w:highlight w:val="none"/>
        </w:rPr>
        <w:t>合同履行期限：</w:t>
      </w:r>
      <w:r>
        <w:rPr>
          <w:rFonts w:hint="eastAsia" w:ascii="仿宋" w:hAnsi="仿宋" w:eastAsia="仿宋" w:cs="仿宋"/>
          <w:b w:val="0"/>
          <w:bCs w:val="0"/>
          <w:color w:val="000000"/>
          <w:sz w:val="24"/>
          <w:szCs w:val="24"/>
          <w:lang w:val="en-US" w:eastAsia="zh-CN" w:bidi="ar"/>
        </w:rPr>
        <w:t>从榆林市第三医院（市传染病医院）建设工程全过程造价咨询合同签订生效日期开始至本项目通过政府决算审计日止。</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本项目是否接受联合体投标：否</w:t>
      </w:r>
    </w:p>
    <w:p>
      <w:pPr>
        <w:keepNext w:val="0"/>
        <w:keepLines w:val="0"/>
        <w:pageBreakBefore w:val="0"/>
        <w:widowControl/>
        <w:kinsoku/>
        <w:wordWrap/>
        <w:overflowPunct/>
        <w:topLinePunct w:val="0"/>
        <w:autoSpaceDE/>
        <w:autoSpaceDN/>
        <w:bidi w:val="0"/>
        <w:adjustRightInd/>
        <w:snapToGrid w:val="0"/>
        <w:spacing w:line="500" w:lineRule="exact"/>
        <w:ind w:right="-197" w:rightChars="-94"/>
        <w:jc w:val="left"/>
        <w:textAlignment w:val="auto"/>
        <w:rPr>
          <w:rFonts w:hint="default" w:ascii="仿宋" w:hAnsi="仿宋" w:eastAsia="仿宋" w:cs="仿宋"/>
          <w:b/>
          <w:bCs/>
          <w:color w:val="auto"/>
          <w:kern w:val="0"/>
          <w:sz w:val="24"/>
          <w:highlight w:val="none"/>
          <w:lang w:eastAsia="zh-CN"/>
        </w:rPr>
      </w:pPr>
      <w:r>
        <w:rPr>
          <w:rFonts w:hint="default" w:ascii="仿宋" w:hAnsi="仿宋" w:eastAsia="仿宋" w:cs="仿宋"/>
          <w:b/>
          <w:bCs/>
          <w:color w:val="auto"/>
          <w:kern w:val="0"/>
          <w:sz w:val="24"/>
          <w:highlight w:val="none"/>
          <w:lang w:eastAsia="zh-CN"/>
        </w:rPr>
        <w:t>二、</w:t>
      </w:r>
      <w:r>
        <w:rPr>
          <w:rFonts w:hint="eastAsia" w:ascii="仿宋" w:hAnsi="仿宋" w:eastAsia="仿宋" w:cs="仿宋"/>
          <w:b/>
          <w:bCs/>
          <w:color w:val="auto"/>
          <w:kern w:val="0"/>
          <w:sz w:val="24"/>
          <w:highlight w:val="none"/>
          <w:lang w:eastAsia="zh-CN"/>
        </w:rPr>
        <w:t>申请人</w:t>
      </w:r>
      <w:r>
        <w:rPr>
          <w:rFonts w:hint="default" w:ascii="仿宋" w:hAnsi="仿宋" w:eastAsia="仿宋" w:cs="仿宋"/>
          <w:b/>
          <w:bCs/>
          <w:color w:val="auto"/>
          <w:kern w:val="0"/>
          <w:sz w:val="24"/>
          <w:highlight w:val="none"/>
          <w:lang w:eastAsia="zh-CN"/>
        </w:rPr>
        <w:t xml:space="preserve">的资格要求 </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1、满足《中华人民共和国政府采购法》第二十二条规定；</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2、落实政府采购政策需满足的资格要求：</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lang w:val="en-US" w:eastAsia="zh-CN"/>
        </w:rPr>
      </w:pPr>
      <w:r>
        <w:rPr>
          <w:rFonts w:hint="default" w:ascii="Times New Roman" w:hAnsi="Times New Roman" w:eastAsia="仿宋_GB2312" w:cs="Times New Roman"/>
          <w:i w:val="0"/>
          <w:iCs w:val="0"/>
          <w:color w:val="auto"/>
          <w:kern w:val="0"/>
          <w:sz w:val="24"/>
          <w:highlight w:val="none"/>
        </w:rPr>
        <w:t>本项目为专门面向中小企业的项目。所属行业为其他未列明行业，从业人员300人以下的为中小企业。其中、从业人员100人及以上的为中型企业；从业人员10人及以上的微小型企业；从业人员10人及以下的微型企业</w:t>
      </w:r>
      <w:r>
        <w:rPr>
          <w:rFonts w:hint="eastAsia" w:eastAsia="仿宋_GB2312" w:cs="Times New Roman"/>
          <w:i w:val="0"/>
          <w:iCs w:val="0"/>
          <w:color w:val="auto"/>
          <w:kern w:val="0"/>
          <w:sz w:val="24"/>
          <w:highlight w:val="none"/>
          <w:lang w:eastAsia="zh-CN"/>
        </w:rPr>
        <w:t>。</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3、本项目的特定资格要求：</w:t>
      </w:r>
    </w:p>
    <w:p>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 供应商应授权合法的人员参加</w:t>
      </w:r>
      <w:r>
        <w:rPr>
          <w:rFonts w:hint="eastAsia" w:ascii="仿宋" w:hAnsi="仿宋" w:eastAsia="仿宋" w:cs="仿宋"/>
          <w:sz w:val="24"/>
          <w:highlight w:val="none"/>
          <w:lang w:eastAsia="zh-CN"/>
        </w:rPr>
        <w:t>磋商</w:t>
      </w:r>
      <w:r>
        <w:rPr>
          <w:rFonts w:hint="eastAsia" w:ascii="仿宋" w:hAnsi="仿宋" w:eastAsia="仿宋" w:cs="仿宋"/>
          <w:sz w:val="24"/>
          <w:highlight w:val="none"/>
        </w:rPr>
        <w:t>全过程，其中法定代表人直接参加</w:t>
      </w:r>
      <w:r>
        <w:rPr>
          <w:rFonts w:hint="eastAsia" w:ascii="仿宋" w:hAnsi="仿宋" w:eastAsia="仿宋" w:cs="仿宋"/>
          <w:sz w:val="24"/>
          <w:highlight w:val="none"/>
          <w:lang w:eastAsia="zh-CN"/>
        </w:rPr>
        <w:t>磋商</w:t>
      </w:r>
      <w:r>
        <w:rPr>
          <w:rFonts w:hint="eastAsia" w:ascii="仿宋" w:hAnsi="仿宋" w:eastAsia="仿宋" w:cs="仿宋"/>
          <w:sz w:val="24"/>
          <w:highlight w:val="none"/>
        </w:rPr>
        <w:t>的，须出具法人身份证，并与营业执照上信息一致。法定代表人授权代表参加</w:t>
      </w:r>
      <w:r>
        <w:rPr>
          <w:rFonts w:hint="eastAsia" w:ascii="仿宋" w:hAnsi="仿宋" w:eastAsia="仿宋" w:cs="仿宋"/>
          <w:sz w:val="24"/>
          <w:highlight w:val="none"/>
          <w:lang w:eastAsia="zh-CN"/>
        </w:rPr>
        <w:t>磋商</w:t>
      </w:r>
      <w:r>
        <w:rPr>
          <w:rFonts w:hint="eastAsia" w:ascii="仿宋" w:hAnsi="仿宋" w:eastAsia="仿宋" w:cs="仿宋"/>
          <w:sz w:val="24"/>
          <w:highlight w:val="none"/>
        </w:rPr>
        <w:t>的，须出具法定代表人授权书及授权代表身份证、授权代表本单位</w:t>
      </w:r>
      <w:r>
        <w:rPr>
          <w:rFonts w:hint="eastAsia" w:ascii="仿宋" w:hAnsi="仿宋" w:eastAsia="仿宋" w:cs="仿宋"/>
          <w:sz w:val="24"/>
          <w:highlight w:val="none"/>
          <w:lang w:val="en-US" w:eastAsia="zh-CN"/>
        </w:rPr>
        <w:t>近三个月</w:t>
      </w:r>
      <w:r>
        <w:rPr>
          <w:rFonts w:hint="eastAsia" w:ascii="仿宋" w:hAnsi="仿宋" w:eastAsia="仿宋" w:cs="仿宋"/>
          <w:sz w:val="24"/>
          <w:highlight w:val="none"/>
        </w:rPr>
        <w:t>社保证明；</w:t>
      </w:r>
    </w:p>
    <w:p>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3.2供应商在递交</w:t>
      </w:r>
      <w:r>
        <w:rPr>
          <w:rFonts w:hint="eastAsia" w:ascii="仿宋" w:hAnsi="仿宋" w:eastAsia="仿宋" w:cs="仿宋"/>
          <w:sz w:val="24"/>
          <w:highlight w:val="none"/>
          <w:lang w:eastAsia="zh-CN"/>
        </w:rPr>
        <w:t>响应</w:t>
      </w:r>
      <w:r>
        <w:rPr>
          <w:rFonts w:hint="eastAsia" w:ascii="仿宋" w:hAnsi="仿宋" w:eastAsia="仿宋" w:cs="仿宋"/>
          <w:sz w:val="24"/>
          <w:highlight w:val="none"/>
        </w:rPr>
        <w:t>文件截止时间前被“信用中国”网站（www.creditchina.gov.cn）和中国政府采购网（www.ccgp.gov.cn）上被列入失信被执行人、</w:t>
      </w:r>
      <w:r>
        <w:rPr>
          <w:rFonts w:hint="eastAsia" w:ascii="仿宋" w:hAnsi="仿宋" w:eastAsia="仿宋" w:cs="仿宋"/>
          <w:sz w:val="24"/>
          <w:highlight w:val="none"/>
          <w:lang w:eastAsia="zh-CN"/>
        </w:rPr>
        <w:t>税收违法黑名单</w:t>
      </w:r>
      <w:r>
        <w:rPr>
          <w:rFonts w:hint="eastAsia" w:ascii="仿宋" w:hAnsi="仿宋" w:eastAsia="仿宋" w:cs="仿宋"/>
          <w:sz w:val="24"/>
          <w:highlight w:val="none"/>
        </w:rPr>
        <w:t>、政府采购严重违法失信行为记录名单的，不得参加</w:t>
      </w:r>
      <w:r>
        <w:rPr>
          <w:rFonts w:hint="eastAsia" w:ascii="仿宋" w:hAnsi="仿宋" w:eastAsia="仿宋" w:cs="仿宋"/>
          <w:sz w:val="24"/>
          <w:highlight w:val="none"/>
          <w:lang w:eastAsia="zh-CN"/>
        </w:rPr>
        <w:t>磋商</w:t>
      </w:r>
      <w:r>
        <w:rPr>
          <w:rFonts w:hint="eastAsia" w:ascii="仿宋" w:hAnsi="仿宋" w:eastAsia="仿宋" w:cs="仿宋"/>
          <w:sz w:val="24"/>
          <w:highlight w:val="none"/>
        </w:rPr>
        <w:t>；</w:t>
      </w:r>
    </w:p>
    <w:p>
      <w:pPr>
        <w:spacing w:line="520" w:lineRule="exact"/>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3.3供应商拟派项目负责人必须具备一级注册造价工程师资格，为本单位注册人员；</w:t>
      </w:r>
    </w:p>
    <w:p>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供应商不得存在下列情形之一：</w:t>
      </w:r>
    </w:p>
    <w:p>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（1）单位负责人为同一人或者存在直接控股、管理关系的不同供应商，不得参加本次采购活动；</w:t>
      </w:r>
    </w:p>
    <w:p>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（2）为本项目提供整体设计、规范编制或者项目管理、监理、检测等服务的供应商，不得再参加本项目的采购活动；</w:t>
      </w:r>
    </w:p>
    <w:p>
      <w:pPr>
        <w:spacing w:line="520" w:lineRule="exact"/>
        <w:ind w:firstLine="480" w:firstLineChars="200"/>
        <w:rPr>
          <w:rFonts w:hint="default"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lang w:eastAsia="zh-CN"/>
        </w:rPr>
        <w:t>）</w:t>
      </w:r>
      <w:r>
        <w:rPr>
          <w:rFonts w:hint="default" w:ascii="仿宋" w:hAnsi="仿宋" w:eastAsia="仿宋" w:cs="仿宋"/>
          <w:sz w:val="24"/>
          <w:highlight w:val="none"/>
        </w:rPr>
        <w:t>需向采购代理机构免费领取磋商文件，未向采购代理机构免费领取磋商文件的供应商均无资格参加磋商。</w:t>
      </w:r>
    </w:p>
    <w:p>
      <w:pPr>
        <w:keepNext w:val="0"/>
        <w:keepLines w:val="0"/>
        <w:pageBreakBefore w:val="0"/>
        <w:widowControl/>
        <w:kinsoku/>
        <w:wordWrap/>
        <w:overflowPunct/>
        <w:topLinePunct w:val="0"/>
        <w:autoSpaceDE/>
        <w:autoSpaceDN/>
        <w:bidi w:val="0"/>
        <w:adjustRightInd/>
        <w:snapToGrid w:val="0"/>
        <w:spacing w:line="500" w:lineRule="exact"/>
        <w:ind w:right="-197" w:rightChars="-94"/>
        <w:jc w:val="left"/>
        <w:textAlignment w:val="auto"/>
        <w:rPr>
          <w:rFonts w:hint="default" w:ascii="仿宋" w:hAnsi="仿宋" w:eastAsia="仿宋" w:cs="仿宋"/>
          <w:b/>
          <w:bCs/>
          <w:color w:val="auto"/>
          <w:kern w:val="0"/>
          <w:sz w:val="24"/>
          <w:highlight w:val="none"/>
          <w:lang w:eastAsia="zh-CN"/>
        </w:rPr>
      </w:pPr>
      <w:r>
        <w:rPr>
          <w:rFonts w:hint="default" w:ascii="仿宋" w:hAnsi="仿宋" w:eastAsia="仿宋" w:cs="仿宋"/>
          <w:b/>
          <w:bCs/>
          <w:color w:val="auto"/>
          <w:kern w:val="0"/>
          <w:sz w:val="24"/>
          <w:highlight w:val="none"/>
          <w:lang w:eastAsia="zh-CN"/>
        </w:rPr>
        <w:t>三、</w:t>
      </w:r>
      <w:r>
        <w:rPr>
          <w:rFonts w:hint="eastAsia" w:ascii="仿宋" w:hAnsi="仿宋" w:eastAsia="仿宋" w:cs="仿宋"/>
          <w:b/>
          <w:bCs/>
          <w:color w:val="auto"/>
          <w:kern w:val="0"/>
          <w:sz w:val="24"/>
          <w:highlight w:val="none"/>
          <w:lang w:eastAsia="zh-CN"/>
        </w:rPr>
        <w:t>获取</w:t>
      </w:r>
      <w:r>
        <w:rPr>
          <w:rFonts w:hint="default" w:ascii="仿宋" w:hAnsi="仿宋" w:eastAsia="仿宋" w:cs="仿宋"/>
          <w:b/>
          <w:bCs/>
          <w:color w:val="auto"/>
          <w:kern w:val="0"/>
          <w:sz w:val="24"/>
          <w:highlight w:val="none"/>
          <w:lang w:eastAsia="zh-CN"/>
        </w:rPr>
        <w:t xml:space="preserve">采购文件 </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rPr>
      </w:pPr>
      <w:r>
        <w:rPr>
          <w:rFonts w:hint="eastAsia" w:ascii="Times New Roman" w:hAnsi="Times New Roman" w:eastAsia="仿宋_GB2312" w:cs="Times New Roman"/>
          <w:i w:val="0"/>
          <w:iCs w:val="0"/>
          <w:color w:val="auto"/>
          <w:kern w:val="0"/>
          <w:sz w:val="24"/>
          <w:highlight w:val="none"/>
        </w:rPr>
        <w:t>时间：2022年</w:t>
      </w:r>
      <w:r>
        <w:rPr>
          <w:rFonts w:hint="eastAsia" w:ascii="Times New Roman" w:hAnsi="Times New Roman" w:eastAsia="仿宋_GB2312" w:cs="Times New Roman"/>
          <w:i w:val="0"/>
          <w:iCs w:val="0"/>
          <w:color w:val="auto"/>
          <w:kern w:val="0"/>
          <w:sz w:val="24"/>
          <w:highlight w:val="none"/>
          <w:lang w:val="en-US" w:eastAsia="zh-CN"/>
        </w:rPr>
        <w:t>07</w:t>
      </w:r>
      <w:r>
        <w:rPr>
          <w:rFonts w:hint="eastAsia" w:ascii="Times New Roman" w:hAnsi="Times New Roman" w:eastAsia="仿宋_GB2312" w:cs="Times New Roman"/>
          <w:i w:val="0"/>
          <w:iCs w:val="0"/>
          <w:color w:val="auto"/>
          <w:kern w:val="0"/>
          <w:sz w:val="24"/>
          <w:highlight w:val="none"/>
        </w:rPr>
        <w:t>月</w:t>
      </w:r>
      <w:r>
        <w:rPr>
          <w:rFonts w:hint="eastAsia" w:eastAsia="仿宋_GB2312" w:cs="Times New Roman"/>
          <w:i w:val="0"/>
          <w:iCs w:val="0"/>
          <w:color w:val="auto"/>
          <w:kern w:val="0"/>
          <w:sz w:val="24"/>
          <w:highlight w:val="none"/>
          <w:lang w:val="en-US" w:eastAsia="zh-CN"/>
        </w:rPr>
        <w:t>25</w:t>
      </w:r>
      <w:r>
        <w:rPr>
          <w:rFonts w:hint="eastAsia" w:ascii="Times New Roman" w:hAnsi="Times New Roman" w:eastAsia="仿宋_GB2312" w:cs="Times New Roman"/>
          <w:i w:val="0"/>
          <w:iCs w:val="0"/>
          <w:color w:val="auto"/>
          <w:kern w:val="0"/>
          <w:sz w:val="24"/>
          <w:highlight w:val="none"/>
        </w:rPr>
        <w:t>日至2022年</w:t>
      </w:r>
      <w:r>
        <w:rPr>
          <w:rFonts w:hint="eastAsia" w:ascii="Times New Roman" w:hAnsi="Times New Roman" w:eastAsia="仿宋_GB2312" w:cs="Times New Roman"/>
          <w:i w:val="0"/>
          <w:iCs w:val="0"/>
          <w:color w:val="auto"/>
          <w:kern w:val="0"/>
          <w:sz w:val="24"/>
          <w:highlight w:val="none"/>
          <w:lang w:val="en-US" w:eastAsia="zh-CN"/>
        </w:rPr>
        <w:t>07</w:t>
      </w:r>
      <w:r>
        <w:rPr>
          <w:rFonts w:hint="eastAsia" w:ascii="Times New Roman" w:hAnsi="Times New Roman" w:eastAsia="仿宋_GB2312" w:cs="Times New Roman"/>
          <w:i w:val="0"/>
          <w:iCs w:val="0"/>
          <w:color w:val="auto"/>
          <w:kern w:val="0"/>
          <w:sz w:val="24"/>
          <w:highlight w:val="none"/>
        </w:rPr>
        <w:t>月</w:t>
      </w:r>
      <w:r>
        <w:rPr>
          <w:rFonts w:hint="eastAsia" w:eastAsia="仿宋_GB2312" w:cs="Times New Roman"/>
          <w:i w:val="0"/>
          <w:iCs w:val="0"/>
          <w:color w:val="auto"/>
          <w:kern w:val="0"/>
          <w:sz w:val="24"/>
          <w:highlight w:val="none"/>
          <w:lang w:val="en-US" w:eastAsia="zh-CN"/>
        </w:rPr>
        <w:t>29</w:t>
      </w:r>
      <w:r>
        <w:rPr>
          <w:rFonts w:hint="eastAsia" w:ascii="Times New Roman" w:hAnsi="Times New Roman" w:eastAsia="仿宋_GB2312" w:cs="Times New Roman"/>
          <w:i w:val="0"/>
          <w:iCs w:val="0"/>
          <w:color w:val="auto"/>
          <w:kern w:val="0"/>
          <w:sz w:val="24"/>
          <w:highlight w:val="none"/>
        </w:rPr>
        <w:t>日 ，每天上午</w:t>
      </w:r>
      <w:r>
        <w:rPr>
          <w:rFonts w:hint="eastAsia" w:eastAsia="仿宋_GB2312" w:cs="Times New Roman"/>
          <w:i w:val="0"/>
          <w:iCs w:val="0"/>
          <w:color w:val="auto"/>
          <w:kern w:val="0"/>
          <w:sz w:val="24"/>
          <w:highlight w:val="none"/>
          <w:lang w:val="en-US" w:eastAsia="zh-CN"/>
        </w:rPr>
        <w:t>8</w:t>
      </w:r>
      <w:r>
        <w:rPr>
          <w:rFonts w:hint="eastAsia" w:ascii="Times New Roman" w:hAnsi="Times New Roman" w:eastAsia="仿宋_GB2312" w:cs="Times New Roman"/>
          <w:i w:val="0"/>
          <w:iCs w:val="0"/>
          <w:color w:val="auto"/>
          <w:kern w:val="0"/>
          <w:sz w:val="24"/>
          <w:highlight w:val="none"/>
          <w:lang w:val="en-US" w:eastAsia="zh-CN"/>
        </w:rPr>
        <w:t>0</w:t>
      </w:r>
      <w:r>
        <w:rPr>
          <w:rFonts w:hint="eastAsia" w:ascii="Times New Roman" w:hAnsi="Times New Roman" w:eastAsia="仿宋_GB2312" w:cs="Times New Roman"/>
          <w:i w:val="0"/>
          <w:iCs w:val="0"/>
          <w:color w:val="auto"/>
          <w:kern w:val="0"/>
          <w:sz w:val="24"/>
          <w:highlight w:val="none"/>
        </w:rPr>
        <w:t>:00:00至12:00:00 ，下午1</w:t>
      </w:r>
      <w:r>
        <w:rPr>
          <w:rFonts w:hint="eastAsia" w:eastAsia="仿宋_GB2312" w:cs="Times New Roman"/>
          <w:i w:val="0"/>
          <w:iCs w:val="0"/>
          <w:color w:val="auto"/>
          <w:kern w:val="0"/>
          <w:sz w:val="24"/>
          <w:highlight w:val="none"/>
          <w:lang w:val="en-US" w:eastAsia="zh-CN"/>
        </w:rPr>
        <w:t>4</w:t>
      </w:r>
      <w:r>
        <w:rPr>
          <w:rFonts w:hint="eastAsia" w:ascii="Times New Roman" w:hAnsi="Times New Roman" w:eastAsia="仿宋_GB2312" w:cs="Times New Roman"/>
          <w:i w:val="0"/>
          <w:iCs w:val="0"/>
          <w:color w:val="auto"/>
          <w:kern w:val="0"/>
          <w:sz w:val="24"/>
          <w:highlight w:val="none"/>
        </w:rPr>
        <w:t>:00:00至</w:t>
      </w:r>
      <w:r>
        <w:rPr>
          <w:rFonts w:hint="eastAsia" w:eastAsia="仿宋_GB2312" w:cs="Times New Roman"/>
          <w:i w:val="0"/>
          <w:iCs w:val="0"/>
          <w:color w:val="auto"/>
          <w:kern w:val="0"/>
          <w:sz w:val="24"/>
          <w:highlight w:val="none"/>
          <w:lang w:val="en-US" w:eastAsia="zh-CN"/>
        </w:rPr>
        <w:t>18</w:t>
      </w:r>
      <w:r>
        <w:rPr>
          <w:rFonts w:hint="eastAsia" w:ascii="Times New Roman" w:hAnsi="Times New Roman" w:eastAsia="仿宋_GB2312" w:cs="Times New Roman"/>
          <w:i w:val="0"/>
          <w:iCs w:val="0"/>
          <w:color w:val="auto"/>
          <w:kern w:val="0"/>
          <w:sz w:val="24"/>
          <w:highlight w:val="none"/>
        </w:rPr>
        <w:t>:</w:t>
      </w:r>
      <w:r>
        <w:rPr>
          <w:rFonts w:hint="eastAsia" w:eastAsia="仿宋_GB2312" w:cs="Times New Roman"/>
          <w:i w:val="0"/>
          <w:iCs w:val="0"/>
          <w:color w:val="auto"/>
          <w:kern w:val="0"/>
          <w:sz w:val="24"/>
          <w:highlight w:val="none"/>
          <w:lang w:val="en-US" w:eastAsia="zh-CN"/>
        </w:rPr>
        <w:t>00</w:t>
      </w:r>
      <w:r>
        <w:rPr>
          <w:rFonts w:hint="eastAsia" w:ascii="Times New Roman" w:hAnsi="Times New Roman" w:eastAsia="仿宋_GB2312" w:cs="Times New Roman"/>
          <w:i w:val="0"/>
          <w:iCs w:val="0"/>
          <w:color w:val="auto"/>
          <w:kern w:val="0"/>
          <w:sz w:val="24"/>
          <w:highlight w:val="none"/>
        </w:rPr>
        <w:t>:</w:t>
      </w:r>
      <w:r>
        <w:rPr>
          <w:rFonts w:hint="eastAsia" w:eastAsia="仿宋_GB2312" w:cs="Times New Roman"/>
          <w:i w:val="0"/>
          <w:iCs w:val="0"/>
          <w:color w:val="auto"/>
          <w:kern w:val="0"/>
          <w:sz w:val="24"/>
          <w:highlight w:val="none"/>
          <w:lang w:val="en-US" w:eastAsia="zh-CN"/>
        </w:rPr>
        <w:t>00</w:t>
      </w:r>
      <w:r>
        <w:rPr>
          <w:rFonts w:hint="eastAsia" w:ascii="Times New Roman" w:hAnsi="Times New Roman" w:eastAsia="仿宋_GB2312" w:cs="Times New Roman"/>
          <w:i w:val="0"/>
          <w:iCs w:val="0"/>
          <w:color w:val="auto"/>
          <w:kern w:val="0"/>
          <w:sz w:val="24"/>
          <w:highlight w:val="none"/>
        </w:rPr>
        <w:t>（北京时间,法定节假日除外）</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rPr>
      </w:pPr>
      <w:r>
        <w:rPr>
          <w:rFonts w:hint="eastAsia" w:ascii="Times New Roman" w:hAnsi="Times New Roman" w:eastAsia="仿宋_GB2312" w:cs="Times New Roman"/>
          <w:i w:val="0"/>
          <w:iCs w:val="0"/>
          <w:color w:val="auto"/>
          <w:kern w:val="0"/>
          <w:sz w:val="24"/>
          <w:highlight w:val="none"/>
        </w:rPr>
        <w:t>地点：全国公共资源交易中心平台（陕西省）使用CA锁报名后自行下载</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lang w:val="en-US" w:eastAsia="zh-CN"/>
        </w:rPr>
      </w:pPr>
      <w:r>
        <w:rPr>
          <w:rFonts w:hint="eastAsia" w:ascii="Times New Roman" w:hAnsi="Times New Roman" w:eastAsia="仿宋_GB2312" w:cs="Times New Roman"/>
          <w:i w:val="0"/>
          <w:iCs w:val="0"/>
          <w:color w:val="auto"/>
          <w:kern w:val="0"/>
          <w:sz w:val="24"/>
          <w:highlight w:val="none"/>
        </w:rPr>
        <w:t>方式：</w:t>
      </w:r>
      <w:r>
        <w:rPr>
          <w:rFonts w:hint="eastAsia" w:ascii="Times New Roman" w:hAnsi="Times New Roman" w:eastAsia="仿宋_GB2312" w:cs="Times New Roman"/>
          <w:i w:val="0"/>
          <w:iCs w:val="0"/>
          <w:color w:val="auto"/>
          <w:kern w:val="0"/>
          <w:sz w:val="24"/>
          <w:highlight w:val="none"/>
          <w:lang w:eastAsia="zh-CN"/>
        </w:rPr>
        <w:t>在线获取</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lang w:val="en-US" w:eastAsia="zh-CN"/>
        </w:rPr>
      </w:pPr>
      <w:r>
        <w:rPr>
          <w:rFonts w:hint="eastAsia" w:ascii="Times New Roman" w:hAnsi="Times New Roman" w:eastAsia="仿宋_GB2312" w:cs="Times New Roman"/>
          <w:i w:val="0"/>
          <w:iCs w:val="0"/>
          <w:color w:val="auto"/>
          <w:kern w:val="0"/>
          <w:sz w:val="24"/>
          <w:highlight w:val="none"/>
        </w:rPr>
        <w:t>售价：免费</w:t>
      </w:r>
      <w:r>
        <w:rPr>
          <w:rFonts w:hint="eastAsia" w:ascii="Times New Roman" w:hAnsi="Times New Roman" w:eastAsia="仿宋_GB2312" w:cs="Times New Roman"/>
          <w:i w:val="0"/>
          <w:iCs w:val="0"/>
          <w:color w:val="auto"/>
          <w:kern w:val="0"/>
          <w:sz w:val="24"/>
          <w:highlight w:val="none"/>
          <w:lang w:eastAsia="zh-CN"/>
        </w:rPr>
        <w:t>获取</w:t>
      </w:r>
    </w:p>
    <w:p>
      <w:pPr>
        <w:keepNext w:val="0"/>
        <w:keepLines w:val="0"/>
        <w:pageBreakBefore w:val="0"/>
        <w:widowControl/>
        <w:kinsoku/>
        <w:wordWrap/>
        <w:overflowPunct/>
        <w:topLinePunct w:val="0"/>
        <w:autoSpaceDE/>
        <w:autoSpaceDN/>
        <w:bidi w:val="0"/>
        <w:adjustRightInd/>
        <w:snapToGrid w:val="0"/>
        <w:spacing w:line="500" w:lineRule="exact"/>
        <w:ind w:right="-197" w:rightChars="-94"/>
        <w:jc w:val="left"/>
        <w:textAlignment w:val="auto"/>
        <w:rPr>
          <w:rFonts w:hint="default" w:ascii="仿宋" w:hAnsi="仿宋" w:eastAsia="仿宋" w:cs="仿宋"/>
          <w:b/>
          <w:bCs/>
          <w:color w:val="auto"/>
          <w:kern w:val="0"/>
          <w:sz w:val="24"/>
          <w:highlight w:val="none"/>
          <w:lang w:eastAsia="zh-CN"/>
        </w:rPr>
      </w:pPr>
      <w:r>
        <w:rPr>
          <w:rFonts w:hint="default" w:ascii="仿宋" w:hAnsi="仿宋" w:eastAsia="仿宋" w:cs="仿宋"/>
          <w:b/>
          <w:bCs/>
          <w:color w:val="auto"/>
          <w:kern w:val="0"/>
          <w:sz w:val="24"/>
          <w:highlight w:val="none"/>
          <w:lang w:eastAsia="zh-CN"/>
        </w:rPr>
        <w:t>四、响应文件</w:t>
      </w:r>
      <w:r>
        <w:rPr>
          <w:rFonts w:hint="eastAsia" w:ascii="仿宋" w:hAnsi="仿宋" w:eastAsia="仿宋" w:cs="仿宋"/>
          <w:b/>
          <w:bCs/>
          <w:color w:val="auto"/>
          <w:kern w:val="0"/>
          <w:sz w:val="24"/>
          <w:highlight w:val="none"/>
          <w:lang w:eastAsia="zh-CN"/>
        </w:rPr>
        <w:t>提</w:t>
      </w:r>
      <w:r>
        <w:rPr>
          <w:rFonts w:hint="default" w:ascii="仿宋" w:hAnsi="仿宋" w:eastAsia="仿宋" w:cs="仿宋"/>
          <w:b/>
          <w:bCs/>
          <w:color w:val="auto"/>
          <w:kern w:val="0"/>
          <w:sz w:val="24"/>
          <w:highlight w:val="none"/>
          <w:lang w:eastAsia="zh-CN"/>
        </w:rPr>
        <w:t xml:space="preserve">交 </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rPr>
      </w:pPr>
      <w:r>
        <w:rPr>
          <w:rFonts w:hint="eastAsia" w:ascii="Times New Roman" w:hAnsi="Times New Roman" w:eastAsia="仿宋_GB2312" w:cs="Times New Roman"/>
          <w:i w:val="0"/>
          <w:iCs w:val="0"/>
          <w:color w:val="auto"/>
          <w:kern w:val="0"/>
          <w:sz w:val="24"/>
          <w:highlight w:val="none"/>
        </w:rPr>
        <w:t>截止时间：2022年0</w:t>
      </w:r>
      <w:r>
        <w:rPr>
          <w:rFonts w:hint="eastAsia" w:eastAsia="仿宋_GB2312" w:cs="Times New Roman"/>
          <w:i w:val="0"/>
          <w:iCs w:val="0"/>
          <w:color w:val="auto"/>
          <w:kern w:val="0"/>
          <w:sz w:val="24"/>
          <w:highlight w:val="none"/>
          <w:lang w:val="en-US" w:eastAsia="zh-CN"/>
        </w:rPr>
        <w:t>8</w:t>
      </w:r>
      <w:r>
        <w:rPr>
          <w:rFonts w:hint="eastAsia" w:ascii="Times New Roman" w:hAnsi="Times New Roman" w:eastAsia="仿宋_GB2312" w:cs="Times New Roman"/>
          <w:i w:val="0"/>
          <w:iCs w:val="0"/>
          <w:color w:val="auto"/>
          <w:kern w:val="0"/>
          <w:sz w:val="24"/>
          <w:highlight w:val="none"/>
        </w:rPr>
        <w:t>月</w:t>
      </w:r>
      <w:r>
        <w:rPr>
          <w:rFonts w:hint="eastAsia" w:eastAsia="仿宋_GB2312" w:cs="Times New Roman"/>
          <w:i w:val="0"/>
          <w:iCs w:val="0"/>
          <w:color w:val="auto"/>
          <w:kern w:val="0"/>
          <w:sz w:val="24"/>
          <w:highlight w:val="none"/>
          <w:lang w:val="en-US" w:eastAsia="zh-CN"/>
        </w:rPr>
        <w:t>04</w:t>
      </w:r>
      <w:r>
        <w:rPr>
          <w:rFonts w:hint="eastAsia" w:ascii="Times New Roman" w:hAnsi="Times New Roman" w:eastAsia="仿宋_GB2312" w:cs="Times New Roman"/>
          <w:i w:val="0"/>
          <w:iCs w:val="0"/>
          <w:color w:val="auto"/>
          <w:kern w:val="0"/>
          <w:sz w:val="24"/>
          <w:highlight w:val="none"/>
        </w:rPr>
        <w:t>日</w:t>
      </w:r>
      <w:r>
        <w:rPr>
          <w:rFonts w:hint="eastAsia" w:eastAsia="仿宋_GB2312" w:cs="Times New Roman"/>
          <w:i w:val="0"/>
          <w:iCs w:val="0"/>
          <w:color w:val="auto"/>
          <w:kern w:val="0"/>
          <w:sz w:val="24"/>
          <w:highlight w:val="none"/>
          <w:lang w:val="en-US" w:eastAsia="zh-CN"/>
        </w:rPr>
        <w:t>13</w:t>
      </w:r>
      <w:r>
        <w:rPr>
          <w:rFonts w:hint="eastAsia" w:ascii="Times New Roman" w:hAnsi="Times New Roman" w:eastAsia="仿宋_GB2312" w:cs="Times New Roman"/>
          <w:i w:val="0"/>
          <w:iCs w:val="0"/>
          <w:color w:val="auto"/>
          <w:kern w:val="0"/>
          <w:sz w:val="24"/>
          <w:highlight w:val="none"/>
        </w:rPr>
        <w:t>时30分00秒（北京时间）</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lang w:val="en-US" w:eastAsia="zh-CN"/>
        </w:rPr>
      </w:pPr>
      <w:r>
        <w:rPr>
          <w:rFonts w:hint="eastAsia" w:ascii="Times New Roman" w:hAnsi="Times New Roman" w:eastAsia="仿宋_GB2312" w:cs="Times New Roman"/>
          <w:i w:val="0"/>
          <w:iCs w:val="0"/>
          <w:color w:val="auto"/>
          <w:kern w:val="0"/>
          <w:sz w:val="24"/>
          <w:highlight w:val="none"/>
        </w:rPr>
        <w:t>地点：榆林市公共资源交易中心</w:t>
      </w:r>
      <w:r>
        <w:rPr>
          <w:rFonts w:hint="eastAsia" w:ascii="Times New Roman" w:hAnsi="Times New Roman" w:eastAsia="仿宋_GB2312" w:cs="Times New Roman"/>
          <w:i w:val="0"/>
          <w:iCs w:val="0"/>
          <w:color w:val="auto"/>
          <w:kern w:val="0"/>
          <w:sz w:val="24"/>
          <w:highlight w:val="none"/>
          <w:lang w:val="en-US" w:eastAsia="zh-CN"/>
        </w:rPr>
        <w:t>10楼不见面开标</w:t>
      </w:r>
      <w:r>
        <w:rPr>
          <w:rFonts w:hint="eastAsia" w:eastAsia="仿宋_GB2312" w:cs="Times New Roman"/>
          <w:i w:val="0"/>
          <w:iCs w:val="0"/>
          <w:color w:val="auto"/>
          <w:kern w:val="0"/>
          <w:sz w:val="24"/>
          <w:highlight w:val="none"/>
          <w:lang w:val="en-US" w:eastAsia="zh-CN"/>
        </w:rPr>
        <w:t>5</w:t>
      </w:r>
      <w:r>
        <w:rPr>
          <w:rFonts w:hint="eastAsia" w:ascii="Times New Roman" w:hAnsi="Times New Roman" w:eastAsia="仿宋_GB2312" w:cs="Times New Roman"/>
          <w:i w:val="0"/>
          <w:iCs w:val="0"/>
          <w:color w:val="auto"/>
          <w:kern w:val="0"/>
          <w:sz w:val="24"/>
          <w:highlight w:val="none"/>
          <w:lang w:val="en-US" w:eastAsia="zh-CN"/>
        </w:rPr>
        <w:t>室</w:t>
      </w:r>
    </w:p>
    <w:p>
      <w:pPr>
        <w:keepNext w:val="0"/>
        <w:keepLines w:val="0"/>
        <w:pageBreakBefore w:val="0"/>
        <w:widowControl/>
        <w:kinsoku/>
        <w:wordWrap/>
        <w:overflowPunct/>
        <w:topLinePunct w:val="0"/>
        <w:autoSpaceDE/>
        <w:autoSpaceDN/>
        <w:bidi w:val="0"/>
        <w:adjustRightInd/>
        <w:snapToGrid w:val="0"/>
        <w:spacing w:line="500" w:lineRule="exact"/>
        <w:ind w:right="-197" w:rightChars="-94"/>
        <w:jc w:val="left"/>
        <w:textAlignment w:val="auto"/>
        <w:rPr>
          <w:rFonts w:hint="eastAsia" w:ascii="仿宋" w:hAnsi="仿宋" w:eastAsia="仿宋" w:cs="仿宋"/>
          <w:b/>
          <w:bCs/>
          <w:color w:val="auto"/>
          <w:kern w:val="0"/>
          <w:sz w:val="24"/>
          <w:highlight w:val="none"/>
          <w:lang w:eastAsia="zh-CN"/>
        </w:rPr>
      </w:pPr>
      <w:r>
        <w:rPr>
          <w:rFonts w:hint="eastAsia" w:ascii="仿宋" w:hAnsi="仿宋" w:eastAsia="仿宋" w:cs="仿宋"/>
          <w:b/>
          <w:bCs/>
          <w:color w:val="auto"/>
          <w:kern w:val="0"/>
          <w:sz w:val="24"/>
          <w:highlight w:val="none"/>
          <w:lang w:eastAsia="zh-CN"/>
        </w:rPr>
        <w:t>五</w:t>
      </w:r>
      <w:r>
        <w:rPr>
          <w:rFonts w:hint="eastAsia" w:ascii="仿宋" w:hAnsi="仿宋" w:eastAsia="仿宋" w:cs="仿宋"/>
          <w:b/>
          <w:bCs/>
          <w:color w:val="auto"/>
          <w:kern w:val="0"/>
          <w:sz w:val="24"/>
          <w:highlight w:val="none"/>
          <w:lang w:val="en-US" w:eastAsia="zh-CN"/>
        </w:rPr>
        <w:t>、</w:t>
      </w:r>
      <w:r>
        <w:rPr>
          <w:rFonts w:hint="eastAsia" w:ascii="仿宋" w:hAnsi="仿宋" w:eastAsia="仿宋" w:cs="仿宋"/>
          <w:b/>
          <w:bCs/>
          <w:color w:val="auto"/>
          <w:kern w:val="0"/>
          <w:sz w:val="24"/>
          <w:highlight w:val="none"/>
          <w:lang w:eastAsia="zh-CN"/>
        </w:rPr>
        <w:t>开启</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rPr>
      </w:pPr>
      <w:r>
        <w:rPr>
          <w:rFonts w:hint="eastAsia" w:ascii="Times New Roman" w:hAnsi="Times New Roman" w:eastAsia="仿宋_GB2312" w:cs="Times New Roman"/>
          <w:i w:val="0"/>
          <w:iCs w:val="0"/>
          <w:color w:val="auto"/>
          <w:kern w:val="0"/>
          <w:sz w:val="24"/>
          <w:highlight w:val="none"/>
        </w:rPr>
        <w:t>时间：2022年0</w:t>
      </w:r>
      <w:r>
        <w:rPr>
          <w:rFonts w:hint="eastAsia" w:eastAsia="仿宋_GB2312" w:cs="Times New Roman"/>
          <w:i w:val="0"/>
          <w:iCs w:val="0"/>
          <w:color w:val="auto"/>
          <w:kern w:val="0"/>
          <w:sz w:val="24"/>
          <w:highlight w:val="none"/>
          <w:lang w:val="en-US" w:eastAsia="zh-CN"/>
        </w:rPr>
        <w:t>8</w:t>
      </w:r>
      <w:r>
        <w:rPr>
          <w:rFonts w:hint="eastAsia" w:ascii="Times New Roman" w:hAnsi="Times New Roman" w:eastAsia="仿宋_GB2312" w:cs="Times New Roman"/>
          <w:i w:val="0"/>
          <w:iCs w:val="0"/>
          <w:color w:val="auto"/>
          <w:kern w:val="0"/>
          <w:sz w:val="24"/>
          <w:highlight w:val="none"/>
        </w:rPr>
        <w:t>月</w:t>
      </w:r>
      <w:r>
        <w:rPr>
          <w:rFonts w:hint="eastAsia" w:eastAsia="仿宋_GB2312" w:cs="Times New Roman"/>
          <w:i w:val="0"/>
          <w:iCs w:val="0"/>
          <w:color w:val="auto"/>
          <w:kern w:val="0"/>
          <w:sz w:val="24"/>
          <w:highlight w:val="none"/>
          <w:lang w:val="en-US" w:eastAsia="zh-CN"/>
        </w:rPr>
        <w:t>04</w:t>
      </w:r>
      <w:r>
        <w:rPr>
          <w:rFonts w:hint="eastAsia" w:ascii="Times New Roman" w:hAnsi="Times New Roman" w:eastAsia="仿宋_GB2312" w:cs="Times New Roman"/>
          <w:i w:val="0"/>
          <w:iCs w:val="0"/>
          <w:color w:val="auto"/>
          <w:kern w:val="0"/>
          <w:sz w:val="24"/>
          <w:highlight w:val="none"/>
        </w:rPr>
        <w:t>日</w:t>
      </w:r>
      <w:r>
        <w:rPr>
          <w:rFonts w:hint="eastAsia" w:eastAsia="仿宋_GB2312" w:cs="Times New Roman"/>
          <w:i w:val="0"/>
          <w:iCs w:val="0"/>
          <w:color w:val="auto"/>
          <w:kern w:val="0"/>
          <w:sz w:val="24"/>
          <w:highlight w:val="none"/>
          <w:lang w:val="en-US" w:eastAsia="zh-CN"/>
        </w:rPr>
        <w:t>13</w:t>
      </w:r>
      <w:r>
        <w:rPr>
          <w:rFonts w:hint="eastAsia" w:ascii="Times New Roman" w:hAnsi="Times New Roman" w:eastAsia="仿宋_GB2312" w:cs="Times New Roman"/>
          <w:i w:val="0"/>
          <w:iCs w:val="0"/>
          <w:color w:val="auto"/>
          <w:kern w:val="0"/>
          <w:sz w:val="24"/>
          <w:highlight w:val="none"/>
        </w:rPr>
        <w:t>时30分00秒（北京时间）</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rPr>
      </w:pPr>
      <w:r>
        <w:rPr>
          <w:rFonts w:hint="eastAsia" w:ascii="Times New Roman" w:hAnsi="Times New Roman" w:eastAsia="仿宋_GB2312" w:cs="Times New Roman"/>
          <w:i w:val="0"/>
          <w:iCs w:val="0"/>
          <w:color w:val="auto"/>
          <w:kern w:val="0"/>
          <w:sz w:val="24"/>
          <w:highlight w:val="none"/>
        </w:rPr>
        <w:t>地点：榆林市公共资源交易中心</w:t>
      </w:r>
      <w:r>
        <w:rPr>
          <w:rFonts w:hint="eastAsia" w:ascii="Times New Roman" w:hAnsi="Times New Roman" w:eastAsia="仿宋_GB2312" w:cs="Times New Roman"/>
          <w:i w:val="0"/>
          <w:iCs w:val="0"/>
          <w:color w:val="auto"/>
          <w:kern w:val="0"/>
          <w:sz w:val="24"/>
          <w:highlight w:val="none"/>
          <w:lang w:val="en-US" w:eastAsia="zh-CN"/>
        </w:rPr>
        <w:t>10楼不见面开标</w:t>
      </w:r>
      <w:r>
        <w:rPr>
          <w:rFonts w:hint="eastAsia" w:eastAsia="仿宋_GB2312" w:cs="Times New Roman"/>
          <w:i w:val="0"/>
          <w:iCs w:val="0"/>
          <w:color w:val="auto"/>
          <w:kern w:val="0"/>
          <w:sz w:val="24"/>
          <w:highlight w:val="none"/>
          <w:lang w:val="en-US" w:eastAsia="zh-CN"/>
        </w:rPr>
        <w:t>5</w:t>
      </w:r>
      <w:r>
        <w:rPr>
          <w:rFonts w:hint="eastAsia" w:ascii="Times New Roman" w:hAnsi="Times New Roman" w:eastAsia="仿宋_GB2312" w:cs="Times New Roman"/>
          <w:i w:val="0"/>
          <w:iCs w:val="0"/>
          <w:color w:val="auto"/>
          <w:kern w:val="0"/>
          <w:sz w:val="24"/>
          <w:highlight w:val="none"/>
          <w:lang w:val="en-US" w:eastAsia="zh-CN"/>
        </w:rPr>
        <w:t>室</w:t>
      </w:r>
    </w:p>
    <w:p>
      <w:pPr>
        <w:keepNext w:val="0"/>
        <w:keepLines w:val="0"/>
        <w:pageBreakBefore w:val="0"/>
        <w:widowControl/>
        <w:kinsoku/>
        <w:wordWrap/>
        <w:overflowPunct/>
        <w:topLinePunct w:val="0"/>
        <w:autoSpaceDE/>
        <w:autoSpaceDN/>
        <w:bidi w:val="0"/>
        <w:adjustRightInd/>
        <w:snapToGrid w:val="0"/>
        <w:spacing w:line="500" w:lineRule="exact"/>
        <w:ind w:right="-197" w:rightChars="-94"/>
        <w:jc w:val="left"/>
        <w:textAlignment w:val="auto"/>
        <w:rPr>
          <w:rFonts w:hint="default" w:ascii="仿宋" w:hAnsi="仿宋" w:eastAsia="仿宋" w:cs="仿宋"/>
          <w:b/>
          <w:bCs/>
          <w:color w:val="auto"/>
          <w:kern w:val="0"/>
          <w:sz w:val="24"/>
          <w:highlight w:val="none"/>
          <w:lang w:eastAsia="zh-CN"/>
        </w:rPr>
      </w:pPr>
      <w:r>
        <w:rPr>
          <w:rFonts w:hint="eastAsia" w:ascii="仿宋" w:hAnsi="仿宋" w:eastAsia="仿宋" w:cs="仿宋"/>
          <w:b/>
          <w:bCs/>
          <w:color w:val="auto"/>
          <w:kern w:val="0"/>
          <w:sz w:val="24"/>
          <w:highlight w:val="none"/>
          <w:lang w:eastAsia="zh-CN"/>
        </w:rPr>
        <w:t>六</w:t>
      </w:r>
      <w:r>
        <w:rPr>
          <w:rFonts w:hint="default" w:ascii="仿宋" w:hAnsi="仿宋" w:eastAsia="仿宋" w:cs="仿宋"/>
          <w:b/>
          <w:bCs/>
          <w:color w:val="auto"/>
          <w:kern w:val="0"/>
          <w:sz w:val="24"/>
          <w:highlight w:val="none"/>
          <w:lang w:eastAsia="zh-CN"/>
        </w:rPr>
        <w:t>、公告期限</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lang w:eastAsia="zh-CN"/>
        </w:rPr>
      </w:pPr>
      <w:r>
        <w:rPr>
          <w:rFonts w:hint="default" w:ascii="Times New Roman" w:hAnsi="Times New Roman" w:eastAsia="仿宋_GB2312" w:cs="Times New Roman"/>
          <w:i w:val="0"/>
          <w:iCs w:val="0"/>
          <w:color w:val="auto"/>
          <w:kern w:val="0"/>
          <w:sz w:val="24"/>
          <w:highlight w:val="none"/>
        </w:rPr>
        <w:t>自本公告发布之日起</w:t>
      </w:r>
      <w:r>
        <w:rPr>
          <w:rFonts w:hint="eastAsia" w:eastAsia="仿宋_GB2312" w:cs="Times New Roman"/>
          <w:i w:val="0"/>
          <w:iCs w:val="0"/>
          <w:color w:val="auto"/>
          <w:kern w:val="0"/>
          <w:sz w:val="24"/>
          <w:highlight w:val="none"/>
          <w:lang w:val="en-US" w:eastAsia="zh-CN"/>
        </w:rPr>
        <w:t>3</w:t>
      </w:r>
      <w:r>
        <w:rPr>
          <w:rFonts w:hint="default" w:ascii="Times New Roman" w:hAnsi="Times New Roman" w:eastAsia="仿宋_GB2312" w:cs="Times New Roman"/>
          <w:i w:val="0"/>
          <w:iCs w:val="0"/>
          <w:color w:val="auto"/>
          <w:kern w:val="0"/>
          <w:sz w:val="24"/>
          <w:highlight w:val="none"/>
        </w:rPr>
        <w:t>个工作日</w:t>
      </w:r>
      <w:r>
        <w:rPr>
          <w:rFonts w:hint="eastAsia" w:eastAsia="仿宋_GB2312" w:cs="Times New Roman"/>
          <w:i w:val="0"/>
          <w:iCs w:val="0"/>
          <w:color w:val="auto"/>
          <w:kern w:val="0"/>
          <w:sz w:val="24"/>
          <w:highlight w:val="none"/>
          <w:lang w:eastAsia="zh-CN"/>
        </w:rPr>
        <w:t>。</w:t>
      </w:r>
    </w:p>
    <w:p>
      <w:pPr>
        <w:keepNext w:val="0"/>
        <w:keepLines w:val="0"/>
        <w:pageBreakBefore w:val="0"/>
        <w:widowControl/>
        <w:kinsoku/>
        <w:wordWrap/>
        <w:overflowPunct/>
        <w:topLinePunct w:val="0"/>
        <w:autoSpaceDE/>
        <w:autoSpaceDN/>
        <w:bidi w:val="0"/>
        <w:adjustRightInd/>
        <w:snapToGrid w:val="0"/>
        <w:spacing w:line="500" w:lineRule="exact"/>
        <w:ind w:right="-197" w:rightChars="-94"/>
        <w:jc w:val="left"/>
        <w:textAlignment w:val="auto"/>
        <w:rPr>
          <w:rFonts w:hint="default" w:ascii="仿宋" w:hAnsi="仿宋" w:eastAsia="仿宋" w:cs="仿宋"/>
          <w:b/>
          <w:bCs/>
          <w:color w:val="auto"/>
          <w:kern w:val="0"/>
          <w:sz w:val="24"/>
          <w:highlight w:val="none"/>
          <w:lang w:eastAsia="zh-CN"/>
        </w:rPr>
      </w:pPr>
      <w:r>
        <w:rPr>
          <w:rFonts w:hint="eastAsia" w:ascii="仿宋" w:hAnsi="仿宋" w:eastAsia="仿宋" w:cs="仿宋"/>
          <w:b/>
          <w:bCs/>
          <w:color w:val="auto"/>
          <w:kern w:val="0"/>
          <w:sz w:val="24"/>
          <w:highlight w:val="none"/>
          <w:lang w:eastAsia="zh-CN"/>
        </w:rPr>
        <w:t>七</w:t>
      </w:r>
      <w:r>
        <w:rPr>
          <w:rFonts w:hint="default" w:ascii="仿宋" w:hAnsi="仿宋" w:eastAsia="仿宋" w:cs="仿宋"/>
          <w:b/>
          <w:bCs/>
          <w:color w:val="auto"/>
          <w:kern w:val="0"/>
          <w:sz w:val="24"/>
          <w:highlight w:val="none"/>
          <w:lang w:eastAsia="zh-CN"/>
        </w:rPr>
        <w:t>、其他补充事宜</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rPr>
      </w:pPr>
      <w:r>
        <w:rPr>
          <w:rFonts w:hint="eastAsia" w:eastAsia="仿宋_GB2312" w:cs="Times New Roman"/>
          <w:i w:val="0"/>
          <w:iCs w:val="0"/>
          <w:color w:val="auto"/>
          <w:kern w:val="0"/>
          <w:sz w:val="24"/>
          <w:highlight w:val="none"/>
          <w:lang w:val="en-US" w:eastAsia="zh-CN"/>
        </w:rPr>
        <w:t>1</w:t>
      </w:r>
      <w:r>
        <w:rPr>
          <w:rFonts w:hint="eastAsia" w:ascii="Times New Roman" w:hAnsi="Times New Roman" w:eastAsia="仿宋_GB2312" w:cs="Times New Roman"/>
          <w:i w:val="0"/>
          <w:iCs w:val="0"/>
          <w:color w:val="auto"/>
          <w:kern w:val="0"/>
          <w:sz w:val="24"/>
          <w:highlight w:val="none"/>
        </w:rPr>
        <w:t>、落实政府采购政策：</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default" w:ascii="Times New Roman" w:hAnsi="Times New Roman" w:eastAsia="仿宋_GB2312" w:cs="Times New Roman"/>
          <w:i w:val="0"/>
          <w:iCs w:val="0"/>
          <w:color w:val="auto"/>
          <w:kern w:val="0"/>
          <w:sz w:val="24"/>
          <w:highlight w:val="none"/>
        </w:rPr>
      </w:pPr>
      <w:r>
        <w:rPr>
          <w:rFonts w:hint="eastAsia" w:eastAsia="仿宋_GB2312" w:cs="Times New Roman"/>
          <w:i w:val="0"/>
          <w:iCs w:val="0"/>
          <w:color w:val="auto"/>
          <w:kern w:val="0"/>
          <w:sz w:val="24"/>
          <w:highlight w:val="none"/>
          <w:lang w:val="en-US" w:eastAsia="zh-CN"/>
        </w:rPr>
        <w:t>1</w:t>
      </w:r>
      <w:r>
        <w:rPr>
          <w:rFonts w:hint="default" w:ascii="Times New Roman" w:hAnsi="Times New Roman" w:eastAsia="仿宋_GB2312" w:cs="Times New Roman"/>
          <w:i w:val="0"/>
          <w:iCs w:val="0"/>
          <w:color w:val="auto"/>
          <w:kern w:val="0"/>
          <w:sz w:val="24"/>
          <w:highlight w:val="none"/>
        </w:rPr>
        <w:t>.1 《关于进一步加大政府采购支持中小企业力度的通知》（财库〔2022〕19号）、《政府采购促进中小企业发展管理办法》（财库〔2020〕46号）、《关于政府采购支持监狱企业发展有关问题的通知》（财库〔2014〕68号）、《关于促进残疾人就业政府采购政策的通知》（财库〔2017〕141号）。</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default" w:ascii="Times New Roman" w:hAnsi="Times New Roman" w:eastAsia="仿宋_GB2312" w:cs="Times New Roman"/>
          <w:i w:val="0"/>
          <w:iCs w:val="0"/>
          <w:color w:val="auto"/>
          <w:kern w:val="0"/>
          <w:sz w:val="24"/>
          <w:highlight w:val="none"/>
        </w:rPr>
      </w:pPr>
      <w:r>
        <w:rPr>
          <w:rFonts w:hint="eastAsia" w:eastAsia="仿宋_GB2312" w:cs="Times New Roman"/>
          <w:i w:val="0"/>
          <w:iCs w:val="0"/>
          <w:color w:val="auto"/>
          <w:kern w:val="0"/>
          <w:sz w:val="24"/>
          <w:highlight w:val="none"/>
          <w:lang w:val="en-US" w:eastAsia="zh-CN"/>
        </w:rPr>
        <w:t>1</w:t>
      </w:r>
      <w:r>
        <w:rPr>
          <w:rFonts w:hint="default" w:ascii="Times New Roman" w:hAnsi="Times New Roman" w:eastAsia="仿宋_GB2312" w:cs="Times New Roman"/>
          <w:i w:val="0"/>
          <w:iCs w:val="0"/>
          <w:color w:val="auto"/>
          <w:kern w:val="0"/>
          <w:sz w:val="24"/>
          <w:highlight w:val="none"/>
        </w:rPr>
        <w:t>.2 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督总局联合印发《关于调整优化节能产品、环境标志产品政府采购执行机制的通知》（财库〔2019〕9号）、《关于印发环境标志产品政府采购品目清单的通知》（财库〔2019〕18号）、《关于印发节能产品政府采购品目清单的通知》（财库〔2019〕19号）</w:t>
      </w:r>
      <w:r>
        <w:rPr>
          <w:rFonts w:hint="eastAsia" w:ascii="Times New Roman" w:hAnsi="Times New Roman" w:eastAsia="仿宋_GB2312" w:cs="Times New Roman"/>
          <w:i w:val="0"/>
          <w:iCs w:val="0"/>
          <w:color w:val="auto"/>
          <w:kern w:val="0"/>
          <w:sz w:val="24"/>
          <w:highlight w:val="none"/>
        </w:rPr>
        <w:t>、《财政部民政部中国残疾人联合会关于促进残疾人就业政府采购政策的通知》（财库〔2017〕141号）、《关于在政府采购活动中查询及使用信用记录有关问题的通知》（财库〔2016〕125号）</w:t>
      </w:r>
      <w:r>
        <w:rPr>
          <w:rFonts w:hint="default" w:ascii="Times New Roman" w:hAnsi="Times New Roman" w:eastAsia="仿宋_GB2312" w:cs="Times New Roman"/>
          <w:i w:val="0"/>
          <w:iCs w:val="0"/>
          <w:color w:val="auto"/>
          <w:kern w:val="0"/>
          <w:sz w:val="24"/>
          <w:highlight w:val="none"/>
        </w:rPr>
        <w:t>。</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default" w:ascii="Times New Roman" w:hAnsi="Times New Roman" w:eastAsia="仿宋_GB2312" w:cs="Times New Roman"/>
          <w:i w:val="0"/>
          <w:iCs w:val="0"/>
          <w:color w:val="auto"/>
          <w:kern w:val="0"/>
          <w:sz w:val="24"/>
          <w:highlight w:val="none"/>
        </w:rPr>
      </w:pPr>
      <w:r>
        <w:rPr>
          <w:rFonts w:hint="eastAsia" w:eastAsia="仿宋_GB2312" w:cs="Times New Roman"/>
          <w:i w:val="0"/>
          <w:iCs w:val="0"/>
          <w:color w:val="auto"/>
          <w:kern w:val="0"/>
          <w:sz w:val="24"/>
          <w:highlight w:val="none"/>
          <w:lang w:val="en-US" w:eastAsia="zh-CN"/>
        </w:rPr>
        <w:t>1</w:t>
      </w:r>
      <w:r>
        <w:rPr>
          <w:rFonts w:hint="default" w:ascii="Times New Roman" w:hAnsi="Times New Roman" w:eastAsia="仿宋_GB2312" w:cs="Times New Roman"/>
          <w:i w:val="0"/>
          <w:iCs w:val="0"/>
          <w:color w:val="auto"/>
          <w:kern w:val="0"/>
          <w:sz w:val="24"/>
          <w:highlight w:val="none"/>
        </w:rPr>
        <w:t>.3  《财政部农业农村部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default" w:ascii="Times New Roman" w:hAnsi="Times New Roman" w:eastAsia="仿宋_GB2312" w:cs="Times New Roman"/>
          <w:i w:val="0"/>
          <w:iCs w:val="0"/>
          <w:color w:val="auto"/>
          <w:kern w:val="0"/>
          <w:sz w:val="24"/>
          <w:highlight w:val="none"/>
        </w:rPr>
      </w:pPr>
      <w:r>
        <w:rPr>
          <w:rFonts w:hint="eastAsia" w:eastAsia="仿宋_GB2312" w:cs="Times New Roman"/>
          <w:i w:val="0"/>
          <w:iCs w:val="0"/>
          <w:color w:val="auto"/>
          <w:kern w:val="0"/>
          <w:sz w:val="24"/>
          <w:highlight w:val="none"/>
          <w:lang w:val="en-US" w:eastAsia="zh-CN"/>
        </w:rPr>
        <w:t>1</w:t>
      </w:r>
      <w:r>
        <w:rPr>
          <w:rFonts w:hint="default" w:ascii="Times New Roman" w:hAnsi="Times New Roman" w:eastAsia="仿宋_GB2312" w:cs="Times New Roman"/>
          <w:i w:val="0"/>
          <w:iCs w:val="0"/>
          <w:color w:val="auto"/>
          <w:kern w:val="0"/>
          <w:sz w:val="24"/>
          <w:highlight w:val="none"/>
        </w:rPr>
        <w:t>.4  《陕西省财政厅关于加快推进我省中小企业政府采购信用融资工作的通知》（陕财办采〔2020〕15 号）、陕西省财政厅关于印发《陕西省中小企业政府采购信用融资办法》（陕财办采〔2018〕23 号）</w:t>
      </w:r>
      <w:r>
        <w:rPr>
          <w:rFonts w:hint="eastAsia" w:ascii="Times New Roman" w:hAnsi="Times New Roman" w:eastAsia="仿宋_GB2312" w:cs="Times New Roman"/>
          <w:i w:val="0"/>
          <w:iCs w:val="0"/>
          <w:color w:val="auto"/>
          <w:kern w:val="0"/>
          <w:sz w:val="24"/>
          <w:highlight w:val="none"/>
        </w:rPr>
        <w:t>、榆林市财政局关于转发《陕西省财政厅关于进一步加大政府采购支持中小企业力度的通知》榆政财采发〔2022〕9号、《榆林市财政局关于进一步加大政府采购支持中小企业力度的通知》榆政财采发〔2022〕</w:t>
      </w:r>
      <w:r>
        <w:rPr>
          <w:rFonts w:hint="eastAsia" w:eastAsia="仿宋_GB2312" w:cs="Times New Roman"/>
          <w:i w:val="0"/>
          <w:iCs w:val="0"/>
          <w:color w:val="auto"/>
          <w:kern w:val="0"/>
          <w:sz w:val="24"/>
          <w:highlight w:val="none"/>
          <w:lang w:val="en-US" w:eastAsia="zh-CN"/>
        </w:rPr>
        <w:t>10、</w:t>
      </w:r>
      <w:r>
        <w:rPr>
          <w:rFonts w:hint="eastAsia" w:ascii="Times New Roman" w:hAnsi="Times New Roman" w:eastAsia="仿宋_GB2312" w:cs="Times New Roman"/>
          <w:i w:val="0"/>
          <w:iCs w:val="0"/>
          <w:color w:val="auto"/>
          <w:kern w:val="0"/>
          <w:sz w:val="24"/>
          <w:highlight w:val="none"/>
        </w:rPr>
        <w:t>号《陕西省财政厅关于进一步加大政府采购支持中小企业力度的通知》陕财办采函〔2022〕5号；陕西省财政厅关于印发《陕西省中小企业政府采购信用融资办法》（陕财办采〔2018〕23号）相关政策、业务流程、办理平台（</w:t>
      </w:r>
      <w:r>
        <w:rPr>
          <w:rFonts w:hint="default" w:ascii="Times New Roman" w:hAnsi="Times New Roman" w:eastAsia="仿宋_GB2312" w:cs="Times New Roman"/>
          <w:i w:val="0"/>
          <w:iCs w:val="0"/>
          <w:color w:val="auto"/>
          <w:kern w:val="0"/>
          <w:sz w:val="24"/>
          <w:highlight w:val="none"/>
        </w:rPr>
        <w:fldChar w:fldCharType="begin"/>
      </w:r>
      <w:r>
        <w:rPr>
          <w:rFonts w:hint="default" w:ascii="Times New Roman" w:hAnsi="Times New Roman" w:eastAsia="仿宋_GB2312" w:cs="Times New Roman"/>
          <w:i w:val="0"/>
          <w:iCs w:val="0"/>
          <w:color w:val="auto"/>
          <w:kern w:val="0"/>
          <w:sz w:val="24"/>
          <w:highlight w:val="none"/>
        </w:rPr>
        <w:instrText xml:space="preserve"> HYPERLINK "</w:instrText>
      </w:r>
      <w:r>
        <w:rPr>
          <w:rFonts w:hint="eastAsia" w:ascii="Times New Roman" w:hAnsi="Times New Roman" w:eastAsia="仿宋_GB2312" w:cs="Times New Roman"/>
          <w:i w:val="0"/>
          <w:iCs w:val="0"/>
          <w:color w:val="auto"/>
          <w:kern w:val="0"/>
          <w:sz w:val="24"/>
          <w:highlight w:val="none"/>
        </w:rPr>
        <w:instrText xml:space="preserve">http://www.ccgp-shaanxi</w:instrText>
      </w:r>
      <w:r>
        <w:rPr>
          <w:rFonts w:hint="default" w:ascii="Times New Roman" w:hAnsi="Times New Roman" w:eastAsia="仿宋_GB2312" w:cs="Times New Roman"/>
          <w:i w:val="0"/>
          <w:iCs w:val="0"/>
          <w:color w:val="auto"/>
          <w:kern w:val="0"/>
          <w:sz w:val="24"/>
          <w:highlight w:val="none"/>
        </w:rPr>
        <w:instrText xml:space="preserve">" </w:instrText>
      </w:r>
      <w:r>
        <w:rPr>
          <w:rFonts w:hint="default" w:ascii="Times New Roman" w:hAnsi="Times New Roman" w:eastAsia="仿宋_GB2312" w:cs="Times New Roman"/>
          <w:i w:val="0"/>
          <w:iCs w:val="0"/>
          <w:color w:val="auto"/>
          <w:kern w:val="0"/>
          <w:sz w:val="24"/>
          <w:highlight w:val="none"/>
        </w:rPr>
        <w:fldChar w:fldCharType="separate"/>
      </w:r>
      <w:r>
        <w:rPr>
          <w:rFonts w:hint="eastAsia" w:ascii="Times New Roman" w:hAnsi="Times New Roman" w:eastAsia="仿宋_GB2312" w:cs="Times New Roman"/>
          <w:i w:val="0"/>
          <w:iCs w:val="0"/>
          <w:color w:val="auto"/>
          <w:kern w:val="0"/>
          <w:sz w:val="24"/>
          <w:highlight w:val="none"/>
        </w:rPr>
        <w:t>http://www.ccgp-shaanxi</w:t>
      </w:r>
      <w:r>
        <w:rPr>
          <w:rFonts w:hint="default" w:ascii="Times New Roman" w:hAnsi="Times New Roman" w:eastAsia="仿宋_GB2312" w:cs="Times New Roman"/>
          <w:i w:val="0"/>
          <w:iCs w:val="0"/>
          <w:color w:val="auto"/>
          <w:kern w:val="0"/>
          <w:sz w:val="24"/>
          <w:highlight w:val="none"/>
        </w:rPr>
        <w:fldChar w:fldCharType="end"/>
      </w:r>
      <w:r>
        <w:rPr>
          <w:rFonts w:hint="eastAsia" w:ascii="Times New Roman" w:hAnsi="Times New Roman" w:eastAsia="仿宋_GB2312" w:cs="Times New Roman"/>
          <w:i w:val="0"/>
          <w:iCs w:val="0"/>
          <w:color w:val="auto"/>
          <w:kern w:val="0"/>
          <w:sz w:val="24"/>
          <w:highlight w:val="none"/>
        </w:rPr>
        <w:t>.gov.cn/zcdservice/zcd/shanxi/）</w:t>
      </w:r>
      <w:r>
        <w:rPr>
          <w:rFonts w:hint="default" w:ascii="Times New Roman" w:hAnsi="Times New Roman" w:eastAsia="仿宋_GB2312" w:cs="Times New Roman"/>
          <w:i w:val="0"/>
          <w:iCs w:val="0"/>
          <w:color w:val="auto"/>
          <w:kern w:val="0"/>
          <w:sz w:val="24"/>
          <w:highlight w:val="none"/>
        </w:rPr>
        <w:t>。</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若享受以上政策优惠的企业，提供相应声明函或品目清单范围内产品的有效认证证书</w:t>
      </w:r>
      <w:r>
        <w:rPr>
          <w:rFonts w:hint="eastAsia" w:ascii="Times New Roman" w:hAnsi="Times New Roman" w:eastAsia="仿宋_GB2312" w:cs="Times New Roman"/>
          <w:i w:val="0"/>
          <w:iCs w:val="0"/>
          <w:color w:val="auto"/>
          <w:kern w:val="0"/>
          <w:sz w:val="24"/>
          <w:highlight w:val="none"/>
        </w:rPr>
        <w:t>。</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rPr>
      </w:pPr>
      <w:r>
        <w:rPr>
          <w:rFonts w:hint="eastAsia" w:ascii="Times New Roman" w:hAnsi="Times New Roman" w:eastAsia="仿宋_GB2312" w:cs="Times New Roman"/>
          <w:i w:val="0"/>
          <w:iCs w:val="0"/>
          <w:color w:val="auto"/>
          <w:kern w:val="0"/>
          <w:sz w:val="24"/>
          <w:highlight w:val="none"/>
        </w:rPr>
        <w:t>2.开标形式：本项目将采用“不见面开标”形式。投标人可登录全国公共资源交易平台（陕西省•榆林市）网站〖首页〉不见面开标〗系统，在线参加开标过程。操作说明详见平台〖首页·〉服务指南·〉下载专区〗中的《不见面开标大厅投标人操作手册》。</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rPr>
      </w:pPr>
      <w:r>
        <w:rPr>
          <w:rFonts w:hint="eastAsia" w:ascii="Times New Roman" w:hAnsi="Times New Roman" w:eastAsia="仿宋_GB2312" w:cs="Times New Roman"/>
          <w:i w:val="0"/>
          <w:iCs w:val="0"/>
          <w:color w:val="auto"/>
          <w:kern w:val="0"/>
          <w:sz w:val="24"/>
          <w:highlight w:val="none"/>
        </w:rPr>
        <w:t>3.政府采购信息发布媒体</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rPr>
      </w:pPr>
      <w:r>
        <w:rPr>
          <w:rFonts w:hint="eastAsia" w:ascii="Times New Roman" w:hAnsi="Times New Roman" w:eastAsia="仿宋_GB2312" w:cs="Times New Roman"/>
          <w:i w:val="0"/>
          <w:iCs w:val="0"/>
          <w:color w:val="auto"/>
          <w:kern w:val="0"/>
          <w:sz w:val="24"/>
          <w:highlight w:val="none"/>
        </w:rPr>
        <w:t>陕西省政府采购网、全国公共资源交易平台（陕西省·榆林市）</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rPr>
      </w:pPr>
      <w:r>
        <w:rPr>
          <w:rFonts w:hint="eastAsia" w:ascii="Times New Roman" w:hAnsi="Times New Roman" w:eastAsia="仿宋_GB2312" w:cs="Times New Roman"/>
          <w:i w:val="0"/>
          <w:iCs w:val="0"/>
          <w:color w:val="auto"/>
          <w:kern w:val="0"/>
          <w:sz w:val="24"/>
          <w:highlight w:val="none"/>
        </w:rPr>
        <w:t>4.其他</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rPr>
      </w:pPr>
      <w:r>
        <w:rPr>
          <w:rFonts w:hint="eastAsia" w:eastAsia="仿宋_GB2312" w:cs="Times New Roman"/>
          <w:i w:val="0"/>
          <w:iCs w:val="0"/>
          <w:color w:val="auto"/>
          <w:kern w:val="0"/>
          <w:sz w:val="24"/>
          <w:highlight w:val="none"/>
          <w:lang w:val="en-US" w:eastAsia="zh-CN"/>
        </w:rPr>
        <w:t>4.1</w:t>
      </w:r>
      <w:r>
        <w:rPr>
          <w:rFonts w:hint="eastAsia" w:ascii="Times New Roman" w:hAnsi="Times New Roman" w:eastAsia="仿宋_GB2312" w:cs="Times New Roman"/>
          <w:i w:val="0"/>
          <w:iCs w:val="0"/>
          <w:color w:val="auto"/>
          <w:kern w:val="0"/>
          <w:sz w:val="24"/>
          <w:highlight w:val="none"/>
        </w:rPr>
        <w:t>供应商初次使用交易平台，须先完成诚信入库登记、CA锁认证及企业信息绑定。相关操作流程详见全国公共资源交易平台（陕西省）网站【首页、服务指南、下载专区】中的《陕西省公共资源交易中心政府采购项目投标指南》。特别提醒：本项目采用电子化招投标的方式，供应商使用CA锁对报价文件进行制作、签封、加密、递交、解密等相关招投标事宜，供应商开标现场需携带CA锁。电子投标文件制作软件技术支持热线：400-998-0000CA锁购买：榆林市市民大厦四楼窗口,电话：0912-3515031。</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rPr>
      </w:pPr>
      <w:r>
        <w:rPr>
          <w:rFonts w:hint="eastAsia" w:eastAsia="仿宋_GB2312" w:cs="Times New Roman"/>
          <w:i w:val="0"/>
          <w:iCs w:val="0"/>
          <w:color w:val="auto"/>
          <w:kern w:val="0"/>
          <w:sz w:val="24"/>
          <w:highlight w:val="none"/>
          <w:lang w:val="en-US" w:eastAsia="zh-CN"/>
        </w:rPr>
        <w:t>4.2</w:t>
      </w:r>
      <w:r>
        <w:rPr>
          <w:rFonts w:hint="eastAsia" w:ascii="Times New Roman" w:hAnsi="Times New Roman" w:eastAsia="仿宋_GB2312" w:cs="Times New Roman"/>
          <w:i w:val="0"/>
          <w:iCs w:val="0"/>
          <w:color w:val="auto"/>
          <w:kern w:val="0"/>
          <w:sz w:val="24"/>
          <w:highlight w:val="none"/>
        </w:rPr>
        <w:t>按照陕西省财政厅《关于政府采购投标人注册登记有关事项的通知》中的要求，投标人应通过陕西省政府采购网（http://www.ccgp-shaanxi.gov.cn/）注册登记，加入陕西省政府采购</w:t>
      </w:r>
      <w:r>
        <w:rPr>
          <w:rFonts w:hint="eastAsia" w:eastAsia="仿宋_GB2312" w:cs="Times New Roman"/>
          <w:i w:val="0"/>
          <w:iCs w:val="0"/>
          <w:color w:val="auto"/>
          <w:kern w:val="0"/>
          <w:sz w:val="24"/>
          <w:highlight w:val="none"/>
          <w:lang w:eastAsia="zh-CN"/>
        </w:rPr>
        <w:t>供应商</w:t>
      </w:r>
      <w:r>
        <w:rPr>
          <w:rFonts w:hint="eastAsia" w:ascii="Times New Roman" w:hAnsi="Times New Roman" w:eastAsia="仿宋_GB2312" w:cs="Times New Roman"/>
          <w:i w:val="0"/>
          <w:iCs w:val="0"/>
          <w:color w:val="auto"/>
          <w:kern w:val="0"/>
          <w:sz w:val="24"/>
          <w:highlight w:val="none"/>
        </w:rPr>
        <w:t>库。</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rPr>
      </w:pPr>
      <w:r>
        <w:rPr>
          <w:rFonts w:hint="eastAsia" w:eastAsia="仿宋_GB2312" w:cs="Times New Roman"/>
          <w:i w:val="0"/>
          <w:iCs w:val="0"/>
          <w:color w:val="auto"/>
          <w:kern w:val="0"/>
          <w:sz w:val="24"/>
          <w:highlight w:val="none"/>
          <w:lang w:val="en-US" w:eastAsia="zh-CN"/>
        </w:rPr>
        <w:t>4.3</w:t>
      </w:r>
      <w:r>
        <w:rPr>
          <w:rFonts w:hint="eastAsia" w:ascii="Times New Roman" w:hAnsi="Times New Roman" w:eastAsia="仿宋_GB2312" w:cs="Times New Roman"/>
          <w:i w:val="0"/>
          <w:iCs w:val="0"/>
          <w:color w:val="auto"/>
          <w:kern w:val="0"/>
          <w:sz w:val="24"/>
          <w:highlight w:val="none"/>
        </w:rPr>
        <w:t>投标人于文件发售时间内登录全国公共资源交易平台（陕西省·榆林市）系统（http://sxggzyjy.xa.gov.cn/），选择本项目点击“我要投标”。</w:t>
      </w:r>
    </w:p>
    <w:p>
      <w:pPr>
        <w:keepNext w:val="0"/>
        <w:keepLines w:val="0"/>
        <w:pageBreakBefore w:val="0"/>
        <w:widowControl/>
        <w:kinsoku/>
        <w:wordWrap/>
        <w:overflowPunct/>
        <w:topLinePunct w:val="0"/>
        <w:autoSpaceDE/>
        <w:autoSpaceDN/>
        <w:bidi w:val="0"/>
        <w:adjustRightInd/>
        <w:snapToGrid w:val="0"/>
        <w:spacing w:line="500" w:lineRule="exact"/>
        <w:ind w:right="-197" w:rightChars="-94"/>
        <w:jc w:val="left"/>
        <w:textAlignment w:val="auto"/>
        <w:rPr>
          <w:rFonts w:hint="default" w:ascii="Times New Roman" w:hAnsi="Times New Roman" w:eastAsia="仿宋_GB2312" w:cs="Times New Roman"/>
          <w:i w:val="0"/>
          <w:iCs w:val="0"/>
          <w:color w:val="auto"/>
          <w:kern w:val="0"/>
          <w:sz w:val="24"/>
          <w:highlight w:val="none"/>
        </w:rPr>
      </w:pPr>
      <w:r>
        <w:rPr>
          <w:rFonts w:hint="eastAsia" w:ascii="仿宋" w:hAnsi="仿宋" w:eastAsia="仿宋" w:cs="仿宋"/>
          <w:b/>
          <w:bCs/>
          <w:color w:val="auto"/>
          <w:kern w:val="0"/>
          <w:sz w:val="24"/>
          <w:highlight w:val="none"/>
          <w:lang w:eastAsia="zh-CN"/>
        </w:rPr>
        <w:t>八</w:t>
      </w:r>
      <w:r>
        <w:rPr>
          <w:rFonts w:hint="default" w:ascii="仿宋" w:hAnsi="仿宋" w:eastAsia="仿宋" w:cs="仿宋"/>
          <w:b/>
          <w:bCs/>
          <w:color w:val="auto"/>
          <w:kern w:val="0"/>
          <w:sz w:val="24"/>
          <w:highlight w:val="none"/>
          <w:lang w:eastAsia="zh-CN"/>
        </w:rPr>
        <w:t xml:space="preserve">、凡对本次采购提出询问，请按以下方式联系。 </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rPr>
      </w:pPr>
      <w:r>
        <w:rPr>
          <w:rFonts w:hint="eastAsia" w:ascii="Times New Roman" w:hAnsi="Times New Roman" w:eastAsia="仿宋_GB2312" w:cs="Times New Roman"/>
          <w:i w:val="0"/>
          <w:iCs w:val="0"/>
          <w:color w:val="auto"/>
          <w:kern w:val="0"/>
          <w:sz w:val="24"/>
          <w:highlight w:val="none"/>
        </w:rPr>
        <w:t>1、采购人信息</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rPr>
      </w:pPr>
      <w:r>
        <w:rPr>
          <w:rFonts w:hint="eastAsia" w:ascii="Times New Roman" w:hAnsi="Times New Roman" w:eastAsia="仿宋_GB2312" w:cs="Times New Roman"/>
          <w:i w:val="0"/>
          <w:iCs w:val="0"/>
          <w:color w:val="auto"/>
          <w:kern w:val="0"/>
          <w:sz w:val="24"/>
          <w:highlight w:val="none"/>
          <w:lang w:eastAsia="zh-CN"/>
        </w:rPr>
        <w:t>名称</w:t>
      </w:r>
      <w:r>
        <w:rPr>
          <w:rFonts w:hint="eastAsia" w:ascii="Times New Roman" w:hAnsi="Times New Roman" w:eastAsia="仿宋_GB2312" w:cs="Times New Roman"/>
          <w:i w:val="0"/>
          <w:iCs w:val="0"/>
          <w:color w:val="auto"/>
          <w:kern w:val="0"/>
          <w:sz w:val="24"/>
          <w:highlight w:val="none"/>
        </w:rPr>
        <w:t xml:space="preserve">：榆林市第三医院 </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rPr>
      </w:pPr>
      <w:r>
        <w:rPr>
          <w:rFonts w:hint="eastAsia" w:ascii="Times New Roman" w:hAnsi="Times New Roman" w:eastAsia="仿宋_GB2312" w:cs="Times New Roman"/>
          <w:i w:val="0"/>
          <w:iCs w:val="0"/>
          <w:color w:val="auto"/>
          <w:kern w:val="0"/>
          <w:sz w:val="24"/>
          <w:highlight w:val="none"/>
        </w:rPr>
        <w:t>地址：陕西省榆林市榆阳区驼峰路街道红山东路468号</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rPr>
      </w:pPr>
      <w:r>
        <w:rPr>
          <w:rFonts w:hint="eastAsia" w:ascii="Times New Roman" w:hAnsi="Times New Roman" w:eastAsia="仿宋_GB2312" w:cs="Times New Roman"/>
          <w:i w:val="0"/>
          <w:iCs w:val="0"/>
          <w:color w:val="auto"/>
          <w:kern w:val="0"/>
          <w:sz w:val="24"/>
          <w:highlight w:val="none"/>
        </w:rPr>
        <w:t>联系</w:t>
      </w:r>
      <w:r>
        <w:rPr>
          <w:rFonts w:hint="eastAsia" w:ascii="Times New Roman" w:hAnsi="Times New Roman" w:eastAsia="仿宋_GB2312" w:cs="Times New Roman"/>
          <w:i w:val="0"/>
          <w:iCs w:val="0"/>
          <w:color w:val="auto"/>
          <w:kern w:val="0"/>
          <w:sz w:val="24"/>
          <w:highlight w:val="none"/>
          <w:lang w:eastAsia="zh-CN"/>
        </w:rPr>
        <w:t>方式</w:t>
      </w:r>
      <w:r>
        <w:rPr>
          <w:rFonts w:hint="eastAsia" w:ascii="Times New Roman" w:hAnsi="Times New Roman" w:eastAsia="仿宋_GB2312" w:cs="Times New Roman"/>
          <w:i w:val="0"/>
          <w:iCs w:val="0"/>
          <w:color w:val="auto"/>
          <w:kern w:val="0"/>
          <w:sz w:val="24"/>
          <w:highlight w:val="none"/>
        </w:rPr>
        <w:t xml:space="preserve">：0912-3549399    </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rPr>
      </w:pPr>
      <w:r>
        <w:rPr>
          <w:rFonts w:hint="eastAsia" w:ascii="Times New Roman" w:hAnsi="Times New Roman" w:eastAsia="仿宋_GB2312" w:cs="Times New Roman"/>
          <w:i w:val="0"/>
          <w:iCs w:val="0"/>
          <w:color w:val="auto"/>
          <w:kern w:val="0"/>
          <w:sz w:val="24"/>
          <w:highlight w:val="none"/>
          <w:lang w:val="en-US" w:eastAsia="zh-CN"/>
        </w:rPr>
        <w:t>2</w:t>
      </w:r>
      <w:r>
        <w:rPr>
          <w:rFonts w:hint="eastAsia" w:ascii="Times New Roman" w:hAnsi="Times New Roman" w:eastAsia="仿宋_GB2312" w:cs="Times New Roman"/>
          <w:i w:val="0"/>
          <w:iCs w:val="0"/>
          <w:color w:val="auto"/>
          <w:kern w:val="0"/>
          <w:sz w:val="24"/>
          <w:highlight w:val="none"/>
        </w:rPr>
        <w:t>、采购代理机构信息</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rPr>
      </w:pPr>
      <w:r>
        <w:rPr>
          <w:rFonts w:hint="eastAsia" w:ascii="Times New Roman" w:hAnsi="Times New Roman" w:eastAsia="仿宋_GB2312" w:cs="Times New Roman"/>
          <w:i w:val="0"/>
          <w:iCs w:val="0"/>
          <w:color w:val="auto"/>
          <w:kern w:val="0"/>
          <w:sz w:val="24"/>
          <w:highlight w:val="none"/>
        </w:rPr>
        <w:t>名称：陕西省采购招标有限责任公司</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lang w:eastAsia="zh-CN"/>
        </w:rPr>
      </w:pPr>
      <w:r>
        <w:rPr>
          <w:rFonts w:hint="eastAsia" w:ascii="Times New Roman" w:hAnsi="Times New Roman" w:eastAsia="仿宋_GB2312" w:cs="Times New Roman"/>
          <w:i w:val="0"/>
          <w:iCs w:val="0"/>
          <w:color w:val="auto"/>
          <w:kern w:val="0"/>
          <w:sz w:val="24"/>
          <w:highlight w:val="none"/>
        </w:rPr>
        <w:t>地址：西安市高新二路2号山西证劵大厦</w:t>
      </w:r>
      <w:r>
        <w:rPr>
          <w:rFonts w:hint="eastAsia" w:ascii="Times New Roman" w:hAnsi="Times New Roman" w:eastAsia="仿宋_GB2312" w:cs="Times New Roman"/>
          <w:i w:val="0"/>
          <w:iCs w:val="0"/>
          <w:color w:val="auto"/>
          <w:kern w:val="0"/>
          <w:sz w:val="24"/>
          <w:highlight w:val="none"/>
          <w:lang w:eastAsia="zh-CN"/>
        </w:rPr>
        <w:t>八楼</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lang w:val="en-US" w:eastAsia="zh-CN"/>
        </w:rPr>
      </w:pPr>
      <w:r>
        <w:rPr>
          <w:rFonts w:hint="eastAsia" w:ascii="Times New Roman" w:hAnsi="Times New Roman" w:eastAsia="仿宋_GB2312" w:cs="Times New Roman"/>
          <w:i w:val="0"/>
          <w:iCs w:val="0"/>
          <w:color w:val="auto"/>
          <w:kern w:val="0"/>
          <w:sz w:val="24"/>
          <w:highlight w:val="none"/>
        </w:rPr>
        <w:t>联系方式：</w:t>
      </w:r>
      <w:r>
        <w:rPr>
          <w:rFonts w:hint="eastAsia" w:ascii="Times New Roman" w:hAnsi="Times New Roman" w:eastAsia="仿宋_GB2312" w:cs="Times New Roman"/>
          <w:i w:val="0"/>
          <w:iCs w:val="0"/>
          <w:color w:val="auto"/>
          <w:kern w:val="0"/>
          <w:sz w:val="24"/>
          <w:highlight w:val="none"/>
          <w:lang w:val="en-US" w:eastAsia="zh-CN"/>
        </w:rPr>
        <w:t>029-88497916</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rPr>
      </w:pPr>
      <w:r>
        <w:rPr>
          <w:rFonts w:hint="eastAsia" w:ascii="Times New Roman" w:hAnsi="Times New Roman" w:eastAsia="仿宋_GB2312" w:cs="Times New Roman"/>
          <w:i w:val="0"/>
          <w:iCs w:val="0"/>
          <w:color w:val="auto"/>
          <w:kern w:val="0"/>
          <w:sz w:val="24"/>
          <w:highlight w:val="none"/>
          <w:lang w:val="en-US" w:eastAsia="zh-CN"/>
        </w:rPr>
        <w:t>3</w:t>
      </w:r>
      <w:r>
        <w:rPr>
          <w:rFonts w:hint="eastAsia" w:ascii="Times New Roman" w:hAnsi="Times New Roman" w:eastAsia="仿宋_GB2312" w:cs="Times New Roman"/>
          <w:i w:val="0"/>
          <w:iCs w:val="0"/>
          <w:color w:val="auto"/>
          <w:kern w:val="0"/>
          <w:sz w:val="24"/>
          <w:highlight w:val="none"/>
        </w:rPr>
        <w:t>、项目联系方式</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rPr>
      </w:pPr>
      <w:r>
        <w:rPr>
          <w:rFonts w:hint="eastAsia" w:ascii="Times New Roman" w:hAnsi="Times New Roman" w:eastAsia="仿宋_GB2312" w:cs="Times New Roman"/>
          <w:i w:val="0"/>
          <w:iCs w:val="0"/>
          <w:color w:val="auto"/>
          <w:kern w:val="0"/>
          <w:sz w:val="24"/>
          <w:highlight w:val="none"/>
        </w:rPr>
        <w:t>项目联系人：</w:t>
      </w:r>
      <w:r>
        <w:rPr>
          <w:rFonts w:hint="eastAsia" w:ascii="Times New Roman" w:hAnsi="Times New Roman" w:eastAsia="仿宋_GB2312" w:cs="Times New Roman"/>
          <w:i w:val="0"/>
          <w:iCs w:val="0"/>
          <w:color w:val="auto"/>
          <w:kern w:val="0"/>
          <w:sz w:val="24"/>
          <w:highlight w:val="none"/>
          <w:lang w:eastAsia="zh-CN"/>
        </w:rPr>
        <w:t>张锐</w:t>
      </w:r>
      <w:r>
        <w:rPr>
          <w:rFonts w:hint="eastAsia" w:ascii="Times New Roman" w:hAnsi="Times New Roman" w:eastAsia="仿宋_GB2312" w:cs="Times New Roman"/>
          <w:i w:val="0"/>
          <w:iCs w:val="0"/>
          <w:color w:val="auto"/>
          <w:kern w:val="0"/>
          <w:sz w:val="24"/>
          <w:highlight w:val="none"/>
        </w:rPr>
        <w:t xml:space="preserve">     </w:t>
      </w:r>
    </w:p>
    <w:p>
      <w:pPr>
        <w:keepNext w:val="0"/>
        <w:keepLines w:val="0"/>
        <w:pageBreakBefore w:val="0"/>
        <w:widowControl/>
        <w:kinsoku/>
        <w:wordWrap/>
        <w:overflowPunct/>
        <w:topLinePunct w:val="0"/>
        <w:autoSpaceDE/>
        <w:autoSpaceDN/>
        <w:bidi w:val="0"/>
        <w:adjustRightInd/>
        <w:snapToGrid w:val="0"/>
        <w:spacing w:line="500" w:lineRule="exact"/>
        <w:ind w:right="-197" w:rightChars="-94" w:firstLine="480" w:firstLineChars="200"/>
        <w:jc w:val="left"/>
        <w:textAlignment w:val="auto"/>
        <w:rPr>
          <w:rFonts w:hint="eastAsia" w:ascii="Times New Roman" w:hAnsi="Times New Roman" w:eastAsia="仿宋_GB2312" w:cs="Times New Roman"/>
          <w:i w:val="0"/>
          <w:iCs w:val="0"/>
          <w:color w:val="auto"/>
          <w:kern w:val="0"/>
          <w:sz w:val="24"/>
          <w:highlight w:val="none"/>
          <w:lang w:val="en-US" w:eastAsia="zh-CN"/>
        </w:rPr>
      </w:pPr>
      <w:r>
        <w:rPr>
          <w:rFonts w:hint="eastAsia" w:ascii="Times New Roman" w:hAnsi="Times New Roman" w:eastAsia="仿宋_GB2312" w:cs="Times New Roman"/>
          <w:i w:val="0"/>
          <w:iCs w:val="0"/>
          <w:color w:val="auto"/>
          <w:kern w:val="0"/>
          <w:sz w:val="24"/>
          <w:highlight w:val="none"/>
        </w:rPr>
        <w:t>电 话：</w:t>
      </w:r>
      <w:r>
        <w:rPr>
          <w:rFonts w:hint="eastAsia" w:ascii="Times New Roman" w:hAnsi="Times New Roman" w:eastAsia="仿宋_GB2312" w:cs="Times New Roman"/>
          <w:i w:val="0"/>
          <w:iCs w:val="0"/>
          <w:color w:val="auto"/>
          <w:kern w:val="0"/>
          <w:sz w:val="24"/>
          <w:highlight w:val="none"/>
          <w:lang w:val="en-US" w:eastAsia="zh-CN"/>
        </w:rPr>
        <w:t>029-88497916</w:t>
      </w:r>
    </w:p>
    <w:p>
      <w:pPr>
        <w:pStyle w:val="22"/>
        <w:rPr>
          <w:rFonts w:hint="default" w:ascii="Times New Roman" w:hAnsi="Times New Roman" w:eastAsia="仿宋_GB2312" w:cs="Times New Roman"/>
          <w:i w:val="0"/>
          <w:iCs w:val="0"/>
          <w:color w:val="auto"/>
          <w:highlight w:val="none"/>
        </w:rPr>
      </w:pPr>
      <w:r>
        <w:rPr>
          <w:rFonts w:hint="default" w:ascii="Times New Roman" w:hAnsi="Times New Roman" w:eastAsia="仿宋_GB2312" w:cs="Times New Roman"/>
          <w:i w:val="0"/>
          <w:iCs w:val="0"/>
          <w:color w:val="auto"/>
          <w:highlight w:val="none"/>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pPr>
        <w:pStyle w:val="46"/>
        <w:spacing w:line="360" w:lineRule="auto"/>
        <w:rPr>
          <w:rStyle w:val="203"/>
          <w:rFonts w:hint="default" w:ascii="Times New Roman" w:hAnsi="Times New Roman" w:eastAsia="宋体" w:cs="Times New Roman"/>
          <w:i w:val="0"/>
          <w:iCs w:val="0"/>
          <w:color w:val="auto"/>
          <w:sz w:val="36"/>
          <w:szCs w:val="36"/>
          <w:highlight w:val="none"/>
        </w:rPr>
      </w:pPr>
      <w:bookmarkStart w:id="20" w:name="_Toc230099796"/>
      <w:bookmarkStart w:id="21" w:name="_Toc232176271"/>
      <w:bookmarkStart w:id="22" w:name="_Toc232395211"/>
      <w:bookmarkStart w:id="23" w:name="_Toc249515277"/>
      <w:bookmarkStart w:id="24" w:name="_Toc21126"/>
      <w:bookmarkStart w:id="25" w:name="_Toc230583540"/>
      <w:bookmarkStart w:id="26" w:name="_Toc184043011"/>
      <w:bookmarkStart w:id="27" w:name="_Toc58504446"/>
      <w:bookmarkStart w:id="28" w:name="_Toc249515389"/>
      <w:bookmarkStart w:id="29" w:name="_Toc249525158"/>
      <w:bookmarkStart w:id="30" w:name="_Toc230013631"/>
      <w:bookmarkStart w:id="31" w:name="_Toc68590966"/>
      <w:bookmarkStart w:id="32" w:name="_Toc415499895"/>
      <w:bookmarkStart w:id="33" w:name="_Toc256342142"/>
      <w:bookmarkStart w:id="34" w:name="_Toc70687139"/>
      <w:bookmarkStart w:id="35" w:name="_Toc256342143"/>
      <w:bookmarkStart w:id="36" w:name="_Toc176882542"/>
      <w:bookmarkStart w:id="37" w:name="_Toc500747188"/>
      <w:bookmarkStart w:id="38" w:name="_Toc230013632"/>
      <w:bookmarkStart w:id="39" w:name="_Toc492955414"/>
      <w:bookmarkStart w:id="40" w:name="_Toc232395212"/>
      <w:bookmarkStart w:id="41" w:name="_Toc177817334"/>
      <w:bookmarkStart w:id="42" w:name="_Toc184043012"/>
      <w:bookmarkStart w:id="43" w:name="_Toc249525159"/>
      <w:bookmarkStart w:id="44" w:name="_Toc500747061"/>
      <w:bookmarkStart w:id="45" w:name="_Toc177189235"/>
      <w:bookmarkStart w:id="46" w:name="_Toc230099797"/>
      <w:bookmarkStart w:id="47" w:name="_Toc249515390"/>
      <w:bookmarkStart w:id="48" w:name="_Toc53722840"/>
      <w:bookmarkStart w:id="49" w:name="_Toc503063421"/>
      <w:bookmarkStart w:id="50" w:name="_Toc232176272"/>
      <w:bookmarkStart w:id="51" w:name="_Toc500746965"/>
      <w:bookmarkStart w:id="52" w:name="_Toc249515278"/>
      <w:bookmarkStart w:id="53" w:name="_Toc499711883"/>
      <w:bookmarkStart w:id="54" w:name="_Toc230583541"/>
      <w:bookmarkStart w:id="55" w:name="_Toc177995473"/>
      <w:bookmarkStart w:id="56" w:name="_Toc499711042"/>
      <w:bookmarkStart w:id="57" w:name="_Toc496324578"/>
      <w:r>
        <w:rPr>
          <w:rStyle w:val="203"/>
          <w:rFonts w:hint="default" w:ascii="Times New Roman" w:hAnsi="Times New Roman" w:eastAsia="宋体" w:cs="Times New Roman"/>
          <w:i w:val="0"/>
          <w:iCs w:val="0"/>
          <w:color w:val="auto"/>
          <w:sz w:val="36"/>
          <w:szCs w:val="36"/>
          <w:highlight w:val="none"/>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pPr>
        <w:pStyle w:val="77"/>
        <w:spacing w:before="240" w:beforeLines="100" w:after="24"/>
        <w:jc w:val="center"/>
        <w:rPr>
          <w:rFonts w:hint="default" w:ascii="Times New Roman" w:hAnsi="Times New Roman" w:eastAsia="仿宋_GB2312" w:cs="Times New Roman"/>
          <w:i w:val="0"/>
          <w:iCs w:val="0"/>
          <w:color w:val="auto"/>
          <w:sz w:val="28"/>
          <w:szCs w:val="28"/>
          <w:highlight w:val="none"/>
        </w:rPr>
      </w:pPr>
      <w:bookmarkStart w:id="58" w:name="_Toc68590967"/>
      <w:r>
        <w:rPr>
          <w:rFonts w:hint="default" w:ascii="Times New Roman" w:hAnsi="Times New Roman" w:eastAsia="仿宋_GB2312" w:cs="Times New Roman"/>
          <w:i w:val="0"/>
          <w:iCs w:val="0"/>
          <w:color w:val="auto"/>
          <w:sz w:val="28"/>
          <w:szCs w:val="28"/>
          <w:highlight w:val="none"/>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rPr>
          <w:rFonts w:hint="default" w:ascii="Times New Roman" w:hAnsi="Times New Roman" w:eastAsia="仿宋_GB2312" w:cs="Times New Roman"/>
          <w:i w:val="0"/>
          <w:iCs w:val="0"/>
          <w:color w:val="auto"/>
          <w:highlight w:val="none"/>
        </w:rPr>
      </w:pPr>
    </w:p>
    <w:p>
      <w:pPr>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本表是对供应商须知的具体补充和修改，如有矛盾，均以本表为准。</w:t>
      </w:r>
    </w:p>
    <w:p>
      <w:pPr>
        <w:ind w:left="720" w:hanging="720" w:hangingChars="343"/>
        <w:rPr>
          <w:rFonts w:hint="default" w:ascii="Times New Roman" w:hAnsi="Times New Roman" w:eastAsia="仿宋_GB2312" w:cs="Times New Roman"/>
          <w:b/>
          <w:i w:val="0"/>
          <w:iCs w:val="0"/>
          <w:color w:val="auto"/>
          <w:sz w:val="20"/>
          <w:szCs w:val="20"/>
          <w:highlight w:val="none"/>
        </w:rPr>
      </w:pPr>
      <w:r>
        <w:rPr>
          <w:rFonts w:hint="default" w:ascii="Times New Roman" w:hAnsi="Times New Roman" w:eastAsia="仿宋_GB2312" w:cs="Times New Roman"/>
          <w:i w:val="0"/>
          <w:iCs w:val="0"/>
          <w:color w:val="auto"/>
          <w:szCs w:val="21"/>
          <w:highlight w:val="none"/>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pPr>
              <w:pStyle w:val="28"/>
              <w:adjustRightInd w:val="0"/>
              <w:snapToGrid w:val="0"/>
              <w:spacing w:line="240" w:lineRule="auto"/>
              <w:jc w:val="center"/>
              <w:rPr>
                <w:rFonts w:hint="default" w:ascii="Times New Roman" w:hAnsi="Times New Roman" w:eastAsia="仿宋_GB2312" w:cs="Times New Roman"/>
                <w:b/>
                <w:i w:val="0"/>
                <w:iCs w:val="0"/>
                <w:color w:val="auto"/>
                <w:sz w:val="24"/>
                <w:szCs w:val="24"/>
                <w:highlight w:val="none"/>
              </w:rPr>
            </w:pPr>
            <w:bookmarkStart w:id="59" w:name="_Hlt14560610"/>
            <w:bookmarkEnd w:id="59"/>
            <w:bookmarkStart w:id="60" w:name="_Toc503063423"/>
            <w:bookmarkStart w:id="61" w:name="_Toc389620165"/>
            <w:bookmarkStart w:id="62" w:name="_Toc500747063"/>
            <w:bookmarkStart w:id="63" w:name="_Toc500746967"/>
            <w:bookmarkStart w:id="64" w:name="_Toc496324580"/>
            <w:bookmarkStart w:id="65" w:name="_Toc500747190"/>
            <w:bookmarkStart w:id="66" w:name="_Toc385992326"/>
            <w:bookmarkStart w:id="67" w:name="_Toc492955416"/>
            <w:bookmarkStart w:id="68" w:name="_Toc499711885"/>
            <w:bookmarkStart w:id="69" w:name="_Toc499711044"/>
            <w:r>
              <w:rPr>
                <w:rFonts w:hint="default" w:ascii="Times New Roman" w:hAnsi="Times New Roman" w:eastAsia="仿宋_GB2312" w:cs="Times New Roman"/>
                <w:b/>
                <w:i w:val="0"/>
                <w:iCs w:val="0"/>
                <w:color w:val="auto"/>
                <w:sz w:val="24"/>
                <w:szCs w:val="24"/>
                <w:highlight w:val="none"/>
              </w:rPr>
              <w:t>条款号</w:t>
            </w:r>
          </w:p>
        </w:tc>
        <w:tc>
          <w:tcPr>
            <w:tcW w:w="7650" w:type="dxa"/>
            <w:vAlign w:val="center"/>
          </w:tcPr>
          <w:p>
            <w:pPr>
              <w:pStyle w:val="28"/>
              <w:adjustRightInd w:val="0"/>
              <w:snapToGrid w:val="0"/>
              <w:spacing w:line="240" w:lineRule="auto"/>
              <w:jc w:val="center"/>
              <w:rPr>
                <w:rFonts w:hint="default" w:ascii="Times New Roman" w:hAnsi="Times New Roman" w:eastAsia="仿宋_GB2312" w:cs="Times New Roman"/>
                <w:b/>
                <w:i w:val="0"/>
                <w:iCs w:val="0"/>
                <w:color w:val="auto"/>
                <w:sz w:val="24"/>
                <w:szCs w:val="24"/>
                <w:highlight w:val="none"/>
              </w:rPr>
            </w:pPr>
            <w:r>
              <w:rPr>
                <w:rFonts w:hint="default" w:ascii="Times New Roman" w:hAnsi="Times New Roman" w:eastAsia="仿宋_GB2312" w:cs="Times New Roman"/>
                <w:b/>
                <w:i w:val="0"/>
                <w:iCs w:val="0"/>
                <w:color w:val="auto"/>
                <w:sz w:val="24"/>
                <w:szCs w:val="24"/>
                <w:highlight w:val="none"/>
              </w:rPr>
              <w:t>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pPr>
              <w:pStyle w:val="28"/>
              <w:adjustRightInd w:val="0"/>
              <w:snapToGrid w:val="0"/>
              <w:spacing w:line="240" w:lineRule="auto"/>
              <w:jc w:val="center"/>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1.1</w:t>
            </w:r>
          </w:p>
        </w:tc>
        <w:tc>
          <w:tcPr>
            <w:tcW w:w="7650" w:type="dxa"/>
            <w:vAlign w:val="center"/>
          </w:tcPr>
          <w:p>
            <w:pPr>
              <w:pStyle w:val="28"/>
              <w:adjustRightInd w:val="0"/>
              <w:snapToGrid w:val="0"/>
              <w:spacing w:line="240" w:lineRule="auto"/>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项目名称：榆林市第三医院（市传染病医院）建设工程全过程造价咨询服务项目</w:t>
            </w:r>
          </w:p>
          <w:p>
            <w:pPr>
              <w:pStyle w:val="28"/>
              <w:adjustRightInd w:val="0"/>
              <w:snapToGrid w:val="0"/>
              <w:spacing w:line="240" w:lineRule="auto"/>
              <w:rPr>
                <w:rFonts w:hint="eastAsia" w:ascii="Times New Roman" w:hAnsi="Times New Roman" w:eastAsia="仿宋_GB2312" w:cs="Times New Roman"/>
                <w:i w:val="0"/>
                <w:iCs w:val="0"/>
                <w:color w:val="auto"/>
                <w:sz w:val="24"/>
                <w:szCs w:val="24"/>
                <w:highlight w:val="none"/>
                <w:lang w:eastAsia="zh-CN"/>
              </w:rPr>
            </w:pPr>
            <w:r>
              <w:rPr>
                <w:rFonts w:hint="default" w:ascii="Times New Roman" w:hAnsi="Times New Roman" w:eastAsia="仿宋_GB2312" w:cs="Times New Roman"/>
                <w:i w:val="0"/>
                <w:iCs w:val="0"/>
                <w:color w:val="auto"/>
                <w:sz w:val="24"/>
                <w:szCs w:val="24"/>
                <w:highlight w:val="none"/>
              </w:rPr>
              <w:t>项目编号：</w:t>
            </w:r>
            <w:r>
              <w:rPr>
                <w:rFonts w:hint="eastAsia" w:ascii="Times New Roman" w:hAnsi="Times New Roman" w:eastAsia="仿宋_GB2312" w:cs="Times New Roman"/>
                <w:i w:val="0"/>
                <w:iCs w:val="0"/>
                <w:color w:val="auto"/>
                <w:sz w:val="24"/>
                <w:szCs w:val="24"/>
                <w:highlight w:val="none"/>
                <w:lang w:eastAsia="zh-CN"/>
              </w:rPr>
              <w:t>SCZD2022-CS-1334-001</w:t>
            </w:r>
          </w:p>
          <w:p>
            <w:pPr>
              <w:pStyle w:val="28"/>
              <w:adjustRightInd w:val="0"/>
              <w:snapToGrid w:val="0"/>
              <w:spacing w:line="240" w:lineRule="auto"/>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资金来源：财政资金</w:t>
            </w:r>
          </w:p>
          <w:p>
            <w:pPr>
              <w:pStyle w:val="28"/>
              <w:adjustRightInd w:val="0"/>
              <w:snapToGrid w:val="0"/>
              <w:spacing w:line="240" w:lineRule="auto"/>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预算金额：</w:t>
            </w:r>
            <w:r>
              <w:rPr>
                <w:rFonts w:hint="eastAsia" w:ascii="Times New Roman" w:hAnsi="Times New Roman" w:eastAsia="仿宋_GB2312" w:cs="Times New Roman"/>
                <w:i w:val="0"/>
                <w:iCs w:val="0"/>
                <w:color w:val="auto"/>
                <w:sz w:val="24"/>
                <w:szCs w:val="24"/>
                <w:highlight w:val="none"/>
                <w:lang w:val="en-US" w:eastAsia="zh-CN"/>
              </w:rPr>
              <w:t>927</w:t>
            </w:r>
            <w:r>
              <w:rPr>
                <w:rFonts w:hint="default" w:ascii="Times New Roman" w:hAnsi="Times New Roman" w:eastAsia="仿宋_GB2312" w:cs="Times New Roman"/>
                <w:i w:val="0"/>
                <w:iCs w:val="0"/>
                <w:color w:val="auto"/>
                <w:sz w:val="24"/>
                <w:szCs w:val="24"/>
                <w:highlight w:val="none"/>
              </w:rPr>
              <w:t>,</w:t>
            </w:r>
            <w:r>
              <w:rPr>
                <w:rFonts w:hint="eastAsia" w:ascii="Times New Roman" w:hAnsi="Times New Roman" w:eastAsia="仿宋_GB2312" w:cs="Times New Roman"/>
                <w:i w:val="0"/>
                <w:iCs w:val="0"/>
                <w:color w:val="auto"/>
                <w:sz w:val="24"/>
                <w:szCs w:val="24"/>
                <w:highlight w:val="none"/>
                <w:lang w:val="en-US" w:eastAsia="zh-CN"/>
              </w:rPr>
              <w:t>9</w:t>
            </w:r>
            <w:r>
              <w:rPr>
                <w:rFonts w:hint="default" w:ascii="Times New Roman" w:hAnsi="Times New Roman" w:eastAsia="仿宋_GB2312" w:cs="Times New Roman"/>
                <w:i w:val="0"/>
                <w:iCs w:val="0"/>
                <w:color w:val="auto"/>
                <w:sz w:val="24"/>
                <w:szCs w:val="24"/>
                <w:highlight w:val="none"/>
              </w:rPr>
              <w:t>00.00元</w:t>
            </w:r>
          </w:p>
          <w:p>
            <w:pPr>
              <w:pStyle w:val="28"/>
              <w:adjustRightInd w:val="0"/>
              <w:snapToGrid w:val="0"/>
              <w:spacing w:line="240" w:lineRule="auto"/>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采购方式：竞争性磋商</w:t>
            </w:r>
          </w:p>
          <w:p>
            <w:pPr>
              <w:pStyle w:val="28"/>
              <w:adjustRightInd w:val="0"/>
              <w:snapToGrid w:val="0"/>
              <w:spacing w:line="240" w:lineRule="auto"/>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采购内容：详见本磋商文件第五章</w:t>
            </w:r>
          </w:p>
          <w:p>
            <w:pPr>
              <w:pStyle w:val="28"/>
              <w:adjustRightInd w:val="0"/>
              <w:snapToGrid w:val="0"/>
              <w:spacing w:line="240" w:lineRule="auto"/>
              <w:rPr>
                <w:rFonts w:hint="default" w:ascii="Times New Roman" w:hAnsi="Times New Roman" w:eastAsia="仿宋_GB2312" w:cs="Times New Roman"/>
                <w:i w:val="0"/>
                <w:iCs w:val="0"/>
                <w:color w:val="auto"/>
                <w:sz w:val="24"/>
                <w:szCs w:val="24"/>
                <w:highlight w:val="none"/>
                <w:lang w:val="en-US"/>
              </w:rPr>
            </w:pPr>
            <w:r>
              <w:rPr>
                <w:rFonts w:hint="default" w:ascii="Times New Roman" w:hAnsi="Times New Roman" w:eastAsia="仿宋_GB2312" w:cs="Times New Roman"/>
                <w:i w:val="0"/>
                <w:iCs w:val="0"/>
                <w:color w:val="auto"/>
                <w:sz w:val="24"/>
                <w:szCs w:val="24"/>
                <w:highlight w:val="none"/>
                <w:lang w:val="en-US" w:eastAsia="zh-CN"/>
              </w:rPr>
              <w:t>项目所属行业：其他未列明行业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pPr>
              <w:pStyle w:val="28"/>
              <w:adjustRightInd w:val="0"/>
              <w:snapToGrid w:val="0"/>
              <w:spacing w:line="240" w:lineRule="auto"/>
              <w:jc w:val="center"/>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2.1</w:t>
            </w:r>
          </w:p>
        </w:tc>
        <w:tc>
          <w:tcPr>
            <w:tcW w:w="7650" w:type="dxa"/>
            <w:vAlign w:val="center"/>
          </w:tcPr>
          <w:p>
            <w:pPr>
              <w:pStyle w:val="28"/>
              <w:adjustRightInd w:val="0"/>
              <w:snapToGrid w:val="0"/>
              <w:spacing w:line="240" w:lineRule="auto"/>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采购人：榆林市第三医院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pPr>
              <w:pStyle w:val="28"/>
              <w:adjustRightInd w:val="0"/>
              <w:snapToGrid w:val="0"/>
              <w:spacing w:line="240" w:lineRule="auto"/>
              <w:jc w:val="center"/>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2.2</w:t>
            </w:r>
          </w:p>
        </w:tc>
        <w:tc>
          <w:tcPr>
            <w:tcW w:w="7650" w:type="dxa"/>
            <w:vAlign w:val="center"/>
          </w:tcPr>
          <w:p>
            <w:pPr>
              <w:pStyle w:val="28"/>
              <w:adjustRightInd w:val="0"/>
              <w:snapToGrid w:val="0"/>
              <w:spacing w:line="240" w:lineRule="auto"/>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采购代理机构：陕西省采购招标有限责任公司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pPr>
              <w:pStyle w:val="28"/>
              <w:adjustRightInd w:val="0"/>
              <w:snapToGrid w:val="0"/>
              <w:spacing w:line="240" w:lineRule="auto"/>
              <w:jc w:val="center"/>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2.3</w:t>
            </w:r>
          </w:p>
        </w:tc>
        <w:tc>
          <w:tcPr>
            <w:tcW w:w="7650" w:type="dxa"/>
            <w:vAlign w:val="center"/>
          </w:tcPr>
          <w:p>
            <w:pPr>
              <w:pStyle w:val="28"/>
              <w:adjustRightInd w:val="0"/>
              <w:snapToGrid w:val="0"/>
              <w:spacing w:line="240" w:lineRule="auto"/>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邀请供应商的方式：</w:t>
            </w:r>
          </w:p>
          <w:p>
            <w:pPr>
              <w:pStyle w:val="28"/>
              <w:adjustRightInd w:val="0"/>
              <w:snapToGrid w:val="0"/>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 （1）发布磋商公告</w:t>
            </w:r>
          </w:p>
          <w:p>
            <w:pPr>
              <w:pStyle w:val="28"/>
              <w:adjustRightInd w:val="0"/>
              <w:snapToGrid w:val="0"/>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 （2）采购人和评审专家分别书面推荐的方式邀请不少于3 家</w:t>
            </w:r>
          </w:p>
          <w:p>
            <w:pPr>
              <w:pStyle w:val="28"/>
              <w:adjustRightInd w:val="0"/>
              <w:snapToGrid w:val="0"/>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符合相应资格条件的供应商</w:t>
            </w:r>
          </w:p>
          <w:p>
            <w:pPr>
              <w:pStyle w:val="28"/>
              <w:adjustRightInd w:val="0"/>
              <w:snapToGrid w:val="0"/>
              <w:spacing w:line="240" w:lineRule="auto"/>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 （3）随机从省级财政部门建立的供应商库中抽取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3.1</w:t>
            </w:r>
          </w:p>
        </w:tc>
        <w:tc>
          <w:tcPr>
            <w:tcW w:w="7650" w:type="dxa"/>
            <w:vAlign w:val="center"/>
          </w:tcPr>
          <w:p>
            <w:pPr>
              <w:pStyle w:val="13"/>
              <w:spacing w:line="360" w:lineRule="auto"/>
              <w:rPr>
                <w:rFonts w:hint="default" w:ascii="Times New Roman" w:hAnsi="Times New Roman" w:eastAsia="仿宋_GB2312" w:cs="Times New Roman"/>
                <w:i w:val="0"/>
                <w:iCs w:val="0"/>
                <w:color w:val="auto"/>
                <w:highlight w:val="none"/>
              </w:rPr>
            </w:pPr>
            <w:r>
              <w:rPr>
                <w:rFonts w:hint="default" w:ascii="Times New Roman" w:hAnsi="Times New Roman" w:eastAsia="仿宋_GB2312" w:cs="Times New Roman"/>
                <w:i w:val="0"/>
                <w:iCs w:val="0"/>
                <w:color w:val="auto"/>
                <w:kern w:val="2"/>
                <w:highlight w:val="none"/>
              </w:rPr>
              <w:t xml:space="preserve">对供应商的资格要求：见磋商公告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hint="eastAsia" w:ascii="Times New Roman" w:hAnsi="Times New Roman" w:eastAsia="仿宋_GB2312" w:cs="Times New Roman"/>
                <w:i w:val="0"/>
                <w:iCs w:val="0"/>
                <w:color w:val="auto"/>
                <w:sz w:val="24"/>
                <w:szCs w:val="24"/>
                <w:highlight w:val="none"/>
                <w:lang w:eastAsia="zh-CN"/>
              </w:rPr>
            </w:pPr>
            <w:r>
              <w:rPr>
                <w:rFonts w:hint="default" w:ascii="Times New Roman" w:hAnsi="Times New Roman" w:eastAsia="仿宋_GB2312" w:cs="Times New Roman"/>
                <w:i w:val="0"/>
                <w:iCs w:val="0"/>
                <w:color w:val="auto"/>
                <w:sz w:val="24"/>
                <w:szCs w:val="24"/>
                <w:highlight w:val="none"/>
              </w:rPr>
              <w:t>3.</w:t>
            </w:r>
            <w:r>
              <w:rPr>
                <w:rFonts w:hint="eastAsia" w:ascii="Times New Roman" w:hAnsi="Times New Roman" w:eastAsia="仿宋_GB2312" w:cs="Times New Roman"/>
                <w:i w:val="0"/>
                <w:iCs w:val="0"/>
                <w:color w:val="auto"/>
                <w:sz w:val="24"/>
                <w:szCs w:val="24"/>
                <w:highlight w:val="none"/>
                <w:lang w:val="en-US" w:eastAsia="zh-CN"/>
              </w:rPr>
              <w:t>5</w:t>
            </w:r>
          </w:p>
        </w:tc>
        <w:tc>
          <w:tcPr>
            <w:tcW w:w="7650" w:type="dxa"/>
            <w:vAlign w:val="center"/>
          </w:tcPr>
          <w:p>
            <w:pPr>
              <w:pStyle w:val="13"/>
              <w:spacing w:line="360" w:lineRule="auto"/>
              <w:rPr>
                <w:rFonts w:hint="eastAsia" w:ascii="Times New Roman" w:hAnsi="Times New Roman" w:eastAsia="仿宋_GB2312" w:cs="Times New Roman"/>
                <w:i w:val="0"/>
                <w:iCs w:val="0"/>
                <w:color w:val="auto"/>
                <w:kern w:val="2"/>
                <w:highlight w:val="none"/>
                <w:lang w:eastAsia="zh-CN"/>
              </w:rPr>
            </w:pPr>
            <w:r>
              <w:rPr>
                <w:rFonts w:hint="default" w:ascii="Times New Roman" w:hAnsi="Times New Roman" w:eastAsia="仿宋_GB2312" w:cs="Times New Roman"/>
                <w:i w:val="0"/>
                <w:iCs w:val="0"/>
                <w:color w:val="auto"/>
                <w:kern w:val="2"/>
                <w:highlight w:val="none"/>
              </w:rPr>
              <w:t>是否允许采购进口产品：</w:t>
            </w:r>
            <w:r>
              <w:rPr>
                <w:rFonts w:hint="eastAsia" w:ascii="Times New Roman" w:eastAsia="仿宋_GB2312" w:cs="Times New Roman"/>
                <w:i w:val="0"/>
                <w:iCs w:val="0"/>
                <w:color w:val="auto"/>
                <w:kern w:val="2"/>
                <w:highlight w:val="none"/>
                <w:u w:val="single"/>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hint="eastAsia" w:ascii="Times New Roman" w:hAnsi="Times New Roman" w:eastAsia="仿宋_GB2312" w:cs="Times New Roman"/>
                <w:i w:val="0"/>
                <w:iCs w:val="0"/>
                <w:color w:val="auto"/>
                <w:sz w:val="24"/>
                <w:szCs w:val="24"/>
                <w:highlight w:val="none"/>
                <w:lang w:eastAsia="zh-CN"/>
              </w:rPr>
            </w:pPr>
            <w:r>
              <w:rPr>
                <w:rFonts w:hint="default" w:ascii="Times New Roman" w:hAnsi="Times New Roman" w:eastAsia="仿宋_GB2312" w:cs="Times New Roman"/>
                <w:i w:val="0"/>
                <w:iCs w:val="0"/>
                <w:color w:val="auto"/>
                <w:sz w:val="24"/>
                <w:szCs w:val="24"/>
                <w:highlight w:val="none"/>
              </w:rPr>
              <w:t>3.</w:t>
            </w:r>
            <w:r>
              <w:rPr>
                <w:rFonts w:hint="eastAsia" w:ascii="Times New Roman" w:hAnsi="Times New Roman" w:eastAsia="仿宋_GB2312" w:cs="Times New Roman"/>
                <w:i w:val="0"/>
                <w:iCs w:val="0"/>
                <w:color w:val="auto"/>
                <w:sz w:val="24"/>
                <w:szCs w:val="24"/>
                <w:highlight w:val="none"/>
                <w:lang w:val="en-US" w:eastAsia="zh-CN"/>
              </w:rPr>
              <w:t>6</w:t>
            </w:r>
          </w:p>
        </w:tc>
        <w:tc>
          <w:tcPr>
            <w:tcW w:w="7650" w:type="dxa"/>
            <w:vAlign w:val="center"/>
          </w:tcPr>
          <w:p>
            <w:pPr>
              <w:pStyle w:val="13"/>
              <w:spacing w:line="360" w:lineRule="auto"/>
              <w:rPr>
                <w:rFonts w:hint="eastAsia" w:ascii="Times New Roman" w:hAnsi="Times New Roman" w:eastAsia="仿宋_GB2312" w:cs="Times New Roman"/>
                <w:i w:val="0"/>
                <w:iCs w:val="0"/>
                <w:color w:val="auto"/>
                <w:kern w:val="2"/>
                <w:highlight w:val="none"/>
                <w:lang w:eastAsia="zh-CN"/>
              </w:rPr>
            </w:pPr>
            <w:r>
              <w:rPr>
                <w:rFonts w:hint="default" w:ascii="Times New Roman" w:hAnsi="Times New Roman" w:eastAsia="仿宋_GB2312" w:cs="Times New Roman"/>
                <w:i w:val="0"/>
                <w:iCs w:val="0"/>
                <w:color w:val="auto"/>
                <w:kern w:val="2"/>
                <w:highlight w:val="none"/>
              </w:rPr>
              <w:t>是否允许联合体磋商：</w:t>
            </w:r>
            <w:r>
              <w:rPr>
                <w:rFonts w:hint="eastAsia" w:ascii="Times New Roman" w:eastAsia="仿宋_GB2312" w:cs="Times New Roman"/>
                <w:i w:val="0"/>
                <w:iCs w:val="0"/>
                <w:color w:val="auto"/>
                <w:kern w:val="2"/>
                <w:highlight w:val="none"/>
                <w:u w:val="single"/>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hint="default" w:ascii="Times New Roman" w:hAnsi="Times New Roman" w:eastAsia="仿宋_GB2312" w:cs="Times New Roman"/>
                <w:i w:val="0"/>
                <w:iCs w:val="0"/>
                <w:color w:val="auto"/>
                <w:sz w:val="24"/>
                <w:szCs w:val="24"/>
                <w:highlight w:val="none"/>
                <w:lang w:val="en-US" w:eastAsia="zh-CN"/>
              </w:rPr>
            </w:pPr>
            <w:r>
              <w:rPr>
                <w:rFonts w:hint="default" w:ascii="Times New Roman" w:hAnsi="Times New Roman" w:eastAsia="仿宋_GB2312" w:cs="Times New Roman"/>
                <w:i w:val="0"/>
                <w:iCs w:val="0"/>
                <w:color w:val="auto"/>
                <w:sz w:val="24"/>
                <w:szCs w:val="24"/>
                <w:highlight w:val="none"/>
                <w:lang w:val="en-US" w:eastAsia="zh-CN"/>
              </w:rPr>
              <w:t>3.</w:t>
            </w:r>
            <w:r>
              <w:rPr>
                <w:rFonts w:hint="eastAsia" w:ascii="Times New Roman" w:hAnsi="Times New Roman" w:eastAsia="仿宋_GB2312" w:cs="Times New Roman"/>
                <w:i w:val="0"/>
                <w:iCs w:val="0"/>
                <w:color w:val="auto"/>
                <w:sz w:val="24"/>
                <w:szCs w:val="24"/>
                <w:highlight w:val="none"/>
                <w:lang w:val="en-US" w:eastAsia="zh-CN"/>
              </w:rPr>
              <w:t>7</w:t>
            </w:r>
          </w:p>
        </w:tc>
        <w:tc>
          <w:tcPr>
            <w:tcW w:w="7650" w:type="dxa"/>
            <w:vAlign w:val="center"/>
          </w:tcPr>
          <w:p>
            <w:pPr>
              <w:pStyle w:val="13"/>
              <w:spacing w:line="360" w:lineRule="auto"/>
              <w:rPr>
                <w:rFonts w:hint="default" w:ascii="Times New Roman" w:hAnsi="Times New Roman" w:eastAsia="仿宋_GB2312" w:cs="Times New Roman"/>
                <w:i w:val="0"/>
                <w:iCs w:val="0"/>
                <w:color w:val="auto"/>
                <w:kern w:val="2"/>
                <w:highlight w:val="none"/>
              </w:rPr>
            </w:pPr>
            <w:r>
              <w:rPr>
                <w:rFonts w:hint="default" w:ascii="Times New Roman" w:hAnsi="Times New Roman" w:eastAsia="仿宋_GB2312" w:cs="Times New Roman"/>
                <w:i w:val="0"/>
                <w:iCs w:val="0"/>
                <w:color w:val="auto"/>
                <w:sz w:val="24"/>
                <w:highlight w:val="none"/>
              </w:rPr>
              <w:t>是否为专门面向中小企业采购：</w:t>
            </w:r>
            <w:r>
              <w:rPr>
                <w:rFonts w:hint="eastAsia" w:ascii="Times New Roman" w:eastAsia="仿宋_GB2312" w:cs="Times New Roman"/>
                <w:i w:val="0"/>
                <w:iCs w:val="0"/>
                <w:color w:val="auto"/>
                <w:sz w:val="24"/>
                <w:highlight w:val="none"/>
                <w:u w:val="singl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pPr>
              <w:pStyle w:val="28"/>
              <w:adjustRightInd w:val="0"/>
              <w:snapToGrid w:val="0"/>
              <w:spacing w:line="240" w:lineRule="auto"/>
              <w:jc w:val="center"/>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12.1</w:t>
            </w:r>
          </w:p>
        </w:tc>
        <w:tc>
          <w:tcPr>
            <w:tcW w:w="7650" w:type="dxa"/>
            <w:vAlign w:val="center"/>
          </w:tcPr>
          <w:p>
            <w:pPr>
              <w:spacing w:line="312"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成交响应报价为完成本项目并达到磋商文件要求所需要的全部费用，包括：产品供货、安装调试、验收、培训售后服务、以及增值税等税费、运杂保险费等）。服务响应报价为提供磋商文件要求服务的所有费用，包括但不限于提供项目实施费、自行测试费、培训费、人工费、材料费、管理费、供应商应缴纳的所有税费、规费、保险费（如果有）、安装费、集成费等全部费用。</w:t>
            </w:r>
          </w:p>
          <w:p>
            <w:pPr>
              <w:pStyle w:val="28"/>
              <w:adjustRightInd w:val="0"/>
              <w:snapToGrid w:val="0"/>
              <w:spacing w:line="240"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（1）报价货币：人民币；</w:t>
            </w:r>
          </w:p>
          <w:p>
            <w:pPr>
              <w:pStyle w:val="28"/>
              <w:adjustRightInd w:val="0"/>
              <w:snapToGrid w:val="0"/>
              <w:spacing w:line="240"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（2）严格按照分项报价表进行分项报价。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080" w:type="dxa"/>
            <w:vAlign w:val="center"/>
          </w:tcPr>
          <w:p>
            <w:pPr>
              <w:pStyle w:val="28"/>
              <w:adjustRightInd w:val="0"/>
              <w:snapToGrid w:val="0"/>
              <w:spacing w:line="240" w:lineRule="auto"/>
              <w:jc w:val="center"/>
              <w:rPr>
                <w:rFonts w:hint="default" w:ascii="Times New Roman" w:hAnsi="Times New Roman" w:eastAsia="仿宋_GB2312" w:cs="Times New Roman"/>
                <w:i w:val="0"/>
                <w:iCs w:val="0"/>
                <w:color w:val="auto"/>
                <w:sz w:val="24"/>
                <w:szCs w:val="24"/>
                <w:highlight w:val="none"/>
              </w:rPr>
            </w:pPr>
          </w:p>
          <w:p>
            <w:pPr>
              <w:pStyle w:val="28"/>
              <w:adjustRightInd w:val="0"/>
              <w:snapToGrid w:val="0"/>
              <w:spacing w:line="240" w:lineRule="auto"/>
              <w:jc w:val="center"/>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14.1</w:t>
            </w:r>
          </w:p>
          <w:p>
            <w:pPr>
              <w:pStyle w:val="28"/>
              <w:adjustRightInd w:val="0"/>
              <w:snapToGrid w:val="0"/>
              <w:spacing w:line="240" w:lineRule="auto"/>
              <w:rPr>
                <w:rFonts w:hint="default" w:ascii="Times New Roman" w:hAnsi="Times New Roman" w:eastAsia="仿宋_GB2312" w:cs="Times New Roman"/>
                <w:i w:val="0"/>
                <w:iCs w:val="0"/>
                <w:color w:val="auto"/>
                <w:sz w:val="24"/>
                <w:szCs w:val="24"/>
                <w:highlight w:val="none"/>
              </w:rPr>
            </w:pPr>
          </w:p>
        </w:tc>
        <w:tc>
          <w:tcPr>
            <w:tcW w:w="7650" w:type="dxa"/>
            <w:vAlign w:val="center"/>
          </w:tcPr>
          <w:p>
            <w:pPr>
              <w:pStyle w:val="28"/>
              <w:adjustRightInd w:val="0"/>
              <w:snapToGrid w:val="0"/>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本项目须提供磋商保证金人民币</w:t>
            </w:r>
            <w:r>
              <w:rPr>
                <w:rFonts w:hint="eastAsia" w:ascii="仿宋" w:hAnsi="仿宋" w:eastAsia="仿宋" w:cs="仿宋"/>
                <w:color w:val="auto"/>
                <w:sz w:val="24"/>
                <w:highlight w:val="none"/>
                <w:lang w:val="en-US" w:eastAsia="zh-CN"/>
              </w:rPr>
              <w:t>壹万伍仟</w:t>
            </w:r>
            <w:r>
              <w:rPr>
                <w:rFonts w:hint="eastAsia" w:ascii="仿宋" w:hAnsi="仿宋" w:eastAsia="仿宋" w:cs="仿宋"/>
                <w:color w:val="auto"/>
                <w:sz w:val="24"/>
                <w:highlight w:val="none"/>
              </w:rPr>
              <w:t>元整（人民币¥</w:t>
            </w:r>
            <w:r>
              <w:rPr>
                <w:rFonts w:hint="eastAsia" w:ascii="仿宋" w:hAnsi="仿宋" w:eastAsia="仿宋" w:cs="仿宋"/>
                <w:color w:val="auto"/>
                <w:sz w:val="24"/>
                <w:highlight w:val="none"/>
                <w:lang w:val="en-US" w:eastAsia="zh-CN"/>
              </w:rPr>
              <w:t>15000</w:t>
            </w:r>
            <w:r>
              <w:rPr>
                <w:rFonts w:hint="eastAsia" w:ascii="仿宋" w:hAnsi="仿宋" w:eastAsia="仿宋" w:cs="仿宋"/>
                <w:color w:val="auto"/>
                <w:sz w:val="24"/>
                <w:highlight w:val="none"/>
              </w:rPr>
              <w:t>元）。</w:t>
            </w:r>
          </w:p>
          <w:p>
            <w:pPr>
              <w:autoSpaceDE w:val="0"/>
              <w:autoSpaceDN w:val="0"/>
              <w:adjustRightInd w:val="0"/>
              <w:snapToGrid w:val="0"/>
              <w:spacing w:after="120" w:afterLines="50"/>
              <w:rPr>
                <w:rFonts w:hint="eastAsia" w:ascii="仿宋" w:hAnsi="仿宋" w:eastAsia="仿宋" w:cs="仿宋"/>
                <w:color w:val="auto"/>
                <w:sz w:val="24"/>
                <w:highlight w:val="none"/>
              </w:rPr>
            </w:pPr>
            <w:r>
              <w:rPr>
                <w:rFonts w:hint="eastAsia" w:ascii="仿宋" w:hAnsi="仿宋" w:eastAsia="仿宋" w:cs="仿宋"/>
                <w:color w:val="auto"/>
                <w:sz w:val="24"/>
                <w:highlight w:val="none"/>
              </w:rPr>
              <w:t>保证金可自主选择采用电汇、银行转账、支票、汇票、本票、金融机构或担保机构出具的保函等非现金形式。</w:t>
            </w:r>
          </w:p>
          <w:p>
            <w:pPr>
              <w:pStyle w:val="28"/>
              <w:adjustRightInd w:val="0"/>
              <w:snapToGrid w:val="0"/>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保证金户名：陕西省采购招标有限责任公司</w:t>
            </w:r>
          </w:p>
          <w:p>
            <w:pPr>
              <w:pStyle w:val="28"/>
              <w:adjustRightInd w:val="0"/>
              <w:snapToGrid w:val="0"/>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开户银行：中国银行西安南郊支行营业部 </w:t>
            </w:r>
          </w:p>
          <w:p>
            <w:pPr>
              <w:pStyle w:val="28"/>
              <w:adjustRightInd w:val="0"/>
              <w:snapToGrid w:val="0"/>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号：103661558189</w:t>
            </w:r>
          </w:p>
          <w:p>
            <w:pPr>
              <w:pStyle w:val="28"/>
              <w:adjustRightInd w:val="0"/>
              <w:snapToGrid w:val="0"/>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联系人：侯娜  电话：029-85256853</w:t>
            </w:r>
          </w:p>
          <w:p>
            <w:pPr>
              <w:pStyle w:val="28"/>
              <w:adjustRightInd w:val="0"/>
              <w:snapToGrid w:val="0"/>
              <w:spacing w:line="240" w:lineRule="auto"/>
              <w:rPr>
                <w:rFonts w:hint="eastAsia" w:ascii="仿宋" w:hAnsi="仿宋" w:eastAsia="仿宋" w:cs="仿宋"/>
                <w:b/>
                <w:bCs/>
                <w:color w:val="auto"/>
                <w:highlight w:val="none"/>
              </w:rPr>
            </w:pPr>
            <w:r>
              <w:rPr>
                <w:rFonts w:hint="eastAsia" w:ascii="仿宋" w:hAnsi="仿宋" w:eastAsia="仿宋" w:cs="仿宋"/>
                <w:b/>
                <w:bCs/>
                <w:color w:val="auto"/>
                <w:highlight w:val="none"/>
              </w:rPr>
              <w:t>备注：</w:t>
            </w:r>
          </w:p>
          <w:p>
            <w:pPr>
              <w:pStyle w:val="28"/>
              <w:adjustRightInd w:val="0"/>
              <w:snapToGrid w:val="0"/>
              <w:spacing w:line="240" w:lineRule="auto"/>
              <w:ind w:firstLine="422" w:firstLineChars="200"/>
              <w:rPr>
                <w:rFonts w:hint="eastAsia" w:ascii="仿宋" w:hAnsi="仿宋" w:eastAsia="仿宋" w:cs="仿宋"/>
                <w:b/>
                <w:bCs/>
                <w:color w:val="auto"/>
                <w:highlight w:val="none"/>
              </w:rPr>
            </w:pPr>
            <w:r>
              <w:rPr>
                <w:rFonts w:hint="eastAsia" w:ascii="仿宋" w:hAnsi="仿宋" w:eastAsia="仿宋" w:cs="仿宋"/>
                <w:b/>
                <w:bCs/>
                <w:color w:val="auto"/>
                <w:highlight w:val="none"/>
              </w:rPr>
              <w:t>1、在汇款时务必注明所响应项目的项目编号，否则，因款项用途不明导致磋商无效等后果由供应商自行承担；</w:t>
            </w:r>
          </w:p>
          <w:p>
            <w:pPr>
              <w:pStyle w:val="28"/>
              <w:adjustRightInd w:val="0"/>
              <w:snapToGrid w:val="0"/>
              <w:spacing w:line="240" w:lineRule="auto"/>
              <w:ind w:firstLine="422" w:firstLineChars="200"/>
              <w:rPr>
                <w:rFonts w:hint="eastAsia" w:ascii="仿宋" w:hAnsi="仿宋" w:eastAsia="仿宋" w:cs="仿宋"/>
                <w:b/>
                <w:bCs/>
                <w:color w:val="auto"/>
                <w:highlight w:val="none"/>
              </w:rPr>
            </w:pPr>
            <w:r>
              <w:rPr>
                <w:rFonts w:hint="eastAsia" w:ascii="仿宋" w:hAnsi="仿宋" w:eastAsia="仿宋" w:cs="仿宋"/>
                <w:b/>
                <w:bCs/>
                <w:color w:val="auto"/>
                <w:highlight w:val="none"/>
              </w:rPr>
              <w:t>2、请各供应商在响应文件递交截止时间前，按文件的要求向</w:t>
            </w:r>
            <w:r>
              <w:rPr>
                <w:rFonts w:hint="eastAsia" w:ascii="仿宋" w:hAnsi="仿宋" w:eastAsia="仿宋" w:cs="仿宋"/>
                <w:b/>
                <w:bCs/>
                <w:color w:val="auto"/>
                <w:highlight w:val="none"/>
                <w:lang w:eastAsia="zh-CN"/>
              </w:rPr>
              <w:t>采购</w:t>
            </w:r>
            <w:r>
              <w:rPr>
                <w:rFonts w:hint="eastAsia" w:ascii="仿宋" w:hAnsi="仿宋" w:eastAsia="仿宋" w:cs="仿宋"/>
                <w:b/>
                <w:bCs/>
                <w:color w:val="auto"/>
                <w:highlight w:val="none"/>
              </w:rPr>
              <w:t>代理机构递交磋商保证金；</w:t>
            </w:r>
          </w:p>
          <w:p>
            <w:pPr>
              <w:pStyle w:val="28"/>
              <w:adjustRightInd w:val="0"/>
              <w:snapToGrid w:val="0"/>
              <w:spacing w:line="240" w:lineRule="auto"/>
              <w:ind w:firstLine="422" w:firstLineChars="200"/>
              <w:rPr>
                <w:rFonts w:hint="default" w:ascii="Times New Roman" w:hAnsi="Times New Roman" w:eastAsia="仿宋_GB2312" w:cs="Times New Roman"/>
                <w:i w:val="0"/>
                <w:iCs w:val="0"/>
                <w:color w:val="auto"/>
                <w:sz w:val="24"/>
                <w:highlight w:val="none"/>
              </w:rPr>
            </w:pPr>
            <w:r>
              <w:rPr>
                <w:rFonts w:hint="eastAsia" w:ascii="仿宋" w:hAnsi="仿宋" w:eastAsia="仿宋" w:cs="仿宋"/>
                <w:b/>
                <w:bCs/>
                <w:color w:val="auto"/>
                <w:highlight w:val="none"/>
              </w:rPr>
              <w:t>3、磋商保证金有效期同磋商有效期。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8"/>
              <w:adjustRightInd w:val="0"/>
              <w:snapToGrid w:val="0"/>
              <w:spacing w:line="240" w:lineRule="auto"/>
              <w:jc w:val="center"/>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15.1</w:t>
            </w:r>
          </w:p>
        </w:tc>
        <w:tc>
          <w:tcPr>
            <w:tcW w:w="7650" w:type="dxa"/>
            <w:vAlign w:val="center"/>
          </w:tcPr>
          <w:p>
            <w:pPr>
              <w:pStyle w:val="28"/>
              <w:adjustRightInd w:val="0"/>
              <w:snapToGrid w:val="0"/>
              <w:spacing w:line="240" w:lineRule="auto"/>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磋商有效期：自响应文件递交之日起</w:t>
            </w:r>
            <w:r>
              <w:rPr>
                <w:rFonts w:hint="eastAsia" w:ascii="Times New Roman" w:hAnsi="Times New Roman" w:eastAsia="仿宋_GB2312" w:cs="Times New Roman"/>
                <w:i w:val="0"/>
                <w:iCs w:val="0"/>
                <w:color w:val="auto"/>
                <w:sz w:val="24"/>
                <w:szCs w:val="24"/>
                <w:highlight w:val="none"/>
                <w:u w:val="single"/>
                <w:lang w:val="en-US" w:eastAsia="zh-CN"/>
              </w:rPr>
              <w:t>60</w:t>
            </w:r>
            <w:r>
              <w:rPr>
                <w:rFonts w:hint="default" w:ascii="Times New Roman" w:hAnsi="Times New Roman" w:eastAsia="仿宋_GB2312" w:cs="Times New Roman"/>
                <w:i w:val="0"/>
                <w:iCs w:val="0"/>
                <w:color w:val="auto"/>
                <w:sz w:val="24"/>
                <w:szCs w:val="24"/>
                <w:highlight w:val="none"/>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80" w:type="dxa"/>
            <w:vAlign w:val="center"/>
          </w:tcPr>
          <w:p>
            <w:pPr>
              <w:pStyle w:val="28"/>
              <w:adjustRightInd w:val="0"/>
              <w:snapToGrid w:val="0"/>
              <w:spacing w:line="240" w:lineRule="auto"/>
              <w:jc w:val="center"/>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16.1</w:t>
            </w:r>
          </w:p>
        </w:tc>
        <w:tc>
          <w:tcPr>
            <w:tcW w:w="7650" w:type="dxa"/>
            <w:vAlign w:val="center"/>
          </w:tcPr>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为积极响应国家疫情防控要求及榆林市公共资源交易中心的相关政策，本项目采用电子化招投标，电子磋商响应文件需在磋商响应文件递交截止时间之前在陕西省公共资源交易中心平台（http://xxxq.sxggzyjy.cn/）递交；</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2.为便于采购人归档和向监管部门备案，供应商需按以下要求递交纸质版磋商响应文件（按要求密封，须与电子文件内容一致）：</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资格证明文件：正本：1份、副本：2份；</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商务及技术文件：正本：1份、副本：2份；</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递交方式：纸质版磋商响应文件须在磋商响应文件递交截止时间前送达或通过邮寄方式寄出（建议顺丰快递），以电报、传真、电子邮件形式递交的磋商响应文件将不予接受。</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注:供应商在磋商响应文件递交截止时间前须将快递单号及供应商信息发送至以下邮箱：1963900154@qq.com，该快递单号将作为供应商递交纸质文件的依据之一。</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送达（邮寄）地址：榆林市金沙路泰和时代A座901，联系人：冯振楠 联系电话：19909123968。</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i w:val="0"/>
                <w:iCs w:val="0"/>
                <w:color w:val="auto"/>
                <w:sz w:val="24"/>
                <w:szCs w:val="24"/>
                <w:highlight w:val="none"/>
              </w:rPr>
            </w:pPr>
            <w:r>
              <w:rPr>
                <w:rFonts w:hint="eastAsia" w:ascii="仿宋" w:hAnsi="仿宋" w:eastAsia="仿宋" w:cs="仿宋"/>
                <w:sz w:val="24"/>
                <w:highlight w:val="none"/>
                <w:lang w:val="en-US" w:eastAsia="zh-CN"/>
              </w:rPr>
              <w:t>供应商未按要求递交磋商响应文件的，由此产生的后果均由供应商自行承担。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8"/>
              <w:adjustRightInd w:val="0"/>
              <w:snapToGrid w:val="0"/>
              <w:spacing w:line="240" w:lineRule="auto"/>
              <w:jc w:val="center"/>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17.2</w:t>
            </w:r>
          </w:p>
        </w:tc>
        <w:tc>
          <w:tcPr>
            <w:tcW w:w="7650" w:type="dxa"/>
            <w:vAlign w:val="center"/>
          </w:tcPr>
          <w:p>
            <w:pPr>
              <w:pStyle w:val="28"/>
              <w:adjustRightInd w:val="0"/>
              <w:snapToGrid w:val="0"/>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密封袋（箱）上须标注：</w:t>
            </w:r>
          </w:p>
          <w:p>
            <w:pPr>
              <w:pStyle w:val="28"/>
              <w:adjustRightInd w:val="0"/>
              <w:snapToGrid w:val="0"/>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 xml:space="preserve">    （l）采购项目编号：</w:t>
            </w:r>
          </w:p>
          <w:p>
            <w:pPr>
              <w:pStyle w:val="28"/>
              <w:adjustRightInd w:val="0"/>
              <w:snapToGrid w:val="0"/>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 xml:space="preserve">    （2）项目名称：</w:t>
            </w:r>
          </w:p>
          <w:p>
            <w:pPr>
              <w:pStyle w:val="28"/>
              <w:adjustRightInd w:val="0"/>
              <w:snapToGrid w:val="0"/>
              <w:ind w:firstLine="480" w:firstLineChars="200"/>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（3）供应商的名称、地址、联系人、电话和传真。</w:t>
            </w:r>
          </w:p>
          <w:p>
            <w:pPr>
              <w:pStyle w:val="28"/>
              <w:adjustRightInd w:val="0"/>
              <w:snapToGrid w:val="0"/>
              <w:ind w:firstLine="480" w:firstLineChars="200"/>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（4）在  ******（北京时间）之前不得启封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8"/>
              <w:adjustRightInd w:val="0"/>
              <w:snapToGrid w:val="0"/>
              <w:spacing w:line="240" w:lineRule="auto"/>
              <w:jc w:val="center"/>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17.3</w:t>
            </w:r>
          </w:p>
        </w:tc>
        <w:tc>
          <w:tcPr>
            <w:tcW w:w="7650" w:type="dxa"/>
            <w:vAlign w:val="center"/>
          </w:tcPr>
          <w:p>
            <w:pPr>
              <w:pStyle w:val="28"/>
              <w:adjustRightInd w:val="0"/>
              <w:snapToGrid w:val="0"/>
              <w:ind w:firstLine="120" w:firstLineChars="50"/>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 本项目不要求提交样品。</w:t>
            </w:r>
          </w:p>
          <w:p>
            <w:pPr>
              <w:pStyle w:val="28"/>
              <w:adjustRightInd w:val="0"/>
              <w:snapToGrid w:val="0"/>
              <w:ind w:firstLine="120" w:firstLineChars="50"/>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□本项目要求提交样品。样品为响应文件的一部分，随响应文件同时递交。</w:t>
            </w:r>
          </w:p>
          <w:p>
            <w:pPr>
              <w:pStyle w:val="28"/>
              <w:adjustRightInd w:val="0"/>
              <w:snapToGrid w:val="0"/>
              <w:ind w:firstLine="360" w:firstLineChars="150"/>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（1）样品需标明：项目名称、供应商名称、样品名称等内容。</w:t>
            </w:r>
          </w:p>
          <w:p>
            <w:pPr>
              <w:pStyle w:val="28"/>
              <w:adjustRightInd w:val="0"/>
              <w:snapToGrid w:val="0"/>
              <w:ind w:firstLine="360" w:firstLineChars="150"/>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（2）其他要求：*******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080" w:type="dxa"/>
            <w:vAlign w:val="center"/>
          </w:tcPr>
          <w:p>
            <w:pPr>
              <w:pStyle w:val="28"/>
              <w:adjustRightInd w:val="0"/>
              <w:snapToGrid w:val="0"/>
              <w:spacing w:line="240" w:lineRule="auto"/>
              <w:jc w:val="center"/>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18.1</w:t>
            </w:r>
          </w:p>
        </w:tc>
        <w:tc>
          <w:tcPr>
            <w:tcW w:w="765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磋商</w:t>
            </w:r>
            <w:r>
              <w:rPr>
                <w:rFonts w:hint="eastAsia" w:ascii="仿宋" w:hAnsi="仿宋" w:eastAsia="仿宋" w:cs="仿宋"/>
                <w:sz w:val="24"/>
                <w:highlight w:val="none"/>
              </w:rPr>
              <w:t>响应文件递交截止时间：20</w:t>
            </w:r>
            <w:r>
              <w:rPr>
                <w:rFonts w:hint="eastAsia" w:ascii="仿宋" w:hAnsi="仿宋" w:eastAsia="仿宋" w:cs="仿宋"/>
                <w:sz w:val="24"/>
                <w:highlight w:val="none"/>
                <w:lang w:val="en-US" w:eastAsia="zh-CN"/>
              </w:rPr>
              <w:t>22</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08</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04</w:t>
            </w:r>
            <w:r>
              <w:rPr>
                <w:rFonts w:hint="eastAsia" w:ascii="仿宋" w:hAnsi="仿宋" w:eastAsia="仿宋" w:cs="仿宋"/>
                <w:sz w:val="24"/>
                <w:highlight w:val="none"/>
              </w:rPr>
              <w:t>日</w:t>
            </w:r>
            <w:r>
              <w:rPr>
                <w:rFonts w:hint="eastAsia" w:ascii="仿宋" w:hAnsi="仿宋" w:eastAsia="仿宋" w:cs="仿宋"/>
                <w:sz w:val="24"/>
                <w:highlight w:val="none"/>
                <w:lang w:val="en-US" w:eastAsia="zh-CN"/>
              </w:rPr>
              <w:t>13</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0（北京时间）。</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仿宋_GB2312" w:cs="Times New Roman"/>
                <w:i w:val="0"/>
                <w:iCs w:val="0"/>
                <w:color w:val="auto"/>
                <w:sz w:val="24"/>
                <w:highlight w:val="none"/>
              </w:rPr>
            </w:pPr>
            <w:r>
              <w:rPr>
                <w:rFonts w:hint="eastAsia" w:ascii="仿宋" w:hAnsi="仿宋" w:eastAsia="仿宋" w:cs="仿宋"/>
                <w:sz w:val="24"/>
                <w:highlight w:val="none"/>
                <w:lang w:eastAsia="zh-CN"/>
              </w:rPr>
              <w:t>磋商</w:t>
            </w:r>
            <w:r>
              <w:rPr>
                <w:rFonts w:hint="eastAsia" w:ascii="仿宋" w:hAnsi="仿宋" w:eastAsia="仿宋" w:cs="仿宋"/>
                <w:sz w:val="24"/>
                <w:highlight w:val="none"/>
              </w:rPr>
              <w:t>响应文件递交地点：</w:t>
            </w:r>
            <w:r>
              <w:rPr>
                <w:rFonts w:hint="eastAsia" w:ascii="仿宋" w:hAnsi="仿宋" w:eastAsia="仿宋" w:cs="仿宋"/>
                <w:sz w:val="24"/>
                <w:highlight w:val="none"/>
                <w:lang w:eastAsia="zh-CN"/>
              </w:rPr>
              <w:t>榆林公共资源交易中心</w:t>
            </w:r>
            <w:r>
              <w:rPr>
                <w:rFonts w:hint="eastAsia" w:ascii="仿宋" w:hAnsi="仿宋" w:eastAsia="仿宋" w:cs="仿宋"/>
                <w:sz w:val="24"/>
                <w:highlight w:val="none"/>
                <w:lang w:val="en-US" w:eastAsia="zh-CN"/>
              </w:rPr>
              <w:t>10楼不见面开标5室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pPr>
              <w:pStyle w:val="28"/>
              <w:adjustRightInd w:val="0"/>
              <w:snapToGrid w:val="0"/>
              <w:spacing w:line="240" w:lineRule="auto"/>
              <w:jc w:val="center"/>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21.1</w:t>
            </w:r>
          </w:p>
        </w:tc>
        <w:tc>
          <w:tcPr>
            <w:tcW w:w="7650" w:type="dxa"/>
            <w:vAlign w:val="center"/>
          </w:tcPr>
          <w:p>
            <w:pPr>
              <w:spacing w:line="360" w:lineRule="exact"/>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磋商小组由</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3 ）</w:t>
            </w:r>
            <w:r>
              <w:rPr>
                <w:rFonts w:hint="default" w:ascii="Times New Roman" w:hAnsi="Times New Roman" w:eastAsia="仿宋_GB2312" w:cs="Times New Roman"/>
                <w:i w:val="0"/>
                <w:iCs w:val="0"/>
                <w:color w:val="auto"/>
                <w:sz w:val="24"/>
                <w:highlight w:val="none"/>
              </w:rPr>
              <w:t>人组成，其中评审专家</w:t>
            </w:r>
            <w:r>
              <w:rPr>
                <w:rFonts w:hint="eastAsia" w:eastAsia="仿宋_GB2312" w:cs="Times New Roman"/>
                <w:i w:val="0"/>
                <w:iCs w:val="0"/>
                <w:color w:val="auto"/>
                <w:sz w:val="24"/>
                <w:highlight w:val="none"/>
                <w:u w:val="single"/>
                <w:lang w:val="en-US" w:eastAsia="zh-CN"/>
              </w:rPr>
              <w:t>2</w:t>
            </w:r>
            <w:r>
              <w:rPr>
                <w:rFonts w:hint="default" w:ascii="Times New Roman" w:hAnsi="Times New Roman" w:eastAsia="仿宋_GB2312" w:cs="Times New Roman"/>
                <w:i w:val="0"/>
                <w:iCs w:val="0"/>
                <w:color w:val="auto"/>
                <w:sz w:val="24"/>
                <w:highlight w:val="none"/>
              </w:rPr>
              <w:t>人，采购人代表</w:t>
            </w:r>
            <w:r>
              <w:rPr>
                <w:rFonts w:hint="eastAsia" w:eastAsia="仿宋_GB2312" w:cs="Times New Roman"/>
                <w:i w:val="0"/>
                <w:iCs w:val="0"/>
                <w:color w:val="auto"/>
                <w:sz w:val="24"/>
                <w:highlight w:val="none"/>
                <w:u w:val="single"/>
                <w:lang w:val="en-US" w:eastAsia="zh-CN"/>
              </w:rPr>
              <w:t>1</w:t>
            </w:r>
            <w:r>
              <w:rPr>
                <w:rFonts w:hint="default" w:ascii="Times New Roman" w:hAnsi="Times New Roman" w:eastAsia="仿宋_GB2312" w:cs="Times New Roman"/>
                <w:i w:val="0"/>
                <w:iCs w:val="0"/>
                <w:color w:val="auto"/>
                <w:sz w:val="24"/>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28.1</w:t>
            </w:r>
          </w:p>
        </w:tc>
        <w:tc>
          <w:tcPr>
            <w:tcW w:w="7650" w:type="dxa"/>
            <w:vAlign w:val="center"/>
          </w:tcPr>
          <w:p>
            <w:pPr>
              <w:jc w:val="left"/>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 本项目要求履约保证金，金额为成交合同金额的</w:t>
            </w:r>
            <w:r>
              <w:rPr>
                <w:rFonts w:hint="default" w:ascii="Times New Roman" w:hAnsi="Times New Roman" w:eastAsia="仿宋_GB2312" w:cs="Times New Roman"/>
                <w:b/>
                <w:i w:val="0"/>
                <w:iCs w:val="0"/>
                <w:color w:val="auto"/>
                <w:sz w:val="24"/>
                <w:highlight w:val="none"/>
                <w:u w:val="single"/>
              </w:rPr>
              <w:t xml:space="preserve">5% </w:t>
            </w:r>
          </w:p>
          <w:p>
            <w:pPr>
              <w:pStyle w:val="22"/>
              <w:rPr>
                <w:rFonts w:hint="default" w:ascii="Times New Roman" w:hAnsi="Times New Roman" w:eastAsia="仿宋_GB2312" w:cs="Times New Roman"/>
                <w:i w:val="0"/>
                <w:iCs w:val="0"/>
                <w:color w:val="auto"/>
                <w:highlight w:val="none"/>
              </w:rPr>
            </w:pPr>
          </w:p>
          <w:p>
            <w:pPr>
              <w:jc w:val="left"/>
              <w:rPr>
                <w:rFonts w:hint="default" w:ascii="Times New Roman" w:hAnsi="Times New Roman" w:eastAsia="仿宋_GB2312" w:cs="Times New Roman"/>
                <w:i w:val="0"/>
                <w:iCs w:val="0"/>
                <w:color w:val="auto"/>
                <w:highlight w:val="none"/>
              </w:rPr>
            </w:pPr>
            <w:r>
              <w:rPr>
                <w:rFonts w:hint="default" w:ascii="Times New Roman" w:hAnsi="Times New Roman" w:eastAsia="仿宋_GB2312" w:cs="Times New Roman"/>
                <w:i w:val="0"/>
                <w:iCs w:val="0"/>
                <w:color w:val="auto"/>
                <w:sz w:val="24"/>
                <w:szCs w:val="24"/>
                <w:highlight w:val="none"/>
              </w:rPr>
              <w:t>■</w:t>
            </w:r>
            <w:r>
              <w:rPr>
                <w:rFonts w:hint="eastAsia" w:eastAsia="仿宋_GB2312" w:cs="Times New Roman"/>
                <w:i w:val="0"/>
                <w:iCs w:val="0"/>
                <w:color w:val="auto"/>
                <w:sz w:val="24"/>
                <w:szCs w:val="24"/>
                <w:highlight w:val="none"/>
                <w:lang w:val="en-US" w:eastAsia="zh-CN"/>
              </w:rPr>
              <w:t xml:space="preserve"> </w:t>
            </w:r>
            <w:r>
              <w:rPr>
                <w:rFonts w:hint="default" w:ascii="Times New Roman" w:hAnsi="Times New Roman" w:eastAsia="仿宋_GB2312" w:cs="Times New Roman"/>
                <w:i w:val="0"/>
                <w:iCs w:val="0"/>
                <w:color w:val="auto"/>
                <w:sz w:val="24"/>
                <w:highlight w:val="none"/>
              </w:rPr>
              <w:t>本项目不要求履约保证金。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default" w:ascii="Times New Roman" w:hAnsi="Times New Roman" w:eastAsia="仿宋_GB2312" w:cs="Times New Roman"/>
                <w:i w:val="0"/>
                <w:iCs w:val="0"/>
                <w:color w:val="auto"/>
                <w:sz w:val="24"/>
                <w:highlight w:val="none"/>
              </w:rPr>
            </w:pPr>
            <w:bookmarkStart w:id="70" w:name="_Toc176882543"/>
            <w:bookmarkStart w:id="71" w:name="_Toc184043013"/>
            <w:bookmarkStart w:id="72" w:name="_Toc256342144"/>
            <w:bookmarkStart w:id="73" w:name="_Toc53722841"/>
            <w:bookmarkStart w:id="74" w:name="_Toc177995474"/>
            <w:bookmarkStart w:id="75" w:name="_Toc249515279"/>
            <w:bookmarkStart w:id="76" w:name="_Toc177817335"/>
            <w:bookmarkStart w:id="77" w:name="_Toc230013633"/>
            <w:bookmarkStart w:id="78" w:name="_Toc232176273"/>
            <w:bookmarkStart w:id="79" w:name="_Toc232395213"/>
            <w:bookmarkStart w:id="80" w:name="_Toc230583542"/>
            <w:bookmarkStart w:id="81" w:name="_Toc249525160"/>
            <w:bookmarkStart w:id="82" w:name="_Toc177189236"/>
            <w:bookmarkStart w:id="83" w:name="_Toc70687140"/>
            <w:bookmarkStart w:id="84" w:name="_Toc230099798"/>
            <w:bookmarkStart w:id="85" w:name="_Toc249515391"/>
            <w:r>
              <w:rPr>
                <w:rFonts w:hint="eastAsia" w:ascii="仿宋" w:hAnsi="仿宋" w:eastAsia="仿宋" w:cs="仿宋"/>
                <w:color w:val="auto"/>
                <w:sz w:val="24"/>
                <w:highlight w:val="none"/>
                <w:lang w:val="en-US" w:eastAsia="zh-CN"/>
              </w:rPr>
              <w:t>33.1</w:t>
            </w:r>
          </w:p>
        </w:tc>
        <w:tc>
          <w:tcPr>
            <w:tcW w:w="76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进入公共资源交易平台的各</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，均应在“信用中国（陕西榆林）”网站进行注册、登录、自主上报信用承诺书（网址：https://credit.yl.gov.cn/）。各</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注册、登录后根据承诺事项选择相应的模板填写《信用承诺书》</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具体操作指点及信用承诺书格式见附件）</w:t>
            </w:r>
            <w:r>
              <w:rPr>
                <w:rFonts w:hint="eastAsia" w:ascii="仿宋" w:hAnsi="仿宋" w:eastAsia="仿宋" w:cs="仿宋"/>
                <w:sz w:val="24"/>
                <w:highlight w:val="none"/>
              </w:rPr>
              <w:t>，并载明承诺事由，</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委托代理人员、投标信用的承诺事由为“项目名称”。操作指南见附件。如信用承诺公示迟报、漏报的列入不良行为记录。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仿宋_GB2312" w:cs="Times New Roman"/>
                <w:i w:val="0"/>
                <w:iCs w:val="0"/>
                <w:color w:val="auto"/>
                <w:sz w:val="24"/>
                <w:szCs w:val="24"/>
                <w:highlight w:val="none"/>
              </w:rPr>
            </w:pPr>
            <w:r>
              <w:rPr>
                <w:rFonts w:hint="eastAsia" w:ascii="仿宋" w:hAnsi="仿宋" w:eastAsia="仿宋" w:cs="仿宋"/>
                <w:b/>
                <w:bCs/>
                <w:sz w:val="24"/>
                <w:highlight w:val="none"/>
                <w:lang w:eastAsia="zh-CN"/>
              </w:rPr>
              <w:t>供应商</w:t>
            </w:r>
            <w:r>
              <w:rPr>
                <w:rFonts w:hint="eastAsia" w:ascii="仿宋" w:hAnsi="仿宋" w:eastAsia="仿宋" w:cs="仿宋"/>
                <w:b/>
                <w:bCs/>
                <w:sz w:val="24"/>
                <w:highlight w:val="none"/>
              </w:rPr>
              <w:t>请将申报截图附在</w:t>
            </w:r>
            <w:r>
              <w:rPr>
                <w:rFonts w:hint="eastAsia" w:ascii="仿宋" w:hAnsi="仿宋" w:eastAsia="仿宋" w:cs="仿宋"/>
                <w:b/>
                <w:bCs/>
                <w:sz w:val="24"/>
                <w:highlight w:val="none"/>
                <w:lang w:eastAsia="zh-CN"/>
              </w:rPr>
              <w:t>磋商响应文件</w:t>
            </w:r>
            <w:r>
              <w:rPr>
                <w:rFonts w:hint="eastAsia" w:ascii="仿宋" w:hAnsi="仿宋" w:eastAsia="仿宋" w:cs="仿宋"/>
                <w:b/>
                <w:bCs/>
                <w:sz w:val="24"/>
                <w:highlight w:val="none"/>
              </w:rPr>
              <w:t>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default" w:ascii="Times New Roman" w:hAnsi="Times New Roman" w:eastAsia="仿宋_GB2312" w:cs="Times New Roman"/>
                <w:i w:val="0"/>
                <w:iCs w:val="0"/>
                <w:color w:val="auto"/>
                <w:sz w:val="24"/>
                <w:highlight w:val="none"/>
              </w:rPr>
            </w:pPr>
            <w:r>
              <w:rPr>
                <w:rFonts w:hint="eastAsia" w:ascii="仿宋" w:hAnsi="仿宋" w:eastAsia="仿宋" w:cs="仿宋"/>
                <w:color w:val="auto"/>
                <w:sz w:val="24"/>
                <w:highlight w:val="none"/>
                <w:lang w:val="en-US" w:eastAsia="zh-CN"/>
              </w:rPr>
              <w:t>34.1</w:t>
            </w:r>
          </w:p>
        </w:tc>
        <w:tc>
          <w:tcPr>
            <w:tcW w:w="7650" w:type="dxa"/>
            <w:vAlign w:val="center"/>
          </w:tcPr>
          <w:p>
            <w:pPr>
              <w:numPr>
                <w:ilvl w:val="0"/>
                <w:numId w:val="0"/>
              </w:numPr>
              <w:spacing w:line="360" w:lineRule="auto"/>
              <w:ind w:leftChars="0"/>
              <w:rPr>
                <w:rFonts w:hint="eastAsia" w:ascii="仿宋" w:hAnsi="仿宋" w:eastAsia="仿宋" w:cs="仿宋"/>
                <w:sz w:val="24"/>
                <w:highlight w:val="none"/>
              </w:rPr>
            </w:pPr>
            <w:r>
              <w:rPr>
                <w:rFonts w:hint="eastAsia" w:ascii="仿宋" w:hAnsi="仿宋" w:eastAsia="仿宋" w:cs="仿宋"/>
                <w:sz w:val="24"/>
                <w:highlight w:val="none"/>
              </w:rPr>
              <w:t>本项目</w:t>
            </w:r>
            <w:r>
              <w:rPr>
                <w:rFonts w:hint="eastAsia" w:ascii="仿宋" w:hAnsi="仿宋" w:eastAsia="仿宋" w:cs="仿宋"/>
                <w:sz w:val="24"/>
                <w:highlight w:val="none"/>
                <w:lang w:eastAsia="zh-CN"/>
              </w:rPr>
              <w:t>是否为不见面开标：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若为不见面开标，须严格按照以下要求及内容进行执行，因供应商自身原因导致在开标现场无法顺利进行的，后果自负。</w:t>
            </w: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采用不见面</w:t>
            </w:r>
            <w:r>
              <w:rPr>
                <w:rFonts w:hint="eastAsia" w:ascii="仿宋" w:hAnsi="仿宋" w:eastAsia="仿宋" w:cs="仿宋"/>
                <w:b/>
                <w:sz w:val="24"/>
                <w:highlight w:val="none"/>
                <w:lang w:eastAsia="zh-CN"/>
              </w:rPr>
              <w:t>开标</w:t>
            </w:r>
            <w:r>
              <w:rPr>
                <w:rFonts w:hint="eastAsia" w:ascii="仿宋" w:hAnsi="仿宋" w:eastAsia="仿宋" w:cs="仿宋"/>
                <w:b/>
                <w:sz w:val="24"/>
                <w:highlight w:val="none"/>
              </w:rPr>
              <w:t>的方式进行；</w:t>
            </w:r>
          </w:p>
          <w:p>
            <w:pPr>
              <w:numPr>
                <w:ilvl w:val="0"/>
                <w:numId w:val="5"/>
              </w:numPr>
              <w:spacing w:line="360" w:lineRule="auto"/>
              <w:rPr>
                <w:rFonts w:hint="eastAsia" w:ascii="仿宋" w:hAnsi="仿宋" w:eastAsia="仿宋" w:cs="仿宋"/>
                <w:sz w:val="24"/>
                <w:highlight w:val="none"/>
              </w:rPr>
            </w:pPr>
            <w:r>
              <w:rPr>
                <w:rFonts w:hint="eastAsia" w:ascii="仿宋" w:hAnsi="仿宋" w:eastAsia="仿宋" w:cs="仿宋"/>
                <w:sz w:val="24"/>
                <w:highlight w:val="none"/>
              </w:rPr>
              <w:t>供应商应于提交</w:t>
            </w:r>
            <w:r>
              <w:rPr>
                <w:rFonts w:hint="eastAsia" w:ascii="仿宋" w:hAnsi="仿宋" w:eastAsia="仿宋" w:cs="仿宋"/>
                <w:sz w:val="24"/>
                <w:highlight w:val="none"/>
                <w:lang w:eastAsia="zh-CN"/>
              </w:rPr>
              <w:t>磋商响应</w:t>
            </w:r>
            <w:r>
              <w:rPr>
                <w:rFonts w:hint="eastAsia" w:ascii="仿宋" w:hAnsi="仿宋" w:eastAsia="仿宋" w:cs="仿宋"/>
                <w:sz w:val="24"/>
                <w:highlight w:val="none"/>
              </w:rPr>
              <w:t>文件截止时间前任意时段登录交易平台〖首页〉电子交易平台〉企业端〗在线提交</w:t>
            </w:r>
            <w:r>
              <w:rPr>
                <w:rFonts w:hint="eastAsia" w:ascii="仿宋" w:hAnsi="仿宋" w:eastAsia="仿宋" w:cs="仿宋"/>
                <w:sz w:val="24"/>
                <w:highlight w:val="none"/>
                <w:lang w:eastAsia="zh-CN"/>
              </w:rPr>
              <w:t>磋商响应</w:t>
            </w:r>
            <w:r>
              <w:rPr>
                <w:rFonts w:hint="eastAsia" w:ascii="仿宋" w:hAnsi="仿宋" w:eastAsia="仿宋" w:cs="仿宋"/>
                <w:sz w:val="24"/>
                <w:highlight w:val="none"/>
              </w:rPr>
              <w:t>文件，逾期提交系统将拒绝接收。</w:t>
            </w:r>
          </w:p>
          <w:p>
            <w:pPr>
              <w:numPr>
                <w:ilvl w:val="0"/>
                <w:numId w:val="5"/>
              </w:numPr>
              <w:spacing w:line="360" w:lineRule="auto"/>
              <w:rPr>
                <w:rFonts w:hint="eastAsia" w:ascii="仿宋" w:hAnsi="仿宋" w:eastAsia="仿宋" w:cs="仿宋"/>
                <w:sz w:val="24"/>
                <w:highlight w:val="none"/>
              </w:rPr>
            </w:pPr>
            <w:r>
              <w:rPr>
                <w:rFonts w:hint="eastAsia" w:ascii="仿宋" w:hAnsi="仿宋" w:eastAsia="仿宋" w:cs="仿宋"/>
                <w:sz w:val="24"/>
                <w:highlight w:val="none"/>
              </w:rPr>
              <w:t>供应商可登录榆林交易平台〖首页〉不见面开标〗在线参与开评标过程，详见</w:t>
            </w:r>
            <w:r>
              <w:rPr>
                <w:rFonts w:hint="eastAsia" w:ascii="仿宋" w:hAnsi="仿宋" w:eastAsia="仿宋" w:cs="仿宋"/>
                <w:sz w:val="24"/>
                <w:highlight w:val="none"/>
                <w:lang w:eastAsia="zh-CN"/>
              </w:rPr>
              <w:t>磋商</w:t>
            </w:r>
            <w:r>
              <w:rPr>
                <w:rFonts w:hint="eastAsia" w:ascii="仿宋" w:hAnsi="仿宋" w:eastAsia="仿宋" w:cs="仿宋"/>
                <w:sz w:val="24"/>
                <w:highlight w:val="none"/>
              </w:rPr>
              <w:t>文件以及交易平台〖首页〉服务指南〉下载专区〗中的《榆林市不见面开标大厅操作手册（供应商）》</w:t>
            </w:r>
          </w:p>
          <w:p>
            <w:pPr>
              <w:numPr>
                <w:ilvl w:val="0"/>
                <w:numId w:val="0"/>
              </w:numPr>
              <w:spacing w:line="360" w:lineRule="auto"/>
              <w:ind w:leftChars="0"/>
              <w:rPr>
                <w:rFonts w:hint="eastAsia" w:ascii="仿宋" w:hAnsi="仿宋" w:eastAsia="仿宋" w:cs="仿宋"/>
                <w:b/>
                <w:sz w:val="24"/>
                <w:highlight w:val="none"/>
              </w:rPr>
            </w:pPr>
            <w:r>
              <w:rPr>
                <w:rFonts w:hint="eastAsia" w:ascii="仿宋" w:hAnsi="仿宋" w:eastAsia="仿宋" w:cs="仿宋"/>
                <w:b/>
                <w:sz w:val="24"/>
                <w:highlight w:val="none"/>
              </w:rPr>
              <w:t>不见面开标流程</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疫情防控期间，为减少人员流动、避免交叉感染，该项目将采取“不见面”开标的形式，供应商无须到达开标现场，即可在网上直接参与开标活动。相关注意事项如下：</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4.1开标当日，请各供应商在开标截止时间前至少提前半小时登录“不见面”开标系统登录方式有以下几种：</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4.2 IE浏览器输入网址：</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"http://219.145.120.168:8082/BidOpeningHall/bidhall/default/login），" </w:instrText>
            </w:r>
            <w:r>
              <w:rPr>
                <w:rFonts w:hint="eastAsia" w:ascii="仿宋" w:hAnsi="仿宋" w:eastAsia="仿宋" w:cs="仿宋"/>
                <w:sz w:val="24"/>
                <w:highlight w:val="none"/>
              </w:rPr>
              <w:fldChar w:fldCharType="separate"/>
            </w:r>
            <w:r>
              <w:rPr>
                <w:rFonts w:hint="eastAsia" w:ascii="仿宋" w:hAnsi="仿宋" w:eastAsia="仿宋" w:cs="仿宋"/>
                <w:highlight w:val="none"/>
              </w:rPr>
              <w:t>http://111.20.184.126:8081/BidOpeningHallCS/bidhall/default/login；</w:t>
            </w:r>
            <w:r>
              <w:rPr>
                <w:rFonts w:hint="eastAsia" w:ascii="仿宋" w:hAnsi="仿宋" w:eastAsia="仿宋" w:cs="仿宋"/>
                <w:sz w:val="24"/>
                <w:highlight w:val="none"/>
              </w:rPr>
              <w:fldChar w:fldCharType="end"/>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4.3在【全国公共资源交易平台（陕西省·榆林市）】网站首页点击不见面开标模块进入；</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4.4在【全国公共资源交易平台（陕西省）】网站首页点击不见面开标模块选择榆林市进入。</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4.5注：登录不见面开标系统请选择IE11浏览器</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4.6供应商应按要求及时签到</w:t>
            </w:r>
            <w:r>
              <w:rPr>
                <w:rFonts w:hint="eastAsia" w:ascii="仿宋" w:hAnsi="仿宋" w:eastAsia="仿宋" w:cs="仿宋"/>
                <w:b/>
                <w:sz w:val="24"/>
                <w:highlight w:val="none"/>
              </w:rPr>
              <w:t>（签到时间为</w:t>
            </w:r>
            <w:r>
              <w:rPr>
                <w:rFonts w:hint="eastAsia" w:ascii="仿宋" w:hAnsi="仿宋" w:eastAsia="仿宋" w:cs="仿宋"/>
                <w:b/>
                <w:sz w:val="24"/>
                <w:highlight w:val="none"/>
                <w:lang w:eastAsia="zh-CN"/>
              </w:rPr>
              <w:t>磋商响应文件递交</w:t>
            </w:r>
            <w:r>
              <w:rPr>
                <w:rFonts w:hint="eastAsia" w:ascii="仿宋" w:hAnsi="仿宋" w:eastAsia="仿宋" w:cs="仿宋"/>
                <w:b/>
                <w:sz w:val="24"/>
                <w:highlight w:val="none"/>
              </w:rPr>
              <w:t>截止时间前1小时内，如果未签到将视为放弃</w:t>
            </w:r>
            <w:r>
              <w:rPr>
                <w:rFonts w:hint="eastAsia" w:ascii="仿宋" w:hAnsi="仿宋" w:eastAsia="仿宋" w:cs="仿宋"/>
                <w:b/>
                <w:sz w:val="24"/>
                <w:highlight w:val="none"/>
                <w:lang w:eastAsia="zh-CN"/>
              </w:rPr>
              <w:t>磋商</w:t>
            </w:r>
            <w:r>
              <w:rPr>
                <w:rFonts w:hint="eastAsia" w:ascii="仿宋" w:hAnsi="仿宋" w:eastAsia="仿宋" w:cs="仿宋"/>
                <w:b/>
                <w:sz w:val="24"/>
                <w:highlight w:val="none"/>
              </w:rPr>
              <w:t>资格）</w:t>
            </w:r>
            <w:r>
              <w:rPr>
                <w:rFonts w:hint="eastAsia" w:ascii="仿宋" w:hAnsi="仿宋" w:eastAsia="仿宋" w:cs="仿宋"/>
                <w:sz w:val="24"/>
                <w:highlight w:val="none"/>
              </w:rPr>
              <w:t>，评审过程中，</w:t>
            </w:r>
            <w:r>
              <w:rPr>
                <w:rFonts w:hint="eastAsia" w:ascii="仿宋" w:hAnsi="仿宋" w:eastAsia="仿宋" w:cs="仿宋"/>
                <w:sz w:val="24"/>
                <w:highlight w:val="none"/>
                <w:lang w:eastAsia="zh-CN"/>
              </w:rPr>
              <w:t>磋商小组</w:t>
            </w:r>
            <w:r>
              <w:rPr>
                <w:rFonts w:hint="eastAsia" w:ascii="仿宋" w:hAnsi="仿宋" w:eastAsia="仿宋" w:cs="仿宋"/>
                <w:sz w:val="24"/>
                <w:highlight w:val="none"/>
              </w:rPr>
              <w:t>可能会就某些问题要求供应商进行在线澄清，请供应商保持在线直到评审结束；</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4.7开标过程中，供应商在收到工作人员“开始解密”指令后，请及时使用CA对电子</w:t>
            </w:r>
            <w:r>
              <w:rPr>
                <w:rFonts w:hint="eastAsia" w:ascii="仿宋" w:hAnsi="仿宋" w:eastAsia="仿宋" w:cs="仿宋"/>
                <w:sz w:val="24"/>
                <w:highlight w:val="none"/>
                <w:lang w:eastAsia="zh-CN"/>
              </w:rPr>
              <w:t>磋商响应</w:t>
            </w:r>
            <w:r>
              <w:rPr>
                <w:rFonts w:hint="eastAsia" w:ascii="仿宋" w:hAnsi="仿宋" w:eastAsia="仿宋" w:cs="仿宋"/>
                <w:sz w:val="24"/>
                <w:highlight w:val="none"/>
              </w:rPr>
              <w:t>文件进行解密。解密时所用CA应与加密</w:t>
            </w:r>
            <w:r>
              <w:rPr>
                <w:rFonts w:hint="eastAsia" w:ascii="仿宋" w:hAnsi="仿宋" w:eastAsia="仿宋" w:cs="仿宋"/>
                <w:sz w:val="24"/>
                <w:highlight w:val="none"/>
                <w:lang w:eastAsia="zh-CN"/>
              </w:rPr>
              <w:t>磋商响应</w:t>
            </w:r>
            <w:r>
              <w:rPr>
                <w:rFonts w:hint="eastAsia" w:ascii="仿宋" w:hAnsi="仿宋" w:eastAsia="仿宋" w:cs="仿宋"/>
                <w:sz w:val="24"/>
                <w:highlight w:val="none"/>
              </w:rPr>
              <w:t>文件时所用CA相同；注：解密时间为30分钟，在解密时间内供应商全部解密完成后，可提前进入开标下一阶段。</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4.8相关技术问题，请咨询软件开发商：</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（1）技术支持热线：400-998-0000/400-928-0095</w:t>
            </w:r>
          </w:p>
          <w:p>
            <w:pPr>
              <w:pStyle w:val="22"/>
              <w:rPr>
                <w:rFonts w:hint="default" w:ascii="Times New Roman" w:hAnsi="Times New Roman" w:eastAsia="仿宋_GB2312" w:cs="Times New Roman"/>
                <w:i w:val="0"/>
                <w:iCs w:val="0"/>
                <w:color w:val="auto"/>
                <w:sz w:val="24"/>
                <w:szCs w:val="24"/>
                <w:highlight w:val="none"/>
              </w:rPr>
            </w:pPr>
            <w:r>
              <w:rPr>
                <w:rFonts w:hint="eastAsia" w:ascii="仿宋" w:hAnsi="仿宋" w:eastAsia="仿宋" w:cs="仿宋"/>
                <w:sz w:val="24"/>
                <w:highlight w:val="none"/>
              </w:rPr>
              <w:t>（2）榆林不见面开标系统操作手册下载方式：登录【全国公共资源交易平台（陕西省·榆林市）】网站首页选择【服务指南】-【下载专区】-点击【</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榆林不见面开标系统操作手册（供应商）</w:t>
            </w:r>
            <w:r>
              <w:rPr>
                <w:rFonts w:hint="eastAsia" w:ascii="仿宋" w:hAnsi="仿宋" w:eastAsia="仿宋" w:cs="仿宋"/>
                <w:sz w:val="24"/>
                <w:highlight w:val="none"/>
              </w:rPr>
              <w:fldChar w:fldCharType="end"/>
            </w:r>
            <w:r>
              <w:rPr>
                <w:rFonts w:hint="eastAsia" w:ascii="仿宋" w:hAnsi="仿宋" w:eastAsia="仿宋" w:cs="仿宋"/>
                <w:sz w:val="24"/>
                <w:highlight w:val="none"/>
              </w:rPr>
              <w:t>】进行下载。</w:t>
            </w:r>
          </w:p>
        </w:tc>
      </w:tr>
    </w:tbl>
    <w:p>
      <w:pPr>
        <w:rPr>
          <w:rFonts w:hint="default" w:ascii="Times New Roman" w:hAnsi="Times New Roman" w:eastAsia="仿宋_GB2312" w:cs="Times New Roman"/>
          <w:i w:val="0"/>
          <w:iCs w:val="0"/>
          <w:color w:val="auto"/>
          <w:sz w:val="30"/>
          <w:szCs w:val="30"/>
          <w:highlight w:val="none"/>
        </w:rPr>
      </w:pPr>
      <w:r>
        <w:rPr>
          <w:rFonts w:hint="default" w:ascii="Times New Roman" w:hAnsi="Times New Roman" w:eastAsia="仿宋_GB2312" w:cs="Times New Roman"/>
          <w:i w:val="0"/>
          <w:iCs w:val="0"/>
          <w:color w:val="auto"/>
          <w:sz w:val="30"/>
          <w:szCs w:val="30"/>
          <w:highlight w:val="none"/>
        </w:rPr>
        <w:br w:type="page"/>
      </w:r>
    </w:p>
    <w:p>
      <w:pPr>
        <w:pStyle w:val="77"/>
        <w:spacing w:before="24" w:after="24"/>
        <w:jc w:val="center"/>
        <w:rPr>
          <w:rFonts w:hint="default" w:ascii="Times New Roman" w:hAnsi="Times New Roman" w:eastAsia="仿宋_GB2312" w:cs="Times New Roman"/>
          <w:i w:val="0"/>
          <w:iCs w:val="0"/>
          <w:color w:val="auto"/>
          <w:szCs w:val="32"/>
          <w:highlight w:val="none"/>
        </w:rPr>
      </w:pPr>
      <w:bookmarkStart w:id="86" w:name="_Toc68590968"/>
      <w:r>
        <w:rPr>
          <w:rFonts w:hint="default" w:ascii="Times New Roman" w:hAnsi="Times New Roman" w:eastAsia="仿宋_GB2312" w:cs="Times New Roman"/>
          <w:i w:val="0"/>
          <w:iCs w:val="0"/>
          <w:color w:val="auto"/>
          <w:szCs w:val="32"/>
          <w:highlight w:val="none"/>
        </w:rPr>
        <w:t>（二）供应商须知</w:t>
      </w:r>
      <w:bookmarkEnd w:id="86"/>
    </w:p>
    <w:p>
      <w:pPr>
        <w:pStyle w:val="77"/>
        <w:spacing w:before="24" w:after="24"/>
        <w:jc w:val="center"/>
        <w:rPr>
          <w:rFonts w:hint="default" w:ascii="Times New Roman" w:hAnsi="Times New Roman" w:eastAsia="仿宋_GB2312" w:cs="Times New Roman"/>
          <w:i w:val="0"/>
          <w:iCs w:val="0"/>
          <w:color w:val="auto"/>
          <w:sz w:val="30"/>
          <w:szCs w:val="30"/>
          <w:highlight w:val="none"/>
        </w:rPr>
      </w:pPr>
      <w:bookmarkStart w:id="87" w:name="_Toc68590969"/>
      <w:r>
        <w:rPr>
          <w:rFonts w:hint="default" w:ascii="Times New Roman" w:hAnsi="Times New Roman" w:eastAsia="仿宋_GB2312" w:cs="Times New Roman"/>
          <w:i w:val="0"/>
          <w:iCs w:val="0"/>
          <w:color w:val="auto"/>
          <w:sz w:val="30"/>
          <w:szCs w:val="30"/>
          <w:highlight w:val="none"/>
        </w:rPr>
        <w:t>一、总  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7"/>
    </w:p>
    <w:p>
      <w:pPr>
        <w:rPr>
          <w:rFonts w:hint="default" w:ascii="Times New Roman" w:hAnsi="Times New Roman" w:eastAsia="仿宋_GB2312" w:cs="Times New Roman"/>
          <w:i w:val="0"/>
          <w:iCs w:val="0"/>
          <w:color w:val="auto"/>
          <w:highlight w:val="none"/>
        </w:rPr>
      </w:pPr>
    </w:p>
    <w:p>
      <w:pPr>
        <w:pStyle w:val="5"/>
        <w:rPr>
          <w:rFonts w:hint="default" w:ascii="Times New Roman" w:hAnsi="Times New Roman" w:eastAsia="仿宋_GB2312" w:cs="Times New Roman"/>
          <w:b/>
          <w:i w:val="0"/>
          <w:iCs w:val="0"/>
          <w:color w:val="auto"/>
          <w:sz w:val="24"/>
          <w:szCs w:val="21"/>
          <w:highlight w:val="none"/>
        </w:rPr>
      </w:pPr>
      <w:bookmarkStart w:id="88" w:name="_Hlt14560612"/>
      <w:bookmarkEnd w:id="88"/>
      <w:bookmarkStart w:id="89" w:name="_Toc25504"/>
      <w:bookmarkStart w:id="90" w:name="_Toc249515280"/>
      <w:bookmarkStart w:id="91" w:name="_Toc184043014"/>
      <w:bookmarkStart w:id="92" w:name="_Toc249515392"/>
      <w:bookmarkStart w:id="93" w:name="_Toc249525161"/>
      <w:r>
        <w:rPr>
          <w:rFonts w:hint="default" w:ascii="Times New Roman" w:hAnsi="Times New Roman" w:eastAsia="仿宋_GB2312" w:cs="Times New Roman"/>
          <w:b/>
          <w:i w:val="0"/>
          <w:iCs w:val="0"/>
          <w:color w:val="auto"/>
          <w:sz w:val="24"/>
          <w:szCs w:val="21"/>
          <w:highlight w:val="none"/>
        </w:rPr>
        <w:t>1.     项目说明</w:t>
      </w:r>
      <w:bookmarkEnd w:id="89"/>
      <w:bookmarkEnd w:id="90"/>
      <w:bookmarkEnd w:id="91"/>
      <w:bookmarkEnd w:id="92"/>
      <w:bookmarkEnd w:id="93"/>
    </w:p>
    <w:p>
      <w:pPr>
        <w:pStyle w:val="63"/>
        <w:widowControl w:val="0"/>
        <w:tabs>
          <w:tab w:val="left" w:pos="588"/>
        </w:tabs>
        <w:spacing w:before="0" w:beforeAutospacing="0" w:after="0" w:afterAutospacing="0"/>
        <w:textAlignment w:val="auto"/>
        <w:rPr>
          <w:rFonts w:hint="default" w:ascii="Times New Roman" w:hAnsi="Times New Roman" w:eastAsia="仿宋_GB2312" w:cs="Times New Roman"/>
          <w:i w:val="0"/>
          <w:iCs w:val="0"/>
          <w:color w:val="auto"/>
          <w:kern w:val="24"/>
          <w:szCs w:val="21"/>
          <w:highlight w:val="none"/>
        </w:rPr>
      </w:pPr>
      <w:r>
        <w:rPr>
          <w:rFonts w:hint="default" w:ascii="Times New Roman" w:hAnsi="Times New Roman" w:eastAsia="仿宋_GB2312" w:cs="Times New Roman"/>
          <w:i w:val="0"/>
          <w:iCs w:val="0"/>
          <w:color w:val="auto"/>
          <w:kern w:val="24"/>
          <w:szCs w:val="21"/>
          <w:highlight w:val="none"/>
        </w:rPr>
        <w:t>1.1    项目说明：</w:t>
      </w:r>
      <w:r>
        <w:rPr>
          <w:rFonts w:hint="default" w:ascii="Times New Roman" w:hAnsi="Times New Roman" w:eastAsia="仿宋_GB2312" w:cs="Times New Roman"/>
          <w:b/>
          <w:i w:val="0"/>
          <w:iCs w:val="0"/>
          <w:color w:val="auto"/>
          <w:kern w:val="24"/>
          <w:szCs w:val="21"/>
          <w:highlight w:val="none"/>
        </w:rPr>
        <w:t>见供应商须知前附表</w:t>
      </w:r>
      <w:r>
        <w:rPr>
          <w:rFonts w:hint="default" w:ascii="Times New Roman" w:hAnsi="Times New Roman" w:eastAsia="仿宋_GB2312" w:cs="Times New Roman"/>
          <w:i w:val="0"/>
          <w:iCs w:val="0"/>
          <w:color w:val="auto"/>
          <w:kern w:val="24"/>
          <w:szCs w:val="21"/>
          <w:highlight w:val="none"/>
        </w:rPr>
        <w:t>。</w:t>
      </w:r>
    </w:p>
    <w:p>
      <w:pPr>
        <w:pStyle w:val="5"/>
        <w:rPr>
          <w:rFonts w:hint="default" w:ascii="Times New Roman" w:hAnsi="Times New Roman" w:eastAsia="仿宋_GB2312" w:cs="Times New Roman"/>
          <w:b/>
          <w:i w:val="0"/>
          <w:iCs w:val="0"/>
          <w:color w:val="auto"/>
          <w:sz w:val="24"/>
          <w:szCs w:val="21"/>
          <w:highlight w:val="none"/>
        </w:rPr>
      </w:pPr>
      <w:bookmarkStart w:id="94" w:name="_Toc70687142"/>
      <w:bookmarkStart w:id="95" w:name="_Toc184043015"/>
      <w:bookmarkStart w:id="96" w:name="_Toc249525162"/>
      <w:bookmarkStart w:id="97" w:name="_Toc31509"/>
      <w:bookmarkStart w:id="98" w:name="_Toc249515393"/>
      <w:bookmarkStart w:id="99" w:name="_Toc249515281"/>
      <w:r>
        <w:rPr>
          <w:rFonts w:hint="default" w:ascii="Times New Roman" w:hAnsi="Times New Roman" w:eastAsia="仿宋_GB2312" w:cs="Times New Roman"/>
          <w:b/>
          <w:i w:val="0"/>
          <w:iCs w:val="0"/>
          <w:color w:val="auto"/>
          <w:sz w:val="24"/>
          <w:szCs w:val="21"/>
          <w:highlight w:val="none"/>
        </w:rPr>
        <w:t>2.     定义</w:t>
      </w:r>
      <w:bookmarkEnd w:id="94"/>
      <w:bookmarkEnd w:id="95"/>
      <w:bookmarkEnd w:id="96"/>
      <w:bookmarkEnd w:id="97"/>
      <w:bookmarkEnd w:id="98"/>
      <w:bookmarkEnd w:id="99"/>
    </w:p>
    <w:p>
      <w:pPr>
        <w:tabs>
          <w:tab w:val="left" w:pos="588"/>
        </w:tabs>
        <w:spacing w:line="360"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2.1    采购人：</w:t>
      </w:r>
      <w:r>
        <w:rPr>
          <w:rFonts w:hint="default" w:ascii="Times New Roman" w:hAnsi="Times New Roman" w:eastAsia="仿宋_GB2312" w:cs="Times New Roman"/>
          <w:b/>
          <w:i w:val="0"/>
          <w:iCs w:val="0"/>
          <w:color w:val="auto"/>
          <w:sz w:val="24"/>
          <w:highlight w:val="none"/>
        </w:rPr>
        <w:t>见供应商须知前附表</w:t>
      </w:r>
      <w:r>
        <w:rPr>
          <w:rFonts w:hint="default" w:ascii="Times New Roman" w:hAnsi="Times New Roman" w:eastAsia="仿宋_GB2312" w:cs="Times New Roman"/>
          <w:i w:val="0"/>
          <w:iCs w:val="0"/>
          <w:color w:val="auto"/>
          <w:sz w:val="24"/>
          <w:highlight w:val="none"/>
        </w:rPr>
        <w:t>。</w:t>
      </w:r>
    </w:p>
    <w:p>
      <w:pPr>
        <w:pStyle w:val="22"/>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2.2    采购代理机构：</w:t>
      </w:r>
      <w:r>
        <w:rPr>
          <w:rFonts w:hint="default" w:ascii="Times New Roman" w:hAnsi="Times New Roman" w:eastAsia="仿宋_GB2312" w:cs="Times New Roman"/>
          <w:b/>
          <w:i w:val="0"/>
          <w:iCs w:val="0"/>
          <w:color w:val="auto"/>
          <w:kern w:val="24"/>
          <w:sz w:val="24"/>
          <w:szCs w:val="21"/>
          <w:highlight w:val="none"/>
        </w:rPr>
        <w:t>见供应商须知前附表</w:t>
      </w:r>
      <w:r>
        <w:rPr>
          <w:rFonts w:hint="default" w:ascii="Times New Roman" w:hAnsi="Times New Roman" w:eastAsia="仿宋_GB2312" w:cs="Times New Roman"/>
          <w:i w:val="0"/>
          <w:iCs w:val="0"/>
          <w:color w:val="auto"/>
          <w:kern w:val="24"/>
          <w:sz w:val="24"/>
          <w:szCs w:val="21"/>
          <w:highlight w:val="none"/>
        </w:rPr>
        <w:t>。</w:t>
      </w:r>
    </w:p>
    <w:p>
      <w:pPr>
        <w:pStyle w:val="22"/>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2.3    供应商：指响应磋商文件要求、参加竞争性磋商采购的法人、其他组织或者自然人。本次政府采购项目邀请供应商方式见</w:t>
      </w:r>
      <w:r>
        <w:rPr>
          <w:rFonts w:hint="default" w:ascii="Times New Roman" w:hAnsi="Times New Roman" w:eastAsia="仿宋_GB2312" w:cs="Times New Roman"/>
          <w:b/>
          <w:i w:val="0"/>
          <w:iCs w:val="0"/>
          <w:color w:val="auto"/>
          <w:sz w:val="24"/>
          <w:highlight w:val="none"/>
        </w:rPr>
        <w:t>供应商须知前附表。</w:t>
      </w:r>
    </w:p>
    <w:p>
      <w:pPr>
        <w:pStyle w:val="22"/>
        <w:tabs>
          <w:tab w:val="left" w:pos="360"/>
        </w:tabs>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2.4    磋商小组：指依据《中华人民共和国政府采购法》和财政部《政府采购竞争性磋商采购方式管理暂行办法》有关规定组建，依法依规履行其职责和义务的机构。</w:t>
      </w:r>
    </w:p>
    <w:p>
      <w:pPr>
        <w:pStyle w:val="5"/>
        <w:rPr>
          <w:rFonts w:hint="default" w:ascii="Times New Roman" w:hAnsi="Times New Roman" w:eastAsia="仿宋_GB2312" w:cs="Times New Roman"/>
          <w:b/>
          <w:i w:val="0"/>
          <w:iCs w:val="0"/>
          <w:color w:val="auto"/>
          <w:sz w:val="24"/>
          <w:szCs w:val="21"/>
          <w:highlight w:val="none"/>
        </w:rPr>
      </w:pPr>
      <w:bookmarkStart w:id="100" w:name="_Toc385992329"/>
      <w:bookmarkStart w:id="101" w:name="_Toc249525163"/>
      <w:bookmarkStart w:id="102" w:name="_Toc249515394"/>
      <w:bookmarkStart w:id="103" w:name="_Toc249515282"/>
      <w:bookmarkStart w:id="104" w:name="_Toc184043016"/>
      <w:bookmarkStart w:id="105" w:name="_Toc70687143"/>
      <w:bookmarkStart w:id="106" w:name="_Toc23705"/>
      <w:bookmarkStart w:id="107" w:name="_Toc389620168"/>
      <w:r>
        <w:rPr>
          <w:rFonts w:hint="default" w:ascii="Times New Roman" w:hAnsi="Times New Roman" w:eastAsia="仿宋_GB2312" w:cs="Times New Roman"/>
          <w:b/>
          <w:i w:val="0"/>
          <w:iCs w:val="0"/>
          <w:color w:val="auto"/>
          <w:sz w:val="24"/>
          <w:szCs w:val="21"/>
          <w:highlight w:val="none"/>
        </w:rPr>
        <w:t>3.     合格的供应商</w:t>
      </w:r>
      <w:bookmarkEnd w:id="100"/>
      <w:bookmarkEnd w:id="101"/>
      <w:bookmarkEnd w:id="102"/>
      <w:bookmarkEnd w:id="103"/>
      <w:bookmarkEnd w:id="104"/>
      <w:bookmarkEnd w:id="105"/>
      <w:bookmarkEnd w:id="106"/>
      <w:bookmarkEnd w:id="107"/>
    </w:p>
    <w:p>
      <w:pPr>
        <w:tabs>
          <w:tab w:val="left" w:pos="588"/>
        </w:tabs>
        <w:spacing w:line="360" w:lineRule="auto"/>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3.1    供应商基本资质要求详见</w:t>
      </w:r>
      <w:r>
        <w:rPr>
          <w:rFonts w:hint="default" w:ascii="Times New Roman" w:hAnsi="Times New Roman" w:eastAsia="仿宋_GB2312" w:cs="Times New Roman"/>
          <w:b/>
          <w:i w:val="0"/>
          <w:iCs w:val="0"/>
          <w:color w:val="auto"/>
          <w:kern w:val="24"/>
          <w:sz w:val="24"/>
          <w:szCs w:val="21"/>
          <w:highlight w:val="none"/>
        </w:rPr>
        <w:t>供应商须知前附表</w:t>
      </w:r>
      <w:r>
        <w:rPr>
          <w:rFonts w:hint="default" w:ascii="Times New Roman" w:hAnsi="Times New Roman" w:eastAsia="仿宋_GB2312" w:cs="Times New Roman"/>
          <w:i w:val="0"/>
          <w:iCs w:val="0"/>
          <w:color w:val="auto"/>
          <w:kern w:val="24"/>
          <w:sz w:val="24"/>
          <w:szCs w:val="21"/>
          <w:highlight w:val="none"/>
        </w:rPr>
        <w:t>。</w:t>
      </w:r>
    </w:p>
    <w:p>
      <w:pPr>
        <w:tabs>
          <w:tab w:val="left" w:pos="588"/>
        </w:tabs>
        <w:spacing w:line="360" w:lineRule="auto"/>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3.2    本项目将执行在政府采购活动中查询及使用信用记录的规定，具体要求为：</w:t>
      </w:r>
    </w:p>
    <w:p>
      <w:pPr>
        <w:tabs>
          <w:tab w:val="left" w:pos="588"/>
        </w:tabs>
        <w:spacing w:line="360" w:lineRule="auto"/>
        <w:ind w:left="840" w:leftChars="0" w:hanging="840" w:hangingChars="35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3.2.1  供应商应当未被列入失信被执行人、</w:t>
      </w:r>
      <w:r>
        <w:rPr>
          <w:rFonts w:hint="default" w:ascii="Times New Roman" w:hAnsi="Times New Roman" w:eastAsia="仿宋_GB2312" w:cs="Times New Roman"/>
          <w:i w:val="0"/>
          <w:iCs w:val="0"/>
          <w:color w:val="auto"/>
          <w:sz w:val="24"/>
          <w:highlight w:val="none"/>
        </w:rPr>
        <w:t>税收违法黑名单</w:t>
      </w:r>
      <w:r>
        <w:rPr>
          <w:rFonts w:hint="default" w:ascii="Times New Roman" w:hAnsi="Times New Roman" w:eastAsia="仿宋_GB2312" w:cs="Times New Roman"/>
          <w:i w:val="0"/>
          <w:iCs w:val="0"/>
          <w:color w:val="auto"/>
          <w:kern w:val="24"/>
          <w:sz w:val="24"/>
          <w:szCs w:val="21"/>
          <w:highlight w:val="none"/>
        </w:rPr>
        <w:t>、政府采购严重违法失信行为记录名单，否则不得参与政府采购活动。</w:t>
      </w:r>
    </w:p>
    <w:p>
      <w:pPr>
        <w:tabs>
          <w:tab w:val="left" w:pos="588"/>
        </w:tabs>
        <w:spacing w:line="360" w:lineRule="auto"/>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3.2.2  信用信息查询的时间：响应文件递交截止时间之后至磋商</w:t>
      </w:r>
      <w:r>
        <w:rPr>
          <w:rFonts w:hint="default" w:ascii="Times New Roman" w:hAnsi="Times New Roman" w:eastAsia="仿宋_GB2312" w:cs="Times New Roman"/>
          <w:i w:val="0"/>
          <w:iCs w:val="0"/>
          <w:color w:val="auto"/>
          <w:sz w:val="24"/>
          <w:highlight w:val="none"/>
        </w:rPr>
        <w:t>资格性检查结束</w:t>
      </w:r>
      <w:r>
        <w:rPr>
          <w:rFonts w:hint="default" w:ascii="Times New Roman" w:hAnsi="Times New Roman" w:eastAsia="仿宋_GB2312" w:cs="Times New Roman"/>
          <w:i w:val="0"/>
          <w:iCs w:val="0"/>
          <w:color w:val="auto"/>
          <w:kern w:val="24"/>
          <w:sz w:val="24"/>
          <w:szCs w:val="21"/>
          <w:highlight w:val="none"/>
        </w:rPr>
        <w:t xml:space="preserve">。 </w:t>
      </w:r>
    </w:p>
    <w:p>
      <w:pPr>
        <w:tabs>
          <w:tab w:val="left" w:pos="588"/>
        </w:tabs>
        <w:spacing w:line="360" w:lineRule="auto"/>
        <w:ind w:left="840" w:hanging="840" w:hangingChars="35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 xml:space="preserve">3.2.3  查询渠道：“信用中国”网站（www.creditchina.gov.cn）和中国政府采购网（www.ccgp.gov.cn）； </w:t>
      </w:r>
    </w:p>
    <w:p>
      <w:pPr>
        <w:tabs>
          <w:tab w:val="left" w:pos="588"/>
        </w:tabs>
        <w:spacing w:line="360" w:lineRule="auto"/>
        <w:ind w:left="840" w:hanging="840" w:hangingChars="35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 xml:space="preserve">3.2.4  信用信息查询记录和证据留存具体方式：将经查询存在不良信用记录的潜在供应商的查询结果网页截图作为查询记录和证据，与其他采购文件一并保存； </w:t>
      </w:r>
    </w:p>
    <w:p>
      <w:pPr>
        <w:tabs>
          <w:tab w:val="left" w:pos="588"/>
        </w:tabs>
        <w:spacing w:line="360" w:lineRule="auto"/>
        <w:ind w:left="840" w:hanging="840" w:hangingChars="35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3.</w:t>
      </w:r>
      <w:r>
        <w:rPr>
          <w:rFonts w:hint="eastAsia" w:eastAsia="仿宋_GB2312" w:cs="Times New Roman"/>
          <w:i w:val="0"/>
          <w:iCs w:val="0"/>
          <w:color w:val="auto"/>
          <w:kern w:val="24"/>
          <w:sz w:val="24"/>
          <w:szCs w:val="21"/>
          <w:highlight w:val="none"/>
          <w:lang w:val="en-US" w:eastAsia="zh-CN"/>
        </w:rPr>
        <w:t>2</w:t>
      </w:r>
      <w:r>
        <w:rPr>
          <w:rFonts w:hint="default" w:ascii="Times New Roman" w:hAnsi="Times New Roman" w:eastAsia="仿宋_GB2312" w:cs="Times New Roman"/>
          <w:i w:val="0"/>
          <w:iCs w:val="0"/>
          <w:color w:val="auto"/>
          <w:kern w:val="24"/>
          <w:sz w:val="24"/>
          <w:szCs w:val="21"/>
          <w:highlight w:val="none"/>
        </w:rPr>
        <w:t>.5  信用信息的使用规则：采购人或采购代理机构若发现参与本项目政府采购活动的供应商在存在不良信用记录的，将信用信息查询记录提交给磋商小组，作无效文件进行处理。</w:t>
      </w:r>
    </w:p>
    <w:p>
      <w:pPr>
        <w:tabs>
          <w:tab w:val="left" w:pos="588"/>
        </w:tabs>
        <w:spacing w:line="360" w:lineRule="auto"/>
        <w:ind w:left="840" w:hanging="840" w:hangingChars="35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3.</w:t>
      </w:r>
      <w:r>
        <w:rPr>
          <w:rFonts w:hint="eastAsia" w:eastAsia="仿宋_GB2312" w:cs="Times New Roman"/>
          <w:i w:val="0"/>
          <w:iCs w:val="0"/>
          <w:color w:val="auto"/>
          <w:kern w:val="24"/>
          <w:sz w:val="24"/>
          <w:szCs w:val="21"/>
          <w:highlight w:val="none"/>
          <w:lang w:val="en-US" w:eastAsia="zh-CN"/>
        </w:rPr>
        <w:t>3</w:t>
      </w:r>
      <w:r>
        <w:rPr>
          <w:rFonts w:hint="default" w:ascii="Times New Roman" w:hAnsi="Times New Roman" w:eastAsia="仿宋_GB2312" w:cs="Times New Roman"/>
          <w:i w:val="0"/>
          <w:iCs w:val="0"/>
          <w:color w:val="auto"/>
          <w:kern w:val="24"/>
          <w:sz w:val="24"/>
          <w:szCs w:val="21"/>
          <w:highlight w:val="none"/>
        </w:rPr>
        <w:t xml:space="preserve">    供应商必须向采购人</w:t>
      </w:r>
      <w:r>
        <w:rPr>
          <w:rFonts w:hint="default" w:ascii="Times New Roman" w:hAnsi="Times New Roman" w:eastAsia="仿宋_GB2312" w:cs="Times New Roman"/>
          <w:i w:val="0"/>
          <w:iCs w:val="0"/>
          <w:color w:val="auto"/>
          <w:kern w:val="24"/>
          <w:sz w:val="24"/>
          <w:szCs w:val="21"/>
          <w:highlight w:val="none"/>
          <w:lang w:val="en-US" w:eastAsia="zh-CN"/>
        </w:rPr>
        <w:t>或采购代理机构</w:t>
      </w:r>
      <w:r>
        <w:rPr>
          <w:rFonts w:hint="eastAsia" w:eastAsia="仿宋_GB2312" w:cs="Times New Roman"/>
          <w:i w:val="0"/>
          <w:iCs w:val="0"/>
          <w:color w:val="auto"/>
          <w:kern w:val="24"/>
          <w:sz w:val="24"/>
          <w:szCs w:val="21"/>
          <w:highlight w:val="none"/>
          <w:lang w:val="en-US" w:eastAsia="zh-CN"/>
        </w:rPr>
        <w:t>获取</w:t>
      </w:r>
      <w:r>
        <w:rPr>
          <w:rFonts w:hint="default" w:ascii="Times New Roman" w:hAnsi="Times New Roman" w:eastAsia="仿宋_GB2312" w:cs="Times New Roman"/>
          <w:i w:val="0"/>
          <w:iCs w:val="0"/>
          <w:color w:val="auto"/>
          <w:kern w:val="24"/>
          <w:sz w:val="24"/>
          <w:szCs w:val="21"/>
          <w:highlight w:val="none"/>
        </w:rPr>
        <w:t>磋商文件，未向采购人</w:t>
      </w:r>
      <w:r>
        <w:rPr>
          <w:rFonts w:hint="default" w:ascii="Times New Roman" w:hAnsi="Times New Roman" w:eastAsia="仿宋_GB2312" w:cs="Times New Roman"/>
          <w:i w:val="0"/>
          <w:iCs w:val="0"/>
          <w:color w:val="auto"/>
          <w:kern w:val="24"/>
          <w:sz w:val="24"/>
          <w:szCs w:val="21"/>
          <w:highlight w:val="none"/>
          <w:lang w:val="en-US" w:eastAsia="zh-CN"/>
        </w:rPr>
        <w:t>或采购代理机构</w:t>
      </w:r>
      <w:r>
        <w:rPr>
          <w:rFonts w:hint="eastAsia" w:eastAsia="仿宋_GB2312" w:cs="Times New Roman"/>
          <w:i w:val="0"/>
          <w:iCs w:val="0"/>
          <w:color w:val="auto"/>
          <w:kern w:val="24"/>
          <w:sz w:val="24"/>
          <w:szCs w:val="21"/>
          <w:highlight w:val="none"/>
          <w:lang w:val="en-US" w:eastAsia="zh-CN"/>
        </w:rPr>
        <w:t>获取</w:t>
      </w:r>
      <w:r>
        <w:rPr>
          <w:rFonts w:hint="default" w:ascii="Times New Roman" w:hAnsi="Times New Roman" w:eastAsia="仿宋_GB2312" w:cs="Times New Roman"/>
          <w:i w:val="0"/>
          <w:iCs w:val="0"/>
          <w:color w:val="auto"/>
          <w:kern w:val="24"/>
          <w:sz w:val="24"/>
          <w:szCs w:val="21"/>
          <w:highlight w:val="none"/>
        </w:rPr>
        <w:t>磋商文件的潜在供应商均无资格参加本次采购。</w:t>
      </w:r>
    </w:p>
    <w:p>
      <w:pPr>
        <w:tabs>
          <w:tab w:val="left" w:pos="588"/>
        </w:tabs>
        <w:spacing w:line="360" w:lineRule="auto"/>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3.</w:t>
      </w:r>
      <w:r>
        <w:rPr>
          <w:rFonts w:hint="eastAsia" w:eastAsia="仿宋_GB2312" w:cs="Times New Roman"/>
          <w:i w:val="0"/>
          <w:iCs w:val="0"/>
          <w:color w:val="auto"/>
          <w:kern w:val="24"/>
          <w:sz w:val="24"/>
          <w:szCs w:val="21"/>
          <w:highlight w:val="none"/>
          <w:lang w:val="en-US" w:eastAsia="zh-CN"/>
        </w:rPr>
        <w:t>4</w:t>
      </w:r>
      <w:r>
        <w:rPr>
          <w:rFonts w:hint="default" w:ascii="Times New Roman" w:hAnsi="Times New Roman" w:eastAsia="仿宋_GB2312" w:cs="Times New Roman"/>
          <w:i w:val="0"/>
          <w:iCs w:val="0"/>
          <w:color w:val="auto"/>
          <w:kern w:val="24"/>
          <w:sz w:val="24"/>
          <w:szCs w:val="21"/>
          <w:highlight w:val="none"/>
        </w:rPr>
        <w:t xml:space="preserve">    供应商应遵守《中华人民共和国政府采购法》及其它有关的中国法律和法规。</w:t>
      </w:r>
    </w:p>
    <w:p>
      <w:pPr>
        <w:pStyle w:val="22"/>
        <w:ind w:left="840" w:leftChars="0" w:hanging="840" w:hangingChars="35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3.</w:t>
      </w:r>
      <w:r>
        <w:rPr>
          <w:rFonts w:hint="eastAsia" w:ascii="Times New Roman" w:hAnsi="Times New Roman" w:eastAsia="仿宋_GB2312" w:cs="Times New Roman"/>
          <w:i w:val="0"/>
          <w:iCs w:val="0"/>
          <w:color w:val="auto"/>
          <w:kern w:val="24"/>
          <w:sz w:val="24"/>
          <w:szCs w:val="21"/>
          <w:highlight w:val="none"/>
          <w:lang w:val="en-US" w:eastAsia="zh-CN"/>
        </w:rPr>
        <w:t>5</w:t>
      </w:r>
      <w:r>
        <w:rPr>
          <w:rFonts w:hint="default" w:ascii="Times New Roman" w:hAnsi="Times New Roman" w:eastAsia="仿宋_GB2312" w:cs="Times New Roman"/>
          <w:i w:val="0"/>
          <w:iCs w:val="0"/>
          <w:color w:val="auto"/>
          <w:kern w:val="24"/>
          <w:sz w:val="24"/>
          <w:szCs w:val="21"/>
          <w:highlight w:val="none"/>
        </w:rPr>
        <w:t xml:space="preserve">    若前附表中写明允许采购进口产品，供应商应保证所投产品可履行合法报通关手续进入中国关境内。</w:t>
      </w:r>
    </w:p>
    <w:p>
      <w:pPr>
        <w:pStyle w:val="22"/>
        <w:ind w:left="838" w:leftChars="399" w:firstLine="0" w:firstLineChars="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若前附表中不允许采购进口产品，如供应商所投产品为进口产品，其响应文件将被认定为无效。</w:t>
      </w:r>
    </w:p>
    <w:p>
      <w:pPr>
        <w:pStyle w:val="22"/>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3.</w:t>
      </w:r>
      <w:r>
        <w:rPr>
          <w:rFonts w:hint="eastAsia" w:ascii="Times New Roman" w:hAnsi="Times New Roman" w:eastAsia="仿宋_GB2312" w:cs="Times New Roman"/>
          <w:i w:val="0"/>
          <w:iCs w:val="0"/>
          <w:color w:val="auto"/>
          <w:kern w:val="24"/>
          <w:sz w:val="24"/>
          <w:szCs w:val="21"/>
          <w:highlight w:val="none"/>
          <w:lang w:val="en-US" w:eastAsia="zh-CN"/>
        </w:rPr>
        <w:t>6</w:t>
      </w:r>
      <w:r>
        <w:rPr>
          <w:rFonts w:hint="default" w:ascii="Times New Roman" w:hAnsi="Times New Roman" w:eastAsia="仿宋_GB2312" w:cs="Times New Roman"/>
          <w:i w:val="0"/>
          <w:iCs w:val="0"/>
          <w:color w:val="auto"/>
          <w:kern w:val="24"/>
          <w:sz w:val="24"/>
          <w:szCs w:val="21"/>
          <w:highlight w:val="none"/>
        </w:rPr>
        <w:t xml:space="preserve">    如须知前附表中允许联合体投标，对联合体规定如下：</w:t>
      </w:r>
    </w:p>
    <w:p>
      <w:pPr>
        <w:pStyle w:val="22"/>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3.</w:t>
      </w:r>
      <w:r>
        <w:rPr>
          <w:rFonts w:hint="eastAsia" w:ascii="Times New Roman" w:hAnsi="Times New Roman" w:eastAsia="仿宋_GB2312" w:cs="Times New Roman"/>
          <w:i w:val="0"/>
          <w:iCs w:val="0"/>
          <w:color w:val="auto"/>
          <w:kern w:val="24"/>
          <w:sz w:val="24"/>
          <w:szCs w:val="21"/>
          <w:highlight w:val="none"/>
          <w:lang w:val="en-US" w:eastAsia="zh-CN"/>
        </w:rPr>
        <w:t>6</w:t>
      </w:r>
      <w:r>
        <w:rPr>
          <w:rFonts w:hint="default" w:ascii="Times New Roman" w:hAnsi="Times New Roman" w:eastAsia="仿宋_GB2312" w:cs="Times New Roman"/>
          <w:i w:val="0"/>
          <w:iCs w:val="0"/>
          <w:color w:val="auto"/>
          <w:kern w:val="24"/>
          <w:sz w:val="24"/>
          <w:szCs w:val="21"/>
          <w:highlight w:val="none"/>
        </w:rPr>
        <w:t>.1  两个及以上供应商可以组成一个投标联合体，以一个供应商的身份投标。</w:t>
      </w:r>
    </w:p>
    <w:p>
      <w:pPr>
        <w:pStyle w:val="22"/>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3.</w:t>
      </w:r>
      <w:r>
        <w:rPr>
          <w:rFonts w:hint="eastAsia" w:ascii="Times New Roman" w:hAnsi="Times New Roman" w:eastAsia="仿宋_GB2312" w:cs="Times New Roman"/>
          <w:i w:val="0"/>
          <w:iCs w:val="0"/>
          <w:color w:val="auto"/>
          <w:kern w:val="24"/>
          <w:sz w:val="24"/>
          <w:szCs w:val="21"/>
          <w:highlight w:val="none"/>
          <w:lang w:val="en-US" w:eastAsia="zh-CN"/>
        </w:rPr>
        <w:t>6</w:t>
      </w:r>
      <w:r>
        <w:rPr>
          <w:rFonts w:hint="default" w:ascii="Times New Roman" w:hAnsi="Times New Roman" w:eastAsia="仿宋_GB2312" w:cs="Times New Roman"/>
          <w:i w:val="0"/>
          <w:iCs w:val="0"/>
          <w:color w:val="auto"/>
          <w:kern w:val="24"/>
          <w:sz w:val="24"/>
          <w:szCs w:val="21"/>
          <w:highlight w:val="none"/>
        </w:rPr>
        <w:t>.2  联合体各方均应符合本须知规定。</w:t>
      </w:r>
    </w:p>
    <w:p>
      <w:pPr>
        <w:pStyle w:val="22"/>
        <w:ind w:left="840" w:leftChars="0" w:hanging="840" w:hangingChars="35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3.</w:t>
      </w:r>
      <w:r>
        <w:rPr>
          <w:rFonts w:hint="eastAsia" w:ascii="Times New Roman" w:hAnsi="Times New Roman" w:eastAsia="仿宋_GB2312" w:cs="Times New Roman"/>
          <w:i w:val="0"/>
          <w:iCs w:val="0"/>
          <w:color w:val="auto"/>
          <w:kern w:val="24"/>
          <w:sz w:val="24"/>
          <w:szCs w:val="21"/>
          <w:highlight w:val="none"/>
          <w:lang w:val="en-US" w:eastAsia="zh-CN"/>
        </w:rPr>
        <w:t>6</w:t>
      </w:r>
      <w:r>
        <w:rPr>
          <w:rFonts w:hint="default" w:ascii="Times New Roman" w:hAnsi="Times New Roman" w:eastAsia="仿宋_GB2312" w:cs="Times New Roman"/>
          <w:i w:val="0"/>
          <w:iCs w:val="0"/>
          <w:color w:val="auto"/>
          <w:kern w:val="24"/>
          <w:sz w:val="24"/>
          <w:szCs w:val="21"/>
          <w:highlight w:val="none"/>
        </w:rPr>
        <w:t>.3  采购人根据采购项目对供应商的特殊要求，联合体中至少应当有一方符合相关规定。</w:t>
      </w:r>
    </w:p>
    <w:p>
      <w:pPr>
        <w:pStyle w:val="22"/>
        <w:ind w:left="840" w:leftChars="0" w:hanging="840" w:hangingChars="35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3.</w:t>
      </w:r>
      <w:r>
        <w:rPr>
          <w:rFonts w:hint="eastAsia" w:ascii="Times New Roman" w:hAnsi="Times New Roman" w:eastAsia="仿宋_GB2312" w:cs="Times New Roman"/>
          <w:i w:val="0"/>
          <w:iCs w:val="0"/>
          <w:color w:val="auto"/>
          <w:kern w:val="24"/>
          <w:sz w:val="24"/>
          <w:szCs w:val="21"/>
          <w:highlight w:val="none"/>
          <w:lang w:val="en-US" w:eastAsia="zh-CN"/>
        </w:rPr>
        <w:t>6</w:t>
      </w:r>
      <w:r>
        <w:rPr>
          <w:rFonts w:hint="default" w:ascii="Times New Roman" w:hAnsi="Times New Roman" w:eastAsia="仿宋_GB2312" w:cs="Times New Roman"/>
          <w:i w:val="0"/>
          <w:iCs w:val="0"/>
          <w:color w:val="auto"/>
          <w:kern w:val="24"/>
          <w:sz w:val="24"/>
          <w:szCs w:val="21"/>
          <w:highlight w:val="none"/>
        </w:rPr>
        <w:t>.4  联合体各方应签订共同磋商响应协议，明确约定联合体各方承担的工作和相应的责任，并将共同响应协议作为响应文件的内容提交。</w:t>
      </w:r>
    </w:p>
    <w:p>
      <w:pPr>
        <w:pStyle w:val="22"/>
        <w:ind w:left="840" w:leftChars="0" w:hanging="840" w:hangingChars="35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3.</w:t>
      </w:r>
      <w:r>
        <w:rPr>
          <w:rFonts w:hint="eastAsia" w:ascii="Times New Roman" w:hAnsi="Times New Roman" w:eastAsia="仿宋_GB2312" w:cs="Times New Roman"/>
          <w:i w:val="0"/>
          <w:iCs w:val="0"/>
          <w:color w:val="auto"/>
          <w:kern w:val="24"/>
          <w:sz w:val="24"/>
          <w:szCs w:val="21"/>
          <w:highlight w:val="none"/>
          <w:lang w:val="en-US" w:eastAsia="zh-CN"/>
        </w:rPr>
        <w:t>6</w:t>
      </w:r>
      <w:r>
        <w:rPr>
          <w:rFonts w:hint="default" w:ascii="Times New Roman" w:hAnsi="Times New Roman" w:eastAsia="仿宋_GB2312" w:cs="Times New Roman"/>
          <w:i w:val="0"/>
          <w:iCs w:val="0"/>
          <w:color w:val="auto"/>
          <w:kern w:val="24"/>
          <w:sz w:val="24"/>
          <w:szCs w:val="21"/>
          <w:highlight w:val="none"/>
        </w:rPr>
        <w:t>.5  大中型企业、其他自然人、法人或者其他组织与小型、微型企业组成联合体共同参加磋商，共同响应协议中应写明小型、微型企业的协议合同金额占到共同响应协议报价总金额的比例。</w:t>
      </w:r>
    </w:p>
    <w:p>
      <w:pPr>
        <w:pStyle w:val="22"/>
        <w:ind w:left="840" w:leftChars="0" w:hanging="840" w:hangingChars="35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3.</w:t>
      </w:r>
      <w:r>
        <w:rPr>
          <w:rFonts w:hint="eastAsia" w:ascii="Times New Roman" w:hAnsi="Times New Roman" w:eastAsia="仿宋_GB2312" w:cs="Times New Roman"/>
          <w:i w:val="0"/>
          <w:iCs w:val="0"/>
          <w:color w:val="auto"/>
          <w:kern w:val="24"/>
          <w:sz w:val="24"/>
          <w:szCs w:val="21"/>
          <w:highlight w:val="none"/>
          <w:lang w:val="en-US" w:eastAsia="zh-CN"/>
        </w:rPr>
        <w:t>6</w:t>
      </w:r>
      <w:r>
        <w:rPr>
          <w:rFonts w:hint="default" w:ascii="Times New Roman" w:hAnsi="Times New Roman" w:eastAsia="仿宋_GB2312" w:cs="Times New Roman"/>
          <w:i w:val="0"/>
          <w:iCs w:val="0"/>
          <w:color w:val="auto"/>
          <w:kern w:val="24"/>
          <w:sz w:val="24"/>
          <w:szCs w:val="21"/>
          <w:highlight w:val="none"/>
        </w:rPr>
        <w:t>.6  以联合体形式参加政府采购活动的，联合体各方不得再单独参加或者与其他供应商另外组成联合体参加本项目同一合同项下的磋商，否则相关响应文件将被认定为无效。</w:t>
      </w:r>
    </w:p>
    <w:p>
      <w:pPr>
        <w:pStyle w:val="22"/>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3.</w:t>
      </w:r>
      <w:r>
        <w:rPr>
          <w:rFonts w:hint="eastAsia" w:ascii="Times New Roman" w:hAnsi="Times New Roman" w:eastAsia="仿宋_GB2312" w:cs="Times New Roman"/>
          <w:i w:val="0"/>
          <w:iCs w:val="0"/>
          <w:color w:val="auto"/>
          <w:kern w:val="24"/>
          <w:sz w:val="24"/>
          <w:szCs w:val="21"/>
          <w:highlight w:val="none"/>
          <w:lang w:val="en-US" w:eastAsia="zh-CN"/>
        </w:rPr>
        <w:t>6</w:t>
      </w:r>
      <w:r>
        <w:rPr>
          <w:rFonts w:hint="default" w:ascii="Times New Roman" w:hAnsi="Times New Roman" w:eastAsia="仿宋_GB2312" w:cs="Times New Roman"/>
          <w:i w:val="0"/>
          <w:iCs w:val="0"/>
          <w:color w:val="auto"/>
          <w:kern w:val="24"/>
          <w:sz w:val="24"/>
          <w:szCs w:val="21"/>
          <w:highlight w:val="none"/>
        </w:rPr>
        <w:t>.7  对联合体磋商的其他资格要求见须知前附表。</w:t>
      </w:r>
    </w:p>
    <w:p>
      <w:pPr>
        <w:pStyle w:val="22"/>
        <w:ind w:left="840" w:leftChars="0" w:hanging="840" w:hangingChars="350"/>
        <w:rPr>
          <w:rFonts w:hint="default" w:ascii="Times New Roman" w:hAnsi="Times New Roman" w:eastAsia="仿宋_GB2312" w:cs="Times New Roman"/>
          <w:i w:val="0"/>
          <w:iCs w:val="0"/>
          <w:color w:val="auto"/>
          <w:kern w:val="24"/>
          <w:sz w:val="24"/>
          <w:szCs w:val="21"/>
          <w:highlight w:val="none"/>
          <w:lang w:val="en-US" w:eastAsia="zh-CN"/>
        </w:rPr>
      </w:pPr>
      <w:r>
        <w:rPr>
          <w:rFonts w:hint="default" w:ascii="Times New Roman" w:hAnsi="Times New Roman" w:eastAsia="仿宋_GB2312" w:cs="Times New Roman"/>
          <w:i w:val="0"/>
          <w:iCs w:val="0"/>
          <w:color w:val="auto"/>
          <w:kern w:val="24"/>
          <w:sz w:val="24"/>
          <w:szCs w:val="21"/>
          <w:highlight w:val="none"/>
          <w:lang w:val="en-US" w:eastAsia="zh-CN"/>
        </w:rPr>
        <w:t>3.</w:t>
      </w:r>
      <w:r>
        <w:rPr>
          <w:rFonts w:hint="eastAsia" w:ascii="Times New Roman" w:hAnsi="Times New Roman" w:eastAsia="仿宋_GB2312" w:cs="Times New Roman"/>
          <w:i w:val="0"/>
          <w:iCs w:val="0"/>
          <w:color w:val="auto"/>
          <w:kern w:val="24"/>
          <w:sz w:val="24"/>
          <w:szCs w:val="21"/>
          <w:highlight w:val="none"/>
          <w:lang w:val="en-US" w:eastAsia="zh-CN"/>
        </w:rPr>
        <w:t>7</w:t>
      </w:r>
      <w:r>
        <w:rPr>
          <w:rFonts w:hint="default" w:ascii="Times New Roman" w:hAnsi="Times New Roman" w:eastAsia="仿宋_GB2312" w:cs="Times New Roman"/>
          <w:i w:val="0"/>
          <w:iCs w:val="0"/>
          <w:color w:val="auto"/>
          <w:kern w:val="24"/>
          <w:sz w:val="24"/>
          <w:szCs w:val="21"/>
          <w:highlight w:val="none"/>
          <w:lang w:val="en-US" w:eastAsia="zh-CN"/>
        </w:rPr>
        <w:t xml:space="preserve">    </w:t>
      </w:r>
      <w:r>
        <w:rPr>
          <w:rFonts w:hint="default" w:ascii="Times New Roman" w:hAnsi="Times New Roman" w:eastAsia="仿宋_GB2312" w:cs="Times New Roman"/>
          <w:i w:val="0"/>
          <w:iCs w:val="0"/>
          <w:color w:val="auto"/>
          <w:sz w:val="24"/>
          <w:highlight w:val="none"/>
        </w:rPr>
        <w:t>若</w:t>
      </w:r>
      <w:r>
        <w:rPr>
          <w:rFonts w:hint="default" w:ascii="Times New Roman" w:hAnsi="Times New Roman" w:eastAsia="仿宋_GB2312" w:cs="Times New Roman"/>
          <w:i w:val="0"/>
          <w:iCs w:val="0"/>
          <w:color w:val="auto"/>
          <w:sz w:val="24"/>
          <w:highlight w:val="none"/>
          <w:u w:val="none"/>
        </w:rPr>
        <w:t>前附表</w:t>
      </w:r>
      <w:r>
        <w:rPr>
          <w:rFonts w:hint="default" w:ascii="Times New Roman" w:hAnsi="Times New Roman" w:eastAsia="仿宋_GB2312" w:cs="Times New Roman"/>
          <w:i w:val="0"/>
          <w:iCs w:val="0"/>
          <w:color w:val="auto"/>
          <w:sz w:val="24"/>
          <w:highlight w:val="none"/>
        </w:rPr>
        <w:t>中写明专门面向中小企业采购的，如</w:t>
      </w:r>
      <w:r>
        <w:rPr>
          <w:rFonts w:hint="default" w:ascii="Times New Roman" w:hAnsi="Times New Roman" w:eastAsia="仿宋_GB2312" w:cs="Times New Roman"/>
          <w:i w:val="0"/>
          <w:iCs w:val="0"/>
          <w:color w:val="auto"/>
          <w:sz w:val="24"/>
          <w:highlight w:val="none"/>
          <w:lang w:eastAsia="zh-CN"/>
        </w:rPr>
        <w:t>供应商</w:t>
      </w:r>
      <w:r>
        <w:rPr>
          <w:rFonts w:hint="default" w:ascii="Times New Roman" w:hAnsi="Times New Roman" w:eastAsia="仿宋_GB2312" w:cs="Times New Roman"/>
          <w:i w:val="0"/>
          <w:iCs w:val="0"/>
          <w:color w:val="auto"/>
          <w:sz w:val="24"/>
          <w:highlight w:val="none"/>
        </w:rPr>
        <w:t>为非中小企业或所投产品为非中小企业产品，其</w:t>
      </w:r>
      <w:r>
        <w:rPr>
          <w:rFonts w:hint="default" w:ascii="Times New Roman" w:hAnsi="Times New Roman" w:eastAsia="仿宋_GB2312" w:cs="Times New Roman"/>
          <w:i w:val="0"/>
          <w:iCs w:val="0"/>
          <w:color w:val="auto"/>
          <w:sz w:val="24"/>
          <w:highlight w:val="none"/>
          <w:lang w:eastAsia="zh-CN"/>
        </w:rPr>
        <w:t>响应文件</w:t>
      </w:r>
      <w:r>
        <w:rPr>
          <w:rFonts w:hint="default" w:ascii="Times New Roman" w:hAnsi="Times New Roman" w:eastAsia="仿宋_GB2312" w:cs="Times New Roman"/>
          <w:i w:val="0"/>
          <w:iCs w:val="0"/>
          <w:color w:val="auto"/>
          <w:sz w:val="24"/>
          <w:highlight w:val="none"/>
        </w:rPr>
        <w:t>将被认定为</w:t>
      </w:r>
      <w:r>
        <w:rPr>
          <w:rFonts w:hint="default" w:ascii="Times New Roman" w:hAnsi="Times New Roman" w:eastAsia="仿宋_GB2312" w:cs="Times New Roman"/>
          <w:b w:val="0"/>
          <w:bCs w:val="0"/>
          <w:i w:val="0"/>
          <w:iCs w:val="0"/>
          <w:color w:val="auto"/>
          <w:sz w:val="24"/>
          <w:highlight w:val="none"/>
        </w:rPr>
        <w:t>无效。</w:t>
      </w:r>
    </w:p>
    <w:p>
      <w:pPr>
        <w:pStyle w:val="5"/>
        <w:rPr>
          <w:rFonts w:hint="default" w:ascii="Times New Roman" w:hAnsi="Times New Roman" w:eastAsia="仿宋_GB2312" w:cs="Times New Roman"/>
          <w:b/>
          <w:i w:val="0"/>
          <w:iCs w:val="0"/>
          <w:color w:val="auto"/>
          <w:sz w:val="24"/>
          <w:szCs w:val="21"/>
          <w:highlight w:val="none"/>
        </w:rPr>
      </w:pPr>
      <w:bookmarkStart w:id="108" w:name="_Toc26580"/>
      <w:bookmarkStart w:id="109" w:name="_Toc385992330"/>
      <w:bookmarkStart w:id="110" w:name="_Toc249525164"/>
      <w:bookmarkStart w:id="111" w:name="_Toc249515283"/>
      <w:bookmarkStart w:id="112" w:name="_Toc184043017"/>
      <w:bookmarkStart w:id="113" w:name="_Toc70687144"/>
      <w:bookmarkStart w:id="114" w:name="_Toc249515395"/>
      <w:bookmarkStart w:id="115" w:name="_Toc389620169"/>
      <w:r>
        <w:rPr>
          <w:rFonts w:hint="default" w:ascii="Times New Roman" w:hAnsi="Times New Roman" w:eastAsia="仿宋_GB2312" w:cs="Times New Roman"/>
          <w:b/>
          <w:i w:val="0"/>
          <w:iCs w:val="0"/>
          <w:color w:val="auto"/>
          <w:sz w:val="24"/>
          <w:szCs w:val="21"/>
          <w:highlight w:val="none"/>
        </w:rPr>
        <w:t>4.     磋商费用</w:t>
      </w:r>
      <w:bookmarkEnd w:id="108"/>
      <w:bookmarkEnd w:id="109"/>
      <w:bookmarkEnd w:id="110"/>
      <w:bookmarkEnd w:id="111"/>
      <w:bookmarkEnd w:id="112"/>
      <w:bookmarkEnd w:id="113"/>
      <w:bookmarkEnd w:id="114"/>
      <w:bookmarkEnd w:id="115"/>
    </w:p>
    <w:p>
      <w:pPr>
        <w:tabs>
          <w:tab w:val="left" w:pos="588"/>
        </w:tabs>
        <w:spacing w:line="360" w:lineRule="auto"/>
        <w:ind w:left="840" w:hanging="840" w:hangingChars="35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4.1    供应商应承担所有与编写和提交响应文件有关的费用，无论磋商过程和结果如何，采购人在任何情况下均无义务和责任承担这些费用。</w:t>
      </w:r>
    </w:p>
    <w:p>
      <w:pPr>
        <w:pStyle w:val="22"/>
        <w:rPr>
          <w:rFonts w:hint="default" w:ascii="Times New Roman" w:hAnsi="Times New Roman" w:eastAsia="仿宋_GB2312" w:cs="Times New Roman"/>
          <w:i w:val="0"/>
          <w:iCs w:val="0"/>
          <w:color w:val="auto"/>
          <w:highlight w:val="none"/>
        </w:rPr>
      </w:pPr>
    </w:p>
    <w:p>
      <w:pPr>
        <w:pStyle w:val="77"/>
        <w:spacing w:before="24" w:after="24"/>
        <w:ind w:left="3313"/>
        <w:rPr>
          <w:rFonts w:hint="default" w:ascii="Times New Roman" w:hAnsi="Times New Roman" w:eastAsia="仿宋_GB2312" w:cs="Times New Roman"/>
          <w:i w:val="0"/>
          <w:iCs w:val="0"/>
          <w:color w:val="auto"/>
          <w:sz w:val="30"/>
          <w:szCs w:val="30"/>
          <w:highlight w:val="none"/>
        </w:rPr>
      </w:pPr>
      <w:bookmarkStart w:id="116" w:name="_Toc68590970"/>
      <w:r>
        <w:rPr>
          <w:rFonts w:hint="default" w:ascii="Times New Roman" w:hAnsi="Times New Roman" w:eastAsia="仿宋_GB2312" w:cs="Times New Roman"/>
          <w:i w:val="0"/>
          <w:iCs w:val="0"/>
          <w:color w:val="auto"/>
          <w:sz w:val="30"/>
          <w:szCs w:val="30"/>
          <w:highlight w:val="none"/>
        </w:rPr>
        <w:t>二、磋商文件说明</w:t>
      </w:r>
      <w:bookmarkEnd w:id="116"/>
    </w:p>
    <w:p>
      <w:pPr>
        <w:rPr>
          <w:rFonts w:hint="default" w:ascii="Times New Roman" w:hAnsi="Times New Roman" w:eastAsia="仿宋_GB2312" w:cs="Times New Roman"/>
          <w:i w:val="0"/>
          <w:iCs w:val="0"/>
          <w:color w:val="auto"/>
          <w:highlight w:val="none"/>
        </w:rPr>
      </w:pPr>
    </w:p>
    <w:p>
      <w:pPr>
        <w:pStyle w:val="5"/>
        <w:numPr>
          <w:ilvl w:val="0"/>
          <w:numId w:val="6"/>
        </w:numPr>
        <w:rPr>
          <w:rFonts w:hint="default" w:ascii="Times New Roman" w:hAnsi="Times New Roman" w:eastAsia="仿宋_GB2312" w:cs="Times New Roman"/>
          <w:b/>
          <w:i w:val="0"/>
          <w:iCs w:val="0"/>
          <w:color w:val="auto"/>
          <w:sz w:val="24"/>
          <w:szCs w:val="21"/>
          <w:highlight w:val="none"/>
        </w:rPr>
      </w:pPr>
      <w:bookmarkStart w:id="117" w:name="_Toc128"/>
      <w:bookmarkStart w:id="118" w:name="_Toc249525166"/>
      <w:bookmarkStart w:id="119" w:name="_Toc249515285"/>
      <w:bookmarkStart w:id="120" w:name="_Toc389620171"/>
      <w:bookmarkStart w:id="121" w:name="_Toc249515397"/>
      <w:bookmarkStart w:id="122" w:name="_Toc184043019"/>
      <w:bookmarkStart w:id="123" w:name="_Toc385992332"/>
      <w:bookmarkStart w:id="124" w:name="_Toc70687146"/>
      <w:r>
        <w:rPr>
          <w:rFonts w:hint="default" w:ascii="Times New Roman" w:hAnsi="Times New Roman" w:eastAsia="仿宋_GB2312" w:cs="Times New Roman"/>
          <w:b/>
          <w:i w:val="0"/>
          <w:iCs w:val="0"/>
          <w:color w:val="auto"/>
          <w:sz w:val="24"/>
          <w:szCs w:val="21"/>
          <w:highlight w:val="none"/>
        </w:rPr>
        <w:t xml:space="preserve">    通知</w:t>
      </w:r>
      <w:bookmarkEnd w:id="117"/>
    </w:p>
    <w:p>
      <w:pPr>
        <w:tabs>
          <w:tab w:val="left" w:pos="588"/>
        </w:tabs>
        <w:spacing w:line="360" w:lineRule="auto"/>
        <w:ind w:left="840" w:hanging="840" w:hangingChars="35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5.1    对与本项目有关的通知，采购人或采购代理机构将以书面（包括书面材料、信函、传真、电子邮件等，下同）的形式，送达所有与通知有关的已</w:t>
      </w:r>
      <w:r>
        <w:rPr>
          <w:rFonts w:hint="eastAsia" w:eastAsia="仿宋_GB2312" w:cs="Times New Roman"/>
          <w:i w:val="0"/>
          <w:iCs w:val="0"/>
          <w:color w:val="auto"/>
          <w:kern w:val="24"/>
          <w:sz w:val="24"/>
          <w:szCs w:val="21"/>
          <w:highlight w:val="none"/>
          <w:lang w:val="en-US" w:eastAsia="zh-CN"/>
        </w:rPr>
        <w:t>获取</w:t>
      </w:r>
      <w:r>
        <w:rPr>
          <w:rFonts w:hint="default" w:ascii="Times New Roman" w:hAnsi="Times New Roman" w:eastAsia="仿宋_GB2312" w:cs="Times New Roman"/>
          <w:i w:val="0"/>
          <w:iCs w:val="0"/>
          <w:color w:val="auto"/>
          <w:kern w:val="24"/>
          <w:sz w:val="24"/>
          <w:szCs w:val="21"/>
          <w:highlight w:val="none"/>
        </w:rPr>
        <w:t>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pPr>
        <w:pStyle w:val="5"/>
        <w:rPr>
          <w:rFonts w:hint="default" w:ascii="Times New Roman" w:hAnsi="Times New Roman" w:eastAsia="仿宋_GB2312" w:cs="Times New Roman"/>
          <w:b/>
          <w:i w:val="0"/>
          <w:iCs w:val="0"/>
          <w:color w:val="auto"/>
          <w:sz w:val="24"/>
          <w:szCs w:val="21"/>
          <w:highlight w:val="none"/>
        </w:rPr>
      </w:pPr>
      <w:bookmarkStart w:id="125" w:name="_Toc27223"/>
      <w:r>
        <w:rPr>
          <w:rFonts w:hint="default" w:ascii="Times New Roman" w:hAnsi="Times New Roman" w:eastAsia="仿宋_GB2312" w:cs="Times New Roman"/>
          <w:b/>
          <w:i w:val="0"/>
          <w:iCs w:val="0"/>
          <w:color w:val="auto"/>
          <w:sz w:val="24"/>
          <w:szCs w:val="21"/>
          <w:highlight w:val="none"/>
        </w:rPr>
        <w:t>6.     磋商文件的构成</w:t>
      </w:r>
      <w:bookmarkEnd w:id="118"/>
      <w:bookmarkEnd w:id="119"/>
      <w:bookmarkEnd w:id="120"/>
      <w:bookmarkEnd w:id="121"/>
      <w:bookmarkEnd w:id="122"/>
      <w:bookmarkEnd w:id="123"/>
      <w:bookmarkEnd w:id="124"/>
      <w:bookmarkEnd w:id="125"/>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6.1    磋商文件用以阐明供应商所需提供的服务、工程或货物以及其它类似的义务、采购响应程序和合同条款。磋商文件包括如下五章内容：</w:t>
      </w:r>
    </w:p>
    <w:p>
      <w:pPr>
        <w:pStyle w:val="22"/>
        <w:ind w:left="838" w:leftChars="399"/>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第一章</w:t>
      </w:r>
      <w:r>
        <w:rPr>
          <w:rFonts w:hint="default" w:ascii="Times New Roman" w:hAnsi="Times New Roman" w:eastAsia="仿宋_GB2312" w:cs="Times New Roman"/>
          <w:i w:val="0"/>
          <w:iCs w:val="0"/>
          <w:color w:val="auto"/>
          <w:sz w:val="24"/>
          <w:highlight w:val="none"/>
        </w:rPr>
        <w:tab/>
      </w:r>
      <w:r>
        <w:rPr>
          <w:rFonts w:hint="default" w:ascii="Times New Roman" w:hAnsi="Times New Roman" w:eastAsia="仿宋_GB2312" w:cs="Times New Roman"/>
          <w:i w:val="0"/>
          <w:iCs w:val="0"/>
          <w:color w:val="auto"/>
          <w:sz w:val="24"/>
          <w:highlight w:val="none"/>
        </w:rPr>
        <w:t>磋商公告</w:t>
      </w:r>
    </w:p>
    <w:p>
      <w:pPr>
        <w:pStyle w:val="22"/>
        <w:ind w:left="838" w:leftChars="399"/>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第二章</w:t>
      </w:r>
      <w:r>
        <w:rPr>
          <w:rFonts w:hint="default" w:ascii="Times New Roman" w:hAnsi="Times New Roman" w:eastAsia="仿宋_GB2312" w:cs="Times New Roman"/>
          <w:i w:val="0"/>
          <w:iCs w:val="0"/>
          <w:color w:val="auto"/>
          <w:sz w:val="24"/>
          <w:highlight w:val="none"/>
        </w:rPr>
        <w:tab/>
      </w:r>
      <w:r>
        <w:rPr>
          <w:rFonts w:hint="default" w:ascii="Times New Roman" w:hAnsi="Times New Roman" w:eastAsia="仿宋_GB2312" w:cs="Times New Roman"/>
          <w:i w:val="0"/>
          <w:iCs w:val="0"/>
          <w:color w:val="auto"/>
          <w:sz w:val="24"/>
          <w:highlight w:val="none"/>
        </w:rPr>
        <w:t>供应商须知</w:t>
      </w:r>
    </w:p>
    <w:p>
      <w:pPr>
        <w:pStyle w:val="22"/>
        <w:ind w:left="838" w:leftChars="399"/>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第三章</w:t>
      </w:r>
      <w:r>
        <w:rPr>
          <w:rFonts w:hint="default" w:ascii="Times New Roman" w:hAnsi="Times New Roman" w:eastAsia="仿宋_GB2312" w:cs="Times New Roman"/>
          <w:i w:val="0"/>
          <w:iCs w:val="0"/>
          <w:color w:val="auto"/>
          <w:sz w:val="24"/>
          <w:highlight w:val="none"/>
        </w:rPr>
        <w:tab/>
      </w:r>
      <w:r>
        <w:rPr>
          <w:rFonts w:hint="default" w:ascii="Times New Roman" w:hAnsi="Times New Roman" w:eastAsia="仿宋_GB2312" w:cs="Times New Roman"/>
          <w:i w:val="0"/>
          <w:iCs w:val="0"/>
          <w:color w:val="auto"/>
          <w:sz w:val="24"/>
          <w:highlight w:val="none"/>
        </w:rPr>
        <w:t>评审办法和标准</w:t>
      </w:r>
    </w:p>
    <w:p>
      <w:pPr>
        <w:pStyle w:val="22"/>
        <w:ind w:left="838" w:leftChars="399"/>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第四章</w:t>
      </w:r>
      <w:r>
        <w:rPr>
          <w:rFonts w:hint="default" w:ascii="Times New Roman" w:hAnsi="Times New Roman" w:eastAsia="仿宋_GB2312" w:cs="Times New Roman"/>
          <w:i w:val="0"/>
          <w:iCs w:val="0"/>
          <w:color w:val="auto"/>
          <w:sz w:val="24"/>
          <w:highlight w:val="none"/>
        </w:rPr>
        <w:tab/>
      </w:r>
      <w:r>
        <w:rPr>
          <w:rFonts w:hint="default" w:ascii="Times New Roman" w:hAnsi="Times New Roman" w:eastAsia="仿宋_GB2312" w:cs="Times New Roman"/>
          <w:i w:val="0"/>
          <w:iCs w:val="0"/>
          <w:color w:val="auto"/>
          <w:sz w:val="24"/>
          <w:highlight w:val="none"/>
        </w:rPr>
        <w:t>合同草案条款</w:t>
      </w:r>
    </w:p>
    <w:p>
      <w:pPr>
        <w:pStyle w:val="22"/>
        <w:ind w:left="838" w:leftChars="399"/>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第五章</w:t>
      </w:r>
      <w:r>
        <w:rPr>
          <w:rFonts w:hint="default" w:ascii="Times New Roman" w:hAnsi="Times New Roman" w:eastAsia="仿宋_GB2312" w:cs="Times New Roman"/>
          <w:i w:val="0"/>
          <w:iCs w:val="0"/>
          <w:color w:val="auto"/>
          <w:sz w:val="24"/>
          <w:highlight w:val="none"/>
        </w:rPr>
        <w:tab/>
      </w:r>
      <w:r>
        <w:rPr>
          <w:rFonts w:hint="default" w:ascii="Times New Roman" w:hAnsi="Times New Roman" w:eastAsia="仿宋_GB2312" w:cs="Times New Roman"/>
          <w:i w:val="0"/>
          <w:iCs w:val="0"/>
          <w:color w:val="auto"/>
          <w:sz w:val="24"/>
          <w:highlight w:val="none"/>
        </w:rPr>
        <w:t>采购内容及要求</w:t>
      </w:r>
    </w:p>
    <w:p>
      <w:pPr>
        <w:pStyle w:val="22"/>
        <w:ind w:left="838" w:leftChars="399"/>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第六章</w:t>
      </w:r>
      <w:r>
        <w:rPr>
          <w:rFonts w:hint="default" w:ascii="Times New Roman" w:hAnsi="Times New Roman" w:eastAsia="仿宋_GB2312" w:cs="Times New Roman"/>
          <w:i w:val="0"/>
          <w:iCs w:val="0"/>
          <w:color w:val="auto"/>
          <w:sz w:val="24"/>
          <w:highlight w:val="none"/>
        </w:rPr>
        <w:tab/>
      </w:r>
      <w:r>
        <w:rPr>
          <w:rFonts w:hint="default" w:ascii="Times New Roman" w:hAnsi="Times New Roman" w:eastAsia="仿宋_GB2312" w:cs="Times New Roman"/>
          <w:i w:val="0"/>
          <w:iCs w:val="0"/>
          <w:color w:val="auto"/>
          <w:sz w:val="24"/>
          <w:highlight w:val="none"/>
        </w:rPr>
        <w:t>磋商响应文件格式</w:t>
      </w:r>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6.2    供应商应认真阅读磋商文件中所有的事项、格式条款和规范要求等。供应商没有对磋商文件做出全面的实质性响应是供应商的风险。采购人有权拒绝没有对磋商文件要求做出实质性响应的响应文件。</w:t>
      </w:r>
    </w:p>
    <w:p>
      <w:pPr>
        <w:pStyle w:val="5"/>
        <w:rPr>
          <w:rFonts w:hint="default" w:ascii="Times New Roman" w:hAnsi="Times New Roman" w:eastAsia="仿宋_GB2312" w:cs="Times New Roman"/>
          <w:b/>
          <w:i w:val="0"/>
          <w:iCs w:val="0"/>
          <w:color w:val="auto"/>
          <w:sz w:val="24"/>
          <w:szCs w:val="21"/>
          <w:highlight w:val="none"/>
        </w:rPr>
      </w:pPr>
      <w:bookmarkStart w:id="126" w:name="_Toc70687147"/>
      <w:bookmarkStart w:id="127" w:name="_Toc249515286"/>
      <w:bookmarkStart w:id="128" w:name="_Toc385992333"/>
      <w:bookmarkStart w:id="129" w:name="_Toc249515398"/>
      <w:bookmarkStart w:id="130" w:name="_Toc184043020"/>
      <w:bookmarkStart w:id="131" w:name="_Toc249525167"/>
      <w:bookmarkStart w:id="132" w:name="_Toc389620172"/>
      <w:bookmarkStart w:id="133" w:name="_Toc10350"/>
      <w:r>
        <w:rPr>
          <w:rFonts w:hint="default" w:ascii="Times New Roman" w:hAnsi="Times New Roman" w:eastAsia="仿宋_GB2312" w:cs="Times New Roman"/>
          <w:b/>
          <w:i w:val="0"/>
          <w:iCs w:val="0"/>
          <w:color w:val="auto"/>
          <w:sz w:val="24"/>
          <w:szCs w:val="21"/>
          <w:highlight w:val="none"/>
        </w:rPr>
        <w:t>7.     磋商文件的澄清</w:t>
      </w:r>
      <w:bookmarkEnd w:id="126"/>
      <w:bookmarkEnd w:id="127"/>
      <w:bookmarkEnd w:id="128"/>
      <w:bookmarkEnd w:id="129"/>
      <w:bookmarkEnd w:id="130"/>
      <w:bookmarkEnd w:id="131"/>
      <w:bookmarkEnd w:id="132"/>
      <w:r>
        <w:rPr>
          <w:rFonts w:hint="default" w:ascii="Times New Roman" w:hAnsi="Times New Roman" w:eastAsia="仿宋_GB2312" w:cs="Times New Roman"/>
          <w:b/>
          <w:i w:val="0"/>
          <w:iCs w:val="0"/>
          <w:color w:val="auto"/>
          <w:sz w:val="24"/>
          <w:szCs w:val="21"/>
          <w:highlight w:val="none"/>
        </w:rPr>
        <w:t>和修改</w:t>
      </w:r>
      <w:bookmarkEnd w:id="133"/>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bookmarkStart w:id="134" w:name="_Toc70687148"/>
      <w:bookmarkStart w:id="135" w:name="_Toc385992334"/>
      <w:bookmarkStart w:id="136" w:name="_Toc389620173"/>
      <w:r>
        <w:rPr>
          <w:rFonts w:hint="default" w:ascii="Times New Roman" w:hAnsi="Times New Roman" w:eastAsia="仿宋_GB2312" w:cs="Times New Roman"/>
          <w:i w:val="0"/>
          <w:iCs w:val="0"/>
          <w:color w:val="auto"/>
          <w:sz w:val="24"/>
          <w:highlight w:val="none"/>
        </w:rPr>
        <w:t xml:space="preserve">7.1    </w:t>
      </w:r>
      <w:bookmarkEnd w:id="134"/>
      <w:bookmarkEnd w:id="135"/>
      <w:bookmarkEnd w:id="136"/>
      <w:bookmarkStart w:id="137" w:name="_Toc496324582"/>
      <w:bookmarkStart w:id="138" w:name="_Toc500747065"/>
      <w:bookmarkStart w:id="139" w:name="_Toc492955418"/>
      <w:bookmarkStart w:id="140" w:name="_Toc503063425"/>
      <w:bookmarkStart w:id="141" w:name="_Toc499711887"/>
      <w:bookmarkStart w:id="142" w:name="_Toc53722843"/>
      <w:bookmarkStart w:id="143" w:name="_Toc500746969"/>
      <w:bookmarkStart w:id="144" w:name="_Toc70687149"/>
      <w:bookmarkStart w:id="145" w:name="_Toc389620174"/>
      <w:bookmarkStart w:id="146" w:name="_Toc385992335"/>
      <w:bookmarkStart w:id="147" w:name="_Toc499711046"/>
      <w:bookmarkStart w:id="148" w:name="_Toc500747192"/>
      <w:r>
        <w:rPr>
          <w:rFonts w:hint="default" w:ascii="Times New Roman" w:hAnsi="Times New Roman" w:eastAsia="仿宋_GB2312" w:cs="Times New Roman"/>
          <w:i w:val="0"/>
          <w:iCs w:val="0"/>
          <w:color w:val="auto"/>
          <w:sz w:val="24"/>
          <w:highlight w:val="none"/>
        </w:rPr>
        <w:t>在首次响应文件递交截止时间前，采购人或采购代理机构可以对已发出的磋商文件进行必要的澄清或修改，澄清或修改的内容为磋商文件的组成部分。</w:t>
      </w:r>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7.2    磋商文件的修改将以书面形式通知所有</w:t>
      </w:r>
      <w:r>
        <w:rPr>
          <w:rFonts w:hint="eastAsia" w:eastAsia="仿宋_GB2312" w:cs="Times New Roman"/>
          <w:i w:val="0"/>
          <w:iCs w:val="0"/>
          <w:color w:val="auto"/>
          <w:sz w:val="24"/>
          <w:highlight w:val="none"/>
          <w:lang w:val="en-US" w:eastAsia="zh-CN"/>
        </w:rPr>
        <w:t>获取</w:t>
      </w:r>
      <w:r>
        <w:rPr>
          <w:rFonts w:hint="default" w:ascii="Times New Roman" w:hAnsi="Times New Roman" w:eastAsia="仿宋_GB2312" w:cs="Times New Roman"/>
          <w:i w:val="0"/>
          <w:iCs w:val="0"/>
          <w:color w:val="auto"/>
          <w:sz w:val="24"/>
          <w:highlight w:val="none"/>
        </w:rPr>
        <w:t>磋商文件的供应商，并对其具有约束力。供应商在收到上述通知后，应立即向采购人回函确认。</w:t>
      </w:r>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7.3    澄清或修改的内容可能影响响应文件编制的，采购人或采购代理机构可适当延长首次响应文件递交截止时间，并以书面形式通知所有</w:t>
      </w:r>
      <w:r>
        <w:rPr>
          <w:rFonts w:hint="eastAsia" w:eastAsia="仿宋_GB2312" w:cs="Times New Roman"/>
          <w:i w:val="0"/>
          <w:iCs w:val="0"/>
          <w:color w:val="auto"/>
          <w:sz w:val="24"/>
          <w:highlight w:val="none"/>
          <w:lang w:val="en-US" w:eastAsia="zh-CN"/>
        </w:rPr>
        <w:t>获取</w:t>
      </w:r>
      <w:r>
        <w:rPr>
          <w:rFonts w:hint="default" w:ascii="Times New Roman" w:hAnsi="Times New Roman" w:eastAsia="仿宋_GB2312" w:cs="Times New Roman"/>
          <w:i w:val="0"/>
          <w:iCs w:val="0"/>
          <w:color w:val="auto"/>
          <w:sz w:val="24"/>
          <w:highlight w:val="none"/>
        </w:rPr>
        <w:t>磋商文件的供应商。</w:t>
      </w:r>
    </w:p>
    <w:p>
      <w:pPr>
        <w:pStyle w:val="22"/>
        <w:rPr>
          <w:rFonts w:hint="default"/>
          <w:highlight w:val="none"/>
        </w:rPr>
      </w:pPr>
    </w:p>
    <w:p>
      <w:pPr>
        <w:pStyle w:val="77"/>
        <w:spacing w:before="24" w:after="24"/>
        <w:ind w:left="3313"/>
        <w:rPr>
          <w:rFonts w:hint="default" w:ascii="Times New Roman" w:hAnsi="Times New Roman" w:eastAsia="仿宋_GB2312" w:cs="Times New Roman"/>
          <w:i w:val="0"/>
          <w:iCs w:val="0"/>
          <w:color w:val="auto"/>
          <w:sz w:val="30"/>
          <w:szCs w:val="30"/>
          <w:highlight w:val="none"/>
        </w:rPr>
      </w:pPr>
      <w:bookmarkStart w:id="149" w:name="_Toc177817337"/>
      <w:bookmarkStart w:id="150" w:name="_Toc249515288"/>
      <w:bookmarkStart w:id="151" w:name="_Toc230013635"/>
      <w:bookmarkStart w:id="152" w:name="_Toc230583544"/>
      <w:bookmarkStart w:id="153" w:name="_Toc184043022"/>
      <w:bookmarkStart w:id="154" w:name="_Toc176882545"/>
      <w:bookmarkStart w:id="155" w:name="_Toc232176275"/>
      <w:bookmarkStart w:id="156" w:name="_Toc68590971"/>
      <w:bookmarkStart w:id="157" w:name="_Toc230099800"/>
      <w:bookmarkStart w:id="158" w:name="_Toc256342146"/>
      <w:bookmarkStart w:id="159" w:name="_Toc249515400"/>
      <w:bookmarkStart w:id="160" w:name="_Toc177189238"/>
      <w:bookmarkStart w:id="161" w:name="_Toc249525169"/>
      <w:bookmarkStart w:id="162" w:name="_Toc177995476"/>
      <w:bookmarkStart w:id="163" w:name="_Toc232395215"/>
      <w:r>
        <w:rPr>
          <w:rFonts w:hint="default" w:ascii="Times New Roman" w:hAnsi="Times New Roman" w:eastAsia="仿宋_GB2312" w:cs="Times New Roman"/>
          <w:i w:val="0"/>
          <w:iCs w:val="0"/>
          <w:color w:val="auto"/>
          <w:sz w:val="30"/>
          <w:szCs w:val="30"/>
          <w:highlight w:val="none"/>
        </w:rPr>
        <w:t>三、响应文件的编写</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pPr>
        <w:pStyle w:val="5"/>
        <w:rPr>
          <w:rFonts w:hint="default" w:ascii="Times New Roman" w:hAnsi="Times New Roman" w:eastAsia="仿宋_GB2312" w:cs="Times New Roman"/>
          <w:b/>
          <w:i w:val="0"/>
          <w:iCs w:val="0"/>
          <w:color w:val="auto"/>
          <w:sz w:val="24"/>
          <w:szCs w:val="21"/>
          <w:highlight w:val="none"/>
        </w:rPr>
      </w:pPr>
      <w:bookmarkStart w:id="164" w:name="_Toc70687150"/>
      <w:bookmarkStart w:id="165" w:name="_Toc249525170"/>
      <w:bookmarkStart w:id="166" w:name="_Toc249515289"/>
      <w:bookmarkStart w:id="167" w:name="_Toc30150"/>
      <w:bookmarkStart w:id="168" w:name="_Toc184043023"/>
      <w:bookmarkStart w:id="169" w:name="_Toc249515401"/>
      <w:bookmarkStart w:id="170" w:name="_Toc389620176"/>
      <w:bookmarkStart w:id="171" w:name="_Toc385992337"/>
      <w:r>
        <w:rPr>
          <w:rFonts w:hint="default" w:ascii="Times New Roman" w:hAnsi="Times New Roman" w:eastAsia="仿宋_GB2312" w:cs="Times New Roman"/>
          <w:b/>
          <w:i w:val="0"/>
          <w:iCs w:val="0"/>
          <w:color w:val="auto"/>
          <w:sz w:val="24"/>
          <w:szCs w:val="21"/>
          <w:highlight w:val="none"/>
        </w:rPr>
        <w:t>8.     响应文件语言</w:t>
      </w:r>
      <w:bookmarkEnd w:id="164"/>
      <w:bookmarkEnd w:id="165"/>
      <w:bookmarkEnd w:id="166"/>
      <w:bookmarkEnd w:id="167"/>
      <w:bookmarkEnd w:id="168"/>
      <w:bookmarkEnd w:id="169"/>
    </w:p>
    <w:p>
      <w:pPr>
        <w:tabs>
          <w:tab w:val="left" w:pos="588"/>
        </w:tabs>
        <w:spacing w:line="360"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8.1    响应文件及与响应相关的所有文件均应以中文书写。</w:t>
      </w:r>
    </w:p>
    <w:p>
      <w:pPr>
        <w:pStyle w:val="5"/>
        <w:rPr>
          <w:rFonts w:hint="default" w:ascii="Times New Roman" w:hAnsi="Times New Roman" w:eastAsia="仿宋_GB2312" w:cs="Times New Roman"/>
          <w:b/>
          <w:i w:val="0"/>
          <w:iCs w:val="0"/>
          <w:color w:val="auto"/>
          <w:sz w:val="24"/>
          <w:szCs w:val="21"/>
          <w:highlight w:val="none"/>
        </w:rPr>
      </w:pPr>
      <w:bookmarkStart w:id="172" w:name="_Toc70687151"/>
      <w:bookmarkStart w:id="173" w:name="_Toc18327"/>
      <w:bookmarkStart w:id="174" w:name="_Toc249515290"/>
      <w:bookmarkStart w:id="175" w:name="_Toc184043024"/>
      <w:bookmarkStart w:id="176" w:name="_Toc249525171"/>
      <w:bookmarkStart w:id="177" w:name="_Toc249515402"/>
      <w:r>
        <w:rPr>
          <w:rFonts w:hint="default" w:ascii="Times New Roman" w:hAnsi="Times New Roman" w:eastAsia="仿宋_GB2312" w:cs="Times New Roman"/>
          <w:b/>
          <w:i w:val="0"/>
          <w:iCs w:val="0"/>
          <w:color w:val="auto"/>
          <w:sz w:val="24"/>
          <w:szCs w:val="21"/>
          <w:highlight w:val="none"/>
        </w:rPr>
        <w:t>9.     计量单位</w:t>
      </w:r>
      <w:bookmarkEnd w:id="170"/>
      <w:bookmarkEnd w:id="171"/>
      <w:bookmarkEnd w:id="172"/>
      <w:bookmarkEnd w:id="173"/>
      <w:bookmarkEnd w:id="174"/>
      <w:bookmarkEnd w:id="175"/>
      <w:bookmarkEnd w:id="176"/>
      <w:bookmarkEnd w:id="177"/>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9.1    除在磋商文件的技术规格中另有规定外，计量单位应使用中华人民共和国法定计量单位。</w:t>
      </w:r>
    </w:p>
    <w:p>
      <w:pPr>
        <w:pStyle w:val="5"/>
        <w:rPr>
          <w:rFonts w:hint="default" w:ascii="Times New Roman" w:hAnsi="Times New Roman" w:eastAsia="仿宋_GB2312" w:cs="Times New Roman"/>
          <w:b/>
          <w:i w:val="0"/>
          <w:iCs w:val="0"/>
          <w:color w:val="auto"/>
          <w:sz w:val="24"/>
          <w:szCs w:val="21"/>
          <w:highlight w:val="none"/>
        </w:rPr>
      </w:pPr>
      <w:bookmarkStart w:id="178" w:name="_Toc249515403"/>
      <w:bookmarkStart w:id="179" w:name="_Toc385992338"/>
      <w:bookmarkStart w:id="180" w:name="_Toc389620177"/>
      <w:bookmarkStart w:id="181" w:name="_Toc70687152"/>
      <w:bookmarkStart w:id="182" w:name="_Toc29318"/>
      <w:bookmarkStart w:id="183" w:name="_Toc249525172"/>
      <w:bookmarkStart w:id="184" w:name="_Toc184043025"/>
      <w:bookmarkStart w:id="185" w:name="_Toc249515291"/>
      <w:r>
        <w:rPr>
          <w:rFonts w:hint="default" w:ascii="Times New Roman" w:hAnsi="Times New Roman" w:eastAsia="仿宋_GB2312" w:cs="Times New Roman"/>
          <w:b/>
          <w:i w:val="0"/>
          <w:iCs w:val="0"/>
          <w:color w:val="auto"/>
          <w:sz w:val="24"/>
          <w:szCs w:val="21"/>
          <w:highlight w:val="none"/>
        </w:rPr>
        <w:t>10.    响应文件的组成</w:t>
      </w:r>
      <w:bookmarkEnd w:id="178"/>
      <w:bookmarkEnd w:id="179"/>
      <w:bookmarkEnd w:id="180"/>
      <w:bookmarkEnd w:id="181"/>
      <w:bookmarkEnd w:id="182"/>
      <w:bookmarkEnd w:id="183"/>
      <w:bookmarkEnd w:id="184"/>
      <w:bookmarkEnd w:id="185"/>
    </w:p>
    <w:p>
      <w:pPr>
        <w:tabs>
          <w:tab w:val="left" w:pos="588"/>
        </w:tabs>
        <w:spacing w:line="360" w:lineRule="auto"/>
        <w:ind w:left="840" w:leftChars="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10.1   供应商编写的响应文件</w:t>
      </w:r>
      <w:r>
        <w:rPr>
          <w:rFonts w:hint="default" w:ascii="Times New Roman" w:hAnsi="Times New Roman" w:eastAsia="仿宋_GB2312" w:cs="Times New Roman"/>
          <w:b/>
          <w:i w:val="0"/>
          <w:iCs w:val="0"/>
          <w:color w:val="auto"/>
          <w:sz w:val="24"/>
          <w:highlight w:val="none"/>
        </w:rPr>
        <w:t>由《资格证明文件》、《商务及技术文件》两部分</w:t>
      </w:r>
      <w:r>
        <w:rPr>
          <w:rFonts w:hint="default" w:ascii="Times New Roman" w:hAnsi="Times New Roman" w:eastAsia="仿宋_GB2312" w:cs="Times New Roman"/>
          <w:i w:val="0"/>
          <w:iCs w:val="0"/>
          <w:color w:val="auto"/>
          <w:sz w:val="24"/>
          <w:highlight w:val="none"/>
        </w:rPr>
        <w:t>组成。供应商应完整地按照磋商文件提供的响应文件格式及要求编写响应文件。响应文件中资格审查和符合性审查涉及的事项不满足要求的，其响应文件将被认定为无效。</w:t>
      </w:r>
    </w:p>
    <w:p>
      <w:pPr>
        <w:tabs>
          <w:tab w:val="left" w:pos="588"/>
        </w:tabs>
        <w:spacing w:line="360"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10.2   供应商提供的以上材料必须真实有效，任何一项的虚假将导致其响应被拒绝。</w:t>
      </w:r>
    </w:p>
    <w:p>
      <w:pPr>
        <w:pStyle w:val="5"/>
        <w:rPr>
          <w:rFonts w:hint="default" w:ascii="Times New Roman" w:hAnsi="Times New Roman" w:eastAsia="仿宋_GB2312" w:cs="Times New Roman"/>
          <w:b/>
          <w:i w:val="0"/>
          <w:iCs w:val="0"/>
          <w:color w:val="auto"/>
          <w:sz w:val="24"/>
          <w:szCs w:val="21"/>
          <w:highlight w:val="none"/>
        </w:rPr>
      </w:pPr>
      <w:bookmarkStart w:id="186" w:name="_Toc249525173"/>
      <w:bookmarkStart w:id="187" w:name="_Toc249515292"/>
      <w:bookmarkStart w:id="188" w:name="_Toc26312"/>
      <w:bookmarkStart w:id="189" w:name="_Toc184043026"/>
      <w:bookmarkStart w:id="190" w:name="_Toc385992339"/>
      <w:bookmarkStart w:id="191" w:name="_Toc249515404"/>
      <w:bookmarkStart w:id="192" w:name="_Toc389620178"/>
      <w:bookmarkStart w:id="193" w:name="_Toc70687153"/>
      <w:r>
        <w:rPr>
          <w:rFonts w:hint="default" w:ascii="Times New Roman" w:hAnsi="Times New Roman" w:eastAsia="仿宋_GB2312" w:cs="Times New Roman"/>
          <w:b/>
          <w:i w:val="0"/>
          <w:iCs w:val="0"/>
          <w:color w:val="auto"/>
          <w:sz w:val="24"/>
          <w:highlight w:val="none"/>
        </w:rPr>
        <w:t>11.    响应文件格式</w:t>
      </w:r>
      <w:bookmarkEnd w:id="186"/>
      <w:bookmarkEnd w:id="187"/>
      <w:bookmarkEnd w:id="188"/>
      <w:bookmarkEnd w:id="189"/>
      <w:bookmarkEnd w:id="190"/>
      <w:bookmarkEnd w:id="191"/>
      <w:bookmarkEnd w:id="192"/>
      <w:bookmarkEnd w:id="193"/>
    </w:p>
    <w:p>
      <w:pPr>
        <w:tabs>
          <w:tab w:val="left" w:pos="588"/>
        </w:tabs>
        <w:spacing w:line="360" w:lineRule="auto"/>
        <w:ind w:left="840" w:hanging="840" w:hangingChars="35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11.1   对于磋商文件第六章中已经提供了格式的响应文件内容，供应商必须按提供的响应文件格式进行填写和编制，没有提供格式的可自行设计。</w:t>
      </w:r>
    </w:p>
    <w:p>
      <w:pPr>
        <w:pStyle w:val="5"/>
        <w:rPr>
          <w:rFonts w:hint="default" w:ascii="Times New Roman" w:hAnsi="Times New Roman" w:eastAsia="仿宋_GB2312" w:cs="Times New Roman"/>
          <w:b/>
          <w:i w:val="0"/>
          <w:iCs w:val="0"/>
          <w:color w:val="auto"/>
          <w:sz w:val="24"/>
          <w:szCs w:val="21"/>
          <w:highlight w:val="none"/>
        </w:rPr>
      </w:pPr>
      <w:bookmarkStart w:id="194" w:name="_Toc26688"/>
      <w:r>
        <w:rPr>
          <w:rFonts w:hint="default" w:ascii="Times New Roman" w:hAnsi="Times New Roman" w:eastAsia="仿宋_GB2312" w:cs="Times New Roman"/>
          <w:b/>
          <w:i w:val="0"/>
          <w:iCs w:val="0"/>
          <w:color w:val="auto"/>
          <w:sz w:val="24"/>
          <w:szCs w:val="21"/>
          <w:highlight w:val="none"/>
        </w:rPr>
        <w:t>12.    响应报价</w:t>
      </w:r>
      <w:bookmarkEnd w:id="194"/>
    </w:p>
    <w:p>
      <w:pPr>
        <w:tabs>
          <w:tab w:val="left" w:pos="0"/>
          <w:tab w:val="left" w:pos="540"/>
          <w:tab w:val="left" w:pos="720"/>
        </w:tabs>
        <w:spacing w:line="360" w:lineRule="auto"/>
        <w:ind w:left="840" w:hanging="840" w:hangingChars="350"/>
        <w:rPr>
          <w:rFonts w:hint="default" w:ascii="Times New Roman" w:hAnsi="Times New Roman" w:eastAsia="仿宋_GB2312" w:cs="Times New Roman"/>
          <w:i w:val="0"/>
          <w:iCs w:val="0"/>
          <w:color w:val="auto"/>
          <w:highlight w:val="none"/>
        </w:rPr>
      </w:pPr>
      <w:r>
        <w:rPr>
          <w:rFonts w:hint="default" w:ascii="Times New Roman" w:hAnsi="Times New Roman" w:eastAsia="仿宋_GB2312" w:cs="Times New Roman"/>
          <w:i w:val="0"/>
          <w:iCs w:val="0"/>
          <w:color w:val="auto"/>
          <w:kern w:val="24"/>
          <w:sz w:val="24"/>
          <w:szCs w:val="21"/>
          <w:highlight w:val="none"/>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hint="default" w:ascii="Times New Roman" w:hAnsi="Times New Roman" w:eastAsia="仿宋_GB2312" w:cs="Times New Roman"/>
          <w:b/>
          <w:i w:val="0"/>
          <w:iCs w:val="0"/>
          <w:color w:val="auto"/>
          <w:kern w:val="24"/>
          <w:sz w:val="24"/>
          <w:szCs w:val="21"/>
          <w:highlight w:val="none"/>
        </w:rPr>
        <w:t>供应商须知前附表。</w:t>
      </w:r>
    </w:p>
    <w:p>
      <w:pPr>
        <w:tabs>
          <w:tab w:val="left" w:pos="540"/>
          <w:tab w:val="left" w:pos="840"/>
        </w:tabs>
        <w:spacing w:line="360" w:lineRule="auto"/>
        <w:ind w:left="840" w:hanging="840" w:hangingChars="35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12.2   供应商应在响应分项报价表中详细列出所报货物和</w:t>
      </w:r>
      <w:r>
        <w:rPr>
          <w:rFonts w:hint="default" w:ascii="Times New Roman" w:hAnsi="Times New Roman" w:eastAsia="仿宋_GB2312" w:cs="Times New Roman"/>
          <w:i w:val="0"/>
          <w:iCs w:val="0"/>
          <w:color w:val="auto"/>
          <w:sz w:val="24"/>
          <w:highlight w:val="none"/>
        </w:rPr>
        <w:t>服务</w:t>
      </w:r>
      <w:r>
        <w:rPr>
          <w:rFonts w:hint="default" w:ascii="Times New Roman" w:hAnsi="Times New Roman" w:eastAsia="仿宋_GB2312" w:cs="Times New Roman"/>
          <w:i w:val="0"/>
          <w:iCs w:val="0"/>
          <w:color w:val="auto"/>
          <w:kern w:val="24"/>
          <w:sz w:val="24"/>
          <w:szCs w:val="21"/>
          <w:highlight w:val="none"/>
        </w:rPr>
        <w:t>的单价（如适用）和总价，并由法定代表人或其授权代表签署并加盖公章。响应分项报价表上的价格应按磋商文件第六章的格式填写。</w:t>
      </w:r>
    </w:p>
    <w:p>
      <w:pPr>
        <w:tabs>
          <w:tab w:val="left" w:pos="180"/>
          <w:tab w:val="left" w:pos="540"/>
        </w:tabs>
        <w:spacing w:line="360" w:lineRule="auto"/>
        <w:ind w:left="840" w:hanging="840" w:hangingChars="35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pPr>
        <w:tabs>
          <w:tab w:val="left" w:pos="180"/>
          <w:tab w:val="left" w:pos="540"/>
        </w:tabs>
        <w:spacing w:line="360" w:lineRule="auto"/>
        <w:ind w:left="840" w:hanging="840" w:hangingChars="35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12.4   供应商的所报单价在合同执行过程中是固定不变的，未经采购人许可不得以任何理由予以变更。以可调整的价格提交的响应文件将作为非实质性响应而予以拒绝。</w:t>
      </w:r>
    </w:p>
    <w:p>
      <w:pPr>
        <w:tabs>
          <w:tab w:val="left" w:pos="588"/>
        </w:tabs>
        <w:spacing w:line="360" w:lineRule="auto"/>
        <w:ind w:left="840" w:hanging="840" w:hangingChars="35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12.5   供应商每次对每种</w:t>
      </w:r>
      <w:r>
        <w:rPr>
          <w:rFonts w:hint="default" w:ascii="Times New Roman" w:hAnsi="Times New Roman" w:eastAsia="仿宋_GB2312" w:cs="Times New Roman"/>
          <w:i w:val="0"/>
          <w:iCs w:val="0"/>
          <w:color w:val="auto"/>
          <w:kern w:val="24"/>
          <w:sz w:val="24"/>
          <w:szCs w:val="21"/>
          <w:highlight w:val="none"/>
          <w:u w:val="single"/>
        </w:rPr>
        <w:t xml:space="preserve"> 服务（或工程、或产品）</w:t>
      </w:r>
      <w:r>
        <w:rPr>
          <w:rFonts w:hint="default" w:ascii="Times New Roman" w:hAnsi="Times New Roman" w:eastAsia="仿宋_GB2312" w:cs="Times New Roman"/>
          <w:i w:val="0"/>
          <w:iCs w:val="0"/>
          <w:color w:val="auto"/>
          <w:kern w:val="24"/>
          <w:sz w:val="24"/>
          <w:szCs w:val="21"/>
          <w:highlight w:val="none"/>
        </w:rPr>
        <w:t>只允许有一个报价，采购人不接受有任何选择的报价。</w:t>
      </w:r>
    </w:p>
    <w:p>
      <w:pPr>
        <w:tabs>
          <w:tab w:val="left" w:pos="180"/>
          <w:tab w:val="left" w:pos="540"/>
        </w:tabs>
        <w:spacing w:line="360" w:lineRule="auto"/>
        <w:ind w:left="840" w:hanging="840" w:hangingChars="35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sz w:val="24"/>
          <w:highlight w:val="none"/>
        </w:rPr>
        <w:t>12.6   供应商根据本须知12.2条规定将响应报价分成几部分并按</w:t>
      </w:r>
      <w:r>
        <w:rPr>
          <w:rFonts w:hint="default" w:ascii="Times New Roman" w:hAnsi="Times New Roman" w:eastAsia="仿宋_GB2312" w:cs="Times New Roman"/>
          <w:i w:val="0"/>
          <w:iCs w:val="0"/>
          <w:color w:val="auto"/>
          <w:kern w:val="24"/>
          <w:sz w:val="24"/>
          <w:szCs w:val="21"/>
          <w:highlight w:val="none"/>
        </w:rPr>
        <w:t>磋商文件第六章提供的格式填写“响应分项报价表”，只是为了方便采购人对响应文件进行比较，并不限制采购人以其它方式签订合同的权力。</w:t>
      </w:r>
    </w:p>
    <w:p>
      <w:pPr>
        <w:pStyle w:val="5"/>
        <w:rPr>
          <w:rFonts w:hint="default" w:ascii="Times New Roman" w:hAnsi="Times New Roman" w:eastAsia="仿宋_GB2312" w:cs="Times New Roman"/>
          <w:b/>
          <w:i w:val="0"/>
          <w:iCs w:val="0"/>
          <w:color w:val="auto"/>
          <w:sz w:val="24"/>
          <w:szCs w:val="21"/>
          <w:highlight w:val="none"/>
        </w:rPr>
      </w:pPr>
      <w:bookmarkStart w:id="195" w:name="_Toc385992341"/>
      <w:bookmarkStart w:id="196" w:name="_Toc184043028"/>
      <w:bookmarkStart w:id="197" w:name="_Toc249515294"/>
      <w:bookmarkStart w:id="198" w:name="_Toc249525175"/>
      <w:bookmarkStart w:id="199" w:name="_Toc249515406"/>
      <w:bookmarkStart w:id="200" w:name="_Toc389620180"/>
      <w:bookmarkStart w:id="201" w:name="_Toc70687155"/>
      <w:bookmarkStart w:id="202" w:name="_Toc20687"/>
      <w:r>
        <w:rPr>
          <w:rFonts w:hint="default" w:ascii="Times New Roman" w:hAnsi="Times New Roman" w:eastAsia="仿宋_GB2312" w:cs="Times New Roman"/>
          <w:b/>
          <w:i w:val="0"/>
          <w:iCs w:val="0"/>
          <w:color w:val="auto"/>
          <w:sz w:val="24"/>
          <w:szCs w:val="21"/>
          <w:highlight w:val="none"/>
        </w:rPr>
        <w:t>13.    报价货币</w:t>
      </w:r>
      <w:bookmarkEnd w:id="195"/>
      <w:bookmarkEnd w:id="196"/>
      <w:bookmarkEnd w:id="197"/>
      <w:bookmarkEnd w:id="198"/>
      <w:bookmarkEnd w:id="199"/>
      <w:bookmarkEnd w:id="200"/>
      <w:bookmarkEnd w:id="201"/>
      <w:bookmarkEnd w:id="202"/>
    </w:p>
    <w:p>
      <w:pPr>
        <w:tabs>
          <w:tab w:val="left" w:pos="180"/>
          <w:tab w:val="left" w:pos="540"/>
        </w:tabs>
        <w:spacing w:line="360" w:lineRule="auto"/>
        <w:ind w:left="840" w:hanging="840" w:hangingChars="35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12.3   磋商响应函、响应报价一览表、响应分项报价表、最后报价表等所有报价一律用人民币填报。采购人不接受任何非人民币币种的报价。</w:t>
      </w:r>
      <w:bookmarkStart w:id="203" w:name="_Toc385992342"/>
      <w:bookmarkStart w:id="204" w:name="_Toc389620181"/>
    </w:p>
    <w:bookmarkEnd w:id="203"/>
    <w:bookmarkEnd w:id="204"/>
    <w:p>
      <w:pPr>
        <w:pStyle w:val="5"/>
        <w:rPr>
          <w:rFonts w:hint="default" w:ascii="Times New Roman" w:hAnsi="Times New Roman" w:eastAsia="仿宋_GB2312" w:cs="Times New Roman"/>
          <w:b/>
          <w:i w:val="0"/>
          <w:iCs w:val="0"/>
          <w:color w:val="auto"/>
          <w:kern w:val="24"/>
          <w:sz w:val="24"/>
          <w:szCs w:val="21"/>
          <w:highlight w:val="none"/>
        </w:rPr>
      </w:pPr>
      <w:bookmarkStart w:id="205" w:name="止观"/>
      <w:bookmarkEnd w:id="205"/>
      <w:r>
        <w:rPr>
          <w:rFonts w:hint="default" w:ascii="Times New Roman" w:hAnsi="Times New Roman" w:eastAsia="仿宋_GB2312" w:cs="Times New Roman"/>
          <w:b/>
          <w:i w:val="0"/>
          <w:iCs w:val="0"/>
          <w:color w:val="auto"/>
          <w:sz w:val="24"/>
          <w:szCs w:val="21"/>
          <w:highlight w:val="none"/>
        </w:rPr>
        <w:t>14.    磋商保证金</w:t>
      </w:r>
    </w:p>
    <w:p>
      <w:pPr>
        <w:tabs>
          <w:tab w:val="left" w:pos="588"/>
        </w:tabs>
        <w:spacing w:line="360" w:lineRule="auto"/>
        <w:ind w:left="840" w:hanging="840" w:hangingChars="35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sz w:val="24"/>
          <w:szCs w:val="21"/>
          <w:highlight w:val="none"/>
        </w:rPr>
        <w:t>14.1   本项目须在磋商前向采购代理机构提供</w:t>
      </w:r>
      <w:r>
        <w:rPr>
          <w:rFonts w:hint="default" w:ascii="Times New Roman" w:hAnsi="Times New Roman" w:eastAsia="仿宋_GB2312" w:cs="Times New Roman"/>
          <w:b/>
          <w:i w:val="0"/>
          <w:iCs w:val="0"/>
          <w:color w:val="auto"/>
          <w:sz w:val="24"/>
          <w:szCs w:val="21"/>
          <w:highlight w:val="none"/>
        </w:rPr>
        <w:t>供应商须知前附表</w:t>
      </w:r>
      <w:r>
        <w:rPr>
          <w:rFonts w:hint="default" w:ascii="Times New Roman" w:hAnsi="Times New Roman" w:eastAsia="仿宋_GB2312" w:cs="Times New Roman"/>
          <w:i w:val="0"/>
          <w:iCs w:val="0"/>
          <w:color w:val="auto"/>
          <w:sz w:val="24"/>
          <w:szCs w:val="21"/>
          <w:highlight w:val="none"/>
        </w:rPr>
        <w:t>规定金额的保证金，并作为其响应文件的一部分。</w:t>
      </w:r>
    </w:p>
    <w:p>
      <w:pPr>
        <w:tabs>
          <w:tab w:val="left" w:pos="588"/>
        </w:tabs>
        <w:spacing w:line="360" w:lineRule="auto"/>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14.2   保证金的货币为人民币，并采用下列任何一种非现金形式向采购代理机构递交：</w:t>
      </w:r>
    </w:p>
    <w:p>
      <w:pPr>
        <w:numPr>
          <w:ilvl w:val="0"/>
          <w:numId w:val="7"/>
        </w:numPr>
        <w:tabs>
          <w:tab w:val="left" w:pos="588"/>
        </w:tabs>
        <w:spacing w:line="360" w:lineRule="auto"/>
        <w:ind w:hanging="5"/>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电汇；</w:t>
      </w:r>
    </w:p>
    <w:p>
      <w:pPr>
        <w:numPr>
          <w:ilvl w:val="0"/>
          <w:numId w:val="7"/>
        </w:numPr>
        <w:tabs>
          <w:tab w:val="left" w:pos="588"/>
        </w:tabs>
        <w:spacing w:line="360" w:lineRule="auto"/>
        <w:ind w:hanging="5"/>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银行转账；</w:t>
      </w:r>
    </w:p>
    <w:p>
      <w:pPr>
        <w:numPr>
          <w:ilvl w:val="0"/>
          <w:numId w:val="7"/>
        </w:numPr>
        <w:tabs>
          <w:tab w:val="left" w:pos="588"/>
        </w:tabs>
        <w:spacing w:line="360" w:lineRule="auto"/>
        <w:ind w:hanging="5"/>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支票、汇票、本票、金融机构或担保机构出具的保函等非现金形式。</w:t>
      </w:r>
    </w:p>
    <w:p>
      <w:pPr>
        <w:tabs>
          <w:tab w:val="left" w:pos="588"/>
        </w:tabs>
        <w:spacing w:line="360" w:lineRule="auto"/>
        <w:ind w:left="840" w:hanging="840" w:hangingChars="35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14.3   保证金以保函形式交纳的，供应商须按磋商文件附件1格式和内容开具保函，并将保函原件附在磋商响应文件中或随磋商响应文件同时递交，否则视为无效文件。联合体参加磋商的，可以由联合体中的一方或者共同提交保证金，以一方提交保证金的，对联合体各方均具有约束力。</w:t>
      </w:r>
    </w:p>
    <w:p>
      <w:pPr>
        <w:tabs>
          <w:tab w:val="left" w:pos="588"/>
        </w:tabs>
        <w:spacing w:line="360" w:lineRule="auto"/>
        <w:ind w:left="840" w:hanging="840" w:hangingChars="35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14.4   凡没有根据本须知第14.1条的规定随附保证金的响应文件，将被视为非响应性予以拒绝。</w:t>
      </w:r>
    </w:p>
    <w:p>
      <w:pPr>
        <w:tabs>
          <w:tab w:val="left" w:pos="588"/>
        </w:tabs>
        <w:spacing w:line="360" w:lineRule="auto"/>
        <w:ind w:left="840" w:hanging="840" w:hangingChars="35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14.5   未成交供应商的保证金, 采购代理机构将在成交通知书发出后5个工作日内退还。</w:t>
      </w:r>
    </w:p>
    <w:p>
      <w:pPr>
        <w:tabs>
          <w:tab w:val="left" w:pos="588"/>
        </w:tabs>
        <w:spacing w:line="360" w:lineRule="auto"/>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14.6   成交供应商的保证金在按本须知第26条规定签订合同后5个工作日退还。</w:t>
      </w:r>
    </w:p>
    <w:p>
      <w:pPr>
        <w:tabs>
          <w:tab w:val="left" w:pos="588"/>
        </w:tabs>
        <w:spacing w:line="360" w:lineRule="auto"/>
        <w:ind w:left="840" w:hanging="840" w:hangingChars="350"/>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14.7   成交供应商有下列情形之一的，采购代理机构不予退还其交纳的保证金，并在项目财政主管部门备案；情节严重的，由财政部门将其列入不良行为纪录名单予以通报，在一至三年内禁止参加政府采购活动：</w:t>
      </w:r>
    </w:p>
    <w:p>
      <w:pPr>
        <w:numPr>
          <w:ilvl w:val="0"/>
          <w:numId w:val="8"/>
        </w:numPr>
        <w:tabs>
          <w:tab w:val="left" w:pos="588"/>
        </w:tabs>
        <w:spacing w:line="360" w:lineRule="auto"/>
        <w:ind w:hanging="5"/>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供应商在提交响应文件截止时间后撤销响应文件的；</w:t>
      </w:r>
    </w:p>
    <w:p>
      <w:pPr>
        <w:numPr>
          <w:ilvl w:val="0"/>
          <w:numId w:val="8"/>
        </w:numPr>
        <w:tabs>
          <w:tab w:val="left" w:pos="588"/>
        </w:tabs>
        <w:spacing w:line="360" w:lineRule="auto"/>
        <w:ind w:hanging="5"/>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供应商在响应文件中提供虚假材料的；</w:t>
      </w:r>
    </w:p>
    <w:p>
      <w:pPr>
        <w:numPr>
          <w:ilvl w:val="0"/>
          <w:numId w:val="8"/>
        </w:numPr>
        <w:tabs>
          <w:tab w:val="left" w:pos="588"/>
        </w:tabs>
        <w:spacing w:line="360" w:lineRule="auto"/>
        <w:ind w:hanging="5"/>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 xml:space="preserve">除因不可抗力外，成交供应商在规定期限内未能根据本须知第26条规定签订合同； </w:t>
      </w:r>
    </w:p>
    <w:p>
      <w:pPr>
        <w:numPr>
          <w:ilvl w:val="0"/>
          <w:numId w:val="8"/>
        </w:numPr>
        <w:tabs>
          <w:tab w:val="left" w:pos="588"/>
        </w:tabs>
        <w:spacing w:line="360" w:lineRule="auto"/>
        <w:ind w:hanging="5"/>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供应商与采购人、其他供应商或者采购代理机构恶意串通的；</w:t>
      </w:r>
    </w:p>
    <w:p>
      <w:pPr>
        <w:numPr>
          <w:ilvl w:val="0"/>
          <w:numId w:val="8"/>
        </w:numPr>
        <w:tabs>
          <w:tab w:val="left" w:pos="588"/>
        </w:tabs>
        <w:spacing w:line="360" w:lineRule="auto"/>
        <w:ind w:hanging="5"/>
        <w:rPr>
          <w:rFonts w:hint="default" w:ascii="Times New Roman" w:hAnsi="Times New Roman" w:eastAsia="仿宋_GB2312" w:cs="Times New Roman"/>
          <w:i w:val="0"/>
          <w:iCs w:val="0"/>
          <w:color w:val="auto"/>
          <w:kern w:val="24"/>
          <w:sz w:val="24"/>
          <w:szCs w:val="21"/>
          <w:highlight w:val="none"/>
        </w:rPr>
      </w:pPr>
      <w:r>
        <w:rPr>
          <w:rFonts w:hint="default" w:ascii="Times New Roman" w:hAnsi="Times New Roman" w:eastAsia="仿宋_GB2312" w:cs="Times New Roman"/>
          <w:i w:val="0"/>
          <w:iCs w:val="0"/>
          <w:color w:val="auto"/>
          <w:kern w:val="24"/>
          <w:sz w:val="24"/>
          <w:szCs w:val="21"/>
          <w:highlight w:val="none"/>
        </w:rPr>
        <w:t>成交供应商未按本须知第29条规定缴纳服务费。</w:t>
      </w:r>
    </w:p>
    <w:p>
      <w:pPr>
        <w:pStyle w:val="5"/>
        <w:rPr>
          <w:rFonts w:hint="default" w:ascii="Times New Roman" w:hAnsi="Times New Roman" w:eastAsia="仿宋_GB2312" w:cs="Times New Roman"/>
          <w:b/>
          <w:i w:val="0"/>
          <w:iCs w:val="0"/>
          <w:color w:val="auto"/>
          <w:sz w:val="24"/>
          <w:szCs w:val="21"/>
          <w:highlight w:val="none"/>
        </w:rPr>
      </w:pPr>
      <w:bookmarkStart w:id="206" w:name="_Toc249515408"/>
      <w:bookmarkStart w:id="207" w:name="_Toc249525177"/>
      <w:bookmarkStart w:id="208" w:name="_Toc249515296"/>
      <w:bookmarkStart w:id="209" w:name="_Toc7949"/>
      <w:r>
        <w:rPr>
          <w:rFonts w:hint="default" w:ascii="Times New Roman" w:hAnsi="Times New Roman" w:eastAsia="仿宋_GB2312" w:cs="Times New Roman"/>
          <w:b/>
          <w:i w:val="0"/>
          <w:iCs w:val="0"/>
          <w:color w:val="auto"/>
          <w:sz w:val="24"/>
          <w:szCs w:val="21"/>
          <w:highlight w:val="none"/>
        </w:rPr>
        <w:t>15.    磋商有效期</w:t>
      </w:r>
      <w:bookmarkEnd w:id="206"/>
      <w:bookmarkEnd w:id="207"/>
      <w:bookmarkEnd w:id="208"/>
      <w:bookmarkEnd w:id="209"/>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15.1   磋商有效期见</w:t>
      </w:r>
      <w:r>
        <w:rPr>
          <w:rFonts w:hint="default" w:ascii="Times New Roman" w:hAnsi="Times New Roman" w:eastAsia="仿宋_GB2312" w:cs="Times New Roman"/>
          <w:b/>
          <w:i w:val="0"/>
          <w:iCs w:val="0"/>
          <w:color w:val="auto"/>
          <w:sz w:val="24"/>
          <w:highlight w:val="none"/>
        </w:rPr>
        <w:t>本须知前附表</w:t>
      </w:r>
      <w:r>
        <w:rPr>
          <w:rFonts w:hint="default" w:ascii="Times New Roman" w:hAnsi="Times New Roman" w:eastAsia="仿宋_GB2312" w:cs="Times New Roman"/>
          <w:i w:val="0"/>
          <w:iCs w:val="0"/>
          <w:color w:val="auto"/>
          <w:sz w:val="24"/>
          <w:highlight w:val="none"/>
        </w:rPr>
        <w:t>。在磋商有效期内，所有响应文件均保持有效。响应文件的有效期比本须知规定的有效期短的，将被视为非实质响应，采购人有权拒绝。</w:t>
      </w:r>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15.2   特殊情况下，采购人可于原磋商有效期满之前要求供应商同意延长有效期，要求与答复均应为书面形式。供应商可以拒绝上述要求，其投标保证金不被没收。对于同意该要求的供应商，既不要求也不允许其修改响应文件，但将要求其相应延长磋商保证金的有效期，有关退还和保证金不予退还的规定在磋商有效期的延长期内继续有效。</w:t>
      </w:r>
    </w:p>
    <w:p>
      <w:pPr>
        <w:pStyle w:val="5"/>
        <w:rPr>
          <w:rFonts w:hint="default" w:ascii="Times New Roman" w:hAnsi="Times New Roman" w:eastAsia="仿宋_GB2312" w:cs="Times New Roman"/>
          <w:b/>
          <w:i w:val="0"/>
          <w:iCs w:val="0"/>
          <w:color w:val="auto"/>
          <w:sz w:val="24"/>
          <w:szCs w:val="21"/>
          <w:highlight w:val="none"/>
        </w:rPr>
      </w:pPr>
      <w:bookmarkStart w:id="210" w:name="_Toc249525178"/>
      <w:bookmarkStart w:id="211" w:name="_Toc385992346"/>
      <w:bookmarkStart w:id="212" w:name="_Toc249515297"/>
      <w:bookmarkStart w:id="213" w:name="_Toc16612"/>
      <w:bookmarkStart w:id="214" w:name="_Toc389620185"/>
      <w:bookmarkStart w:id="215" w:name="_Toc70687160"/>
      <w:bookmarkStart w:id="216" w:name="_Toc249515409"/>
      <w:bookmarkStart w:id="217" w:name="_Toc184043033"/>
      <w:r>
        <w:rPr>
          <w:rFonts w:hint="default" w:ascii="Times New Roman" w:hAnsi="Times New Roman" w:eastAsia="仿宋_GB2312" w:cs="Times New Roman"/>
          <w:b/>
          <w:i w:val="0"/>
          <w:iCs w:val="0"/>
          <w:color w:val="auto"/>
          <w:sz w:val="24"/>
          <w:szCs w:val="21"/>
          <w:highlight w:val="none"/>
        </w:rPr>
        <w:t>16.    响应文件的制作和签署</w:t>
      </w:r>
      <w:bookmarkEnd w:id="210"/>
      <w:bookmarkEnd w:id="211"/>
      <w:bookmarkEnd w:id="212"/>
      <w:bookmarkEnd w:id="213"/>
      <w:bookmarkEnd w:id="214"/>
      <w:bookmarkEnd w:id="215"/>
      <w:bookmarkEnd w:id="216"/>
      <w:bookmarkEnd w:id="217"/>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16.1   供应商应准备一份响应文件正本和“</w:t>
      </w:r>
      <w:r>
        <w:rPr>
          <w:rFonts w:hint="default" w:ascii="Times New Roman" w:hAnsi="Times New Roman" w:eastAsia="仿宋_GB2312" w:cs="Times New Roman"/>
          <w:b/>
          <w:i w:val="0"/>
          <w:iCs w:val="0"/>
          <w:color w:val="auto"/>
          <w:sz w:val="24"/>
          <w:highlight w:val="none"/>
        </w:rPr>
        <w:t>供应商须知前附表</w:t>
      </w:r>
      <w:r>
        <w:rPr>
          <w:rFonts w:hint="default" w:ascii="Times New Roman" w:hAnsi="Times New Roman" w:eastAsia="仿宋_GB2312" w:cs="Times New Roman"/>
          <w:i w:val="0"/>
          <w:iCs w:val="0"/>
          <w:color w:val="auto"/>
          <w:sz w:val="24"/>
          <w:highlight w:val="none"/>
        </w:rPr>
        <w:t>”中规定数目的副本，每套响应文件须清楚地标明“正本”、“副本”。若正本和副本不符，以正本为准。</w:t>
      </w:r>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16.2   响应文件须用中文编写，并采用A4纸张装订成册。装订须牢固，不易拆散和换页，采用软胶装，不得采用活页方式装订，封面不建议硬装。</w:t>
      </w:r>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16.3   响应文件的正本，一律用不褪色的墨水书写或打印，签字页加盖供应商单位公章，并由供应商的法定代表人或其授权的代理人签署。响应文件的副本可采用正本的复印件。</w:t>
      </w:r>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16.4   任何行间插字、涂改或增删，必须由响应文件签字人将姓或首字母在旁边签字才有效。</w:t>
      </w:r>
    </w:p>
    <w:p>
      <w:pPr>
        <w:tabs>
          <w:tab w:val="left" w:pos="588"/>
        </w:tabs>
        <w:spacing w:line="360"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16.5   采购人不接受以电报、电话、传真、电子邮件形式递交的响应文件。</w:t>
      </w:r>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16.6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bookmarkStart w:id="218" w:name="_Hlt491765640"/>
      <w:bookmarkEnd w:id="218"/>
      <w:bookmarkStart w:id="219" w:name="_Toc177189239"/>
      <w:bookmarkStart w:id="220" w:name="_Toc496324583"/>
      <w:bookmarkStart w:id="221" w:name="_Toc503063426"/>
      <w:bookmarkStart w:id="222" w:name="_Toc499711047"/>
      <w:bookmarkStart w:id="223" w:name="_Toc500747066"/>
      <w:bookmarkStart w:id="224" w:name="_Toc385992347"/>
      <w:bookmarkStart w:id="225" w:name="_Toc492955419"/>
      <w:bookmarkStart w:id="226" w:name="_Toc230583545"/>
      <w:bookmarkStart w:id="227" w:name="_Toc230013636"/>
      <w:bookmarkStart w:id="228" w:name="_Toc249515410"/>
      <w:bookmarkStart w:id="229" w:name="_Toc184043034"/>
      <w:bookmarkStart w:id="230" w:name="_Toc232395216"/>
      <w:bookmarkStart w:id="231" w:name="_Toc500747193"/>
      <w:bookmarkStart w:id="232" w:name="_Toc256342147"/>
      <w:bookmarkStart w:id="233" w:name="_Toc232176276"/>
      <w:bookmarkStart w:id="234" w:name="_Toc499711888"/>
      <w:bookmarkStart w:id="235" w:name="_Toc176882546"/>
      <w:bookmarkStart w:id="236" w:name="_Toc230099801"/>
      <w:bookmarkStart w:id="237" w:name="_Toc70687161"/>
      <w:bookmarkStart w:id="238" w:name="_Toc249515298"/>
      <w:bookmarkStart w:id="239" w:name="_Toc53722844"/>
      <w:bookmarkStart w:id="240" w:name="_Toc249525179"/>
      <w:bookmarkStart w:id="241" w:name="_Toc389620186"/>
      <w:bookmarkStart w:id="242" w:name="_Toc177817338"/>
      <w:bookmarkStart w:id="243" w:name="_Toc177995477"/>
      <w:bookmarkStart w:id="244" w:name="_Toc500746970"/>
      <w:r>
        <w:rPr>
          <w:rFonts w:hint="default" w:ascii="Times New Roman" w:hAnsi="Times New Roman" w:eastAsia="仿宋_GB2312" w:cs="Times New Roman"/>
          <w:i w:val="0"/>
          <w:iCs w:val="0"/>
          <w:color w:val="auto"/>
          <w:sz w:val="24"/>
          <w:highlight w:val="none"/>
        </w:rPr>
        <w:t>16.7   响应文件应按照“资格证明文件”和“商务及技术文件”分成两部分，并用不可拆装的方式分别装订成册。</w:t>
      </w:r>
    </w:p>
    <w:p>
      <w:pPr>
        <w:pStyle w:val="22"/>
        <w:rPr>
          <w:rFonts w:hint="default"/>
          <w:highlight w:val="none"/>
        </w:rPr>
      </w:pPr>
    </w:p>
    <w:p>
      <w:pPr>
        <w:pStyle w:val="77"/>
        <w:spacing w:before="24" w:after="24"/>
        <w:jc w:val="center"/>
        <w:rPr>
          <w:rFonts w:hint="default" w:ascii="Times New Roman" w:hAnsi="Times New Roman" w:eastAsia="仿宋_GB2312" w:cs="Times New Roman"/>
          <w:i w:val="0"/>
          <w:iCs w:val="0"/>
          <w:color w:val="auto"/>
          <w:sz w:val="30"/>
          <w:szCs w:val="30"/>
          <w:highlight w:val="none"/>
        </w:rPr>
      </w:pPr>
      <w:bookmarkStart w:id="245" w:name="_Toc68590972"/>
      <w:r>
        <w:rPr>
          <w:rFonts w:hint="default" w:ascii="Times New Roman" w:hAnsi="Times New Roman" w:eastAsia="仿宋_GB2312" w:cs="Times New Roman"/>
          <w:i w:val="0"/>
          <w:iCs w:val="0"/>
          <w:color w:val="auto"/>
          <w:sz w:val="30"/>
          <w:szCs w:val="30"/>
          <w:highlight w:val="none"/>
        </w:rPr>
        <w:t>四、响应文件的密封和递交</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pPr>
        <w:rPr>
          <w:rFonts w:hint="default" w:ascii="Times New Roman" w:hAnsi="Times New Roman" w:eastAsia="仿宋_GB2312" w:cs="Times New Roman"/>
          <w:i w:val="0"/>
          <w:iCs w:val="0"/>
          <w:color w:val="auto"/>
          <w:highlight w:val="none"/>
        </w:rPr>
      </w:pPr>
    </w:p>
    <w:p>
      <w:pPr>
        <w:pStyle w:val="5"/>
        <w:rPr>
          <w:rFonts w:hint="default" w:ascii="Times New Roman" w:hAnsi="Times New Roman" w:eastAsia="仿宋_GB2312" w:cs="Times New Roman"/>
          <w:b/>
          <w:i w:val="0"/>
          <w:iCs w:val="0"/>
          <w:color w:val="auto"/>
          <w:sz w:val="24"/>
          <w:szCs w:val="21"/>
          <w:highlight w:val="none"/>
        </w:rPr>
      </w:pPr>
      <w:bookmarkStart w:id="246" w:name="_Toc249515411"/>
      <w:bookmarkStart w:id="247" w:name="_Toc249515299"/>
      <w:bookmarkStart w:id="248" w:name="_Toc70687162"/>
      <w:bookmarkStart w:id="249" w:name="_Toc4042"/>
      <w:bookmarkStart w:id="250" w:name="_Toc385992348"/>
      <w:bookmarkStart w:id="251" w:name="_Toc249525180"/>
      <w:bookmarkStart w:id="252" w:name="_Toc184043035"/>
      <w:bookmarkStart w:id="253" w:name="_Toc389620187"/>
      <w:r>
        <w:rPr>
          <w:rFonts w:hint="default" w:ascii="Times New Roman" w:hAnsi="Times New Roman" w:eastAsia="仿宋_GB2312" w:cs="Times New Roman"/>
          <w:b/>
          <w:i w:val="0"/>
          <w:iCs w:val="0"/>
          <w:color w:val="auto"/>
          <w:sz w:val="24"/>
          <w:szCs w:val="21"/>
          <w:highlight w:val="none"/>
        </w:rPr>
        <w:t>17.    响应文件的密封和标记</w:t>
      </w:r>
      <w:bookmarkEnd w:id="246"/>
      <w:bookmarkEnd w:id="247"/>
      <w:bookmarkEnd w:id="248"/>
      <w:bookmarkEnd w:id="249"/>
      <w:bookmarkEnd w:id="250"/>
      <w:bookmarkEnd w:id="251"/>
      <w:bookmarkEnd w:id="252"/>
      <w:bookmarkEnd w:id="253"/>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bookmarkStart w:id="254" w:name="_Toc389620188"/>
      <w:bookmarkStart w:id="255" w:name="_Toc385992349"/>
      <w:bookmarkStart w:id="256" w:name="_Toc184043036"/>
      <w:bookmarkStart w:id="257" w:name="_Toc70687163"/>
      <w:r>
        <w:rPr>
          <w:rFonts w:hint="default" w:ascii="Times New Roman" w:hAnsi="Times New Roman" w:eastAsia="仿宋_GB2312" w:cs="Times New Roman"/>
          <w:i w:val="0"/>
          <w:iCs w:val="0"/>
          <w:color w:val="auto"/>
          <w:kern w:val="0"/>
          <w:sz w:val="24"/>
          <w:szCs w:val="21"/>
          <w:highlight w:val="none"/>
        </w:rPr>
        <w:t>17.1   供应商应将响应文件“资格证明文件”和“商务及技术文件”分别密封在两个密封袋（箱）中，并在密封袋（箱）上标明“资格证明文件”和“商务及技术文件”字样，封口处应加盖公章或授权代表签字。</w:t>
      </w:r>
    </w:p>
    <w:p>
      <w:pPr>
        <w:tabs>
          <w:tab w:val="left" w:pos="588"/>
        </w:tabs>
        <w:autoSpaceDE w:val="0"/>
        <w:autoSpaceDN w:val="0"/>
        <w:adjustRightInd w:val="0"/>
        <w:spacing w:line="360" w:lineRule="auto"/>
        <w:ind w:left="840" w:hanging="840" w:hangingChars="350"/>
        <w:rPr>
          <w:rFonts w:hint="default" w:ascii="Times New Roman" w:hAnsi="Times New Roman" w:eastAsia="仿宋_GB2312" w:cs="Times New Roman"/>
          <w:i w:val="0"/>
          <w:iCs w:val="0"/>
          <w:color w:val="auto"/>
          <w:sz w:val="24"/>
          <w:szCs w:val="21"/>
          <w:highlight w:val="none"/>
        </w:rPr>
      </w:pPr>
      <w:r>
        <w:rPr>
          <w:rFonts w:hint="default" w:ascii="Times New Roman" w:hAnsi="Times New Roman" w:eastAsia="仿宋_GB2312" w:cs="Times New Roman"/>
          <w:i w:val="0"/>
          <w:iCs w:val="0"/>
          <w:color w:val="auto"/>
          <w:kern w:val="0"/>
          <w:sz w:val="24"/>
          <w:szCs w:val="21"/>
          <w:highlight w:val="none"/>
        </w:rPr>
        <w:t>17.2   密封袋（箱）上标识的内容见</w:t>
      </w:r>
      <w:r>
        <w:rPr>
          <w:rFonts w:hint="default" w:ascii="Times New Roman" w:hAnsi="Times New Roman" w:eastAsia="仿宋_GB2312" w:cs="Times New Roman"/>
          <w:b/>
          <w:i w:val="0"/>
          <w:iCs w:val="0"/>
          <w:color w:val="auto"/>
          <w:sz w:val="24"/>
          <w:highlight w:val="none"/>
        </w:rPr>
        <w:t>供应商须知前附表。</w:t>
      </w:r>
      <w:r>
        <w:rPr>
          <w:rFonts w:hint="default" w:ascii="Times New Roman" w:hAnsi="Times New Roman" w:eastAsia="仿宋_GB2312" w:cs="Times New Roman"/>
          <w:i w:val="0"/>
          <w:iCs w:val="0"/>
          <w:color w:val="auto"/>
          <w:sz w:val="24"/>
          <w:szCs w:val="21"/>
          <w:highlight w:val="none"/>
        </w:rPr>
        <w:t>响应文件</w:t>
      </w:r>
      <w:r>
        <w:rPr>
          <w:rFonts w:hint="default" w:ascii="Times New Roman" w:hAnsi="Times New Roman" w:eastAsia="仿宋_GB2312" w:cs="Times New Roman"/>
          <w:i w:val="0"/>
          <w:iCs w:val="0"/>
          <w:color w:val="auto"/>
          <w:kern w:val="0"/>
          <w:sz w:val="24"/>
          <w:szCs w:val="21"/>
          <w:highlight w:val="none"/>
        </w:rPr>
        <w:t>如果</w:t>
      </w:r>
      <w:r>
        <w:rPr>
          <w:rFonts w:hint="default" w:ascii="Times New Roman" w:hAnsi="Times New Roman" w:eastAsia="仿宋_GB2312" w:cs="Times New Roman"/>
          <w:i w:val="0"/>
          <w:iCs w:val="0"/>
          <w:color w:val="auto"/>
          <w:sz w:val="24"/>
          <w:szCs w:val="21"/>
          <w:highlight w:val="none"/>
        </w:rPr>
        <w:t>未按上述规定密封和标记，采购代理机构应当拒绝接收。</w:t>
      </w:r>
    </w:p>
    <w:p>
      <w:pPr>
        <w:pStyle w:val="22"/>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17.3   书面方式不能准确描述采购需求或者需要对样品进行主观判断以确认是否满足采购需求的情况下需提交样品。成交单位样品不予退还，成为合同内容的一部分，做为验收依据。样品的要求见</w:t>
      </w:r>
      <w:r>
        <w:rPr>
          <w:rFonts w:hint="default" w:ascii="Times New Roman" w:hAnsi="Times New Roman" w:eastAsia="仿宋_GB2312" w:cs="Times New Roman"/>
          <w:b/>
          <w:i w:val="0"/>
          <w:iCs w:val="0"/>
          <w:color w:val="auto"/>
          <w:sz w:val="24"/>
          <w:highlight w:val="none"/>
        </w:rPr>
        <w:t>供应商须知前附表</w:t>
      </w:r>
      <w:r>
        <w:rPr>
          <w:rFonts w:hint="default" w:ascii="Times New Roman" w:hAnsi="Times New Roman" w:eastAsia="仿宋_GB2312" w:cs="Times New Roman"/>
          <w:i w:val="0"/>
          <w:iCs w:val="0"/>
          <w:color w:val="auto"/>
          <w:sz w:val="24"/>
          <w:highlight w:val="none"/>
        </w:rPr>
        <w:t>。</w:t>
      </w:r>
    </w:p>
    <w:bookmarkEnd w:id="254"/>
    <w:bookmarkEnd w:id="255"/>
    <w:p>
      <w:pPr>
        <w:pStyle w:val="5"/>
        <w:rPr>
          <w:rFonts w:hint="default" w:ascii="Times New Roman" w:hAnsi="Times New Roman" w:eastAsia="仿宋_GB2312" w:cs="Times New Roman"/>
          <w:b/>
          <w:i w:val="0"/>
          <w:iCs w:val="0"/>
          <w:color w:val="auto"/>
          <w:sz w:val="24"/>
          <w:szCs w:val="21"/>
          <w:highlight w:val="none"/>
        </w:rPr>
      </w:pPr>
      <w:bookmarkStart w:id="258" w:name="_Toc31171"/>
      <w:bookmarkStart w:id="259" w:name="_Toc249515300"/>
      <w:bookmarkStart w:id="260" w:name="_Toc249515412"/>
      <w:bookmarkStart w:id="261" w:name="_Toc249525181"/>
      <w:r>
        <w:rPr>
          <w:rFonts w:hint="default" w:ascii="Times New Roman" w:hAnsi="Times New Roman" w:eastAsia="仿宋_GB2312" w:cs="Times New Roman"/>
          <w:b/>
          <w:i w:val="0"/>
          <w:iCs w:val="0"/>
          <w:color w:val="auto"/>
          <w:sz w:val="24"/>
          <w:szCs w:val="21"/>
          <w:highlight w:val="none"/>
        </w:rPr>
        <w:t>18.    响应文件递交截止时间</w:t>
      </w:r>
      <w:bookmarkEnd w:id="256"/>
      <w:bookmarkEnd w:id="257"/>
      <w:bookmarkEnd w:id="258"/>
      <w:bookmarkEnd w:id="259"/>
      <w:bookmarkEnd w:id="260"/>
      <w:bookmarkEnd w:id="261"/>
    </w:p>
    <w:p>
      <w:pPr>
        <w:tabs>
          <w:tab w:val="left" w:pos="588"/>
        </w:tabs>
        <w:spacing w:line="360" w:lineRule="auto"/>
        <w:rPr>
          <w:rFonts w:hint="default" w:ascii="Times New Roman" w:hAnsi="Times New Roman" w:eastAsia="仿宋_GB2312" w:cs="Times New Roman"/>
          <w:i w:val="0"/>
          <w:iCs w:val="0"/>
          <w:color w:val="auto"/>
          <w:sz w:val="24"/>
          <w:highlight w:val="none"/>
        </w:rPr>
      </w:pPr>
      <w:bookmarkStart w:id="262" w:name="_Toc389620189"/>
      <w:bookmarkStart w:id="263" w:name="_Toc385992350"/>
      <w:bookmarkStart w:id="264" w:name="_Toc70687164"/>
      <w:bookmarkStart w:id="265" w:name="_Toc184043037"/>
      <w:r>
        <w:rPr>
          <w:rFonts w:hint="default" w:ascii="Times New Roman" w:hAnsi="Times New Roman" w:eastAsia="仿宋_GB2312" w:cs="Times New Roman"/>
          <w:i w:val="0"/>
          <w:iCs w:val="0"/>
          <w:color w:val="auto"/>
          <w:sz w:val="24"/>
          <w:highlight w:val="none"/>
        </w:rPr>
        <w:t>18.1   响应文件递交截止时间和地点见</w:t>
      </w:r>
      <w:r>
        <w:rPr>
          <w:rFonts w:hint="default" w:ascii="Times New Roman" w:hAnsi="Times New Roman" w:eastAsia="仿宋_GB2312" w:cs="Times New Roman"/>
          <w:b/>
          <w:i w:val="0"/>
          <w:iCs w:val="0"/>
          <w:color w:val="auto"/>
          <w:sz w:val="24"/>
          <w:highlight w:val="none"/>
        </w:rPr>
        <w:t>供应商须知前附表</w:t>
      </w:r>
      <w:r>
        <w:rPr>
          <w:rFonts w:hint="default" w:ascii="Times New Roman" w:hAnsi="Times New Roman" w:eastAsia="仿宋_GB2312" w:cs="Times New Roman"/>
          <w:i w:val="0"/>
          <w:iCs w:val="0"/>
          <w:color w:val="auto"/>
          <w:sz w:val="24"/>
          <w:highlight w:val="none"/>
        </w:rPr>
        <w:t>。</w:t>
      </w:r>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18.2   供应商须由其合法的授权人在响应文件递交截止时间之前将响应文件在响应文件递交地点送达采购人并签字确认。供应商须承担因未送达并签字所造成的一切责任。</w:t>
      </w:r>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18.3   采购人可以按本须知第7条规定，通知修改磋商文件，适当延长响应文件递交截止时间。在此情况下，采购人和供应商受响应文件递交截止时间制约的所有权利和义务均应延长至新的截止期。</w:t>
      </w:r>
    </w:p>
    <w:p>
      <w:pPr>
        <w:pStyle w:val="5"/>
        <w:rPr>
          <w:rFonts w:hint="default" w:ascii="Times New Roman" w:hAnsi="Times New Roman" w:eastAsia="仿宋_GB2312" w:cs="Times New Roman"/>
          <w:b/>
          <w:i w:val="0"/>
          <w:iCs w:val="0"/>
          <w:color w:val="auto"/>
          <w:sz w:val="24"/>
          <w:szCs w:val="21"/>
          <w:highlight w:val="none"/>
        </w:rPr>
      </w:pPr>
      <w:bookmarkStart w:id="266" w:name="_Toc249515413"/>
      <w:bookmarkStart w:id="267" w:name="_Toc249515301"/>
      <w:bookmarkStart w:id="268" w:name="_Toc249525182"/>
      <w:bookmarkStart w:id="269" w:name="_Toc7175"/>
      <w:r>
        <w:rPr>
          <w:rFonts w:hint="default" w:ascii="Times New Roman" w:hAnsi="Times New Roman" w:eastAsia="仿宋_GB2312" w:cs="Times New Roman"/>
          <w:b/>
          <w:i w:val="0"/>
          <w:iCs w:val="0"/>
          <w:color w:val="auto"/>
          <w:sz w:val="24"/>
          <w:szCs w:val="21"/>
          <w:highlight w:val="none"/>
        </w:rPr>
        <w:t>19.    迟交的响应文件</w:t>
      </w:r>
      <w:bookmarkEnd w:id="262"/>
      <w:bookmarkEnd w:id="263"/>
      <w:bookmarkEnd w:id="264"/>
      <w:bookmarkEnd w:id="265"/>
      <w:bookmarkEnd w:id="266"/>
      <w:bookmarkEnd w:id="267"/>
      <w:bookmarkEnd w:id="268"/>
      <w:bookmarkEnd w:id="269"/>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19.1   采购人将拒绝接收第18条规定的响应文件递交截止时间后递交的任何响应文件。</w:t>
      </w:r>
    </w:p>
    <w:p>
      <w:pPr>
        <w:pStyle w:val="5"/>
        <w:rPr>
          <w:rFonts w:hint="default" w:ascii="Times New Roman" w:hAnsi="Times New Roman" w:eastAsia="仿宋_GB2312" w:cs="Times New Roman"/>
          <w:b/>
          <w:i w:val="0"/>
          <w:iCs w:val="0"/>
          <w:color w:val="auto"/>
          <w:sz w:val="24"/>
          <w:szCs w:val="21"/>
          <w:highlight w:val="none"/>
        </w:rPr>
      </w:pPr>
      <w:bookmarkStart w:id="270" w:name="_Toc249525183"/>
      <w:bookmarkStart w:id="271" w:name="_Toc184043038"/>
      <w:bookmarkStart w:id="272" w:name="_Toc249515302"/>
      <w:bookmarkStart w:id="273" w:name="_Toc70687165"/>
      <w:bookmarkStart w:id="274" w:name="_Toc10272"/>
      <w:bookmarkStart w:id="275" w:name="_Toc385992351"/>
      <w:bookmarkStart w:id="276" w:name="_Toc389620190"/>
      <w:bookmarkStart w:id="277" w:name="_Toc249515414"/>
      <w:r>
        <w:rPr>
          <w:rFonts w:hint="default" w:ascii="Times New Roman" w:hAnsi="Times New Roman" w:eastAsia="仿宋_GB2312" w:cs="Times New Roman"/>
          <w:b/>
          <w:i w:val="0"/>
          <w:iCs w:val="0"/>
          <w:color w:val="auto"/>
          <w:sz w:val="24"/>
          <w:szCs w:val="21"/>
          <w:highlight w:val="none"/>
        </w:rPr>
        <w:t>20.    响应文件的修改和撤</w:t>
      </w:r>
      <w:bookmarkEnd w:id="270"/>
      <w:bookmarkEnd w:id="271"/>
      <w:bookmarkEnd w:id="272"/>
      <w:bookmarkEnd w:id="273"/>
      <w:bookmarkEnd w:id="274"/>
      <w:bookmarkEnd w:id="275"/>
      <w:bookmarkEnd w:id="276"/>
      <w:bookmarkEnd w:id="277"/>
      <w:r>
        <w:rPr>
          <w:rFonts w:hint="default" w:ascii="Times New Roman" w:hAnsi="Times New Roman" w:eastAsia="仿宋_GB2312" w:cs="Times New Roman"/>
          <w:b/>
          <w:i w:val="0"/>
          <w:iCs w:val="0"/>
          <w:color w:val="auto"/>
          <w:sz w:val="24"/>
          <w:szCs w:val="21"/>
          <w:highlight w:val="none"/>
        </w:rPr>
        <w:t>回</w:t>
      </w:r>
    </w:p>
    <w:p>
      <w:pPr>
        <w:tabs>
          <w:tab w:val="left" w:pos="588"/>
        </w:tabs>
        <w:spacing w:line="360" w:lineRule="auto"/>
        <w:ind w:left="840" w:left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20.1   供应商对响应文件修改的书面材料或撤回的通知应按第16和17条规定进行编写、密封、标注和递送，并注明“修改响应文件”或“撤回响应文件”字样。</w:t>
      </w:r>
    </w:p>
    <w:p>
      <w:pPr>
        <w:tabs>
          <w:tab w:val="left" w:pos="588"/>
        </w:tabs>
        <w:spacing w:line="360"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20.2   在响应文件递交截止时间之后，供应商不得对其响应文件做任何修改。</w:t>
      </w:r>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20.3   供应商不得在响应文件递交截止时间起至响应文件有效期期满前撤销其响应文件。</w:t>
      </w:r>
    </w:p>
    <w:p>
      <w:pPr>
        <w:pStyle w:val="22"/>
        <w:rPr>
          <w:rFonts w:hint="default"/>
          <w:highlight w:val="none"/>
        </w:rPr>
      </w:pPr>
    </w:p>
    <w:p>
      <w:pPr>
        <w:pStyle w:val="77"/>
        <w:spacing w:before="24" w:after="24"/>
        <w:ind w:left="3313"/>
        <w:rPr>
          <w:rFonts w:hint="default" w:ascii="Times New Roman" w:hAnsi="Times New Roman" w:eastAsia="仿宋_GB2312" w:cs="Times New Roman"/>
          <w:i w:val="0"/>
          <w:iCs w:val="0"/>
          <w:color w:val="auto"/>
          <w:sz w:val="30"/>
          <w:szCs w:val="30"/>
          <w:highlight w:val="none"/>
        </w:rPr>
      </w:pPr>
      <w:bookmarkStart w:id="278" w:name="_Hlt497729441"/>
      <w:bookmarkEnd w:id="278"/>
      <w:bookmarkStart w:id="279" w:name="_Hlt491765712"/>
      <w:bookmarkEnd w:id="279"/>
      <w:bookmarkStart w:id="280" w:name="_Toc249515415"/>
      <w:bookmarkStart w:id="281" w:name="_Toc256342148"/>
      <w:bookmarkStart w:id="282" w:name="_Toc249525184"/>
      <w:bookmarkStart w:id="283" w:name="_Toc249515303"/>
      <w:bookmarkStart w:id="284" w:name="_Toc68590973"/>
      <w:bookmarkStart w:id="285" w:name="_Toc496324584"/>
      <w:bookmarkStart w:id="286" w:name="_Toc389620191"/>
      <w:bookmarkStart w:id="287" w:name="_Toc177189240"/>
      <w:bookmarkStart w:id="288" w:name="_Toc53722845"/>
      <w:bookmarkStart w:id="289" w:name="_Toc184043039"/>
      <w:bookmarkStart w:id="290" w:name="_Toc503063427"/>
      <w:bookmarkStart w:id="291" w:name="_Toc500747194"/>
      <w:bookmarkStart w:id="292" w:name="_Toc385992352"/>
      <w:bookmarkStart w:id="293" w:name="_Toc177995478"/>
      <w:bookmarkStart w:id="294" w:name="_Toc500746971"/>
      <w:bookmarkStart w:id="295" w:name="_Toc499711048"/>
      <w:bookmarkStart w:id="296" w:name="_Toc500747067"/>
      <w:bookmarkStart w:id="297" w:name="_Toc177817339"/>
      <w:bookmarkStart w:id="298" w:name="_Toc492955420"/>
      <w:bookmarkStart w:id="299" w:name="_Toc176882547"/>
      <w:bookmarkStart w:id="300" w:name="_Toc499711889"/>
      <w:bookmarkStart w:id="301" w:name="_Toc70687166"/>
      <w:r>
        <w:rPr>
          <w:rFonts w:hint="default" w:ascii="Times New Roman" w:hAnsi="Times New Roman" w:eastAsia="仿宋_GB2312" w:cs="Times New Roman"/>
          <w:i w:val="0"/>
          <w:iCs w:val="0"/>
          <w:color w:val="auto"/>
          <w:sz w:val="30"/>
          <w:szCs w:val="30"/>
          <w:highlight w:val="none"/>
        </w:rPr>
        <w:t>五、评审与</w:t>
      </w:r>
      <w:bookmarkEnd w:id="280"/>
      <w:bookmarkEnd w:id="281"/>
      <w:bookmarkEnd w:id="282"/>
      <w:bookmarkEnd w:id="283"/>
      <w:r>
        <w:rPr>
          <w:rFonts w:hint="default" w:ascii="Times New Roman" w:hAnsi="Times New Roman" w:eastAsia="仿宋_GB2312" w:cs="Times New Roman"/>
          <w:i w:val="0"/>
          <w:iCs w:val="0"/>
          <w:color w:val="auto"/>
          <w:sz w:val="30"/>
          <w:szCs w:val="30"/>
          <w:highlight w:val="none"/>
        </w:rPr>
        <w:t>磋商</w:t>
      </w:r>
      <w:bookmarkEnd w:id="284"/>
    </w:p>
    <w:p>
      <w:pPr>
        <w:pStyle w:val="5"/>
        <w:numPr>
          <w:ilvl w:val="0"/>
          <w:numId w:val="9"/>
        </w:numPr>
        <w:rPr>
          <w:rFonts w:hint="default" w:ascii="Times New Roman" w:hAnsi="Times New Roman" w:eastAsia="仿宋_GB2312" w:cs="Times New Roman"/>
          <w:b/>
          <w:i w:val="0"/>
          <w:iCs w:val="0"/>
          <w:color w:val="auto"/>
          <w:sz w:val="24"/>
          <w:highlight w:val="none"/>
        </w:rPr>
      </w:pPr>
      <w:bookmarkStart w:id="302" w:name="_Toc249515417"/>
      <w:bookmarkStart w:id="303" w:name="_Toc16042"/>
      <w:bookmarkStart w:id="304" w:name="_Toc249515305"/>
      <w:bookmarkStart w:id="305" w:name="_Toc249525186"/>
      <w:r>
        <w:rPr>
          <w:rFonts w:hint="default" w:ascii="Times New Roman" w:hAnsi="Times New Roman" w:eastAsia="仿宋_GB2312" w:cs="Times New Roman"/>
          <w:b/>
          <w:i w:val="0"/>
          <w:iCs w:val="0"/>
          <w:color w:val="auto"/>
          <w:sz w:val="24"/>
          <w:highlight w:val="none"/>
        </w:rPr>
        <w:t xml:space="preserve">   磋商小组</w:t>
      </w:r>
      <w:bookmarkEnd w:id="302"/>
      <w:bookmarkEnd w:id="303"/>
      <w:bookmarkEnd w:id="304"/>
      <w:bookmarkEnd w:id="305"/>
    </w:p>
    <w:p>
      <w:pPr>
        <w:pStyle w:val="28"/>
        <w:adjustRightInd w:val="0"/>
        <w:snapToGrid w:val="0"/>
        <w:ind w:left="840" w:hanging="840" w:hangingChars="350"/>
        <w:rPr>
          <w:rFonts w:hint="default" w:ascii="Times New Roman" w:hAnsi="Times New Roman" w:eastAsia="仿宋_GB2312" w:cs="Times New Roman"/>
          <w:b/>
          <w:i w:val="0"/>
          <w:iCs w:val="0"/>
          <w:color w:val="auto"/>
          <w:sz w:val="24"/>
          <w:highlight w:val="none"/>
        </w:rPr>
      </w:pPr>
      <w:r>
        <w:rPr>
          <w:rFonts w:hint="default" w:ascii="Times New Roman" w:hAnsi="Times New Roman" w:eastAsia="仿宋_GB2312" w:cs="Times New Roman"/>
          <w:i w:val="0"/>
          <w:iCs w:val="0"/>
          <w:color w:val="auto"/>
          <w:sz w:val="24"/>
          <w:szCs w:val="24"/>
          <w:highlight w:val="none"/>
        </w:rPr>
        <w:t>21.1   在磋商开始前组建磋商小组，磋商小组由采购人代表和有关专家组成。专家从政府采购评审专家库相关专业中随机抽取。磋商小组组成见</w:t>
      </w:r>
      <w:r>
        <w:rPr>
          <w:rFonts w:hint="default" w:ascii="Times New Roman" w:hAnsi="Times New Roman" w:eastAsia="仿宋_GB2312" w:cs="Times New Roman"/>
          <w:b/>
          <w:i w:val="0"/>
          <w:iCs w:val="0"/>
          <w:color w:val="auto"/>
          <w:sz w:val="24"/>
          <w:highlight w:val="none"/>
        </w:rPr>
        <w:t>供应商须知前附表。</w:t>
      </w:r>
    </w:p>
    <w:p>
      <w:pPr>
        <w:pStyle w:val="28"/>
        <w:adjustRightInd w:val="0"/>
        <w:snapToGrid w:val="0"/>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21.2   磋商小组职责</w:t>
      </w:r>
    </w:p>
    <w:p>
      <w:pPr>
        <w:pStyle w:val="28"/>
        <w:adjustRightInd w:val="0"/>
        <w:snapToGrid w:val="0"/>
        <w:ind w:left="840" w:leftChars="400"/>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（1）确认竞争性磋商文件；</w:t>
      </w:r>
    </w:p>
    <w:p>
      <w:pPr>
        <w:pStyle w:val="28"/>
        <w:adjustRightInd w:val="0"/>
        <w:snapToGrid w:val="0"/>
        <w:ind w:left="840" w:leftChars="400"/>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（2）审查通过了资格审查的供应商响应文件并做出评价；</w:t>
      </w:r>
    </w:p>
    <w:p>
      <w:pPr>
        <w:pStyle w:val="28"/>
        <w:adjustRightInd w:val="0"/>
        <w:snapToGrid w:val="0"/>
        <w:ind w:left="840" w:leftChars="400"/>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（3）要求供应商解释或者澄清其响应文件；</w:t>
      </w:r>
    </w:p>
    <w:p>
      <w:pPr>
        <w:pStyle w:val="28"/>
        <w:adjustRightInd w:val="0"/>
        <w:snapToGrid w:val="0"/>
        <w:ind w:left="840" w:leftChars="400"/>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（4）编写评审报告；</w:t>
      </w:r>
    </w:p>
    <w:p>
      <w:pPr>
        <w:pStyle w:val="28"/>
        <w:adjustRightInd w:val="0"/>
        <w:snapToGrid w:val="0"/>
        <w:ind w:left="840" w:leftChars="400"/>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（5）告知采购人、采购代理机构在评审过程中发现的供应商的违法违规行为。</w:t>
      </w:r>
    </w:p>
    <w:p>
      <w:pPr>
        <w:pStyle w:val="28"/>
        <w:adjustRightInd w:val="0"/>
        <w:snapToGrid w:val="0"/>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21.3   磋商小组义务</w:t>
      </w:r>
    </w:p>
    <w:p>
      <w:pPr>
        <w:pStyle w:val="28"/>
        <w:adjustRightInd w:val="0"/>
        <w:snapToGrid w:val="0"/>
        <w:ind w:left="838" w:leftChars="399"/>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（1）遵纪客观、公正、审慎的原则；</w:t>
      </w:r>
    </w:p>
    <w:p>
      <w:pPr>
        <w:pStyle w:val="28"/>
        <w:adjustRightInd w:val="0"/>
        <w:snapToGrid w:val="0"/>
        <w:ind w:left="838" w:leftChars="399"/>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（2）根据磋商文件的规定评审程序、评审方法和评审标准独立进行评审，对个人的评审意见承担法律责任；</w:t>
      </w:r>
    </w:p>
    <w:p>
      <w:pPr>
        <w:pStyle w:val="28"/>
        <w:adjustRightInd w:val="0"/>
        <w:snapToGrid w:val="0"/>
        <w:ind w:left="838" w:leftChars="399"/>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（3）参与评审报告的起草；</w:t>
      </w:r>
    </w:p>
    <w:p>
      <w:pPr>
        <w:pStyle w:val="28"/>
        <w:adjustRightInd w:val="0"/>
        <w:snapToGrid w:val="0"/>
        <w:ind w:left="838" w:leftChars="399"/>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（4）配合采购人、采购代理机构答复供应商提出的质疑；</w:t>
      </w:r>
    </w:p>
    <w:p>
      <w:pPr>
        <w:pStyle w:val="28"/>
        <w:adjustRightInd w:val="0"/>
        <w:snapToGrid w:val="0"/>
        <w:ind w:left="838" w:leftChars="399"/>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（5）配合财政部门的投诉处理和监督检查工作。</w:t>
      </w:r>
    </w:p>
    <w:p>
      <w:pPr>
        <w:pStyle w:val="28"/>
        <w:adjustRightInd w:val="0"/>
        <w:snapToGrid w:val="0"/>
        <w:ind w:left="840" w:hanging="840" w:hangingChars="350"/>
        <w:rPr>
          <w:rFonts w:hint="default" w:ascii="Times New Roman" w:hAnsi="Times New Roman" w:eastAsia="仿宋_GB2312" w:cs="Times New Roman"/>
          <w:i w:val="0"/>
          <w:iCs w:val="0"/>
          <w:color w:val="auto"/>
          <w:sz w:val="24"/>
          <w:szCs w:val="24"/>
          <w:highlight w:val="none"/>
        </w:rPr>
      </w:pPr>
      <w:r>
        <w:rPr>
          <w:rFonts w:hint="default" w:ascii="Times New Roman" w:hAnsi="Times New Roman" w:eastAsia="仿宋_GB2312" w:cs="Times New Roman"/>
          <w:i w:val="0"/>
          <w:iCs w:val="0"/>
          <w:color w:val="auto"/>
          <w:sz w:val="24"/>
          <w:szCs w:val="24"/>
          <w:highlight w:val="none"/>
        </w:rPr>
        <w:t>21.4   确认磋商文件：磋商小组对磋商文件进行审阅，无修改进行签字确认，有修改，修改内容经采购人确认后，磋商小组以书面形式通知所有供应商。</w:t>
      </w:r>
    </w:p>
    <w:p>
      <w:pPr>
        <w:pStyle w:val="5"/>
        <w:rPr>
          <w:rFonts w:hint="default" w:ascii="Times New Roman" w:hAnsi="Times New Roman" w:eastAsia="仿宋_GB2312" w:cs="Times New Roman"/>
          <w:b/>
          <w:i w:val="0"/>
          <w:iCs w:val="0"/>
          <w:color w:val="auto"/>
          <w:sz w:val="24"/>
          <w:szCs w:val="21"/>
          <w:highlight w:val="none"/>
        </w:rPr>
      </w:pPr>
      <w:r>
        <w:rPr>
          <w:rFonts w:hint="default" w:ascii="Times New Roman" w:hAnsi="Times New Roman" w:eastAsia="仿宋_GB2312" w:cs="Times New Roman"/>
          <w:b/>
          <w:i w:val="0"/>
          <w:iCs w:val="0"/>
          <w:color w:val="auto"/>
          <w:sz w:val="24"/>
          <w:szCs w:val="21"/>
          <w:highlight w:val="none"/>
        </w:rPr>
        <w:t>22.    磋商小组成员有下列情形之一的，应当回避：</w:t>
      </w:r>
    </w:p>
    <w:p>
      <w:pPr>
        <w:pStyle w:val="5"/>
        <w:tabs>
          <w:tab w:val="left" w:pos="360"/>
        </w:tabs>
        <w:rPr>
          <w:rFonts w:hint="default" w:ascii="Times New Roman" w:hAnsi="Times New Roman" w:eastAsia="仿宋_GB2312" w:cs="Times New Roman"/>
          <w:i w:val="0"/>
          <w:iCs w:val="0"/>
          <w:color w:val="auto"/>
          <w:sz w:val="24"/>
          <w:szCs w:val="21"/>
          <w:highlight w:val="none"/>
        </w:rPr>
      </w:pPr>
      <w:r>
        <w:rPr>
          <w:rFonts w:hint="default" w:ascii="Times New Roman" w:hAnsi="Times New Roman" w:eastAsia="仿宋_GB2312" w:cs="Times New Roman"/>
          <w:i w:val="0"/>
          <w:iCs w:val="0"/>
          <w:color w:val="auto"/>
          <w:sz w:val="24"/>
          <w:szCs w:val="21"/>
          <w:highlight w:val="none"/>
        </w:rPr>
        <w:t>22.1   参加采购活动前3年内与供应商存在劳动关系；</w:t>
      </w:r>
    </w:p>
    <w:p>
      <w:pPr>
        <w:pStyle w:val="5"/>
        <w:tabs>
          <w:tab w:val="left" w:pos="360"/>
        </w:tabs>
        <w:rPr>
          <w:rFonts w:hint="default" w:ascii="Times New Roman" w:hAnsi="Times New Roman" w:eastAsia="仿宋_GB2312" w:cs="Times New Roman"/>
          <w:i w:val="0"/>
          <w:iCs w:val="0"/>
          <w:color w:val="auto"/>
          <w:sz w:val="24"/>
          <w:szCs w:val="21"/>
          <w:highlight w:val="none"/>
        </w:rPr>
      </w:pPr>
      <w:r>
        <w:rPr>
          <w:rFonts w:hint="default" w:ascii="Times New Roman" w:hAnsi="Times New Roman" w:eastAsia="仿宋_GB2312" w:cs="Times New Roman"/>
          <w:i w:val="0"/>
          <w:iCs w:val="0"/>
          <w:color w:val="auto"/>
          <w:sz w:val="24"/>
          <w:szCs w:val="21"/>
          <w:highlight w:val="none"/>
        </w:rPr>
        <w:t>22.2   参加采购活动前3年内担任供应商的董事、监事；</w:t>
      </w:r>
    </w:p>
    <w:p>
      <w:pPr>
        <w:pStyle w:val="5"/>
        <w:tabs>
          <w:tab w:val="left" w:pos="360"/>
        </w:tabs>
        <w:rPr>
          <w:rFonts w:hint="default" w:ascii="Times New Roman" w:hAnsi="Times New Roman" w:eastAsia="仿宋_GB2312" w:cs="Times New Roman"/>
          <w:i w:val="0"/>
          <w:iCs w:val="0"/>
          <w:color w:val="auto"/>
          <w:sz w:val="24"/>
          <w:szCs w:val="21"/>
          <w:highlight w:val="none"/>
        </w:rPr>
      </w:pPr>
      <w:r>
        <w:rPr>
          <w:rFonts w:hint="default" w:ascii="Times New Roman" w:hAnsi="Times New Roman" w:eastAsia="仿宋_GB2312" w:cs="Times New Roman"/>
          <w:i w:val="0"/>
          <w:iCs w:val="0"/>
          <w:color w:val="auto"/>
          <w:sz w:val="24"/>
          <w:szCs w:val="21"/>
          <w:highlight w:val="none"/>
        </w:rPr>
        <w:t>22.3   参加采购活动前3年内是供应商的控股股东或者实际控制人；</w:t>
      </w:r>
    </w:p>
    <w:p>
      <w:pPr>
        <w:pStyle w:val="5"/>
        <w:tabs>
          <w:tab w:val="left" w:pos="360"/>
        </w:tabs>
        <w:ind w:left="840" w:hanging="840" w:hangingChars="350"/>
        <w:rPr>
          <w:rFonts w:hint="default" w:ascii="Times New Roman" w:hAnsi="Times New Roman" w:eastAsia="仿宋_GB2312" w:cs="Times New Roman"/>
          <w:i w:val="0"/>
          <w:iCs w:val="0"/>
          <w:color w:val="auto"/>
          <w:sz w:val="24"/>
          <w:szCs w:val="21"/>
          <w:highlight w:val="none"/>
        </w:rPr>
      </w:pPr>
      <w:r>
        <w:rPr>
          <w:rFonts w:hint="default" w:ascii="Times New Roman" w:hAnsi="Times New Roman" w:eastAsia="仿宋_GB2312" w:cs="Times New Roman"/>
          <w:i w:val="0"/>
          <w:iCs w:val="0"/>
          <w:color w:val="auto"/>
          <w:sz w:val="24"/>
          <w:szCs w:val="21"/>
          <w:highlight w:val="none"/>
        </w:rPr>
        <w:t>22.4   与供应商的法定代表人或者负责人有夫妻、直系血亲、三代以内旁系血亲或者近姻亲关系；</w:t>
      </w:r>
    </w:p>
    <w:p>
      <w:pPr>
        <w:pStyle w:val="5"/>
        <w:tabs>
          <w:tab w:val="left" w:pos="360"/>
        </w:tabs>
        <w:rPr>
          <w:rFonts w:hint="default" w:ascii="Times New Roman" w:hAnsi="Times New Roman" w:eastAsia="仿宋_GB2312" w:cs="Times New Roman"/>
          <w:i w:val="0"/>
          <w:iCs w:val="0"/>
          <w:color w:val="auto"/>
          <w:sz w:val="24"/>
          <w:szCs w:val="21"/>
          <w:highlight w:val="none"/>
        </w:rPr>
      </w:pPr>
      <w:r>
        <w:rPr>
          <w:rFonts w:hint="default" w:ascii="Times New Roman" w:hAnsi="Times New Roman" w:eastAsia="仿宋_GB2312" w:cs="Times New Roman"/>
          <w:i w:val="0"/>
          <w:iCs w:val="0"/>
          <w:color w:val="auto"/>
          <w:sz w:val="24"/>
          <w:szCs w:val="21"/>
          <w:highlight w:val="none"/>
        </w:rPr>
        <w:t>22.5   与供应商有其他可能影响政府采购活动公平、公正进行的关系。</w:t>
      </w:r>
    </w:p>
    <w:p>
      <w:pPr>
        <w:pStyle w:val="5"/>
        <w:rPr>
          <w:rFonts w:hint="default" w:ascii="Times New Roman" w:hAnsi="Times New Roman" w:eastAsia="仿宋_GB2312" w:cs="Times New Roman"/>
          <w:b/>
          <w:i w:val="0"/>
          <w:iCs w:val="0"/>
          <w:color w:val="auto"/>
          <w:sz w:val="24"/>
          <w:szCs w:val="21"/>
          <w:highlight w:val="none"/>
        </w:rPr>
      </w:pPr>
      <w:bookmarkStart w:id="306" w:name="_Toc20608"/>
      <w:bookmarkStart w:id="307" w:name="_Toc83547667"/>
      <w:bookmarkStart w:id="308" w:name="_Toc249515306"/>
      <w:bookmarkStart w:id="309" w:name="_Toc249515418"/>
      <w:bookmarkStart w:id="310" w:name="_Toc249525187"/>
      <w:r>
        <w:rPr>
          <w:rFonts w:hint="default" w:ascii="Times New Roman" w:hAnsi="Times New Roman" w:eastAsia="仿宋_GB2312" w:cs="Times New Roman"/>
          <w:b/>
          <w:i w:val="0"/>
          <w:iCs w:val="0"/>
          <w:color w:val="auto"/>
          <w:sz w:val="24"/>
          <w:szCs w:val="21"/>
          <w:highlight w:val="none"/>
        </w:rPr>
        <w:t>23.    磋商程序</w:t>
      </w:r>
    </w:p>
    <w:p>
      <w:pPr>
        <w:pStyle w:val="5"/>
        <w:tabs>
          <w:tab w:val="left" w:pos="360"/>
        </w:tabs>
        <w:rPr>
          <w:rFonts w:hint="default" w:ascii="Times New Roman" w:hAnsi="Times New Roman" w:eastAsia="仿宋_GB2312" w:cs="Times New Roman"/>
          <w:b/>
          <w:i w:val="0"/>
          <w:iCs w:val="0"/>
          <w:color w:val="auto"/>
          <w:sz w:val="24"/>
          <w:szCs w:val="21"/>
          <w:highlight w:val="none"/>
        </w:rPr>
      </w:pPr>
      <w:bookmarkStart w:id="311" w:name="_Toc58504507"/>
      <w:r>
        <w:rPr>
          <w:rFonts w:hint="default" w:ascii="Times New Roman" w:hAnsi="Times New Roman" w:eastAsia="仿宋_GB2312" w:cs="Times New Roman"/>
          <w:b/>
          <w:i w:val="0"/>
          <w:iCs w:val="0"/>
          <w:color w:val="auto"/>
          <w:sz w:val="24"/>
          <w:szCs w:val="21"/>
          <w:highlight w:val="none"/>
        </w:rPr>
        <w:t>23.1   磋商会议</w:t>
      </w:r>
      <w:bookmarkEnd w:id="311"/>
    </w:p>
    <w:p>
      <w:pPr>
        <w:pStyle w:val="22"/>
        <w:ind w:left="840" w:leftChars="400"/>
        <w:rPr>
          <w:rFonts w:hint="default" w:ascii="Times New Roman" w:hAnsi="Times New Roman" w:eastAsia="仿宋_GB2312" w:cs="Times New Roman"/>
          <w:i w:val="0"/>
          <w:iCs w:val="0"/>
          <w:color w:val="auto"/>
          <w:sz w:val="24"/>
          <w:szCs w:val="32"/>
          <w:highlight w:val="none"/>
        </w:rPr>
      </w:pPr>
      <w:bookmarkStart w:id="312" w:name="_Toc58504508"/>
      <w:r>
        <w:rPr>
          <w:rFonts w:hint="default" w:ascii="Times New Roman" w:hAnsi="Times New Roman" w:eastAsia="仿宋_GB2312" w:cs="Times New Roman"/>
          <w:i w:val="0"/>
          <w:iCs w:val="0"/>
          <w:color w:val="auto"/>
          <w:sz w:val="24"/>
          <w:szCs w:val="32"/>
          <w:highlight w:val="none"/>
        </w:rPr>
        <w:t>（1）在磋商文件规定的时间和地点，由采购代理机构组织磋商工作，供应商须委派代表参加，签名以证明其出席。</w:t>
      </w:r>
      <w:bookmarkEnd w:id="312"/>
    </w:p>
    <w:p>
      <w:pPr>
        <w:pStyle w:val="22"/>
        <w:ind w:left="840" w:leftChars="400"/>
        <w:rPr>
          <w:rFonts w:hint="default" w:ascii="Times New Roman" w:hAnsi="Times New Roman" w:eastAsia="仿宋_GB2312" w:cs="Times New Roman"/>
          <w:i w:val="0"/>
          <w:iCs w:val="0"/>
          <w:color w:val="auto"/>
          <w:sz w:val="24"/>
          <w:szCs w:val="32"/>
          <w:highlight w:val="none"/>
        </w:rPr>
      </w:pPr>
      <w:bookmarkStart w:id="313" w:name="_Toc58504509"/>
      <w:r>
        <w:rPr>
          <w:rFonts w:hint="default" w:ascii="Times New Roman" w:hAnsi="Times New Roman" w:eastAsia="仿宋_GB2312" w:cs="Times New Roman"/>
          <w:i w:val="0"/>
          <w:iCs w:val="0"/>
          <w:color w:val="auto"/>
          <w:sz w:val="24"/>
          <w:szCs w:val="32"/>
          <w:highlight w:val="none"/>
        </w:rPr>
        <w:t>（2）各供应商或其推荐的代表与采购监督人共同检查响应文件的密封情况，经检查无误后，签字确认。</w:t>
      </w:r>
      <w:bookmarkEnd w:id="313"/>
    </w:p>
    <w:p>
      <w:pPr>
        <w:pStyle w:val="22"/>
        <w:ind w:left="840" w:leftChars="400"/>
        <w:rPr>
          <w:rFonts w:hint="default" w:ascii="Times New Roman" w:hAnsi="Times New Roman" w:eastAsia="仿宋_GB2312" w:cs="Times New Roman"/>
          <w:i w:val="0"/>
          <w:iCs w:val="0"/>
          <w:color w:val="auto"/>
          <w:sz w:val="24"/>
          <w:szCs w:val="32"/>
          <w:highlight w:val="none"/>
        </w:rPr>
      </w:pPr>
      <w:bookmarkStart w:id="314" w:name="_Toc58504510"/>
      <w:r>
        <w:rPr>
          <w:rFonts w:hint="default" w:ascii="Times New Roman" w:hAnsi="Times New Roman" w:eastAsia="仿宋_GB2312" w:cs="Times New Roman"/>
          <w:i w:val="0"/>
          <w:iCs w:val="0"/>
          <w:color w:val="auto"/>
          <w:sz w:val="24"/>
          <w:szCs w:val="32"/>
          <w:highlight w:val="none"/>
        </w:rPr>
        <w:t>（3）采购代理机构工作人员按照顺序，将各供应商首次响应文件的份数等内容公布，无异议后，由供应商法定代表人（或授权代表人）和监督人签字确认。</w:t>
      </w:r>
      <w:bookmarkEnd w:id="314"/>
    </w:p>
    <w:p>
      <w:pPr>
        <w:pStyle w:val="5"/>
        <w:tabs>
          <w:tab w:val="left" w:pos="360"/>
        </w:tabs>
        <w:rPr>
          <w:rFonts w:hint="default" w:ascii="Times New Roman" w:hAnsi="Times New Roman" w:eastAsia="仿宋_GB2312" w:cs="Times New Roman"/>
          <w:b/>
          <w:i w:val="0"/>
          <w:iCs w:val="0"/>
          <w:color w:val="auto"/>
          <w:sz w:val="24"/>
          <w:szCs w:val="21"/>
          <w:highlight w:val="none"/>
        </w:rPr>
      </w:pPr>
      <w:bookmarkStart w:id="315" w:name="_Toc58504511"/>
      <w:r>
        <w:rPr>
          <w:rFonts w:hint="default" w:ascii="Times New Roman" w:hAnsi="Times New Roman" w:eastAsia="仿宋_GB2312" w:cs="Times New Roman"/>
          <w:b/>
          <w:i w:val="0"/>
          <w:iCs w:val="0"/>
          <w:color w:val="auto"/>
          <w:sz w:val="24"/>
          <w:szCs w:val="21"/>
          <w:highlight w:val="none"/>
        </w:rPr>
        <w:t>23.2   响应文件</w:t>
      </w:r>
      <w:bookmarkEnd w:id="306"/>
      <w:bookmarkEnd w:id="307"/>
      <w:bookmarkEnd w:id="308"/>
      <w:bookmarkEnd w:id="309"/>
      <w:bookmarkEnd w:id="310"/>
      <w:r>
        <w:rPr>
          <w:rFonts w:hint="default" w:ascii="Times New Roman" w:hAnsi="Times New Roman" w:eastAsia="仿宋_GB2312" w:cs="Times New Roman"/>
          <w:b/>
          <w:i w:val="0"/>
          <w:iCs w:val="0"/>
          <w:color w:val="auto"/>
          <w:sz w:val="24"/>
          <w:szCs w:val="21"/>
          <w:highlight w:val="none"/>
        </w:rPr>
        <w:t>评审</w:t>
      </w:r>
      <w:bookmarkEnd w:id="315"/>
    </w:p>
    <w:p>
      <w:pPr>
        <w:tabs>
          <w:tab w:val="left" w:pos="360"/>
          <w:tab w:val="left" w:pos="588"/>
        </w:tabs>
        <w:spacing w:line="360" w:lineRule="auto"/>
        <w:ind w:left="843" w:hanging="843" w:hangingChars="350"/>
        <w:rPr>
          <w:rFonts w:hint="default" w:ascii="Times New Roman" w:hAnsi="Times New Roman" w:eastAsia="仿宋_GB2312" w:cs="Times New Roman"/>
          <w:i w:val="0"/>
          <w:iCs w:val="0"/>
          <w:color w:val="auto"/>
          <w:sz w:val="24"/>
          <w:highlight w:val="none"/>
        </w:rPr>
      </w:pPr>
      <w:bookmarkStart w:id="316" w:name="_Toc83547671"/>
      <w:r>
        <w:rPr>
          <w:rFonts w:hint="default" w:ascii="Times New Roman" w:hAnsi="Times New Roman" w:eastAsia="仿宋_GB2312" w:cs="Times New Roman"/>
          <w:b/>
          <w:i w:val="0"/>
          <w:iCs w:val="0"/>
          <w:color w:val="auto"/>
          <w:sz w:val="24"/>
          <w:highlight w:val="none"/>
        </w:rPr>
        <w:t>23.2.1 响应文件的资格性审查</w:t>
      </w:r>
      <w:r>
        <w:rPr>
          <w:rFonts w:hint="default" w:ascii="Times New Roman" w:hAnsi="Times New Roman" w:eastAsia="仿宋_GB2312" w:cs="Times New Roman"/>
          <w:i w:val="0"/>
          <w:iCs w:val="0"/>
          <w:color w:val="auto"/>
          <w:sz w:val="24"/>
          <w:highlight w:val="none"/>
        </w:rPr>
        <w:t>。依据《政府采购法》第二十三条和磋商文件的规定，</w:t>
      </w:r>
      <w:r>
        <w:rPr>
          <w:rFonts w:hint="default" w:ascii="Times New Roman" w:hAnsi="Times New Roman" w:eastAsia="仿宋_GB2312" w:cs="Times New Roman"/>
          <w:b/>
          <w:i w:val="0"/>
          <w:iCs w:val="0"/>
          <w:color w:val="auto"/>
          <w:sz w:val="24"/>
          <w:highlight w:val="none"/>
        </w:rPr>
        <w:t>采购人或采购代理机构负责</w:t>
      </w:r>
      <w:r>
        <w:rPr>
          <w:rFonts w:hint="default" w:ascii="Times New Roman" w:hAnsi="Times New Roman" w:eastAsia="仿宋_GB2312" w:cs="Times New Roman"/>
          <w:i w:val="0"/>
          <w:iCs w:val="0"/>
          <w:color w:val="auto"/>
          <w:sz w:val="24"/>
          <w:highlight w:val="none"/>
        </w:rPr>
        <w:t>对响应文件中的资格证明文件、信用查询记录等进行审查，以确认供应商具备相应资格。资格性审查出现下列情况者（但不限于），按无效文件处理：</w:t>
      </w:r>
    </w:p>
    <w:p>
      <w:pPr>
        <w:pStyle w:val="22"/>
        <w:ind w:left="840" w:left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highlight w:val="none"/>
        </w:rPr>
        <w:t>（</w:t>
      </w:r>
      <w:r>
        <w:rPr>
          <w:rFonts w:hint="default" w:ascii="Times New Roman" w:hAnsi="Times New Roman" w:eastAsia="仿宋_GB2312" w:cs="Times New Roman"/>
          <w:i w:val="0"/>
          <w:iCs w:val="0"/>
          <w:color w:val="auto"/>
          <w:sz w:val="24"/>
          <w:highlight w:val="none"/>
        </w:rPr>
        <w:t>1）供应商不符合《中华人民共和国政府采购法》第二十二条的规定和特定资格条件要求的。</w:t>
      </w:r>
    </w:p>
    <w:p>
      <w:pPr>
        <w:pStyle w:val="22"/>
        <w:ind w:left="840" w:left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（2）供应商没有经过正常渠道购买或免费领取磋商文件或供应商的名称与</w:t>
      </w:r>
      <w:r>
        <w:rPr>
          <w:rFonts w:hint="eastAsia" w:ascii="Times New Roman" w:hAnsi="Times New Roman" w:eastAsia="仿宋_GB2312" w:cs="Times New Roman"/>
          <w:i w:val="0"/>
          <w:iCs w:val="0"/>
          <w:color w:val="auto"/>
          <w:sz w:val="24"/>
          <w:highlight w:val="none"/>
          <w:lang w:val="en-US" w:eastAsia="zh-CN"/>
        </w:rPr>
        <w:t>获取</w:t>
      </w:r>
      <w:r>
        <w:rPr>
          <w:rFonts w:hint="default" w:ascii="Times New Roman" w:hAnsi="Times New Roman" w:eastAsia="仿宋_GB2312" w:cs="Times New Roman"/>
          <w:i w:val="0"/>
          <w:iCs w:val="0"/>
          <w:color w:val="auto"/>
          <w:sz w:val="24"/>
          <w:highlight w:val="none"/>
        </w:rPr>
        <w:t>磋商文件单位的名称不符。</w:t>
      </w:r>
    </w:p>
    <w:p>
      <w:pPr>
        <w:pStyle w:val="22"/>
        <w:ind w:left="840" w:left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（3）磋商响应文件中未提交法定代表人授权书（法定代表人直接参加磋商未按要求提交其有效身份证）或授权书的合法性或有效性不符合磋商文件规定。授权代表本单位证明的有效性或符合性不符合要求的。</w:t>
      </w:r>
    </w:p>
    <w:p>
      <w:pPr>
        <w:pStyle w:val="22"/>
        <w:ind w:left="840" w:left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（4）信用查询中列入失信被执行人、重大税收违法案件当事人名单、政府采购严重违法失信行为记录名单及其他不符合《中华人民共和国政府采购法》第二十二条规定条件的供应商。</w:t>
      </w:r>
    </w:p>
    <w:p>
      <w:pPr>
        <w:pStyle w:val="22"/>
        <w:ind w:left="840" w:left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（5）采购人或采购代理机构通过“信用中国”网站(www.creditchina.gov.cn)、中国政府采购网(www.ccgp.gov.cn) 等查询相关主体信用记录，并将查询网页打印、存档备查。</w:t>
      </w:r>
    </w:p>
    <w:p>
      <w:pPr>
        <w:pStyle w:val="22"/>
        <w:ind w:left="840" w:left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（6）查询时间为磋商文件发售期至评审截止时间前，此段时间段外，网站信息发生的任何变更均不作为资格审查依据。</w:t>
      </w:r>
    </w:p>
    <w:p>
      <w:pPr>
        <w:pStyle w:val="22"/>
        <w:ind w:left="840" w:left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供应商不良信用记录以采购人或采购代理机构查询结果为准。供应商自行提供的与网站信息不一致的其他证明材料亦不作为资格审查依据。</w:t>
      </w:r>
    </w:p>
    <w:p>
      <w:pPr>
        <w:pStyle w:val="22"/>
        <w:ind w:left="840" w:left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7）(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22"/>
        <w:ind w:left="843" w:hanging="843"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b/>
          <w:i w:val="0"/>
          <w:iCs w:val="0"/>
          <w:color w:val="auto"/>
          <w:sz w:val="24"/>
          <w:highlight w:val="none"/>
        </w:rPr>
        <w:t>23.2.2 磋商响应文件有效性、完整性和响应程度审查：磋商小组</w:t>
      </w:r>
      <w:r>
        <w:rPr>
          <w:rFonts w:hint="default" w:ascii="Times New Roman" w:hAnsi="Times New Roman" w:eastAsia="仿宋_GB2312" w:cs="Times New Roman"/>
          <w:i w:val="0"/>
          <w:iCs w:val="0"/>
          <w:color w:val="auto"/>
          <w:sz w:val="24"/>
          <w:highlight w:val="none"/>
        </w:rPr>
        <w:t>负责对通过资格审查的响应文件的有效性、完整性和响应性进行审查，以确定是否满足磋商文件要求，出现下列情况者（但不限于），按无效文件处理。</w:t>
      </w:r>
    </w:p>
    <w:p>
      <w:pPr>
        <w:pStyle w:val="22"/>
        <w:ind w:left="840" w:leftChars="400"/>
        <w:rPr>
          <w:rFonts w:hint="default" w:ascii="Times New Roman" w:hAnsi="Times New Roman" w:eastAsia="仿宋_GB2312" w:cs="Times New Roman"/>
          <w:i w:val="0"/>
          <w:iCs w:val="0"/>
          <w:color w:val="auto"/>
          <w:sz w:val="24"/>
          <w:highlight w:val="none"/>
          <w:lang w:eastAsia="zh-CN"/>
        </w:rPr>
      </w:pPr>
      <w:r>
        <w:rPr>
          <w:rFonts w:hint="default" w:ascii="Times New Roman" w:hAnsi="Times New Roman" w:eastAsia="仿宋_GB2312" w:cs="Times New Roman"/>
          <w:i w:val="0"/>
          <w:iCs w:val="0"/>
          <w:color w:val="auto"/>
          <w:sz w:val="24"/>
          <w:highlight w:val="none"/>
        </w:rPr>
        <w:t>（1）供应商未按磋商文件要求加盖单位公章</w:t>
      </w:r>
      <w:r>
        <w:rPr>
          <w:rFonts w:hint="default" w:ascii="Times New Roman" w:hAnsi="Times New Roman" w:eastAsia="仿宋_GB2312" w:cs="Times New Roman"/>
          <w:i w:val="0"/>
          <w:iCs w:val="0"/>
          <w:color w:val="auto"/>
          <w:sz w:val="24"/>
          <w:highlight w:val="none"/>
          <w:lang w:eastAsia="zh-CN"/>
        </w:rPr>
        <w:t>。</w:t>
      </w:r>
    </w:p>
    <w:p>
      <w:pPr>
        <w:pStyle w:val="22"/>
        <w:ind w:left="840" w:leftChars="400"/>
        <w:rPr>
          <w:rFonts w:hint="default" w:ascii="Times New Roman" w:hAnsi="Times New Roman" w:eastAsia="仿宋_GB2312" w:cs="Times New Roman"/>
          <w:i w:val="0"/>
          <w:iCs w:val="0"/>
          <w:color w:val="auto"/>
          <w:sz w:val="24"/>
          <w:highlight w:val="none"/>
          <w:lang w:eastAsia="zh-CN"/>
        </w:rPr>
      </w:pPr>
      <w:r>
        <w:rPr>
          <w:rFonts w:hint="default" w:ascii="Times New Roman" w:hAnsi="Times New Roman" w:eastAsia="仿宋_GB2312" w:cs="Times New Roman"/>
          <w:i w:val="0"/>
          <w:iCs w:val="0"/>
          <w:color w:val="auto"/>
          <w:sz w:val="24"/>
          <w:highlight w:val="none"/>
        </w:rPr>
        <w:t>（2）磋商响应文件未按磋商文件要求进行法定代表人或其授权代表签字</w:t>
      </w:r>
      <w:r>
        <w:rPr>
          <w:rFonts w:hint="default" w:ascii="Times New Roman" w:hAnsi="Times New Roman" w:eastAsia="仿宋_GB2312" w:cs="Times New Roman"/>
          <w:i w:val="0"/>
          <w:iCs w:val="0"/>
          <w:color w:val="auto"/>
          <w:sz w:val="24"/>
          <w:highlight w:val="none"/>
          <w:lang w:eastAsia="zh-CN"/>
        </w:rPr>
        <w:t>。</w:t>
      </w:r>
    </w:p>
    <w:p>
      <w:pPr>
        <w:pStyle w:val="22"/>
        <w:ind w:left="840" w:left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（3）无有效期或有效期达不到磋商文件的要求。</w:t>
      </w:r>
    </w:p>
    <w:p>
      <w:pPr>
        <w:pStyle w:val="22"/>
        <w:ind w:left="840" w:left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（4）供应商首次磋商报价出现选择性报价。</w:t>
      </w:r>
    </w:p>
    <w:p>
      <w:pPr>
        <w:pStyle w:val="22"/>
        <w:ind w:left="840" w:leftChars="400"/>
        <w:rPr>
          <w:rFonts w:hint="default" w:ascii="Times New Roman" w:hAnsi="Times New Roman" w:eastAsia="仿宋_GB2312" w:cs="Times New Roman"/>
          <w:i w:val="0"/>
          <w:iCs w:val="0"/>
          <w:color w:val="auto"/>
          <w:sz w:val="24"/>
          <w:highlight w:val="none"/>
          <w:lang w:eastAsia="zh-CN"/>
        </w:rPr>
      </w:pPr>
      <w:r>
        <w:rPr>
          <w:rFonts w:hint="default" w:ascii="Times New Roman" w:hAnsi="Times New Roman" w:eastAsia="仿宋_GB2312" w:cs="Times New Roman"/>
          <w:i w:val="0"/>
          <w:iCs w:val="0"/>
          <w:color w:val="auto"/>
          <w:sz w:val="24"/>
          <w:highlight w:val="none"/>
        </w:rPr>
        <w:t>（5）首次磋商报价超出采购预算</w:t>
      </w:r>
      <w:r>
        <w:rPr>
          <w:rFonts w:hint="default" w:ascii="Times New Roman" w:hAnsi="Times New Roman" w:eastAsia="仿宋_GB2312" w:cs="Times New Roman"/>
          <w:i w:val="0"/>
          <w:iCs w:val="0"/>
          <w:color w:val="auto"/>
          <w:sz w:val="24"/>
          <w:highlight w:val="none"/>
          <w:lang w:eastAsia="zh-CN"/>
        </w:rPr>
        <w:t>。</w:t>
      </w:r>
    </w:p>
    <w:p>
      <w:pPr>
        <w:pStyle w:val="22"/>
        <w:ind w:left="840" w:leftChars="400"/>
        <w:rPr>
          <w:rFonts w:hint="default" w:ascii="Times New Roman" w:hAnsi="Times New Roman" w:eastAsia="仿宋_GB2312" w:cs="Times New Roman"/>
          <w:i w:val="0"/>
          <w:iCs w:val="0"/>
          <w:color w:val="auto"/>
          <w:sz w:val="24"/>
          <w:highlight w:val="none"/>
          <w:lang w:eastAsia="zh-CN"/>
        </w:rPr>
      </w:pPr>
      <w:r>
        <w:rPr>
          <w:rFonts w:hint="default" w:ascii="Times New Roman" w:hAnsi="Times New Roman" w:eastAsia="仿宋_GB2312" w:cs="Times New Roman"/>
          <w:i w:val="0"/>
          <w:iCs w:val="0"/>
          <w:color w:val="auto"/>
          <w:sz w:val="24"/>
          <w:highlight w:val="none"/>
        </w:rPr>
        <w:t>（6）响应文件中对合同草案条款附加了采购人难以接受的条件</w:t>
      </w:r>
      <w:r>
        <w:rPr>
          <w:rFonts w:hint="default" w:ascii="Times New Roman" w:hAnsi="Times New Roman" w:eastAsia="仿宋_GB2312" w:cs="Times New Roman"/>
          <w:i w:val="0"/>
          <w:iCs w:val="0"/>
          <w:color w:val="auto"/>
          <w:sz w:val="24"/>
          <w:highlight w:val="none"/>
          <w:lang w:eastAsia="zh-CN"/>
        </w:rPr>
        <w:t>。</w:t>
      </w:r>
    </w:p>
    <w:p>
      <w:pPr>
        <w:pStyle w:val="22"/>
        <w:ind w:left="840" w:left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（7）</w:t>
      </w:r>
      <w:bookmarkStart w:id="525" w:name="_GoBack"/>
      <w:r>
        <w:rPr>
          <w:rFonts w:hint="default" w:ascii="Times New Roman" w:hAnsi="Times New Roman" w:eastAsia="仿宋_GB2312" w:cs="Times New Roman"/>
          <w:i w:val="0"/>
          <w:iCs w:val="0"/>
          <w:color w:val="auto"/>
          <w:sz w:val="24"/>
          <w:highlight w:val="none"/>
        </w:rPr>
        <w:t>磋商内容出现漏项或数量与要求不符，出现重大负偏差</w:t>
      </w:r>
      <w:bookmarkEnd w:id="525"/>
      <w:r>
        <w:rPr>
          <w:rFonts w:hint="default" w:ascii="Times New Roman" w:hAnsi="Times New Roman" w:eastAsia="仿宋_GB2312" w:cs="Times New Roman"/>
          <w:i w:val="0"/>
          <w:iCs w:val="0"/>
          <w:color w:val="auto"/>
          <w:sz w:val="24"/>
          <w:highlight w:val="none"/>
        </w:rPr>
        <w:t>。</w:t>
      </w:r>
    </w:p>
    <w:p>
      <w:pPr>
        <w:pStyle w:val="22"/>
        <w:ind w:left="840" w:left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（8）响应文件中技术指标达不到采购要求，降低了产品档次或影响产品性能、功能。</w:t>
      </w:r>
    </w:p>
    <w:p>
      <w:pPr>
        <w:pStyle w:val="22"/>
        <w:ind w:left="840" w:left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（9）响应报价与市场价偏离较大，低于成本，形成不正当竞争。</w:t>
      </w:r>
    </w:p>
    <w:p>
      <w:pPr>
        <w:pStyle w:val="22"/>
        <w:ind w:left="840" w:left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（10）供应商提供虚假证明，开具虚假资质，出现虚假应答或故意隐瞒行为。</w:t>
      </w:r>
    </w:p>
    <w:p>
      <w:pPr>
        <w:pStyle w:val="22"/>
        <w:ind w:left="840" w:left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 xml:space="preserve">（11）保证金未提交或未提交至指定账户、或提交保证金不符合磋商文件要求的。 </w:t>
      </w:r>
    </w:p>
    <w:p>
      <w:pPr>
        <w:pStyle w:val="5"/>
        <w:tabs>
          <w:tab w:val="left" w:pos="360"/>
        </w:tabs>
        <w:rPr>
          <w:rFonts w:hint="default" w:ascii="Times New Roman" w:hAnsi="Times New Roman" w:eastAsia="仿宋_GB2312" w:cs="Times New Roman"/>
          <w:b/>
          <w:i w:val="0"/>
          <w:iCs w:val="0"/>
          <w:color w:val="auto"/>
          <w:sz w:val="24"/>
          <w:szCs w:val="21"/>
          <w:highlight w:val="none"/>
        </w:rPr>
      </w:pPr>
      <w:bookmarkStart w:id="317" w:name="_Toc58504512"/>
      <w:r>
        <w:rPr>
          <w:rFonts w:hint="default" w:ascii="Times New Roman" w:hAnsi="Times New Roman" w:eastAsia="仿宋_GB2312" w:cs="Times New Roman"/>
          <w:b/>
          <w:i w:val="0"/>
          <w:iCs w:val="0"/>
          <w:color w:val="auto"/>
          <w:sz w:val="24"/>
          <w:szCs w:val="21"/>
          <w:highlight w:val="none"/>
        </w:rPr>
        <w:t>23.3   磋商</w:t>
      </w:r>
      <w:bookmarkEnd w:id="317"/>
    </w:p>
    <w:p>
      <w:pPr>
        <w:pStyle w:val="22"/>
        <w:ind w:left="840" w:hanging="840" w:hangingChars="350"/>
        <w:rPr>
          <w:rFonts w:hint="default" w:ascii="Times New Roman" w:hAnsi="Times New Roman" w:eastAsia="仿宋_GB2312" w:cs="Times New Roman"/>
          <w:i w:val="0"/>
          <w:iCs w:val="0"/>
          <w:color w:val="auto"/>
          <w:sz w:val="24"/>
          <w:highlight w:val="none"/>
        </w:rPr>
      </w:pPr>
      <w:bookmarkStart w:id="318" w:name="_Toc58504513"/>
      <w:r>
        <w:rPr>
          <w:rFonts w:hint="default" w:ascii="Times New Roman" w:hAnsi="Times New Roman" w:eastAsia="仿宋_GB2312" w:cs="Times New Roman"/>
          <w:i w:val="0"/>
          <w:iCs w:val="0"/>
          <w:color w:val="auto"/>
          <w:sz w:val="24"/>
          <w:highlight w:val="none"/>
        </w:rPr>
        <w:t>23.3.1 磋商小组集中与各供应商分别进行磋商，并给所有参加磋商供应商平等的磋商机会。</w:t>
      </w:r>
      <w:bookmarkEnd w:id="318"/>
    </w:p>
    <w:p>
      <w:pPr>
        <w:pStyle w:val="22"/>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23.3.2 磋商小组在对响应文件的有效性、完整性和响应程度进行审核时，以</w:t>
      </w:r>
      <w:r>
        <w:rPr>
          <w:rFonts w:hint="default" w:ascii="Times New Roman" w:hAnsi="Times New Roman" w:eastAsia="仿宋_GB2312" w:cs="Times New Roman"/>
          <w:b/>
          <w:i w:val="0"/>
          <w:iCs w:val="0"/>
          <w:color w:val="auto"/>
          <w:sz w:val="24"/>
          <w:highlight w:val="none"/>
        </w:rPr>
        <w:t>书面形式</w:t>
      </w:r>
      <w:r>
        <w:rPr>
          <w:rFonts w:hint="default" w:ascii="Times New Roman" w:hAnsi="Times New Roman" w:eastAsia="仿宋_GB2312" w:cs="Times New Roman"/>
          <w:i w:val="0"/>
          <w:iCs w:val="0"/>
          <w:color w:val="auto"/>
          <w:sz w:val="24"/>
          <w:highlight w:val="none"/>
        </w:rPr>
        <w:t>要求供应商对响应文件中含义不明确、同类问题表述不一致、或者明显文字和计算错误的内容在约定时间内做出必要的澄清、说明或更正。供应商澄清、说明或者更正应当由法定代表人或者授权代表签字或者加盖公章。澄清、说明或者更正不得超出响应范围，或者改变响应文件的实质性内容。</w:t>
      </w:r>
    </w:p>
    <w:p>
      <w:pPr>
        <w:pStyle w:val="22"/>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23.3.3 磋商过程中，磋商小组可以根据磋商文件和磋商情况实质性变动采购需求中的技术、服务要求以及合同草案条款，但不得变动磋商文件中的其他内容。实质性变动的内容，</w:t>
      </w:r>
      <w:r>
        <w:rPr>
          <w:rFonts w:hint="default" w:ascii="Times New Roman" w:hAnsi="Times New Roman" w:eastAsia="仿宋_GB2312" w:cs="Times New Roman"/>
          <w:i w:val="0"/>
          <w:iCs w:val="0"/>
          <w:color w:val="auto"/>
          <w:sz w:val="24"/>
          <w:highlight w:val="none"/>
          <w:lang w:val="en-US" w:eastAsia="zh-CN"/>
        </w:rPr>
        <w:t>需</w:t>
      </w:r>
      <w:r>
        <w:rPr>
          <w:rFonts w:hint="default" w:ascii="Times New Roman" w:hAnsi="Times New Roman" w:eastAsia="仿宋_GB2312" w:cs="Times New Roman"/>
          <w:i w:val="0"/>
          <w:iCs w:val="0"/>
          <w:color w:val="auto"/>
          <w:sz w:val="24"/>
          <w:highlight w:val="none"/>
        </w:rPr>
        <w:t>经采购人代表确认，并成为磋商文件的有效组成部分。</w:t>
      </w:r>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23.3.4 如出现下述情形之一的，视为供应商主动退出磋商，其响应将被拒绝：</w:t>
      </w:r>
    </w:p>
    <w:p>
      <w:pPr>
        <w:pStyle w:val="22"/>
        <w:ind w:left="840" w:left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（1）供应商未按要求确认磋商小组确定的本项目最终技术需求的；</w:t>
      </w:r>
    </w:p>
    <w:p>
      <w:pPr>
        <w:pStyle w:val="22"/>
        <w:ind w:left="840" w:left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（2）最后报价未实质性响应磋商小组确定的本项目最终技术需求的，或附有采购人无法接受的条件的。</w:t>
      </w:r>
    </w:p>
    <w:p>
      <w:pPr>
        <w:pStyle w:val="22"/>
        <w:rPr>
          <w:rFonts w:hint="default" w:ascii="Times New Roman" w:hAnsi="Times New Roman" w:eastAsia="仿宋_GB2312" w:cs="Times New Roman"/>
          <w:b/>
          <w:i w:val="0"/>
          <w:iCs w:val="0"/>
          <w:color w:val="auto"/>
          <w:sz w:val="24"/>
          <w:szCs w:val="21"/>
          <w:highlight w:val="none"/>
        </w:rPr>
      </w:pPr>
      <w:r>
        <w:rPr>
          <w:rFonts w:hint="default" w:ascii="Times New Roman" w:hAnsi="Times New Roman" w:eastAsia="仿宋_GB2312" w:cs="Times New Roman"/>
          <w:b/>
          <w:i w:val="0"/>
          <w:iCs w:val="0"/>
          <w:color w:val="auto"/>
          <w:sz w:val="24"/>
          <w:szCs w:val="21"/>
          <w:highlight w:val="none"/>
        </w:rPr>
        <w:t>23.4   最后报价</w:t>
      </w:r>
    </w:p>
    <w:p>
      <w:pPr>
        <w:pStyle w:val="22"/>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23.4.1 磋商结束后，磋商小组要求所有实质性响应的供应商在规定时间内提交最后报价，提交最后报价的供应商不少于3家。最后报价是供应商响应文件的有效组成部分。</w:t>
      </w:r>
    </w:p>
    <w:p>
      <w:pPr>
        <w:pStyle w:val="22"/>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23.4.2 最后报价应按报价的格式内容填写，并且同时提交最后响应报价表、最后报价明细表、最后节能、环境标志产品明细表等内容。各供应商在提交响应文件时，应对最后报价加盖供应商红色公章，且由法定代表人（或授权代表人）签字。</w:t>
      </w:r>
    </w:p>
    <w:p>
      <w:pPr>
        <w:pStyle w:val="5"/>
        <w:rPr>
          <w:rFonts w:hint="default" w:ascii="Times New Roman" w:hAnsi="Times New Roman" w:eastAsia="仿宋_GB2312" w:cs="Times New Roman"/>
          <w:b/>
          <w:bCs/>
          <w:i w:val="0"/>
          <w:iCs w:val="0"/>
          <w:color w:val="auto"/>
          <w:sz w:val="24"/>
          <w:szCs w:val="21"/>
          <w:highlight w:val="none"/>
        </w:rPr>
      </w:pPr>
      <w:bookmarkStart w:id="319" w:name="_Toc142311048"/>
      <w:bookmarkStart w:id="320" w:name="_Toc249515422"/>
      <w:bookmarkStart w:id="321" w:name="_Toc164608815"/>
      <w:bookmarkStart w:id="322" w:name="_Toc151193644"/>
      <w:bookmarkStart w:id="323" w:name="_Toc164229387"/>
      <w:bookmarkStart w:id="324" w:name="_Toc149720839"/>
      <w:bookmarkStart w:id="325" w:name="_Toc127151747"/>
      <w:bookmarkStart w:id="326" w:name="_Toc249515310"/>
      <w:bookmarkStart w:id="327" w:name="_Toc164229241"/>
      <w:bookmarkStart w:id="328" w:name="_Toc127161460"/>
      <w:bookmarkStart w:id="329" w:name="_Toc520356170"/>
      <w:bookmarkStart w:id="330" w:name="_Toc151190173"/>
      <w:bookmarkStart w:id="331" w:name="_Ref467307010"/>
      <w:bookmarkStart w:id="332" w:name="_Toc151193716"/>
      <w:bookmarkStart w:id="333" w:name="_Toc150480784"/>
      <w:bookmarkStart w:id="334" w:name="_Toc164351640"/>
      <w:bookmarkStart w:id="335" w:name="_Toc151193860"/>
      <w:bookmarkStart w:id="336" w:name="_Toc127151546"/>
      <w:bookmarkStart w:id="337" w:name="_Toc150774646"/>
      <w:bookmarkStart w:id="338" w:name="_Toc151193788"/>
      <w:bookmarkStart w:id="339" w:name="_Toc151193934"/>
      <w:bookmarkStart w:id="340" w:name="_Toc164608660"/>
      <w:bookmarkStart w:id="341" w:name="_Toc150509297"/>
      <w:bookmarkStart w:id="342" w:name="_Toc249525191"/>
      <w:bookmarkStart w:id="343" w:name="_Toc13753"/>
      <w:bookmarkStart w:id="344" w:name="_Toc150774751"/>
      <w:bookmarkStart w:id="345" w:name="_Toc195842911"/>
      <w:r>
        <w:rPr>
          <w:rFonts w:hint="default" w:ascii="Times New Roman" w:hAnsi="Times New Roman" w:eastAsia="仿宋_GB2312" w:cs="Times New Roman"/>
          <w:b/>
          <w:bCs/>
          <w:i w:val="0"/>
          <w:iCs w:val="0"/>
          <w:color w:val="auto"/>
          <w:sz w:val="24"/>
          <w:szCs w:val="21"/>
          <w:highlight w:val="none"/>
        </w:rPr>
        <w:t>24.    评审办法及</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Pr>
          <w:rFonts w:hint="default" w:ascii="Times New Roman" w:hAnsi="Times New Roman" w:eastAsia="仿宋_GB2312" w:cs="Times New Roman"/>
          <w:b/>
          <w:bCs/>
          <w:i w:val="0"/>
          <w:iCs w:val="0"/>
          <w:color w:val="auto"/>
          <w:sz w:val="24"/>
          <w:szCs w:val="21"/>
          <w:highlight w:val="none"/>
        </w:rPr>
        <w:t>落实政府采购政策，详见第三章。</w:t>
      </w:r>
    </w:p>
    <w:p>
      <w:pPr>
        <w:rPr>
          <w:rFonts w:hint="default" w:ascii="Times New Roman" w:hAnsi="Times New Roman" w:eastAsia="仿宋_GB2312" w:cs="Times New Roman"/>
          <w:i w:val="0"/>
          <w:iCs w:val="0"/>
          <w:color w:val="auto"/>
          <w:highlight w:val="none"/>
        </w:rPr>
      </w:pPr>
    </w:p>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16"/>
    <w:p>
      <w:pPr>
        <w:pStyle w:val="77"/>
        <w:spacing w:before="24" w:after="24"/>
        <w:jc w:val="center"/>
        <w:rPr>
          <w:rFonts w:hint="default" w:ascii="Times New Roman" w:hAnsi="Times New Roman" w:eastAsia="仿宋_GB2312" w:cs="Times New Roman"/>
          <w:i w:val="0"/>
          <w:iCs w:val="0"/>
          <w:color w:val="auto"/>
          <w:sz w:val="30"/>
          <w:szCs w:val="30"/>
          <w:highlight w:val="none"/>
        </w:rPr>
      </w:pPr>
      <w:bookmarkStart w:id="346" w:name="_Hlt497729446"/>
      <w:bookmarkEnd w:id="346"/>
      <w:bookmarkStart w:id="347" w:name="_Hlt491765714"/>
      <w:bookmarkEnd w:id="347"/>
      <w:bookmarkStart w:id="348" w:name="_Toc232176278"/>
      <w:bookmarkStart w:id="349" w:name="_Toc68590974"/>
      <w:bookmarkStart w:id="350" w:name="_Toc249515423"/>
      <w:bookmarkStart w:id="351" w:name="_Toc249525192"/>
      <w:bookmarkStart w:id="352" w:name="_Toc232395218"/>
      <w:bookmarkStart w:id="353" w:name="_Toc256342149"/>
      <w:bookmarkStart w:id="354" w:name="_Toc249515311"/>
      <w:bookmarkStart w:id="355" w:name="_Toc499711890"/>
      <w:bookmarkStart w:id="356" w:name="_Toc492955421"/>
      <w:bookmarkStart w:id="357" w:name="_Toc53722846"/>
      <w:bookmarkStart w:id="358" w:name="_Toc389620199"/>
      <w:bookmarkStart w:id="359" w:name="_Toc177995479"/>
      <w:bookmarkStart w:id="360" w:name="_Toc184043047"/>
      <w:bookmarkStart w:id="361" w:name="_Toc70687174"/>
      <w:bookmarkStart w:id="362" w:name="_Toc500746972"/>
      <w:bookmarkStart w:id="363" w:name="_Toc177817340"/>
      <w:bookmarkStart w:id="364" w:name="_Toc385992360"/>
      <w:bookmarkStart w:id="365" w:name="_Toc176882548"/>
      <w:bookmarkStart w:id="366" w:name="_Toc500747195"/>
      <w:bookmarkStart w:id="367" w:name="_Toc503063428"/>
      <w:bookmarkStart w:id="368" w:name="_Toc499711049"/>
      <w:bookmarkStart w:id="369" w:name="_Toc177189241"/>
      <w:bookmarkStart w:id="370" w:name="_Toc496324585"/>
      <w:bookmarkStart w:id="371" w:name="_Toc500747068"/>
      <w:r>
        <w:rPr>
          <w:rFonts w:hint="default" w:ascii="Times New Roman" w:hAnsi="Times New Roman" w:eastAsia="仿宋_GB2312" w:cs="Times New Roman"/>
          <w:i w:val="0"/>
          <w:iCs w:val="0"/>
          <w:color w:val="auto"/>
          <w:sz w:val="30"/>
          <w:szCs w:val="30"/>
          <w:highlight w:val="none"/>
        </w:rPr>
        <w:t>六、确定成交单位、授予合同</w:t>
      </w:r>
      <w:bookmarkEnd w:id="348"/>
      <w:bookmarkEnd w:id="349"/>
      <w:bookmarkEnd w:id="350"/>
      <w:bookmarkEnd w:id="351"/>
      <w:bookmarkEnd w:id="352"/>
      <w:bookmarkEnd w:id="353"/>
      <w:bookmarkEnd w:id="354"/>
    </w:p>
    <w:p>
      <w:pPr>
        <w:rPr>
          <w:rFonts w:hint="default" w:ascii="Times New Roman" w:hAnsi="Times New Roman" w:eastAsia="仿宋_GB2312" w:cs="Times New Roman"/>
          <w:i w:val="0"/>
          <w:iCs w:val="0"/>
          <w:color w:val="auto"/>
          <w:highlight w:val="none"/>
        </w:rPr>
      </w:pPr>
    </w:p>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Pr>
        <w:pStyle w:val="5"/>
        <w:numPr>
          <w:ilvl w:val="0"/>
          <w:numId w:val="10"/>
        </w:numPr>
        <w:rPr>
          <w:rFonts w:hint="default" w:ascii="Times New Roman" w:hAnsi="Times New Roman" w:eastAsia="仿宋_GB2312" w:cs="Times New Roman"/>
          <w:b/>
          <w:bCs/>
          <w:i w:val="0"/>
          <w:iCs w:val="0"/>
          <w:color w:val="auto"/>
          <w:sz w:val="24"/>
          <w:szCs w:val="21"/>
          <w:highlight w:val="none"/>
        </w:rPr>
      </w:pPr>
      <w:bookmarkStart w:id="372" w:name="_Toc385992361"/>
      <w:bookmarkStart w:id="373" w:name="_Toc27151"/>
      <w:bookmarkStart w:id="374" w:name="_Toc249515424"/>
      <w:bookmarkStart w:id="375" w:name="_Toc184043048"/>
      <w:bookmarkStart w:id="376" w:name="_Toc249515312"/>
      <w:bookmarkStart w:id="377" w:name="_Toc249525193"/>
      <w:bookmarkStart w:id="378" w:name="_Toc70687175"/>
      <w:bookmarkStart w:id="379" w:name="_Toc389620200"/>
      <w:r>
        <w:rPr>
          <w:rFonts w:hint="default" w:ascii="Times New Roman" w:hAnsi="Times New Roman" w:eastAsia="仿宋_GB2312" w:cs="Times New Roman"/>
          <w:b/>
          <w:bCs/>
          <w:i w:val="0"/>
          <w:iCs w:val="0"/>
          <w:color w:val="auto"/>
          <w:sz w:val="24"/>
          <w:szCs w:val="21"/>
          <w:highlight w:val="none"/>
        </w:rPr>
        <w:t xml:space="preserve">   确定成交</w:t>
      </w:r>
      <w:bookmarkEnd w:id="372"/>
      <w:bookmarkEnd w:id="373"/>
      <w:bookmarkEnd w:id="374"/>
      <w:bookmarkEnd w:id="375"/>
      <w:bookmarkEnd w:id="376"/>
      <w:bookmarkEnd w:id="377"/>
      <w:bookmarkEnd w:id="378"/>
      <w:bookmarkEnd w:id="379"/>
      <w:r>
        <w:rPr>
          <w:rFonts w:hint="default" w:ascii="Times New Roman" w:hAnsi="Times New Roman" w:eastAsia="仿宋_GB2312" w:cs="Times New Roman"/>
          <w:b/>
          <w:bCs/>
          <w:i w:val="0"/>
          <w:iCs w:val="0"/>
          <w:color w:val="auto"/>
          <w:sz w:val="24"/>
          <w:szCs w:val="21"/>
          <w:highlight w:val="none"/>
        </w:rPr>
        <w:t>单位</w:t>
      </w:r>
    </w:p>
    <w:p>
      <w:pPr>
        <w:tabs>
          <w:tab w:val="left" w:pos="588"/>
        </w:tabs>
        <w:spacing w:line="360"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25.1   采购代理机构应在评审结束后两个工作日内，将评审报告送采购人。</w:t>
      </w:r>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25.2   采购人在收到评审报告后五个工作日内，根据评审报告对评审过程及结果进行严格审核后确定成交供应商，复函采购代理机构。</w:t>
      </w:r>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25.3   采购代理机构在接到采购人的成交复函后，</w:t>
      </w:r>
      <w:r>
        <w:rPr>
          <w:rFonts w:hint="eastAsia" w:ascii="Times New Roman" w:hAnsi="Times New Roman" w:eastAsia="仿宋_GB2312" w:cs="Times New Roman"/>
          <w:i w:val="0"/>
          <w:iCs w:val="0"/>
          <w:color w:val="auto"/>
          <w:sz w:val="24"/>
          <w:highlight w:val="none"/>
          <w:lang w:val="en-US" w:eastAsia="zh-CN"/>
        </w:rPr>
        <w:t>两个工作日内</w:t>
      </w:r>
      <w:r>
        <w:rPr>
          <w:rFonts w:hint="default" w:ascii="Times New Roman" w:hAnsi="Times New Roman" w:eastAsia="仿宋_GB2312" w:cs="Times New Roman"/>
          <w:i w:val="0"/>
          <w:iCs w:val="0"/>
          <w:color w:val="auto"/>
          <w:sz w:val="24"/>
          <w:highlight w:val="none"/>
        </w:rPr>
        <w:t>在财政部门指定的政府采购信息发布媒体上公告，公告期限为一个工作日，并向成交供应商发出成交通知书。成交通知书是合同文件的组成部分。</w:t>
      </w:r>
    </w:p>
    <w:p>
      <w:pPr>
        <w:tabs>
          <w:tab w:val="left" w:pos="588"/>
        </w:tabs>
        <w:spacing w:line="360"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25.4   采购代理机构将评审过程及成交供应商情况书面报监督机构备案。</w:t>
      </w:r>
      <w:bookmarkStart w:id="380" w:name="_Toc385992364"/>
      <w:bookmarkStart w:id="381" w:name="_Toc389620203"/>
    </w:p>
    <w:bookmarkEnd w:id="380"/>
    <w:bookmarkEnd w:id="381"/>
    <w:p>
      <w:pPr>
        <w:pStyle w:val="5"/>
        <w:rPr>
          <w:rFonts w:hint="default" w:ascii="Times New Roman" w:hAnsi="Times New Roman" w:eastAsia="仿宋_GB2312" w:cs="Times New Roman"/>
          <w:b/>
          <w:bCs/>
          <w:i w:val="0"/>
          <w:iCs w:val="0"/>
          <w:color w:val="auto"/>
          <w:sz w:val="24"/>
          <w:szCs w:val="21"/>
          <w:highlight w:val="none"/>
        </w:rPr>
      </w:pPr>
      <w:bookmarkStart w:id="382" w:name="_Toc389620204"/>
      <w:bookmarkStart w:id="383" w:name="_Toc385992365"/>
      <w:r>
        <w:rPr>
          <w:rFonts w:hint="default" w:ascii="Times New Roman" w:hAnsi="Times New Roman" w:eastAsia="仿宋_GB2312" w:cs="Times New Roman"/>
          <w:b/>
          <w:bCs/>
          <w:i w:val="0"/>
          <w:iCs w:val="0"/>
          <w:color w:val="auto"/>
          <w:sz w:val="24"/>
          <w:szCs w:val="21"/>
          <w:highlight w:val="none"/>
        </w:rPr>
        <w:t>26.    合同</w:t>
      </w:r>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26.1   自成交通知书发出后</w:t>
      </w:r>
      <w:r>
        <w:rPr>
          <w:rFonts w:hint="eastAsia" w:eastAsia="仿宋_GB2312" w:cs="Times New Roman"/>
          <w:i w:val="0"/>
          <w:iCs w:val="0"/>
          <w:color w:val="auto"/>
          <w:sz w:val="24"/>
          <w:highlight w:val="none"/>
          <w:lang w:eastAsia="zh-CN"/>
        </w:rPr>
        <w:t>十个工作日</w:t>
      </w:r>
      <w:r>
        <w:rPr>
          <w:rFonts w:hint="default" w:ascii="Times New Roman" w:hAnsi="Times New Roman" w:eastAsia="仿宋_GB2312" w:cs="Times New Roman"/>
          <w:i w:val="0"/>
          <w:iCs w:val="0"/>
          <w:color w:val="auto"/>
          <w:sz w:val="24"/>
          <w:highlight w:val="none"/>
        </w:rPr>
        <w:t>内，按照磋商文件和成交供应商响应文件的约定，采购人与成交供应商洽谈合同条款，并签订合同。磋商文件及成交供应商的响应文件均作为合同的组成部分。</w:t>
      </w:r>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26.2   确定成交单位后，成交供应商因自身原因未按程序签订合同，采购人将取消其成交资格，同时报请监督机构备案，没收其保证金。在此情况下，采购人可按评审结果顺序将合同授予下一成交候选人或重新采购。</w:t>
      </w:r>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26.3   成交供应商签订合同后，持合同原件到采购代理机构，或采购代理机构根据陕西省政府采购网合同备案结果办理保证金退还手续。</w:t>
      </w:r>
    </w:p>
    <w:p>
      <w:pPr>
        <w:pStyle w:val="5"/>
        <w:rPr>
          <w:rFonts w:hint="default" w:ascii="Times New Roman" w:hAnsi="Times New Roman" w:eastAsia="仿宋_GB2312" w:cs="Times New Roman"/>
          <w:b/>
          <w:bCs/>
          <w:i w:val="0"/>
          <w:iCs w:val="0"/>
          <w:color w:val="auto"/>
          <w:sz w:val="24"/>
          <w:szCs w:val="21"/>
          <w:highlight w:val="none"/>
        </w:rPr>
      </w:pPr>
      <w:r>
        <w:rPr>
          <w:rFonts w:hint="default" w:ascii="Times New Roman" w:hAnsi="Times New Roman" w:eastAsia="仿宋_GB2312" w:cs="Times New Roman"/>
          <w:b/>
          <w:bCs/>
          <w:i w:val="0"/>
          <w:iCs w:val="0"/>
          <w:color w:val="auto"/>
          <w:sz w:val="24"/>
          <w:szCs w:val="21"/>
          <w:highlight w:val="none"/>
        </w:rPr>
        <w:t>27.    询问与质疑 </w:t>
      </w:r>
    </w:p>
    <w:p>
      <w:pPr>
        <w:tabs>
          <w:tab w:val="left" w:pos="588"/>
        </w:tabs>
        <w:spacing w:line="360"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27.1   供应商对政府采购活动事项有疑问的，可以向采购人提出询问。</w:t>
      </w:r>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27.2   供应商认为采购文件、采购过程和中标、成交结果使自己的权益受到损害的，可以在知道或者应知其权益受到损害之日起七个工作日内，以书面形式向采购人提出质疑。</w:t>
      </w:r>
    </w:p>
    <w:p>
      <w:pPr>
        <w:tabs>
          <w:tab w:val="left" w:pos="588"/>
        </w:tabs>
        <w:spacing w:line="360"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27.3   质疑供应商在法定质疑期内须一次性提出针对同一采购程序环节的质疑。</w:t>
      </w:r>
    </w:p>
    <w:p>
      <w:pPr>
        <w:tabs>
          <w:tab w:val="left" w:pos="588"/>
        </w:tabs>
        <w:spacing w:line="360"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27.4   供应商提出质疑应当提交质疑函和必要的证明材料。质疑函应当包括下列内容：</w:t>
      </w:r>
    </w:p>
    <w:p>
      <w:pPr>
        <w:pStyle w:val="67"/>
        <w:numPr>
          <w:ilvl w:val="0"/>
          <w:numId w:val="11"/>
        </w:numPr>
        <w:tabs>
          <w:tab w:val="left" w:pos="588"/>
        </w:tabs>
        <w:spacing w:line="360" w:lineRule="auto"/>
        <w:ind w:left="846" w:hanging="6" w:firstLineChars="0"/>
        <w:jc w:val="left"/>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供应商的姓名或者名称、地址、邮编、联系人及联系电话；</w:t>
      </w:r>
    </w:p>
    <w:p>
      <w:pPr>
        <w:pStyle w:val="67"/>
        <w:numPr>
          <w:ilvl w:val="0"/>
          <w:numId w:val="11"/>
        </w:numPr>
        <w:tabs>
          <w:tab w:val="left" w:pos="588"/>
        </w:tabs>
        <w:spacing w:line="360" w:lineRule="auto"/>
        <w:ind w:left="846" w:hanging="6" w:firstLineChars="0"/>
        <w:jc w:val="left"/>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质疑项目的名称、编号；</w:t>
      </w:r>
    </w:p>
    <w:p>
      <w:pPr>
        <w:pStyle w:val="67"/>
        <w:numPr>
          <w:ilvl w:val="0"/>
          <w:numId w:val="11"/>
        </w:numPr>
        <w:tabs>
          <w:tab w:val="left" w:pos="588"/>
        </w:tabs>
        <w:spacing w:line="360" w:lineRule="auto"/>
        <w:ind w:left="846" w:hanging="6" w:firstLineChars="0"/>
        <w:jc w:val="left"/>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具体、明确的质疑事项和与质疑事项相关的请求；</w:t>
      </w:r>
    </w:p>
    <w:p>
      <w:pPr>
        <w:pStyle w:val="67"/>
        <w:numPr>
          <w:ilvl w:val="0"/>
          <w:numId w:val="11"/>
        </w:numPr>
        <w:tabs>
          <w:tab w:val="left" w:pos="588"/>
        </w:tabs>
        <w:spacing w:line="360" w:lineRule="auto"/>
        <w:ind w:left="846" w:hanging="6" w:firstLineChars="0"/>
        <w:jc w:val="left"/>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事实依据；</w:t>
      </w:r>
    </w:p>
    <w:p>
      <w:pPr>
        <w:pStyle w:val="67"/>
        <w:numPr>
          <w:ilvl w:val="0"/>
          <w:numId w:val="11"/>
        </w:numPr>
        <w:tabs>
          <w:tab w:val="left" w:pos="588"/>
        </w:tabs>
        <w:spacing w:line="360" w:lineRule="auto"/>
        <w:ind w:left="846" w:hanging="6" w:firstLineChars="0"/>
        <w:jc w:val="left"/>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必要的法律依据；</w:t>
      </w:r>
    </w:p>
    <w:p>
      <w:pPr>
        <w:pStyle w:val="67"/>
        <w:numPr>
          <w:ilvl w:val="0"/>
          <w:numId w:val="11"/>
        </w:numPr>
        <w:tabs>
          <w:tab w:val="left" w:pos="588"/>
        </w:tabs>
        <w:spacing w:line="360" w:lineRule="auto"/>
        <w:ind w:left="846" w:hanging="6" w:firstLineChars="0"/>
        <w:jc w:val="left"/>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提出质疑的日期。</w:t>
      </w:r>
    </w:p>
    <w:p>
      <w:pPr>
        <w:pStyle w:val="67"/>
        <w:tabs>
          <w:tab w:val="left" w:pos="588"/>
        </w:tabs>
        <w:spacing w:line="360" w:lineRule="auto"/>
        <w:ind w:left="838" w:leftChars="399" w:firstLine="0" w:firstLineChars="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供应商为自然人的，应当由本人签字；供应商为法人或者其他组织的，应当由法定代表人或负责人签字或盖章，同时其授权代表签字，并加盖公章。</w:t>
      </w:r>
    </w:p>
    <w:p>
      <w:pPr>
        <w:tabs>
          <w:tab w:val="left" w:pos="588"/>
        </w:tabs>
        <w:spacing w:line="360" w:lineRule="auto"/>
        <w:ind w:left="960" w:hanging="960" w:hanging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27.5   符合要求的质疑，采购代理机构将予以受理并答复。</w:t>
      </w:r>
    </w:p>
    <w:p>
      <w:pPr>
        <w:tabs>
          <w:tab w:val="left" w:pos="588"/>
        </w:tabs>
        <w:spacing w:line="360" w:lineRule="auto"/>
        <w:ind w:left="840" w:left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联系人：李萍、王亚宁，联系电话：029-85235014</w:t>
      </w:r>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27.6   供应商进行虚假和恶意质疑的，采购代理机构将提供相关资料报监督机构，按其情况进行相应处理。</w:t>
      </w:r>
    </w:p>
    <w:bookmarkEnd w:id="382"/>
    <w:bookmarkEnd w:id="383"/>
    <w:p>
      <w:pPr>
        <w:pStyle w:val="5"/>
        <w:rPr>
          <w:rFonts w:hint="default" w:ascii="Times New Roman" w:hAnsi="Times New Roman" w:eastAsia="仿宋_GB2312" w:cs="Times New Roman"/>
          <w:b/>
          <w:bCs/>
          <w:i w:val="0"/>
          <w:iCs w:val="0"/>
          <w:color w:val="auto"/>
          <w:sz w:val="24"/>
          <w:szCs w:val="21"/>
          <w:highlight w:val="none"/>
        </w:rPr>
      </w:pPr>
      <w:bookmarkStart w:id="384" w:name="_Toc25547"/>
      <w:r>
        <w:rPr>
          <w:rFonts w:hint="default" w:ascii="Times New Roman" w:hAnsi="Times New Roman" w:eastAsia="仿宋_GB2312" w:cs="Times New Roman"/>
          <w:b/>
          <w:bCs/>
          <w:i w:val="0"/>
          <w:iCs w:val="0"/>
          <w:color w:val="auto"/>
          <w:sz w:val="24"/>
          <w:szCs w:val="21"/>
          <w:highlight w:val="none"/>
        </w:rPr>
        <w:t>28.    履约保证金</w:t>
      </w:r>
    </w:p>
    <w:p>
      <w:pPr>
        <w:tabs>
          <w:tab w:val="left" w:pos="588"/>
        </w:tabs>
        <w:spacing w:line="360"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28.1   履约保证金金额见</w:t>
      </w:r>
      <w:r>
        <w:rPr>
          <w:rFonts w:hint="default" w:ascii="Times New Roman" w:hAnsi="Times New Roman" w:eastAsia="仿宋_GB2312" w:cs="Times New Roman"/>
          <w:b/>
          <w:i w:val="0"/>
          <w:iCs w:val="0"/>
          <w:color w:val="auto"/>
          <w:sz w:val="24"/>
          <w:highlight w:val="none"/>
        </w:rPr>
        <w:t>供应商须知前附表</w:t>
      </w:r>
      <w:r>
        <w:rPr>
          <w:rFonts w:hint="default" w:ascii="Times New Roman" w:hAnsi="Times New Roman" w:eastAsia="仿宋_GB2312" w:cs="Times New Roman"/>
          <w:i w:val="0"/>
          <w:iCs w:val="0"/>
          <w:color w:val="auto"/>
          <w:sz w:val="24"/>
          <w:highlight w:val="none"/>
        </w:rPr>
        <w:t>。</w:t>
      </w:r>
    </w:p>
    <w:p>
      <w:pPr>
        <w:tabs>
          <w:tab w:val="left" w:pos="588"/>
        </w:tabs>
        <w:spacing w:line="360"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28.2   履约保证金缴纳时间：合同签订前必须交纳至（采购人）。</w:t>
      </w:r>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28.3   履约保证金缴纳形式：成交供应商应当以支票、汇票、本票、保函（格式见附件2）等非现金形式缴纳。</w:t>
      </w:r>
    </w:p>
    <w:p>
      <w:pPr>
        <w:tabs>
          <w:tab w:val="left" w:pos="588"/>
        </w:tabs>
        <w:spacing w:line="360"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28.4   履约保证金收取单位名称：</w:t>
      </w:r>
    </w:p>
    <w:p>
      <w:pPr>
        <w:tabs>
          <w:tab w:val="left" w:pos="588"/>
        </w:tabs>
        <w:spacing w:line="360" w:lineRule="auto"/>
        <w:ind w:left="840" w:left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开户银行：</w:t>
      </w:r>
    </w:p>
    <w:p>
      <w:pPr>
        <w:tabs>
          <w:tab w:val="left" w:pos="588"/>
        </w:tabs>
        <w:spacing w:line="360" w:lineRule="auto"/>
        <w:ind w:left="840" w:left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账号：</w:t>
      </w:r>
    </w:p>
    <w:p>
      <w:pPr>
        <w:tabs>
          <w:tab w:val="left" w:pos="588"/>
        </w:tabs>
        <w:spacing w:line="360" w:lineRule="auto"/>
        <w:ind w:left="840" w:left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联系人：               联系电话：</w:t>
      </w:r>
    </w:p>
    <w:p>
      <w:pPr>
        <w:tabs>
          <w:tab w:val="left" w:pos="588"/>
        </w:tabs>
        <w:spacing w:line="360"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28.5   履约保证金退还的方式、时间、条件：*****</w:t>
      </w:r>
    </w:p>
    <w:p>
      <w:pPr>
        <w:tabs>
          <w:tab w:val="left" w:pos="588"/>
        </w:tabs>
        <w:spacing w:line="360"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28.6   履约保证金不予退还的情况：****</w:t>
      </w:r>
    </w:p>
    <w:p>
      <w:pPr>
        <w:tabs>
          <w:tab w:val="left" w:pos="588"/>
        </w:tabs>
        <w:spacing w:line="360"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28.7   逾期退还履约保证金的违约责任：****</w:t>
      </w:r>
    </w:p>
    <w:p>
      <w:pPr>
        <w:pStyle w:val="5"/>
        <w:rPr>
          <w:rFonts w:hint="default" w:ascii="Times New Roman" w:hAnsi="Times New Roman" w:eastAsia="仿宋_GB2312" w:cs="Times New Roman"/>
          <w:b/>
          <w:bCs/>
          <w:i w:val="0"/>
          <w:iCs w:val="0"/>
          <w:color w:val="auto"/>
          <w:sz w:val="24"/>
          <w:szCs w:val="21"/>
          <w:highlight w:val="none"/>
        </w:rPr>
      </w:pPr>
      <w:r>
        <w:rPr>
          <w:rFonts w:hint="default" w:ascii="Times New Roman" w:hAnsi="Times New Roman" w:eastAsia="仿宋_GB2312" w:cs="Times New Roman"/>
          <w:b/>
          <w:bCs/>
          <w:i w:val="0"/>
          <w:iCs w:val="0"/>
          <w:color w:val="auto"/>
          <w:sz w:val="24"/>
          <w:szCs w:val="21"/>
          <w:highlight w:val="none"/>
        </w:rPr>
        <w:t>29.    成交服务费</w:t>
      </w:r>
      <w:bookmarkEnd w:id="384"/>
    </w:p>
    <w:p>
      <w:pPr>
        <w:tabs>
          <w:tab w:val="left" w:pos="588"/>
        </w:tabs>
        <w:spacing w:line="360" w:lineRule="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29.1   成交供应商在领取成交通知书前，须向采购代理机构支付成交服务费，服务费由采购人与采购代理机构约定：</w:t>
      </w:r>
    </w:p>
    <w:p>
      <w:pPr>
        <w:snapToGrid w:val="0"/>
        <w:spacing w:line="360" w:lineRule="auto"/>
        <w:ind w:left="840" w:left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sym w:font="Wingdings 2" w:char="0052"/>
      </w:r>
      <w:r>
        <w:rPr>
          <w:rFonts w:hint="default" w:ascii="Times New Roman" w:hAnsi="Times New Roman" w:eastAsia="仿宋_GB2312" w:cs="Times New Roman"/>
          <w:i w:val="0"/>
          <w:iCs w:val="0"/>
          <w:color w:val="auto"/>
          <w:sz w:val="24"/>
          <w:highlight w:val="none"/>
        </w:rPr>
        <w:t>参照原国家计委计价格〔2002〕1980号文和国家发改委发改办价格〔200</w:t>
      </w:r>
      <w:r>
        <w:rPr>
          <w:rFonts w:hint="default" w:ascii="Times New Roman" w:hAnsi="Times New Roman" w:eastAsia="仿宋_GB2312" w:cs="Times New Roman"/>
          <w:i w:val="0"/>
          <w:iCs w:val="0"/>
          <w:color w:val="auto"/>
          <w:sz w:val="24"/>
          <w:highlight w:val="none"/>
          <w:lang w:val="en-US" w:eastAsia="zh-CN"/>
        </w:rPr>
        <w:t>3</w:t>
      </w:r>
      <w:r>
        <w:rPr>
          <w:rFonts w:hint="default" w:ascii="Times New Roman" w:hAnsi="Times New Roman" w:eastAsia="仿宋_GB2312" w:cs="Times New Roman"/>
          <w:i w:val="0"/>
          <w:iCs w:val="0"/>
          <w:color w:val="auto"/>
          <w:sz w:val="24"/>
          <w:highlight w:val="none"/>
        </w:rPr>
        <w:t>〕857号文的计算方法（按标段）收取。</w:t>
      </w:r>
    </w:p>
    <w:p>
      <w:pPr>
        <w:snapToGrid w:val="0"/>
        <w:spacing w:line="360" w:lineRule="auto"/>
        <w:ind w:left="840" w:leftChars="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sym w:font="Wingdings 2" w:char="00A3"/>
      </w:r>
      <w:r>
        <w:rPr>
          <w:rFonts w:hint="default" w:ascii="Times New Roman" w:hAnsi="Times New Roman" w:eastAsia="仿宋_GB2312" w:cs="Times New Roman"/>
          <w:i w:val="0"/>
          <w:iCs w:val="0"/>
          <w:color w:val="auto"/>
          <w:sz w:val="24"/>
          <w:highlight w:val="none"/>
        </w:rPr>
        <w:t>由采购人与采购代理机构约定，按</w:t>
      </w:r>
      <w:r>
        <w:rPr>
          <w:rFonts w:hint="default" w:ascii="Times New Roman" w:hAnsi="Times New Roman" w:eastAsia="仿宋_GB2312" w:cs="Times New Roman"/>
          <w:i w:val="0"/>
          <w:iCs w:val="0"/>
          <w:color w:val="auto"/>
          <w:sz w:val="24"/>
          <w:highlight w:val="none"/>
          <w:u w:val="single"/>
        </w:rPr>
        <w:t xml:space="preserve">    </w:t>
      </w:r>
      <w:r>
        <w:rPr>
          <w:rFonts w:hint="default" w:ascii="Times New Roman" w:hAnsi="Times New Roman" w:eastAsia="仿宋_GB2312" w:cs="Times New Roman"/>
          <w:i w:val="0"/>
          <w:iCs w:val="0"/>
          <w:color w:val="auto"/>
          <w:sz w:val="24"/>
          <w:highlight w:val="none"/>
        </w:rPr>
        <w:t>元收取。</w:t>
      </w:r>
    </w:p>
    <w:p>
      <w:pPr>
        <w:snapToGrid w:val="0"/>
        <w:spacing w:line="360"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29.2   成交单位的代理服务费交纳信息</w:t>
      </w:r>
    </w:p>
    <w:p>
      <w:pPr>
        <w:snapToGrid w:val="0"/>
        <w:spacing w:line="360" w:lineRule="auto"/>
        <w:ind w:firstLine="840" w:firstLine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银行户名：陕西省采购招标有限责任公司</w:t>
      </w:r>
    </w:p>
    <w:p>
      <w:pPr>
        <w:snapToGrid w:val="0"/>
        <w:spacing w:line="360" w:lineRule="auto"/>
        <w:ind w:firstLine="840" w:firstLine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开户银行：中国光大银行西安友谊路支行</w:t>
      </w:r>
    </w:p>
    <w:p>
      <w:pPr>
        <w:snapToGrid w:val="0"/>
        <w:spacing w:line="360" w:lineRule="auto"/>
        <w:ind w:firstLine="840" w:firstLine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账    号：78560188000095264</w:t>
      </w:r>
    </w:p>
    <w:p>
      <w:pPr>
        <w:snapToGrid w:val="0"/>
        <w:spacing w:line="360" w:lineRule="auto"/>
        <w:ind w:firstLine="840" w:firstLine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联</w:t>
      </w:r>
      <w:r>
        <w:rPr>
          <w:rFonts w:hint="default" w:ascii="Times New Roman" w:hAnsi="Times New Roman" w:eastAsia="仿宋_GB2312" w:cs="Times New Roman"/>
          <w:i w:val="0"/>
          <w:iCs w:val="0"/>
          <w:color w:val="auto"/>
          <w:sz w:val="24"/>
          <w:highlight w:val="none"/>
          <w:lang w:val="en-US" w:eastAsia="zh-CN"/>
        </w:rPr>
        <w:t xml:space="preserve"> </w:t>
      </w:r>
      <w:r>
        <w:rPr>
          <w:rFonts w:hint="default" w:ascii="Times New Roman" w:hAnsi="Times New Roman" w:eastAsia="仿宋_GB2312" w:cs="Times New Roman"/>
          <w:i w:val="0"/>
          <w:iCs w:val="0"/>
          <w:color w:val="auto"/>
          <w:sz w:val="24"/>
          <w:highlight w:val="none"/>
        </w:rPr>
        <w:t>系</w:t>
      </w:r>
      <w:r>
        <w:rPr>
          <w:rFonts w:hint="default" w:ascii="Times New Roman" w:hAnsi="Times New Roman" w:eastAsia="仿宋_GB2312" w:cs="Times New Roman"/>
          <w:i w:val="0"/>
          <w:iCs w:val="0"/>
          <w:color w:val="auto"/>
          <w:sz w:val="24"/>
          <w:highlight w:val="none"/>
          <w:lang w:val="en-US" w:eastAsia="zh-CN"/>
        </w:rPr>
        <w:t xml:space="preserve"> </w:t>
      </w:r>
      <w:r>
        <w:rPr>
          <w:rFonts w:hint="default" w:ascii="Times New Roman" w:hAnsi="Times New Roman" w:eastAsia="仿宋_GB2312" w:cs="Times New Roman"/>
          <w:i w:val="0"/>
          <w:iCs w:val="0"/>
          <w:color w:val="auto"/>
          <w:sz w:val="24"/>
          <w:highlight w:val="none"/>
        </w:rPr>
        <w:t>人：张婕   联系电话：029-85263975</w:t>
      </w:r>
    </w:p>
    <w:p>
      <w:pPr>
        <w:pStyle w:val="5"/>
        <w:numPr>
          <w:ilvl w:val="0"/>
          <w:numId w:val="12"/>
        </w:numPr>
        <w:rPr>
          <w:rFonts w:hint="default" w:ascii="Times New Roman" w:hAnsi="Times New Roman" w:eastAsia="仿宋_GB2312" w:cs="Times New Roman"/>
          <w:b/>
          <w:bCs/>
          <w:i w:val="0"/>
          <w:iCs w:val="0"/>
          <w:color w:val="auto"/>
          <w:sz w:val="24"/>
          <w:szCs w:val="21"/>
          <w:highlight w:val="none"/>
        </w:rPr>
      </w:pPr>
      <w:bookmarkStart w:id="385" w:name="_Toc1585"/>
      <w:r>
        <w:rPr>
          <w:rFonts w:hint="default" w:ascii="Times New Roman" w:hAnsi="Times New Roman" w:eastAsia="仿宋_GB2312" w:cs="Times New Roman"/>
          <w:b/>
          <w:bCs/>
          <w:i w:val="0"/>
          <w:iCs w:val="0"/>
          <w:color w:val="auto"/>
          <w:sz w:val="24"/>
          <w:szCs w:val="21"/>
          <w:highlight w:val="none"/>
        </w:rPr>
        <w:t xml:space="preserve">  采购人追加采购数量的权力</w:t>
      </w:r>
      <w:bookmarkEnd w:id="385"/>
    </w:p>
    <w:p>
      <w:pPr>
        <w:tabs>
          <w:tab w:val="left" w:pos="588"/>
        </w:tabs>
        <w:spacing w:line="360" w:lineRule="auto"/>
        <w:ind w:left="840" w:leftChars="400"/>
        <w:rPr>
          <w:rFonts w:hint="default" w:ascii="Times New Roman" w:hAnsi="Times New Roman" w:eastAsia="仿宋_GB2312" w:cs="Times New Roman"/>
          <w:i w:val="0"/>
          <w:iCs w:val="0"/>
          <w:color w:val="auto"/>
          <w:sz w:val="24"/>
          <w:highlight w:val="none"/>
        </w:rPr>
      </w:pPr>
      <w:bookmarkStart w:id="386" w:name="_Toc389620205"/>
      <w:bookmarkStart w:id="387" w:name="_Toc385992366"/>
      <w:r>
        <w:rPr>
          <w:rFonts w:hint="default" w:ascii="Times New Roman" w:hAnsi="Times New Roman" w:eastAsia="仿宋_GB2312" w:cs="Times New Roman"/>
          <w:i w:val="0"/>
          <w:iCs w:val="0"/>
          <w:color w:val="auto"/>
          <w:sz w:val="24"/>
          <w:highlight w:val="none"/>
        </w:rPr>
        <w:t>在合同履行中，采购人需追加与合同标的相同服务的，在不改变合同其他条款的前提下，采购人有权与成交供应商协商签订补充合同，但所有补充合同的采购金额不得超过原合同采购金额的10%。</w:t>
      </w:r>
    </w:p>
    <w:p>
      <w:pPr>
        <w:pStyle w:val="5"/>
        <w:numPr>
          <w:ilvl w:val="0"/>
          <w:numId w:val="12"/>
        </w:numPr>
        <w:rPr>
          <w:rFonts w:hint="default" w:ascii="Times New Roman" w:hAnsi="Times New Roman" w:eastAsia="仿宋_GB2312" w:cs="Times New Roman"/>
          <w:b/>
          <w:bCs/>
          <w:i w:val="0"/>
          <w:iCs w:val="0"/>
          <w:color w:val="auto"/>
          <w:sz w:val="24"/>
          <w:szCs w:val="21"/>
          <w:highlight w:val="none"/>
        </w:rPr>
      </w:pPr>
      <w:r>
        <w:rPr>
          <w:rFonts w:hint="default" w:ascii="Times New Roman" w:hAnsi="Times New Roman" w:eastAsia="仿宋_GB2312" w:cs="Times New Roman"/>
          <w:b/>
          <w:bCs/>
          <w:i w:val="0"/>
          <w:iCs w:val="0"/>
          <w:color w:val="auto"/>
          <w:sz w:val="24"/>
          <w:szCs w:val="21"/>
          <w:highlight w:val="none"/>
        </w:rPr>
        <w:t xml:space="preserve">   其他情况</w:t>
      </w:r>
    </w:p>
    <w:p>
      <w:pPr>
        <w:pStyle w:val="22"/>
        <w:shd w:val="clear" w:color="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pPr>
        <w:pStyle w:val="22"/>
        <w:shd w:val="clear" w:color="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31.2   连续两次进行竞争性磋商活动，因符合磋商要求供应商不足3家，经请示政府采购管理部门同意后，可继续进行竞争性磋商活动。</w:t>
      </w:r>
    </w:p>
    <w:p>
      <w:pPr>
        <w:pStyle w:val="5"/>
        <w:numPr>
          <w:ilvl w:val="0"/>
          <w:numId w:val="12"/>
        </w:numPr>
        <w:rPr>
          <w:rFonts w:hint="default" w:ascii="Times New Roman" w:hAnsi="Times New Roman" w:eastAsia="仿宋_GB2312" w:cs="Times New Roman"/>
          <w:b/>
          <w:bCs/>
          <w:i w:val="0"/>
          <w:iCs w:val="0"/>
          <w:color w:val="auto"/>
          <w:sz w:val="24"/>
          <w:szCs w:val="21"/>
          <w:highlight w:val="none"/>
        </w:rPr>
      </w:pPr>
      <w:r>
        <w:rPr>
          <w:rFonts w:hint="default" w:ascii="Times New Roman" w:hAnsi="Times New Roman" w:eastAsia="仿宋_GB2312" w:cs="Times New Roman"/>
          <w:b/>
          <w:bCs/>
          <w:i w:val="0"/>
          <w:iCs w:val="0"/>
          <w:color w:val="auto"/>
          <w:sz w:val="24"/>
          <w:szCs w:val="21"/>
          <w:highlight w:val="none"/>
          <w:lang w:val="en-US" w:eastAsia="zh-CN"/>
        </w:rPr>
        <w:t xml:space="preserve">   </w:t>
      </w:r>
      <w:r>
        <w:rPr>
          <w:rFonts w:hint="default" w:ascii="Times New Roman" w:hAnsi="Times New Roman" w:eastAsia="仿宋_GB2312" w:cs="Times New Roman"/>
          <w:b/>
          <w:bCs/>
          <w:i w:val="0"/>
          <w:iCs w:val="0"/>
          <w:color w:val="auto"/>
          <w:sz w:val="24"/>
          <w:szCs w:val="21"/>
          <w:highlight w:val="none"/>
        </w:rPr>
        <w:t>政府采购信用担保及融资</w:t>
      </w:r>
    </w:p>
    <w:p>
      <w:pPr>
        <w:pStyle w:val="22"/>
        <w:shd w:val="clear" w:color="auto"/>
        <w:ind w:left="840" w:hanging="840" w:hangingChars="3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32.</w:t>
      </w:r>
      <w:r>
        <w:rPr>
          <w:rFonts w:hint="eastAsia" w:ascii="Times New Roman" w:hAnsi="Times New Roman" w:eastAsia="仿宋_GB2312" w:cs="Times New Roman"/>
          <w:i w:val="0"/>
          <w:iCs w:val="0"/>
          <w:color w:val="auto"/>
          <w:sz w:val="24"/>
          <w:highlight w:val="none"/>
          <w:lang w:val="en-US" w:eastAsia="zh-CN"/>
        </w:rPr>
        <w:t>1</w:t>
      </w:r>
      <w:r>
        <w:rPr>
          <w:rFonts w:hint="default" w:ascii="Times New Roman" w:hAnsi="Times New Roman" w:eastAsia="仿宋_GB2312" w:cs="Times New Roman"/>
          <w:i w:val="0"/>
          <w:iCs w:val="0"/>
          <w:color w:val="auto"/>
          <w:sz w:val="24"/>
          <w:highlight w:val="none"/>
        </w:rPr>
        <w:t xml:space="preserve">   供应商递交的履约担保函应符合本磋商文件的规定。</w:t>
      </w:r>
    </w:p>
    <w:p>
      <w:pPr>
        <w:spacing w:line="360" w:lineRule="auto"/>
        <w:ind w:left="850" w:hanging="849" w:hangingChars="354"/>
        <w:rPr>
          <w:rFonts w:hint="default" w:ascii="Times New Roman" w:hAnsi="Times New Roman" w:eastAsia="仿宋_GB2312" w:cs="Times New Roman"/>
          <w:b/>
          <w:bCs/>
          <w:i w:val="0"/>
          <w:iCs w:val="0"/>
          <w:color w:val="auto"/>
          <w:sz w:val="24"/>
          <w:highlight w:val="none"/>
        </w:rPr>
      </w:pPr>
      <w:r>
        <w:rPr>
          <w:rFonts w:hint="default" w:ascii="Times New Roman" w:hAnsi="Times New Roman" w:eastAsia="仿宋_GB2312" w:cs="Times New Roman"/>
          <w:i w:val="0"/>
          <w:iCs w:val="0"/>
          <w:color w:val="auto"/>
          <w:sz w:val="24"/>
          <w:highlight w:val="none"/>
        </w:rPr>
        <w:t>32.</w:t>
      </w:r>
      <w:r>
        <w:rPr>
          <w:rFonts w:hint="eastAsia" w:ascii="Times New Roman" w:hAnsi="Times New Roman" w:eastAsia="仿宋_GB2312" w:cs="Times New Roman"/>
          <w:i w:val="0"/>
          <w:iCs w:val="0"/>
          <w:color w:val="auto"/>
          <w:sz w:val="24"/>
          <w:highlight w:val="none"/>
          <w:lang w:val="en-US" w:eastAsia="zh-CN"/>
        </w:rPr>
        <w:t>2</w:t>
      </w:r>
      <w:r>
        <w:rPr>
          <w:rFonts w:hint="default" w:ascii="Times New Roman" w:hAnsi="Times New Roman" w:eastAsia="仿宋_GB2312" w:cs="Times New Roman"/>
          <w:i w:val="0"/>
          <w:iCs w:val="0"/>
          <w:color w:val="auto"/>
          <w:sz w:val="24"/>
          <w:highlight w:val="none"/>
        </w:rPr>
        <w:t xml:space="preserve">   </w:t>
      </w:r>
      <w:r>
        <w:rPr>
          <w:rFonts w:hint="default" w:ascii="Times New Roman" w:hAnsi="Times New Roman" w:eastAsia="仿宋_GB2312" w:cs="Times New Roman"/>
          <w:b/>
          <w:bCs/>
          <w:i w:val="0"/>
          <w:iCs w:val="0"/>
          <w:color w:val="auto"/>
          <w:sz w:val="24"/>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360" w:lineRule="auto"/>
        <w:ind w:left="958" w:leftChars="456" w:firstLine="0" w:firstLineChars="0"/>
        <w:textAlignment w:val="auto"/>
        <w:rPr>
          <w:rFonts w:hint="default" w:ascii="Times New Roman" w:hAnsi="Times New Roman" w:eastAsia="仿宋_GB2312" w:cs="Times New Roman"/>
          <w:b/>
          <w:bCs/>
          <w:i w:val="0"/>
          <w:iCs w:val="0"/>
          <w:color w:val="auto"/>
          <w:kern w:val="2"/>
          <w:sz w:val="24"/>
          <w:szCs w:val="24"/>
          <w:highlight w:val="none"/>
          <w:lang w:val="en-US" w:eastAsia="zh-CN" w:bidi="ar-SA"/>
        </w:rPr>
      </w:pPr>
      <w:r>
        <w:rPr>
          <w:rFonts w:hint="default" w:ascii="Times New Roman" w:hAnsi="Times New Roman" w:eastAsia="仿宋_GB2312" w:cs="Times New Roman"/>
          <w:b/>
          <w:bCs/>
          <w:i w:val="0"/>
          <w:iCs w:val="0"/>
          <w:color w:val="auto"/>
          <w:kern w:val="2"/>
          <w:sz w:val="24"/>
          <w:szCs w:val="24"/>
          <w:highlight w:val="none"/>
          <w:lang w:val="en-US" w:eastAsia="zh-CN" w:bidi="ar-SA"/>
        </w:rPr>
        <w:t>目前的合作银行有：北京银行、中国建设银行、中信银行、中国平安银行、中国光大银行、浦发银行、兴业银行、中国工商银行、秦农银行、浙商银行、中国银行、西安银行、中国农业银行、中国邮政储蓄银行（排名不分先后）。</w:t>
      </w:r>
    </w:p>
    <w:p>
      <w:pPr>
        <w:pStyle w:val="22"/>
        <w:tabs>
          <w:tab w:val="left" w:pos="567"/>
        </w:tabs>
        <w:spacing w:line="360" w:lineRule="auto"/>
        <w:ind w:left="840" w:leftChars="400" w:firstLine="0" w:firstLineChars="0"/>
        <w:rPr>
          <w:rFonts w:hint="eastAsia" w:ascii="Times New Roman" w:hAnsi="Times New Roman" w:eastAsia="仿宋_GB2312" w:cs="Times New Roman"/>
          <w:i w:val="0"/>
          <w:iCs w:val="0"/>
          <w:color w:val="auto"/>
          <w:kern w:val="2"/>
          <w:sz w:val="24"/>
          <w:szCs w:val="24"/>
          <w:highlight w:val="none"/>
          <w:lang w:val="en-US" w:eastAsia="zh-CN" w:bidi="ar-SA"/>
        </w:rPr>
      </w:pPr>
      <w:r>
        <w:rPr>
          <w:rFonts w:hint="eastAsia" w:ascii="Times New Roman" w:hAnsi="Times New Roman" w:eastAsia="仿宋_GB2312" w:cs="Times New Roman"/>
          <w:i w:val="0"/>
          <w:iCs w:val="0"/>
          <w:color w:val="auto"/>
          <w:kern w:val="2"/>
          <w:sz w:val="24"/>
          <w:szCs w:val="24"/>
          <w:highlight w:val="none"/>
          <w:lang w:val="en-US" w:eastAsia="zh-CN" w:bidi="ar-SA"/>
        </w:rPr>
        <w:t>政府采购信用融资，是指银行业金融机构（以下简称银行）以政府采购诚信考核和信用审查为基础，凭借政府采购合同，按优于一般中小企业的贷款利率直接向申请贷款的供应商发放贷款的一种融资方式。</w:t>
      </w:r>
    </w:p>
    <w:p>
      <w:pPr>
        <w:pStyle w:val="22"/>
        <w:tabs>
          <w:tab w:val="left" w:pos="567"/>
        </w:tabs>
        <w:spacing w:line="360" w:lineRule="auto"/>
        <w:ind w:left="840" w:leftChars="400" w:firstLine="0" w:firstLineChars="0"/>
        <w:rPr>
          <w:rFonts w:hint="default" w:ascii="Times New Roman" w:hAnsi="Times New Roman" w:eastAsia="仿宋_GB2312" w:cs="Times New Roman"/>
          <w:i w:val="0"/>
          <w:iCs w:val="0"/>
          <w:color w:val="auto"/>
          <w:kern w:val="2"/>
          <w:sz w:val="24"/>
          <w:szCs w:val="24"/>
          <w:highlight w:val="none"/>
          <w:lang w:val="en-US" w:eastAsia="zh-CN" w:bidi="ar-SA"/>
        </w:rPr>
      </w:pPr>
      <w:r>
        <w:rPr>
          <w:rFonts w:hint="default" w:ascii="Times New Roman" w:hAnsi="Times New Roman" w:eastAsia="仿宋_GB2312" w:cs="Times New Roman"/>
          <w:i w:val="0"/>
          <w:iCs w:val="0"/>
          <w:color w:val="auto"/>
          <w:kern w:val="2"/>
          <w:sz w:val="24"/>
          <w:szCs w:val="24"/>
          <w:highlight w:val="none"/>
          <w:lang w:val="en-US" w:eastAsia="zh-CN" w:bidi="ar-SA"/>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pPr>
        <w:pStyle w:val="22"/>
        <w:tabs>
          <w:tab w:val="left" w:pos="567"/>
        </w:tabs>
        <w:spacing w:line="360" w:lineRule="auto"/>
        <w:ind w:left="840" w:leftChars="400" w:firstLine="0" w:firstLineChars="0"/>
        <w:rPr>
          <w:rFonts w:hint="default" w:ascii="Times New Roman" w:hAnsi="Times New Roman" w:eastAsia="仿宋_GB2312" w:cs="Times New Roman"/>
          <w:i w:val="0"/>
          <w:iCs w:val="0"/>
          <w:color w:val="auto"/>
          <w:kern w:val="2"/>
          <w:sz w:val="24"/>
          <w:szCs w:val="24"/>
          <w:highlight w:val="none"/>
          <w:lang w:val="en-US" w:eastAsia="zh-CN" w:bidi="ar-SA"/>
        </w:rPr>
      </w:pPr>
      <w:r>
        <w:rPr>
          <w:rFonts w:hint="default" w:ascii="Times New Roman" w:hAnsi="Times New Roman" w:eastAsia="仿宋_GB2312" w:cs="Times New Roman"/>
          <w:i w:val="0"/>
          <w:iCs w:val="0"/>
          <w:color w:val="auto"/>
          <w:kern w:val="2"/>
          <w:sz w:val="24"/>
          <w:szCs w:val="24"/>
          <w:highlight w:val="none"/>
          <w:lang w:val="en-US" w:eastAsia="zh-CN" w:bidi="ar-SA"/>
        </w:rPr>
        <w:t>银行为参与政府采购融资的中小企业提供的产品，应以信用贷款为主，贷款利率应当优于一般中小企业的贷款利率水平，并将产品信息（包括贷款发放条件、利率优惠、贷款金额）等在陕西政府采购网予以展示。</w:t>
      </w:r>
    </w:p>
    <w:p>
      <w:pPr>
        <w:pStyle w:val="22"/>
        <w:tabs>
          <w:tab w:val="left" w:pos="567"/>
        </w:tabs>
        <w:spacing w:line="360" w:lineRule="auto"/>
        <w:ind w:left="840" w:leftChars="400" w:firstLine="0" w:firstLineChars="0"/>
        <w:rPr>
          <w:rFonts w:hint="default" w:ascii="Times New Roman" w:hAnsi="Times New Roman" w:eastAsia="仿宋_GB2312" w:cs="Times New Roman"/>
          <w:i w:val="0"/>
          <w:iCs w:val="0"/>
          <w:color w:val="auto"/>
          <w:kern w:val="2"/>
          <w:sz w:val="24"/>
          <w:szCs w:val="24"/>
          <w:highlight w:val="none"/>
          <w:lang w:val="en-US" w:eastAsia="zh-CN" w:bidi="ar-SA"/>
        </w:rPr>
      </w:pPr>
      <w:r>
        <w:rPr>
          <w:rFonts w:hint="default" w:ascii="Times New Roman" w:hAnsi="Times New Roman" w:eastAsia="仿宋_GB2312" w:cs="Times New Roman"/>
          <w:i w:val="0"/>
          <w:iCs w:val="0"/>
          <w:color w:val="auto"/>
          <w:kern w:val="2"/>
          <w:sz w:val="24"/>
          <w:szCs w:val="24"/>
          <w:highlight w:val="none"/>
          <w:lang w:val="en-US" w:eastAsia="zh-CN" w:bidi="ar-SA"/>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pPr>
        <w:pStyle w:val="22"/>
        <w:tabs>
          <w:tab w:val="left" w:pos="567"/>
        </w:tabs>
        <w:spacing w:line="360" w:lineRule="auto"/>
        <w:ind w:left="840" w:leftChars="400" w:firstLine="0" w:firstLineChars="0"/>
        <w:rPr>
          <w:rFonts w:hint="default" w:ascii="Times New Roman" w:hAnsi="Times New Roman" w:eastAsia="仿宋_GB2312" w:cs="Times New Roman"/>
          <w:i w:val="0"/>
          <w:iCs w:val="0"/>
          <w:color w:val="auto"/>
          <w:kern w:val="2"/>
          <w:sz w:val="24"/>
          <w:szCs w:val="24"/>
          <w:highlight w:val="none"/>
          <w:lang w:val="en-US" w:eastAsia="zh-CN" w:bidi="ar-SA"/>
        </w:rPr>
      </w:pPr>
      <w:r>
        <w:rPr>
          <w:rFonts w:hint="default" w:ascii="Times New Roman" w:hAnsi="Times New Roman" w:eastAsia="仿宋_GB2312" w:cs="Times New Roman"/>
          <w:i w:val="0"/>
          <w:iCs w:val="0"/>
          <w:color w:val="auto"/>
          <w:kern w:val="2"/>
          <w:sz w:val="24"/>
          <w:szCs w:val="24"/>
          <w:highlight w:val="none"/>
          <w:lang w:val="en-US" w:eastAsia="zh-CN" w:bidi="ar-SA"/>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pPr>
        <w:pStyle w:val="22"/>
        <w:tabs>
          <w:tab w:val="left" w:pos="567"/>
        </w:tabs>
        <w:spacing w:line="360" w:lineRule="auto"/>
        <w:ind w:left="840" w:leftChars="400" w:firstLine="0" w:firstLineChars="0"/>
        <w:rPr>
          <w:rFonts w:hint="eastAsia" w:ascii="Times New Roman" w:hAnsi="Times New Roman" w:eastAsia="仿宋_GB2312" w:cs="Times New Roman"/>
          <w:i w:val="0"/>
          <w:iCs w:val="0"/>
          <w:color w:val="auto"/>
          <w:kern w:val="2"/>
          <w:sz w:val="24"/>
          <w:szCs w:val="24"/>
          <w:highlight w:val="none"/>
          <w:lang w:val="en-US" w:eastAsia="zh-CN" w:bidi="ar-SA"/>
        </w:rPr>
      </w:pPr>
      <w:r>
        <w:rPr>
          <w:rFonts w:hint="eastAsia" w:ascii="Times New Roman" w:hAnsi="Times New Roman" w:eastAsia="仿宋_GB2312" w:cs="Times New Roman"/>
          <w:i w:val="0"/>
          <w:iCs w:val="0"/>
          <w:color w:val="auto"/>
          <w:kern w:val="2"/>
          <w:sz w:val="24"/>
          <w:szCs w:val="24"/>
          <w:highlight w:val="none"/>
          <w:lang w:val="en-US" w:eastAsia="zh-CN" w:bidi="ar-SA"/>
        </w:rPr>
        <w:t>业务流程简图如下：</w:t>
      </w:r>
    </w:p>
    <w:p>
      <w:pPr>
        <w:pStyle w:val="22"/>
        <w:tabs>
          <w:tab w:val="left" w:pos="567"/>
        </w:tabs>
        <w:spacing w:line="360" w:lineRule="auto"/>
        <w:ind w:left="840" w:leftChars="400" w:firstLine="0" w:firstLineChars="0"/>
        <w:rPr>
          <w:highlight w:val="none"/>
        </w:rPr>
      </w:pPr>
      <w:r>
        <w:rPr>
          <w:highlight w:val="none"/>
        </w:rPr>
        <w:drawing>
          <wp:inline distT="0" distB="0" distL="114300" distR="114300">
            <wp:extent cx="5756275" cy="3310255"/>
            <wp:effectExtent l="0" t="0" r="15875"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5756275" cy="3310255"/>
                    </a:xfrm>
                    <a:prstGeom prst="rect">
                      <a:avLst/>
                    </a:prstGeom>
                    <a:noFill/>
                    <a:ln>
                      <a:noFill/>
                    </a:ln>
                  </pic:spPr>
                </pic:pic>
              </a:graphicData>
            </a:graphic>
          </wp:inline>
        </w:drawing>
      </w:r>
    </w:p>
    <w:p>
      <w:pPr>
        <w:pStyle w:val="22"/>
        <w:shd w:val="clear" w:color="auto"/>
        <w:ind w:left="840" w:hanging="735" w:hangingChars="350"/>
        <w:rPr>
          <w:rFonts w:hint="default" w:ascii="Times New Roman" w:hAnsi="Times New Roman" w:eastAsia="仿宋_GB2312" w:cs="Times New Roman"/>
          <w:i w:val="0"/>
          <w:iCs w:val="0"/>
          <w:color w:val="auto"/>
          <w:sz w:val="24"/>
          <w:highlight w:val="none"/>
        </w:rPr>
      </w:pPr>
      <w:r>
        <w:rPr>
          <w:highlight w:val="none"/>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5758815" cy="3242310"/>
                    </a:xfrm>
                    <a:prstGeom prst="rect">
                      <a:avLst/>
                    </a:prstGeom>
                    <a:noFill/>
                    <a:ln>
                      <a:noFill/>
                    </a:ln>
                  </pic:spPr>
                </pic:pic>
              </a:graphicData>
            </a:graphic>
          </wp:inline>
        </w:drawing>
      </w:r>
    </w:p>
    <w:bookmarkEnd w:id="386"/>
    <w:bookmarkEnd w:id="387"/>
    <w:p>
      <w:pPr>
        <w:pStyle w:val="5"/>
        <w:numPr>
          <w:ilvl w:val="0"/>
          <w:numId w:val="12"/>
        </w:numPr>
        <w:rPr>
          <w:rFonts w:hint="default" w:ascii="Times New Roman" w:hAnsi="Times New Roman" w:eastAsia="仿宋_GB2312" w:cs="Times New Roman"/>
          <w:b/>
          <w:bCs/>
          <w:i w:val="0"/>
          <w:iCs w:val="0"/>
          <w:color w:val="auto"/>
          <w:sz w:val="24"/>
          <w:szCs w:val="21"/>
          <w:highlight w:val="none"/>
        </w:rPr>
      </w:pPr>
      <w:bookmarkStart w:id="388" w:name="_Toc184114070"/>
      <w:bookmarkStart w:id="389" w:name="_Toc230013637"/>
      <w:bookmarkStart w:id="390" w:name="_Toc230099802"/>
      <w:bookmarkStart w:id="391" w:name="_Toc184025279"/>
      <w:r>
        <w:rPr>
          <w:rFonts w:hint="default" w:ascii="Times New Roman" w:hAnsi="Times New Roman" w:eastAsia="仿宋_GB2312" w:cs="Times New Roman"/>
          <w:b/>
          <w:bCs/>
          <w:i w:val="0"/>
          <w:iCs w:val="0"/>
          <w:color w:val="auto"/>
          <w:sz w:val="24"/>
          <w:szCs w:val="21"/>
          <w:highlight w:val="none"/>
          <w:lang w:val="en-US" w:eastAsia="zh-CN"/>
        </w:rPr>
        <w:t xml:space="preserve">   </w:t>
      </w:r>
      <w:r>
        <w:rPr>
          <w:rFonts w:hint="default" w:ascii="Times New Roman" w:hAnsi="Times New Roman" w:eastAsia="仿宋_GB2312" w:cs="Times New Roman"/>
          <w:b/>
          <w:bCs/>
          <w:i w:val="0"/>
          <w:iCs w:val="0"/>
          <w:color w:val="auto"/>
          <w:sz w:val="24"/>
          <w:szCs w:val="21"/>
          <w:highlight w:val="none"/>
        </w:rPr>
        <w:t>信用中国（陕西榆林）网上承诺</w:t>
      </w:r>
    </w:p>
    <w:p>
      <w:pPr>
        <w:pStyle w:val="22"/>
        <w:shd w:val="clear" w:color="auto" w:fill="auto"/>
        <w:ind w:left="1080" w:hanging="1080" w:hangingChars="4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33.1     信用承诺只针对进入公共资源交易平台的供应商，具体要求按照“供应商须知前附表”中的相关内容进行信用承诺。</w:t>
      </w:r>
    </w:p>
    <w:p>
      <w:pPr>
        <w:pStyle w:val="5"/>
        <w:numPr>
          <w:ilvl w:val="0"/>
          <w:numId w:val="12"/>
        </w:numPr>
        <w:rPr>
          <w:rFonts w:hint="default" w:ascii="Times New Roman" w:hAnsi="Times New Roman" w:eastAsia="仿宋_GB2312" w:cs="Times New Roman"/>
          <w:b/>
          <w:bCs/>
          <w:i w:val="0"/>
          <w:iCs w:val="0"/>
          <w:color w:val="auto"/>
          <w:sz w:val="24"/>
          <w:szCs w:val="21"/>
          <w:highlight w:val="none"/>
        </w:rPr>
      </w:pPr>
      <w:r>
        <w:rPr>
          <w:rFonts w:hint="default" w:ascii="Times New Roman" w:hAnsi="Times New Roman" w:eastAsia="仿宋_GB2312" w:cs="Times New Roman"/>
          <w:b/>
          <w:bCs/>
          <w:i w:val="0"/>
          <w:iCs w:val="0"/>
          <w:color w:val="auto"/>
          <w:sz w:val="24"/>
          <w:szCs w:val="21"/>
          <w:highlight w:val="none"/>
          <w:lang w:val="en-US" w:eastAsia="zh-CN"/>
        </w:rPr>
        <w:t xml:space="preserve">   </w:t>
      </w:r>
      <w:r>
        <w:rPr>
          <w:rFonts w:hint="default" w:ascii="Times New Roman" w:hAnsi="Times New Roman" w:eastAsia="仿宋_GB2312" w:cs="Times New Roman"/>
          <w:b/>
          <w:bCs/>
          <w:i w:val="0"/>
          <w:iCs w:val="0"/>
          <w:color w:val="auto"/>
          <w:sz w:val="24"/>
          <w:szCs w:val="21"/>
          <w:highlight w:val="none"/>
        </w:rPr>
        <w:t>不见面开标注意事项及流程</w:t>
      </w:r>
    </w:p>
    <w:p>
      <w:pPr>
        <w:tabs>
          <w:tab w:val="left" w:pos="588"/>
        </w:tabs>
        <w:spacing w:line="360" w:lineRule="auto"/>
        <w:rPr>
          <w:rFonts w:hint="default" w:ascii="Times New Roman" w:hAnsi="Times New Roman" w:eastAsia="仿宋_GB2312" w:cs="Times New Roman"/>
          <w:i w:val="0"/>
          <w:iCs w:val="0"/>
          <w:color w:val="auto"/>
          <w:sz w:val="24"/>
          <w:highlight w:val="none"/>
        </w:rPr>
      </w:pPr>
      <w:r>
        <w:rPr>
          <w:rFonts w:hint="eastAsia" w:ascii="仿宋" w:hAnsi="仿宋" w:eastAsia="仿宋" w:cs="仿宋"/>
          <w:sz w:val="24"/>
          <w:highlight w:val="none"/>
          <w:lang w:val="en-US" w:eastAsia="zh-CN"/>
        </w:rPr>
        <w:t>34.1     不见面开标注意事项及流程见“供应商须知前附表”。</w:t>
      </w:r>
      <w:r>
        <w:rPr>
          <w:rFonts w:hint="default" w:ascii="Times New Roman" w:hAnsi="Times New Roman" w:eastAsia="仿宋_GB2312" w:cs="Times New Roman"/>
          <w:i w:val="0"/>
          <w:iCs w:val="0"/>
          <w:color w:val="auto"/>
          <w:sz w:val="24"/>
          <w:highlight w:val="none"/>
        </w:rPr>
        <w:br w:type="page"/>
      </w:r>
    </w:p>
    <w:bookmarkEnd w:id="388"/>
    <w:bookmarkEnd w:id="389"/>
    <w:bookmarkEnd w:id="390"/>
    <w:bookmarkEnd w:id="391"/>
    <w:p>
      <w:pPr>
        <w:pStyle w:val="46"/>
        <w:spacing w:line="360" w:lineRule="auto"/>
        <w:rPr>
          <w:rStyle w:val="203"/>
          <w:rFonts w:hint="default" w:ascii="Times New Roman" w:hAnsi="Times New Roman" w:eastAsia="宋体" w:cs="Times New Roman"/>
          <w:i w:val="0"/>
          <w:iCs w:val="0"/>
          <w:color w:val="auto"/>
          <w:sz w:val="36"/>
          <w:szCs w:val="36"/>
          <w:highlight w:val="none"/>
        </w:rPr>
      </w:pPr>
      <w:bookmarkStart w:id="392" w:name="_Toc68590975"/>
      <w:bookmarkStart w:id="393" w:name="_Toc58504447"/>
      <w:bookmarkStart w:id="394" w:name="_Toc17469"/>
      <w:r>
        <w:rPr>
          <w:rStyle w:val="203"/>
          <w:rFonts w:hint="default" w:ascii="Times New Roman" w:hAnsi="Times New Roman" w:eastAsia="宋体" w:cs="Times New Roman"/>
          <w:i w:val="0"/>
          <w:iCs w:val="0"/>
          <w:color w:val="auto"/>
          <w:sz w:val="36"/>
          <w:szCs w:val="36"/>
          <w:highlight w:val="none"/>
        </w:rPr>
        <w:t>第三章  评审办法和标准</w:t>
      </w:r>
      <w:bookmarkEnd w:id="392"/>
    </w:p>
    <w:p>
      <w:pPr>
        <w:tabs>
          <w:tab w:val="left" w:pos="360"/>
          <w:tab w:val="left" w:pos="588"/>
        </w:tabs>
        <w:spacing w:line="360" w:lineRule="auto"/>
        <w:ind w:left="840"/>
        <w:rPr>
          <w:rFonts w:hint="default" w:ascii="Times New Roman" w:hAnsi="Times New Roman" w:eastAsia="仿宋_GB2312" w:cs="Times New Roman"/>
          <w:i w:val="0"/>
          <w:iCs w:val="0"/>
          <w:color w:val="auto"/>
          <w:sz w:val="24"/>
          <w:highlight w:val="none"/>
        </w:rPr>
      </w:pPr>
    </w:p>
    <w:p>
      <w:pPr>
        <w:pStyle w:val="77"/>
        <w:spacing w:before="24" w:after="24"/>
        <w:rPr>
          <w:rFonts w:hint="default" w:ascii="Times New Roman" w:hAnsi="Times New Roman" w:eastAsia="仿宋_GB2312" w:cs="Times New Roman"/>
          <w:i w:val="0"/>
          <w:iCs w:val="0"/>
          <w:color w:val="auto"/>
          <w:sz w:val="28"/>
          <w:szCs w:val="28"/>
          <w:highlight w:val="none"/>
        </w:rPr>
      </w:pPr>
      <w:bookmarkStart w:id="395" w:name="_Toc68590976"/>
      <w:bookmarkStart w:id="396" w:name="_Toc7005040"/>
      <w:r>
        <w:rPr>
          <w:rFonts w:hint="default" w:ascii="Times New Roman" w:hAnsi="Times New Roman" w:eastAsia="仿宋_GB2312" w:cs="Times New Roman"/>
          <w:i w:val="0"/>
          <w:iCs w:val="0"/>
          <w:color w:val="auto"/>
          <w:sz w:val="28"/>
          <w:szCs w:val="28"/>
          <w:highlight w:val="none"/>
        </w:rPr>
        <w:t>1.评审方法</w:t>
      </w:r>
      <w:bookmarkEnd w:id="395"/>
      <w:bookmarkEnd w:id="396"/>
    </w:p>
    <w:p>
      <w:pPr>
        <w:pStyle w:val="22"/>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pPr>
        <w:pStyle w:val="77"/>
        <w:spacing w:before="24" w:after="24"/>
        <w:rPr>
          <w:rFonts w:hint="default" w:ascii="Times New Roman" w:hAnsi="Times New Roman" w:eastAsia="仿宋_GB2312" w:cs="Times New Roman"/>
          <w:i w:val="0"/>
          <w:iCs w:val="0"/>
          <w:color w:val="auto"/>
          <w:sz w:val="28"/>
          <w:szCs w:val="28"/>
          <w:highlight w:val="none"/>
        </w:rPr>
      </w:pPr>
      <w:bookmarkStart w:id="397" w:name="_Toc68590977"/>
      <w:bookmarkStart w:id="398" w:name="_Toc7005041"/>
      <w:r>
        <w:rPr>
          <w:rFonts w:hint="default" w:ascii="Times New Roman" w:hAnsi="Times New Roman" w:eastAsia="仿宋_GB2312" w:cs="Times New Roman"/>
          <w:i w:val="0"/>
          <w:iCs w:val="0"/>
          <w:color w:val="auto"/>
          <w:sz w:val="28"/>
          <w:szCs w:val="28"/>
          <w:highlight w:val="none"/>
        </w:rPr>
        <w:t>2.评审标准</w:t>
      </w:r>
      <w:bookmarkEnd w:id="397"/>
      <w:bookmarkEnd w:id="398"/>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2.1 资格审查和符合性评审标准：见附表一和附表二。</w:t>
      </w:r>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2.2 分值构成：总分100分，其中</w:t>
      </w:r>
    </w:p>
    <w:p>
      <w:pPr>
        <w:pStyle w:val="22"/>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商务部分分值：</w:t>
      </w:r>
      <w:r>
        <w:rPr>
          <w:rFonts w:hint="eastAsia" w:ascii="Times New Roman" w:hAnsi="Times New Roman" w:eastAsia="仿宋_GB2312" w:cs="Times New Roman"/>
          <w:i w:val="0"/>
          <w:iCs w:val="0"/>
          <w:color w:val="auto"/>
          <w:sz w:val="24"/>
          <w:highlight w:val="none"/>
          <w:lang w:val="en-US" w:eastAsia="zh-CN"/>
        </w:rPr>
        <w:t>10</w:t>
      </w:r>
      <w:r>
        <w:rPr>
          <w:rFonts w:hint="default" w:ascii="Times New Roman" w:hAnsi="Times New Roman" w:eastAsia="仿宋_GB2312" w:cs="Times New Roman"/>
          <w:i w:val="0"/>
          <w:iCs w:val="0"/>
          <w:color w:val="auto"/>
          <w:sz w:val="24"/>
          <w:highlight w:val="none"/>
        </w:rPr>
        <w:t xml:space="preserve">分；  </w:t>
      </w:r>
    </w:p>
    <w:p>
      <w:pPr>
        <w:pStyle w:val="22"/>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技术部分分值：</w:t>
      </w:r>
      <w:r>
        <w:rPr>
          <w:rFonts w:hint="eastAsia" w:ascii="Times New Roman" w:hAnsi="Times New Roman" w:eastAsia="仿宋_GB2312" w:cs="Times New Roman"/>
          <w:i w:val="0"/>
          <w:iCs w:val="0"/>
          <w:color w:val="auto"/>
          <w:sz w:val="24"/>
          <w:highlight w:val="none"/>
          <w:lang w:val="en-US" w:eastAsia="zh-CN"/>
        </w:rPr>
        <w:t>60</w:t>
      </w:r>
      <w:r>
        <w:rPr>
          <w:rFonts w:hint="default" w:ascii="Times New Roman" w:hAnsi="Times New Roman" w:eastAsia="仿宋_GB2312" w:cs="Times New Roman"/>
          <w:i w:val="0"/>
          <w:iCs w:val="0"/>
          <w:color w:val="auto"/>
          <w:sz w:val="24"/>
          <w:highlight w:val="none"/>
        </w:rPr>
        <w:t xml:space="preserve">分；  </w:t>
      </w:r>
    </w:p>
    <w:p>
      <w:pPr>
        <w:pStyle w:val="22"/>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报价部分分值：</w:t>
      </w:r>
      <w:r>
        <w:rPr>
          <w:rFonts w:hint="eastAsia" w:ascii="Times New Roman" w:hAnsi="Times New Roman" w:eastAsia="仿宋_GB2312" w:cs="Times New Roman"/>
          <w:i w:val="0"/>
          <w:iCs w:val="0"/>
          <w:color w:val="auto"/>
          <w:sz w:val="24"/>
          <w:highlight w:val="none"/>
          <w:lang w:val="en-US" w:eastAsia="zh-CN"/>
        </w:rPr>
        <w:t>30</w:t>
      </w:r>
      <w:r>
        <w:rPr>
          <w:rFonts w:hint="default" w:ascii="Times New Roman" w:hAnsi="Times New Roman" w:eastAsia="仿宋_GB2312" w:cs="Times New Roman"/>
          <w:i w:val="0"/>
          <w:iCs w:val="0"/>
          <w:color w:val="auto"/>
          <w:sz w:val="24"/>
          <w:highlight w:val="none"/>
        </w:rPr>
        <w:t>分。</w:t>
      </w:r>
    </w:p>
    <w:p>
      <w:pPr>
        <w:pStyle w:val="22"/>
        <w:rPr>
          <w:rFonts w:hint="default" w:ascii="Times New Roman" w:hAnsi="Times New Roman" w:eastAsia="仿宋_GB2312" w:cs="Times New Roman"/>
          <w:i w:val="0"/>
          <w:iCs w:val="0"/>
          <w:color w:val="auto"/>
          <w:sz w:val="24"/>
          <w:highlight w:val="none"/>
        </w:rPr>
      </w:pPr>
      <w:bookmarkStart w:id="399" w:name="_Ref426362114"/>
      <w:r>
        <w:rPr>
          <w:rFonts w:hint="default" w:ascii="Times New Roman" w:hAnsi="Times New Roman" w:eastAsia="仿宋_GB2312" w:cs="Times New Roman"/>
          <w:i w:val="0"/>
          <w:iCs w:val="0"/>
          <w:color w:val="auto"/>
          <w:sz w:val="24"/>
          <w:highlight w:val="none"/>
        </w:rPr>
        <w:t>2.3 商务和技术评审标准</w:t>
      </w:r>
      <w:bookmarkEnd w:id="399"/>
    </w:p>
    <w:p>
      <w:pPr>
        <w:pStyle w:val="22"/>
        <w:rPr>
          <w:rFonts w:hint="default" w:ascii="Times New Roman" w:hAnsi="Times New Roman" w:eastAsia="仿宋_GB2312" w:cs="Times New Roman"/>
          <w:i w:val="0"/>
          <w:iCs w:val="0"/>
          <w:color w:val="auto"/>
          <w:sz w:val="24"/>
          <w:highlight w:val="none"/>
        </w:rPr>
      </w:pPr>
      <w:bookmarkStart w:id="400" w:name="_Ref426362140"/>
      <w:r>
        <w:rPr>
          <w:rFonts w:hint="default" w:ascii="Times New Roman" w:hAnsi="Times New Roman" w:eastAsia="仿宋_GB2312" w:cs="Times New Roman"/>
          <w:i w:val="0"/>
          <w:iCs w:val="0"/>
          <w:color w:val="auto"/>
          <w:sz w:val="24"/>
          <w:highlight w:val="none"/>
        </w:rPr>
        <w:t>2.3.1商务部分评分标准：见附表</w:t>
      </w:r>
      <w:bookmarkEnd w:id="400"/>
      <w:r>
        <w:rPr>
          <w:rFonts w:hint="default" w:ascii="Times New Roman" w:hAnsi="Times New Roman" w:eastAsia="仿宋_GB2312" w:cs="Times New Roman"/>
          <w:i w:val="0"/>
          <w:iCs w:val="0"/>
          <w:color w:val="auto"/>
          <w:sz w:val="24"/>
          <w:highlight w:val="none"/>
        </w:rPr>
        <w:t>三</w:t>
      </w:r>
    </w:p>
    <w:p>
      <w:pPr>
        <w:pStyle w:val="22"/>
        <w:rPr>
          <w:rFonts w:hint="default" w:ascii="Times New Roman" w:hAnsi="Times New Roman" w:eastAsia="仿宋_GB2312" w:cs="Times New Roman"/>
          <w:i w:val="0"/>
          <w:iCs w:val="0"/>
          <w:color w:val="auto"/>
          <w:sz w:val="24"/>
          <w:highlight w:val="none"/>
        </w:rPr>
      </w:pPr>
      <w:bookmarkStart w:id="401" w:name="_Ref426362158"/>
      <w:r>
        <w:rPr>
          <w:rFonts w:hint="default" w:ascii="Times New Roman" w:hAnsi="Times New Roman" w:eastAsia="仿宋_GB2312" w:cs="Times New Roman"/>
          <w:i w:val="0"/>
          <w:iCs w:val="0"/>
          <w:color w:val="auto"/>
          <w:sz w:val="24"/>
          <w:highlight w:val="none"/>
        </w:rPr>
        <w:t>2.3.2技术部分评分标准：见附表</w:t>
      </w:r>
      <w:bookmarkEnd w:id="401"/>
      <w:r>
        <w:rPr>
          <w:rFonts w:hint="default" w:ascii="Times New Roman" w:hAnsi="Times New Roman" w:eastAsia="仿宋_GB2312" w:cs="Times New Roman"/>
          <w:i w:val="0"/>
          <w:iCs w:val="0"/>
          <w:color w:val="auto"/>
          <w:sz w:val="24"/>
          <w:highlight w:val="none"/>
        </w:rPr>
        <w:t>四</w:t>
      </w:r>
    </w:p>
    <w:p>
      <w:pPr>
        <w:pStyle w:val="22"/>
        <w:rPr>
          <w:rFonts w:hint="default" w:ascii="Times New Roman" w:hAnsi="Times New Roman" w:eastAsia="仿宋_GB2312" w:cs="Times New Roman"/>
          <w:i w:val="0"/>
          <w:iCs w:val="0"/>
          <w:color w:val="auto"/>
          <w:sz w:val="24"/>
          <w:highlight w:val="none"/>
        </w:rPr>
      </w:pPr>
      <w:bookmarkStart w:id="402" w:name="_Ref426362176"/>
      <w:r>
        <w:rPr>
          <w:rFonts w:hint="default" w:ascii="Times New Roman" w:hAnsi="Times New Roman" w:eastAsia="仿宋_GB2312" w:cs="Times New Roman"/>
          <w:i w:val="0"/>
          <w:iCs w:val="0"/>
          <w:color w:val="auto"/>
          <w:sz w:val="24"/>
          <w:highlight w:val="none"/>
        </w:rPr>
        <w:t>2.3.3报价评分标准：</w:t>
      </w:r>
      <w:bookmarkEnd w:id="402"/>
      <w:r>
        <w:rPr>
          <w:rFonts w:hint="default" w:ascii="Times New Roman" w:hAnsi="Times New Roman" w:eastAsia="仿宋_GB2312" w:cs="Times New Roman"/>
          <w:i w:val="0"/>
          <w:iCs w:val="0"/>
          <w:color w:val="auto"/>
          <w:sz w:val="24"/>
          <w:highlight w:val="none"/>
        </w:rPr>
        <w:t>见附表五</w:t>
      </w:r>
    </w:p>
    <w:p>
      <w:pPr>
        <w:pStyle w:val="22"/>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（1）根据</w:t>
      </w:r>
      <w:r>
        <w:rPr>
          <w:rFonts w:hint="default" w:ascii="Times New Roman" w:hAnsi="Times New Roman" w:eastAsia="仿宋" w:cs="Times New Roman"/>
          <w:i w:val="0"/>
          <w:iCs w:val="0"/>
          <w:color w:val="auto"/>
          <w:sz w:val="24"/>
          <w:highlight w:val="none"/>
        </w:rPr>
        <w:t>《关于进一步加大政府采购支持中小企业力度的通知》（财库</w:t>
      </w:r>
      <w:r>
        <w:rPr>
          <w:rFonts w:hint="default" w:ascii="Times New Roman" w:hAnsi="Times New Roman" w:eastAsia="仿宋_GB2312" w:cs="Times New Roman"/>
          <w:i w:val="0"/>
          <w:iCs w:val="0"/>
          <w:color w:val="auto"/>
          <w:highlight w:val="none"/>
        </w:rPr>
        <w:t>〔</w:t>
      </w:r>
      <w:r>
        <w:rPr>
          <w:rFonts w:hint="default" w:ascii="Times New Roman" w:hAnsi="Times New Roman" w:eastAsia="仿宋" w:cs="Times New Roman"/>
          <w:i w:val="0"/>
          <w:iCs w:val="0"/>
          <w:color w:val="auto"/>
          <w:sz w:val="24"/>
          <w:highlight w:val="none"/>
        </w:rPr>
        <w:t>2022</w:t>
      </w:r>
      <w:r>
        <w:rPr>
          <w:rFonts w:hint="default" w:ascii="Times New Roman" w:hAnsi="Times New Roman" w:eastAsia="仿宋_GB2312" w:cs="Times New Roman"/>
          <w:i w:val="0"/>
          <w:iCs w:val="0"/>
          <w:color w:val="auto"/>
          <w:highlight w:val="none"/>
        </w:rPr>
        <w:t>〕</w:t>
      </w:r>
      <w:r>
        <w:rPr>
          <w:rFonts w:hint="default" w:ascii="Times New Roman" w:hAnsi="Times New Roman" w:eastAsia="仿宋" w:cs="Times New Roman"/>
          <w:i w:val="0"/>
          <w:iCs w:val="0"/>
          <w:color w:val="auto"/>
          <w:sz w:val="24"/>
          <w:highlight w:val="none"/>
        </w:rPr>
        <w:t>19号）</w:t>
      </w:r>
      <w:r>
        <w:rPr>
          <w:rFonts w:hint="default" w:ascii="Times New Roman" w:hAnsi="Times New Roman" w:eastAsia="仿宋" w:cs="Times New Roman"/>
          <w:i w:val="0"/>
          <w:iCs w:val="0"/>
          <w:color w:val="auto"/>
          <w:sz w:val="24"/>
          <w:highlight w:val="none"/>
          <w:lang w:eastAsia="zh-CN"/>
        </w:rPr>
        <w:t>、</w:t>
      </w:r>
      <w:r>
        <w:rPr>
          <w:rFonts w:hint="default" w:ascii="Times New Roman" w:hAnsi="Times New Roman" w:eastAsia="仿宋_GB2312" w:cs="Times New Roman"/>
          <w:i w:val="0"/>
          <w:iCs w:val="0"/>
          <w:color w:val="auto"/>
          <w:sz w:val="24"/>
          <w:highlight w:val="none"/>
        </w:rPr>
        <w:t>《政府采购促进中小企业发展管理办法》（财库〔2020〕46号）调整供应商参与评审的价格。对小型和微型企业产品</w:t>
      </w:r>
      <w:r>
        <w:rPr>
          <w:rFonts w:hint="eastAsia" w:ascii="Times New Roman" w:hAnsi="Times New Roman" w:eastAsia="仿宋_GB2312" w:cs="Times New Roman"/>
          <w:i w:val="0"/>
          <w:iCs w:val="0"/>
          <w:color w:val="auto"/>
          <w:sz w:val="24"/>
          <w:highlight w:val="none"/>
          <w:lang w:eastAsia="zh-CN"/>
        </w:rPr>
        <w:t>或服务</w:t>
      </w:r>
      <w:r>
        <w:rPr>
          <w:rFonts w:hint="default" w:ascii="Times New Roman" w:hAnsi="Times New Roman" w:eastAsia="仿宋_GB2312" w:cs="Times New Roman"/>
          <w:i w:val="0"/>
          <w:iCs w:val="0"/>
          <w:color w:val="auto"/>
          <w:sz w:val="24"/>
          <w:highlight w:val="none"/>
        </w:rPr>
        <w:t>的价格给予</w:t>
      </w:r>
      <w:r>
        <w:rPr>
          <w:rFonts w:hint="eastAsia" w:ascii="Times New Roman" w:hAnsi="Times New Roman" w:eastAsia="仿宋_GB2312" w:cs="Times New Roman"/>
          <w:i w:val="0"/>
          <w:iCs w:val="0"/>
          <w:color w:val="auto"/>
          <w:sz w:val="24"/>
          <w:highlight w:val="none"/>
          <w:lang w:val="en-US" w:eastAsia="zh-CN"/>
        </w:rPr>
        <w:t>20%</w:t>
      </w:r>
      <w:r>
        <w:rPr>
          <w:rFonts w:hint="default" w:ascii="Times New Roman" w:hAnsi="Times New Roman" w:eastAsia="仿宋_GB2312" w:cs="Times New Roman"/>
          <w:i w:val="0"/>
          <w:iCs w:val="0"/>
          <w:color w:val="auto"/>
          <w:sz w:val="24"/>
          <w:highlight w:val="none"/>
        </w:rPr>
        <w:t>的扣除。如允许与小微企业组成联合体或向其分包的，且合同额占总金额30%以</w:t>
      </w:r>
      <w:r>
        <w:rPr>
          <w:rFonts w:hint="default" w:ascii="Times New Roman" w:hAnsi="Times New Roman" w:eastAsia="仿宋_GB2312" w:cs="Times New Roman"/>
          <w:i w:val="0"/>
          <w:iCs w:val="0"/>
          <w:color w:val="auto"/>
          <w:sz w:val="24"/>
          <w:highlight w:val="none"/>
          <w:lang w:val="en-US" w:eastAsia="zh-CN"/>
        </w:rPr>
        <w:t>上的，给予</w:t>
      </w:r>
      <w:r>
        <w:rPr>
          <w:rFonts w:hint="eastAsia" w:ascii="Times New Roman" w:hAnsi="Times New Roman" w:eastAsia="仿宋_GB2312" w:cs="Times New Roman"/>
          <w:i w:val="0"/>
          <w:iCs w:val="0"/>
          <w:color w:val="auto"/>
          <w:sz w:val="24"/>
          <w:highlight w:val="none"/>
          <w:lang w:val="en-US" w:eastAsia="zh-CN"/>
        </w:rPr>
        <w:t>6</w:t>
      </w:r>
      <w:r>
        <w:rPr>
          <w:rFonts w:hint="default" w:ascii="Times New Roman" w:hAnsi="Times New Roman" w:eastAsia="仿宋_GB2312" w:cs="Times New Roman"/>
          <w:i w:val="0"/>
          <w:iCs w:val="0"/>
          <w:color w:val="auto"/>
          <w:sz w:val="24"/>
          <w:highlight w:val="none"/>
          <w:lang w:val="en-US" w:eastAsia="zh-CN"/>
        </w:rPr>
        <w:t>%的扣除。</w:t>
      </w:r>
      <w:r>
        <w:rPr>
          <w:rFonts w:hint="default" w:ascii="Times New Roman" w:hAnsi="Times New Roman" w:eastAsia="仿宋_GB2312" w:cs="Times New Roman"/>
          <w:i w:val="0"/>
          <w:iCs w:val="0"/>
          <w:color w:val="auto"/>
          <w:sz w:val="24"/>
          <w:highlight w:val="none"/>
        </w:rPr>
        <w:t>监狱企业、残疾人福利性单位视同小微企业；残疾人福利性单位属于小型、微型企业的，不重复享受政策。</w:t>
      </w:r>
    </w:p>
    <w:p>
      <w:pPr>
        <w:rPr>
          <w:rFonts w:hint="default" w:eastAsia="仿宋_GB2312"/>
          <w:lang w:val="en-US" w:eastAsia="zh-CN"/>
        </w:rPr>
      </w:pPr>
      <w:r>
        <w:rPr>
          <w:rFonts w:hint="eastAsia" w:eastAsia="仿宋_GB2312" w:cs="Times New Roman"/>
          <w:i w:val="0"/>
          <w:iCs w:val="0"/>
          <w:color w:val="auto"/>
          <w:sz w:val="24"/>
          <w:highlight w:val="none"/>
          <w:lang w:val="en-US" w:eastAsia="zh-CN"/>
        </w:rPr>
        <w:t xml:space="preserve">     </w:t>
      </w:r>
      <w:r>
        <w:rPr>
          <w:rFonts w:hint="eastAsia" w:eastAsia="仿宋_GB2312" w:cs="Times New Roman"/>
          <w:b/>
          <w:bCs/>
          <w:i w:val="0"/>
          <w:iCs w:val="0"/>
          <w:color w:val="auto"/>
          <w:sz w:val="24"/>
          <w:highlight w:val="none"/>
          <w:lang w:val="en-US" w:eastAsia="zh-CN"/>
        </w:rPr>
        <w:t xml:space="preserve"> 注：本项目为专门面向中小企业项目，不适用于本条价格扣除内容。</w:t>
      </w:r>
    </w:p>
    <w:p>
      <w:pPr>
        <w:pStyle w:val="22"/>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（2）评审基准价。有效响应文件中的最后报价并按本款（1）和（2）进行调整的最低报价为评审基准价。</w:t>
      </w:r>
    </w:p>
    <w:p>
      <w:pPr>
        <w:pStyle w:val="22"/>
        <w:ind w:firstLine="480" w:firstLineChars="200"/>
        <w:rPr>
          <w:rFonts w:hint="default" w:ascii="Times New Roman" w:hAnsi="Times New Roman" w:eastAsia="仿宋_GB2312" w:cs="Times New Roman"/>
          <w:i w:val="0"/>
          <w:iCs w:val="0"/>
          <w:color w:val="auto"/>
          <w:sz w:val="24"/>
          <w:highlight w:val="none"/>
          <w:lang w:val="en-US" w:eastAsia="zh-CN"/>
        </w:rPr>
      </w:pPr>
      <w:r>
        <w:rPr>
          <w:rFonts w:hint="default" w:ascii="Times New Roman" w:hAnsi="Times New Roman" w:eastAsia="仿宋_GB2312" w:cs="Times New Roman"/>
          <w:i w:val="0"/>
          <w:iCs w:val="0"/>
          <w:color w:val="auto"/>
          <w:sz w:val="24"/>
          <w:highlight w:val="none"/>
        </w:rPr>
        <w:t>（3）供应商报价（按本款（1）和（2）进行调整后价格）得分=(评审基准价／最后报价)×</w:t>
      </w:r>
      <w:r>
        <w:rPr>
          <w:rFonts w:hint="default" w:ascii="Times New Roman" w:hAnsi="Times New Roman" w:eastAsia="仿宋_GB2312" w:cs="Times New Roman"/>
          <w:i w:val="0"/>
          <w:iCs w:val="0"/>
          <w:color w:val="auto"/>
          <w:sz w:val="24"/>
          <w:highlight w:val="none"/>
          <w:lang w:val="en-US" w:eastAsia="zh-CN"/>
        </w:rPr>
        <w:t>价格分满分分值</w:t>
      </w:r>
    </w:p>
    <w:p>
      <w:pPr>
        <w:tabs>
          <w:tab w:val="left" w:pos="588"/>
        </w:tabs>
        <w:spacing w:line="360"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2.3.4 响应文件出现下列情况之一者，磋商小组在评审过程中按以下原则修正：</w:t>
      </w:r>
    </w:p>
    <w:p>
      <w:pPr>
        <w:tabs>
          <w:tab w:val="left" w:pos="588"/>
        </w:tabs>
        <w:spacing w:line="360"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（1）大写金额与小写金额不一致的，以大写金额为准；</w:t>
      </w:r>
    </w:p>
    <w:p>
      <w:pPr>
        <w:tabs>
          <w:tab w:val="left" w:pos="588"/>
        </w:tabs>
        <w:spacing w:line="360" w:lineRule="auto"/>
        <w:ind w:firstLine="600" w:firstLineChars="2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（2）总价金额与按单价汇总金额不一致的，以单价金额计算结果为准；</w:t>
      </w:r>
    </w:p>
    <w:p>
      <w:pPr>
        <w:tabs>
          <w:tab w:val="left" w:pos="588"/>
        </w:tabs>
        <w:spacing w:line="360" w:lineRule="auto"/>
        <w:ind w:firstLine="600" w:firstLineChars="2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（3）单价金额小数点有明显错位的，应以总价为准，并修改单价；</w:t>
      </w:r>
    </w:p>
    <w:p>
      <w:pPr>
        <w:tabs>
          <w:tab w:val="left" w:pos="588"/>
        </w:tabs>
        <w:spacing w:line="360" w:lineRule="auto"/>
        <w:ind w:firstLine="600" w:firstLineChars="2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（4）对不同文字文本响应文件的解释发生异议的，以中文文本为准；</w:t>
      </w:r>
    </w:p>
    <w:p>
      <w:pPr>
        <w:tabs>
          <w:tab w:val="left" w:pos="588"/>
        </w:tabs>
        <w:spacing w:line="360" w:lineRule="auto"/>
        <w:ind w:firstLine="600" w:firstLineChars="2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（5）文字与图表不一致的，以文字为准；</w:t>
      </w:r>
    </w:p>
    <w:p>
      <w:pPr>
        <w:tabs>
          <w:tab w:val="left" w:pos="588"/>
        </w:tabs>
        <w:spacing w:line="360" w:lineRule="auto"/>
        <w:ind w:firstLine="600" w:firstLineChars="2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（6）正本与副本不一致的，以正本为准；</w:t>
      </w:r>
    </w:p>
    <w:p>
      <w:pPr>
        <w:tabs>
          <w:tab w:val="left" w:pos="588"/>
        </w:tabs>
        <w:spacing w:line="360" w:lineRule="auto"/>
        <w:ind w:firstLine="600" w:firstLineChars="2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（7）响应文件的文字叙述与制造厂商的产品样本/检测报告不符时，以产品样本/检测报告为准。</w:t>
      </w:r>
    </w:p>
    <w:p>
      <w:pPr>
        <w:pStyle w:val="77"/>
        <w:spacing w:before="24" w:after="24"/>
        <w:rPr>
          <w:rFonts w:hint="default" w:ascii="Times New Roman" w:hAnsi="Times New Roman" w:eastAsia="仿宋_GB2312" w:cs="Times New Roman"/>
          <w:i w:val="0"/>
          <w:iCs w:val="0"/>
          <w:color w:val="auto"/>
          <w:sz w:val="28"/>
          <w:szCs w:val="28"/>
          <w:highlight w:val="none"/>
        </w:rPr>
      </w:pPr>
      <w:bookmarkStart w:id="403" w:name="_Toc7005042"/>
      <w:bookmarkStart w:id="404" w:name="_Toc68590978"/>
      <w:r>
        <w:rPr>
          <w:rFonts w:hint="default" w:ascii="Times New Roman" w:hAnsi="Times New Roman" w:eastAsia="仿宋_GB2312" w:cs="Times New Roman"/>
          <w:i w:val="0"/>
          <w:iCs w:val="0"/>
          <w:color w:val="auto"/>
          <w:sz w:val="28"/>
          <w:szCs w:val="28"/>
          <w:highlight w:val="none"/>
        </w:rPr>
        <w:t>3.评审程序</w:t>
      </w:r>
      <w:bookmarkEnd w:id="403"/>
      <w:bookmarkEnd w:id="404"/>
    </w:p>
    <w:p>
      <w:pPr>
        <w:pStyle w:val="22"/>
        <w:rPr>
          <w:rFonts w:hint="default" w:ascii="Times New Roman" w:hAnsi="Times New Roman" w:eastAsia="仿宋_GB2312" w:cs="Times New Roman"/>
          <w:b/>
          <w:i w:val="0"/>
          <w:iCs w:val="0"/>
          <w:color w:val="auto"/>
          <w:sz w:val="24"/>
          <w:highlight w:val="none"/>
        </w:rPr>
      </w:pPr>
      <w:bookmarkStart w:id="405" w:name="_Toc7005043"/>
      <w:r>
        <w:rPr>
          <w:rFonts w:hint="default" w:ascii="Times New Roman" w:hAnsi="Times New Roman" w:eastAsia="仿宋_GB2312" w:cs="Times New Roman"/>
          <w:b/>
          <w:i w:val="0"/>
          <w:iCs w:val="0"/>
          <w:color w:val="auto"/>
          <w:sz w:val="24"/>
          <w:highlight w:val="none"/>
        </w:rPr>
        <w:t>3.1资格审查及符合性审查</w:t>
      </w:r>
      <w:bookmarkEnd w:id="405"/>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3.1.1 采购人或采购代理机构按附表一所列审查标准对供应商资格进行审查，以确定供应商是否具备磋商资格。</w:t>
      </w:r>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3.1.2 磋商小组对符合资格要求的响应文件按附表二进行符合性审查，以确定其是否满足磋商文件的实质性要求（见本章内的符合性审查表）。</w:t>
      </w:r>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磋商小组不接受供应商主动提出的澄清、说明或补正。</w:t>
      </w:r>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供应商的书面澄清、说明和补正属于响应文件的组成部分。</w:t>
      </w:r>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磋商小组对供应商提交的澄清、说明或补正有疑问的，可以要求供应商进一步澄清、说明或补正，直至满足评审小组的要求。</w:t>
      </w:r>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3.1.4 不具备磋商文件要求的资格或未通过符合性审查的供应商，不参与磋商，由磋商小组告知该供应商。</w:t>
      </w:r>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3.1.5 通过资格审查和符合性审查的合格供应商不足3家的，不再进行评审和磋商。</w:t>
      </w:r>
    </w:p>
    <w:p>
      <w:pPr>
        <w:pStyle w:val="22"/>
        <w:rPr>
          <w:rFonts w:hint="default" w:ascii="Times New Roman" w:hAnsi="Times New Roman" w:eastAsia="仿宋_GB2312" w:cs="Times New Roman"/>
          <w:b/>
          <w:i w:val="0"/>
          <w:iCs w:val="0"/>
          <w:color w:val="auto"/>
          <w:sz w:val="24"/>
          <w:highlight w:val="none"/>
        </w:rPr>
      </w:pPr>
      <w:bookmarkStart w:id="406" w:name="_Toc7005044"/>
      <w:r>
        <w:rPr>
          <w:rFonts w:hint="default" w:ascii="Times New Roman" w:hAnsi="Times New Roman" w:eastAsia="仿宋_GB2312" w:cs="Times New Roman"/>
          <w:b/>
          <w:i w:val="0"/>
          <w:iCs w:val="0"/>
          <w:color w:val="auto"/>
          <w:sz w:val="24"/>
          <w:highlight w:val="none"/>
        </w:rPr>
        <w:t>3.2 磋商</w:t>
      </w:r>
      <w:bookmarkEnd w:id="406"/>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3.2.1按“供应商须知”第五条规定，由磋商小组与供应商进行磋商。</w:t>
      </w:r>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3.2.3 磋商结束后，磋商小组可以要求所有继续参加磋商的供应商在规定时间内提交最后报价函，提交最后报价函的供应商不得少于3家。</w:t>
      </w:r>
    </w:p>
    <w:p>
      <w:pPr>
        <w:pStyle w:val="22"/>
        <w:rPr>
          <w:rFonts w:hint="default" w:ascii="Times New Roman" w:hAnsi="Times New Roman" w:eastAsia="仿宋_GB2312" w:cs="Times New Roman"/>
          <w:b/>
          <w:i w:val="0"/>
          <w:iCs w:val="0"/>
          <w:color w:val="auto"/>
          <w:sz w:val="24"/>
          <w:highlight w:val="none"/>
        </w:rPr>
      </w:pPr>
      <w:bookmarkStart w:id="407" w:name="_Toc7005045"/>
      <w:r>
        <w:rPr>
          <w:rFonts w:hint="default" w:ascii="Times New Roman" w:hAnsi="Times New Roman" w:eastAsia="仿宋_GB2312" w:cs="Times New Roman"/>
          <w:b/>
          <w:i w:val="0"/>
          <w:iCs w:val="0"/>
          <w:color w:val="auto"/>
          <w:sz w:val="24"/>
          <w:highlight w:val="none"/>
        </w:rPr>
        <w:t>3.3评审</w:t>
      </w:r>
      <w:bookmarkEnd w:id="407"/>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3.3.1 比较与评价</w:t>
      </w:r>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磋商小组按本章第2.3款</w:t>
      </w:r>
      <w:r>
        <w:rPr>
          <w:rFonts w:hint="default" w:ascii="Times New Roman" w:hAnsi="Times New Roman" w:eastAsia="仿宋_GB2312" w:cs="Times New Roman"/>
          <w:i w:val="0"/>
          <w:iCs w:val="0"/>
          <w:color w:val="auto"/>
          <w:sz w:val="24"/>
          <w:highlight w:val="none"/>
          <w:lang w:val="en-US" w:eastAsia="zh-CN"/>
        </w:rPr>
        <w:t>[</w:t>
      </w:r>
      <w:r>
        <w:rPr>
          <w:rFonts w:hint="default" w:ascii="Times New Roman" w:hAnsi="Times New Roman" w:eastAsia="仿宋_GB2312" w:cs="Times New Roman"/>
          <w:i w:val="0"/>
          <w:iCs w:val="0"/>
          <w:color w:val="auto"/>
          <w:sz w:val="24"/>
          <w:highlight w:val="none"/>
        </w:rPr>
        <w:t>商务和技术评审标准]对供应商提交的响应文件（包括最后报价函）进行商务和技术评估，综合比较与评价。</w:t>
      </w:r>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3.3.2 磋商小组按本章第2.3款规定的量化因素和分值进行打分，并计算出综合评估得分。</w:t>
      </w:r>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（1）按本章第2.3.1项规定的评审因素和分值对商务部分计算出得分A；</w:t>
      </w:r>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（2）按本章第2.3.2项规定的评审因素和分值对技术部分计算出得分B；</w:t>
      </w:r>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（3）按本章第2.3.3项规定的评审因素和分值对报价部分计算出得分C。</w:t>
      </w:r>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3.3.3评分分值计算保留小数点后两位，小数点后第三位“四舍五入”。</w:t>
      </w:r>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3.3.4供应商得分=A＋B＋C</w:t>
      </w:r>
    </w:p>
    <w:p>
      <w:pPr>
        <w:pStyle w:val="22"/>
        <w:rPr>
          <w:rFonts w:hint="default" w:ascii="Times New Roman" w:hAnsi="Times New Roman" w:eastAsia="仿宋_GB2312" w:cs="Times New Roman"/>
          <w:b/>
          <w:i w:val="0"/>
          <w:iCs w:val="0"/>
          <w:color w:val="auto"/>
          <w:sz w:val="24"/>
          <w:highlight w:val="none"/>
        </w:rPr>
      </w:pPr>
      <w:r>
        <w:rPr>
          <w:rFonts w:hint="default" w:ascii="Times New Roman" w:hAnsi="Times New Roman" w:eastAsia="仿宋_GB2312" w:cs="Times New Roman"/>
          <w:b/>
          <w:i w:val="0"/>
          <w:iCs w:val="0"/>
          <w:color w:val="auto"/>
          <w:sz w:val="24"/>
          <w:highlight w:val="none"/>
        </w:rPr>
        <w:t>3.4 评审结果</w:t>
      </w:r>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3.4.1 除第二章“供应商须知”前附表授权直接确定成交供应商外，磋商小组按照得分由高到低的顺序推荐3名成交候选人。</w:t>
      </w:r>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3.4.2 磋商小组完成评审后，应当向采购人提交书面评审报告。</w:t>
      </w:r>
    </w:p>
    <w:p>
      <w:pPr>
        <w:pStyle w:val="22"/>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br w:type="page"/>
      </w:r>
    </w:p>
    <w:p>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附表一 资格审查表</w:t>
      </w:r>
    </w:p>
    <w:tbl>
      <w:tblPr>
        <w:tblStyle w:val="50"/>
        <w:tblW w:w="9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655"/>
        <w:gridCol w:w="4677"/>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2" w:type="dxa"/>
            <w:noWrap w:val="0"/>
            <w:vAlign w:val="center"/>
          </w:tcPr>
          <w:p>
            <w:pPr>
              <w:snapToGrid w:val="0"/>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序号</w:t>
            </w:r>
          </w:p>
        </w:tc>
        <w:tc>
          <w:tcPr>
            <w:tcW w:w="2655" w:type="dxa"/>
            <w:noWrap w:val="0"/>
            <w:vAlign w:val="center"/>
          </w:tcPr>
          <w:p>
            <w:pPr>
              <w:snapToGrid w:val="0"/>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评审内容</w:t>
            </w:r>
          </w:p>
        </w:tc>
        <w:tc>
          <w:tcPr>
            <w:tcW w:w="4677" w:type="dxa"/>
            <w:noWrap w:val="0"/>
            <w:vAlign w:val="center"/>
          </w:tcPr>
          <w:p>
            <w:pPr>
              <w:snapToGrid w:val="0"/>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评审合格标准</w:t>
            </w:r>
          </w:p>
        </w:tc>
        <w:tc>
          <w:tcPr>
            <w:tcW w:w="1178" w:type="dxa"/>
            <w:noWrap w:val="0"/>
            <w:vAlign w:val="center"/>
          </w:tcPr>
          <w:p>
            <w:pPr>
              <w:snapToGrid w:val="0"/>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pPr>
              <w:snapToGrid w:val="0"/>
              <w:jc w:val="center"/>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1</w:t>
            </w:r>
          </w:p>
        </w:tc>
        <w:tc>
          <w:tcPr>
            <w:tcW w:w="2655" w:type="dxa"/>
            <w:noWrap w:val="0"/>
            <w:vAlign w:val="center"/>
          </w:tcPr>
          <w:p>
            <w:pPr>
              <w:snapToGrid w:val="0"/>
              <w:jc w:val="left"/>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供应商名称</w:t>
            </w:r>
          </w:p>
        </w:tc>
        <w:tc>
          <w:tcPr>
            <w:tcW w:w="4677" w:type="dxa"/>
            <w:noWrap w:val="0"/>
            <w:vAlign w:val="center"/>
          </w:tcPr>
          <w:p>
            <w:pPr>
              <w:snapToGrid w:val="0"/>
              <w:jc w:val="left"/>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与磋商登记备案、营业执照一致（符合法定工商变更程序除外）；</w:t>
            </w:r>
          </w:p>
        </w:tc>
        <w:tc>
          <w:tcPr>
            <w:tcW w:w="1178" w:type="dxa"/>
            <w:noWrap w:val="0"/>
            <w:vAlign w:val="center"/>
          </w:tcPr>
          <w:p>
            <w:pPr>
              <w:snapToGrid w:val="0"/>
              <w:jc w:val="center"/>
              <w:rPr>
                <w:rFonts w:hint="eastAsia" w:ascii="仿宋" w:hAnsi="仿宋" w:eastAsia="仿宋" w:cs="仿宋"/>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2655" w:type="dxa"/>
            <w:noWrap w:val="0"/>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具有独立承担民事责任的能力</w:t>
            </w:r>
          </w:p>
        </w:tc>
        <w:tc>
          <w:tcPr>
            <w:tcW w:w="4677" w:type="dxa"/>
            <w:noWrap w:val="0"/>
            <w:vAlign w:val="top"/>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提供了有效的法人或者其他组织的营业执照等证明文件，自然人的身份证明</w:t>
            </w:r>
          </w:p>
        </w:tc>
        <w:tc>
          <w:tcPr>
            <w:tcW w:w="1178" w:type="dxa"/>
            <w:noWrap w:val="0"/>
            <w:vAlign w:val="center"/>
          </w:tcPr>
          <w:p>
            <w:pPr>
              <w:snapToGrid w:val="0"/>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2655" w:type="dxa"/>
            <w:noWrap w:val="0"/>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具有健全的财务会计制度</w:t>
            </w:r>
          </w:p>
        </w:tc>
        <w:tc>
          <w:tcPr>
            <w:tcW w:w="4677" w:type="dxa"/>
            <w:noWrap w:val="0"/>
            <w:vAlign w:val="top"/>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提供了满足磋商文件要求的财务报表或本年度基本开户银行出具的资信证明</w:t>
            </w:r>
          </w:p>
        </w:tc>
        <w:tc>
          <w:tcPr>
            <w:tcW w:w="1178" w:type="dxa"/>
            <w:noWrap w:val="0"/>
            <w:vAlign w:val="center"/>
          </w:tcPr>
          <w:p>
            <w:pPr>
              <w:snapToGrid w:val="0"/>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pPr>
              <w:snapToGrid w:val="0"/>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4</w:t>
            </w:r>
          </w:p>
        </w:tc>
        <w:tc>
          <w:tcPr>
            <w:tcW w:w="2655" w:type="dxa"/>
            <w:noWrap w:val="0"/>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有依法缴纳税收和社会保障资金的良好记录</w:t>
            </w:r>
          </w:p>
        </w:tc>
        <w:tc>
          <w:tcPr>
            <w:tcW w:w="4677" w:type="dxa"/>
            <w:noWrap w:val="0"/>
            <w:vAlign w:val="top"/>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1.提供了磋商文件要求时间内的缴纳增值税和企业所得税的凭证（银行出具的缴税凭证或税务机关出具的证明的复印件，并加盖本单位公章）或免税证明（复印件加盖公章）。</w:t>
            </w:r>
          </w:p>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 提供了磋商文件要求时间内的社会保障资金缴纳记录（专用收据或社会保险缴纳清单）或免缴纳证明（复印件加盖公章）</w:t>
            </w:r>
          </w:p>
        </w:tc>
        <w:tc>
          <w:tcPr>
            <w:tcW w:w="1178" w:type="dxa"/>
            <w:noWrap w:val="0"/>
            <w:vAlign w:val="center"/>
          </w:tcPr>
          <w:p>
            <w:pPr>
              <w:snapToGrid w:val="0"/>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pPr>
              <w:snapToGrid w:val="0"/>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5</w:t>
            </w:r>
          </w:p>
        </w:tc>
        <w:tc>
          <w:tcPr>
            <w:tcW w:w="2655" w:type="dxa"/>
            <w:noWrap w:val="0"/>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参加政府采购活动前三年内，在经营活动中没有重大违法记录</w:t>
            </w:r>
          </w:p>
        </w:tc>
        <w:tc>
          <w:tcPr>
            <w:tcW w:w="4677" w:type="dxa"/>
            <w:noWrap w:val="0"/>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提供了有效的参加政府采购活动前3年内在经营活动中没有重大违法记录的书面声明</w:t>
            </w:r>
          </w:p>
        </w:tc>
        <w:tc>
          <w:tcPr>
            <w:tcW w:w="1178" w:type="dxa"/>
            <w:noWrap w:val="0"/>
            <w:vAlign w:val="center"/>
          </w:tcPr>
          <w:p>
            <w:pPr>
              <w:snapToGrid w:val="0"/>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pPr>
              <w:snapToGrid w:val="0"/>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p>
        </w:tc>
        <w:tc>
          <w:tcPr>
            <w:tcW w:w="2655" w:type="dxa"/>
            <w:noWrap w:val="0"/>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“信用中国”网站和中国政府采购网（www.ccgp.gov.cn）查询记录</w:t>
            </w:r>
          </w:p>
        </w:tc>
        <w:tc>
          <w:tcPr>
            <w:tcW w:w="4677" w:type="dxa"/>
            <w:noWrap w:val="0"/>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采购人或采购代理机构通过“信用中国”网站(www.creditchina.gov.cn)、中国政府采购网(www.ccgp.gov.cn) 等查询相关主体信用记录，并将查询网页打印、存档备查，信用中国（陕西榆林）网址上申报符合榆林市公共资源交易中心要求。</w:t>
            </w:r>
          </w:p>
        </w:tc>
        <w:tc>
          <w:tcPr>
            <w:tcW w:w="1178" w:type="dxa"/>
            <w:noWrap w:val="0"/>
            <w:vAlign w:val="center"/>
          </w:tcPr>
          <w:p>
            <w:pPr>
              <w:snapToGrid w:val="0"/>
              <w:ind w:left="425"/>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52" w:type="dxa"/>
            <w:noWrap w:val="0"/>
            <w:vAlign w:val="center"/>
          </w:tcPr>
          <w:p>
            <w:pPr>
              <w:snapToGrid w:val="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7</w:t>
            </w:r>
          </w:p>
        </w:tc>
        <w:tc>
          <w:tcPr>
            <w:tcW w:w="2655" w:type="dxa"/>
            <w:noWrap w:val="0"/>
            <w:vAlign w:val="center"/>
          </w:tcPr>
          <w:p>
            <w:pPr>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拟派项目负责人</w:t>
            </w:r>
          </w:p>
        </w:tc>
        <w:tc>
          <w:tcPr>
            <w:tcW w:w="4677" w:type="dxa"/>
            <w:noWrap w:val="0"/>
            <w:vAlign w:val="top"/>
          </w:tcPr>
          <w:p>
            <w:pPr>
              <w:snapToGrid w:val="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供应商拟派项目负责人必须具备</w:t>
            </w:r>
            <w:r>
              <w:rPr>
                <w:rFonts w:hint="eastAsia" w:ascii="仿宋" w:hAnsi="仿宋" w:eastAsia="仿宋" w:cs="仿宋"/>
                <w:color w:val="auto"/>
                <w:szCs w:val="21"/>
                <w:highlight w:val="none"/>
                <w:lang w:eastAsia="zh-CN"/>
              </w:rPr>
              <w:t>一级</w:t>
            </w:r>
            <w:r>
              <w:rPr>
                <w:rFonts w:hint="eastAsia" w:ascii="仿宋" w:hAnsi="仿宋" w:eastAsia="仿宋" w:cs="仿宋"/>
                <w:color w:val="auto"/>
                <w:szCs w:val="21"/>
                <w:highlight w:val="none"/>
              </w:rPr>
              <w:t>注册造价工程师资格，为本单位注册人员</w:t>
            </w:r>
            <w:r>
              <w:rPr>
                <w:rFonts w:hint="eastAsia" w:ascii="仿宋" w:hAnsi="仿宋" w:eastAsia="仿宋" w:cs="仿宋"/>
                <w:color w:val="auto"/>
                <w:szCs w:val="21"/>
                <w:highlight w:val="none"/>
                <w:lang w:val="en-US" w:eastAsia="zh-CN"/>
              </w:rPr>
              <w:t>。</w:t>
            </w:r>
          </w:p>
        </w:tc>
        <w:tc>
          <w:tcPr>
            <w:tcW w:w="1178" w:type="dxa"/>
            <w:noWrap w:val="0"/>
            <w:vAlign w:val="center"/>
          </w:tcPr>
          <w:p>
            <w:pPr>
              <w:snapToGrid w:val="0"/>
              <w:ind w:left="425"/>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307" w:type="dxa"/>
            <w:gridSpan w:val="2"/>
            <w:noWrap w:val="0"/>
            <w:vAlign w:val="center"/>
          </w:tcPr>
          <w:p>
            <w:pPr>
              <w:snapToGrid w:val="0"/>
              <w:jc w:val="center"/>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结论（通过或未通过）</w:t>
            </w:r>
          </w:p>
        </w:tc>
        <w:tc>
          <w:tcPr>
            <w:tcW w:w="4677" w:type="dxa"/>
            <w:noWrap w:val="0"/>
            <w:vAlign w:val="top"/>
          </w:tcPr>
          <w:p>
            <w:pPr>
              <w:snapToGrid w:val="0"/>
              <w:jc w:val="center"/>
              <w:rPr>
                <w:rFonts w:hint="eastAsia" w:ascii="仿宋" w:hAnsi="仿宋" w:eastAsia="仿宋" w:cs="仿宋"/>
                <w:color w:val="auto"/>
                <w:szCs w:val="21"/>
                <w:highlight w:val="none"/>
              </w:rPr>
            </w:pPr>
          </w:p>
        </w:tc>
        <w:tc>
          <w:tcPr>
            <w:tcW w:w="1178" w:type="dxa"/>
            <w:noWrap w:val="0"/>
            <w:vAlign w:val="center"/>
          </w:tcPr>
          <w:p>
            <w:pPr>
              <w:snapToGrid w:val="0"/>
              <w:ind w:left="425"/>
              <w:jc w:val="center"/>
              <w:rPr>
                <w:rFonts w:hint="eastAsia" w:ascii="仿宋" w:hAnsi="仿宋" w:eastAsia="仿宋" w:cs="仿宋"/>
                <w:color w:val="auto"/>
                <w:szCs w:val="21"/>
                <w:highlight w:val="none"/>
              </w:rPr>
            </w:pPr>
          </w:p>
        </w:tc>
      </w:tr>
    </w:tbl>
    <w:p>
      <w:pPr>
        <w:spacing w:line="0" w:lineRule="atLeast"/>
        <w:ind w:left="425"/>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注：符合要求用“○”表示，不符合用“×”表示。有一项不符合要求，结论为不合格。</w:t>
      </w:r>
    </w:p>
    <w:p>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color w:val="auto"/>
          <w:szCs w:val="21"/>
          <w:highlight w:val="none"/>
        </w:rPr>
        <w:br w:type="page"/>
      </w:r>
      <w:r>
        <w:rPr>
          <w:rFonts w:hint="eastAsia" w:ascii="仿宋" w:hAnsi="仿宋" w:eastAsia="仿宋" w:cs="仿宋"/>
          <w:b/>
          <w:color w:val="auto"/>
          <w:sz w:val="30"/>
          <w:szCs w:val="30"/>
          <w:highlight w:val="none"/>
        </w:rPr>
        <w:t>附表二 符合性审查表</w:t>
      </w:r>
    </w:p>
    <w:tbl>
      <w:tblPr>
        <w:tblStyle w:val="50"/>
        <w:tblW w:w="927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41"/>
        <w:gridCol w:w="1723"/>
        <w:gridCol w:w="5401"/>
        <w:gridCol w:w="13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noWrap w:val="0"/>
            <w:vAlign w:val="center"/>
          </w:tcPr>
          <w:p>
            <w:pPr>
              <w:tabs>
                <w:tab w:val="left" w:pos="1260"/>
                <w:tab w:val="left" w:pos="1620"/>
              </w:tabs>
              <w:adjustRightInd w:val="0"/>
              <w:snapToGrid w:val="0"/>
              <w:jc w:val="center"/>
              <w:textAlignment w:val="baseline"/>
              <w:rPr>
                <w:rFonts w:hint="eastAsia" w:ascii="仿宋" w:hAnsi="仿宋" w:eastAsia="仿宋" w:cs="仿宋"/>
                <w:b/>
                <w:caps/>
                <w:color w:val="auto"/>
                <w:szCs w:val="21"/>
                <w:highlight w:val="none"/>
              </w:rPr>
            </w:pPr>
            <w:r>
              <w:rPr>
                <w:rFonts w:hint="eastAsia" w:ascii="仿宋" w:hAnsi="仿宋" w:eastAsia="仿宋" w:cs="仿宋"/>
                <w:b/>
                <w:caps/>
                <w:color w:val="auto"/>
                <w:szCs w:val="21"/>
                <w:highlight w:val="none"/>
              </w:rPr>
              <w:t>序号</w:t>
            </w:r>
          </w:p>
        </w:tc>
        <w:tc>
          <w:tcPr>
            <w:tcW w:w="1723" w:type="dxa"/>
            <w:noWrap w:val="0"/>
            <w:vAlign w:val="center"/>
          </w:tcPr>
          <w:p>
            <w:pPr>
              <w:tabs>
                <w:tab w:val="left" w:pos="1260"/>
                <w:tab w:val="left" w:pos="1620"/>
              </w:tabs>
              <w:adjustRightInd w:val="0"/>
              <w:snapToGrid w:val="0"/>
              <w:jc w:val="center"/>
              <w:textAlignment w:val="baseline"/>
              <w:rPr>
                <w:rFonts w:hint="eastAsia" w:ascii="仿宋" w:hAnsi="仿宋" w:eastAsia="仿宋" w:cs="仿宋"/>
                <w:b/>
                <w:caps/>
                <w:color w:val="auto"/>
                <w:szCs w:val="21"/>
                <w:highlight w:val="none"/>
              </w:rPr>
            </w:pPr>
            <w:r>
              <w:rPr>
                <w:rFonts w:hint="eastAsia" w:ascii="仿宋" w:hAnsi="仿宋" w:eastAsia="仿宋" w:cs="仿宋"/>
                <w:b/>
                <w:caps/>
                <w:color w:val="auto"/>
                <w:szCs w:val="21"/>
                <w:highlight w:val="none"/>
              </w:rPr>
              <w:t>评审项目</w:t>
            </w:r>
          </w:p>
        </w:tc>
        <w:tc>
          <w:tcPr>
            <w:tcW w:w="5401" w:type="dxa"/>
            <w:noWrap w:val="0"/>
            <w:vAlign w:val="center"/>
          </w:tcPr>
          <w:p>
            <w:pPr>
              <w:tabs>
                <w:tab w:val="left" w:pos="1260"/>
                <w:tab w:val="left" w:pos="1620"/>
              </w:tabs>
              <w:adjustRightInd w:val="0"/>
              <w:snapToGrid w:val="0"/>
              <w:jc w:val="center"/>
              <w:textAlignment w:val="baseline"/>
              <w:rPr>
                <w:rFonts w:hint="eastAsia" w:ascii="仿宋" w:hAnsi="仿宋" w:eastAsia="仿宋" w:cs="仿宋"/>
                <w:b/>
                <w:caps/>
                <w:color w:val="auto"/>
                <w:szCs w:val="21"/>
                <w:highlight w:val="none"/>
              </w:rPr>
            </w:pPr>
            <w:r>
              <w:rPr>
                <w:rFonts w:hint="eastAsia" w:ascii="仿宋" w:hAnsi="仿宋" w:eastAsia="仿宋" w:cs="仿宋"/>
                <w:b/>
                <w:caps/>
                <w:color w:val="auto"/>
                <w:szCs w:val="21"/>
                <w:highlight w:val="none"/>
              </w:rPr>
              <w:t>评审标准</w:t>
            </w:r>
          </w:p>
        </w:tc>
        <w:tc>
          <w:tcPr>
            <w:tcW w:w="1313" w:type="dxa"/>
            <w:noWrap w:val="0"/>
            <w:vAlign w:val="center"/>
          </w:tcPr>
          <w:p>
            <w:pPr>
              <w:tabs>
                <w:tab w:val="left" w:pos="1260"/>
                <w:tab w:val="left" w:pos="1620"/>
              </w:tabs>
              <w:adjustRightInd w:val="0"/>
              <w:snapToGrid w:val="0"/>
              <w:jc w:val="center"/>
              <w:textAlignment w:val="baseline"/>
              <w:rPr>
                <w:rFonts w:hint="eastAsia" w:ascii="仿宋" w:hAnsi="仿宋" w:eastAsia="仿宋" w:cs="仿宋"/>
                <w:b/>
                <w:caps/>
                <w:color w:val="auto"/>
                <w:szCs w:val="21"/>
                <w:highlight w:val="none"/>
              </w:rPr>
            </w:pPr>
            <w:r>
              <w:rPr>
                <w:rFonts w:hint="eastAsia" w:ascii="仿宋" w:hAnsi="仿宋" w:eastAsia="仿宋" w:cs="仿宋"/>
                <w:b/>
                <w:color w:val="auto"/>
                <w:szCs w:val="21"/>
                <w:highlight w:val="none"/>
              </w:rPr>
              <w:t>是否符合要求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noWrap w:val="0"/>
            <w:vAlign w:val="center"/>
          </w:tcPr>
          <w:p>
            <w:pPr>
              <w:numPr>
                <w:ilvl w:val="0"/>
                <w:numId w:val="13"/>
              </w:numPr>
              <w:tabs>
                <w:tab w:val="left" w:pos="1260"/>
                <w:tab w:val="left" w:pos="1620"/>
              </w:tabs>
              <w:adjustRightInd w:val="0"/>
              <w:snapToGrid w:val="0"/>
              <w:textAlignment w:val="baseline"/>
              <w:rPr>
                <w:rFonts w:hint="eastAsia" w:ascii="仿宋" w:hAnsi="仿宋" w:eastAsia="仿宋" w:cs="仿宋"/>
                <w:color w:val="auto"/>
                <w:szCs w:val="21"/>
                <w:highlight w:val="none"/>
              </w:rPr>
            </w:pPr>
          </w:p>
        </w:tc>
        <w:tc>
          <w:tcPr>
            <w:tcW w:w="1723"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磋商保证金</w:t>
            </w:r>
          </w:p>
        </w:tc>
        <w:tc>
          <w:tcPr>
            <w:tcW w:w="5401"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按照磋商文件的规定提交磋商保证金（包括形式及金额）；</w:t>
            </w:r>
          </w:p>
        </w:tc>
        <w:tc>
          <w:tcPr>
            <w:tcW w:w="1313"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noWrap w:val="0"/>
            <w:vAlign w:val="center"/>
          </w:tcPr>
          <w:p>
            <w:pPr>
              <w:numPr>
                <w:ilvl w:val="0"/>
                <w:numId w:val="13"/>
              </w:numPr>
              <w:tabs>
                <w:tab w:val="left" w:pos="1260"/>
                <w:tab w:val="left" w:pos="1620"/>
              </w:tabs>
              <w:adjustRightInd w:val="0"/>
              <w:snapToGrid w:val="0"/>
              <w:textAlignment w:val="baseline"/>
              <w:rPr>
                <w:rFonts w:hint="eastAsia" w:ascii="仿宋" w:hAnsi="仿宋" w:eastAsia="仿宋" w:cs="仿宋"/>
                <w:color w:val="auto"/>
                <w:szCs w:val="21"/>
                <w:highlight w:val="none"/>
              </w:rPr>
            </w:pPr>
          </w:p>
        </w:tc>
        <w:tc>
          <w:tcPr>
            <w:tcW w:w="1723"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响应文件签署盖章</w:t>
            </w:r>
          </w:p>
        </w:tc>
        <w:tc>
          <w:tcPr>
            <w:tcW w:w="5401"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按磋商文件格式要求加盖了供应商公章和有法定代表人或其授权代表签字或加盖人名章</w:t>
            </w:r>
            <w:r>
              <w:rPr>
                <w:rFonts w:hint="eastAsia" w:ascii="仿宋" w:hAnsi="仿宋" w:eastAsia="仿宋" w:cs="仿宋"/>
                <w:color w:val="auto"/>
                <w:szCs w:val="21"/>
                <w:highlight w:val="none"/>
                <w:lang w:eastAsia="zh-CN"/>
              </w:rPr>
              <w:t>；</w:t>
            </w:r>
          </w:p>
        </w:tc>
        <w:tc>
          <w:tcPr>
            <w:tcW w:w="1313"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noWrap w:val="0"/>
            <w:vAlign w:val="center"/>
          </w:tcPr>
          <w:p>
            <w:pPr>
              <w:numPr>
                <w:ilvl w:val="0"/>
                <w:numId w:val="13"/>
              </w:numPr>
              <w:tabs>
                <w:tab w:val="left" w:pos="1260"/>
                <w:tab w:val="left" w:pos="1620"/>
              </w:tabs>
              <w:adjustRightInd w:val="0"/>
              <w:snapToGrid w:val="0"/>
              <w:textAlignment w:val="baseline"/>
              <w:rPr>
                <w:rFonts w:hint="eastAsia" w:ascii="仿宋" w:hAnsi="仿宋" w:eastAsia="仿宋" w:cs="仿宋"/>
                <w:color w:val="auto"/>
                <w:szCs w:val="21"/>
                <w:highlight w:val="none"/>
              </w:rPr>
            </w:pPr>
          </w:p>
        </w:tc>
        <w:tc>
          <w:tcPr>
            <w:tcW w:w="1723"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报价</w:t>
            </w:r>
          </w:p>
        </w:tc>
        <w:tc>
          <w:tcPr>
            <w:tcW w:w="5401"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供应商报价是固定价且未超过预算金额</w:t>
            </w:r>
            <w:r>
              <w:rPr>
                <w:rFonts w:hint="eastAsia" w:ascii="仿宋" w:hAnsi="仿宋" w:eastAsia="仿宋" w:cs="仿宋"/>
                <w:color w:val="auto"/>
                <w:szCs w:val="21"/>
                <w:highlight w:val="none"/>
                <w:lang w:eastAsia="zh-CN"/>
              </w:rPr>
              <w:t>及最高限价；</w:t>
            </w:r>
          </w:p>
        </w:tc>
        <w:tc>
          <w:tcPr>
            <w:tcW w:w="1313"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noWrap w:val="0"/>
            <w:vAlign w:val="center"/>
          </w:tcPr>
          <w:p>
            <w:pPr>
              <w:numPr>
                <w:ilvl w:val="0"/>
                <w:numId w:val="13"/>
              </w:numPr>
              <w:tabs>
                <w:tab w:val="left" w:pos="1260"/>
                <w:tab w:val="left" w:pos="1620"/>
              </w:tabs>
              <w:adjustRightInd w:val="0"/>
              <w:snapToGrid w:val="0"/>
              <w:textAlignment w:val="baseline"/>
              <w:rPr>
                <w:rFonts w:hint="eastAsia" w:ascii="仿宋" w:hAnsi="仿宋" w:eastAsia="仿宋" w:cs="仿宋"/>
                <w:color w:val="auto"/>
                <w:szCs w:val="21"/>
                <w:highlight w:val="none"/>
              </w:rPr>
            </w:pPr>
          </w:p>
        </w:tc>
        <w:tc>
          <w:tcPr>
            <w:tcW w:w="1723"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附加条件</w:t>
            </w:r>
          </w:p>
        </w:tc>
        <w:tc>
          <w:tcPr>
            <w:tcW w:w="5401"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响应文件不含有采购人不能接受的附加条件；</w:t>
            </w:r>
          </w:p>
        </w:tc>
        <w:tc>
          <w:tcPr>
            <w:tcW w:w="1313"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47" w:hRule="atLeast"/>
          <w:jc w:val="center"/>
        </w:trPr>
        <w:tc>
          <w:tcPr>
            <w:tcW w:w="841" w:type="dxa"/>
            <w:noWrap w:val="0"/>
            <w:vAlign w:val="center"/>
          </w:tcPr>
          <w:p>
            <w:pPr>
              <w:numPr>
                <w:ilvl w:val="0"/>
                <w:numId w:val="13"/>
              </w:numPr>
              <w:tabs>
                <w:tab w:val="left" w:pos="1260"/>
                <w:tab w:val="left" w:pos="1620"/>
              </w:tabs>
              <w:adjustRightInd w:val="0"/>
              <w:snapToGrid w:val="0"/>
              <w:textAlignment w:val="baseline"/>
              <w:rPr>
                <w:rFonts w:hint="eastAsia" w:ascii="仿宋" w:hAnsi="仿宋" w:eastAsia="仿宋" w:cs="仿宋"/>
                <w:color w:val="auto"/>
                <w:szCs w:val="21"/>
                <w:highlight w:val="none"/>
              </w:rPr>
            </w:pPr>
          </w:p>
        </w:tc>
        <w:tc>
          <w:tcPr>
            <w:tcW w:w="1723"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公平竞争</w:t>
            </w:r>
          </w:p>
        </w:tc>
        <w:tc>
          <w:tcPr>
            <w:tcW w:w="5401"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遵循公平竞争的原则，没有弄虚作假、恶意串通或妨碍其他供应商的竞争行为，损害采购人或者其他供应商的合法权益；</w:t>
            </w:r>
          </w:p>
          <w:p>
            <w:pPr>
              <w:tabs>
                <w:tab w:val="left" w:pos="1260"/>
                <w:tab w:val="left" w:pos="1620"/>
              </w:tabs>
              <w:adjustRightInd w:val="0"/>
              <w:snapToGrid w:val="0"/>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弄虚作假、相互串通的情形见附注</w:t>
            </w:r>
          </w:p>
        </w:tc>
        <w:tc>
          <w:tcPr>
            <w:tcW w:w="1313"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noWrap w:val="0"/>
            <w:vAlign w:val="center"/>
          </w:tcPr>
          <w:p>
            <w:pPr>
              <w:numPr>
                <w:ilvl w:val="0"/>
                <w:numId w:val="13"/>
              </w:numPr>
              <w:tabs>
                <w:tab w:val="left" w:pos="1260"/>
                <w:tab w:val="left" w:pos="1620"/>
              </w:tabs>
              <w:adjustRightInd w:val="0"/>
              <w:snapToGrid w:val="0"/>
              <w:textAlignment w:val="baseline"/>
              <w:rPr>
                <w:rFonts w:hint="eastAsia" w:ascii="仿宋" w:hAnsi="仿宋" w:eastAsia="仿宋" w:cs="仿宋"/>
                <w:color w:val="auto"/>
                <w:szCs w:val="21"/>
                <w:highlight w:val="none"/>
              </w:rPr>
            </w:pPr>
          </w:p>
        </w:tc>
        <w:tc>
          <w:tcPr>
            <w:tcW w:w="1723"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其他无效情形</w:t>
            </w:r>
          </w:p>
        </w:tc>
        <w:tc>
          <w:tcPr>
            <w:tcW w:w="5401"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无法律、法规和磋商文件规定的其他无效情形；</w:t>
            </w:r>
          </w:p>
        </w:tc>
        <w:tc>
          <w:tcPr>
            <w:tcW w:w="1313"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noWrap w:val="0"/>
            <w:vAlign w:val="center"/>
          </w:tcPr>
          <w:p>
            <w:pPr>
              <w:numPr>
                <w:ilvl w:val="0"/>
                <w:numId w:val="14"/>
              </w:numPr>
              <w:tabs>
                <w:tab w:val="left" w:pos="1260"/>
                <w:tab w:val="left" w:pos="1620"/>
              </w:tabs>
              <w:adjustRightInd w:val="0"/>
              <w:snapToGrid w:val="0"/>
              <w:textAlignment w:val="baseline"/>
              <w:rPr>
                <w:rFonts w:hint="eastAsia" w:ascii="仿宋" w:hAnsi="仿宋" w:eastAsia="仿宋" w:cs="仿宋"/>
                <w:color w:val="auto"/>
                <w:szCs w:val="21"/>
                <w:highlight w:val="none"/>
              </w:rPr>
            </w:pPr>
          </w:p>
        </w:tc>
        <w:tc>
          <w:tcPr>
            <w:tcW w:w="1723"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响应文件有效期</w:t>
            </w:r>
          </w:p>
        </w:tc>
        <w:tc>
          <w:tcPr>
            <w:tcW w:w="5401"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有效期满足磋商文件要求；</w:t>
            </w:r>
          </w:p>
        </w:tc>
        <w:tc>
          <w:tcPr>
            <w:tcW w:w="1313"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noWrap w:val="0"/>
            <w:vAlign w:val="center"/>
          </w:tcPr>
          <w:p>
            <w:pPr>
              <w:numPr>
                <w:ilvl w:val="0"/>
                <w:numId w:val="14"/>
              </w:numPr>
              <w:tabs>
                <w:tab w:val="left" w:pos="1260"/>
                <w:tab w:val="left" w:pos="1620"/>
              </w:tabs>
              <w:adjustRightInd w:val="0"/>
              <w:snapToGrid w:val="0"/>
              <w:textAlignment w:val="baseline"/>
              <w:rPr>
                <w:rFonts w:hint="eastAsia" w:ascii="仿宋" w:hAnsi="仿宋" w:eastAsia="仿宋" w:cs="仿宋"/>
                <w:color w:val="auto"/>
                <w:szCs w:val="21"/>
                <w:highlight w:val="none"/>
              </w:rPr>
            </w:pPr>
          </w:p>
        </w:tc>
        <w:tc>
          <w:tcPr>
            <w:tcW w:w="1723"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响应文件格式</w:t>
            </w:r>
          </w:p>
        </w:tc>
        <w:tc>
          <w:tcPr>
            <w:tcW w:w="5401"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响应文件按规定的格式填写，内容完整且关键字迹清晰；</w:t>
            </w:r>
          </w:p>
        </w:tc>
        <w:tc>
          <w:tcPr>
            <w:tcW w:w="1313"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noWrap w:val="0"/>
            <w:vAlign w:val="center"/>
          </w:tcPr>
          <w:p>
            <w:pPr>
              <w:numPr>
                <w:ilvl w:val="0"/>
                <w:numId w:val="14"/>
              </w:numPr>
              <w:tabs>
                <w:tab w:val="left" w:pos="1260"/>
                <w:tab w:val="left" w:pos="1620"/>
              </w:tabs>
              <w:adjustRightInd w:val="0"/>
              <w:snapToGrid w:val="0"/>
              <w:textAlignment w:val="baseline"/>
              <w:rPr>
                <w:rFonts w:hint="eastAsia" w:ascii="仿宋" w:hAnsi="仿宋" w:eastAsia="仿宋" w:cs="仿宋"/>
                <w:color w:val="auto"/>
                <w:szCs w:val="21"/>
                <w:highlight w:val="none"/>
              </w:rPr>
            </w:pPr>
          </w:p>
        </w:tc>
        <w:tc>
          <w:tcPr>
            <w:tcW w:w="1723"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响应文件内容</w:t>
            </w:r>
          </w:p>
        </w:tc>
        <w:tc>
          <w:tcPr>
            <w:tcW w:w="5401"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供应商提供的</w:t>
            </w:r>
            <w:r>
              <w:rPr>
                <w:rFonts w:hint="eastAsia" w:ascii="仿宋" w:hAnsi="仿宋" w:eastAsia="仿宋" w:cs="仿宋"/>
                <w:color w:val="auto"/>
                <w:szCs w:val="21"/>
                <w:highlight w:val="none"/>
                <w:lang w:eastAsia="zh-CN"/>
              </w:rPr>
              <w:t>服务</w:t>
            </w:r>
            <w:r>
              <w:rPr>
                <w:rFonts w:hint="eastAsia" w:ascii="仿宋" w:hAnsi="仿宋" w:eastAsia="仿宋" w:cs="仿宋"/>
                <w:color w:val="auto"/>
                <w:szCs w:val="21"/>
                <w:highlight w:val="none"/>
              </w:rPr>
              <w:t>无实质性遗漏</w:t>
            </w:r>
          </w:p>
        </w:tc>
        <w:tc>
          <w:tcPr>
            <w:tcW w:w="1313"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noWrap w:val="0"/>
            <w:vAlign w:val="center"/>
          </w:tcPr>
          <w:p>
            <w:pPr>
              <w:numPr>
                <w:ilvl w:val="0"/>
                <w:numId w:val="14"/>
              </w:numPr>
              <w:tabs>
                <w:tab w:val="left" w:pos="1260"/>
                <w:tab w:val="left" w:pos="1620"/>
              </w:tabs>
              <w:adjustRightInd w:val="0"/>
              <w:snapToGrid w:val="0"/>
              <w:textAlignment w:val="baseline"/>
              <w:rPr>
                <w:rFonts w:hint="eastAsia" w:ascii="仿宋" w:hAnsi="仿宋" w:eastAsia="仿宋" w:cs="仿宋"/>
                <w:color w:val="auto"/>
                <w:szCs w:val="21"/>
                <w:highlight w:val="none"/>
              </w:rPr>
            </w:pPr>
          </w:p>
        </w:tc>
        <w:tc>
          <w:tcPr>
            <w:tcW w:w="1723"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技术响应</w:t>
            </w:r>
          </w:p>
        </w:tc>
        <w:tc>
          <w:tcPr>
            <w:tcW w:w="5401"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符合“采购需求”要求，无重大偏差</w:t>
            </w:r>
          </w:p>
        </w:tc>
        <w:tc>
          <w:tcPr>
            <w:tcW w:w="1313"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41" w:type="dxa"/>
            <w:noWrap w:val="0"/>
            <w:vAlign w:val="center"/>
          </w:tcPr>
          <w:p>
            <w:pPr>
              <w:numPr>
                <w:ilvl w:val="0"/>
                <w:numId w:val="14"/>
              </w:numPr>
              <w:tabs>
                <w:tab w:val="left" w:pos="1260"/>
                <w:tab w:val="left" w:pos="1620"/>
              </w:tabs>
              <w:adjustRightInd w:val="0"/>
              <w:snapToGrid w:val="0"/>
              <w:textAlignment w:val="baseline"/>
              <w:rPr>
                <w:rFonts w:hint="eastAsia" w:ascii="仿宋" w:hAnsi="仿宋" w:eastAsia="仿宋" w:cs="仿宋"/>
                <w:color w:val="auto"/>
                <w:szCs w:val="21"/>
                <w:highlight w:val="none"/>
              </w:rPr>
            </w:pPr>
          </w:p>
        </w:tc>
        <w:tc>
          <w:tcPr>
            <w:tcW w:w="1723" w:type="dxa"/>
            <w:noWrap w:val="0"/>
            <w:vAlign w:val="center"/>
          </w:tcPr>
          <w:p>
            <w:pPr>
              <w:tabs>
                <w:tab w:val="left" w:pos="1260"/>
                <w:tab w:val="left" w:pos="1620"/>
              </w:tabs>
              <w:adjustRightInd w:val="0"/>
              <w:snapToGrid w:val="0"/>
              <w:textAlignment w:val="baseline"/>
              <w:rPr>
                <w:rFonts w:hint="eastAsia" w:ascii="仿宋" w:hAnsi="仿宋" w:eastAsia="仿宋" w:cs="仿宋"/>
                <w:iCs/>
                <w:color w:val="auto"/>
                <w:szCs w:val="21"/>
                <w:highlight w:val="none"/>
              </w:rPr>
            </w:pPr>
            <w:r>
              <w:rPr>
                <w:rFonts w:hint="eastAsia" w:ascii="仿宋" w:hAnsi="仿宋" w:eastAsia="仿宋" w:cs="仿宋"/>
                <w:iCs/>
                <w:color w:val="auto"/>
                <w:szCs w:val="21"/>
                <w:highlight w:val="none"/>
                <w:lang w:eastAsia="zh-CN"/>
              </w:rPr>
              <w:t>服务</w:t>
            </w:r>
            <w:r>
              <w:rPr>
                <w:rFonts w:hint="eastAsia" w:ascii="仿宋" w:hAnsi="仿宋" w:eastAsia="仿宋" w:cs="仿宋"/>
                <w:iCs/>
                <w:color w:val="auto"/>
                <w:szCs w:val="21"/>
                <w:highlight w:val="none"/>
              </w:rPr>
              <w:t>期和</w:t>
            </w:r>
            <w:r>
              <w:rPr>
                <w:rFonts w:hint="eastAsia" w:ascii="仿宋" w:hAnsi="仿宋" w:eastAsia="仿宋" w:cs="仿宋"/>
                <w:iCs/>
                <w:color w:val="auto"/>
                <w:szCs w:val="21"/>
                <w:highlight w:val="none"/>
                <w:lang w:eastAsia="zh-CN"/>
              </w:rPr>
              <w:t>服务</w:t>
            </w:r>
            <w:r>
              <w:rPr>
                <w:rFonts w:hint="eastAsia" w:ascii="仿宋" w:hAnsi="仿宋" w:eastAsia="仿宋" w:cs="仿宋"/>
                <w:iCs/>
                <w:color w:val="auto"/>
                <w:szCs w:val="21"/>
                <w:highlight w:val="none"/>
              </w:rPr>
              <w:t>地点</w:t>
            </w:r>
          </w:p>
        </w:tc>
        <w:tc>
          <w:tcPr>
            <w:tcW w:w="5401" w:type="dxa"/>
            <w:noWrap w:val="0"/>
            <w:vAlign w:val="center"/>
          </w:tcPr>
          <w:p>
            <w:pPr>
              <w:tabs>
                <w:tab w:val="left" w:pos="1260"/>
                <w:tab w:val="left" w:pos="1620"/>
              </w:tabs>
              <w:adjustRightInd w:val="0"/>
              <w:snapToGrid w:val="0"/>
              <w:textAlignment w:val="baseline"/>
              <w:rPr>
                <w:rFonts w:hint="eastAsia" w:ascii="仿宋" w:hAnsi="仿宋" w:eastAsia="仿宋" w:cs="仿宋"/>
                <w:iCs/>
                <w:color w:val="auto"/>
                <w:szCs w:val="21"/>
                <w:highlight w:val="none"/>
              </w:rPr>
            </w:pPr>
            <w:r>
              <w:rPr>
                <w:rFonts w:hint="eastAsia" w:ascii="仿宋" w:hAnsi="仿宋" w:eastAsia="仿宋" w:cs="仿宋"/>
                <w:iCs/>
                <w:color w:val="auto"/>
                <w:szCs w:val="21"/>
                <w:highlight w:val="none"/>
              </w:rPr>
              <w:t>满足磋商文件要求；</w:t>
            </w:r>
          </w:p>
        </w:tc>
        <w:tc>
          <w:tcPr>
            <w:tcW w:w="1313"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noWrap w:val="0"/>
            <w:vAlign w:val="center"/>
          </w:tcPr>
          <w:p>
            <w:pPr>
              <w:numPr>
                <w:ilvl w:val="0"/>
                <w:numId w:val="14"/>
              </w:numPr>
              <w:tabs>
                <w:tab w:val="left" w:pos="1260"/>
                <w:tab w:val="left" w:pos="1620"/>
              </w:tabs>
              <w:adjustRightInd w:val="0"/>
              <w:snapToGrid w:val="0"/>
              <w:textAlignment w:val="baseline"/>
              <w:rPr>
                <w:rFonts w:hint="eastAsia" w:ascii="仿宋" w:hAnsi="仿宋" w:eastAsia="仿宋" w:cs="仿宋"/>
                <w:color w:val="auto"/>
                <w:szCs w:val="21"/>
                <w:highlight w:val="none"/>
              </w:rPr>
            </w:pPr>
          </w:p>
        </w:tc>
        <w:tc>
          <w:tcPr>
            <w:tcW w:w="1723" w:type="dxa"/>
            <w:noWrap w:val="0"/>
            <w:vAlign w:val="center"/>
          </w:tcPr>
          <w:p>
            <w:pPr>
              <w:tabs>
                <w:tab w:val="left" w:pos="1260"/>
                <w:tab w:val="left" w:pos="1620"/>
              </w:tabs>
              <w:adjustRightInd w:val="0"/>
              <w:snapToGrid w:val="0"/>
              <w:textAlignment w:val="baseline"/>
              <w:rPr>
                <w:rFonts w:hint="eastAsia" w:ascii="仿宋" w:hAnsi="仿宋" w:eastAsia="仿宋" w:cs="仿宋"/>
                <w:iCs/>
                <w:color w:val="auto"/>
                <w:szCs w:val="21"/>
                <w:highlight w:val="none"/>
              </w:rPr>
            </w:pPr>
            <w:r>
              <w:rPr>
                <w:rFonts w:hint="eastAsia" w:ascii="仿宋" w:hAnsi="仿宋" w:eastAsia="仿宋" w:cs="仿宋"/>
                <w:iCs/>
                <w:color w:val="auto"/>
                <w:szCs w:val="21"/>
                <w:highlight w:val="none"/>
              </w:rPr>
              <w:t>付款方式</w:t>
            </w:r>
          </w:p>
        </w:tc>
        <w:tc>
          <w:tcPr>
            <w:tcW w:w="5401" w:type="dxa"/>
            <w:noWrap w:val="0"/>
            <w:vAlign w:val="center"/>
          </w:tcPr>
          <w:p>
            <w:pPr>
              <w:tabs>
                <w:tab w:val="left" w:pos="1260"/>
                <w:tab w:val="left" w:pos="1620"/>
              </w:tabs>
              <w:adjustRightInd w:val="0"/>
              <w:snapToGrid w:val="0"/>
              <w:textAlignment w:val="baseline"/>
              <w:rPr>
                <w:rFonts w:hint="eastAsia" w:ascii="仿宋" w:hAnsi="仿宋" w:eastAsia="仿宋" w:cs="仿宋"/>
                <w:iCs/>
                <w:color w:val="auto"/>
                <w:szCs w:val="21"/>
                <w:highlight w:val="none"/>
              </w:rPr>
            </w:pPr>
            <w:r>
              <w:rPr>
                <w:rFonts w:hint="eastAsia" w:ascii="仿宋" w:hAnsi="仿宋" w:eastAsia="仿宋" w:cs="仿宋"/>
                <w:iCs/>
                <w:color w:val="auto"/>
                <w:szCs w:val="21"/>
                <w:highlight w:val="none"/>
              </w:rPr>
              <w:t>响应文件无负偏差；</w:t>
            </w:r>
          </w:p>
        </w:tc>
        <w:tc>
          <w:tcPr>
            <w:tcW w:w="1313"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2564" w:type="dxa"/>
            <w:gridSpan w:val="2"/>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结论（通过或未通过）</w:t>
            </w:r>
          </w:p>
        </w:tc>
        <w:tc>
          <w:tcPr>
            <w:tcW w:w="5401"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p>
        </w:tc>
        <w:tc>
          <w:tcPr>
            <w:tcW w:w="1313" w:type="dxa"/>
            <w:noWrap w:val="0"/>
            <w:vAlign w:val="center"/>
          </w:tcPr>
          <w:p>
            <w:pPr>
              <w:tabs>
                <w:tab w:val="left" w:pos="1260"/>
                <w:tab w:val="left" w:pos="1620"/>
              </w:tabs>
              <w:adjustRightInd w:val="0"/>
              <w:snapToGrid w:val="0"/>
              <w:textAlignment w:val="baseline"/>
              <w:rPr>
                <w:rFonts w:hint="eastAsia" w:ascii="仿宋" w:hAnsi="仿宋" w:eastAsia="仿宋" w:cs="仿宋"/>
                <w:color w:val="auto"/>
                <w:szCs w:val="21"/>
                <w:highlight w:val="none"/>
              </w:rPr>
            </w:pPr>
          </w:p>
        </w:tc>
      </w:tr>
    </w:tbl>
    <w:p>
      <w:pPr>
        <w:tabs>
          <w:tab w:val="left" w:pos="1260"/>
          <w:tab w:val="left" w:pos="1620"/>
        </w:tabs>
        <w:adjustRightInd w:val="0"/>
        <w:spacing w:line="360" w:lineRule="auto"/>
        <w:jc w:val="left"/>
        <w:textAlignment w:val="baseline"/>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注：1、符合磋商文件要求用“○”表示，不符合用“×”表示。有一项不符合要求，结论为不合格。</w:t>
      </w:r>
    </w:p>
    <w:p>
      <w:pPr>
        <w:tabs>
          <w:tab w:val="left" w:pos="1260"/>
          <w:tab w:val="left" w:pos="1620"/>
        </w:tabs>
        <w:adjustRightInd w:val="0"/>
        <w:spacing w:line="360" w:lineRule="auto"/>
        <w:jc w:val="left"/>
        <w:textAlignment w:val="baseline"/>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2、有下列情形之一的，视为供应商相互串通：</w:t>
      </w:r>
    </w:p>
    <w:p>
      <w:pPr>
        <w:tabs>
          <w:tab w:val="left" w:pos="1260"/>
          <w:tab w:val="left" w:pos="1620"/>
        </w:tabs>
        <w:adjustRightInd w:val="0"/>
        <w:spacing w:line="360" w:lineRule="auto"/>
        <w:jc w:val="left"/>
        <w:textAlignment w:val="baseline"/>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（1）不同供应商的响应文件由同一单位或者个人编制；</w:t>
      </w:r>
    </w:p>
    <w:p>
      <w:pPr>
        <w:tabs>
          <w:tab w:val="left" w:pos="1260"/>
          <w:tab w:val="left" w:pos="1620"/>
        </w:tabs>
        <w:adjustRightInd w:val="0"/>
        <w:spacing w:line="360" w:lineRule="auto"/>
        <w:jc w:val="left"/>
        <w:textAlignment w:val="baseline"/>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（2）不同供应商委托同一单位或者个人办理参与磋商事宜；</w:t>
      </w:r>
    </w:p>
    <w:p>
      <w:pPr>
        <w:tabs>
          <w:tab w:val="left" w:pos="1260"/>
          <w:tab w:val="left" w:pos="1620"/>
        </w:tabs>
        <w:adjustRightInd w:val="0"/>
        <w:spacing w:line="360" w:lineRule="auto"/>
        <w:jc w:val="left"/>
        <w:textAlignment w:val="baseline"/>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（3）不同供应商的响应文件载明的项目管理成员或者联系人员为同一人；</w:t>
      </w:r>
    </w:p>
    <w:p>
      <w:pPr>
        <w:tabs>
          <w:tab w:val="left" w:pos="1260"/>
          <w:tab w:val="left" w:pos="1620"/>
        </w:tabs>
        <w:adjustRightInd w:val="0"/>
        <w:spacing w:line="360" w:lineRule="auto"/>
        <w:jc w:val="left"/>
        <w:textAlignment w:val="baseline"/>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（4）不同供应商的响应文件异常一致或者报价呈规律性差异；</w:t>
      </w:r>
    </w:p>
    <w:p>
      <w:pPr>
        <w:tabs>
          <w:tab w:val="left" w:pos="1260"/>
          <w:tab w:val="left" w:pos="1620"/>
        </w:tabs>
        <w:adjustRightInd w:val="0"/>
        <w:spacing w:line="360" w:lineRule="auto"/>
        <w:jc w:val="left"/>
        <w:textAlignment w:val="baseline"/>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（5）不同供应商的响应文件相互混装；</w:t>
      </w:r>
    </w:p>
    <w:p>
      <w:pPr>
        <w:tabs>
          <w:tab w:val="left" w:pos="1260"/>
          <w:tab w:val="left" w:pos="1620"/>
        </w:tabs>
        <w:adjustRightInd w:val="0"/>
        <w:spacing w:line="360" w:lineRule="auto"/>
        <w:jc w:val="left"/>
        <w:textAlignment w:val="baseline"/>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（6）不同供应商的磋商保证金从同一单位或者个人的账户转出。</w:t>
      </w:r>
    </w:p>
    <w:p>
      <w:pPr>
        <w:tabs>
          <w:tab w:val="left" w:pos="1260"/>
          <w:tab w:val="left" w:pos="1620"/>
        </w:tabs>
        <w:adjustRightInd w:val="0"/>
        <w:spacing w:line="360" w:lineRule="auto"/>
        <w:jc w:val="left"/>
        <w:textAlignment w:val="baseline"/>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3、有下列情形之一的，属于提供虚假材料谋取成交的行为：</w:t>
      </w:r>
    </w:p>
    <w:p>
      <w:pPr>
        <w:tabs>
          <w:tab w:val="left" w:pos="1260"/>
          <w:tab w:val="left" w:pos="1620"/>
        </w:tabs>
        <w:adjustRightInd w:val="0"/>
        <w:spacing w:line="360" w:lineRule="auto"/>
        <w:jc w:val="left"/>
        <w:textAlignment w:val="baseline"/>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（1）使用伪造、变造的许可证件；</w:t>
      </w:r>
    </w:p>
    <w:p>
      <w:pPr>
        <w:tabs>
          <w:tab w:val="left" w:pos="1260"/>
          <w:tab w:val="left" w:pos="1620"/>
        </w:tabs>
        <w:adjustRightInd w:val="0"/>
        <w:spacing w:line="360" w:lineRule="auto"/>
        <w:jc w:val="left"/>
        <w:textAlignment w:val="baseline"/>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（2）提供虚假的财务状况或者业绩；</w:t>
      </w:r>
    </w:p>
    <w:p>
      <w:pPr>
        <w:tabs>
          <w:tab w:val="left" w:pos="1260"/>
          <w:tab w:val="left" w:pos="1620"/>
        </w:tabs>
        <w:adjustRightInd w:val="0"/>
        <w:spacing w:line="360" w:lineRule="auto"/>
        <w:jc w:val="left"/>
        <w:textAlignment w:val="baseline"/>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（3）提供虚假的项目负责人或者主要技术人员简历、劳动关系证明；</w:t>
      </w:r>
    </w:p>
    <w:p>
      <w:pPr>
        <w:tabs>
          <w:tab w:val="left" w:pos="1260"/>
          <w:tab w:val="left" w:pos="1620"/>
        </w:tabs>
        <w:adjustRightInd w:val="0"/>
        <w:spacing w:line="360" w:lineRule="auto"/>
        <w:jc w:val="left"/>
        <w:textAlignment w:val="baseline"/>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（4）提供虚假的信用状况；</w:t>
      </w:r>
    </w:p>
    <w:p>
      <w:pPr>
        <w:tabs>
          <w:tab w:val="left" w:pos="1260"/>
          <w:tab w:val="left" w:pos="1620"/>
        </w:tabs>
        <w:adjustRightInd w:val="0"/>
        <w:spacing w:line="360" w:lineRule="auto"/>
        <w:jc w:val="left"/>
        <w:textAlignment w:val="baseline"/>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（5）其他弄虚作假的行为。</w:t>
      </w:r>
    </w:p>
    <w:p>
      <w:pPr>
        <w:tabs>
          <w:tab w:val="left" w:pos="1260"/>
          <w:tab w:val="left" w:pos="1620"/>
        </w:tabs>
        <w:adjustRightInd w:val="0"/>
        <w:spacing w:line="360" w:lineRule="auto"/>
        <w:jc w:val="left"/>
        <w:textAlignment w:val="baseline"/>
        <w:rPr>
          <w:rFonts w:hint="default" w:ascii="Times New Roman" w:hAnsi="Times New Roman" w:eastAsia="仿宋_GB2312" w:cs="Times New Roman"/>
          <w:b/>
          <w:i w:val="0"/>
          <w:iCs w:val="0"/>
          <w:color w:val="auto"/>
          <w:szCs w:val="21"/>
          <w:highlight w:val="none"/>
        </w:rPr>
      </w:pPr>
    </w:p>
    <w:p>
      <w:pPr>
        <w:tabs>
          <w:tab w:val="left" w:pos="1260"/>
          <w:tab w:val="left" w:pos="1620"/>
        </w:tabs>
        <w:adjustRightInd w:val="0"/>
        <w:spacing w:line="360" w:lineRule="auto"/>
        <w:jc w:val="left"/>
        <w:textAlignment w:val="baseline"/>
        <w:rPr>
          <w:rFonts w:hint="default" w:ascii="Times New Roman" w:hAnsi="Times New Roman" w:eastAsia="仿宋_GB2312" w:cs="Times New Roman"/>
          <w:b/>
          <w:i w:val="0"/>
          <w:iCs w:val="0"/>
          <w:color w:val="auto"/>
          <w:szCs w:val="21"/>
          <w:highlight w:val="none"/>
        </w:rPr>
      </w:pPr>
    </w:p>
    <w:p>
      <w:pPr>
        <w:tabs>
          <w:tab w:val="left" w:pos="1260"/>
          <w:tab w:val="left" w:pos="1620"/>
        </w:tabs>
        <w:adjustRightInd w:val="0"/>
        <w:spacing w:line="360" w:lineRule="auto"/>
        <w:jc w:val="left"/>
        <w:textAlignment w:val="baseline"/>
        <w:rPr>
          <w:rFonts w:hint="default" w:ascii="Times New Roman" w:hAnsi="Times New Roman" w:eastAsia="仿宋_GB2312" w:cs="Times New Roman"/>
          <w:b/>
          <w:i w:val="0"/>
          <w:iCs w:val="0"/>
          <w:color w:val="auto"/>
          <w:szCs w:val="21"/>
          <w:highlight w:val="none"/>
        </w:rPr>
      </w:pPr>
      <w:r>
        <w:rPr>
          <w:rFonts w:hint="default" w:ascii="Times New Roman" w:hAnsi="Times New Roman" w:eastAsia="仿宋_GB2312" w:cs="Times New Roman"/>
          <w:b/>
          <w:i w:val="0"/>
          <w:iCs w:val="0"/>
          <w:color w:val="auto"/>
          <w:szCs w:val="21"/>
          <w:highlight w:val="none"/>
        </w:rPr>
        <w:br w:type="page"/>
      </w:r>
    </w:p>
    <w:p>
      <w:pPr>
        <w:jc w:val="center"/>
        <w:rPr>
          <w:rFonts w:hint="eastAsia" w:ascii="仿宋" w:hAnsi="仿宋" w:eastAsia="仿宋" w:cs="仿宋"/>
          <w:b/>
          <w:color w:val="auto"/>
          <w:sz w:val="30"/>
          <w:szCs w:val="30"/>
          <w:highlight w:val="none"/>
        </w:rPr>
      </w:pPr>
      <w:bookmarkStart w:id="408" w:name="_Toc7005048"/>
      <w:bookmarkStart w:id="409" w:name="_Toc414446034"/>
      <w:bookmarkStart w:id="410" w:name="_Toc410631198"/>
      <w:r>
        <w:rPr>
          <w:rFonts w:hint="eastAsia" w:ascii="仿宋" w:hAnsi="仿宋" w:eastAsia="仿宋" w:cs="仿宋"/>
          <w:b/>
          <w:color w:val="auto"/>
          <w:sz w:val="30"/>
          <w:szCs w:val="30"/>
          <w:highlight w:val="none"/>
        </w:rPr>
        <w:t>附表三 商务评审因素及分值分配表</w:t>
      </w:r>
      <w:bookmarkEnd w:id="408"/>
      <w:bookmarkEnd w:id="409"/>
      <w:bookmarkEnd w:id="410"/>
    </w:p>
    <w:p>
      <w:pPr>
        <w:tabs>
          <w:tab w:val="left" w:pos="-94"/>
          <w:tab w:val="left" w:pos="1620"/>
        </w:tabs>
        <w:adjustRightInd w:val="0"/>
        <w:spacing w:line="360" w:lineRule="auto"/>
        <w:ind w:left="23" w:leftChars="11"/>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（满分</w:t>
      </w: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rPr>
        <w:t>分）</w:t>
      </w:r>
    </w:p>
    <w:p>
      <w:pPr>
        <w:tabs>
          <w:tab w:val="left" w:pos="-94"/>
          <w:tab w:val="left" w:pos="1620"/>
        </w:tabs>
        <w:adjustRightInd w:val="0"/>
        <w:spacing w:line="360" w:lineRule="auto"/>
        <w:ind w:left="23" w:leftChars="11"/>
        <w:jc w:val="center"/>
        <w:textAlignment w:val="baseline"/>
        <w:rPr>
          <w:rFonts w:hint="eastAsia" w:ascii="仿宋" w:hAnsi="仿宋" w:eastAsia="仿宋" w:cs="仿宋"/>
          <w:b/>
          <w:color w:val="auto"/>
          <w:szCs w:val="21"/>
          <w:highlight w:val="none"/>
        </w:rPr>
      </w:pPr>
    </w:p>
    <w:tbl>
      <w:tblPr>
        <w:tblStyle w:val="50"/>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1591"/>
        <w:gridCol w:w="5306"/>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47" w:type="dxa"/>
            <w:noWrap w:val="0"/>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1591" w:type="dxa"/>
            <w:noWrap w:val="0"/>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评审内容</w:t>
            </w:r>
          </w:p>
        </w:tc>
        <w:tc>
          <w:tcPr>
            <w:tcW w:w="5306" w:type="dxa"/>
            <w:noWrap w:val="0"/>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评  审  标  准</w:t>
            </w:r>
          </w:p>
        </w:tc>
        <w:tc>
          <w:tcPr>
            <w:tcW w:w="1061" w:type="dxa"/>
            <w:noWrap w:val="0"/>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547" w:type="dxa"/>
            <w:noWrap w:val="0"/>
            <w:vAlign w:val="center"/>
          </w:tcPr>
          <w:p>
            <w:pPr>
              <w:jc w:val="center"/>
              <w:rPr>
                <w:rFonts w:hint="eastAsia" w:ascii="仿宋" w:hAnsi="仿宋" w:eastAsia="仿宋" w:cs="仿宋"/>
                <w:color w:val="auto"/>
                <w:highlight w:val="none"/>
              </w:rPr>
            </w:pPr>
            <w:bookmarkStart w:id="411" w:name="_Toc7005049"/>
            <w:r>
              <w:rPr>
                <w:rFonts w:hint="eastAsia" w:ascii="仿宋" w:hAnsi="仿宋" w:eastAsia="仿宋" w:cs="仿宋"/>
                <w:color w:val="auto"/>
                <w:highlight w:val="none"/>
              </w:rPr>
              <w:t>1</w:t>
            </w:r>
            <w:bookmarkEnd w:id="411"/>
          </w:p>
        </w:tc>
        <w:tc>
          <w:tcPr>
            <w:tcW w:w="1591" w:type="dxa"/>
            <w:noWrap w:val="0"/>
            <w:vAlign w:val="center"/>
          </w:tcPr>
          <w:p>
            <w:pPr>
              <w:jc w:val="center"/>
              <w:rPr>
                <w:rFonts w:hint="eastAsia" w:ascii="仿宋" w:hAnsi="仿宋" w:eastAsia="仿宋" w:cs="仿宋"/>
                <w:bCs/>
                <w:color w:val="auto"/>
                <w:highlight w:val="none"/>
              </w:rPr>
            </w:pPr>
            <w:r>
              <w:rPr>
                <w:rFonts w:hint="eastAsia" w:ascii="仿宋" w:hAnsi="仿宋" w:eastAsia="仿宋" w:cs="仿宋"/>
                <w:bCs/>
                <w:color w:val="auto"/>
                <w:highlight w:val="none"/>
              </w:rPr>
              <w:t>合同条款</w:t>
            </w:r>
          </w:p>
        </w:tc>
        <w:tc>
          <w:tcPr>
            <w:tcW w:w="5306" w:type="dxa"/>
            <w:noWrap w:val="0"/>
            <w:vAlign w:val="center"/>
          </w:tcPr>
          <w:p>
            <w:pPr>
              <w:rPr>
                <w:rFonts w:hint="eastAsia" w:ascii="仿宋" w:hAnsi="仿宋" w:eastAsia="仿宋" w:cs="仿宋"/>
                <w:i/>
                <w:color w:val="auto"/>
                <w:highlight w:val="none"/>
                <w:lang w:eastAsia="zh-CN"/>
              </w:rPr>
            </w:pPr>
            <w:r>
              <w:rPr>
                <w:rFonts w:hint="eastAsia" w:ascii="仿宋" w:hAnsi="仿宋" w:eastAsia="仿宋" w:cs="仿宋"/>
                <w:color w:val="auto"/>
                <w:szCs w:val="21"/>
                <w:highlight w:val="none"/>
                <w:lang w:eastAsia="zh-CN"/>
              </w:rPr>
              <w:t>供应商对拟签订合同条款中支付与结算、质量保证等方面进行响应说明，按其响应程度计0-</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分。</w:t>
            </w:r>
          </w:p>
        </w:tc>
        <w:tc>
          <w:tcPr>
            <w:tcW w:w="1061" w:type="dxa"/>
            <w:noWrap w:val="0"/>
            <w:vAlign w:val="center"/>
          </w:tcPr>
          <w:p>
            <w:pPr>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7" w:type="dxa"/>
            <w:noWrap w:val="0"/>
            <w:vAlign w:val="center"/>
          </w:tcPr>
          <w:p>
            <w:pPr>
              <w:jc w:val="center"/>
              <w:rPr>
                <w:rFonts w:hint="eastAsia" w:ascii="仿宋" w:hAnsi="仿宋" w:eastAsia="仿宋" w:cs="仿宋"/>
                <w:color w:val="auto"/>
                <w:highlight w:val="none"/>
              </w:rPr>
            </w:pPr>
            <w:bookmarkStart w:id="412" w:name="_Toc7005052"/>
            <w:r>
              <w:rPr>
                <w:rFonts w:hint="eastAsia" w:ascii="仿宋" w:hAnsi="仿宋" w:eastAsia="仿宋" w:cs="仿宋"/>
                <w:color w:val="auto"/>
                <w:highlight w:val="none"/>
              </w:rPr>
              <w:t>2</w:t>
            </w:r>
            <w:bookmarkEnd w:id="412"/>
          </w:p>
        </w:tc>
        <w:tc>
          <w:tcPr>
            <w:tcW w:w="1591" w:type="dxa"/>
            <w:noWrap w:val="0"/>
            <w:vAlign w:val="center"/>
          </w:tcPr>
          <w:p>
            <w:pPr>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拟派项目负责人业绩工作经历</w:t>
            </w:r>
          </w:p>
        </w:tc>
        <w:tc>
          <w:tcPr>
            <w:tcW w:w="5306" w:type="dxa"/>
            <w:noWrap w:val="0"/>
            <w:vAlign w:val="center"/>
          </w:tcPr>
          <w:p>
            <w:pPr>
              <w:rPr>
                <w:rFonts w:hint="eastAsia"/>
                <w:highlight w:val="none"/>
                <w:lang w:val="en-US" w:eastAsia="zh-CN"/>
              </w:rPr>
            </w:pPr>
            <w:r>
              <w:rPr>
                <w:rFonts w:hint="eastAsia" w:ascii="仿宋" w:hAnsi="仿宋" w:eastAsia="仿宋" w:cs="仿宋"/>
                <w:color w:val="auto"/>
                <w:szCs w:val="21"/>
                <w:highlight w:val="none"/>
                <w:lang w:val="en-US" w:eastAsia="zh-CN"/>
              </w:rPr>
              <w:t>（1）拟派往本项目的项目负责人，具有工程或工程经济类高级专业技术职称得2分，具有工程或工程经济类中级专业技术职称得1分，其余不得分。</w:t>
            </w:r>
          </w:p>
          <w:p>
            <w:pPr>
              <w:rPr>
                <w:rFonts w:hint="eastAsia"/>
                <w:highlight w:val="none"/>
                <w:lang w:val="en-US" w:eastAsia="zh-CN"/>
              </w:rPr>
            </w:pPr>
            <w:r>
              <w:rPr>
                <w:rFonts w:hint="eastAsia" w:ascii="仿宋" w:hAnsi="仿宋" w:eastAsia="仿宋" w:cs="仿宋"/>
                <w:color w:val="auto"/>
                <w:szCs w:val="21"/>
                <w:highlight w:val="none"/>
                <w:lang w:val="en-US" w:eastAsia="zh-CN"/>
              </w:rPr>
              <w:t>注：须提供相应职称证书、身份证、供应商注册地社会保险机构出具的供应商为拟派项目负责人磋商前连续6个月所缴纳的社保证明，响应文件中应附相应复印件或扫描件并加盖公章。</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（2）2017年1月1日至今（以合同签订时间为准），拟派项目负责人作为项目负责人每具有一项对应的工程投资规模在人民币7亿元（含）以上的全过程造价咨询业绩得2分，最高2分。</w:t>
            </w:r>
          </w:p>
          <w:p>
            <w:pPr>
              <w:rPr>
                <w:rFonts w:hint="eastAsia" w:ascii="仿宋" w:hAnsi="仿宋" w:eastAsia="仿宋" w:cs="仿宋"/>
                <w:i/>
                <w:color w:val="auto"/>
                <w:highlight w:val="none"/>
                <w:lang w:val="en-US" w:eastAsia="zh-CN"/>
              </w:rPr>
            </w:pPr>
            <w:r>
              <w:rPr>
                <w:rFonts w:hint="eastAsia" w:ascii="仿宋" w:hAnsi="仿宋" w:eastAsia="仿宋" w:cs="仿宋"/>
                <w:color w:val="auto"/>
                <w:szCs w:val="21"/>
                <w:highlight w:val="none"/>
                <w:lang w:val="en-US" w:eastAsia="zh-CN"/>
              </w:rPr>
              <w:t>备注：业绩证明材料以全过程造价咨询合同为准，当合同不能体现工程投资金额时，需提供其他证明材料，如项目初步设计批复文件或审核定案表或业主委托书及对应范围的施工标中标（成交）通知书或施工合同等，证明应能体现出项目负责人姓名及相应工程投资规模或业绩金额，响应文件中须附相应复印件或扫描件并加盖公章，否则不得分。</w:t>
            </w:r>
          </w:p>
        </w:tc>
        <w:tc>
          <w:tcPr>
            <w:tcW w:w="1061" w:type="dxa"/>
            <w:noWrap w:val="0"/>
            <w:vAlign w:val="center"/>
          </w:tcPr>
          <w:p>
            <w:pPr>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7" w:type="dxa"/>
            <w:noWrap w:val="0"/>
            <w:vAlign w:val="center"/>
          </w:tcPr>
          <w:p>
            <w:pPr>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w:t>
            </w:r>
          </w:p>
        </w:tc>
        <w:tc>
          <w:tcPr>
            <w:tcW w:w="1591" w:type="dxa"/>
            <w:noWrap w:val="0"/>
            <w:vAlign w:val="center"/>
          </w:tcPr>
          <w:p>
            <w:pPr>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拟派本项目的造价咨询人员配备</w:t>
            </w:r>
          </w:p>
        </w:tc>
        <w:tc>
          <w:tcPr>
            <w:tcW w:w="5306" w:type="dxa"/>
            <w:noWrap w:val="0"/>
            <w:vAlign w:val="center"/>
          </w:tcPr>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（1）除项目负责人外，拟派项目人员中具有一级注册造价工程师资格人员的，每 1 人得 1分，本项满分15分。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（2）除项目负责人外，其他人员配备，从专业、人员数量、职称等方面综合比较打分1-4分。未提供不得分。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注：以上人员需提供一级注册造价师证以及身份证、职称证、社保证明（供应商注册地社会保险机构出具的供应商为上述人员磋商前连续6个月所缴纳的社保证明），响应文件中须附相应复印件或扫描件并加盖公章，否则不得分。</w:t>
            </w:r>
          </w:p>
        </w:tc>
        <w:tc>
          <w:tcPr>
            <w:tcW w:w="1061" w:type="dxa"/>
            <w:noWrap w:val="0"/>
            <w:vAlign w:val="center"/>
          </w:tcPr>
          <w:p>
            <w:pPr>
              <w:jc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7" w:type="dxa"/>
            <w:noWrap w:val="0"/>
            <w:vAlign w:val="center"/>
          </w:tcPr>
          <w:p>
            <w:pPr>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w:t>
            </w:r>
          </w:p>
        </w:tc>
        <w:tc>
          <w:tcPr>
            <w:tcW w:w="1591" w:type="dxa"/>
            <w:noWrap w:val="0"/>
            <w:vAlign w:val="center"/>
          </w:tcPr>
          <w:p>
            <w:pPr>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企业业绩</w:t>
            </w:r>
          </w:p>
        </w:tc>
        <w:tc>
          <w:tcPr>
            <w:tcW w:w="5306" w:type="dxa"/>
            <w:noWrap w:val="0"/>
            <w:vAlign w:val="center"/>
          </w:tcPr>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2017年1月1日至今（以合同签订时间为准），投标人每具有一项对应的工程投资规模在人民币7亿元（含）以上的全过程造价咨询业绩得3分，最高9分。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备注：业绩证明材料以全过程造价咨询合同为准，当合同不能体现工程投资金额时，需提供其他证明材料，如项目初步设计批复文件或审核定案表或业主委托书及对应范围的施工标中标（成交）通知书或施工合同等，响应文件中须附相应复印件或扫描件并加盖公章，否则不得分。</w:t>
            </w:r>
          </w:p>
        </w:tc>
        <w:tc>
          <w:tcPr>
            <w:tcW w:w="1061" w:type="dxa"/>
            <w:noWrap w:val="0"/>
            <w:vAlign w:val="center"/>
          </w:tcPr>
          <w:p>
            <w:pPr>
              <w:jc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9</w:t>
            </w:r>
          </w:p>
        </w:tc>
      </w:tr>
    </w:tbl>
    <w:p>
      <w:pPr>
        <w:jc w:val="center"/>
        <w:rPr>
          <w:rFonts w:hint="eastAsia" w:ascii="仿宋" w:hAnsi="仿宋" w:eastAsia="仿宋" w:cs="仿宋"/>
          <w:color w:val="auto"/>
          <w:szCs w:val="21"/>
          <w:highlight w:val="none"/>
          <w:lang w:val="en-US" w:eastAsia="zh-CN"/>
        </w:rPr>
      </w:pPr>
    </w:p>
    <w:p>
      <w:pPr>
        <w:rPr>
          <w:rFonts w:hint="eastAsia" w:ascii="仿宋" w:hAnsi="仿宋" w:eastAsia="仿宋" w:cs="仿宋"/>
          <w:b/>
          <w:color w:val="auto"/>
          <w:sz w:val="30"/>
          <w:szCs w:val="30"/>
          <w:highlight w:val="none"/>
        </w:rPr>
      </w:pPr>
      <w:bookmarkStart w:id="413" w:name="_Toc410631199"/>
      <w:bookmarkStart w:id="414" w:name="_Toc7005063"/>
      <w:bookmarkStart w:id="415" w:name="_Toc414446035"/>
      <w:r>
        <w:rPr>
          <w:rFonts w:hint="eastAsia" w:ascii="仿宋" w:hAnsi="仿宋" w:eastAsia="仿宋" w:cs="仿宋"/>
          <w:b/>
          <w:color w:val="auto"/>
          <w:sz w:val="30"/>
          <w:szCs w:val="30"/>
          <w:highlight w:val="none"/>
        </w:rPr>
        <w:br w:type="page"/>
      </w:r>
    </w:p>
    <w:p>
      <w:pPr>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附件四 技术评审因素及分值分配</w:t>
      </w:r>
      <w:bookmarkEnd w:id="413"/>
      <w:bookmarkEnd w:id="414"/>
      <w:bookmarkEnd w:id="415"/>
    </w:p>
    <w:p>
      <w:pPr>
        <w:tabs>
          <w:tab w:val="left" w:pos="-94"/>
          <w:tab w:val="left" w:pos="1620"/>
        </w:tabs>
        <w:adjustRightInd w:val="0"/>
        <w:spacing w:line="360" w:lineRule="auto"/>
        <w:ind w:left="23" w:leftChars="11"/>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满</w:t>
      </w: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val="en-US" w:eastAsia="zh-CN"/>
        </w:rPr>
        <w:t>55</w:t>
      </w:r>
      <w:r>
        <w:rPr>
          <w:rFonts w:hint="eastAsia" w:ascii="仿宋" w:hAnsi="仿宋" w:eastAsia="仿宋" w:cs="仿宋"/>
          <w:color w:val="auto"/>
          <w:szCs w:val="21"/>
          <w:highlight w:val="none"/>
        </w:rPr>
        <w:t>分）</w:t>
      </w:r>
    </w:p>
    <w:p>
      <w:pPr>
        <w:rPr>
          <w:rFonts w:hint="eastAsia" w:ascii="仿宋" w:hAnsi="仿宋" w:eastAsia="仿宋" w:cs="仿宋"/>
          <w:color w:val="auto"/>
          <w:szCs w:val="21"/>
          <w:highlight w:val="none"/>
        </w:rPr>
      </w:pPr>
    </w:p>
    <w:tbl>
      <w:tblPr>
        <w:tblStyle w:val="50"/>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1591"/>
        <w:gridCol w:w="5306"/>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47" w:type="dxa"/>
            <w:noWrap w:val="0"/>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1591" w:type="dxa"/>
            <w:noWrap w:val="0"/>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评审内容</w:t>
            </w:r>
          </w:p>
        </w:tc>
        <w:tc>
          <w:tcPr>
            <w:tcW w:w="5306" w:type="dxa"/>
            <w:noWrap w:val="0"/>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评  审  标  准</w:t>
            </w:r>
          </w:p>
        </w:tc>
        <w:tc>
          <w:tcPr>
            <w:tcW w:w="1061" w:type="dxa"/>
            <w:noWrap w:val="0"/>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547" w:type="dxa"/>
            <w:noWrap w:val="0"/>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1591" w:type="dxa"/>
            <w:noWrap w:val="0"/>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服务质量保证措施（5分）</w:t>
            </w:r>
          </w:p>
        </w:tc>
        <w:tc>
          <w:tcPr>
            <w:tcW w:w="5306" w:type="dxa"/>
            <w:noWrap w:val="0"/>
            <w:vAlign w:val="center"/>
          </w:tcPr>
          <w:p>
            <w:pPr>
              <w:jc w:val="left"/>
              <w:rPr>
                <w:rFonts w:hint="eastAsia" w:ascii="仿宋" w:hAnsi="仿宋" w:eastAsia="仿宋" w:cs="仿宋"/>
                <w:color w:val="auto"/>
                <w:highlight w:val="none"/>
                <w:lang w:eastAsia="zh-CN"/>
              </w:rPr>
            </w:pPr>
            <w:r>
              <w:rPr>
                <w:rFonts w:hint="eastAsia" w:ascii="仿宋" w:hAnsi="仿宋" w:eastAsia="仿宋" w:cs="仿宋"/>
                <w:color w:val="auto"/>
                <w:highlight w:val="none"/>
              </w:rPr>
              <w:t>按照</w:t>
            </w:r>
            <w:r>
              <w:rPr>
                <w:rFonts w:hint="eastAsia" w:ascii="仿宋" w:hAnsi="仿宋" w:eastAsia="仿宋" w:cs="仿宋"/>
                <w:color w:val="auto"/>
                <w:highlight w:val="none"/>
                <w:lang w:eastAsia="zh-CN"/>
              </w:rPr>
              <w:t>采购</w:t>
            </w:r>
            <w:r>
              <w:rPr>
                <w:rFonts w:hint="eastAsia" w:ascii="仿宋" w:hAnsi="仿宋" w:eastAsia="仿宋" w:cs="仿宋"/>
                <w:color w:val="auto"/>
                <w:highlight w:val="none"/>
              </w:rPr>
              <w:t>人的质量要求出具成果，对造价咨询及其成果、建立健全的质量控制体系，工作质量保证措施全面完整，细节明确，针对性强，综合评审赋</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-5分。</w:t>
            </w:r>
          </w:p>
        </w:tc>
        <w:tc>
          <w:tcPr>
            <w:tcW w:w="1061" w:type="dxa"/>
            <w:noWrap w:val="0"/>
            <w:vAlign w:val="center"/>
          </w:tcPr>
          <w:p>
            <w:pPr>
              <w:jc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547" w:type="dxa"/>
            <w:noWrap w:val="0"/>
            <w:vAlign w:val="center"/>
          </w:tcPr>
          <w:p>
            <w:pPr>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w:t>
            </w:r>
          </w:p>
        </w:tc>
        <w:tc>
          <w:tcPr>
            <w:tcW w:w="1591" w:type="dxa"/>
            <w:noWrap w:val="0"/>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工程量清单、施工图预算编制规范性和准确性的保证措施（5分）</w:t>
            </w:r>
          </w:p>
        </w:tc>
        <w:tc>
          <w:tcPr>
            <w:tcW w:w="5306" w:type="dxa"/>
            <w:noWrap w:val="0"/>
            <w:vAlign w:val="center"/>
          </w:tcPr>
          <w:p>
            <w:pPr>
              <w:jc w:val="left"/>
              <w:rPr>
                <w:rFonts w:hint="eastAsia" w:ascii="仿宋" w:hAnsi="仿宋" w:eastAsia="仿宋" w:cs="仿宋"/>
                <w:color w:val="auto"/>
                <w:highlight w:val="none"/>
                <w:lang w:eastAsia="zh-CN"/>
              </w:rPr>
            </w:pPr>
            <w:r>
              <w:rPr>
                <w:rFonts w:hint="eastAsia" w:ascii="仿宋" w:hAnsi="仿宋" w:eastAsia="仿宋" w:cs="仿宋"/>
                <w:color w:val="auto"/>
                <w:highlight w:val="none"/>
              </w:rPr>
              <w:t>工程量清单、施工图预算编制规范性和准确性的保证措施，根据其描述的程度综合评审赋</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-5分。</w:t>
            </w:r>
          </w:p>
        </w:tc>
        <w:tc>
          <w:tcPr>
            <w:tcW w:w="1061" w:type="dxa"/>
            <w:noWrap w:val="0"/>
            <w:vAlign w:val="center"/>
          </w:tcPr>
          <w:p>
            <w:pPr>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547" w:type="dxa"/>
            <w:noWrap w:val="0"/>
            <w:vAlign w:val="center"/>
          </w:tcPr>
          <w:p>
            <w:pPr>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w:t>
            </w:r>
          </w:p>
        </w:tc>
        <w:tc>
          <w:tcPr>
            <w:tcW w:w="1591" w:type="dxa"/>
            <w:noWrap w:val="0"/>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工作时限保证措施</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t>（5分）</w:t>
            </w:r>
          </w:p>
        </w:tc>
        <w:tc>
          <w:tcPr>
            <w:tcW w:w="5306" w:type="dxa"/>
            <w:noWrap w:val="0"/>
            <w:vAlign w:val="center"/>
          </w:tcPr>
          <w:p>
            <w:pPr>
              <w:jc w:val="left"/>
              <w:rPr>
                <w:rFonts w:hint="eastAsia" w:ascii="仿宋" w:hAnsi="仿宋" w:eastAsia="仿宋" w:cs="仿宋"/>
                <w:color w:val="auto"/>
                <w:highlight w:val="none"/>
                <w:lang w:eastAsia="zh-CN"/>
              </w:rPr>
            </w:pPr>
            <w:r>
              <w:rPr>
                <w:rFonts w:hint="eastAsia" w:ascii="仿宋" w:hAnsi="仿宋" w:eastAsia="仿宋" w:cs="仿宋"/>
                <w:color w:val="auto"/>
                <w:highlight w:val="none"/>
              </w:rPr>
              <w:t>工作时间计划、进度保证措施全面完整，细节明确，各环节配合科学紧凑，针对性强，综合评审赋</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-5分。</w:t>
            </w:r>
          </w:p>
        </w:tc>
        <w:tc>
          <w:tcPr>
            <w:tcW w:w="1061" w:type="dxa"/>
            <w:noWrap w:val="0"/>
            <w:vAlign w:val="center"/>
          </w:tcPr>
          <w:p>
            <w:pPr>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547" w:type="dxa"/>
            <w:noWrap w:val="0"/>
            <w:vAlign w:val="center"/>
          </w:tcPr>
          <w:p>
            <w:pPr>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w:t>
            </w:r>
          </w:p>
        </w:tc>
        <w:tc>
          <w:tcPr>
            <w:tcW w:w="1591" w:type="dxa"/>
            <w:noWrap w:val="0"/>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工作流程及工作要点</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t>（5分）</w:t>
            </w:r>
          </w:p>
        </w:tc>
        <w:tc>
          <w:tcPr>
            <w:tcW w:w="5306" w:type="dxa"/>
            <w:noWrap w:val="0"/>
            <w:vAlign w:val="center"/>
          </w:tcPr>
          <w:p>
            <w:pPr>
              <w:jc w:val="left"/>
              <w:rPr>
                <w:rFonts w:hint="eastAsia" w:ascii="仿宋" w:hAnsi="仿宋" w:eastAsia="仿宋" w:cs="仿宋"/>
                <w:color w:val="auto"/>
                <w:highlight w:val="none"/>
                <w:lang w:eastAsia="zh-CN"/>
              </w:rPr>
            </w:pPr>
            <w:r>
              <w:rPr>
                <w:rFonts w:hint="eastAsia" w:ascii="仿宋" w:hAnsi="仿宋" w:eastAsia="仿宋" w:cs="仿宋"/>
                <w:color w:val="auto"/>
                <w:highlight w:val="none"/>
              </w:rPr>
              <w:t>工作流程及工作要点描述的准确、详细，根据其描述的程度综合评审赋</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-5分。</w:t>
            </w:r>
          </w:p>
        </w:tc>
        <w:tc>
          <w:tcPr>
            <w:tcW w:w="1061" w:type="dxa"/>
            <w:noWrap w:val="0"/>
            <w:vAlign w:val="center"/>
          </w:tcPr>
          <w:p>
            <w:pPr>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547" w:type="dxa"/>
            <w:noWrap w:val="0"/>
            <w:vAlign w:val="center"/>
          </w:tcPr>
          <w:p>
            <w:pPr>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w:t>
            </w:r>
          </w:p>
        </w:tc>
        <w:tc>
          <w:tcPr>
            <w:tcW w:w="1591" w:type="dxa"/>
            <w:noWrap w:val="0"/>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工作制度</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t>（5分）</w:t>
            </w:r>
          </w:p>
        </w:tc>
        <w:tc>
          <w:tcPr>
            <w:tcW w:w="5306" w:type="dxa"/>
            <w:noWrap w:val="0"/>
            <w:vAlign w:val="center"/>
          </w:tcPr>
          <w:p>
            <w:pPr>
              <w:jc w:val="left"/>
              <w:rPr>
                <w:rFonts w:hint="eastAsia" w:ascii="仿宋" w:hAnsi="仿宋" w:eastAsia="仿宋" w:cs="仿宋"/>
                <w:color w:val="auto"/>
                <w:highlight w:val="none"/>
                <w:lang w:eastAsia="zh-CN"/>
              </w:rPr>
            </w:pPr>
            <w:r>
              <w:rPr>
                <w:rFonts w:hint="eastAsia" w:ascii="仿宋" w:hAnsi="仿宋" w:eastAsia="仿宋" w:cs="仿宋"/>
                <w:color w:val="auto"/>
                <w:highlight w:val="none"/>
              </w:rPr>
              <w:t>体系完整，措施有力，根据其描述的程度综合评审赋</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-5分。</w:t>
            </w:r>
          </w:p>
        </w:tc>
        <w:tc>
          <w:tcPr>
            <w:tcW w:w="1061" w:type="dxa"/>
            <w:noWrap w:val="0"/>
            <w:vAlign w:val="center"/>
          </w:tcPr>
          <w:p>
            <w:pPr>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547" w:type="dxa"/>
            <w:noWrap w:val="0"/>
            <w:vAlign w:val="center"/>
          </w:tcPr>
          <w:p>
            <w:pPr>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6</w:t>
            </w:r>
          </w:p>
        </w:tc>
        <w:tc>
          <w:tcPr>
            <w:tcW w:w="1591" w:type="dxa"/>
            <w:noWrap w:val="0"/>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岗位职责</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t>（5分）</w:t>
            </w:r>
          </w:p>
        </w:tc>
        <w:tc>
          <w:tcPr>
            <w:tcW w:w="5306" w:type="dxa"/>
            <w:noWrap w:val="0"/>
            <w:vAlign w:val="center"/>
          </w:tcPr>
          <w:p>
            <w:pPr>
              <w:jc w:val="left"/>
              <w:rPr>
                <w:rFonts w:hint="eastAsia" w:ascii="仿宋" w:hAnsi="仿宋" w:eastAsia="仿宋" w:cs="仿宋"/>
                <w:color w:val="auto"/>
                <w:highlight w:val="none"/>
                <w:lang w:eastAsia="zh-CN"/>
              </w:rPr>
            </w:pPr>
            <w:r>
              <w:rPr>
                <w:rFonts w:hint="eastAsia" w:ascii="仿宋" w:hAnsi="仿宋" w:eastAsia="仿宋" w:cs="仿宋"/>
                <w:color w:val="auto"/>
                <w:highlight w:val="none"/>
              </w:rPr>
              <w:t>岗位配置合理、分工明确，根据其描述的程度综合评审赋</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-5分。</w:t>
            </w:r>
          </w:p>
        </w:tc>
        <w:tc>
          <w:tcPr>
            <w:tcW w:w="1061" w:type="dxa"/>
            <w:noWrap w:val="0"/>
            <w:vAlign w:val="center"/>
          </w:tcPr>
          <w:p>
            <w:pPr>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547" w:type="dxa"/>
            <w:noWrap w:val="0"/>
            <w:vAlign w:val="center"/>
          </w:tcPr>
          <w:p>
            <w:pPr>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w:t>
            </w:r>
          </w:p>
        </w:tc>
        <w:tc>
          <w:tcPr>
            <w:tcW w:w="1591" w:type="dxa"/>
            <w:noWrap w:val="0"/>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重、难点分析</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t>（5分）</w:t>
            </w:r>
          </w:p>
        </w:tc>
        <w:tc>
          <w:tcPr>
            <w:tcW w:w="5306" w:type="dxa"/>
            <w:noWrap w:val="0"/>
            <w:vAlign w:val="center"/>
          </w:tcPr>
          <w:p>
            <w:pPr>
              <w:jc w:val="left"/>
              <w:rPr>
                <w:rFonts w:hint="eastAsia" w:ascii="仿宋" w:hAnsi="仿宋" w:eastAsia="仿宋" w:cs="仿宋"/>
                <w:color w:val="auto"/>
                <w:highlight w:val="none"/>
                <w:lang w:eastAsia="zh-CN"/>
              </w:rPr>
            </w:pPr>
            <w:r>
              <w:rPr>
                <w:rFonts w:hint="eastAsia" w:ascii="仿宋" w:hAnsi="仿宋" w:eastAsia="仿宋" w:cs="仿宋"/>
                <w:color w:val="auto"/>
                <w:highlight w:val="none"/>
              </w:rPr>
              <w:t>针对全过程造价咨询工作内容及要点理解深度，对重点难点分析把握，综合评审赋分</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-5分。</w:t>
            </w:r>
          </w:p>
        </w:tc>
        <w:tc>
          <w:tcPr>
            <w:tcW w:w="1061" w:type="dxa"/>
            <w:noWrap w:val="0"/>
            <w:vAlign w:val="center"/>
          </w:tcPr>
          <w:p>
            <w:pPr>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547" w:type="dxa"/>
            <w:noWrap w:val="0"/>
            <w:vAlign w:val="center"/>
          </w:tcPr>
          <w:p>
            <w:pPr>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8</w:t>
            </w:r>
          </w:p>
        </w:tc>
        <w:tc>
          <w:tcPr>
            <w:tcW w:w="1591" w:type="dxa"/>
            <w:noWrap w:val="0"/>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合理化建议</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t>（5分）</w:t>
            </w:r>
          </w:p>
        </w:tc>
        <w:tc>
          <w:tcPr>
            <w:tcW w:w="5306" w:type="dxa"/>
            <w:noWrap w:val="0"/>
            <w:vAlign w:val="center"/>
          </w:tcPr>
          <w:p>
            <w:pPr>
              <w:jc w:val="left"/>
              <w:rPr>
                <w:rFonts w:hint="eastAsia" w:ascii="仿宋" w:hAnsi="仿宋" w:eastAsia="仿宋" w:cs="仿宋"/>
                <w:color w:val="auto"/>
                <w:highlight w:val="none"/>
                <w:lang w:eastAsia="zh-CN"/>
              </w:rPr>
            </w:pPr>
            <w:r>
              <w:rPr>
                <w:rFonts w:hint="eastAsia" w:ascii="仿宋" w:hAnsi="仿宋" w:eastAsia="仿宋" w:cs="仿宋"/>
                <w:color w:val="auto"/>
                <w:highlight w:val="none"/>
              </w:rPr>
              <w:t>针对本项目及采购人的实际情况提出切实可行的意见，根据其合理程度综合评审赋</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-5分。</w:t>
            </w:r>
          </w:p>
        </w:tc>
        <w:tc>
          <w:tcPr>
            <w:tcW w:w="1061" w:type="dxa"/>
            <w:noWrap w:val="0"/>
            <w:vAlign w:val="center"/>
          </w:tcPr>
          <w:p>
            <w:pPr>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547" w:type="dxa"/>
            <w:noWrap w:val="0"/>
            <w:vAlign w:val="center"/>
          </w:tcPr>
          <w:p>
            <w:pPr>
              <w:jc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9</w:t>
            </w:r>
          </w:p>
        </w:tc>
        <w:tc>
          <w:tcPr>
            <w:tcW w:w="1591" w:type="dxa"/>
            <w:noWrap w:val="0"/>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争议解决措施</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t>（5分）</w:t>
            </w:r>
          </w:p>
        </w:tc>
        <w:tc>
          <w:tcPr>
            <w:tcW w:w="5306" w:type="dxa"/>
            <w:noWrap w:val="0"/>
            <w:vAlign w:val="center"/>
          </w:tcPr>
          <w:p>
            <w:pPr>
              <w:jc w:val="left"/>
              <w:rPr>
                <w:rFonts w:hint="eastAsia" w:ascii="仿宋" w:hAnsi="仿宋" w:eastAsia="仿宋" w:cs="仿宋"/>
                <w:color w:val="auto"/>
                <w:highlight w:val="none"/>
                <w:lang w:eastAsia="zh-CN"/>
              </w:rPr>
            </w:pPr>
            <w:r>
              <w:rPr>
                <w:rFonts w:hint="eastAsia" w:ascii="仿宋" w:hAnsi="仿宋" w:eastAsia="仿宋" w:cs="仿宋"/>
                <w:color w:val="auto"/>
                <w:highlight w:val="none"/>
              </w:rPr>
              <w:t>全过程造价咨询服务过程中解决争议的措施，综合评审赋分</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-5分。</w:t>
            </w:r>
          </w:p>
        </w:tc>
        <w:tc>
          <w:tcPr>
            <w:tcW w:w="1061" w:type="dxa"/>
            <w:noWrap w:val="0"/>
            <w:vAlign w:val="center"/>
          </w:tcPr>
          <w:p>
            <w:pPr>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547" w:type="dxa"/>
            <w:noWrap w:val="0"/>
            <w:vAlign w:val="center"/>
          </w:tcPr>
          <w:p>
            <w:pPr>
              <w:jc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10</w:t>
            </w:r>
          </w:p>
        </w:tc>
        <w:tc>
          <w:tcPr>
            <w:tcW w:w="1591" w:type="dxa"/>
            <w:noWrap w:val="0"/>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廉政承诺及监督措施</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t>（5分）</w:t>
            </w:r>
          </w:p>
        </w:tc>
        <w:tc>
          <w:tcPr>
            <w:tcW w:w="5306" w:type="dxa"/>
            <w:noWrap w:val="0"/>
            <w:vAlign w:val="center"/>
          </w:tcPr>
          <w:p>
            <w:pPr>
              <w:jc w:val="left"/>
              <w:rPr>
                <w:rFonts w:hint="eastAsia" w:ascii="仿宋" w:hAnsi="仿宋" w:eastAsia="仿宋" w:cs="仿宋"/>
                <w:color w:val="auto"/>
                <w:highlight w:val="none"/>
                <w:lang w:eastAsia="zh-CN"/>
              </w:rPr>
            </w:pPr>
            <w:r>
              <w:rPr>
                <w:rFonts w:hint="eastAsia" w:ascii="仿宋" w:hAnsi="仿宋" w:eastAsia="仿宋" w:cs="仿宋"/>
                <w:color w:val="auto"/>
                <w:highlight w:val="none"/>
              </w:rPr>
              <w:t>项目负责人及相关技术人员的廉政承诺及监督措施，综合评审赋分</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-5分。</w:t>
            </w:r>
          </w:p>
        </w:tc>
        <w:tc>
          <w:tcPr>
            <w:tcW w:w="1061" w:type="dxa"/>
            <w:noWrap w:val="0"/>
            <w:vAlign w:val="center"/>
          </w:tcPr>
          <w:p>
            <w:pPr>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547" w:type="dxa"/>
            <w:noWrap w:val="0"/>
            <w:vAlign w:val="center"/>
          </w:tcPr>
          <w:p>
            <w:pPr>
              <w:jc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11</w:t>
            </w:r>
          </w:p>
        </w:tc>
        <w:tc>
          <w:tcPr>
            <w:tcW w:w="1591" w:type="dxa"/>
            <w:noWrap w:val="0"/>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服务承诺</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t>（5分）</w:t>
            </w:r>
          </w:p>
        </w:tc>
        <w:tc>
          <w:tcPr>
            <w:tcW w:w="5306" w:type="dxa"/>
            <w:noWrap w:val="0"/>
            <w:vAlign w:val="center"/>
          </w:tcPr>
          <w:p>
            <w:pPr>
              <w:jc w:val="left"/>
              <w:rPr>
                <w:rFonts w:hint="eastAsia" w:ascii="仿宋" w:hAnsi="仿宋" w:eastAsia="仿宋" w:cs="仿宋"/>
                <w:color w:val="auto"/>
                <w:highlight w:val="none"/>
                <w:lang w:eastAsia="zh-CN"/>
              </w:rPr>
            </w:pPr>
            <w:r>
              <w:rPr>
                <w:rFonts w:hint="eastAsia" w:ascii="仿宋" w:hAnsi="仿宋" w:eastAsia="仿宋" w:cs="仿宋"/>
                <w:color w:val="auto"/>
                <w:highlight w:val="none"/>
              </w:rPr>
              <w:t>服务承诺详实可靠情况，按其内容评审赋</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-5分。</w:t>
            </w:r>
          </w:p>
        </w:tc>
        <w:tc>
          <w:tcPr>
            <w:tcW w:w="1061" w:type="dxa"/>
            <w:noWrap w:val="0"/>
            <w:vAlign w:val="center"/>
          </w:tcPr>
          <w:p>
            <w:pPr>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505" w:type="dxa"/>
            <w:gridSpan w:val="4"/>
            <w:noWrap w:val="0"/>
            <w:vAlign w:val="center"/>
          </w:tcPr>
          <w:p>
            <w:pPr>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注：缺项或漏项该小项得0分。</w:t>
            </w:r>
          </w:p>
        </w:tc>
      </w:tr>
    </w:tbl>
    <w:p>
      <w:pPr>
        <w:pStyle w:val="22"/>
        <w:rPr>
          <w:rFonts w:hint="eastAsia" w:ascii="仿宋" w:hAnsi="仿宋" w:eastAsia="仿宋" w:cs="仿宋"/>
          <w:color w:val="auto"/>
          <w:highlight w:val="none"/>
        </w:rPr>
      </w:pPr>
    </w:p>
    <w:p>
      <w:pPr>
        <w:rPr>
          <w:rFonts w:hint="eastAsia" w:ascii="仿宋" w:hAnsi="仿宋" w:eastAsia="仿宋" w:cs="仿宋"/>
          <w:b/>
          <w:color w:val="auto"/>
          <w:sz w:val="30"/>
          <w:szCs w:val="30"/>
          <w:highlight w:val="none"/>
        </w:rPr>
      </w:pPr>
    </w:p>
    <w:p>
      <w:pPr>
        <w:pStyle w:val="22"/>
        <w:rPr>
          <w:rFonts w:hint="eastAsia" w:ascii="仿宋" w:hAnsi="仿宋" w:eastAsia="仿宋" w:cs="仿宋"/>
          <w:b/>
          <w:color w:val="auto"/>
          <w:sz w:val="30"/>
          <w:szCs w:val="30"/>
          <w:highlight w:val="none"/>
        </w:rPr>
      </w:pPr>
    </w:p>
    <w:p>
      <w:pPr>
        <w:rPr>
          <w:rFonts w:hint="eastAsia" w:ascii="仿宋" w:hAnsi="仿宋" w:eastAsia="仿宋" w:cs="仿宋"/>
          <w:b/>
          <w:color w:val="auto"/>
          <w:sz w:val="30"/>
          <w:szCs w:val="30"/>
          <w:highlight w:val="none"/>
        </w:rPr>
      </w:pPr>
    </w:p>
    <w:p>
      <w:pPr>
        <w:pStyle w:val="22"/>
        <w:rPr>
          <w:rFonts w:hint="eastAsia"/>
        </w:rPr>
      </w:pPr>
    </w:p>
    <w:p>
      <w:pPr>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附件五 报价评审因素及分值分配表</w:t>
      </w:r>
    </w:p>
    <w:p>
      <w:pPr>
        <w:tabs>
          <w:tab w:val="left" w:pos="-94"/>
          <w:tab w:val="left" w:pos="1620"/>
        </w:tabs>
        <w:adjustRightInd w:val="0"/>
        <w:spacing w:line="360" w:lineRule="auto"/>
        <w:ind w:left="23" w:leftChars="11"/>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满</w:t>
      </w: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rPr>
        <w:t>分）</w:t>
      </w:r>
    </w:p>
    <w:p>
      <w:pPr>
        <w:rPr>
          <w:rFonts w:hint="eastAsia" w:ascii="仿宋" w:hAnsi="仿宋" w:eastAsia="仿宋" w:cs="仿宋"/>
          <w:b/>
          <w:color w:val="auto"/>
          <w:sz w:val="28"/>
          <w:szCs w:val="28"/>
          <w:highlight w:val="none"/>
        </w:rPr>
      </w:pPr>
    </w:p>
    <w:tbl>
      <w:tblPr>
        <w:tblStyle w:val="50"/>
        <w:tblpPr w:leftFromText="180" w:rightFromText="180" w:vertAnchor="text" w:horzAnchor="page" w:tblpXSpec="center" w:tblpY="-29"/>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998"/>
        <w:gridCol w:w="4791"/>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800" w:type="dxa"/>
            <w:noWrap w:val="0"/>
            <w:vAlign w:val="center"/>
          </w:tcPr>
          <w:p>
            <w:pP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序号</w:t>
            </w:r>
          </w:p>
        </w:tc>
        <w:tc>
          <w:tcPr>
            <w:tcW w:w="1998" w:type="dxa"/>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评审内容</w:t>
            </w:r>
          </w:p>
        </w:tc>
        <w:tc>
          <w:tcPr>
            <w:tcW w:w="4791" w:type="dxa"/>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评审标准</w:t>
            </w:r>
          </w:p>
        </w:tc>
        <w:tc>
          <w:tcPr>
            <w:tcW w:w="1449" w:type="dxa"/>
            <w:noWrap w:val="0"/>
            <w:vAlign w:val="center"/>
          </w:tcPr>
          <w:p>
            <w:pPr>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80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199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color w:val="auto"/>
                <w:highlight w:val="none"/>
              </w:rPr>
            </w:pPr>
            <w:r>
              <w:rPr>
                <w:rFonts w:hint="eastAsia" w:ascii="仿宋" w:hAnsi="仿宋" w:eastAsia="仿宋" w:cs="仿宋"/>
                <w:color w:val="auto"/>
                <w:highlight w:val="none"/>
              </w:rPr>
              <w:t>报价得分</w:t>
            </w:r>
          </w:p>
        </w:tc>
        <w:tc>
          <w:tcPr>
            <w:tcW w:w="4791"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highlight w:val="none"/>
              </w:rPr>
            </w:pPr>
            <w:r>
              <w:rPr>
                <w:rFonts w:hint="eastAsia" w:ascii="仿宋" w:hAnsi="仿宋" w:eastAsia="仿宋" w:cs="仿宋"/>
                <w:color w:val="auto"/>
                <w:highlight w:val="none"/>
              </w:rPr>
              <w:t>1、评审基准价有效响应文件中的最后报价为评审基准价。</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2、供应商报价得分：报价得分=(评审基准价／最后报价)×</w:t>
            </w:r>
            <w:r>
              <w:rPr>
                <w:rFonts w:hint="eastAsia" w:ascii="仿宋" w:hAnsi="仿宋" w:eastAsia="仿宋" w:cs="仿宋"/>
                <w:color w:val="auto"/>
                <w:highlight w:val="none"/>
                <w:lang w:val="en-US" w:eastAsia="zh-CN"/>
              </w:rPr>
              <w:t>10</w:t>
            </w:r>
          </w:p>
        </w:tc>
        <w:tc>
          <w:tcPr>
            <w:tcW w:w="1449" w:type="dxa"/>
            <w:noWrap w:val="0"/>
            <w:vAlign w:val="center"/>
          </w:tcPr>
          <w:p>
            <w:pPr>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10</w:t>
            </w:r>
          </w:p>
        </w:tc>
      </w:tr>
    </w:tbl>
    <w:p>
      <w:pPr>
        <w:pStyle w:val="22"/>
        <w:rPr>
          <w:rFonts w:hint="eastAsia" w:ascii="仿宋" w:hAnsi="仿宋" w:eastAsia="仿宋" w:cs="仿宋"/>
          <w:color w:val="auto"/>
          <w:highlight w:val="none"/>
        </w:rPr>
      </w:pPr>
    </w:p>
    <w:p>
      <w:pPr>
        <w:jc w:val="center"/>
        <w:rPr>
          <w:rFonts w:hint="default" w:ascii="Times New Roman" w:hAnsi="Times New Roman" w:eastAsia="仿宋_GB2312" w:cs="Times New Roman"/>
          <w:b/>
          <w:i w:val="0"/>
          <w:iCs w:val="0"/>
          <w:color w:val="auto"/>
          <w:kern w:val="0"/>
          <w:sz w:val="30"/>
          <w:szCs w:val="30"/>
          <w:highlight w:val="none"/>
        </w:rPr>
      </w:pPr>
      <w:r>
        <w:rPr>
          <w:rFonts w:hint="default" w:ascii="Times New Roman" w:hAnsi="Times New Roman" w:eastAsia="仿宋_GB2312" w:cs="Times New Roman"/>
          <w:i w:val="0"/>
          <w:iCs w:val="0"/>
          <w:color w:val="auto"/>
          <w:szCs w:val="21"/>
          <w:highlight w:val="none"/>
        </w:rPr>
        <w:br w:type="page"/>
      </w:r>
    </w:p>
    <w:p>
      <w:pPr>
        <w:pStyle w:val="46"/>
        <w:spacing w:line="360" w:lineRule="auto"/>
        <w:rPr>
          <w:rStyle w:val="203"/>
          <w:rFonts w:hint="default" w:ascii="Times New Roman" w:hAnsi="Times New Roman" w:eastAsia="宋体" w:cs="Times New Roman"/>
          <w:i w:val="0"/>
          <w:iCs w:val="0"/>
          <w:color w:val="auto"/>
          <w:sz w:val="36"/>
          <w:szCs w:val="36"/>
          <w:highlight w:val="none"/>
        </w:rPr>
      </w:pPr>
      <w:bookmarkStart w:id="416" w:name="_Toc68590979"/>
      <w:r>
        <w:rPr>
          <w:rStyle w:val="203"/>
          <w:rFonts w:hint="default" w:ascii="Times New Roman" w:hAnsi="Times New Roman" w:eastAsia="宋体" w:cs="Times New Roman"/>
          <w:i w:val="0"/>
          <w:iCs w:val="0"/>
          <w:color w:val="auto"/>
          <w:sz w:val="36"/>
          <w:szCs w:val="36"/>
          <w:highlight w:val="none"/>
        </w:rPr>
        <w:t xml:space="preserve">第四章  </w:t>
      </w:r>
      <w:bookmarkEnd w:id="19"/>
      <w:bookmarkEnd w:id="393"/>
      <w:bookmarkEnd w:id="394"/>
      <w:bookmarkEnd w:id="416"/>
      <w:bookmarkStart w:id="417" w:name="_Toc500747106"/>
      <w:bookmarkStart w:id="418" w:name="_Toc230013638"/>
      <w:bookmarkStart w:id="419" w:name="_Toc70687202"/>
      <w:bookmarkStart w:id="420" w:name="_Toc232176282"/>
      <w:bookmarkStart w:id="421" w:name="_Toc230583552"/>
      <w:bookmarkStart w:id="422" w:name="_Toc503063458"/>
      <w:bookmarkStart w:id="423" w:name="_Toc177995483"/>
      <w:bookmarkStart w:id="424" w:name="_Toc256342152"/>
      <w:bookmarkStart w:id="425" w:name="_Toc499711928"/>
      <w:bookmarkStart w:id="426" w:name="_Toc249515482"/>
      <w:bookmarkStart w:id="427" w:name="_Toc496324623"/>
      <w:bookmarkStart w:id="428" w:name="_Toc415499897"/>
      <w:bookmarkStart w:id="429" w:name="_Toc177817344"/>
      <w:bookmarkStart w:id="430" w:name="_Toc184043058"/>
      <w:bookmarkStart w:id="431" w:name="_Toc230099803"/>
      <w:bookmarkStart w:id="432" w:name="_Toc176882552"/>
      <w:bookmarkStart w:id="433" w:name="_Toc499711087"/>
      <w:bookmarkStart w:id="434" w:name="_Toc249525250"/>
      <w:bookmarkStart w:id="435" w:name="_Toc249515369"/>
      <w:bookmarkStart w:id="436" w:name="_Toc28450"/>
      <w:bookmarkStart w:id="437" w:name="_Toc500747010"/>
      <w:bookmarkStart w:id="438" w:name="_Toc492955459"/>
      <w:bookmarkStart w:id="439" w:name="_Toc177189245"/>
      <w:bookmarkStart w:id="440" w:name="_Toc500747233"/>
      <w:bookmarkStart w:id="441" w:name="_Toc53722865"/>
      <w:bookmarkStart w:id="442" w:name="_Toc232395222"/>
      <w:r>
        <w:rPr>
          <w:rStyle w:val="203"/>
          <w:rFonts w:hint="default" w:ascii="Times New Roman" w:hAnsi="Times New Roman" w:eastAsia="宋体" w:cs="Times New Roman"/>
          <w:i w:val="0"/>
          <w:iCs w:val="0"/>
          <w:color w:val="auto"/>
          <w:sz w:val="36"/>
          <w:szCs w:val="36"/>
          <w:highlight w:val="none"/>
        </w:rPr>
        <w:t>拟签订的合同文本</w:t>
      </w:r>
    </w:p>
    <w:p>
      <w:pPr>
        <w:adjustRightInd w:val="0"/>
        <w:snapToGrid w:val="0"/>
        <w:spacing w:line="360" w:lineRule="auto"/>
        <w:ind w:firstLine="480" w:firstLineChars="200"/>
        <w:rPr>
          <w:rFonts w:hint="default" w:ascii="Times New Roman" w:hAnsi="Times New Roman" w:eastAsia="仿宋_GB2312" w:cs="Times New Roman"/>
          <w:i w:val="0"/>
          <w:iCs w:val="0"/>
          <w:color w:val="auto"/>
          <w:sz w:val="24"/>
          <w:highlight w:val="none"/>
        </w:rPr>
      </w:pPr>
    </w:p>
    <w:p>
      <w:pPr>
        <w:snapToGrid w:val="0"/>
        <w:spacing w:line="360" w:lineRule="auto"/>
        <w:jc w:val="center"/>
        <w:rPr>
          <w:rStyle w:val="203"/>
          <w:rFonts w:hint="eastAsia" w:ascii="仿宋" w:hAnsi="仿宋" w:eastAsia="仿宋" w:cs="仿宋"/>
          <w:b/>
          <w:bCs/>
          <w:color w:val="auto"/>
          <w:kern w:val="2"/>
          <w:sz w:val="36"/>
          <w:szCs w:val="36"/>
          <w:highlight w:val="none"/>
          <w:lang w:val="en-US" w:eastAsia="zh-CN"/>
        </w:rPr>
      </w:pPr>
      <w:r>
        <w:rPr>
          <w:rStyle w:val="203"/>
          <w:rFonts w:hint="eastAsia" w:ascii="仿宋" w:hAnsi="仿宋" w:eastAsia="仿宋" w:cs="仿宋"/>
          <w:b/>
          <w:bCs/>
          <w:color w:val="auto"/>
          <w:kern w:val="2"/>
          <w:sz w:val="36"/>
          <w:szCs w:val="36"/>
          <w:highlight w:val="none"/>
          <w:lang w:val="en-US" w:eastAsia="zh-CN"/>
        </w:rPr>
        <w:t>建设项目工程全过程造价咨询合同</w:t>
      </w:r>
    </w:p>
    <w:p>
      <w:pPr>
        <w:pStyle w:val="22"/>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一、协议书</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委托方：                            （以下简称</w:t>
      </w:r>
      <w:r>
        <w:rPr>
          <w:rFonts w:hint="eastAsia" w:ascii="仿宋" w:hAnsi="仿宋" w:eastAsia="仿宋" w:cs="仿宋"/>
          <w:color w:val="auto"/>
          <w:sz w:val="24"/>
          <w:highlight w:val="none"/>
          <w:lang w:eastAsia="zh-CN"/>
        </w:rPr>
        <w:t>委托人</w:t>
      </w:r>
      <w:r>
        <w:rPr>
          <w:rFonts w:hint="eastAsia" w:ascii="仿宋" w:hAnsi="仿宋" w:eastAsia="仿宋" w:cs="仿宋"/>
          <w:color w:val="auto"/>
          <w:sz w:val="24"/>
          <w:highlight w:val="none"/>
        </w:rPr>
        <w:t>）</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受托方：                            （以下简称</w:t>
      </w:r>
      <w:r>
        <w:rPr>
          <w:rFonts w:hint="eastAsia" w:ascii="仿宋" w:hAnsi="仿宋" w:eastAsia="仿宋" w:cs="仿宋"/>
          <w:color w:val="auto"/>
          <w:sz w:val="24"/>
          <w:highlight w:val="none"/>
          <w:lang w:eastAsia="zh-CN"/>
        </w:rPr>
        <w:t>咨询人</w:t>
      </w:r>
      <w:r>
        <w:rPr>
          <w:rFonts w:hint="eastAsia" w:ascii="仿宋" w:hAnsi="仿宋" w:eastAsia="仿宋" w:cs="仿宋"/>
          <w:color w:val="auto"/>
          <w:sz w:val="24"/>
          <w:highlight w:val="none"/>
        </w:rPr>
        <w:t>）</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甲乙依据《</w:t>
      </w:r>
      <w:r>
        <w:rPr>
          <w:rFonts w:hint="eastAsia" w:ascii="仿宋" w:hAnsi="仿宋" w:eastAsia="仿宋" w:cs="仿宋"/>
          <w:color w:val="auto"/>
          <w:sz w:val="24"/>
          <w:highlight w:val="none"/>
          <w:lang w:val="en-US" w:eastAsia="zh-CN"/>
        </w:rPr>
        <w:t>中华人民共和国</w:t>
      </w:r>
      <w:r>
        <w:rPr>
          <w:rFonts w:hint="eastAsia" w:ascii="仿宋" w:hAnsi="仿宋" w:eastAsia="仿宋" w:cs="仿宋"/>
          <w:color w:val="auto"/>
          <w:sz w:val="24"/>
          <w:highlight w:val="none"/>
        </w:rPr>
        <w:t>民法典》等法律、法规规定，经双方协商一致，就</w:t>
      </w:r>
      <w:r>
        <w:rPr>
          <w:rFonts w:hint="eastAsia" w:ascii="仿宋" w:hAnsi="仿宋" w:eastAsia="仿宋" w:cs="仿宋"/>
          <w:color w:val="auto"/>
          <w:sz w:val="24"/>
          <w:highlight w:val="none"/>
          <w:lang w:eastAsia="zh-CN"/>
        </w:rPr>
        <w:t>委托人</w:t>
      </w:r>
      <w:r>
        <w:rPr>
          <w:rFonts w:hint="eastAsia" w:ascii="仿宋" w:hAnsi="仿宋" w:eastAsia="仿宋" w:cs="仿宋"/>
          <w:color w:val="auto"/>
          <w:sz w:val="24"/>
          <w:highlight w:val="none"/>
        </w:rPr>
        <w:t>委托</w:t>
      </w:r>
      <w:r>
        <w:rPr>
          <w:rFonts w:hint="eastAsia" w:ascii="仿宋" w:hAnsi="仿宋" w:eastAsia="仿宋" w:cs="仿宋"/>
          <w:color w:val="auto"/>
          <w:sz w:val="24"/>
          <w:highlight w:val="none"/>
          <w:lang w:eastAsia="zh-CN"/>
        </w:rPr>
        <w:t>咨询人</w:t>
      </w:r>
      <w:r>
        <w:rPr>
          <w:rFonts w:hint="eastAsia" w:ascii="仿宋" w:hAnsi="仿宋" w:eastAsia="仿宋" w:cs="仿宋"/>
          <w:color w:val="auto"/>
          <w:sz w:val="24"/>
          <w:highlight w:val="none"/>
        </w:rPr>
        <w:t>提供榆林市第三医院（市传染病医院）建设工程全过程造价咨询</w:t>
      </w:r>
      <w:r>
        <w:rPr>
          <w:rFonts w:hint="eastAsia" w:ascii="仿宋" w:hAnsi="仿宋" w:eastAsia="仿宋" w:cs="仿宋"/>
          <w:color w:val="auto"/>
          <w:sz w:val="24"/>
          <w:highlight w:val="none"/>
          <w:lang w:eastAsia="zh-CN"/>
        </w:rPr>
        <w:t>服务</w:t>
      </w:r>
      <w:r>
        <w:rPr>
          <w:rFonts w:hint="eastAsia" w:ascii="仿宋" w:hAnsi="仿宋" w:eastAsia="仿宋" w:cs="仿宋"/>
          <w:color w:val="auto"/>
          <w:sz w:val="24"/>
          <w:highlight w:val="none"/>
        </w:rPr>
        <w:t>事宜签订本合同，以兹共同遵守。</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一、</w:t>
      </w:r>
      <w:r>
        <w:rPr>
          <w:rFonts w:hint="eastAsia" w:ascii="仿宋" w:hAnsi="仿宋" w:eastAsia="仿宋" w:cs="仿宋"/>
          <w:color w:val="auto"/>
          <w:sz w:val="24"/>
          <w:highlight w:val="none"/>
          <w:lang w:eastAsia="zh-CN"/>
        </w:rPr>
        <w:t>委托人</w:t>
      </w:r>
      <w:r>
        <w:rPr>
          <w:rFonts w:hint="eastAsia" w:ascii="仿宋" w:hAnsi="仿宋" w:eastAsia="仿宋" w:cs="仿宋"/>
          <w:color w:val="auto"/>
          <w:sz w:val="24"/>
          <w:highlight w:val="none"/>
        </w:rPr>
        <w:t>委托</w:t>
      </w:r>
      <w:r>
        <w:rPr>
          <w:rFonts w:hint="eastAsia" w:ascii="仿宋" w:hAnsi="仿宋" w:eastAsia="仿宋" w:cs="仿宋"/>
          <w:color w:val="auto"/>
          <w:sz w:val="24"/>
          <w:highlight w:val="none"/>
          <w:lang w:eastAsia="zh-CN"/>
        </w:rPr>
        <w:t>咨询人</w:t>
      </w:r>
      <w:r>
        <w:rPr>
          <w:rFonts w:hint="eastAsia" w:ascii="仿宋" w:hAnsi="仿宋" w:eastAsia="仿宋" w:cs="仿宋"/>
          <w:color w:val="auto"/>
          <w:sz w:val="24"/>
          <w:highlight w:val="none"/>
        </w:rPr>
        <w:t>为以下项目提供建设工程项目实施阶段工程全过程造价咨询服务：</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项目名称：榆林市第三医院（市传染病医院）建设工程全过程造价咨询</w:t>
      </w:r>
      <w:r>
        <w:rPr>
          <w:rFonts w:hint="eastAsia" w:ascii="仿宋" w:hAnsi="仿宋" w:eastAsia="仿宋" w:cs="仿宋"/>
          <w:color w:val="auto"/>
          <w:sz w:val="24"/>
          <w:highlight w:val="none"/>
          <w:lang w:eastAsia="zh-CN"/>
        </w:rPr>
        <w:t>服务项目</w:t>
      </w:r>
      <w:r>
        <w:rPr>
          <w:rFonts w:hint="eastAsia" w:ascii="仿宋" w:hAnsi="仿宋" w:eastAsia="仿宋" w:cs="仿宋"/>
          <w:color w:val="auto"/>
          <w:sz w:val="24"/>
          <w:highlight w:val="none"/>
        </w:rPr>
        <w:t xml:space="preserve">             </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2.项目基本情况：项目估算总投资约73630.29万元。总建筑面积77752.12㎡，设置500张床位，其中：地上建筑面积58631.44㎡，主要包括综合医院（200床）、传染病医院（300床）、医用隔离房；地下建筑面积19120.68㎡，主要包括设备用房及车库。停车位共704个，其中地上停车位294个，地下停车位410个。</w:t>
      </w:r>
    </w:p>
    <w:p>
      <w:pPr>
        <w:pStyle w:val="22"/>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服务类别：全过程造价咨询</w:t>
      </w:r>
      <w:r>
        <w:rPr>
          <w:rFonts w:hint="eastAsia" w:ascii="仿宋" w:hAnsi="仿宋" w:eastAsia="仿宋" w:cs="仿宋"/>
          <w:color w:val="auto"/>
          <w:sz w:val="24"/>
          <w:highlight w:val="none"/>
          <w:lang w:eastAsia="zh-CN"/>
        </w:rPr>
        <w:t>。</w:t>
      </w:r>
    </w:p>
    <w:p>
      <w:pPr>
        <w:pStyle w:val="2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4.服务期限：从榆林市第三医院（市传染病医院）建设工程全过程造价咨询合同签订生效日期开始至本项目通过政府决算审计日止。</w:t>
      </w:r>
      <w:r>
        <w:rPr>
          <w:rFonts w:hint="eastAsia" w:ascii="仿宋" w:hAnsi="仿宋" w:eastAsia="仿宋" w:cs="仿宋"/>
          <w:b w:val="0"/>
          <w:bCs w:val="0"/>
          <w:color w:val="000000"/>
          <w:sz w:val="24"/>
          <w:szCs w:val="24"/>
          <w:highlight w:val="none"/>
          <w:lang w:val="en-US" w:eastAsia="zh-CN" w:bidi="ar"/>
        </w:rPr>
        <w:t>（如由于政府部门因素带来的工作延误或者工作量的增加不在委托方的责任范围，也不带来费用的增加。）</w:t>
      </w:r>
    </w:p>
    <w:p>
      <w:pPr>
        <w:rPr>
          <w:rFonts w:hint="eastAsia" w:ascii="仿宋" w:hAnsi="仿宋" w:eastAsia="仿宋" w:cs="仿宋"/>
          <w:color w:val="auto"/>
          <w:sz w:val="24"/>
          <w:highlight w:val="none"/>
        </w:rPr>
      </w:pPr>
      <w:r>
        <w:rPr>
          <w:rFonts w:hint="eastAsia" w:ascii="仿宋" w:hAnsi="仿宋" w:eastAsia="仿宋" w:cs="仿宋"/>
          <w:color w:val="auto"/>
          <w:kern w:val="2"/>
          <w:sz w:val="24"/>
          <w:szCs w:val="24"/>
          <w:highlight w:val="none"/>
          <w:lang w:val="en-US" w:eastAsia="zh-CN" w:bidi="ar-SA"/>
        </w:rPr>
        <w:t xml:space="preserve">5.服务地点：采购人指定地点。      </w:t>
      </w:r>
      <w:r>
        <w:rPr>
          <w:rFonts w:hint="eastAsia" w:ascii="仿宋" w:hAnsi="仿宋" w:eastAsia="仿宋" w:cs="仿宋"/>
          <w:color w:val="auto"/>
          <w:sz w:val="24"/>
          <w:highlight w:val="none"/>
        </w:rPr>
        <w:t xml:space="preserve">         </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二、本合同的措词和用语与所属建设工程全过程造价咨询合同条件及有关附件同义。</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三、下列文件均为本业务合同的组成部分：</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建设项目工程全过程造价咨询服务合同</w:t>
      </w:r>
      <w:r>
        <w:rPr>
          <w:rFonts w:hint="eastAsia" w:ascii="仿宋" w:hAnsi="仿宋" w:eastAsia="仿宋" w:cs="仿宋"/>
          <w:color w:val="auto"/>
          <w:sz w:val="24"/>
          <w:highlight w:val="none"/>
        </w:rPr>
        <w:t>标准条款；</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建设项目工程全过程造价咨询服务合同</w:t>
      </w:r>
      <w:r>
        <w:rPr>
          <w:rFonts w:hint="eastAsia" w:ascii="仿宋" w:hAnsi="仿宋" w:eastAsia="仿宋" w:cs="仿宋"/>
          <w:color w:val="auto"/>
          <w:sz w:val="24"/>
          <w:highlight w:val="none"/>
        </w:rPr>
        <w:t>专用条款；</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建设项目工程全过程造价咨询服务合同</w:t>
      </w:r>
      <w:r>
        <w:rPr>
          <w:rFonts w:hint="eastAsia" w:ascii="仿宋" w:hAnsi="仿宋" w:eastAsia="仿宋" w:cs="仿宋"/>
          <w:color w:val="auto"/>
          <w:sz w:val="24"/>
          <w:highlight w:val="none"/>
        </w:rPr>
        <w:t>执行中共同签署的补充与修正文件。</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构成本合同的文件可视为是能互相说明的，如果合同文件存在歧义或不一致，则根据如下优先次序来判断：</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）补充与修正文件；2）专用条款；3）协议书；4）</w:t>
      </w:r>
      <w:r>
        <w:rPr>
          <w:rFonts w:hint="eastAsia" w:ascii="仿宋" w:hAnsi="仿宋" w:eastAsia="仿宋" w:cs="仿宋"/>
          <w:color w:val="auto"/>
          <w:sz w:val="24"/>
          <w:highlight w:val="none"/>
          <w:lang w:eastAsia="zh-CN"/>
        </w:rPr>
        <w:t>磋商响应文件</w:t>
      </w:r>
      <w:r>
        <w:rPr>
          <w:rFonts w:hint="eastAsia" w:ascii="仿宋" w:hAnsi="仿宋" w:eastAsia="仿宋" w:cs="仿宋"/>
          <w:color w:val="auto"/>
          <w:sz w:val="24"/>
          <w:highlight w:val="none"/>
        </w:rPr>
        <w:t>；5）标准条款；6）答疑纪要；7）</w:t>
      </w:r>
      <w:r>
        <w:rPr>
          <w:rFonts w:hint="eastAsia" w:ascii="仿宋" w:hAnsi="仿宋" w:eastAsia="仿宋" w:cs="仿宋"/>
          <w:color w:val="auto"/>
          <w:sz w:val="24"/>
          <w:highlight w:val="none"/>
          <w:lang w:eastAsia="zh-CN"/>
        </w:rPr>
        <w:t>磋商</w:t>
      </w:r>
      <w:r>
        <w:rPr>
          <w:rFonts w:hint="eastAsia" w:ascii="仿宋" w:hAnsi="仿宋" w:eastAsia="仿宋" w:cs="仿宋"/>
          <w:color w:val="auto"/>
          <w:sz w:val="24"/>
          <w:highlight w:val="none"/>
        </w:rPr>
        <w:t>文件；8）标准、规范及有关技术文件。</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四、受托方（</w:t>
      </w:r>
      <w:r>
        <w:rPr>
          <w:rFonts w:hint="eastAsia" w:ascii="仿宋" w:hAnsi="仿宋" w:eastAsia="仿宋" w:cs="仿宋"/>
          <w:color w:val="auto"/>
          <w:sz w:val="24"/>
          <w:highlight w:val="none"/>
          <w:lang w:eastAsia="zh-CN"/>
        </w:rPr>
        <w:t>咨询人</w:t>
      </w:r>
      <w:r>
        <w:rPr>
          <w:rFonts w:hint="eastAsia" w:ascii="仿宋" w:hAnsi="仿宋" w:eastAsia="仿宋" w:cs="仿宋"/>
          <w:color w:val="auto"/>
          <w:sz w:val="24"/>
          <w:highlight w:val="none"/>
        </w:rPr>
        <w:t>）同意按照本合同的规定，承担本业务合同专用条款中议定范围内的建设项目工程</w:t>
      </w:r>
      <w:r>
        <w:rPr>
          <w:rFonts w:hint="eastAsia" w:ascii="仿宋" w:hAnsi="仿宋" w:eastAsia="仿宋" w:cs="仿宋"/>
          <w:color w:val="auto"/>
          <w:sz w:val="24"/>
          <w:highlight w:val="none"/>
          <w:lang w:eastAsia="zh-CN"/>
        </w:rPr>
        <w:t>全过程造价咨询</w:t>
      </w:r>
      <w:r>
        <w:rPr>
          <w:rFonts w:hint="eastAsia" w:ascii="仿宋" w:hAnsi="仿宋" w:eastAsia="仿宋" w:cs="仿宋"/>
          <w:color w:val="auto"/>
          <w:sz w:val="24"/>
          <w:highlight w:val="none"/>
        </w:rPr>
        <w:t>业务。</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五、委托方（</w:t>
      </w:r>
      <w:r>
        <w:rPr>
          <w:rFonts w:hint="eastAsia" w:ascii="仿宋" w:hAnsi="仿宋" w:eastAsia="仿宋" w:cs="仿宋"/>
          <w:color w:val="auto"/>
          <w:sz w:val="24"/>
          <w:highlight w:val="none"/>
          <w:lang w:eastAsia="zh-CN"/>
        </w:rPr>
        <w:t>委托人</w:t>
      </w:r>
      <w:r>
        <w:rPr>
          <w:rFonts w:hint="eastAsia" w:ascii="仿宋" w:hAnsi="仿宋" w:eastAsia="仿宋" w:cs="仿宋"/>
          <w:color w:val="auto"/>
          <w:sz w:val="24"/>
          <w:highlight w:val="none"/>
        </w:rPr>
        <w:t>）同意按照本合同规定的期限、方式、币种、额度向受托方支付酬金。</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六、本合同的建设项目工程</w:t>
      </w:r>
      <w:r>
        <w:rPr>
          <w:rFonts w:hint="eastAsia" w:ascii="仿宋" w:hAnsi="仿宋" w:eastAsia="仿宋" w:cs="仿宋"/>
          <w:color w:val="auto"/>
          <w:sz w:val="24"/>
          <w:highlight w:val="none"/>
          <w:lang w:eastAsia="zh-CN"/>
        </w:rPr>
        <w:t>全过程造价咨询</w:t>
      </w:r>
      <w:r>
        <w:rPr>
          <w:rFonts w:hint="eastAsia" w:ascii="仿宋" w:hAnsi="仿宋" w:eastAsia="仿宋" w:cs="仿宋"/>
          <w:color w:val="auto"/>
          <w:sz w:val="24"/>
          <w:highlight w:val="none"/>
        </w:rPr>
        <w:t>业务自</w:t>
      </w:r>
      <w:r>
        <w:rPr>
          <w:rFonts w:hint="eastAsia" w:ascii="仿宋" w:hAnsi="仿宋" w:eastAsia="仿宋" w:cs="仿宋"/>
          <w:color w:val="auto"/>
          <w:sz w:val="24"/>
          <w:highlight w:val="none"/>
          <w:lang w:eastAsia="zh-CN"/>
        </w:rPr>
        <w:t>合同签订之日起</w:t>
      </w:r>
      <w:r>
        <w:rPr>
          <w:rFonts w:hint="eastAsia" w:ascii="仿宋" w:hAnsi="仿宋" w:eastAsia="仿宋" w:cs="仿宋"/>
          <w:color w:val="auto"/>
          <w:sz w:val="24"/>
          <w:highlight w:val="none"/>
        </w:rPr>
        <w:t>开始实施，</w:t>
      </w:r>
      <w:r>
        <w:rPr>
          <w:rFonts w:hint="eastAsia" w:ascii="仿宋" w:hAnsi="仿宋" w:eastAsia="仿宋" w:cs="仿宋"/>
          <w:color w:val="auto"/>
          <w:sz w:val="24"/>
          <w:highlight w:val="none"/>
          <w:lang w:eastAsia="zh-CN"/>
        </w:rPr>
        <w:t>至</w:t>
      </w:r>
      <w:r>
        <w:rPr>
          <w:rFonts w:hint="eastAsia" w:ascii="仿宋" w:hAnsi="仿宋" w:eastAsia="仿宋" w:cs="仿宋"/>
          <w:color w:val="auto"/>
          <w:sz w:val="24"/>
          <w:highlight w:val="none"/>
        </w:rPr>
        <w:t>配合工程</w:t>
      </w:r>
      <w:r>
        <w:rPr>
          <w:rFonts w:hint="eastAsia" w:ascii="仿宋" w:hAnsi="仿宋" w:eastAsia="仿宋" w:cs="仿宋"/>
          <w:color w:val="auto"/>
          <w:sz w:val="24"/>
          <w:highlight w:val="none"/>
          <w:lang w:eastAsia="zh-CN"/>
        </w:rPr>
        <w:t>决算</w:t>
      </w:r>
      <w:r>
        <w:rPr>
          <w:rFonts w:hint="eastAsia" w:ascii="仿宋" w:hAnsi="仿宋" w:eastAsia="仿宋" w:cs="仿宋"/>
          <w:color w:val="auto"/>
          <w:sz w:val="24"/>
          <w:highlight w:val="none"/>
        </w:rPr>
        <w:t>政府审计结束为止。</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七、本业务合同一式</w:t>
      </w:r>
      <w:r>
        <w:rPr>
          <w:rFonts w:hint="eastAsia" w:ascii="仿宋" w:hAnsi="仿宋" w:eastAsia="仿宋" w:cs="仿宋"/>
          <w:color w:val="auto"/>
          <w:sz w:val="24"/>
          <w:highlight w:val="none"/>
          <w:lang w:val="en-US" w:eastAsia="zh-CN"/>
        </w:rPr>
        <w:t>陆</w:t>
      </w:r>
      <w:r>
        <w:rPr>
          <w:rFonts w:hint="eastAsia" w:ascii="仿宋" w:hAnsi="仿宋" w:eastAsia="仿宋" w:cs="仿宋"/>
          <w:color w:val="auto"/>
          <w:sz w:val="24"/>
          <w:highlight w:val="none"/>
        </w:rPr>
        <w:t>份，具有同等法律效力，</w:t>
      </w:r>
      <w:r>
        <w:rPr>
          <w:rFonts w:hint="eastAsia" w:ascii="仿宋" w:hAnsi="仿宋" w:eastAsia="仿宋" w:cs="仿宋"/>
          <w:color w:val="auto"/>
          <w:sz w:val="24"/>
          <w:highlight w:val="none"/>
          <w:lang w:eastAsia="zh-CN"/>
        </w:rPr>
        <w:t>委托人</w:t>
      </w:r>
      <w:r>
        <w:rPr>
          <w:rFonts w:hint="eastAsia" w:ascii="仿宋" w:hAnsi="仿宋" w:eastAsia="仿宋" w:cs="仿宋"/>
          <w:color w:val="auto"/>
          <w:sz w:val="24"/>
          <w:highlight w:val="none"/>
          <w:lang w:val="en-US" w:eastAsia="zh-CN"/>
        </w:rPr>
        <w:t>肆</w:t>
      </w:r>
      <w:r>
        <w:rPr>
          <w:rFonts w:hint="eastAsia" w:ascii="仿宋" w:hAnsi="仿宋" w:eastAsia="仿宋" w:cs="仿宋"/>
          <w:color w:val="auto"/>
          <w:sz w:val="24"/>
          <w:highlight w:val="none"/>
        </w:rPr>
        <w:t>份、</w:t>
      </w:r>
      <w:r>
        <w:rPr>
          <w:rFonts w:hint="eastAsia" w:ascii="仿宋" w:hAnsi="仿宋" w:eastAsia="仿宋" w:cs="仿宋"/>
          <w:color w:val="auto"/>
          <w:sz w:val="24"/>
          <w:highlight w:val="none"/>
          <w:lang w:eastAsia="zh-CN"/>
        </w:rPr>
        <w:t>咨询人</w:t>
      </w:r>
      <w:r>
        <w:rPr>
          <w:rFonts w:hint="eastAsia" w:ascii="仿宋" w:hAnsi="仿宋" w:eastAsia="仿宋" w:cs="仿宋"/>
          <w:color w:val="auto"/>
          <w:sz w:val="24"/>
          <w:highlight w:val="none"/>
        </w:rPr>
        <w:t>贰份。</w:t>
      </w:r>
    </w:p>
    <w:p>
      <w:pPr>
        <w:snapToGrid w:val="0"/>
        <w:spacing w:line="360" w:lineRule="auto"/>
        <w:ind w:firstLine="210" w:firstLineChars="100"/>
        <w:rPr>
          <w:rFonts w:ascii="宋体" w:hAnsi="宋体" w:cs="宋体"/>
          <w:color w:val="000000"/>
          <w:szCs w:val="21"/>
          <w:highlight w:val="none"/>
        </w:rPr>
      </w:pPr>
      <w:r>
        <w:rPr>
          <w:rFonts w:hint="eastAsia" w:ascii="宋体" w:hAnsi="宋体" w:cs="宋体"/>
          <w:color w:val="000000"/>
          <w:szCs w:val="21"/>
          <w:highlight w:val="none"/>
        </w:rPr>
        <w:t>　</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委托方（盖章）：                              受托方（盖章）：</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法定代表人（签字、盖章）：                    法定代表人（签字、盖章）：</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授权代理人（签字）：                          授权代理人（签字）：</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单位地址：                                    单位地址： </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                                    邮政编码：</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                                    联系电话：</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                                    传    真：</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电子信箱：                                    电子信箱：</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                                    开户银行：</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帐    号：                                    帐    号：</w:t>
      </w:r>
    </w:p>
    <w:p>
      <w:pPr>
        <w:snapToGrid w:val="0"/>
        <w:spacing w:line="360" w:lineRule="auto"/>
        <w:ind w:firstLine="210" w:firstLineChars="100"/>
        <w:rPr>
          <w:rFonts w:ascii="宋体" w:hAnsi="宋体" w:cs="宋体"/>
          <w:color w:val="000000"/>
          <w:szCs w:val="21"/>
          <w:highlight w:val="none"/>
        </w:rPr>
      </w:pPr>
    </w:p>
    <w:p>
      <w:pPr>
        <w:spacing w:line="440" w:lineRule="exact"/>
        <w:jc w:val="center"/>
        <w:rPr>
          <w:rFonts w:hint="eastAsia" w:ascii="仿宋" w:hAnsi="仿宋" w:eastAsia="仿宋" w:cs="仿宋"/>
          <w:color w:val="auto"/>
          <w:kern w:val="2"/>
          <w:sz w:val="24"/>
          <w:szCs w:val="24"/>
          <w:highlight w:val="none"/>
          <w:lang w:val="en-US" w:eastAsia="zh-CN" w:bidi="ar-SA"/>
        </w:rPr>
      </w:pPr>
      <w:r>
        <w:rPr>
          <w:rFonts w:hint="eastAsia" w:ascii="宋体" w:hAnsi="宋体" w:cs="宋体"/>
          <w:color w:val="000000"/>
          <w:szCs w:val="21"/>
          <w:highlight w:val="none"/>
        </w:rPr>
        <w:t xml:space="preserve">                                   </w:t>
      </w:r>
      <w:r>
        <w:rPr>
          <w:rFonts w:hint="eastAsia" w:ascii="仿宋" w:hAnsi="仿宋" w:eastAsia="仿宋" w:cs="仿宋"/>
          <w:color w:val="auto"/>
          <w:kern w:val="2"/>
          <w:sz w:val="24"/>
          <w:szCs w:val="24"/>
          <w:highlight w:val="none"/>
          <w:lang w:val="en-US" w:eastAsia="zh-CN" w:bidi="ar-SA"/>
        </w:rPr>
        <w:t xml:space="preserve">  签订日期：          年　　月　　日 </w:t>
      </w:r>
    </w:p>
    <w:p>
      <w:pPr>
        <w:pStyle w:val="22"/>
        <w:rPr>
          <w:rFonts w:hint="eastAsia" w:ascii="仿宋" w:hAnsi="仿宋" w:eastAsia="仿宋" w:cs="仿宋"/>
          <w:color w:val="auto"/>
          <w:kern w:val="2"/>
          <w:sz w:val="24"/>
          <w:szCs w:val="24"/>
          <w:highlight w:val="none"/>
          <w:lang w:val="en-US" w:eastAsia="zh-CN" w:bidi="ar-SA"/>
        </w:rPr>
      </w:pPr>
    </w:p>
    <w:p>
      <w:pPr>
        <w:rPr>
          <w:rFonts w:hint="eastAsia" w:ascii="仿宋" w:hAnsi="仿宋" w:eastAsia="仿宋" w:cs="仿宋"/>
          <w:color w:val="auto"/>
          <w:kern w:val="2"/>
          <w:sz w:val="24"/>
          <w:szCs w:val="24"/>
          <w:highlight w:val="none"/>
          <w:lang w:val="en-US" w:eastAsia="zh-CN" w:bidi="ar-SA"/>
        </w:rPr>
      </w:pPr>
    </w:p>
    <w:p>
      <w:pPr>
        <w:pStyle w:val="22"/>
        <w:rPr>
          <w:rFonts w:hint="eastAsia" w:ascii="仿宋" w:hAnsi="仿宋" w:eastAsia="仿宋" w:cs="仿宋"/>
          <w:color w:val="auto"/>
          <w:kern w:val="2"/>
          <w:sz w:val="24"/>
          <w:szCs w:val="24"/>
          <w:highlight w:val="none"/>
          <w:lang w:val="en-US" w:eastAsia="zh-CN" w:bidi="ar-SA"/>
        </w:rPr>
      </w:pPr>
    </w:p>
    <w:p>
      <w:pPr>
        <w:rPr>
          <w:rFonts w:hint="eastAsia" w:ascii="仿宋" w:hAnsi="仿宋" w:eastAsia="仿宋" w:cs="仿宋"/>
          <w:color w:val="auto"/>
          <w:kern w:val="2"/>
          <w:sz w:val="24"/>
          <w:szCs w:val="24"/>
          <w:highlight w:val="none"/>
          <w:lang w:val="en-US" w:eastAsia="zh-CN" w:bidi="ar-SA"/>
        </w:rPr>
      </w:pPr>
    </w:p>
    <w:p>
      <w:pPr>
        <w:pStyle w:val="22"/>
        <w:rPr>
          <w:rFonts w:hint="eastAsia" w:ascii="仿宋" w:hAnsi="仿宋" w:eastAsia="仿宋" w:cs="仿宋"/>
          <w:color w:val="auto"/>
          <w:kern w:val="2"/>
          <w:sz w:val="24"/>
          <w:szCs w:val="24"/>
          <w:highlight w:val="none"/>
          <w:lang w:val="en-US" w:eastAsia="zh-CN" w:bidi="ar-SA"/>
        </w:rPr>
      </w:pPr>
    </w:p>
    <w:p>
      <w:pPr>
        <w:rPr>
          <w:rFonts w:hint="eastAsia" w:ascii="仿宋" w:hAnsi="仿宋" w:eastAsia="仿宋" w:cs="仿宋"/>
          <w:color w:val="auto"/>
          <w:kern w:val="2"/>
          <w:sz w:val="24"/>
          <w:szCs w:val="24"/>
          <w:highlight w:val="none"/>
          <w:lang w:val="en-US" w:eastAsia="zh-CN" w:bidi="ar-SA"/>
        </w:rPr>
      </w:pPr>
    </w:p>
    <w:p>
      <w:pPr>
        <w:pStyle w:val="22"/>
        <w:rPr>
          <w:rFonts w:hint="eastAsia" w:ascii="仿宋" w:hAnsi="仿宋" w:eastAsia="仿宋" w:cs="仿宋"/>
          <w:color w:val="auto"/>
          <w:kern w:val="2"/>
          <w:sz w:val="24"/>
          <w:szCs w:val="24"/>
          <w:highlight w:val="none"/>
          <w:lang w:val="en-US" w:eastAsia="zh-CN" w:bidi="ar-SA"/>
        </w:rPr>
      </w:pPr>
    </w:p>
    <w:p>
      <w:pPr>
        <w:rPr>
          <w:rFonts w:hint="eastAsia" w:ascii="仿宋" w:hAnsi="仿宋" w:eastAsia="仿宋" w:cs="仿宋"/>
          <w:color w:val="auto"/>
          <w:kern w:val="2"/>
          <w:sz w:val="24"/>
          <w:szCs w:val="24"/>
          <w:highlight w:val="none"/>
          <w:lang w:val="en-US" w:eastAsia="zh-CN" w:bidi="ar-SA"/>
        </w:rPr>
      </w:pPr>
    </w:p>
    <w:p>
      <w:pPr>
        <w:pStyle w:val="22"/>
        <w:rPr>
          <w:rFonts w:hint="eastAsia" w:ascii="仿宋" w:hAnsi="仿宋" w:eastAsia="仿宋" w:cs="仿宋"/>
          <w:color w:val="auto"/>
          <w:kern w:val="2"/>
          <w:sz w:val="24"/>
          <w:szCs w:val="24"/>
          <w:highlight w:val="none"/>
          <w:lang w:val="en-US" w:eastAsia="zh-CN" w:bidi="ar-SA"/>
        </w:rPr>
      </w:pPr>
    </w:p>
    <w:p>
      <w:pPr>
        <w:rPr>
          <w:rFonts w:hint="eastAsia" w:ascii="仿宋" w:hAnsi="仿宋" w:eastAsia="仿宋" w:cs="仿宋"/>
          <w:color w:val="auto"/>
          <w:kern w:val="2"/>
          <w:sz w:val="24"/>
          <w:szCs w:val="24"/>
          <w:highlight w:val="none"/>
          <w:lang w:val="en-US" w:eastAsia="zh-CN" w:bidi="ar-SA"/>
        </w:rPr>
      </w:pPr>
    </w:p>
    <w:p>
      <w:pPr>
        <w:pStyle w:val="22"/>
        <w:rPr>
          <w:rFonts w:hint="eastAsia" w:ascii="仿宋" w:hAnsi="仿宋" w:eastAsia="仿宋" w:cs="仿宋"/>
          <w:color w:val="auto"/>
          <w:kern w:val="2"/>
          <w:sz w:val="24"/>
          <w:szCs w:val="24"/>
          <w:highlight w:val="none"/>
          <w:lang w:val="en-US" w:eastAsia="zh-CN" w:bidi="ar-SA"/>
        </w:rPr>
      </w:pPr>
    </w:p>
    <w:p>
      <w:pPr>
        <w:rPr>
          <w:rFonts w:hint="eastAsia" w:ascii="仿宋" w:hAnsi="仿宋" w:eastAsia="仿宋" w:cs="仿宋"/>
          <w:color w:val="auto"/>
          <w:kern w:val="2"/>
          <w:sz w:val="24"/>
          <w:szCs w:val="24"/>
          <w:highlight w:val="none"/>
          <w:lang w:val="en-US" w:eastAsia="zh-CN" w:bidi="ar-SA"/>
        </w:rPr>
      </w:pPr>
    </w:p>
    <w:p>
      <w:pPr>
        <w:pStyle w:val="22"/>
        <w:jc w:val="center"/>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二、建设工程全过程造价咨询合同标准条件词语定义、适用语言和法律、法规</w:t>
      </w:r>
    </w:p>
    <w:p>
      <w:pPr>
        <w:spacing w:line="440" w:lineRule="exact"/>
        <w:ind w:firstLine="240" w:firstLineChars="1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第一条　下列名词和用语，除上下文另有规定外具有如下含义。 </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　1、“委托人”是指委托建设工程全过程造价咨询业务的一方以及其合法继承人。 </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　2、“咨询人”是指承担建设工程全过程造价咨询业务和全过程造价咨询责任的一方，以及其合法继承人。 </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　3、“第三人”是指除委托人、咨询人以外与本咨询业务有关的当事人。 </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　4、“日”是指任何一天零时至第二天零时的时间段。 </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　第二条　建设工程全过程造价咨询合同适用的是中国的法律、法规，以及专用条件中议定的部门规章、工程造价有关计价办法和规定或项目所在地的地方法规、地方规章。 </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　第三条　建设工程全过程造价咨询合同的书写、解释和说明，以汉语为主导语言。当不同语言文本发生不同解释时，以汉语合同文本为准。 </w:t>
      </w:r>
    </w:p>
    <w:p>
      <w:pPr>
        <w:pStyle w:val="22"/>
        <w:jc w:val="center"/>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咨询人的义务</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宋体" w:hAnsi="宋体" w:eastAsia="Arial Unicode MS" w:cs="宋体"/>
          <w:color w:val="000000"/>
          <w:kern w:val="2"/>
          <w:sz w:val="21"/>
          <w:szCs w:val="21"/>
          <w:highlight w:val="none"/>
          <w:lang w:val="en-US" w:eastAsia="zh-CN" w:bidi="ar-SA"/>
        </w:rPr>
        <w:t>　</w:t>
      </w:r>
      <w:r>
        <w:rPr>
          <w:rFonts w:hint="eastAsia" w:ascii="仿宋" w:hAnsi="仿宋" w:eastAsia="仿宋" w:cs="仿宋"/>
          <w:color w:val="auto"/>
          <w:kern w:val="2"/>
          <w:sz w:val="24"/>
          <w:szCs w:val="24"/>
          <w:highlight w:val="none"/>
          <w:lang w:val="en-US" w:eastAsia="zh-CN" w:bidi="ar-SA"/>
        </w:rPr>
        <w:t xml:space="preserve">第四条　向委托人提供与全过程造价咨询业务有关的资料，包括工程全过程造价咨询的资质证书及承担本合同业务的专业人员名单、咨询工作计划等，并按合同专用条件中约定的范围实施咨询业务。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　第五条　咨询人在履行本合同期间，向委托人提供的服务包括正常服务、附加服务和额外服务。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　1、“正常服务”是指双方在专用条件中约定的工程全过程造价咨询工作；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　2、“附加服务”是指在“正常服务”以外，经双方书面协议确定的附加服务；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　3、“额外服务”是指不属于“正常服务”和“附加服务”，但根据合同标准条件第十三条、第二十条和二十二条的规定，咨询人应增加的额外工作量。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　第六条　在履行合同期间或合同规定期限内，不得泄露与本合同规定业务活动有关的保密资料。 </w:t>
      </w:r>
    </w:p>
    <w:p>
      <w:pPr>
        <w:pStyle w:val="22"/>
        <w:jc w:val="center"/>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委托人的义务</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宋体" w:hAnsi="宋体" w:eastAsia="Arial Unicode MS" w:cs="宋体"/>
          <w:color w:val="000000"/>
          <w:kern w:val="2"/>
          <w:sz w:val="21"/>
          <w:szCs w:val="21"/>
          <w:highlight w:val="none"/>
          <w:lang w:val="en-US" w:eastAsia="zh-CN" w:bidi="ar-SA"/>
        </w:rPr>
        <w:t>　</w:t>
      </w:r>
      <w:r>
        <w:rPr>
          <w:rFonts w:hint="eastAsia" w:ascii="仿宋" w:hAnsi="仿宋" w:eastAsia="仿宋" w:cs="仿宋"/>
          <w:color w:val="auto"/>
          <w:kern w:val="2"/>
          <w:sz w:val="24"/>
          <w:szCs w:val="24"/>
          <w:highlight w:val="none"/>
          <w:lang w:val="en-US" w:eastAsia="zh-CN" w:bidi="ar-SA"/>
        </w:rPr>
        <w:t xml:space="preserve">第七条　委托人应负责与本建设工程全过程造价咨询业务有关的第三人的协调，为咨询人工作提供外部条件。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　第八条　委托人应当在约定的时间内，免费向咨询人提供与本项目咨询业务有关的资料。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　第九条　委托人应当在约定的时间内就咨询人书面提交并要求做出答复的事宜做出书面答复。咨询人要求第三人提供有关资料时，委托人应负责转达及资料转送。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　第十条　委托人应当授权胜任本咨询业务的代表，负责与咨询人联系。 </w:t>
      </w:r>
    </w:p>
    <w:p>
      <w:pPr>
        <w:pStyle w:val="22"/>
        <w:jc w:val="center"/>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咨询人的权利</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宋体" w:hAnsi="宋体" w:eastAsia="Arial Unicode MS" w:cs="宋体"/>
          <w:color w:val="000000"/>
          <w:kern w:val="2"/>
          <w:sz w:val="21"/>
          <w:szCs w:val="21"/>
          <w:highlight w:val="none"/>
          <w:lang w:val="en-US" w:eastAsia="zh-CN" w:bidi="ar-SA"/>
        </w:rPr>
        <w:t>　</w:t>
      </w:r>
      <w:r>
        <w:rPr>
          <w:rFonts w:hint="eastAsia" w:ascii="仿宋" w:hAnsi="仿宋" w:eastAsia="仿宋" w:cs="仿宋"/>
          <w:color w:val="auto"/>
          <w:kern w:val="2"/>
          <w:sz w:val="24"/>
          <w:szCs w:val="24"/>
          <w:highlight w:val="none"/>
          <w:lang w:val="en-US" w:eastAsia="zh-CN" w:bidi="ar-SA"/>
        </w:rPr>
        <w:t xml:space="preserve">第十一条　委托人在委托的建设工程全过程造价咨询业务范围内，授予咨询人以下权利：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1、咨询人在造价咨询过程中，如委托人提供的资料不明确时可向委托人提出书面报告。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2、咨询人在造价咨询过程中，有权对第三人提出与本咨询业务有关的问题进行核对或查问。 </w:t>
      </w:r>
    </w:p>
    <w:p>
      <w:pPr>
        <w:spacing w:line="440" w:lineRule="exact"/>
        <w:jc w:val="left"/>
        <w:rPr>
          <w:rFonts w:hint="eastAsia" w:ascii="宋体" w:hAnsi="宋体" w:eastAsia="Arial Unicode MS" w:cs="宋体"/>
          <w:color w:val="000000"/>
          <w:kern w:val="2"/>
          <w:sz w:val="21"/>
          <w:szCs w:val="21"/>
          <w:highlight w:val="none"/>
          <w:lang w:val="en-US" w:eastAsia="zh-CN" w:bidi="ar-SA"/>
        </w:rPr>
      </w:pPr>
      <w:r>
        <w:rPr>
          <w:rFonts w:hint="eastAsia" w:ascii="仿宋" w:hAnsi="仿宋" w:eastAsia="仿宋" w:cs="仿宋"/>
          <w:color w:val="auto"/>
          <w:kern w:val="2"/>
          <w:sz w:val="24"/>
          <w:szCs w:val="24"/>
          <w:highlight w:val="none"/>
          <w:lang w:val="en-US" w:eastAsia="zh-CN" w:bidi="ar-SA"/>
        </w:rPr>
        <w:t>3、咨询人在造价咨询过程中，有到工程现场勘察的权利。</w:t>
      </w:r>
      <w:r>
        <w:rPr>
          <w:rFonts w:hint="eastAsia" w:ascii="宋体" w:hAnsi="宋体" w:eastAsia="Arial Unicode MS" w:cs="宋体"/>
          <w:color w:val="000000"/>
          <w:kern w:val="2"/>
          <w:sz w:val="21"/>
          <w:szCs w:val="21"/>
          <w:highlight w:val="none"/>
          <w:lang w:val="en-US" w:eastAsia="zh-CN" w:bidi="ar-SA"/>
        </w:rPr>
        <w:t xml:space="preserve"> </w:t>
      </w:r>
    </w:p>
    <w:p>
      <w:pPr>
        <w:pStyle w:val="22"/>
        <w:jc w:val="center"/>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委托人的权利</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第十二条　委托人有下列权利：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1、委托人有权向咨询人询问工作进展情况及相关的内容。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2、委托人有权阐述对具体问题的意见和建议。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3、当委托人认定咨询专业人员不按咨询合同履行其职责，或与第三人串通给委托人造成经济损失的，委托人有权要求更换咨询专业人员，直至终止合同并要求咨询人承担相应的赔偿责任。 </w:t>
      </w:r>
    </w:p>
    <w:p>
      <w:pPr>
        <w:pStyle w:val="22"/>
        <w:jc w:val="center"/>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咨询人的责任</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第十三条　咨询人的责任期即建设工程全过程造价咨询合同有效期。如因非咨询人的责任造成进度的推迟或延误而超过约定的日期，双方应进一步约定相应延长合同有效期。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第十四条　咨询人责任期内，应当履行建设工程全过程造价咨询合同中约定的义务，因咨询人的单方过失造成的经济损失，应当向委托人进行赔偿。累计赔偿总额不应超过建设工程全过程造价咨询酬金总额（除去税金）。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第十五条　咨询人对委托人或第三人所提出的问题不能及时核对或答复，导致合同不能全部或部分履行，咨询人应承担责任。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第十六条　咨询人向委托人提出赔偿要求不能成立时，则应补偿由于该赔偿或其他要求所导致委托人的各种费用的支出。 </w:t>
      </w:r>
    </w:p>
    <w:p>
      <w:pPr>
        <w:pStyle w:val="22"/>
        <w:jc w:val="center"/>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委托人的责任</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第十七条　委托人应当履行建设工程全过程造价咨询合同约定的义务，如有违反则应当承担违约责任，赔偿给咨询人造成的损失。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第十八条　委托人如果向咨询人提出赔偿或其他要求不能成立时，则应补偿由于该赔偿或其他要求所导致咨询人的各种费用的支出。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合同生效，变更与终止</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第十九条　本合同自双方签字盖章之日起生效。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第二十条　由于委托人或第三人的原因使咨询人工作受到阻碍或延误以致增加了工作量或持续时间，则咨询人应当将此情况与可能产生的影响及时书面通知委托人。由此增加的工作量视为额外服务，完成建设工程全过程造价咨询工作的时间应当相应延长，并得到额外的酬金。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第二十一条　当事人一方要求变更或解除合同时，则应当在14日前通知对方；因变更或解除合同使一方遭受损失的，应由责任方负责赔偿。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第二十二条　咨询人由于非自身原因暂停或终止执行建设工程全过程造价咨询业务，由此而增加的恢复执行建设工程全过程造价咨询业务的工作，应视为额外服务，有权得到额外的时间和酬金。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第二十三条　变更或解除合同的通知或协议应当采取书面形式，新的协议未达成之前，原合同仍然有效。</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第二十四条 双方新的全过程造价咨询合同签订后，旧的全过程造价咨询合同解除。</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第二十五条 本合同为框架协议，只有有委托项目出现（以业务委托单为凭），合同才生效。</w:t>
      </w:r>
    </w:p>
    <w:p>
      <w:pPr>
        <w:pStyle w:val="22"/>
        <w:jc w:val="center"/>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咨询业务的酬金</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第二十六条　正常的建设工程全过程造价咨询业务，附加工作和额外工作的酬金，按照建设工程全过程造价咨询合同专用条件约定的方法计取，并按约定的时间和数额支付。咨询人凭业务委托单申请支付结算。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第二十七条　如果委托人在规定的支付期限内未支付建设工程全过程造价咨询酬金，自规定支付之日起，应当向咨询人补偿应支付的酬金利息。利息额按规定支付期限最后一日银行活期贷款乘以拖欠酬金时间计算。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第二十八条　如果委托人对咨询人提交的支付通知书中酬金或部分酬金项目提出异议，应当在收到支付通知书两日内向咨询人发出异议的通知，但委托人不得拖延其无异议酬金项目的支付。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第二十九条　支付建设工程全过程造价咨询酬金所采取的货币币种、汇率由合同专用条件约定。 </w:t>
      </w:r>
    </w:p>
    <w:p>
      <w:pPr>
        <w:pStyle w:val="22"/>
        <w:jc w:val="center"/>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其他</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第三十条　因建设工程全过程造价咨询业务的需要，咨询人在合同约定外的外出考察，经委托人同意，其所需费用由委托人负责。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第三十一条　咨询人如需外聘专家协助，在委托的建设工程全过程造价咨询业务范围内其费用由咨询人承担；在委托的建设工程全过程造价咨询业务范围以外经委托人认可其费用由委托人承担。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第三十二条　未经对方的书面同意，各方均不得转让合同约定的权利和义务。 </w:t>
      </w:r>
    </w:p>
    <w:p>
      <w:pPr>
        <w:spacing w:line="4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第三十三条　除委托人书面同意外，咨询人及造价咨询专业人员不应接受建设工程全过程造价咨询合同约定以外的与工程全过程造价咨询项目有关的任何报酬。咨询人不得参与可能与合同规定的与委托人利益相冲突的任何活动。 </w:t>
      </w:r>
    </w:p>
    <w:p>
      <w:pPr>
        <w:spacing w:line="440" w:lineRule="exact"/>
        <w:jc w:val="center"/>
        <w:rPr>
          <w:rFonts w:hint="eastAsia" w:ascii="宋体" w:hAnsi="宋体" w:eastAsia="Arial Unicode MS" w:cs="宋体"/>
          <w:color w:val="000000"/>
          <w:kern w:val="2"/>
          <w:sz w:val="21"/>
          <w:szCs w:val="21"/>
          <w:highlight w:val="none"/>
          <w:lang w:val="en-US" w:eastAsia="zh-CN" w:bidi="ar-SA"/>
        </w:rPr>
      </w:pPr>
    </w:p>
    <w:p>
      <w:pPr>
        <w:pStyle w:val="22"/>
        <w:jc w:val="center"/>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合同争议的解决</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第三十四条　因违约或终止合同而引起的损失和损害的赔偿，委托人与咨询人之间应当协商解决；如未能达成一致，可提交有关主管部门调解；协商或调解不成的，根据双方约定提交仲裁机关仲裁，或向人民法院提起诉讼。 </w:t>
      </w:r>
    </w:p>
    <w:p>
      <w:pPr>
        <w:snapToGrid w:val="0"/>
        <w:spacing w:line="360" w:lineRule="auto"/>
        <w:rPr>
          <w:rFonts w:ascii="宋体" w:hAnsi="宋体" w:cs="宋体"/>
          <w:color w:val="000000"/>
          <w:szCs w:val="21"/>
          <w:highlight w:val="none"/>
        </w:rPr>
      </w:pPr>
    </w:p>
    <w:p>
      <w:pPr>
        <w:snapToGrid w:val="0"/>
        <w:spacing w:line="360" w:lineRule="auto"/>
        <w:rPr>
          <w:rFonts w:ascii="宋体" w:hAnsi="宋体" w:cs="宋体"/>
          <w:color w:val="000000"/>
          <w:szCs w:val="21"/>
          <w:highlight w:val="none"/>
        </w:rPr>
      </w:pPr>
    </w:p>
    <w:p>
      <w:pPr>
        <w:snapToGrid w:val="0"/>
        <w:spacing w:line="360" w:lineRule="auto"/>
        <w:rPr>
          <w:rFonts w:ascii="宋体" w:hAnsi="宋体" w:cs="宋体"/>
          <w:color w:val="000000"/>
          <w:szCs w:val="21"/>
          <w:highlight w:val="none"/>
        </w:rPr>
      </w:pPr>
    </w:p>
    <w:p>
      <w:pPr>
        <w:spacing w:line="440" w:lineRule="exact"/>
        <w:jc w:val="center"/>
        <w:rPr>
          <w:rFonts w:hint="eastAsia" w:ascii="仿宋" w:hAnsi="仿宋" w:eastAsia="仿宋" w:cs="仿宋"/>
          <w:b/>
          <w:bCs/>
          <w:color w:val="auto"/>
          <w:kern w:val="2"/>
          <w:sz w:val="24"/>
          <w:szCs w:val="24"/>
          <w:highlight w:val="none"/>
          <w:lang w:val="en-US" w:eastAsia="zh-CN" w:bidi="ar-SA"/>
        </w:rPr>
      </w:pPr>
      <w:r>
        <w:rPr>
          <w:rFonts w:hint="eastAsia" w:ascii="宋体" w:hAnsi="宋体" w:cs="宋体"/>
          <w:color w:val="000000"/>
          <w:szCs w:val="21"/>
          <w:highlight w:val="none"/>
        </w:rPr>
        <w:br w:type="page"/>
      </w:r>
      <w:r>
        <w:rPr>
          <w:rFonts w:hint="eastAsia" w:ascii="仿宋" w:hAnsi="仿宋" w:eastAsia="仿宋" w:cs="仿宋"/>
          <w:b/>
          <w:bCs/>
          <w:color w:val="auto"/>
          <w:kern w:val="2"/>
          <w:sz w:val="24"/>
          <w:szCs w:val="24"/>
          <w:highlight w:val="none"/>
          <w:lang w:val="en-US" w:eastAsia="zh-CN" w:bidi="ar-SA"/>
        </w:rPr>
        <w:t>三、建设工程全过程造价咨询合同专用条件</w:t>
      </w:r>
    </w:p>
    <w:p>
      <w:pPr>
        <w:spacing w:line="440" w:lineRule="exact"/>
        <w:jc w:val="center"/>
        <w:rPr>
          <w:rFonts w:ascii="宋体" w:hAnsi="宋体"/>
          <w:b/>
          <w:color w:val="000000"/>
          <w:szCs w:val="28"/>
          <w:highlight w:val="none"/>
        </w:rPr>
      </w:pP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第一条  本合同适用的法律、法规及工程造价计价办法和规定： </w:t>
      </w:r>
    </w:p>
    <w:p>
      <w:pPr>
        <w:numPr>
          <w:ilvl w:val="0"/>
          <w:numId w:val="0"/>
        </w:numPr>
        <w:spacing w:line="440" w:lineRule="exact"/>
        <w:rPr>
          <w:rFonts w:ascii="宋体" w:hAnsi="宋体" w:eastAsia="仿宋"/>
          <w:b w:val="0"/>
          <w:bCs/>
          <w:color w:val="000000"/>
          <w:sz w:val="24"/>
          <w:szCs w:val="21"/>
          <w:highlight w:val="none"/>
          <w:u w:val="none"/>
        </w:rPr>
      </w:pPr>
      <w:r>
        <w:rPr>
          <w:rFonts w:hint="eastAsia" w:ascii="仿宋" w:hAnsi="仿宋" w:eastAsia="仿宋" w:cs="仿宋"/>
          <w:color w:val="auto"/>
          <w:kern w:val="2"/>
          <w:sz w:val="24"/>
          <w:szCs w:val="24"/>
          <w:highlight w:val="none"/>
          <w:u w:val="none"/>
          <w:lang w:val="en-US" w:eastAsia="zh-CN" w:bidi="ar-SA"/>
        </w:rPr>
        <w:t>（1）</w:t>
      </w:r>
      <w:r>
        <w:rPr>
          <w:rFonts w:hint="eastAsia" w:ascii="宋体" w:hAnsi="宋体" w:eastAsia="仿宋"/>
          <w:b w:val="0"/>
          <w:bCs/>
          <w:color w:val="000000"/>
          <w:sz w:val="24"/>
          <w:szCs w:val="21"/>
          <w:highlight w:val="none"/>
          <w:u w:val="none"/>
        </w:rPr>
        <w:t>《中华人民共和国建筑法》</w:t>
      </w:r>
    </w:p>
    <w:p>
      <w:pPr>
        <w:numPr>
          <w:ilvl w:val="0"/>
          <w:numId w:val="0"/>
        </w:numPr>
        <w:spacing w:line="440" w:lineRule="exact"/>
        <w:rPr>
          <w:rFonts w:ascii="宋体" w:hAnsi="宋体" w:eastAsia="仿宋"/>
          <w:b w:val="0"/>
          <w:bCs/>
          <w:color w:val="000000"/>
          <w:sz w:val="24"/>
          <w:szCs w:val="21"/>
          <w:highlight w:val="none"/>
          <w:u w:val="none"/>
        </w:rPr>
      </w:pPr>
      <w:r>
        <w:rPr>
          <w:rFonts w:hint="eastAsia" w:ascii="宋体" w:hAnsi="宋体" w:eastAsia="仿宋"/>
          <w:b w:val="0"/>
          <w:bCs/>
          <w:color w:val="000000"/>
          <w:sz w:val="24"/>
          <w:szCs w:val="21"/>
          <w:highlight w:val="none"/>
          <w:u w:val="none"/>
        </w:rPr>
        <w:t>（2）《中华人民共和国民法典》</w:t>
      </w:r>
    </w:p>
    <w:p>
      <w:pPr>
        <w:numPr>
          <w:ilvl w:val="0"/>
          <w:numId w:val="0"/>
        </w:numPr>
        <w:spacing w:line="440" w:lineRule="exact"/>
        <w:rPr>
          <w:rFonts w:ascii="宋体" w:hAnsi="宋体" w:eastAsia="仿宋"/>
          <w:b w:val="0"/>
          <w:bCs/>
          <w:color w:val="000000"/>
          <w:sz w:val="24"/>
          <w:szCs w:val="21"/>
          <w:highlight w:val="none"/>
          <w:u w:val="none"/>
        </w:rPr>
      </w:pPr>
      <w:r>
        <w:rPr>
          <w:rFonts w:hint="eastAsia" w:ascii="宋体" w:hAnsi="宋体" w:eastAsia="仿宋"/>
          <w:b w:val="0"/>
          <w:bCs/>
          <w:color w:val="000000"/>
          <w:sz w:val="24"/>
          <w:szCs w:val="21"/>
          <w:highlight w:val="none"/>
          <w:u w:val="none"/>
        </w:rPr>
        <w:t>（3）《工程造价咨询企业管理办法》（建设部令第149号）</w:t>
      </w:r>
    </w:p>
    <w:p>
      <w:pPr>
        <w:numPr>
          <w:ilvl w:val="0"/>
          <w:numId w:val="0"/>
        </w:numPr>
        <w:spacing w:line="440" w:lineRule="exact"/>
        <w:rPr>
          <w:rFonts w:ascii="宋体" w:hAnsi="宋体" w:eastAsia="仿宋"/>
          <w:b w:val="0"/>
          <w:bCs/>
          <w:color w:val="000000"/>
          <w:sz w:val="24"/>
          <w:szCs w:val="21"/>
          <w:highlight w:val="none"/>
          <w:u w:val="none"/>
        </w:rPr>
      </w:pPr>
      <w:r>
        <w:rPr>
          <w:rFonts w:hint="eastAsia" w:ascii="宋体" w:hAnsi="宋体" w:eastAsia="仿宋"/>
          <w:b w:val="0"/>
          <w:bCs/>
          <w:color w:val="000000"/>
          <w:sz w:val="24"/>
          <w:szCs w:val="21"/>
          <w:highlight w:val="none"/>
          <w:u w:val="none"/>
        </w:rPr>
        <w:t>（4）《注册造价工程师管理办法》（建设部令第149号）</w:t>
      </w:r>
    </w:p>
    <w:p>
      <w:pPr>
        <w:numPr>
          <w:ilvl w:val="0"/>
          <w:numId w:val="0"/>
        </w:numPr>
        <w:spacing w:line="440" w:lineRule="exact"/>
        <w:rPr>
          <w:rFonts w:ascii="宋体" w:hAnsi="宋体" w:eastAsia="仿宋"/>
          <w:b w:val="0"/>
          <w:bCs/>
          <w:color w:val="000000"/>
          <w:sz w:val="24"/>
          <w:szCs w:val="21"/>
          <w:highlight w:val="none"/>
          <w:u w:val="none"/>
        </w:rPr>
      </w:pPr>
      <w:r>
        <w:rPr>
          <w:rFonts w:hint="eastAsia" w:ascii="宋体" w:hAnsi="宋体" w:eastAsia="仿宋"/>
          <w:b w:val="0"/>
          <w:bCs/>
          <w:color w:val="000000"/>
          <w:sz w:val="24"/>
          <w:szCs w:val="21"/>
          <w:highlight w:val="none"/>
          <w:u w:val="none"/>
        </w:rPr>
        <w:t>（5）《陕西省建设工程造价管理办法》（陕西省人民政府令第133号）</w:t>
      </w:r>
    </w:p>
    <w:p>
      <w:pPr>
        <w:numPr>
          <w:ilvl w:val="0"/>
          <w:numId w:val="0"/>
        </w:numPr>
        <w:spacing w:line="440" w:lineRule="exact"/>
        <w:rPr>
          <w:rFonts w:ascii="宋体" w:hAnsi="宋体" w:eastAsia="仿宋"/>
          <w:b w:val="0"/>
          <w:bCs/>
          <w:color w:val="000000"/>
          <w:sz w:val="24"/>
          <w:szCs w:val="21"/>
          <w:highlight w:val="none"/>
          <w:u w:val="none"/>
        </w:rPr>
      </w:pPr>
      <w:r>
        <w:rPr>
          <w:rFonts w:hint="eastAsia" w:ascii="宋体" w:hAnsi="宋体" w:eastAsia="仿宋"/>
          <w:b w:val="0"/>
          <w:bCs/>
          <w:color w:val="000000"/>
          <w:sz w:val="24"/>
          <w:szCs w:val="21"/>
          <w:highlight w:val="none"/>
          <w:u w:val="none"/>
        </w:rPr>
        <w:t>（</w:t>
      </w:r>
      <w:r>
        <w:rPr>
          <w:rFonts w:hint="eastAsia" w:ascii="宋体" w:hAnsi="宋体" w:eastAsia="仿宋"/>
          <w:b w:val="0"/>
          <w:bCs/>
          <w:color w:val="000000"/>
          <w:sz w:val="24"/>
          <w:szCs w:val="21"/>
          <w:highlight w:val="none"/>
          <w:u w:val="none"/>
          <w:lang w:val="en-US" w:eastAsia="zh-CN"/>
        </w:rPr>
        <w:t>6</w:t>
      </w:r>
      <w:r>
        <w:rPr>
          <w:rFonts w:hint="eastAsia" w:ascii="宋体" w:hAnsi="宋体" w:eastAsia="仿宋"/>
          <w:b w:val="0"/>
          <w:bCs/>
          <w:color w:val="000000"/>
          <w:sz w:val="24"/>
          <w:szCs w:val="21"/>
          <w:highlight w:val="none"/>
          <w:u w:val="none"/>
        </w:rPr>
        <w:t>）部颁和省颁《工程量清单计价规范》</w:t>
      </w:r>
    </w:p>
    <w:p>
      <w:pPr>
        <w:numPr>
          <w:ilvl w:val="0"/>
          <w:numId w:val="0"/>
        </w:numPr>
        <w:spacing w:line="440" w:lineRule="exact"/>
        <w:rPr>
          <w:rFonts w:ascii="宋体" w:hAnsi="宋体" w:eastAsia="仿宋"/>
          <w:b w:val="0"/>
          <w:bCs/>
          <w:color w:val="000000"/>
          <w:sz w:val="24"/>
          <w:szCs w:val="21"/>
          <w:highlight w:val="none"/>
          <w:u w:val="none"/>
        </w:rPr>
      </w:pPr>
      <w:r>
        <w:rPr>
          <w:rFonts w:hint="eastAsia" w:ascii="宋体" w:hAnsi="宋体" w:eastAsia="仿宋"/>
          <w:b w:val="0"/>
          <w:bCs/>
          <w:color w:val="000000"/>
          <w:sz w:val="24"/>
          <w:szCs w:val="21"/>
          <w:highlight w:val="none"/>
          <w:u w:val="none"/>
        </w:rPr>
        <w:t>（</w:t>
      </w:r>
      <w:r>
        <w:rPr>
          <w:rFonts w:hint="eastAsia" w:ascii="宋体" w:hAnsi="宋体" w:eastAsia="仿宋"/>
          <w:b w:val="0"/>
          <w:bCs/>
          <w:color w:val="000000"/>
          <w:sz w:val="24"/>
          <w:szCs w:val="21"/>
          <w:highlight w:val="none"/>
          <w:u w:val="none"/>
          <w:lang w:val="en-US" w:eastAsia="zh-CN"/>
        </w:rPr>
        <w:t>7</w:t>
      </w:r>
      <w:r>
        <w:rPr>
          <w:rFonts w:hint="eastAsia" w:ascii="宋体" w:hAnsi="宋体" w:eastAsia="仿宋"/>
          <w:b w:val="0"/>
          <w:bCs/>
          <w:color w:val="000000"/>
          <w:sz w:val="24"/>
          <w:szCs w:val="21"/>
          <w:highlight w:val="none"/>
          <w:u w:val="none"/>
        </w:rPr>
        <w:t>）《陕西省建设工程工程量清单计价规则》</w:t>
      </w:r>
    </w:p>
    <w:p>
      <w:pPr>
        <w:numPr>
          <w:ilvl w:val="0"/>
          <w:numId w:val="0"/>
        </w:numPr>
        <w:spacing w:line="440" w:lineRule="exact"/>
        <w:rPr>
          <w:rFonts w:ascii="宋体" w:hAnsi="宋体" w:eastAsia="仿宋"/>
          <w:b w:val="0"/>
          <w:bCs/>
          <w:color w:val="000000"/>
          <w:sz w:val="24"/>
          <w:szCs w:val="21"/>
          <w:highlight w:val="none"/>
          <w:u w:val="none"/>
        </w:rPr>
      </w:pPr>
      <w:r>
        <w:rPr>
          <w:rFonts w:hint="eastAsia" w:ascii="宋体" w:hAnsi="宋体" w:eastAsia="仿宋"/>
          <w:b w:val="0"/>
          <w:bCs/>
          <w:color w:val="000000"/>
          <w:sz w:val="24"/>
          <w:szCs w:val="21"/>
          <w:highlight w:val="none"/>
          <w:u w:val="none"/>
        </w:rPr>
        <w:t>（</w:t>
      </w:r>
      <w:r>
        <w:rPr>
          <w:rFonts w:hint="eastAsia" w:ascii="宋体" w:hAnsi="宋体" w:eastAsia="仿宋"/>
          <w:b w:val="0"/>
          <w:bCs/>
          <w:color w:val="000000"/>
          <w:sz w:val="24"/>
          <w:szCs w:val="21"/>
          <w:highlight w:val="none"/>
          <w:u w:val="none"/>
          <w:lang w:val="en-US" w:eastAsia="zh-CN"/>
        </w:rPr>
        <w:t>8</w:t>
      </w:r>
      <w:r>
        <w:rPr>
          <w:rFonts w:hint="eastAsia" w:ascii="宋体" w:hAnsi="宋体" w:eastAsia="仿宋"/>
          <w:b w:val="0"/>
          <w:bCs/>
          <w:color w:val="000000"/>
          <w:sz w:val="24"/>
          <w:szCs w:val="21"/>
          <w:highlight w:val="none"/>
          <w:u w:val="none"/>
        </w:rPr>
        <w:t>）</w:t>
      </w:r>
      <w:r>
        <w:rPr>
          <w:rFonts w:ascii="宋体" w:hAnsi="宋体" w:eastAsia="仿宋"/>
          <w:b w:val="0"/>
          <w:bCs/>
          <w:color w:val="000000"/>
          <w:sz w:val="24"/>
          <w:szCs w:val="21"/>
          <w:highlight w:val="none"/>
          <w:u w:val="none"/>
        </w:rPr>
        <w:t>关于我省工程造价咨询服务收费管理有关问题的通知</w:t>
      </w:r>
      <w:r>
        <w:rPr>
          <w:rFonts w:hint="eastAsia" w:ascii="宋体" w:hAnsi="宋体" w:eastAsia="仿宋"/>
          <w:b w:val="0"/>
          <w:bCs/>
          <w:color w:val="000000"/>
          <w:sz w:val="24"/>
          <w:szCs w:val="21"/>
          <w:highlight w:val="none"/>
          <w:u w:val="none"/>
        </w:rPr>
        <w:t>（</w:t>
      </w:r>
      <w:r>
        <w:rPr>
          <w:rFonts w:ascii="宋体" w:hAnsi="宋体" w:eastAsia="仿宋"/>
          <w:b w:val="0"/>
          <w:bCs/>
          <w:color w:val="000000"/>
          <w:sz w:val="24"/>
          <w:szCs w:val="21"/>
          <w:highlight w:val="none"/>
          <w:u w:val="none"/>
        </w:rPr>
        <w:t>陕价行发〔2014〕88号</w:t>
      </w:r>
      <w:r>
        <w:rPr>
          <w:rFonts w:hint="eastAsia" w:ascii="宋体" w:hAnsi="宋体" w:eastAsia="仿宋"/>
          <w:b w:val="0"/>
          <w:bCs/>
          <w:color w:val="000000"/>
          <w:sz w:val="24"/>
          <w:szCs w:val="21"/>
          <w:highlight w:val="none"/>
          <w:u w:val="none"/>
        </w:rPr>
        <w:t>）</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第二条　榆林市第三医院（市传染病医院）建设工程全过程造价咨询，包括但不限于以下内容： </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（1）协助施工招标及合同条款拟定；</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（2）招标工程量清单编审；</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（3）招标最高限价编审；</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（4）清标及定标；</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（5）协助合同签订。</w:t>
      </w:r>
    </w:p>
    <w:p>
      <w:pPr>
        <w:pStyle w:val="22"/>
        <w:rPr>
          <w:rFonts w:hint="eastAsia"/>
          <w:highlight w:val="none"/>
          <w:lang w:val="en-US" w:eastAsia="zh-CN"/>
        </w:rPr>
      </w:pPr>
      <w:r>
        <w:rPr>
          <w:rFonts w:hint="eastAsia" w:ascii="仿宋" w:hAnsi="仿宋" w:eastAsia="仿宋" w:cs="仿宋"/>
          <w:b w:val="0"/>
          <w:bCs w:val="0"/>
          <w:color w:val="000000"/>
          <w:sz w:val="24"/>
          <w:szCs w:val="24"/>
          <w:highlight w:val="none"/>
          <w:lang w:val="en-US" w:eastAsia="zh-CN" w:bidi="ar"/>
        </w:rPr>
        <w:t>具体服务工程范围及服务工作内容，以委托人委托内容为准，同时，委托人保留根据咨询人服务情况，调整服务工程范围及服务工作内容的权利。</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第三条 质量保证</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如果咨询人提交给委托人的造价咨询成果文件，出现委托人审核后核减额超过5 %的情况，则咨询人应承担相应的违约责任，违约金为5 %以外超额部分总额的20 %，违约金最高不超过造价咨询酬金总额（除去税金）的30%，上述情况发生后，委托人有权要求咨询人更换偏差较大部位控制造价咨询的工程师并修正造价咨询成果文件。</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咨询人重新修改后的造价咨询成果经委托人审核后仍然存在核减额超过3 %的情况，或咨询人没有在重新指定时间内完成造价咨询成果，委托人除支付之前阶段合同费用外，有权单方终止本合同的履行，不再委托咨询人履行合同义务，及不再支付后期合同付款义务。</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委托人以此单方终止合同履行，双方损失各自承担，互不追究对方违约责任。</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第四条 造价咨询服务的基本要求 </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 咨询人应按照《建设工程造价咨询规范》（GB/T51095-2015）要求（如合同期内规范更新，以最新要求为准）开展造价咨询服务工作。</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 造价咨询人员从事工程建设造价咨询活动，应当遵纪守法、诚信、公正、科学的准则，应有良好的执业道德和严谨的工作作风。</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 专业人员结构齐备、人数充足，高、中、初级人员及年龄搭配适当,所有造价咨询人员须具有注册造价工程师资格。造价咨询人员数量应足够满足本工程造价咨询服务的工作任务。</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 咨询人应派至少四名一级注册造价师（土建2名，安装2名）驻现场进行伴随服务，同时应在工程造价咨询过程中根据工程实际情况和条件变化随时对驻现场人员数量及专业进行调整，满足本工程造价咨询服务的工作任务，确保服务质量。咨询人接到采购人通知后立即响应，并在60分钟内派相关专业造价技术人员到施工现场进行相关造价咨询服务。咨询人自行解决驻场人员的食宿问题。</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 咨询人应按承诺配备的项目造价咨询机构组成人员接受采购人的资质审查和能力考核，不合格人员应及时更换。项目实施期间，阶段性新到场人员应按照相同程序接受审查与考核。</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 原则上项目人员不得进行人员更换，特殊情况需更换，按规定程序报批。变更人员资格等级及数量不得低于承诺。</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 合同签订后，咨询人应向采购人上报造价咨询服务规划和造价咨询服务实施细则，明确工作目标、制度、程序、管控措施及驻现场人员安排等。造价咨询实施细则实行动态管理，应在工程造价咨询过程中根据实际情况和条件变化随时进行调整、补充和修改，并及时上报采购人。</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8 咨询人应熟悉掌握委托人建设工程管理信息系统，对施工单位录入的如投标报价、进度款、预结算等数据进行审核把关。</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9 咨询人应遵守榆林市第三医院的相关管理规定。</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第五条 咨询人应于正式进驻一周前向委托人提交作业方案，经委托人同意后，方可实施现场全过程造价咨询服务。委托人暂定在 年 月 日前提供工程结算审核的相关资料，咨询人于同日进驻作业现场。如由于委托人资料未按约定日期提供，则全过程造价咨询业务的终结时间作相应顺延。</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第六条 工作时限要求</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委托人在每次给咨询人下达任务时，应当为咨询人完成其全过程造价咨询工作设定合理的工作时限，咨询人应完全响应，如遇应急项目，咨询人应增加相应工作人员，按委托人要求时限完成任务，否则按本合同第九条约定执行。</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第七条 合同金额</w:t>
      </w:r>
    </w:p>
    <w:p>
      <w:pPr>
        <w:spacing w:line="440" w:lineRule="exact"/>
        <w:rPr>
          <w:rFonts w:hint="eastAsia" w:ascii="仿宋" w:hAnsi="仿宋" w:eastAsia="仿宋" w:cs="仿宋"/>
          <w:color w:val="auto"/>
          <w:kern w:val="2"/>
          <w:sz w:val="24"/>
          <w:szCs w:val="24"/>
          <w:highlight w:val="none"/>
          <w:u w:val="single"/>
          <w:lang w:val="en-US" w:eastAsia="zh-CN" w:bidi="ar-SA"/>
        </w:rPr>
      </w:pPr>
      <w:r>
        <w:rPr>
          <w:rFonts w:hint="eastAsia" w:ascii="仿宋" w:hAnsi="仿宋" w:eastAsia="仿宋" w:cs="仿宋"/>
          <w:color w:val="auto"/>
          <w:kern w:val="2"/>
          <w:sz w:val="24"/>
          <w:szCs w:val="24"/>
          <w:highlight w:val="none"/>
          <w:u w:val="single"/>
          <w:lang w:val="en-US" w:eastAsia="zh-CN" w:bidi="ar-SA"/>
        </w:rPr>
        <w:t>人民币        （¥           ）</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第八条  支付与结算</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委托人同意按以下的计算方法、支付时间与金额，支付咨询人的正常服务酬金：</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（一）服务酬金计算方法：总价合同。</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二）咨询人接受委托人委托的《陕西省物价局、住房和城乡建设厅关于我省工程造价咨询服务收费管理有关问题的通知》（陕价行发〔2014〕88号）附件中收费项目以外的项目类型，酬金采用双方一事一议的方式确定。</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（三）委托人同意按以下计算方法、支付时间与金额，支付服务酬金：</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1.本合同无预付款，服务费支付期间不计利息；</w:t>
      </w:r>
    </w:p>
    <w:p>
      <w:pPr>
        <w:spacing w:line="440" w:lineRule="exact"/>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2.全过程造价咨询费用支付：合同签订后20个工作日内支付30%，施工总承包招标清单及限价编制完成并经财政评审通过后付至70%，项目竣工验收后付清余款。</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委托人每次付款前，受托人须出具与本次付款金额相当且符合委托人要求的正式增值税发票，若受托人不提供或提供的发票不符合要求，委托人有权拒付款项，如受托人提供虚假发票，委托人有权向有关部门举报，同时给予发票面值30%的扣款，给委托人带来的损失，受托人双倍赔偿，提供发票同时受托人应提供收款单位开户行和账号；</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4.支付方式为转账或支票。</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第九条 处罚方式：①责令改正；②每次每人或每件罚款1000元；③暂停或解除合同；④返还或不支付对应业务部分咨询费；⑤向委托人支付合同总价10%违约金；⑥追究咨询人法律责任。</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1、若咨询人在履行本合同过程中存在损害委托人利益的行为，委托人有权通知咨询人改正。视情节处①、②；咨询人拒不改正或情节严重的，视情节处③、④、⑥。</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2、若咨询人原因造成重大人为失误的，由咨询人依法承担相应全部赔偿责任，视情节处①、②；咨询人拒不改正或情节严重的，视情节处③、④、⑥。</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3、咨询人不能按时按数按表安排人员到位的、咨询过程中未经委托人同意擅自缺勤的，视情节处①、②；咨询人拒不改正或情节严重的，视情节处③、④。</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4、因咨询人原因导致最终项目投资控制出现问题的，视情节处①、②；咨询人拒不改正或情节严重的，视情节处③、④。</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5、若咨询人违反保密义务或廉政协议经查属实的，同时处③、④和⑤，情节严重的另处⑥。</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6、发生不可预见不可抗拒之因素，如战争、地震、洪水和委托人暂停等致使合同不能履行或不能全部履行时，甲乙双方协商解决。</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咨询人未经委托人允许对合同内容擅自转包的，委托人就转包部分服务内容根据业务情况可选择不支付咨询费，若转包发生质量问题的，处③、④、⑤。衡量标准以实际工作人员社保及资格证书注册单位为准。</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8、非委托人原因，咨询人违反合同其他有关条款时，委托人有权终止合同，合同自委托人在发出解约通知之日起解除。因咨询人未能履行合同约定的工作责任，委托人有权在合同金额内扣除相应的金额，并要求咨询人承担合同总价10%的违约责任。</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第十条 委托人对咨询人的保密要求：本合同和之前任何合同没有任何联系，不相互印证，无任何可比性，未经委托人书面许可，合同文件和内容、与本技术咨询活动相关的任何信息和成果等均不得泄露给任何第三方。所有合同组成文件不得外借，严格保密。对于由咨询人原因造成的信息和成果的泄漏给委托人造成的损失，由咨询人承担完全赔偿责任。咨询人应当按照本合同以及发包人对于保密的进一步要求，与委托人另行签订《保密协议》。</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第十一条　双方约定的委托人应提供的建设工程全过程造价咨询材料及提供时间：按照任务委托书要求。</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第十二条  委托人应在5日内对咨询人书面提交并要求做出答复的事宜做出书面答复。</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第十三条　咨询人在其责任期内如果失职，同意按以下办法承担因单方责任而造成的经济损失。 </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赔偿金=直接经济损失×酬金比率（扣除税金） ，酬金比率是指酬金计算中的浮动费率。</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第十四条　建设工程全过程造价咨询合同在履行过程中发生争议，委托人与咨询人应及时协商解决；如未能达成一致，可提交有关主管部门调解；协商或调解不成的，按下列第</w:t>
      </w:r>
      <w:r>
        <w:rPr>
          <w:rFonts w:hint="eastAsia" w:ascii="仿宋" w:hAnsi="仿宋" w:eastAsia="仿宋" w:cs="仿宋"/>
          <w:color w:val="auto"/>
          <w:kern w:val="2"/>
          <w:sz w:val="24"/>
          <w:szCs w:val="24"/>
          <w:highlight w:val="none"/>
          <w:u w:val="single"/>
          <w:lang w:val="en-US" w:eastAsia="zh-CN" w:bidi="ar-SA"/>
        </w:rPr>
        <w:t>（二）</w:t>
      </w:r>
      <w:r>
        <w:rPr>
          <w:rFonts w:hint="eastAsia" w:ascii="仿宋" w:hAnsi="仿宋" w:eastAsia="仿宋" w:cs="仿宋"/>
          <w:color w:val="auto"/>
          <w:kern w:val="2"/>
          <w:sz w:val="24"/>
          <w:szCs w:val="24"/>
          <w:highlight w:val="none"/>
          <w:lang w:val="en-US" w:eastAsia="zh-CN" w:bidi="ar-SA"/>
        </w:rPr>
        <w:t xml:space="preserve">种方式解决： </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（一）提交项目所在地仲裁委员会仲裁； </w:t>
      </w:r>
    </w:p>
    <w:p>
      <w:pPr>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（二）依法向项目所在地人民法院起诉。</w:t>
      </w:r>
    </w:p>
    <w:p>
      <w:pPr>
        <w:widowControl/>
        <w:tabs>
          <w:tab w:val="left" w:pos="8391"/>
        </w:tabs>
        <w:autoSpaceDE w:val="0"/>
        <w:autoSpaceDN w:val="0"/>
        <w:snapToGrid w:val="0"/>
        <w:spacing w:line="360" w:lineRule="auto"/>
        <w:ind w:right="-69" w:firstLine="840" w:firstLineChars="350"/>
        <w:textAlignment w:val="bottom"/>
        <w:rPr>
          <w:rFonts w:hint="default" w:ascii="Times New Roman" w:hAnsi="Times New Roman" w:eastAsia="仿宋_GB2312" w:cs="Times New Roman"/>
          <w:i w:val="0"/>
          <w:iCs w:val="0"/>
          <w:color w:val="auto"/>
          <w:kern w:val="0"/>
          <w:sz w:val="24"/>
          <w:highlight w:val="none"/>
        </w:rPr>
      </w:pPr>
    </w:p>
    <w:p>
      <w:pPr>
        <w:autoSpaceDE w:val="0"/>
        <w:autoSpaceDN w:val="0"/>
        <w:adjustRightInd w:val="0"/>
        <w:spacing w:line="360" w:lineRule="auto"/>
        <w:jc w:val="left"/>
        <w:rPr>
          <w:rFonts w:hint="eastAsia" w:ascii="仿宋_GB2312" w:hAnsi="仿宋_GB2312" w:eastAsia="仿宋_GB2312" w:cs="仿宋_GB2312"/>
          <w:b/>
          <w:bCs/>
          <w:i w:val="0"/>
          <w:iCs w:val="0"/>
          <w:color w:val="auto"/>
          <w:sz w:val="32"/>
          <w:szCs w:val="32"/>
          <w:highlight w:val="none"/>
        </w:rPr>
        <w:sectPr>
          <w:headerReference r:id="rId3" w:type="default"/>
          <w:footerReference r:id="rId4" w:type="default"/>
          <w:pgSz w:w="11906" w:h="16838"/>
          <w:pgMar w:top="1418" w:right="1418" w:bottom="1418" w:left="1418" w:header="851" w:footer="992" w:gutter="0"/>
          <w:pgNumType w:start="1"/>
          <w:cols w:space="720" w:num="1"/>
          <w:docGrid w:linePitch="312" w:charSpace="0"/>
        </w:sectPr>
      </w:pPr>
    </w:p>
    <w:p>
      <w:pPr>
        <w:jc w:val="center"/>
        <w:rPr>
          <w:rFonts w:hint="eastAsia" w:ascii="宋体" w:hAnsi="宋体" w:eastAsia="宋体" w:cs="宋体"/>
          <w:sz w:val="21"/>
          <w:szCs w:val="21"/>
          <w:highlight w:val="none"/>
        </w:rPr>
      </w:pPr>
      <w:bookmarkStart w:id="443" w:name="附录A_服务范围及工作内容、酬金一览表"/>
      <w:bookmarkEnd w:id="443"/>
      <w:r>
        <w:rPr>
          <w:rFonts w:hint="eastAsia" w:ascii="宋体" w:hAnsi="宋体" w:eastAsia="宋体" w:cs="宋体"/>
          <w:sz w:val="21"/>
          <w:szCs w:val="21"/>
          <w:highlight w:val="none"/>
        </w:rPr>
        <w:t>附录 A 服务范围及工作内容、酬金一览表</w:t>
      </w:r>
    </w:p>
    <w:p>
      <w:pPr>
        <w:pStyle w:val="22"/>
        <w:spacing w:before="4"/>
        <w:rPr>
          <w:b/>
          <w:sz w:val="14"/>
          <w:highlight w:val="none"/>
        </w:rPr>
      </w:pPr>
    </w:p>
    <w:tbl>
      <w:tblPr>
        <w:tblStyle w:val="50"/>
        <w:tblW w:w="1480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3"/>
        <w:gridCol w:w="2835"/>
        <w:gridCol w:w="2577"/>
        <w:gridCol w:w="1269"/>
        <w:gridCol w:w="2265"/>
        <w:gridCol w:w="2859"/>
        <w:gridCol w:w="1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1623" w:type="dxa"/>
            <w:vMerge w:val="restart"/>
            <w:vAlign w:val="center"/>
          </w:tcPr>
          <w:p>
            <w:pPr>
              <w:pStyle w:val="297"/>
              <w:jc w:val="center"/>
              <w:rPr>
                <w:rFonts w:hint="eastAsia" w:ascii="宋体" w:hAnsi="宋体" w:eastAsia="宋体" w:cs="宋体"/>
                <w:kern w:val="2"/>
                <w:sz w:val="21"/>
                <w:szCs w:val="21"/>
                <w:highlight w:val="none"/>
                <w:lang w:val="en-US" w:eastAsia="zh-CN" w:bidi="ar-SA"/>
              </w:rPr>
            </w:pPr>
          </w:p>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服务阶段</w:t>
            </w:r>
          </w:p>
        </w:tc>
        <w:tc>
          <w:tcPr>
            <w:tcW w:w="5412" w:type="dxa"/>
            <w:gridSpan w:val="2"/>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服务范围及工作内容</w:t>
            </w:r>
          </w:p>
        </w:tc>
        <w:tc>
          <w:tcPr>
            <w:tcW w:w="6393" w:type="dxa"/>
            <w:gridSpan w:val="3"/>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酬金</w:t>
            </w:r>
          </w:p>
        </w:tc>
        <w:tc>
          <w:tcPr>
            <w:tcW w:w="1373"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1623" w:type="dxa"/>
            <w:vMerge w:val="continue"/>
            <w:tcBorders>
              <w:top w:val="nil"/>
            </w:tcBorders>
            <w:vAlign w:val="center"/>
          </w:tcPr>
          <w:p>
            <w:pPr>
              <w:pStyle w:val="297"/>
              <w:jc w:val="center"/>
              <w:rPr>
                <w:rFonts w:hint="eastAsia" w:ascii="宋体" w:hAnsi="宋体" w:eastAsia="宋体" w:cs="宋体"/>
                <w:kern w:val="2"/>
                <w:sz w:val="21"/>
                <w:szCs w:val="21"/>
                <w:highlight w:val="none"/>
                <w:lang w:val="en-US" w:eastAsia="zh-CN" w:bidi="ar-SA"/>
              </w:rPr>
            </w:pPr>
          </w:p>
        </w:tc>
        <w:tc>
          <w:tcPr>
            <w:tcW w:w="2835"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服务范围</w:t>
            </w:r>
          </w:p>
        </w:tc>
        <w:tc>
          <w:tcPr>
            <w:tcW w:w="2577"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工作内容</w:t>
            </w:r>
          </w:p>
        </w:tc>
        <w:tc>
          <w:tcPr>
            <w:tcW w:w="1269"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收费基数</w:t>
            </w:r>
          </w:p>
        </w:tc>
        <w:tc>
          <w:tcPr>
            <w:tcW w:w="2265"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收费标准（比例）</w:t>
            </w:r>
          </w:p>
        </w:tc>
        <w:tc>
          <w:tcPr>
            <w:tcW w:w="2859"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酬金数额（单位：万元）</w:t>
            </w:r>
          </w:p>
        </w:tc>
        <w:tc>
          <w:tcPr>
            <w:tcW w:w="1373"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1623" w:type="dxa"/>
            <w:vMerge w:val="restart"/>
            <w:vAlign w:val="center"/>
          </w:tcPr>
          <w:p>
            <w:pPr>
              <w:pStyle w:val="297"/>
              <w:jc w:val="center"/>
              <w:rPr>
                <w:rFonts w:hint="eastAsia" w:ascii="宋体" w:hAnsi="宋体" w:eastAsia="宋体" w:cs="宋体"/>
                <w:kern w:val="2"/>
                <w:sz w:val="21"/>
                <w:szCs w:val="21"/>
                <w:highlight w:val="none"/>
                <w:lang w:val="en-US" w:eastAsia="zh-CN" w:bidi="ar-SA"/>
              </w:rPr>
            </w:pPr>
          </w:p>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决策阶段</w:t>
            </w:r>
          </w:p>
        </w:tc>
        <w:tc>
          <w:tcPr>
            <w:tcW w:w="2835"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投资估算</w:t>
            </w:r>
          </w:p>
        </w:tc>
        <w:tc>
          <w:tcPr>
            <w:tcW w:w="2577"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□编制□审核□调整</w:t>
            </w:r>
          </w:p>
        </w:tc>
        <w:tc>
          <w:tcPr>
            <w:tcW w:w="1269"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265"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859"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373"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1623" w:type="dxa"/>
            <w:vMerge w:val="continue"/>
            <w:tcBorders>
              <w:top w:val="nil"/>
            </w:tcBorders>
            <w:vAlign w:val="center"/>
          </w:tcPr>
          <w:p>
            <w:pPr>
              <w:pStyle w:val="297"/>
              <w:jc w:val="center"/>
              <w:rPr>
                <w:rFonts w:hint="eastAsia" w:ascii="宋体" w:hAnsi="宋体" w:eastAsia="宋体" w:cs="宋体"/>
                <w:kern w:val="2"/>
                <w:sz w:val="21"/>
                <w:szCs w:val="21"/>
                <w:highlight w:val="none"/>
                <w:lang w:val="en-US" w:eastAsia="zh-CN" w:bidi="ar-SA"/>
              </w:rPr>
            </w:pPr>
          </w:p>
        </w:tc>
        <w:tc>
          <w:tcPr>
            <w:tcW w:w="2835"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经济评价</w:t>
            </w:r>
          </w:p>
        </w:tc>
        <w:tc>
          <w:tcPr>
            <w:tcW w:w="2577"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□编制□审核□调整</w:t>
            </w:r>
          </w:p>
        </w:tc>
        <w:tc>
          <w:tcPr>
            <w:tcW w:w="1269"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265"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859"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373"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623" w:type="dxa"/>
            <w:vMerge w:val="continue"/>
            <w:tcBorders>
              <w:top w:val="nil"/>
            </w:tcBorders>
            <w:vAlign w:val="center"/>
          </w:tcPr>
          <w:p>
            <w:pPr>
              <w:pStyle w:val="297"/>
              <w:jc w:val="center"/>
              <w:rPr>
                <w:rFonts w:hint="eastAsia" w:ascii="宋体" w:hAnsi="宋体" w:eastAsia="宋体" w:cs="宋体"/>
                <w:kern w:val="2"/>
                <w:sz w:val="21"/>
                <w:szCs w:val="21"/>
                <w:highlight w:val="none"/>
                <w:lang w:val="en-US" w:eastAsia="zh-CN" w:bidi="ar-SA"/>
              </w:rPr>
            </w:pPr>
          </w:p>
        </w:tc>
        <w:tc>
          <w:tcPr>
            <w:tcW w:w="2835"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其他：</w:t>
            </w:r>
          </w:p>
        </w:tc>
        <w:tc>
          <w:tcPr>
            <w:tcW w:w="2577"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269"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265"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859"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373"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1623" w:type="dxa"/>
            <w:vMerge w:val="restart"/>
            <w:vAlign w:val="center"/>
          </w:tcPr>
          <w:p>
            <w:pPr>
              <w:pStyle w:val="297"/>
              <w:jc w:val="center"/>
              <w:rPr>
                <w:rFonts w:hint="eastAsia" w:ascii="宋体" w:hAnsi="宋体" w:eastAsia="宋体" w:cs="宋体"/>
                <w:kern w:val="2"/>
                <w:sz w:val="21"/>
                <w:szCs w:val="21"/>
                <w:highlight w:val="none"/>
                <w:lang w:val="en-US" w:eastAsia="zh-CN" w:bidi="ar-SA"/>
              </w:rPr>
            </w:pPr>
          </w:p>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设计阶段</w:t>
            </w:r>
          </w:p>
        </w:tc>
        <w:tc>
          <w:tcPr>
            <w:tcW w:w="2835"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设计概算</w:t>
            </w:r>
          </w:p>
        </w:tc>
        <w:tc>
          <w:tcPr>
            <w:tcW w:w="2577"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□编制□审核□调整</w:t>
            </w:r>
          </w:p>
        </w:tc>
        <w:tc>
          <w:tcPr>
            <w:tcW w:w="1269"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265"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859"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373"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1623" w:type="dxa"/>
            <w:vMerge w:val="continue"/>
            <w:tcBorders>
              <w:top w:val="nil"/>
            </w:tcBorders>
            <w:vAlign w:val="center"/>
          </w:tcPr>
          <w:p>
            <w:pPr>
              <w:pStyle w:val="297"/>
              <w:jc w:val="center"/>
              <w:rPr>
                <w:rFonts w:hint="eastAsia" w:ascii="宋体" w:hAnsi="宋体" w:eastAsia="宋体" w:cs="宋体"/>
                <w:kern w:val="2"/>
                <w:sz w:val="21"/>
                <w:szCs w:val="21"/>
                <w:highlight w:val="none"/>
                <w:lang w:val="en-US" w:eastAsia="zh-CN" w:bidi="ar-SA"/>
              </w:rPr>
            </w:pPr>
          </w:p>
        </w:tc>
        <w:tc>
          <w:tcPr>
            <w:tcW w:w="2835"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施工图预算</w:t>
            </w:r>
          </w:p>
        </w:tc>
        <w:tc>
          <w:tcPr>
            <w:tcW w:w="2577"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□编制□审核□调整</w:t>
            </w:r>
          </w:p>
        </w:tc>
        <w:tc>
          <w:tcPr>
            <w:tcW w:w="1269"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265"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859"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373"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1623" w:type="dxa"/>
            <w:vMerge w:val="continue"/>
            <w:tcBorders>
              <w:top w:val="nil"/>
            </w:tcBorders>
            <w:vAlign w:val="center"/>
          </w:tcPr>
          <w:p>
            <w:pPr>
              <w:pStyle w:val="297"/>
              <w:jc w:val="center"/>
              <w:rPr>
                <w:rFonts w:hint="eastAsia" w:ascii="宋体" w:hAnsi="宋体" w:eastAsia="宋体" w:cs="宋体"/>
                <w:kern w:val="2"/>
                <w:sz w:val="21"/>
                <w:szCs w:val="21"/>
                <w:highlight w:val="none"/>
                <w:lang w:val="en-US" w:eastAsia="zh-CN" w:bidi="ar-SA"/>
              </w:rPr>
            </w:pPr>
          </w:p>
        </w:tc>
        <w:tc>
          <w:tcPr>
            <w:tcW w:w="2835"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其他：</w:t>
            </w:r>
          </w:p>
        </w:tc>
        <w:tc>
          <w:tcPr>
            <w:tcW w:w="2577"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269"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265"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859"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373"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1623" w:type="dxa"/>
            <w:vMerge w:val="restart"/>
            <w:vAlign w:val="center"/>
          </w:tcPr>
          <w:p>
            <w:pPr>
              <w:pStyle w:val="297"/>
              <w:jc w:val="center"/>
              <w:rPr>
                <w:rFonts w:hint="eastAsia" w:ascii="宋体" w:hAnsi="宋体" w:eastAsia="宋体" w:cs="宋体"/>
                <w:kern w:val="2"/>
                <w:sz w:val="21"/>
                <w:szCs w:val="21"/>
                <w:highlight w:val="none"/>
                <w:lang w:val="en-US" w:eastAsia="zh-CN" w:bidi="ar-SA"/>
              </w:rPr>
            </w:pPr>
          </w:p>
          <w:p>
            <w:pPr>
              <w:pStyle w:val="297"/>
              <w:jc w:val="center"/>
              <w:rPr>
                <w:rFonts w:hint="eastAsia" w:ascii="宋体" w:hAnsi="宋体" w:eastAsia="宋体" w:cs="宋体"/>
                <w:kern w:val="2"/>
                <w:sz w:val="21"/>
                <w:szCs w:val="21"/>
                <w:highlight w:val="none"/>
                <w:lang w:val="en-US" w:eastAsia="zh-CN" w:bidi="ar-SA"/>
              </w:rPr>
            </w:pPr>
          </w:p>
          <w:p>
            <w:pPr>
              <w:pStyle w:val="297"/>
              <w:jc w:val="center"/>
              <w:rPr>
                <w:rFonts w:hint="eastAsia" w:ascii="宋体" w:hAnsi="宋体" w:eastAsia="宋体" w:cs="宋体"/>
                <w:kern w:val="2"/>
                <w:sz w:val="21"/>
                <w:szCs w:val="21"/>
                <w:highlight w:val="none"/>
                <w:lang w:val="en-US" w:eastAsia="zh-CN" w:bidi="ar-SA"/>
              </w:rPr>
            </w:pPr>
          </w:p>
          <w:p>
            <w:pPr>
              <w:pStyle w:val="297"/>
              <w:jc w:val="center"/>
              <w:rPr>
                <w:rFonts w:hint="eastAsia" w:ascii="宋体" w:hAnsi="宋体" w:eastAsia="宋体" w:cs="宋体"/>
                <w:kern w:val="2"/>
                <w:sz w:val="21"/>
                <w:szCs w:val="21"/>
                <w:highlight w:val="none"/>
                <w:lang w:val="en-US" w:eastAsia="zh-CN" w:bidi="ar-SA"/>
              </w:rPr>
            </w:pPr>
          </w:p>
          <w:p>
            <w:pPr>
              <w:pStyle w:val="297"/>
              <w:jc w:val="center"/>
              <w:rPr>
                <w:rFonts w:hint="eastAsia" w:ascii="宋体" w:hAnsi="宋体" w:eastAsia="宋体" w:cs="宋体"/>
                <w:kern w:val="2"/>
                <w:sz w:val="21"/>
                <w:szCs w:val="21"/>
                <w:highlight w:val="none"/>
                <w:lang w:val="en-US" w:eastAsia="zh-CN" w:bidi="ar-SA"/>
              </w:rPr>
            </w:pPr>
          </w:p>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发承包阶段</w:t>
            </w:r>
          </w:p>
        </w:tc>
        <w:tc>
          <w:tcPr>
            <w:tcW w:w="2835"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工程量清单</w:t>
            </w:r>
          </w:p>
        </w:tc>
        <w:tc>
          <w:tcPr>
            <w:tcW w:w="2577"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 编制☑审核☑ 调整</w:t>
            </w:r>
          </w:p>
        </w:tc>
        <w:tc>
          <w:tcPr>
            <w:tcW w:w="1269"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265"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859"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373"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jc w:val="center"/>
        </w:trPr>
        <w:tc>
          <w:tcPr>
            <w:tcW w:w="1623" w:type="dxa"/>
            <w:vMerge w:val="continue"/>
            <w:tcBorders>
              <w:top w:val="nil"/>
            </w:tcBorders>
            <w:vAlign w:val="center"/>
          </w:tcPr>
          <w:p>
            <w:pPr>
              <w:pStyle w:val="297"/>
              <w:jc w:val="center"/>
              <w:rPr>
                <w:rFonts w:hint="eastAsia" w:ascii="宋体" w:hAnsi="宋体" w:eastAsia="宋体" w:cs="宋体"/>
                <w:kern w:val="2"/>
                <w:sz w:val="21"/>
                <w:szCs w:val="21"/>
                <w:highlight w:val="none"/>
                <w:lang w:val="en-US" w:eastAsia="zh-CN" w:bidi="ar-SA"/>
              </w:rPr>
            </w:pPr>
          </w:p>
        </w:tc>
        <w:tc>
          <w:tcPr>
            <w:tcW w:w="2835"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最高投标限价</w:t>
            </w:r>
          </w:p>
        </w:tc>
        <w:tc>
          <w:tcPr>
            <w:tcW w:w="2577"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 编制☑审核☑ 调整</w:t>
            </w:r>
          </w:p>
        </w:tc>
        <w:tc>
          <w:tcPr>
            <w:tcW w:w="1269"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265"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859"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373"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须配合财政审核最高投标限价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1623" w:type="dxa"/>
            <w:vMerge w:val="continue"/>
            <w:tcBorders>
              <w:top w:val="nil"/>
            </w:tcBorders>
            <w:vAlign w:val="center"/>
          </w:tcPr>
          <w:p>
            <w:pPr>
              <w:spacing w:line="240" w:lineRule="auto"/>
              <w:ind w:firstLine="0" w:firstLineChars="0"/>
              <w:jc w:val="center"/>
              <w:rPr>
                <w:rFonts w:hint="eastAsia" w:ascii="宋体" w:hAnsi="宋体" w:eastAsia="宋体" w:cs="宋体"/>
                <w:kern w:val="2"/>
                <w:sz w:val="21"/>
                <w:szCs w:val="21"/>
                <w:highlight w:val="none"/>
                <w:lang w:val="en-US" w:eastAsia="zh-CN" w:bidi="ar-SA"/>
              </w:rPr>
            </w:pPr>
          </w:p>
        </w:tc>
        <w:tc>
          <w:tcPr>
            <w:tcW w:w="2835" w:type="dxa"/>
            <w:vAlign w:val="center"/>
          </w:tcPr>
          <w:p>
            <w:pPr>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投标报价分析</w:t>
            </w:r>
          </w:p>
        </w:tc>
        <w:tc>
          <w:tcPr>
            <w:tcW w:w="2577" w:type="dxa"/>
            <w:vAlign w:val="center"/>
          </w:tcPr>
          <w:p>
            <w:pPr>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□编制□审核□调整</w:t>
            </w:r>
          </w:p>
        </w:tc>
        <w:tc>
          <w:tcPr>
            <w:tcW w:w="1269" w:type="dxa"/>
            <w:vAlign w:val="center"/>
          </w:tcPr>
          <w:p>
            <w:pPr>
              <w:pStyle w:val="297"/>
              <w:jc w:val="center"/>
              <w:rPr>
                <w:rFonts w:ascii="Times New Roman"/>
                <w:sz w:val="20"/>
                <w:highlight w:val="none"/>
              </w:rPr>
            </w:pPr>
          </w:p>
        </w:tc>
        <w:tc>
          <w:tcPr>
            <w:tcW w:w="2265" w:type="dxa"/>
            <w:vAlign w:val="center"/>
          </w:tcPr>
          <w:p>
            <w:pPr>
              <w:pStyle w:val="297"/>
              <w:jc w:val="center"/>
              <w:rPr>
                <w:rFonts w:ascii="Times New Roman"/>
                <w:sz w:val="20"/>
                <w:highlight w:val="none"/>
              </w:rPr>
            </w:pPr>
          </w:p>
        </w:tc>
        <w:tc>
          <w:tcPr>
            <w:tcW w:w="2859" w:type="dxa"/>
            <w:vAlign w:val="center"/>
          </w:tcPr>
          <w:p>
            <w:pPr>
              <w:pStyle w:val="297"/>
              <w:jc w:val="center"/>
              <w:rPr>
                <w:rFonts w:ascii="Times New Roman"/>
                <w:sz w:val="20"/>
                <w:highlight w:val="none"/>
              </w:rPr>
            </w:pPr>
          </w:p>
        </w:tc>
        <w:tc>
          <w:tcPr>
            <w:tcW w:w="1373" w:type="dxa"/>
            <w:vAlign w:val="center"/>
          </w:tcPr>
          <w:p>
            <w:pPr>
              <w:pStyle w:val="297"/>
              <w:jc w:val="center"/>
              <w:rPr>
                <w:rFonts w:ascii="Times New Roman"/>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1623" w:type="dxa"/>
            <w:vMerge w:val="continue"/>
            <w:tcBorders>
              <w:top w:val="nil"/>
            </w:tcBorders>
            <w:vAlign w:val="center"/>
          </w:tcPr>
          <w:p>
            <w:pPr>
              <w:spacing w:line="240" w:lineRule="auto"/>
              <w:ind w:firstLine="0" w:firstLineChars="0"/>
              <w:jc w:val="center"/>
              <w:rPr>
                <w:rFonts w:hint="eastAsia" w:ascii="宋体" w:hAnsi="宋体" w:eastAsia="宋体" w:cs="宋体"/>
                <w:kern w:val="2"/>
                <w:sz w:val="21"/>
                <w:szCs w:val="21"/>
                <w:highlight w:val="none"/>
                <w:lang w:val="en-US" w:eastAsia="zh-CN" w:bidi="ar-SA"/>
              </w:rPr>
            </w:pPr>
          </w:p>
        </w:tc>
        <w:tc>
          <w:tcPr>
            <w:tcW w:w="2835" w:type="dxa"/>
            <w:vAlign w:val="center"/>
          </w:tcPr>
          <w:p>
            <w:pPr>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清标报告</w:t>
            </w:r>
          </w:p>
        </w:tc>
        <w:tc>
          <w:tcPr>
            <w:tcW w:w="2577" w:type="dxa"/>
            <w:vAlign w:val="center"/>
          </w:tcPr>
          <w:p>
            <w:pPr>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□编制☑审核☑调整</w:t>
            </w:r>
          </w:p>
        </w:tc>
        <w:tc>
          <w:tcPr>
            <w:tcW w:w="1269" w:type="dxa"/>
            <w:vAlign w:val="center"/>
          </w:tcPr>
          <w:p>
            <w:pPr>
              <w:pStyle w:val="297"/>
              <w:jc w:val="center"/>
              <w:rPr>
                <w:rFonts w:ascii="Times New Roman"/>
                <w:sz w:val="20"/>
                <w:highlight w:val="none"/>
              </w:rPr>
            </w:pPr>
          </w:p>
        </w:tc>
        <w:tc>
          <w:tcPr>
            <w:tcW w:w="2265" w:type="dxa"/>
            <w:vAlign w:val="center"/>
          </w:tcPr>
          <w:p>
            <w:pPr>
              <w:pStyle w:val="297"/>
              <w:jc w:val="center"/>
              <w:rPr>
                <w:rFonts w:ascii="Times New Roman"/>
                <w:sz w:val="20"/>
                <w:highlight w:val="none"/>
              </w:rPr>
            </w:pPr>
          </w:p>
        </w:tc>
        <w:tc>
          <w:tcPr>
            <w:tcW w:w="2859" w:type="dxa"/>
            <w:vAlign w:val="center"/>
          </w:tcPr>
          <w:p>
            <w:pPr>
              <w:pStyle w:val="297"/>
              <w:jc w:val="center"/>
              <w:rPr>
                <w:rFonts w:ascii="Times New Roman"/>
                <w:sz w:val="20"/>
                <w:highlight w:val="none"/>
              </w:rPr>
            </w:pPr>
          </w:p>
        </w:tc>
        <w:tc>
          <w:tcPr>
            <w:tcW w:w="1373" w:type="dxa"/>
            <w:vAlign w:val="center"/>
          </w:tcPr>
          <w:p>
            <w:pPr>
              <w:pStyle w:val="297"/>
              <w:jc w:val="center"/>
              <w:rPr>
                <w:rFonts w:ascii="Times New Roman"/>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1623" w:type="dxa"/>
            <w:vMerge w:val="continue"/>
            <w:tcBorders>
              <w:top w:val="nil"/>
            </w:tcBorders>
            <w:vAlign w:val="center"/>
          </w:tcPr>
          <w:p>
            <w:pPr>
              <w:spacing w:line="240" w:lineRule="auto"/>
              <w:ind w:firstLine="0" w:firstLineChars="0"/>
              <w:jc w:val="center"/>
              <w:rPr>
                <w:rFonts w:hint="eastAsia" w:ascii="宋体" w:hAnsi="宋体" w:eastAsia="宋体" w:cs="宋体"/>
                <w:kern w:val="2"/>
                <w:sz w:val="21"/>
                <w:szCs w:val="21"/>
                <w:highlight w:val="none"/>
                <w:lang w:val="en-US" w:eastAsia="zh-CN" w:bidi="ar-SA"/>
              </w:rPr>
            </w:pPr>
          </w:p>
        </w:tc>
        <w:tc>
          <w:tcPr>
            <w:tcW w:w="2835" w:type="dxa"/>
            <w:vAlign w:val="center"/>
          </w:tcPr>
          <w:p>
            <w:pPr>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其他：</w:t>
            </w:r>
          </w:p>
        </w:tc>
        <w:tc>
          <w:tcPr>
            <w:tcW w:w="2577" w:type="dxa"/>
            <w:vAlign w:val="center"/>
          </w:tcPr>
          <w:p>
            <w:pPr>
              <w:spacing w:line="240" w:lineRule="auto"/>
              <w:ind w:firstLine="0" w:firstLineChars="0"/>
              <w:jc w:val="center"/>
              <w:rPr>
                <w:rFonts w:hint="eastAsia" w:ascii="宋体" w:hAnsi="宋体" w:eastAsia="宋体" w:cs="宋体"/>
                <w:kern w:val="2"/>
                <w:sz w:val="21"/>
                <w:szCs w:val="21"/>
                <w:highlight w:val="none"/>
                <w:lang w:val="en-US" w:eastAsia="zh-CN" w:bidi="ar-SA"/>
              </w:rPr>
            </w:pPr>
          </w:p>
        </w:tc>
        <w:tc>
          <w:tcPr>
            <w:tcW w:w="1269" w:type="dxa"/>
            <w:vAlign w:val="center"/>
          </w:tcPr>
          <w:p>
            <w:pPr>
              <w:pStyle w:val="297"/>
              <w:jc w:val="center"/>
              <w:rPr>
                <w:rFonts w:ascii="Times New Roman"/>
                <w:sz w:val="20"/>
                <w:highlight w:val="none"/>
              </w:rPr>
            </w:pPr>
          </w:p>
        </w:tc>
        <w:tc>
          <w:tcPr>
            <w:tcW w:w="2265" w:type="dxa"/>
            <w:vAlign w:val="center"/>
          </w:tcPr>
          <w:p>
            <w:pPr>
              <w:pStyle w:val="297"/>
              <w:jc w:val="center"/>
              <w:rPr>
                <w:rFonts w:ascii="Times New Roman"/>
                <w:sz w:val="20"/>
                <w:highlight w:val="none"/>
              </w:rPr>
            </w:pPr>
          </w:p>
        </w:tc>
        <w:tc>
          <w:tcPr>
            <w:tcW w:w="2859" w:type="dxa"/>
            <w:vAlign w:val="center"/>
          </w:tcPr>
          <w:p>
            <w:pPr>
              <w:pStyle w:val="297"/>
              <w:jc w:val="center"/>
              <w:rPr>
                <w:rFonts w:ascii="Times New Roman"/>
                <w:sz w:val="20"/>
                <w:highlight w:val="none"/>
              </w:rPr>
            </w:pPr>
          </w:p>
        </w:tc>
        <w:tc>
          <w:tcPr>
            <w:tcW w:w="1373" w:type="dxa"/>
            <w:vAlign w:val="center"/>
          </w:tcPr>
          <w:p>
            <w:pPr>
              <w:pStyle w:val="297"/>
              <w:jc w:val="center"/>
              <w:rPr>
                <w:rFonts w:ascii="Times New Roman"/>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jc w:val="center"/>
        </w:trPr>
        <w:tc>
          <w:tcPr>
            <w:tcW w:w="1623"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835" w:type="dxa"/>
            <w:vAlign w:val="center"/>
          </w:tcPr>
          <w:p>
            <w:pPr>
              <w:pStyle w:val="297"/>
              <w:jc w:val="center"/>
              <w:rPr>
                <w:rFonts w:hint="eastAsia" w:ascii="宋体" w:hAnsi="宋体" w:eastAsia="宋体" w:cs="宋体"/>
                <w:kern w:val="2"/>
                <w:sz w:val="21"/>
                <w:szCs w:val="21"/>
                <w:highlight w:val="none"/>
                <w:lang w:val="en-US" w:eastAsia="zh-CN" w:bidi="ar-SA"/>
              </w:rPr>
            </w:pPr>
          </w:p>
          <w:p>
            <w:pPr>
              <w:pStyle w:val="297"/>
              <w:spacing w:before="134"/>
              <w:ind w:left="10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资金使用计划</w:t>
            </w:r>
          </w:p>
        </w:tc>
        <w:tc>
          <w:tcPr>
            <w:tcW w:w="2577" w:type="dxa"/>
            <w:vAlign w:val="center"/>
          </w:tcPr>
          <w:p>
            <w:pPr>
              <w:pStyle w:val="297"/>
              <w:spacing w:before="3"/>
              <w:jc w:val="center"/>
              <w:rPr>
                <w:rFonts w:hint="eastAsia" w:ascii="宋体" w:hAnsi="宋体" w:eastAsia="宋体" w:cs="宋体"/>
                <w:kern w:val="2"/>
                <w:sz w:val="21"/>
                <w:szCs w:val="21"/>
                <w:highlight w:val="none"/>
                <w:lang w:val="en-US" w:eastAsia="zh-CN" w:bidi="ar-SA"/>
              </w:rPr>
            </w:pPr>
          </w:p>
          <w:p>
            <w:pPr>
              <w:pStyle w:val="297"/>
              <w:ind w:left="10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 编制</w:t>
            </w:r>
          </w:p>
        </w:tc>
        <w:tc>
          <w:tcPr>
            <w:tcW w:w="1269" w:type="dxa"/>
            <w:vAlign w:val="center"/>
          </w:tcPr>
          <w:p>
            <w:pPr>
              <w:pStyle w:val="297"/>
              <w:jc w:val="center"/>
              <w:rPr>
                <w:rFonts w:ascii="Times New Roman"/>
                <w:sz w:val="20"/>
                <w:highlight w:val="none"/>
              </w:rPr>
            </w:pPr>
          </w:p>
        </w:tc>
        <w:tc>
          <w:tcPr>
            <w:tcW w:w="2265" w:type="dxa"/>
            <w:vAlign w:val="center"/>
          </w:tcPr>
          <w:p>
            <w:pPr>
              <w:pStyle w:val="297"/>
              <w:jc w:val="center"/>
              <w:rPr>
                <w:rFonts w:ascii="Times New Roman"/>
                <w:sz w:val="20"/>
                <w:highlight w:val="none"/>
              </w:rPr>
            </w:pPr>
          </w:p>
        </w:tc>
        <w:tc>
          <w:tcPr>
            <w:tcW w:w="2859" w:type="dxa"/>
            <w:vAlign w:val="center"/>
          </w:tcPr>
          <w:p>
            <w:pPr>
              <w:pStyle w:val="297"/>
              <w:jc w:val="center"/>
              <w:rPr>
                <w:rFonts w:ascii="Times New Roman"/>
                <w:sz w:val="20"/>
                <w:highlight w:val="none"/>
              </w:rPr>
            </w:pPr>
          </w:p>
        </w:tc>
        <w:tc>
          <w:tcPr>
            <w:tcW w:w="1373" w:type="dxa"/>
            <w:vAlign w:val="center"/>
          </w:tcPr>
          <w:p>
            <w:pPr>
              <w:pStyle w:val="297"/>
              <w:jc w:val="center"/>
              <w:rPr>
                <w:rFonts w:ascii="Times New Roman"/>
                <w:sz w:val="20"/>
                <w:highlight w:val="none"/>
              </w:rPr>
            </w:pPr>
          </w:p>
        </w:tc>
      </w:tr>
    </w:tbl>
    <w:p>
      <w:pPr>
        <w:rPr>
          <w:rFonts w:ascii="Times New Roman"/>
          <w:sz w:val="20"/>
          <w:highlight w:val="none"/>
        </w:rPr>
        <w:sectPr>
          <w:footerReference r:id="rId5" w:type="default"/>
          <w:pgSz w:w="16840" w:h="11910" w:orient="landscape"/>
          <w:pgMar w:top="1417" w:right="1417" w:bottom="1417" w:left="1417" w:header="0" w:footer="975" w:gutter="0"/>
          <w:pgNumType w:fmt="numberInDash" w:start="43"/>
          <w:cols w:space="720" w:num="1"/>
        </w:sectPr>
      </w:pPr>
    </w:p>
    <w:p>
      <w:pPr>
        <w:pStyle w:val="22"/>
        <w:rPr>
          <w:b/>
          <w:sz w:val="20"/>
          <w:highlight w:val="none"/>
        </w:rPr>
      </w:pPr>
    </w:p>
    <w:p>
      <w:pPr>
        <w:pStyle w:val="22"/>
        <w:rPr>
          <w:b/>
          <w:sz w:val="20"/>
          <w:highlight w:val="none"/>
        </w:rPr>
      </w:pPr>
    </w:p>
    <w:p>
      <w:pPr>
        <w:pStyle w:val="22"/>
        <w:spacing w:before="5"/>
        <w:rPr>
          <w:b/>
          <w:sz w:val="14"/>
          <w:highlight w:val="none"/>
        </w:rPr>
      </w:pPr>
    </w:p>
    <w:tbl>
      <w:tblPr>
        <w:tblStyle w:val="50"/>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3"/>
        <w:gridCol w:w="2835"/>
        <w:gridCol w:w="2577"/>
        <w:gridCol w:w="1269"/>
        <w:gridCol w:w="2265"/>
        <w:gridCol w:w="2859"/>
        <w:gridCol w:w="9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623" w:type="dxa"/>
            <w:vMerge w:val="restart"/>
            <w:vAlign w:val="center"/>
          </w:tcPr>
          <w:p>
            <w:pPr>
              <w:pStyle w:val="297"/>
              <w:jc w:val="center"/>
              <w:rPr>
                <w:rFonts w:hint="eastAsia" w:ascii="宋体" w:hAnsi="宋体" w:eastAsia="宋体" w:cs="宋体"/>
                <w:kern w:val="2"/>
                <w:sz w:val="21"/>
                <w:szCs w:val="21"/>
                <w:highlight w:val="none"/>
                <w:lang w:val="en-US" w:eastAsia="zh-CN" w:bidi="ar-SA"/>
              </w:rPr>
            </w:pPr>
          </w:p>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实施阶段</w:t>
            </w:r>
          </w:p>
        </w:tc>
        <w:tc>
          <w:tcPr>
            <w:tcW w:w="2835"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工程计量与工程款审核</w:t>
            </w:r>
          </w:p>
        </w:tc>
        <w:tc>
          <w:tcPr>
            <w:tcW w:w="2577"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sym w:font="Wingdings 2" w:char="00A3"/>
            </w:r>
            <w:r>
              <w:rPr>
                <w:rFonts w:hint="eastAsia" w:ascii="宋体" w:hAnsi="宋体" w:eastAsia="宋体" w:cs="宋体"/>
                <w:kern w:val="2"/>
                <w:sz w:val="21"/>
                <w:szCs w:val="21"/>
                <w:highlight w:val="none"/>
                <w:lang w:val="en-US" w:eastAsia="zh-CN" w:bidi="ar-SA"/>
              </w:rPr>
              <w:t>编制□ 审核□ 调整</w:t>
            </w:r>
          </w:p>
        </w:tc>
        <w:tc>
          <w:tcPr>
            <w:tcW w:w="1269" w:type="dxa"/>
          </w:tcPr>
          <w:p>
            <w:pPr>
              <w:pStyle w:val="297"/>
              <w:rPr>
                <w:rFonts w:ascii="Times New Roman"/>
                <w:sz w:val="18"/>
                <w:highlight w:val="none"/>
              </w:rPr>
            </w:pPr>
          </w:p>
        </w:tc>
        <w:tc>
          <w:tcPr>
            <w:tcW w:w="2265" w:type="dxa"/>
          </w:tcPr>
          <w:p>
            <w:pPr>
              <w:pStyle w:val="297"/>
              <w:rPr>
                <w:rFonts w:ascii="Times New Roman"/>
                <w:sz w:val="18"/>
                <w:highlight w:val="none"/>
              </w:rPr>
            </w:pPr>
          </w:p>
        </w:tc>
        <w:tc>
          <w:tcPr>
            <w:tcW w:w="2859" w:type="dxa"/>
          </w:tcPr>
          <w:p>
            <w:pPr>
              <w:pStyle w:val="297"/>
              <w:rPr>
                <w:rFonts w:ascii="Times New Roman"/>
                <w:sz w:val="18"/>
                <w:highlight w:val="none"/>
              </w:rPr>
            </w:pPr>
          </w:p>
        </w:tc>
        <w:tc>
          <w:tcPr>
            <w:tcW w:w="992" w:type="dxa"/>
          </w:tcPr>
          <w:p>
            <w:pPr>
              <w:pStyle w:val="297"/>
              <w:rPr>
                <w:rFonts w:ascii="Times New Roman"/>
                <w:sz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623" w:type="dxa"/>
            <w:vMerge w:val="continue"/>
            <w:tcBorders>
              <w:top w:val="nil"/>
            </w:tcBorders>
            <w:vAlign w:val="center"/>
          </w:tcPr>
          <w:p>
            <w:pPr>
              <w:jc w:val="center"/>
              <w:rPr>
                <w:rFonts w:hint="eastAsia" w:ascii="宋体" w:hAnsi="宋体" w:eastAsia="宋体" w:cs="宋体"/>
                <w:kern w:val="2"/>
                <w:sz w:val="21"/>
                <w:szCs w:val="21"/>
                <w:highlight w:val="none"/>
                <w:lang w:val="en-US" w:eastAsia="zh-CN" w:bidi="ar-SA"/>
              </w:rPr>
            </w:pPr>
          </w:p>
        </w:tc>
        <w:tc>
          <w:tcPr>
            <w:tcW w:w="2835" w:type="dxa"/>
            <w:vAlign w:val="center"/>
          </w:tcPr>
          <w:p>
            <w:pPr>
              <w:pStyle w:val="297"/>
              <w:spacing w:before="1"/>
              <w:ind w:left="10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合同价款调整</w:t>
            </w:r>
          </w:p>
        </w:tc>
        <w:tc>
          <w:tcPr>
            <w:tcW w:w="2577" w:type="dxa"/>
            <w:vAlign w:val="center"/>
          </w:tcPr>
          <w:p>
            <w:pPr>
              <w:pStyle w:val="297"/>
              <w:spacing w:line="257" w:lineRule="exact"/>
              <w:ind w:left="10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sym w:font="Wingdings 2" w:char="00A3"/>
            </w:r>
            <w:r>
              <w:rPr>
                <w:rFonts w:hint="eastAsia" w:ascii="宋体" w:hAnsi="宋体" w:eastAsia="宋体" w:cs="宋体"/>
                <w:kern w:val="2"/>
                <w:sz w:val="21"/>
                <w:szCs w:val="21"/>
                <w:highlight w:val="none"/>
                <w:lang w:val="en-US" w:eastAsia="zh-CN" w:bidi="ar-SA"/>
              </w:rPr>
              <w:t>编制□ 审核□ 调整</w:t>
            </w:r>
          </w:p>
        </w:tc>
        <w:tc>
          <w:tcPr>
            <w:tcW w:w="1269" w:type="dxa"/>
          </w:tcPr>
          <w:p>
            <w:pPr>
              <w:pStyle w:val="297"/>
              <w:rPr>
                <w:rFonts w:ascii="Times New Roman"/>
                <w:sz w:val="18"/>
                <w:highlight w:val="none"/>
              </w:rPr>
            </w:pPr>
          </w:p>
        </w:tc>
        <w:tc>
          <w:tcPr>
            <w:tcW w:w="2265" w:type="dxa"/>
          </w:tcPr>
          <w:p>
            <w:pPr>
              <w:pStyle w:val="297"/>
              <w:rPr>
                <w:rFonts w:ascii="Times New Roman"/>
                <w:sz w:val="18"/>
                <w:highlight w:val="none"/>
              </w:rPr>
            </w:pPr>
          </w:p>
        </w:tc>
        <w:tc>
          <w:tcPr>
            <w:tcW w:w="2859" w:type="dxa"/>
          </w:tcPr>
          <w:p>
            <w:pPr>
              <w:pStyle w:val="297"/>
              <w:rPr>
                <w:rFonts w:ascii="Times New Roman"/>
                <w:sz w:val="18"/>
                <w:highlight w:val="none"/>
              </w:rPr>
            </w:pPr>
          </w:p>
        </w:tc>
        <w:tc>
          <w:tcPr>
            <w:tcW w:w="992" w:type="dxa"/>
          </w:tcPr>
          <w:p>
            <w:pPr>
              <w:pStyle w:val="297"/>
              <w:rPr>
                <w:rFonts w:ascii="Times New Roman"/>
                <w:sz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623" w:type="dxa"/>
            <w:vMerge w:val="continue"/>
            <w:tcBorders>
              <w:top w:val="nil"/>
            </w:tcBorders>
            <w:vAlign w:val="center"/>
          </w:tcPr>
          <w:p>
            <w:pPr>
              <w:jc w:val="center"/>
              <w:rPr>
                <w:rFonts w:hint="eastAsia" w:ascii="宋体" w:hAnsi="宋体" w:eastAsia="宋体" w:cs="宋体"/>
                <w:kern w:val="2"/>
                <w:sz w:val="21"/>
                <w:szCs w:val="21"/>
                <w:highlight w:val="none"/>
                <w:lang w:val="en-US" w:eastAsia="zh-CN" w:bidi="ar-SA"/>
              </w:rPr>
            </w:pPr>
          </w:p>
        </w:tc>
        <w:tc>
          <w:tcPr>
            <w:tcW w:w="2835" w:type="dxa"/>
            <w:vAlign w:val="center"/>
          </w:tcPr>
          <w:p>
            <w:pPr>
              <w:pStyle w:val="297"/>
              <w:spacing w:before="3"/>
              <w:ind w:left="10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工程变更、索赔、签证</w:t>
            </w:r>
          </w:p>
        </w:tc>
        <w:tc>
          <w:tcPr>
            <w:tcW w:w="2577" w:type="dxa"/>
            <w:vAlign w:val="center"/>
          </w:tcPr>
          <w:p>
            <w:pPr>
              <w:pStyle w:val="297"/>
              <w:spacing w:line="259" w:lineRule="exact"/>
              <w:ind w:left="10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 审核</w:t>
            </w:r>
          </w:p>
        </w:tc>
        <w:tc>
          <w:tcPr>
            <w:tcW w:w="1269" w:type="dxa"/>
          </w:tcPr>
          <w:p>
            <w:pPr>
              <w:pStyle w:val="297"/>
              <w:rPr>
                <w:rFonts w:ascii="Times New Roman"/>
                <w:sz w:val="18"/>
                <w:highlight w:val="none"/>
              </w:rPr>
            </w:pPr>
          </w:p>
        </w:tc>
        <w:tc>
          <w:tcPr>
            <w:tcW w:w="2265" w:type="dxa"/>
          </w:tcPr>
          <w:p>
            <w:pPr>
              <w:pStyle w:val="297"/>
              <w:rPr>
                <w:rFonts w:ascii="Times New Roman"/>
                <w:sz w:val="18"/>
                <w:highlight w:val="none"/>
              </w:rPr>
            </w:pPr>
          </w:p>
        </w:tc>
        <w:tc>
          <w:tcPr>
            <w:tcW w:w="2859" w:type="dxa"/>
          </w:tcPr>
          <w:p>
            <w:pPr>
              <w:pStyle w:val="297"/>
              <w:rPr>
                <w:rFonts w:ascii="Times New Roman"/>
                <w:sz w:val="18"/>
                <w:highlight w:val="none"/>
              </w:rPr>
            </w:pPr>
          </w:p>
        </w:tc>
        <w:tc>
          <w:tcPr>
            <w:tcW w:w="992" w:type="dxa"/>
          </w:tcPr>
          <w:p>
            <w:pPr>
              <w:pStyle w:val="297"/>
              <w:rPr>
                <w:rFonts w:ascii="Times New Roman"/>
                <w:sz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623" w:type="dxa"/>
            <w:vMerge w:val="continue"/>
            <w:tcBorders>
              <w:top w:val="nil"/>
            </w:tcBorders>
            <w:vAlign w:val="center"/>
          </w:tcPr>
          <w:p>
            <w:pPr>
              <w:jc w:val="center"/>
              <w:rPr>
                <w:rFonts w:hint="eastAsia" w:ascii="宋体" w:hAnsi="宋体" w:eastAsia="宋体" w:cs="宋体"/>
                <w:kern w:val="2"/>
                <w:sz w:val="21"/>
                <w:szCs w:val="21"/>
                <w:highlight w:val="none"/>
                <w:lang w:val="en-US" w:eastAsia="zh-CN" w:bidi="ar-SA"/>
              </w:rPr>
            </w:pPr>
          </w:p>
        </w:tc>
        <w:tc>
          <w:tcPr>
            <w:tcW w:w="2835" w:type="dxa"/>
            <w:vAlign w:val="center"/>
          </w:tcPr>
          <w:p>
            <w:pPr>
              <w:pStyle w:val="297"/>
              <w:spacing w:before="2"/>
              <w:ind w:left="10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工程实施阶段造价控制</w:t>
            </w:r>
          </w:p>
        </w:tc>
        <w:tc>
          <w:tcPr>
            <w:tcW w:w="2577"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269" w:type="dxa"/>
          </w:tcPr>
          <w:p>
            <w:pPr>
              <w:pStyle w:val="297"/>
              <w:rPr>
                <w:rFonts w:ascii="Times New Roman"/>
                <w:sz w:val="18"/>
                <w:highlight w:val="none"/>
              </w:rPr>
            </w:pPr>
          </w:p>
        </w:tc>
        <w:tc>
          <w:tcPr>
            <w:tcW w:w="2265" w:type="dxa"/>
          </w:tcPr>
          <w:p>
            <w:pPr>
              <w:pStyle w:val="297"/>
              <w:rPr>
                <w:rFonts w:ascii="Times New Roman"/>
                <w:sz w:val="18"/>
                <w:highlight w:val="none"/>
              </w:rPr>
            </w:pPr>
          </w:p>
        </w:tc>
        <w:tc>
          <w:tcPr>
            <w:tcW w:w="2859" w:type="dxa"/>
          </w:tcPr>
          <w:p>
            <w:pPr>
              <w:pStyle w:val="297"/>
              <w:rPr>
                <w:rFonts w:ascii="Times New Roman"/>
                <w:sz w:val="18"/>
                <w:highlight w:val="none"/>
              </w:rPr>
            </w:pPr>
          </w:p>
        </w:tc>
        <w:tc>
          <w:tcPr>
            <w:tcW w:w="992" w:type="dxa"/>
          </w:tcPr>
          <w:p>
            <w:pPr>
              <w:pStyle w:val="297"/>
              <w:rPr>
                <w:rFonts w:ascii="Times New Roman"/>
                <w:sz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623" w:type="dxa"/>
            <w:vMerge w:val="continue"/>
            <w:tcBorders>
              <w:top w:val="nil"/>
            </w:tcBorders>
            <w:vAlign w:val="center"/>
          </w:tcPr>
          <w:p>
            <w:pPr>
              <w:jc w:val="center"/>
              <w:rPr>
                <w:rFonts w:hint="eastAsia" w:ascii="宋体" w:hAnsi="宋体" w:eastAsia="宋体" w:cs="宋体"/>
                <w:kern w:val="2"/>
                <w:sz w:val="21"/>
                <w:szCs w:val="21"/>
                <w:highlight w:val="none"/>
                <w:lang w:val="en-US" w:eastAsia="zh-CN" w:bidi="ar-SA"/>
              </w:rPr>
            </w:pPr>
          </w:p>
        </w:tc>
        <w:tc>
          <w:tcPr>
            <w:tcW w:w="2835" w:type="dxa"/>
            <w:vAlign w:val="center"/>
          </w:tcPr>
          <w:p>
            <w:pPr>
              <w:pStyle w:val="297"/>
              <w:spacing w:before="2"/>
              <w:ind w:left="10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工程量清单</w:t>
            </w:r>
          </w:p>
        </w:tc>
        <w:tc>
          <w:tcPr>
            <w:tcW w:w="2577" w:type="dxa"/>
            <w:vAlign w:val="center"/>
          </w:tcPr>
          <w:p>
            <w:pPr>
              <w:pStyle w:val="297"/>
              <w:spacing w:line="258" w:lineRule="exact"/>
              <w:ind w:left="10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□编制□审核□调整</w:t>
            </w:r>
          </w:p>
        </w:tc>
        <w:tc>
          <w:tcPr>
            <w:tcW w:w="1269" w:type="dxa"/>
          </w:tcPr>
          <w:p>
            <w:pPr>
              <w:pStyle w:val="297"/>
              <w:rPr>
                <w:rFonts w:ascii="Times New Roman"/>
                <w:sz w:val="18"/>
                <w:highlight w:val="none"/>
              </w:rPr>
            </w:pPr>
          </w:p>
        </w:tc>
        <w:tc>
          <w:tcPr>
            <w:tcW w:w="2265" w:type="dxa"/>
          </w:tcPr>
          <w:p>
            <w:pPr>
              <w:pStyle w:val="297"/>
              <w:rPr>
                <w:rFonts w:ascii="Times New Roman"/>
                <w:sz w:val="18"/>
                <w:highlight w:val="none"/>
              </w:rPr>
            </w:pPr>
          </w:p>
        </w:tc>
        <w:tc>
          <w:tcPr>
            <w:tcW w:w="2859" w:type="dxa"/>
          </w:tcPr>
          <w:p>
            <w:pPr>
              <w:pStyle w:val="297"/>
              <w:rPr>
                <w:rFonts w:ascii="Times New Roman"/>
                <w:sz w:val="18"/>
                <w:highlight w:val="none"/>
              </w:rPr>
            </w:pPr>
          </w:p>
        </w:tc>
        <w:tc>
          <w:tcPr>
            <w:tcW w:w="992" w:type="dxa"/>
          </w:tcPr>
          <w:p>
            <w:pPr>
              <w:pStyle w:val="297"/>
              <w:rPr>
                <w:rFonts w:ascii="Times New Roman"/>
                <w:sz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623" w:type="dxa"/>
            <w:vMerge w:val="continue"/>
            <w:tcBorders>
              <w:top w:val="nil"/>
            </w:tcBorders>
            <w:vAlign w:val="center"/>
          </w:tcPr>
          <w:p>
            <w:pPr>
              <w:jc w:val="center"/>
              <w:rPr>
                <w:rFonts w:hint="eastAsia" w:ascii="宋体" w:hAnsi="宋体" w:eastAsia="宋体" w:cs="宋体"/>
                <w:kern w:val="2"/>
                <w:sz w:val="21"/>
                <w:szCs w:val="21"/>
                <w:highlight w:val="none"/>
                <w:lang w:val="en-US" w:eastAsia="zh-CN" w:bidi="ar-SA"/>
              </w:rPr>
            </w:pPr>
          </w:p>
        </w:tc>
        <w:tc>
          <w:tcPr>
            <w:tcW w:w="2835" w:type="dxa"/>
            <w:vAlign w:val="center"/>
          </w:tcPr>
          <w:p>
            <w:pPr>
              <w:pStyle w:val="297"/>
              <w:spacing w:before="1"/>
              <w:ind w:left="10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其他：</w:t>
            </w:r>
          </w:p>
        </w:tc>
        <w:tc>
          <w:tcPr>
            <w:tcW w:w="2577"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269" w:type="dxa"/>
          </w:tcPr>
          <w:p>
            <w:pPr>
              <w:pStyle w:val="297"/>
              <w:rPr>
                <w:rFonts w:ascii="Times New Roman"/>
                <w:sz w:val="18"/>
                <w:highlight w:val="none"/>
              </w:rPr>
            </w:pPr>
          </w:p>
        </w:tc>
        <w:tc>
          <w:tcPr>
            <w:tcW w:w="2265" w:type="dxa"/>
          </w:tcPr>
          <w:p>
            <w:pPr>
              <w:pStyle w:val="297"/>
              <w:rPr>
                <w:rFonts w:ascii="Times New Roman"/>
                <w:sz w:val="18"/>
                <w:highlight w:val="none"/>
              </w:rPr>
            </w:pPr>
          </w:p>
        </w:tc>
        <w:tc>
          <w:tcPr>
            <w:tcW w:w="2859" w:type="dxa"/>
          </w:tcPr>
          <w:p>
            <w:pPr>
              <w:pStyle w:val="297"/>
              <w:rPr>
                <w:rFonts w:ascii="Times New Roman"/>
                <w:sz w:val="18"/>
                <w:highlight w:val="none"/>
              </w:rPr>
            </w:pPr>
          </w:p>
        </w:tc>
        <w:tc>
          <w:tcPr>
            <w:tcW w:w="992" w:type="dxa"/>
          </w:tcPr>
          <w:p>
            <w:pPr>
              <w:pStyle w:val="297"/>
              <w:rPr>
                <w:rFonts w:ascii="Times New Roman"/>
                <w:sz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623" w:type="dxa"/>
            <w:vMerge w:val="restart"/>
            <w:vAlign w:val="center"/>
          </w:tcPr>
          <w:p>
            <w:pPr>
              <w:pStyle w:val="297"/>
              <w:jc w:val="center"/>
              <w:rPr>
                <w:rFonts w:hint="eastAsia" w:ascii="宋体" w:hAnsi="宋体" w:eastAsia="宋体" w:cs="宋体"/>
                <w:kern w:val="2"/>
                <w:sz w:val="21"/>
                <w:szCs w:val="21"/>
                <w:highlight w:val="none"/>
                <w:lang w:val="en-US" w:eastAsia="zh-CN" w:bidi="ar-SA"/>
              </w:rPr>
            </w:pPr>
          </w:p>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竣工阶段</w:t>
            </w:r>
          </w:p>
        </w:tc>
        <w:tc>
          <w:tcPr>
            <w:tcW w:w="2835"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竣工结算</w:t>
            </w:r>
          </w:p>
        </w:tc>
        <w:tc>
          <w:tcPr>
            <w:tcW w:w="2577"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□编制□审核□调整</w:t>
            </w:r>
          </w:p>
        </w:tc>
        <w:tc>
          <w:tcPr>
            <w:tcW w:w="1269" w:type="dxa"/>
          </w:tcPr>
          <w:p>
            <w:pPr>
              <w:pStyle w:val="297"/>
              <w:rPr>
                <w:rFonts w:ascii="Times New Roman"/>
                <w:sz w:val="18"/>
                <w:highlight w:val="none"/>
              </w:rPr>
            </w:pPr>
          </w:p>
        </w:tc>
        <w:tc>
          <w:tcPr>
            <w:tcW w:w="2265" w:type="dxa"/>
          </w:tcPr>
          <w:p>
            <w:pPr>
              <w:pStyle w:val="297"/>
              <w:rPr>
                <w:rFonts w:ascii="Times New Roman"/>
                <w:sz w:val="18"/>
                <w:highlight w:val="none"/>
              </w:rPr>
            </w:pPr>
          </w:p>
        </w:tc>
        <w:tc>
          <w:tcPr>
            <w:tcW w:w="2859" w:type="dxa"/>
          </w:tcPr>
          <w:p>
            <w:pPr>
              <w:pStyle w:val="297"/>
              <w:rPr>
                <w:rFonts w:ascii="Times New Roman"/>
                <w:sz w:val="18"/>
                <w:highlight w:val="none"/>
              </w:rPr>
            </w:pPr>
          </w:p>
        </w:tc>
        <w:tc>
          <w:tcPr>
            <w:tcW w:w="992" w:type="dxa"/>
          </w:tcPr>
          <w:p>
            <w:pPr>
              <w:pStyle w:val="297"/>
              <w:rPr>
                <w:rFonts w:ascii="Times New Roman"/>
                <w:sz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623" w:type="dxa"/>
            <w:vMerge w:val="continue"/>
            <w:tcBorders>
              <w:top w:val="nil"/>
            </w:tcBorders>
            <w:vAlign w:val="center"/>
          </w:tcPr>
          <w:p>
            <w:pPr>
              <w:jc w:val="center"/>
              <w:rPr>
                <w:rFonts w:hint="eastAsia" w:ascii="宋体" w:hAnsi="宋体" w:eastAsia="宋体" w:cs="宋体"/>
                <w:kern w:val="2"/>
                <w:sz w:val="21"/>
                <w:szCs w:val="21"/>
                <w:highlight w:val="none"/>
                <w:lang w:val="en-US" w:eastAsia="zh-CN" w:bidi="ar-SA"/>
              </w:rPr>
            </w:pPr>
          </w:p>
        </w:tc>
        <w:tc>
          <w:tcPr>
            <w:tcW w:w="2835" w:type="dxa"/>
            <w:vAlign w:val="center"/>
          </w:tcPr>
          <w:p>
            <w:pPr>
              <w:pStyle w:val="297"/>
              <w:spacing w:before="2"/>
              <w:ind w:left="10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竣工决算</w:t>
            </w:r>
          </w:p>
        </w:tc>
        <w:tc>
          <w:tcPr>
            <w:tcW w:w="2577" w:type="dxa"/>
            <w:vAlign w:val="center"/>
          </w:tcPr>
          <w:p>
            <w:pPr>
              <w:pStyle w:val="297"/>
              <w:spacing w:line="259" w:lineRule="exact"/>
              <w:ind w:left="10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□编制□ 审核 □ 调整</w:t>
            </w:r>
          </w:p>
          <w:p>
            <w:pPr>
              <w:pStyle w:val="297"/>
              <w:spacing w:line="259" w:lineRule="exact"/>
              <w:ind w:left="10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□配合</w:t>
            </w:r>
          </w:p>
        </w:tc>
        <w:tc>
          <w:tcPr>
            <w:tcW w:w="1269" w:type="dxa"/>
          </w:tcPr>
          <w:p>
            <w:pPr>
              <w:pStyle w:val="297"/>
              <w:rPr>
                <w:rFonts w:ascii="Times New Roman"/>
                <w:sz w:val="18"/>
                <w:highlight w:val="none"/>
              </w:rPr>
            </w:pPr>
          </w:p>
        </w:tc>
        <w:tc>
          <w:tcPr>
            <w:tcW w:w="2265" w:type="dxa"/>
          </w:tcPr>
          <w:p>
            <w:pPr>
              <w:pStyle w:val="297"/>
              <w:rPr>
                <w:rFonts w:ascii="Times New Roman"/>
                <w:sz w:val="18"/>
                <w:highlight w:val="none"/>
              </w:rPr>
            </w:pPr>
          </w:p>
        </w:tc>
        <w:tc>
          <w:tcPr>
            <w:tcW w:w="2859" w:type="dxa"/>
          </w:tcPr>
          <w:p>
            <w:pPr>
              <w:pStyle w:val="297"/>
              <w:rPr>
                <w:rFonts w:ascii="Times New Roman"/>
                <w:sz w:val="18"/>
                <w:highlight w:val="none"/>
              </w:rPr>
            </w:pPr>
          </w:p>
        </w:tc>
        <w:tc>
          <w:tcPr>
            <w:tcW w:w="992" w:type="dxa"/>
          </w:tcPr>
          <w:p>
            <w:pPr>
              <w:pStyle w:val="297"/>
              <w:rPr>
                <w:rFonts w:ascii="Times New Roman"/>
                <w:sz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623" w:type="dxa"/>
            <w:vMerge w:val="continue"/>
            <w:tcBorders>
              <w:top w:val="nil"/>
            </w:tcBorders>
            <w:vAlign w:val="center"/>
          </w:tcPr>
          <w:p>
            <w:pPr>
              <w:jc w:val="center"/>
              <w:rPr>
                <w:rFonts w:hint="eastAsia" w:ascii="宋体" w:hAnsi="宋体" w:eastAsia="宋体" w:cs="宋体"/>
                <w:kern w:val="2"/>
                <w:sz w:val="21"/>
                <w:szCs w:val="21"/>
                <w:highlight w:val="none"/>
                <w:lang w:val="en-US" w:eastAsia="zh-CN" w:bidi="ar-SA"/>
              </w:rPr>
            </w:pPr>
          </w:p>
        </w:tc>
        <w:tc>
          <w:tcPr>
            <w:tcW w:w="2835" w:type="dxa"/>
            <w:vAlign w:val="center"/>
          </w:tcPr>
          <w:p>
            <w:pPr>
              <w:pStyle w:val="297"/>
              <w:ind w:left="10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其他：</w:t>
            </w:r>
          </w:p>
        </w:tc>
        <w:tc>
          <w:tcPr>
            <w:tcW w:w="2577"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269" w:type="dxa"/>
          </w:tcPr>
          <w:p>
            <w:pPr>
              <w:pStyle w:val="297"/>
              <w:rPr>
                <w:rFonts w:ascii="Times New Roman"/>
                <w:sz w:val="18"/>
                <w:highlight w:val="none"/>
              </w:rPr>
            </w:pPr>
          </w:p>
        </w:tc>
        <w:tc>
          <w:tcPr>
            <w:tcW w:w="2265" w:type="dxa"/>
          </w:tcPr>
          <w:p>
            <w:pPr>
              <w:pStyle w:val="297"/>
              <w:rPr>
                <w:rFonts w:ascii="Times New Roman"/>
                <w:sz w:val="18"/>
                <w:highlight w:val="none"/>
              </w:rPr>
            </w:pPr>
          </w:p>
        </w:tc>
        <w:tc>
          <w:tcPr>
            <w:tcW w:w="2859" w:type="dxa"/>
          </w:tcPr>
          <w:p>
            <w:pPr>
              <w:pStyle w:val="297"/>
              <w:rPr>
                <w:rFonts w:ascii="Times New Roman"/>
                <w:sz w:val="18"/>
                <w:highlight w:val="none"/>
              </w:rPr>
            </w:pPr>
          </w:p>
        </w:tc>
        <w:tc>
          <w:tcPr>
            <w:tcW w:w="992" w:type="dxa"/>
          </w:tcPr>
          <w:p>
            <w:pPr>
              <w:pStyle w:val="297"/>
              <w:rPr>
                <w:rFonts w:ascii="Times New Roman"/>
                <w:sz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623"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其他服务</w:t>
            </w:r>
          </w:p>
        </w:tc>
        <w:tc>
          <w:tcPr>
            <w:tcW w:w="2835"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工程造价鉴定</w:t>
            </w:r>
          </w:p>
        </w:tc>
        <w:tc>
          <w:tcPr>
            <w:tcW w:w="2577"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269" w:type="dxa"/>
          </w:tcPr>
          <w:p>
            <w:pPr>
              <w:pStyle w:val="297"/>
              <w:rPr>
                <w:rFonts w:ascii="Times New Roman"/>
                <w:sz w:val="18"/>
                <w:highlight w:val="none"/>
              </w:rPr>
            </w:pPr>
          </w:p>
        </w:tc>
        <w:tc>
          <w:tcPr>
            <w:tcW w:w="2265" w:type="dxa"/>
          </w:tcPr>
          <w:p>
            <w:pPr>
              <w:pStyle w:val="297"/>
              <w:rPr>
                <w:rFonts w:ascii="Times New Roman"/>
                <w:sz w:val="18"/>
                <w:highlight w:val="none"/>
              </w:rPr>
            </w:pPr>
          </w:p>
        </w:tc>
        <w:tc>
          <w:tcPr>
            <w:tcW w:w="2859" w:type="dxa"/>
          </w:tcPr>
          <w:p>
            <w:pPr>
              <w:pStyle w:val="297"/>
              <w:rPr>
                <w:rFonts w:ascii="Times New Roman"/>
                <w:sz w:val="18"/>
                <w:highlight w:val="none"/>
              </w:rPr>
            </w:pPr>
          </w:p>
        </w:tc>
        <w:tc>
          <w:tcPr>
            <w:tcW w:w="992" w:type="dxa"/>
          </w:tcPr>
          <w:p>
            <w:pPr>
              <w:pStyle w:val="297"/>
              <w:rPr>
                <w:rFonts w:ascii="Times New Roman"/>
                <w:sz w:val="18"/>
                <w:highlight w:val="none"/>
              </w:rPr>
            </w:pPr>
          </w:p>
        </w:tc>
      </w:tr>
    </w:tbl>
    <w:p>
      <w:pPr>
        <w:pStyle w:val="22"/>
        <w:spacing w:before="12"/>
        <w:rPr>
          <w:b/>
          <w:highlight w:val="none"/>
        </w:rPr>
      </w:pPr>
    </w:p>
    <w:p>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注：本项目服务范围及工作内容、酬金详见第一部分协议书中约定。</w:t>
      </w:r>
    </w:p>
    <w:p>
      <w:pPr>
        <w:spacing w:line="240" w:lineRule="auto"/>
        <w:ind w:firstLine="0" w:firstLineChars="0"/>
        <w:jc w:val="left"/>
        <w:rPr>
          <w:rFonts w:hint="eastAsia" w:ascii="宋体" w:hAnsi="宋体" w:eastAsia="宋体" w:cs="宋体"/>
          <w:sz w:val="21"/>
          <w:szCs w:val="21"/>
          <w:highlight w:val="none"/>
        </w:rPr>
        <w:sectPr>
          <w:pgSz w:w="16840" w:h="11910" w:orient="landscape"/>
          <w:pgMar w:top="1100" w:right="920" w:bottom="1160" w:left="1260" w:header="0" w:footer="975" w:gutter="0"/>
          <w:pgNumType w:fmt="numberInDash"/>
          <w:cols w:space="720" w:num="1"/>
        </w:sectPr>
      </w:pPr>
    </w:p>
    <w:p>
      <w:pPr>
        <w:pStyle w:val="22"/>
        <w:rPr>
          <w:sz w:val="20"/>
          <w:highlight w:val="none"/>
        </w:rPr>
      </w:pPr>
    </w:p>
    <w:p>
      <w:pPr>
        <w:jc w:val="center"/>
        <w:rPr>
          <w:rFonts w:hint="eastAsia" w:ascii="宋体" w:hAnsi="宋体" w:eastAsia="宋体" w:cs="宋体"/>
          <w:sz w:val="21"/>
          <w:szCs w:val="21"/>
          <w:highlight w:val="none"/>
        </w:rPr>
      </w:pPr>
      <w:bookmarkStart w:id="444" w:name="附录B_咨询人提交成果文件一览表"/>
      <w:bookmarkEnd w:id="444"/>
      <w:r>
        <w:rPr>
          <w:rFonts w:hint="eastAsia" w:ascii="宋体" w:hAnsi="宋体" w:eastAsia="宋体" w:cs="宋体"/>
          <w:sz w:val="21"/>
          <w:szCs w:val="21"/>
          <w:highlight w:val="none"/>
        </w:rPr>
        <w:t>附录 B 咨询人提交成果文件一览表</w:t>
      </w:r>
    </w:p>
    <w:tbl>
      <w:tblPr>
        <w:tblStyle w:val="50"/>
        <w:tblW w:w="0" w:type="auto"/>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4"/>
        <w:gridCol w:w="2837"/>
        <w:gridCol w:w="3152"/>
        <w:gridCol w:w="2002"/>
        <w:gridCol w:w="760"/>
        <w:gridCol w:w="36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1664"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服务阶段</w:t>
            </w:r>
          </w:p>
        </w:tc>
        <w:tc>
          <w:tcPr>
            <w:tcW w:w="2837"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成果文件名称</w:t>
            </w:r>
          </w:p>
        </w:tc>
        <w:tc>
          <w:tcPr>
            <w:tcW w:w="3152"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成果文件组成</w:t>
            </w:r>
          </w:p>
        </w:tc>
        <w:tc>
          <w:tcPr>
            <w:tcW w:w="2002"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提交时间</w:t>
            </w:r>
          </w:p>
        </w:tc>
        <w:tc>
          <w:tcPr>
            <w:tcW w:w="760"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份数</w:t>
            </w:r>
          </w:p>
        </w:tc>
        <w:tc>
          <w:tcPr>
            <w:tcW w:w="3641"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质量标准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1664" w:type="dxa"/>
            <w:vMerge w:val="restart"/>
            <w:vAlign w:val="center"/>
          </w:tcPr>
          <w:p>
            <w:pPr>
              <w:pStyle w:val="297"/>
              <w:jc w:val="center"/>
              <w:rPr>
                <w:rFonts w:hint="eastAsia" w:ascii="宋体" w:hAnsi="宋体" w:eastAsia="宋体" w:cs="宋体"/>
                <w:kern w:val="2"/>
                <w:sz w:val="21"/>
                <w:szCs w:val="21"/>
                <w:highlight w:val="none"/>
                <w:lang w:val="en-US" w:eastAsia="zh-CN" w:bidi="ar-SA"/>
              </w:rPr>
            </w:pPr>
          </w:p>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决策阶段</w:t>
            </w:r>
          </w:p>
        </w:tc>
        <w:tc>
          <w:tcPr>
            <w:tcW w:w="2837"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估算审核报告</w:t>
            </w:r>
          </w:p>
        </w:tc>
        <w:tc>
          <w:tcPr>
            <w:tcW w:w="3152"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文字报告、估算明细</w:t>
            </w:r>
          </w:p>
        </w:tc>
        <w:tc>
          <w:tcPr>
            <w:tcW w:w="2002"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满足委托方要求</w:t>
            </w:r>
          </w:p>
        </w:tc>
        <w:tc>
          <w:tcPr>
            <w:tcW w:w="760"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3641"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满足国家咨询规范标准及要求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1664" w:type="dxa"/>
            <w:vMerge w:val="continue"/>
            <w:tcBorders>
              <w:top w:val="nil"/>
            </w:tcBorders>
            <w:vAlign w:val="center"/>
          </w:tcPr>
          <w:p>
            <w:pPr>
              <w:jc w:val="center"/>
              <w:rPr>
                <w:rFonts w:hint="eastAsia" w:ascii="宋体" w:hAnsi="宋体" w:eastAsia="宋体" w:cs="宋体"/>
                <w:kern w:val="2"/>
                <w:sz w:val="21"/>
                <w:szCs w:val="21"/>
                <w:highlight w:val="none"/>
                <w:lang w:val="en-US" w:eastAsia="zh-CN" w:bidi="ar-SA"/>
              </w:rPr>
            </w:pPr>
          </w:p>
        </w:tc>
        <w:tc>
          <w:tcPr>
            <w:tcW w:w="2837" w:type="dxa"/>
            <w:vAlign w:val="center"/>
          </w:tcPr>
          <w:p>
            <w:pPr>
              <w:pStyle w:val="297"/>
              <w:spacing w:before="6"/>
              <w:ind w:left="186" w:right="17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初设概算审核报告</w:t>
            </w:r>
          </w:p>
        </w:tc>
        <w:tc>
          <w:tcPr>
            <w:tcW w:w="3152" w:type="dxa"/>
            <w:vAlign w:val="center"/>
          </w:tcPr>
          <w:p>
            <w:pPr>
              <w:pStyle w:val="297"/>
              <w:spacing w:before="6"/>
              <w:ind w:left="123" w:right="115"/>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文字报告、概算明细</w:t>
            </w:r>
          </w:p>
        </w:tc>
        <w:tc>
          <w:tcPr>
            <w:tcW w:w="2002" w:type="dxa"/>
            <w:vAlign w:val="center"/>
          </w:tcPr>
          <w:p>
            <w:pPr>
              <w:pStyle w:val="297"/>
              <w:spacing w:before="6"/>
              <w:ind w:left="212" w:right="20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满足委托方要求</w:t>
            </w:r>
          </w:p>
        </w:tc>
        <w:tc>
          <w:tcPr>
            <w:tcW w:w="760"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3641" w:type="dxa"/>
            <w:vAlign w:val="center"/>
          </w:tcPr>
          <w:p>
            <w:pPr>
              <w:pStyle w:val="297"/>
              <w:spacing w:before="6"/>
              <w:ind w:left="371" w:right="36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满足国家咨询规范标准及要求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664" w:type="dxa"/>
            <w:vMerge w:val="continue"/>
            <w:tcBorders>
              <w:top w:val="nil"/>
            </w:tcBorders>
            <w:vAlign w:val="center"/>
          </w:tcPr>
          <w:p>
            <w:pPr>
              <w:jc w:val="center"/>
              <w:rPr>
                <w:rFonts w:hint="eastAsia" w:ascii="宋体" w:hAnsi="宋体" w:eastAsia="宋体" w:cs="宋体"/>
                <w:kern w:val="2"/>
                <w:sz w:val="21"/>
                <w:szCs w:val="21"/>
                <w:highlight w:val="none"/>
                <w:lang w:val="en-US" w:eastAsia="zh-CN" w:bidi="ar-SA"/>
              </w:rPr>
            </w:pPr>
          </w:p>
        </w:tc>
        <w:tc>
          <w:tcPr>
            <w:tcW w:w="2837"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3152"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002"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760"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3641"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7" w:hRule="atLeast"/>
        </w:trPr>
        <w:tc>
          <w:tcPr>
            <w:tcW w:w="1664" w:type="dxa"/>
            <w:vMerge w:val="restart"/>
            <w:vAlign w:val="center"/>
          </w:tcPr>
          <w:p>
            <w:pPr>
              <w:pStyle w:val="297"/>
              <w:jc w:val="center"/>
              <w:rPr>
                <w:rFonts w:hint="eastAsia" w:ascii="宋体" w:hAnsi="宋体" w:eastAsia="宋体" w:cs="宋体"/>
                <w:kern w:val="2"/>
                <w:sz w:val="21"/>
                <w:szCs w:val="21"/>
                <w:highlight w:val="none"/>
                <w:lang w:val="en-US" w:eastAsia="zh-CN" w:bidi="ar-SA"/>
              </w:rPr>
            </w:pPr>
          </w:p>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设计阶段</w:t>
            </w:r>
          </w:p>
        </w:tc>
        <w:tc>
          <w:tcPr>
            <w:tcW w:w="2837"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成本测算分析报告</w:t>
            </w:r>
          </w:p>
        </w:tc>
        <w:tc>
          <w:tcPr>
            <w:tcW w:w="3152"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文字报告、测算明细</w:t>
            </w:r>
          </w:p>
        </w:tc>
        <w:tc>
          <w:tcPr>
            <w:tcW w:w="2002"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满足委托方要求</w:t>
            </w:r>
          </w:p>
        </w:tc>
        <w:tc>
          <w:tcPr>
            <w:tcW w:w="760"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w:t>
            </w:r>
          </w:p>
        </w:tc>
        <w:tc>
          <w:tcPr>
            <w:tcW w:w="3641"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满足国家咨询规范标准及要求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 w:hRule="atLeast"/>
        </w:trPr>
        <w:tc>
          <w:tcPr>
            <w:tcW w:w="1664" w:type="dxa"/>
            <w:vMerge w:val="continue"/>
            <w:tcBorders>
              <w:top w:val="nil"/>
            </w:tcBorders>
            <w:vAlign w:val="center"/>
          </w:tcPr>
          <w:p>
            <w:pPr>
              <w:jc w:val="center"/>
              <w:rPr>
                <w:rFonts w:hint="eastAsia" w:ascii="宋体" w:hAnsi="宋体" w:eastAsia="宋体" w:cs="宋体"/>
                <w:kern w:val="2"/>
                <w:sz w:val="21"/>
                <w:szCs w:val="21"/>
                <w:highlight w:val="none"/>
                <w:lang w:val="en-US" w:eastAsia="zh-CN" w:bidi="ar-SA"/>
              </w:rPr>
            </w:pPr>
          </w:p>
        </w:tc>
        <w:tc>
          <w:tcPr>
            <w:tcW w:w="2837"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3152"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002"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760"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3641"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1664" w:type="dxa"/>
            <w:vMerge w:val="continue"/>
            <w:tcBorders>
              <w:top w:val="nil"/>
            </w:tcBorders>
            <w:vAlign w:val="center"/>
          </w:tcPr>
          <w:p>
            <w:pPr>
              <w:jc w:val="center"/>
              <w:rPr>
                <w:rFonts w:hint="eastAsia" w:ascii="宋体" w:hAnsi="宋体" w:eastAsia="宋体" w:cs="宋体"/>
                <w:kern w:val="2"/>
                <w:sz w:val="21"/>
                <w:szCs w:val="21"/>
                <w:highlight w:val="none"/>
                <w:lang w:val="en-US" w:eastAsia="zh-CN" w:bidi="ar-SA"/>
              </w:rPr>
            </w:pPr>
          </w:p>
        </w:tc>
        <w:tc>
          <w:tcPr>
            <w:tcW w:w="2837"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3152"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002"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760"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3641"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3" w:hRule="atLeast"/>
        </w:trPr>
        <w:tc>
          <w:tcPr>
            <w:tcW w:w="1664" w:type="dxa"/>
            <w:vMerge w:val="restart"/>
            <w:vAlign w:val="center"/>
          </w:tcPr>
          <w:p>
            <w:pPr>
              <w:pStyle w:val="297"/>
              <w:jc w:val="center"/>
              <w:rPr>
                <w:rFonts w:hint="eastAsia" w:ascii="宋体" w:hAnsi="宋体" w:eastAsia="宋体" w:cs="宋体"/>
                <w:kern w:val="2"/>
                <w:sz w:val="21"/>
                <w:szCs w:val="21"/>
                <w:highlight w:val="none"/>
                <w:lang w:val="en-US" w:eastAsia="zh-CN" w:bidi="ar-SA"/>
              </w:rPr>
            </w:pPr>
          </w:p>
          <w:p>
            <w:pPr>
              <w:pStyle w:val="297"/>
              <w:jc w:val="center"/>
              <w:rPr>
                <w:rFonts w:hint="eastAsia" w:ascii="宋体" w:hAnsi="宋体" w:eastAsia="宋体" w:cs="宋体"/>
                <w:kern w:val="2"/>
                <w:sz w:val="21"/>
                <w:szCs w:val="21"/>
                <w:highlight w:val="none"/>
                <w:lang w:val="en-US" w:eastAsia="zh-CN" w:bidi="ar-SA"/>
              </w:rPr>
            </w:pPr>
          </w:p>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发承包阶段</w:t>
            </w:r>
          </w:p>
        </w:tc>
        <w:tc>
          <w:tcPr>
            <w:tcW w:w="2837" w:type="dxa"/>
            <w:vAlign w:val="center"/>
          </w:tcPr>
          <w:p>
            <w:pPr>
              <w:pStyle w:val="297"/>
              <w:jc w:val="center"/>
              <w:rPr>
                <w:rFonts w:hint="eastAsia" w:ascii="宋体" w:hAnsi="宋体" w:eastAsia="宋体" w:cs="宋体"/>
                <w:kern w:val="2"/>
                <w:sz w:val="21"/>
                <w:szCs w:val="21"/>
                <w:highlight w:val="none"/>
                <w:lang w:val="en-US" w:eastAsia="zh-CN" w:bidi="ar-SA"/>
              </w:rPr>
            </w:pPr>
          </w:p>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工程量清单及最高限价</w:t>
            </w:r>
          </w:p>
        </w:tc>
        <w:tc>
          <w:tcPr>
            <w:tcW w:w="3152"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文字报告、工程量清单及最高限价明细、图形算量广联达版及</w:t>
            </w:r>
          </w:p>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相关计算手稿，应委托人要求出具相关的详细解释资料</w:t>
            </w:r>
          </w:p>
        </w:tc>
        <w:tc>
          <w:tcPr>
            <w:tcW w:w="2002" w:type="dxa"/>
            <w:vAlign w:val="center"/>
          </w:tcPr>
          <w:p>
            <w:pPr>
              <w:pStyle w:val="297"/>
              <w:jc w:val="center"/>
              <w:rPr>
                <w:rFonts w:hint="eastAsia" w:ascii="宋体" w:hAnsi="宋体" w:eastAsia="宋体" w:cs="宋体"/>
                <w:kern w:val="2"/>
                <w:sz w:val="21"/>
                <w:szCs w:val="21"/>
                <w:highlight w:val="none"/>
                <w:lang w:val="en-US" w:eastAsia="zh-CN" w:bidi="ar-SA"/>
              </w:rPr>
            </w:pPr>
          </w:p>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满足委托方要求</w:t>
            </w:r>
          </w:p>
        </w:tc>
        <w:tc>
          <w:tcPr>
            <w:tcW w:w="760" w:type="dxa"/>
            <w:vAlign w:val="center"/>
          </w:tcPr>
          <w:p>
            <w:pPr>
              <w:pStyle w:val="297"/>
              <w:jc w:val="center"/>
              <w:rPr>
                <w:rFonts w:hint="eastAsia" w:ascii="宋体" w:hAnsi="宋体" w:eastAsia="宋体" w:cs="宋体"/>
                <w:kern w:val="2"/>
                <w:sz w:val="21"/>
                <w:szCs w:val="21"/>
                <w:highlight w:val="none"/>
                <w:lang w:val="en-US" w:eastAsia="zh-CN" w:bidi="ar-SA"/>
              </w:rPr>
            </w:pPr>
          </w:p>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w:t>
            </w:r>
          </w:p>
        </w:tc>
        <w:tc>
          <w:tcPr>
            <w:tcW w:w="3641" w:type="dxa"/>
            <w:vAlign w:val="center"/>
          </w:tcPr>
          <w:p>
            <w:pPr>
              <w:pStyle w:val="297"/>
              <w:jc w:val="center"/>
              <w:rPr>
                <w:rFonts w:hint="eastAsia" w:ascii="宋体" w:hAnsi="宋体" w:eastAsia="宋体" w:cs="宋体"/>
                <w:kern w:val="2"/>
                <w:sz w:val="21"/>
                <w:szCs w:val="21"/>
                <w:highlight w:val="none"/>
                <w:lang w:val="en-US" w:eastAsia="zh-CN" w:bidi="ar-SA"/>
              </w:rPr>
            </w:pPr>
          </w:p>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满足国家咨询规范标准及要求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1664" w:type="dxa"/>
            <w:vMerge w:val="continue"/>
            <w:tcBorders>
              <w:top w:val="nil"/>
            </w:tcBorders>
            <w:vAlign w:val="center"/>
          </w:tcPr>
          <w:p>
            <w:pPr>
              <w:jc w:val="center"/>
              <w:rPr>
                <w:rFonts w:hint="eastAsia" w:ascii="宋体" w:hAnsi="宋体" w:eastAsia="宋体" w:cs="宋体"/>
                <w:kern w:val="2"/>
                <w:sz w:val="21"/>
                <w:szCs w:val="21"/>
                <w:highlight w:val="none"/>
                <w:lang w:val="en-US" w:eastAsia="zh-CN" w:bidi="ar-SA"/>
              </w:rPr>
            </w:pPr>
          </w:p>
        </w:tc>
        <w:tc>
          <w:tcPr>
            <w:tcW w:w="2837" w:type="dxa"/>
            <w:vAlign w:val="center"/>
          </w:tcPr>
          <w:p>
            <w:pPr>
              <w:pStyle w:val="297"/>
              <w:spacing w:before="7"/>
              <w:ind w:left="186" w:right="17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施工合同条款建议</w:t>
            </w:r>
          </w:p>
        </w:tc>
        <w:tc>
          <w:tcPr>
            <w:tcW w:w="3152"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002"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760"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3641"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2" w:hRule="atLeast"/>
        </w:trPr>
        <w:tc>
          <w:tcPr>
            <w:tcW w:w="1664" w:type="dxa"/>
            <w:vMerge w:val="continue"/>
            <w:tcBorders>
              <w:top w:val="nil"/>
            </w:tcBorders>
            <w:vAlign w:val="center"/>
          </w:tcPr>
          <w:p>
            <w:pPr>
              <w:jc w:val="center"/>
              <w:rPr>
                <w:rFonts w:hint="eastAsia" w:ascii="宋体" w:hAnsi="宋体" w:eastAsia="宋体" w:cs="宋体"/>
                <w:kern w:val="2"/>
                <w:sz w:val="21"/>
                <w:szCs w:val="21"/>
                <w:highlight w:val="none"/>
                <w:lang w:val="en-US" w:eastAsia="zh-CN" w:bidi="ar-SA"/>
              </w:rPr>
            </w:pPr>
          </w:p>
        </w:tc>
        <w:tc>
          <w:tcPr>
            <w:tcW w:w="2837"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3152"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002"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760"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3641"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1664" w:type="dxa"/>
            <w:vMerge w:val="restart"/>
            <w:vAlign w:val="center"/>
          </w:tcPr>
          <w:p>
            <w:pPr>
              <w:pStyle w:val="297"/>
              <w:jc w:val="center"/>
              <w:rPr>
                <w:rFonts w:hint="eastAsia" w:ascii="宋体" w:hAnsi="宋体" w:eastAsia="宋体" w:cs="宋体"/>
                <w:kern w:val="2"/>
                <w:sz w:val="21"/>
                <w:szCs w:val="21"/>
                <w:highlight w:val="none"/>
                <w:lang w:val="en-US" w:eastAsia="zh-CN" w:bidi="ar-SA"/>
              </w:rPr>
            </w:pPr>
          </w:p>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实施阶段</w:t>
            </w:r>
          </w:p>
        </w:tc>
        <w:tc>
          <w:tcPr>
            <w:tcW w:w="2837"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3152"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002"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760"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3641"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1664" w:type="dxa"/>
            <w:vMerge w:val="continue"/>
            <w:tcBorders>
              <w:top w:val="nil"/>
            </w:tcBorders>
            <w:vAlign w:val="center"/>
          </w:tcPr>
          <w:p>
            <w:pPr>
              <w:jc w:val="center"/>
              <w:rPr>
                <w:rFonts w:hint="eastAsia" w:ascii="宋体" w:hAnsi="宋体" w:eastAsia="宋体" w:cs="宋体"/>
                <w:kern w:val="2"/>
                <w:sz w:val="21"/>
                <w:szCs w:val="21"/>
                <w:highlight w:val="none"/>
                <w:lang w:val="en-US" w:eastAsia="zh-CN" w:bidi="ar-SA"/>
              </w:rPr>
            </w:pPr>
          </w:p>
        </w:tc>
        <w:tc>
          <w:tcPr>
            <w:tcW w:w="2837" w:type="dxa"/>
            <w:vAlign w:val="center"/>
          </w:tcPr>
          <w:p>
            <w:pPr>
              <w:pStyle w:val="297"/>
              <w:spacing w:before="6"/>
              <w:ind w:left="186" w:right="177"/>
              <w:jc w:val="center"/>
              <w:rPr>
                <w:rFonts w:hint="eastAsia" w:ascii="宋体" w:hAnsi="宋体" w:eastAsia="宋体" w:cs="宋体"/>
                <w:kern w:val="2"/>
                <w:sz w:val="21"/>
                <w:szCs w:val="21"/>
                <w:highlight w:val="none"/>
                <w:lang w:val="en-US" w:eastAsia="zh-CN" w:bidi="ar-SA"/>
              </w:rPr>
            </w:pPr>
          </w:p>
        </w:tc>
        <w:tc>
          <w:tcPr>
            <w:tcW w:w="3152" w:type="dxa"/>
            <w:vAlign w:val="center"/>
          </w:tcPr>
          <w:p>
            <w:pPr>
              <w:pStyle w:val="297"/>
              <w:spacing w:before="6"/>
              <w:ind w:left="123" w:right="115"/>
              <w:jc w:val="center"/>
              <w:rPr>
                <w:rFonts w:hint="eastAsia" w:ascii="宋体" w:hAnsi="宋体" w:eastAsia="宋体" w:cs="宋体"/>
                <w:kern w:val="2"/>
                <w:sz w:val="21"/>
                <w:szCs w:val="21"/>
                <w:highlight w:val="none"/>
                <w:lang w:val="en-US" w:eastAsia="zh-CN" w:bidi="ar-SA"/>
              </w:rPr>
            </w:pPr>
          </w:p>
        </w:tc>
        <w:tc>
          <w:tcPr>
            <w:tcW w:w="2002" w:type="dxa"/>
            <w:vAlign w:val="center"/>
          </w:tcPr>
          <w:p>
            <w:pPr>
              <w:pStyle w:val="297"/>
              <w:spacing w:before="6"/>
              <w:ind w:left="212" w:right="200"/>
              <w:jc w:val="center"/>
              <w:rPr>
                <w:rFonts w:hint="eastAsia" w:ascii="宋体" w:hAnsi="宋体" w:eastAsia="宋体" w:cs="宋体"/>
                <w:kern w:val="2"/>
                <w:sz w:val="21"/>
                <w:szCs w:val="21"/>
                <w:highlight w:val="none"/>
                <w:lang w:val="en-US" w:eastAsia="zh-CN" w:bidi="ar-SA"/>
              </w:rPr>
            </w:pPr>
          </w:p>
        </w:tc>
        <w:tc>
          <w:tcPr>
            <w:tcW w:w="760" w:type="dxa"/>
            <w:vAlign w:val="center"/>
          </w:tcPr>
          <w:p>
            <w:pPr>
              <w:pStyle w:val="297"/>
              <w:spacing w:before="6"/>
              <w:ind w:left="10"/>
              <w:jc w:val="center"/>
              <w:rPr>
                <w:rFonts w:hint="eastAsia" w:ascii="宋体" w:hAnsi="宋体" w:eastAsia="宋体" w:cs="宋体"/>
                <w:kern w:val="2"/>
                <w:sz w:val="21"/>
                <w:szCs w:val="21"/>
                <w:highlight w:val="none"/>
                <w:lang w:val="en-US" w:eastAsia="zh-CN" w:bidi="ar-SA"/>
              </w:rPr>
            </w:pPr>
          </w:p>
        </w:tc>
        <w:tc>
          <w:tcPr>
            <w:tcW w:w="3641" w:type="dxa"/>
            <w:vAlign w:val="center"/>
          </w:tcPr>
          <w:p>
            <w:pPr>
              <w:pStyle w:val="297"/>
              <w:spacing w:before="6"/>
              <w:ind w:left="371" w:right="360"/>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1664" w:type="dxa"/>
            <w:vMerge w:val="continue"/>
            <w:tcBorders>
              <w:top w:val="nil"/>
            </w:tcBorders>
            <w:vAlign w:val="center"/>
          </w:tcPr>
          <w:p>
            <w:pPr>
              <w:jc w:val="center"/>
              <w:rPr>
                <w:rFonts w:hint="eastAsia" w:ascii="宋体" w:hAnsi="宋体" w:eastAsia="宋体" w:cs="宋体"/>
                <w:kern w:val="2"/>
                <w:sz w:val="21"/>
                <w:szCs w:val="21"/>
                <w:highlight w:val="none"/>
                <w:lang w:val="en-US" w:eastAsia="zh-CN" w:bidi="ar-SA"/>
              </w:rPr>
            </w:pPr>
          </w:p>
        </w:tc>
        <w:tc>
          <w:tcPr>
            <w:tcW w:w="2837" w:type="dxa"/>
            <w:vAlign w:val="center"/>
          </w:tcPr>
          <w:p>
            <w:pPr>
              <w:pStyle w:val="297"/>
              <w:ind w:left="189" w:right="177"/>
              <w:jc w:val="center"/>
              <w:rPr>
                <w:rFonts w:hint="eastAsia" w:ascii="宋体" w:hAnsi="宋体" w:eastAsia="宋体" w:cs="宋体"/>
                <w:kern w:val="2"/>
                <w:sz w:val="21"/>
                <w:szCs w:val="21"/>
                <w:highlight w:val="none"/>
                <w:lang w:val="en-US" w:eastAsia="zh-CN" w:bidi="ar-SA"/>
              </w:rPr>
            </w:pPr>
          </w:p>
        </w:tc>
        <w:tc>
          <w:tcPr>
            <w:tcW w:w="3152" w:type="dxa"/>
            <w:vAlign w:val="center"/>
          </w:tcPr>
          <w:p>
            <w:pPr>
              <w:pStyle w:val="297"/>
              <w:spacing w:before="5"/>
              <w:ind w:left="123" w:right="115"/>
              <w:jc w:val="center"/>
              <w:rPr>
                <w:rFonts w:hint="eastAsia" w:ascii="宋体" w:hAnsi="宋体" w:eastAsia="宋体" w:cs="宋体"/>
                <w:kern w:val="2"/>
                <w:sz w:val="21"/>
                <w:szCs w:val="21"/>
                <w:highlight w:val="none"/>
                <w:lang w:val="en-US" w:eastAsia="zh-CN" w:bidi="ar-SA"/>
              </w:rPr>
            </w:pPr>
          </w:p>
        </w:tc>
        <w:tc>
          <w:tcPr>
            <w:tcW w:w="2002" w:type="dxa"/>
            <w:vAlign w:val="center"/>
          </w:tcPr>
          <w:p>
            <w:pPr>
              <w:pStyle w:val="297"/>
              <w:spacing w:before="5"/>
              <w:ind w:left="212" w:right="200"/>
              <w:jc w:val="center"/>
              <w:rPr>
                <w:rFonts w:hint="eastAsia" w:ascii="宋体" w:hAnsi="宋体" w:eastAsia="宋体" w:cs="宋体"/>
                <w:kern w:val="2"/>
                <w:sz w:val="21"/>
                <w:szCs w:val="21"/>
                <w:highlight w:val="none"/>
                <w:lang w:val="en-US" w:eastAsia="zh-CN" w:bidi="ar-SA"/>
              </w:rPr>
            </w:pPr>
          </w:p>
        </w:tc>
        <w:tc>
          <w:tcPr>
            <w:tcW w:w="760" w:type="dxa"/>
            <w:vAlign w:val="center"/>
          </w:tcPr>
          <w:p>
            <w:pPr>
              <w:pStyle w:val="297"/>
              <w:spacing w:before="5"/>
              <w:ind w:left="10"/>
              <w:jc w:val="center"/>
              <w:rPr>
                <w:rFonts w:hint="eastAsia" w:ascii="宋体" w:hAnsi="宋体" w:eastAsia="宋体" w:cs="宋体"/>
                <w:kern w:val="2"/>
                <w:sz w:val="21"/>
                <w:szCs w:val="21"/>
                <w:highlight w:val="none"/>
                <w:lang w:val="en-US" w:eastAsia="zh-CN" w:bidi="ar-SA"/>
              </w:rPr>
            </w:pPr>
          </w:p>
        </w:tc>
        <w:tc>
          <w:tcPr>
            <w:tcW w:w="3641" w:type="dxa"/>
            <w:vAlign w:val="center"/>
          </w:tcPr>
          <w:p>
            <w:pPr>
              <w:pStyle w:val="297"/>
              <w:spacing w:before="5"/>
              <w:ind w:left="371" w:right="360"/>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664" w:type="dxa"/>
            <w:vMerge w:val="restart"/>
            <w:vAlign w:val="center"/>
          </w:tcPr>
          <w:p>
            <w:pPr>
              <w:pStyle w:val="297"/>
              <w:jc w:val="center"/>
              <w:rPr>
                <w:rFonts w:hint="eastAsia" w:ascii="宋体" w:hAnsi="宋体" w:eastAsia="宋体" w:cs="宋体"/>
                <w:kern w:val="2"/>
                <w:sz w:val="21"/>
                <w:szCs w:val="21"/>
                <w:highlight w:val="none"/>
                <w:lang w:val="en-US" w:eastAsia="zh-CN" w:bidi="ar-SA"/>
              </w:rPr>
            </w:pPr>
          </w:p>
          <w:p>
            <w:pPr>
              <w:pStyle w:val="297"/>
              <w:jc w:val="center"/>
              <w:rPr>
                <w:rFonts w:hint="eastAsia" w:ascii="宋体" w:hAnsi="宋体" w:eastAsia="宋体" w:cs="宋体"/>
                <w:kern w:val="2"/>
                <w:sz w:val="21"/>
                <w:szCs w:val="21"/>
                <w:highlight w:val="none"/>
                <w:lang w:val="en-US" w:eastAsia="zh-CN" w:bidi="ar-SA"/>
              </w:rPr>
            </w:pPr>
          </w:p>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竣工阶段</w:t>
            </w:r>
          </w:p>
        </w:tc>
        <w:tc>
          <w:tcPr>
            <w:tcW w:w="2837"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3152"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002"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760"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3641"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7" w:hRule="atLeast"/>
        </w:trPr>
        <w:tc>
          <w:tcPr>
            <w:tcW w:w="1664" w:type="dxa"/>
            <w:vMerge w:val="continue"/>
            <w:tcBorders>
              <w:top w:val="nil"/>
            </w:tcBorders>
            <w:vAlign w:val="center"/>
          </w:tcPr>
          <w:p>
            <w:pPr>
              <w:jc w:val="center"/>
              <w:rPr>
                <w:rFonts w:hint="eastAsia" w:ascii="宋体" w:hAnsi="宋体" w:eastAsia="宋体" w:cs="宋体"/>
                <w:kern w:val="2"/>
                <w:sz w:val="21"/>
                <w:szCs w:val="21"/>
                <w:highlight w:val="none"/>
                <w:lang w:val="en-US" w:eastAsia="zh-CN" w:bidi="ar-SA"/>
              </w:rPr>
            </w:pPr>
          </w:p>
        </w:tc>
        <w:tc>
          <w:tcPr>
            <w:tcW w:w="2837"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3152"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002"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760"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3641"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664"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其他服务</w:t>
            </w:r>
          </w:p>
        </w:tc>
        <w:tc>
          <w:tcPr>
            <w:tcW w:w="2837"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3152"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002"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760"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3641" w:type="dxa"/>
            <w:vAlign w:val="center"/>
          </w:tcPr>
          <w:p>
            <w:pPr>
              <w:pStyle w:val="297"/>
              <w:jc w:val="center"/>
              <w:rPr>
                <w:rFonts w:hint="eastAsia" w:ascii="宋体" w:hAnsi="宋体" w:eastAsia="宋体" w:cs="宋体"/>
                <w:kern w:val="2"/>
                <w:sz w:val="21"/>
                <w:szCs w:val="21"/>
                <w:highlight w:val="none"/>
                <w:lang w:val="en-US" w:eastAsia="zh-CN" w:bidi="ar-SA"/>
              </w:rPr>
            </w:pPr>
          </w:p>
        </w:tc>
      </w:tr>
    </w:tbl>
    <w:p>
      <w:pPr>
        <w:rPr>
          <w:rFonts w:ascii="Times New Roman"/>
          <w:highlight w:val="none"/>
        </w:rPr>
        <w:sectPr>
          <w:pgSz w:w="16840" w:h="11910" w:orient="landscape"/>
          <w:pgMar w:top="1417" w:right="1417" w:bottom="1417" w:left="1417" w:header="0" w:footer="975" w:gutter="0"/>
          <w:pgNumType w:fmt="numberInDash"/>
          <w:cols w:space="720" w:num="1"/>
        </w:sectPr>
      </w:pP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附录 C</w:t>
      </w:r>
      <w:r>
        <w:rPr>
          <w:rFonts w:hint="eastAsia" w:ascii="宋体" w:hAnsi="宋体" w:eastAsia="宋体" w:cs="宋体"/>
          <w:sz w:val="21"/>
          <w:szCs w:val="21"/>
          <w:highlight w:val="none"/>
        </w:rPr>
        <w:tab/>
      </w:r>
      <w:r>
        <w:rPr>
          <w:rFonts w:hint="eastAsia" w:ascii="宋体" w:hAnsi="宋体" w:eastAsia="宋体" w:cs="宋体"/>
          <w:sz w:val="21"/>
          <w:szCs w:val="21"/>
          <w:highlight w:val="none"/>
        </w:rPr>
        <w:t>委托人提供资料一览表</w:t>
      </w:r>
    </w:p>
    <w:p>
      <w:pPr>
        <w:pStyle w:val="22"/>
        <w:spacing w:before="5" w:after="1"/>
        <w:rPr>
          <w:b/>
          <w:sz w:val="14"/>
          <w:highlight w:val="none"/>
        </w:rPr>
      </w:pPr>
    </w:p>
    <w:tbl>
      <w:tblPr>
        <w:tblStyle w:val="50"/>
        <w:tblW w:w="0" w:type="auto"/>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1134"/>
        <w:gridCol w:w="2268"/>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3828"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名称</w:t>
            </w:r>
          </w:p>
        </w:tc>
        <w:tc>
          <w:tcPr>
            <w:tcW w:w="1134"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份数</w:t>
            </w:r>
          </w:p>
        </w:tc>
        <w:tc>
          <w:tcPr>
            <w:tcW w:w="2268"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提供时间</w:t>
            </w:r>
          </w:p>
        </w:tc>
        <w:tc>
          <w:tcPr>
            <w:tcW w:w="1701"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3828"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发改委批复的与建设工程相关的文件</w:t>
            </w:r>
          </w:p>
        </w:tc>
        <w:tc>
          <w:tcPr>
            <w:tcW w:w="1134"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268"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开展相应咨询工作前</w:t>
            </w:r>
          </w:p>
        </w:tc>
        <w:tc>
          <w:tcPr>
            <w:tcW w:w="1701"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3828"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批复的初设概算</w:t>
            </w:r>
          </w:p>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（包含初设图纸、初设概算）</w:t>
            </w:r>
          </w:p>
        </w:tc>
        <w:tc>
          <w:tcPr>
            <w:tcW w:w="1134"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268"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701"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3828"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施工图纸</w:t>
            </w:r>
          </w:p>
        </w:tc>
        <w:tc>
          <w:tcPr>
            <w:tcW w:w="1134"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268"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编制工程量清单及限价前</w:t>
            </w:r>
          </w:p>
        </w:tc>
        <w:tc>
          <w:tcPr>
            <w:tcW w:w="1701"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纸质版及电子版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3828"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招标文件及相关答疑</w:t>
            </w:r>
          </w:p>
        </w:tc>
        <w:tc>
          <w:tcPr>
            <w:tcW w:w="1134"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268"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编制工程量清单及限价前</w:t>
            </w:r>
          </w:p>
        </w:tc>
        <w:tc>
          <w:tcPr>
            <w:tcW w:w="1701"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828"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中标文件（技术标、商务标）</w:t>
            </w:r>
          </w:p>
        </w:tc>
        <w:tc>
          <w:tcPr>
            <w:tcW w:w="1134"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268"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701"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纸质版及电子版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6" w:hRule="atLeast"/>
        </w:trPr>
        <w:tc>
          <w:tcPr>
            <w:tcW w:w="3828" w:type="dxa"/>
            <w:vAlign w:val="center"/>
          </w:tcPr>
          <w:p>
            <w:pPr>
              <w:pStyle w:val="297"/>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施工合同</w:t>
            </w:r>
          </w:p>
        </w:tc>
        <w:tc>
          <w:tcPr>
            <w:tcW w:w="1134"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268"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701"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828"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134"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268"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701"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6" w:hRule="atLeast"/>
        </w:trPr>
        <w:tc>
          <w:tcPr>
            <w:tcW w:w="3828"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134"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268"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701"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3828"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134"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268"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701"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6" w:hRule="atLeast"/>
        </w:trPr>
        <w:tc>
          <w:tcPr>
            <w:tcW w:w="3828"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134"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268"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701"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3828"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134"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268"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701"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3828"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134"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2268" w:type="dxa"/>
            <w:vAlign w:val="center"/>
          </w:tcPr>
          <w:p>
            <w:pPr>
              <w:pStyle w:val="297"/>
              <w:jc w:val="center"/>
              <w:rPr>
                <w:rFonts w:hint="eastAsia" w:ascii="宋体" w:hAnsi="宋体" w:eastAsia="宋体" w:cs="宋体"/>
                <w:kern w:val="2"/>
                <w:sz w:val="21"/>
                <w:szCs w:val="21"/>
                <w:highlight w:val="none"/>
                <w:lang w:val="en-US" w:eastAsia="zh-CN" w:bidi="ar-SA"/>
              </w:rPr>
            </w:pPr>
          </w:p>
        </w:tc>
        <w:tc>
          <w:tcPr>
            <w:tcW w:w="1701" w:type="dxa"/>
            <w:vAlign w:val="center"/>
          </w:tcPr>
          <w:p>
            <w:pPr>
              <w:pStyle w:val="297"/>
              <w:jc w:val="center"/>
              <w:rPr>
                <w:rFonts w:hint="eastAsia" w:ascii="宋体" w:hAnsi="宋体" w:eastAsia="宋体" w:cs="宋体"/>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6" w:hRule="atLeast"/>
        </w:trPr>
        <w:tc>
          <w:tcPr>
            <w:tcW w:w="3828" w:type="dxa"/>
          </w:tcPr>
          <w:p>
            <w:pPr>
              <w:pStyle w:val="297"/>
              <w:rPr>
                <w:rFonts w:ascii="Times New Roman"/>
                <w:sz w:val="20"/>
                <w:highlight w:val="none"/>
              </w:rPr>
            </w:pPr>
          </w:p>
        </w:tc>
        <w:tc>
          <w:tcPr>
            <w:tcW w:w="1134" w:type="dxa"/>
          </w:tcPr>
          <w:p>
            <w:pPr>
              <w:pStyle w:val="297"/>
              <w:rPr>
                <w:rFonts w:ascii="Times New Roman"/>
                <w:sz w:val="20"/>
                <w:highlight w:val="none"/>
              </w:rPr>
            </w:pPr>
          </w:p>
        </w:tc>
        <w:tc>
          <w:tcPr>
            <w:tcW w:w="2268" w:type="dxa"/>
          </w:tcPr>
          <w:p>
            <w:pPr>
              <w:pStyle w:val="297"/>
              <w:rPr>
                <w:rFonts w:ascii="Times New Roman"/>
                <w:sz w:val="20"/>
                <w:highlight w:val="none"/>
              </w:rPr>
            </w:pPr>
          </w:p>
        </w:tc>
        <w:tc>
          <w:tcPr>
            <w:tcW w:w="1701" w:type="dxa"/>
          </w:tcPr>
          <w:p>
            <w:pPr>
              <w:pStyle w:val="297"/>
              <w:rPr>
                <w:rFonts w:ascii="Times New Roman"/>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3828" w:type="dxa"/>
          </w:tcPr>
          <w:p>
            <w:pPr>
              <w:pStyle w:val="297"/>
              <w:rPr>
                <w:rFonts w:ascii="Times New Roman"/>
                <w:sz w:val="20"/>
                <w:highlight w:val="none"/>
              </w:rPr>
            </w:pPr>
          </w:p>
        </w:tc>
        <w:tc>
          <w:tcPr>
            <w:tcW w:w="1134" w:type="dxa"/>
          </w:tcPr>
          <w:p>
            <w:pPr>
              <w:pStyle w:val="297"/>
              <w:rPr>
                <w:rFonts w:ascii="Times New Roman"/>
                <w:sz w:val="20"/>
                <w:highlight w:val="none"/>
              </w:rPr>
            </w:pPr>
          </w:p>
        </w:tc>
        <w:tc>
          <w:tcPr>
            <w:tcW w:w="2268" w:type="dxa"/>
          </w:tcPr>
          <w:p>
            <w:pPr>
              <w:pStyle w:val="297"/>
              <w:rPr>
                <w:rFonts w:ascii="Times New Roman"/>
                <w:sz w:val="20"/>
                <w:highlight w:val="none"/>
              </w:rPr>
            </w:pPr>
          </w:p>
        </w:tc>
        <w:tc>
          <w:tcPr>
            <w:tcW w:w="1701" w:type="dxa"/>
          </w:tcPr>
          <w:p>
            <w:pPr>
              <w:pStyle w:val="297"/>
              <w:rPr>
                <w:rFonts w:ascii="Times New Roman"/>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3828" w:type="dxa"/>
          </w:tcPr>
          <w:p>
            <w:pPr>
              <w:pStyle w:val="297"/>
              <w:rPr>
                <w:rFonts w:ascii="Times New Roman"/>
                <w:sz w:val="20"/>
                <w:highlight w:val="none"/>
              </w:rPr>
            </w:pPr>
          </w:p>
        </w:tc>
        <w:tc>
          <w:tcPr>
            <w:tcW w:w="1134" w:type="dxa"/>
          </w:tcPr>
          <w:p>
            <w:pPr>
              <w:pStyle w:val="297"/>
              <w:rPr>
                <w:rFonts w:ascii="Times New Roman"/>
                <w:sz w:val="20"/>
                <w:highlight w:val="none"/>
              </w:rPr>
            </w:pPr>
          </w:p>
        </w:tc>
        <w:tc>
          <w:tcPr>
            <w:tcW w:w="2268" w:type="dxa"/>
          </w:tcPr>
          <w:p>
            <w:pPr>
              <w:pStyle w:val="297"/>
              <w:rPr>
                <w:rFonts w:ascii="Times New Roman"/>
                <w:sz w:val="20"/>
                <w:highlight w:val="none"/>
              </w:rPr>
            </w:pPr>
          </w:p>
        </w:tc>
        <w:tc>
          <w:tcPr>
            <w:tcW w:w="1701" w:type="dxa"/>
          </w:tcPr>
          <w:p>
            <w:pPr>
              <w:pStyle w:val="297"/>
              <w:rPr>
                <w:rFonts w:ascii="Times New Roman"/>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3828" w:type="dxa"/>
          </w:tcPr>
          <w:p>
            <w:pPr>
              <w:pStyle w:val="297"/>
              <w:rPr>
                <w:rFonts w:ascii="Times New Roman"/>
                <w:sz w:val="20"/>
                <w:highlight w:val="none"/>
              </w:rPr>
            </w:pPr>
          </w:p>
        </w:tc>
        <w:tc>
          <w:tcPr>
            <w:tcW w:w="1134" w:type="dxa"/>
          </w:tcPr>
          <w:p>
            <w:pPr>
              <w:pStyle w:val="297"/>
              <w:rPr>
                <w:rFonts w:ascii="Times New Roman"/>
                <w:sz w:val="20"/>
                <w:highlight w:val="none"/>
              </w:rPr>
            </w:pPr>
          </w:p>
        </w:tc>
        <w:tc>
          <w:tcPr>
            <w:tcW w:w="2268" w:type="dxa"/>
          </w:tcPr>
          <w:p>
            <w:pPr>
              <w:pStyle w:val="297"/>
              <w:rPr>
                <w:rFonts w:ascii="Times New Roman"/>
                <w:sz w:val="20"/>
                <w:highlight w:val="none"/>
              </w:rPr>
            </w:pPr>
          </w:p>
        </w:tc>
        <w:tc>
          <w:tcPr>
            <w:tcW w:w="1701" w:type="dxa"/>
          </w:tcPr>
          <w:p>
            <w:pPr>
              <w:pStyle w:val="297"/>
              <w:rPr>
                <w:rFonts w:ascii="Times New Roman"/>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6" w:hRule="atLeast"/>
        </w:trPr>
        <w:tc>
          <w:tcPr>
            <w:tcW w:w="3828" w:type="dxa"/>
          </w:tcPr>
          <w:p>
            <w:pPr>
              <w:pStyle w:val="297"/>
              <w:rPr>
                <w:rFonts w:ascii="Times New Roman"/>
                <w:sz w:val="20"/>
                <w:highlight w:val="none"/>
              </w:rPr>
            </w:pPr>
          </w:p>
        </w:tc>
        <w:tc>
          <w:tcPr>
            <w:tcW w:w="1134" w:type="dxa"/>
          </w:tcPr>
          <w:p>
            <w:pPr>
              <w:pStyle w:val="297"/>
              <w:rPr>
                <w:rFonts w:ascii="Times New Roman"/>
                <w:sz w:val="20"/>
                <w:highlight w:val="none"/>
              </w:rPr>
            </w:pPr>
          </w:p>
        </w:tc>
        <w:tc>
          <w:tcPr>
            <w:tcW w:w="2268" w:type="dxa"/>
          </w:tcPr>
          <w:p>
            <w:pPr>
              <w:pStyle w:val="297"/>
              <w:rPr>
                <w:rFonts w:ascii="Times New Roman"/>
                <w:sz w:val="20"/>
                <w:highlight w:val="none"/>
              </w:rPr>
            </w:pPr>
          </w:p>
        </w:tc>
        <w:tc>
          <w:tcPr>
            <w:tcW w:w="1701" w:type="dxa"/>
          </w:tcPr>
          <w:p>
            <w:pPr>
              <w:pStyle w:val="297"/>
              <w:rPr>
                <w:rFonts w:ascii="Times New Roman"/>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3828" w:type="dxa"/>
          </w:tcPr>
          <w:p>
            <w:pPr>
              <w:pStyle w:val="297"/>
              <w:rPr>
                <w:rFonts w:ascii="Times New Roman"/>
                <w:sz w:val="20"/>
                <w:highlight w:val="none"/>
              </w:rPr>
            </w:pPr>
          </w:p>
        </w:tc>
        <w:tc>
          <w:tcPr>
            <w:tcW w:w="1134" w:type="dxa"/>
          </w:tcPr>
          <w:p>
            <w:pPr>
              <w:pStyle w:val="297"/>
              <w:rPr>
                <w:rFonts w:ascii="Times New Roman"/>
                <w:sz w:val="20"/>
                <w:highlight w:val="none"/>
              </w:rPr>
            </w:pPr>
          </w:p>
        </w:tc>
        <w:tc>
          <w:tcPr>
            <w:tcW w:w="2268" w:type="dxa"/>
          </w:tcPr>
          <w:p>
            <w:pPr>
              <w:pStyle w:val="297"/>
              <w:rPr>
                <w:rFonts w:ascii="Times New Roman"/>
                <w:sz w:val="20"/>
                <w:highlight w:val="none"/>
              </w:rPr>
            </w:pPr>
          </w:p>
        </w:tc>
        <w:tc>
          <w:tcPr>
            <w:tcW w:w="1701" w:type="dxa"/>
          </w:tcPr>
          <w:p>
            <w:pPr>
              <w:pStyle w:val="297"/>
              <w:rPr>
                <w:rFonts w:ascii="Times New Roman"/>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3828" w:type="dxa"/>
          </w:tcPr>
          <w:p>
            <w:pPr>
              <w:pStyle w:val="297"/>
              <w:rPr>
                <w:rFonts w:ascii="Times New Roman"/>
                <w:sz w:val="20"/>
                <w:highlight w:val="none"/>
              </w:rPr>
            </w:pPr>
          </w:p>
        </w:tc>
        <w:tc>
          <w:tcPr>
            <w:tcW w:w="1134" w:type="dxa"/>
          </w:tcPr>
          <w:p>
            <w:pPr>
              <w:pStyle w:val="297"/>
              <w:rPr>
                <w:rFonts w:ascii="Times New Roman"/>
                <w:sz w:val="20"/>
                <w:highlight w:val="none"/>
              </w:rPr>
            </w:pPr>
          </w:p>
        </w:tc>
        <w:tc>
          <w:tcPr>
            <w:tcW w:w="2268" w:type="dxa"/>
          </w:tcPr>
          <w:p>
            <w:pPr>
              <w:pStyle w:val="297"/>
              <w:rPr>
                <w:rFonts w:ascii="Times New Roman"/>
                <w:sz w:val="20"/>
                <w:highlight w:val="none"/>
              </w:rPr>
            </w:pPr>
          </w:p>
        </w:tc>
        <w:tc>
          <w:tcPr>
            <w:tcW w:w="1701" w:type="dxa"/>
          </w:tcPr>
          <w:p>
            <w:pPr>
              <w:pStyle w:val="297"/>
              <w:rPr>
                <w:rFonts w:ascii="Times New Roman"/>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3828" w:type="dxa"/>
          </w:tcPr>
          <w:p>
            <w:pPr>
              <w:pStyle w:val="297"/>
              <w:rPr>
                <w:rFonts w:ascii="Times New Roman"/>
                <w:sz w:val="20"/>
                <w:highlight w:val="none"/>
              </w:rPr>
            </w:pPr>
          </w:p>
        </w:tc>
        <w:tc>
          <w:tcPr>
            <w:tcW w:w="1134" w:type="dxa"/>
          </w:tcPr>
          <w:p>
            <w:pPr>
              <w:pStyle w:val="297"/>
              <w:rPr>
                <w:rFonts w:ascii="Times New Roman"/>
                <w:sz w:val="20"/>
                <w:highlight w:val="none"/>
              </w:rPr>
            </w:pPr>
          </w:p>
        </w:tc>
        <w:tc>
          <w:tcPr>
            <w:tcW w:w="2268" w:type="dxa"/>
          </w:tcPr>
          <w:p>
            <w:pPr>
              <w:pStyle w:val="297"/>
              <w:rPr>
                <w:rFonts w:ascii="Times New Roman"/>
                <w:sz w:val="20"/>
                <w:highlight w:val="none"/>
              </w:rPr>
            </w:pPr>
          </w:p>
        </w:tc>
        <w:tc>
          <w:tcPr>
            <w:tcW w:w="1701" w:type="dxa"/>
          </w:tcPr>
          <w:p>
            <w:pPr>
              <w:pStyle w:val="297"/>
              <w:rPr>
                <w:rFonts w:ascii="Times New Roman"/>
                <w:sz w:val="20"/>
                <w:highlight w:val="none"/>
              </w:rPr>
            </w:pPr>
          </w:p>
        </w:tc>
      </w:tr>
    </w:tbl>
    <w:p>
      <w:pPr>
        <w:pStyle w:val="22"/>
        <w:rPr>
          <w:rFonts w:hint="eastAsia"/>
          <w:highlight w:val="none"/>
        </w:rPr>
      </w:pPr>
    </w:p>
    <w:p>
      <w:pPr>
        <w:rPr>
          <w:rFonts w:hint="eastAsia"/>
          <w:highlight w:val="none"/>
        </w:rPr>
      </w:pPr>
    </w:p>
    <w:tbl>
      <w:tblPr>
        <w:tblStyle w:val="50"/>
        <w:tblW w:w="5000" w:type="pct"/>
        <w:tblInd w:w="0" w:type="dxa"/>
        <w:tblLayout w:type="autofit"/>
        <w:tblCellMar>
          <w:top w:w="0" w:type="dxa"/>
          <w:left w:w="108" w:type="dxa"/>
          <w:bottom w:w="0" w:type="dxa"/>
          <w:right w:w="108" w:type="dxa"/>
        </w:tblCellMar>
      </w:tblPr>
      <w:tblGrid>
        <w:gridCol w:w="1712"/>
        <w:gridCol w:w="2505"/>
        <w:gridCol w:w="2751"/>
        <w:gridCol w:w="2318"/>
      </w:tblGrid>
      <w:tr>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pPr>
              <w:jc w:val="center"/>
              <w:rPr>
                <w:rFonts w:hint="eastAsia" w:ascii="宋体" w:hAnsi="宋体" w:eastAsia="宋体" w:cs="宋体"/>
                <w:sz w:val="21"/>
                <w:szCs w:val="21"/>
                <w:highlight w:val="none"/>
              </w:rPr>
            </w:pPr>
            <w:bookmarkStart w:id="445" w:name="_Toc422322560"/>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附录D 委托人提供房屋及设备一览表</w:t>
            </w:r>
            <w:bookmarkEnd w:id="445"/>
          </w:p>
          <w:tbl>
            <w:tblPr>
              <w:tblStyle w:val="50"/>
              <w:tblW w:w="0" w:type="auto"/>
              <w:tblInd w:w="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0"/>
              <w:gridCol w:w="18"/>
              <w:gridCol w:w="18"/>
              <w:gridCol w:w="870"/>
              <w:gridCol w:w="2423"/>
              <w:gridCol w:w="2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770" w:type="dxa"/>
                  <w:noWrap w:val="0"/>
                  <w:vAlign w:val="center"/>
                </w:tcPr>
                <w:p>
                  <w:pPr>
                    <w:pStyle w:val="44"/>
                    <w:widowControl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名称</w:t>
                  </w:r>
                </w:p>
              </w:tc>
              <w:tc>
                <w:tcPr>
                  <w:tcW w:w="906" w:type="dxa"/>
                  <w:gridSpan w:val="3"/>
                  <w:noWrap w:val="0"/>
                  <w:vAlign w:val="center"/>
                </w:tcPr>
                <w:p>
                  <w:pPr>
                    <w:pStyle w:val="44"/>
                    <w:widowControl w:val="0"/>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数量</w:t>
                  </w:r>
                </w:p>
              </w:tc>
              <w:tc>
                <w:tcPr>
                  <w:tcW w:w="2423" w:type="dxa"/>
                  <w:noWrap w:val="0"/>
                  <w:vAlign w:val="center"/>
                </w:tcPr>
                <w:p>
                  <w:pPr>
                    <w:pStyle w:val="44"/>
                    <w:widowControl w:val="0"/>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面积、型号及规格</w:t>
                  </w:r>
                </w:p>
              </w:tc>
              <w:tc>
                <w:tcPr>
                  <w:tcW w:w="2621" w:type="dxa"/>
                  <w:noWrap w:val="0"/>
                  <w:vAlign w:val="center"/>
                </w:tcPr>
                <w:p>
                  <w:pPr>
                    <w:pStyle w:val="44"/>
                    <w:widowControl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提供时间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770" w:type="dxa"/>
                  <w:noWrap w:val="0"/>
                  <w:vAlign w:val="top"/>
                </w:tcPr>
                <w:p>
                  <w:pPr>
                    <w:pStyle w:val="44"/>
                    <w:widowControl w:val="0"/>
                    <w:jc w:val="both"/>
                    <w:rPr>
                      <w:rFonts w:hint="default" w:ascii="宋体" w:hAnsi="宋体" w:eastAsia="宋体" w:cs="宋体"/>
                      <w:sz w:val="21"/>
                      <w:szCs w:val="21"/>
                      <w:highlight w:val="none"/>
                      <w:lang w:val="en-US" w:eastAsia="zh-CN"/>
                    </w:rPr>
                  </w:pPr>
                  <w:r>
                    <w:rPr>
                      <w:rFonts w:hint="eastAsia" w:eastAsia="宋体" w:cs="宋体"/>
                      <w:sz w:val="21"/>
                      <w:szCs w:val="21"/>
                      <w:highlight w:val="none"/>
                      <w:lang w:val="en-US" w:eastAsia="zh-CN"/>
                    </w:rPr>
                    <w:t xml:space="preserve">     </w:t>
                  </w:r>
                </w:p>
              </w:tc>
              <w:tc>
                <w:tcPr>
                  <w:tcW w:w="906" w:type="dxa"/>
                  <w:gridSpan w:val="3"/>
                  <w:noWrap w:val="0"/>
                  <w:vAlign w:val="top"/>
                </w:tcPr>
                <w:p>
                  <w:pPr>
                    <w:rPr>
                      <w:rFonts w:hint="eastAsia" w:ascii="宋体" w:hAnsi="宋体" w:eastAsia="宋体" w:cs="宋体"/>
                      <w:sz w:val="21"/>
                      <w:szCs w:val="21"/>
                      <w:highlight w:val="none"/>
                    </w:rPr>
                  </w:pPr>
                </w:p>
              </w:tc>
              <w:tc>
                <w:tcPr>
                  <w:tcW w:w="2423" w:type="dxa"/>
                  <w:noWrap w:val="0"/>
                  <w:vAlign w:val="top"/>
                </w:tcPr>
                <w:p>
                  <w:pPr>
                    <w:rPr>
                      <w:rFonts w:hint="eastAsia" w:ascii="宋体" w:hAnsi="宋体" w:eastAsia="宋体" w:cs="宋体"/>
                      <w:sz w:val="21"/>
                      <w:szCs w:val="21"/>
                      <w:highlight w:val="none"/>
                    </w:rPr>
                  </w:pPr>
                </w:p>
              </w:tc>
              <w:tc>
                <w:tcPr>
                  <w:tcW w:w="2621" w:type="dxa"/>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9" w:hRule="atLeast"/>
              </w:trPr>
              <w:tc>
                <w:tcPr>
                  <w:tcW w:w="2770" w:type="dxa"/>
                  <w:noWrap w:val="0"/>
                  <w:vAlign w:val="top"/>
                </w:tcPr>
                <w:p>
                  <w:pPr>
                    <w:pStyle w:val="44"/>
                    <w:widowControl w:val="0"/>
                    <w:jc w:val="both"/>
                    <w:rPr>
                      <w:rFonts w:hint="eastAsia" w:ascii="宋体" w:hAnsi="宋体" w:eastAsia="宋体" w:cs="宋体"/>
                      <w:sz w:val="21"/>
                      <w:szCs w:val="21"/>
                      <w:highlight w:val="none"/>
                    </w:rPr>
                  </w:pPr>
                </w:p>
              </w:tc>
              <w:tc>
                <w:tcPr>
                  <w:tcW w:w="906" w:type="dxa"/>
                  <w:gridSpan w:val="3"/>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c>
                <w:tcPr>
                  <w:tcW w:w="2423" w:type="dxa"/>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c>
                <w:tcPr>
                  <w:tcW w:w="2621" w:type="dxa"/>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770" w:type="dxa"/>
                  <w:noWrap w:val="0"/>
                  <w:vAlign w:val="top"/>
                </w:tcPr>
                <w:p>
                  <w:pPr>
                    <w:pStyle w:val="44"/>
                    <w:widowControl w:val="0"/>
                    <w:jc w:val="both"/>
                    <w:rPr>
                      <w:rFonts w:hint="eastAsia" w:ascii="宋体" w:hAnsi="宋体" w:eastAsia="宋体" w:cs="宋体"/>
                      <w:sz w:val="21"/>
                      <w:szCs w:val="21"/>
                      <w:highlight w:val="none"/>
                    </w:rPr>
                  </w:pPr>
                </w:p>
              </w:tc>
              <w:tc>
                <w:tcPr>
                  <w:tcW w:w="906" w:type="dxa"/>
                  <w:gridSpan w:val="3"/>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c>
                <w:tcPr>
                  <w:tcW w:w="2423" w:type="dxa"/>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c>
                <w:tcPr>
                  <w:tcW w:w="2621" w:type="dxa"/>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9" w:hRule="atLeast"/>
              </w:trPr>
              <w:tc>
                <w:tcPr>
                  <w:tcW w:w="2770" w:type="dxa"/>
                  <w:noWrap w:val="0"/>
                  <w:vAlign w:val="top"/>
                </w:tcPr>
                <w:p>
                  <w:pPr>
                    <w:pStyle w:val="44"/>
                    <w:widowControl w:val="0"/>
                    <w:jc w:val="both"/>
                    <w:rPr>
                      <w:rFonts w:hint="eastAsia" w:ascii="宋体" w:hAnsi="宋体" w:eastAsia="宋体" w:cs="宋体"/>
                      <w:sz w:val="21"/>
                      <w:szCs w:val="21"/>
                      <w:highlight w:val="none"/>
                    </w:rPr>
                  </w:pPr>
                </w:p>
              </w:tc>
              <w:tc>
                <w:tcPr>
                  <w:tcW w:w="906" w:type="dxa"/>
                  <w:gridSpan w:val="3"/>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c>
                <w:tcPr>
                  <w:tcW w:w="2423" w:type="dxa"/>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c>
                <w:tcPr>
                  <w:tcW w:w="2621" w:type="dxa"/>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788" w:type="dxa"/>
                  <w:gridSpan w:val="2"/>
                  <w:noWrap w:val="0"/>
                  <w:vAlign w:val="top"/>
                </w:tcPr>
                <w:p>
                  <w:pPr>
                    <w:pStyle w:val="44"/>
                    <w:widowControl w:val="0"/>
                    <w:jc w:val="both"/>
                    <w:rPr>
                      <w:rFonts w:hint="eastAsia" w:ascii="宋体" w:hAnsi="宋体" w:eastAsia="宋体" w:cs="宋体"/>
                      <w:sz w:val="21"/>
                      <w:szCs w:val="21"/>
                      <w:highlight w:val="none"/>
                    </w:rPr>
                  </w:pPr>
                </w:p>
              </w:tc>
              <w:tc>
                <w:tcPr>
                  <w:tcW w:w="888" w:type="dxa"/>
                  <w:gridSpan w:val="2"/>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c>
                <w:tcPr>
                  <w:tcW w:w="2423" w:type="dxa"/>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c>
                <w:tcPr>
                  <w:tcW w:w="2621" w:type="dxa"/>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9" w:hRule="atLeast"/>
              </w:trPr>
              <w:tc>
                <w:tcPr>
                  <w:tcW w:w="2788" w:type="dxa"/>
                  <w:gridSpan w:val="2"/>
                  <w:noWrap w:val="0"/>
                  <w:vAlign w:val="top"/>
                </w:tcPr>
                <w:p>
                  <w:pPr>
                    <w:pStyle w:val="44"/>
                    <w:widowControl w:val="0"/>
                    <w:jc w:val="both"/>
                    <w:rPr>
                      <w:rFonts w:hint="eastAsia" w:ascii="宋体" w:hAnsi="宋体" w:eastAsia="宋体" w:cs="宋体"/>
                      <w:sz w:val="21"/>
                      <w:szCs w:val="21"/>
                      <w:highlight w:val="none"/>
                    </w:rPr>
                  </w:pPr>
                </w:p>
              </w:tc>
              <w:tc>
                <w:tcPr>
                  <w:tcW w:w="888" w:type="dxa"/>
                  <w:gridSpan w:val="2"/>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c>
                <w:tcPr>
                  <w:tcW w:w="2423" w:type="dxa"/>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c>
                <w:tcPr>
                  <w:tcW w:w="2621" w:type="dxa"/>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9" w:hRule="atLeast"/>
              </w:trPr>
              <w:tc>
                <w:tcPr>
                  <w:tcW w:w="2788" w:type="dxa"/>
                  <w:gridSpan w:val="2"/>
                  <w:noWrap w:val="0"/>
                  <w:vAlign w:val="top"/>
                </w:tcPr>
                <w:p>
                  <w:pPr>
                    <w:pStyle w:val="44"/>
                    <w:widowControl w:val="0"/>
                    <w:jc w:val="both"/>
                    <w:rPr>
                      <w:rFonts w:hint="eastAsia" w:ascii="宋体" w:hAnsi="宋体" w:eastAsia="宋体" w:cs="宋体"/>
                      <w:sz w:val="21"/>
                      <w:szCs w:val="21"/>
                      <w:highlight w:val="none"/>
                    </w:rPr>
                  </w:pPr>
                </w:p>
              </w:tc>
              <w:tc>
                <w:tcPr>
                  <w:tcW w:w="888" w:type="dxa"/>
                  <w:gridSpan w:val="2"/>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c>
                <w:tcPr>
                  <w:tcW w:w="2423" w:type="dxa"/>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c>
                <w:tcPr>
                  <w:tcW w:w="2621" w:type="dxa"/>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788" w:type="dxa"/>
                  <w:gridSpan w:val="2"/>
                  <w:noWrap w:val="0"/>
                  <w:vAlign w:val="top"/>
                </w:tcPr>
                <w:p>
                  <w:pPr>
                    <w:pStyle w:val="44"/>
                    <w:widowControl w:val="0"/>
                    <w:jc w:val="both"/>
                    <w:rPr>
                      <w:rFonts w:hint="eastAsia" w:ascii="宋体" w:hAnsi="宋体" w:eastAsia="宋体" w:cs="宋体"/>
                      <w:sz w:val="21"/>
                      <w:szCs w:val="21"/>
                      <w:highlight w:val="none"/>
                    </w:rPr>
                  </w:pPr>
                </w:p>
              </w:tc>
              <w:tc>
                <w:tcPr>
                  <w:tcW w:w="888" w:type="dxa"/>
                  <w:gridSpan w:val="2"/>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c>
                <w:tcPr>
                  <w:tcW w:w="2423" w:type="dxa"/>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c>
                <w:tcPr>
                  <w:tcW w:w="2621" w:type="dxa"/>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9" w:hRule="atLeast"/>
              </w:trPr>
              <w:tc>
                <w:tcPr>
                  <w:tcW w:w="2806" w:type="dxa"/>
                  <w:gridSpan w:val="3"/>
                  <w:noWrap w:val="0"/>
                  <w:vAlign w:val="top"/>
                </w:tcPr>
                <w:p>
                  <w:pPr>
                    <w:rPr>
                      <w:rFonts w:hint="eastAsia" w:ascii="宋体" w:hAnsi="宋体" w:eastAsia="宋体" w:cs="宋体"/>
                      <w:sz w:val="21"/>
                      <w:szCs w:val="21"/>
                      <w:highlight w:val="none"/>
                    </w:rPr>
                  </w:pPr>
                </w:p>
              </w:tc>
              <w:tc>
                <w:tcPr>
                  <w:tcW w:w="870" w:type="dxa"/>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c>
                <w:tcPr>
                  <w:tcW w:w="2423" w:type="dxa"/>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c>
                <w:tcPr>
                  <w:tcW w:w="2621" w:type="dxa"/>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806" w:type="dxa"/>
                  <w:gridSpan w:val="3"/>
                  <w:noWrap w:val="0"/>
                  <w:vAlign w:val="top"/>
                </w:tcPr>
                <w:p>
                  <w:pPr>
                    <w:rPr>
                      <w:rFonts w:hint="eastAsia" w:ascii="宋体" w:hAnsi="宋体" w:eastAsia="宋体" w:cs="宋体"/>
                      <w:sz w:val="21"/>
                      <w:szCs w:val="21"/>
                      <w:highlight w:val="none"/>
                    </w:rPr>
                  </w:pPr>
                </w:p>
              </w:tc>
              <w:tc>
                <w:tcPr>
                  <w:tcW w:w="870" w:type="dxa"/>
                  <w:noWrap w:val="0"/>
                  <w:vAlign w:val="top"/>
                </w:tcPr>
                <w:p>
                  <w:pPr>
                    <w:rPr>
                      <w:rFonts w:hint="eastAsia" w:ascii="宋体" w:hAnsi="宋体" w:eastAsia="宋体" w:cs="宋体"/>
                      <w:sz w:val="21"/>
                      <w:szCs w:val="21"/>
                      <w:highlight w:val="none"/>
                    </w:rPr>
                  </w:pPr>
                </w:p>
              </w:tc>
              <w:tc>
                <w:tcPr>
                  <w:tcW w:w="2423" w:type="dxa"/>
                  <w:noWrap w:val="0"/>
                  <w:vAlign w:val="top"/>
                </w:tcPr>
                <w:p>
                  <w:pPr>
                    <w:rPr>
                      <w:rFonts w:hint="eastAsia" w:ascii="宋体" w:hAnsi="宋体" w:eastAsia="宋体" w:cs="宋体"/>
                      <w:sz w:val="21"/>
                      <w:szCs w:val="21"/>
                      <w:highlight w:val="none"/>
                    </w:rPr>
                  </w:pPr>
                </w:p>
              </w:tc>
              <w:tc>
                <w:tcPr>
                  <w:tcW w:w="2621" w:type="dxa"/>
                  <w:noWrap w:val="0"/>
                  <w:vAlign w:val="top"/>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9" w:hRule="atLeast"/>
              </w:trPr>
              <w:tc>
                <w:tcPr>
                  <w:tcW w:w="2806" w:type="dxa"/>
                  <w:gridSpan w:val="3"/>
                  <w:noWrap w:val="0"/>
                  <w:vAlign w:val="top"/>
                </w:tcPr>
                <w:p>
                  <w:pPr>
                    <w:rPr>
                      <w:rFonts w:hint="eastAsia" w:ascii="宋体" w:hAnsi="宋体" w:eastAsia="宋体" w:cs="宋体"/>
                      <w:sz w:val="21"/>
                      <w:szCs w:val="21"/>
                      <w:highlight w:val="none"/>
                    </w:rPr>
                  </w:pPr>
                </w:p>
              </w:tc>
              <w:tc>
                <w:tcPr>
                  <w:tcW w:w="870" w:type="dxa"/>
                  <w:noWrap w:val="0"/>
                  <w:vAlign w:val="top"/>
                </w:tcPr>
                <w:p>
                  <w:pPr>
                    <w:rPr>
                      <w:rFonts w:hint="eastAsia" w:ascii="宋体" w:hAnsi="宋体" w:eastAsia="宋体" w:cs="宋体"/>
                      <w:sz w:val="21"/>
                      <w:szCs w:val="21"/>
                      <w:highlight w:val="none"/>
                    </w:rPr>
                  </w:pPr>
                </w:p>
              </w:tc>
              <w:tc>
                <w:tcPr>
                  <w:tcW w:w="2423" w:type="dxa"/>
                  <w:noWrap w:val="0"/>
                  <w:vAlign w:val="top"/>
                </w:tcPr>
                <w:p>
                  <w:pPr>
                    <w:rPr>
                      <w:rFonts w:hint="eastAsia" w:ascii="宋体" w:hAnsi="宋体" w:eastAsia="宋体" w:cs="宋体"/>
                      <w:sz w:val="21"/>
                      <w:szCs w:val="21"/>
                      <w:highlight w:val="none"/>
                    </w:rPr>
                  </w:pPr>
                </w:p>
              </w:tc>
              <w:tc>
                <w:tcPr>
                  <w:tcW w:w="2621" w:type="dxa"/>
                  <w:noWrap w:val="0"/>
                  <w:vAlign w:val="top"/>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9" w:hRule="atLeast"/>
              </w:trPr>
              <w:tc>
                <w:tcPr>
                  <w:tcW w:w="2806" w:type="dxa"/>
                  <w:gridSpan w:val="3"/>
                  <w:noWrap w:val="0"/>
                  <w:vAlign w:val="top"/>
                </w:tcPr>
                <w:p>
                  <w:pPr>
                    <w:rPr>
                      <w:rFonts w:hint="eastAsia" w:ascii="宋体" w:hAnsi="宋体" w:eastAsia="宋体" w:cs="宋体"/>
                      <w:sz w:val="21"/>
                      <w:szCs w:val="21"/>
                      <w:highlight w:val="none"/>
                    </w:rPr>
                  </w:pPr>
                </w:p>
              </w:tc>
              <w:tc>
                <w:tcPr>
                  <w:tcW w:w="870" w:type="dxa"/>
                  <w:noWrap w:val="0"/>
                  <w:vAlign w:val="top"/>
                </w:tcPr>
                <w:p>
                  <w:pPr>
                    <w:rPr>
                      <w:rFonts w:hint="eastAsia" w:ascii="宋体" w:hAnsi="宋体" w:eastAsia="宋体" w:cs="宋体"/>
                      <w:sz w:val="21"/>
                      <w:szCs w:val="21"/>
                      <w:highlight w:val="none"/>
                    </w:rPr>
                  </w:pPr>
                </w:p>
              </w:tc>
              <w:tc>
                <w:tcPr>
                  <w:tcW w:w="2423" w:type="dxa"/>
                  <w:noWrap w:val="0"/>
                  <w:vAlign w:val="top"/>
                </w:tcPr>
                <w:p>
                  <w:pPr>
                    <w:rPr>
                      <w:rFonts w:hint="eastAsia" w:ascii="宋体" w:hAnsi="宋体" w:eastAsia="宋体" w:cs="宋体"/>
                      <w:sz w:val="21"/>
                      <w:szCs w:val="21"/>
                      <w:highlight w:val="none"/>
                    </w:rPr>
                  </w:pPr>
                </w:p>
              </w:tc>
              <w:tc>
                <w:tcPr>
                  <w:tcW w:w="2621" w:type="dxa"/>
                  <w:noWrap w:val="0"/>
                  <w:vAlign w:val="top"/>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806" w:type="dxa"/>
                  <w:gridSpan w:val="3"/>
                  <w:noWrap w:val="0"/>
                  <w:vAlign w:val="top"/>
                </w:tcPr>
                <w:p>
                  <w:pPr>
                    <w:rPr>
                      <w:rFonts w:hint="eastAsia" w:ascii="宋体" w:hAnsi="宋体" w:eastAsia="宋体" w:cs="宋体"/>
                      <w:sz w:val="21"/>
                      <w:szCs w:val="21"/>
                      <w:highlight w:val="none"/>
                    </w:rPr>
                  </w:pPr>
                </w:p>
              </w:tc>
              <w:tc>
                <w:tcPr>
                  <w:tcW w:w="870" w:type="dxa"/>
                  <w:noWrap w:val="0"/>
                  <w:vAlign w:val="top"/>
                </w:tcPr>
                <w:p>
                  <w:pPr>
                    <w:rPr>
                      <w:rFonts w:hint="eastAsia" w:ascii="宋体" w:hAnsi="宋体" w:eastAsia="宋体" w:cs="宋体"/>
                      <w:sz w:val="21"/>
                      <w:szCs w:val="21"/>
                      <w:highlight w:val="none"/>
                    </w:rPr>
                  </w:pPr>
                </w:p>
              </w:tc>
              <w:tc>
                <w:tcPr>
                  <w:tcW w:w="2423" w:type="dxa"/>
                  <w:noWrap w:val="0"/>
                  <w:vAlign w:val="top"/>
                </w:tcPr>
                <w:p>
                  <w:pPr>
                    <w:rPr>
                      <w:rFonts w:hint="eastAsia" w:ascii="宋体" w:hAnsi="宋体" w:eastAsia="宋体" w:cs="宋体"/>
                      <w:sz w:val="21"/>
                      <w:szCs w:val="21"/>
                      <w:highlight w:val="none"/>
                    </w:rPr>
                  </w:pPr>
                </w:p>
              </w:tc>
              <w:tc>
                <w:tcPr>
                  <w:tcW w:w="2621" w:type="dxa"/>
                  <w:noWrap w:val="0"/>
                  <w:vAlign w:val="top"/>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9" w:hRule="atLeast"/>
              </w:trPr>
              <w:tc>
                <w:tcPr>
                  <w:tcW w:w="2806" w:type="dxa"/>
                  <w:gridSpan w:val="3"/>
                  <w:noWrap w:val="0"/>
                  <w:vAlign w:val="top"/>
                </w:tcPr>
                <w:p>
                  <w:pPr>
                    <w:rPr>
                      <w:rFonts w:hint="eastAsia" w:ascii="宋体" w:hAnsi="宋体" w:eastAsia="宋体" w:cs="宋体"/>
                      <w:sz w:val="21"/>
                      <w:szCs w:val="21"/>
                      <w:highlight w:val="none"/>
                    </w:rPr>
                  </w:pPr>
                </w:p>
              </w:tc>
              <w:tc>
                <w:tcPr>
                  <w:tcW w:w="870" w:type="dxa"/>
                  <w:noWrap w:val="0"/>
                  <w:vAlign w:val="top"/>
                </w:tcPr>
                <w:p>
                  <w:pPr>
                    <w:rPr>
                      <w:rFonts w:hint="eastAsia" w:ascii="宋体" w:hAnsi="宋体" w:eastAsia="宋体" w:cs="宋体"/>
                      <w:sz w:val="21"/>
                      <w:szCs w:val="21"/>
                      <w:highlight w:val="none"/>
                    </w:rPr>
                  </w:pPr>
                </w:p>
              </w:tc>
              <w:tc>
                <w:tcPr>
                  <w:tcW w:w="2423" w:type="dxa"/>
                  <w:noWrap w:val="0"/>
                  <w:vAlign w:val="top"/>
                </w:tcPr>
                <w:p>
                  <w:pPr>
                    <w:rPr>
                      <w:rFonts w:hint="eastAsia" w:ascii="宋体" w:hAnsi="宋体" w:eastAsia="宋体" w:cs="宋体"/>
                      <w:sz w:val="21"/>
                      <w:szCs w:val="21"/>
                      <w:highlight w:val="none"/>
                    </w:rPr>
                  </w:pPr>
                </w:p>
              </w:tc>
              <w:tc>
                <w:tcPr>
                  <w:tcW w:w="2621" w:type="dxa"/>
                  <w:noWrap w:val="0"/>
                  <w:vAlign w:val="top"/>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806" w:type="dxa"/>
                  <w:gridSpan w:val="3"/>
                  <w:noWrap w:val="0"/>
                  <w:vAlign w:val="top"/>
                </w:tcPr>
                <w:p>
                  <w:pPr>
                    <w:rPr>
                      <w:rFonts w:hint="eastAsia" w:ascii="宋体" w:hAnsi="宋体" w:eastAsia="宋体" w:cs="宋体"/>
                      <w:sz w:val="21"/>
                      <w:szCs w:val="21"/>
                      <w:highlight w:val="none"/>
                    </w:rPr>
                  </w:pPr>
                </w:p>
              </w:tc>
              <w:tc>
                <w:tcPr>
                  <w:tcW w:w="870" w:type="dxa"/>
                  <w:noWrap w:val="0"/>
                  <w:vAlign w:val="top"/>
                </w:tcPr>
                <w:p>
                  <w:pPr>
                    <w:rPr>
                      <w:rFonts w:hint="eastAsia" w:ascii="宋体" w:hAnsi="宋体" w:eastAsia="宋体" w:cs="宋体"/>
                      <w:sz w:val="21"/>
                      <w:szCs w:val="21"/>
                      <w:highlight w:val="none"/>
                    </w:rPr>
                  </w:pPr>
                </w:p>
              </w:tc>
              <w:tc>
                <w:tcPr>
                  <w:tcW w:w="2423" w:type="dxa"/>
                  <w:noWrap w:val="0"/>
                  <w:vAlign w:val="top"/>
                </w:tcPr>
                <w:p>
                  <w:pPr>
                    <w:rPr>
                      <w:rFonts w:hint="eastAsia" w:ascii="宋体" w:hAnsi="宋体" w:eastAsia="宋体" w:cs="宋体"/>
                      <w:sz w:val="21"/>
                      <w:szCs w:val="21"/>
                      <w:highlight w:val="none"/>
                    </w:rPr>
                  </w:pPr>
                </w:p>
              </w:tc>
              <w:tc>
                <w:tcPr>
                  <w:tcW w:w="2621" w:type="dxa"/>
                  <w:noWrap w:val="0"/>
                  <w:vAlign w:val="top"/>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9" w:hRule="atLeast"/>
              </w:trPr>
              <w:tc>
                <w:tcPr>
                  <w:tcW w:w="2806" w:type="dxa"/>
                  <w:gridSpan w:val="3"/>
                  <w:noWrap w:val="0"/>
                  <w:vAlign w:val="top"/>
                </w:tcPr>
                <w:p>
                  <w:pPr>
                    <w:rPr>
                      <w:rFonts w:hint="eastAsia" w:ascii="宋体" w:hAnsi="宋体" w:eastAsia="宋体" w:cs="宋体"/>
                      <w:sz w:val="21"/>
                      <w:szCs w:val="21"/>
                      <w:highlight w:val="none"/>
                    </w:rPr>
                  </w:pPr>
                </w:p>
              </w:tc>
              <w:tc>
                <w:tcPr>
                  <w:tcW w:w="870" w:type="dxa"/>
                  <w:noWrap w:val="0"/>
                  <w:vAlign w:val="top"/>
                </w:tcPr>
                <w:p>
                  <w:pPr>
                    <w:rPr>
                      <w:rFonts w:hint="eastAsia" w:ascii="宋体" w:hAnsi="宋体" w:eastAsia="宋体" w:cs="宋体"/>
                      <w:sz w:val="21"/>
                      <w:szCs w:val="21"/>
                      <w:highlight w:val="none"/>
                    </w:rPr>
                  </w:pPr>
                </w:p>
              </w:tc>
              <w:tc>
                <w:tcPr>
                  <w:tcW w:w="2423" w:type="dxa"/>
                  <w:noWrap w:val="0"/>
                  <w:vAlign w:val="top"/>
                </w:tcPr>
                <w:p>
                  <w:pPr>
                    <w:rPr>
                      <w:rFonts w:hint="eastAsia" w:ascii="宋体" w:hAnsi="宋体" w:eastAsia="宋体" w:cs="宋体"/>
                      <w:sz w:val="21"/>
                      <w:szCs w:val="21"/>
                      <w:highlight w:val="none"/>
                    </w:rPr>
                  </w:pPr>
                </w:p>
              </w:tc>
              <w:tc>
                <w:tcPr>
                  <w:tcW w:w="2621" w:type="dxa"/>
                  <w:noWrap w:val="0"/>
                  <w:vAlign w:val="top"/>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9" w:hRule="atLeast"/>
              </w:trPr>
              <w:tc>
                <w:tcPr>
                  <w:tcW w:w="2806" w:type="dxa"/>
                  <w:gridSpan w:val="3"/>
                  <w:noWrap w:val="0"/>
                  <w:vAlign w:val="top"/>
                </w:tcPr>
                <w:p>
                  <w:pPr>
                    <w:rPr>
                      <w:rFonts w:hint="eastAsia" w:ascii="宋体" w:hAnsi="宋体" w:eastAsia="宋体" w:cs="宋体"/>
                      <w:sz w:val="21"/>
                      <w:szCs w:val="21"/>
                      <w:highlight w:val="none"/>
                    </w:rPr>
                  </w:pPr>
                </w:p>
              </w:tc>
              <w:tc>
                <w:tcPr>
                  <w:tcW w:w="870" w:type="dxa"/>
                  <w:noWrap w:val="0"/>
                  <w:vAlign w:val="top"/>
                </w:tcPr>
                <w:p>
                  <w:pPr>
                    <w:rPr>
                      <w:rFonts w:hint="eastAsia" w:ascii="宋体" w:hAnsi="宋体" w:eastAsia="宋体" w:cs="宋体"/>
                      <w:sz w:val="21"/>
                      <w:szCs w:val="21"/>
                      <w:highlight w:val="none"/>
                    </w:rPr>
                  </w:pPr>
                </w:p>
              </w:tc>
              <w:tc>
                <w:tcPr>
                  <w:tcW w:w="2423" w:type="dxa"/>
                  <w:noWrap w:val="0"/>
                  <w:vAlign w:val="top"/>
                </w:tcPr>
                <w:p>
                  <w:pPr>
                    <w:rPr>
                      <w:rFonts w:hint="eastAsia" w:ascii="宋体" w:hAnsi="宋体" w:eastAsia="宋体" w:cs="宋体"/>
                      <w:sz w:val="21"/>
                      <w:szCs w:val="21"/>
                      <w:highlight w:val="none"/>
                    </w:rPr>
                  </w:pPr>
                </w:p>
              </w:tc>
              <w:tc>
                <w:tcPr>
                  <w:tcW w:w="2621" w:type="dxa"/>
                  <w:noWrap w:val="0"/>
                  <w:vAlign w:val="top"/>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806" w:type="dxa"/>
                  <w:gridSpan w:val="3"/>
                  <w:noWrap w:val="0"/>
                  <w:vAlign w:val="top"/>
                </w:tcPr>
                <w:p>
                  <w:pPr>
                    <w:rPr>
                      <w:rFonts w:hint="eastAsia" w:ascii="宋体" w:hAnsi="宋体" w:eastAsia="宋体" w:cs="宋体"/>
                      <w:sz w:val="21"/>
                      <w:szCs w:val="21"/>
                      <w:highlight w:val="none"/>
                    </w:rPr>
                  </w:pPr>
                </w:p>
              </w:tc>
              <w:tc>
                <w:tcPr>
                  <w:tcW w:w="870" w:type="dxa"/>
                  <w:noWrap w:val="0"/>
                  <w:vAlign w:val="top"/>
                </w:tcPr>
                <w:p>
                  <w:pPr>
                    <w:rPr>
                      <w:rFonts w:hint="eastAsia" w:ascii="宋体" w:hAnsi="宋体" w:eastAsia="宋体" w:cs="宋体"/>
                      <w:sz w:val="21"/>
                      <w:szCs w:val="21"/>
                      <w:highlight w:val="none"/>
                    </w:rPr>
                  </w:pPr>
                </w:p>
              </w:tc>
              <w:tc>
                <w:tcPr>
                  <w:tcW w:w="2423" w:type="dxa"/>
                  <w:noWrap w:val="0"/>
                  <w:vAlign w:val="top"/>
                </w:tcPr>
                <w:p>
                  <w:pPr>
                    <w:rPr>
                      <w:rFonts w:hint="eastAsia" w:ascii="宋体" w:hAnsi="宋体" w:eastAsia="宋体" w:cs="宋体"/>
                      <w:sz w:val="21"/>
                      <w:szCs w:val="21"/>
                      <w:highlight w:val="none"/>
                    </w:rPr>
                  </w:pPr>
                </w:p>
              </w:tc>
              <w:tc>
                <w:tcPr>
                  <w:tcW w:w="2621" w:type="dxa"/>
                  <w:noWrap w:val="0"/>
                  <w:vAlign w:val="top"/>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9" w:hRule="atLeast"/>
              </w:trPr>
              <w:tc>
                <w:tcPr>
                  <w:tcW w:w="2806" w:type="dxa"/>
                  <w:gridSpan w:val="3"/>
                  <w:noWrap w:val="0"/>
                  <w:vAlign w:val="top"/>
                </w:tcPr>
                <w:p>
                  <w:pPr>
                    <w:rPr>
                      <w:rFonts w:hint="eastAsia" w:ascii="宋体" w:hAnsi="宋体" w:eastAsia="宋体" w:cs="宋体"/>
                      <w:sz w:val="21"/>
                      <w:szCs w:val="21"/>
                      <w:highlight w:val="none"/>
                    </w:rPr>
                  </w:pPr>
                </w:p>
              </w:tc>
              <w:tc>
                <w:tcPr>
                  <w:tcW w:w="870" w:type="dxa"/>
                  <w:noWrap w:val="0"/>
                  <w:vAlign w:val="top"/>
                </w:tcPr>
                <w:p>
                  <w:pPr>
                    <w:rPr>
                      <w:rFonts w:hint="eastAsia" w:ascii="宋体" w:hAnsi="宋体" w:eastAsia="宋体" w:cs="宋体"/>
                      <w:sz w:val="21"/>
                      <w:szCs w:val="21"/>
                      <w:highlight w:val="none"/>
                    </w:rPr>
                  </w:pPr>
                </w:p>
              </w:tc>
              <w:tc>
                <w:tcPr>
                  <w:tcW w:w="2423" w:type="dxa"/>
                  <w:noWrap w:val="0"/>
                  <w:vAlign w:val="top"/>
                </w:tcPr>
                <w:p>
                  <w:pPr>
                    <w:rPr>
                      <w:rFonts w:hint="eastAsia" w:ascii="宋体" w:hAnsi="宋体" w:eastAsia="宋体" w:cs="宋体"/>
                      <w:sz w:val="21"/>
                      <w:szCs w:val="21"/>
                      <w:highlight w:val="none"/>
                    </w:rPr>
                  </w:pPr>
                </w:p>
              </w:tc>
              <w:tc>
                <w:tcPr>
                  <w:tcW w:w="2621" w:type="dxa"/>
                  <w:noWrap w:val="0"/>
                  <w:vAlign w:val="top"/>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2806" w:type="dxa"/>
                  <w:gridSpan w:val="3"/>
                  <w:noWrap w:val="0"/>
                  <w:vAlign w:val="top"/>
                </w:tcPr>
                <w:p>
                  <w:pPr>
                    <w:rPr>
                      <w:rFonts w:hint="eastAsia" w:ascii="宋体" w:hAnsi="宋体" w:eastAsia="宋体" w:cs="宋体"/>
                      <w:sz w:val="21"/>
                      <w:szCs w:val="21"/>
                      <w:highlight w:val="none"/>
                    </w:rPr>
                  </w:pPr>
                </w:p>
              </w:tc>
              <w:tc>
                <w:tcPr>
                  <w:tcW w:w="870" w:type="dxa"/>
                  <w:noWrap w:val="0"/>
                  <w:vAlign w:val="top"/>
                </w:tcPr>
                <w:p>
                  <w:pPr>
                    <w:rPr>
                      <w:rFonts w:hint="eastAsia" w:ascii="宋体" w:hAnsi="宋体" w:eastAsia="宋体" w:cs="宋体"/>
                      <w:sz w:val="21"/>
                      <w:szCs w:val="21"/>
                      <w:highlight w:val="none"/>
                    </w:rPr>
                  </w:pPr>
                </w:p>
              </w:tc>
              <w:tc>
                <w:tcPr>
                  <w:tcW w:w="2423" w:type="dxa"/>
                  <w:noWrap w:val="0"/>
                  <w:vAlign w:val="top"/>
                </w:tcPr>
                <w:p>
                  <w:pPr>
                    <w:rPr>
                      <w:rFonts w:hint="eastAsia" w:ascii="宋体" w:hAnsi="宋体" w:eastAsia="宋体" w:cs="宋体"/>
                      <w:sz w:val="21"/>
                      <w:szCs w:val="21"/>
                      <w:highlight w:val="none"/>
                    </w:rPr>
                  </w:pPr>
                </w:p>
              </w:tc>
              <w:tc>
                <w:tcPr>
                  <w:tcW w:w="2621" w:type="dxa"/>
                  <w:noWrap w:val="0"/>
                  <w:vAlign w:val="top"/>
                </w:tcPr>
                <w:p>
                  <w:pPr>
                    <w:rPr>
                      <w:rFonts w:hint="eastAsia" w:ascii="宋体" w:hAnsi="宋体" w:eastAsia="宋体" w:cs="宋体"/>
                      <w:sz w:val="21"/>
                      <w:szCs w:val="21"/>
                      <w:highlight w:val="none"/>
                    </w:rPr>
                  </w:pPr>
                </w:p>
              </w:tc>
            </w:tr>
          </w:tbl>
          <w:p>
            <w:pPr>
              <w:spacing w:line="360" w:lineRule="auto"/>
              <w:ind w:firstLine="480" w:firstLineChars="200"/>
              <w:rPr>
                <w:rFonts w:hint="default" w:ascii="Times New Roman" w:hAnsi="Times New Roman" w:eastAsia="仿宋_GB2312" w:cs="Times New Roman"/>
                <w:i w:val="0"/>
                <w:iCs w:val="0"/>
                <w:color w:val="auto"/>
                <w:sz w:val="24"/>
                <w:highlight w:val="none"/>
              </w:rPr>
            </w:pPr>
          </w:p>
          <w:p>
            <w:pPr>
              <w:widowControl/>
              <w:jc w:val="center"/>
              <w:rPr>
                <w:rFonts w:hint="default" w:ascii="Times New Roman" w:hAnsi="Times New Roman" w:eastAsia="仿宋_GB2312" w:cs="Times New Roman"/>
                <w:b/>
                <w:bCs/>
                <w:i w:val="0"/>
                <w:iCs w:val="0"/>
                <w:color w:val="auto"/>
                <w:kern w:val="0"/>
                <w:sz w:val="32"/>
                <w:szCs w:val="32"/>
                <w:highlight w:val="none"/>
              </w:rPr>
            </w:pPr>
            <w:r>
              <w:rPr>
                <w:rFonts w:hint="default" w:ascii="Times New Roman" w:hAnsi="Times New Roman" w:eastAsia="仿宋_GB2312" w:cs="Times New Roman"/>
                <w:b/>
                <w:bCs/>
                <w:i w:val="0"/>
                <w:iCs w:val="0"/>
                <w:color w:val="auto"/>
                <w:kern w:val="0"/>
                <w:sz w:val="32"/>
                <w:szCs w:val="32"/>
                <w:highlight w:val="none"/>
              </w:rPr>
              <w:t>政府采购项目货物（服务）验收入库报告单</w:t>
            </w:r>
          </w:p>
        </w:tc>
      </w:tr>
      <w:tr>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pPr>
              <w:widowControl/>
              <w:jc w:val="center"/>
              <w:rPr>
                <w:rFonts w:hint="default" w:ascii="Times New Roman" w:hAnsi="Times New Roman" w:eastAsia="仿宋_GB2312" w:cs="Times New Roman"/>
                <w:b/>
                <w:bCs/>
                <w:i w:val="0"/>
                <w:iCs w:val="0"/>
                <w:color w:val="auto"/>
                <w:kern w:val="0"/>
                <w:sz w:val="24"/>
                <w:highlight w:val="none"/>
              </w:rPr>
            </w:pPr>
            <w:r>
              <w:rPr>
                <w:rFonts w:hint="default" w:ascii="Times New Roman" w:hAnsi="Times New Roman" w:eastAsia="仿宋_GB2312" w:cs="Times New Roman"/>
                <w:b/>
                <w:bCs/>
                <w:i w:val="0"/>
                <w:iCs w:val="0"/>
                <w:color w:val="auto"/>
                <w:kern w:val="0"/>
                <w:sz w:val="24"/>
                <w:highlight w:val="none"/>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pPr>
              <w:widowControl/>
              <w:jc w:val="center"/>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hint="default" w:ascii="Times New Roman" w:hAnsi="Times New Roman" w:eastAsia="仿宋_GB2312" w:cs="Times New Roman"/>
                <w:b/>
                <w:bCs/>
                <w:i w:val="0"/>
                <w:iCs w:val="0"/>
                <w:color w:val="auto"/>
                <w:kern w:val="0"/>
                <w:sz w:val="24"/>
                <w:highlight w:val="none"/>
              </w:rPr>
            </w:pPr>
            <w:r>
              <w:rPr>
                <w:rFonts w:hint="default" w:ascii="Times New Roman" w:hAnsi="Times New Roman" w:eastAsia="仿宋_GB2312" w:cs="Times New Roman"/>
                <w:b/>
                <w:bCs/>
                <w:i w:val="0"/>
                <w:iCs w:val="0"/>
                <w:color w:val="auto"/>
                <w:kern w:val="0"/>
                <w:sz w:val="24"/>
                <w:highlight w:val="none"/>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pPr>
              <w:widowControl/>
              <w:jc w:val="center"/>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　</w:t>
            </w:r>
          </w:p>
        </w:tc>
      </w:tr>
      <w:tr>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pPr>
              <w:widowControl/>
              <w:jc w:val="center"/>
              <w:rPr>
                <w:rFonts w:hint="default" w:ascii="Times New Roman" w:hAnsi="Times New Roman" w:eastAsia="仿宋_GB2312" w:cs="Times New Roman"/>
                <w:b/>
                <w:bCs/>
                <w:i w:val="0"/>
                <w:iCs w:val="0"/>
                <w:color w:val="auto"/>
                <w:kern w:val="0"/>
                <w:sz w:val="24"/>
                <w:highlight w:val="none"/>
              </w:rPr>
            </w:pPr>
            <w:r>
              <w:rPr>
                <w:rFonts w:hint="default" w:ascii="Times New Roman" w:hAnsi="Times New Roman" w:eastAsia="仿宋_GB2312" w:cs="Times New Roman"/>
                <w:b/>
                <w:bCs/>
                <w:i w:val="0"/>
                <w:iCs w:val="0"/>
                <w:color w:val="auto"/>
                <w:kern w:val="0"/>
                <w:sz w:val="24"/>
                <w:highlight w:val="none"/>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　</w:t>
            </w:r>
          </w:p>
        </w:tc>
        <w:tc>
          <w:tcPr>
            <w:tcW w:w="1481" w:type="pct"/>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仿宋_GB2312" w:cs="Times New Roman"/>
                <w:b/>
                <w:bCs/>
                <w:i w:val="0"/>
                <w:iCs w:val="0"/>
                <w:color w:val="auto"/>
                <w:kern w:val="0"/>
                <w:sz w:val="24"/>
                <w:highlight w:val="none"/>
              </w:rPr>
            </w:pPr>
            <w:r>
              <w:rPr>
                <w:rFonts w:hint="default" w:ascii="Times New Roman" w:hAnsi="Times New Roman" w:eastAsia="仿宋_GB2312" w:cs="Times New Roman"/>
                <w:b/>
                <w:bCs/>
                <w:i w:val="0"/>
                <w:iCs w:val="0"/>
                <w:color w:val="auto"/>
                <w:kern w:val="0"/>
                <w:sz w:val="24"/>
                <w:highlight w:val="none"/>
              </w:rPr>
              <w:t>合同金额</w:t>
            </w:r>
          </w:p>
        </w:tc>
        <w:tc>
          <w:tcPr>
            <w:tcW w:w="1248" w:type="pct"/>
            <w:tcBorders>
              <w:top w:val="nil"/>
              <w:left w:val="nil"/>
              <w:bottom w:val="single" w:color="auto" w:sz="4" w:space="0"/>
              <w:right w:val="single" w:color="auto" w:sz="8" w:space="0"/>
            </w:tcBorders>
            <w:noWrap/>
            <w:vAlign w:val="center"/>
          </w:tcPr>
          <w:p>
            <w:pPr>
              <w:widowControl/>
              <w:jc w:val="left"/>
              <w:rPr>
                <w:rFonts w:hint="default" w:ascii="Times New Roman" w:hAnsi="Times New Roman" w:eastAsia="仿宋_GB2312" w:cs="Times New Roman"/>
                <w:b/>
                <w:bCs/>
                <w:i w:val="0"/>
                <w:iCs w:val="0"/>
                <w:color w:val="auto"/>
                <w:kern w:val="0"/>
                <w:sz w:val="24"/>
                <w:highlight w:val="none"/>
              </w:rPr>
            </w:pPr>
            <w:r>
              <w:rPr>
                <w:rFonts w:hint="default" w:ascii="Times New Roman" w:hAnsi="Times New Roman" w:eastAsia="仿宋_GB2312" w:cs="Times New Roman"/>
                <w:b/>
                <w:bCs/>
                <w:i w:val="0"/>
                <w:iCs w:val="0"/>
                <w:color w:val="auto"/>
                <w:kern w:val="0"/>
                <w:sz w:val="24"/>
                <w:highlight w:val="none"/>
              </w:rPr>
              <w:t>¥:</w:t>
            </w:r>
          </w:p>
        </w:tc>
      </w:tr>
      <w:tr>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pPr>
              <w:widowControl/>
              <w:jc w:val="left"/>
              <w:rPr>
                <w:rFonts w:hint="default" w:ascii="Times New Roman" w:hAnsi="Times New Roman" w:eastAsia="仿宋_GB2312" w:cs="Times New Roman"/>
                <w:b/>
                <w:bCs/>
                <w:i w:val="0"/>
                <w:iCs w:val="0"/>
                <w:color w:val="auto"/>
                <w:kern w:val="0"/>
                <w:sz w:val="24"/>
                <w:highlight w:val="none"/>
              </w:rPr>
            </w:pPr>
          </w:p>
        </w:tc>
        <w:tc>
          <w:tcPr>
            <w:tcW w:w="1349" w:type="pct"/>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eastAsia="仿宋_GB2312" w:cs="Times New Roman"/>
                <w:i w:val="0"/>
                <w:iCs w:val="0"/>
                <w:color w:val="auto"/>
                <w:kern w:val="0"/>
                <w:sz w:val="24"/>
                <w:highlight w:val="none"/>
              </w:rPr>
            </w:pPr>
          </w:p>
        </w:tc>
        <w:tc>
          <w:tcPr>
            <w:tcW w:w="1481" w:type="pct"/>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仿宋_GB2312" w:cs="Times New Roman"/>
                <w:b/>
                <w:bCs/>
                <w:i w:val="0"/>
                <w:iCs w:val="0"/>
                <w:color w:val="auto"/>
                <w:kern w:val="0"/>
                <w:sz w:val="24"/>
                <w:highlight w:val="none"/>
              </w:rPr>
            </w:pPr>
            <w:r>
              <w:rPr>
                <w:rFonts w:hint="default" w:ascii="Times New Roman" w:hAnsi="Times New Roman" w:eastAsia="仿宋_GB2312" w:cs="Times New Roman"/>
                <w:b/>
                <w:bCs/>
                <w:i w:val="0"/>
                <w:iCs w:val="0"/>
                <w:color w:val="auto"/>
                <w:kern w:val="0"/>
                <w:sz w:val="24"/>
                <w:highlight w:val="none"/>
              </w:rPr>
              <w:t>验收时间/地点</w:t>
            </w:r>
          </w:p>
        </w:tc>
        <w:tc>
          <w:tcPr>
            <w:tcW w:w="1248" w:type="pct"/>
            <w:tcBorders>
              <w:top w:val="nil"/>
              <w:left w:val="nil"/>
              <w:bottom w:val="single" w:color="auto" w:sz="4" w:space="0"/>
              <w:right w:val="single" w:color="auto" w:sz="8" w:space="0"/>
            </w:tcBorders>
            <w:noWrap/>
            <w:vAlign w:val="center"/>
          </w:tcPr>
          <w:p>
            <w:pPr>
              <w:widowControl/>
              <w:jc w:val="center"/>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　</w:t>
            </w:r>
          </w:p>
        </w:tc>
      </w:tr>
      <w:tr>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hint="default" w:ascii="Times New Roman" w:hAnsi="Times New Roman" w:eastAsia="仿宋_GB2312" w:cs="Times New Roman"/>
                <w:b/>
                <w:bCs/>
                <w:i w:val="0"/>
                <w:iCs w:val="0"/>
                <w:color w:val="auto"/>
                <w:kern w:val="0"/>
                <w:sz w:val="24"/>
                <w:highlight w:val="none"/>
              </w:rPr>
            </w:pPr>
            <w:r>
              <w:rPr>
                <w:rFonts w:hint="default" w:ascii="Times New Roman" w:hAnsi="Times New Roman" w:eastAsia="仿宋_GB2312" w:cs="Times New Roman"/>
                <w:b/>
                <w:bCs/>
                <w:i w:val="0"/>
                <w:iCs w:val="0"/>
                <w:color w:val="auto"/>
                <w:kern w:val="0"/>
                <w:sz w:val="24"/>
                <w:highlight w:val="none"/>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pPr>
              <w:widowControl/>
              <w:jc w:val="center"/>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hint="default" w:ascii="Times New Roman" w:hAnsi="Times New Roman" w:eastAsia="仿宋_GB2312" w:cs="Times New Roman"/>
                <w:b/>
                <w:bCs/>
                <w:i w:val="0"/>
                <w:iCs w:val="0"/>
                <w:color w:val="auto"/>
                <w:kern w:val="0"/>
                <w:sz w:val="24"/>
                <w:highlight w:val="none"/>
              </w:rPr>
            </w:pPr>
            <w:r>
              <w:rPr>
                <w:rFonts w:hint="default" w:ascii="Times New Roman" w:hAnsi="Times New Roman" w:eastAsia="仿宋_GB2312" w:cs="Times New Roman"/>
                <w:b/>
                <w:bCs/>
                <w:i w:val="0"/>
                <w:iCs w:val="0"/>
                <w:color w:val="auto"/>
                <w:kern w:val="0"/>
                <w:sz w:val="24"/>
                <w:highlight w:val="none"/>
              </w:rPr>
              <w:t>开户行</w:t>
            </w:r>
          </w:p>
        </w:tc>
        <w:tc>
          <w:tcPr>
            <w:tcW w:w="1349" w:type="pct"/>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　</w:t>
            </w:r>
          </w:p>
        </w:tc>
        <w:tc>
          <w:tcPr>
            <w:tcW w:w="1481" w:type="pct"/>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仿宋_GB2312" w:cs="Times New Roman"/>
                <w:b/>
                <w:bCs/>
                <w:i w:val="0"/>
                <w:iCs w:val="0"/>
                <w:color w:val="auto"/>
                <w:kern w:val="0"/>
                <w:sz w:val="24"/>
                <w:highlight w:val="none"/>
              </w:rPr>
            </w:pPr>
            <w:r>
              <w:rPr>
                <w:rFonts w:hint="default" w:ascii="Times New Roman" w:hAnsi="Times New Roman" w:eastAsia="仿宋_GB2312" w:cs="Times New Roman"/>
                <w:b/>
                <w:bCs/>
                <w:i w:val="0"/>
                <w:iCs w:val="0"/>
                <w:color w:val="auto"/>
                <w:kern w:val="0"/>
                <w:sz w:val="24"/>
                <w:highlight w:val="none"/>
              </w:rPr>
              <w:t>账号</w:t>
            </w:r>
          </w:p>
        </w:tc>
        <w:tc>
          <w:tcPr>
            <w:tcW w:w="1248" w:type="pct"/>
            <w:tcBorders>
              <w:top w:val="nil"/>
              <w:left w:val="nil"/>
              <w:bottom w:val="single" w:color="auto" w:sz="4" w:space="0"/>
              <w:right w:val="single" w:color="auto" w:sz="8" w:space="0"/>
            </w:tcBorders>
            <w:noWrap/>
            <w:vAlign w:val="center"/>
          </w:tcPr>
          <w:p>
            <w:pPr>
              <w:widowControl/>
              <w:jc w:val="center"/>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pPr>
              <w:widowControl/>
              <w:jc w:val="center"/>
              <w:rPr>
                <w:rFonts w:hint="default" w:ascii="Times New Roman" w:hAnsi="Times New Roman" w:eastAsia="仿宋_GB2312" w:cs="Times New Roman"/>
                <w:b/>
                <w:bCs/>
                <w:i w:val="0"/>
                <w:iCs w:val="0"/>
                <w:color w:val="auto"/>
                <w:kern w:val="0"/>
                <w:sz w:val="24"/>
                <w:highlight w:val="none"/>
              </w:rPr>
            </w:pPr>
            <w:r>
              <w:rPr>
                <w:rFonts w:hint="default" w:ascii="Times New Roman" w:hAnsi="Times New Roman" w:eastAsia="仿宋_GB2312" w:cs="Times New Roman"/>
                <w:b/>
                <w:bCs/>
                <w:i w:val="0"/>
                <w:iCs w:val="0"/>
                <w:color w:val="auto"/>
                <w:kern w:val="0"/>
                <w:sz w:val="24"/>
                <w:highlight w:val="none"/>
              </w:rPr>
              <w:t>联系人</w:t>
            </w:r>
          </w:p>
        </w:tc>
        <w:tc>
          <w:tcPr>
            <w:tcW w:w="1349" w:type="pct"/>
            <w:tcBorders>
              <w:top w:val="nil"/>
              <w:left w:val="nil"/>
              <w:bottom w:val="nil"/>
              <w:right w:val="single" w:color="auto" w:sz="4" w:space="0"/>
            </w:tcBorders>
            <w:noWrap/>
            <w:vAlign w:val="center"/>
          </w:tcPr>
          <w:p>
            <w:pPr>
              <w:widowControl/>
              <w:jc w:val="center"/>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　</w:t>
            </w:r>
          </w:p>
        </w:tc>
        <w:tc>
          <w:tcPr>
            <w:tcW w:w="1481" w:type="pct"/>
            <w:tcBorders>
              <w:top w:val="nil"/>
              <w:left w:val="nil"/>
              <w:bottom w:val="nil"/>
              <w:right w:val="single" w:color="auto" w:sz="4" w:space="0"/>
            </w:tcBorders>
            <w:noWrap/>
            <w:vAlign w:val="center"/>
          </w:tcPr>
          <w:p>
            <w:pPr>
              <w:widowControl/>
              <w:jc w:val="center"/>
              <w:rPr>
                <w:rFonts w:hint="default" w:ascii="Times New Roman" w:hAnsi="Times New Roman" w:eastAsia="仿宋_GB2312" w:cs="Times New Roman"/>
                <w:b/>
                <w:bCs/>
                <w:i w:val="0"/>
                <w:iCs w:val="0"/>
                <w:color w:val="auto"/>
                <w:kern w:val="0"/>
                <w:sz w:val="24"/>
                <w:highlight w:val="none"/>
              </w:rPr>
            </w:pPr>
            <w:r>
              <w:rPr>
                <w:rFonts w:hint="default" w:ascii="Times New Roman" w:hAnsi="Times New Roman" w:eastAsia="仿宋_GB2312" w:cs="Times New Roman"/>
                <w:b/>
                <w:bCs/>
                <w:i w:val="0"/>
                <w:iCs w:val="0"/>
                <w:color w:val="auto"/>
                <w:kern w:val="0"/>
                <w:sz w:val="24"/>
                <w:highlight w:val="none"/>
              </w:rPr>
              <w:t>电话</w:t>
            </w:r>
          </w:p>
        </w:tc>
        <w:tc>
          <w:tcPr>
            <w:tcW w:w="1248" w:type="pct"/>
            <w:tcBorders>
              <w:top w:val="nil"/>
              <w:left w:val="nil"/>
              <w:bottom w:val="nil"/>
              <w:right w:val="single" w:color="auto" w:sz="8" w:space="0"/>
            </w:tcBorders>
            <w:noWrap/>
            <w:vAlign w:val="center"/>
          </w:tcPr>
          <w:p>
            <w:pPr>
              <w:widowControl/>
              <w:jc w:val="center"/>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　</w:t>
            </w:r>
          </w:p>
        </w:tc>
      </w:tr>
      <w:tr>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pPr>
              <w:widowControl/>
              <w:jc w:val="left"/>
              <w:rPr>
                <w:rFonts w:hint="default" w:ascii="Times New Roman" w:hAnsi="Times New Roman" w:eastAsia="仿宋_GB2312" w:cs="Times New Roman"/>
                <w:b/>
                <w:bCs/>
                <w:i w:val="0"/>
                <w:iCs w:val="0"/>
                <w:color w:val="auto"/>
                <w:kern w:val="0"/>
                <w:sz w:val="24"/>
                <w:highlight w:val="none"/>
              </w:rPr>
            </w:pPr>
            <w:r>
              <w:rPr>
                <w:rFonts w:hint="default" w:ascii="Times New Roman" w:hAnsi="Times New Roman" w:eastAsia="仿宋_GB2312" w:cs="Times New Roman"/>
                <w:b/>
                <w:bCs/>
                <w:i w:val="0"/>
                <w:iCs w:val="0"/>
                <w:color w:val="auto"/>
                <w:kern w:val="0"/>
                <w:sz w:val="24"/>
                <w:highlight w:val="none"/>
              </w:rPr>
              <w:t xml:space="preserve">  供货单位：（盖章）</w:t>
            </w:r>
          </w:p>
        </w:tc>
        <w:tc>
          <w:tcPr>
            <w:tcW w:w="2729" w:type="pct"/>
            <w:gridSpan w:val="2"/>
            <w:tcBorders>
              <w:top w:val="single" w:color="auto" w:sz="4" w:space="0"/>
              <w:left w:val="single" w:color="auto" w:sz="4" w:space="0"/>
              <w:bottom w:val="nil"/>
              <w:right w:val="single" w:color="000000" w:sz="8" w:space="0"/>
            </w:tcBorders>
          </w:tcPr>
          <w:p>
            <w:pPr>
              <w:widowControl/>
              <w:jc w:val="left"/>
              <w:rPr>
                <w:rFonts w:hint="default" w:ascii="Times New Roman" w:hAnsi="Times New Roman" w:eastAsia="仿宋_GB2312" w:cs="Times New Roman"/>
                <w:b/>
                <w:bCs/>
                <w:i w:val="0"/>
                <w:iCs w:val="0"/>
                <w:color w:val="auto"/>
                <w:kern w:val="0"/>
                <w:sz w:val="24"/>
                <w:highlight w:val="none"/>
              </w:rPr>
            </w:pPr>
            <w:r>
              <w:rPr>
                <w:rFonts w:hint="default" w:ascii="Times New Roman" w:hAnsi="Times New Roman" w:eastAsia="仿宋_GB2312" w:cs="Times New Roman"/>
                <w:b/>
                <w:bCs/>
                <w:i w:val="0"/>
                <w:iCs w:val="0"/>
                <w:color w:val="auto"/>
                <w:kern w:val="0"/>
                <w:sz w:val="24"/>
                <w:highlight w:val="none"/>
              </w:rPr>
              <w:t xml:space="preserve">   使用单位验收意见：（盖章）</w:t>
            </w:r>
          </w:p>
          <w:p>
            <w:pPr>
              <w:rPr>
                <w:rFonts w:hint="default" w:ascii="Times New Roman" w:hAnsi="Times New Roman" w:eastAsia="仿宋_GB2312" w:cs="Times New Roman"/>
                <w:i w:val="0"/>
                <w:iCs w:val="0"/>
                <w:color w:val="auto"/>
                <w:sz w:val="24"/>
                <w:highlight w:val="none"/>
              </w:rPr>
            </w:pPr>
          </w:p>
        </w:tc>
      </w:tr>
      <w:tr>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pPr>
              <w:widowControl/>
              <w:jc w:val="center"/>
              <w:rPr>
                <w:rFonts w:hint="default" w:ascii="Times New Roman" w:hAnsi="Times New Roman" w:eastAsia="仿宋_GB2312" w:cs="Times New Roman"/>
                <w:b/>
                <w:bCs/>
                <w:i w:val="0"/>
                <w:iCs w:val="0"/>
                <w:color w:val="auto"/>
                <w:kern w:val="0"/>
                <w:sz w:val="24"/>
                <w:highlight w:val="none"/>
              </w:rPr>
            </w:pPr>
            <w:r>
              <w:rPr>
                <w:rFonts w:hint="default" w:ascii="Times New Roman" w:hAnsi="Times New Roman" w:eastAsia="仿宋_GB2312" w:cs="Times New Roman"/>
                <w:b/>
                <w:bCs/>
                <w:i w:val="0"/>
                <w:iCs w:val="0"/>
                <w:color w:val="auto"/>
                <w:kern w:val="0"/>
                <w:sz w:val="24"/>
                <w:highlight w:val="none"/>
              </w:rPr>
              <w:t xml:space="preserve"> 签字：</w:t>
            </w:r>
          </w:p>
        </w:tc>
        <w:tc>
          <w:tcPr>
            <w:tcW w:w="1349" w:type="pct"/>
            <w:tcBorders>
              <w:top w:val="nil"/>
              <w:left w:val="nil"/>
              <w:bottom w:val="nil"/>
              <w:right w:val="nil"/>
            </w:tcBorders>
            <w:noWrap/>
            <w:vAlign w:val="center"/>
          </w:tcPr>
          <w:p>
            <w:pPr>
              <w:widowControl/>
              <w:jc w:val="center"/>
              <w:rPr>
                <w:rFonts w:hint="default" w:ascii="Times New Roman" w:hAnsi="Times New Roman" w:eastAsia="仿宋_GB2312" w:cs="Times New Roman"/>
                <w:b/>
                <w:bCs/>
                <w:i w:val="0"/>
                <w:iCs w:val="0"/>
                <w:color w:val="auto"/>
                <w:kern w:val="0"/>
                <w:sz w:val="24"/>
                <w:highlight w:val="none"/>
              </w:rPr>
            </w:pPr>
          </w:p>
        </w:tc>
        <w:tc>
          <w:tcPr>
            <w:tcW w:w="1481" w:type="pct"/>
            <w:tcBorders>
              <w:top w:val="nil"/>
              <w:left w:val="single" w:color="auto" w:sz="4" w:space="0"/>
              <w:bottom w:val="nil"/>
              <w:right w:val="nil"/>
            </w:tcBorders>
            <w:noWrap/>
            <w:vAlign w:val="center"/>
          </w:tcPr>
          <w:p>
            <w:pPr>
              <w:widowControl/>
              <w:jc w:val="center"/>
              <w:rPr>
                <w:rFonts w:hint="default" w:ascii="Times New Roman" w:hAnsi="Times New Roman" w:eastAsia="仿宋_GB2312" w:cs="Times New Roman"/>
                <w:b/>
                <w:bCs/>
                <w:i w:val="0"/>
                <w:iCs w:val="0"/>
                <w:color w:val="auto"/>
                <w:kern w:val="0"/>
                <w:sz w:val="24"/>
                <w:highlight w:val="none"/>
              </w:rPr>
            </w:pPr>
            <w:r>
              <w:rPr>
                <w:rFonts w:hint="default" w:ascii="Times New Roman" w:hAnsi="Times New Roman" w:eastAsia="仿宋_GB2312" w:cs="Times New Roman"/>
                <w:b/>
                <w:bCs/>
                <w:i w:val="0"/>
                <w:iCs w:val="0"/>
                <w:color w:val="auto"/>
                <w:kern w:val="0"/>
                <w:sz w:val="24"/>
                <w:highlight w:val="none"/>
              </w:rPr>
              <w:t>签字：</w:t>
            </w:r>
          </w:p>
        </w:tc>
        <w:tc>
          <w:tcPr>
            <w:tcW w:w="1248" w:type="pct"/>
            <w:tcBorders>
              <w:top w:val="nil"/>
              <w:left w:val="nil"/>
              <w:bottom w:val="nil"/>
              <w:right w:val="single" w:color="auto" w:sz="8" w:space="0"/>
            </w:tcBorders>
          </w:tcPr>
          <w:p>
            <w:pPr>
              <w:widowControl/>
              <w:jc w:val="left"/>
              <w:rPr>
                <w:rFonts w:hint="default" w:ascii="Times New Roman" w:hAnsi="Times New Roman" w:eastAsia="仿宋_GB2312" w:cs="Times New Roman"/>
                <w:b/>
                <w:bCs/>
                <w:i w:val="0"/>
                <w:iCs w:val="0"/>
                <w:color w:val="auto"/>
                <w:kern w:val="0"/>
                <w:sz w:val="24"/>
                <w:highlight w:val="none"/>
              </w:rPr>
            </w:pPr>
            <w:r>
              <w:rPr>
                <w:rFonts w:hint="default" w:ascii="Times New Roman" w:hAnsi="Times New Roman" w:eastAsia="仿宋_GB2312" w:cs="Times New Roman"/>
                <w:b/>
                <w:bCs/>
                <w:i w:val="0"/>
                <w:iCs w:val="0"/>
                <w:color w:val="auto"/>
                <w:kern w:val="0"/>
                <w:sz w:val="24"/>
                <w:highlight w:val="none"/>
              </w:rPr>
              <w:t>　</w:t>
            </w:r>
          </w:p>
        </w:tc>
      </w:tr>
      <w:tr>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pPr>
              <w:widowControl/>
              <w:jc w:val="left"/>
              <w:rPr>
                <w:rFonts w:hint="default" w:ascii="Times New Roman" w:hAnsi="Times New Roman" w:eastAsia="仿宋_GB2312" w:cs="Times New Roman"/>
                <w:i w:val="0"/>
                <w:iCs w:val="0"/>
                <w:color w:val="auto"/>
                <w:kern w:val="0"/>
                <w:sz w:val="22"/>
                <w:szCs w:val="22"/>
                <w:highlight w:val="none"/>
              </w:rPr>
            </w:pPr>
            <w:r>
              <w:rPr>
                <w:rFonts w:hint="default" w:ascii="Times New Roman" w:hAnsi="Times New Roman" w:eastAsia="仿宋_GB2312" w:cs="Times New Roman"/>
                <w:i w:val="0"/>
                <w:iCs w:val="0"/>
                <w:color w:val="auto"/>
                <w:kern w:val="0"/>
                <w:sz w:val="22"/>
                <w:szCs w:val="22"/>
                <w:highlight w:val="none"/>
              </w:rPr>
              <w:t>　</w:t>
            </w:r>
          </w:p>
        </w:tc>
        <w:tc>
          <w:tcPr>
            <w:tcW w:w="1349" w:type="pct"/>
            <w:tcBorders>
              <w:top w:val="nil"/>
              <w:left w:val="nil"/>
              <w:bottom w:val="single" w:color="auto" w:sz="4" w:space="0"/>
              <w:right w:val="nil"/>
            </w:tcBorders>
            <w:vAlign w:val="bottom"/>
          </w:tcPr>
          <w:p>
            <w:pPr>
              <w:widowControl/>
              <w:jc w:val="right"/>
              <w:rPr>
                <w:rFonts w:hint="default" w:ascii="Times New Roman" w:hAnsi="Times New Roman" w:eastAsia="仿宋_GB2312" w:cs="Times New Roman"/>
                <w:i w:val="0"/>
                <w:iCs w:val="0"/>
                <w:color w:val="auto"/>
                <w:kern w:val="0"/>
                <w:sz w:val="22"/>
                <w:szCs w:val="22"/>
                <w:highlight w:val="none"/>
              </w:rPr>
            </w:pPr>
            <w:r>
              <w:rPr>
                <w:rFonts w:hint="default" w:ascii="Times New Roman" w:hAnsi="Times New Roman" w:eastAsia="仿宋_GB2312" w:cs="Times New Roman"/>
                <w:i w:val="0"/>
                <w:iCs w:val="0"/>
                <w:color w:val="auto"/>
                <w:kern w:val="0"/>
                <w:sz w:val="22"/>
                <w:szCs w:val="22"/>
                <w:highlight w:val="none"/>
              </w:rPr>
              <w:t>年     月   日</w:t>
            </w:r>
          </w:p>
        </w:tc>
        <w:tc>
          <w:tcPr>
            <w:tcW w:w="1481" w:type="pct"/>
            <w:tcBorders>
              <w:top w:val="nil"/>
              <w:left w:val="single" w:color="auto" w:sz="4" w:space="0"/>
              <w:bottom w:val="single" w:color="auto" w:sz="4" w:space="0"/>
              <w:right w:val="nil"/>
            </w:tcBorders>
            <w:noWrap/>
            <w:vAlign w:val="center"/>
          </w:tcPr>
          <w:p>
            <w:pPr>
              <w:widowControl/>
              <w:jc w:val="left"/>
              <w:rPr>
                <w:rFonts w:hint="default" w:ascii="Times New Roman" w:hAnsi="Times New Roman" w:eastAsia="仿宋_GB2312" w:cs="Times New Roman"/>
                <w:i w:val="0"/>
                <w:iCs w:val="0"/>
                <w:color w:val="auto"/>
                <w:kern w:val="0"/>
                <w:sz w:val="22"/>
                <w:szCs w:val="22"/>
                <w:highlight w:val="none"/>
              </w:rPr>
            </w:pPr>
            <w:r>
              <w:rPr>
                <w:rFonts w:hint="default" w:ascii="Times New Roman" w:hAnsi="Times New Roman" w:eastAsia="仿宋_GB2312" w:cs="Times New Roman"/>
                <w:i w:val="0"/>
                <w:iCs w:val="0"/>
                <w:color w:val="auto"/>
                <w:kern w:val="0"/>
                <w:sz w:val="22"/>
                <w:szCs w:val="22"/>
                <w:highlight w:val="none"/>
              </w:rPr>
              <w:t>　</w:t>
            </w:r>
          </w:p>
        </w:tc>
        <w:tc>
          <w:tcPr>
            <w:tcW w:w="1248" w:type="pct"/>
            <w:tcBorders>
              <w:top w:val="nil"/>
              <w:left w:val="nil"/>
              <w:bottom w:val="single" w:color="auto" w:sz="4" w:space="0"/>
              <w:right w:val="single" w:color="auto" w:sz="8" w:space="0"/>
            </w:tcBorders>
            <w:vAlign w:val="bottom"/>
          </w:tcPr>
          <w:p>
            <w:pPr>
              <w:widowControl/>
              <w:jc w:val="right"/>
              <w:rPr>
                <w:rFonts w:hint="default" w:ascii="Times New Roman" w:hAnsi="Times New Roman" w:eastAsia="仿宋_GB2312" w:cs="Times New Roman"/>
                <w:i w:val="0"/>
                <w:iCs w:val="0"/>
                <w:color w:val="auto"/>
                <w:kern w:val="0"/>
                <w:sz w:val="22"/>
                <w:szCs w:val="22"/>
                <w:highlight w:val="none"/>
              </w:rPr>
            </w:pPr>
            <w:r>
              <w:rPr>
                <w:rFonts w:hint="default" w:ascii="Times New Roman" w:hAnsi="Times New Roman" w:eastAsia="仿宋_GB2312" w:cs="Times New Roman"/>
                <w:i w:val="0"/>
                <w:iCs w:val="0"/>
                <w:color w:val="auto"/>
                <w:kern w:val="0"/>
                <w:sz w:val="22"/>
                <w:szCs w:val="22"/>
                <w:highlight w:val="none"/>
              </w:rPr>
              <w:t>年   月   日</w:t>
            </w:r>
          </w:p>
        </w:tc>
      </w:tr>
      <w:tr>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pPr>
              <w:widowControl/>
              <w:jc w:val="center"/>
              <w:rPr>
                <w:rFonts w:hint="default" w:ascii="Times New Roman" w:hAnsi="Times New Roman" w:eastAsia="仿宋_GB2312" w:cs="Times New Roman"/>
                <w:b/>
                <w:bCs/>
                <w:i w:val="0"/>
                <w:iCs w:val="0"/>
                <w:color w:val="auto"/>
                <w:kern w:val="0"/>
                <w:sz w:val="22"/>
                <w:szCs w:val="22"/>
                <w:highlight w:val="none"/>
              </w:rPr>
            </w:pPr>
            <w:r>
              <w:rPr>
                <w:rFonts w:hint="default" w:ascii="Times New Roman" w:hAnsi="Times New Roman" w:eastAsia="仿宋_GB2312" w:cs="Times New Roman"/>
                <w:b/>
                <w:bCs/>
                <w:i w:val="0"/>
                <w:iCs w:val="0"/>
                <w:color w:val="auto"/>
                <w:kern w:val="0"/>
                <w:sz w:val="22"/>
                <w:szCs w:val="22"/>
                <w:highlight w:val="none"/>
              </w:rPr>
              <w:t>采购内容</w:t>
            </w:r>
          </w:p>
        </w:tc>
      </w:tr>
      <w:tr>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pPr>
              <w:widowControl/>
              <w:jc w:val="center"/>
              <w:rPr>
                <w:rFonts w:hint="default" w:ascii="Times New Roman" w:hAnsi="Times New Roman" w:eastAsia="仿宋_GB2312" w:cs="Times New Roman"/>
                <w:b/>
                <w:bCs/>
                <w:i w:val="0"/>
                <w:iCs w:val="0"/>
                <w:color w:val="auto"/>
                <w:kern w:val="0"/>
                <w:sz w:val="28"/>
                <w:szCs w:val="28"/>
                <w:highlight w:val="none"/>
              </w:rPr>
            </w:pPr>
            <w:r>
              <w:rPr>
                <w:rFonts w:hint="default" w:ascii="Times New Roman" w:hAnsi="Times New Roman" w:eastAsia="仿宋_GB2312" w:cs="Times New Roman"/>
                <w:b/>
                <w:bCs/>
                <w:i w:val="0"/>
                <w:iCs w:val="0"/>
                <w:color w:val="auto"/>
                <w:kern w:val="0"/>
                <w:sz w:val="28"/>
                <w:szCs w:val="28"/>
                <w:highlight w:val="none"/>
              </w:rPr>
              <w:t>采购内容请列明品目、规格、型号、数量、单价、总价</w:t>
            </w:r>
          </w:p>
        </w:tc>
      </w:tr>
    </w:tbl>
    <w:p>
      <w:pPr>
        <w:pStyle w:val="22"/>
        <w:rPr>
          <w:rFonts w:hint="default" w:ascii="Times New Roman" w:hAnsi="Times New Roman" w:eastAsia="仿宋_GB2312" w:cs="Times New Roman"/>
          <w:i w:val="0"/>
          <w:iCs w:val="0"/>
          <w:color w:val="auto"/>
          <w:highlight w:val="none"/>
        </w:rPr>
      </w:pPr>
    </w:p>
    <w:p>
      <w:pPr>
        <w:rPr>
          <w:rFonts w:hint="default" w:ascii="Times New Roman" w:hAnsi="Times New Roman" w:eastAsia="仿宋_GB2312" w:cs="Times New Roman"/>
          <w:i w:val="0"/>
          <w:iCs w:val="0"/>
          <w:color w:val="auto"/>
          <w:highlight w:val="none"/>
        </w:rPr>
      </w:pPr>
    </w:p>
    <w:p>
      <w:pPr>
        <w:pStyle w:val="22"/>
        <w:rPr>
          <w:rFonts w:hint="default" w:ascii="Times New Roman" w:hAnsi="Times New Roman" w:eastAsia="仿宋_GB2312" w:cs="Times New Roman"/>
          <w:i w:val="0"/>
          <w:iCs w:val="0"/>
          <w:color w:val="auto"/>
          <w:highlight w:val="none"/>
        </w:rPr>
      </w:pPr>
    </w:p>
    <w:p>
      <w:pPr>
        <w:rPr>
          <w:rFonts w:hint="default" w:ascii="Times New Roman" w:hAnsi="Times New Roman" w:eastAsia="仿宋_GB2312" w:cs="Times New Roman"/>
          <w:i w:val="0"/>
          <w:iCs w:val="0"/>
          <w:color w:val="auto"/>
          <w:highlight w:val="none"/>
        </w:rPr>
      </w:pPr>
    </w:p>
    <w:p>
      <w:pPr>
        <w:pStyle w:val="22"/>
        <w:rPr>
          <w:rFonts w:hint="default" w:ascii="Times New Roman" w:hAnsi="Times New Roman" w:eastAsia="仿宋_GB2312" w:cs="Times New Roman"/>
          <w:i w:val="0"/>
          <w:iCs w:val="0"/>
          <w:color w:val="auto"/>
          <w:highlight w:val="none"/>
        </w:rPr>
      </w:pPr>
    </w:p>
    <w:p>
      <w:pPr>
        <w:rPr>
          <w:rFonts w:hint="default" w:ascii="Times New Roman" w:hAnsi="Times New Roman" w:eastAsia="仿宋_GB2312" w:cs="Times New Roman"/>
          <w:i w:val="0"/>
          <w:iCs w:val="0"/>
          <w:color w:val="auto"/>
          <w:highlight w:val="none"/>
        </w:rPr>
      </w:pPr>
    </w:p>
    <w:p>
      <w:pPr>
        <w:pStyle w:val="22"/>
        <w:rPr>
          <w:rFonts w:hint="default" w:ascii="Times New Roman" w:hAnsi="Times New Roman" w:eastAsia="仿宋_GB2312" w:cs="Times New Roman"/>
          <w:i w:val="0"/>
          <w:iCs w:val="0"/>
          <w:color w:val="auto"/>
          <w:highlight w:val="none"/>
        </w:rPr>
      </w:pPr>
    </w:p>
    <w:p>
      <w:pPr>
        <w:rPr>
          <w:rFonts w:hint="default" w:ascii="Times New Roman" w:hAnsi="Times New Roman" w:eastAsia="仿宋_GB2312" w:cs="Times New Roman"/>
          <w:i w:val="0"/>
          <w:iCs w:val="0"/>
          <w:color w:val="auto"/>
          <w:highlight w:val="none"/>
        </w:rPr>
      </w:pPr>
    </w:p>
    <w:p>
      <w:pPr>
        <w:pStyle w:val="22"/>
        <w:rPr>
          <w:rFonts w:hint="default" w:ascii="Times New Roman" w:hAnsi="Times New Roman" w:eastAsia="仿宋_GB2312" w:cs="Times New Roman"/>
          <w:i w:val="0"/>
          <w:iCs w:val="0"/>
          <w:color w:val="auto"/>
          <w:highlight w:val="none"/>
        </w:rPr>
      </w:pPr>
    </w:p>
    <w:p>
      <w:pPr>
        <w:rPr>
          <w:rFonts w:hint="default" w:ascii="Times New Roman" w:hAnsi="Times New Roman" w:eastAsia="仿宋_GB2312" w:cs="Times New Roman"/>
          <w:i w:val="0"/>
          <w:iCs w:val="0"/>
          <w:color w:val="auto"/>
          <w:highlight w:val="none"/>
        </w:rPr>
      </w:pPr>
    </w:p>
    <w:p>
      <w:pPr>
        <w:pStyle w:val="22"/>
        <w:rPr>
          <w:rFonts w:hint="default" w:ascii="Times New Roman" w:hAnsi="Times New Roman" w:eastAsia="仿宋_GB2312" w:cs="Times New Roman"/>
          <w:i w:val="0"/>
          <w:iCs w:val="0"/>
          <w:color w:val="auto"/>
          <w:highlight w:val="none"/>
        </w:rPr>
      </w:pPr>
    </w:p>
    <w:p>
      <w:pPr>
        <w:rPr>
          <w:rFonts w:hint="default" w:ascii="Times New Roman" w:hAnsi="Times New Roman" w:eastAsia="仿宋_GB2312" w:cs="Times New Roman"/>
          <w:i w:val="0"/>
          <w:iCs w:val="0"/>
          <w:color w:val="auto"/>
          <w:highlight w:val="none"/>
        </w:rPr>
      </w:pPr>
    </w:p>
    <w:p>
      <w:pPr>
        <w:pStyle w:val="22"/>
        <w:rPr>
          <w:rFonts w:hint="default" w:ascii="Times New Roman" w:hAnsi="Times New Roman" w:eastAsia="仿宋_GB2312" w:cs="Times New Roman"/>
          <w:i w:val="0"/>
          <w:iCs w:val="0"/>
          <w:color w:val="auto"/>
          <w:highlight w:val="none"/>
        </w:rPr>
      </w:pPr>
    </w:p>
    <w:p>
      <w:pPr>
        <w:rPr>
          <w:rFonts w:hint="default" w:ascii="Times New Roman" w:hAnsi="Times New Roman" w:eastAsia="仿宋_GB2312" w:cs="Times New Roman"/>
          <w:i w:val="0"/>
          <w:iCs w:val="0"/>
          <w:color w:val="auto"/>
          <w:highlight w:val="none"/>
        </w:rPr>
      </w:pPr>
    </w:p>
    <w:p>
      <w:pPr>
        <w:pStyle w:val="22"/>
        <w:rPr>
          <w:rFonts w:hint="default"/>
          <w:highlight w:val="none"/>
        </w:rPr>
      </w:pPr>
    </w:p>
    <w:p>
      <w:pPr>
        <w:pStyle w:val="46"/>
        <w:spacing w:line="360" w:lineRule="auto"/>
        <w:rPr>
          <w:rStyle w:val="203"/>
          <w:rFonts w:hint="default" w:ascii="Times New Roman" w:hAnsi="Times New Roman" w:eastAsia="宋体" w:cs="Times New Roman"/>
          <w:i w:val="0"/>
          <w:iCs w:val="0"/>
          <w:color w:val="auto"/>
          <w:sz w:val="36"/>
          <w:szCs w:val="36"/>
          <w:highlight w:val="none"/>
        </w:rPr>
      </w:pPr>
      <w:bookmarkStart w:id="446" w:name="_Toc58504448"/>
      <w:bookmarkStart w:id="447" w:name="_Toc68590980"/>
      <w:r>
        <w:rPr>
          <w:rStyle w:val="203"/>
          <w:rFonts w:hint="default" w:ascii="Times New Roman" w:hAnsi="Times New Roman" w:eastAsia="宋体" w:cs="Times New Roman"/>
          <w:i w:val="0"/>
          <w:iCs w:val="0"/>
          <w:color w:val="auto"/>
          <w:sz w:val="36"/>
          <w:szCs w:val="36"/>
          <w:highlight w:val="none"/>
        </w:rPr>
        <w:t>第五章  采购内容及要求</w:t>
      </w:r>
      <w:bookmarkEnd w:id="446"/>
      <w:bookmarkEnd w:id="447"/>
    </w:p>
    <w:p>
      <w:pPr>
        <w:autoSpaceDE w:val="0"/>
        <w:autoSpaceDN w:val="0"/>
        <w:adjustRightInd w:val="0"/>
        <w:snapToGrid w:val="0"/>
        <w:spacing w:line="580" w:lineRule="exact"/>
        <w:ind w:firstLine="482" w:firstLineChars="200"/>
        <w:rPr>
          <w:rFonts w:hint="eastAsia" w:ascii="仿宋" w:hAnsi="仿宋" w:eastAsia="仿宋" w:cs="仿宋"/>
          <w:b/>
          <w:bCs/>
          <w:color w:val="000000"/>
          <w:sz w:val="24"/>
          <w:szCs w:val="24"/>
          <w:highlight w:val="none"/>
          <w:lang w:val="en-US" w:eastAsia="zh-CN" w:bidi="ar"/>
        </w:rPr>
      </w:pPr>
      <w:bookmarkStart w:id="448" w:name="_Toc516479623"/>
      <w:r>
        <w:rPr>
          <w:rFonts w:hint="eastAsia" w:ascii="仿宋" w:hAnsi="仿宋" w:eastAsia="仿宋" w:cs="仿宋"/>
          <w:b/>
          <w:bCs/>
          <w:color w:val="000000"/>
          <w:sz w:val="24"/>
          <w:szCs w:val="24"/>
          <w:highlight w:val="none"/>
          <w:lang w:val="en-US" w:eastAsia="zh-CN" w:bidi="ar"/>
        </w:rPr>
        <w:t>一、工程概况</w:t>
      </w:r>
      <w:bookmarkEnd w:id="448"/>
    </w:p>
    <w:p>
      <w:pPr>
        <w:autoSpaceDE w:val="0"/>
        <w:autoSpaceDN w:val="0"/>
        <w:adjustRightInd w:val="0"/>
        <w:snapToGrid w:val="0"/>
        <w:spacing w:line="580" w:lineRule="exact"/>
        <w:ind w:firstLine="480" w:firstLineChars="200"/>
        <w:rPr>
          <w:rFonts w:hint="eastAsia" w:ascii="仿宋" w:hAnsi="仿宋" w:eastAsia="仿宋" w:cs="仿宋"/>
          <w:b w:val="0"/>
          <w:bCs w:val="0"/>
          <w:color w:val="000000"/>
          <w:sz w:val="24"/>
          <w:szCs w:val="24"/>
          <w:highlight w:val="none"/>
          <w:lang w:val="en-US" w:eastAsia="zh-CN" w:bidi="ar"/>
        </w:rPr>
      </w:pPr>
      <w:bookmarkStart w:id="449" w:name="_Toc516479624"/>
      <w:r>
        <w:rPr>
          <w:rFonts w:hint="eastAsia" w:ascii="仿宋" w:hAnsi="仿宋" w:eastAsia="仿宋" w:cs="仿宋"/>
          <w:b w:val="0"/>
          <w:bCs w:val="0"/>
          <w:color w:val="000000"/>
          <w:sz w:val="24"/>
          <w:szCs w:val="24"/>
          <w:highlight w:val="none"/>
          <w:lang w:val="en-US" w:eastAsia="zh-CN" w:bidi="ar"/>
        </w:rPr>
        <w:t>项目估算总投资约73630.29万元。总建筑面积77752.12㎡，设置500张床位，其中：地上建筑面积58631.44㎡，主要包括综合医院（200床）、传染病医院（300床）、医用隔离房；地下建筑面积19120.68㎡，主要包括设备用房及车库。停车位共704个，其中地上停车位294个，地下停车位410个。</w:t>
      </w:r>
    </w:p>
    <w:p>
      <w:pPr>
        <w:autoSpaceDE w:val="0"/>
        <w:autoSpaceDN w:val="0"/>
        <w:adjustRightInd w:val="0"/>
        <w:snapToGrid w:val="0"/>
        <w:spacing w:line="580" w:lineRule="exact"/>
        <w:ind w:firstLine="482" w:firstLineChars="200"/>
        <w:rPr>
          <w:rFonts w:hint="eastAsia" w:ascii="仿宋" w:hAnsi="仿宋" w:eastAsia="仿宋" w:cs="仿宋"/>
          <w:b/>
          <w:bCs/>
          <w:color w:val="000000"/>
          <w:sz w:val="24"/>
          <w:szCs w:val="24"/>
          <w:highlight w:val="none"/>
          <w:lang w:val="en-US" w:eastAsia="zh-CN" w:bidi="ar"/>
        </w:rPr>
      </w:pPr>
      <w:r>
        <w:rPr>
          <w:rFonts w:hint="eastAsia" w:ascii="仿宋" w:hAnsi="仿宋" w:eastAsia="仿宋" w:cs="仿宋"/>
          <w:b/>
          <w:bCs/>
          <w:color w:val="000000"/>
          <w:sz w:val="24"/>
          <w:szCs w:val="24"/>
          <w:highlight w:val="none"/>
          <w:lang w:val="en-US" w:eastAsia="zh-CN" w:bidi="ar"/>
        </w:rPr>
        <w:t>二、造价咨询服务范围</w:t>
      </w:r>
      <w:bookmarkEnd w:id="449"/>
    </w:p>
    <w:p>
      <w:pPr>
        <w:autoSpaceDE w:val="0"/>
        <w:autoSpaceDN w:val="0"/>
        <w:adjustRightInd w:val="0"/>
        <w:snapToGrid w:val="0"/>
        <w:spacing w:line="580" w:lineRule="exact"/>
        <w:ind w:firstLine="480" w:firstLineChars="200"/>
        <w:rPr>
          <w:rFonts w:hint="eastAsia" w:ascii="仿宋" w:hAnsi="仿宋" w:eastAsia="仿宋" w:cs="仿宋"/>
          <w:b w:val="0"/>
          <w:bCs w:val="0"/>
          <w:color w:val="000000"/>
          <w:sz w:val="24"/>
          <w:szCs w:val="24"/>
          <w:highlight w:val="none"/>
          <w:lang w:val="en-US" w:eastAsia="zh-CN" w:bidi="ar"/>
        </w:rPr>
      </w:pPr>
      <w:r>
        <w:rPr>
          <w:rFonts w:hint="eastAsia" w:ascii="仿宋" w:hAnsi="仿宋" w:eastAsia="仿宋" w:cs="仿宋"/>
          <w:b w:val="0"/>
          <w:bCs w:val="0"/>
          <w:color w:val="000000"/>
          <w:sz w:val="24"/>
          <w:szCs w:val="24"/>
          <w:highlight w:val="none"/>
          <w:lang w:val="en-US" w:eastAsia="zh-CN" w:bidi="ar"/>
        </w:rPr>
        <w:t>榆林市第三医院（市传染病医院）建设工程全过程造价咨询服务，包括从工程量清单编制开始到配合工程决算政府审计结束为止的全部造价咨询服务业务。</w:t>
      </w:r>
    </w:p>
    <w:p>
      <w:pPr>
        <w:autoSpaceDE w:val="0"/>
        <w:autoSpaceDN w:val="0"/>
        <w:adjustRightInd w:val="0"/>
        <w:snapToGrid w:val="0"/>
        <w:spacing w:line="580" w:lineRule="exact"/>
        <w:ind w:firstLine="482" w:firstLineChars="200"/>
        <w:rPr>
          <w:rFonts w:hint="eastAsia" w:ascii="仿宋" w:hAnsi="仿宋" w:eastAsia="仿宋" w:cs="仿宋"/>
          <w:b/>
          <w:bCs/>
          <w:color w:val="000000"/>
          <w:sz w:val="24"/>
          <w:szCs w:val="24"/>
          <w:highlight w:val="none"/>
          <w:lang w:val="en-US" w:eastAsia="zh-CN" w:bidi="ar"/>
        </w:rPr>
      </w:pPr>
      <w:bookmarkStart w:id="450" w:name="_Toc516479625"/>
      <w:r>
        <w:rPr>
          <w:rFonts w:hint="eastAsia" w:ascii="仿宋" w:hAnsi="仿宋" w:eastAsia="仿宋" w:cs="仿宋"/>
          <w:b/>
          <w:bCs/>
          <w:color w:val="000000"/>
          <w:sz w:val="24"/>
          <w:szCs w:val="24"/>
          <w:highlight w:val="none"/>
          <w:lang w:val="en-US" w:eastAsia="zh-CN" w:bidi="ar"/>
        </w:rPr>
        <w:t>三、造价咨询服务的内容</w:t>
      </w:r>
      <w:bookmarkEnd w:id="450"/>
    </w:p>
    <w:p>
      <w:pPr>
        <w:autoSpaceDE w:val="0"/>
        <w:autoSpaceDN w:val="0"/>
        <w:adjustRightInd w:val="0"/>
        <w:snapToGrid w:val="0"/>
        <w:spacing w:line="580" w:lineRule="exact"/>
        <w:ind w:firstLine="480" w:firstLineChars="200"/>
        <w:rPr>
          <w:rFonts w:hint="eastAsia" w:ascii="仿宋" w:hAnsi="仿宋" w:eastAsia="仿宋" w:cs="仿宋"/>
          <w:b w:val="0"/>
          <w:bCs w:val="0"/>
          <w:color w:val="000000"/>
          <w:sz w:val="24"/>
          <w:szCs w:val="24"/>
          <w:highlight w:val="none"/>
          <w:lang w:val="en-US" w:eastAsia="zh-CN" w:bidi="ar"/>
        </w:rPr>
      </w:pPr>
      <w:bookmarkStart w:id="451" w:name="_Toc516479626"/>
      <w:r>
        <w:rPr>
          <w:rFonts w:hint="eastAsia" w:ascii="仿宋" w:hAnsi="仿宋" w:eastAsia="仿宋" w:cs="仿宋"/>
          <w:b w:val="0"/>
          <w:bCs w:val="0"/>
          <w:color w:val="000000"/>
          <w:sz w:val="24"/>
          <w:szCs w:val="24"/>
          <w:highlight w:val="none"/>
          <w:lang w:val="en-US" w:eastAsia="zh-CN" w:bidi="ar"/>
        </w:rPr>
        <w:t xml:space="preserve">榆林市第三医院（市传染病医院）建设工程全过程造价咨询，包括但不限于以下内容： </w:t>
      </w:r>
    </w:p>
    <w:p>
      <w:pPr>
        <w:autoSpaceDE w:val="0"/>
        <w:autoSpaceDN w:val="0"/>
        <w:adjustRightInd w:val="0"/>
        <w:snapToGrid w:val="0"/>
        <w:spacing w:line="580" w:lineRule="exact"/>
        <w:ind w:firstLine="480" w:firstLineChars="200"/>
        <w:rPr>
          <w:rFonts w:hint="eastAsia" w:ascii="仿宋" w:hAnsi="仿宋" w:eastAsia="仿宋" w:cs="仿宋"/>
          <w:b w:val="0"/>
          <w:bCs w:val="0"/>
          <w:color w:val="000000"/>
          <w:sz w:val="24"/>
          <w:szCs w:val="24"/>
          <w:highlight w:val="none"/>
          <w:lang w:val="en-US" w:eastAsia="zh-CN" w:bidi="ar"/>
        </w:rPr>
      </w:pPr>
      <w:r>
        <w:rPr>
          <w:rFonts w:hint="eastAsia" w:ascii="仿宋" w:hAnsi="仿宋" w:eastAsia="仿宋" w:cs="仿宋"/>
          <w:b w:val="0"/>
          <w:bCs w:val="0"/>
          <w:color w:val="000000"/>
          <w:sz w:val="24"/>
          <w:szCs w:val="24"/>
          <w:highlight w:val="none"/>
          <w:lang w:val="en-US" w:eastAsia="zh-CN" w:bidi="ar"/>
        </w:rPr>
        <w:t>（1）协助施工招标及合同条款拟定；</w:t>
      </w:r>
    </w:p>
    <w:p>
      <w:pPr>
        <w:autoSpaceDE w:val="0"/>
        <w:autoSpaceDN w:val="0"/>
        <w:adjustRightInd w:val="0"/>
        <w:snapToGrid w:val="0"/>
        <w:spacing w:line="580" w:lineRule="exact"/>
        <w:ind w:firstLine="480" w:firstLineChars="200"/>
        <w:rPr>
          <w:rFonts w:hint="eastAsia" w:ascii="仿宋" w:hAnsi="仿宋" w:eastAsia="仿宋" w:cs="仿宋"/>
          <w:b w:val="0"/>
          <w:bCs w:val="0"/>
          <w:color w:val="000000"/>
          <w:sz w:val="24"/>
          <w:szCs w:val="24"/>
          <w:highlight w:val="none"/>
          <w:lang w:val="en-US" w:eastAsia="zh-CN" w:bidi="ar"/>
        </w:rPr>
      </w:pPr>
      <w:r>
        <w:rPr>
          <w:rFonts w:hint="eastAsia" w:ascii="仿宋" w:hAnsi="仿宋" w:eastAsia="仿宋" w:cs="仿宋"/>
          <w:b w:val="0"/>
          <w:bCs w:val="0"/>
          <w:color w:val="000000"/>
          <w:sz w:val="24"/>
          <w:szCs w:val="24"/>
          <w:highlight w:val="none"/>
          <w:lang w:val="en-US" w:eastAsia="zh-CN" w:bidi="ar"/>
        </w:rPr>
        <w:t>（2）招标工程量清单编审；</w:t>
      </w:r>
    </w:p>
    <w:p>
      <w:pPr>
        <w:autoSpaceDE w:val="0"/>
        <w:autoSpaceDN w:val="0"/>
        <w:adjustRightInd w:val="0"/>
        <w:snapToGrid w:val="0"/>
        <w:spacing w:line="580" w:lineRule="exact"/>
        <w:ind w:firstLine="480" w:firstLineChars="200"/>
        <w:rPr>
          <w:rFonts w:hint="eastAsia" w:ascii="仿宋" w:hAnsi="仿宋" w:eastAsia="仿宋" w:cs="仿宋"/>
          <w:b w:val="0"/>
          <w:bCs w:val="0"/>
          <w:color w:val="000000"/>
          <w:sz w:val="24"/>
          <w:szCs w:val="24"/>
          <w:highlight w:val="none"/>
          <w:lang w:val="en-US" w:eastAsia="zh-CN" w:bidi="ar"/>
        </w:rPr>
      </w:pPr>
      <w:r>
        <w:rPr>
          <w:rFonts w:hint="eastAsia" w:ascii="仿宋" w:hAnsi="仿宋" w:eastAsia="仿宋" w:cs="仿宋"/>
          <w:b w:val="0"/>
          <w:bCs w:val="0"/>
          <w:color w:val="000000"/>
          <w:sz w:val="24"/>
          <w:szCs w:val="24"/>
          <w:highlight w:val="none"/>
          <w:lang w:val="en-US" w:eastAsia="zh-CN" w:bidi="ar"/>
        </w:rPr>
        <w:t>（3）招标最高限价编审；</w:t>
      </w:r>
    </w:p>
    <w:p>
      <w:pPr>
        <w:autoSpaceDE w:val="0"/>
        <w:autoSpaceDN w:val="0"/>
        <w:adjustRightInd w:val="0"/>
        <w:snapToGrid w:val="0"/>
        <w:spacing w:line="580" w:lineRule="exact"/>
        <w:ind w:firstLine="480" w:firstLineChars="200"/>
        <w:rPr>
          <w:rFonts w:hint="eastAsia" w:ascii="仿宋" w:hAnsi="仿宋" w:eastAsia="仿宋" w:cs="仿宋"/>
          <w:b w:val="0"/>
          <w:bCs w:val="0"/>
          <w:color w:val="000000"/>
          <w:sz w:val="24"/>
          <w:szCs w:val="24"/>
          <w:highlight w:val="none"/>
          <w:lang w:val="en-US" w:eastAsia="zh-CN" w:bidi="ar"/>
        </w:rPr>
      </w:pPr>
      <w:r>
        <w:rPr>
          <w:rFonts w:hint="eastAsia" w:ascii="仿宋" w:hAnsi="仿宋" w:eastAsia="仿宋" w:cs="仿宋"/>
          <w:b w:val="0"/>
          <w:bCs w:val="0"/>
          <w:color w:val="000000"/>
          <w:sz w:val="24"/>
          <w:szCs w:val="24"/>
          <w:highlight w:val="none"/>
          <w:lang w:val="en-US" w:eastAsia="zh-CN" w:bidi="ar"/>
        </w:rPr>
        <w:t>（4）清标及定标；</w:t>
      </w:r>
    </w:p>
    <w:p>
      <w:pPr>
        <w:autoSpaceDE w:val="0"/>
        <w:autoSpaceDN w:val="0"/>
        <w:adjustRightInd w:val="0"/>
        <w:snapToGrid w:val="0"/>
        <w:spacing w:line="580" w:lineRule="exact"/>
        <w:ind w:firstLine="480" w:firstLineChars="200"/>
        <w:rPr>
          <w:rFonts w:hint="eastAsia" w:ascii="仿宋" w:hAnsi="仿宋" w:eastAsia="仿宋" w:cs="仿宋"/>
          <w:b w:val="0"/>
          <w:bCs w:val="0"/>
          <w:color w:val="000000"/>
          <w:sz w:val="24"/>
          <w:szCs w:val="24"/>
          <w:highlight w:val="none"/>
          <w:lang w:val="en-US" w:eastAsia="zh-CN" w:bidi="ar"/>
        </w:rPr>
      </w:pPr>
      <w:r>
        <w:rPr>
          <w:rFonts w:hint="eastAsia" w:ascii="仿宋" w:hAnsi="仿宋" w:eastAsia="仿宋" w:cs="仿宋"/>
          <w:b w:val="0"/>
          <w:bCs w:val="0"/>
          <w:color w:val="000000"/>
          <w:sz w:val="24"/>
          <w:szCs w:val="24"/>
          <w:highlight w:val="none"/>
          <w:lang w:val="en-US" w:eastAsia="zh-CN" w:bidi="ar"/>
        </w:rPr>
        <w:t>（5）协助合同签订。</w:t>
      </w:r>
    </w:p>
    <w:p>
      <w:pPr>
        <w:autoSpaceDE w:val="0"/>
        <w:autoSpaceDN w:val="0"/>
        <w:adjustRightInd w:val="0"/>
        <w:snapToGrid w:val="0"/>
        <w:spacing w:line="580" w:lineRule="exact"/>
        <w:ind w:firstLine="480" w:firstLineChars="200"/>
        <w:rPr>
          <w:rFonts w:hint="eastAsia" w:ascii="仿宋" w:hAnsi="仿宋" w:eastAsia="仿宋" w:cs="仿宋"/>
          <w:b w:val="0"/>
          <w:bCs w:val="0"/>
          <w:color w:val="000000"/>
          <w:sz w:val="24"/>
          <w:szCs w:val="24"/>
          <w:highlight w:val="none"/>
          <w:lang w:val="en-US" w:eastAsia="zh-CN" w:bidi="ar"/>
        </w:rPr>
      </w:pPr>
      <w:r>
        <w:rPr>
          <w:rFonts w:hint="eastAsia" w:ascii="仿宋" w:hAnsi="仿宋" w:eastAsia="仿宋" w:cs="仿宋"/>
          <w:b w:val="0"/>
          <w:bCs w:val="0"/>
          <w:color w:val="000000"/>
          <w:sz w:val="24"/>
          <w:szCs w:val="24"/>
          <w:highlight w:val="none"/>
          <w:lang w:val="en-US" w:eastAsia="zh-CN" w:bidi="ar"/>
        </w:rPr>
        <w:t>具体服务工程范围及服务工作内容，以委托人委托内容为准，同时，委托人保留根据咨询人服务情况，调整服务工程范围及服务工作内容的权利。</w:t>
      </w:r>
    </w:p>
    <w:p>
      <w:pPr>
        <w:autoSpaceDE w:val="0"/>
        <w:autoSpaceDN w:val="0"/>
        <w:adjustRightInd w:val="0"/>
        <w:snapToGrid w:val="0"/>
        <w:spacing w:line="580" w:lineRule="exact"/>
        <w:ind w:firstLine="482" w:firstLineChars="200"/>
        <w:rPr>
          <w:rFonts w:hint="eastAsia" w:ascii="仿宋" w:hAnsi="仿宋" w:eastAsia="仿宋" w:cs="仿宋"/>
          <w:b/>
          <w:bCs/>
          <w:color w:val="000000"/>
          <w:sz w:val="24"/>
          <w:szCs w:val="24"/>
          <w:highlight w:val="none"/>
          <w:lang w:val="en-US" w:eastAsia="zh-CN" w:bidi="ar"/>
        </w:rPr>
      </w:pPr>
      <w:r>
        <w:rPr>
          <w:rFonts w:hint="eastAsia" w:ascii="仿宋" w:hAnsi="仿宋" w:eastAsia="仿宋" w:cs="仿宋"/>
          <w:b/>
          <w:bCs/>
          <w:color w:val="000000"/>
          <w:sz w:val="24"/>
          <w:szCs w:val="24"/>
          <w:highlight w:val="none"/>
          <w:lang w:val="en-US" w:eastAsia="zh-CN" w:bidi="ar"/>
        </w:rPr>
        <w:t>四、造价咨询服务期</w:t>
      </w:r>
      <w:bookmarkEnd w:id="451"/>
    </w:p>
    <w:p>
      <w:pPr>
        <w:autoSpaceDE w:val="0"/>
        <w:autoSpaceDN w:val="0"/>
        <w:adjustRightInd w:val="0"/>
        <w:snapToGrid w:val="0"/>
        <w:spacing w:line="580" w:lineRule="exact"/>
        <w:ind w:firstLine="480" w:firstLineChars="200"/>
        <w:rPr>
          <w:rFonts w:hint="default" w:ascii="仿宋" w:hAnsi="仿宋" w:eastAsia="仿宋" w:cs="仿宋"/>
          <w:b w:val="0"/>
          <w:bCs w:val="0"/>
          <w:color w:val="000000"/>
          <w:sz w:val="24"/>
          <w:szCs w:val="24"/>
          <w:highlight w:val="none"/>
          <w:lang w:val="en-US" w:eastAsia="zh-CN" w:bidi="ar"/>
        </w:rPr>
      </w:pPr>
      <w:r>
        <w:rPr>
          <w:rFonts w:hint="eastAsia" w:ascii="仿宋" w:hAnsi="仿宋" w:eastAsia="仿宋" w:cs="仿宋"/>
          <w:b w:val="0"/>
          <w:bCs w:val="0"/>
          <w:color w:val="000000"/>
          <w:sz w:val="24"/>
          <w:szCs w:val="24"/>
          <w:highlight w:val="none"/>
          <w:lang w:val="en-US" w:eastAsia="zh-CN" w:bidi="ar"/>
        </w:rPr>
        <w:t>从榆林市第三医院（市传染病医院）建设工程全过程造价咨询合同签订生效日期开始至本项目通过政府决算审计日止。（如由于政府部门因素带来的工作延误或者工作量的增加不在委托方的责任范围，也不带来费用的增加。）</w:t>
      </w:r>
    </w:p>
    <w:p>
      <w:pPr>
        <w:autoSpaceDE w:val="0"/>
        <w:autoSpaceDN w:val="0"/>
        <w:adjustRightInd w:val="0"/>
        <w:snapToGrid w:val="0"/>
        <w:spacing w:line="580" w:lineRule="exact"/>
        <w:ind w:firstLine="482" w:firstLineChars="200"/>
        <w:rPr>
          <w:rFonts w:hint="eastAsia" w:ascii="仿宋" w:hAnsi="仿宋" w:eastAsia="仿宋" w:cs="仿宋"/>
          <w:b/>
          <w:bCs/>
          <w:color w:val="000000"/>
          <w:sz w:val="24"/>
          <w:szCs w:val="24"/>
          <w:highlight w:val="none"/>
          <w:lang w:val="en-US" w:eastAsia="zh-CN" w:bidi="ar"/>
        </w:rPr>
      </w:pPr>
      <w:bookmarkStart w:id="452" w:name="_Toc516479627"/>
      <w:r>
        <w:rPr>
          <w:rFonts w:hint="eastAsia" w:ascii="仿宋" w:hAnsi="仿宋" w:eastAsia="仿宋" w:cs="仿宋"/>
          <w:b/>
          <w:bCs/>
          <w:color w:val="000000"/>
          <w:sz w:val="24"/>
          <w:szCs w:val="24"/>
          <w:highlight w:val="none"/>
          <w:lang w:val="en-US" w:eastAsia="zh-CN" w:bidi="ar"/>
        </w:rPr>
        <w:t>五、造价咨询服务的基本要求</w:t>
      </w:r>
      <w:bookmarkEnd w:id="452"/>
      <w:r>
        <w:rPr>
          <w:rFonts w:hint="eastAsia" w:ascii="仿宋" w:hAnsi="仿宋" w:eastAsia="仿宋" w:cs="仿宋"/>
          <w:b/>
          <w:bCs/>
          <w:color w:val="000000"/>
          <w:sz w:val="24"/>
          <w:szCs w:val="24"/>
          <w:highlight w:val="none"/>
          <w:lang w:val="en-US" w:eastAsia="zh-CN" w:bidi="ar"/>
        </w:rPr>
        <w:t xml:space="preserve"> </w:t>
      </w:r>
    </w:p>
    <w:p>
      <w:pPr>
        <w:autoSpaceDE w:val="0"/>
        <w:autoSpaceDN w:val="0"/>
        <w:adjustRightInd w:val="0"/>
        <w:snapToGrid w:val="0"/>
        <w:spacing w:line="580" w:lineRule="exact"/>
        <w:ind w:firstLine="480" w:firstLineChars="200"/>
        <w:rPr>
          <w:rFonts w:hint="eastAsia" w:ascii="仿宋" w:hAnsi="仿宋" w:eastAsia="仿宋" w:cs="仿宋"/>
          <w:b w:val="0"/>
          <w:bCs w:val="0"/>
          <w:color w:val="000000"/>
          <w:sz w:val="24"/>
          <w:szCs w:val="24"/>
          <w:highlight w:val="none"/>
          <w:lang w:val="en-US" w:eastAsia="zh-CN" w:bidi="ar"/>
        </w:rPr>
      </w:pPr>
      <w:r>
        <w:rPr>
          <w:rFonts w:hint="eastAsia" w:ascii="仿宋" w:hAnsi="仿宋" w:eastAsia="仿宋" w:cs="仿宋"/>
          <w:b w:val="0"/>
          <w:bCs w:val="0"/>
          <w:color w:val="000000"/>
          <w:sz w:val="24"/>
          <w:szCs w:val="24"/>
          <w:highlight w:val="none"/>
          <w:lang w:val="en-US" w:eastAsia="zh-CN" w:bidi="ar"/>
        </w:rPr>
        <w:t>5.1咨询人应按照《建设工程造价咨询规范》（GB/T51095-2015）要求（如合同期内规范更新，以最新要求为准）开展造价咨询服务工作。</w:t>
      </w:r>
    </w:p>
    <w:p>
      <w:pPr>
        <w:autoSpaceDE w:val="0"/>
        <w:autoSpaceDN w:val="0"/>
        <w:adjustRightInd w:val="0"/>
        <w:snapToGrid w:val="0"/>
        <w:spacing w:line="580" w:lineRule="exact"/>
        <w:ind w:firstLine="480" w:firstLineChars="200"/>
        <w:rPr>
          <w:rFonts w:hint="eastAsia" w:ascii="仿宋" w:hAnsi="仿宋" w:eastAsia="仿宋" w:cs="仿宋"/>
          <w:b w:val="0"/>
          <w:bCs w:val="0"/>
          <w:color w:val="000000"/>
          <w:sz w:val="24"/>
          <w:szCs w:val="24"/>
          <w:highlight w:val="none"/>
          <w:lang w:val="en-US" w:eastAsia="zh-CN" w:bidi="ar"/>
        </w:rPr>
      </w:pPr>
      <w:r>
        <w:rPr>
          <w:rFonts w:hint="eastAsia" w:ascii="仿宋" w:hAnsi="仿宋" w:eastAsia="仿宋" w:cs="仿宋"/>
          <w:b w:val="0"/>
          <w:bCs w:val="0"/>
          <w:color w:val="000000"/>
          <w:sz w:val="24"/>
          <w:szCs w:val="24"/>
          <w:highlight w:val="none"/>
          <w:lang w:val="en-US" w:eastAsia="zh-CN" w:bidi="ar"/>
        </w:rPr>
        <w:t>5.2造价咨询人员从事工程建设造价咨询活动，应当遵纪守法、诚信、公正、科学的准则，应有良好的执业道德和严谨的工作作风。</w:t>
      </w:r>
    </w:p>
    <w:p>
      <w:pPr>
        <w:autoSpaceDE w:val="0"/>
        <w:autoSpaceDN w:val="0"/>
        <w:adjustRightInd w:val="0"/>
        <w:snapToGrid w:val="0"/>
        <w:spacing w:line="580" w:lineRule="exact"/>
        <w:ind w:firstLine="480" w:firstLineChars="200"/>
        <w:rPr>
          <w:rFonts w:hint="eastAsia" w:ascii="仿宋" w:hAnsi="仿宋" w:eastAsia="仿宋" w:cs="仿宋"/>
          <w:b w:val="0"/>
          <w:bCs w:val="0"/>
          <w:color w:val="000000"/>
          <w:sz w:val="24"/>
          <w:szCs w:val="24"/>
          <w:highlight w:val="none"/>
          <w:lang w:val="en-US" w:eastAsia="zh-CN" w:bidi="ar"/>
        </w:rPr>
      </w:pPr>
      <w:r>
        <w:rPr>
          <w:rFonts w:hint="eastAsia" w:ascii="仿宋" w:hAnsi="仿宋" w:eastAsia="仿宋" w:cs="仿宋"/>
          <w:b w:val="0"/>
          <w:bCs w:val="0"/>
          <w:color w:val="000000"/>
          <w:sz w:val="24"/>
          <w:szCs w:val="24"/>
          <w:highlight w:val="none"/>
          <w:lang w:val="en-US" w:eastAsia="zh-CN" w:bidi="ar"/>
        </w:rPr>
        <w:t>5.3专业人员结构齐备、人数充足，高、中、初级人员及年龄搭配适当,所有造价咨询人员须具有一级注册造价工程师。造价咨询人员数量应足够满足本工程造价咨询服务的工作任务。</w:t>
      </w:r>
    </w:p>
    <w:p>
      <w:pPr>
        <w:autoSpaceDE w:val="0"/>
        <w:autoSpaceDN w:val="0"/>
        <w:adjustRightInd w:val="0"/>
        <w:snapToGrid w:val="0"/>
        <w:spacing w:line="580" w:lineRule="exact"/>
        <w:ind w:firstLine="480" w:firstLineChars="200"/>
        <w:rPr>
          <w:rFonts w:hint="eastAsia" w:ascii="仿宋" w:hAnsi="仿宋" w:eastAsia="仿宋" w:cs="仿宋"/>
          <w:b w:val="0"/>
          <w:bCs w:val="0"/>
          <w:color w:val="000000"/>
          <w:sz w:val="24"/>
          <w:szCs w:val="24"/>
          <w:highlight w:val="none"/>
          <w:lang w:val="en-US" w:eastAsia="zh-CN" w:bidi="ar"/>
        </w:rPr>
      </w:pPr>
      <w:r>
        <w:rPr>
          <w:rFonts w:hint="eastAsia" w:ascii="仿宋" w:hAnsi="仿宋" w:eastAsia="仿宋" w:cs="仿宋"/>
          <w:b w:val="0"/>
          <w:bCs w:val="0"/>
          <w:color w:val="000000"/>
          <w:sz w:val="24"/>
          <w:szCs w:val="24"/>
          <w:highlight w:val="none"/>
          <w:lang w:val="en-US" w:eastAsia="zh-CN" w:bidi="ar"/>
        </w:rPr>
        <w:t>5.4咨询人应派至少四名一级注册造价师（土建2名，安装2名）驻现场进行伴随服务，同时应在工程造价咨询过程中根据工程实际情况和条件变化随时对驻现场人员数量及专业进行调整，满足本工程造价咨询服务的工作任务，确保服务质量。咨询人接到采购人通知后立即响应，并在60分钟内派相关专业造价技术人员到施工现场进行相关造价咨询服务。咨询人自行解决驻场人员的食宿问题。</w:t>
      </w:r>
    </w:p>
    <w:p>
      <w:pPr>
        <w:autoSpaceDE w:val="0"/>
        <w:autoSpaceDN w:val="0"/>
        <w:adjustRightInd w:val="0"/>
        <w:snapToGrid w:val="0"/>
        <w:spacing w:line="580" w:lineRule="exact"/>
        <w:ind w:firstLine="480" w:firstLineChars="200"/>
        <w:rPr>
          <w:rFonts w:hint="eastAsia" w:ascii="仿宋" w:hAnsi="仿宋" w:eastAsia="仿宋" w:cs="仿宋"/>
          <w:b w:val="0"/>
          <w:bCs w:val="0"/>
          <w:color w:val="000000"/>
          <w:sz w:val="24"/>
          <w:szCs w:val="24"/>
          <w:highlight w:val="none"/>
          <w:lang w:val="en-US" w:eastAsia="zh-CN" w:bidi="ar"/>
        </w:rPr>
      </w:pPr>
      <w:r>
        <w:rPr>
          <w:rFonts w:hint="eastAsia" w:ascii="仿宋" w:hAnsi="仿宋" w:eastAsia="仿宋" w:cs="仿宋"/>
          <w:b w:val="0"/>
          <w:bCs w:val="0"/>
          <w:color w:val="000000"/>
          <w:sz w:val="24"/>
          <w:szCs w:val="24"/>
          <w:highlight w:val="none"/>
          <w:lang w:val="en-US" w:eastAsia="zh-CN" w:bidi="ar"/>
        </w:rPr>
        <w:t>5.5咨询人应按承诺配备的项目造价咨询机构组成人员接受采购人的资质审查和能力考核，不合格人员应及时更换。项目实施期间，阶段性新到场人员应按照相同程序接受审查与考核。</w:t>
      </w:r>
    </w:p>
    <w:p>
      <w:pPr>
        <w:autoSpaceDE w:val="0"/>
        <w:autoSpaceDN w:val="0"/>
        <w:adjustRightInd w:val="0"/>
        <w:snapToGrid w:val="0"/>
        <w:spacing w:line="580" w:lineRule="exact"/>
        <w:ind w:firstLine="480" w:firstLineChars="200"/>
        <w:rPr>
          <w:rFonts w:hint="eastAsia" w:ascii="仿宋" w:hAnsi="仿宋" w:eastAsia="仿宋" w:cs="仿宋"/>
          <w:b w:val="0"/>
          <w:bCs w:val="0"/>
          <w:color w:val="000000"/>
          <w:sz w:val="24"/>
          <w:szCs w:val="24"/>
          <w:highlight w:val="none"/>
          <w:lang w:val="en-US" w:eastAsia="zh-CN" w:bidi="ar"/>
        </w:rPr>
      </w:pPr>
      <w:r>
        <w:rPr>
          <w:rFonts w:hint="eastAsia" w:ascii="仿宋" w:hAnsi="仿宋" w:eastAsia="仿宋" w:cs="仿宋"/>
          <w:b w:val="0"/>
          <w:bCs w:val="0"/>
          <w:color w:val="000000"/>
          <w:sz w:val="24"/>
          <w:szCs w:val="24"/>
          <w:highlight w:val="none"/>
          <w:lang w:val="en-US" w:eastAsia="zh-CN" w:bidi="ar"/>
        </w:rPr>
        <w:t>5.6原则上项目人员不得进行人员更换，特殊情况需更换，按规定程序报批。变更人员资格等级及数量不得低于承诺。</w:t>
      </w:r>
    </w:p>
    <w:p>
      <w:pPr>
        <w:autoSpaceDE w:val="0"/>
        <w:autoSpaceDN w:val="0"/>
        <w:adjustRightInd w:val="0"/>
        <w:snapToGrid w:val="0"/>
        <w:spacing w:line="580" w:lineRule="exact"/>
        <w:ind w:firstLine="480" w:firstLineChars="200"/>
        <w:rPr>
          <w:rFonts w:hint="eastAsia" w:ascii="仿宋" w:hAnsi="仿宋" w:eastAsia="仿宋" w:cs="仿宋"/>
          <w:b w:val="0"/>
          <w:bCs w:val="0"/>
          <w:color w:val="000000"/>
          <w:sz w:val="24"/>
          <w:szCs w:val="24"/>
          <w:highlight w:val="none"/>
          <w:lang w:val="en-US" w:eastAsia="zh-CN" w:bidi="ar"/>
        </w:rPr>
      </w:pPr>
      <w:r>
        <w:rPr>
          <w:rFonts w:hint="eastAsia" w:ascii="仿宋" w:hAnsi="仿宋" w:eastAsia="仿宋" w:cs="仿宋"/>
          <w:b w:val="0"/>
          <w:bCs w:val="0"/>
          <w:color w:val="000000"/>
          <w:sz w:val="24"/>
          <w:szCs w:val="24"/>
          <w:highlight w:val="none"/>
          <w:lang w:val="en-US" w:eastAsia="zh-CN" w:bidi="ar"/>
        </w:rPr>
        <w:t>5.7合同签订后，咨询人应向采购人上报造价咨询服务规划和造价咨询服务实施细则，明确工作目标、制度、程序、管控措施及驻现场人员安排等。造价咨询实施细则实行动态管理，应在工程造价咨询过程中根据实际情况和条件变化随时进行调整、补充和修改，并及时上报采购人。</w:t>
      </w:r>
    </w:p>
    <w:p>
      <w:pPr>
        <w:autoSpaceDE w:val="0"/>
        <w:autoSpaceDN w:val="0"/>
        <w:adjustRightInd w:val="0"/>
        <w:snapToGrid w:val="0"/>
        <w:spacing w:line="580" w:lineRule="exact"/>
        <w:ind w:firstLine="480" w:firstLineChars="200"/>
        <w:rPr>
          <w:rFonts w:hint="eastAsia" w:ascii="仿宋" w:hAnsi="仿宋" w:eastAsia="仿宋" w:cs="仿宋"/>
          <w:b w:val="0"/>
          <w:bCs w:val="0"/>
          <w:color w:val="000000"/>
          <w:sz w:val="24"/>
          <w:szCs w:val="24"/>
          <w:highlight w:val="none"/>
          <w:lang w:val="en-US" w:eastAsia="zh-CN" w:bidi="ar"/>
        </w:rPr>
      </w:pPr>
      <w:r>
        <w:rPr>
          <w:rFonts w:hint="eastAsia" w:ascii="仿宋" w:hAnsi="仿宋" w:eastAsia="仿宋" w:cs="仿宋"/>
          <w:b w:val="0"/>
          <w:bCs w:val="0"/>
          <w:color w:val="000000"/>
          <w:sz w:val="24"/>
          <w:szCs w:val="24"/>
          <w:highlight w:val="none"/>
          <w:lang w:val="en-US" w:eastAsia="zh-CN" w:bidi="ar"/>
        </w:rPr>
        <w:t>5.8咨询人应熟悉掌握委托人建设工程管理信息系统，对施工单位录入的如投标报价、进度款、预结算等数据进行审核把关。</w:t>
      </w:r>
    </w:p>
    <w:p>
      <w:pPr>
        <w:autoSpaceDE w:val="0"/>
        <w:autoSpaceDN w:val="0"/>
        <w:adjustRightInd w:val="0"/>
        <w:snapToGrid w:val="0"/>
        <w:spacing w:line="580" w:lineRule="exact"/>
        <w:ind w:firstLine="480" w:firstLineChars="200"/>
        <w:rPr>
          <w:rFonts w:hint="eastAsia" w:ascii="仿宋" w:hAnsi="仿宋" w:eastAsia="仿宋" w:cs="仿宋"/>
          <w:b w:val="0"/>
          <w:bCs w:val="0"/>
          <w:color w:val="000000"/>
          <w:sz w:val="24"/>
          <w:szCs w:val="24"/>
          <w:highlight w:val="none"/>
          <w:lang w:val="en-US" w:eastAsia="zh-CN" w:bidi="ar"/>
        </w:rPr>
      </w:pPr>
      <w:r>
        <w:rPr>
          <w:rFonts w:hint="eastAsia" w:ascii="仿宋" w:hAnsi="仿宋" w:eastAsia="仿宋" w:cs="仿宋"/>
          <w:b w:val="0"/>
          <w:bCs w:val="0"/>
          <w:color w:val="000000"/>
          <w:sz w:val="24"/>
          <w:szCs w:val="24"/>
          <w:highlight w:val="none"/>
          <w:lang w:val="en-US" w:eastAsia="zh-CN" w:bidi="ar"/>
        </w:rPr>
        <w:t>5.9咨询人应遵守榆林市第三医院的相关管理规定。</w:t>
      </w:r>
    </w:p>
    <w:p>
      <w:pPr>
        <w:autoSpaceDE w:val="0"/>
        <w:autoSpaceDN w:val="0"/>
        <w:adjustRightInd w:val="0"/>
        <w:snapToGrid w:val="0"/>
        <w:spacing w:line="580" w:lineRule="exact"/>
        <w:ind w:firstLine="482" w:firstLineChars="200"/>
        <w:rPr>
          <w:rFonts w:hint="eastAsia" w:ascii="仿宋" w:hAnsi="仿宋" w:eastAsia="仿宋" w:cs="仿宋"/>
          <w:b/>
          <w:bCs/>
          <w:color w:val="000000"/>
          <w:sz w:val="24"/>
          <w:szCs w:val="24"/>
          <w:highlight w:val="none"/>
          <w:lang w:val="en-US" w:eastAsia="zh-CN" w:bidi="ar"/>
        </w:rPr>
      </w:pPr>
      <w:bookmarkStart w:id="453" w:name="_Toc516479628"/>
      <w:r>
        <w:rPr>
          <w:rFonts w:hint="eastAsia" w:ascii="仿宋" w:hAnsi="仿宋" w:eastAsia="仿宋" w:cs="仿宋"/>
          <w:b/>
          <w:bCs/>
          <w:color w:val="000000"/>
          <w:sz w:val="24"/>
          <w:szCs w:val="24"/>
          <w:highlight w:val="none"/>
          <w:lang w:val="en-US" w:eastAsia="zh-CN" w:bidi="ar"/>
        </w:rPr>
        <w:t>六、造价咨询服务进度要求</w:t>
      </w:r>
      <w:bookmarkEnd w:id="453"/>
    </w:p>
    <w:p>
      <w:pPr>
        <w:autoSpaceDE w:val="0"/>
        <w:autoSpaceDN w:val="0"/>
        <w:adjustRightInd w:val="0"/>
        <w:snapToGrid w:val="0"/>
        <w:spacing w:line="580" w:lineRule="exact"/>
        <w:ind w:firstLine="480" w:firstLineChars="200"/>
        <w:rPr>
          <w:rFonts w:ascii="宋体" w:hAnsi="宋体" w:cs="宋体"/>
          <w:szCs w:val="21"/>
          <w:highlight w:val="none"/>
        </w:rPr>
      </w:pPr>
      <w:r>
        <w:rPr>
          <w:rFonts w:hint="eastAsia" w:ascii="仿宋" w:hAnsi="仿宋" w:eastAsia="仿宋" w:cs="仿宋"/>
          <w:b w:val="0"/>
          <w:bCs w:val="0"/>
          <w:color w:val="000000"/>
          <w:sz w:val="24"/>
          <w:szCs w:val="24"/>
          <w:highlight w:val="none"/>
          <w:lang w:val="en-US" w:eastAsia="zh-CN" w:bidi="ar"/>
        </w:rPr>
        <w:t>施工总承包清单及限价的编制期限要求为一个月，其余事项以采购人的咨询委托单为准。</w:t>
      </w:r>
    </w:p>
    <w:p>
      <w:pPr>
        <w:rPr>
          <w:rFonts w:hint="default" w:ascii="Times New Roman" w:hAnsi="Times New Roman" w:eastAsia="仿宋_GB2312" w:cs="Times New Roman"/>
          <w:bCs/>
          <w:i w:val="0"/>
          <w:iCs w:val="0"/>
          <w:color w:val="auto"/>
          <w:highlight w:val="none"/>
        </w:rPr>
      </w:pPr>
      <w:r>
        <w:rPr>
          <w:rFonts w:hint="default" w:ascii="Times New Roman" w:hAnsi="Times New Roman" w:eastAsia="仿宋_GB2312" w:cs="Times New Roman"/>
          <w:bCs/>
          <w:i w:val="0"/>
          <w:iCs w:val="0"/>
          <w:color w:val="auto"/>
          <w:highlight w:val="none"/>
        </w:rPr>
        <w:br w:type="page"/>
      </w:r>
    </w:p>
    <w:p>
      <w:pPr>
        <w:pStyle w:val="46"/>
        <w:spacing w:line="360" w:lineRule="auto"/>
        <w:rPr>
          <w:rFonts w:hint="default" w:ascii="Times New Roman" w:hAnsi="Times New Roman" w:cs="Times New Roman" w:eastAsiaTheme="minorEastAsia"/>
          <w:i w:val="0"/>
          <w:iCs w:val="0"/>
          <w:color w:val="auto"/>
          <w:highlight w:val="none"/>
        </w:rPr>
      </w:pPr>
      <w:bookmarkStart w:id="454" w:name="_Toc68590981"/>
      <w:bookmarkStart w:id="455" w:name="_Toc389620241"/>
      <w:bookmarkStart w:id="456" w:name="_Toc415499899"/>
      <w:bookmarkStart w:id="457" w:name="_Toc31008"/>
      <w:bookmarkStart w:id="458" w:name="_Toc58504449"/>
      <w:bookmarkStart w:id="459" w:name="_Toc385992401"/>
      <w:r>
        <w:rPr>
          <w:rStyle w:val="203"/>
          <w:rFonts w:hint="default" w:ascii="Times New Roman" w:hAnsi="Times New Roman" w:eastAsia="宋体" w:cs="Times New Roman"/>
          <w:i w:val="0"/>
          <w:iCs w:val="0"/>
          <w:color w:val="auto"/>
          <w:sz w:val="36"/>
          <w:szCs w:val="36"/>
          <w:highlight w:val="none"/>
        </w:rPr>
        <w:t>第六章  磋商响应文件格式</w:t>
      </w:r>
      <w:bookmarkEnd w:id="454"/>
      <w:bookmarkEnd w:id="455"/>
      <w:bookmarkEnd w:id="456"/>
      <w:bookmarkEnd w:id="457"/>
      <w:bookmarkEnd w:id="458"/>
      <w:bookmarkEnd w:id="459"/>
      <w:r>
        <w:rPr>
          <w:rFonts w:hint="default" w:ascii="Times New Roman" w:hAnsi="Times New Roman" w:cs="Times New Roman" w:eastAsiaTheme="minorEastAsia"/>
          <w:i w:val="0"/>
          <w:iCs w:val="0"/>
          <w:color w:val="auto"/>
          <w:highlight w:val="none"/>
        </w:rPr>
        <w:br w:type="page"/>
      </w:r>
    </w:p>
    <w:p>
      <w:pPr>
        <w:spacing w:after="120"/>
        <w:rPr>
          <w:rFonts w:hint="default" w:ascii="Times New Roman" w:hAnsi="Times New Roman" w:eastAsia="仿宋_GB2312" w:cs="Times New Roman"/>
          <w:i w:val="0"/>
          <w:iCs w:val="0"/>
          <w:color w:val="auto"/>
          <w:highlight w:val="none"/>
        </w:rPr>
      </w:pPr>
    </w:p>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Pr>
        <w:pStyle w:val="46"/>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                                 </w:t>
      </w:r>
    </w:p>
    <w:p>
      <w:pPr>
        <w:pStyle w:val="158"/>
        <w:ind w:firstLine="6586" w:firstLineChars="2050"/>
        <w:rPr>
          <w:rFonts w:hint="eastAsia" w:ascii="仿宋" w:hAnsi="仿宋" w:eastAsia="仿宋" w:cs="仿宋"/>
          <w:bCs/>
          <w:color w:val="auto"/>
          <w:highlight w:val="none"/>
          <w:lang w:val="zh-CN"/>
        </w:rPr>
      </w:pPr>
      <w:r>
        <w:rPr>
          <w:rFonts w:hint="eastAsia" w:ascii="仿宋" w:hAnsi="仿宋" w:eastAsia="仿宋" w:cs="仿宋"/>
          <w:color w:val="auto"/>
          <w:highlight w:val="none"/>
          <w:lang w:val="zh-CN"/>
        </w:rPr>
        <w:t>正本/副本</w:t>
      </w:r>
    </w:p>
    <w:p>
      <w:pPr>
        <w:autoSpaceDE w:val="0"/>
        <w:autoSpaceDN w:val="0"/>
        <w:adjustRightInd w:val="0"/>
        <w:snapToGrid w:val="0"/>
        <w:spacing w:line="360" w:lineRule="auto"/>
        <w:jc w:val="left"/>
        <w:rPr>
          <w:rFonts w:hint="eastAsia" w:ascii="仿宋" w:hAnsi="仿宋" w:eastAsia="仿宋" w:cs="仿宋"/>
          <w:b/>
          <w:bCs/>
          <w:color w:val="auto"/>
          <w:sz w:val="32"/>
          <w:szCs w:val="32"/>
          <w:highlight w:val="none"/>
          <w:lang w:val="zh-CN"/>
        </w:rPr>
      </w:pPr>
      <w:r>
        <w:rPr>
          <w:rFonts w:hint="eastAsia" w:ascii="仿宋" w:hAnsi="仿宋" w:eastAsia="仿宋" w:cs="仿宋"/>
          <w:b/>
          <w:bCs/>
          <w:color w:val="auto"/>
          <w:sz w:val="32"/>
          <w:szCs w:val="32"/>
          <w:highlight w:val="none"/>
          <w:lang w:val="zh-CN"/>
        </w:rPr>
        <w:t>政府采购项目</w:t>
      </w:r>
    </w:p>
    <w:p>
      <w:pPr>
        <w:autoSpaceDE w:val="0"/>
        <w:autoSpaceDN w:val="0"/>
        <w:adjustRightInd w:val="0"/>
        <w:snapToGrid w:val="0"/>
        <w:spacing w:line="360" w:lineRule="auto"/>
        <w:jc w:val="left"/>
        <w:rPr>
          <w:rFonts w:hint="eastAsia" w:ascii="仿宋" w:hAnsi="仿宋" w:eastAsia="仿宋" w:cs="仿宋"/>
          <w:b/>
          <w:bCs/>
          <w:color w:val="auto"/>
          <w:sz w:val="32"/>
          <w:szCs w:val="32"/>
          <w:highlight w:val="none"/>
          <w:lang w:val="zh-CN"/>
        </w:rPr>
      </w:pPr>
      <w:r>
        <w:rPr>
          <w:rFonts w:hint="eastAsia" w:ascii="仿宋" w:hAnsi="仿宋" w:eastAsia="仿宋" w:cs="仿宋"/>
          <w:b/>
          <w:bCs/>
          <w:color w:val="auto"/>
          <w:sz w:val="32"/>
          <w:szCs w:val="32"/>
          <w:highlight w:val="none"/>
          <w:lang w:val="zh-CN"/>
        </w:rPr>
        <w:t>采购项目编号：SCZD2022-CS-1334-001</w:t>
      </w:r>
    </w:p>
    <w:p>
      <w:pPr>
        <w:tabs>
          <w:tab w:val="left" w:pos="5670"/>
        </w:tabs>
        <w:autoSpaceDE w:val="0"/>
        <w:autoSpaceDN w:val="0"/>
        <w:adjustRightInd w:val="0"/>
        <w:snapToGrid w:val="0"/>
        <w:spacing w:line="360" w:lineRule="auto"/>
        <w:jc w:val="center"/>
        <w:rPr>
          <w:rFonts w:hint="eastAsia" w:ascii="仿宋" w:hAnsi="仿宋" w:eastAsia="仿宋" w:cs="仿宋"/>
          <w:color w:val="auto"/>
          <w:sz w:val="19"/>
          <w:szCs w:val="19"/>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color w:val="auto"/>
          <w:sz w:val="19"/>
          <w:szCs w:val="19"/>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color w:val="auto"/>
          <w:sz w:val="19"/>
          <w:szCs w:val="19"/>
          <w:highlight w:val="none"/>
        </w:rPr>
      </w:pPr>
    </w:p>
    <w:p>
      <w:pPr>
        <w:pStyle w:val="22"/>
        <w:jc w:val="center"/>
        <w:rPr>
          <w:rFonts w:hint="eastAsia" w:ascii="仿宋" w:hAnsi="仿宋" w:eastAsia="仿宋" w:cs="仿宋"/>
          <w:b/>
          <w:bCs/>
          <w:color w:val="auto"/>
          <w:sz w:val="36"/>
          <w:szCs w:val="36"/>
          <w:highlight w:val="none"/>
          <w:lang w:val="zh-CN"/>
        </w:rPr>
      </w:pPr>
      <w:r>
        <w:rPr>
          <w:rFonts w:hint="eastAsia" w:ascii="仿宋" w:hAnsi="仿宋" w:eastAsia="仿宋" w:cs="仿宋"/>
          <w:b/>
          <w:bCs/>
          <w:color w:val="auto"/>
          <w:sz w:val="36"/>
          <w:szCs w:val="36"/>
          <w:highlight w:val="none"/>
          <w:lang w:val="zh-CN"/>
        </w:rPr>
        <w:t>榆林市第三医院（市传染病医院）建设工程</w:t>
      </w:r>
    </w:p>
    <w:p>
      <w:pPr>
        <w:pStyle w:val="22"/>
        <w:jc w:val="center"/>
        <w:rPr>
          <w:rFonts w:hint="eastAsia" w:ascii="仿宋" w:hAnsi="仿宋" w:eastAsia="仿宋" w:cs="仿宋"/>
          <w:lang w:val="zh-CN"/>
        </w:rPr>
      </w:pPr>
      <w:r>
        <w:rPr>
          <w:rFonts w:hint="eastAsia" w:ascii="仿宋" w:hAnsi="仿宋" w:eastAsia="仿宋" w:cs="仿宋"/>
          <w:b/>
          <w:bCs/>
          <w:color w:val="auto"/>
          <w:sz w:val="36"/>
          <w:szCs w:val="36"/>
          <w:highlight w:val="none"/>
          <w:lang w:val="zh-CN"/>
        </w:rPr>
        <w:t>全过程造价咨询服务项目</w:t>
      </w:r>
    </w:p>
    <w:p>
      <w:pPr>
        <w:tabs>
          <w:tab w:val="left" w:pos="5670"/>
        </w:tabs>
        <w:autoSpaceDE w:val="0"/>
        <w:autoSpaceDN w:val="0"/>
        <w:adjustRightInd w:val="0"/>
        <w:snapToGrid w:val="0"/>
        <w:spacing w:line="360" w:lineRule="auto"/>
        <w:jc w:val="center"/>
        <w:rPr>
          <w:rFonts w:hint="eastAsia" w:ascii="仿宋" w:hAnsi="仿宋" w:eastAsia="仿宋" w:cs="仿宋"/>
          <w:b/>
          <w:bCs/>
          <w:color w:val="auto"/>
          <w:sz w:val="52"/>
          <w:szCs w:val="52"/>
          <w:highlight w:val="none"/>
          <w:lang w:val="zh-CN"/>
        </w:rPr>
      </w:pPr>
      <w:r>
        <w:rPr>
          <w:rFonts w:hint="eastAsia" w:ascii="仿宋" w:hAnsi="仿宋" w:eastAsia="仿宋" w:cs="仿宋"/>
          <w:b/>
          <w:bCs/>
          <w:color w:val="auto"/>
          <w:sz w:val="52"/>
          <w:szCs w:val="52"/>
          <w:highlight w:val="none"/>
          <w:lang w:val="zh-CN"/>
        </w:rPr>
        <w:t>磋商响应文件</w:t>
      </w:r>
    </w:p>
    <w:p>
      <w:pPr>
        <w:pStyle w:val="195"/>
        <w:ind w:firstLine="2891" w:firstLineChars="1200"/>
        <w:rPr>
          <w:rFonts w:hint="eastAsia" w:ascii="仿宋" w:hAnsi="仿宋" w:eastAsia="仿宋" w:cs="仿宋"/>
          <w:b/>
          <w:color w:val="auto"/>
          <w:sz w:val="30"/>
          <w:szCs w:val="30"/>
          <w:highlight w:val="none"/>
        </w:rPr>
      </w:pPr>
      <w:r>
        <w:rPr>
          <w:rFonts w:hint="eastAsia" w:ascii="仿宋" w:hAnsi="仿宋" w:eastAsia="仿宋" w:cs="仿宋"/>
          <w:b/>
          <w:bCs/>
          <w:color w:val="auto"/>
          <w:highlight w:val="none"/>
          <w:lang w:val="zh-CN"/>
        </w:rPr>
        <w:t xml:space="preserve"> </w:t>
      </w:r>
      <w:r>
        <w:rPr>
          <w:rFonts w:hint="eastAsia" w:ascii="仿宋" w:hAnsi="仿宋" w:eastAsia="仿宋" w:cs="仿宋"/>
          <w:b/>
          <w:color w:val="auto"/>
          <w:sz w:val="30"/>
          <w:szCs w:val="30"/>
          <w:highlight w:val="none"/>
        </w:rPr>
        <w:t>（资格证明文件）</w:t>
      </w:r>
    </w:p>
    <w:p>
      <w:pPr>
        <w:rPr>
          <w:rFonts w:hint="eastAsia" w:ascii="仿宋" w:hAnsi="仿宋" w:eastAsia="仿宋" w:cs="仿宋"/>
          <w:color w:val="auto"/>
          <w:highlight w:val="none"/>
        </w:rPr>
      </w:pPr>
    </w:p>
    <w:p>
      <w:pPr>
        <w:pStyle w:val="22"/>
        <w:rPr>
          <w:rFonts w:hint="eastAsia" w:ascii="仿宋" w:hAnsi="仿宋" w:eastAsia="仿宋" w:cs="仿宋"/>
          <w:color w:val="auto"/>
          <w:highlight w:val="none"/>
        </w:rPr>
      </w:pPr>
    </w:p>
    <w:p>
      <w:pPr>
        <w:pStyle w:val="22"/>
        <w:rPr>
          <w:rFonts w:hint="eastAsia" w:ascii="仿宋" w:hAnsi="仿宋" w:eastAsia="仿宋" w:cs="仿宋"/>
          <w:color w:val="auto"/>
          <w:highlight w:val="none"/>
        </w:rPr>
      </w:pPr>
    </w:p>
    <w:p>
      <w:pPr>
        <w:pStyle w:val="22"/>
        <w:rPr>
          <w:rFonts w:hint="eastAsia" w:ascii="仿宋" w:hAnsi="仿宋" w:eastAsia="仿宋" w:cs="仿宋"/>
          <w:color w:val="auto"/>
          <w:highlight w:val="none"/>
        </w:rPr>
      </w:pPr>
    </w:p>
    <w:p>
      <w:pPr>
        <w:autoSpaceDE w:val="0"/>
        <w:autoSpaceDN w:val="0"/>
        <w:adjustRightInd w:val="0"/>
        <w:snapToGrid w:val="0"/>
        <w:spacing w:line="360" w:lineRule="auto"/>
        <w:rPr>
          <w:rFonts w:hint="eastAsia" w:ascii="仿宋" w:hAnsi="仿宋" w:eastAsia="仿宋" w:cs="仿宋"/>
          <w:b/>
          <w:bCs/>
          <w:color w:val="auto"/>
          <w:sz w:val="32"/>
          <w:szCs w:val="32"/>
          <w:highlight w:val="none"/>
          <w:lang w:val="zh-CN"/>
        </w:rPr>
      </w:pPr>
    </w:p>
    <w:p>
      <w:pPr>
        <w:autoSpaceDE w:val="0"/>
        <w:autoSpaceDN w:val="0"/>
        <w:adjustRightInd w:val="0"/>
        <w:snapToGrid w:val="0"/>
        <w:spacing w:line="360" w:lineRule="auto"/>
        <w:rPr>
          <w:rFonts w:hint="eastAsia" w:ascii="仿宋" w:hAnsi="仿宋" w:eastAsia="仿宋" w:cs="仿宋"/>
          <w:b/>
          <w:bCs/>
          <w:color w:val="auto"/>
          <w:sz w:val="32"/>
          <w:szCs w:val="32"/>
          <w:highlight w:val="none"/>
          <w:lang w:val="zh-CN"/>
        </w:rPr>
      </w:pPr>
    </w:p>
    <w:p>
      <w:pPr>
        <w:autoSpaceDE w:val="0"/>
        <w:autoSpaceDN w:val="0"/>
        <w:adjustRightInd w:val="0"/>
        <w:snapToGrid w:val="0"/>
        <w:spacing w:line="360" w:lineRule="auto"/>
        <w:rPr>
          <w:rFonts w:hint="eastAsia" w:ascii="仿宋" w:hAnsi="仿宋" w:eastAsia="仿宋" w:cs="仿宋"/>
          <w:b/>
          <w:bCs/>
          <w:color w:val="auto"/>
          <w:sz w:val="32"/>
          <w:szCs w:val="32"/>
          <w:highlight w:val="none"/>
          <w:u w:val="single"/>
        </w:rPr>
      </w:pPr>
      <w:r>
        <w:rPr>
          <w:rFonts w:hint="eastAsia" w:ascii="仿宋" w:hAnsi="仿宋" w:eastAsia="仿宋" w:cs="仿宋"/>
          <w:color w:val="auto"/>
          <w:sz w:val="30"/>
          <w:szCs w:val="30"/>
          <w:highlight w:val="none"/>
        </w:rPr>
        <w:t xml:space="preserve">      </w:t>
      </w:r>
      <w:r>
        <w:rPr>
          <w:rFonts w:hint="eastAsia" w:ascii="仿宋" w:hAnsi="仿宋" w:eastAsia="仿宋" w:cs="仿宋"/>
          <w:b/>
          <w:bCs/>
          <w:color w:val="auto"/>
          <w:sz w:val="32"/>
          <w:szCs w:val="32"/>
          <w:highlight w:val="none"/>
          <w:lang w:val="zh-CN"/>
        </w:rPr>
        <w:t>供应商：</w:t>
      </w:r>
      <w:r>
        <w:rPr>
          <w:rFonts w:hint="eastAsia" w:ascii="仿宋" w:hAnsi="仿宋" w:eastAsia="仿宋" w:cs="仿宋"/>
          <w:b/>
          <w:bCs/>
          <w:color w:val="auto"/>
          <w:sz w:val="32"/>
          <w:szCs w:val="32"/>
          <w:highlight w:val="none"/>
          <w:u w:val="single"/>
        </w:rPr>
        <w:t xml:space="preserve">                   </w:t>
      </w:r>
    </w:p>
    <w:p>
      <w:pPr>
        <w:autoSpaceDE w:val="0"/>
        <w:autoSpaceDN w:val="0"/>
        <w:adjustRightInd w:val="0"/>
        <w:snapToGrid w:val="0"/>
        <w:spacing w:line="360" w:lineRule="auto"/>
        <w:rPr>
          <w:rFonts w:hint="eastAsia" w:ascii="仿宋" w:hAnsi="仿宋" w:eastAsia="仿宋" w:cs="仿宋"/>
          <w:b/>
          <w:bCs/>
          <w:color w:val="auto"/>
          <w:sz w:val="32"/>
          <w:szCs w:val="32"/>
          <w:highlight w:val="none"/>
        </w:rPr>
      </w:pPr>
    </w:p>
    <w:p>
      <w:pPr>
        <w:autoSpaceDE w:val="0"/>
        <w:autoSpaceDN w:val="0"/>
        <w:adjustRightInd w:val="0"/>
        <w:snapToGrid w:val="0"/>
        <w:spacing w:line="360" w:lineRule="auto"/>
        <w:ind w:firstLine="964" w:firstLineChars="300"/>
        <w:rPr>
          <w:rFonts w:hint="eastAsia" w:ascii="仿宋" w:hAnsi="仿宋" w:eastAsia="仿宋" w:cs="仿宋"/>
          <w:b/>
          <w:bCs/>
          <w:color w:val="auto"/>
          <w:sz w:val="32"/>
          <w:szCs w:val="32"/>
          <w:highlight w:val="none"/>
          <w:u w:val="single"/>
        </w:rPr>
      </w:pPr>
      <w:r>
        <w:rPr>
          <w:rFonts w:hint="eastAsia" w:ascii="仿宋" w:hAnsi="仿宋" w:eastAsia="仿宋" w:cs="仿宋"/>
          <w:b/>
          <w:bCs/>
          <w:color w:val="auto"/>
          <w:sz w:val="32"/>
          <w:szCs w:val="32"/>
          <w:highlight w:val="none"/>
          <w:lang w:val="zh-CN"/>
        </w:rPr>
        <w:t>时</w:t>
      </w:r>
      <w:r>
        <w:rPr>
          <w:rFonts w:hint="eastAsia" w:ascii="仿宋" w:hAnsi="仿宋" w:eastAsia="仿宋" w:cs="仿宋"/>
          <w:b/>
          <w:bCs/>
          <w:color w:val="auto"/>
          <w:sz w:val="32"/>
          <w:szCs w:val="32"/>
          <w:highlight w:val="none"/>
        </w:rPr>
        <w:t xml:space="preserve">  </w:t>
      </w:r>
      <w:r>
        <w:rPr>
          <w:rFonts w:hint="eastAsia" w:ascii="仿宋" w:hAnsi="仿宋" w:eastAsia="仿宋" w:cs="仿宋"/>
          <w:b/>
          <w:bCs/>
          <w:color w:val="auto"/>
          <w:sz w:val="32"/>
          <w:szCs w:val="32"/>
          <w:highlight w:val="none"/>
          <w:lang w:val="zh-CN"/>
        </w:rPr>
        <w:t>间：</w:t>
      </w:r>
      <w:r>
        <w:rPr>
          <w:rFonts w:hint="eastAsia" w:ascii="仿宋" w:hAnsi="仿宋" w:eastAsia="仿宋" w:cs="仿宋"/>
          <w:b/>
          <w:bCs/>
          <w:color w:val="auto"/>
          <w:sz w:val="32"/>
          <w:szCs w:val="32"/>
          <w:highlight w:val="none"/>
          <w:u w:val="single"/>
        </w:rPr>
        <w:t xml:space="preserve">  </w:t>
      </w:r>
    </w:p>
    <w:p>
      <w:pPr>
        <w:pStyle w:val="22"/>
        <w:rPr>
          <w:rFonts w:hint="eastAsia" w:ascii="仿宋" w:hAnsi="仿宋" w:eastAsia="仿宋" w:cs="仿宋"/>
          <w:color w:val="auto"/>
          <w:highlight w:val="none"/>
        </w:rPr>
      </w:pPr>
      <w:r>
        <w:rPr>
          <w:rFonts w:hint="eastAsia" w:ascii="仿宋" w:hAnsi="仿宋" w:eastAsia="仿宋" w:cs="仿宋"/>
          <w:color w:val="auto"/>
          <w:highlight w:val="none"/>
        </w:rPr>
        <w:br w:type="page"/>
      </w:r>
    </w:p>
    <w:p>
      <w:pPr>
        <w:autoSpaceDE w:val="0"/>
        <w:autoSpaceDN w:val="0"/>
        <w:adjustRightInd w:val="0"/>
        <w:snapToGrid w:val="0"/>
        <w:spacing w:line="360" w:lineRule="auto"/>
        <w:ind w:firstLine="964" w:firstLineChars="300"/>
        <w:rPr>
          <w:rFonts w:hint="eastAsia" w:ascii="仿宋" w:hAnsi="仿宋" w:eastAsia="仿宋" w:cs="仿宋"/>
          <w:b/>
          <w:bCs/>
          <w:color w:val="auto"/>
          <w:sz w:val="32"/>
          <w:szCs w:val="32"/>
          <w:highlight w:val="none"/>
          <w:u w:val="single"/>
        </w:rPr>
      </w:pPr>
      <w:r>
        <w:rPr>
          <w:rFonts w:hint="eastAsia" w:ascii="仿宋" w:hAnsi="仿宋" w:eastAsia="仿宋" w:cs="仿宋"/>
          <w:b/>
          <w:bCs/>
          <w:color w:val="auto"/>
          <w:sz w:val="32"/>
          <w:szCs w:val="32"/>
          <w:highlight w:val="none"/>
          <w:u w:val="single"/>
        </w:rPr>
        <w:t xml:space="preserve">                 </w:t>
      </w:r>
    </w:p>
    <w:p>
      <w:pPr>
        <w:pStyle w:val="195"/>
        <w:ind w:firstLine="2249" w:firstLineChars="70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第一部分  身份证明文件</w:t>
      </w:r>
    </w:p>
    <w:p>
      <w:pPr>
        <w:spacing w:after="120"/>
        <w:rPr>
          <w:rFonts w:hint="eastAsia" w:ascii="仿宋" w:hAnsi="仿宋" w:eastAsia="仿宋" w:cs="仿宋"/>
          <w:color w:val="auto"/>
          <w:highlight w:val="none"/>
        </w:rPr>
      </w:pPr>
    </w:p>
    <w:p>
      <w:pPr>
        <w:widowControl/>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zh-CN"/>
        </w:rPr>
        <w:t>1、法定代表人</w:t>
      </w:r>
      <w:r>
        <w:rPr>
          <w:rFonts w:hint="eastAsia" w:ascii="仿宋" w:hAnsi="仿宋" w:eastAsia="仿宋" w:cs="仿宋"/>
          <w:b/>
          <w:bCs/>
          <w:i/>
          <w:color w:val="auto"/>
          <w:sz w:val="28"/>
          <w:szCs w:val="28"/>
          <w:highlight w:val="none"/>
          <w:lang w:val="zh-CN"/>
        </w:rPr>
        <w:t>（或单位负责人）</w:t>
      </w:r>
      <w:r>
        <w:rPr>
          <w:rFonts w:hint="eastAsia" w:ascii="仿宋" w:hAnsi="仿宋" w:eastAsia="仿宋" w:cs="仿宋"/>
          <w:b/>
          <w:bCs/>
          <w:color w:val="auto"/>
          <w:sz w:val="28"/>
          <w:szCs w:val="28"/>
          <w:highlight w:val="none"/>
          <w:lang w:val="zh-CN"/>
        </w:rPr>
        <w:t>授权书</w:t>
      </w:r>
    </w:p>
    <w:p>
      <w:pPr>
        <w:autoSpaceDE w:val="0"/>
        <w:autoSpaceDN w:val="0"/>
        <w:adjustRightInd w:val="0"/>
        <w:spacing w:line="348" w:lineRule="auto"/>
        <w:ind w:firstLine="400"/>
        <w:rPr>
          <w:rFonts w:hint="eastAsia" w:ascii="仿宋" w:hAnsi="仿宋" w:eastAsia="仿宋" w:cs="仿宋"/>
          <w:b/>
          <w:bCs/>
          <w:color w:val="auto"/>
          <w:sz w:val="20"/>
          <w:highlight w:val="none"/>
        </w:rPr>
      </w:pPr>
    </w:p>
    <w:p>
      <w:pPr>
        <w:autoSpaceDE w:val="0"/>
        <w:autoSpaceDN w:val="0"/>
        <w:adjustRightInd w:val="0"/>
        <w:spacing w:line="34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陕西省采购招标有限责任公司：</w:t>
      </w:r>
    </w:p>
    <w:p>
      <w:pPr>
        <w:autoSpaceDE w:val="0"/>
        <w:autoSpaceDN w:val="0"/>
        <w:adjustRightInd w:val="0"/>
        <w:spacing w:line="348" w:lineRule="auto"/>
        <w:ind w:firstLine="64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注册于</w:t>
      </w:r>
      <w:r>
        <w:rPr>
          <w:rFonts w:hint="eastAsia" w:ascii="仿宋" w:hAnsi="仿宋" w:eastAsia="仿宋" w:cs="仿宋"/>
          <w:color w:val="auto"/>
          <w:sz w:val="24"/>
          <w:highlight w:val="none"/>
          <w:u w:val="single"/>
          <w:lang w:val="zh-CN"/>
        </w:rPr>
        <w:t>（工商行政管理局名称）</w:t>
      </w:r>
      <w:r>
        <w:rPr>
          <w:rFonts w:hint="eastAsia" w:ascii="仿宋" w:hAnsi="仿宋" w:eastAsia="仿宋" w:cs="仿宋"/>
          <w:color w:val="auto"/>
          <w:sz w:val="24"/>
          <w:highlight w:val="none"/>
          <w:lang w:val="zh-CN"/>
        </w:rPr>
        <w:t>之</w:t>
      </w:r>
      <w:r>
        <w:rPr>
          <w:rFonts w:hint="eastAsia" w:ascii="仿宋" w:hAnsi="仿宋" w:eastAsia="仿宋" w:cs="仿宋"/>
          <w:color w:val="auto"/>
          <w:sz w:val="24"/>
          <w:highlight w:val="none"/>
          <w:u w:val="single"/>
          <w:lang w:val="zh-CN"/>
        </w:rPr>
        <w:t>（供应商全称）</w:t>
      </w:r>
      <w:r>
        <w:rPr>
          <w:rFonts w:hint="eastAsia" w:ascii="仿宋" w:hAnsi="仿宋" w:eastAsia="仿宋" w:cs="仿宋"/>
          <w:color w:val="auto"/>
          <w:sz w:val="24"/>
          <w:highlight w:val="none"/>
          <w:lang w:val="zh-CN"/>
        </w:rPr>
        <w:t>法人代表</w:t>
      </w:r>
      <w:r>
        <w:rPr>
          <w:rFonts w:hint="eastAsia" w:ascii="仿宋" w:hAnsi="仿宋" w:eastAsia="仿宋" w:cs="仿宋"/>
          <w:color w:val="auto"/>
          <w:sz w:val="24"/>
          <w:highlight w:val="none"/>
          <w:u w:val="single"/>
          <w:lang w:val="zh-CN"/>
        </w:rPr>
        <w:t>（姓名、职务）</w:t>
      </w:r>
      <w:r>
        <w:rPr>
          <w:rFonts w:hint="eastAsia" w:ascii="仿宋" w:hAnsi="仿宋" w:eastAsia="仿宋" w:cs="仿宋"/>
          <w:color w:val="auto"/>
          <w:sz w:val="24"/>
          <w:highlight w:val="none"/>
          <w:lang w:val="zh-CN"/>
        </w:rPr>
        <w:t>授权</w:t>
      </w:r>
      <w:r>
        <w:rPr>
          <w:rFonts w:hint="eastAsia" w:ascii="仿宋" w:hAnsi="仿宋" w:eastAsia="仿宋" w:cs="仿宋"/>
          <w:color w:val="auto"/>
          <w:sz w:val="24"/>
          <w:highlight w:val="none"/>
          <w:u w:val="single"/>
          <w:lang w:val="zh-CN"/>
        </w:rPr>
        <w:t>（被授权人姓名、职务）</w:t>
      </w:r>
      <w:r>
        <w:rPr>
          <w:rFonts w:hint="eastAsia" w:ascii="仿宋" w:hAnsi="仿宋" w:eastAsia="仿宋" w:cs="仿宋"/>
          <w:color w:val="auto"/>
          <w:sz w:val="24"/>
          <w:highlight w:val="none"/>
          <w:lang w:val="zh-CN"/>
        </w:rPr>
        <w:t>为本公司的合法代理人，就</w:t>
      </w:r>
      <w:r>
        <w:rPr>
          <w:rFonts w:hint="eastAsia" w:ascii="仿宋" w:hAnsi="仿宋" w:eastAsia="仿宋" w:cs="仿宋"/>
          <w:color w:val="auto"/>
          <w:sz w:val="24"/>
          <w:highlight w:val="none"/>
          <w:u w:val="single"/>
          <w:lang w:val="zh-CN"/>
        </w:rPr>
        <w:t>（项目名称）</w:t>
      </w:r>
      <w:r>
        <w:rPr>
          <w:rFonts w:hint="eastAsia" w:ascii="仿宋" w:hAnsi="仿宋" w:eastAsia="仿宋" w:cs="仿宋"/>
          <w:color w:val="auto"/>
          <w:sz w:val="24"/>
          <w:highlight w:val="none"/>
          <w:lang w:val="zh-CN"/>
        </w:rPr>
        <w:t>的磋商及合同的执行和完成，以本公司的名义处理一切与之有关的事宜。</w:t>
      </w:r>
    </w:p>
    <w:p>
      <w:pPr>
        <w:snapToGrid w:val="0"/>
        <w:spacing w:line="360" w:lineRule="auto"/>
        <w:ind w:firstLine="480" w:firstLineChars="200"/>
        <w:rPr>
          <w:rFonts w:hint="eastAsia" w:ascii="仿宋" w:hAnsi="仿宋" w:eastAsia="仿宋" w:cs="仿宋"/>
          <w:b/>
          <w:bCs/>
          <w:color w:val="auto"/>
          <w:sz w:val="24"/>
          <w:highlight w:val="none"/>
          <w:lang w:val="zh-CN"/>
        </w:rPr>
      </w:pPr>
      <w:r>
        <w:rPr>
          <w:rFonts w:hint="eastAsia" w:ascii="仿宋" w:hAnsi="仿宋" w:eastAsia="仿宋" w:cs="仿宋"/>
          <w:color w:val="auto"/>
          <w:sz w:val="24"/>
          <w:highlight w:val="none"/>
          <w:lang w:val="zh-CN"/>
        </w:rPr>
        <w:t>本授权自    年   月  日起生效。（</w:t>
      </w:r>
      <w:r>
        <w:rPr>
          <w:rFonts w:hint="eastAsia" w:ascii="仿宋" w:hAnsi="仿宋" w:eastAsia="仿宋" w:cs="仿宋"/>
          <w:b/>
          <w:color w:val="auto"/>
          <w:sz w:val="24"/>
          <w:highlight w:val="none"/>
          <w:lang w:val="zh-CN"/>
        </w:rPr>
        <w:t>提示：此日期不应晚于磋商响应函签署日期</w:t>
      </w:r>
      <w:r>
        <w:rPr>
          <w:rFonts w:hint="eastAsia" w:ascii="仿宋" w:hAnsi="仿宋" w:eastAsia="仿宋" w:cs="仿宋"/>
          <w:color w:val="auto"/>
          <w:sz w:val="24"/>
          <w:highlight w:val="none"/>
          <w:lang w:val="zh-CN"/>
        </w:rPr>
        <w:t>）</w:t>
      </w:r>
    </w:p>
    <w:p>
      <w:pPr>
        <w:autoSpaceDE w:val="0"/>
        <w:autoSpaceDN w:val="0"/>
        <w:adjustRightInd w:val="0"/>
        <w:spacing w:line="348" w:lineRule="auto"/>
        <w:rPr>
          <w:rFonts w:hint="eastAsia" w:ascii="仿宋" w:hAnsi="仿宋" w:eastAsia="仿宋" w:cs="仿宋"/>
          <w:color w:val="auto"/>
          <w:sz w:val="24"/>
          <w:highlight w:val="none"/>
        </w:rPr>
      </w:pPr>
    </w:p>
    <w:p>
      <w:pPr>
        <w:autoSpaceDE w:val="0"/>
        <w:autoSpaceDN w:val="0"/>
        <w:adjustRightInd w:val="0"/>
        <w:spacing w:line="348"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val="zh-CN"/>
        </w:rPr>
        <w:t>附：被授权人姓名：</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性别：</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年龄：</w:t>
      </w:r>
      <w:r>
        <w:rPr>
          <w:rFonts w:hint="eastAsia" w:ascii="仿宋" w:hAnsi="仿宋" w:eastAsia="仿宋" w:cs="仿宋"/>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职</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务：</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身份证号码：</w:t>
      </w:r>
      <w:r>
        <w:rPr>
          <w:rFonts w:hint="eastAsia" w:ascii="仿宋" w:hAnsi="仿宋" w:eastAsia="仿宋" w:cs="仿宋"/>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val="zh-CN"/>
        </w:rPr>
        <w:t>通讯地址：</w:t>
      </w:r>
      <w:r>
        <w:rPr>
          <w:rFonts w:hint="eastAsia" w:ascii="仿宋" w:hAnsi="仿宋" w:eastAsia="仿宋" w:cs="仿宋"/>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val="zh-CN"/>
        </w:rPr>
        <w:t>邮政编码：</w:t>
      </w:r>
      <w:r>
        <w:rPr>
          <w:rFonts w:hint="eastAsia" w:ascii="仿宋" w:hAnsi="仿宋" w:eastAsia="仿宋" w:cs="仿宋"/>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val="zh-CN"/>
        </w:rPr>
        <w:t>电</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传真：</w:t>
      </w:r>
      <w:r>
        <w:rPr>
          <w:rFonts w:hint="eastAsia" w:ascii="仿宋" w:hAnsi="仿宋" w:eastAsia="仿宋" w:cs="仿宋"/>
          <w:color w:val="auto"/>
          <w:sz w:val="24"/>
          <w:highlight w:val="none"/>
          <w:u w:val="single"/>
        </w:rPr>
        <w:t xml:space="preserve">           </w:t>
      </w:r>
    </w:p>
    <w:p>
      <w:pPr>
        <w:autoSpaceDE w:val="0"/>
        <w:autoSpaceDN w:val="0"/>
        <w:adjustRightInd w:val="0"/>
        <w:spacing w:line="348" w:lineRule="auto"/>
        <w:rPr>
          <w:rFonts w:hint="eastAsia" w:ascii="仿宋" w:hAnsi="仿宋" w:eastAsia="仿宋" w:cs="仿宋"/>
          <w:color w:val="auto"/>
          <w:sz w:val="24"/>
          <w:highlight w:val="none"/>
        </w:rPr>
      </w:pPr>
    </w:p>
    <w:p>
      <w:pPr>
        <w:autoSpaceDE w:val="0"/>
        <w:autoSpaceDN w:val="0"/>
        <w:adjustRightInd w:val="0"/>
        <w:spacing w:line="34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法定代表人</w:t>
      </w:r>
      <w:r>
        <w:rPr>
          <w:rFonts w:hint="eastAsia" w:ascii="仿宋" w:hAnsi="仿宋" w:eastAsia="仿宋" w:cs="仿宋"/>
          <w:color w:val="auto"/>
          <w:sz w:val="24"/>
          <w:highlight w:val="none"/>
        </w:rPr>
        <w:t>及</w:t>
      </w:r>
      <w:r>
        <w:rPr>
          <w:rFonts w:hint="eastAsia" w:ascii="仿宋" w:hAnsi="仿宋" w:eastAsia="仿宋" w:cs="仿宋"/>
          <w:color w:val="auto"/>
          <w:sz w:val="24"/>
          <w:highlight w:val="none"/>
          <w:lang w:val="zh-CN"/>
        </w:rPr>
        <w:t>授权代表身份证复印件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48" w:lineRule="auto"/>
              <w:jc w:val="center"/>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法定代表人身份证复印件</w:t>
            </w:r>
          </w:p>
          <w:p>
            <w:pPr>
              <w:autoSpaceDE w:val="0"/>
              <w:autoSpaceDN w:val="0"/>
              <w:adjustRightInd w:val="0"/>
              <w:spacing w:line="348" w:lineRule="auto"/>
              <w:jc w:val="cente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val="zh-CN"/>
              </w:rPr>
              <w:t>（正反面）</w:t>
            </w:r>
          </w:p>
        </w:tc>
        <w:tc>
          <w:tcPr>
            <w:tcW w:w="388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48" w:lineRule="auto"/>
              <w:jc w:val="center"/>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授权代表身份证复印件</w:t>
            </w:r>
          </w:p>
          <w:p>
            <w:pPr>
              <w:autoSpaceDE w:val="0"/>
              <w:autoSpaceDN w:val="0"/>
              <w:adjustRightInd w:val="0"/>
              <w:spacing w:line="348" w:lineRule="auto"/>
              <w:jc w:val="cente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val="zh-CN"/>
              </w:rPr>
              <w:t>（正反面）</w:t>
            </w:r>
          </w:p>
        </w:tc>
      </w:tr>
    </w:tbl>
    <w:p>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供应商                         法定代表人</w:t>
      </w:r>
    </w:p>
    <w:p>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（公章）：                       （签字</w:t>
      </w:r>
      <w:r>
        <w:rPr>
          <w:rFonts w:hint="eastAsia" w:ascii="仿宋" w:hAnsi="仿宋" w:eastAsia="仿宋" w:cs="仿宋"/>
          <w:color w:val="auto"/>
          <w:sz w:val="24"/>
          <w:highlight w:val="none"/>
          <w:lang w:val="en-US" w:eastAsia="zh-CN"/>
        </w:rPr>
        <w:t>或盖章</w:t>
      </w:r>
      <w:r>
        <w:rPr>
          <w:rFonts w:hint="eastAsia" w:ascii="仿宋" w:hAnsi="仿宋" w:eastAsia="仿宋" w:cs="仿宋"/>
          <w:color w:val="auto"/>
          <w:sz w:val="24"/>
          <w:highlight w:val="none"/>
        </w:rPr>
        <w:t>）：</w:t>
      </w:r>
    </w:p>
    <w:p>
      <w:pPr>
        <w:spacing w:after="120"/>
        <w:rPr>
          <w:rFonts w:hint="eastAsia" w:ascii="仿宋" w:hAnsi="仿宋" w:eastAsia="仿宋" w:cs="仿宋"/>
          <w:color w:val="auto"/>
          <w:highlight w:val="none"/>
        </w:rPr>
      </w:pPr>
      <w:r>
        <w:rPr>
          <w:rFonts w:hint="eastAsia" w:ascii="仿宋" w:hAnsi="仿宋" w:eastAsia="仿宋" w:cs="仿宋"/>
          <w:color w:val="auto"/>
          <w:highlight w:val="none"/>
        </w:rPr>
        <w:br w:type="page"/>
      </w:r>
    </w:p>
    <w:p>
      <w:pPr>
        <w:autoSpaceDE w:val="0"/>
        <w:autoSpaceDN w:val="0"/>
        <w:adjustRightInd w:val="0"/>
        <w:jc w:val="center"/>
        <w:rPr>
          <w:rFonts w:hint="eastAsia" w:ascii="仿宋" w:hAnsi="仿宋" w:eastAsia="仿宋" w:cs="仿宋"/>
          <w:b/>
          <w:color w:val="auto"/>
          <w:kern w:val="0"/>
          <w:sz w:val="28"/>
          <w:szCs w:val="28"/>
          <w:highlight w:val="none"/>
        </w:rPr>
      </w:pPr>
    </w:p>
    <w:p>
      <w:pPr>
        <w:autoSpaceDE w:val="0"/>
        <w:autoSpaceDN w:val="0"/>
        <w:adjustRightInd w:val="0"/>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2、法定代表人</w:t>
      </w:r>
      <w:r>
        <w:rPr>
          <w:rFonts w:hint="eastAsia" w:ascii="仿宋" w:hAnsi="仿宋" w:eastAsia="仿宋" w:cs="仿宋"/>
          <w:b/>
          <w:bCs/>
          <w:i/>
          <w:color w:val="auto"/>
          <w:sz w:val="32"/>
          <w:szCs w:val="32"/>
          <w:highlight w:val="none"/>
          <w:lang w:val="zh-CN"/>
        </w:rPr>
        <w:t>（单位负责人）</w:t>
      </w:r>
      <w:r>
        <w:rPr>
          <w:rFonts w:hint="eastAsia" w:ascii="仿宋" w:hAnsi="仿宋" w:eastAsia="仿宋" w:cs="仿宋"/>
          <w:b/>
          <w:color w:val="auto"/>
          <w:kern w:val="0"/>
          <w:sz w:val="28"/>
          <w:szCs w:val="28"/>
          <w:highlight w:val="none"/>
        </w:rPr>
        <w:t>身份证明</w:t>
      </w:r>
    </w:p>
    <w:p>
      <w:pPr>
        <w:autoSpaceDE w:val="0"/>
        <w:autoSpaceDN w:val="0"/>
        <w:adjustRightInd w:val="0"/>
        <w:spacing w:line="360" w:lineRule="auto"/>
        <w:jc w:val="left"/>
        <w:rPr>
          <w:rFonts w:hint="eastAsia" w:ascii="仿宋" w:hAnsi="仿宋" w:eastAsia="仿宋" w:cs="仿宋"/>
          <w:color w:val="auto"/>
          <w:kern w:val="0"/>
          <w:sz w:val="24"/>
          <w:highlight w:val="none"/>
        </w:rPr>
      </w:pPr>
    </w:p>
    <w:p>
      <w:pPr>
        <w:autoSpaceDE w:val="0"/>
        <w:autoSpaceDN w:val="0"/>
        <w:adjustRightInd w:val="0"/>
        <w:spacing w:line="360" w:lineRule="auto"/>
        <w:jc w:val="left"/>
        <w:rPr>
          <w:rFonts w:hint="eastAsia" w:ascii="仿宋" w:hAnsi="仿宋" w:eastAsia="仿宋" w:cs="仿宋"/>
          <w:color w:val="auto"/>
          <w:kern w:val="0"/>
          <w:sz w:val="24"/>
          <w:highlight w:val="none"/>
        </w:rPr>
      </w:pPr>
    </w:p>
    <w:p>
      <w:pPr>
        <w:autoSpaceDE w:val="0"/>
        <w:autoSpaceDN w:val="0"/>
        <w:adjustRightIn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autoSpaceDE w:val="0"/>
        <w:autoSpaceDN w:val="0"/>
        <w:adjustRightIn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单位性质：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autoSpaceDE w:val="0"/>
        <w:autoSpaceDN w:val="0"/>
        <w:adjustRightIn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地    址： </w:t>
      </w:r>
      <w:r>
        <w:rPr>
          <w:rFonts w:hint="eastAsia" w:ascii="仿宋" w:hAnsi="仿宋" w:eastAsia="仿宋" w:cs="仿宋"/>
          <w:color w:val="auto"/>
          <w:kern w:val="0"/>
          <w:sz w:val="24"/>
          <w:highlight w:val="none"/>
          <w:u w:val="single"/>
        </w:rPr>
        <w:t xml:space="preserve">                       </w:t>
      </w:r>
    </w:p>
    <w:p>
      <w:pPr>
        <w:autoSpaceDE w:val="0"/>
        <w:autoSpaceDN w:val="0"/>
        <w:adjustRightIn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成立时间：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日</w:t>
      </w:r>
    </w:p>
    <w:p>
      <w:pPr>
        <w:autoSpaceDE w:val="0"/>
        <w:autoSpaceDN w:val="0"/>
        <w:adjustRightIn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经营期限：</w:t>
      </w:r>
    </w:p>
    <w:p>
      <w:pPr>
        <w:autoSpaceDE w:val="0"/>
        <w:autoSpaceDN w:val="0"/>
        <w:adjustRightInd w:val="0"/>
        <w:spacing w:line="360" w:lineRule="auto"/>
        <w:jc w:val="left"/>
        <w:rPr>
          <w:rFonts w:hint="eastAsia" w:ascii="仿宋" w:hAnsi="仿宋" w:eastAsia="仿宋" w:cs="仿宋"/>
          <w:color w:val="auto"/>
          <w:kern w:val="0"/>
          <w:sz w:val="24"/>
          <w:highlight w:val="none"/>
        </w:rPr>
      </w:pPr>
    </w:p>
    <w:p>
      <w:pPr>
        <w:autoSpaceDE w:val="0"/>
        <w:autoSpaceDN w:val="0"/>
        <w:adjustRightInd w:val="0"/>
        <w:spacing w:line="360" w:lineRule="auto"/>
        <w:jc w:val="left"/>
        <w:rPr>
          <w:rFonts w:hint="eastAsia" w:ascii="仿宋" w:hAnsi="仿宋" w:eastAsia="仿宋" w:cs="仿宋"/>
          <w:color w:val="auto"/>
          <w:kern w:val="0"/>
          <w:sz w:val="24"/>
          <w:highlight w:val="none"/>
        </w:rPr>
      </w:pPr>
    </w:p>
    <w:p>
      <w:pPr>
        <w:autoSpaceDE w:val="0"/>
        <w:autoSpaceDN w:val="0"/>
        <w:adjustRightIn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姓名：</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性别：</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年龄：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职务：</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系</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名称）的法定代表人。</w:t>
      </w:r>
    </w:p>
    <w:p>
      <w:pPr>
        <w:autoSpaceDE w:val="0"/>
        <w:autoSpaceDN w:val="0"/>
        <w:adjustRightIn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特此证明。</w:t>
      </w:r>
    </w:p>
    <w:p>
      <w:pPr>
        <w:autoSpaceDE w:val="0"/>
        <w:autoSpaceDN w:val="0"/>
        <w:adjustRightInd w:val="0"/>
        <w:spacing w:line="360" w:lineRule="auto"/>
        <w:jc w:val="left"/>
        <w:rPr>
          <w:rFonts w:hint="eastAsia" w:ascii="仿宋" w:hAnsi="仿宋" w:eastAsia="仿宋" w:cs="仿宋"/>
          <w:color w:val="auto"/>
          <w:kern w:val="0"/>
          <w:sz w:val="24"/>
          <w:highlight w:val="none"/>
        </w:rPr>
      </w:pPr>
    </w:p>
    <w:p>
      <w:pPr>
        <w:autoSpaceDE w:val="0"/>
        <w:autoSpaceDN w:val="0"/>
        <w:adjustRightInd w:val="0"/>
        <w:spacing w:line="360" w:lineRule="auto"/>
        <w:jc w:val="left"/>
        <w:rPr>
          <w:rFonts w:hint="eastAsia" w:ascii="仿宋" w:hAnsi="仿宋" w:eastAsia="仿宋" w:cs="仿宋"/>
          <w:color w:val="auto"/>
          <w:kern w:val="0"/>
          <w:sz w:val="24"/>
          <w:highlight w:val="none"/>
        </w:rPr>
      </w:pPr>
    </w:p>
    <w:p>
      <w:pPr>
        <w:autoSpaceDE w:val="0"/>
        <w:autoSpaceDN w:val="0"/>
        <w:adjustRightInd w:val="0"/>
        <w:spacing w:line="360" w:lineRule="auto"/>
        <w:jc w:val="left"/>
        <w:rPr>
          <w:rFonts w:hint="eastAsia" w:ascii="仿宋" w:hAnsi="仿宋" w:eastAsia="仿宋" w:cs="仿宋"/>
          <w:color w:val="auto"/>
          <w:kern w:val="0"/>
          <w:sz w:val="24"/>
          <w:highlight w:val="none"/>
        </w:rPr>
      </w:pPr>
    </w:p>
    <w:p>
      <w:pPr>
        <w:autoSpaceDE w:val="0"/>
        <w:autoSpaceDN w:val="0"/>
        <w:adjustRightInd w:val="0"/>
        <w:spacing w:line="360" w:lineRule="auto"/>
        <w:jc w:val="left"/>
        <w:rPr>
          <w:rFonts w:hint="eastAsia" w:ascii="仿宋" w:hAnsi="仿宋" w:eastAsia="仿宋" w:cs="仿宋"/>
          <w:color w:val="auto"/>
          <w:kern w:val="0"/>
          <w:sz w:val="24"/>
          <w:highlight w:val="none"/>
        </w:rPr>
      </w:pPr>
    </w:p>
    <w:p>
      <w:pPr>
        <w:autoSpaceDE w:val="0"/>
        <w:autoSpaceDN w:val="0"/>
        <w:adjustRightInd w:val="0"/>
        <w:spacing w:line="360" w:lineRule="auto"/>
        <w:ind w:left="5399" w:leftChars="2571"/>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           （公章）</w:t>
      </w:r>
    </w:p>
    <w:p>
      <w:pPr>
        <w:autoSpaceDE w:val="0"/>
        <w:autoSpaceDN w:val="0"/>
        <w:adjustRightInd w:val="0"/>
        <w:spacing w:line="360" w:lineRule="auto"/>
        <w:ind w:left="5399" w:leftChars="2571"/>
        <w:jc w:val="left"/>
        <w:rPr>
          <w:rFonts w:hint="eastAsia" w:ascii="仿宋" w:hAnsi="仿宋" w:eastAsia="仿宋" w:cs="仿宋"/>
          <w:color w:val="auto"/>
          <w:kern w:val="0"/>
          <w:sz w:val="24"/>
          <w:highlight w:val="none"/>
        </w:rPr>
      </w:pPr>
    </w:p>
    <w:p>
      <w:pPr>
        <w:autoSpaceDE w:val="0"/>
        <w:autoSpaceDN w:val="0"/>
        <w:adjustRightInd w:val="0"/>
        <w:spacing w:line="360" w:lineRule="auto"/>
        <w:ind w:left="6659" w:leftChars="3171"/>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年  月  日</w:t>
      </w:r>
    </w:p>
    <w:p>
      <w:pPr>
        <w:spacing w:after="120"/>
        <w:rPr>
          <w:rFonts w:hint="eastAsia" w:ascii="仿宋" w:hAnsi="仿宋" w:eastAsia="仿宋" w:cs="仿宋"/>
          <w:color w:val="auto"/>
          <w:highlight w:val="none"/>
        </w:rPr>
      </w:pPr>
      <w:r>
        <w:rPr>
          <w:rFonts w:hint="eastAsia" w:ascii="仿宋" w:hAnsi="仿宋" w:eastAsia="仿宋" w:cs="仿宋"/>
          <w:color w:val="auto"/>
          <w:highlight w:val="none"/>
        </w:rPr>
        <w:br w:type="page"/>
      </w:r>
    </w:p>
    <w:p>
      <w:pPr>
        <w:widowControl/>
        <w:ind w:firstLine="161" w:firstLineChars="50"/>
        <w:jc w:val="left"/>
        <w:rPr>
          <w:rFonts w:hint="eastAsia" w:ascii="仿宋" w:hAnsi="仿宋" w:eastAsia="仿宋" w:cs="仿宋"/>
          <w:color w:val="auto"/>
          <w:sz w:val="28"/>
          <w:szCs w:val="28"/>
          <w:highlight w:val="none"/>
        </w:rPr>
      </w:pPr>
      <w:r>
        <w:rPr>
          <w:rFonts w:hint="eastAsia" w:ascii="仿宋" w:hAnsi="仿宋" w:eastAsia="仿宋" w:cs="仿宋"/>
          <w:b/>
          <w:bCs/>
          <w:color w:val="auto"/>
          <w:sz w:val="32"/>
          <w:szCs w:val="32"/>
          <w:highlight w:val="none"/>
          <w:lang w:val="zh-CN"/>
        </w:rPr>
        <w:t xml:space="preserve"> </w:t>
      </w:r>
    </w:p>
    <w:p>
      <w:pPr>
        <w:spacing w:after="120"/>
        <w:rPr>
          <w:rFonts w:hint="eastAsia" w:ascii="仿宋" w:hAnsi="仿宋" w:eastAsia="仿宋" w:cs="仿宋"/>
          <w:color w:val="auto"/>
          <w:highlight w:val="none"/>
        </w:rPr>
      </w:pPr>
    </w:p>
    <w:p>
      <w:pPr>
        <w:autoSpaceDE w:val="0"/>
        <w:autoSpaceDN w:val="0"/>
        <w:adjustRightInd w:val="0"/>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3、授权代表本单位证明</w:t>
      </w:r>
    </w:p>
    <w:p>
      <w:pPr>
        <w:spacing w:after="120"/>
        <w:rPr>
          <w:rFonts w:hint="eastAsia" w:ascii="仿宋" w:hAnsi="仿宋" w:eastAsia="仿宋" w:cs="仿宋"/>
          <w:color w:val="auto"/>
          <w:highlight w:val="none"/>
        </w:rPr>
      </w:pPr>
    </w:p>
    <w:p>
      <w:pPr>
        <w:autoSpaceDE w:val="0"/>
        <w:autoSpaceDN w:val="0"/>
        <w:adjustRightInd w:val="0"/>
        <w:spacing w:line="348" w:lineRule="auto"/>
        <w:jc w:val="center"/>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w:t>
      </w:r>
      <w:r>
        <w:rPr>
          <w:rFonts w:hint="eastAsia" w:ascii="仿宋" w:hAnsi="仿宋" w:eastAsia="仿宋" w:cs="仿宋"/>
          <w:color w:val="auto"/>
          <w:sz w:val="28"/>
          <w:szCs w:val="28"/>
          <w:highlight w:val="none"/>
          <w:lang w:eastAsia="zh-CN"/>
        </w:rPr>
        <w:t>近三个月社保</w:t>
      </w:r>
      <w:r>
        <w:rPr>
          <w:rFonts w:hint="eastAsia" w:ascii="仿宋" w:hAnsi="仿宋" w:eastAsia="仿宋" w:cs="仿宋"/>
          <w:color w:val="auto"/>
          <w:sz w:val="28"/>
          <w:szCs w:val="28"/>
          <w:highlight w:val="none"/>
        </w:rPr>
        <w:t>缴纳证明复印件</w:t>
      </w:r>
      <w:r>
        <w:rPr>
          <w:rFonts w:hint="eastAsia" w:ascii="仿宋" w:hAnsi="仿宋" w:eastAsia="仿宋" w:cs="仿宋"/>
          <w:color w:val="auto"/>
          <w:sz w:val="28"/>
          <w:szCs w:val="28"/>
          <w:highlight w:val="none"/>
          <w:lang w:val="zh-CN"/>
        </w:rPr>
        <w:t>）</w:t>
      </w:r>
    </w:p>
    <w:p>
      <w:pPr>
        <w:spacing w:after="120"/>
        <w:rPr>
          <w:rFonts w:hint="eastAsia" w:ascii="仿宋" w:hAnsi="仿宋" w:eastAsia="仿宋" w:cs="仿宋"/>
          <w:color w:val="auto"/>
          <w:highlight w:val="none"/>
          <w:lang w:val="zh-CN"/>
        </w:rPr>
      </w:pPr>
    </w:p>
    <w:p>
      <w:pPr>
        <w:spacing w:after="120"/>
        <w:rPr>
          <w:rFonts w:hint="eastAsia" w:ascii="仿宋" w:hAnsi="仿宋" w:eastAsia="仿宋" w:cs="仿宋"/>
          <w:color w:val="auto"/>
          <w:highlight w:val="none"/>
          <w:lang w:val="zh-CN"/>
        </w:rPr>
      </w:pPr>
    </w:p>
    <w:p>
      <w:pPr>
        <w:spacing w:after="120"/>
        <w:rPr>
          <w:rFonts w:hint="eastAsia" w:ascii="仿宋" w:hAnsi="仿宋" w:eastAsia="仿宋" w:cs="仿宋"/>
          <w:color w:val="auto"/>
          <w:highlight w:val="none"/>
          <w:lang w:val="zh-CN"/>
        </w:rPr>
      </w:pPr>
    </w:p>
    <w:p>
      <w:pPr>
        <w:spacing w:after="120"/>
        <w:rPr>
          <w:rFonts w:hint="eastAsia" w:ascii="仿宋" w:hAnsi="仿宋" w:eastAsia="仿宋" w:cs="仿宋"/>
          <w:color w:val="auto"/>
          <w:highlight w:val="none"/>
          <w:lang w:val="zh-CN"/>
        </w:rPr>
      </w:pPr>
    </w:p>
    <w:p>
      <w:pPr>
        <w:spacing w:after="120"/>
        <w:rPr>
          <w:rFonts w:hint="eastAsia" w:ascii="仿宋" w:hAnsi="仿宋" w:eastAsia="仿宋" w:cs="仿宋"/>
          <w:color w:val="auto"/>
          <w:highlight w:val="none"/>
          <w:lang w:val="zh-CN"/>
        </w:rPr>
      </w:pPr>
    </w:p>
    <w:p>
      <w:pPr>
        <w:spacing w:after="120"/>
        <w:rPr>
          <w:rFonts w:hint="eastAsia" w:ascii="仿宋" w:hAnsi="仿宋" w:eastAsia="仿宋" w:cs="仿宋"/>
          <w:color w:val="auto"/>
          <w:highlight w:val="none"/>
          <w:lang w:val="zh-CN"/>
        </w:rPr>
      </w:pPr>
    </w:p>
    <w:p>
      <w:pPr>
        <w:spacing w:after="120"/>
        <w:rPr>
          <w:rFonts w:hint="eastAsia" w:ascii="仿宋" w:hAnsi="仿宋" w:eastAsia="仿宋" w:cs="仿宋"/>
          <w:color w:val="auto"/>
          <w:highlight w:val="none"/>
          <w:lang w:val="zh-CN"/>
        </w:rPr>
      </w:pPr>
    </w:p>
    <w:p>
      <w:pPr>
        <w:spacing w:after="120"/>
        <w:rPr>
          <w:rFonts w:hint="eastAsia" w:ascii="仿宋" w:hAnsi="仿宋" w:eastAsia="仿宋" w:cs="仿宋"/>
          <w:color w:val="auto"/>
          <w:highlight w:val="none"/>
          <w:lang w:val="zh-CN"/>
        </w:rPr>
      </w:pPr>
    </w:p>
    <w:p>
      <w:pPr>
        <w:spacing w:after="120"/>
        <w:rPr>
          <w:rFonts w:hint="eastAsia" w:ascii="仿宋" w:hAnsi="仿宋" w:eastAsia="仿宋" w:cs="仿宋"/>
          <w:color w:val="auto"/>
          <w:highlight w:val="none"/>
          <w:lang w:val="zh-CN"/>
        </w:rPr>
      </w:pPr>
    </w:p>
    <w:p>
      <w:pPr>
        <w:spacing w:after="120"/>
        <w:rPr>
          <w:rFonts w:hint="eastAsia" w:ascii="仿宋" w:hAnsi="仿宋" w:eastAsia="仿宋" w:cs="仿宋"/>
          <w:color w:val="auto"/>
          <w:highlight w:val="none"/>
          <w:lang w:val="zh-CN"/>
        </w:rPr>
      </w:pPr>
    </w:p>
    <w:p>
      <w:pPr>
        <w:spacing w:after="120"/>
        <w:rPr>
          <w:rFonts w:hint="eastAsia" w:ascii="仿宋" w:hAnsi="仿宋" w:eastAsia="仿宋" w:cs="仿宋"/>
          <w:color w:val="auto"/>
          <w:highlight w:val="none"/>
          <w:lang w:val="zh-CN"/>
        </w:rPr>
      </w:pPr>
    </w:p>
    <w:p>
      <w:pPr>
        <w:spacing w:after="120"/>
        <w:rPr>
          <w:rFonts w:hint="eastAsia" w:ascii="仿宋" w:hAnsi="仿宋" w:eastAsia="仿宋" w:cs="仿宋"/>
          <w:color w:val="auto"/>
          <w:highlight w:val="none"/>
          <w:lang w:val="zh-CN"/>
        </w:rPr>
      </w:pPr>
    </w:p>
    <w:p>
      <w:pPr>
        <w:spacing w:after="120"/>
        <w:rPr>
          <w:rFonts w:hint="eastAsia" w:ascii="仿宋" w:hAnsi="仿宋" w:eastAsia="仿宋" w:cs="仿宋"/>
          <w:color w:val="auto"/>
          <w:highlight w:val="none"/>
          <w:lang w:val="zh-CN"/>
        </w:rPr>
      </w:pPr>
    </w:p>
    <w:p>
      <w:pPr>
        <w:spacing w:after="120"/>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br w:type="page"/>
      </w:r>
    </w:p>
    <w:p>
      <w:pPr>
        <w:spacing w:after="120"/>
        <w:rPr>
          <w:rFonts w:hint="eastAsia" w:ascii="仿宋" w:hAnsi="仿宋" w:eastAsia="仿宋" w:cs="仿宋"/>
          <w:color w:val="auto"/>
          <w:highlight w:val="none"/>
        </w:rPr>
      </w:pPr>
    </w:p>
    <w:p>
      <w:pPr>
        <w:pStyle w:val="195"/>
        <w:ind w:firstLine="2570" w:firstLineChars="80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第二部分  资格证明文件</w:t>
      </w:r>
    </w:p>
    <w:p>
      <w:pPr>
        <w:spacing w:after="120"/>
        <w:rPr>
          <w:rFonts w:hint="eastAsia" w:ascii="仿宋" w:hAnsi="仿宋" w:eastAsia="仿宋" w:cs="仿宋"/>
          <w:color w:val="auto"/>
          <w:highlight w:val="none"/>
        </w:rPr>
      </w:pPr>
    </w:p>
    <w:p>
      <w:pPr>
        <w:numPr>
          <w:ilvl w:val="1"/>
          <w:numId w:val="15"/>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供应商的企业法人营业执照副本复印件（格式要求见附件6-1）；</w:t>
      </w:r>
    </w:p>
    <w:p>
      <w:pPr>
        <w:numPr>
          <w:ilvl w:val="1"/>
          <w:numId w:val="15"/>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w:t>
      </w:r>
      <w:r>
        <w:rPr>
          <w:rFonts w:hint="eastAsia" w:ascii="仿宋" w:hAnsi="仿宋" w:eastAsia="仿宋" w:cs="仿宋"/>
          <w:color w:val="auto"/>
          <w:sz w:val="24"/>
          <w:highlight w:val="none"/>
          <w:lang w:val="en-US" w:eastAsia="zh-CN"/>
        </w:rPr>
        <w:t>2021</w:t>
      </w:r>
      <w:r>
        <w:rPr>
          <w:rFonts w:hint="eastAsia" w:ascii="仿宋" w:hAnsi="仿宋" w:eastAsia="仿宋" w:cs="仿宋"/>
          <w:color w:val="auto"/>
          <w:sz w:val="24"/>
          <w:highlight w:val="none"/>
        </w:rPr>
        <w:t>年度经审计的财务报表复印件（包括资产负债表、现金流量表、利润表</w:t>
      </w:r>
      <w:r>
        <w:rPr>
          <w:rFonts w:hint="eastAsia" w:ascii="仿宋" w:hAnsi="仿宋" w:eastAsia="仿宋" w:cs="仿宋"/>
          <w:color w:val="auto"/>
          <w:sz w:val="24"/>
          <w:highlight w:val="none"/>
          <w:lang w:eastAsia="zh-CN"/>
        </w:rPr>
        <w:t>及附注</w:t>
      </w:r>
      <w:r>
        <w:rPr>
          <w:rFonts w:hint="eastAsia" w:ascii="仿宋" w:hAnsi="仿宋" w:eastAsia="仿宋" w:cs="仿宋"/>
          <w:color w:val="auto"/>
          <w:sz w:val="24"/>
          <w:highlight w:val="none"/>
        </w:rPr>
        <w:t>），或本年度基本开户银行出具的资信证明（格式要求见附件6-2）；</w:t>
      </w:r>
    </w:p>
    <w:p>
      <w:pPr>
        <w:numPr>
          <w:ilvl w:val="1"/>
          <w:numId w:val="15"/>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依法缴纳税收和社会保障资金的证明材料复印件（格式见附件6-3、6-4）</w:t>
      </w:r>
    </w:p>
    <w:p>
      <w:pPr>
        <w:numPr>
          <w:ilvl w:val="1"/>
          <w:numId w:val="15"/>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具备履行合同所必需的设备和专业技术能力的承诺原件（格式见附件6-5）；</w:t>
      </w:r>
    </w:p>
    <w:p>
      <w:pPr>
        <w:numPr>
          <w:ilvl w:val="1"/>
          <w:numId w:val="15"/>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供应商参加政府采购活动前3年内在经营活动中没有重大违法记录的书面声明原件（格式见附件6-6）</w:t>
      </w:r>
    </w:p>
    <w:p>
      <w:pPr>
        <w:numPr>
          <w:ilvl w:val="1"/>
          <w:numId w:val="15"/>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供应商控股股东名称、控股公司的名称和存在管理、被管理关系的单位名称说明（格式见附件6-7)</w:t>
      </w:r>
    </w:p>
    <w:p>
      <w:pPr>
        <w:numPr>
          <w:ilvl w:val="1"/>
          <w:numId w:val="15"/>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供应商是否属于为本项目提供整体设计、规范编制或者项目管理、监理、检测等服务的供应商声明原件（格式见附件6-8)</w:t>
      </w:r>
    </w:p>
    <w:p>
      <w:pPr>
        <w:numPr>
          <w:ilvl w:val="1"/>
          <w:numId w:val="15"/>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证明供应商符合特定资格条件的证明材料</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）在“信用中国”和“中国政府采购网”网站上的信用查询结果，信用中国（陕西榆林）网址上申报符合榆林市公共资源交易中心要求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）供应商拟派项目负责人必须具备一级注册造价工程师资格，为本单位注册人员。</w:t>
      </w:r>
      <w:r>
        <w:rPr>
          <w:rFonts w:hint="eastAsia" w:ascii="仿宋" w:hAnsi="仿宋" w:eastAsia="仿宋" w:cs="仿宋"/>
          <w:color w:val="auto"/>
          <w:sz w:val="24"/>
          <w:highlight w:val="none"/>
        </w:rPr>
        <w:t>（格式见附件6-9)</w:t>
      </w:r>
    </w:p>
    <w:p>
      <w:pPr>
        <w:numPr>
          <w:ilvl w:val="0"/>
          <w:numId w:val="0"/>
        </w:numPr>
        <w:tabs>
          <w:tab w:val="left" w:pos="993"/>
          <w:tab w:val="left" w:pos="1030"/>
          <w:tab w:val="left" w:pos="8364"/>
        </w:tabs>
        <w:snapToGrid w:val="0"/>
        <w:spacing w:after="120" w:afterLines="50" w:line="360" w:lineRule="auto"/>
        <w:ind w:left="420" w:leftChars="0" w:right="-57" w:rightChars="-27"/>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以上提供的扫描件、复印件必须加盖供应商公章。</w:t>
      </w:r>
    </w:p>
    <w:p>
      <w:pPr>
        <w:spacing w:after="120"/>
        <w:rPr>
          <w:rFonts w:hint="eastAsia" w:ascii="仿宋" w:hAnsi="仿宋" w:eastAsia="仿宋" w:cs="仿宋"/>
          <w:color w:val="auto"/>
          <w:highlight w:val="none"/>
        </w:rPr>
      </w:pPr>
      <w:r>
        <w:rPr>
          <w:rFonts w:hint="eastAsia" w:ascii="仿宋" w:hAnsi="仿宋" w:eastAsia="仿宋" w:cs="仿宋"/>
          <w:color w:val="auto"/>
          <w:highlight w:val="none"/>
        </w:rPr>
        <w:br w:type="page"/>
      </w:r>
    </w:p>
    <w:p>
      <w:pPr>
        <w:jc w:val="left"/>
        <w:outlineLvl w:val="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6-1  供应商的企业法人营业执照副本复印件（加盖公章）</w:t>
      </w:r>
    </w:p>
    <w:p>
      <w:pPr>
        <w:jc w:val="left"/>
        <w:rPr>
          <w:rFonts w:hint="eastAsia" w:ascii="仿宋" w:hAnsi="仿宋" w:eastAsia="仿宋" w:cs="仿宋"/>
          <w:color w:val="auto"/>
          <w:sz w:val="24"/>
          <w:highlight w:val="none"/>
        </w:rPr>
      </w:pPr>
    </w:p>
    <w:p>
      <w:pPr>
        <w:tabs>
          <w:tab w:val="left" w:pos="993"/>
          <w:tab w:val="left" w:pos="1030"/>
          <w:tab w:val="left" w:pos="8364"/>
        </w:tabs>
        <w:snapToGrid w:val="0"/>
        <w:spacing w:after="120" w:afterLines="50"/>
        <w:ind w:right="-57" w:rightChars="-27"/>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（注：根据项目实际情况，本项内容可提供“事业单位法人证书”、执业许可证、自然人身份证明等证明材料）</w:t>
      </w:r>
    </w:p>
    <w:p>
      <w:pPr>
        <w:adjustRightInd w:val="0"/>
        <w:spacing w:line="360" w:lineRule="atLeast"/>
        <w:jc w:val="left"/>
        <w:textAlignment w:val="baseline"/>
        <w:rPr>
          <w:rFonts w:hint="eastAsia" w:ascii="仿宋" w:hAnsi="仿宋" w:eastAsia="仿宋" w:cs="仿宋"/>
          <w:b/>
          <w:color w:val="auto"/>
          <w:sz w:val="28"/>
          <w:highlight w:val="none"/>
        </w:rPr>
      </w:pPr>
    </w:p>
    <w:p>
      <w:pPr>
        <w:adjustRightInd w:val="0"/>
        <w:spacing w:line="360" w:lineRule="atLeast"/>
        <w:jc w:val="left"/>
        <w:textAlignment w:val="baseline"/>
        <w:rPr>
          <w:rFonts w:hint="eastAsia" w:ascii="仿宋" w:hAnsi="仿宋" w:eastAsia="仿宋" w:cs="仿宋"/>
          <w:b/>
          <w:color w:val="auto"/>
          <w:sz w:val="28"/>
          <w:highlight w:val="none"/>
        </w:rPr>
      </w:pPr>
      <w:r>
        <w:rPr>
          <w:rFonts w:hint="eastAsia" w:ascii="仿宋" w:hAnsi="仿宋" w:eastAsia="仿宋" w:cs="仿宋"/>
          <w:b/>
          <w:color w:val="auto"/>
          <w:sz w:val="28"/>
          <w:highlight w:val="none"/>
        </w:rPr>
        <w:t xml:space="preserve"> </w:t>
      </w:r>
    </w:p>
    <w:p>
      <w:pPr>
        <w:jc w:val="left"/>
        <w:outlineLvl w:val="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6-2  </w:t>
      </w:r>
      <w:r>
        <w:rPr>
          <w:rFonts w:hint="eastAsia" w:ascii="仿宋" w:hAnsi="仿宋" w:eastAsia="仿宋" w:cs="仿宋"/>
          <w:b/>
          <w:color w:val="auto"/>
          <w:sz w:val="24"/>
          <w:highlight w:val="none"/>
          <w:lang w:val="en-US" w:eastAsia="zh-CN"/>
        </w:rPr>
        <w:t>2021</w:t>
      </w:r>
      <w:r>
        <w:rPr>
          <w:rFonts w:hint="eastAsia" w:ascii="仿宋" w:hAnsi="仿宋" w:eastAsia="仿宋" w:cs="仿宋"/>
          <w:b/>
          <w:color w:val="auto"/>
          <w:sz w:val="24"/>
          <w:highlight w:val="none"/>
        </w:rPr>
        <w:t>年度经审计的财务报表</w:t>
      </w:r>
    </w:p>
    <w:p>
      <w:pPr>
        <w:spacing w:line="360" w:lineRule="auto"/>
        <w:rPr>
          <w:rFonts w:hint="eastAsia" w:ascii="仿宋" w:hAnsi="仿宋" w:eastAsia="仿宋" w:cs="仿宋"/>
          <w:color w:val="auto"/>
          <w:szCs w:val="21"/>
          <w:highlight w:val="none"/>
        </w:rPr>
      </w:pPr>
    </w:p>
    <w:p>
      <w:pPr>
        <w:tabs>
          <w:tab w:val="left" w:pos="993"/>
          <w:tab w:val="left" w:pos="1030"/>
          <w:tab w:val="left" w:pos="8364"/>
        </w:tabs>
        <w:snapToGrid w:val="0"/>
        <w:spacing w:after="120" w:afterLines="50"/>
        <w:ind w:right="-57" w:rightChars="-27"/>
        <w:rPr>
          <w:rFonts w:hint="eastAsia" w:ascii="仿宋" w:hAnsi="仿宋" w:eastAsia="仿宋" w:cs="仿宋"/>
          <w:color w:val="auto"/>
          <w:sz w:val="24"/>
          <w:highlight w:val="none"/>
        </w:rPr>
      </w:pPr>
      <w:r>
        <w:rPr>
          <w:rFonts w:hint="eastAsia" w:ascii="仿宋" w:hAnsi="仿宋" w:eastAsia="仿宋" w:cs="仿宋"/>
          <w:color w:val="auto"/>
          <w:sz w:val="24"/>
          <w:highlight w:val="none"/>
        </w:rPr>
        <w:t>提供供应商</w:t>
      </w:r>
      <w:r>
        <w:rPr>
          <w:rFonts w:hint="eastAsia" w:ascii="仿宋" w:hAnsi="仿宋" w:eastAsia="仿宋" w:cs="仿宋"/>
          <w:color w:val="auto"/>
          <w:sz w:val="24"/>
          <w:highlight w:val="none"/>
          <w:lang w:val="en-US" w:eastAsia="zh-CN"/>
        </w:rPr>
        <w:t>2021</w:t>
      </w:r>
      <w:r>
        <w:rPr>
          <w:rFonts w:hint="eastAsia" w:ascii="仿宋" w:hAnsi="仿宋" w:eastAsia="仿宋" w:cs="仿宋"/>
          <w:color w:val="auto"/>
          <w:sz w:val="24"/>
          <w:highlight w:val="none"/>
        </w:rPr>
        <w:t>年度经审计的财务报表（包括资产负债表、现金流量表、利润表</w:t>
      </w:r>
      <w:r>
        <w:rPr>
          <w:rFonts w:hint="eastAsia" w:ascii="仿宋" w:hAnsi="仿宋" w:eastAsia="仿宋" w:cs="仿宋"/>
          <w:color w:val="auto"/>
          <w:sz w:val="24"/>
          <w:highlight w:val="none"/>
          <w:lang w:eastAsia="zh-CN"/>
        </w:rPr>
        <w:t>及附注</w:t>
      </w:r>
      <w:r>
        <w:rPr>
          <w:rFonts w:hint="eastAsia" w:ascii="仿宋" w:hAnsi="仿宋" w:eastAsia="仿宋" w:cs="仿宋"/>
          <w:color w:val="auto"/>
          <w:sz w:val="24"/>
          <w:highlight w:val="none"/>
        </w:rPr>
        <w:t>）复印件或扫描件、所有复印件或扫描件需加盖单位公章。</w:t>
      </w:r>
    </w:p>
    <w:p>
      <w:pPr>
        <w:spacing w:line="360" w:lineRule="auto"/>
        <w:rPr>
          <w:rFonts w:hint="eastAsia" w:ascii="仿宋" w:hAnsi="仿宋" w:eastAsia="仿宋" w:cs="仿宋"/>
          <w:color w:val="auto"/>
          <w:szCs w:val="21"/>
          <w:highlight w:val="none"/>
        </w:rPr>
      </w:pPr>
    </w:p>
    <w:p>
      <w:pPr>
        <w:tabs>
          <w:tab w:val="left" w:pos="993"/>
          <w:tab w:val="left" w:pos="1030"/>
          <w:tab w:val="left" w:pos="8364"/>
        </w:tabs>
        <w:snapToGrid w:val="0"/>
        <w:spacing w:after="120" w:afterLines="50"/>
        <w:ind w:left="420" w:right="-57" w:rightChars="-27"/>
        <w:jc w:val="left"/>
        <w:rPr>
          <w:rFonts w:hint="eastAsia" w:ascii="仿宋" w:hAnsi="仿宋" w:eastAsia="仿宋" w:cs="仿宋"/>
          <w:b/>
          <w:color w:val="auto"/>
          <w:spacing w:val="20"/>
          <w:sz w:val="24"/>
          <w:highlight w:val="none"/>
        </w:rPr>
      </w:pPr>
    </w:p>
    <w:p>
      <w:pPr>
        <w:jc w:val="left"/>
        <w:outlineLvl w:val="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或  6-2  本年度基本开户银行出具的资信证明</w:t>
      </w:r>
    </w:p>
    <w:p>
      <w:pPr>
        <w:widowControl/>
        <w:jc w:val="left"/>
        <w:rPr>
          <w:rFonts w:hint="eastAsia" w:ascii="仿宋" w:hAnsi="仿宋" w:eastAsia="仿宋" w:cs="仿宋"/>
          <w:b/>
          <w:color w:val="auto"/>
          <w:spacing w:val="20"/>
          <w:sz w:val="24"/>
          <w:highlight w:val="none"/>
        </w:rPr>
      </w:pPr>
    </w:p>
    <w:p>
      <w:pPr>
        <w:tabs>
          <w:tab w:val="left" w:pos="5580"/>
        </w:tabs>
        <w:spacing w:before="120" w:line="360" w:lineRule="auto"/>
        <w:ind w:firstLine="480" w:firstLineChars="200"/>
        <w:rPr>
          <w:rFonts w:hint="eastAsia" w:ascii="仿宋" w:hAnsi="仿宋" w:eastAsia="仿宋" w:cs="仿宋"/>
          <w:color w:val="auto"/>
          <w:sz w:val="24"/>
          <w:highlight w:val="none"/>
        </w:rPr>
      </w:pPr>
    </w:p>
    <w:p>
      <w:pPr>
        <w:jc w:val="left"/>
        <w:outlineLvl w:val="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6-3 依法缴纳税收的证明</w:t>
      </w:r>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color w:val="auto"/>
          <w:sz w:val="24"/>
          <w:highlight w:val="none"/>
        </w:rPr>
      </w:pPr>
    </w:p>
    <w:p>
      <w:pPr>
        <w:tabs>
          <w:tab w:val="left" w:pos="993"/>
          <w:tab w:val="left" w:pos="1030"/>
          <w:tab w:val="left" w:pos="8364"/>
        </w:tabs>
        <w:snapToGrid w:val="0"/>
        <w:spacing w:after="120" w:afterLines="50"/>
        <w:ind w:right="-57" w:rightChars="-2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p>
      <w:pPr>
        <w:keepNext w:val="0"/>
        <w:keepLines w:val="0"/>
        <w:pageBreakBefore w:val="0"/>
        <w:widowControl w:val="0"/>
        <w:numPr>
          <w:ilvl w:val="0"/>
          <w:numId w:val="16"/>
        </w:numPr>
        <w:tabs>
          <w:tab w:val="left" w:pos="993"/>
          <w:tab w:val="left" w:pos="1030"/>
          <w:tab w:val="left" w:pos="8364"/>
        </w:tabs>
        <w:kinsoku/>
        <w:wordWrap/>
        <w:overflowPunct/>
        <w:topLinePunct w:val="0"/>
        <w:autoSpaceDE/>
        <w:autoSpaceDN/>
        <w:bidi w:val="0"/>
        <w:adjustRightInd/>
        <w:snapToGrid w:val="0"/>
        <w:ind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供应商应提供近六个月中任何一个月缴纳增值税和企业所得税的凭证（银行出具的缴税凭证或税务机关出具的证明的复印件，并加盖本单位公章）。</w:t>
      </w:r>
    </w:p>
    <w:p>
      <w:pPr>
        <w:keepNext w:val="0"/>
        <w:keepLines w:val="0"/>
        <w:pageBreakBefore w:val="0"/>
        <w:widowControl w:val="0"/>
        <w:numPr>
          <w:ilvl w:val="0"/>
          <w:numId w:val="16"/>
        </w:numPr>
        <w:tabs>
          <w:tab w:val="left" w:pos="993"/>
          <w:tab w:val="left" w:pos="1030"/>
          <w:tab w:val="left" w:pos="8364"/>
        </w:tabs>
        <w:kinsoku/>
        <w:wordWrap/>
        <w:overflowPunct/>
        <w:topLinePunct w:val="0"/>
        <w:autoSpaceDE/>
        <w:autoSpaceDN/>
        <w:bidi w:val="0"/>
        <w:adjustRightInd/>
        <w:snapToGrid w:val="0"/>
        <w:ind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依法免税的供应商，应提供相应文件证明其依法免税。</w:t>
      </w:r>
    </w:p>
    <w:p>
      <w:pPr>
        <w:spacing w:after="120"/>
        <w:rPr>
          <w:rFonts w:hint="eastAsia" w:ascii="仿宋" w:hAnsi="仿宋" w:eastAsia="仿宋" w:cs="仿宋"/>
          <w:color w:val="auto"/>
          <w:highlight w:val="none"/>
        </w:rPr>
      </w:pPr>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color w:val="auto"/>
          <w:sz w:val="24"/>
          <w:highlight w:val="none"/>
        </w:rPr>
      </w:pPr>
    </w:p>
    <w:p>
      <w:pPr>
        <w:jc w:val="left"/>
        <w:outlineLvl w:val="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6-4社会保障资金缴纳记录</w:t>
      </w:r>
    </w:p>
    <w:p>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cr/>
      </w:r>
    </w:p>
    <w:p>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p>
      <w:pPr>
        <w:numPr>
          <w:ilvl w:val="0"/>
          <w:numId w:val="17"/>
        </w:numPr>
        <w:tabs>
          <w:tab w:val="left" w:pos="993"/>
          <w:tab w:val="left" w:pos="1030"/>
          <w:tab w:val="left" w:pos="8364"/>
        </w:tabs>
        <w:snapToGrid w:val="0"/>
        <w:spacing w:after="120" w:afterLines="50"/>
        <w:ind w:left="420" w:leftChars="200" w:right="-57" w:rightChars="-2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供应商应提供近六个月中至少一个月的社会缴纳社会保险的凭据（专用收据或社会保险缴纳清单），并加盖本单位公章。</w:t>
      </w:r>
    </w:p>
    <w:p>
      <w:pPr>
        <w:numPr>
          <w:ilvl w:val="0"/>
          <w:numId w:val="17"/>
        </w:numPr>
        <w:tabs>
          <w:tab w:val="left" w:pos="993"/>
          <w:tab w:val="left" w:pos="1030"/>
          <w:tab w:val="left" w:pos="8364"/>
        </w:tabs>
        <w:snapToGrid w:val="0"/>
        <w:spacing w:after="120" w:afterLines="50"/>
        <w:ind w:left="420" w:leftChars="200" w:right="-57" w:rightChars="-2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不需要缴纳社会保障资金的供应商，应提供相应文件证明其不需要缴纳社会保障资金。</w:t>
      </w:r>
    </w:p>
    <w:p>
      <w:pPr>
        <w:tabs>
          <w:tab w:val="left" w:pos="5580"/>
        </w:tabs>
        <w:spacing w:before="120" w:line="360" w:lineRule="auto"/>
        <w:ind w:firstLine="480" w:firstLineChars="200"/>
        <w:rPr>
          <w:rFonts w:hint="eastAsia" w:ascii="仿宋" w:hAnsi="仿宋" w:eastAsia="仿宋" w:cs="仿宋"/>
          <w:color w:val="auto"/>
          <w:sz w:val="24"/>
          <w:highlight w:val="none"/>
        </w:rPr>
      </w:pPr>
    </w:p>
    <w:p>
      <w:pPr>
        <w:tabs>
          <w:tab w:val="left" w:pos="5580"/>
        </w:tabs>
        <w:spacing w:before="120" w:line="360" w:lineRule="auto"/>
        <w:ind w:firstLine="480" w:firstLineChars="200"/>
        <w:rPr>
          <w:rFonts w:hint="eastAsia" w:ascii="仿宋" w:hAnsi="仿宋" w:eastAsia="仿宋" w:cs="仿宋"/>
          <w:color w:val="auto"/>
          <w:sz w:val="24"/>
          <w:highlight w:val="none"/>
        </w:rPr>
      </w:pPr>
    </w:p>
    <w:p>
      <w:pPr>
        <w:jc w:val="left"/>
        <w:outlineLvl w:val="2"/>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6-5 </w:t>
      </w:r>
      <w:r>
        <w:rPr>
          <w:rFonts w:hint="eastAsia" w:ascii="仿宋" w:hAnsi="仿宋" w:eastAsia="仿宋" w:cs="仿宋"/>
          <w:b/>
          <w:color w:val="auto"/>
          <w:sz w:val="24"/>
          <w:highlight w:val="none"/>
        </w:rPr>
        <w:t xml:space="preserve">具备履行合同所必需的设备和专业技术能力承诺书                                                                                                                                                                                                                                                                                                                                                                                                                                                                                                                                                                                                                                                                                                      </w:t>
      </w:r>
    </w:p>
    <w:p>
      <w:pPr>
        <w:ind w:firstLine="480"/>
        <w:rPr>
          <w:rFonts w:hint="eastAsia" w:ascii="仿宋" w:hAnsi="仿宋" w:eastAsia="仿宋" w:cs="仿宋"/>
          <w:color w:val="auto"/>
          <w:kern w:val="0"/>
          <w:sz w:val="24"/>
          <w:highlight w:val="none"/>
        </w:rPr>
      </w:pPr>
    </w:p>
    <w:p>
      <w:pPr>
        <w:ind w:firstLine="480"/>
        <w:rPr>
          <w:rFonts w:hint="eastAsia" w:ascii="仿宋" w:hAnsi="仿宋" w:eastAsia="仿宋" w:cs="仿宋"/>
          <w:color w:val="auto"/>
          <w:kern w:val="0"/>
          <w:sz w:val="24"/>
          <w:highlight w:val="none"/>
        </w:rPr>
      </w:pPr>
    </w:p>
    <w:p>
      <w:pPr>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 xml:space="preserve">陕西省采购招标有限责任公司：   </w:t>
      </w:r>
    </w:p>
    <w:p>
      <w:pPr>
        <w:ind w:firstLine="480"/>
        <w:rPr>
          <w:rFonts w:hint="eastAsia" w:ascii="仿宋" w:hAnsi="仿宋" w:eastAsia="仿宋" w:cs="仿宋"/>
          <w:color w:val="auto"/>
          <w:kern w:val="0"/>
          <w:sz w:val="24"/>
          <w:highlight w:val="none"/>
        </w:rPr>
      </w:pPr>
    </w:p>
    <w:p>
      <w:pPr>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我公司承诺</w:t>
      </w:r>
      <w:r>
        <w:rPr>
          <w:rFonts w:hint="eastAsia" w:ascii="仿宋" w:hAnsi="仿宋" w:eastAsia="仿宋" w:cs="仿宋"/>
          <w:color w:val="auto"/>
          <w:sz w:val="24"/>
          <w:highlight w:val="none"/>
        </w:rPr>
        <w:t>具备履行合同所必需的设备和专业技术能力</w:t>
      </w:r>
      <w:r>
        <w:rPr>
          <w:rFonts w:hint="eastAsia" w:ascii="仿宋" w:hAnsi="仿宋" w:eastAsia="仿宋" w:cs="仿宋"/>
          <w:color w:val="auto"/>
          <w:kern w:val="0"/>
          <w:sz w:val="24"/>
          <w:highlight w:val="none"/>
        </w:rPr>
        <w:t>。</w:t>
      </w:r>
    </w:p>
    <w:p>
      <w:pPr>
        <w:ind w:firstLine="480"/>
        <w:rPr>
          <w:rFonts w:hint="eastAsia" w:ascii="仿宋" w:hAnsi="仿宋" w:eastAsia="仿宋" w:cs="仿宋"/>
          <w:b/>
          <w:color w:val="auto"/>
          <w:sz w:val="24"/>
          <w:highlight w:val="none"/>
        </w:rPr>
      </w:pPr>
    </w:p>
    <w:p>
      <w:pPr>
        <w:ind w:firstLine="480"/>
        <w:rPr>
          <w:rFonts w:hint="eastAsia" w:ascii="仿宋" w:hAnsi="仿宋" w:eastAsia="仿宋" w:cs="仿宋"/>
          <w:b/>
          <w:color w:val="auto"/>
          <w:sz w:val="24"/>
          <w:highlight w:val="none"/>
        </w:rPr>
      </w:pPr>
    </w:p>
    <w:p>
      <w:pPr>
        <w:ind w:firstLine="480"/>
        <w:rPr>
          <w:rFonts w:hint="eastAsia" w:ascii="仿宋" w:hAnsi="仿宋" w:eastAsia="仿宋" w:cs="仿宋"/>
          <w:b/>
          <w:color w:val="auto"/>
          <w:sz w:val="24"/>
          <w:highlight w:val="none"/>
        </w:rPr>
      </w:pPr>
    </w:p>
    <w:p>
      <w:pPr>
        <w:spacing w:before="120" w:after="120"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供应商名称（公章）： </w:t>
      </w:r>
      <w:r>
        <w:rPr>
          <w:rFonts w:hint="eastAsia" w:ascii="仿宋" w:hAnsi="仿宋" w:eastAsia="仿宋" w:cs="仿宋"/>
          <w:color w:val="auto"/>
          <w:sz w:val="24"/>
          <w:highlight w:val="none"/>
          <w:u w:val="single"/>
        </w:rPr>
        <w:t xml:space="preserve">              </w:t>
      </w:r>
    </w:p>
    <w:p>
      <w:pPr>
        <w:spacing w:before="120" w:after="120"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法定代表人或其授权代表（签字或加盖人名章）：</w:t>
      </w:r>
      <w:r>
        <w:rPr>
          <w:rFonts w:hint="eastAsia" w:ascii="仿宋" w:hAnsi="仿宋" w:eastAsia="仿宋" w:cs="仿宋"/>
          <w:color w:val="auto"/>
          <w:sz w:val="24"/>
          <w:highlight w:val="none"/>
          <w:u w:val="single"/>
        </w:rPr>
        <w:t xml:space="preserve">                  </w:t>
      </w:r>
    </w:p>
    <w:p>
      <w:pPr>
        <w:spacing w:before="120" w:after="12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tabs>
          <w:tab w:val="left" w:pos="5580"/>
        </w:tabs>
        <w:spacing w:before="120" w:line="360" w:lineRule="auto"/>
        <w:rPr>
          <w:rFonts w:hint="eastAsia" w:ascii="仿宋" w:hAnsi="仿宋" w:eastAsia="仿宋" w:cs="仿宋"/>
          <w:color w:val="auto"/>
          <w:sz w:val="24"/>
          <w:highlight w:val="none"/>
        </w:rPr>
      </w:pPr>
    </w:p>
    <w:p>
      <w:pPr>
        <w:widowControl/>
        <w:jc w:val="left"/>
        <w:rPr>
          <w:rFonts w:hint="eastAsia" w:ascii="仿宋" w:hAnsi="仿宋" w:eastAsia="仿宋" w:cs="仿宋"/>
          <w:b/>
          <w:color w:val="auto"/>
          <w:sz w:val="24"/>
          <w:highlight w:val="none"/>
        </w:rPr>
      </w:pPr>
    </w:p>
    <w:p>
      <w:pPr>
        <w:numPr>
          <w:ilvl w:val="1"/>
          <w:numId w:val="18"/>
        </w:numPr>
        <w:jc w:val="left"/>
        <w:outlineLvl w:val="2"/>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供应商参加政府采购活动前3年内在经营活动中没有重大违法记录的书面声明（格式）</w:t>
      </w:r>
    </w:p>
    <w:p>
      <w:pPr>
        <w:jc w:val="center"/>
        <w:rPr>
          <w:rFonts w:hint="eastAsia" w:ascii="仿宋" w:hAnsi="仿宋" w:eastAsia="仿宋" w:cs="仿宋"/>
          <w:color w:val="auto"/>
          <w:sz w:val="24"/>
          <w:highlight w:val="none"/>
        </w:rPr>
      </w:pPr>
    </w:p>
    <w:p>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声明函</w:t>
      </w:r>
    </w:p>
    <w:p>
      <w:pPr>
        <w:jc w:val="center"/>
        <w:rPr>
          <w:rFonts w:hint="eastAsia" w:ascii="仿宋" w:hAnsi="仿宋" w:eastAsia="仿宋" w:cs="仿宋"/>
          <w:color w:val="auto"/>
          <w:sz w:val="24"/>
          <w:highlight w:val="none"/>
        </w:rPr>
      </w:pPr>
    </w:p>
    <w:p>
      <w:pPr>
        <w:tabs>
          <w:tab w:val="left" w:pos="5580"/>
        </w:tabs>
        <w:spacing w:before="12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 xml:space="preserve">   陕西省采购招标有限责任公司  </w:t>
      </w:r>
    </w:p>
    <w:p>
      <w:pPr>
        <w:tabs>
          <w:tab w:val="left" w:pos="5580"/>
        </w:tabs>
        <w:spacing w:before="120" w:line="360" w:lineRule="auto"/>
        <w:ind w:firstLine="480" w:firstLineChars="200"/>
        <w:rPr>
          <w:rFonts w:hint="eastAsia" w:ascii="仿宋" w:hAnsi="仿宋" w:eastAsia="仿宋" w:cs="仿宋"/>
          <w:color w:val="auto"/>
          <w:sz w:val="24"/>
          <w:highlight w:val="none"/>
        </w:rPr>
      </w:pPr>
    </w:p>
    <w:p>
      <w:pPr>
        <w:tabs>
          <w:tab w:val="left" w:pos="5580"/>
        </w:tabs>
        <w:spacing w:before="12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我公司郑重承诺在参加本项目政府采购活动前三年内，在经营活动中无重大违法记录。公司未受到行政处罚或责令停业、吊销许可证（或执照）；未处于财产被接管、冻结、破产状况。</w:t>
      </w:r>
    </w:p>
    <w:p>
      <w:pPr>
        <w:tabs>
          <w:tab w:val="left" w:pos="5580"/>
        </w:tabs>
        <w:spacing w:before="12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特此声明。</w:t>
      </w:r>
    </w:p>
    <w:p>
      <w:pPr>
        <w:tabs>
          <w:tab w:val="left" w:pos="5580"/>
        </w:tabs>
        <w:spacing w:before="120" w:line="360" w:lineRule="auto"/>
        <w:ind w:firstLine="480" w:firstLineChars="200"/>
        <w:rPr>
          <w:rFonts w:hint="eastAsia" w:ascii="仿宋" w:hAnsi="仿宋" w:eastAsia="仿宋" w:cs="仿宋"/>
          <w:color w:val="auto"/>
          <w:sz w:val="24"/>
          <w:highlight w:val="none"/>
        </w:rPr>
      </w:pPr>
    </w:p>
    <w:p>
      <w:pPr>
        <w:spacing w:before="120" w:after="120"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供应商名称（公章）： </w:t>
      </w:r>
      <w:r>
        <w:rPr>
          <w:rFonts w:hint="eastAsia" w:ascii="仿宋" w:hAnsi="仿宋" w:eastAsia="仿宋" w:cs="仿宋"/>
          <w:color w:val="auto"/>
          <w:sz w:val="24"/>
          <w:highlight w:val="none"/>
          <w:u w:val="single"/>
        </w:rPr>
        <w:t xml:space="preserve">              </w:t>
      </w:r>
    </w:p>
    <w:p>
      <w:pPr>
        <w:spacing w:before="120" w:after="120"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法定代表人或其授权代表（签字或加盖人名章）：</w:t>
      </w:r>
      <w:r>
        <w:rPr>
          <w:rFonts w:hint="eastAsia" w:ascii="仿宋" w:hAnsi="仿宋" w:eastAsia="仿宋" w:cs="仿宋"/>
          <w:color w:val="auto"/>
          <w:sz w:val="24"/>
          <w:highlight w:val="none"/>
          <w:u w:val="single"/>
        </w:rPr>
        <w:t xml:space="preserve">                  </w:t>
      </w:r>
    </w:p>
    <w:p>
      <w:pPr>
        <w:spacing w:before="120" w:after="12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spacing w:after="120"/>
        <w:rPr>
          <w:rFonts w:hint="eastAsia" w:ascii="仿宋" w:hAnsi="仿宋" w:eastAsia="仿宋" w:cs="仿宋"/>
          <w:color w:val="auto"/>
          <w:highlight w:val="none"/>
        </w:rPr>
      </w:pPr>
    </w:p>
    <w:p>
      <w:pPr>
        <w:spacing w:after="120"/>
        <w:rPr>
          <w:rFonts w:hint="eastAsia" w:ascii="仿宋" w:hAnsi="仿宋" w:eastAsia="仿宋" w:cs="仿宋"/>
          <w:color w:val="auto"/>
          <w:highlight w:val="none"/>
        </w:rPr>
      </w:pPr>
    </w:p>
    <w:p>
      <w:pPr>
        <w:spacing w:line="360" w:lineRule="auto"/>
        <w:rPr>
          <w:rFonts w:hint="eastAsia" w:ascii="仿宋" w:hAnsi="仿宋" w:eastAsia="仿宋" w:cs="仿宋"/>
          <w:color w:val="auto"/>
          <w:sz w:val="24"/>
          <w:szCs w:val="21"/>
          <w:highlight w:val="none"/>
          <w:u w:val="single"/>
        </w:rPr>
      </w:pPr>
    </w:p>
    <w:p>
      <w:pPr>
        <w:numPr>
          <w:ilvl w:val="1"/>
          <w:numId w:val="19"/>
        </w:numPr>
        <w:jc w:val="left"/>
        <w:outlineLvl w:val="2"/>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 xml:space="preserve"> 供应商控股股东名称、控股公司的名称和存在管理、被管理关系的单位名称说明</w:t>
      </w:r>
    </w:p>
    <w:p>
      <w:pPr>
        <w:ind w:firstLine="420"/>
        <w:rPr>
          <w:rFonts w:hint="eastAsia" w:ascii="仿宋" w:hAnsi="仿宋" w:eastAsia="仿宋" w:cs="仿宋"/>
          <w:color w:val="auto"/>
          <w:szCs w:val="21"/>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致：陕西省采购招标有限责任公司</w:t>
      </w:r>
    </w:p>
    <w:p>
      <w:pPr>
        <w:spacing w:after="120"/>
        <w:rPr>
          <w:rFonts w:hint="eastAsia" w:ascii="仿宋" w:hAnsi="仿宋" w:eastAsia="仿宋" w:cs="仿宋"/>
          <w:color w:val="auto"/>
          <w:highlight w:val="none"/>
        </w:rPr>
      </w:pPr>
    </w:p>
    <w:p>
      <w:pPr>
        <w:ind w:firstLine="426"/>
        <w:rPr>
          <w:rFonts w:hint="eastAsia" w:ascii="仿宋" w:hAnsi="仿宋" w:eastAsia="仿宋" w:cs="仿宋"/>
          <w:color w:val="auto"/>
          <w:sz w:val="24"/>
          <w:highlight w:val="none"/>
        </w:rPr>
      </w:pPr>
      <w:r>
        <w:rPr>
          <w:rFonts w:hint="eastAsia" w:ascii="仿宋" w:hAnsi="仿宋" w:eastAsia="仿宋" w:cs="仿宋"/>
          <w:color w:val="auto"/>
          <w:sz w:val="24"/>
          <w:highlight w:val="none"/>
        </w:rPr>
        <w:t>与我方的法定代表人（单位负责人）为同一人的企业如下：</w:t>
      </w:r>
    </w:p>
    <w:p>
      <w:pPr>
        <w:ind w:firstLine="426"/>
        <w:rPr>
          <w:rFonts w:hint="eastAsia" w:ascii="仿宋" w:hAnsi="仿宋" w:eastAsia="仿宋" w:cs="仿宋"/>
          <w:color w:val="auto"/>
          <w:sz w:val="24"/>
          <w:highlight w:val="none"/>
        </w:rPr>
      </w:pPr>
    </w:p>
    <w:p>
      <w:pPr>
        <w:ind w:firstLine="426"/>
        <w:rPr>
          <w:rFonts w:hint="eastAsia" w:ascii="仿宋" w:hAnsi="仿宋" w:eastAsia="仿宋" w:cs="仿宋"/>
          <w:color w:val="auto"/>
          <w:sz w:val="24"/>
          <w:highlight w:val="none"/>
        </w:rPr>
      </w:pPr>
      <w:r>
        <w:rPr>
          <w:rFonts w:hint="eastAsia" w:ascii="仿宋" w:hAnsi="仿宋" w:eastAsia="仿宋" w:cs="仿宋"/>
          <w:color w:val="auto"/>
          <w:sz w:val="24"/>
          <w:highlight w:val="none"/>
        </w:rPr>
        <w:t>我方的控股股东如下：</w:t>
      </w:r>
    </w:p>
    <w:p>
      <w:pPr>
        <w:ind w:firstLine="426"/>
        <w:rPr>
          <w:rFonts w:hint="eastAsia" w:ascii="仿宋" w:hAnsi="仿宋" w:eastAsia="仿宋" w:cs="仿宋"/>
          <w:color w:val="auto"/>
          <w:sz w:val="24"/>
          <w:highlight w:val="none"/>
        </w:rPr>
      </w:pPr>
    </w:p>
    <w:p>
      <w:pPr>
        <w:ind w:firstLine="426"/>
        <w:rPr>
          <w:rFonts w:hint="eastAsia" w:ascii="仿宋" w:hAnsi="仿宋" w:eastAsia="仿宋" w:cs="仿宋"/>
          <w:color w:val="auto"/>
          <w:sz w:val="24"/>
          <w:highlight w:val="none"/>
        </w:rPr>
      </w:pPr>
      <w:r>
        <w:rPr>
          <w:rFonts w:hint="eastAsia" w:ascii="仿宋" w:hAnsi="仿宋" w:eastAsia="仿宋" w:cs="仿宋"/>
          <w:color w:val="auto"/>
          <w:sz w:val="24"/>
          <w:highlight w:val="none"/>
        </w:rPr>
        <w:t>我方直接控股的企业如下：</w:t>
      </w:r>
    </w:p>
    <w:p>
      <w:pPr>
        <w:ind w:firstLine="426"/>
        <w:rPr>
          <w:rFonts w:hint="eastAsia" w:ascii="仿宋" w:hAnsi="仿宋" w:eastAsia="仿宋" w:cs="仿宋"/>
          <w:color w:val="auto"/>
          <w:sz w:val="24"/>
          <w:highlight w:val="none"/>
        </w:rPr>
      </w:pPr>
    </w:p>
    <w:p>
      <w:pPr>
        <w:ind w:firstLine="426"/>
        <w:rPr>
          <w:rFonts w:hint="eastAsia" w:ascii="仿宋" w:hAnsi="仿宋" w:eastAsia="仿宋" w:cs="仿宋"/>
          <w:color w:val="auto"/>
          <w:sz w:val="24"/>
          <w:highlight w:val="none"/>
        </w:rPr>
      </w:pPr>
      <w:r>
        <w:rPr>
          <w:rFonts w:hint="eastAsia" w:ascii="仿宋" w:hAnsi="仿宋" w:eastAsia="仿宋" w:cs="仿宋"/>
          <w:color w:val="auto"/>
          <w:sz w:val="24"/>
          <w:highlight w:val="none"/>
        </w:rPr>
        <w:t>与我方存在管理、被管理关系的单位名称如下：</w:t>
      </w:r>
    </w:p>
    <w:p>
      <w:pPr>
        <w:ind w:firstLine="426"/>
        <w:rPr>
          <w:rFonts w:hint="eastAsia" w:ascii="仿宋" w:hAnsi="仿宋" w:eastAsia="仿宋" w:cs="仿宋"/>
          <w:color w:val="auto"/>
          <w:sz w:val="24"/>
          <w:highlight w:val="none"/>
        </w:rPr>
      </w:pPr>
    </w:p>
    <w:p>
      <w:pPr>
        <w:ind w:firstLine="426"/>
        <w:rPr>
          <w:rFonts w:hint="eastAsia" w:ascii="仿宋" w:hAnsi="仿宋" w:eastAsia="仿宋" w:cs="仿宋"/>
          <w:color w:val="auto"/>
          <w:szCs w:val="21"/>
          <w:highlight w:val="none"/>
        </w:rPr>
      </w:pPr>
    </w:p>
    <w:p>
      <w:pPr>
        <w:spacing w:before="120" w:after="120"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供应商名称（公章）： </w:t>
      </w:r>
      <w:r>
        <w:rPr>
          <w:rFonts w:hint="eastAsia" w:ascii="仿宋" w:hAnsi="仿宋" w:eastAsia="仿宋" w:cs="仿宋"/>
          <w:color w:val="auto"/>
          <w:sz w:val="24"/>
          <w:highlight w:val="none"/>
          <w:u w:val="single"/>
        </w:rPr>
        <w:t xml:space="preserve">              </w:t>
      </w:r>
    </w:p>
    <w:p>
      <w:pPr>
        <w:spacing w:before="120" w:after="120"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法定代表人或其授权代表（签字或加盖人名章）：</w:t>
      </w:r>
      <w:r>
        <w:rPr>
          <w:rFonts w:hint="eastAsia" w:ascii="仿宋" w:hAnsi="仿宋" w:eastAsia="仿宋" w:cs="仿宋"/>
          <w:color w:val="auto"/>
          <w:sz w:val="24"/>
          <w:highlight w:val="none"/>
          <w:u w:val="single"/>
        </w:rPr>
        <w:t xml:space="preserve">                  </w:t>
      </w:r>
    </w:p>
    <w:p>
      <w:pPr>
        <w:spacing w:before="120" w:after="12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ind w:firstLine="420" w:firstLineChars="200"/>
        <w:rPr>
          <w:rFonts w:hint="eastAsia" w:ascii="仿宋" w:hAnsi="仿宋" w:eastAsia="仿宋" w:cs="仿宋"/>
          <w:color w:val="auto"/>
          <w:szCs w:val="21"/>
          <w:highlight w:val="none"/>
        </w:rPr>
      </w:pPr>
    </w:p>
    <w:p>
      <w:pPr>
        <w:ind w:firstLine="420" w:firstLineChars="200"/>
        <w:rPr>
          <w:rFonts w:hint="eastAsia" w:ascii="仿宋" w:hAnsi="仿宋" w:eastAsia="仿宋" w:cs="仿宋"/>
          <w:color w:val="auto"/>
          <w:szCs w:val="21"/>
          <w:highlight w:val="none"/>
        </w:rPr>
      </w:pPr>
    </w:p>
    <w:p>
      <w:pPr>
        <w:ind w:firstLine="420" w:firstLineChars="200"/>
        <w:rPr>
          <w:rFonts w:hint="eastAsia" w:ascii="仿宋" w:hAnsi="仿宋" w:eastAsia="仿宋" w:cs="仿宋"/>
          <w:color w:val="auto"/>
          <w:szCs w:val="21"/>
          <w:highlight w:val="none"/>
        </w:rPr>
      </w:pPr>
    </w:p>
    <w:p>
      <w:pPr>
        <w:ind w:firstLine="420" w:firstLineChars="200"/>
        <w:rPr>
          <w:rFonts w:hint="eastAsia" w:ascii="仿宋" w:hAnsi="仿宋" w:eastAsia="仿宋" w:cs="仿宋"/>
          <w:color w:val="auto"/>
          <w:szCs w:val="21"/>
          <w:highlight w:val="none"/>
        </w:rPr>
      </w:pPr>
    </w:p>
    <w:p>
      <w:pPr>
        <w:numPr>
          <w:ilvl w:val="1"/>
          <w:numId w:val="19"/>
        </w:numPr>
        <w:jc w:val="left"/>
        <w:outlineLvl w:val="2"/>
        <w:rPr>
          <w:rFonts w:hint="eastAsia" w:ascii="仿宋" w:hAnsi="仿宋" w:eastAsia="仿宋" w:cs="仿宋"/>
          <w:b/>
          <w:color w:val="auto"/>
          <w:sz w:val="24"/>
          <w:szCs w:val="22"/>
          <w:highlight w:val="none"/>
        </w:rPr>
      </w:pPr>
      <w:r>
        <w:rPr>
          <w:rFonts w:hint="eastAsia" w:ascii="仿宋" w:hAnsi="仿宋" w:eastAsia="仿宋" w:cs="仿宋"/>
          <w:b/>
          <w:color w:val="auto"/>
          <w:sz w:val="24"/>
          <w:szCs w:val="22"/>
          <w:highlight w:val="none"/>
        </w:rPr>
        <w:t xml:space="preserve"> 供应商是否属于为本项目提供整体设计、规范编制或者项目管理、监理、检测等服务的供应商声明</w:t>
      </w:r>
    </w:p>
    <w:p>
      <w:pPr>
        <w:ind w:firstLine="420"/>
        <w:rPr>
          <w:rFonts w:hint="eastAsia" w:ascii="仿宋" w:hAnsi="仿宋" w:eastAsia="仿宋" w:cs="仿宋"/>
          <w:color w:val="auto"/>
          <w:szCs w:val="21"/>
          <w:highlight w:val="none"/>
        </w:rPr>
      </w:pPr>
    </w:p>
    <w:p>
      <w:pPr>
        <w:spacing w:line="360" w:lineRule="auto"/>
        <w:rPr>
          <w:rFonts w:hint="eastAsia" w:ascii="仿宋" w:hAnsi="仿宋" w:eastAsia="仿宋" w:cs="仿宋"/>
          <w:color w:val="auto"/>
          <w:szCs w:val="21"/>
          <w:highlight w:val="none"/>
        </w:rPr>
      </w:pPr>
    </w:p>
    <w:p>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致：陕西省采购招标有限责任公司</w:t>
      </w:r>
    </w:p>
    <w:p>
      <w:pPr>
        <w:ind w:firstLine="426"/>
        <w:rPr>
          <w:rFonts w:hint="eastAsia" w:ascii="仿宋" w:hAnsi="仿宋" w:eastAsia="仿宋" w:cs="仿宋"/>
          <w:color w:val="auto"/>
          <w:sz w:val="24"/>
          <w:highlight w:val="none"/>
        </w:rPr>
      </w:pPr>
      <w:r>
        <w:rPr>
          <w:rFonts w:hint="eastAsia" w:ascii="仿宋" w:hAnsi="仿宋" w:eastAsia="仿宋" w:cs="仿宋"/>
          <w:color w:val="auto"/>
          <w:sz w:val="24"/>
          <w:highlight w:val="none"/>
        </w:rPr>
        <w:t>我方</w:t>
      </w:r>
      <w:r>
        <w:rPr>
          <w:rFonts w:hint="eastAsia" w:ascii="仿宋" w:hAnsi="仿宋" w:eastAsia="仿宋" w:cs="仿宋"/>
          <w:color w:val="auto"/>
          <w:sz w:val="24"/>
          <w:highlight w:val="none"/>
          <w:u w:val="single"/>
        </w:rPr>
        <w:t>属于/不属于</w:t>
      </w:r>
      <w:r>
        <w:rPr>
          <w:rFonts w:hint="eastAsia" w:ascii="仿宋" w:hAnsi="仿宋" w:eastAsia="仿宋" w:cs="仿宋"/>
          <w:color w:val="auto"/>
          <w:sz w:val="24"/>
          <w:highlight w:val="none"/>
        </w:rPr>
        <w:t>为本项目提供整体设计、规范编制或者项目管理、监理、检测等服务的供应商。</w:t>
      </w:r>
    </w:p>
    <w:p>
      <w:pPr>
        <w:ind w:firstLine="426"/>
        <w:rPr>
          <w:rFonts w:hint="eastAsia" w:ascii="仿宋" w:hAnsi="仿宋" w:eastAsia="仿宋" w:cs="仿宋"/>
          <w:color w:val="auto"/>
          <w:sz w:val="24"/>
          <w:highlight w:val="none"/>
        </w:rPr>
      </w:pPr>
    </w:p>
    <w:p>
      <w:pPr>
        <w:ind w:firstLine="426"/>
        <w:rPr>
          <w:rFonts w:hint="eastAsia" w:ascii="仿宋" w:hAnsi="仿宋" w:eastAsia="仿宋" w:cs="仿宋"/>
          <w:color w:val="auto"/>
          <w:szCs w:val="21"/>
          <w:highlight w:val="none"/>
        </w:rPr>
      </w:pPr>
    </w:p>
    <w:p>
      <w:pPr>
        <w:spacing w:before="120" w:after="120"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供应商名称（公章）： </w:t>
      </w:r>
      <w:r>
        <w:rPr>
          <w:rFonts w:hint="eastAsia" w:ascii="仿宋" w:hAnsi="仿宋" w:eastAsia="仿宋" w:cs="仿宋"/>
          <w:color w:val="auto"/>
          <w:sz w:val="24"/>
          <w:highlight w:val="none"/>
          <w:u w:val="single"/>
        </w:rPr>
        <w:t xml:space="preserve">              </w:t>
      </w:r>
    </w:p>
    <w:p>
      <w:pPr>
        <w:spacing w:before="120" w:after="120"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法定代表人或其授权代表（签字或加盖人名章）：</w:t>
      </w:r>
      <w:r>
        <w:rPr>
          <w:rFonts w:hint="eastAsia" w:ascii="仿宋" w:hAnsi="仿宋" w:eastAsia="仿宋" w:cs="仿宋"/>
          <w:color w:val="auto"/>
          <w:sz w:val="24"/>
          <w:highlight w:val="none"/>
          <w:u w:val="single"/>
        </w:rPr>
        <w:t xml:space="preserve">                  </w:t>
      </w:r>
    </w:p>
    <w:p>
      <w:pPr>
        <w:spacing w:before="120" w:after="12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spacing w:after="120"/>
        <w:rPr>
          <w:rFonts w:hint="eastAsia" w:ascii="仿宋" w:hAnsi="仿宋" w:eastAsia="仿宋" w:cs="仿宋"/>
          <w:color w:val="auto"/>
          <w:highlight w:val="none"/>
        </w:rPr>
      </w:pPr>
    </w:p>
    <w:p>
      <w:pPr>
        <w:spacing w:after="120"/>
        <w:rPr>
          <w:rFonts w:hint="eastAsia" w:ascii="仿宋" w:hAnsi="仿宋" w:eastAsia="仿宋" w:cs="仿宋"/>
          <w:color w:val="auto"/>
          <w:highlight w:val="none"/>
        </w:rPr>
      </w:pPr>
    </w:p>
    <w:p>
      <w:pPr>
        <w:spacing w:after="120"/>
        <w:rPr>
          <w:rFonts w:hint="eastAsia" w:ascii="仿宋" w:hAnsi="仿宋" w:eastAsia="仿宋" w:cs="仿宋"/>
          <w:color w:val="auto"/>
          <w:highlight w:val="none"/>
        </w:rPr>
      </w:pPr>
    </w:p>
    <w:p>
      <w:pPr>
        <w:spacing w:after="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6-9证明供应商符合特定资格条件的证明材料：</w:t>
      </w:r>
    </w:p>
    <w:p>
      <w:pPr>
        <w:pStyle w:val="2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1.供应商拟派项目负责人必须具备一级注册造价工程师资格，为本单位注册人员；</w:t>
      </w:r>
    </w:p>
    <w:p>
      <w:pPr>
        <w:pStyle w:val="2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kern w:val="2"/>
          <w:sz w:val="24"/>
          <w:szCs w:val="24"/>
          <w:highlight w:val="none"/>
          <w:lang w:val="en-US" w:eastAsia="zh-CN" w:bidi="ar-SA"/>
        </w:rPr>
        <w:t>2.在“信用中国”和“中国政府采购网”网站上的信用查询结果，信用中国（陕西榆林）网址上申报符合榆林市公共资源交易中心要求。</w:t>
      </w:r>
      <w:r>
        <w:rPr>
          <w:rFonts w:hint="eastAsia" w:ascii="仿宋" w:hAnsi="仿宋" w:eastAsia="仿宋" w:cs="仿宋"/>
          <w:color w:val="auto"/>
          <w:highlight w:val="none"/>
        </w:rPr>
        <w:br w:type="page"/>
      </w:r>
    </w:p>
    <w:p>
      <w:pPr>
        <w:spacing w:after="120"/>
        <w:rPr>
          <w:rFonts w:hint="eastAsia" w:ascii="仿宋" w:hAnsi="仿宋" w:eastAsia="仿宋" w:cs="仿宋"/>
          <w:color w:val="auto"/>
          <w:highlight w:val="none"/>
        </w:rPr>
      </w:pPr>
    </w:p>
    <w:p>
      <w:pPr>
        <w:pStyle w:val="195"/>
        <w:ind w:firstLine="6927" w:firstLineChars="2300"/>
        <w:rPr>
          <w:rFonts w:hint="eastAsia" w:ascii="仿宋" w:hAnsi="仿宋" w:eastAsia="仿宋" w:cs="仿宋"/>
          <w:b/>
          <w:color w:val="auto"/>
          <w:sz w:val="30"/>
          <w:szCs w:val="30"/>
          <w:highlight w:val="none"/>
          <w:lang w:val="zh-CN"/>
        </w:rPr>
      </w:pPr>
      <w:r>
        <w:rPr>
          <w:rFonts w:hint="eastAsia" w:ascii="仿宋" w:hAnsi="仿宋" w:eastAsia="仿宋" w:cs="仿宋"/>
          <w:b/>
          <w:color w:val="auto"/>
          <w:sz w:val="30"/>
          <w:szCs w:val="30"/>
          <w:highlight w:val="none"/>
          <w:lang w:val="zh-CN"/>
        </w:rPr>
        <w:t>正本/副本</w:t>
      </w:r>
    </w:p>
    <w:p>
      <w:pPr>
        <w:autoSpaceDE w:val="0"/>
        <w:autoSpaceDN w:val="0"/>
        <w:adjustRightInd w:val="0"/>
        <w:snapToGrid w:val="0"/>
        <w:spacing w:line="360" w:lineRule="auto"/>
        <w:jc w:val="left"/>
        <w:rPr>
          <w:rFonts w:hint="eastAsia" w:ascii="仿宋" w:hAnsi="仿宋" w:eastAsia="仿宋" w:cs="仿宋"/>
          <w:b/>
          <w:bCs/>
          <w:color w:val="auto"/>
          <w:sz w:val="32"/>
          <w:szCs w:val="32"/>
          <w:highlight w:val="none"/>
          <w:lang w:val="zh-CN"/>
        </w:rPr>
      </w:pPr>
      <w:r>
        <w:rPr>
          <w:rFonts w:hint="eastAsia" w:ascii="仿宋" w:hAnsi="仿宋" w:eastAsia="仿宋" w:cs="仿宋"/>
          <w:b/>
          <w:bCs/>
          <w:color w:val="auto"/>
          <w:sz w:val="32"/>
          <w:szCs w:val="32"/>
          <w:highlight w:val="none"/>
          <w:lang w:val="zh-CN"/>
        </w:rPr>
        <w:t>政府采购项目</w:t>
      </w:r>
    </w:p>
    <w:p>
      <w:pPr>
        <w:autoSpaceDE w:val="0"/>
        <w:autoSpaceDN w:val="0"/>
        <w:adjustRightInd w:val="0"/>
        <w:snapToGrid w:val="0"/>
        <w:spacing w:line="360" w:lineRule="auto"/>
        <w:jc w:val="left"/>
        <w:rPr>
          <w:rFonts w:hint="eastAsia" w:ascii="仿宋" w:hAnsi="仿宋" w:eastAsia="仿宋" w:cs="仿宋"/>
          <w:b/>
          <w:bCs/>
          <w:color w:val="auto"/>
          <w:sz w:val="32"/>
          <w:szCs w:val="32"/>
          <w:highlight w:val="none"/>
          <w:lang w:val="zh-CN"/>
        </w:rPr>
      </w:pPr>
      <w:r>
        <w:rPr>
          <w:rFonts w:hint="eastAsia" w:ascii="仿宋" w:hAnsi="仿宋" w:eastAsia="仿宋" w:cs="仿宋"/>
          <w:b/>
          <w:bCs/>
          <w:color w:val="auto"/>
          <w:sz w:val="32"/>
          <w:szCs w:val="32"/>
          <w:highlight w:val="none"/>
          <w:lang w:val="zh-CN"/>
        </w:rPr>
        <w:t>采购项目编号：SCZD2022-CS-1334-001</w:t>
      </w:r>
    </w:p>
    <w:p>
      <w:pPr>
        <w:tabs>
          <w:tab w:val="left" w:pos="5670"/>
        </w:tabs>
        <w:autoSpaceDE w:val="0"/>
        <w:autoSpaceDN w:val="0"/>
        <w:adjustRightInd w:val="0"/>
        <w:snapToGrid w:val="0"/>
        <w:spacing w:line="360" w:lineRule="auto"/>
        <w:jc w:val="center"/>
        <w:rPr>
          <w:rFonts w:hint="eastAsia" w:ascii="仿宋" w:hAnsi="仿宋" w:eastAsia="仿宋" w:cs="仿宋"/>
          <w:color w:val="auto"/>
          <w:sz w:val="19"/>
          <w:szCs w:val="19"/>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color w:val="auto"/>
          <w:sz w:val="19"/>
          <w:szCs w:val="19"/>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color w:val="auto"/>
          <w:sz w:val="19"/>
          <w:szCs w:val="19"/>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color w:val="auto"/>
          <w:sz w:val="44"/>
          <w:szCs w:val="44"/>
          <w:highlight w:val="none"/>
          <w:lang w:val="zh-CN"/>
        </w:rPr>
      </w:pPr>
      <w:r>
        <w:rPr>
          <w:rFonts w:hint="eastAsia" w:ascii="仿宋" w:hAnsi="仿宋" w:eastAsia="仿宋" w:cs="仿宋"/>
          <w:b/>
          <w:bCs/>
          <w:color w:val="auto"/>
          <w:sz w:val="44"/>
          <w:szCs w:val="44"/>
          <w:highlight w:val="none"/>
          <w:lang w:val="zh-CN"/>
        </w:rPr>
        <w:tab/>
      </w:r>
    </w:p>
    <w:p>
      <w:pPr>
        <w:tabs>
          <w:tab w:val="left" w:pos="5670"/>
        </w:tabs>
        <w:autoSpaceDE w:val="0"/>
        <w:autoSpaceDN w:val="0"/>
        <w:adjustRightInd w:val="0"/>
        <w:snapToGrid w:val="0"/>
        <w:spacing w:line="360" w:lineRule="auto"/>
        <w:jc w:val="center"/>
        <w:rPr>
          <w:rFonts w:hint="eastAsia" w:ascii="仿宋" w:hAnsi="仿宋" w:eastAsia="仿宋" w:cs="仿宋"/>
          <w:b/>
          <w:bCs/>
          <w:color w:val="auto"/>
          <w:sz w:val="44"/>
          <w:szCs w:val="44"/>
          <w:highlight w:val="none"/>
          <w:lang w:val="zh-CN"/>
        </w:rPr>
      </w:pPr>
      <w:r>
        <w:rPr>
          <w:rFonts w:hint="eastAsia" w:ascii="仿宋" w:hAnsi="仿宋" w:eastAsia="仿宋" w:cs="仿宋"/>
          <w:b/>
          <w:bCs/>
          <w:color w:val="auto"/>
          <w:sz w:val="44"/>
          <w:szCs w:val="44"/>
          <w:highlight w:val="none"/>
          <w:lang w:val="zh-CN"/>
        </w:rPr>
        <w:t>榆林市第三医院（市传染病医院）建设工程</w:t>
      </w:r>
    </w:p>
    <w:p>
      <w:pPr>
        <w:tabs>
          <w:tab w:val="left" w:pos="5670"/>
        </w:tabs>
        <w:autoSpaceDE w:val="0"/>
        <w:autoSpaceDN w:val="0"/>
        <w:adjustRightInd w:val="0"/>
        <w:snapToGrid w:val="0"/>
        <w:spacing w:line="360" w:lineRule="auto"/>
        <w:jc w:val="center"/>
        <w:rPr>
          <w:rFonts w:hint="eastAsia" w:ascii="仿宋" w:hAnsi="仿宋" w:eastAsia="仿宋" w:cs="仿宋"/>
          <w:b/>
          <w:bCs/>
          <w:color w:val="auto"/>
          <w:sz w:val="44"/>
          <w:szCs w:val="44"/>
          <w:highlight w:val="none"/>
          <w:lang w:val="zh-CN"/>
        </w:rPr>
      </w:pPr>
      <w:r>
        <w:rPr>
          <w:rFonts w:hint="eastAsia" w:ascii="仿宋" w:hAnsi="仿宋" w:eastAsia="仿宋" w:cs="仿宋"/>
          <w:b/>
          <w:bCs/>
          <w:color w:val="auto"/>
          <w:sz w:val="44"/>
          <w:szCs w:val="44"/>
          <w:highlight w:val="none"/>
          <w:lang w:val="zh-CN"/>
        </w:rPr>
        <w:t>全过程造价咨询项目</w:t>
      </w:r>
    </w:p>
    <w:p>
      <w:pPr>
        <w:pStyle w:val="22"/>
        <w:rPr>
          <w:rFonts w:hint="eastAsia" w:ascii="仿宋" w:hAnsi="仿宋" w:eastAsia="仿宋" w:cs="仿宋"/>
          <w:lang w:val="zh-CN"/>
        </w:rPr>
      </w:pPr>
    </w:p>
    <w:p>
      <w:pPr>
        <w:tabs>
          <w:tab w:val="left" w:pos="5670"/>
        </w:tabs>
        <w:autoSpaceDE w:val="0"/>
        <w:autoSpaceDN w:val="0"/>
        <w:adjustRightInd w:val="0"/>
        <w:snapToGrid w:val="0"/>
        <w:spacing w:line="360" w:lineRule="auto"/>
        <w:jc w:val="center"/>
        <w:rPr>
          <w:rFonts w:hint="eastAsia" w:ascii="仿宋" w:hAnsi="仿宋" w:eastAsia="仿宋" w:cs="仿宋"/>
          <w:b/>
          <w:bCs/>
          <w:color w:val="auto"/>
          <w:sz w:val="52"/>
          <w:szCs w:val="52"/>
          <w:highlight w:val="none"/>
          <w:lang w:val="zh-CN"/>
        </w:rPr>
      </w:pPr>
      <w:r>
        <w:rPr>
          <w:rFonts w:hint="eastAsia" w:ascii="仿宋" w:hAnsi="仿宋" w:eastAsia="仿宋" w:cs="仿宋"/>
          <w:b/>
          <w:bCs/>
          <w:color w:val="auto"/>
          <w:sz w:val="52"/>
          <w:szCs w:val="52"/>
          <w:highlight w:val="none"/>
          <w:lang w:val="zh-CN"/>
        </w:rPr>
        <w:t>磋商响应文件</w:t>
      </w:r>
    </w:p>
    <w:p>
      <w:pPr>
        <w:autoSpaceDE w:val="0"/>
        <w:autoSpaceDN w:val="0"/>
        <w:adjustRightInd w:val="0"/>
        <w:snapToGrid w:val="0"/>
        <w:spacing w:line="360" w:lineRule="auto"/>
        <w:rPr>
          <w:rFonts w:hint="eastAsia" w:ascii="仿宋" w:hAnsi="仿宋" w:eastAsia="仿宋" w:cs="仿宋"/>
          <w:b/>
          <w:bCs/>
          <w:color w:val="auto"/>
          <w:sz w:val="32"/>
          <w:szCs w:val="32"/>
          <w:highlight w:val="none"/>
          <w:lang w:val="zh-CN"/>
        </w:rPr>
      </w:pPr>
      <w:r>
        <w:rPr>
          <w:rFonts w:hint="eastAsia" w:ascii="仿宋" w:hAnsi="仿宋" w:eastAsia="仿宋" w:cs="仿宋"/>
          <w:b/>
          <w:bCs/>
          <w:color w:val="auto"/>
          <w:sz w:val="32"/>
          <w:szCs w:val="32"/>
          <w:highlight w:val="none"/>
          <w:lang w:val="zh-CN"/>
        </w:rPr>
        <w:t xml:space="preserve">                    （</w:t>
      </w:r>
      <w:r>
        <w:rPr>
          <w:rStyle w:val="94"/>
          <w:rFonts w:hint="eastAsia" w:ascii="仿宋" w:hAnsi="仿宋" w:eastAsia="仿宋" w:cs="仿宋"/>
          <w:color w:val="auto"/>
          <w:highlight w:val="none"/>
        </w:rPr>
        <w:t>商务及技术文件</w:t>
      </w:r>
      <w:r>
        <w:rPr>
          <w:rFonts w:hint="eastAsia" w:ascii="仿宋" w:hAnsi="仿宋" w:eastAsia="仿宋" w:cs="仿宋"/>
          <w:b/>
          <w:bCs/>
          <w:color w:val="auto"/>
          <w:sz w:val="32"/>
          <w:szCs w:val="32"/>
          <w:highlight w:val="none"/>
          <w:lang w:val="zh-CN"/>
        </w:rPr>
        <w:t>）</w:t>
      </w:r>
    </w:p>
    <w:p>
      <w:pPr>
        <w:autoSpaceDE w:val="0"/>
        <w:autoSpaceDN w:val="0"/>
        <w:adjustRightInd w:val="0"/>
        <w:snapToGrid w:val="0"/>
        <w:spacing w:line="360" w:lineRule="auto"/>
        <w:rPr>
          <w:rFonts w:hint="eastAsia" w:ascii="仿宋" w:hAnsi="仿宋" w:eastAsia="仿宋" w:cs="仿宋"/>
          <w:b/>
          <w:bCs/>
          <w:color w:val="auto"/>
          <w:sz w:val="32"/>
          <w:szCs w:val="32"/>
          <w:highlight w:val="none"/>
          <w:lang w:val="zh-CN"/>
        </w:rPr>
      </w:pPr>
    </w:p>
    <w:p>
      <w:pPr>
        <w:autoSpaceDE w:val="0"/>
        <w:autoSpaceDN w:val="0"/>
        <w:adjustRightInd w:val="0"/>
        <w:snapToGrid w:val="0"/>
        <w:spacing w:line="360" w:lineRule="auto"/>
        <w:rPr>
          <w:rFonts w:hint="eastAsia" w:ascii="仿宋" w:hAnsi="仿宋" w:eastAsia="仿宋" w:cs="仿宋"/>
          <w:b/>
          <w:bCs/>
          <w:color w:val="auto"/>
          <w:sz w:val="32"/>
          <w:szCs w:val="32"/>
          <w:highlight w:val="none"/>
          <w:lang w:val="zh-CN"/>
        </w:rPr>
      </w:pPr>
    </w:p>
    <w:p>
      <w:pPr>
        <w:autoSpaceDE w:val="0"/>
        <w:autoSpaceDN w:val="0"/>
        <w:adjustRightInd w:val="0"/>
        <w:snapToGrid w:val="0"/>
        <w:spacing w:line="360" w:lineRule="auto"/>
        <w:rPr>
          <w:rFonts w:hint="eastAsia" w:ascii="仿宋" w:hAnsi="仿宋" w:eastAsia="仿宋" w:cs="仿宋"/>
          <w:b/>
          <w:bCs/>
          <w:color w:val="auto"/>
          <w:sz w:val="32"/>
          <w:szCs w:val="32"/>
          <w:highlight w:val="none"/>
          <w:lang w:val="zh-CN"/>
        </w:rPr>
      </w:pPr>
    </w:p>
    <w:p>
      <w:pPr>
        <w:autoSpaceDE w:val="0"/>
        <w:autoSpaceDN w:val="0"/>
        <w:adjustRightInd w:val="0"/>
        <w:snapToGrid w:val="0"/>
        <w:spacing w:line="360" w:lineRule="auto"/>
        <w:rPr>
          <w:rFonts w:hint="eastAsia" w:ascii="仿宋" w:hAnsi="仿宋" w:eastAsia="仿宋" w:cs="仿宋"/>
          <w:color w:val="auto"/>
          <w:sz w:val="30"/>
          <w:szCs w:val="30"/>
          <w:highlight w:val="none"/>
        </w:rPr>
      </w:pPr>
    </w:p>
    <w:p>
      <w:pPr>
        <w:autoSpaceDE w:val="0"/>
        <w:autoSpaceDN w:val="0"/>
        <w:adjustRightInd w:val="0"/>
        <w:snapToGrid w:val="0"/>
        <w:spacing w:line="360" w:lineRule="auto"/>
        <w:rPr>
          <w:rFonts w:hint="eastAsia" w:ascii="仿宋" w:hAnsi="仿宋" w:eastAsia="仿宋" w:cs="仿宋"/>
          <w:b/>
          <w:bCs/>
          <w:color w:val="auto"/>
          <w:sz w:val="32"/>
          <w:szCs w:val="32"/>
          <w:highlight w:val="none"/>
          <w:u w:val="single"/>
        </w:rPr>
      </w:pPr>
      <w:r>
        <w:rPr>
          <w:rFonts w:hint="eastAsia" w:ascii="仿宋" w:hAnsi="仿宋" w:eastAsia="仿宋" w:cs="仿宋"/>
          <w:color w:val="auto"/>
          <w:sz w:val="30"/>
          <w:szCs w:val="30"/>
          <w:highlight w:val="none"/>
        </w:rPr>
        <w:t xml:space="preserve">      </w:t>
      </w:r>
      <w:r>
        <w:rPr>
          <w:rFonts w:hint="eastAsia" w:ascii="仿宋" w:hAnsi="仿宋" w:eastAsia="仿宋" w:cs="仿宋"/>
          <w:b/>
          <w:bCs/>
          <w:color w:val="auto"/>
          <w:sz w:val="32"/>
          <w:szCs w:val="32"/>
          <w:highlight w:val="none"/>
          <w:lang w:val="zh-CN"/>
        </w:rPr>
        <w:t>供应商：</w:t>
      </w:r>
      <w:r>
        <w:rPr>
          <w:rFonts w:hint="eastAsia" w:ascii="仿宋" w:hAnsi="仿宋" w:eastAsia="仿宋" w:cs="仿宋"/>
          <w:b/>
          <w:bCs/>
          <w:color w:val="auto"/>
          <w:sz w:val="32"/>
          <w:szCs w:val="32"/>
          <w:highlight w:val="none"/>
          <w:u w:val="single"/>
        </w:rPr>
        <w:t xml:space="preserve">                   </w:t>
      </w:r>
    </w:p>
    <w:p>
      <w:pPr>
        <w:autoSpaceDE w:val="0"/>
        <w:autoSpaceDN w:val="0"/>
        <w:adjustRightInd w:val="0"/>
        <w:snapToGrid w:val="0"/>
        <w:spacing w:line="360" w:lineRule="auto"/>
        <w:rPr>
          <w:rFonts w:hint="eastAsia" w:ascii="仿宋" w:hAnsi="仿宋" w:eastAsia="仿宋" w:cs="仿宋"/>
          <w:b/>
          <w:bCs/>
          <w:color w:val="auto"/>
          <w:sz w:val="32"/>
          <w:szCs w:val="32"/>
          <w:highlight w:val="none"/>
        </w:rPr>
      </w:pPr>
    </w:p>
    <w:p>
      <w:pPr>
        <w:autoSpaceDE w:val="0"/>
        <w:autoSpaceDN w:val="0"/>
        <w:adjustRightInd w:val="0"/>
        <w:snapToGrid w:val="0"/>
        <w:spacing w:line="360" w:lineRule="auto"/>
        <w:ind w:firstLine="964" w:firstLineChars="300"/>
        <w:rPr>
          <w:rFonts w:hint="eastAsia" w:ascii="仿宋" w:hAnsi="仿宋" w:eastAsia="仿宋" w:cs="仿宋"/>
          <w:b/>
          <w:bCs/>
          <w:color w:val="auto"/>
          <w:sz w:val="32"/>
          <w:szCs w:val="32"/>
          <w:highlight w:val="none"/>
          <w:u w:val="single"/>
        </w:rPr>
      </w:pPr>
      <w:r>
        <w:rPr>
          <w:rFonts w:hint="eastAsia" w:ascii="仿宋" w:hAnsi="仿宋" w:eastAsia="仿宋" w:cs="仿宋"/>
          <w:b/>
          <w:bCs/>
          <w:color w:val="auto"/>
          <w:sz w:val="32"/>
          <w:szCs w:val="32"/>
          <w:highlight w:val="none"/>
          <w:lang w:val="zh-CN"/>
        </w:rPr>
        <w:t>时</w:t>
      </w:r>
      <w:r>
        <w:rPr>
          <w:rFonts w:hint="eastAsia" w:ascii="仿宋" w:hAnsi="仿宋" w:eastAsia="仿宋" w:cs="仿宋"/>
          <w:b/>
          <w:bCs/>
          <w:color w:val="auto"/>
          <w:sz w:val="32"/>
          <w:szCs w:val="32"/>
          <w:highlight w:val="none"/>
        </w:rPr>
        <w:t xml:space="preserve">  </w:t>
      </w:r>
      <w:r>
        <w:rPr>
          <w:rFonts w:hint="eastAsia" w:ascii="仿宋" w:hAnsi="仿宋" w:eastAsia="仿宋" w:cs="仿宋"/>
          <w:b/>
          <w:bCs/>
          <w:color w:val="auto"/>
          <w:sz w:val="32"/>
          <w:szCs w:val="32"/>
          <w:highlight w:val="none"/>
          <w:lang w:val="zh-CN"/>
        </w:rPr>
        <w:t>间：</w:t>
      </w:r>
      <w:r>
        <w:rPr>
          <w:rFonts w:hint="eastAsia" w:ascii="仿宋" w:hAnsi="仿宋" w:eastAsia="仿宋" w:cs="仿宋"/>
          <w:b/>
          <w:bCs/>
          <w:color w:val="auto"/>
          <w:sz w:val="32"/>
          <w:szCs w:val="32"/>
          <w:highlight w:val="none"/>
          <w:u w:val="single"/>
        </w:rPr>
        <w:t xml:space="preserve">  </w:t>
      </w:r>
    </w:p>
    <w:p>
      <w:pPr>
        <w:pStyle w:val="22"/>
        <w:rPr>
          <w:rFonts w:hint="eastAsia" w:ascii="仿宋" w:hAnsi="仿宋" w:eastAsia="仿宋" w:cs="仿宋"/>
          <w:color w:val="auto"/>
          <w:highlight w:val="none"/>
        </w:rPr>
      </w:pPr>
      <w:r>
        <w:rPr>
          <w:rFonts w:hint="eastAsia" w:ascii="仿宋" w:hAnsi="仿宋" w:eastAsia="仿宋" w:cs="仿宋"/>
          <w:color w:val="auto"/>
          <w:highlight w:val="none"/>
        </w:rPr>
        <w:br w:type="page"/>
      </w:r>
    </w:p>
    <w:p>
      <w:pPr>
        <w:autoSpaceDE w:val="0"/>
        <w:autoSpaceDN w:val="0"/>
        <w:adjustRightInd w:val="0"/>
        <w:snapToGrid w:val="0"/>
        <w:spacing w:line="360" w:lineRule="auto"/>
        <w:ind w:firstLine="964" w:firstLineChars="300"/>
        <w:rPr>
          <w:rFonts w:hint="eastAsia" w:ascii="仿宋" w:hAnsi="仿宋" w:eastAsia="仿宋" w:cs="仿宋"/>
          <w:b/>
          <w:bCs/>
          <w:color w:val="auto"/>
          <w:sz w:val="32"/>
          <w:szCs w:val="32"/>
          <w:highlight w:val="none"/>
          <w:u w:val="single"/>
        </w:rPr>
      </w:pPr>
    </w:p>
    <w:p>
      <w:pPr>
        <w:pStyle w:val="22"/>
        <w:rPr>
          <w:rFonts w:hint="eastAsia" w:ascii="仿宋" w:hAnsi="仿宋" w:eastAsia="仿宋" w:cs="仿宋"/>
          <w:color w:val="auto"/>
          <w:highlight w:val="none"/>
        </w:rPr>
      </w:pPr>
    </w:p>
    <w:p>
      <w:pPr>
        <w:autoSpaceDE w:val="0"/>
        <w:autoSpaceDN w:val="0"/>
        <w:adjustRightInd w:val="0"/>
        <w:snapToGrid w:val="0"/>
        <w:spacing w:line="360" w:lineRule="auto"/>
        <w:ind w:firstLine="3534" w:firstLineChars="110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目  录</w:t>
      </w:r>
    </w:p>
    <w:p>
      <w:pPr>
        <w:spacing w:after="120"/>
        <w:ind w:firstLine="315" w:firstLineChars="150"/>
        <w:rPr>
          <w:rFonts w:hint="eastAsia" w:ascii="仿宋" w:hAnsi="仿宋" w:eastAsia="仿宋" w:cs="仿宋"/>
          <w:color w:val="auto"/>
          <w:highlight w:val="none"/>
        </w:rPr>
      </w:pPr>
    </w:p>
    <w:p>
      <w:pPr>
        <w:spacing w:after="120"/>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第一部分  磋商响应函</w:t>
      </w:r>
    </w:p>
    <w:p>
      <w:pPr>
        <w:spacing w:after="120"/>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第二部分  磋商响应报价表 </w:t>
      </w:r>
    </w:p>
    <w:p>
      <w:pPr>
        <w:spacing w:after="120"/>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第三部分  偏离表</w:t>
      </w:r>
    </w:p>
    <w:p>
      <w:pPr>
        <w:spacing w:after="120"/>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第四部分  响应方案说明</w:t>
      </w:r>
    </w:p>
    <w:p>
      <w:pPr>
        <w:spacing w:after="120"/>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第五部分  小微企业、监狱企业、残疾人福利单位声明函或证明</w:t>
      </w:r>
    </w:p>
    <w:p>
      <w:pPr>
        <w:spacing w:after="120"/>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第六部分  保证金支付凭证或担保函（复印件）</w:t>
      </w:r>
    </w:p>
    <w:p>
      <w:pPr>
        <w:pStyle w:val="22"/>
        <w:ind w:firstLine="480"/>
        <w:rPr>
          <w:rFonts w:hint="eastAsia" w:ascii="仿宋" w:hAnsi="仿宋" w:eastAsia="仿宋" w:cs="仿宋"/>
          <w:color w:val="auto"/>
          <w:sz w:val="24"/>
          <w:highlight w:val="none"/>
        </w:rPr>
      </w:pPr>
    </w:p>
    <w:p>
      <w:pPr>
        <w:pStyle w:val="22"/>
        <w:ind w:firstLine="480"/>
        <w:rPr>
          <w:rFonts w:hint="eastAsia" w:ascii="仿宋" w:hAnsi="仿宋" w:eastAsia="仿宋" w:cs="仿宋"/>
          <w:color w:val="auto"/>
          <w:sz w:val="24"/>
          <w:highlight w:val="none"/>
        </w:rPr>
      </w:pPr>
    </w:p>
    <w:p>
      <w:pPr>
        <w:widowControl/>
        <w:jc w:val="left"/>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195"/>
        <w:ind w:firstLine="2731" w:firstLineChars="85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zh-CN"/>
        </w:rPr>
        <w:t>第一部分</w:t>
      </w:r>
      <w:r>
        <w:rPr>
          <w:rFonts w:hint="eastAsia" w:ascii="仿宋" w:hAnsi="仿宋" w:eastAsia="仿宋" w:cs="仿宋"/>
          <w:b/>
          <w:color w:val="auto"/>
          <w:sz w:val="32"/>
          <w:szCs w:val="32"/>
          <w:highlight w:val="none"/>
        </w:rPr>
        <w:t xml:space="preserve">  </w:t>
      </w:r>
      <w:r>
        <w:rPr>
          <w:rFonts w:hint="eastAsia" w:ascii="仿宋" w:hAnsi="仿宋" w:eastAsia="仿宋" w:cs="仿宋"/>
          <w:b/>
          <w:color w:val="auto"/>
          <w:sz w:val="32"/>
          <w:szCs w:val="32"/>
          <w:highlight w:val="none"/>
          <w:lang w:val="zh-CN"/>
        </w:rPr>
        <w:t>磋商响应函</w:t>
      </w:r>
    </w:p>
    <w:p>
      <w:pPr>
        <w:autoSpaceDE w:val="0"/>
        <w:autoSpaceDN w:val="0"/>
        <w:adjustRightInd w:val="0"/>
        <w:snapToGrid w:val="0"/>
        <w:spacing w:line="312" w:lineRule="auto"/>
        <w:rPr>
          <w:rFonts w:hint="eastAsia" w:ascii="仿宋" w:hAnsi="仿宋" w:eastAsia="仿宋" w:cs="仿宋"/>
          <w:b/>
          <w:bCs/>
          <w:color w:val="auto"/>
          <w:sz w:val="24"/>
          <w:highlight w:val="none"/>
          <w:lang w:val="zh-CN"/>
        </w:rPr>
      </w:pPr>
    </w:p>
    <w:p>
      <w:pPr>
        <w:autoSpaceDE w:val="0"/>
        <w:autoSpaceDN w:val="0"/>
        <w:adjustRightInd w:val="0"/>
        <w:snapToGrid w:val="0"/>
        <w:spacing w:line="312"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zh-CN"/>
        </w:rPr>
        <w:t>陕西省采购招标有限责任公司：</w:t>
      </w:r>
    </w:p>
    <w:p>
      <w:pPr>
        <w:autoSpaceDE w:val="0"/>
        <w:autoSpaceDN w:val="0"/>
        <w:adjustRightInd w:val="0"/>
        <w:snapToGrid w:val="0"/>
        <w:spacing w:line="312" w:lineRule="auto"/>
        <w:ind w:firstLine="63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我单位收到贵公司</w:t>
      </w:r>
      <w:r>
        <w:rPr>
          <w:rFonts w:hint="eastAsia" w:ascii="仿宋" w:hAnsi="仿宋" w:eastAsia="仿宋" w:cs="仿宋"/>
          <w:color w:val="auto"/>
          <w:sz w:val="24"/>
          <w:highlight w:val="none"/>
          <w:u w:val="single"/>
          <w:lang w:val="zh-CN"/>
        </w:rPr>
        <w:t xml:space="preserve">   （项目名称    ）</w:t>
      </w:r>
      <w:r>
        <w:rPr>
          <w:rFonts w:hint="eastAsia" w:ascii="仿宋" w:hAnsi="仿宋" w:eastAsia="仿宋" w:cs="仿宋"/>
          <w:color w:val="auto"/>
          <w:sz w:val="24"/>
          <w:highlight w:val="none"/>
          <w:lang w:val="zh-CN"/>
        </w:rPr>
        <w:t>竞争性磋商文件，经详细研究，我们决定参加本次磋商活动。为此，我方郑重声明以下诸点，并负法律责任：</w:t>
      </w:r>
    </w:p>
    <w:p>
      <w:pPr>
        <w:autoSpaceDE w:val="0"/>
        <w:autoSpaceDN w:val="0"/>
        <w:adjustRightInd w:val="0"/>
        <w:snapToGrid w:val="0"/>
        <w:spacing w:line="312" w:lineRule="auto"/>
        <w:ind w:firstLine="630"/>
        <w:rPr>
          <w:rFonts w:hint="eastAsia" w:ascii="仿宋" w:hAnsi="仿宋" w:eastAsia="仿宋" w:cs="仿宋"/>
          <w:color w:val="auto"/>
          <w:sz w:val="24"/>
          <w:highlight w:val="none"/>
        </w:rPr>
      </w:pPr>
      <w:r>
        <w:rPr>
          <w:rFonts w:hint="eastAsia" w:ascii="仿宋" w:hAnsi="仿宋" w:eastAsia="仿宋" w:cs="仿宋"/>
          <w:color w:val="auto"/>
          <w:sz w:val="24"/>
          <w:highlight w:val="none"/>
        </w:rPr>
        <w:t>一</w:t>
      </w:r>
      <w:r>
        <w:rPr>
          <w:rFonts w:hint="eastAsia" w:ascii="仿宋" w:hAnsi="仿宋" w:eastAsia="仿宋" w:cs="仿宋"/>
          <w:color w:val="auto"/>
          <w:sz w:val="24"/>
          <w:highlight w:val="none"/>
          <w:lang w:val="zh-CN"/>
        </w:rPr>
        <w:t>、愿意按照竞争性磋商文件中的要求，提供采购产品及技术服务，完成合同的责任和义务。</w:t>
      </w:r>
    </w:p>
    <w:p>
      <w:pPr>
        <w:autoSpaceDE w:val="0"/>
        <w:autoSpaceDN w:val="0"/>
        <w:adjustRightInd w:val="0"/>
        <w:snapToGrid w:val="0"/>
        <w:spacing w:line="312" w:lineRule="auto"/>
        <w:ind w:left="885" w:leftChars="250" w:hanging="360" w:hanging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二</w:t>
      </w:r>
      <w:r>
        <w:rPr>
          <w:rFonts w:hint="eastAsia" w:ascii="仿宋" w:hAnsi="仿宋" w:eastAsia="仿宋" w:cs="仿宋"/>
          <w:color w:val="auto"/>
          <w:sz w:val="24"/>
          <w:highlight w:val="none"/>
          <w:lang w:val="zh-CN"/>
        </w:rPr>
        <w:t>、按竞争性磋商文件的规定，我公司的首次磋商响应报价为人民币（大写）：</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元），并对其后的磋商报价负法律责任。</w:t>
      </w:r>
    </w:p>
    <w:p>
      <w:pPr>
        <w:autoSpaceDE w:val="0"/>
        <w:autoSpaceDN w:val="0"/>
        <w:adjustRightInd w:val="0"/>
        <w:snapToGrid w:val="0"/>
        <w:spacing w:line="312" w:lineRule="auto"/>
        <w:ind w:firstLine="630"/>
        <w:rPr>
          <w:rFonts w:hint="eastAsia" w:ascii="仿宋" w:hAnsi="仿宋" w:eastAsia="仿宋" w:cs="仿宋"/>
          <w:color w:val="auto"/>
          <w:sz w:val="24"/>
          <w:highlight w:val="none"/>
        </w:rPr>
      </w:pPr>
      <w:r>
        <w:rPr>
          <w:rFonts w:hint="eastAsia" w:ascii="仿宋" w:hAnsi="仿宋" w:eastAsia="仿宋" w:cs="仿宋"/>
          <w:color w:val="auto"/>
          <w:sz w:val="24"/>
          <w:highlight w:val="none"/>
        </w:rPr>
        <w:t>三</w:t>
      </w:r>
      <w:r>
        <w:rPr>
          <w:rFonts w:hint="eastAsia" w:ascii="仿宋" w:hAnsi="仿宋" w:eastAsia="仿宋" w:cs="仿宋"/>
          <w:color w:val="auto"/>
          <w:sz w:val="24"/>
          <w:highlight w:val="none"/>
          <w:lang w:val="zh-CN"/>
        </w:rPr>
        <w:t>、我方提交的响应文件正本</w:t>
      </w:r>
      <w:r>
        <w:rPr>
          <w:rFonts w:hint="eastAsia" w:ascii="仿宋" w:hAnsi="仿宋" w:eastAsia="仿宋" w:cs="仿宋"/>
          <w:color w:val="auto"/>
          <w:sz w:val="24"/>
          <w:highlight w:val="none"/>
          <w:u w:val="single"/>
          <w:lang w:val="zh-CN"/>
        </w:rPr>
        <w:t>一</w:t>
      </w:r>
      <w:r>
        <w:rPr>
          <w:rFonts w:hint="eastAsia" w:ascii="仿宋" w:hAnsi="仿宋" w:eastAsia="仿宋" w:cs="仿宋"/>
          <w:color w:val="auto"/>
          <w:sz w:val="24"/>
          <w:highlight w:val="none"/>
          <w:lang w:val="zh-CN"/>
        </w:rPr>
        <w:t>份、副本</w:t>
      </w:r>
      <w:r>
        <w:rPr>
          <w:rFonts w:hint="eastAsia" w:ascii="仿宋" w:hAnsi="仿宋" w:eastAsia="仿宋" w:cs="仿宋"/>
          <w:color w:val="auto"/>
          <w:sz w:val="24"/>
          <w:highlight w:val="none"/>
          <w:u w:val="single"/>
          <w:lang w:val="zh-CN"/>
        </w:rPr>
        <w:t xml:space="preserve"> 两 </w:t>
      </w:r>
      <w:r>
        <w:rPr>
          <w:rFonts w:hint="eastAsia" w:ascii="仿宋" w:hAnsi="仿宋" w:eastAsia="仿宋" w:cs="仿宋"/>
          <w:color w:val="auto"/>
          <w:sz w:val="24"/>
          <w:highlight w:val="none"/>
          <w:lang w:val="zh-CN"/>
        </w:rPr>
        <w:t>份，电子版</w:t>
      </w:r>
      <w:r>
        <w:rPr>
          <w:rFonts w:hint="eastAsia" w:ascii="仿宋" w:hAnsi="仿宋" w:eastAsia="仿宋" w:cs="仿宋"/>
          <w:color w:val="auto"/>
          <w:sz w:val="24"/>
          <w:highlight w:val="none"/>
          <w:u w:val="single"/>
          <w:lang w:val="zh-CN"/>
        </w:rPr>
        <w:t>一</w:t>
      </w:r>
      <w:r>
        <w:rPr>
          <w:rFonts w:hint="eastAsia" w:ascii="仿宋" w:hAnsi="仿宋" w:eastAsia="仿宋" w:cs="仿宋"/>
          <w:color w:val="auto"/>
          <w:sz w:val="24"/>
          <w:highlight w:val="none"/>
          <w:lang w:val="zh-CN"/>
        </w:rPr>
        <w:t>份。</w:t>
      </w:r>
    </w:p>
    <w:p>
      <w:pPr>
        <w:autoSpaceDE w:val="0"/>
        <w:autoSpaceDN w:val="0"/>
        <w:adjustRightInd w:val="0"/>
        <w:snapToGrid w:val="0"/>
        <w:spacing w:line="312" w:lineRule="auto"/>
        <w:ind w:firstLine="63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四</w:t>
      </w:r>
      <w:r>
        <w:rPr>
          <w:rFonts w:hint="eastAsia" w:ascii="仿宋" w:hAnsi="仿宋" w:eastAsia="仿宋" w:cs="仿宋"/>
          <w:color w:val="auto"/>
          <w:sz w:val="24"/>
          <w:highlight w:val="none"/>
          <w:lang w:val="zh-CN"/>
        </w:rPr>
        <w:t>、我方已详细阅读了竞争性磋商文件，完全理解并放弃提出含糊不清或易形成歧义的表述和资料。</w:t>
      </w:r>
    </w:p>
    <w:p>
      <w:pPr>
        <w:autoSpaceDE w:val="0"/>
        <w:autoSpaceDN w:val="0"/>
        <w:adjustRightInd w:val="0"/>
        <w:snapToGrid w:val="0"/>
        <w:spacing w:line="312" w:lineRule="auto"/>
        <w:ind w:firstLine="63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五、如果我方在磋商有效期内撤销响应文件，则响应保证金将被贵方不予退还。</w:t>
      </w:r>
    </w:p>
    <w:p>
      <w:pPr>
        <w:autoSpaceDE w:val="0"/>
        <w:autoSpaceDN w:val="0"/>
        <w:adjustRightInd w:val="0"/>
        <w:snapToGrid w:val="0"/>
        <w:spacing w:line="312" w:lineRule="auto"/>
        <w:ind w:firstLine="63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六</w:t>
      </w:r>
      <w:r>
        <w:rPr>
          <w:rFonts w:hint="eastAsia" w:ascii="仿宋" w:hAnsi="仿宋" w:eastAsia="仿宋" w:cs="仿宋"/>
          <w:color w:val="auto"/>
          <w:sz w:val="24"/>
          <w:highlight w:val="none"/>
          <w:lang w:val="zh-CN"/>
        </w:rPr>
        <w:t>、同意向贵方提供可能要求的与本次磋商有关的任何证据或资料，且尊重磋商小组的评审结论和结果。</w:t>
      </w:r>
    </w:p>
    <w:p>
      <w:pPr>
        <w:autoSpaceDE w:val="0"/>
        <w:autoSpaceDN w:val="0"/>
        <w:adjustRightInd w:val="0"/>
        <w:snapToGrid w:val="0"/>
        <w:spacing w:line="312" w:lineRule="auto"/>
        <w:ind w:firstLine="63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七、我方的响应文件有效期为自磋商之日起</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u w:val="single"/>
        </w:rPr>
        <w:t xml:space="preserve">60 </w:t>
      </w:r>
      <w:r>
        <w:rPr>
          <w:rFonts w:hint="eastAsia" w:ascii="仿宋" w:hAnsi="仿宋" w:eastAsia="仿宋" w:cs="仿宋"/>
          <w:color w:val="auto"/>
          <w:sz w:val="24"/>
          <w:highlight w:val="none"/>
          <w:lang w:val="zh-CN"/>
        </w:rPr>
        <w:t>个日历天。若我方成交，响应文件有效期延长至合同执行完毕。</w:t>
      </w:r>
    </w:p>
    <w:p>
      <w:pPr>
        <w:autoSpaceDE w:val="0"/>
        <w:autoSpaceDN w:val="0"/>
        <w:adjustRightInd w:val="0"/>
        <w:snapToGrid w:val="0"/>
        <w:spacing w:line="312" w:lineRule="auto"/>
        <w:ind w:firstLine="63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八</w:t>
      </w:r>
      <w:r>
        <w:rPr>
          <w:rFonts w:hint="eastAsia" w:ascii="仿宋" w:hAnsi="仿宋" w:eastAsia="仿宋" w:cs="仿宋"/>
          <w:color w:val="auto"/>
          <w:sz w:val="24"/>
          <w:highlight w:val="none"/>
          <w:lang w:val="zh-CN"/>
        </w:rPr>
        <w:t>、如我方成交：</w:t>
      </w:r>
    </w:p>
    <w:p>
      <w:pPr>
        <w:autoSpaceDE w:val="0"/>
        <w:autoSpaceDN w:val="0"/>
        <w:adjustRightInd w:val="0"/>
        <w:snapToGrid w:val="0"/>
        <w:spacing w:line="312" w:lineRule="auto"/>
        <w:ind w:firstLine="63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（1）我方承诺在收到成交通知书后，在磋商文件规定的期限内与采购人签订合同。</w:t>
      </w:r>
    </w:p>
    <w:p>
      <w:pPr>
        <w:autoSpaceDE w:val="0"/>
        <w:autoSpaceDN w:val="0"/>
        <w:adjustRightInd w:val="0"/>
        <w:snapToGrid w:val="0"/>
        <w:spacing w:line="312" w:lineRule="auto"/>
        <w:ind w:firstLine="63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（2）我方承诺按照磋商文件规定向你方递交履约保证金。作为履行合同的担保。</w:t>
      </w:r>
    </w:p>
    <w:p>
      <w:pPr>
        <w:autoSpaceDE w:val="0"/>
        <w:autoSpaceDN w:val="0"/>
        <w:adjustRightInd w:val="0"/>
        <w:snapToGrid w:val="0"/>
        <w:spacing w:line="312" w:lineRule="auto"/>
        <w:ind w:firstLine="63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（3）我方承诺按合同约定的期限和地点，提供符合磋商文件要求的全部的货物和服务。</w:t>
      </w:r>
    </w:p>
    <w:p>
      <w:pPr>
        <w:autoSpaceDE w:val="0"/>
        <w:autoSpaceDN w:val="0"/>
        <w:adjustRightInd w:val="0"/>
        <w:snapToGrid w:val="0"/>
        <w:spacing w:line="312" w:lineRule="auto"/>
        <w:ind w:firstLine="63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（4）我方保证在领取成交通知书前按要求支付成交服务费。</w:t>
      </w:r>
    </w:p>
    <w:p>
      <w:pPr>
        <w:autoSpaceDE w:val="0"/>
        <w:autoSpaceDN w:val="0"/>
        <w:adjustRightInd w:val="0"/>
        <w:snapToGrid w:val="0"/>
        <w:spacing w:line="312" w:lineRule="auto"/>
        <w:ind w:firstLine="63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九、有关于本响应文件的函电，请按下列地址联系。</w:t>
      </w:r>
    </w:p>
    <w:p>
      <w:pPr>
        <w:autoSpaceDE w:val="0"/>
        <w:autoSpaceDN w:val="0"/>
        <w:adjustRightInd w:val="0"/>
        <w:snapToGri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地</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址：</w:t>
      </w:r>
      <w:r>
        <w:rPr>
          <w:rFonts w:hint="eastAsia" w:ascii="仿宋" w:hAnsi="仿宋" w:eastAsia="仿宋" w:cs="仿宋"/>
          <w:color w:val="auto"/>
          <w:sz w:val="24"/>
          <w:highlight w:val="none"/>
        </w:rPr>
        <w:t>__________________________________________</w:t>
      </w:r>
    </w:p>
    <w:p>
      <w:pPr>
        <w:autoSpaceDE w:val="0"/>
        <w:autoSpaceDN w:val="0"/>
        <w:adjustRightInd w:val="0"/>
        <w:snapToGri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开户银行：</w:t>
      </w:r>
      <w:r>
        <w:rPr>
          <w:rFonts w:hint="eastAsia" w:ascii="仿宋" w:hAnsi="仿宋" w:eastAsia="仿宋" w:cs="仿宋"/>
          <w:color w:val="auto"/>
          <w:sz w:val="24"/>
          <w:highlight w:val="none"/>
        </w:rPr>
        <w:t>__________________________________________</w:t>
      </w:r>
    </w:p>
    <w:p>
      <w:pPr>
        <w:autoSpaceDE w:val="0"/>
        <w:autoSpaceDN w:val="0"/>
        <w:adjustRightInd w:val="0"/>
        <w:snapToGri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帐</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号：</w:t>
      </w:r>
      <w:r>
        <w:rPr>
          <w:rFonts w:hint="eastAsia" w:ascii="仿宋" w:hAnsi="仿宋" w:eastAsia="仿宋" w:cs="仿宋"/>
          <w:color w:val="auto"/>
          <w:sz w:val="24"/>
          <w:highlight w:val="none"/>
        </w:rPr>
        <w:t>__________________________________________</w:t>
      </w:r>
    </w:p>
    <w:p>
      <w:pPr>
        <w:autoSpaceDE w:val="0"/>
        <w:autoSpaceDN w:val="0"/>
        <w:adjustRightInd w:val="0"/>
        <w:snapToGri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话：</w:t>
      </w:r>
      <w:r>
        <w:rPr>
          <w:rFonts w:hint="eastAsia" w:ascii="仿宋" w:hAnsi="仿宋" w:eastAsia="仿宋" w:cs="仿宋"/>
          <w:color w:val="auto"/>
          <w:sz w:val="24"/>
          <w:highlight w:val="none"/>
        </w:rPr>
        <w:t>_____________________</w:t>
      </w:r>
      <w:r>
        <w:rPr>
          <w:rFonts w:hint="eastAsia" w:ascii="仿宋" w:hAnsi="仿宋" w:eastAsia="仿宋" w:cs="仿宋"/>
          <w:color w:val="auto"/>
          <w:sz w:val="24"/>
          <w:highlight w:val="none"/>
          <w:lang w:val="zh-CN"/>
        </w:rPr>
        <w:t>传</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真：</w:t>
      </w:r>
      <w:r>
        <w:rPr>
          <w:rFonts w:hint="eastAsia" w:ascii="仿宋" w:hAnsi="仿宋" w:eastAsia="仿宋" w:cs="仿宋"/>
          <w:color w:val="auto"/>
          <w:sz w:val="24"/>
          <w:highlight w:val="none"/>
        </w:rPr>
        <w:t>________________</w:t>
      </w:r>
    </w:p>
    <w:p>
      <w:pPr>
        <w:pStyle w:val="22"/>
        <w:rPr>
          <w:rFonts w:hint="eastAsia" w:ascii="仿宋" w:hAnsi="仿宋" w:eastAsia="仿宋" w:cs="仿宋"/>
          <w:color w:val="auto"/>
          <w:highlight w:val="none"/>
        </w:rPr>
      </w:pPr>
    </w:p>
    <w:p>
      <w:pPr>
        <w:autoSpaceDE w:val="0"/>
        <w:autoSpaceDN w:val="0"/>
        <w:adjustRightInd w:val="0"/>
        <w:snapToGrid w:val="0"/>
        <w:spacing w:line="312"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供应商全称（公章）：</w:t>
      </w:r>
    </w:p>
    <w:p>
      <w:pPr>
        <w:pStyle w:val="22"/>
        <w:rPr>
          <w:rFonts w:hint="eastAsia" w:ascii="仿宋" w:hAnsi="仿宋" w:eastAsia="仿宋" w:cs="仿宋"/>
          <w:color w:val="auto"/>
          <w:highlight w:val="none"/>
          <w:lang w:val="zh-CN"/>
        </w:rPr>
      </w:pPr>
    </w:p>
    <w:p>
      <w:pPr>
        <w:autoSpaceDE w:val="0"/>
        <w:autoSpaceDN w:val="0"/>
        <w:adjustRightInd w:val="0"/>
        <w:snapToGri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法定代表人或授权代表（签字）：</w:t>
      </w:r>
      <w:r>
        <w:rPr>
          <w:rFonts w:hint="eastAsia" w:ascii="仿宋" w:hAnsi="仿宋" w:eastAsia="仿宋" w:cs="仿宋"/>
          <w:color w:val="auto"/>
          <w:sz w:val="24"/>
          <w:highlight w:val="none"/>
        </w:rPr>
        <w:t>______________________________</w:t>
      </w:r>
    </w:p>
    <w:p>
      <w:pPr>
        <w:pStyle w:val="22"/>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_____</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rPr>
        <w:t>_____</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rPr>
        <w:t>_____</w:t>
      </w:r>
      <w:r>
        <w:rPr>
          <w:rFonts w:hint="eastAsia" w:ascii="仿宋" w:hAnsi="仿宋" w:eastAsia="仿宋" w:cs="仿宋"/>
          <w:color w:val="auto"/>
          <w:sz w:val="24"/>
          <w:highlight w:val="none"/>
          <w:lang w:val="zh-CN"/>
        </w:rPr>
        <w:t>日</w:t>
      </w:r>
    </w:p>
    <w:p>
      <w:pPr>
        <w:pStyle w:val="195"/>
        <w:ind w:firstLine="2640" w:firstLineChars="1100"/>
        <w:rPr>
          <w:rFonts w:hint="eastAsia" w:ascii="仿宋" w:hAnsi="仿宋" w:eastAsia="仿宋" w:cs="仿宋"/>
          <w:b/>
          <w:bCs/>
          <w:color w:val="auto"/>
          <w:sz w:val="32"/>
          <w:szCs w:val="32"/>
          <w:highlight w:val="none"/>
        </w:rPr>
      </w:pPr>
      <w:bookmarkStart w:id="460" w:name="_Hlt520356241"/>
      <w:bookmarkEnd w:id="460"/>
      <w:r>
        <w:rPr>
          <w:rFonts w:hint="eastAsia" w:ascii="仿宋" w:hAnsi="仿宋" w:eastAsia="仿宋" w:cs="仿宋"/>
          <w:color w:val="auto"/>
          <w:highlight w:val="none"/>
        </w:rPr>
        <w:br w:type="page"/>
      </w:r>
      <w:bookmarkStart w:id="461" w:name="_Toc230013640"/>
      <w:bookmarkStart w:id="462" w:name="_Toc8496"/>
      <w:bookmarkStart w:id="463" w:name="_Toc415499901"/>
      <w:bookmarkStart w:id="464" w:name="_Toc230099805"/>
      <w:bookmarkStart w:id="465" w:name="_Toc256342154"/>
      <w:bookmarkStart w:id="466" w:name="_Toc249525252"/>
      <w:bookmarkStart w:id="467" w:name="_Toc230583554"/>
      <w:bookmarkStart w:id="468" w:name="_Toc249515371"/>
      <w:bookmarkStart w:id="469" w:name="_Toc232395224"/>
      <w:bookmarkStart w:id="470" w:name="_Toc232176284"/>
      <w:r>
        <w:rPr>
          <w:rFonts w:hint="eastAsia" w:ascii="仿宋" w:hAnsi="仿宋" w:eastAsia="仿宋" w:cs="仿宋"/>
          <w:b/>
          <w:color w:val="auto"/>
          <w:sz w:val="32"/>
          <w:szCs w:val="32"/>
          <w:highlight w:val="none"/>
          <w:lang w:val="zh-CN"/>
        </w:rPr>
        <w:t>第二部分  磋商响应报价表</w:t>
      </w:r>
    </w:p>
    <w:p>
      <w:pPr>
        <w:autoSpaceDE w:val="0"/>
        <w:autoSpaceDN w:val="0"/>
        <w:adjustRightInd w:val="0"/>
        <w:snapToGrid w:val="0"/>
        <w:spacing w:line="360" w:lineRule="auto"/>
        <w:jc w:val="center"/>
        <w:rPr>
          <w:rFonts w:hint="eastAsia" w:ascii="仿宋" w:hAnsi="仿宋" w:eastAsia="仿宋" w:cs="仿宋"/>
          <w:b/>
          <w:bCs/>
          <w:color w:val="auto"/>
          <w:sz w:val="32"/>
          <w:szCs w:val="32"/>
          <w:highlight w:val="none"/>
        </w:rPr>
      </w:pPr>
    </w:p>
    <w:p>
      <w:pPr>
        <w:autoSpaceDE w:val="0"/>
        <w:autoSpaceDN w:val="0"/>
        <w:adjustRightInd w:val="0"/>
        <w:snapToGrid w:val="0"/>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首次响应</w:t>
      </w:r>
      <w:r>
        <w:rPr>
          <w:rFonts w:hint="eastAsia" w:ascii="仿宋" w:hAnsi="仿宋" w:eastAsia="仿宋" w:cs="仿宋"/>
          <w:b/>
          <w:bCs/>
          <w:color w:val="auto"/>
          <w:sz w:val="28"/>
          <w:szCs w:val="28"/>
          <w:highlight w:val="none"/>
          <w:lang w:val="zh-CN"/>
        </w:rPr>
        <w:t>报价表</w:t>
      </w:r>
    </w:p>
    <w:p>
      <w:pPr>
        <w:autoSpaceDE w:val="0"/>
        <w:autoSpaceDN w:val="0"/>
        <w:adjustRightInd w:val="0"/>
        <w:snapToGrid w:val="0"/>
        <w:spacing w:line="360" w:lineRule="auto"/>
        <w:jc w:val="right"/>
        <w:rPr>
          <w:rFonts w:hint="eastAsia" w:ascii="仿宋" w:hAnsi="仿宋" w:eastAsia="仿宋" w:cs="仿宋"/>
          <w:color w:val="auto"/>
          <w:sz w:val="24"/>
          <w:highlight w:val="none"/>
          <w:lang w:val="zh-CN"/>
        </w:rPr>
      </w:pPr>
      <w:r>
        <w:rPr>
          <w:rFonts w:hint="eastAsia" w:ascii="仿宋" w:hAnsi="仿宋" w:eastAsia="仿宋" w:cs="仿宋"/>
          <w:color w:val="auto"/>
          <w:sz w:val="32"/>
          <w:szCs w:val="32"/>
          <w:highlight w:val="none"/>
        </w:rPr>
        <w:t xml:space="preserve">    </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noWrap w:val="0"/>
            <w:vAlign w:val="center"/>
          </w:tcPr>
          <w:p>
            <w:pPr>
              <w:pStyle w:val="22"/>
              <w:jc w:val="center"/>
              <w:rPr>
                <w:rFonts w:hint="eastAsia" w:ascii="仿宋" w:hAnsi="仿宋" w:eastAsia="仿宋" w:cs="仿宋"/>
                <w:b/>
                <w:color w:val="auto"/>
                <w:sz w:val="24"/>
                <w:highlight w:val="none"/>
              </w:rPr>
            </w:pPr>
            <w:r>
              <w:rPr>
                <w:rFonts w:hint="eastAsia" w:ascii="仿宋" w:hAnsi="仿宋" w:eastAsia="仿宋" w:cs="仿宋"/>
                <w:color w:val="auto"/>
                <w:sz w:val="24"/>
                <w:highlight w:val="none"/>
                <w:lang w:val="zh-CN"/>
              </w:rPr>
              <w:br w:type="page"/>
            </w:r>
            <w:r>
              <w:rPr>
                <w:rFonts w:hint="eastAsia" w:ascii="仿宋" w:hAnsi="仿宋" w:eastAsia="仿宋" w:cs="仿宋"/>
                <w:b/>
                <w:color w:val="auto"/>
                <w:sz w:val="24"/>
                <w:highlight w:val="none"/>
              </w:rPr>
              <w:t>项目编号及项目名称</w:t>
            </w:r>
          </w:p>
        </w:tc>
        <w:tc>
          <w:tcPr>
            <w:tcW w:w="6981" w:type="dxa"/>
            <w:noWrap w:val="0"/>
            <w:vAlign w:val="center"/>
          </w:tcPr>
          <w:p>
            <w:pPr>
              <w:pStyle w:val="2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项目编号：</w:t>
            </w:r>
            <w:r>
              <w:rPr>
                <w:rFonts w:hint="eastAsia" w:ascii="仿宋" w:hAnsi="仿宋" w:eastAsia="仿宋" w:cs="仿宋"/>
                <w:color w:val="auto"/>
                <w:sz w:val="24"/>
                <w:highlight w:val="none"/>
                <w:u w:val="single"/>
              </w:rPr>
              <w:t xml:space="preserve">              </w:t>
            </w:r>
          </w:p>
          <w:p>
            <w:pPr>
              <w:pStyle w:val="2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r>
              <w:rPr>
                <w:rFonts w:hint="eastAsia" w:ascii="仿宋" w:hAnsi="仿宋" w:eastAsia="仿宋" w:cs="仿宋"/>
                <w:i/>
                <w:color w:val="auto"/>
                <w:sz w:val="24"/>
                <w:highlight w:val="non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598" w:type="dxa"/>
            <w:noWrap w:val="0"/>
            <w:vAlign w:val="center"/>
          </w:tcPr>
          <w:p>
            <w:pPr>
              <w:pStyle w:val="22"/>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响应总价</w:t>
            </w:r>
          </w:p>
        </w:tc>
        <w:tc>
          <w:tcPr>
            <w:tcW w:w="6981" w:type="dxa"/>
            <w:noWrap w:val="0"/>
            <w:vAlign w:val="center"/>
          </w:tcPr>
          <w:p>
            <w:pPr>
              <w:pStyle w:val="22"/>
              <w:rPr>
                <w:rFonts w:hint="eastAsia" w:ascii="仿宋" w:hAnsi="仿宋" w:eastAsia="仿宋" w:cs="仿宋"/>
                <w:i/>
                <w:color w:val="auto"/>
                <w:sz w:val="24"/>
                <w:highlight w:val="none"/>
              </w:rPr>
            </w:pPr>
            <w:r>
              <w:rPr>
                <w:rFonts w:hint="eastAsia" w:ascii="仿宋" w:hAnsi="仿宋" w:eastAsia="仿宋" w:cs="仿宋"/>
                <w:color w:val="auto"/>
                <w:sz w:val="24"/>
                <w:highlight w:val="none"/>
              </w:rPr>
              <w:t>人民币（大写）：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整（小写：¥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noWrap w:val="0"/>
            <w:vAlign w:val="center"/>
          </w:tcPr>
          <w:p>
            <w:pPr>
              <w:pStyle w:val="22"/>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t>项目负责人</w:t>
            </w:r>
          </w:p>
        </w:tc>
        <w:tc>
          <w:tcPr>
            <w:tcW w:w="6981" w:type="dxa"/>
            <w:noWrap w:val="0"/>
            <w:vAlign w:val="center"/>
          </w:tcPr>
          <w:p>
            <w:pPr>
              <w:pStyle w:val="22"/>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noWrap w:val="0"/>
            <w:vAlign w:val="center"/>
          </w:tcPr>
          <w:p>
            <w:pPr>
              <w:pStyle w:val="22"/>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服务</w:t>
            </w:r>
            <w:r>
              <w:rPr>
                <w:rFonts w:hint="eastAsia" w:ascii="仿宋" w:hAnsi="仿宋" w:eastAsia="仿宋" w:cs="仿宋"/>
                <w:b/>
                <w:color w:val="auto"/>
                <w:sz w:val="24"/>
                <w:highlight w:val="none"/>
              </w:rPr>
              <w:t>期</w:t>
            </w:r>
          </w:p>
        </w:tc>
        <w:tc>
          <w:tcPr>
            <w:tcW w:w="6981" w:type="dxa"/>
            <w:noWrap w:val="0"/>
            <w:vAlign w:val="center"/>
          </w:tcPr>
          <w:p>
            <w:pPr>
              <w:pStyle w:val="22"/>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noWrap w:val="0"/>
            <w:vAlign w:val="center"/>
          </w:tcPr>
          <w:p>
            <w:pPr>
              <w:pStyle w:val="22"/>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服务</w:t>
            </w:r>
            <w:r>
              <w:rPr>
                <w:rFonts w:hint="eastAsia" w:ascii="仿宋" w:hAnsi="仿宋" w:eastAsia="仿宋" w:cs="仿宋"/>
                <w:b/>
                <w:color w:val="auto"/>
                <w:sz w:val="24"/>
                <w:highlight w:val="none"/>
              </w:rPr>
              <w:t>地点</w:t>
            </w:r>
          </w:p>
        </w:tc>
        <w:tc>
          <w:tcPr>
            <w:tcW w:w="6981" w:type="dxa"/>
            <w:noWrap w:val="0"/>
            <w:vAlign w:val="center"/>
          </w:tcPr>
          <w:p>
            <w:pPr>
              <w:pStyle w:val="22"/>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noWrap w:val="0"/>
            <w:vAlign w:val="center"/>
          </w:tcPr>
          <w:p>
            <w:pPr>
              <w:pStyle w:val="22"/>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c>
          <w:tcPr>
            <w:tcW w:w="6981" w:type="dxa"/>
            <w:noWrap w:val="0"/>
            <w:vAlign w:val="center"/>
          </w:tcPr>
          <w:p>
            <w:pPr>
              <w:pStyle w:val="22"/>
              <w:rPr>
                <w:rFonts w:hint="eastAsia" w:ascii="仿宋" w:hAnsi="仿宋" w:eastAsia="仿宋" w:cs="仿宋"/>
                <w:color w:val="auto"/>
                <w:sz w:val="24"/>
                <w:highlight w:val="none"/>
              </w:rPr>
            </w:pPr>
          </w:p>
        </w:tc>
      </w:tr>
    </w:tbl>
    <w:p>
      <w:pPr>
        <w:pStyle w:val="22"/>
        <w:rPr>
          <w:rFonts w:hint="eastAsia" w:ascii="仿宋" w:hAnsi="仿宋" w:eastAsia="仿宋" w:cs="仿宋"/>
          <w:color w:val="auto"/>
          <w:highlight w:val="none"/>
          <w:lang w:val="zh-CN"/>
        </w:rPr>
      </w:pPr>
    </w:p>
    <w:p>
      <w:pPr>
        <w:autoSpaceDE w:val="0"/>
        <w:autoSpaceDN w:val="0"/>
        <w:adjustRightInd w:val="0"/>
        <w:snapToGrid w:val="0"/>
        <w:spacing w:line="360" w:lineRule="auto"/>
        <w:ind w:firstLine="1080" w:firstLineChars="45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供应商</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法定代表人</w:t>
      </w:r>
      <w:r>
        <w:rPr>
          <w:rFonts w:hint="eastAsia" w:ascii="仿宋" w:hAnsi="仿宋" w:eastAsia="仿宋" w:cs="仿宋"/>
          <w:color w:val="auto"/>
          <w:sz w:val="24"/>
          <w:highlight w:val="none"/>
        </w:rPr>
        <w:t>或</w:t>
      </w:r>
      <w:r>
        <w:rPr>
          <w:rFonts w:hint="eastAsia" w:ascii="仿宋" w:hAnsi="仿宋" w:eastAsia="仿宋" w:cs="仿宋"/>
          <w:color w:val="auto"/>
          <w:sz w:val="24"/>
          <w:highlight w:val="none"/>
          <w:lang w:val="zh-CN"/>
        </w:rPr>
        <w:t>授权代表</w:t>
      </w:r>
    </w:p>
    <w:p>
      <w:pPr>
        <w:autoSpaceDE w:val="0"/>
        <w:autoSpaceDN w:val="0"/>
        <w:adjustRightInd w:val="0"/>
        <w:snapToGrid w:val="0"/>
        <w:spacing w:line="360" w:lineRule="auto"/>
        <w:ind w:firstLine="960" w:firstLineChars="4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（公章）：                            （</w:t>
      </w:r>
      <w:r>
        <w:rPr>
          <w:rFonts w:hint="eastAsia" w:ascii="仿宋" w:hAnsi="仿宋" w:eastAsia="仿宋" w:cs="仿宋"/>
          <w:b/>
          <w:color w:val="auto"/>
          <w:sz w:val="24"/>
          <w:highlight w:val="none"/>
          <w:lang w:val="zh-CN"/>
        </w:rPr>
        <w:t>签字</w:t>
      </w:r>
      <w:r>
        <w:rPr>
          <w:rFonts w:hint="eastAsia" w:ascii="仿宋" w:hAnsi="仿宋" w:eastAsia="仿宋" w:cs="仿宋"/>
          <w:b/>
          <w:color w:val="auto"/>
          <w:sz w:val="24"/>
          <w:highlight w:val="none"/>
          <w:lang w:val="en-US" w:eastAsia="zh-CN"/>
        </w:rPr>
        <w:t>或盖章</w:t>
      </w:r>
      <w:r>
        <w:rPr>
          <w:rFonts w:hint="eastAsia" w:ascii="仿宋" w:hAnsi="仿宋" w:eastAsia="仿宋" w:cs="仿宋"/>
          <w:color w:val="auto"/>
          <w:sz w:val="24"/>
          <w:highlight w:val="none"/>
          <w:lang w:val="zh-CN"/>
        </w:rPr>
        <w:t>）：</w:t>
      </w:r>
    </w:p>
    <w:p>
      <w:pPr>
        <w:autoSpaceDE w:val="0"/>
        <w:autoSpaceDN w:val="0"/>
        <w:adjustRightInd w:val="0"/>
        <w:snapToGrid w:val="0"/>
        <w:spacing w:line="360" w:lineRule="auto"/>
        <w:rPr>
          <w:rFonts w:hint="eastAsia" w:ascii="仿宋" w:hAnsi="仿宋" w:eastAsia="仿宋" w:cs="仿宋"/>
          <w:color w:val="auto"/>
          <w:sz w:val="24"/>
          <w:highlight w:val="none"/>
          <w:lang w:val="zh-CN"/>
        </w:rPr>
      </w:pPr>
    </w:p>
    <w:p>
      <w:pPr>
        <w:autoSpaceDE w:val="0"/>
        <w:autoSpaceDN w:val="0"/>
        <w:adjustRightInd w:val="0"/>
        <w:snapToGrid w:val="0"/>
        <w:spacing w:line="360" w:lineRule="auto"/>
        <w:ind w:firstLine="240" w:firstLineChars="1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 xml:space="preserve">年 </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p>
    <w:p>
      <w:pPr>
        <w:adjustRightInd w:val="0"/>
        <w:snapToGrid w:val="0"/>
        <w:spacing w:line="360" w:lineRule="auto"/>
        <w:jc w:val="center"/>
        <w:rPr>
          <w:rFonts w:hint="eastAsia" w:ascii="仿宋" w:hAnsi="仿宋" w:eastAsia="仿宋" w:cs="仿宋"/>
          <w:b/>
          <w:color w:val="auto"/>
          <w:sz w:val="42"/>
          <w:highlight w:val="none"/>
        </w:rPr>
      </w:pPr>
    </w:p>
    <w:p>
      <w:pPr>
        <w:adjustRightInd w:val="0"/>
        <w:snapToGrid w:val="0"/>
        <w:spacing w:line="360" w:lineRule="auto"/>
        <w:jc w:val="center"/>
        <w:rPr>
          <w:rFonts w:hint="eastAsia" w:ascii="仿宋" w:hAnsi="仿宋" w:eastAsia="仿宋" w:cs="仿宋"/>
          <w:b/>
          <w:color w:val="auto"/>
          <w:sz w:val="42"/>
          <w:highlight w:val="none"/>
        </w:rPr>
      </w:pPr>
    </w:p>
    <w:p>
      <w:pPr>
        <w:adjustRightInd w:val="0"/>
        <w:snapToGrid w:val="0"/>
        <w:spacing w:line="360" w:lineRule="auto"/>
        <w:jc w:val="center"/>
        <w:rPr>
          <w:rFonts w:hint="eastAsia" w:ascii="仿宋" w:hAnsi="仿宋" w:eastAsia="仿宋" w:cs="仿宋"/>
          <w:b/>
          <w:color w:val="auto"/>
          <w:sz w:val="42"/>
          <w:highlight w:val="none"/>
        </w:rPr>
        <w:sectPr>
          <w:footerReference r:id="rId6"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keepNext/>
        <w:keepLines/>
        <w:autoSpaceDE w:val="0"/>
        <w:autoSpaceDN w:val="0"/>
        <w:adjustRightInd w:val="0"/>
        <w:spacing w:line="360" w:lineRule="auto"/>
        <w:jc w:val="center"/>
        <w:outlineLvl w:val="2"/>
        <w:rPr>
          <w:rFonts w:hint="eastAsia" w:ascii="仿宋" w:hAnsi="仿宋" w:eastAsia="仿宋" w:cs="仿宋"/>
          <w:b/>
          <w:color w:val="auto"/>
          <w:kern w:val="0"/>
          <w:sz w:val="32"/>
          <w:szCs w:val="32"/>
          <w:highlight w:val="none"/>
          <w:shd w:val="clear" w:color="auto" w:fill="FFFFFF"/>
        </w:rPr>
      </w:pPr>
      <w:r>
        <w:rPr>
          <w:rFonts w:hint="eastAsia" w:ascii="仿宋" w:hAnsi="仿宋" w:eastAsia="仿宋" w:cs="仿宋"/>
          <w:b/>
          <w:color w:val="auto"/>
          <w:kern w:val="0"/>
          <w:sz w:val="32"/>
          <w:szCs w:val="32"/>
          <w:highlight w:val="none"/>
          <w:shd w:val="clear" w:color="auto" w:fill="FFFFFF"/>
        </w:rPr>
        <w:t>（首次）分项报价表</w:t>
      </w:r>
    </w:p>
    <w:tbl>
      <w:tblPr>
        <w:tblStyle w:val="50"/>
        <w:tblW w:w="8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2789"/>
        <w:gridCol w:w="1277"/>
        <w:gridCol w:w="1642"/>
        <w:gridCol w:w="1459"/>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789"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服务内容</w:t>
            </w:r>
          </w:p>
        </w:tc>
        <w:tc>
          <w:tcPr>
            <w:tcW w:w="1277" w:type="dxa"/>
            <w:noWrap w:val="0"/>
            <w:vAlign w:val="center"/>
          </w:tcPr>
          <w:p>
            <w:pPr>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1642" w:type="dxa"/>
            <w:noWrap w:val="0"/>
            <w:vAlign w:val="center"/>
          </w:tcPr>
          <w:p>
            <w:pPr>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单价（元）</w:t>
            </w:r>
          </w:p>
        </w:tc>
        <w:tc>
          <w:tcPr>
            <w:tcW w:w="1459" w:type="dxa"/>
            <w:noWrap w:val="0"/>
            <w:vAlign w:val="center"/>
          </w:tcPr>
          <w:p>
            <w:pPr>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小计（元）</w:t>
            </w:r>
          </w:p>
        </w:tc>
        <w:tc>
          <w:tcPr>
            <w:tcW w:w="911"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编制周期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20"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bl>
    <w:p>
      <w:pPr>
        <w:autoSpaceDE w:val="0"/>
        <w:autoSpaceDN w:val="0"/>
        <w:adjustRightInd w:val="0"/>
        <w:snapToGrid w:val="0"/>
        <w:spacing w:before="120" w:line="360" w:lineRule="auto"/>
        <w:ind w:left="-206" w:leftChars="-98"/>
        <w:jc w:val="left"/>
        <w:rPr>
          <w:rFonts w:hint="eastAsia" w:ascii="仿宋" w:hAnsi="仿宋" w:eastAsia="仿宋" w:cs="仿宋"/>
          <w:color w:val="auto"/>
          <w:kern w:val="0"/>
          <w:sz w:val="24"/>
          <w:szCs w:val="28"/>
          <w:highlight w:val="none"/>
        </w:rPr>
      </w:pPr>
    </w:p>
    <w:p>
      <w:pPr>
        <w:adjustRightInd w:val="0"/>
        <w:snapToGrid w:val="0"/>
        <w:spacing w:line="360" w:lineRule="auto"/>
        <w:ind w:firstLine="120" w:firstLineChars="5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 xml:space="preserve">                         法定代表人或授权代表</w:t>
      </w:r>
    </w:p>
    <w:p>
      <w:pPr>
        <w:adjustRightInd w:val="0"/>
        <w:snapToGrid w:val="0"/>
        <w:spacing w:line="360" w:lineRule="auto"/>
        <w:ind w:left="-525" w:leftChars="-25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（公章）：                          （签字</w:t>
      </w:r>
      <w:r>
        <w:rPr>
          <w:rFonts w:hint="eastAsia" w:ascii="仿宋" w:hAnsi="仿宋" w:eastAsia="仿宋" w:cs="仿宋"/>
          <w:color w:val="auto"/>
          <w:sz w:val="24"/>
          <w:highlight w:val="none"/>
          <w:lang w:val="en-US" w:eastAsia="zh-CN"/>
        </w:rPr>
        <w:t>或盖章</w:t>
      </w:r>
      <w:r>
        <w:rPr>
          <w:rFonts w:hint="eastAsia" w:ascii="仿宋" w:hAnsi="仿宋" w:eastAsia="仿宋" w:cs="仿宋"/>
          <w:color w:val="auto"/>
          <w:sz w:val="24"/>
          <w:highlight w:val="none"/>
        </w:rPr>
        <w:t>）：</w:t>
      </w:r>
    </w:p>
    <w:p>
      <w:pPr>
        <w:adjustRightInd w:val="0"/>
        <w:snapToGrid w:val="0"/>
        <w:spacing w:line="360" w:lineRule="auto"/>
        <w:jc w:val="center"/>
        <w:rPr>
          <w:rFonts w:hint="eastAsia" w:ascii="仿宋" w:hAnsi="仿宋" w:eastAsia="仿宋" w:cs="仿宋"/>
          <w:b/>
          <w:color w:val="auto"/>
          <w:sz w:val="42"/>
          <w:highlight w:val="none"/>
        </w:rPr>
      </w:pPr>
    </w:p>
    <w:p>
      <w:pPr>
        <w:pStyle w:val="22"/>
        <w:rPr>
          <w:rFonts w:hint="eastAsia" w:ascii="仿宋" w:hAnsi="仿宋" w:eastAsia="仿宋" w:cs="仿宋"/>
          <w:b/>
          <w:color w:val="auto"/>
          <w:sz w:val="42"/>
          <w:highlight w:val="none"/>
        </w:rPr>
      </w:pPr>
    </w:p>
    <w:p>
      <w:pPr>
        <w:pStyle w:val="22"/>
        <w:rPr>
          <w:rFonts w:hint="eastAsia" w:ascii="仿宋" w:hAnsi="仿宋" w:eastAsia="仿宋" w:cs="仿宋"/>
          <w:b/>
          <w:color w:val="auto"/>
          <w:sz w:val="42"/>
          <w:highlight w:val="none"/>
        </w:rPr>
      </w:pPr>
    </w:p>
    <w:p>
      <w:pPr>
        <w:pStyle w:val="22"/>
        <w:rPr>
          <w:rFonts w:hint="eastAsia" w:ascii="仿宋" w:hAnsi="仿宋" w:eastAsia="仿宋" w:cs="仿宋"/>
          <w:b/>
          <w:color w:val="auto"/>
          <w:sz w:val="42"/>
          <w:highlight w:val="none"/>
        </w:rPr>
      </w:pPr>
    </w:p>
    <w:p>
      <w:pPr>
        <w:spacing w:line="288" w:lineRule="auto"/>
        <w:ind w:left="424" w:leftChars="202"/>
        <w:rPr>
          <w:rFonts w:hint="eastAsia" w:ascii="仿宋" w:hAnsi="仿宋" w:eastAsia="仿宋" w:cs="仿宋"/>
          <w:bCs/>
          <w:color w:val="auto"/>
          <w:sz w:val="24"/>
          <w:highlight w:val="none"/>
        </w:rPr>
      </w:pPr>
    </w:p>
    <w:bookmarkEnd w:id="461"/>
    <w:bookmarkEnd w:id="462"/>
    <w:bookmarkEnd w:id="463"/>
    <w:bookmarkEnd w:id="464"/>
    <w:bookmarkEnd w:id="465"/>
    <w:bookmarkEnd w:id="466"/>
    <w:bookmarkEnd w:id="467"/>
    <w:bookmarkEnd w:id="468"/>
    <w:bookmarkEnd w:id="469"/>
    <w:bookmarkEnd w:id="470"/>
    <w:p>
      <w:pPr>
        <w:pStyle w:val="195"/>
        <w:ind w:firstLine="3052" w:firstLineChars="950"/>
        <w:rPr>
          <w:rFonts w:hint="eastAsia" w:ascii="仿宋" w:hAnsi="仿宋" w:eastAsia="仿宋" w:cs="仿宋"/>
          <w:b/>
          <w:color w:val="auto"/>
          <w:sz w:val="32"/>
          <w:szCs w:val="32"/>
          <w:highlight w:val="none"/>
        </w:rPr>
      </w:pPr>
      <w:bookmarkStart w:id="471" w:name="_Toc230013641"/>
      <w:bookmarkStart w:id="472" w:name="_Toc500747011"/>
      <w:bookmarkStart w:id="473" w:name="_Toc385992402"/>
      <w:bookmarkStart w:id="474" w:name="_Toc225933091"/>
      <w:bookmarkStart w:id="475" w:name="_Toc500747107"/>
      <w:bookmarkStart w:id="476" w:name="_Toc389620242"/>
      <w:bookmarkStart w:id="477" w:name="_Toc83547687"/>
      <w:bookmarkStart w:id="478" w:name="_Toc492955460"/>
      <w:bookmarkStart w:id="479" w:name="_Toc496324624"/>
      <w:bookmarkStart w:id="480" w:name="_Toc249515372"/>
      <w:bookmarkStart w:id="481" w:name="_Toc232395225"/>
      <w:bookmarkStart w:id="482" w:name="_Toc500747234"/>
      <w:bookmarkStart w:id="483" w:name="_Toc70687203"/>
      <w:bookmarkStart w:id="484" w:name="_Toc249525253"/>
      <w:bookmarkStart w:id="485" w:name="_Toc184043059"/>
      <w:bookmarkStart w:id="486" w:name="_Toc503063459"/>
      <w:bookmarkStart w:id="487" w:name="_Toc230099806"/>
      <w:bookmarkStart w:id="488" w:name="_Toc415499902"/>
      <w:bookmarkStart w:id="489" w:name="_Toc177189246"/>
      <w:bookmarkStart w:id="490" w:name="_Toc230583555"/>
      <w:bookmarkStart w:id="491" w:name="_Toc499711088"/>
      <w:bookmarkStart w:id="492" w:name="_Toc53722866"/>
      <w:bookmarkStart w:id="493" w:name="_Toc256342155"/>
      <w:bookmarkStart w:id="494" w:name="_Toc499711929"/>
      <w:bookmarkStart w:id="495" w:name="_Toc177817345"/>
      <w:bookmarkStart w:id="496" w:name="_Toc177995484"/>
      <w:bookmarkStart w:id="497" w:name="_Toc176882553"/>
      <w:bookmarkStart w:id="498" w:name="_Toc232176285"/>
      <w:r>
        <w:rPr>
          <w:rFonts w:hint="eastAsia" w:ascii="仿宋" w:hAnsi="仿宋" w:eastAsia="仿宋" w:cs="仿宋"/>
          <w:b/>
          <w:color w:val="auto"/>
          <w:sz w:val="32"/>
          <w:szCs w:val="32"/>
          <w:highlight w:val="none"/>
        </w:rPr>
        <w:t>第三部分  偏离表</w:t>
      </w:r>
    </w:p>
    <w:p>
      <w:pPr>
        <w:rPr>
          <w:rFonts w:hint="eastAsia" w:ascii="仿宋" w:hAnsi="仿宋" w:eastAsia="仿宋" w:cs="仿宋"/>
          <w:color w:val="auto"/>
          <w:highlight w:val="none"/>
        </w:rPr>
      </w:pPr>
    </w:p>
    <w:p>
      <w:pPr>
        <w:autoSpaceDE w:val="0"/>
        <w:autoSpaceDN w:val="0"/>
        <w:adjustRightInd w:val="0"/>
        <w:snapToGrid w:val="0"/>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一、商务、合同条款偏离表</w:t>
      </w:r>
    </w:p>
    <w:p>
      <w:pPr>
        <w:pStyle w:val="28"/>
        <w:ind w:left="645" w:leftChars="307" w:right="560" w:firstLine="120" w:firstLineChars="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项目编号:</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noWrap w:val="0"/>
            <w:vAlign w:val="top"/>
          </w:tcPr>
          <w:p>
            <w:pPr>
              <w:pStyle w:val="2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2835" w:type="dxa"/>
            <w:noWrap w:val="0"/>
            <w:vAlign w:val="top"/>
          </w:tcPr>
          <w:p>
            <w:pPr>
              <w:pStyle w:val="2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磋商文件商务、合同条款</w:t>
            </w:r>
          </w:p>
        </w:tc>
        <w:tc>
          <w:tcPr>
            <w:tcW w:w="1701" w:type="dxa"/>
            <w:noWrap w:val="0"/>
            <w:vAlign w:val="top"/>
          </w:tcPr>
          <w:p>
            <w:pPr>
              <w:pStyle w:val="2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完全响应</w:t>
            </w:r>
          </w:p>
        </w:tc>
        <w:tc>
          <w:tcPr>
            <w:tcW w:w="1417" w:type="dxa"/>
            <w:noWrap w:val="0"/>
            <w:vAlign w:val="top"/>
          </w:tcPr>
          <w:p>
            <w:pPr>
              <w:pStyle w:val="2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有偏离</w:t>
            </w:r>
          </w:p>
        </w:tc>
        <w:tc>
          <w:tcPr>
            <w:tcW w:w="2195" w:type="dxa"/>
            <w:noWrap w:val="0"/>
            <w:vAlign w:val="top"/>
          </w:tcPr>
          <w:p>
            <w:pPr>
              <w:pStyle w:val="2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pPr>
              <w:pStyle w:val="28"/>
              <w:jc w:val="center"/>
              <w:rPr>
                <w:rFonts w:hint="eastAsia" w:ascii="仿宋" w:hAnsi="仿宋" w:eastAsia="仿宋" w:cs="仿宋"/>
                <w:color w:val="auto"/>
                <w:sz w:val="24"/>
                <w:szCs w:val="24"/>
                <w:highlight w:val="none"/>
              </w:rPr>
            </w:pPr>
          </w:p>
        </w:tc>
        <w:tc>
          <w:tcPr>
            <w:tcW w:w="2835" w:type="dxa"/>
            <w:noWrap w:val="0"/>
            <w:vAlign w:val="top"/>
          </w:tcPr>
          <w:p>
            <w:pPr>
              <w:pStyle w:val="2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服务期</w:t>
            </w:r>
            <w:r>
              <w:rPr>
                <w:rFonts w:hint="eastAsia" w:ascii="仿宋" w:hAnsi="仿宋" w:eastAsia="仿宋" w:cs="仿宋"/>
                <w:color w:val="auto"/>
                <w:sz w:val="24"/>
                <w:szCs w:val="24"/>
                <w:highlight w:val="none"/>
              </w:rPr>
              <w:t>)</w:t>
            </w:r>
          </w:p>
        </w:tc>
        <w:tc>
          <w:tcPr>
            <w:tcW w:w="1701" w:type="dxa"/>
            <w:noWrap w:val="0"/>
            <w:vAlign w:val="top"/>
          </w:tcPr>
          <w:p>
            <w:pPr>
              <w:pStyle w:val="28"/>
              <w:jc w:val="center"/>
              <w:rPr>
                <w:rFonts w:hint="eastAsia" w:ascii="仿宋" w:hAnsi="仿宋" w:eastAsia="仿宋" w:cs="仿宋"/>
                <w:color w:val="auto"/>
                <w:sz w:val="24"/>
                <w:szCs w:val="24"/>
                <w:highlight w:val="none"/>
              </w:rPr>
            </w:pPr>
          </w:p>
        </w:tc>
        <w:tc>
          <w:tcPr>
            <w:tcW w:w="1417" w:type="dxa"/>
            <w:noWrap w:val="0"/>
            <w:vAlign w:val="top"/>
          </w:tcPr>
          <w:p>
            <w:pPr>
              <w:pStyle w:val="28"/>
              <w:jc w:val="center"/>
              <w:rPr>
                <w:rFonts w:hint="eastAsia" w:ascii="仿宋" w:hAnsi="仿宋" w:eastAsia="仿宋" w:cs="仿宋"/>
                <w:color w:val="auto"/>
                <w:sz w:val="24"/>
                <w:szCs w:val="24"/>
                <w:highlight w:val="none"/>
              </w:rPr>
            </w:pPr>
          </w:p>
        </w:tc>
        <w:tc>
          <w:tcPr>
            <w:tcW w:w="2195" w:type="dxa"/>
            <w:noWrap w:val="0"/>
            <w:vAlign w:val="top"/>
          </w:tcPr>
          <w:p>
            <w:pPr>
              <w:pStyle w:val="28"/>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pPr>
              <w:pStyle w:val="28"/>
              <w:ind w:left="1080" w:leftChars="257" w:hanging="540"/>
              <w:rPr>
                <w:rFonts w:hint="eastAsia" w:ascii="仿宋" w:hAnsi="仿宋" w:eastAsia="仿宋" w:cs="仿宋"/>
                <w:color w:val="auto"/>
                <w:sz w:val="24"/>
                <w:szCs w:val="24"/>
                <w:highlight w:val="none"/>
              </w:rPr>
            </w:pPr>
          </w:p>
        </w:tc>
        <w:tc>
          <w:tcPr>
            <w:tcW w:w="2835" w:type="dxa"/>
            <w:noWrap w:val="0"/>
            <w:vAlign w:val="center"/>
          </w:tcPr>
          <w:p>
            <w:pPr>
              <w:spacing w:line="360" w:lineRule="auto"/>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lang w:eastAsia="zh-CN"/>
              </w:rPr>
              <w:t>服务地点</w:t>
            </w:r>
            <w:r>
              <w:rPr>
                <w:rFonts w:hint="eastAsia" w:ascii="仿宋" w:hAnsi="仿宋" w:eastAsia="仿宋" w:cs="仿宋"/>
                <w:bCs/>
                <w:color w:val="auto"/>
                <w:sz w:val="24"/>
                <w:highlight w:val="none"/>
              </w:rPr>
              <w:t>)</w:t>
            </w:r>
          </w:p>
        </w:tc>
        <w:tc>
          <w:tcPr>
            <w:tcW w:w="1701" w:type="dxa"/>
            <w:noWrap w:val="0"/>
            <w:vAlign w:val="top"/>
          </w:tcPr>
          <w:p>
            <w:pPr>
              <w:pStyle w:val="28"/>
              <w:ind w:left="1080" w:leftChars="257" w:hanging="540"/>
              <w:jc w:val="center"/>
              <w:rPr>
                <w:rFonts w:hint="eastAsia" w:ascii="仿宋" w:hAnsi="仿宋" w:eastAsia="仿宋" w:cs="仿宋"/>
                <w:color w:val="auto"/>
                <w:sz w:val="24"/>
                <w:szCs w:val="24"/>
                <w:highlight w:val="none"/>
              </w:rPr>
            </w:pPr>
          </w:p>
        </w:tc>
        <w:tc>
          <w:tcPr>
            <w:tcW w:w="1417" w:type="dxa"/>
            <w:noWrap w:val="0"/>
            <w:vAlign w:val="top"/>
          </w:tcPr>
          <w:p>
            <w:pPr>
              <w:pStyle w:val="28"/>
              <w:ind w:left="1080" w:leftChars="257" w:hanging="540"/>
              <w:jc w:val="center"/>
              <w:rPr>
                <w:rFonts w:hint="eastAsia" w:ascii="仿宋" w:hAnsi="仿宋" w:eastAsia="仿宋" w:cs="仿宋"/>
                <w:color w:val="auto"/>
                <w:sz w:val="24"/>
                <w:szCs w:val="24"/>
                <w:highlight w:val="none"/>
              </w:rPr>
            </w:pPr>
          </w:p>
        </w:tc>
        <w:tc>
          <w:tcPr>
            <w:tcW w:w="2195" w:type="dxa"/>
            <w:noWrap w:val="0"/>
            <w:vAlign w:val="top"/>
          </w:tcPr>
          <w:p>
            <w:pPr>
              <w:pStyle w:val="28"/>
              <w:ind w:left="1080" w:leftChars="257" w:hanging="54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pPr>
              <w:pStyle w:val="28"/>
              <w:ind w:left="1080" w:leftChars="257" w:hanging="540"/>
              <w:rPr>
                <w:rFonts w:hint="eastAsia" w:ascii="仿宋" w:hAnsi="仿宋" w:eastAsia="仿宋" w:cs="仿宋"/>
                <w:color w:val="auto"/>
                <w:sz w:val="24"/>
                <w:szCs w:val="24"/>
                <w:highlight w:val="none"/>
              </w:rPr>
            </w:pPr>
          </w:p>
        </w:tc>
        <w:tc>
          <w:tcPr>
            <w:tcW w:w="2835" w:type="dxa"/>
            <w:noWrap w:val="0"/>
            <w:vAlign w:val="center"/>
          </w:tcPr>
          <w:p>
            <w:pPr>
              <w:spacing w:line="360" w:lineRule="auto"/>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第四章合同草案条款建设工程全过程造价咨询合同专用条件-</w:t>
            </w:r>
            <w:r>
              <w:rPr>
                <w:rFonts w:hint="eastAsia" w:ascii="仿宋" w:hAnsi="仿宋" w:eastAsia="仿宋" w:cs="仿宋"/>
                <w:bCs/>
                <w:color w:val="auto"/>
                <w:sz w:val="24"/>
                <w:highlight w:val="none"/>
                <w:lang w:eastAsia="zh-CN"/>
              </w:rPr>
              <w:t>第三条</w:t>
            </w:r>
            <w:r>
              <w:rPr>
                <w:rFonts w:hint="eastAsia" w:ascii="仿宋" w:hAnsi="仿宋" w:eastAsia="仿宋" w:cs="仿宋"/>
                <w:bCs/>
                <w:color w:val="auto"/>
                <w:sz w:val="24"/>
                <w:highlight w:val="none"/>
                <w:lang w:val="en-US" w:eastAsia="zh-CN"/>
              </w:rPr>
              <w:t xml:space="preserve"> 质量保证</w:t>
            </w:r>
          </w:p>
        </w:tc>
        <w:tc>
          <w:tcPr>
            <w:tcW w:w="1701" w:type="dxa"/>
            <w:noWrap w:val="0"/>
            <w:vAlign w:val="top"/>
          </w:tcPr>
          <w:p>
            <w:pPr>
              <w:pStyle w:val="28"/>
              <w:ind w:left="1080" w:leftChars="257" w:hanging="540"/>
              <w:rPr>
                <w:rFonts w:hint="eastAsia" w:ascii="仿宋" w:hAnsi="仿宋" w:eastAsia="仿宋" w:cs="仿宋"/>
                <w:color w:val="auto"/>
                <w:sz w:val="24"/>
                <w:szCs w:val="24"/>
                <w:highlight w:val="none"/>
              </w:rPr>
            </w:pPr>
          </w:p>
        </w:tc>
        <w:tc>
          <w:tcPr>
            <w:tcW w:w="1417" w:type="dxa"/>
            <w:noWrap w:val="0"/>
            <w:vAlign w:val="top"/>
          </w:tcPr>
          <w:p>
            <w:pPr>
              <w:pStyle w:val="28"/>
              <w:ind w:left="1080" w:leftChars="257" w:hanging="540"/>
              <w:rPr>
                <w:rFonts w:hint="eastAsia" w:ascii="仿宋" w:hAnsi="仿宋" w:eastAsia="仿宋" w:cs="仿宋"/>
                <w:color w:val="auto"/>
                <w:sz w:val="24"/>
                <w:szCs w:val="24"/>
                <w:highlight w:val="none"/>
              </w:rPr>
            </w:pPr>
          </w:p>
        </w:tc>
        <w:tc>
          <w:tcPr>
            <w:tcW w:w="2195" w:type="dxa"/>
            <w:noWrap w:val="0"/>
            <w:vAlign w:val="top"/>
          </w:tcPr>
          <w:p>
            <w:pPr>
              <w:pStyle w:val="28"/>
              <w:ind w:left="1080" w:leftChars="257" w:hanging="54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pPr>
              <w:pStyle w:val="28"/>
              <w:ind w:left="1080" w:leftChars="257" w:hanging="540"/>
              <w:rPr>
                <w:rFonts w:hint="eastAsia" w:ascii="仿宋" w:hAnsi="仿宋" w:eastAsia="仿宋" w:cs="仿宋"/>
                <w:color w:val="auto"/>
                <w:sz w:val="24"/>
                <w:szCs w:val="24"/>
                <w:highlight w:val="none"/>
              </w:rPr>
            </w:pPr>
          </w:p>
        </w:tc>
        <w:tc>
          <w:tcPr>
            <w:tcW w:w="2835" w:type="dxa"/>
            <w:noWrap w:val="0"/>
            <w:vAlign w:val="center"/>
          </w:tcPr>
          <w:p>
            <w:pPr>
              <w:spacing w:line="360" w:lineRule="auto"/>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第四章合同草案条款建设工程全过程造价咨询合同专用条件-</w:t>
            </w:r>
            <w:r>
              <w:rPr>
                <w:rFonts w:hint="eastAsia" w:ascii="仿宋" w:hAnsi="仿宋" w:eastAsia="仿宋" w:cs="仿宋"/>
                <w:bCs/>
                <w:color w:val="auto"/>
                <w:sz w:val="24"/>
                <w:highlight w:val="none"/>
                <w:lang w:eastAsia="zh-CN"/>
              </w:rPr>
              <w:t>第六条</w:t>
            </w:r>
            <w:r>
              <w:rPr>
                <w:rFonts w:hint="eastAsia" w:ascii="仿宋" w:hAnsi="仿宋" w:eastAsia="仿宋" w:cs="仿宋"/>
                <w:bCs/>
                <w:color w:val="auto"/>
                <w:sz w:val="24"/>
                <w:highlight w:val="none"/>
                <w:lang w:val="en-US" w:eastAsia="zh-CN"/>
              </w:rPr>
              <w:t xml:space="preserve"> 工作时限要求</w:t>
            </w:r>
          </w:p>
        </w:tc>
        <w:tc>
          <w:tcPr>
            <w:tcW w:w="1701" w:type="dxa"/>
            <w:noWrap w:val="0"/>
            <w:vAlign w:val="top"/>
          </w:tcPr>
          <w:p>
            <w:pPr>
              <w:pStyle w:val="28"/>
              <w:ind w:left="1080" w:leftChars="257" w:hanging="540"/>
              <w:rPr>
                <w:rFonts w:hint="eastAsia" w:ascii="仿宋" w:hAnsi="仿宋" w:eastAsia="仿宋" w:cs="仿宋"/>
                <w:color w:val="auto"/>
                <w:sz w:val="24"/>
                <w:szCs w:val="24"/>
                <w:highlight w:val="none"/>
              </w:rPr>
            </w:pPr>
          </w:p>
        </w:tc>
        <w:tc>
          <w:tcPr>
            <w:tcW w:w="1417" w:type="dxa"/>
            <w:noWrap w:val="0"/>
            <w:vAlign w:val="top"/>
          </w:tcPr>
          <w:p>
            <w:pPr>
              <w:pStyle w:val="28"/>
              <w:ind w:left="1080" w:leftChars="257" w:hanging="540"/>
              <w:rPr>
                <w:rFonts w:hint="eastAsia" w:ascii="仿宋" w:hAnsi="仿宋" w:eastAsia="仿宋" w:cs="仿宋"/>
                <w:color w:val="auto"/>
                <w:sz w:val="24"/>
                <w:szCs w:val="24"/>
                <w:highlight w:val="none"/>
              </w:rPr>
            </w:pPr>
          </w:p>
        </w:tc>
        <w:tc>
          <w:tcPr>
            <w:tcW w:w="2195" w:type="dxa"/>
            <w:noWrap w:val="0"/>
            <w:vAlign w:val="top"/>
          </w:tcPr>
          <w:p>
            <w:pPr>
              <w:pStyle w:val="28"/>
              <w:ind w:left="1080" w:leftChars="257" w:hanging="54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pPr>
              <w:pStyle w:val="28"/>
              <w:ind w:left="1080" w:leftChars="257" w:hanging="540"/>
              <w:rPr>
                <w:rFonts w:hint="eastAsia" w:ascii="仿宋" w:hAnsi="仿宋" w:eastAsia="仿宋" w:cs="仿宋"/>
                <w:color w:val="auto"/>
                <w:sz w:val="24"/>
                <w:szCs w:val="24"/>
                <w:highlight w:val="none"/>
              </w:rPr>
            </w:pPr>
          </w:p>
        </w:tc>
        <w:tc>
          <w:tcPr>
            <w:tcW w:w="2835" w:type="dxa"/>
            <w:noWrap w:val="0"/>
            <w:vAlign w:val="center"/>
          </w:tcPr>
          <w:p>
            <w:pPr>
              <w:spacing w:line="360" w:lineRule="auto"/>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第四章合同草案条款建设工程全过程造价咨询合同专用条件-</w:t>
            </w:r>
            <w:r>
              <w:rPr>
                <w:rFonts w:hint="eastAsia" w:ascii="仿宋" w:hAnsi="仿宋" w:eastAsia="仿宋" w:cs="仿宋"/>
                <w:bCs/>
                <w:color w:val="auto"/>
                <w:sz w:val="24"/>
                <w:highlight w:val="none"/>
                <w:lang w:eastAsia="zh-CN"/>
              </w:rPr>
              <w:t>第八条</w:t>
            </w:r>
            <w:r>
              <w:rPr>
                <w:rFonts w:hint="eastAsia" w:ascii="仿宋" w:hAnsi="仿宋" w:eastAsia="仿宋" w:cs="仿宋"/>
                <w:bCs/>
                <w:color w:val="auto"/>
                <w:sz w:val="24"/>
                <w:highlight w:val="none"/>
                <w:lang w:val="en-US" w:eastAsia="zh-CN"/>
              </w:rPr>
              <w:t xml:space="preserve"> 支付与结算</w:t>
            </w:r>
          </w:p>
        </w:tc>
        <w:tc>
          <w:tcPr>
            <w:tcW w:w="1701" w:type="dxa"/>
            <w:noWrap w:val="0"/>
            <w:vAlign w:val="top"/>
          </w:tcPr>
          <w:p>
            <w:pPr>
              <w:pStyle w:val="28"/>
              <w:ind w:left="1080" w:leftChars="257" w:hanging="540"/>
              <w:rPr>
                <w:rFonts w:hint="eastAsia" w:ascii="仿宋" w:hAnsi="仿宋" w:eastAsia="仿宋" w:cs="仿宋"/>
                <w:color w:val="auto"/>
                <w:sz w:val="24"/>
                <w:szCs w:val="24"/>
                <w:highlight w:val="none"/>
              </w:rPr>
            </w:pPr>
          </w:p>
        </w:tc>
        <w:tc>
          <w:tcPr>
            <w:tcW w:w="1417" w:type="dxa"/>
            <w:noWrap w:val="0"/>
            <w:vAlign w:val="top"/>
          </w:tcPr>
          <w:p>
            <w:pPr>
              <w:pStyle w:val="28"/>
              <w:ind w:left="1080" w:leftChars="257" w:hanging="540"/>
              <w:rPr>
                <w:rFonts w:hint="eastAsia" w:ascii="仿宋" w:hAnsi="仿宋" w:eastAsia="仿宋" w:cs="仿宋"/>
                <w:color w:val="auto"/>
                <w:sz w:val="24"/>
                <w:szCs w:val="24"/>
                <w:highlight w:val="none"/>
              </w:rPr>
            </w:pPr>
          </w:p>
        </w:tc>
        <w:tc>
          <w:tcPr>
            <w:tcW w:w="2195" w:type="dxa"/>
            <w:noWrap w:val="0"/>
            <w:vAlign w:val="top"/>
          </w:tcPr>
          <w:p>
            <w:pPr>
              <w:pStyle w:val="28"/>
              <w:ind w:left="1080" w:leftChars="257" w:hanging="54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pPr>
              <w:pStyle w:val="28"/>
              <w:ind w:left="1080" w:leftChars="257" w:hanging="540"/>
              <w:rPr>
                <w:rFonts w:hint="eastAsia" w:ascii="仿宋" w:hAnsi="仿宋" w:eastAsia="仿宋" w:cs="仿宋"/>
                <w:color w:val="auto"/>
                <w:sz w:val="24"/>
                <w:szCs w:val="24"/>
                <w:highlight w:val="none"/>
              </w:rPr>
            </w:pPr>
          </w:p>
        </w:tc>
        <w:tc>
          <w:tcPr>
            <w:tcW w:w="2835" w:type="dxa"/>
            <w:noWrap w:val="0"/>
            <w:vAlign w:val="center"/>
          </w:tcPr>
          <w:p>
            <w:pPr>
              <w:spacing w:line="360" w:lineRule="auto"/>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第四章合同草案条款建设工程全过程造价咨询合同专用条件-</w:t>
            </w:r>
            <w:r>
              <w:rPr>
                <w:rFonts w:hint="eastAsia" w:ascii="仿宋" w:hAnsi="仿宋" w:eastAsia="仿宋" w:cs="仿宋"/>
                <w:bCs/>
                <w:color w:val="auto"/>
                <w:sz w:val="24"/>
                <w:highlight w:val="none"/>
                <w:lang w:eastAsia="zh-CN"/>
              </w:rPr>
              <w:t>第九条</w:t>
            </w:r>
            <w:r>
              <w:rPr>
                <w:rFonts w:hint="eastAsia" w:ascii="仿宋" w:hAnsi="仿宋" w:eastAsia="仿宋" w:cs="仿宋"/>
                <w:bCs/>
                <w:color w:val="auto"/>
                <w:sz w:val="24"/>
                <w:highlight w:val="none"/>
                <w:lang w:val="en-US" w:eastAsia="zh-CN"/>
              </w:rPr>
              <w:t xml:space="preserve"> 处罚方式</w:t>
            </w:r>
          </w:p>
        </w:tc>
        <w:tc>
          <w:tcPr>
            <w:tcW w:w="1701" w:type="dxa"/>
            <w:noWrap w:val="0"/>
            <w:vAlign w:val="top"/>
          </w:tcPr>
          <w:p>
            <w:pPr>
              <w:pStyle w:val="28"/>
              <w:ind w:left="1080" w:leftChars="257" w:hanging="540"/>
              <w:rPr>
                <w:rFonts w:hint="eastAsia" w:ascii="仿宋" w:hAnsi="仿宋" w:eastAsia="仿宋" w:cs="仿宋"/>
                <w:color w:val="auto"/>
                <w:sz w:val="24"/>
                <w:szCs w:val="24"/>
                <w:highlight w:val="none"/>
              </w:rPr>
            </w:pPr>
          </w:p>
        </w:tc>
        <w:tc>
          <w:tcPr>
            <w:tcW w:w="1417" w:type="dxa"/>
            <w:noWrap w:val="0"/>
            <w:vAlign w:val="top"/>
          </w:tcPr>
          <w:p>
            <w:pPr>
              <w:pStyle w:val="28"/>
              <w:ind w:left="1080" w:leftChars="257" w:hanging="540"/>
              <w:rPr>
                <w:rFonts w:hint="eastAsia" w:ascii="仿宋" w:hAnsi="仿宋" w:eastAsia="仿宋" w:cs="仿宋"/>
                <w:color w:val="auto"/>
                <w:sz w:val="24"/>
                <w:szCs w:val="24"/>
                <w:highlight w:val="none"/>
              </w:rPr>
            </w:pPr>
          </w:p>
        </w:tc>
        <w:tc>
          <w:tcPr>
            <w:tcW w:w="2195" w:type="dxa"/>
            <w:noWrap w:val="0"/>
            <w:vAlign w:val="top"/>
          </w:tcPr>
          <w:p>
            <w:pPr>
              <w:pStyle w:val="28"/>
              <w:ind w:left="1080" w:leftChars="257" w:hanging="54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pPr>
              <w:pStyle w:val="28"/>
              <w:ind w:left="1080" w:leftChars="257" w:hanging="540"/>
              <w:rPr>
                <w:rFonts w:hint="eastAsia" w:ascii="仿宋" w:hAnsi="仿宋" w:eastAsia="仿宋" w:cs="仿宋"/>
                <w:color w:val="auto"/>
                <w:sz w:val="24"/>
                <w:szCs w:val="24"/>
                <w:highlight w:val="none"/>
              </w:rPr>
            </w:pPr>
          </w:p>
        </w:tc>
        <w:tc>
          <w:tcPr>
            <w:tcW w:w="2835" w:type="dxa"/>
            <w:noWrap w:val="0"/>
            <w:vAlign w:val="center"/>
          </w:tcPr>
          <w:p>
            <w:pPr>
              <w:spacing w:line="360" w:lineRule="auto"/>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w:t>
            </w:r>
          </w:p>
        </w:tc>
        <w:tc>
          <w:tcPr>
            <w:tcW w:w="1701" w:type="dxa"/>
            <w:noWrap w:val="0"/>
            <w:vAlign w:val="top"/>
          </w:tcPr>
          <w:p>
            <w:pPr>
              <w:pStyle w:val="28"/>
              <w:ind w:left="1080" w:leftChars="257" w:hanging="540"/>
              <w:rPr>
                <w:rFonts w:hint="eastAsia" w:ascii="仿宋" w:hAnsi="仿宋" w:eastAsia="仿宋" w:cs="仿宋"/>
                <w:color w:val="auto"/>
                <w:sz w:val="24"/>
                <w:szCs w:val="24"/>
                <w:highlight w:val="none"/>
              </w:rPr>
            </w:pPr>
          </w:p>
        </w:tc>
        <w:tc>
          <w:tcPr>
            <w:tcW w:w="1417" w:type="dxa"/>
            <w:noWrap w:val="0"/>
            <w:vAlign w:val="top"/>
          </w:tcPr>
          <w:p>
            <w:pPr>
              <w:pStyle w:val="28"/>
              <w:ind w:left="1080" w:leftChars="257" w:hanging="540"/>
              <w:rPr>
                <w:rFonts w:hint="eastAsia" w:ascii="仿宋" w:hAnsi="仿宋" w:eastAsia="仿宋" w:cs="仿宋"/>
                <w:color w:val="auto"/>
                <w:sz w:val="24"/>
                <w:szCs w:val="24"/>
                <w:highlight w:val="none"/>
              </w:rPr>
            </w:pPr>
          </w:p>
        </w:tc>
        <w:tc>
          <w:tcPr>
            <w:tcW w:w="2195" w:type="dxa"/>
            <w:noWrap w:val="0"/>
            <w:vAlign w:val="top"/>
          </w:tcPr>
          <w:p>
            <w:pPr>
              <w:pStyle w:val="28"/>
              <w:ind w:left="1080" w:leftChars="257" w:hanging="540"/>
              <w:rPr>
                <w:rFonts w:hint="eastAsia" w:ascii="仿宋" w:hAnsi="仿宋" w:eastAsia="仿宋" w:cs="仿宋"/>
                <w:color w:val="auto"/>
                <w:sz w:val="24"/>
                <w:szCs w:val="24"/>
                <w:highlight w:val="none"/>
              </w:rPr>
            </w:pPr>
          </w:p>
        </w:tc>
      </w:tr>
    </w:tbl>
    <w:p>
      <w:pPr>
        <w:pStyle w:val="28"/>
        <w:ind w:left="1080" w:leftChars="257" w:hanging="540"/>
        <w:rPr>
          <w:rFonts w:hint="eastAsia" w:ascii="仿宋" w:hAnsi="仿宋" w:eastAsia="仿宋" w:cs="仿宋"/>
          <w:color w:val="auto"/>
          <w:sz w:val="24"/>
          <w:szCs w:val="24"/>
          <w:highlight w:val="none"/>
        </w:rPr>
      </w:pPr>
    </w:p>
    <w:p>
      <w:pPr>
        <w:spacing w:before="120" w:after="120"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供应商（公章）：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none"/>
          <w:lang w:val="en-US" w:eastAsia="zh-CN"/>
        </w:rPr>
        <w:t xml:space="preserve">    </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sz w:val="24"/>
          <w:highlight w:val="none"/>
          <w:u w:val="single"/>
        </w:rPr>
        <w:t xml:space="preserve">                  </w:t>
      </w:r>
    </w:p>
    <w:p>
      <w:pPr>
        <w:spacing w:before="120" w:after="120" w:line="360" w:lineRule="auto"/>
        <w:ind w:firstLine="4320" w:firstLineChars="180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snapToGrid w:val="0"/>
        <w:spacing w:after="120" w:afterLines="50"/>
        <w:ind w:left="910" w:leftChars="203" w:hanging="484" w:hangingChars="202"/>
        <w:rPr>
          <w:rFonts w:hint="eastAsia" w:ascii="仿宋" w:hAnsi="仿宋" w:eastAsia="仿宋" w:cs="仿宋"/>
          <w:color w:val="auto"/>
          <w:highlight w:val="none"/>
        </w:rPr>
      </w:pPr>
      <w:r>
        <w:rPr>
          <w:rFonts w:hint="eastAsia" w:ascii="仿宋" w:hAnsi="仿宋" w:eastAsia="仿宋" w:cs="仿宋"/>
          <w:color w:val="auto"/>
          <w:sz w:val="24"/>
          <w:highlight w:val="none"/>
        </w:rPr>
        <w:t>注：</w:t>
      </w:r>
      <w:r>
        <w:rPr>
          <w:rFonts w:hint="eastAsia" w:ascii="仿宋" w:hAnsi="仿宋" w:eastAsia="仿宋" w:cs="仿宋"/>
          <w:color w:val="auto"/>
          <w:highlight w:val="none"/>
        </w:rPr>
        <w:tab/>
      </w:r>
      <w:r>
        <w:rPr>
          <w:rFonts w:hint="eastAsia" w:ascii="仿宋" w:hAnsi="仿宋" w:eastAsia="仿宋" w:cs="仿宋"/>
          <w:color w:val="auto"/>
          <w:highlight w:val="none"/>
        </w:rPr>
        <w:t>1、对完全响应的，在下表相应列中标注“○”。对有偏离的条目在本表相应列中标注“正偏离”或“负偏离”，并在“偏离简述”栏中加以说明。</w:t>
      </w:r>
    </w:p>
    <w:p>
      <w:pPr>
        <w:snapToGrid w:val="0"/>
        <w:spacing w:after="120" w:afterLines="50"/>
        <w:ind w:left="850" w:leftChars="203" w:hanging="424" w:hangingChars="202"/>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rPr>
        <w:tab/>
      </w:r>
      <w:r>
        <w:rPr>
          <w:rFonts w:hint="eastAsia" w:ascii="仿宋" w:hAnsi="仿宋" w:eastAsia="仿宋" w:cs="仿宋"/>
          <w:color w:val="auto"/>
          <w:highlight w:val="none"/>
        </w:rPr>
        <w:t>正偏离是指应答的条件高于磋商文件要求，负偏离是指应答的条件低于磋商文件要求，正偏离项目不作扣分处理。</w:t>
      </w:r>
    </w:p>
    <w:p>
      <w:pPr>
        <w:snapToGrid w:val="0"/>
        <w:spacing w:after="120" w:afterLines="50"/>
        <w:ind w:left="850" w:leftChars="203" w:hanging="424" w:hangingChars="202"/>
        <w:rPr>
          <w:rFonts w:hint="eastAsia" w:ascii="仿宋" w:hAnsi="仿宋" w:eastAsia="仿宋" w:cs="仿宋"/>
          <w:color w:val="auto"/>
          <w:highlight w:val="none"/>
        </w:rPr>
      </w:pPr>
      <w:r>
        <w:rPr>
          <w:rFonts w:hint="eastAsia" w:ascii="仿宋" w:hAnsi="仿宋" w:eastAsia="仿宋" w:cs="仿宋"/>
          <w:color w:val="auto"/>
          <w:highlight w:val="none"/>
        </w:rPr>
        <w:t>3、</w:t>
      </w:r>
      <w:r>
        <w:rPr>
          <w:rFonts w:hint="eastAsia" w:ascii="仿宋" w:hAnsi="仿宋" w:eastAsia="仿宋" w:cs="仿宋"/>
          <w:color w:val="auto"/>
          <w:highlight w:val="none"/>
        </w:rPr>
        <w:tab/>
      </w:r>
      <w:r>
        <w:rPr>
          <w:rFonts w:hint="eastAsia" w:ascii="仿宋" w:hAnsi="仿宋" w:eastAsia="仿宋" w:cs="仿宋"/>
          <w:color w:val="auto"/>
          <w:highlight w:val="none"/>
        </w:rPr>
        <w:t>供应商须完整填写响应表。如果未完整填写本表的各项内容则视作供应商已经对磋商文件相关要求和内容完全理解并同意，其报价为在此基础上的完全价格。</w:t>
      </w:r>
    </w:p>
    <w:p>
      <w:pPr>
        <w:snapToGrid w:val="0"/>
        <w:spacing w:after="120" w:afterLines="50"/>
        <w:ind w:left="850" w:leftChars="203" w:hanging="424" w:hangingChars="202"/>
        <w:rPr>
          <w:rFonts w:hint="eastAsia" w:ascii="仿宋" w:hAnsi="仿宋" w:eastAsia="仿宋" w:cs="仿宋"/>
          <w:color w:val="auto"/>
          <w:highlight w:val="none"/>
        </w:rPr>
      </w:pPr>
      <w:r>
        <w:rPr>
          <w:rFonts w:hint="eastAsia" w:ascii="仿宋" w:hAnsi="仿宋" w:eastAsia="仿宋" w:cs="仿宋"/>
          <w:color w:val="auto"/>
          <w:highlight w:val="none"/>
        </w:rPr>
        <w:t>4、</w:t>
      </w:r>
      <w:r>
        <w:rPr>
          <w:rFonts w:hint="eastAsia" w:ascii="仿宋" w:hAnsi="仿宋" w:eastAsia="仿宋" w:cs="仿宋"/>
          <w:color w:val="auto"/>
          <w:highlight w:val="none"/>
        </w:rPr>
        <w:tab/>
      </w:r>
      <w:r>
        <w:rPr>
          <w:rFonts w:hint="eastAsia" w:ascii="仿宋" w:hAnsi="仿宋" w:eastAsia="仿宋" w:cs="仿宋"/>
          <w:color w:val="auto"/>
          <w:highlight w:val="none"/>
        </w:rPr>
        <w:t>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pPr>
        <w:pStyle w:val="28"/>
        <w:ind w:left="1080" w:leftChars="257" w:hanging="540"/>
        <w:rPr>
          <w:rFonts w:hint="eastAsia" w:ascii="仿宋" w:hAnsi="仿宋" w:eastAsia="仿宋" w:cs="仿宋"/>
          <w:color w:val="auto"/>
          <w:sz w:val="24"/>
          <w:szCs w:val="24"/>
          <w:highlight w:val="none"/>
        </w:rPr>
      </w:pPr>
    </w:p>
    <w:p>
      <w:pPr>
        <w:rPr>
          <w:rFonts w:hint="eastAsia" w:ascii="仿宋" w:hAnsi="仿宋" w:eastAsia="仿宋" w:cs="仿宋"/>
          <w:b/>
          <w:color w:val="auto"/>
          <w:sz w:val="28"/>
          <w:szCs w:val="28"/>
          <w:highlight w:val="none"/>
        </w:rPr>
      </w:pPr>
      <w:bookmarkStart w:id="499" w:name="_Toc416103825"/>
      <w:bookmarkStart w:id="500" w:name="_Toc414445775"/>
      <w:bookmarkStart w:id="501" w:name="_Toc410631184"/>
      <w:bookmarkStart w:id="502" w:name="_Toc7005136"/>
      <w:r>
        <w:rPr>
          <w:rFonts w:hint="eastAsia" w:ascii="仿宋" w:hAnsi="仿宋" w:eastAsia="仿宋" w:cs="仿宋"/>
          <w:b/>
          <w:color w:val="auto"/>
          <w:sz w:val="28"/>
          <w:szCs w:val="28"/>
          <w:highlight w:val="none"/>
        </w:rPr>
        <w:br w:type="page"/>
      </w:r>
    </w:p>
    <w:p>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二、技术偏离表</w:t>
      </w:r>
      <w:bookmarkEnd w:id="499"/>
      <w:bookmarkEnd w:id="500"/>
      <w:bookmarkEnd w:id="501"/>
      <w:bookmarkEnd w:id="502"/>
    </w:p>
    <w:p>
      <w:pPr>
        <w:spacing w:after="240"/>
        <w:ind w:hanging="119"/>
        <w:rPr>
          <w:rFonts w:hint="eastAsia" w:ascii="仿宋" w:hAnsi="仿宋" w:eastAsia="仿宋" w:cs="仿宋"/>
          <w:color w:val="auto"/>
          <w:highlight w:val="none"/>
        </w:rPr>
      </w:pPr>
    </w:p>
    <w:p>
      <w:pPr>
        <w:spacing w:after="240"/>
        <w:ind w:left="105" w:leftChars="50"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项目编号:</w:t>
      </w:r>
    </w:p>
    <w:tbl>
      <w:tblPr>
        <w:tblStyle w:val="50"/>
        <w:tblW w:w="946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666"/>
        <w:gridCol w:w="1932"/>
        <w:gridCol w:w="1236"/>
        <w:gridCol w:w="1236"/>
        <w:gridCol w:w="23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666" w:type="dxa"/>
            <w:noWrap w:val="0"/>
            <w:vAlign w:val="top"/>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磋商文件条目号</w:t>
            </w:r>
          </w:p>
        </w:tc>
        <w:tc>
          <w:tcPr>
            <w:tcW w:w="1932" w:type="dxa"/>
            <w:noWrap w:val="0"/>
            <w:vAlign w:val="top"/>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技术条款要求</w:t>
            </w:r>
          </w:p>
        </w:tc>
        <w:tc>
          <w:tcPr>
            <w:tcW w:w="1236" w:type="dxa"/>
            <w:noWrap w:val="0"/>
            <w:vAlign w:val="top"/>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完全响应</w:t>
            </w:r>
          </w:p>
        </w:tc>
        <w:tc>
          <w:tcPr>
            <w:tcW w:w="1236" w:type="dxa"/>
            <w:noWrap w:val="0"/>
            <w:vAlign w:val="top"/>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有偏离</w:t>
            </w:r>
          </w:p>
        </w:tc>
        <w:tc>
          <w:tcPr>
            <w:tcW w:w="2394" w:type="dxa"/>
            <w:noWrap w:val="0"/>
            <w:vAlign w:val="top"/>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偏离简述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666" w:type="dxa"/>
            <w:noWrap w:val="0"/>
            <w:vAlign w:val="top"/>
          </w:tcPr>
          <w:p>
            <w:pPr>
              <w:autoSpaceDE w:val="0"/>
              <w:autoSpaceDN w:val="0"/>
              <w:adjustRightInd w:val="0"/>
              <w:snapToGrid w:val="0"/>
              <w:spacing w:line="580" w:lineRule="exact"/>
              <w:jc w:val="both"/>
              <w:rPr>
                <w:rFonts w:hint="eastAsia" w:ascii="仿宋" w:hAnsi="仿宋" w:eastAsia="仿宋" w:cs="仿宋"/>
                <w:color w:val="auto"/>
                <w:sz w:val="24"/>
                <w:highlight w:val="none"/>
              </w:rPr>
            </w:pPr>
            <w:r>
              <w:rPr>
                <w:rFonts w:hint="eastAsia" w:ascii="仿宋" w:hAnsi="仿宋" w:eastAsia="仿宋" w:cs="仿宋"/>
                <w:b w:val="0"/>
                <w:bCs/>
                <w:color w:val="auto"/>
                <w:kern w:val="2"/>
                <w:sz w:val="24"/>
                <w:szCs w:val="24"/>
                <w:highlight w:val="none"/>
                <w:lang w:val="en-US" w:eastAsia="zh-CN" w:bidi="ar-SA"/>
              </w:rPr>
              <w:t>第五章采购内容及要求-二、造价咨询服务范围</w:t>
            </w:r>
          </w:p>
        </w:tc>
        <w:tc>
          <w:tcPr>
            <w:tcW w:w="1932" w:type="dxa"/>
            <w:noWrap w:val="0"/>
            <w:vAlign w:val="top"/>
          </w:tcPr>
          <w:p>
            <w:pPr>
              <w:spacing w:line="400" w:lineRule="exact"/>
              <w:rPr>
                <w:rFonts w:hint="eastAsia" w:ascii="仿宋" w:hAnsi="仿宋" w:eastAsia="仿宋" w:cs="仿宋"/>
                <w:color w:val="auto"/>
                <w:sz w:val="24"/>
                <w:highlight w:val="none"/>
              </w:rPr>
            </w:pPr>
          </w:p>
        </w:tc>
        <w:tc>
          <w:tcPr>
            <w:tcW w:w="1236" w:type="dxa"/>
            <w:noWrap w:val="0"/>
            <w:vAlign w:val="top"/>
          </w:tcPr>
          <w:p>
            <w:pPr>
              <w:spacing w:line="400" w:lineRule="exact"/>
              <w:rPr>
                <w:rFonts w:hint="eastAsia" w:ascii="仿宋" w:hAnsi="仿宋" w:eastAsia="仿宋" w:cs="仿宋"/>
                <w:color w:val="auto"/>
                <w:sz w:val="24"/>
                <w:highlight w:val="none"/>
              </w:rPr>
            </w:pPr>
          </w:p>
        </w:tc>
        <w:tc>
          <w:tcPr>
            <w:tcW w:w="1236" w:type="dxa"/>
            <w:noWrap w:val="0"/>
            <w:vAlign w:val="top"/>
          </w:tcPr>
          <w:p>
            <w:pPr>
              <w:spacing w:line="400" w:lineRule="exact"/>
              <w:rPr>
                <w:rFonts w:hint="eastAsia" w:ascii="仿宋" w:hAnsi="仿宋" w:eastAsia="仿宋" w:cs="仿宋"/>
                <w:color w:val="auto"/>
                <w:sz w:val="24"/>
                <w:highlight w:val="none"/>
              </w:rPr>
            </w:pPr>
          </w:p>
        </w:tc>
        <w:tc>
          <w:tcPr>
            <w:tcW w:w="2394" w:type="dxa"/>
            <w:noWrap w:val="0"/>
            <w:vAlign w:val="top"/>
          </w:tcPr>
          <w:p>
            <w:pPr>
              <w:spacing w:line="400" w:lineRule="exact"/>
              <w:rPr>
                <w:rFonts w:hint="eastAsia" w:ascii="仿宋" w:hAnsi="仿宋" w:eastAsia="仿宋" w:cs="仿宋"/>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666" w:type="dxa"/>
            <w:noWrap w:val="0"/>
            <w:vAlign w:val="top"/>
          </w:tcPr>
          <w:p>
            <w:pPr>
              <w:autoSpaceDE w:val="0"/>
              <w:autoSpaceDN w:val="0"/>
              <w:adjustRightInd w:val="0"/>
              <w:snapToGrid w:val="0"/>
              <w:spacing w:line="580" w:lineRule="exact"/>
              <w:jc w:val="both"/>
              <w:rPr>
                <w:rFonts w:hint="eastAsia" w:ascii="仿宋" w:hAnsi="仿宋" w:eastAsia="仿宋" w:cs="仿宋"/>
                <w:color w:val="auto"/>
                <w:sz w:val="24"/>
                <w:highlight w:val="none"/>
              </w:rPr>
            </w:pPr>
            <w:r>
              <w:rPr>
                <w:rFonts w:hint="eastAsia" w:ascii="仿宋" w:hAnsi="仿宋" w:eastAsia="仿宋" w:cs="仿宋"/>
                <w:b w:val="0"/>
                <w:bCs/>
                <w:color w:val="auto"/>
                <w:kern w:val="2"/>
                <w:sz w:val="24"/>
                <w:szCs w:val="24"/>
                <w:highlight w:val="none"/>
                <w:lang w:val="en-US" w:eastAsia="zh-CN" w:bidi="ar-SA"/>
              </w:rPr>
              <w:t>第五章采购内容及要求-三、造价咨询服务的内容</w:t>
            </w:r>
          </w:p>
        </w:tc>
        <w:tc>
          <w:tcPr>
            <w:tcW w:w="1932" w:type="dxa"/>
            <w:noWrap w:val="0"/>
            <w:vAlign w:val="top"/>
          </w:tcPr>
          <w:p>
            <w:pPr>
              <w:spacing w:line="400" w:lineRule="exact"/>
              <w:rPr>
                <w:rFonts w:hint="eastAsia" w:ascii="仿宋" w:hAnsi="仿宋" w:eastAsia="仿宋" w:cs="仿宋"/>
                <w:color w:val="auto"/>
                <w:sz w:val="24"/>
                <w:highlight w:val="none"/>
              </w:rPr>
            </w:pPr>
          </w:p>
        </w:tc>
        <w:tc>
          <w:tcPr>
            <w:tcW w:w="1236" w:type="dxa"/>
            <w:noWrap w:val="0"/>
            <w:vAlign w:val="top"/>
          </w:tcPr>
          <w:p>
            <w:pPr>
              <w:spacing w:line="400" w:lineRule="exact"/>
              <w:rPr>
                <w:rFonts w:hint="eastAsia" w:ascii="仿宋" w:hAnsi="仿宋" w:eastAsia="仿宋" w:cs="仿宋"/>
                <w:color w:val="auto"/>
                <w:sz w:val="24"/>
                <w:highlight w:val="none"/>
              </w:rPr>
            </w:pPr>
          </w:p>
        </w:tc>
        <w:tc>
          <w:tcPr>
            <w:tcW w:w="1236" w:type="dxa"/>
            <w:noWrap w:val="0"/>
            <w:vAlign w:val="top"/>
          </w:tcPr>
          <w:p>
            <w:pPr>
              <w:spacing w:line="400" w:lineRule="exact"/>
              <w:rPr>
                <w:rFonts w:hint="eastAsia" w:ascii="仿宋" w:hAnsi="仿宋" w:eastAsia="仿宋" w:cs="仿宋"/>
                <w:color w:val="auto"/>
                <w:sz w:val="24"/>
                <w:highlight w:val="none"/>
              </w:rPr>
            </w:pPr>
          </w:p>
        </w:tc>
        <w:tc>
          <w:tcPr>
            <w:tcW w:w="2394" w:type="dxa"/>
            <w:noWrap w:val="0"/>
            <w:vAlign w:val="top"/>
          </w:tcPr>
          <w:p>
            <w:pPr>
              <w:spacing w:line="400" w:lineRule="exact"/>
              <w:rPr>
                <w:rFonts w:hint="eastAsia" w:ascii="仿宋" w:hAnsi="仿宋" w:eastAsia="仿宋" w:cs="仿宋"/>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666" w:type="dxa"/>
            <w:noWrap w:val="0"/>
            <w:vAlign w:val="top"/>
          </w:tcPr>
          <w:p>
            <w:pPr>
              <w:autoSpaceDE w:val="0"/>
              <w:autoSpaceDN w:val="0"/>
              <w:adjustRightInd w:val="0"/>
              <w:snapToGrid w:val="0"/>
              <w:spacing w:line="580" w:lineRule="exact"/>
              <w:jc w:val="both"/>
              <w:rPr>
                <w:rFonts w:hint="eastAsia" w:ascii="仿宋" w:hAnsi="仿宋" w:eastAsia="仿宋" w:cs="仿宋"/>
                <w:color w:val="auto"/>
                <w:sz w:val="24"/>
                <w:highlight w:val="none"/>
              </w:rPr>
            </w:pPr>
            <w:r>
              <w:rPr>
                <w:rFonts w:hint="eastAsia" w:ascii="仿宋" w:hAnsi="仿宋" w:eastAsia="仿宋" w:cs="仿宋"/>
                <w:b w:val="0"/>
                <w:bCs/>
                <w:color w:val="auto"/>
                <w:kern w:val="2"/>
                <w:sz w:val="24"/>
                <w:szCs w:val="24"/>
                <w:highlight w:val="none"/>
                <w:lang w:val="en-US" w:eastAsia="zh-CN" w:bidi="ar-SA"/>
              </w:rPr>
              <w:t>第五章采购内容及要求-五、造价咨询服务的基本要求</w:t>
            </w:r>
          </w:p>
        </w:tc>
        <w:tc>
          <w:tcPr>
            <w:tcW w:w="1932" w:type="dxa"/>
            <w:noWrap w:val="0"/>
            <w:vAlign w:val="top"/>
          </w:tcPr>
          <w:p>
            <w:pPr>
              <w:spacing w:line="400" w:lineRule="exact"/>
              <w:rPr>
                <w:rFonts w:hint="eastAsia" w:ascii="仿宋" w:hAnsi="仿宋" w:eastAsia="仿宋" w:cs="仿宋"/>
                <w:color w:val="auto"/>
                <w:sz w:val="24"/>
                <w:highlight w:val="none"/>
              </w:rPr>
            </w:pPr>
          </w:p>
        </w:tc>
        <w:tc>
          <w:tcPr>
            <w:tcW w:w="1236" w:type="dxa"/>
            <w:noWrap w:val="0"/>
            <w:vAlign w:val="top"/>
          </w:tcPr>
          <w:p>
            <w:pPr>
              <w:spacing w:line="400" w:lineRule="exact"/>
              <w:rPr>
                <w:rFonts w:hint="eastAsia" w:ascii="仿宋" w:hAnsi="仿宋" w:eastAsia="仿宋" w:cs="仿宋"/>
                <w:color w:val="auto"/>
                <w:sz w:val="24"/>
                <w:highlight w:val="none"/>
              </w:rPr>
            </w:pPr>
          </w:p>
        </w:tc>
        <w:tc>
          <w:tcPr>
            <w:tcW w:w="1236" w:type="dxa"/>
            <w:noWrap w:val="0"/>
            <w:vAlign w:val="top"/>
          </w:tcPr>
          <w:p>
            <w:pPr>
              <w:spacing w:line="400" w:lineRule="exact"/>
              <w:rPr>
                <w:rFonts w:hint="eastAsia" w:ascii="仿宋" w:hAnsi="仿宋" w:eastAsia="仿宋" w:cs="仿宋"/>
                <w:color w:val="auto"/>
                <w:sz w:val="24"/>
                <w:highlight w:val="none"/>
              </w:rPr>
            </w:pPr>
          </w:p>
        </w:tc>
        <w:tc>
          <w:tcPr>
            <w:tcW w:w="2394" w:type="dxa"/>
            <w:noWrap w:val="0"/>
            <w:vAlign w:val="top"/>
          </w:tcPr>
          <w:p>
            <w:pPr>
              <w:spacing w:line="400" w:lineRule="exact"/>
              <w:rPr>
                <w:rFonts w:hint="eastAsia" w:ascii="仿宋" w:hAnsi="仿宋" w:eastAsia="仿宋" w:cs="仿宋"/>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666" w:type="dxa"/>
            <w:noWrap w:val="0"/>
            <w:vAlign w:val="top"/>
          </w:tcPr>
          <w:p>
            <w:pPr>
              <w:autoSpaceDE w:val="0"/>
              <w:autoSpaceDN w:val="0"/>
              <w:adjustRightInd w:val="0"/>
              <w:snapToGrid w:val="0"/>
              <w:spacing w:line="580" w:lineRule="exact"/>
              <w:jc w:val="both"/>
              <w:rPr>
                <w:rFonts w:hint="eastAsia" w:ascii="仿宋" w:hAnsi="仿宋" w:eastAsia="仿宋" w:cs="仿宋"/>
                <w:color w:val="auto"/>
                <w:sz w:val="24"/>
                <w:highlight w:val="none"/>
              </w:rPr>
            </w:pPr>
            <w:r>
              <w:rPr>
                <w:rFonts w:hint="eastAsia" w:ascii="仿宋" w:hAnsi="仿宋" w:eastAsia="仿宋" w:cs="仿宋"/>
                <w:b w:val="0"/>
                <w:bCs/>
                <w:color w:val="auto"/>
                <w:kern w:val="2"/>
                <w:sz w:val="24"/>
                <w:szCs w:val="24"/>
                <w:highlight w:val="none"/>
                <w:lang w:val="en-US" w:eastAsia="zh-CN" w:bidi="ar-SA"/>
              </w:rPr>
              <w:t>第五章采购内容及要求-六、造价咨询服务进度要求</w:t>
            </w:r>
          </w:p>
        </w:tc>
        <w:tc>
          <w:tcPr>
            <w:tcW w:w="1932" w:type="dxa"/>
            <w:noWrap w:val="0"/>
            <w:vAlign w:val="top"/>
          </w:tcPr>
          <w:p>
            <w:pPr>
              <w:spacing w:line="400" w:lineRule="exact"/>
              <w:rPr>
                <w:rFonts w:hint="eastAsia" w:ascii="仿宋" w:hAnsi="仿宋" w:eastAsia="仿宋" w:cs="仿宋"/>
                <w:color w:val="auto"/>
                <w:sz w:val="24"/>
                <w:highlight w:val="none"/>
              </w:rPr>
            </w:pPr>
          </w:p>
        </w:tc>
        <w:tc>
          <w:tcPr>
            <w:tcW w:w="1236" w:type="dxa"/>
            <w:noWrap w:val="0"/>
            <w:vAlign w:val="top"/>
          </w:tcPr>
          <w:p>
            <w:pPr>
              <w:spacing w:line="400" w:lineRule="exact"/>
              <w:rPr>
                <w:rFonts w:hint="eastAsia" w:ascii="仿宋" w:hAnsi="仿宋" w:eastAsia="仿宋" w:cs="仿宋"/>
                <w:color w:val="auto"/>
                <w:sz w:val="24"/>
                <w:highlight w:val="none"/>
              </w:rPr>
            </w:pPr>
          </w:p>
        </w:tc>
        <w:tc>
          <w:tcPr>
            <w:tcW w:w="1236" w:type="dxa"/>
            <w:noWrap w:val="0"/>
            <w:vAlign w:val="top"/>
          </w:tcPr>
          <w:p>
            <w:pPr>
              <w:spacing w:line="400" w:lineRule="exact"/>
              <w:rPr>
                <w:rFonts w:hint="eastAsia" w:ascii="仿宋" w:hAnsi="仿宋" w:eastAsia="仿宋" w:cs="仿宋"/>
                <w:color w:val="auto"/>
                <w:sz w:val="24"/>
                <w:highlight w:val="none"/>
              </w:rPr>
            </w:pPr>
          </w:p>
        </w:tc>
        <w:tc>
          <w:tcPr>
            <w:tcW w:w="2394" w:type="dxa"/>
            <w:noWrap w:val="0"/>
            <w:vAlign w:val="top"/>
          </w:tcPr>
          <w:p>
            <w:pPr>
              <w:spacing w:line="400" w:lineRule="exact"/>
              <w:rPr>
                <w:rFonts w:hint="eastAsia" w:ascii="仿宋" w:hAnsi="仿宋" w:eastAsia="仿宋" w:cs="仿宋"/>
                <w:color w:val="auto"/>
                <w:sz w:val="24"/>
                <w:highlight w:val="none"/>
              </w:rPr>
            </w:pPr>
          </w:p>
        </w:tc>
      </w:tr>
    </w:tbl>
    <w:p>
      <w:pPr>
        <w:spacing w:before="120" w:after="120"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供应商（公章）： </w:t>
      </w:r>
      <w:r>
        <w:rPr>
          <w:rFonts w:hint="eastAsia" w:ascii="仿宋" w:hAnsi="仿宋" w:eastAsia="仿宋" w:cs="仿宋"/>
          <w:color w:val="auto"/>
          <w:sz w:val="24"/>
          <w:highlight w:val="none"/>
          <w:u w:val="single"/>
        </w:rPr>
        <w:t xml:space="preserve">              </w:t>
      </w:r>
    </w:p>
    <w:p>
      <w:pPr>
        <w:spacing w:before="120" w:after="120"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sz w:val="24"/>
          <w:highlight w:val="none"/>
          <w:u w:val="single"/>
        </w:rPr>
        <w:t xml:space="preserve">                  </w:t>
      </w:r>
    </w:p>
    <w:p>
      <w:pPr>
        <w:spacing w:before="120" w:after="12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spacing w:line="360" w:lineRule="auto"/>
        <w:rPr>
          <w:rFonts w:hint="eastAsia" w:ascii="仿宋" w:hAnsi="仿宋" w:eastAsia="仿宋" w:cs="仿宋"/>
          <w:color w:val="auto"/>
          <w:highlight w:val="none"/>
        </w:rPr>
      </w:pPr>
    </w:p>
    <w:p>
      <w:pPr>
        <w:snapToGrid w:val="0"/>
        <w:spacing w:after="120" w:afterLines="50"/>
        <w:ind w:left="850" w:hanging="850" w:hangingChars="405"/>
        <w:rPr>
          <w:rFonts w:hint="eastAsia" w:ascii="仿宋" w:hAnsi="仿宋" w:eastAsia="仿宋" w:cs="仿宋"/>
          <w:color w:val="auto"/>
          <w:highlight w:val="none"/>
        </w:rPr>
      </w:pPr>
      <w:r>
        <w:rPr>
          <w:rFonts w:hint="eastAsia" w:ascii="仿宋" w:hAnsi="仿宋" w:eastAsia="仿宋" w:cs="仿宋"/>
          <w:color w:val="auto"/>
          <w:highlight w:val="none"/>
        </w:rPr>
        <w:t>注：1.</w:t>
      </w:r>
      <w:r>
        <w:rPr>
          <w:rFonts w:hint="eastAsia" w:ascii="仿宋" w:hAnsi="仿宋" w:eastAsia="仿宋" w:cs="仿宋"/>
          <w:color w:val="auto"/>
          <w:highlight w:val="none"/>
        </w:rPr>
        <w:tab/>
      </w:r>
      <w:r>
        <w:rPr>
          <w:rFonts w:hint="eastAsia" w:ascii="仿宋" w:hAnsi="仿宋" w:eastAsia="仿宋" w:cs="仿宋"/>
          <w:color w:val="auto"/>
          <w:highlight w:val="none"/>
        </w:rPr>
        <w:t>对完全响应的条目在本表相应列中标注“○”。对有偏离的条目在本表相应列中标注“正偏离”或“负偏离”。并在“偏离简述”栏中加以说明。</w:t>
      </w:r>
    </w:p>
    <w:p>
      <w:pPr>
        <w:tabs>
          <w:tab w:val="left" w:pos="1200"/>
        </w:tabs>
        <w:snapToGrid w:val="0"/>
        <w:spacing w:after="120" w:afterLines="50"/>
        <w:ind w:left="850" w:leftChars="203" w:hanging="424" w:hangingChars="202"/>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rPr>
        <w:tab/>
      </w:r>
      <w:r>
        <w:rPr>
          <w:rFonts w:hint="eastAsia" w:ascii="仿宋" w:hAnsi="仿宋" w:eastAsia="仿宋" w:cs="仿宋"/>
          <w:color w:val="auto"/>
          <w:highlight w:val="none"/>
        </w:rPr>
        <w:t>正偏离是指应答的条件高于磋商文件要求，负偏离是指应答的条件低于磋商文件要求，正偏离项目不作扣分处理。</w:t>
      </w:r>
    </w:p>
    <w:p>
      <w:pPr>
        <w:tabs>
          <w:tab w:val="left" w:pos="1200"/>
        </w:tabs>
        <w:snapToGrid w:val="0"/>
        <w:spacing w:after="120" w:afterLines="50"/>
        <w:ind w:left="850" w:leftChars="203" w:hanging="424" w:hangingChars="202"/>
        <w:rPr>
          <w:rFonts w:hint="eastAsia" w:ascii="仿宋" w:hAnsi="仿宋" w:eastAsia="仿宋" w:cs="仿宋"/>
          <w:color w:val="auto"/>
          <w:highlight w:val="none"/>
        </w:rPr>
      </w:pPr>
      <w:r>
        <w:rPr>
          <w:rFonts w:hint="eastAsia" w:ascii="仿宋" w:hAnsi="仿宋" w:eastAsia="仿宋" w:cs="仿宋"/>
          <w:color w:val="auto"/>
          <w:highlight w:val="none"/>
        </w:rPr>
        <w:t>3</w:t>
      </w:r>
      <w:r>
        <w:rPr>
          <w:rFonts w:hint="eastAsia" w:ascii="仿宋" w:hAnsi="仿宋" w:eastAsia="仿宋" w:cs="仿宋"/>
          <w:color w:val="auto"/>
          <w:highlight w:val="none"/>
        </w:rPr>
        <w:tab/>
      </w:r>
      <w:r>
        <w:rPr>
          <w:rFonts w:hint="eastAsia" w:ascii="仿宋" w:hAnsi="仿宋" w:eastAsia="仿宋" w:cs="仿宋"/>
          <w:color w:val="auto"/>
          <w:highlight w:val="none"/>
        </w:rPr>
        <w:t>供应商须按照用户需求书逐条完整填写响应表。如果未完整填写响应表的各项内容则视作供应商已经对磋商文件相关要求和内容完全理解并同意，其报价为在此基础上的完全价格。</w:t>
      </w:r>
    </w:p>
    <w:p>
      <w:pPr>
        <w:tabs>
          <w:tab w:val="left" w:pos="1200"/>
        </w:tabs>
        <w:snapToGrid w:val="0"/>
        <w:spacing w:after="120" w:afterLines="50"/>
        <w:ind w:left="850" w:leftChars="203" w:hanging="424" w:hangingChars="202"/>
        <w:rPr>
          <w:rFonts w:hint="eastAsia" w:ascii="仿宋" w:hAnsi="仿宋" w:eastAsia="仿宋" w:cs="仿宋"/>
          <w:color w:val="auto"/>
          <w:highlight w:val="none"/>
        </w:rPr>
      </w:pPr>
      <w:r>
        <w:rPr>
          <w:rFonts w:hint="eastAsia" w:ascii="仿宋" w:hAnsi="仿宋" w:eastAsia="仿宋" w:cs="仿宋"/>
          <w:color w:val="auto"/>
          <w:highlight w:val="none"/>
        </w:rPr>
        <w:t>4</w:t>
      </w:r>
      <w:r>
        <w:rPr>
          <w:rFonts w:hint="eastAsia" w:ascii="仿宋" w:hAnsi="仿宋" w:eastAsia="仿宋" w:cs="仿宋"/>
          <w:color w:val="auto"/>
          <w:highlight w:val="none"/>
        </w:rPr>
        <w:tab/>
      </w:r>
      <w:r>
        <w:rPr>
          <w:rFonts w:hint="eastAsia" w:ascii="仿宋" w:hAnsi="仿宋" w:eastAsia="仿宋" w:cs="仿宋"/>
          <w:color w:val="auto"/>
          <w:highlight w:val="none"/>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pPr>
        <w:pStyle w:val="195"/>
        <w:ind w:firstLine="2570" w:firstLineChars="80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第四部分  响应方案说明</w:t>
      </w:r>
    </w:p>
    <w:p>
      <w:pPr>
        <w:pStyle w:val="22"/>
        <w:rPr>
          <w:rFonts w:hint="eastAsia" w:ascii="仿宋" w:hAnsi="仿宋" w:eastAsia="仿宋" w:cs="仿宋"/>
          <w:color w:val="auto"/>
          <w:highlight w:val="none"/>
          <w:lang w:val="zh-CN"/>
        </w:rPr>
      </w:pPr>
    </w:p>
    <w:p>
      <w:pPr>
        <w:autoSpaceDE w:val="0"/>
        <w:autoSpaceDN w:val="0"/>
        <w:adjustRightInd w:val="0"/>
        <w:spacing w:line="360" w:lineRule="auto"/>
        <w:jc w:val="center"/>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（格式自拟，内容需符合评审办法中要求的内容要求）</w:t>
      </w:r>
    </w:p>
    <w:p>
      <w:pPr>
        <w:pStyle w:val="22"/>
        <w:rPr>
          <w:rFonts w:hint="eastAsia" w:ascii="仿宋" w:hAnsi="仿宋" w:eastAsia="仿宋" w:cs="仿宋"/>
          <w:color w:val="auto"/>
          <w:sz w:val="28"/>
          <w:szCs w:val="28"/>
          <w:highlight w:val="none"/>
          <w:lang w:val="zh-CN"/>
        </w:rPr>
      </w:pPr>
    </w:p>
    <w:p>
      <w:pPr>
        <w:rPr>
          <w:rFonts w:hint="eastAsia" w:ascii="仿宋" w:hAnsi="仿宋" w:eastAsia="仿宋" w:cs="仿宋"/>
          <w:color w:val="auto"/>
          <w:sz w:val="28"/>
          <w:szCs w:val="28"/>
          <w:highlight w:val="none"/>
          <w:lang w:val="zh-CN"/>
        </w:rPr>
      </w:pPr>
    </w:p>
    <w:p>
      <w:pPr>
        <w:pStyle w:val="22"/>
        <w:rPr>
          <w:rFonts w:hint="eastAsia" w:ascii="仿宋" w:hAnsi="仿宋" w:eastAsia="仿宋" w:cs="仿宋"/>
          <w:color w:val="auto"/>
          <w:sz w:val="28"/>
          <w:szCs w:val="28"/>
          <w:highlight w:val="none"/>
          <w:lang w:val="zh-CN"/>
        </w:rPr>
      </w:pPr>
    </w:p>
    <w:p>
      <w:pPr>
        <w:rPr>
          <w:rFonts w:hint="eastAsia" w:ascii="仿宋" w:hAnsi="仿宋" w:eastAsia="仿宋" w:cs="仿宋"/>
          <w:color w:val="auto"/>
          <w:sz w:val="28"/>
          <w:szCs w:val="28"/>
          <w:highlight w:val="none"/>
          <w:lang w:val="zh-CN"/>
        </w:rPr>
      </w:pPr>
    </w:p>
    <w:p>
      <w:pPr>
        <w:pStyle w:val="22"/>
        <w:rPr>
          <w:rFonts w:hint="eastAsia" w:ascii="仿宋" w:hAnsi="仿宋" w:eastAsia="仿宋" w:cs="仿宋"/>
          <w:color w:val="auto"/>
          <w:sz w:val="28"/>
          <w:szCs w:val="28"/>
          <w:highlight w:val="none"/>
          <w:lang w:val="zh-CN"/>
        </w:rPr>
      </w:pPr>
    </w:p>
    <w:p>
      <w:pPr>
        <w:rPr>
          <w:rFonts w:hint="eastAsia" w:ascii="仿宋" w:hAnsi="仿宋" w:eastAsia="仿宋" w:cs="仿宋"/>
          <w:color w:val="auto"/>
          <w:sz w:val="28"/>
          <w:szCs w:val="28"/>
          <w:highlight w:val="none"/>
          <w:lang w:val="zh-CN"/>
        </w:rPr>
      </w:pPr>
    </w:p>
    <w:p>
      <w:pPr>
        <w:pStyle w:val="22"/>
        <w:rPr>
          <w:rFonts w:hint="eastAsia" w:ascii="仿宋" w:hAnsi="仿宋" w:eastAsia="仿宋" w:cs="仿宋"/>
          <w:color w:val="auto"/>
          <w:sz w:val="28"/>
          <w:szCs w:val="28"/>
          <w:highlight w:val="none"/>
          <w:lang w:val="zh-CN"/>
        </w:rPr>
      </w:pPr>
    </w:p>
    <w:p>
      <w:pPr>
        <w:rPr>
          <w:rFonts w:hint="eastAsia" w:ascii="仿宋" w:hAnsi="仿宋" w:eastAsia="仿宋" w:cs="仿宋"/>
          <w:color w:val="auto"/>
          <w:sz w:val="28"/>
          <w:szCs w:val="28"/>
          <w:highlight w:val="none"/>
          <w:lang w:val="zh-CN"/>
        </w:rPr>
      </w:pPr>
    </w:p>
    <w:p>
      <w:pPr>
        <w:pStyle w:val="22"/>
        <w:rPr>
          <w:rFonts w:hint="eastAsia" w:ascii="仿宋" w:hAnsi="仿宋" w:eastAsia="仿宋" w:cs="仿宋"/>
          <w:color w:val="auto"/>
          <w:sz w:val="28"/>
          <w:szCs w:val="28"/>
          <w:highlight w:val="none"/>
          <w:lang w:val="zh-CN"/>
        </w:rPr>
      </w:pPr>
    </w:p>
    <w:p>
      <w:pPr>
        <w:rPr>
          <w:rFonts w:hint="eastAsia" w:ascii="仿宋" w:hAnsi="仿宋" w:eastAsia="仿宋" w:cs="仿宋"/>
          <w:color w:val="auto"/>
          <w:sz w:val="28"/>
          <w:szCs w:val="28"/>
          <w:highlight w:val="none"/>
          <w:lang w:val="zh-CN"/>
        </w:rPr>
      </w:pPr>
    </w:p>
    <w:p>
      <w:pPr>
        <w:pStyle w:val="22"/>
        <w:rPr>
          <w:rFonts w:hint="eastAsia" w:ascii="仿宋" w:hAnsi="仿宋" w:eastAsia="仿宋" w:cs="仿宋"/>
          <w:color w:val="auto"/>
          <w:sz w:val="28"/>
          <w:szCs w:val="28"/>
          <w:highlight w:val="none"/>
          <w:lang w:val="zh-CN"/>
        </w:rPr>
      </w:pPr>
    </w:p>
    <w:p>
      <w:pPr>
        <w:rPr>
          <w:rFonts w:hint="eastAsia" w:ascii="仿宋" w:hAnsi="仿宋" w:eastAsia="仿宋" w:cs="仿宋"/>
          <w:color w:val="auto"/>
          <w:sz w:val="28"/>
          <w:szCs w:val="28"/>
          <w:highlight w:val="none"/>
          <w:lang w:val="zh-CN"/>
        </w:rPr>
      </w:pPr>
    </w:p>
    <w:p>
      <w:pPr>
        <w:pStyle w:val="22"/>
        <w:rPr>
          <w:rFonts w:hint="eastAsia" w:ascii="仿宋" w:hAnsi="仿宋" w:eastAsia="仿宋" w:cs="仿宋"/>
          <w:color w:val="auto"/>
          <w:sz w:val="28"/>
          <w:szCs w:val="28"/>
          <w:highlight w:val="none"/>
          <w:lang w:val="zh-CN"/>
        </w:rPr>
      </w:pPr>
    </w:p>
    <w:p>
      <w:pPr>
        <w:rPr>
          <w:rFonts w:hint="eastAsia" w:ascii="仿宋" w:hAnsi="仿宋" w:eastAsia="仿宋" w:cs="仿宋"/>
          <w:color w:val="auto"/>
          <w:sz w:val="28"/>
          <w:szCs w:val="28"/>
          <w:highlight w:val="none"/>
          <w:lang w:val="zh-CN"/>
        </w:rPr>
      </w:pPr>
    </w:p>
    <w:p>
      <w:pPr>
        <w:pStyle w:val="22"/>
        <w:rPr>
          <w:rFonts w:hint="eastAsia" w:ascii="仿宋" w:hAnsi="仿宋" w:eastAsia="仿宋" w:cs="仿宋"/>
          <w:color w:val="auto"/>
          <w:sz w:val="28"/>
          <w:szCs w:val="28"/>
          <w:highlight w:val="none"/>
          <w:lang w:val="zh-CN"/>
        </w:rPr>
      </w:pPr>
    </w:p>
    <w:p>
      <w:pPr>
        <w:rPr>
          <w:rFonts w:hint="eastAsia" w:ascii="仿宋" w:hAnsi="仿宋" w:eastAsia="仿宋" w:cs="仿宋"/>
          <w:color w:val="auto"/>
          <w:sz w:val="28"/>
          <w:szCs w:val="28"/>
          <w:highlight w:val="none"/>
          <w:lang w:val="zh-CN"/>
        </w:rPr>
      </w:pPr>
    </w:p>
    <w:p>
      <w:pPr>
        <w:pStyle w:val="22"/>
        <w:rPr>
          <w:rFonts w:hint="eastAsia" w:ascii="仿宋" w:hAnsi="仿宋" w:eastAsia="仿宋" w:cs="仿宋"/>
          <w:color w:val="auto"/>
          <w:sz w:val="28"/>
          <w:szCs w:val="28"/>
          <w:highlight w:val="none"/>
          <w:lang w:val="zh-CN"/>
        </w:rPr>
      </w:pPr>
    </w:p>
    <w:p>
      <w:pPr>
        <w:rPr>
          <w:rFonts w:hint="eastAsia" w:ascii="仿宋" w:hAnsi="仿宋" w:eastAsia="仿宋" w:cs="仿宋"/>
          <w:color w:val="auto"/>
          <w:sz w:val="28"/>
          <w:szCs w:val="28"/>
          <w:highlight w:val="none"/>
          <w:lang w:val="zh-CN"/>
        </w:rPr>
      </w:pPr>
    </w:p>
    <w:p>
      <w:pPr>
        <w:pStyle w:val="22"/>
        <w:rPr>
          <w:rFonts w:hint="eastAsia" w:ascii="仿宋" w:hAnsi="仿宋" w:eastAsia="仿宋" w:cs="仿宋"/>
          <w:color w:val="auto"/>
          <w:sz w:val="28"/>
          <w:szCs w:val="28"/>
          <w:highlight w:val="none"/>
          <w:lang w:val="zh-CN"/>
        </w:rPr>
      </w:pPr>
    </w:p>
    <w:p>
      <w:pPr>
        <w:rPr>
          <w:rFonts w:hint="eastAsia" w:ascii="仿宋" w:hAnsi="仿宋" w:eastAsia="仿宋" w:cs="仿宋"/>
          <w:color w:val="auto"/>
          <w:sz w:val="28"/>
          <w:szCs w:val="28"/>
          <w:highlight w:val="none"/>
          <w:lang w:val="zh-CN"/>
        </w:rPr>
      </w:pPr>
    </w:p>
    <w:p>
      <w:pPr>
        <w:pStyle w:val="22"/>
        <w:rPr>
          <w:rFonts w:hint="eastAsia" w:ascii="仿宋" w:hAnsi="仿宋" w:eastAsia="仿宋" w:cs="仿宋"/>
          <w:color w:val="auto"/>
          <w:sz w:val="28"/>
          <w:szCs w:val="28"/>
          <w:highlight w:val="none"/>
          <w:lang w:val="zh-CN"/>
        </w:rPr>
      </w:pPr>
    </w:p>
    <w:p>
      <w:pPr>
        <w:rPr>
          <w:rFonts w:hint="eastAsia"/>
          <w:lang w:val="zh-CN"/>
        </w:rPr>
      </w:pPr>
    </w:p>
    <w:p>
      <w:pPr>
        <w:rPr>
          <w:rFonts w:hint="eastAsia" w:ascii="仿宋" w:hAnsi="仿宋" w:eastAsia="仿宋" w:cs="仿宋"/>
          <w:color w:val="auto"/>
          <w:sz w:val="28"/>
          <w:szCs w:val="28"/>
          <w:highlight w:val="none"/>
          <w:lang w:val="zh-CN"/>
        </w:rPr>
      </w:pPr>
    </w:p>
    <w:p>
      <w:pPr>
        <w:pStyle w:val="22"/>
        <w:rPr>
          <w:rFonts w:hint="eastAsia" w:ascii="仿宋" w:hAnsi="仿宋" w:eastAsia="仿宋" w:cs="仿宋"/>
          <w:color w:val="auto"/>
          <w:sz w:val="28"/>
          <w:szCs w:val="28"/>
          <w:highlight w:val="none"/>
          <w:lang w:val="zh-CN"/>
        </w:rPr>
      </w:pPr>
    </w:p>
    <w:p>
      <w:pPr>
        <w:pStyle w:val="22"/>
        <w:rPr>
          <w:rFonts w:hint="eastAsia" w:ascii="仿宋" w:hAnsi="仿宋" w:eastAsia="仿宋" w:cs="仿宋"/>
          <w:color w:val="auto"/>
          <w:sz w:val="28"/>
          <w:szCs w:val="28"/>
          <w:highlight w:val="none"/>
          <w:lang w:val="zh-CN"/>
        </w:rPr>
      </w:pPr>
    </w:p>
    <w:p>
      <w:pPr>
        <w:rPr>
          <w:rFonts w:hint="eastAsia" w:ascii="仿宋" w:hAnsi="仿宋" w:eastAsia="仿宋" w:cs="仿宋"/>
          <w:color w:val="auto"/>
          <w:sz w:val="28"/>
          <w:szCs w:val="28"/>
          <w:highlight w:val="none"/>
          <w:lang w:val="zh-CN"/>
        </w:rPr>
      </w:pPr>
    </w:p>
    <w:p>
      <w:pPr>
        <w:pStyle w:val="22"/>
        <w:rPr>
          <w:rFonts w:hint="eastAsia" w:ascii="仿宋" w:hAnsi="仿宋" w:eastAsia="仿宋" w:cs="仿宋"/>
          <w:color w:val="auto"/>
          <w:sz w:val="28"/>
          <w:szCs w:val="28"/>
          <w:highlight w:val="none"/>
          <w:lang w:val="zh-CN"/>
        </w:rPr>
      </w:pPr>
    </w:p>
    <w:p>
      <w:pPr>
        <w:rPr>
          <w:rFonts w:hint="eastAsia"/>
          <w:lang w:val="zh-CN"/>
        </w:rPr>
      </w:pPr>
    </w:p>
    <w:p>
      <w:pPr>
        <w:jc w:val="center"/>
        <w:outlineLvl w:val="2"/>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一、供应商基本情况表</w:t>
      </w:r>
    </w:p>
    <w:p>
      <w:pPr>
        <w:jc w:val="center"/>
        <w:rPr>
          <w:rFonts w:ascii="宋体" w:hAnsi="宋体" w:cs="宋体"/>
          <w:b/>
          <w:sz w:val="32"/>
          <w:szCs w:val="32"/>
          <w:highlight w:val="none"/>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860"/>
        <w:gridCol w:w="2963"/>
        <w:gridCol w:w="17"/>
        <w:gridCol w:w="350"/>
        <w:gridCol w:w="1080"/>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499" w:type="dxa"/>
            <w:tcBorders>
              <w:top w:val="single" w:color="auto" w:sz="12" w:space="0"/>
              <w:lef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w:t>
            </w:r>
          </w:p>
        </w:tc>
        <w:tc>
          <w:tcPr>
            <w:tcW w:w="7325" w:type="dxa"/>
            <w:gridSpan w:val="6"/>
            <w:tcBorders>
              <w:top w:val="single" w:color="auto" w:sz="12" w:space="0"/>
              <w:righ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499" w:type="dxa"/>
            <w:tcBorders>
              <w:lef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840" w:type="dxa"/>
            <w:gridSpan w:val="3"/>
            <w:noWrap w:val="0"/>
            <w:vAlign w:val="center"/>
          </w:tcPr>
          <w:p>
            <w:pPr>
              <w:snapToGrid w:val="0"/>
              <w:spacing w:before="120" w:beforeLines="50"/>
              <w:jc w:val="center"/>
              <w:rPr>
                <w:rFonts w:hint="eastAsia" w:ascii="仿宋" w:hAnsi="仿宋" w:eastAsia="仿宋" w:cs="仿宋"/>
                <w:color w:val="auto"/>
                <w:sz w:val="24"/>
                <w:highlight w:val="none"/>
              </w:rPr>
            </w:pPr>
          </w:p>
        </w:tc>
        <w:tc>
          <w:tcPr>
            <w:tcW w:w="1430" w:type="dxa"/>
            <w:gridSpan w:val="2"/>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tc>
        <w:tc>
          <w:tcPr>
            <w:tcW w:w="2055" w:type="dxa"/>
            <w:tcBorders>
              <w:righ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99" w:type="dxa"/>
            <w:vMerge w:val="restart"/>
            <w:tcBorders>
              <w:lef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联系方式</w:t>
            </w:r>
          </w:p>
        </w:tc>
        <w:tc>
          <w:tcPr>
            <w:tcW w:w="860" w:type="dxa"/>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p>
        </w:tc>
        <w:tc>
          <w:tcPr>
            <w:tcW w:w="2980" w:type="dxa"/>
            <w:gridSpan w:val="2"/>
            <w:noWrap w:val="0"/>
            <w:vAlign w:val="center"/>
          </w:tcPr>
          <w:p>
            <w:pPr>
              <w:snapToGrid w:val="0"/>
              <w:spacing w:before="120" w:beforeLines="50"/>
              <w:jc w:val="center"/>
              <w:rPr>
                <w:rFonts w:hint="eastAsia" w:ascii="仿宋" w:hAnsi="仿宋" w:eastAsia="仿宋" w:cs="仿宋"/>
                <w:color w:val="auto"/>
                <w:sz w:val="24"/>
                <w:highlight w:val="none"/>
              </w:rPr>
            </w:pPr>
          </w:p>
        </w:tc>
        <w:tc>
          <w:tcPr>
            <w:tcW w:w="1430" w:type="dxa"/>
            <w:gridSpan w:val="2"/>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2055" w:type="dxa"/>
            <w:tcBorders>
              <w:righ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499" w:type="dxa"/>
            <w:vMerge w:val="continue"/>
            <w:tcBorders>
              <w:lef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p>
        </w:tc>
        <w:tc>
          <w:tcPr>
            <w:tcW w:w="860" w:type="dxa"/>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980" w:type="dxa"/>
            <w:gridSpan w:val="2"/>
            <w:noWrap w:val="0"/>
            <w:vAlign w:val="center"/>
          </w:tcPr>
          <w:p>
            <w:pPr>
              <w:snapToGrid w:val="0"/>
              <w:spacing w:before="120" w:beforeLines="50"/>
              <w:jc w:val="center"/>
              <w:rPr>
                <w:rFonts w:hint="eastAsia" w:ascii="仿宋" w:hAnsi="仿宋" w:eastAsia="仿宋" w:cs="仿宋"/>
                <w:color w:val="auto"/>
                <w:sz w:val="24"/>
                <w:highlight w:val="none"/>
              </w:rPr>
            </w:pPr>
          </w:p>
        </w:tc>
        <w:tc>
          <w:tcPr>
            <w:tcW w:w="1430" w:type="dxa"/>
            <w:gridSpan w:val="2"/>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网址</w:t>
            </w:r>
          </w:p>
        </w:tc>
        <w:tc>
          <w:tcPr>
            <w:tcW w:w="2055" w:type="dxa"/>
            <w:tcBorders>
              <w:righ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499" w:type="dxa"/>
            <w:tcBorders>
              <w:lef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组织结构</w:t>
            </w:r>
          </w:p>
        </w:tc>
        <w:tc>
          <w:tcPr>
            <w:tcW w:w="7325" w:type="dxa"/>
            <w:gridSpan w:val="6"/>
            <w:tcBorders>
              <w:righ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99" w:type="dxa"/>
            <w:tcBorders>
              <w:lef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860" w:type="dxa"/>
            <w:tcBorders>
              <w:right w:val="single" w:color="auto" w:sz="2" w:space="0"/>
            </w:tcBorders>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2963" w:type="dxa"/>
            <w:tcBorders>
              <w:left w:val="single" w:color="auto" w:sz="2" w:space="0"/>
            </w:tcBorders>
            <w:noWrap w:val="0"/>
            <w:vAlign w:val="center"/>
          </w:tcPr>
          <w:p>
            <w:pPr>
              <w:snapToGrid w:val="0"/>
              <w:spacing w:before="120" w:beforeLines="50"/>
              <w:jc w:val="center"/>
              <w:rPr>
                <w:rFonts w:hint="eastAsia" w:ascii="仿宋" w:hAnsi="仿宋" w:eastAsia="仿宋" w:cs="仿宋"/>
                <w:color w:val="auto"/>
                <w:sz w:val="24"/>
                <w:highlight w:val="none"/>
              </w:rPr>
            </w:pPr>
          </w:p>
        </w:tc>
        <w:tc>
          <w:tcPr>
            <w:tcW w:w="1447" w:type="dxa"/>
            <w:gridSpan w:val="3"/>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技术职称</w:t>
            </w:r>
          </w:p>
        </w:tc>
        <w:tc>
          <w:tcPr>
            <w:tcW w:w="2055" w:type="dxa"/>
            <w:tcBorders>
              <w:righ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499" w:type="dxa"/>
            <w:tcBorders>
              <w:lef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技术负责人</w:t>
            </w:r>
          </w:p>
        </w:tc>
        <w:tc>
          <w:tcPr>
            <w:tcW w:w="860" w:type="dxa"/>
            <w:tcBorders>
              <w:right w:val="single" w:color="auto" w:sz="2" w:space="0"/>
            </w:tcBorders>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2963" w:type="dxa"/>
            <w:tcBorders>
              <w:left w:val="single" w:color="auto" w:sz="2" w:space="0"/>
              <w:right w:val="single" w:color="auto" w:sz="2" w:space="0"/>
            </w:tcBorders>
            <w:noWrap w:val="0"/>
            <w:vAlign w:val="center"/>
          </w:tcPr>
          <w:p>
            <w:pPr>
              <w:snapToGrid w:val="0"/>
              <w:spacing w:before="120" w:beforeLines="50"/>
              <w:jc w:val="center"/>
              <w:rPr>
                <w:rFonts w:hint="eastAsia" w:ascii="仿宋" w:hAnsi="仿宋" w:eastAsia="仿宋" w:cs="仿宋"/>
                <w:color w:val="auto"/>
                <w:sz w:val="24"/>
                <w:highlight w:val="none"/>
              </w:rPr>
            </w:pPr>
          </w:p>
        </w:tc>
        <w:tc>
          <w:tcPr>
            <w:tcW w:w="1447" w:type="dxa"/>
            <w:gridSpan w:val="3"/>
            <w:tcBorders>
              <w:left w:val="single" w:color="auto" w:sz="2" w:space="0"/>
              <w:right w:val="single" w:color="auto" w:sz="2" w:space="0"/>
            </w:tcBorders>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技术职称</w:t>
            </w:r>
          </w:p>
        </w:tc>
        <w:tc>
          <w:tcPr>
            <w:tcW w:w="2055" w:type="dxa"/>
            <w:tcBorders>
              <w:left w:val="single" w:color="auto" w:sz="2" w:space="0"/>
              <w:righ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499" w:type="dxa"/>
            <w:tcBorders>
              <w:lef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成立时间</w:t>
            </w:r>
          </w:p>
        </w:tc>
        <w:tc>
          <w:tcPr>
            <w:tcW w:w="3823" w:type="dxa"/>
            <w:gridSpan w:val="2"/>
            <w:tcBorders>
              <w:right w:val="single" w:color="auto" w:sz="2" w:space="0"/>
            </w:tcBorders>
            <w:noWrap w:val="0"/>
            <w:vAlign w:val="center"/>
          </w:tcPr>
          <w:p>
            <w:pPr>
              <w:snapToGrid w:val="0"/>
              <w:spacing w:before="120" w:beforeLines="50"/>
              <w:jc w:val="center"/>
              <w:rPr>
                <w:rFonts w:hint="eastAsia" w:ascii="仿宋" w:hAnsi="仿宋" w:eastAsia="仿宋" w:cs="仿宋"/>
                <w:color w:val="auto"/>
                <w:sz w:val="24"/>
                <w:highlight w:val="none"/>
              </w:rPr>
            </w:pPr>
          </w:p>
        </w:tc>
        <w:tc>
          <w:tcPr>
            <w:tcW w:w="1447" w:type="dxa"/>
            <w:gridSpan w:val="3"/>
            <w:tcBorders>
              <w:left w:val="single" w:color="auto" w:sz="2" w:space="0"/>
              <w:right w:val="single" w:color="auto" w:sz="2" w:space="0"/>
            </w:tcBorders>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员工总人数</w:t>
            </w:r>
          </w:p>
        </w:tc>
        <w:tc>
          <w:tcPr>
            <w:tcW w:w="2055" w:type="dxa"/>
            <w:tcBorders>
              <w:left w:val="single" w:color="auto" w:sz="2" w:space="0"/>
              <w:righ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1499" w:type="dxa"/>
            <w:tcBorders>
              <w:lef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企业资质等级</w:t>
            </w:r>
          </w:p>
        </w:tc>
        <w:tc>
          <w:tcPr>
            <w:tcW w:w="3823" w:type="dxa"/>
            <w:gridSpan w:val="2"/>
            <w:noWrap w:val="0"/>
            <w:vAlign w:val="center"/>
          </w:tcPr>
          <w:p>
            <w:pPr>
              <w:snapToGrid w:val="0"/>
              <w:spacing w:before="120" w:beforeLines="50"/>
              <w:jc w:val="center"/>
              <w:rPr>
                <w:rFonts w:hint="eastAsia" w:ascii="仿宋" w:hAnsi="仿宋" w:eastAsia="仿宋" w:cs="仿宋"/>
                <w:color w:val="auto"/>
                <w:sz w:val="24"/>
                <w:highlight w:val="none"/>
              </w:rPr>
            </w:pPr>
          </w:p>
        </w:tc>
        <w:tc>
          <w:tcPr>
            <w:tcW w:w="367" w:type="dxa"/>
            <w:gridSpan w:val="2"/>
            <w:vMerge w:val="restart"/>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其中</w:t>
            </w:r>
          </w:p>
        </w:tc>
        <w:tc>
          <w:tcPr>
            <w:tcW w:w="1080" w:type="dxa"/>
            <w:tcBorders>
              <w:right w:val="single" w:color="auto" w:sz="4" w:space="0"/>
            </w:tcBorders>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注册造价工程师</w:t>
            </w:r>
          </w:p>
        </w:tc>
        <w:tc>
          <w:tcPr>
            <w:tcW w:w="2055" w:type="dxa"/>
            <w:tcBorders>
              <w:left w:val="single" w:color="auto" w:sz="4" w:space="0"/>
              <w:righ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499" w:type="dxa"/>
            <w:tcBorders>
              <w:lef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营业执照号</w:t>
            </w:r>
          </w:p>
        </w:tc>
        <w:tc>
          <w:tcPr>
            <w:tcW w:w="3823" w:type="dxa"/>
            <w:gridSpan w:val="2"/>
            <w:noWrap w:val="0"/>
            <w:vAlign w:val="center"/>
          </w:tcPr>
          <w:p>
            <w:pPr>
              <w:snapToGrid w:val="0"/>
              <w:spacing w:before="120" w:beforeLines="50"/>
              <w:jc w:val="center"/>
              <w:rPr>
                <w:rFonts w:hint="eastAsia" w:ascii="仿宋" w:hAnsi="仿宋" w:eastAsia="仿宋" w:cs="仿宋"/>
                <w:color w:val="auto"/>
                <w:sz w:val="24"/>
                <w:highlight w:val="none"/>
              </w:rPr>
            </w:pPr>
          </w:p>
        </w:tc>
        <w:tc>
          <w:tcPr>
            <w:tcW w:w="367" w:type="dxa"/>
            <w:gridSpan w:val="2"/>
            <w:vMerge w:val="continue"/>
            <w:noWrap w:val="0"/>
            <w:vAlign w:val="center"/>
          </w:tcPr>
          <w:p>
            <w:pPr>
              <w:snapToGrid w:val="0"/>
              <w:spacing w:before="120" w:beforeLines="50"/>
              <w:jc w:val="center"/>
              <w:rPr>
                <w:rFonts w:hint="eastAsia" w:ascii="仿宋" w:hAnsi="仿宋" w:eastAsia="仿宋" w:cs="仿宋"/>
                <w:color w:val="auto"/>
                <w:sz w:val="24"/>
                <w:highlight w:val="none"/>
              </w:rPr>
            </w:pPr>
          </w:p>
        </w:tc>
        <w:tc>
          <w:tcPr>
            <w:tcW w:w="1080" w:type="dxa"/>
            <w:tcBorders>
              <w:right w:val="single" w:color="auto" w:sz="4" w:space="0"/>
            </w:tcBorders>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高级职称人员</w:t>
            </w:r>
          </w:p>
        </w:tc>
        <w:tc>
          <w:tcPr>
            <w:tcW w:w="2055" w:type="dxa"/>
            <w:tcBorders>
              <w:left w:val="single" w:color="auto" w:sz="4" w:space="0"/>
              <w:righ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499" w:type="dxa"/>
            <w:tcBorders>
              <w:lef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注册资金</w:t>
            </w:r>
          </w:p>
        </w:tc>
        <w:tc>
          <w:tcPr>
            <w:tcW w:w="3823" w:type="dxa"/>
            <w:gridSpan w:val="2"/>
            <w:noWrap w:val="0"/>
            <w:vAlign w:val="center"/>
          </w:tcPr>
          <w:p>
            <w:pPr>
              <w:snapToGrid w:val="0"/>
              <w:spacing w:before="120" w:beforeLines="50"/>
              <w:jc w:val="center"/>
              <w:rPr>
                <w:rFonts w:hint="eastAsia" w:ascii="仿宋" w:hAnsi="仿宋" w:eastAsia="仿宋" w:cs="仿宋"/>
                <w:color w:val="auto"/>
                <w:sz w:val="24"/>
                <w:highlight w:val="none"/>
              </w:rPr>
            </w:pPr>
          </w:p>
        </w:tc>
        <w:tc>
          <w:tcPr>
            <w:tcW w:w="367" w:type="dxa"/>
            <w:gridSpan w:val="2"/>
            <w:vMerge w:val="continue"/>
            <w:noWrap w:val="0"/>
            <w:vAlign w:val="center"/>
          </w:tcPr>
          <w:p>
            <w:pPr>
              <w:snapToGrid w:val="0"/>
              <w:spacing w:before="120" w:beforeLines="50"/>
              <w:jc w:val="center"/>
              <w:rPr>
                <w:rFonts w:hint="eastAsia" w:ascii="仿宋" w:hAnsi="仿宋" w:eastAsia="仿宋" w:cs="仿宋"/>
                <w:color w:val="auto"/>
                <w:sz w:val="24"/>
                <w:highlight w:val="none"/>
              </w:rPr>
            </w:pPr>
          </w:p>
        </w:tc>
        <w:tc>
          <w:tcPr>
            <w:tcW w:w="1080" w:type="dxa"/>
            <w:tcBorders>
              <w:right w:val="single" w:color="auto" w:sz="4" w:space="0"/>
            </w:tcBorders>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中级职称人员</w:t>
            </w:r>
          </w:p>
        </w:tc>
        <w:tc>
          <w:tcPr>
            <w:tcW w:w="2055" w:type="dxa"/>
            <w:tcBorders>
              <w:left w:val="single" w:color="auto" w:sz="4" w:space="0"/>
              <w:righ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499" w:type="dxa"/>
            <w:tcBorders>
              <w:lef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tc>
        <w:tc>
          <w:tcPr>
            <w:tcW w:w="3823" w:type="dxa"/>
            <w:gridSpan w:val="2"/>
            <w:noWrap w:val="0"/>
            <w:vAlign w:val="center"/>
          </w:tcPr>
          <w:p>
            <w:pPr>
              <w:snapToGrid w:val="0"/>
              <w:spacing w:before="120" w:beforeLines="50"/>
              <w:jc w:val="center"/>
              <w:rPr>
                <w:rFonts w:hint="eastAsia" w:ascii="仿宋" w:hAnsi="仿宋" w:eastAsia="仿宋" w:cs="仿宋"/>
                <w:color w:val="auto"/>
                <w:sz w:val="24"/>
                <w:highlight w:val="none"/>
              </w:rPr>
            </w:pPr>
          </w:p>
        </w:tc>
        <w:tc>
          <w:tcPr>
            <w:tcW w:w="367" w:type="dxa"/>
            <w:gridSpan w:val="2"/>
            <w:vMerge w:val="continue"/>
            <w:noWrap w:val="0"/>
            <w:vAlign w:val="center"/>
          </w:tcPr>
          <w:p>
            <w:pPr>
              <w:snapToGrid w:val="0"/>
              <w:spacing w:before="120" w:beforeLines="50"/>
              <w:jc w:val="center"/>
              <w:rPr>
                <w:rFonts w:hint="eastAsia" w:ascii="仿宋" w:hAnsi="仿宋" w:eastAsia="仿宋" w:cs="仿宋"/>
                <w:color w:val="auto"/>
                <w:sz w:val="24"/>
                <w:highlight w:val="none"/>
              </w:rPr>
            </w:pPr>
          </w:p>
        </w:tc>
        <w:tc>
          <w:tcPr>
            <w:tcW w:w="1080" w:type="dxa"/>
            <w:tcBorders>
              <w:right w:val="single" w:color="auto" w:sz="4" w:space="0"/>
            </w:tcBorders>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其他人员</w:t>
            </w:r>
          </w:p>
        </w:tc>
        <w:tc>
          <w:tcPr>
            <w:tcW w:w="2055" w:type="dxa"/>
            <w:tcBorders>
              <w:left w:val="single" w:color="auto" w:sz="4" w:space="0"/>
              <w:righ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499" w:type="dxa"/>
            <w:tcBorders>
              <w:lef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账号</w:t>
            </w:r>
          </w:p>
        </w:tc>
        <w:tc>
          <w:tcPr>
            <w:tcW w:w="3823" w:type="dxa"/>
            <w:gridSpan w:val="2"/>
            <w:noWrap w:val="0"/>
            <w:vAlign w:val="center"/>
          </w:tcPr>
          <w:p>
            <w:pPr>
              <w:snapToGrid w:val="0"/>
              <w:spacing w:before="120" w:beforeLines="50"/>
              <w:jc w:val="center"/>
              <w:rPr>
                <w:rFonts w:hint="eastAsia" w:ascii="仿宋" w:hAnsi="仿宋" w:eastAsia="仿宋" w:cs="仿宋"/>
                <w:color w:val="auto"/>
                <w:sz w:val="24"/>
                <w:highlight w:val="none"/>
              </w:rPr>
            </w:pPr>
          </w:p>
        </w:tc>
        <w:tc>
          <w:tcPr>
            <w:tcW w:w="367" w:type="dxa"/>
            <w:gridSpan w:val="2"/>
            <w:vMerge w:val="continue"/>
            <w:noWrap w:val="0"/>
            <w:vAlign w:val="center"/>
          </w:tcPr>
          <w:p>
            <w:pPr>
              <w:snapToGrid w:val="0"/>
              <w:spacing w:before="120" w:beforeLines="50"/>
              <w:jc w:val="center"/>
              <w:rPr>
                <w:rFonts w:hint="eastAsia" w:ascii="仿宋" w:hAnsi="仿宋" w:eastAsia="仿宋" w:cs="仿宋"/>
                <w:color w:val="auto"/>
                <w:sz w:val="24"/>
                <w:highlight w:val="none"/>
              </w:rPr>
            </w:pPr>
          </w:p>
        </w:tc>
        <w:tc>
          <w:tcPr>
            <w:tcW w:w="1080" w:type="dxa"/>
            <w:tcBorders>
              <w:right w:val="single" w:color="auto" w:sz="4" w:space="0"/>
            </w:tcBorders>
            <w:noWrap w:val="0"/>
            <w:vAlign w:val="center"/>
          </w:tcPr>
          <w:p>
            <w:pPr>
              <w:snapToGrid w:val="0"/>
              <w:spacing w:before="120" w:beforeLines="50"/>
              <w:jc w:val="center"/>
              <w:rPr>
                <w:rFonts w:hint="eastAsia" w:ascii="仿宋" w:hAnsi="仿宋" w:eastAsia="仿宋" w:cs="仿宋"/>
                <w:color w:val="auto"/>
                <w:sz w:val="24"/>
                <w:highlight w:val="none"/>
              </w:rPr>
            </w:pPr>
          </w:p>
        </w:tc>
        <w:tc>
          <w:tcPr>
            <w:tcW w:w="2055" w:type="dxa"/>
            <w:tcBorders>
              <w:left w:val="single" w:color="auto" w:sz="4" w:space="0"/>
              <w:righ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2" w:hRule="atLeast"/>
          <w:jc w:val="center"/>
        </w:trPr>
        <w:tc>
          <w:tcPr>
            <w:tcW w:w="1499" w:type="dxa"/>
            <w:tcBorders>
              <w:lef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7325" w:type="dxa"/>
            <w:gridSpan w:val="6"/>
            <w:tcBorders>
              <w:right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p>
          <w:p>
            <w:pPr>
              <w:snapToGrid w:val="0"/>
              <w:spacing w:before="120" w:beforeLines="5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1499" w:type="dxa"/>
            <w:tcBorders>
              <w:left w:val="single" w:color="auto" w:sz="12" w:space="0"/>
              <w:bottom w:val="single" w:color="auto" w:sz="12" w:space="0"/>
            </w:tcBorders>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c>
          <w:tcPr>
            <w:tcW w:w="7325" w:type="dxa"/>
            <w:gridSpan w:val="6"/>
            <w:tcBorders>
              <w:bottom w:val="single" w:color="auto" w:sz="12" w:space="0"/>
              <w:right w:val="single" w:color="auto" w:sz="12" w:space="0"/>
            </w:tcBorders>
            <w:noWrap w:val="0"/>
            <w:vAlign w:val="top"/>
          </w:tcPr>
          <w:p>
            <w:pPr>
              <w:snapToGrid w:val="0"/>
              <w:spacing w:before="120" w:beforeLines="50"/>
              <w:jc w:val="center"/>
              <w:rPr>
                <w:rFonts w:hint="eastAsia" w:ascii="仿宋" w:hAnsi="仿宋" w:eastAsia="仿宋" w:cs="仿宋"/>
                <w:color w:val="auto"/>
                <w:sz w:val="24"/>
                <w:highlight w:val="none"/>
              </w:rPr>
            </w:pPr>
          </w:p>
        </w:tc>
      </w:tr>
    </w:tbl>
    <w:p>
      <w:pPr>
        <w:snapToGrid w:val="0"/>
        <w:spacing w:before="120" w:beforeLines="50"/>
        <w:ind w:firstLine="240" w:firstLineChars="1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附</w:t>
      </w:r>
      <w:r>
        <w:rPr>
          <w:rFonts w:hint="eastAsia" w:ascii="仿宋" w:hAnsi="仿宋" w:eastAsia="仿宋" w:cs="仿宋"/>
          <w:color w:val="auto"/>
          <w:sz w:val="24"/>
          <w:highlight w:val="none"/>
          <w:lang w:eastAsia="zh-CN"/>
        </w:rPr>
        <w:t>评审细则要求资料的扫描件或复印件</w:t>
      </w:r>
      <w:r>
        <w:rPr>
          <w:rFonts w:hint="eastAsia" w:ascii="仿宋" w:hAnsi="仿宋" w:eastAsia="仿宋" w:cs="仿宋"/>
          <w:color w:val="auto"/>
          <w:sz w:val="24"/>
          <w:highlight w:val="none"/>
        </w:rPr>
        <w:t>。</w:t>
      </w:r>
    </w:p>
    <w:p>
      <w:pPr>
        <w:jc w:val="center"/>
        <w:rPr>
          <w:rFonts w:hint="eastAsia" w:ascii="仿宋" w:hAnsi="仿宋" w:eastAsia="仿宋" w:cs="仿宋"/>
          <w:b/>
          <w:color w:val="auto"/>
          <w:sz w:val="28"/>
          <w:szCs w:val="28"/>
          <w:highlight w:val="none"/>
        </w:rPr>
      </w:pPr>
      <w:r>
        <w:rPr>
          <w:rFonts w:hint="eastAsia" w:ascii="宋体" w:hAnsi="宋体" w:cs="宋体"/>
          <w:b/>
          <w:sz w:val="32"/>
          <w:szCs w:val="32"/>
          <w:highlight w:val="none"/>
        </w:rPr>
        <w:br w:type="page"/>
      </w:r>
      <w:r>
        <w:rPr>
          <w:rFonts w:hint="eastAsia" w:ascii="仿宋" w:hAnsi="仿宋" w:eastAsia="仿宋" w:cs="仿宋"/>
          <w:b/>
          <w:color w:val="auto"/>
          <w:sz w:val="28"/>
          <w:szCs w:val="28"/>
          <w:highlight w:val="none"/>
        </w:rPr>
        <w:t>二、拟派项目负责人简历表</w:t>
      </w:r>
    </w:p>
    <w:p>
      <w:pPr>
        <w:jc w:val="center"/>
        <w:rPr>
          <w:rFonts w:ascii="宋体" w:hAnsi="宋体" w:cs="宋体"/>
          <w:b/>
          <w:sz w:val="32"/>
          <w:szCs w:val="32"/>
          <w:highlight w:val="none"/>
        </w:rPr>
      </w:pPr>
    </w:p>
    <w:tbl>
      <w:tblPr>
        <w:tblStyle w:val="50"/>
        <w:tblW w:w="0" w:type="auto"/>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217"/>
        <w:gridCol w:w="735"/>
        <w:gridCol w:w="724"/>
        <w:gridCol w:w="1029"/>
        <w:gridCol w:w="395"/>
        <w:gridCol w:w="1112"/>
        <w:gridCol w:w="1036"/>
        <w:gridCol w:w="697"/>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6" w:type="dxa"/>
            <w:noWrap w:val="0"/>
            <w:vAlign w:val="center"/>
          </w:tcPr>
          <w:p>
            <w:pPr>
              <w:pStyle w:val="296"/>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姓名</w:t>
            </w:r>
          </w:p>
        </w:tc>
        <w:tc>
          <w:tcPr>
            <w:tcW w:w="1676" w:type="dxa"/>
            <w:gridSpan w:val="3"/>
            <w:noWrap w:val="0"/>
            <w:vAlign w:val="center"/>
          </w:tcPr>
          <w:p>
            <w:pPr>
              <w:pStyle w:val="296"/>
              <w:jc w:val="center"/>
              <w:rPr>
                <w:rFonts w:hint="eastAsia" w:ascii="仿宋" w:hAnsi="仿宋" w:eastAsia="仿宋" w:cs="仿宋"/>
                <w:color w:val="auto"/>
                <w:kern w:val="2"/>
                <w:sz w:val="24"/>
                <w:szCs w:val="24"/>
                <w:highlight w:val="none"/>
                <w:lang w:val="en-US" w:eastAsia="zh-CN" w:bidi="ar-SA"/>
              </w:rPr>
            </w:pPr>
          </w:p>
        </w:tc>
        <w:tc>
          <w:tcPr>
            <w:tcW w:w="1029" w:type="dxa"/>
            <w:noWrap w:val="0"/>
            <w:vAlign w:val="center"/>
          </w:tcPr>
          <w:p>
            <w:pPr>
              <w:pStyle w:val="296"/>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年龄</w:t>
            </w:r>
          </w:p>
        </w:tc>
        <w:tc>
          <w:tcPr>
            <w:tcW w:w="1507" w:type="dxa"/>
            <w:gridSpan w:val="2"/>
            <w:noWrap w:val="0"/>
            <w:vAlign w:val="center"/>
          </w:tcPr>
          <w:p>
            <w:pPr>
              <w:pStyle w:val="296"/>
              <w:jc w:val="center"/>
              <w:rPr>
                <w:rFonts w:hint="eastAsia" w:ascii="仿宋" w:hAnsi="仿宋" w:eastAsia="仿宋" w:cs="仿宋"/>
                <w:color w:val="auto"/>
                <w:kern w:val="2"/>
                <w:sz w:val="24"/>
                <w:szCs w:val="24"/>
                <w:highlight w:val="none"/>
                <w:lang w:val="en-US" w:eastAsia="zh-CN" w:bidi="ar-SA"/>
              </w:rPr>
            </w:pPr>
          </w:p>
        </w:tc>
        <w:tc>
          <w:tcPr>
            <w:tcW w:w="1733" w:type="dxa"/>
            <w:gridSpan w:val="2"/>
            <w:noWrap w:val="0"/>
            <w:vAlign w:val="center"/>
          </w:tcPr>
          <w:p>
            <w:pPr>
              <w:pStyle w:val="296"/>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学历</w:t>
            </w:r>
          </w:p>
        </w:tc>
        <w:tc>
          <w:tcPr>
            <w:tcW w:w="1453" w:type="dxa"/>
            <w:noWrap w:val="0"/>
            <w:vAlign w:val="center"/>
          </w:tcPr>
          <w:p>
            <w:pPr>
              <w:pStyle w:val="296"/>
              <w:jc w:val="center"/>
              <w:rPr>
                <w:rFonts w:hint="eastAsia" w:ascii="仿宋" w:hAnsi="仿宋" w:eastAsia="仿宋" w:cs="仿宋"/>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6" w:type="dxa"/>
            <w:noWrap w:val="0"/>
            <w:vAlign w:val="center"/>
          </w:tcPr>
          <w:p>
            <w:pPr>
              <w:pStyle w:val="296"/>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职称</w:t>
            </w:r>
          </w:p>
        </w:tc>
        <w:tc>
          <w:tcPr>
            <w:tcW w:w="1676" w:type="dxa"/>
            <w:gridSpan w:val="3"/>
            <w:noWrap w:val="0"/>
            <w:vAlign w:val="center"/>
          </w:tcPr>
          <w:p>
            <w:pPr>
              <w:pStyle w:val="296"/>
              <w:jc w:val="center"/>
              <w:rPr>
                <w:rFonts w:hint="eastAsia" w:ascii="仿宋" w:hAnsi="仿宋" w:eastAsia="仿宋" w:cs="仿宋"/>
                <w:color w:val="auto"/>
                <w:kern w:val="2"/>
                <w:sz w:val="24"/>
                <w:szCs w:val="24"/>
                <w:highlight w:val="none"/>
                <w:lang w:val="en-US" w:eastAsia="zh-CN" w:bidi="ar-SA"/>
              </w:rPr>
            </w:pPr>
          </w:p>
        </w:tc>
        <w:tc>
          <w:tcPr>
            <w:tcW w:w="1029" w:type="dxa"/>
            <w:noWrap w:val="0"/>
            <w:vAlign w:val="center"/>
          </w:tcPr>
          <w:p>
            <w:pPr>
              <w:pStyle w:val="296"/>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专业</w:t>
            </w:r>
          </w:p>
        </w:tc>
        <w:tc>
          <w:tcPr>
            <w:tcW w:w="1507" w:type="dxa"/>
            <w:gridSpan w:val="2"/>
            <w:noWrap w:val="0"/>
            <w:vAlign w:val="center"/>
          </w:tcPr>
          <w:p>
            <w:pPr>
              <w:pStyle w:val="296"/>
              <w:jc w:val="center"/>
              <w:rPr>
                <w:rFonts w:hint="eastAsia" w:ascii="仿宋" w:hAnsi="仿宋" w:eastAsia="仿宋" w:cs="仿宋"/>
                <w:color w:val="auto"/>
                <w:kern w:val="2"/>
                <w:sz w:val="24"/>
                <w:szCs w:val="24"/>
                <w:highlight w:val="none"/>
                <w:lang w:val="en-US" w:eastAsia="zh-CN" w:bidi="ar-SA"/>
              </w:rPr>
            </w:pPr>
          </w:p>
        </w:tc>
        <w:tc>
          <w:tcPr>
            <w:tcW w:w="1733" w:type="dxa"/>
            <w:gridSpan w:val="2"/>
            <w:noWrap w:val="0"/>
            <w:vAlign w:val="center"/>
          </w:tcPr>
          <w:p>
            <w:pPr>
              <w:pStyle w:val="296"/>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拟在本项目任职</w:t>
            </w:r>
          </w:p>
        </w:tc>
        <w:tc>
          <w:tcPr>
            <w:tcW w:w="1453" w:type="dxa"/>
            <w:noWrap w:val="0"/>
            <w:vAlign w:val="center"/>
          </w:tcPr>
          <w:p>
            <w:pPr>
              <w:pStyle w:val="296"/>
              <w:jc w:val="center"/>
              <w:rPr>
                <w:rFonts w:hint="eastAsia" w:ascii="仿宋" w:hAnsi="仿宋" w:eastAsia="仿宋" w:cs="仿宋"/>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48" w:type="dxa"/>
            <w:gridSpan w:val="3"/>
            <w:noWrap w:val="0"/>
            <w:vAlign w:val="center"/>
          </w:tcPr>
          <w:p>
            <w:pPr>
              <w:snapToGrid w:val="0"/>
              <w:spacing w:before="120" w:beforeLines="5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执业或职业资格证书名称</w:t>
            </w:r>
          </w:p>
        </w:tc>
        <w:tc>
          <w:tcPr>
            <w:tcW w:w="2148" w:type="dxa"/>
            <w:gridSpan w:val="3"/>
            <w:noWrap w:val="0"/>
            <w:vAlign w:val="center"/>
          </w:tcPr>
          <w:p>
            <w:pPr>
              <w:snapToGrid w:val="0"/>
              <w:spacing w:before="120" w:beforeLines="50"/>
              <w:jc w:val="center"/>
              <w:rPr>
                <w:rFonts w:hint="eastAsia" w:ascii="仿宋" w:hAnsi="仿宋" w:eastAsia="仿宋" w:cs="仿宋"/>
                <w:color w:val="auto"/>
                <w:kern w:val="2"/>
                <w:sz w:val="24"/>
                <w:szCs w:val="24"/>
                <w:highlight w:val="none"/>
                <w:lang w:val="en-US" w:eastAsia="zh-CN" w:bidi="ar-SA"/>
              </w:rPr>
            </w:pPr>
          </w:p>
        </w:tc>
        <w:tc>
          <w:tcPr>
            <w:tcW w:w="2148" w:type="dxa"/>
            <w:gridSpan w:val="2"/>
            <w:noWrap w:val="0"/>
            <w:vAlign w:val="center"/>
          </w:tcPr>
          <w:p>
            <w:pPr>
              <w:snapToGrid w:val="0"/>
              <w:spacing w:before="120" w:beforeLines="5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证书编号</w:t>
            </w:r>
          </w:p>
        </w:tc>
        <w:tc>
          <w:tcPr>
            <w:tcW w:w="2150" w:type="dxa"/>
            <w:gridSpan w:val="2"/>
            <w:noWrap w:val="0"/>
            <w:vAlign w:val="center"/>
          </w:tcPr>
          <w:p>
            <w:pPr>
              <w:snapToGrid w:val="0"/>
              <w:spacing w:before="120" w:beforeLines="50"/>
              <w:jc w:val="center"/>
              <w:rPr>
                <w:rFonts w:hint="eastAsia" w:ascii="仿宋" w:hAnsi="仿宋" w:eastAsia="仿宋" w:cs="仿宋"/>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6" w:type="dxa"/>
            <w:noWrap w:val="0"/>
            <w:vAlign w:val="center"/>
          </w:tcPr>
          <w:p>
            <w:pPr>
              <w:snapToGrid w:val="0"/>
              <w:spacing w:before="120" w:beforeLines="5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毕业学校</w:t>
            </w:r>
          </w:p>
        </w:tc>
        <w:tc>
          <w:tcPr>
            <w:tcW w:w="7398" w:type="dxa"/>
            <w:gridSpan w:val="9"/>
            <w:noWrap w:val="0"/>
            <w:vAlign w:val="center"/>
          </w:tcPr>
          <w:p>
            <w:pPr>
              <w:snapToGrid w:val="0"/>
              <w:spacing w:before="120" w:beforeLines="5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    年   月毕业于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94" w:type="dxa"/>
            <w:gridSpan w:val="10"/>
            <w:noWrap w:val="0"/>
            <w:vAlign w:val="top"/>
          </w:tcPr>
          <w:p>
            <w:pPr>
              <w:pStyle w:val="296"/>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3" w:type="dxa"/>
            <w:gridSpan w:val="2"/>
            <w:noWrap w:val="0"/>
            <w:vAlign w:val="center"/>
          </w:tcPr>
          <w:p>
            <w:pPr>
              <w:pStyle w:val="296"/>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时 间</w:t>
            </w:r>
          </w:p>
        </w:tc>
        <w:tc>
          <w:tcPr>
            <w:tcW w:w="3995" w:type="dxa"/>
            <w:gridSpan w:val="5"/>
            <w:noWrap w:val="0"/>
            <w:vAlign w:val="center"/>
          </w:tcPr>
          <w:p>
            <w:pPr>
              <w:pStyle w:val="296"/>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参加过的类似项目</w:t>
            </w:r>
          </w:p>
        </w:tc>
        <w:tc>
          <w:tcPr>
            <w:tcW w:w="1733" w:type="dxa"/>
            <w:gridSpan w:val="2"/>
            <w:noWrap w:val="0"/>
            <w:vAlign w:val="center"/>
          </w:tcPr>
          <w:p>
            <w:pPr>
              <w:pStyle w:val="296"/>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担任职务或负责的工作内容</w:t>
            </w:r>
          </w:p>
        </w:tc>
        <w:tc>
          <w:tcPr>
            <w:tcW w:w="1453" w:type="dxa"/>
            <w:noWrap w:val="0"/>
            <w:vAlign w:val="center"/>
          </w:tcPr>
          <w:p>
            <w:pPr>
              <w:pStyle w:val="296"/>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3" w:type="dxa"/>
            <w:gridSpan w:val="2"/>
            <w:noWrap w:val="0"/>
            <w:vAlign w:val="top"/>
          </w:tcPr>
          <w:p>
            <w:pPr>
              <w:pStyle w:val="296"/>
              <w:rPr>
                <w:rFonts w:ascii="宋体" w:hAnsi="宋体" w:eastAsia="宋体" w:cs="宋体"/>
                <w:color w:val="000000"/>
                <w:sz w:val="24"/>
                <w:highlight w:val="none"/>
              </w:rPr>
            </w:pPr>
          </w:p>
        </w:tc>
        <w:tc>
          <w:tcPr>
            <w:tcW w:w="3995" w:type="dxa"/>
            <w:gridSpan w:val="5"/>
            <w:noWrap w:val="0"/>
            <w:vAlign w:val="top"/>
          </w:tcPr>
          <w:p>
            <w:pPr>
              <w:pStyle w:val="296"/>
              <w:rPr>
                <w:rFonts w:ascii="宋体" w:hAnsi="宋体" w:eastAsia="宋体" w:cs="宋体"/>
                <w:color w:val="000000"/>
                <w:sz w:val="24"/>
                <w:highlight w:val="none"/>
              </w:rPr>
            </w:pPr>
          </w:p>
        </w:tc>
        <w:tc>
          <w:tcPr>
            <w:tcW w:w="1733" w:type="dxa"/>
            <w:gridSpan w:val="2"/>
            <w:noWrap w:val="0"/>
            <w:vAlign w:val="top"/>
          </w:tcPr>
          <w:p>
            <w:pPr>
              <w:pStyle w:val="296"/>
              <w:rPr>
                <w:rFonts w:ascii="宋体" w:hAnsi="宋体" w:eastAsia="宋体" w:cs="宋体"/>
                <w:color w:val="000000"/>
                <w:sz w:val="24"/>
                <w:highlight w:val="none"/>
              </w:rPr>
            </w:pPr>
          </w:p>
        </w:tc>
        <w:tc>
          <w:tcPr>
            <w:tcW w:w="1453" w:type="dxa"/>
            <w:noWrap w:val="0"/>
            <w:vAlign w:val="top"/>
          </w:tcPr>
          <w:p>
            <w:pPr>
              <w:pStyle w:val="296"/>
              <w:rPr>
                <w:rFonts w:ascii="宋体" w:hAnsi="宋体" w:eastAsia="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3" w:type="dxa"/>
            <w:gridSpan w:val="2"/>
            <w:noWrap w:val="0"/>
            <w:vAlign w:val="top"/>
          </w:tcPr>
          <w:p>
            <w:pPr>
              <w:pStyle w:val="296"/>
              <w:rPr>
                <w:rFonts w:ascii="宋体" w:hAnsi="宋体" w:eastAsia="宋体" w:cs="宋体"/>
                <w:color w:val="000000"/>
                <w:sz w:val="24"/>
                <w:highlight w:val="none"/>
              </w:rPr>
            </w:pPr>
          </w:p>
        </w:tc>
        <w:tc>
          <w:tcPr>
            <w:tcW w:w="3995" w:type="dxa"/>
            <w:gridSpan w:val="5"/>
            <w:noWrap w:val="0"/>
            <w:vAlign w:val="top"/>
          </w:tcPr>
          <w:p>
            <w:pPr>
              <w:pStyle w:val="296"/>
              <w:rPr>
                <w:rFonts w:ascii="宋体" w:hAnsi="宋体" w:eastAsia="宋体" w:cs="宋体"/>
                <w:color w:val="000000"/>
                <w:sz w:val="24"/>
                <w:highlight w:val="none"/>
              </w:rPr>
            </w:pPr>
          </w:p>
        </w:tc>
        <w:tc>
          <w:tcPr>
            <w:tcW w:w="1733" w:type="dxa"/>
            <w:gridSpan w:val="2"/>
            <w:noWrap w:val="0"/>
            <w:vAlign w:val="top"/>
          </w:tcPr>
          <w:p>
            <w:pPr>
              <w:pStyle w:val="296"/>
              <w:rPr>
                <w:rFonts w:ascii="宋体" w:hAnsi="宋体" w:eastAsia="宋体" w:cs="宋体"/>
                <w:color w:val="000000"/>
                <w:sz w:val="24"/>
                <w:highlight w:val="none"/>
              </w:rPr>
            </w:pPr>
          </w:p>
        </w:tc>
        <w:tc>
          <w:tcPr>
            <w:tcW w:w="1453" w:type="dxa"/>
            <w:noWrap w:val="0"/>
            <w:vAlign w:val="top"/>
          </w:tcPr>
          <w:p>
            <w:pPr>
              <w:pStyle w:val="296"/>
              <w:rPr>
                <w:rFonts w:ascii="宋体" w:hAnsi="宋体" w:eastAsia="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3" w:type="dxa"/>
            <w:gridSpan w:val="2"/>
            <w:noWrap w:val="0"/>
            <w:vAlign w:val="top"/>
          </w:tcPr>
          <w:p>
            <w:pPr>
              <w:pStyle w:val="296"/>
              <w:rPr>
                <w:rFonts w:ascii="宋体" w:hAnsi="宋体" w:eastAsia="宋体" w:cs="宋体"/>
                <w:color w:val="000000"/>
                <w:sz w:val="24"/>
                <w:highlight w:val="none"/>
              </w:rPr>
            </w:pPr>
          </w:p>
        </w:tc>
        <w:tc>
          <w:tcPr>
            <w:tcW w:w="3995" w:type="dxa"/>
            <w:gridSpan w:val="5"/>
            <w:noWrap w:val="0"/>
            <w:vAlign w:val="top"/>
          </w:tcPr>
          <w:p>
            <w:pPr>
              <w:pStyle w:val="296"/>
              <w:rPr>
                <w:rFonts w:ascii="宋体" w:hAnsi="宋体" w:eastAsia="宋体" w:cs="宋体"/>
                <w:color w:val="000000"/>
                <w:sz w:val="24"/>
                <w:highlight w:val="none"/>
              </w:rPr>
            </w:pPr>
          </w:p>
        </w:tc>
        <w:tc>
          <w:tcPr>
            <w:tcW w:w="1733" w:type="dxa"/>
            <w:gridSpan w:val="2"/>
            <w:noWrap w:val="0"/>
            <w:vAlign w:val="top"/>
          </w:tcPr>
          <w:p>
            <w:pPr>
              <w:pStyle w:val="296"/>
              <w:rPr>
                <w:rFonts w:ascii="宋体" w:hAnsi="宋体" w:eastAsia="宋体" w:cs="宋体"/>
                <w:color w:val="000000"/>
                <w:sz w:val="24"/>
                <w:highlight w:val="none"/>
              </w:rPr>
            </w:pPr>
          </w:p>
        </w:tc>
        <w:tc>
          <w:tcPr>
            <w:tcW w:w="1453" w:type="dxa"/>
            <w:noWrap w:val="0"/>
            <w:vAlign w:val="top"/>
          </w:tcPr>
          <w:p>
            <w:pPr>
              <w:pStyle w:val="296"/>
              <w:rPr>
                <w:rFonts w:ascii="宋体" w:hAnsi="宋体" w:eastAsia="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3" w:type="dxa"/>
            <w:gridSpan w:val="2"/>
            <w:noWrap w:val="0"/>
            <w:vAlign w:val="top"/>
          </w:tcPr>
          <w:p>
            <w:pPr>
              <w:pStyle w:val="296"/>
              <w:rPr>
                <w:rFonts w:ascii="宋体" w:hAnsi="宋体" w:eastAsia="宋体" w:cs="宋体"/>
                <w:color w:val="000000"/>
                <w:sz w:val="24"/>
                <w:highlight w:val="none"/>
              </w:rPr>
            </w:pPr>
          </w:p>
        </w:tc>
        <w:tc>
          <w:tcPr>
            <w:tcW w:w="3995" w:type="dxa"/>
            <w:gridSpan w:val="5"/>
            <w:noWrap w:val="0"/>
            <w:vAlign w:val="top"/>
          </w:tcPr>
          <w:p>
            <w:pPr>
              <w:pStyle w:val="296"/>
              <w:rPr>
                <w:rFonts w:ascii="宋体" w:hAnsi="宋体" w:eastAsia="宋体" w:cs="宋体"/>
                <w:color w:val="000000"/>
                <w:sz w:val="24"/>
                <w:highlight w:val="none"/>
              </w:rPr>
            </w:pPr>
          </w:p>
        </w:tc>
        <w:tc>
          <w:tcPr>
            <w:tcW w:w="1733" w:type="dxa"/>
            <w:gridSpan w:val="2"/>
            <w:noWrap w:val="0"/>
            <w:vAlign w:val="top"/>
          </w:tcPr>
          <w:p>
            <w:pPr>
              <w:pStyle w:val="296"/>
              <w:rPr>
                <w:rFonts w:ascii="宋体" w:hAnsi="宋体" w:eastAsia="宋体" w:cs="宋体"/>
                <w:color w:val="000000"/>
                <w:sz w:val="24"/>
                <w:highlight w:val="none"/>
              </w:rPr>
            </w:pPr>
          </w:p>
        </w:tc>
        <w:tc>
          <w:tcPr>
            <w:tcW w:w="1453" w:type="dxa"/>
            <w:noWrap w:val="0"/>
            <w:vAlign w:val="top"/>
          </w:tcPr>
          <w:p>
            <w:pPr>
              <w:pStyle w:val="296"/>
              <w:rPr>
                <w:rFonts w:ascii="宋体" w:hAnsi="宋体" w:eastAsia="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3" w:type="dxa"/>
            <w:gridSpan w:val="2"/>
            <w:noWrap w:val="0"/>
            <w:vAlign w:val="top"/>
          </w:tcPr>
          <w:p>
            <w:pPr>
              <w:pStyle w:val="296"/>
              <w:rPr>
                <w:rFonts w:ascii="宋体" w:hAnsi="宋体" w:eastAsia="宋体" w:cs="宋体"/>
                <w:color w:val="000000"/>
                <w:sz w:val="24"/>
                <w:highlight w:val="none"/>
              </w:rPr>
            </w:pPr>
          </w:p>
        </w:tc>
        <w:tc>
          <w:tcPr>
            <w:tcW w:w="3995" w:type="dxa"/>
            <w:gridSpan w:val="5"/>
            <w:noWrap w:val="0"/>
            <w:vAlign w:val="top"/>
          </w:tcPr>
          <w:p>
            <w:pPr>
              <w:pStyle w:val="296"/>
              <w:rPr>
                <w:rFonts w:ascii="宋体" w:hAnsi="宋体" w:eastAsia="宋体" w:cs="宋体"/>
                <w:color w:val="000000"/>
                <w:sz w:val="24"/>
                <w:highlight w:val="none"/>
              </w:rPr>
            </w:pPr>
          </w:p>
        </w:tc>
        <w:tc>
          <w:tcPr>
            <w:tcW w:w="1733" w:type="dxa"/>
            <w:gridSpan w:val="2"/>
            <w:noWrap w:val="0"/>
            <w:vAlign w:val="top"/>
          </w:tcPr>
          <w:p>
            <w:pPr>
              <w:pStyle w:val="296"/>
              <w:rPr>
                <w:rFonts w:ascii="宋体" w:hAnsi="宋体" w:eastAsia="宋体" w:cs="宋体"/>
                <w:color w:val="000000"/>
                <w:sz w:val="24"/>
                <w:highlight w:val="none"/>
              </w:rPr>
            </w:pPr>
          </w:p>
        </w:tc>
        <w:tc>
          <w:tcPr>
            <w:tcW w:w="1453" w:type="dxa"/>
            <w:noWrap w:val="0"/>
            <w:vAlign w:val="top"/>
          </w:tcPr>
          <w:p>
            <w:pPr>
              <w:pStyle w:val="296"/>
              <w:rPr>
                <w:rFonts w:ascii="宋体" w:hAnsi="宋体" w:eastAsia="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3" w:type="dxa"/>
            <w:gridSpan w:val="2"/>
            <w:noWrap w:val="0"/>
            <w:vAlign w:val="top"/>
          </w:tcPr>
          <w:p>
            <w:pPr>
              <w:pStyle w:val="296"/>
              <w:rPr>
                <w:rFonts w:ascii="宋体" w:hAnsi="宋体" w:eastAsia="宋体" w:cs="宋体"/>
                <w:color w:val="000000"/>
                <w:sz w:val="24"/>
                <w:highlight w:val="none"/>
              </w:rPr>
            </w:pPr>
          </w:p>
        </w:tc>
        <w:tc>
          <w:tcPr>
            <w:tcW w:w="3995" w:type="dxa"/>
            <w:gridSpan w:val="5"/>
            <w:noWrap w:val="0"/>
            <w:vAlign w:val="top"/>
          </w:tcPr>
          <w:p>
            <w:pPr>
              <w:pStyle w:val="296"/>
              <w:rPr>
                <w:rFonts w:ascii="宋体" w:hAnsi="宋体" w:eastAsia="宋体" w:cs="宋体"/>
                <w:color w:val="000000"/>
                <w:sz w:val="24"/>
                <w:highlight w:val="none"/>
              </w:rPr>
            </w:pPr>
          </w:p>
        </w:tc>
        <w:tc>
          <w:tcPr>
            <w:tcW w:w="1733" w:type="dxa"/>
            <w:gridSpan w:val="2"/>
            <w:noWrap w:val="0"/>
            <w:vAlign w:val="top"/>
          </w:tcPr>
          <w:p>
            <w:pPr>
              <w:pStyle w:val="296"/>
              <w:rPr>
                <w:rFonts w:ascii="宋体" w:hAnsi="宋体" w:eastAsia="宋体" w:cs="宋体"/>
                <w:color w:val="000000"/>
                <w:sz w:val="24"/>
                <w:highlight w:val="none"/>
              </w:rPr>
            </w:pPr>
          </w:p>
        </w:tc>
        <w:tc>
          <w:tcPr>
            <w:tcW w:w="1453" w:type="dxa"/>
            <w:noWrap w:val="0"/>
            <w:vAlign w:val="top"/>
          </w:tcPr>
          <w:p>
            <w:pPr>
              <w:pStyle w:val="296"/>
              <w:rPr>
                <w:rFonts w:ascii="宋体" w:hAnsi="宋体" w:eastAsia="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3" w:type="dxa"/>
            <w:gridSpan w:val="2"/>
            <w:noWrap w:val="0"/>
            <w:vAlign w:val="top"/>
          </w:tcPr>
          <w:p>
            <w:pPr>
              <w:pStyle w:val="296"/>
              <w:rPr>
                <w:rFonts w:ascii="宋体" w:hAnsi="宋体" w:eastAsia="宋体" w:cs="宋体"/>
                <w:color w:val="000000"/>
                <w:sz w:val="24"/>
                <w:highlight w:val="none"/>
              </w:rPr>
            </w:pPr>
          </w:p>
        </w:tc>
        <w:tc>
          <w:tcPr>
            <w:tcW w:w="3995" w:type="dxa"/>
            <w:gridSpan w:val="5"/>
            <w:noWrap w:val="0"/>
            <w:vAlign w:val="top"/>
          </w:tcPr>
          <w:p>
            <w:pPr>
              <w:pStyle w:val="296"/>
              <w:rPr>
                <w:rFonts w:ascii="宋体" w:hAnsi="宋体" w:eastAsia="宋体" w:cs="宋体"/>
                <w:color w:val="000000"/>
                <w:sz w:val="24"/>
                <w:highlight w:val="none"/>
              </w:rPr>
            </w:pPr>
          </w:p>
        </w:tc>
        <w:tc>
          <w:tcPr>
            <w:tcW w:w="1733" w:type="dxa"/>
            <w:gridSpan w:val="2"/>
            <w:noWrap w:val="0"/>
            <w:vAlign w:val="top"/>
          </w:tcPr>
          <w:p>
            <w:pPr>
              <w:pStyle w:val="296"/>
              <w:rPr>
                <w:rFonts w:ascii="宋体" w:hAnsi="宋体" w:eastAsia="宋体" w:cs="宋体"/>
                <w:color w:val="000000"/>
                <w:sz w:val="24"/>
                <w:highlight w:val="none"/>
              </w:rPr>
            </w:pPr>
          </w:p>
        </w:tc>
        <w:tc>
          <w:tcPr>
            <w:tcW w:w="1453" w:type="dxa"/>
            <w:noWrap w:val="0"/>
            <w:vAlign w:val="top"/>
          </w:tcPr>
          <w:p>
            <w:pPr>
              <w:pStyle w:val="296"/>
              <w:rPr>
                <w:rFonts w:ascii="宋体" w:hAnsi="宋体" w:eastAsia="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3" w:type="dxa"/>
            <w:gridSpan w:val="2"/>
            <w:noWrap w:val="0"/>
            <w:vAlign w:val="top"/>
          </w:tcPr>
          <w:p>
            <w:pPr>
              <w:pStyle w:val="296"/>
              <w:rPr>
                <w:rFonts w:ascii="宋体" w:hAnsi="宋体" w:eastAsia="宋体" w:cs="宋体"/>
                <w:color w:val="000000"/>
                <w:sz w:val="24"/>
                <w:highlight w:val="none"/>
              </w:rPr>
            </w:pPr>
          </w:p>
        </w:tc>
        <w:tc>
          <w:tcPr>
            <w:tcW w:w="3995" w:type="dxa"/>
            <w:gridSpan w:val="5"/>
            <w:noWrap w:val="0"/>
            <w:vAlign w:val="top"/>
          </w:tcPr>
          <w:p>
            <w:pPr>
              <w:pStyle w:val="296"/>
              <w:rPr>
                <w:rFonts w:ascii="宋体" w:hAnsi="宋体" w:eastAsia="宋体" w:cs="宋体"/>
                <w:color w:val="000000"/>
                <w:sz w:val="24"/>
                <w:highlight w:val="none"/>
              </w:rPr>
            </w:pPr>
          </w:p>
        </w:tc>
        <w:tc>
          <w:tcPr>
            <w:tcW w:w="1733" w:type="dxa"/>
            <w:gridSpan w:val="2"/>
            <w:noWrap w:val="0"/>
            <w:vAlign w:val="top"/>
          </w:tcPr>
          <w:p>
            <w:pPr>
              <w:pStyle w:val="296"/>
              <w:rPr>
                <w:rFonts w:ascii="宋体" w:hAnsi="宋体" w:eastAsia="宋体" w:cs="宋体"/>
                <w:color w:val="000000"/>
                <w:sz w:val="24"/>
                <w:highlight w:val="none"/>
              </w:rPr>
            </w:pPr>
          </w:p>
        </w:tc>
        <w:tc>
          <w:tcPr>
            <w:tcW w:w="1453" w:type="dxa"/>
            <w:noWrap w:val="0"/>
            <w:vAlign w:val="top"/>
          </w:tcPr>
          <w:p>
            <w:pPr>
              <w:pStyle w:val="296"/>
              <w:rPr>
                <w:rFonts w:ascii="宋体" w:hAnsi="宋体" w:eastAsia="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3" w:type="dxa"/>
            <w:gridSpan w:val="2"/>
            <w:noWrap w:val="0"/>
            <w:vAlign w:val="top"/>
          </w:tcPr>
          <w:p>
            <w:pPr>
              <w:pStyle w:val="296"/>
              <w:rPr>
                <w:rFonts w:ascii="宋体" w:hAnsi="宋体" w:eastAsia="宋体" w:cs="宋体"/>
                <w:color w:val="000000"/>
                <w:sz w:val="24"/>
                <w:highlight w:val="none"/>
              </w:rPr>
            </w:pPr>
          </w:p>
        </w:tc>
        <w:tc>
          <w:tcPr>
            <w:tcW w:w="3995" w:type="dxa"/>
            <w:gridSpan w:val="5"/>
            <w:noWrap w:val="0"/>
            <w:vAlign w:val="top"/>
          </w:tcPr>
          <w:p>
            <w:pPr>
              <w:pStyle w:val="296"/>
              <w:rPr>
                <w:rFonts w:ascii="宋体" w:hAnsi="宋体" w:eastAsia="宋体" w:cs="宋体"/>
                <w:color w:val="000000"/>
                <w:sz w:val="24"/>
                <w:highlight w:val="none"/>
              </w:rPr>
            </w:pPr>
          </w:p>
        </w:tc>
        <w:tc>
          <w:tcPr>
            <w:tcW w:w="1733" w:type="dxa"/>
            <w:gridSpan w:val="2"/>
            <w:noWrap w:val="0"/>
            <w:vAlign w:val="top"/>
          </w:tcPr>
          <w:p>
            <w:pPr>
              <w:pStyle w:val="296"/>
              <w:rPr>
                <w:rFonts w:ascii="宋体" w:hAnsi="宋体" w:eastAsia="宋体" w:cs="宋体"/>
                <w:color w:val="000000"/>
                <w:sz w:val="24"/>
                <w:highlight w:val="none"/>
              </w:rPr>
            </w:pPr>
          </w:p>
        </w:tc>
        <w:tc>
          <w:tcPr>
            <w:tcW w:w="1453" w:type="dxa"/>
            <w:noWrap w:val="0"/>
            <w:vAlign w:val="top"/>
          </w:tcPr>
          <w:p>
            <w:pPr>
              <w:pStyle w:val="296"/>
              <w:rPr>
                <w:rFonts w:ascii="宋体" w:hAnsi="宋体" w:eastAsia="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3" w:type="dxa"/>
            <w:gridSpan w:val="2"/>
            <w:noWrap w:val="0"/>
            <w:vAlign w:val="top"/>
          </w:tcPr>
          <w:p>
            <w:pPr>
              <w:pStyle w:val="296"/>
              <w:rPr>
                <w:rFonts w:ascii="宋体" w:hAnsi="宋体" w:eastAsia="宋体" w:cs="宋体"/>
                <w:color w:val="000000"/>
                <w:sz w:val="24"/>
                <w:highlight w:val="none"/>
              </w:rPr>
            </w:pPr>
          </w:p>
        </w:tc>
        <w:tc>
          <w:tcPr>
            <w:tcW w:w="3995" w:type="dxa"/>
            <w:gridSpan w:val="5"/>
            <w:noWrap w:val="0"/>
            <w:vAlign w:val="top"/>
          </w:tcPr>
          <w:p>
            <w:pPr>
              <w:pStyle w:val="296"/>
              <w:rPr>
                <w:rFonts w:ascii="宋体" w:hAnsi="宋体" w:eastAsia="宋体" w:cs="宋体"/>
                <w:color w:val="000000"/>
                <w:sz w:val="24"/>
                <w:highlight w:val="none"/>
              </w:rPr>
            </w:pPr>
          </w:p>
        </w:tc>
        <w:tc>
          <w:tcPr>
            <w:tcW w:w="1733" w:type="dxa"/>
            <w:gridSpan w:val="2"/>
            <w:noWrap w:val="0"/>
            <w:vAlign w:val="top"/>
          </w:tcPr>
          <w:p>
            <w:pPr>
              <w:pStyle w:val="296"/>
              <w:rPr>
                <w:rFonts w:ascii="宋体" w:hAnsi="宋体" w:eastAsia="宋体" w:cs="宋体"/>
                <w:color w:val="000000"/>
                <w:sz w:val="24"/>
                <w:highlight w:val="none"/>
              </w:rPr>
            </w:pPr>
          </w:p>
        </w:tc>
        <w:tc>
          <w:tcPr>
            <w:tcW w:w="1453" w:type="dxa"/>
            <w:noWrap w:val="0"/>
            <w:vAlign w:val="top"/>
          </w:tcPr>
          <w:p>
            <w:pPr>
              <w:pStyle w:val="296"/>
              <w:rPr>
                <w:rFonts w:ascii="宋体" w:hAnsi="宋体" w:eastAsia="宋体" w:cs="宋体"/>
                <w:color w:val="000000"/>
                <w:sz w:val="24"/>
                <w:highlight w:val="none"/>
              </w:rPr>
            </w:pPr>
          </w:p>
        </w:tc>
      </w:tr>
    </w:tbl>
    <w:p>
      <w:pPr>
        <w:snapToGrid w:val="0"/>
        <w:spacing w:before="120" w:beforeLine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附</w:t>
      </w:r>
      <w:r>
        <w:rPr>
          <w:rFonts w:hint="eastAsia" w:ascii="仿宋" w:hAnsi="仿宋" w:eastAsia="仿宋" w:cs="仿宋"/>
          <w:color w:val="auto"/>
          <w:sz w:val="24"/>
          <w:highlight w:val="none"/>
          <w:lang w:eastAsia="zh-CN"/>
        </w:rPr>
        <w:t>评审细则要求资料的扫描件或复印件</w:t>
      </w:r>
      <w:r>
        <w:rPr>
          <w:rFonts w:hint="eastAsia" w:ascii="仿宋" w:hAnsi="仿宋" w:eastAsia="仿宋" w:cs="仿宋"/>
          <w:color w:val="auto"/>
          <w:sz w:val="24"/>
          <w:highlight w:val="none"/>
        </w:rPr>
        <w:t>。</w:t>
      </w:r>
    </w:p>
    <w:p>
      <w:pPr>
        <w:pStyle w:val="22"/>
        <w:rPr>
          <w:rFonts w:hint="eastAsia" w:ascii="仿宋" w:hAnsi="仿宋" w:eastAsia="仿宋" w:cs="仿宋"/>
          <w:color w:val="auto"/>
          <w:highlight w:val="none"/>
          <w:lang w:val="zh-CN"/>
        </w:rPr>
      </w:pPr>
    </w:p>
    <w:p>
      <w:pPr>
        <w:spacing w:line="640" w:lineRule="exact"/>
        <w:jc w:val="center"/>
        <w:rPr>
          <w:rFonts w:hint="eastAsia" w:ascii="宋体" w:hAnsi="宋体" w:cs="宋体"/>
          <w:bCs/>
          <w:sz w:val="32"/>
          <w:szCs w:val="32"/>
          <w:highlight w:val="none"/>
        </w:rPr>
      </w:pPr>
    </w:p>
    <w:p>
      <w:pPr>
        <w:spacing w:line="640" w:lineRule="exact"/>
        <w:jc w:val="center"/>
        <w:rPr>
          <w:rFonts w:hint="eastAsia" w:ascii="宋体" w:hAnsi="宋体" w:cs="宋体"/>
          <w:bCs/>
          <w:sz w:val="32"/>
          <w:szCs w:val="32"/>
          <w:highlight w:val="none"/>
        </w:rPr>
      </w:pPr>
    </w:p>
    <w:p>
      <w:pPr>
        <w:spacing w:line="640" w:lineRule="exact"/>
        <w:jc w:val="center"/>
        <w:rPr>
          <w:rFonts w:hint="eastAsia" w:ascii="宋体" w:hAnsi="宋体" w:cs="宋体"/>
          <w:bCs/>
          <w:sz w:val="32"/>
          <w:szCs w:val="32"/>
          <w:highlight w:val="none"/>
        </w:rPr>
      </w:pPr>
    </w:p>
    <w:p>
      <w:pPr>
        <w:spacing w:line="640" w:lineRule="exact"/>
        <w:jc w:val="center"/>
        <w:rPr>
          <w:rFonts w:hint="eastAsia" w:ascii="宋体" w:hAnsi="宋体" w:cs="宋体"/>
          <w:bCs/>
          <w:sz w:val="32"/>
          <w:szCs w:val="32"/>
          <w:highlight w:val="none"/>
        </w:rPr>
      </w:pPr>
    </w:p>
    <w:p>
      <w:pPr>
        <w:spacing w:line="640" w:lineRule="exact"/>
        <w:jc w:val="center"/>
        <w:rPr>
          <w:rFonts w:hint="eastAsia" w:ascii="宋体" w:hAnsi="宋体" w:cs="宋体"/>
          <w:bCs/>
          <w:sz w:val="32"/>
          <w:szCs w:val="32"/>
          <w:highlight w:val="none"/>
        </w:rPr>
      </w:pPr>
    </w:p>
    <w:p>
      <w:pPr>
        <w:spacing w:line="640" w:lineRule="exact"/>
        <w:jc w:val="center"/>
        <w:rPr>
          <w:rFonts w:hint="eastAsia" w:ascii="宋体" w:hAnsi="宋体" w:cs="宋体"/>
          <w:bCs/>
          <w:sz w:val="32"/>
          <w:szCs w:val="32"/>
          <w:highlight w:val="none"/>
        </w:rPr>
      </w:pPr>
    </w:p>
    <w:p>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三、项目部其他人员及相关要求</w:t>
      </w:r>
    </w:p>
    <w:p>
      <w:pPr>
        <w:rPr>
          <w:rFonts w:ascii="宋体" w:hAnsi="宋体" w:cs="宋体"/>
          <w:highlight w:val="none"/>
        </w:rPr>
      </w:pPr>
    </w:p>
    <w:p>
      <w:pPr>
        <w:rPr>
          <w:rFonts w:ascii="宋体" w:hAnsi="宋体" w:cs="宋体"/>
          <w:highlight w:val="none"/>
        </w:rPr>
      </w:pPr>
    </w:p>
    <w:tbl>
      <w:tblPr>
        <w:tblStyle w:val="50"/>
        <w:tblW w:w="8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232"/>
        <w:gridCol w:w="1442"/>
        <w:gridCol w:w="2266"/>
        <w:gridCol w:w="1161"/>
        <w:gridCol w:w="1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789" w:type="dxa"/>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32" w:type="dxa"/>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442" w:type="dxa"/>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2266" w:type="dxa"/>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拟在本项目中担任的职务</w:t>
            </w:r>
          </w:p>
        </w:tc>
        <w:tc>
          <w:tcPr>
            <w:tcW w:w="1161" w:type="dxa"/>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816" w:type="dxa"/>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执业资格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dxa"/>
            <w:noWrap w:val="0"/>
            <w:vAlign w:val="center"/>
          </w:tcPr>
          <w:p>
            <w:pPr>
              <w:jc w:val="center"/>
              <w:rPr>
                <w:rFonts w:ascii="宋体" w:hAnsi="宋体" w:cs="宋体"/>
                <w:sz w:val="24"/>
                <w:highlight w:val="none"/>
              </w:rPr>
            </w:pPr>
          </w:p>
        </w:tc>
        <w:tc>
          <w:tcPr>
            <w:tcW w:w="1232" w:type="dxa"/>
            <w:noWrap w:val="0"/>
            <w:vAlign w:val="center"/>
          </w:tcPr>
          <w:p>
            <w:pPr>
              <w:jc w:val="center"/>
              <w:rPr>
                <w:rFonts w:ascii="宋体" w:hAnsi="宋体" w:cs="宋体"/>
                <w:sz w:val="24"/>
                <w:highlight w:val="none"/>
              </w:rPr>
            </w:pPr>
          </w:p>
        </w:tc>
        <w:tc>
          <w:tcPr>
            <w:tcW w:w="1442" w:type="dxa"/>
            <w:noWrap w:val="0"/>
            <w:vAlign w:val="center"/>
          </w:tcPr>
          <w:p>
            <w:pPr>
              <w:jc w:val="center"/>
              <w:rPr>
                <w:rFonts w:ascii="宋体" w:hAnsi="宋体" w:cs="宋体"/>
                <w:sz w:val="24"/>
                <w:highlight w:val="none"/>
              </w:rPr>
            </w:pPr>
          </w:p>
        </w:tc>
        <w:tc>
          <w:tcPr>
            <w:tcW w:w="2266" w:type="dxa"/>
            <w:noWrap w:val="0"/>
            <w:vAlign w:val="center"/>
          </w:tcPr>
          <w:p>
            <w:pPr>
              <w:jc w:val="center"/>
              <w:rPr>
                <w:rFonts w:ascii="宋体" w:hAnsi="宋体" w:cs="宋体"/>
                <w:sz w:val="24"/>
                <w:highlight w:val="none"/>
              </w:rPr>
            </w:pPr>
          </w:p>
        </w:tc>
        <w:tc>
          <w:tcPr>
            <w:tcW w:w="1161" w:type="dxa"/>
            <w:noWrap w:val="0"/>
            <w:vAlign w:val="center"/>
          </w:tcPr>
          <w:p>
            <w:pPr>
              <w:jc w:val="center"/>
              <w:rPr>
                <w:rFonts w:ascii="宋体" w:hAnsi="宋体" w:cs="宋体"/>
                <w:sz w:val="24"/>
                <w:highlight w:val="none"/>
              </w:rPr>
            </w:pPr>
          </w:p>
        </w:tc>
        <w:tc>
          <w:tcPr>
            <w:tcW w:w="1816" w:type="dxa"/>
            <w:noWrap w:val="0"/>
            <w:vAlign w:val="center"/>
          </w:tcPr>
          <w:p>
            <w:pPr>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dxa"/>
            <w:noWrap w:val="0"/>
            <w:vAlign w:val="center"/>
          </w:tcPr>
          <w:p>
            <w:pPr>
              <w:jc w:val="center"/>
              <w:rPr>
                <w:rFonts w:ascii="宋体" w:hAnsi="宋体" w:cs="宋体"/>
                <w:sz w:val="24"/>
                <w:highlight w:val="none"/>
              </w:rPr>
            </w:pPr>
          </w:p>
        </w:tc>
        <w:tc>
          <w:tcPr>
            <w:tcW w:w="1232" w:type="dxa"/>
            <w:noWrap w:val="0"/>
            <w:vAlign w:val="center"/>
          </w:tcPr>
          <w:p>
            <w:pPr>
              <w:jc w:val="center"/>
              <w:rPr>
                <w:rFonts w:ascii="宋体" w:hAnsi="宋体" w:cs="宋体"/>
                <w:sz w:val="24"/>
                <w:highlight w:val="none"/>
              </w:rPr>
            </w:pPr>
          </w:p>
        </w:tc>
        <w:tc>
          <w:tcPr>
            <w:tcW w:w="1442" w:type="dxa"/>
            <w:noWrap w:val="0"/>
            <w:vAlign w:val="center"/>
          </w:tcPr>
          <w:p>
            <w:pPr>
              <w:jc w:val="center"/>
              <w:rPr>
                <w:rFonts w:ascii="宋体" w:hAnsi="宋体" w:cs="宋体"/>
                <w:sz w:val="24"/>
                <w:highlight w:val="none"/>
              </w:rPr>
            </w:pPr>
          </w:p>
        </w:tc>
        <w:tc>
          <w:tcPr>
            <w:tcW w:w="2266" w:type="dxa"/>
            <w:noWrap w:val="0"/>
            <w:vAlign w:val="center"/>
          </w:tcPr>
          <w:p>
            <w:pPr>
              <w:jc w:val="center"/>
              <w:rPr>
                <w:rFonts w:ascii="宋体" w:hAnsi="宋体" w:cs="宋体"/>
                <w:sz w:val="24"/>
                <w:highlight w:val="none"/>
              </w:rPr>
            </w:pPr>
          </w:p>
        </w:tc>
        <w:tc>
          <w:tcPr>
            <w:tcW w:w="1161" w:type="dxa"/>
            <w:noWrap w:val="0"/>
            <w:vAlign w:val="center"/>
          </w:tcPr>
          <w:p>
            <w:pPr>
              <w:jc w:val="center"/>
              <w:rPr>
                <w:rFonts w:ascii="宋体" w:hAnsi="宋体" w:cs="宋体"/>
                <w:sz w:val="24"/>
                <w:highlight w:val="none"/>
              </w:rPr>
            </w:pPr>
          </w:p>
        </w:tc>
        <w:tc>
          <w:tcPr>
            <w:tcW w:w="1816" w:type="dxa"/>
            <w:noWrap w:val="0"/>
            <w:vAlign w:val="center"/>
          </w:tcPr>
          <w:p>
            <w:pPr>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dxa"/>
            <w:noWrap w:val="0"/>
            <w:vAlign w:val="center"/>
          </w:tcPr>
          <w:p>
            <w:pPr>
              <w:jc w:val="center"/>
              <w:rPr>
                <w:rFonts w:ascii="宋体" w:hAnsi="宋体" w:cs="宋体"/>
                <w:sz w:val="24"/>
                <w:highlight w:val="none"/>
              </w:rPr>
            </w:pPr>
          </w:p>
        </w:tc>
        <w:tc>
          <w:tcPr>
            <w:tcW w:w="1232" w:type="dxa"/>
            <w:noWrap w:val="0"/>
            <w:vAlign w:val="center"/>
          </w:tcPr>
          <w:p>
            <w:pPr>
              <w:jc w:val="center"/>
              <w:rPr>
                <w:rFonts w:ascii="宋体" w:hAnsi="宋体" w:cs="宋体"/>
                <w:sz w:val="24"/>
                <w:highlight w:val="none"/>
              </w:rPr>
            </w:pPr>
          </w:p>
        </w:tc>
        <w:tc>
          <w:tcPr>
            <w:tcW w:w="1442" w:type="dxa"/>
            <w:noWrap w:val="0"/>
            <w:vAlign w:val="center"/>
          </w:tcPr>
          <w:p>
            <w:pPr>
              <w:jc w:val="center"/>
              <w:rPr>
                <w:rFonts w:ascii="宋体" w:hAnsi="宋体" w:cs="宋体"/>
                <w:sz w:val="24"/>
                <w:highlight w:val="none"/>
              </w:rPr>
            </w:pPr>
          </w:p>
        </w:tc>
        <w:tc>
          <w:tcPr>
            <w:tcW w:w="2266" w:type="dxa"/>
            <w:noWrap w:val="0"/>
            <w:vAlign w:val="center"/>
          </w:tcPr>
          <w:p>
            <w:pPr>
              <w:jc w:val="center"/>
              <w:rPr>
                <w:rFonts w:ascii="宋体" w:hAnsi="宋体" w:cs="宋体"/>
                <w:sz w:val="24"/>
                <w:highlight w:val="none"/>
              </w:rPr>
            </w:pPr>
          </w:p>
        </w:tc>
        <w:tc>
          <w:tcPr>
            <w:tcW w:w="1161" w:type="dxa"/>
            <w:noWrap w:val="0"/>
            <w:vAlign w:val="center"/>
          </w:tcPr>
          <w:p>
            <w:pPr>
              <w:jc w:val="center"/>
              <w:rPr>
                <w:rFonts w:ascii="宋体" w:hAnsi="宋体" w:cs="宋体"/>
                <w:sz w:val="24"/>
                <w:highlight w:val="none"/>
              </w:rPr>
            </w:pPr>
          </w:p>
        </w:tc>
        <w:tc>
          <w:tcPr>
            <w:tcW w:w="1816" w:type="dxa"/>
            <w:noWrap w:val="0"/>
            <w:vAlign w:val="center"/>
          </w:tcPr>
          <w:p>
            <w:pPr>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dxa"/>
            <w:noWrap w:val="0"/>
            <w:vAlign w:val="center"/>
          </w:tcPr>
          <w:p>
            <w:pPr>
              <w:jc w:val="center"/>
              <w:rPr>
                <w:rFonts w:ascii="宋体" w:hAnsi="宋体" w:cs="宋体"/>
                <w:sz w:val="24"/>
                <w:highlight w:val="none"/>
              </w:rPr>
            </w:pPr>
          </w:p>
        </w:tc>
        <w:tc>
          <w:tcPr>
            <w:tcW w:w="1232" w:type="dxa"/>
            <w:noWrap w:val="0"/>
            <w:vAlign w:val="center"/>
          </w:tcPr>
          <w:p>
            <w:pPr>
              <w:jc w:val="center"/>
              <w:rPr>
                <w:rFonts w:ascii="宋体" w:hAnsi="宋体" w:cs="宋体"/>
                <w:sz w:val="24"/>
                <w:highlight w:val="none"/>
              </w:rPr>
            </w:pPr>
          </w:p>
        </w:tc>
        <w:tc>
          <w:tcPr>
            <w:tcW w:w="1442" w:type="dxa"/>
            <w:noWrap w:val="0"/>
            <w:vAlign w:val="center"/>
          </w:tcPr>
          <w:p>
            <w:pPr>
              <w:jc w:val="center"/>
              <w:rPr>
                <w:rFonts w:ascii="宋体" w:hAnsi="宋体" w:cs="宋体"/>
                <w:sz w:val="24"/>
                <w:highlight w:val="none"/>
              </w:rPr>
            </w:pPr>
          </w:p>
        </w:tc>
        <w:tc>
          <w:tcPr>
            <w:tcW w:w="2266" w:type="dxa"/>
            <w:noWrap w:val="0"/>
            <w:vAlign w:val="center"/>
          </w:tcPr>
          <w:p>
            <w:pPr>
              <w:jc w:val="center"/>
              <w:rPr>
                <w:rFonts w:ascii="宋体" w:hAnsi="宋体" w:cs="宋体"/>
                <w:sz w:val="24"/>
                <w:highlight w:val="none"/>
              </w:rPr>
            </w:pPr>
          </w:p>
        </w:tc>
        <w:tc>
          <w:tcPr>
            <w:tcW w:w="1161" w:type="dxa"/>
            <w:noWrap w:val="0"/>
            <w:vAlign w:val="center"/>
          </w:tcPr>
          <w:p>
            <w:pPr>
              <w:jc w:val="center"/>
              <w:rPr>
                <w:rFonts w:ascii="宋体" w:hAnsi="宋体" w:cs="宋体"/>
                <w:sz w:val="24"/>
                <w:highlight w:val="none"/>
              </w:rPr>
            </w:pPr>
          </w:p>
        </w:tc>
        <w:tc>
          <w:tcPr>
            <w:tcW w:w="1816" w:type="dxa"/>
            <w:noWrap w:val="0"/>
            <w:vAlign w:val="center"/>
          </w:tcPr>
          <w:p>
            <w:pPr>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dxa"/>
            <w:noWrap w:val="0"/>
            <w:vAlign w:val="center"/>
          </w:tcPr>
          <w:p>
            <w:pPr>
              <w:jc w:val="center"/>
              <w:rPr>
                <w:rFonts w:ascii="宋体" w:hAnsi="宋体" w:cs="宋体"/>
                <w:sz w:val="24"/>
                <w:highlight w:val="none"/>
              </w:rPr>
            </w:pPr>
          </w:p>
        </w:tc>
        <w:tc>
          <w:tcPr>
            <w:tcW w:w="1232" w:type="dxa"/>
            <w:noWrap w:val="0"/>
            <w:vAlign w:val="center"/>
          </w:tcPr>
          <w:p>
            <w:pPr>
              <w:jc w:val="center"/>
              <w:rPr>
                <w:rFonts w:ascii="宋体" w:hAnsi="宋体" w:cs="宋体"/>
                <w:sz w:val="24"/>
                <w:highlight w:val="none"/>
              </w:rPr>
            </w:pPr>
          </w:p>
        </w:tc>
        <w:tc>
          <w:tcPr>
            <w:tcW w:w="1442" w:type="dxa"/>
            <w:noWrap w:val="0"/>
            <w:vAlign w:val="center"/>
          </w:tcPr>
          <w:p>
            <w:pPr>
              <w:jc w:val="center"/>
              <w:rPr>
                <w:rFonts w:ascii="宋体" w:hAnsi="宋体" w:cs="宋体"/>
                <w:sz w:val="24"/>
                <w:highlight w:val="none"/>
              </w:rPr>
            </w:pPr>
          </w:p>
        </w:tc>
        <w:tc>
          <w:tcPr>
            <w:tcW w:w="2266" w:type="dxa"/>
            <w:noWrap w:val="0"/>
            <w:vAlign w:val="center"/>
          </w:tcPr>
          <w:p>
            <w:pPr>
              <w:jc w:val="center"/>
              <w:rPr>
                <w:rFonts w:ascii="宋体" w:hAnsi="宋体" w:cs="宋体"/>
                <w:sz w:val="24"/>
                <w:highlight w:val="none"/>
              </w:rPr>
            </w:pPr>
          </w:p>
        </w:tc>
        <w:tc>
          <w:tcPr>
            <w:tcW w:w="1161" w:type="dxa"/>
            <w:noWrap w:val="0"/>
            <w:vAlign w:val="center"/>
          </w:tcPr>
          <w:p>
            <w:pPr>
              <w:jc w:val="center"/>
              <w:rPr>
                <w:rFonts w:ascii="宋体" w:hAnsi="宋体" w:cs="宋体"/>
                <w:sz w:val="24"/>
                <w:highlight w:val="none"/>
              </w:rPr>
            </w:pPr>
          </w:p>
        </w:tc>
        <w:tc>
          <w:tcPr>
            <w:tcW w:w="1816" w:type="dxa"/>
            <w:noWrap w:val="0"/>
            <w:vAlign w:val="center"/>
          </w:tcPr>
          <w:p>
            <w:pPr>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dxa"/>
            <w:noWrap w:val="0"/>
            <w:vAlign w:val="center"/>
          </w:tcPr>
          <w:p>
            <w:pPr>
              <w:jc w:val="center"/>
              <w:rPr>
                <w:rFonts w:ascii="宋体" w:hAnsi="宋体" w:cs="宋体"/>
                <w:sz w:val="24"/>
                <w:highlight w:val="none"/>
              </w:rPr>
            </w:pPr>
          </w:p>
        </w:tc>
        <w:tc>
          <w:tcPr>
            <w:tcW w:w="1232" w:type="dxa"/>
            <w:noWrap w:val="0"/>
            <w:vAlign w:val="center"/>
          </w:tcPr>
          <w:p>
            <w:pPr>
              <w:jc w:val="center"/>
              <w:rPr>
                <w:rFonts w:ascii="宋体" w:hAnsi="宋体" w:cs="宋体"/>
                <w:sz w:val="24"/>
                <w:highlight w:val="none"/>
              </w:rPr>
            </w:pPr>
          </w:p>
        </w:tc>
        <w:tc>
          <w:tcPr>
            <w:tcW w:w="1442" w:type="dxa"/>
            <w:noWrap w:val="0"/>
            <w:vAlign w:val="center"/>
          </w:tcPr>
          <w:p>
            <w:pPr>
              <w:jc w:val="center"/>
              <w:rPr>
                <w:rFonts w:ascii="宋体" w:hAnsi="宋体" w:cs="宋体"/>
                <w:sz w:val="24"/>
                <w:highlight w:val="none"/>
              </w:rPr>
            </w:pPr>
          </w:p>
        </w:tc>
        <w:tc>
          <w:tcPr>
            <w:tcW w:w="2266" w:type="dxa"/>
            <w:noWrap w:val="0"/>
            <w:vAlign w:val="center"/>
          </w:tcPr>
          <w:p>
            <w:pPr>
              <w:jc w:val="center"/>
              <w:rPr>
                <w:rFonts w:ascii="宋体" w:hAnsi="宋体" w:cs="宋体"/>
                <w:sz w:val="24"/>
                <w:highlight w:val="none"/>
              </w:rPr>
            </w:pPr>
          </w:p>
        </w:tc>
        <w:tc>
          <w:tcPr>
            <w:tcW w:w="1161" w:type="dxa"/>
            <w:noWrap w:val="0"/>
            <w:vAlign w:val="center"/>
          </w:tcPr>
          <w:p>
            <w:pPr>
              <w:jc w:val="center"/>
              <w:rPr>
                <w:rFonts w:ascii="宋体" w:hAnsi="宋体" w:cs="宋体"/>
                <w:sz w:val="24"/>
                <w:highlight w:val="none"/>
              </w:rPr>
            </w:pPr>
          </w:p>
        </w:tc>
        <w:tc>
          <w:tcPr>
            <w:tcW w:w="1816" w:type="dxa"/>
            <w:noWrap w:val="0"/>
            <w:vAlign w:val="center"/>
          </w:tcPr>
          <w:p>
            <w:pPr>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dxa"/>
            <w:noWrap w:val="0"/>
            <w:vAlign w:val="center"/>
          </w:tcPr>
          <w:p>
            <w:pPr>
              <w:jc w:val="center"/>
              <w:rPr>
                <w:rFonts w:ascii="宋体" w:hAnsi="宋体" w:cs="宋体"/>
                <w:sz w:val="24"/>
                <w:highlight w:val="none"/>
              </w:rPr>
            </w:pPr>
          </w:p>
        </w:tc>
        <w:tc>
          <w:tcPr>
            <w:tcW w:w="1232" w:type="dxa"/>
            <w:noWrap w:val="0"/>
            <w:vAlign w:val="center"/>
          </w:tcPr>
          <w:p>
            <w:pPr>
              <w:jc w:val="center"/>
              <w:rPr>
                <w:rFonts w:ascii="宋体" w:hAnsi="宋体" w:cs="宋体"/>
                <w:sz w:val="24"/>
                <w:highlight w:val="none"/>
              </w:rPr>
            </w:pPr>
          </w:p>
        </w:tc>
        <w:tc>
          <w:tcPr>
            <w:tcW w:w="1442" w:type="dxa"/>
            <w:noWrap w:val="0"/>
            <w:vAlign w:val="center"/>
          </w:tcPr>
          <w:p>
            <w:pPr>
              <w:jc w:val="center"/>
              <w:rPr>
                <w:rFonts w:ascii="宋体" w:hAnsi="宋体" w:cs="宋体"/>
                <w:sz w:val="24"/>
                <w:highlight w:val="none"/>
              </w:rPr>
            </w:pPr>
          </w:p>
        </w:tc>
        <w:tc>
          <w:tcPr>
            <w:tcW w:w="2266" w:type="dxa"/>
            <w:noWrap w:val="0"/>
            <w:vAlign w:val="center"/>
          </w:tcPr>
          <w:p>
            <w:pPr>
              <w:jc w:val="center"/>
              <w:rPr>
                <w:rFonts w:ascii="宋体" w:hAnsi="宋体" w:cs="宋体"/>
                <w:sz w:val="24"/>
                <w:highlight w:val="none"/>
              </w:rPr>
            </w:pPr>
          </w:p>
        </w:tc>
        <w:tc>
          <w:tcPr>
            <w:tcW w:w="1161" w:type="dxa"/>
            <w:noWrap w:val="0"/>
            <w:vAlign w:val="center"/>
          </w:tcPr>
          <w:p>
            <w:pPr>
              <w:jc w:val="center"/>
              <w:rPr>
                <w:rFonts w:ascii="宋体" w:hAnsi="宋体" w:cs="宋体"/>
                <w:sz w:val="24"/>
                <w:highlight w:val="none"/>
              </w:rPr>
            </w:pPr>
          </w:p>
        </w:tc>
        <w:tc>
          <w:tcPr>
            <w:tcW w:w="1816" w:type="dxa"/>
            <w:noWrap w:val="0"/>
            <w:vAlign w:val="center"/>
          </w:tcPr>
          <w:p>
            <w:pPr>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dxa"/>
            <w:noWrap w:val="0"/>
            <w:vAlign w:val="center"/>
          </w:tcPr>
          <w:p>
            <w:pPr>
              <w:jc w:val="center"/>
              <w:rPr>
                <w:rFonts w:ascii="宋体" w:hAnsi="宋体" w:cs="宋体"/>
                <w:sz w:val="24"/>
                <w:highlight w:val="none"/>
              </w:rPr>
            </w:pPr>
          </w:p>
        </w:tc>
        <w:tc>
          <w:tcPr>
            <w:tcW w:w="1232" w:type="dxa"/>
            <w:noWrap w:val="0"/>
            <w:vAlign w:val="center"/>
          </w:tcPr>
          <w:p>
            <w:pPr>
              <w:jc w:val="center"/>
              <w:rPr>
                <w:rFonts w:ascii="宋体" w:hAnsi="宋体" w:cs="宋体"/>
                <w:sz w:val="24"/>
                <w:highlight w:val="none"/>
              </w:rPr>
            </w:pPr>
          </w:p>
        </w:tc>
        <w:tc>
          <w:tcPr>
            <w:tcW w:w="1442" w:type="dxa"/>
            <w:noWrap w:val="0"/>
            <w:vAlign w:val="center"/>
          </w:tcPr>
          <w:p>
            <w:pPr>
              <w:jc w:val="center"/>
              <w:rPr>
                <w:rFonts w:ascii="宋体" w:hAnsi="宋体" w:cs="宋体"/>
                <w:sz w:val="24"/>
                <w:highlight w:val="none"/>
              </w:rPr>
            </w:pPr>
          </w:p>
        </w:tc>
        <w:tc>
          <w:tcPr>
            <w:tcW w:w="2266" w:type="dxa"/>
            <w:noWrap w:val="0"/>
            <w:vAlign w:val="center"/>
          </w:tcPr>
          <w:p>
            <w:pPr>
              <w:jc w:val="center"/>
              <w:rPr>
                <w:rFonts w:ascii="宋体" w:hAnsi="宋体" w:cs="宋体"/>
                <w:sz w:val="24"/>
                <w:highlight w:val="none"/>
              </w:rPr>
            </w:pPr>
          </w:p>
        </w:tc>
        <w:tc>
          <w:tcPr>
            <w:tcW w:w="1161" w:type="dxa"/>
            <w:noWrap w:val="0"/>
            <w:vAlign w:val="center"/>
          </w:tcPr>
          <w:p>
            <w:pPr>
              <w:jc w:val="center"/>
              <w:rPr>
                <w:rFonts w:ascii="宋体" w:hAnsi="宋体" w:cs="宋体"/>
                <w:sz w:val="24"/>
                <w:highlight w:val="none"/>
              </w:rPr>
            </w:pPr>
          </w:p>
        </w:tc>
        <w:tc>
          <w:tcPr>
            <w:tcW w:w="1816" w:type="dxa"/>
            <w:noWrap w:val="0"/>
            <w:vAlign w:val="center"/>
          </w:tcPr>
          <w:p>
            <w:pPr>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dxa"/>
            <w:noWrap w:val="0"/>
            <w:vAlign w:val="center"/>
          </w:tcPr>
          <w:p>
            <w:pPr>
              <w:jc w:val="center"/>
              <w:rPr>
                <w:rFonts w:ascii="宋体" w:hAnsi="宋体" w:cs="宋体"/>
                <w:sz w:val="24"/>
                <w:highlight w:val="none"/>
              </w:rPr>
            </w:pPr>
          </w:p>
        </w:tc>
        <w:tc>
          <w:tcPr>
            <w:tcW w:w="1232" w:type="dxa"/>
            <w:noWrap w:val="0"/>
            <w:vAlign w:val="center"/>
          </w:tcPr>
          <w:p>
            <w:pPr>
              <w:jc w:val="center"/>
              <w:rPr>
                <w:rFonts w:ascii="宋体" w:hAnsi="宋体" w:cs="宋体"/>
                <w:sz w:val="24"/>
                <w:highlight w:val="none"/>
              </w:rPr>
            </w:pPr>
          </w:p>
        </w:tc>
        <w:tc>
          <w:tcPr>
            <w:tcW w:w="1442" w:type="dxa"/>
            <w:noWrap w:val="0"/>
            <w:vAlign w:val="center"/>
          </w:tcPr>
          <w:p>
            <w:pPr>
              <w:jc w:val="center"/>
              <w:rPr>
                <w:rFonts w:ascii="宋体" w:hAnsi="宋体" w:cs="宋体"/>
                <w:sz w:val="24"/>
                <w:highlight w:val="none"/>
              </w:rPr>
            </w:pPr>
          </w:p>
        </w:tc>
        <w:tc>
          <w:tcPr>
            <w:tcW w:w="2266" w:type="dxa"/>
            <w:noWrap w:val="0"/>
            <w:vAlign w:val="center"/>
          </w:tcPr>
          <w:p>
            <w:pPr>
              <w:jc w:val="center"/>
              <w:rPr>
                <w:rFonts w:ascii="宋体" w:hAnsi="宋体" w:cs="宋体"/>
                <w:sz w:val="24"/>
                <w:highlight w:val="none"/>
              </w:rPr>
            </w:pPr>
          </w:p>
        </w:tc>
        <w:tc>
          <w:tcPr>
            <w:tcW w:w="1161" w:type="dxa"/>
            <w:noWrap w:val="0"/>
            <w:vAlign w:val="center"/>
          </w:tcPr>
          <w:p>
            <w:pPr>
              <w:jc w:val="center"/>
              <w:rPr>
                <w:rFonts w:ascii="宋体" w:hAnsi="宋体" w:cs="宋体"/>
                <w:sz w:val="24"/>
                <w:highlight w:val="none"/>
              </w:rPr>
            </w:pPr>
          </w:p>
        </w:tc>
        <w:tc>
          <w:tcPr>
            <w:tcW w:w="1816" w:type="dxa"/>
            <w:noWrap w:val="0"/>
            <w:vAlign w:val="center"/>
          </w:tcPr>
          <w:p>
            <w:pPr>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dxa"/>
            <w:noWrap w:val="0"/>
            <w:vAlign w:val="center"/>
          </w:tcPr>
          <w:p>
            <w:pPr>
              <w:jc w:val="center"/>
              <w:rPr>
                <w:rFonts w:ascii="宋体" w:hAnsi="宋体" w:cs="宋体"/>
                <w:sz w:val="24"/>
                <w:highlight w:val="none"/>
              </w:rPr>
            </w:pPr>
          </w:p>
        </w:tc>
        <w:tc>
          <w:tcPr>
            <w:tcW w:w="1232" w:type="dxa"/>
            <w:noWrap w:val="0"/>
            <w:vAlign w:val="center"/>
          </w:tcPr>
          <w:p>
            <w:pPr>
              <w:jc w:val="center"/>
              <w:rPr>
                <w:rFonts w:ascii="宋体" w:hAnsi="宋体" w:cs="宋体"/>
                <w:sz w:val="24"/>
                <w:highlight w:val="none"/>
              </w:rPr>
            </w:pPr>
          </w:p>
        </w:tc>
        <w:tc>
          <w:tcPr>
            <w:tcW w:w="1442" w:type="dxa"/>
            <w:noWrap w:val="0"/>
            <w:vAlign w:val="center"/>
          </w:tcPr>
          <w:p>
            <w:pPr>
              <w:jc w:val="center"/>
              <w:rPr>
                <w:rFonts w:ascii="宋体" w:hAnsi="宋体" w:cs="宋体"/>
                <w:sz w:val="24"/>
                <w:highlight w:val="none"/>
              </w:rPr>
            </w:pPr>
          </w:p>
        </w:tc>
        <w:tc>
          <w:tcPr>
            <w:tcW w:w="2266" w:type="dxa"/>
            <w:noWrap w:val="0"/>
            <w:vAlign w:val="center"/>
          </w:tcPr>
          <w:p>
            <w:pPr>
              <w:jc w:val="center"/>
              <w:rPr>
                <w:rFonts w:ascii="宋体" w:hAnsi="宋体" w:cs="宋体"/>
                <w:sz w:val="24"/>
                <w:highlight w:val="none"/>
              </w:rPr>
            </w:pPr>
          </w:p>
        </w:tc>
        <w:tc>
          <w:tcPr>
            <w:tcW w:w="1161" w:type="dxa"/>
            <w:noWrap w:val="0"/>
            <w:vAlign w:val="center"/>
          </w:tcPr>
          <w:p>
            <w:pPr>
              <w:jc w:val="center"/>
              <w:rPr>
                <w:rFonts w:ascii="宋体" w:hAnsi="宋体" w:cs="宋体"/>
                <w:sz w:val="24"/>
                <w:highlight w:val="none"/>
              </w:rPr>
            </w:pPr>
          </w:p>
        </w:tc>
        <w:tc>
          <w:tcPr>
            <w:tcW w:w="1816" w:type="dxa"/>
            <w:noWrap w:val="0"/>
            <w:vAlign w:val="center"/>
          </w:tcPr>
          <w:p>
            <w:pPr>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dxa"/>
            <w:noWrap w:val="0"/>
            <w:vAlign w:val="center"/>
          </w:tcPr>
          <w:p>
            <w:pPr>
              <w:jc w:val="center"/>
              <w:rPr>
                <w:rFonts w:ascii="宋体" w:hAnsi="宋体" w:cs="宋体"/>
                <w:sz w:val="24"/>
                <w:highlight w:val="none"/>
              </w:rPr>
            </w:pPr>
          </w:p>
        </w:tc>
        <w:tc>
          <w:tcPr>
            <w:tcW w:w="1232" w:type="dxa"/>
            <w:noWrap w:val="0"/>
            <w:vAlign w:val="center"/>
          </w:tcPr>
          <w:p>
            <w:pPr>
              <w:jc w:val="center"/>
              <w:rPr>
                <w:rFonts w:ascii="宋体" w:hAnsi="宋体" w:cs="宋体"/>
                <w:sz w:val="24"/>
                <w:highlight w:val="none"/>
              </w:rPr>
            </w:pPr>
          </w:p>
        </w:tc>
        <w:tc>
          <w:tcPr>
            <w:tcW w:w="1442" w:type="dxa"/>
            <w:noWrap w:val="0"/>
            <w:vAlign w:val="center"/>
          </w:tcPr>
          <w:p>
            <w:pPr>
              <w:jc w:val="center"/>
              <w:rPr>
                <w:rFonts w:ascii="宋体" w:hAnsi="宋体" w:cs="宋体"/>
                <w:sz w:val="24"/>
                <w:highlight w:val="none"/>
              </w:rPr>
            </w:pPr>
          </w:p>
        </w:tc>
        <w:tc>
          <w:tcPr>
            <w:tcW w:w="2266" w:type="dxa"/>
            <w:noWrap w:val="0"/>
            <w:vAlign w:val="center"/>
          </w:tcPr>
          <w:p>
            <w:pPr>
              <w:jc w:val="center"/>
              <w:rPr>
                <w:rFonts w:ascii="宋体" w:hAnsi="宋体" w:cs="宋体"/>
                <w:sz w:val="24"/>
                <w:highlight w:val="none"/>
              </w:rPr>
            </w:pPr>
          </w:p>
        </w:tc>
        <w:tc>
          <w:tcPr>
            <w:tcW w:w="1161" w:type="dxa"/>
            <w:noWrap w:val="0"/>
            <w:vAlign w:val="center"/>
          </w:tcPr>
          <w:p>
            <w:pPr>
              <w:jc w:val="center"/>
              <w:rPr>
                <w:rFonts w:ascii="宋体" w:hAnsi="宋体" w:cs="宋体"/>
                <w:sz w:val="24"/>
                <w:highlight w:val="none"/>
              </w:rPr>
            </w:pPr>
          </w:p>
        </w:tc>
        <w:tc>
          <w:tcPr>
            <w:tcW w:w="1816" w:type="dxa"/>
            <w:noWrap w:val="0"/>
            <w:vAlign w:val="center"/>
          </w:tcPr>
          <w:p>
            <w:pPr>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dxa"/>
            <w:noWrap w:val="0"/>
            <w:vAlign w:val="center"/>
          </w:tcPr>
          <w:p>
            <w:pPr>
              <w:jc w:val="center"/>
              <w:rPr>
                <w:rFonts w:ascii="宋体" w:hAnsi="宋体" w:cs="宋体"/>
                <w:sz w:val="24"/>
                <w:highlight w:val="none"/>
              </w:rPr>
            </w:pPr>
          </w:p>
        </w:tc>
        <w:tc>
          <w:tcPr>
            <w:tcW w:w="1232" w:type="dxa"/>
            <w:noWrap w:val="0"/>
            <w:vAlign w:val="center"/>
          </w:tcPr>
          <w:p>
            <w:pPr>
              <w:jc w:val="center"/>
              <w:rPr>
                <w:rFonts w:ascii="宋体" w:hAnsi="宋体" w:cs="宋体"/>
                <w:sz w:val="24"/>
                <w:highlight w:val="none"/>
              </w:rPr>
            </w:pPr>
          </w:p>
        </w:tc>
        <w:tc>
          <w:tcPr>
            <w:tcW w:w="1442" w:type="dxa"/>
            <w:noWrap w:val="0"/>
            <w:vAlign w:val="center"/>
          </w:tcPr>
          <w:p>
            <w:pPr>
              <w:jc w:val="center"/>
              <w:rPr>
                <w:rFonts w:ascii="宋体" w:hAnsi="宋体" w:cs="宋体"/>
                <w:sz w:val="24"/>
                <w:highlight w:val="none"/>
              </w:rPr>
            </w:pPr>
          </w:p>
        </w:tc>
        <w:tc>
          <w:tcPr>
            <w:tcW w:w="2266" w:type="dxa"/>
            <w:noWrap w:val="0"/>
            <w:vAlign w:val="center"/>
          </w:tcPr>
          <w:p>
            <w:pPr>
              <w:jc w:val="center"/>
              <w:rPr>
                <w:rFonts w:ascii="宋体" w:hAnsi="宋体" w:cs="宋体"/>
                <w:sz w:val="24"/>
                <w:highlight w:val="none"/>
              </w:rPr>
            </w:pPr>
          </w:p>
        </w:tc>
        <w:tc>
          <w:tcPr>
            <w:tcW w:w="1161" w:type="dxa"/>
            <w:noWrap w:val="0"/>
            <w:vAlign w:val="center"/>
          </w:tcPr>
          <w:p>
            <w:pPr>
              <w:jc w:val="center"/>
              <w:rPr>
                <w:rFonts w:ascii="宋体" w:hAnsi="宋体" w:cs="宋体"/>
                <w:sz w:val="24"/>
                <w:highlight w:val="none"/>
              </w:rPr>
            </w:pPr>
          </w:p>
        </w:tc>
        <w:tc>
          <w:tcPr>
            <w:tcW w:w="1816" w:type="dxa"/>
            <w:noWrap w:val="0"/>
            <w:vAlign w:val="center"/>
          </w:tcPr>
          <w:p>
            <w:pPr>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dxa"/>
            <w:noWrap w:val="0"/>
            <w:vAlign w:val="center"/>
          </w:tcPr>
          <w:p>
            <w:pPr>
              <w:jc w:val="center"/>
              <w:rPr>
                <w:rFonts w:ascii="宋体" w:hAnsi="宋体" w:cs="宋体"/>
                <w:sz w:val="24"/>
                <w:highlight w:val="none"/>
              </w:rPr>
            </w:pPr>
          </w:p>
        </w:tc>
        <w:tc>
          <w:tcPr>
            <w:tcW w:w="1232" w:type="dxa"/>
            <w:noWrap w:val="0"/>
            <w:vAlign w:val="center"/>
          </w:tcPr>
          <w:p>
            <w:pPr>
              <w:jc w:val="center"/>
              <w:rPr>
                <w:rFonts w:ascii="宋体" w:hAnsi="宋体" w:cs="宋体"/>
                <w:sz w:val="24"/>
                <w:highlight w:val="none"/>
              </w:rPr>
            </w:pPr>
          </w:p>
        </w:tc>
        <w:tc>
          <w:tcPr>
            <w:tcW w:w="1442" w:type="dxa"/>
            <w:noWrap w:val="0"/>
            <w:vAlign w:val="center"/>
          </w:tcPr>
          <w:p>
            <w:pPr>
              <w:jc w:val="center"/>
              <w:rPr>
                <w:rFonts w:ascii="宋体" w:hAnsi="宋体" w:cs="宋体"/>
                <w:sz w:val="24"/>
                <w:highlight w:val="none"/>
              </w:rPr>
            </w:pPr>
          </w:p>
        </w:tc>
        <w:tc>
          <w:tcPr>
            <w:tcW w:w="2266" w:type="dxa"/>
            <w:noWrap w:val="0"/>
            <w:vAlign w:val="center"/>
          </w:tcPr>
          <w:p>
            <w:pPr>
              <w:jc w:val="center"/>
              <w:rPr>
                <w:rFonts w:ascii="宋体" w:hAnsi="宋体" w:cs="宋体"/>
                <w:sz w:val="24"/>
                <w:highlight w:val="none"/>
              </w:rPr>
            </w:pPr>
          </w:p>
        </w:tc>
        <w:tc>
          <w:tcPr>
            <w:tcW w:w="1161" w:type="dxa"/>
            <w:noWrap w:val="0"/>
            <w:vAlign w:val="center"/>
          </w:tcPr>
          <w:p>
            <w:pPr>
              <w:jc w:val="center"/>
              <w:rPr>
                <w:rFonts w:ascii="宋体" w:hAnsi="宋体" w:cs="宋体"/>
                <w:sz w:val="24"/>
                <w:highlight w:val="none"/>
              </w:rPr>
            </w:pPr>
          </w:p>
        </w:tc>
        <w:tc>
          <w:tcPr>
            <w:tcW w:w="1816" w:type="dxa"/>
            <w:noWrap w:val="0"/>
            <w:vAlign w:val="center"/>
          </w:tcPr>
          <w:p>
            <w:pPr>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dxa"/>
            <w:noWrap w:val="0"/>
            <w:vAlign w:val="center"/>
          </w:tcPr>
          <w:p>
            <w:pPr>
              <w:jc w:val="center"/>
              <w:rPr>
                <w:rFonts w:ascii="宋体" w:hAnsi="宋体" w:cs="宋体"/>
                <w:sz w:val="24"/>
                <w:highlight w:val="none"/>
              </w:rPr>
            </w:pPr>
          </w:p>
        </w:tc>
        <w:tc>
          <w:tcPr>
            <w:tcW w:w="1232" w:type="dxa"/>
            <w:noWrap w:val="0"/>
            <w:vAlign w:val="center"/>
          </w:tcPr>
          <w:p>
            <w:pPr>
              <w:jc w:val="center"/>
              <w:rPr>
                <w:rFonts w:ascii="宋体" w:hAnsi="宋体" w:cs="宋体"/>
                <w:sz w:val="24"/>
                <w:highlight w:val="none"/>
              </w:rPr>
            </w:pPr>
          </w:p>
        </w:tc>
        <w:tc>
          <w:tcPr>
            <w:tcW w:w="1442" w:type="dxa"/>
            <w:noWrap w:val="0"/>
            <w:vAlign w:val="center"/>
          </w:tcPr>
          <w:p>
            <w:pPr>
              <w:jc w:val="center"/>
              <w:rPr>
                <w:rFonts w:ascii="宋体" w:hAnsi="宋体" w:cs="宋体"/>
                <w:sz w:val="24"/>
                <w:highlight w:val="none"/>
              </w:rPr>
            </w:pPr>
          </w:p>
        </w:tc>
        <w:tc>
          <w:tcPr>
            <w:tcW w:w="2266" w:type="dxa"/>
            <w:noWrap w:val="0"/>
            <w:vAlign w:val="center"/>
          </w:tcPr>
          <w:p>
            <w:pPr>
              <w:jc w:val="center"/>
              <w:rPr>
                <w:rFonts w:ascii="宋体" w:hAnsi="宋体" w:cs="宋体"/>
                <w:sz w:val="24"/>
                <w:highlight w:val="none"/>
              </w:rPr>
            </w:pPr>
          </w:p>
        </w:tc>
        <w:tc>
          <w:tcPr>
            <w:tcW w:w="1161" w:type="dxa"/>
            <w:noWrap w:val="0"/>
            <w:vAlign w:val="center"/>
          </w:tcPr>
          <w:p>
            <w:pPr>
              <w:jc w:val="center"/>
              <w:rPr>
                <w:rFonts w:ascii="宋体" w:hAnsi="宋体" w:cs="宋体"/>
                <w:sz w:val="24"/>
                <w:highlight w:val="none"/>
              </w:rPr>
            </w:pPr>
          </w:p>
        </w:tc>
        <w:tc>
          <w:tcPr>
            <w:tcW w:w="1816" w:type="dxa"/>
            <w:noWrap w:val="0"/>
            <w:vAlign w:val="center"/>
          </w:tcPr>
          <w:p>
            <w:pPr>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dxa"/>
            <w:noWrap w:val="0"/>
            <w:vAlign w:val="center"/>
          </w:tcPr>
          <w:p>
            <w:pPr>
              <w:jc w:val="center"/>
              <w:rPr>
                <w:rFonts w:ascii="宋体" w:hAnsi="宋体" w:cs="宋体"/>
                <w:sz w:val="24"/>
                <w:highlight w:val="none"/>
              </w:rPr>
            </w:pPr>
          </w:p>
        </w:tc>
        <w:tc>
          <w:tcPr>
            <w:tcW w:w="1232" w:type="dxa"/>
            <w:noWrap w:val="0"/>
            <w:vAlign w:val="center"/>
          </w:tcPr>
          <w:p>
            <w:pPr>
              <w:jc w:val="center"/>
              <w:rPr>
                <w:rFonts w:ascii="宋体" w:hAnsi="宋体" w:cs="宋体"/>
                <w:sz w:val="24"/>
                <w:highlight w:val="none"/>
              </w:rPr>
            </w:pPr>
          </w:p>
        </w:tc>
        <w:tc>
          <w:tcPr>
            <w:tcW w:w="1442" w:type="dxa"/>
            <w:noWrap w:val="0"/>
            <w:vAlign w:val="center"/>
          </w:tcPr>
          <w:p>
            <w:pPr>
              <w:jc w:val="center"/>
              <w:rPr>
                <w:rFonts w:ascii="宋体" w:hAnsi="宋体" w:cs="宋体"/>
                <w:sz w:val="24"/>
                <w:highlight w:val="none"/>
              </w:rPr>
            </w:pPr>
          </w:p>
        </w:tc>
        <w:tc>
          <w:tcPr>
            <w:tcW w:w="2266" w:type="dxa"/>
            <w:noWrap w:val="0"/>
            <w:vAlign w:val="center"/>
          </w:tcPr>
          <w:p>
            <w:pPr>
              <w:jc w:val="center"/>
              <w:rPr>
                <w:rFonts w:ascii="宋体" w:hAnsi="宋体" w:cs="宋体"/>
                <w:sz w:val="24"/>
                <w:highlight w:val="none"/>
              </w:rPr>
            </w:pPr>
          </w:p>
        </w:tc>
        <w:tc>
          <w:tcPr>
            <w:tcW w:w="1161" w:type="dxa"/>
            <w:noWrap w:val="0"/>
            <w:vAlign w:val="center"/>
          </w:tcPr>
          <w:p>
            <w:pPr>
              <w:jc w:val="center"/>
              <w:rPr>
                <w:rFonts w:ascii="宋体" w:hAnsi="宋体" w:cs="宋体"/>
                <w:sz w:val="24"/>
                <w:highlight w:val="none"/>
              </w:rPr>
            </w:pPr>
          </w:p>
        </w:tc>
        <w:tc>
          <w:tcPr>
            <w:tcW w:w="1816" w:type="dxa"/>
            <w:noWrap w:val="0"/>
            <w:vAlign w:val="center"/>
          </w:tcPr>
          <w:p>
            <w:pPr>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dxa"/>
            <w:noWrap w:val="0"/>
            <w:vAlign w:val="center"/>
          </w:tcPr>
          <w:p>
            <w:pPr>
              <w:jc w:val="center"/>
              <w:rPr>
                <w:rFonts w:ascii="宋体" w:hAnsi="宋体" w:cs="宋体"/>
                <w:sz w:val="24"/>
                <w:highlight w:val="none"/>
              </w:rPr>
            </w:pPr>
          </w:p>
        </w:tc>
        <w:tc>
          <w:tcPr>
            <w:tcW w:w="1232" w:type="dxa"/>
            <w:noWrap w:val="0"/>
            <w:vAlign w:val="center"/>
          </w:tcPr>
          <w:p>
            <w:pPr>
              <w:jc w:val="center"/>
              <w:rPr>
                <w:rFonts w:ascii="宋体" w:hAnsi="宋体" w:cs="宋体"/>
                <w:sz w:val="24"/>
                <w:highlight w:val="none"/>
              </w:rPr>
            </w:pPr>
          </w:p>
        </w:tc>
        <w:tc>
          <w:tcPr>
            <w:tcW w:w="1442" w:type="dxa"/>
            <w:noWrap w:val="0"/>
            <w:vAlign w:val="center"/>
          </w:tcPr>
          <w:p>
            <w:pPr>
              <w:jc w:val="center"/>
              <w:rPr>
                <w:rFonts w:ascii="宋体" w:hAnsi="宋体" w:cs="宋体"/>
                <w:sz w:val="24"/>
                <w:highlight w:val="none"/>
              </w:rPr>
            </w:pPr>
          </w:p>
        </w:tc>
        <w:tc>
          <w:tcPr>
            <w:tcW w:w="2266" w:type="dxa"/>
            <w:noWrap w:val="0"/>
            <w:vAlign w:val="center"/>
          </w:tcPr>
          <w:p>
            <w:pPr>
              <w:jc w:val="center"/>
              <w:rPr>
                <w:rFonts w:ascii="宋体" w:hAnsi="宋体" w:cs="宋体"/>
                <w:sz w:val="24"/>
                <w:highlight w:val="none"/>
              </w:rPr>
            </w:pPr>
          </w:p>
        </w:tc>
        <w:tc>
          <w:tcPr>
            <w:tcW w:w="1161" w:type="dxa"/>
            <w:noWrap w:val="0"/>
            <w:vAlign w:val="center"/>
          </w:tcPr>
          <w:p>
            <w:pPr>
              <w:jc w:val="center"/>
              <w:rPr>
                <w:rFonts w:ascii="宋体" w:hAnsi="宋体" w:cs="宋体"/>
                <w:sz w:val="24"/>
                <w:highlight w:val="none"/>
              </w:rPr>
            </w:pPr>
          </w:p>
        </w:tc>
        <w:tc>
          <w:tcPr>
            <w:tcW w:w="1816" w:type="dxa"/>
            <w:noWrap w:val="0"/>
            <w:vAlign w:val="center"/>
          </w:tcPr>
          <w:p>
            <w:pPr>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dxa"/>
            <w:noWrap w:val="0"/>
            <w:vAlign w:val="center"/>
          </w:tcPr>
          <w:p>
            <w:pPr>
              <w:jc w:val="center"/>
              <w:rPr>
                <w:rFonts w:ascii="宋体" w:hAnsi="宋体" w:cs="宋体"/>
                <w:sz w:val="24"/>
                <w:highlight w:val="none"/>
              </w:rPr>
            </w:pPr>
          </w:p>
        </w:tc>
        <w:tc>
          <w:tcPr>
            <w:tcW w:w="1232" w:type="dxa"/>
            <w:noWrap w:val="0"/>
            <w:vAlign w:val="center"/>
          </w:tcPr>
          <w:p>
            <w:pPr>
              <w:jc w:val="center"/>
              <w:rPr>
                <w:rFonts w:ascii="宋体" w:hAnsi="宋体" w:cs="宋体"/>
                <w:sz w:val="24"/>
                <w:highlight w:val="none"/>
              </w:rPr>
            </w:pPr>
          </w:p>
        </w:tc>
        <w:tc>
          <w:tcPr>
            <w:tcW w:w="1442" w:type="dxa"/>
            <w:noWrap w:val="0"/>
            <w:vAlign w:val="center"/>
          </w:tcPr>
          <w:p>
            <w:pPr>
              <w:jc w:val="center"/>
              <w:rPr>
                <w:rFonts w:ascii="宋体" w:hAnsi="宋体" w:cs="宋体"/>
                <w:sz w:val="24"/>
                <w:highlight w:val="none"/>
              </w:rPr>
            </w:pPr>
          </w:p>
        </w:tc>
        <w:tc>
          <w:tcPr>
            <w:tcW w:w="2266" w:type="dxa"/>
            <w:noWrap w:val="0"/>
            <w:vAlign w:val="center"/>
          </w:tcPr>
          <w:p>
            <w:pPr>
              <w:jc w:val="center"/>
              <w:rPr>
                <w:rFonts w:ascii="宋体" w:hAnsi="宋体" w:cs="宋体"/>
                <w:sz w:val="24"/>
                <w:highlight w:val="none"/>
              </w:rPr>
            </w:pPr>
          </w:p>
        </w:tc>
        <w:tc>
          <w:tcPr>
            <w:tcW w:w="1161" w:type="dxa"/>
            <w:noWrap w:val="0"/>
            <w:vAlign w:val="center"/>
          </w:tcPr>
          <w:p>
            <w:pPr>
              <w:jc w:val="center"/>
              <w:rPr>
                <w:rFonts w:ascii="宋体" w:hAnsi="宋体" w:cs="宋体"/>
                <w:sz w:val="24"/>
                <w:highlight w:val="none"/>
              </w:rPr>
            </w:pPr>
          </w:p>
        </w:tc>
        <w:tc>
          <w:tcPr>
            <w:tcW w:w="1816" w:type="dxa"/>
            <w:noWrap w:val="0"/>
            <w:vAlign w:val="center"/>
          </w:tcPr>
          <w:p>
            <w:pPr>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dxa"/>
            <w:noWrap w:val="0"/>
            <w:vAlign w:val="center"/>
          </w:tcPr>
          <w:p>
            <w:pPr>
              <w:jc w:val="center"/>
              <w:rPr>
                <w:rFonts w:ascii="宋体" w:hAnsi="宋体" w:cs="宋体"/>
                <w:sz w:val="24"/>
                <w:highlight w:val="none"/>
              </w:rPr>
            </w:pPr>
          </w:p>
        </w:tc>
        <w:tc>
          <w:tcPr>
            <w:tcW w:w="1232" w:type="dxa"/>
            <w:noWrap w:val="0"/>
            <w:vAlign w:val="center"/>
          </w:tcPr>
          <w:p>
            <w:pPr>
              <w:jc w:val="center"/>
              <w:rPr>
                <w:rFonts w:ascii="宋体" w:hAnsi="宋体" w:cs="宋体"/>
                <w:sz w:val="24"/>
                <w:highlight w:val="none"/>
              </w:rPr>
            </w:pPr>
          </w:p>
        </w:tc>
        <w:tc>
          <w:tcPr>
            <w:tcW w:w="1442" w:type="dxa"/>
            <w:noWrap w:val="0"/>
            <w:vAlign w:val="center"/>
          </w:tcPr>
          <w:p>
            <w:pPr>
              <w:jc w:val="center"/>
              <w:rPr>
                <w:rFonts w:ascii="宋体" w:hAnsi="宋体" w:cs="宋体"/>
                <w:sz w:val="24"/>
                <w:highlight w:val="none"/>
              </w:rPr>
            </w:pPr>
          </w:p>
        </w:tc>
        <w:tc>
          <w:tcPr>
            <w:tcW w:w="2266" w:type="dxa"/>
            <w:noWrap w:val="0"/>
            <w:vAlign w:val="center"/>
          </w:tcPr>
          <w:p>
            <w:pPr>
              <w:jc w:val="center"/>
              <w:rPr>
                <w:rFonts w:ascii="宋体" w:hAnsi="宋体" w:cs="宋体"/>
                <w:sz w:val="24"/>
                <w:highlight w:val="none"/>
              </w:rPr>
            </w:pPr>
          </w:p>
        </w:tc>
        <w:tc>
          <w:tcPr>
            <w:tcW w:w="1161" w:type="dxa"/>
            <w:noWrap w:val="0"/>
            <w:vAlign w:val="center"/>
          </w:tcPr>
          <w:p>
            <w:pPr>
              <w:jc w:val="center"/>
              <w:rPr>
                <w:rFonts w:ascii="宋体" w:hAnsi="宋体" w:cs="宋体"/>
                <w:sz w:val="24"/>
                <w:highlight w:val="none"/>
              </w:rPr>
            </w:pPr>
          </w:p>
        </w:tc>
        <w:tc>
          <w:tcPr>
            <w:tcW w:w="1816" w:type="dxa"/>
            <w:noWrap w:val="0"/>
            <w:vAlign w:val="center"/>
          </w:tcPr>
          <w:p>
            <w:pPr>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dxa"/>
            <w:noWrap w:val="0"/>
            <w:vAlign w:val="center"/>
          </w:tcPr>
          <w:p>
            <w:pPr>
              <w:jc w:val="center"/>
              <w:rPr>
                <w:rFonts w:ascii="宋体" w:hAnsi="宋体" w:cs="宋体"/>
                <w:sz w:val="24"/>
                <w:highlight w:val="none"/>
              </w:rPr>
            </w:pPr>
          </w:p>
        </w:tc>
        <w:tc>
          <w:tcPr>
            <w:tcW w:w="1232" w:type="dxa"/>
            <w:noWrap w:val="0"/>
            <w:vAlign w:val="center"/>
          </w:tcPr>
          <w:p>
            <w:pPr>
              <w:jc w:val="center"/>
              <w:rPr>
                <w:rFonts w:ascii="宋体" w:hAnsi="宋体" w:cs="宋体"/>
                <w:sz w:val="24"/>
                <w:highlight w:val="none"/>
              </w:rPr>
            </w:pPr>
          </w:p>
        </w:tc>
        <w:tc>
          <w:tcPr>
            <w:tcW w:w="1442" w:type="dxa"/>
            <w:noWrap w:val="0"/>
            <w:vAlign w:val="center"/>
          </w:tcPr>
          <w:p>
            <w:pPr>
              <w:jc w:val="center"/>
              <w:rPr>
                <w:rFonts w:ascii="宋体" w:hAnsi="宋体" w:cs="宋体"/>
                <w:sz w:val="24"/>
                <w:highlight w:val="none"/>
              </w:rPr>
            </w:pPr>
          </w:p>
        </w:tc>
        <w:tc>
          <w:tcPr>
            <w:tcW w:w="2266" w:type="dxa"/>
            <w:noWrap w:val="0"/>
            <w:vAlign w:val="center"/>
          </w:tcPr>
          <w:p>
            <w:pPr>
              <w:jc w:val="center"/>
              <w:rPr>
                <w:rFonts w:ascii="宋体" w:hAnsi="宋体" w:cs="宋体"/>
                <w:sz w:val="24"/>
                <w:highlight w:val="none"/>
              </w:rPr>
            </w:pPr>
          </w:p>
        </w:tc>
        <w:tc>
          <w:tcPr>
            <w:tcW w:w="1161" w:type="dxa"/>
            <w:noWrap w:val="0"/>
            <w:vAlign w:val="center"/>
          </w:tcPr>
          <w:p>
            <w:pPr>
              <w:jc w:val="center"/>
              <w:rPr>
                <w:rFonts w:ascii="宋体" w:hAnsi="宋体" w:cs="宋体"/>
                <w:sz w:val="24"/>
                <w:highlight w:val="none"/>
              </w:rPr>
            </w:pPr>
          </w:p>
        </w:tc>
        <w:tc>
          <w:tcPr>
            <w:tcW w:w="1816" w:type="dxa"/>
            <w:noWrap w:val="0"/>
            <w:vAlign w:val="center"/>
          </w:tcPr>
          <w:p>
            <w:pPr>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dxa"/>
            <w:noWrap w:val="0"/>
            <w:vAlign w:val="center"/>
          </w:tcPr>
          <w:p>
            <w:pPr>
              <w:jc w:val="center"/>
              <w:rPr>
                <w:rFonts w:ascii="宋体" w:hAnsi="宋体" w:cs="宋体"/>
                <w:sz w:val="24"/>
                <w:highlight w:val="none"/>
              </w:rPr>
            </w:pPr>
          </w:p>
        </w:tc>
        <w:tc>
          <w:tcPr>
            <w:tcW w:w="1232" w:type="dxa"/>
            <w:noWrap w:val="0"/>
            <w:vAlign w:val="center"/>
          </w:tcPr>
          <w:p>
            <w:pPr>
              <w:jc w:val="center"/>
              <w:rPr>
                <w:rFonts w:ascii="宋体" w:hAnsi="宋体" w:cs="宋体"/>
                <w:sz w:val="24"/>
                <w:highlight w:val="none"/>
              </w:rPr>
            </w:pPr>
          </w:p>
        </w:tc>
        <w:tc>
          <w:tcPr>
            <w:tcW w:w="1442" w:type="dxa"/>
            <w:noWrap w:val="0"/>
            <w:vAlign w:val="center"/>
          </w:tcPr>
          <w:p>
            <w:pPr>
              <w:jc w:val="center"/>
              <w:rPr>
                <w:rFonts w:ascii="宋体" w:hAnsi="宋体" w:cs="宋体"/>
                <w:sz w:val="24"/>
                <w:highlight w:val="none"/>
              </w:rPr>
            </w:pPr>
          </w:p>
        </w:tc>
        <w:tc>
          <w:tcPr>
            <w:tcW w:w="2266" w:type="dxa"/>
            <w:noWrap w:val="0"/>
            <w:vAlign w:val="center"/>
          </w:tcPr>
          <w:p>
            <w:pPr>
              <w:jc w:val="center"/>
              <w:rPr>
                <w:rFonts w:ascii="宋体" w:hAnsi="宋体" w:cs="宋体"/>
                <w:sz w:val="24"/>
                <w:highlight w:val="none"/>
              </w:rPr>
            </w:pPr>
          </w:p>
        </w:tc>
        <w:tc>
          <w:tcPr>
            <w:tcW w:w="1161" w:type="dxa"/>
            <w:noWrap w:val="0"/>
            <w:vAlign w:val="center"/>
          </w:tcPr>
          <w:p>
            <w:pPr>
              <w:jc w:val="center"/>
              <w:rPr>
                <w:rFonts w:ascii="宋体" w:hAnsi="宋体" w:cs="宋体"/>
                <w:sz w:val="24"/>
                <w:highlight w:val="none"/>
              </w:rPr>
            </w:pPr>
          </w:p>
        </w:tc>
        <w:tc>
          <w:tcPr>
            <w:tcW w:w="1816" w:type="dxa"/>
            <w:noWrap w:val="0"/>
            <w:vAlign w:val="center"/>
          </w:tcPr>
          <w:p>
            <w:pPr>
              <w:jc w:val="center"/>
              <w:rPr>
                <w:rFonts w:ascii="宋体" w:hAnsi="宋体" w:cs="宋体"/>
                <w:sz w:val="24"/>
                <w:highlight w:val="none"/>
              </w:rPr>
            </w:pPr>
          </w:p>
        </w:tc>
      </w:tr>
    </w:tbl>
    <w:p>
      <w:pPr>
        <w:snapToGrid w:val="0"/>
        <w:spacing w:before="120" w:beforeLines="50"/>
        <w:ind w:firstLine="240" w:firstLineChars="1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附</w:t>
      </w:r>
      <w:r>
        <w:rPr>
          <w:rFonts w:hint="eastAsia" w:ascii="仿宋" w:hAnsi="仿宋" w:eastAsia="仿宋" w:cs="仿宋"/>
          <w:color w:val="auto"/>
          <w:sz w:val="24"/>
          <w:highlight w:val="none"/>
          <w:lang w:eastAsia="zh-CN"/>
        </w:rPr>
        <w:t>评审细则要求资料的扫描件或复印件</w:t>
      </w:r>
      <w:r>
        <w:rPr>
          <w:rFonts w:hint="eastAsia" w:ascii="仿宋" w:hAnsi="仿宋" w:eastAsia="仿宋" w:cs="仿宋"/>
          <w:color w:val="auto"/>
          <w:sz w:val="24"/>
          <w:highlight w:val="none"/>
        </w:rPr>
        <w:t>。</w:t>
      </w:r>
    </w:p>
    <w:p>
      <w:pPr>
        <w:pStyle w:val="22"/>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22"/>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22"/>
        <w:rPr>
          <w:rFonts w:hint="eastAsia" w:ascii="仿宋" w:hAnsi="仿宋" w:eastAsia="仿宋" w:cs="仿宋"/>
          <w:color w:val="auto"/>
          <w:sz w:val="24"/>
          <w:highlight w:val="none"/>
        </w:rPr>
      </w:pPr>
    </w:p>
    <w:p>
      <w:pPr>
        <w:rPr>
          <w:rFonts w:hint="eastAsia"/>
        </w:rPr>
      </w:pPr>
    </w:p>
    <w:p>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eastAsia="zh-CN"/>
        </w:rPr>
        <w:t>四</w:t>
      </w:r>
      <w:r>
        <w:rPr>
          <w:rFonts w:hint="eastAsia" w:ascii="仿宋" w:hAnsi="仿宋" w:eastAsia="仿宋" w:cs="仿宋"/>
          <w:b/>
          <w:color w:val="auto"/>
          <w:sz w:val="28"/>
          <w:szCs w:val="28"/>
          <w:highlight w:val="none"/>
        </w:rPr>
        <w:t>、供应商类似项目业绩</w:t>
      </w:r>
    </w:p>
    <w:tbl>
      <w:tblPr>
        <w:tblStyle w:val="50"/>
        <w:tblpPr w:leftFromText="180" w:rightFromText="180" w:vertAnchor="text" w:horzAnchor="page" w:tblpXSpec="center" w:tblpY="394"/>
        <w:tblOverlap w:val="never"/>
        <w:tblW w:w="92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0"/>
        <w:gridCol w:w="1692"/>
        <w:gridCol w:w="1415"/>
        <w:gridCol w:w="1655"/>
        <w:gridCol w:w="1870"/>
        <w:gridCol w:w="1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780" w:type="dxa"/>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692" w:type="dxa"/>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1415" w:type="dxa"/>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委托单位</w:t>
            </w:r>
          </w:p>
        </w:tc>
        <w:tc>
          <w:tcPr>
            <w:tcW w:w="1655" w:type="dxa"/>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项目类别</w:t>
            </w:r>
          </w:p>
        </w:tc>
        <w:tc>
          <w:tcPr>
            <w:tcW w:w="1870" w:type="dxa"/>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投资金额</w:t>
            </w:r>
          </w:p>
        </w:tc>
        <w:tc>
          <w:tcPr>
            <w:tcW w:w="1870" w:type="dxa"/>
            <w:noWrap w:val="0"/>
            <w:vAlign w:val="center"/>
          </w:tcPr>
          <w:p>
            <w:pPr>
              <w:snapToGrid w:val="0"/>
              <w:spacing w:before="120" w:beforeLine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合同签订时间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780" w:type="dxa"/>
            <w:noWrap w:val="0"/>
            <w:vAlign w:val="center"/>
          </w:tcPr>
          <w:p>
            <w:pPr>
              <w:jc w:val="center"/>
              <w:rPr>
                <w:rFonts w:ascii="宋体" w:hAnsi="宋体" w:cs="宋体"/>
                <w:szCs w:val="21"/>
                <w:highlight w:val="none"/>
              </w:rPr>
            </w:pPr>
          </w:p>
        </w:tc>
        <w:tc>
          <w:tcPr>
            <w:tcW w:w="1692" w:type="dxa"/>
            <w:noWrap w:val="0"/>
            <w:vAlign w:val="center"/>
          </w:tcPr>
          <w:p>
            <w:pPr>
              <w:jc w:val="center"/>
              <w:rPr>
                <w:rFonts w:ascii="宋体" w:hAnsi="宋体" w:cs="宋体"/>
                <w:szCs w:val="21"/>
                <w:highlight w:val="none"/>
              </w:rPr>
            </w:pPr>
          </w:p>
        </w:tc>
        <w:tc>
          <w:tcPr>
            <w:tcW w:w="1415" w:type="dxa"/>
            <w:noWrap w:val="0"/>
            <w:vAlign w:val="center"/>
          </w:tcPr>
          <w:p>
            <w:pPr>
              <w:jc w:val="center"/>
              <w:rPr>
                <w:rFonts w:ascii="宋体" w:hAnsi="宋体" w:cs="宋体"/>
                <w:szCs w:val="21"/>
                <w:highlight w:val="none"/>
              </w:rPr>
            </w:pPr>
          </w:p>
        </w:tc>
        <w:tc>
          <w:tcPr>
            <w:tcW w:w="1655" w:type="dxa"/>
            <w:noWrap w:val="0"/>
            <w:vAlign w:val="center"/>
          </w:tcPr>
          <w:p>
            <w:pPr>
              <w:jc w:val="center"/>
              <w:rPr>
                <w:rFonts w:ascii="宋体" w:hAnsi="宋体" w:cs="宋体"/>
                <w:szCs w:val="21"/>
                <w:highlight w:val="none"/>
              </w:rPr>
            </w:pPr>
          </w:p>
        </w:tc>
        <w:tc>
          <w:tcPr>
            <w:tcW w:w="1870" w:type="dxa"/>
            <w:noWrap w:val="0"/>
            <w:vAlign w:val="center"/>
          </w:tcPr>
          <w:p>
            <w:pPr>
              <w:jc w:val="center"/>
              <w:rPr>
                <w:rFonts w:ascii="宋体" w:hAnsi="宋体" w:cs="宋体"/>
                <w:szCs w:val="21"/>
                <w:highlight w:val="none"/>
              </w:rPr>
            </w:pPr>
          </w:p>
        </w:tc>
        <w:tc>
          <w:tcPr>
            <w:tcW w:w="1870" w:type="dxa"/>
            <w:noWrap w:val="0"/>
            <w:vAlign w:val="center"/>
          </w:tcPr>
          <w:p>
            <w:pPr>
              <w:jc w:val="center"/>
              <w:rPr>
                <w:rFonts w:ascii="宋体" w:hAnsi="宋体" w:cs="宋体"/>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780" w:type="dxa"/>
            <w:noWrap w:val="0"/>
            <w:vAlign w:val="center"/>
          </w:tcPr>
          <w:p>
            <w:pPr>
              <w:jc w:val="center"/>
              <w:rPr>
                <w:rFonts w:ascii="宋体" w:hAnsi="宋体" w:cs="宋体"/>
                <w:szCs w:val="21"/>
                <w:highlight w:val="none"/>
              </w:rPr>
            </w:pPr>
          </w:p>
        </w:tc>
        <w:tc>
          <w:tcPr>
            <w:tcW w:w="1692" w:type="dxa"/>
            <w:noWrap w:val="0"/>
            <w:vAlign w:val="center"/>
          </w:tcPr>
          <w:p>
            <w:pPr>
              <w:jc w:val="center"/>
              <w:rPr>
                <w:rFonts w:ascii="宋体" w:hAnsi="宋体" w:cs="宋体"/>
                <w:szCs w:val="21"/>
                <w:highlight w:val="none"/>
              </w:rPr>
            </w:pPr>
          </w:p>
        </w:tc>
        <w:tc>
          <w:tcPr>
            <w:tcW w:w="1415" w:type="dxa"/>
            <w:noWrap w:val="0"/>
            <w:vAlign w:val="center"/>
          </w:tcPr>
          <w:p>
            <w:pPr>
              <w:jc w:val="center"/>
              <w:rPr>
                <w:rFonts w:ascii="宋体" w:hAnsi="宋体" w:cs="宋体"/>
                <w:szCs w:val="21"/>
                <w:highlight w:val="none"/>
              </w:rPr>
            </w:pPr>
          </w:p>
        </w:tc>
        <w:tc>
          <w:tcPr>
            <w:tcW w:w="1655" w:type="dxa"/>
            <w:noWrap w:val="0"/>
            <w:vAlign w:val="center"/>
          </w:tcPr>
          <w:p>
            <w:pPr>
              <w:jc w:val="center"/>
              <w:rPr>
                <w:rFonts w:ascii="宋体" w:hAnsi="宋体" w:cs="宋体"/>
                <w:szCs w:val="21"/>
                <w:highlight w:val="none"/>
              </w:rPr>
            </w:pPr>
          </w:p>
        </w:tc>
        <w:tc>
          <w:tcPr>
            <w:tcW w:w="1870" w:type="dxa"/>
            <w:noWrap w:val="0"/>
            <w:vAlign w:val="center"/>
          </w:tcPr>
          <w:p>
            <w:pPr>
              <w:jc w:val="center"/>
              <w:rPr>
                <w:rFonts w:ascii="宋体" w:hAnsi="宋体" w:cs="宋体"/>
                <w:szCs w:val="21"/>
                <w:highlight w:val="none"/>
              </w:rPr>
            </w:pPr>
          </w:p>
        </w:tc>
        <w:tc>
          <w:tcPr>
            <w:tcW w:w="1870" w:type="dxa"/>
            <w:noWrap w:val="0"/>
            <w:vAlign w:val="center"/>
          </w:tcPr>
          <w:p>
            <w:pPr>
              <w:jc w:val="center"/>
              <w:rPr>
                <w:rFonts w:ascii="宋体" w:hAnsi="宋体" w:cs="宋体"/>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780" w:type="dxa"/>
            <w:noWrap w:val="0"/>
            <w:vAlign w:val="center"/>
          </w:tcPr>
          <w:p>
            <w:pPr>
              <w:jc w:val="center"/>
              <w:rPr>
                <w:rFonts w:ascii="宋体" w:hAnsi="宋体" w:cs="宋体"/>
                <w:szCs w:val="21"/>
                <w:highlight w:val="none"/>
              </w:rPr>
            </w:pPr>
          </w:p>
        </w:tc>
        <w:tc>
          <w:tcPr>
            <w:tcW w:w="1692" w:type="dxa"/>
            <w:noWrap w:val="0"/>
            <w:vAlign w:val="center"/>
          </w:tcPr>
          <w:p>
            <w:pPr>
              <w:jc w:val="center"/>
              <w:rPr>
                <w:rFonts w:ascii="宋体" w:hAnsi="宋体" w:cs="宋体"/>
                <w:szCs w:val="21"/>
                <w:highlight w:val="none"/>
              </w:rPr>
            </w:pPr>
          </w:p>
        </w:tc>
        <w:tc>
          <w:tcPr>
            <w:tcW w:w="1415" w:type="dxa"/>
            <w:noWrap w:val="0"/>
            <w:vAlign w:val="center"/>
          </w:tcPr>
          <w:p>
            <w:pPr>
              <w:jc w:val="center"/>
              <w:rPr>
                <w:rFonts w:ascii="宋体" w:hAnsi="宋体" w:cs="宋体"/>
                <w:szCs w:val="21"/>
                <w:highlight w:val="none"/>
              </w:rPr>
            </w:pPr>
          </w:p>
        </w:tc>
        <w:tc>
          <w:tcPr>
            <w:tcW w:w="1655" w:type="dxa"/>
            <w:noWrap w:val="0"/>
            <w:vAlign w:val="center"/>
          </w:tcPr>
          <w:p>
            <w:pPr>
              <w:jc w:val="center"/>
              <w:rPr>
                <w:rFonts w:ascii="宋体" w:hAnsi="宋体" w:cs="宋体"/>
                <w:szCs w:val="21"/>
                <w:highlight w:val="none"/>
              </w:rPr>
            </w:pPr>
          </w:p>
        </w:tc>
        <w:tc>
          <w:tcPr>
            <w:tcW w:w="1870" w:type="dxa"/>
            <w:noWrap w:val="0"/>
            <w:vAlign w:val="center"/>
          </w:tcPr>
          <w:p>
            <w:pPr>
              <w:jc w:val="center"/>
              <w:rPr>
                <w:rFonts w:ascii="宋体" w:hAnsi="宋体" w:cs="宋体"/>
                <w:szCs w:val="21"/>
                <w:highlight w:val="none"/>
              </w:rPr>
            </w:pPr>
          </w:p>
        </w:tc>
        <w:tc>
          <w:tcPr>
            <w:tcW w:w="1870" w:type="dxa"/>
            <w:noWrap w:val="0"/>
            <w:vAlign w:val="center"/>
          </w:tcPr>
          <w:p>
            <w:pPr>
              <w:jc w:val="center"/>
              <w:rPr>
                <w:rFonts w:ascii="宋体" w:hAnsi="宋体" w:cs="宋体"/>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780" w:type="dxa"/>
            <w:noWrap w:val="0"/>
            <w:vAlign w:val="center"/>
          </w:tcPr>
          <w:p>
            <w:pPr>
              <w:jc w:val="center"/>
              <w:rPr>
                <w:rFonts w:ascii="宋体" w:hAnsi="宋体" w:cs="宋体"/>
                <w:szCs w:val="21"/>
                <w:highlight w:val="none"/>
              </w:rPr>
            </w:pPr>
          </w:p>
        </w:tc>
        <w:tc>
          <w:tcPr>
            <w:tcW w:w="1692" w:type="dxa"/>
            <w:noWrap w:val="0"/>
            <w:vAlign w:val="center"/>
          </w:tcPr>
          <w:p>
            <w:pPr>
              <w:jc w:val="center"/>
              <w:rPr>
                <w:rFonts w:ascii="宋体" w:hAnsi="宋体" w:cs="宋体"/>
                <w:szCs w:val="21"/>
                <w:highlight w:val="none"/>
              </w:rPr>
            </w:pPr>
          </w:p>
        </w:tc>
        <w:tc>
          <w:tcPr>
            <w:tcW w:w="1415" w:type="dxa"/>
            <w:noWrap w:val="0"/>
            <w:vAlign w:val="center"/>
          </w:tcPr>
          <w:p>
            <w:pPr>
              <w:jc w:val="center"/>
              <w:rPr>
                <w:rFonts w:ascii="宋体" w:hAnsi="宋体" w:cs="宋体"/>
                <w:szCs w:val="21"/>
                <w:highlight w:val="none"/>
              </w:rPr>
            </w:pPr>
          </w:p>
        </w:tc>
        <w:tc>
          <w:tcPr>
            <w:tcW w:w="1655" w:type="dxa"/>
            <w:noWrap w:val="0"/>
            <w:vAlign w:val="center"/>
          </w:tcPr>
          <w:p>
            <w:pPr>
              <w:jc w:val="center"/>
              <w:rPr>
                <w:rFonts w:ascii="宋体" w:hAnsi="宋体" w:cs="宋体"/>
                <w:szCs w:val="21"/>
                <w:highlight w:val="none"/>
              </w:rPr>
            </w:pPr>
          </w:p>
        </w:tc>
        <w:tc>
          <w:tcPr>
            <w:tcW w:w="1870" w:type="dxa"/>
            <w:noWrap w:val="0"/>
            <w:vAlign w:val="center"/>
          </w:tcPr>
          <w:p>
            <w:pPr>
              <w:jc w:val="center"/>
              <w:rPr>
                <w:rFonts w:ascii="宋体" w:hAnsi="宋体" w:cs="宋体"/>
                <w:szCs w:val="21"/>
                <w:highlight w:val="none"/>
              </w:rPr>
            </w:pPr>
          </w:p>
        </w:tc>
        <w:tc>
          <w:tcPr>
            <w:tcW w:w="1870" w:type="dxa"/>
            <w:noWrap w:val="0"/>
            <w:vAlign w:val="center"/>
          </w:tcPr>
          <w:p>
            <w:pPr>
              <w:jc w:val="center"/>
              <w:rPr>
                <w:rFonts w:ascii="宋体" w:hAnsi="宋体" w:cs="宋体"/>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780" w:type="dxa"/>
            <w:noWrap w:val="0"/>
            <w:vAlign w:val="center"/>
          </w:tcPr>
          <w:p>
            <w:pPr>
              <w:jc w:val="center"/>
              <w:rPr>
                <w:rFonts w:ascii="宋体" w:hAnsi="宋体" w:cs="宋体"/>
                <w:szCs w:val="21"/>
                <w:highlight w:val="none"/>
              </w:rPr>
            </w:pPr>
          </w:p>
        </w:tc>
        <w:tc>
          <w:tcPr>
            <w:tcW w:w="1692" w:type="dxa"/>
            <w:noWrap w:val="0"/>
            <w:vAlign w:val="center"/>
          </w:tcPr>
          <w:p>
            <w:pPr>
              <w:jc w:val="center"/>
              <w:rPr>
                <w:rFonts w:ascii="宋体" w:hAnsi="宋体" w:cs="宋体"/>
                <w:szCs w:val="21"/>
                <w:highlight w:val="none"/>
              </w:rPr>
            </w:pPr>
          </w:p>
        </w:tc>
        <w:tc>
          <w:tcPr>
            <w:tcW w:w="1415" w:type="dxa"/>
            <w:noWrap w:val="0"/>
            <w:vAlign w:val="center"/>
          </w:tcPr>
          <w:p>
            <w:pPr>
              <w:jc w:val="center"/>
              <w:rPr>
                <w:rFonts w:ascii="宋体" w:hAnsi="宋体" w:cs="宋体"/>
                <w:szCs w:val="21"/>
                <w:highlight w:val="none"/>
              </w:rPr>
            </w:pPr>
          </w:p>
        </w:tc>
        <w:tc>
          <w:tcPr>
            <w:tcW w:w="1655" w:type="dxa"/>
            <w:noWrap w:val="0"/>
            <w:vAlign w:val="center"/>
          </w:tcPr>
          <w:p>
            <w:pPr>
              <w:jc w:val="center"/>
              <w:rPr>
                <w:rFonts w:ascii="宋体" w:hAnsi="宋体" w:cs="宋体"/>
                <w:szCs w:val="21"/>
                <w:highlight w:val="none"/>
              </w:rPr>
            </w:pPr>
          </w:p>
        </w:tc>
        <w:tc>
          <w:tcPr>
            <w:tcW w:w="1870" w:type="dxa"/>
            <w:noWrap w:val="0"/>
            <w:vAlign w:val="center"/>
          </w:tcPr>
          <w:p>
            <w:pPr>
              <w:jc w:val="center"/>
              <w:rPr>
                <w:rFonts w:ascii="宋体" w:hAnsi="宋体" w:cs="宋体"/>
                <w:szCs w:val="21"/>
                <w:highlight w:val="none"/>
              </w:rPr>
            </w:pPr>
          </w:p>
        </w:tc>
        <w:tc>
          <w:tcPr>
            <w:tcW w:w="1870" w:type="dxa"/>
            <w:noWrap w:val="0"/>
            <w:vAlign w:val="center"/>
          </w:tcPr>
          <w:p>
            <w:pPr>
              <w:jc w:val="center"/>
              <w:rPr>
                <w:rFonts w:ascii="宋体" w:hAnsi="宋体" w:cs="宋体"/>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780" w:type="dxa"/>
            <w:noWrap w:val="0"/>
            <w:vAlign w:val="center"/>
          </w:tcPr>
          <w:p>
            <w:pPr>
              <w:jc w:val="center"/>
              <w:rPr>
                <w:rFonts w:ascii="宋体" w:hAnsi="宋体" w:cs="宋体"/>
                <w:szCs w:val="21"/>
                <w:highlight w:val="none"/>
              </w:rPr>
            </w:pPr>
          </w:p>
        </w:tc>
        <w:tc>
          <w:tcPr>
            <w:tcW w:w="1692" w:type="dxa"/>
            <w:noWrap w:val="0"/>
            <w:vAlign w:val="center"/>
          </w:tcPr>
          <w:p>
            <w:pPr>
              <w:jc w:val="center"/>
              <w:rPr>
                <w:rFonts w:ascii="宋体" w:hAnsi="宋体" w:cs="宋体"/>
                <w:szCs w:val="21"/>
                <w:highlight w:val="none"/>
              </w:rPr>
            </w:pPr>
          </w:p>
        </w:tc>
        <w:tc>
          <w:tcPr>
            <w:tcW w:w="1415" w:type="dxa"/>
            <w:noWrap w:val="0"/>
            <w:vAlign w:val="center"/>
          </w:tcPr>
          <w:p>
            <w:pPr>
              <w:jc w:val="center"/>
              <w:rPr>
                <w:rFonts w:ascii="宋体" w:hAnsi="宋体" w:cs="宋体"/>
                <w:szCs w:val="21"/>
                <w:highlight w:val="none"/>
              </w:rPr>
            </w:pPr>
          </w:p>
        </w:tc>
        <w:tc>
          <w:tcPr>
            <w:tcW w:w="1655" w:type="dxa"/>
            <w:noWrap w:val="0"/>
            <w:vAlign w:val="center"/>
          </w:tcPr>
          <w:p>
            <w:pPr>
              <w:jc w:val="center"/>
              <w:rPr>
                <w:rFonts w:ascii="宋体" w:hAnsi="宋体" w:cs="宋体"/>
                <w:szCs w:val="21"/>
                <w:highlight w:val="none"/>
              </w:rPr>
            </w:pPr>
          </w:p>
        </w:tc>
        <w:tc>
          <w:tcPr>
            <w:tcW w:w="1870" w:type="dxa"/>
            <w:noWrap w:val="0"/>
            <w:vAlign w:val="center"/>
          </w:tcPr>
          <w:p>
            <w:pPr>
              <w:jc w:val="center"/>
              <w:rPr>
                <w:rFonts w:ascii="宋体" w:hAnsi="宋体" w:cs="宋体"/>
                <w:szCs w:val="21"/>
                <w:highlight w:val="none"/>
              </w:rPr>
            </w:pPr>
          </w:p>
        </w:tc>
        <w:tc>
          <w:tcPr>
            <w:tcW w:w="1870" w:type="dxa"/>
            <w:noWrap w:val="0"/>
            <w:vAlign w:val="center"/>
          </w:tcPr>
          <w:p>
            <w:pPr>
              <w:jc w:val="center"/>
              <w:rPr>
                <w:rFonts w:ascii="宋体" w:hAnsi="宋体" w:cs="宋体"/>
                <w:szCs w:val="21"/>
                <w:highlight w:val="none"/>
              </w:rPr>
            </w:pPr>
          </w:p>
        </w:tc>
      </w:tr>
    </w:tbl>
    <w:p>
      <w:pPr>
        <w:snapToGrid w:val="0"/>
        <w:spacing w:before="120" w:beforeLines="50"/>
        <w:ind w:firstLine="240" w:firstLineChars="1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附</w:t>
      </w:r>
      <w:r>
        <w:rPr>
          <w:rFonts w:hint="eastAsia" w:ascii="仿宋" w:hAnsi="仿宋" w:eastAsia="仿宋" w:cs="仿宋"/>
          <w:color w:val="auto"/>
          <w:sz w:val="24"/>
          <w:highlight w:val="none"/>
          <w:lang w:eastAsia="zh-CN"/>
        </w:rPr>
        <w:t>评审细则要求资料的扫描件或复印件</w:t>
      </w:r>
      <w:r>
        <w:rPr>
          <w:rFonts w:hint="eastAsia" w:ascii="仿宋" w:hAnsi="仿宋" w:eastAsia="仿宋" w:cs="仿宋"/>
          <w:color w:val="auto"/>
          <w:sz w:val="24"/>
          <w:highlight w:val="none"/>
        </w:rPr>
        <w:t>。</w:t>
      </w:r>
    </w:p>
    <w:p>
      <w:pPr>
        <w:jc w:val="center"/>
        <w:rPr>
          <w:rFonts w:hint="eastAsia" w:ascii="仿宋" w:hAnsi="仿宋" w:eastAsia="仿宋" w:cs="仿宋"/>
          <w:b/>
          <w:color w:val="auto"/>
          <w:sz w:val="28"/>
          <w:szCs w:val="28"/>
          <w:highlight w:val="none"/>
          <w:lang w:eastAsia="zh-CN"/>
        </w:rPr>
      </w:pPr>
    </w:p>
    <w:p>
      <w:pPr>
        <w:jc w:val="center"/>
        <w:rPr>
          <w:rFonts w:hint="eastAsia" w:ascii="仿宋" w:hAnsi="仿宋" w:eastAsia="仿宋" w:cs="仿宋"/>
          <w:b/>
          <w:color w:val="auto"/>
          <w:sz w:val="28"/>
          <w:szCs w:val="28"/>
          <w:highlight w:val="none"/>
          <w:lang w:eastAsia="zh-CN"/>
        </w:rPr>
      </w:pPr>
    </w:p>
    <w:p>
      <w:pPr>
        <w:jc w:val="center"/>
        <w:rPr>
          <w:rFonts w:hint="eastAsia" w:ascii="仿宋" w:hAnsi="仿宋" w:eastAsia="仿宋" w:cs="仿宋"/>
          <w:b/>
          <w:color w:val="auto"/>
          <w:sz w:val="28"/>
          <w:szCs w:val="28"/>
          <w:highlight w:val="none"/>
          <w:lang w:eastAsia="zh-CN"/>
        </w:rPr>
      </w:pPr>
    </w:p>
    <w:p>
      <w:pPr>
        <w:jc w:val="center"/>
        <w:rPr>
          <w:rFonts w:hint="eastAsia" w:ascii="仿宋" w:hAnsi="仿宋" w:eastAsia="仿宋" w:cs="仿宋"/>
          <w:b/>
          <w:color w:val="auto"/>
          <w:sz w:val="28"/>
          <w:szCs w:val="28"/>
          <w:highlight w:val="none"/>
          <w:lang w:eastAsia="zh-CN"/>
        </w:rPr>
      </w:pPr>
    </w:p>
    <w:p>
      <w:pPr>
        <w:jc w:val="center"/>
        <w:rPr>
          <w:rFonts w:hint="eastAsia" w:ascii="仿宋" w:hAnsi="仿宋" w:eastAsia="仿宋" w:cs="仿宋"/>
          <w:b/>
          <w:color w:val="auto"/>
          <w:sz w:val="28"/>
          <w:szCs w:val="28"/>
          <w:highlight w:val="none"/>
          <w:lang w:eastAsia="zh-CN"/>
        </w:rPr>
      </w:pPr>
    </w:p>
    <w:p>
      <w:pPr>
        <w:jc w:val="center"/>
        <w:rPr>
          <w:rFonts w:hint="eastAsia" w:ascii="仿宋" w:hAnsi="仿宋" w:eastAsia="仿宋" w:cs="仿宋"/>
          <w:b/>
          <w:color w:val="auto"/>
          <w:sz w:val="28"/>
          <w:szCs w:val="28"/>
          <w:highlight w:val="none"/>
          <w:lang w:eastAsia="zh-CN"/>
        </w:rPr>
      </w:pPr>
    </w:p>
    <w:p>
      <w:pPr>
        <w:jc w:val="center"/>
        <w:rPr>
          <w:rFonts w:hint="eastAsia" w:ascii="仿宋" w:hAnsi="仿宋" w:eastAsia="仿宋" w:cs="仿宋"/>
          <w:b/>
          <w:color w:val="auto"/>
          <w:sz w:val="28"/>
          <w:szCs w:val="28"/>
          <w:highlight w:val="none"/>
          <w:lang w:eastAsia="zh-CN"/>
        </w:rPr>
      </w:pPr>
    </w:p>
    <w:p>
      <w:pPr>
        <w:jc w:val="center"/>
        <w:rPr>
          <w:rFonts w:hint="eastAsia" w:ascii="仿宋" w:hAnsi="仿宋" w:eastAsia="仿宋" w:cs="仿宋"/>
          <w:b/>
          <w:color w:val="auto"/>
          <w:sz w:val="28"/>
          <w:szCs w:val="28"/>
          <w:highlight w:val="none"/>
          <w:lang w:eastAsia="zh-CN"/>
        </w:rPr>
      </w:pPr>
    </w:p>
    <w:p>
      <w:pPr>
        <w:jc w:val="center"/>
        <w:rPr>
          <w:rFonts w:hint="eastAsia" w:ascii="仿宋" w:hAnsi="仿宋" w:eastAsia="仿宋" w:cs="仿宋"/>
          <w:b/>
          <w:color w:val="auto"/>
          <w:sz w:val="28"/>
          <w:szCs w:val="28"/>
          <w:highlight w:val="none"/>
          <w:lang w:eastAsia="zh-CN"/>
        </w:rPr>
      </w:pPr>
    </w:p>
    <w:p>
      <w:pPr>
        <w:jc w:val="center"/>
        <w:rPr>
          <w:rFonts w:hint="eastAsia" w:ascii="仿宋" w:hAnsi="仿宋" w:eastAsia="仿宋" w:cs="仿宋"/>
          <w:b/>
          <w:color w:val="auto"/>
          <w:sz w:val="28"/>
          <w:szCs w:val="28"/>
          <w:highlight w:val="none"/>
          <w:lang w:eastAsia="zh-CN"/>
        </w:rPr>
      </w:pPr>
    </w:p>
    <w:p>
      <w:pPr>
        <w:jc w:val="center"/>
        <w:rPr>
          <w:rFonts w:hint="eastAsia" w:ascii="仿宋" w:hAnsi="仿宋" w:eastAsia="仿宋" w:cs="仿宋"/>
          <w:b/>
          <w:color w:val="auto"/>
          <w:sz w:val="28"/>
          <w:szCs w:val="28"/>
          <w:highlight w:val="none"/>
          <w:lang w:eastAsia="zh-CN"/>
        </w:rPr>
      </w:pPr>
    </w:p>
    <w:p>
      <w:pPr>
        <w:jc w:val="center"/>
        <w:rPr>
          <w:rFonts w:hint="eastAsia" w:ascii="仿宋" w:hAnsi="仿宋" w:eastAsia="仿宋" w:cs="仿宋"/>
          <w:b/>
          <w:color w:val="auto"/>
          <w:sz w:val="28"/>
          <w:szCs w:val="28"/>
          <w:highlight w:val="none"/>
          <w:lang w:eastAsia="zh-CN"/>
        </w:rPr>
      </w:pPr>
    </w:p>
    <w:p>
      <w:pPr>
        <w:jc w:val="center"/>
        <w:rPr>
          <w:rFonts w:hint="eastAsia" w:ascii="仿宋" w:hAnsi="仿宋" w:eastAsia="仿宋" w:cs="仿宋"/>
          <w:b/>
          <w:color w:val="auto"/>
          <w:sz w:val="28"/>
          <w:szCs w:val="28"/>
          <w:highlight w:val="none"/>
          <w:lang w:eastAsia="zh-CN"/>
        </w:rPr>
      </w:pPr>
    </w:p>
    <w:p>
      <w:pPr>
        <w:jc w:val="center"/>
        <w:rPr>
          <w:rFonts w:hint="eastAsia" w:ascii="仿宋" w:hAnsi="仿宋" w:eastAsia="仿宋" w:cs="仿宋"/>
          <w:b/>
          <w:color w:val="auto"/>
          <w:sz w:val="28"/>
          <w:szCs w:val="28"/>
          <w:highlight w:val="none"/>
          <w:lang w:eastAsia="zh-CN"/>
        </w:rPr>
      </w:pPr>
    </w:p>
    <w:p>
      <w:pPr>
        <w:jc w:val="center"/>
        <w:rPr>
          <w:rFonts w:hint="eastAsia" w:ascii="仿宋" w:hAnsi="仿宋" w:eastAsia="仿宋" w:cs="仿宋"/>
          <w:b/>
          <w:color w:val="auto"/>
          <w:sz w:val="28"/>
          <w:szCs w:val="28"/>
          <w:highlight w:val="none"/>
          <w:lang w:eastAsia="zh-CN"/>
        </w:rPr>
      </w:pPr>
    </w:p>
    <w:p>
      <w:pPr>
        <w:jc w:val="center"/>
        <w:rPr>
          <w:rFonts w:hint="eastAsia" w:ascii="仿宋" w:hAnsi="仿宋" w:eastAsia="仿宋" w:cs="仿宋"/>
          <w:b/>
          <w:color w:val="auto"/>
          <w:sz w:val="28"/>
          <w:szCs w:val="28"/>
          <w:highlight w:val="none"/>
          <w:lang w:eastAsia="zh-CN"/>
        </w:rPr>
      </w:pPr>
    </w:p>
    <w:p>
      <w:pPr>
        <w:jc w:val="center"/>
        <w:rPr>
          <w:rFonts w:hint="eastAsia" w:ascii="仿宋" w:hAnsi="仿宋" w:eastAsia="仿宋" w:cs="仿宋"/>
          <w:b/>
          <w:color w:val="auto"/>
          <w:sz w:val="28"/>
          <w:szCs w:val="28"/>
          <w:highlight w:val="none"/>
          <w:lang w:eastAsia="zh-CN"/>
        </w:rPr>
      </w:pPr>
    </w:p>
    <w:p>
      <w:pPr>
        <w:jc w:val="center"/>
        <w:rPr>
          <w:rFonts w:hint="eastAsia" w:ascii="仿宋" w:hAnsi="仿宋" w:eastAsia="仿宋" w:cs="仿宋"/>
          <w:b/>
          <w:color w:val="auto"/>
          <w:sz w:val="28"/>
          <w:szCs w:val="28"/>
          <w:highlight w:val="none"/>
          <w:lang w:eastAsia="zh-CN"/>
        </w:rPr>
      </w:pP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五、服务方案</w:t>
      </w:r>
    </w:p>
    <w:p>
      <w:pPr>
        <w:spacing w:line="360" w:lineRule="auto"/>
        <w:rPr>
          <w:rFonts w:ascii="宋体" w:hAnsi="宋体" w:cs="宋体"/>
          <w:highlight w:val="none"/>
        </w:rPr>
      </w:pPr>
    </w:p>
    <w:p>
      <w:pPr>
        <w:snapToGrid w:val="0"/>
        <w:spacing w:before="120" w:beforeLines="50"/>
        <w:ind w:firstLine="240" w:firstLineChars="1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服务方案应包括（但不限于）下列内容：</w:t>
      </w:r>
    </w:p>
    <w:p>
      <w:pPr>
        <w:snapToGrid w:val="0"/>
        <w:spacing w:before="120" w:beforeLines="50"/>
        <w:ind w:firstLine="240" w:firstLineChars="100"/>
        <w:jc w:val="left"/>
        <w:rPr>
          <w:rFonts w:hint="eastAsia" w:ascii="仿宋" w:hAnsi="仿宋" w:eastAsia="仿宋" w:cs="仿宋"/>
          <w:color w:val="auto"/>
          <w:sz w:val="24"/>
          <w:highlight w:val="none"/>
          <w:lang w:eastAsia="zh-CN"/>
        </w:rPr>
      </w:pPr>
    </w:p>
    <w:p>
      <w:pPr>
        <w:snapToGrid w:val="0"/>
        <w:spacing w:before="120" w:beforeLines="50"/>
        <w:ind w:firstLine="240" w:firstLineChars="1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1.服务质量保证措施</w:t>
      </w:r>
    </w:p>
    <w:p>
      <w:pPr>
        <w:snapToGrid w:val="0"/>
        <w:spacing w:before="120" w:beforeLines="50"/>
        <w:ind w:firstLine="240" w:firstLineChars="1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2.工程量清单、施工图预算编制规范性和准确性的保证措施</w:t>
      </w:r>
    </w:p>
    <w:p>
      <w:pPr>
        <w:snapToGrid w:val="0"/>
        <w:spacing w:before="120" w:beforeLines="50"/>
        <w:ind w:firstLine="240" w:firstLineChars="1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3.工作时限保证措施</w:t>
      </w:r>
    </w:p>
    <w:p>
      <w:pPr>
        <w:snapToGrid w:val="0"/>
        <w:spacing w:before="120" w:beforeLines="50"/>
        <w:ind w:firstLine="240" w:firstLineChars="1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4.工作流程及工作要点</w:t>
      </w:r>
    </w:p>
    <w:p>
      <w:pPr>
        <w:snapToGrid w:val="0"/>
        <w:spacing w:before="120" w:beforeLines="50"/>
        <w:ind w:firstLine="240" w:firstLineChars="1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5.工作制度</w:t>
      </w:r>
    </w:p>
    <w:p>
      <w:pPr>
        <w:snapToGrid w:val="0"/>
        <w:spacing w:before="120" w:beforeLines="50"/>
        <w:ind w:firstLine="240" w:firstLineChars="1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6.岗位职责</w:t>
      </w:r>
    </w:p>
    <w:p>
      <w:pPr>
        <w:snapToGrid w:val="0"/>
        <w:spacing w:before="120" w:beforeLines="50"/>
        <w:ind w:firstLine="240" w:firstLineChars="1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7.重、难点分析</w:t>
      </w:r>
    </w:p>
    <w:p>
      <w:pPr>
        <w:snapToGrid w:val="0"/>
        <w:spacing w:before="120" w:beforeLines="50"/>
        <w:ind w:firstLine="240" w:firstLineChars="1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8.工程进度款、变更签证审核与管理</w:t>
      </w:r>
    </w:p>
    <w:p>
      <w:pPr>
        <w:snapToGrid w:val="0"/>
        <w:spacing w:before="120" w:beforeLines="50"/>
        <w:ind w:firstLine="240" w:firstLineChars="1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9.合理化建议（成本管控、变更签证管理等）</w:t>
      </w:r>
    </w:p>
    <w:p>
      <w:pPr>
        <w:snapToGrid w:val="0"/>
        <w:spacing w:before="120" w:beforeLines="50"/>
        <w:ind w:firstLine="240" w:firstLineChars="1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10.争议解决措施</w:t>
      </w:r>
    </w:p>
    <w:p>
      <w:pPr>
        <w:snapToGrid w:val="0"/>
        <w:spacing w:before="120" w:beforeLines="50"/>
        <w:ind w:firstLine="240" w:firstLineChars="1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11.廉政承诺及监督措施</w:t>
      </w:r>
    </w:p>
    <w:p>
      <w:pPr>
        <w:snapToGrid w:val="0"/>
        <w:spacing w:before="120" w:beforeLines="50"/>
        <w:ind w:firstLine="240" w:firstLineChars="100"/>
        <w:jc w:val="left"/>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12.服务承诺</w:t>
      </w:r>
      <w:r>
        <w:rPr>
          <w:rFonts w:hint="eastAsia" w:ascii="仿宋" w:hAnsi="仿宋" w:eastAsia="仿宋" w:cs="仿宋"/>
          <w:color w:val="auto"/>
          <w:highlight w:val="none"/>
          <w:lang w:val="zh-CN"/>
        </w:rPr>
        <w:br w:type="page"/>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pPr>
        <w:pStyle w:val="195"/>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第五部分 小微企业、监狱企业、残疾人福利单位声明函或证明</w:t>
      </w:r>
    </w:p>
    <w:p>
      <w:pPr>
        <w:pStyle w:val="195"/>
        <w:rPr>
          <w:rFonts w:hint="eastAsia" w:ascii="仿宋" w:hAnsi="仿宋" w:eastAsia="仿宋" w:cs="仿宋"/>
          <w:b/>
          <w:bCs/>
          <w:color w:val="auto"/>
          <w:sz w:val="32"/>
          <w:szCs w:val="32"/>
          <w:highlight w:val="none"/>
        </w:rPr>
      </w:pPr>
    </w:p>
    <w:p>
      <w:pPr>
        <w:pStyle w:val="5"/>
        <w:bidi w:val="0"/>
        <w:jc w:val="center"/>
        <w:rPr>
          <w:rFonts w:hint="default" w:ascii="仿宋_GB2312" w:hAnsi="仿宋_GB2312" w:eastAsia="仿宋_GB2312" w:cs="仿宋_GB2312"/>
          <w:b/>
          <w:bCs/>
          <w:sz w:val="28"/>
          <w:szCs w:val="36"/>
        </w:rPr>
      </w:pPr>
      <w:r>
        <w:rPr>
          <w:rFonts w:hint="eastAsia" w:ascii="仿宋_GB2312" w:hAnsi="仿宋_GB2312" w:eastAsia="仿宋_GB2312" w:cs="仿宋_GB2312"/>
          <w:b/>
          <w:bCs/>
          <w:sz w:val="28"/>
          <w:szCs w:val="36"/>
          <w:lang w:val="en-US" w:eastAsia="zh-CN"/>
        </w:rPr>
        <w:t>一、</w:t>
      </w:r>
      <w:r>
        <w:rPr>
          <w:rFonts w:hint="default" w:ascii="仿宋_GB2312" w:hAnsi="仿宋_GB2312" w:eastAsia="仿宋_GB2312" w:cs="仿宋_GB2312"/>
          <w:b/>
          <w:bCs/>
          <w:sz w:val="28"/>
          <w:szCs w:val="36"/>
        </w:rPr>
        <w:t>中小企业声明函(</w:t>
      </w:r>
      <w:r>
        <w:rPr>
          <w:rFonts w:hint="eastAsia" w:ascii="仿宋_GB2312" w:hAnsi="仿宋_GB2312" w:eastAsia="仿宋_GB2312" w:cs="仿宋_GB2312"/>
          <w:b/>
          <w:bCs/>
          <w:sz w:val="28"/>
          <w:szCs w:val="36"/>
          <w:lang w:eastAsia="zh-CN"/>
        </w:rPr>
        <w:t>服务</w:t>
      </w:r>
      <w:r>
        <w:rPr>
          <w:rFonts w:hint="default" w:ascii="仿宋_GB2312" w:hAnsi="仿宋_GB2312" w:eastAsia="仿宋_GB2312" w:cs="仿宋_GB2312"/>
          <w:b/>
          <w:bCs/>
          <w:sz w:val="28"/>
          <w:szCs w:val="36"/>
        </w:rPr>
        <w:t>)</w:t>
      </w:r>
    </w:p>
    <w:p>
      <w:pPr>
        <w:ind w:left="315" w:leftChars="150" w:firstLine="270" w:firstLineChars="150"/>
        <w:rPr>
          <w:rFonts w:hint="default" w:ascii="Times New Roman" w:hAnsi="Times New Roman" w:eastAsia="仿宋_GB2312" w:cs="Times New Roman"/>
          <w:i w:val="0"/>
          <w:iCs w:val="0"/>
          <w:color w:val="auto"/>
          <w:kern w:val="0"/>
          <w:sz w:val="18"/>
          <w:szCs w:val="18"/>
          <w:highlight w:val="none"/>
        </w:rPr>
      </w:pPr>
      <w:bookmarkStart w:id="503" w:name="_Toc7005133"/>
    </w:p>
    <w:p>
      <w:pPr>
        <w:spacing w:line="560" w:lineRule="exact"/>
        <w:ind w:firstLine="480" w:firstLineChars="200"/>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本公司(联合体)郑重声明，根据《政府采购促进中小企业发展管理办法》(财库(2020)46号)的规定，本公司(联合体)参加</w:t>
      </w:r>
      <w:r>
        <w:rPr>
          <w:rFonts w:hint="default" w:ascii="Times New Roman" w:hAnsi="Times New Roman" w:eastAsia="仿宋_GB2312" w:cs="Times New Roman"/>
          <w:i w:val="0"/>
          <w:iCs w:val="0"/>
          <w:color w:val="auto"/>
          <w:kern w:val="0"/>
          <w:sz w:val="24"/>
          <w:highlight w:val="none"/>
          <w:u w:val="single"/>
        </w:rPr>
        <w:t xml:space="preserve">  (单位名称) </w:t>
      </w:r>
      <w:r>
        <w:rPr>
          <w:rFonts w:hint="default" w:ascii="Times New Roman" w:hAnsi="Times New Roman" w:eastAsia="仿宋_GB2312" w:cs="Times New Roman"/>
          <w:i w:val="0"/>
          <w:iCs w:val="0"/>
          <w:color w:val="auto"/>
          <w:kern w:val="0"/>
          <w:sz w:val="24"/>
          <w:highlight w:val="none"/>
        </w:rPr>
        <w:t xml:space="preserve"> 的</w:t>
      </w:r>
      <w:r>
        <w:rPr>
          <w:rFonts w:hint="default" w:ascii="Times New Roman" w:hAnsi="Times New Roman" w:eastAsia="仿宋_GB2312" w:cs="Times New Roman"/>
          <w:i w:val="0"/>
          <w:iCs w:val="0"/>
          <w:color w:val="auto"/>
          <w:kern w:val="0"/>
          <w:sz w:val="24"/>
          <w:highlight w:val="none"/>
          <w:u w:val="single"/>
        </w:rPr>
        <w:t xml:space="preserve"> (项目名称) 采购</w:t>
      </w:r>
      <w:r>
        <w:rPr>
          <w:rFonts w:hint="default" w:ascii="Times New Roman" w:hAnsi="Times New Roman" w:eastAsia="仿宋_GB2312" w:cs="Times New Roman"/>
          <w:i w:val="0"/>
          <w:iCs w:val="0"/>
          <w:color w:val="auto"/>
          <w:kern w:val="0"/>
          <w:sz w:val="24"/>
          <w:highlight w:val="none"/>
        </w:rPr>
        <w:t>活动，服务全部由符合政策要求的中小企业承接。相关企业(含联合体中的中小企业、签订分包意向协议的中小企业)的具体情况如下：</w:t>
      </w:r>
    </w:p>
    <w:p>
      <w:pPr>
        <w:pStyle w:val="67"/>
        <w:numPr>
          <w:ilvl w:val="0"/>
          <w:numId w:val="20"/>
        </w:numPr>
        <w:spacing w:line="560" w:lineRule="exact"/>
        <w:ind w:firstLineChars="0"/>
        <w:rPr>
          <w:rFonts w:hint="default" w:ascii="Times New Roman" w:hAnsi="Times New Roman" w:eastAsia="仿宋_GB2312" w:cs="Times New Roman"/>
          <w:i w:val="0"/>
          <w:iCs w:val="0"/>
          <w:color w:val="auto"/>
          <w:kern w:val="0"/>
          <w:sz w:val="24"/>
          <w:szCs w:val="24"/>
          <w:highlight w:val="none"/>
        </w:rPr>
      </w:pPr>
      <w:r>
        <w:rPr>
          <w:rFonts w:hint="default" w:ascii="Times New Roman" w:hAnsi="Times New Roman" w:eastAsia="仿宋_GB2312" w:cs="Times New Roman"/>
          <w:i w:val="0"/>
          <w:iCs w:val="0"/>
          <w:color w:val="auto"/>
          <w:kern w:val="0"/>
          <w:sz w:val="24"/>
          <w:szCs w:val="24"/>
          <w:highlight w:val="none"/>
          <w:u w:val="single"/>
        </w:rPr>
        <w:t xml:space="preserve"> (标的名称) </w:t>
      </w:r>
      <w:r>
        <w:rPr>
          <w:rFonts w:hint="default" w:ascii="Times New Roman" w:hAnsi="Times New Roman" w:eastAsia="仿宋_GB2312" w:cs="Times New Roman"/>
          <w:i w:val="0"/>
          <w:iCs w:val="0"/>
          <w:color w:val="auto"/>
          <w:kern w:val="0"/>
          <w:sz w:val="24"/>
          <w:szCs w:val="24"/>
          <w:highlight w:val="none"/>
        </w:rPr>
        <w:t>，属于</w:t>
      </w:r>
      <w:r>
        <w:rPr>
          <w:rFonts w:hint="default" w:ascii="Times New Roman" w:hAnsi="Times New Roman" w:eastAsia="仿宋_GB2312" w:cs="Times New Roman"/>
          <w:i w:val="0"/>
          <w:iCs w:val="0"/>
          <w:color w:val="auto"/>
          <w:kern w:val="0"/>
          <w:sz w:val="24"/>
          <w:szCs w:val="24"/>
          <w:highlight w:val="none"/>
          <w:u w:val="single"/>
        </w:rPr>
        <w:t xml:space="preserve"> (采购文件中明的所属行业) </w:t>
      </w:r>
      <w:r>
        <w:rPr>
          <w:rFonts w:hint="default" w:ascii="Times New Roman" w:hAnsi="Times New Roman" w:eastAsia="仿宋_GB2312" w:cs="Times New Roman"/>
          <w:i w:val="0"/>
          <w:iCs w:val="0"/>
          <w:color w:val="auto"/>
          <w:kern w:val="0"/>
          <w:sz w:val="24"/>
          <w:szCs w:val="24"/>
          <w:highlight w:val="none"/>
        </w:rPr>
        <w:t>；承建(承接)企业为</w:t>
      </w:r>
      <w:r>
        <w:rPr>
          <w:rFonts w:hint="default" w:ascii="Times New Roman" w:hAnsi="Times New Roman" w:eastAsia="仿宋_GB2312" w:cs="Times New Roman"/>
          <w:i w:val="0"/>
          <w:iCs w:val="0"/>
          <w:color w:val="auto"/>
          <w:kern w:val="0"/>
          <w:sz w:val="24"/>
          <w:szCs w:val="24"/>
          <w:highlight w:val="none"/>
          <w:u w:val="single"/>
        </w:rPr>
        <w:t xml:space="preserve"> (企业名称) </w:t>
      </w:r>
      <w:r>
        <w:rPr>
          <w:rFonts w:hint="default" w:ascii="Times New Roman" w:hAnsi="Times New Roman" w:eastAsia="仿宋_GB2312" w:cs="Times New Roman"/>
          <w:i w:val="0"/>
          <w:iCs w:val="0"/>
          <w:color w:val="auto"/>
          <w:kern w:val="0"/>
          <w:sz w:val="24"/>
          <w:szCs w:val="24"/>
          <w:highlight w:val="none"/>
        </w:rPr>
        <w:t>，从业人员</w:t>
      </w:r>
      <w:r>
        <w:rPr>
          <w:rFonts w:hint="default" w:ascii="Times New Roman" w:hAnsi="Times New Roman" w:eastAsia="仿宋_GB2312" w:cs="Times New Roman"/>
          <w:i w:val="0"/>
          <w:iCs w:val="0"/>
          <w:color w:val="auto"/>
          <w:kern w:val="0"/>
          <w:sz w:val="24"/>
          <w:szCs w:val="24"/>
          <w:highlight w:val="none"/>
          <w:u w:val="single"/>
        </w:rPr>
        <w:t xml:space="preserve">   </w:t>
      </w:r>
      <w:r>
        <w:rPr>
          <w:rFonts w:hint="default" w:ascii="Times New Roman" w:hAnsi="Times New Roman" w:eastAsia="仿宋_GB2312" w:cs="Times New Roman"/>
          <w:i w:val="0"/>
          <w:iCs w:val="0"/>
          <w:color w:val="auto"/>
          <w:kern w:val="0"/>
          <w:sz w:val="24"/>
          <w:szCs w:val="24"/>
          <w:highlight w:val="none"/>
        </w:rPr>
        <w:t>人，营业收入为</w:t>
      </w:r>
      <w:r>
        <w:rPr>
          <w:rFonts w:hint="default" w:ascii="Times New Roman" w:hAnsi="Times New Roman" w:eastAsia="仿宋_GB2312" w:cs="Times New Roman"/>
          <w:i w:val="0"/>
          <w:iCs w:val="0"/>
          <w:color w:val="auto"/>
          <w:kern w:val="0"/>
          <w:sz w:val="24"/>
          <w:szCs w:val="24"/>
          <w:highlight w:val="none"/>
          <w:u w:val="single"/>
        </w:rPr>
        <w:t xml:space="preserve">   </w:t>
      </w:r>
      <w:r>
        <w:rPr>
          <w:rFonts w:hint="default" w:ascii="Times New Roman" w:hAnsi="Times New Roman" w:eastAsia="仿宋_GB2312" w:cs="Times New Roman"/>
          <w:i w:val="0"/>
          <w:iCs w:val="0"/>
          <w:color w:val="auto"/>
          <w:kern w:val="0"/>
          <w:sz w:val="24"/>
          <w:szCs w:val="24"/>
          <w:highlight w:val="none"/>
        </w:rPr>
        <w:t>万元，资产总额为</w:t>
      </w:r>
      <w:r>
        <w:rPr>
          <w:rFonts w:hint="default" w:ascii="Times New Roman" w:hAnsi="Times New Roman" w:eastAsia="仿宋_GB2312" w:cs="Times New Roman"/>
          <w:i w:val="0"/>
          <w:iCs w:val="0"/>
          <w:color w:val="auto"/>
          <w:kern w:val="0"/>
          <w:sz w:val="24"/>
          <w:szCs w:val="24"/>
          <w:highlight w:val="none"/>
          <w:u w:val="single"/>
        </w:rPr>
        <w:t xml:space="preserve">    </w:t>
      </w:r>
      <w:r>
        <w:rPr>
          <w:rFonts w:hint="default" w:ascii="Times New Roman" w:hAnsi="Times New Roman" w:eastAsia="仿宋_GB2312" w:cs="Times New Roman"/>
          <w:i w:val="0"/>
          <w:iCs w:val="0"/>
          <w:color w:val="auto"/>
          <w:kern w:val="0"/>
          <w:sz w:val="24"/>
          <w:szCs w:val="24"/>
          <w:highlight w:val="none"/>
        </w:rPr>
        <w:t>万元，属于</w:t>
      </w:r>
      <w:r>
        <w:rPr>
          <w:rFonts w:hint="default" w:ascii="Times New Roman" w:hAnsi="Times New Roman" w:eastAsia="仿宋_GB2312" w:cs="Times New Roman"/>
          <w:i w:val="0"/>
          <w:iCs w:val="0"/>
          <w:color w:val="auto"/>
          <w:kern w:val="0"/>
          <w:sz w:val="24"/>
          <w:szCs w:val="24"/>
          <w:highlight w:val="none"/>
          <w:u w:val="single"/>
        </w:rPr>
        <w:t xml:space="preserve"> (</w:t>
      </w:r>
      <w:r>
        <w:rPr>
          <w:rFonts w:hint="eastAsia" w:ascii="Times New Roman" w:hAnsi="Times New Roman" w:eastAsia="仿宋_GB2312" w:cs="Times New Roman"/>
          <w:i w:val="0"/>
          <w:iCs w:val="0"/>
          <w:color w:val="auto"/>
          <w:kern w:val="0"/>
          <w:sz w:val="24"/>
          <w:szCs w:val="24"/>
          <w:highlight w:val="none"/>
          <w:u w:val="single"/>
          <w:lang w:eastAsia="zh-CN"/>
        </w:rPr>
        <w:t>中型企业</w:t>
      </w:r>
      <w:r>
        <w:rPr>
          <w:rFonts w:hint="default" w:ascii="Times New Roman" w:hAnsi="Times New Roman" w:eastAsia="仿宋_GB2312" w:cs="Times New Roman"/>
          <w:i w:val="0"/>
          <w:iCs w:val="0"/>
          <w:color w:val="auto"/>
          <w:kern w:val="0"/>
          <w:sz w:val="24"/>
          <w:szCs w:val="24"/>
          <w:highlight w:val="none"/>
          <w:u w:val="single"/>
        </w:rPr>
        <w:t xml:space="preserve">、小型企业、微型企业) </w:t>
      </w:r>
      <w:r>
        <w:rPr>
          <w:rFonts w:hint="default" w:ascii="Times New Roman" w:hAnsi="Times New Roman" w:eastAsia="仿宋_GB2312" w:cs="Times New Roman"/>
          <w:i w:val="0"/>
          <w:iCs w:val="0"/>
          <w:color w:val="auto"/>
          <w:kern w:val="0"/>
          <w:sz w:val="24"/>
          <w:szCs w:val="24"/>
          <w:highlight w:val="none"/>
        </w:rPr>
        <w:t>；</w:t>
      </w:r>
    </w:p>
    <w:p>
      <w:pPr>
        <w:spacing w:line="560" w:lineRule="exact"/>
        <w:ind w:firstLine="480" w:firstLineChars="200"/>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w:t>
      </w:r>
    </w:p>
    <w:p>
      <w:pPr>
        <w:spacing w:line="560" w:lineRule="exact"/>
        <w:ind w:firstLine="480" w:firstLineChars="200"/>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以上企业，不属于大企业的分支机构，不存在控股股东为大企业的情形，也不存在与大企业的负责人为同一人的情形。</w:t>
      </w:r>
    </w:p>
    <w:p>
      <w:pPr>
        <w:spacing w:line="560" w:lineRule="exact"/>
        <w:ind w:firstLine="480" w:firstLineChars="200"/>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本企业对上述声明内容的真实性负责。如有虚假，将依法承担相应责任。</w:t>
      </w:r>
    </w:p>
    <w:p>
      <w:pPr>
        <w:spacing w:line="560" w:lineRule="exact"/>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 xml:space="preserve">                                  企业名称(盖章):</w:t>
      </w:r>
    </w:p>
    <w:p>
      <w:pPr>
        <w:spacing w:line="560" w:lineRule="exact"/>
        <w:ind w:firstLine="4320" w:firstLineChars="1800"/>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日期：</w:t>
      </w:r>
    </w:p>
    <w:p>
      <w:pPr>
        <w:spacing w:line="560" w:lineRule="exact"/>
        <w:ind w:firstLine="5400" w:firstLineChars="1800"/>
        <w:rPr>
          <w:rFonts w:hint="default" w:ascii="Times New Roman" w:hAnsi="Times New Roman" w:eastAsia="仿宋_GB2312" w:cs="Times New Roman"/>
          <w:i w:val="0"/>
          <w:iCs w:val="0"/>
          <w:color w:val="auto"/>
          <w:kern w:val="0"/>
          <w:sz w:val="30"/>
          <w:szCs w:val="30"/>
          <w:highlight w:val="none"/>
        </w:rPr>
      </w:pPr>
    </w:p>
    <w:p>
      <w:pPr>
        <w:rPr>
          <w:rFonts w:hint="default" w:ascii="Times New Roman" w:hAnsi="Times New Roman" w:eastAsia="仿宋_GB2312" w:cs="Times New Roman"/>
          <w:i w:val="0"/>
          <w:iCs w:val="0"/>
          <w:color w:val="auto"/>
          <w:kern w:val="0"/>
          <w:sz w:val="30"/>
          <w:szCs w:val="30"/>
          <w:highlight w:val="none"/>
          <w:u w:val="single"/>
        </w:rPr>
      </w:pPr>
      <w:r>
        <w:rPr>
          <w:rFonts w:hint="default" w:ascii="Times New Roman" w:hAnsi="Times New Roman" w:eastAsia="仿宋_GB2312" w:cs="Times New Roman"/>
          <w:i w:val="0"/>
          <w:iCs w:val="0"/>
          <w:color w:val="auto"/>
          <w:kern w:val="0"/>
          <w:sz w:val="30"/>
          <w:szCs w:val="30"/>
          <w:highlight w:val="none"/>
        </w:rPr>
        <w:t xml:space="preserve"> </w:t>
      </w:r>
      <w:r>
        <w:rPr>
          <w:rFonts w:hint="default" w:ascii="Times New Roman" w:hAnsi="Times New Roman" w:eastAsia="仿宋_GB2312" w:cs="Times New Roman"/>
          <w:i w:val="0"/>
          <w:iCs w:val="0"/>
          <w:color w:val="auto"/>
          <w:kern w:val="0"/>
          <w:sz w:val="30"/>
          <w:szCs w:val="30"/>
          <w:highlight w:val="none"/>
          <w:u w:val="single"/>
        </w:rPr>
        <w:t xml:space="preserve">                                                   </w:t>
      </w:r>
    </w:p>
    <w:p>
      <w:pPr>
        <w:ind w:firstLine="105" w:firstLineChars="50"/>
        <w:rPr>
          <w:rFonts w:hint="default" w:ascii="Times New Roman" w:hAnsi="Times New Roman" w:eastAsia="仿宋_GB2312" w:cs="Times New Roman"/>
          <w:i w:val="0"/>
          <w:iCs w:val="0"/>
          <w:color w:val="auto"/>
          <w:kern w:val="0"/>
          <w:szCs w:val="21"/>
          <w:highlight w:val="none"/>
        </w:rPr>
      </w:pPr>
      <w:r>
        <w:rPr>
          <w:rFonts w:hint="default" w:ascii="Times New Roman" w:hAnsi="Times New Roman" w:eastAsia="仿宋_GB2312" w:cs="Times New Roman"/>
          <w:i w:val="0"/>
          <w:iCs w:val="0"/>
          <w:color w:val="auto"/>
          <w:kern w:val="0"/>
          <w:szCs w:val="21"/>
          <w:highlight w:val="none"/>
        </w:rPr>
        <w:t>（从业人员、营业收入、资产总额填报上一年度数据，无上一年度数据的新成立企业可不填报）</w:t>
      </w:r>
    </w:p>
    <w:p>
      <w:pPr>
        <w:rPr>
          <w:rFonts w:hint="default" w:ascii="Times New Roman" w:hAnsi="Times New Roman" w:eastAsia="仿宋_GB2312" w:cs="Times New Roman"/>
          <w:b/>
          <w:i w:val="0"/>
          <w:iCs w:val="0"/>
          <w:color w:val="auto"/>
          <w:sz w:val="28"/>
          <w:szCs w:val="28"/>
          <w:highlight w:val="none"/>
        </w:rPr>
      </w:pPr>
      <w:r>
        <w:rPr>
          <w:rFonts w:hint="default" w:ascii="Times New Roman" w:hAnsi="Times New Roman" w:eastAsia="仿宋_GB2312" w:cs="Times New Roman"/>
          <w:b/>
          <w:i w:val="0"/>
          <w:iCs w:val="0"/>
          <w:color w:val="auto"/>
          <w:sz w:val="28"/>
          <w:szCs w:val="28"/>
          <w:highlight w:val="none"/>
        </w:rPr>
        <w:br w:type="page"/>
      </w:r>
    </w:p>
    <w:bookmarkEnd w:id="503"/>
    <w:p>
      <w:pPr>
        <w:pStyle w:val="5"/>
        <w:bidi w:val="0"/>
        <w:jc w:val="center"/>
        <w:rPr>
          <w:rFonts w:hint="default" w:ascii="仿宋_GB2312" w:hAnsi="仿宋_GB2312" w:eastAsia="仿宋_GB2312" w:cs="仿宋_GB2312"/>
          <w:b/>
          <w:bCs/>
          <w:sz w:val="28"/>
          <w:szCs w:val="36"/>
          <w:lang w:val="en-US" w:eastAsia="zh-CN"/>
        </w:rPr>
      </w:pPr>
      <w:r>
        <w:rPr>
          <w:rFonts w:hint="default" w:ascii="仿宋_GB2312" w:hAnsi="仿宋_GB2312" w:eastAsia="仿宋_GB2312" w:cs="仿宋_GB2312"/>
          <w:b/>
          <w:bCs/>
          <w:sz w:val="28"/>
          <w:szCs w:val="36"/>
          <w:lang w:val="en-US" w:eastAsia="zh-CN"/>
        </w:rPr>
        <w:t>二、监狱企业声明函</w:t>
      </w:r>
    </w:p>
    <w:p>
      <w:pPr>
        <w:spacing w:line="360" w:lineRule="auto"/>
        <w:jc w:val="both"/>
        <w:rPr>
          <w:rFonts w:hint="default" w:ascii="Times New Roman" w:hAnsi="Times New Roman" w:eastAsia="仿宋_GB2312" w:cs="Times New Roman"/>
          <w:b/>
          <w:i w:val="0"/>
          <w:iCs w:val="0"/>
          <w:color w:val="auto"/>
          <w:kern w:val="0"/>
          <w:sz w:val="24"/>
          <w:szCs w:val="20"/>
          <w:highlight w:val="none"/>
        </w:rPr>
      </w:pPr>
    </w:p>
    <w:p>
      <w:pPr>
        <w:widowControl/>
        <w:spacing w:before="100" w:beforeAutospacing="1" w:after="100" w:afterAutospacing="1" w:line="360" w:lineRule="auto"/>
        <w:ind w:firstLine="480" w:firstLineChars="200"/>
        <w:jc w:val="left"/>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本单位郑重声明下列事项（按照实际情况勾选或填空）：</w:t>
      </w:r>
    </w:p>
    <w:p>
      <w:pPr>
        <w:widowControl/>
        <w:spacing w:before="100" w:beforeAutospacing="1" w:after="100" w:afterAutospacing="1" w:line="360" w:lineRule="auto"/>
        <w:ind w:firstLine="480" w:firstLineChars="200"/>
        <w:jc w:val="left"/>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本单位为直接</w:t>
      </w:r>
      <w:r>
        <w:rPr>
          <w:rFonts w:hint="default" w:ascii="Times New Roman" w:hAnsi="Times New Roman" w:eastAsia="仿宋_GB2312" w:cs="Times New Roman"/>
          <w:i w:val="0"/>
          <w:iCs w:val="0"/>
          <w:color w:val="auto"/>
          <w:kern w:val="0"/>
          <w:sz w:val="24"/>
          <w:highlight w:val="none"/>
          <w:lang w:val="en-US" w:eastAsia="zh-CN"/>
        </w:rPr>
        <w:t>供应商，</w:t>
      </w:r>
      <w:r>
        <w:rPr>
          <w:rFonts w:hint="default" w:ascii="Times New Roman" w:hAnsi="Times New Roman" w:eastAsia="仿宋_GB2312" w:cs="Times New Roman"/>
          <w:i w:val="0"/>
          <w:iCs w:val="0"/>
          <w:color w:val="auto"/>
          <w:kern w:val="0"/>
          <w:sz w:val="24"/>
          <w:highlight w:val="none"/>
        </w:rPr>
        <w:t>提供本单位制造的货物。</w:t>
      </w:r>
    </w:p>
    <w:p>
      <w:pPr>
        <w:widowControl/>
        <w:spacing w:before="100" w:beforeAutospacing="1" w:after="100" w:afterAutospacing="1" w:line="360" w:lineRule="auto"/>
        <w:ind w:firstLine="360" w:firstLineChars="150"/>
        <w:jc w:val="left"/>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（1）本企业（单位）</w:t>
      </w:r>
      <w:r>
        <w:rPr>
          <w:rFonts w:hint="default" w:ascii="Times New Roman" w:hAnsi="Times New Roman" w:eastAsia="仿宋_GB2312" w:cs="Times New Roman"/>
          <w:i w:val="0"/>
          <w:iCs w:val="0"/>
          <w:color w:val="auto"/>
          <w:kern w:val="0"/>
          <w:sz w:val="24"/>
          <w:highlight w:val="none"/>
          <w:u w:val="single"/>
        </w:rPr>
        <w:t xml:space="preserve">        </w:t>
      </w:r>
      <w:r>
        <w:rPr>
          <w:rFonts w:hint="default" w:ascii="Times New Roman" w:hAnsi="Times New Roman" w:eastAsia="仿宋_GB2312" w:cs="Times New Roman"/>
          <w:i w:val="0"/>
          <w:iCs w:val="0"/>
          <w:color w:val="auto"/>
          <w:kern w:val="0"/>
          <w:sz w:val="24"/>
          <w:highlight w:val="none"/>
        </w:rPr>
        <w:t>（请填写：是、不是）监狱企业。如果是，后附省级以上监狱管理局、戒毒管理局（含新疆生产建设兵团）出具的属于监狱企业的证明文件。</w:t>
      </w:r>
    </w:p>
    <w:p>
      <w:pPr>
        <w:widowControl/>
        <w:spacing w:before="100" w:beforeAutospacing="1" w:after="100" w:afterAutospacing="1" w:line="360" w:lineRule="auto"/>
        <w:ind w:firstLine="420"/>
        <w:jc w:val="left"/>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（2）本企业（单位）</w:t>
      </w:r>
      <w:r>
        <w:rPr>
          <w:rFonts w:hint="default" w:ascii="Times New Roman" w:hAnsi="Times New Roman" w:eastAsia="仿宋_GB2312" w:cs="Times New Roman"/>
          <w:i w:val="0"/>
          <w:iCs w:val="0"/>
          <w:color w:val="auto"/>
          <w:kern w:val="0"/>
          <w:sz w:val="24"/>
          <w:highlight w:val="none"/>
          <w:u w:val="single"/>
        </w:rPr>
        <w:t xml:space="preserve">        </w:t>
      </w:r>
      <w:r>
        <w:rPr>
          <w:rFonts w:hint="default" w:ascii="Times New Roman" w:hAnsi="Times New Roman" w:eastAsia="仿宋_GB2312" w:cs="Times New Roman"/>
          <w:i w:val="0"/>
          <w:iCs w:val="0"/>
          <w:color w:val="auto"/>
          <w:kern w:val="0"/>
          <w:sz w:val="24"/>
          <w:highlight w:val="none"/>
        </w:rPr>
        <w:t>（请填写：是、不是）为联合体一方，提供本企业（单位）制造的货物，由本企业（单位）承担工程、提供服务。本企业（单位）提供协议合同金额占到共同投标协议合同总金额的比例为</w:t>
      </w:r>
      <w:r>
        <w:rPr>
          <w:rFonts w:hint="default" w:ascii="Times New Roman" w:hAnsi="Times New Roman" w:eastAsia="仿宋_GB2312" w:cs="Times New Roman"/>
          <w:i w:val="0"/>
          <w:iCs w:val="0"/>
          <w:color w:val="auto"/>
          <w:kern w:val="0"/>
          <w:sz w:val="24"/>
          <w:highlight w:val="none"/>
          <w:u w:val="single"/>
        </w:rPr>
        <w:t xml:space="preserve">       </w:t>
      </w:r>
      <w:r>
        <w:rPr>
          <w:rFonts w:hint="default" w:ascii="Times New Roman" w:hAnsi="Times New Roman" w:eastAsia="仿宋_GB2312" w:cs="Times New Roman"/>
          <w:i w:val="0"/>
          <w:iCs w:val="0"/>
          <w:color w:val="auto"/>
          <w:kern w:val="0"/>
          <w:sz w:val="24"/>
          <w:highlight w:val="none"/>
        </w:rPr>
        <w:t>。</w:t>
      </w:r>
    </w:p>
    <w:p>
      <w:pPr>
        <w:widowControl/>
        <w:spacing w:before="100" w:beforeAutospacing="1" w:after="100" w:afterAutospacing="1" w:line="360" w:lineRule="auto"/>
        <w:jc w:val="left"/>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　　本企业（单位）对上述声明的真实性负责。如有虚假，将依法承担相应责任。</w:t>
      </w:r>
    </w:p>
    <w:p>
      <w:pPr>
        <w:widowControl/>
        <w:spacing w:before="100" w:beforeAutospacing="1" w:after="100" w:afterAutospacing="1" w:line="360" w:lineRule="auto"/>
        <w:jc w:val="left"/>
        <w:rPr>
          <w:rFonts w:hint="default" w:ascii="Times New Roman" w:hAnsi="Times New Roman" w:eastAsia="仿宋_GB2312" w:cs="Times New Roman"/>
          <w:b/>
          <w:i w:val="0"/>
          <w:iCs w:val="0"/>
          <w:color w:val="auto"/>
          <w:kern w:val="0"/>
          <w:sz w:val="24"/>
          <w:szCs w:val="20"/>
          <w:highlight w:val="none"/>
        </w:rPr>
      </w:pPr>
      <w:r>
        <w:rPr>
          <w:rFonts w:hint="default" w:ascii="Times New Roman" w:hAnsi="Times New Roman" w:eastAsia="仿宋_GB2312" w:cs="Times New Roman"/>
          <w:i w:val="0"/>
          <w:iCs w:val="0"/>
          <w:color w:val="auto"/>
          <w:kern w:val="0"/>
          <w:sz w:val="24"/>
          <w:highlight w:val="none"/>
        </w:rPr>
        <w:t>　</w:t>
      </w:r>
      <w:r>
        <w:rPr>
          <w:rFonts w:hint="default" w:ascii="Times New Roman" w:hAnsi="Times New Roman" w:eastAsia="仿宋_GB2312" w:cs="Times New Roman"/>
          <w:b/>
          <w:i w:val="0"/>
          <w:iCs w:val="0"/>
          <w:color w:val="auto"/>
          <w:kern w:val="0"/>
          <w:sz w:val="24"/>
          <w:szCs w:val="20"/>
          <w:highlight w:val="none"/>
        </w:rPr>
        <w:t>　</w:t>
      </w:r>
    </w:p>
    <w:p>
      <w:pPr>
        <w:widowControl/>
        <w:spacing w:before="100" w:beforeAutospacing="1" w:after="100" w:afterAutospacing="1" w:line="360" w:lineRule="auto"/>
        <w:ind w:firstLine="360" w:firstLineChars="150"/>
        <w:jc w:val="left"/>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lang w:val="en-US" w:eastAsia="zh-CN"/>
        </w:rPr>
        <w:t>单位名称</w:t>
      </w:r>
      <w:r>
        <w:rPr>
          <w:rFonts w:hint="default" w:ascii="Times New Roman" w:hAnsi="Times New Roman" w:eastAsia="仿宋_GB2312" w:cs="Times New Roman"/>
          <w:i w:val="0"/>
          <w:iCs w:val="0"/>
          <w:color w:val="auto"/>
          <w:kern w:val="0"/>
          <w:sz w:val="24"/>
          <w:highlight w:val="none"/>
        </w:rPr>
        <w:t>（公章）：</w:t>
      </w:r>
      <w:r>
        <w:rPr>
          <w:rFonts w:hint="default" w:ascii="Times New Roman" w:hAnsi="Times New Roman" w:eastAsia="仿宋_GB2312" w:cs="Times New Roman"/>
          <w:i w:val="0"/>
          <w:iCs w:val="0"/>
          <w:color w:val="auto"/>
          <w:kern w:val="0"/>
          <w:sz w:val="24"/>
          <w:highlight w:val="none"/>
          <w:u w:val="single"/>
        </w:rPr>
        <w:t xml:space="preserve">             </w:t>
      </w:r>
    </w:p>
    <w:p>
      <w:pPr>
        <w:widowControl/>
        <w:spacing w:before="100" w:beforeAutospacing="1" w:after="100" w:afterAutospacing="1" w:line="360" w:lineRule="auto"/>
        <w:jc w:val="left"/>
        <w:rPr>
          <w:rFonts w:hint="default" w:ascii="Times New Roman" w:hAnsi="Times New Roman" w:eastAsia="仿宋_GB2312" w:cs="Times New Roman"/>
          <w:i w:val="0"/>
          <w:iCs w:val="0"/>
          <w:color w:val="auto"/>
          <w:kern w:val="0"/>
          <w:sz w:val="24"/>
          <w:highlight w:val="none"/>
        </w:rPr>
      </w:pPr>
      <w:r>
        <w:rPr>
          <w:rFonts w:hint="default" w:ascii="Times New Roman" w:hAnsi="Times New Roman" w:eastAsia="仿宋_GB2312" w:cs="Times New Roman"/>
          <w:i w:val="0"/>
          <w:iCs w:val="0"/>
          <w:color w:val="auto"/>
          <w:kern w:val="0"/>
          <w:sz w:val="24"/>
          <w:highlight w:val="none"/>
        </w:rPr>
        <w:t xml:space="preserve"> 　法定代表人或授权代表（签字）:  </w:t>
      </w:r>
      <w:r>
        <w:rPr>
          <w:rFonts w:hint="default" w:ascii="Times New Roman" w:hAnsi="Times New Roman" w:eastAsia="仿宋_GB2312" w:cs="Times New Roman"/>
          <w:i w:val="0"/>
          <w:iCs w:val="0"/>
          <w:color w:val="auto"/>
          <w:kern w:val="0"/>
          <w:sz w:val="24"/>
          <w:highlight w:val="none"/>
          <w:u w:val="single"/>
        </w:rPr>
        <w:t xml:space="preserve">           </w:t>
      </w:r>
      <w:r>
        <w:rPr>
          <w:rFonts w:hint="default" w:ascii="Times New Roman" w:hAnsi="Times New Roman" w:eastAsia="仿宋_GB2312" w:cs="Times New Roman"/>
          <w:i w:val="0"/>
          <w:iCs w:val="0"/>
          <w:color w:val="auto"/>
          <w:kern w:val="0"/>
          <w:sz w:val="24"/>
          <w:highlight w:val="none"/>
        </w:rPr>
        <w:t xml:space="preserve">           </w:t>
      </w:r>
    </w:p>
    <w:p>
      <w:pPr>
        <w:widowControl/>
        <w:spacing w:before="100" w:beforeAutospacing="1" w:after="100" w:afterAutospacing="1" w:line="360" w:lineRule="auto"/>
        <w:ind w:firstLine="240" w:firstLineChars="100"/>
        <w:jc w:val="left"/>
        <w:rPr>
          <w:rFonts w:hint="default" w:ascii="Times New Roman" w:hAnsi="Times New Roman" w:eastAsia="仿宋_GB2312" w:cs="Times New Roman"/>
          <w:i w:val="0"/>
          <w:iCs w:val="0"/>
          <w:color w:val="auto"/>
          <w:kern w:val="0"/>
          <w:sz w:val="24"/>
          <w:highlight w:val="none"/>
          <w:u w:val="single"/>
        </w:rPr>
      </w:pPr>
      <w:r>
        <w:rPr>
          <w:rFonts w:hint="default" w:ascii="Times New Roman" w:hAnsi="Times New Roman" w:eastAsia="仿宋_GB2312" w:cs="Times New Roman"/>
          <w:i w:val="0"/>
          <w:iCs w:val="0"/>
          <w:color w:val="auto"/>
          <w:kern w:val="0"/>
          <w:sz w:val="24"/>
          <w:highlight w:val="none"/>
        </w:rPr>
        <w:t>日　期：</w:t>
      </w:r>
      <w:r>
        <w:rPr>
          <w:rFonts w:hint="default" w:ascii="Times New Roman" w:hAnsi="Times New Roman" w:eastAsia="仿宋_GB2312" w:cs="Times New Roman"/>
          <w:i w:val="0"/>
          <w:iCs w:val="0"/>
          <w:color w:val="auto"/>
          <w:kern w:val="0"/>
          <w:sz w:val="24"/>
          <w:highlight w:val="none"/>
          <w:u w:val="single"/>
        </w:rPr>
        <w:t xml:space="preserve">             </w:t>
      </w:r>
    </w:p>
    <w:p>
      <w:pPr>
        <w:widowControl/>
        <w:spacing w:before="100" w:beforeAutospacing="1" w:after="100" w:afterAutospacing="1" w:line="360" w:lineRule="auto"/>
        <w:jc w:val="left"/>
        <w:rPr>
          <w:rFonts w:hint="default" w:ascii="Times New Roman" w:hAnsi="Times New Roman" w:eastAsia="仿宋_GB2312" w:cs="Times New Roman"/>
          <w:i w:val="0"/>
          <w:iCs w:val="0"/>
          <w:color w:val="auto"/>
          <w:kern w:val="0"/>
          <w:sz w:val="24"/>
          <w:highlight w:val="none"/>
          <w:u w:val="single"/>
        </w:rPr>
      </w:pPr>
    </w:p>
    <w:p>
      <w:pPr>
        <w:widowControl/>
        <w:spacing w:before="100" w:beforeAutospacing="1" w:after="100" w:afterAutospacing="1" w:line="360" w:lineRule="auto"/>
        <w:jc w:val="left"/>
        <w:rPr>
          <w:rFonts w:hint="default" w:ascii="Times New Roman" w:hAnsi="Times New Roman" w:eastAsia="仿宋_GB2312" w:cs="Times New Roman"/>
          <w:i w:val="0"/>
          <w:iCs w:val="0"/>
          <w:color w:val="auto"/>
          <w:sz w:val="24"/>
          <w:highlight w:val="none"/>
          <w:u w:val="none"/>
        </w:rPr>
      </w:pPr>
      <w:r>
        <w:rPr>
          <w:rFonts w:hint="default" w:ascii="Times New Roman" w:hAnsi="Times New Roman" w:eastAsia="仿宋_GB2312" w:cs="Times New Roman"/>
          <w:i w:val="0"/>
          <w:iCs w:val="0"/>
          <w:color w:val="auto"/>
          <w:kern w:val="0"/>
          <w:sz w:val="24"/>
          <w:highlight w:val="none"/>
          <w:u w:val="none"/>
        </w:rPr>
        <w:t>注：符合《关于政府采购支持监狱企业发展有关问题的通知》价格扣减条件的供应商须提交。</w:t>
      </w:r>
      <w:r>
        <w:rPr>
          <w:rFonts w:hint="default" w:ascii="Times New Roman" w:hAnsi="Times New Roman" w:eastAsia="仿宋_GB2312" w:cs="Times New Roman"/>
          <w:i w:val="0"/>
          <w:iCs w:val="0"/>
          <w:color w:val="auto"/>
          <w:kern w:val="0"/>
          <w:sz w:val="24"/>
          <w:highlight w:val="none"/>
          <w:u w:val="none"/>
          <w:lang w:val="en-US" w:eastAsia="zh-CN"/>
        </w:rPr>
        <w:t>需提供</w:t>
      </w:r>
      <w:r>
        <w:rPr>
          <w:rFonts w:hint="default" w:ascii="Times New Roman" w:hAnsi="Times New Roman" w:eastAsia="仿宋_GB2312" w:cs="Times New Roman"/>
          <w:i w:val="0"/>
          <w:iCs w:val="0"/>
          <w:color w:val="auto"/>
          <w:sz w:val="24"/>
          <w:highlight w:val="none"/>
          <w:u w:val="none"/>
        </w:rPr>
        <w:t>省级以上监狱管理局、戒毒管理局（含新疆生产建设兵团）出具的属于监狱企业的证明文件。</w:t>
      </w:r>
    </w:p>
    <w:p>
      <w:pPr>
        <w:rPr>
          <w:rFonts w:hint="default" w:ascii="Times New Roman" w:hAnsi="Times New Roman" w:eastAsia="仿宋_GB2312" w:cs="Times New Roman"/>
          <w:i w:val="0"/>
          <w:iCs w:val="0"/>
          <w:color w:val="auto"/>
          <w:sz w:val="32"/>
          <w:szCs w:val="32"/>
          <w:highlight w:val="none"/>
        </w:rPr>
      </w:pPr>
    </w:p>
    <w:p>
      <w:pPr>
        <w:pStyle w:val="5"/>
        <w:bidi w:val="0"/>
        <w:jc w:val="center"/>
        <w:rPr>
          <w:rFonts w:hint="default" w:ascii="Times New Roman" w:hAnsi="Times New Roman" w:eastAsia="仿宋_GB2312" w:cs="Times New Roman"/>
          <w:b/>
          <w:i w:val="0"/>
          <w:iCs w:val="0"/>
          <w:color w:val="auto"/>
          <w:sz w:val="32"/>
          <w:szCs w:val="32"/>
          <w:highlight w:val="none"/>
        </w:rPr>
      </w:pPr>
      <w:bookmarkStart w:id="504" w:name="_Toc7005134"/>
      <w:r>
        <w:rPr>
          <w:rFonts w:hint="default" w:ascii="Times New Roman" w:hAnsi="Times New Roman" w:eastAsia="仿宋_GB2312" w:cs="Times New Roman"/>
          <w:i w:val="0"/>
          <w:iCs w:val="0"/>
          <w:color w:val="auto"/>
          <w:sz w:val="32"/>
          <w:szCs w:val="32"/>
          <w:highlight w:val="none"/>
        </w:rPr>
        <w:br w:type="page"/>
      </w:r>
      <w:r>
        <w:rPr>
          <w:rFonts w:hint="default" w:ascii="仿宋_GB2312" w:hAnsi="仿宋_GB2312" w:eastAsia="仿宋_GB2312" w:cs="仿宋_GB2312"/>
          <w:b/>
          <w:bCs/>
          <w:kern w:val="2"/>
          <w:sz w:val="28"/>
          <w:szCs w:val="36"/>
          <w:lang w:val="en-US" w:eastAsia="zh-CN" w:bidi="ar-SA"/>
        </w:rPr>
        <w:t>三、残疾人福利性单位声明函</w:t>
      </w:r>
      <w:bookmarkEnd w:id="504"/>
    </w:p>
    <w:p>
      <w:pPr>
        <w:spacing w:after="120"/>
        <w:rPr>
          <w:rFonts w:hint="default" w:ascii="Times New Roman" w:hAnsi="Times New Roman" w:eastAsia="仿宋_GB2312" w:cs="Times New Roman"/>
          <w:i w:val="0"/>
          <w:iCs w:val="0"/>
          <w:color w:val="auto"/>
          <w:highlight w:val="none"/>
        </w:rPr>
      </w:pPr>
    </w:p>
    <w:p>
      <w:pPr>
        <w:jc w:val="center"/>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（注：符合条件的残疾人福利性单位请提供本函，不符合的不提供本函）</w:t>
      </w:r>
    </w:p>
    <w:p>
      <w:pPr>
        <w:rPr>
          <w:rFonts w:hint="default" w:ascii="Times New Roman" w:hAnsi="Times New Roman" w:eastAsia="仿宋_GB2312" w:cs="Times New Roman"/>
          <w:i w:val="0"/>
          <w:iCs w:val="0"/>
          <w:color w:val="auto"/>
          <w:sz w:val="24"/>
          <w:highlight w:val="none"/>
        </w:rPr>
      </w:pPr>
    </w:p>
    <w:p>
      <w:pPr>
        <w:spacing w:line="360" w:lineRule="auto"/>
        <w:rPr>
          <w:rFonts w:hint="default" w:ascii="Times New Roman" w:hAnsi="Times New Roman" w:eastAsia="仿宋_GB2312" w:cs="Times New Roman"/>
          <w:i w:val="0"/>
          <w:iCs w:val="0"/>
          <w:color w:val="auto"/>
          <w:sz w:val="24"/>
          <w:highlight w:val="none"/>
        </w:rPr>
      </w:pPr>
    </w:p>
    <w:p>
      <w:pPr>
        <w:spacing w:line="360"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360" w:firstLineChars="15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本单位对上述声明的真实性负责。如有虚假，将依法承担相应责任。</w:t>
      </w:r>
    </w:p>
    <w:p>
      <w:pPr>
        <w:spacing w:line="360" w:lineRule="auto"/>
        <w:rPr>
          <w:rFonts w:hint="default" w:ascii="Times New Roman" w:hAnsi="Times New Roman" w:eastAsia="仿宋_GB2312" w:cs="Times New Roman"/>
          <w:i w:val="0"/>
          <w:iCs w:val="0"/>
          <w:color w:val="auto"/>
          <w:sz w:val="24"/>
          <w:highlight w:val="none"/>
        </w:rPr>
      </w:pPr>
    </w:p>
    <w:p>
      <w:pPr>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 xml:space="preserve"> </w:t>
      </w:r>
    </w:p>
    <w:p>
      <w:pPr>
        <w:rPr>
          <w:rFonts w:hint="default" w:ascii="Times New Roman" w:hAnsi="Times New Roman" w:eastAsia="仿宋_GB2312" w:cs="Times New Roman"/>
          <w:i w:val="0"/>
          <w:iCs w:val="0"/>
          <w:color w:val="auto"/>
          <w:sz w:val="24"/>
          <w:highlight w:val="none"/>
        </w:rPr>
      </w:pPr>
    </w:p>
    <w:p>
      <w:pPr>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 xml:space="preserve"> </w:t>
      </w:r>
    </w:p>
    <w:p>
      <w:pPr>
        <w:rPr>
          <w:rFonts w:hint="default" w:ascii="Times New Roman" w:hAnsi="Times New Roman" w:eastAsia="仿宋_GB2312" w:cs="Times New Roman"/>
          <w:i w:val="0"/>
          <w:iCs w:val="0"/>
          <w:color w:val="auto"/>
          <w:sz w:val="24"/>
          <w:highlight w:val="none"/>
        </w:rPr>
      </w:pPr>
    </w:p>
    <w:p>
      <w:pPr>
        <w:ind w:firstLine="3600" w:firstLineChars="15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单位名称（公章）：</w:t>
      </w:r>
    </w:p>
    <w:p>
      <w:pPr>
        <w:rPr>
          <w:rFonts w:hint="default" w:ascii="Times New Roman" w:hAnsi="Times New Roman" w:eastAsia="仿宋_GB2312" w:cs="Times New Roman"/>
          <w:i w:val="0"/>
          <w:iCs w:val="0"/>
          <w:color w:val="auto"/>
          <w:sz w:val="24"/>
          <w:highlight w:val="none"/>
        </w:rPr>
      </w:pPr>
    </w:p>
    <w:p>
      <w:pPr>
        <w:ind w:firstLine="3600" w:firstLineChars="15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日  期：</w:t>
      </w:r>
    </w:p>
    <w:p>
      <w:pPr>
        <w:rPr>
          <w:rFonts w:hint="default" w:ascii="Times New Roman" w:hAnsi="Times New Roman" w:eastAsia="仿宋_GB2312" w:cs="Times New Roman"/>
          <w:i w:val="0"/>
          <w:iCs w:val="0"/>
          <w:color w:val="auto"/>
          <w:sz w:val="24"/>
          <w:highlight w:val="none"/>
        </w:rPr>
      </w:pPr>
    </w:p>
    <w:p>
      <w:pPr>
        <w:rPr>
          <w:rFonts w:hint="eastAsia" w:ascii="仿宋" w:hAnsi="仿宋" w:eastAsia="仿宋" w:cs="仿宋"/>
          <w:color w:val="auto"/>
          <w:sz w:val="24"/>
          <w:highlight w:val="none"/>
        </w:rPr>
      </w:pPr>
    </w:p>
    <w:p>
      <w:pPr>
        <w:snapToGrid w:val="0"/>
        <w:spacing w:before="120" w:beforeLines="50"/>
        <w:jc w:val="center"/>
        <w:rPr>
          <w:rFonts w:hint="eastAsia" w:ascii="仿宋" w:hAnsi="仿宋" w:eastAsia="仿宋" w:cs="仿宋"/>
          <w:b/>
          <w:color w:val="auto"/>
          <w:sz w:val="24"/>
          <w:szCs w:val="21"/>
          <w:highlight w:val="none"/>
        </w:rPr>
      </w:pPr>
    </w:p>
    <w:p>
      <w:pPr>
        <w:widowControl/>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pPr>
        <w:jc w:val="center"/>
        <w:outlineLvl w:val="2"/>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四、响应承诺书</w:t>
      </w:r>
    </w:p>
    <w:p>
      <w:pPr>
        <w:spacing w:line="360" w:lineRule="auto"/>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致：陕西省采购招标有限责任公司</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我方在此声明，我方以下事项进行承诺：</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 在本次磋商中我公司无与其他供应商相互串通，或与采购人串通的行为；</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 在本次磋商中我公司无向采购人或磋商小组成员行贿的手段谋取成交的行为；</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 在本次磋商中我公司无出借或借用资质行为、在响应文件中所附资料（业绩、项目负责人资料等）无弄虚作假；</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 我公司没有处于被责令停产、停业、投标资格被取消状态；</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（5）我公司不采用非法手段获取证据进行质疑、投诉，在质疑、投诉过程中不提供虚假情况或进行恶意质疑、投诉。</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上述承诺内容如有不实，我公司愿意承担由此造成的一切法律责任，并承诺以磋商保证金赔偿给采购人造成的损失。</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特此承诺。</w:t>
      </w:r>
    </w:p>
    <w:p>
      <w:pPr>
        <w:spacing w:line="360" w:lineRule="auto"/>
        <w:ind w:firstLine="480" w:firstLineChars="200"/>
        <w:rPr>
          <w:rFonts w:hint="eastAsia" w:ascii="仿宋" w:hAnsi="仿宋" w:eastAsia="仿宋" w:cs="仿宋"/>
          <w:color w:val="auto"/>
          <w:sz w:val="24"/>
          <w:highlight w:val="none"/>
        </w:rPr>
      </w:pPr>
    </w:p>
    <w:p>
      <w:pPr>
        <w:spacing w:before="120" w:after="120"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供应商名称（公章）： </w:t>
      </w:r>
      <w:r>
        <w:rPr>
          <w:rFonts w:hint="eastAsia" w:ascii="仿宋" w:hAnsi="仿宋" w:eastAsia="仿宋" w:cs="仿宋"/>
          <w:color w:val="auto"/>
          <w:sz w:val="24"/>
          <w:highlight w:val="none"/>
          <w:u w:val="single"/>
        </w:rPr>
        <w:t xml:space="preserve">              </w:t>
      </w:r>
    </w:p>
    <w:p>
      <w:pPr>
        <w:spacing w:before="120" w:after="120"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法定代表人或其授权代表（签字或加盖人名章）：</w:t>
      </w:r>
      <w:r>
        <w:rPr>
          <w:rFonts w:hint="eastAsia" w:ascii="仿宋" w:hAnsi="仿宋" w:eastAsia="仿宋" w:cs="仿宋"/>
          <w:color w:val="auto"/>
          <w:sz w:val="24"/>
          <w:highlight w:val="none"/>
          <w:u w:val="single"/>
        </w:rPr>
        <w:t xml:space="preserve">                  </w:t>
      </w:r>
    </w:p>
    <w:p>
      <w:pPr>
        <w:spacing w:before="120" w:after="12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2"/>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195"/>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第六部分  保证金支付凭证或担保函（复印件）</w:t>
      </w:r>
    </w:p>
    <w:p>
      <w:pPr>
        <w:pStyle w:val="195"/>
        <w:rPr>
          <w:rFonts w:hint="eastAsia" w:ascii="仿宋" w:hAnsi="仿宋" w:eastAsia="仿宋" w:cs="仿宋"/>
          <w:b/>
          <w:color w:val="auto"/>
          <w:sz w:val="32"/>
          <w:szCs w:val="32"/>
          <w:highlight w:val="none"/>
        </w:rPr>
      </w:pPr>
    </w:p>
    <w:p>
      <w:pPr>
        <w:rPr>
          <w:rFonts w:hint="eastAsia" w:ascii="仿宋" w:hAnsi="仿宋" w:eastAsia="仿宋" w:cs="仿宋"/>
          <w:color w:val="auto"/>
          <w:sz w:val="24"/>
          <w:highlight w:val="none"/>
        </w:rPr>
      </w:pPr>
    </w:p>
    <w:p>
      <w:pPr>
        <w:ind w:firstLine="560" w:firstLineChars="200"/>
        <w:rPr>
          <w:rFonts w:hint="eastAsia" w:ascii="仿宋" w:hAnsi="仿宋" w:eastAsia="仿宋" w:cs="仿宋"/>
          <w:sz w:val="28"/>
          <w:szCs w:val="32"/>
          <w:lang w:eastAsia="zh-CN"/>
        </w:rPr>
      </w:pPr>
      <w:r>
        <w:rPr>
          <w:rFonts w:hint="eastAsia" w:ascii="仿宋" w:hAnsi="仿宋" w:eastAsia="仿宋" w:cs="仿宋"/>
          <w:sz w:val="28"/>
          <w:szCs w:val="32"/>
          <w:lang w:eastAsia="zh-CN"/>
        </w:rPr>
        <w:t>提供转款凭证截图加盖公章或担保函复印件截图加盖公章</w:t>
      </w:r>
    </w:p>
    <w:p>
      <w:pPr>
        <w:spacing w:after="120"/>
        <w:rPr>
          <w:rFonts w:hint="eastAsia" w:ascii="仿宋" w:hAnsi="仿宋" w:eastAsia="仿宋" w:cs="仿宋"/>
          <w:color w:val="auto"/>
          <w:highlight w:val="none"/>
        </w:rPr>
      </w:pPr>
    </w:p>
    <w:p>
      <w:pPr>
        <w:spacing w:after="120"/>
        <w:rPr>
          <w:rFonts w:hint="eastAsia" w:ascii="仿宋" w:hAnsi="仿宋" w:eastAsia="仿宋" w:cs="仿宋"/>
          <w:color w:val="auto"/>
          <w:highlight w:val="none"/>
        </w:rPr>
      </w:pPr>
    </w:p>
    <w:p>
      <w:pPr>
        <w:spacing w:after="120"/>
        <w:rPr>
          <w:rFonts w:hint="eastAsia" w:ascii="仿宋" w:hAnsi="仿宋" w:eastAsia="仿宋" w:cs="仿宋"/>
          <w:color w:val="auto"/>
          <w:highlight w:val="none"/>
        </w:rPr>
      </w:pPr>
    </w:p>
    <w:p>
      <w:pPr>
        <w:spacing w:after="120"/>
        <w:rPr>
          <w:rFonts w:hint="eastAsia" w:ascii="仿宋" w:hAnsi="仿宋" w:eastAsia="仿宋" w:cs="仿宋"/>
          <w:color w:val="auto"/>
          <w:highlight w:val="none"/>
        </w:rPr>
      </w:pPr>
    </w:p>
    <w:p>
      <w:pPr>
        <w:spacing w:after="120"/>
        <w:rPr>
          <w:rFonts w:hint="eastAsia" w:ascii="仿宋" w:hAnsi="仿宋" w:eastAsia="仿宋" w:cs="仿宋"/>
          <w:color w:val="auto"/>
          <w:highlight w:val="none"/>
        </w:rPr>
      </w:pPr>
    </w:p>
    <w:p>
      <w:pPr>
        <w:autoSpaceDE w:val="0"/>
        <w:autoSpaceDN w:val="0"/>
        <w:adjustRightInd w:val="0"/>
        <w:spacing w:line="360" w:lineRule="auto"/>
        <w:jc w:val="center"/>
        <w:rPr>
          <w:rFonts w:hint="eastAsia" w:ascii="仿宋" w:hAnsi="仿宋" w:eastAsia="仿宋" w:cs="仿宋"/>
          <w:b/>
          <w:bCs/>
          <w:color w:val="auto"/>
          <w:sz w:val="44"/>
          <w:szCs w:val="44"/>
          <w:highlight w:val="none"/>
          <w:lang w:val="zh-CN"/>
        </w:rPr>
      </w:pPr>
    </w:p>
    <w:p>
      <w:pPr>
        <w:autoSpaceDE w:val="0"/>
        <w:autoSpaceDN w:val="0"/>
        <w:adjustRightInd w:val="0"/>
        <w:snapToGrid w:val="0"/>
        <w:spacing w:line="288" w:lineRule="auto"/>
        <w:jc w:val="left"/>
        <w:rPr>
          <w:rFonts w:hint="eastAsia" w:ascii="仿宋" w:hAnsi="仿宋" w:eastAsia="仿宋" w:cs="仿宋"/>
          <w:bCs/>
          <w:color w:val="auto"/>
          <w:sz w:val="44"/>
          <w:szCs w:val="44"/>
          <w:highlight w:val="none"/>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pStyle w:val="5"/>
        <w:bidi w:val="0"/>
        <w:rPr>
          <w:rFonts w:hint="eastAsia" w:ascii="仿宋_GB2312" w:hAnsi="仿宋_GB2312" w:eastAsia="仿宋_GB2312" w:cs="仿宋_GB2312"/>
          <w:b/>
          <w:bCs/>
          <w:sz w:val="28"/>
          <w:szCs w:val="36"/>
        </w:rPr>
      </w:pPr>
      <w:r>
        <w:rPr>
          <w:rFonts w:hint="eastAsia" w:ascii="仿宋_GB2312" w:hAnsi="仿宋_GB2312" w:eastAsia="仿宋_GB2312" w:cs="仿宋_GB2312"/>
          <w:b/>
          <w:bCs/>
          <w:sz w:val="28"/>
          <w:szCs w:val="36"/>
        </w:rPr>
        <w:t>附件1</w:t>
      </w:r>
    </w:p>
    <w:p>
      <w:pPr>
        <w:pStyle w:val="5"/>
        <w:bidi w:val="0"/>
        <w:jc w:val="center"/>
        <w:rPr>
          <w:rFonts w:hint="default" w:ascii="仿宋_GB2312" w:hAnsi="仿宋_GB2312" w:eastAsia="仿宋_GB2312" w:cs="仿宋_GB2312"/>
          <w:b/>
          <w:bCs/>
          <w:sz w:val="28"/>
          <w:szCs w:val="36"/>
        </w:rPr>
      </w:pPr>
      <w:r>
        <w:rPr>
          <w:rFonts w:hint="default" w:ascii="仿宋_GB2312" w:hAnsi="仿宋_GB2312" w:eastAsia="仿宋_GB2312" w:cs="仿宋_GB2312"/>
          <w:b/>
          <w:bCs/>
          <w:sz w:val="28"/>
          <w:szCs w:val="36"/>
        </w:rPr>
        <w:t>磋商响应担保函</w:t>
      </w:r>
    </w:p>
    <w:p>
      <w:pPr>
        <w:snapToGrid w:val="0"/>
        <w:spacing w:line="240" w:lineRule="auto"/>
        <w:ind w:firstLine="3360" w:firstLineChars="14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bCs/>
          <w:i w:val="0"/>
          <w:iCs w:val="0"/>
          <w:color w:val="auto"/>
          <w:sz w:val="24"/>
          <w:highlight w:val="none"/>
        </w:rPr>
        <w:t>（适用于保证金保函）</w:t>
      </w:r>
    </w:p>
    <w:p>
      <w:pPr>
        <w:snapToGrid w:val="0"/>
        <w:spacing w:line="240" w:lineRule="auto"/>
        <w:ind w:right="480"/>
        <w:jc w:val="center"/>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 xml:space="preserve">                                             保函编号:</w:t>
      </w:r>
    </w:p>
    <w:p>
      <w:pPr>
        <w:snapToGrid w:val="0"/>
        <w:spacing w:line="240" w:lineRule="auto"/>
        <w:ind w:right="480"/>
        <w:jc w:val="left"/>
        <w:rPr>
          <w:rFonts w:hint="default" w:ascii="Times New Roman" w:hAnsi="Times New Roman" w:eastAsia="仿宋_GB2312" w:cs="Times New Roman"/>
          <w:i w:val="0"/>
          <w:iCs w:val="0"/>
          <w:color w:val="auto"/>
          <w:sz w:val="24"/>
          <w:highlight w:val="none"/>
          <w:lang w:eastAsia="zh-CN"/>
        </w:rPr>
      </w:pPr>
      <w:r>
        <w:rPr>
          <w:rFonts w:hint="default" w:ascii="Times New Roman" w:hAnsi="Times New Roman" w:eastAsia="仿宋_GB2312" w:cs="Times New Roman"/>
          <w:i w:val="0"/>
          <w:iCs w:val="0"/>
          <w:color w:val="auto"/>
          <w:sz w:val="24"/>
          <w:highlight w:val="none"/>
          <w:u w:val="single"/>
        </w:rPr>
        <w:t>陕西省采购招标有限责任公司</w:t>
      </w:r>
      <w:r>
        <w:rPr>
          <w:rFonts w:hint="default" w:ascii="Times New Roman" w:hAnsi="Times New Roman" w:eastAsia="仿宋_GB2312" w:cs="Times New Roman"/>
          <w:i w:val="0"/>
          <w:iCs w:val="0"/>
          <w:color w:val="auto"/>
          <w:sz w:val="24"/>
          <w:highlight w:val="none"/>
        </w:rPr>
        <w:t>(下称受益人)</w:t>
      </w:r>
      <w:r>
        <w:rPr>
          <w:rFonts w:hint="default" w:ascii="Times New Roman" w:hAnsi="Times New Roman" w:eastAsia="仿宋_GB2312" w:cs="Times New Roman"/>
          <w:i w:val="0"/>
          <w:iCs w:val="0"/>
          <w:color w:val="auto"/>
          <w:sz w:val="24"/>
          <w:highlight w:val="none"/>
          <w:lang w:eastAsia="zh-CN"/>
        </w:rPr>
        <w:t>：</w:t>
      </w:r>
    </w:p>
    <w:p>
      <w:pPr>
        <w:snapToGrid w:val="0"/>
        <w:spacing w:line="288" w:lineRule="auto"/>
        <w:jc w:val="left"/>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 xml:space="preserve">    鉴于</w:t>
      </w:r>
      <w:r>
        <w:rPr>
          <w:rFonts w:hint="default" w:ascii="Times New Roman" w:hAnsi="Times New Roman" w:eastAsia="仿宋_GB2312" w:cs="Times New Roman"/>
          <w:i w:val="0"/>
          <w:iCs w:val="0"/>
          <w:color w:val="auto"/>
          <w:sz w:val="24"/>
          <w:highlight w:val="none"/>
          <w:u w:val="single"/>
        </w:rPr>
        <w:t xml:space="preserve">     </w:t>
      </w:r>
      <w:r>
        <w:rPr>
          <w:rFonts w:hint="default" w:ascii="Times New Roman" w:hAnsi="Times New Roman" w:eastAsia="仿宋_GB2312" w:cs="Times New Roman"/>
          <w:i w:val="0"/>
          <w:iCs w:val="0"/>
          <w:color w:val="auto"/>
          <w:sz w:val="24"/>
          <w:highlight w:val="none"/>
        </w:rPr>
        <w:t>(下称被保证人)将于</w:t>
      </w:r>
      <w:r>
        <w:rPr>
          <w:rFonts w:hint="default" w:ascii="Times New Roman" w:hAnsi="Times New Roman" w:eastAsia="仿宋_GB2312" w:cs="Times New Roman"/>
          <w:i w:val="0"/>
          <w:iCs w:val="0"/>
          <w:color w:val="auto"/>
          <w:sz w:val="24"/>
          <w:highlight w:val="none"/>
          <w:u w:val="single"/>
        </w:rPr>
        <w:t>    年 月 日</w:t>
      </w:r>
      <w:r>
        <w:rPr>
          <w:rFonts w:hint="default" w:ascii="Times New Roman" w:hAnsi="Times New Roman" w:eastAsia="仿宋_GB2312" w:cs="Times New Roman"/>
          <w:i w:val="0"/>
          <w:iCs w:val="0"/>
          <w:color w:val="auto"/>
          <w:sz w:val="24"/>
          <w:highlight w:val="none"/>
        </w:rPr>
        <w:t>参加贵方竞争性磋商文件编号为</w:t>
      </w:r>
      <w:r>
        <w:rPr>
          <w:rFonts w:hint="default" w:ascii="Times New Roman" w:hAnsi="Times New Roman" w:eastAsia="仿宋_GB2312" w:cs="Times New Roman"/>
          <w:i w:val="0"/>
          <w:iCs w:val="0"/>
          <w:color w:val="auto"/>
          <w:sz w:val="24"/>
          <w:highlight w:val="none"/>
          <w:u w:val="single"/>
        </w:rPr>
        <w:t> （采购项目编号）</w:t>
      </w:r>
      <w:r>
        <w:rPr>
          <w:rFonts w:hint="default" w:ascii="Times New Roman" w:hAnsi="Times New Roman" w:eastAsia="仿宋_GB2312" w:cs="Times New Roman"/>
          <w:i w:val="0"/>
          <w:iCs w:val="0"/>
          <w:color w:val="auto"/>
          <w:sz w:val="24"/>
          <w:highlight w:val="none"/>
        </w:rPr>
        <w:t>的</w:t>
      </w:r>
      <w:r>
        <w:rPr>
          <w:rFonts w:hint="default" w:ascii="Times New Roman" w:hAnsi="Times New Roman" w:eastAsia="仿宋_GB2312" w:cs="Times New Roman"/>
          <w:i w:val="0"/>
          <w:iCs w:val="0"/>
          <w:color w:val="auto"/>
          <w:sz w:val="24"/>
          <w:highlight w:val="none"/>
          <w:u w:val="single"/>
        </w:rPr>
        <w:t xml:space="preserve"> （项目名称） </w:t>
      </w:r>
      <w:r>
        <w:rPr>
          <w:rFonts w:hint="default" w:ascii="Times New Roman" w:hAnsi="Times New Roman" w:eastAsia="仿宋_GB2312" w:cs="Times New Roman"/>
          <w:i w:val="0"/>
          <w:iCs w:val="0"/>
          <w:color w:val="auto"/>
          <w:sz w:val="24"/>
          <w:highlight w:val="none"/>
        </w:rPr>
        <w:t>的竞争性磋商,我方接受被保证人的委托,在此向受益人提供不可撤销的磋商保证：</w:t>
      </w:r>
    </w:p>
    <w:p>
      <w:pPr>
        <w:numPr>
          <w:ilvl w:val="0"/>
          <w:numId w:val="21"/>
        </w:numPr>
        <w:snapToGrid w:val="0"/>
        <w:spacing w:line="288"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本保证担保的担保金额为</w:t>
      </w:r>
      <w:r>
        <w:rPr>
          <w:rFonts w:hint="default" w:ascii="Times New Roman" w:hAnsi="Times New Roman" w:eastAsia="仿宋_GB2312" w:cs="Times New Roman"/>
          <w:i w:val="0"/>
          <w:iCs w:val="0"/>
          <w:color w:val="auto"/>
          <w:sz w:val="24"/>
          <w:highlight w:val="none"/>
          <w:u w:val="single"/>
        </w:rPr>
        <w:t>人民币</w:t>
      </w:r>
      <w:r>
        <w:rPr>
          <w:rFonts w:hint="default" w:ascii="Times New Roman" w:hAnsi="Times New Roman" w:eastAsia="仿宋_GB2312" w:cs="Times New Roman"/>
          <w:i w:val="0"/>
          <w:iCs w:val="0"/>
          <w:color w:val="auto"/>
          <w:sz w:val="24"/>
          <w:highlight w:val="none"/>
        </w:rPr>
        <w:t>(币种</w:t>
      </w:r>
      <w:r>
        <w:rPr>
          <w:rFonts w:hint="default" w:ascii="Times New Roman" w:hAnsi="Times New Roman" w:eastAsia="仿宋_GB2312" w:cs="Times New Roman"/>
          <w:i w:val="0"/>
          <w:iCs w:val="0"/>
          <w:color w:val="auto"/>
          <w:sz w:val="24"/>
          <w:highlight w:val="none"/>
          <w:u w:val="single"/>
        </w:rPr>
        <w:t>)     </w:t>
      </w:r>
      <w:r>
        <w:rPr>
          <w:rFonts w:hint="default" w:ascii="Times New Roman" w:hAnsi="Times New Roman" w:eastAsia="仿宋_GB2312" w:cs="Times New Roman"/>
          <w:i w:val="0"/>
          <w:iCs w:val="0"/>
          <w:color w:val="auto"/>
          <w:sz w:val="24"/>
          <w:highlight w:val="none"/>
        </w:rPr>
        <w:t>元(小写)</w:t>
      </w:r>
      <w:r>
        <w:rPr>
          <w:rFonts w:hint="default" w:ascii="Times New Roman" w:hAnsi="Times New Roman" w:eastAsia="仿宋_GB2312" w:cs="Times New Roman"/>
          <w:i w:val="0"/>
          <w:iCs w:val="0"/>
          <w:color w:val="auto"/>
          <w:sz w:val="24"/>
          <w:highlight w:val="none"/>
          <w:u w:val="single"/>
        </w:rPr>
        <w:t xml:space="preserve">     元整</w:t>
      </w:r>
      <w:r>
        <w:rPr>
          <w:rFonts w:hint="default" w:ascii="Times New Roman" w:hAnsi="Times New Roman" w:eastAsia="仿宋_GB2312" w:cs="Times New Roman"/>
          <w:i w:val="0"/>
          <w:iCs w:val="0"/>
          <w:color w:val="auto"/>
          <w:sz w:val="24"/>
          <w:highlight w:val="none"/>
        </w:rPr>
        <w:t>(大写）。</w:t>
      </w:r>
      <w:r>
        <w:rPr>
          <w:rFonts w:hint="default" w:ascii="Times New Roman" w:hAnsi="Times New Roman" w:eastAsia="仿宋_GB2312" w:cs="Times New Roman"/>
          <w:i w:val="0"/>
          <w:iCs w:val="0"/>
          <w:color w:val="auto"/>
          <w:sz w:val="24"/>
          <w:highlight w:val="none"/>
        </w:rPr>
        <w:br w:type="textWrapping"/>
      </w:r>
      <w:r>
        <w:rPr>
          <w:rFonts w:hint="default" w:ascii="Times New Roman" w:hAnsi="Times New Roman" w:eastAsia="仿宋_GB2312" w:cs="Times New Roman"/>
          <w:i w:val="0"/>
          <w:iCs w:val="0"/>
          <w:color w:val="auto"/>
          <w:sz w:val="24"/>
          <w:highlight w:val="none"/>
        </w:rPr>
        <w:t xml:space="preserve">    二、本保证担保的保证期间为响应文件的有效期(或延长的有效期),延长有效期无须通知我方。</w:t>
      </w:r>
      <w:r>
        <w:rPr>
          <w:rFonts w:hint="default" w:ascii="Times New Roman" w:hAnsi="Times New Roman" w:eastAsia="仿宋_GB2312" w:cs="Times New Roman"/>
          <w:i w:val="0"/>
          <w:iCs w:val="0"/>
          <w:color w:val="auto"/>
          <w:sz w:val="24"/>
          <w:highlight w:val="none"/>
        </w:rPr>
        <w:br w:type="textWrapping"/>
      </w:r>
      <w:r>
        <w:rPr>
          <w:rFonts w:hint="default" w:ascii="Times New Roman" w:hAnsi="Times New Roman" w:eastAsia="仿宋_GB2312" w:cs="Times New Roman"/>
          <w:i w:val="0"/>
          <w:iCs w:val="0"/>
          <w:color w:val="auto"/>
          <w:sz w:val="24"/>
          <w:highlight w:val="none"/>
        </w:rPr>
        <w:t xml:space="preserve">    三、在本保证担保的保证期间内,如果被保证人出现下列情形之一,受益人可以向我方提起索赔：</w:t>
      </w:r>
      <w:r>
        <w:rPr>
          <w:rFonts w:hint="default" w:ascii="Times New Roman" w:hAnsi="Times New Roman" w:eastAsia="仿宋_GB2312" w:cs="Times New Roman"/>
          <w:i w:val="0"/>
          <w:iCs w:val="0"/>
          <w:color w:val="auto"/>
          <w:sz w:val="24"/>
          <w:highlight w:val="none"/>
        </w:rPr>
        <w:br w:type="textWrapping"/>
      </w:r>
      <w:r>
        <w:rPr>
          <w:rFonts w:hint="default" w:ascii="Times New Roman" w:hAnsi="Times New Roman" w:eastAsia="仿宋_GB2312" w:cs="Times New Roman"/>
          <w:i w:val="0"/>
          <w:iCs w:val="0"/>
          <w:color w:val="auto"/>
          <w:sz w:val="24"/>
          <w:highlight w:val="none"/>
        </w:rPr>
        <w:t xml:space="preserve">    1.被保证人在响应文件有效期内撤回其响应文件；</w:t>
      </w:r>
      <w:r>
        <w:rPr>
          <w:rFonts w:hint="default" w:ascii="Times New Roman" w:hAnsi="Times New Roman" w:eastAsia="仿宋_GB2312" w:cs="Times New Roman"/>
          <w:i w:val="0"/>
          <w:iCs w:val="0"/>
          <w:color w:val="auto"/>
          <w:sz w:val="24"/>
          <w:highlight w:val="none"/>
        </w:rPr>
        <w:br w:type="textWrapping"/>
      </w:r>
      <w:r>
        <w:rPr>
          <w:rFonts w:hint="default" w:ascii="Times New Roman" w:hAnsi="Times New Roman" w:eastAsia="仿宋_GB2312" w:cs="Times New Roman"/>
          <w:i w:val="0"/>
          <w:iCs w:val="0"/>
          <w:color w:val="auto"/>
          <w:sz w:val="24"/>
          <w:highlight w:val="none"/>
        </w:rPr>
        <w:t xml:space="preserve">    2.被保证人在响应文件有效期内收到受益人发出的成交通知书后,不能或拒绝按竞争性磋商文件的要求签署合同；</w:t>
      </w:r>
      <w:r>
        <w:rPr>
          <w:rFonts w:hint="default" w:ascii="Times New Roman" w:hAnsi="Times New Roman" w:eastAsia="仿宋_GB2312" w:cs="Times New Roman"/>
          <w:i w:val="0"/>
          <w:iCs w:val="0"/>
          <w:color w:val="auto"/>
          <w:sz w:val="24"/>
          <w:highlight w:val="none"/>
        </w:rPr>
        <w:br w:type="textWrapping"/>
      </w:r>
      <w:r>
        <w:rPr>
          <w:rFonts w:hint="default" w:ascii="Times New Roman" w:hAnsi="Times New Roman" w:eastAsia="仿宋_GB2312" w:cs="Times New Roman"/>
          <w:i w:val="0"/>
          <w:iCs w:val="0"/>
          <w:color w:val="auto"/>
          <w:sz w:val="24"/>
          <w:highlight w:val="none"/>
        </w:rPr>
        <w:t xml:space="preserve">   </w:t>
      </w:r>
      <w:r>
        <w:rPr>
          <w:rFonts w:hint="eastAsia" w:eastAsia="仿宋_GB2312" w:cs="Times New Roman"/>
          <w:i w:val="0"/>
          <w:iCs w:val="0"/>
          <w:color w:val="auto"/>
          <w:sz w:val="24"/>
          <w:highlight w:val="none"/>
          <w:lang w:val="en-US" w:eastAsia="zh-CN"/>
        </w:rPr>
        <w:t xml:space="preserve"> </w:t>
      </w:r>
      <w:r>
        <w:rPr>
          <w:rFonts w:hint="default" w:ascii="Times New Roman" w:hAnsi="Times New Roman" w:eastAsia="仿宋_GB2312" w:cs="Times New Roman"/>
          <w:i w:val="0"/>
          <w:iCs w:val="0"/>
          <w:color w:val="auto"/>
          <w:sz w:val="24"/>
          <w:highlight w:val="none"/>
        </w:rPr>
        <w:t>3.被保证人在有效期内收到受益人发出的成交通知书后,不能或拒绝按竞争性磋商文件的规定提交履约担保；</w:t>
      </w:r>
      <w:r>
        <w:rPr>
          <w:rFonts w:hint="default" w:ascii="Times New Roman" w:hAnsi="Times New Roman" w:eastAsia="仿宋_GB2312" w:cs="Times New Roman"/>
          <w:i w:val="0"/>
          <w:iCs w:val="0"/>
          <w:color w:val="auto"/>
          <w:sz w:val="24"/>
          <w:highlight w:val="none"/>
        </w:rPr>
        <w:br w:type="textWrapping"/>
      </w:r>
      <w:r>
        <w:rPr>
          <w:rFonts w:hint="default" w:ascii="Times New Roman" w:hAnsi="Times New Roman" w:eastAsia="仿宋_GB2312" w:cs="Times New Roman"/>
          <w:i w:val="0"/>
          <w:iCs w:val="0"/>
          <w:color w:val="auto"/>
          <w:sz w:val="24"/>
          <w:highlight w:val="none"/>
        </w:rPr>
        <w:t xml:space="preserve">   </w:t>
      </w:r>
      <w:r>
        <w:rPr>
          <w:rFonts w:hint="eastAsia" w:eastAsia="仿宋_GB2312" w:cs="Times New Roman"/>
          <w:i w:val="0"/>
          <w:iCs w:val="0"/>
          <w:color w:val="auto"/>
          <w:sz w:val="24"/>
          <w:highlight w:val="none"/>
          <w:lang w:val="en-US" w:eastAsia="zh-CN"/>
        </w:rPr>
        <w:t xml:space="preserve"> </w:t>
      </w:r>
      <w:r>
        <w:rPr>
          <w:rFonts w:hint="default" w:ascii="Times New Roman" w:hAnsi="Times New Roman" w:eastAsia="仿宋_GB2312" w:cs="Times New Roman"/>
          <w:i w:val="0"/>
          <w:iCs w:val="0"/>
          <w:color w:val="auto"/>
          <w:sz w:val="24"/>
          <w:highlight w:val="none"/>
        </w:rPr>
        <w:t>4.被保证人成交后未按照竞争性磋商文件规定交纳代理服务费。</w:t>
      </w:r>
      <w:r>
        <w:rPr>
          <w:rFonts w:hint="default" w:ascii="Times New Roman" w:hAnsi="Times New Roman" w:eastAsia="仿宋_GB2312" w:cs="Times New Roman"/>
          <w:i w:val="0"/>
          <w:iCs w:val="0"/>
          <w:color w:val="auto"/>
          <w:sz w:val="24"/>
          <w:highlight w:val="none"/>
        </w:rPr>
        <w:br w:type="textWrapping"/>
      </w:r>
      <w:r>
        <w:rPr>
          <w:rFonts w:hint="default" w:ascii="Times New Roman" w:hAnsi="Times New Roman" w:eastAsia="仿宋_GB2312" w:cs="Times New Roman"/>
          <w:i w:val="0"/>
          <w:iCs w:val="0"/>
          <w:color w:val="auto"/>
          <w:sz w:val="24"/>
          <w:highlight w:val="none"/>
        </w:rPr>
        <w:t xml:space="preserve">   </w:t>
      </w:r>
      <w:r>
        <w:rPr>
          <w:rFonts w:hint="eastAsia" w:eastAsia="仿宋_GB2312" w:cs="Times New Roman"/>
          <w:i w:val="0"/>
          <w:iCs w:val="0"/>
          <w:color w:val="auto"/>
          <w:sz w:val="24"/>
          <w:highlight w:val="none"/>
          <w:lang w:val="en-US" w:eastAsia="zh-CN"/>
        </w:rPr>
        <w:t xml:space="preserve"> </w:t>
      </w:r>
      <w:r>
        <w:rPr>
          <w:rFonts w:hint="default" w:ascii="Times New Roman" w:hAnsi="Times New Roman" w:eastAsia="仿宋_GB2312" w:cs="Times New Roman"/>
          <w:i w:val="0"/>
          <w:iCs w:val="0"/>
          <w:color w:val="auto"/>
          <w:sz w:val="24"/>
          <w:highlight w:val="none"/>
        </w:rPr>
        <w:t>四、在本保证担保的保证期间内,我方收到受益人经法定代表人或其授权委托代理人签字并加盖公章的书面索赔通知后,将不争辩、不挑剔、不可撤销地立即向受益人支付本保证担保的担保金额。</w:t>
      </w:r>
      <w:r>
        <w:rPr>
          <w:rFonts w:hint="default" w:ascii="Times New Roman" w:hAnsi="Times New Roman" w:eastAsia="仿宋_GB2312" w:cs="Times New Roman"/>
          <w:i w:val="0"/>
          <w:iCs w:val="0"/>
          <w:color w:val="auto"/>
          <w:sz w:val="24"/>
          <w:highlight w:val="none"/>
        </w:rPr>
        <w:br w:type="textWrapping"/>
      </w:r>
      <w:r>
        <w:rPr>
          <w:rFonts w:hint="default" w:ascii="Times New Roman" w:hAnsi="Times New Roman" w:eastAsia="仿宋_GB2312" w:cs="Times New Roman"/>
          <w:i w:val="0"/>
          <w:iCs w:val="0"/>
          <w:color w:val="auto"/>
          <w:sz w:val="24"/>
          <w:highlight w:val="none"/>
        </w:rPr>
        <w:t xml:space="preserve">   </w:t>
      </w:r>
      <w:r>
        <w:rPr>
          <w:rFonts w:hint="eastAsia" w:eastAsia="仿宋_GB2312" w:cs="Times New Roman"/>
          <w:i w:val="0"/>
          <w:iCs w:val="0"/>
          <w:color w:val="auto"/>
          <w:sz w:val="24"/>
          <w:highlight w:val="none"/>
          <w:lang w:val="en-US" w:eastAsia="zh-CN"/>
        </w:rPr>
        <w:t xml:space="preserve"> </w:t>
      </w:r>
      <w:r>
        <w:rPr>
          <w:rFonts w:hint="default" w:ascii="Times New Roman" w:hAnsi="Times New Roman" w:eastAsia="仿宋_GB2312" w:cs="Times New Roman"/>
          <w:i w:val="0"/>
          <w:iCs w:val="0"/>
          <w:color w:val="auto"/>
          <w:sz w:val="24"/>
          <w:highlight w:val="none"/>
        </w:rPr>
        <w:t>五、受益人的索赔通知应当说明索赔理由,并必须在本保证担保的保证期间内送达我方。</w:t>
      </w:r>
      <w:r>
        <w:rPr>
          <w:rFonts w:hint="default" w:ascii="Times New Roman" w:hAnsi="Times New Roman" w:eastAsia="仿宋_GB2312" w:cs="Times New Roman"/>
          <w:i w:val="0"/>
          <w:iCs w:val="0"/>
          <w:color w:val="auto"/>
          <w:sz w:val="24"/>
          <w:highlight w:val="none"/>
        </w:rPr>
        <w:br w:type="textWrapping"/>
      </w:r>
      <w:r>
        <w:rPr>
          <w:rFonts w:hint="default" w:ascii="Times New Roman" w:hAnsi="Times New Roman" w:eastAsia="仿宋_GB2312" w:cs="Times New Roman"/>
          <w:i w:val="0"/>
          <w:iCs w:val="0"/>
          <w:color w:val="auto"/>
          <w:sz w:val="24"/>
          <w:highlight w:val="none"/>
        </w:rPr>
        <w:t xml:space="preserve">   </w:t>
      </w:r>
      <w:r>
        <w:rPr>
          <w:rFonts w:hint="eastAsia" w:eastAsia="仿宋_GB2312" w:cs="Times New Roman"/>
          <w:i w:val="0"/>
          <w:iCs w:val="0"/>
          <w:color w:val="auto"/>
          <w:sz w:val="24"/>
          <w:highlight w:val="none"/>
          <w:lang w:val="en-US" w:eastAsia="zh-CN"/>
        </w:rPr>
        <w:t xml:space="preserve"> </w:t>
      </w:r>
      <w:r>
        <w:rPr>
          <w:rFonts w:hint="default" w:ascii="Times New Roman" w:hAnsi="Times New Roman" w:eastAsia="仿宋_GB2312" w:cs="Times New Roman"/>
          <w:i w:val="0"/>
          <w:iCs w:val="0"/>
          <w:color w:val="auto"/>
          <w:sz w:val="24"/>
          <w:highlight w:val="none"/>
        </w:rPr>
        <w:t>六、本保证担保项下的权利不得转让。</w:t>
      </w:r>
      <w:r>
        <w:rPr>
          <w:rFonts w:hint="default" w:ascii="Times New Roman" w:hAnsi="Times New Roman" w:eastAsia="仿宋_GB2312" w:cs="Times New Roman"/>
          <w:i w:val="0"/>
          <w:iCs w:val="0"/>
          <w:color w:val="auto"/>
          <w:sz w:val="24"/>
          <w:highlight w:val="none"/>
        </w:rPr>
        <w:br w:type="textWrapping"/>
      </w:r>
      <w:r>
        <w:rPr>
          <w:rFonts w:hint="default" w:ascii="Times New Roman" w:hAnsi="Times New Roman" w:eastAsia="仿宋_GB2312" w:cs="Times New Roman"/>
          <w:i w:val="0"/>
          <w:iCs w:val="0"/>
          <w:color w:val="auto"/>
          <w:sz w:val="24"/>
          <w:highlight w:val="none"/>
        </w:rPr>
        <w:t xml:space="preserve">   </w:t>
      </w:r>
      <w:r>
        <w:rPr>
          <w:rFonts w:hint="eastAsia" w:eastAsia="仿宋_GB2312" w:cs="Times New Roman"/>
          <w:i w:val="0"/>
          <w:iCs w:val="0"/>
          <w:color w:val="auto"/>
          <w:sz w:val="24"/>
          <w:highlight w:val="none"/>
          <w:lang w:val="en-US" w:eastAsia="zh-CN"/>
        </w:rPr>
        <w:t xml:space="preserve"> </w:t>
      </w:r>
      <w:r>
        <w:rPr>
          <w:rFonts w:hint="default" w:ascii="Times New Roman" w:hAnsi="Times New Roman" w:eastAsia="仿宋_GB2312" w:cs="Times New Roman"/>
          <w:i w:val="0"/>
          <w:iCs w:val="0"/>
          <w:color w:val="auto"/>
          <w:sz w:val="24"/>
          <w:highlight w:val="none"/>
        </w:rPr>
        <w:t>七、本保证担保的保证期间届满,或我方已向受益人支付本保证担保的担保金额,我方的保证责任免除。</w:t>
      </w:r>
      <w:r>
        <w:rPr>
          <w:rFonts w:hint="default" w:ascii="Times New Roman" w:hAnsi="Times New Roman" w:eastAsia="仿宋_GB2312" w:cs="Times New Roman"/>
          <w:i w:val="0"/>
          <w:iCs w:val="0"/>
          <w:color w:val="auto"/>
          <w:sz w:val="24"/>
          <w:highlight w:val="none"/>
        </w:rPr>
        <w:br w:type="textWrapping"/>
      </w:r>
      <w:r>
        <w:rPr>
          <w:rFonts w:hint="default" w:ascii="Times New Roman" w:hAnsi="Times New Roman" w:eastAsia="仿宋_GB2312" w:cs="Times New Roman"/>
          <w:i w:val="0"/>
          <w:iCs w:val="0"/>
          <w:color w:val="auto"/>
          <w:sz w:val="24"/>
          <w:highlight w:val="none"/>
        </w:rPr>
        <w:t xml:space="preserve">   </w:t>
      </w:r>
      <w:r>
        <w:rPr>
          <w:rFonts w:hint="eastAsia" w:eastAsia="仿宋_GB2312" w:cs="Times New Roman"/>
          <w:i w:val="0"/>
          <w:iCs w:val="0"/>
          <w:color w:val="auto"/>
          <w:sz w:val="24"/>
          <w:highlight w:val="none"/>
          <w:lang w:val="en-US" w:eastAsia="zh-CN"/>
        </w:rPr>
        <w:t xml:space="preserve"> </w:t>
      </w:r>
      <w:r>
        <w:rPr>
          <w:rFonts w:hint="default" w:ascii="Times New Roman" w:hAnsi="Times New Roman" w:eastAsia="仿宋_GB2312" w:cs="Times New Roman"/>
          <w:i w:val="0"/>
          <w:iCs w:val="0"/>
          <w:color w:val="auto"/>
          <w:sz w:val="24"/>
          <w:highlight w:val="none"/>
        </w:rPr>
        <w:t>八、本保证担保适用中华人民共和国法律。</w:t>
      </w:r>
      <w:r>
        <w:rPr>
          <w:rFonts w:hint="default" w:ascii="Times New Roman" w:hAnsi="Times New Roman" w:eastAsia="仿宋_GB2312" w:cs="Times New Roman"/>
          <w:i w:val="0"/>
          <w:iCs w:val="0"/>
          <w:color w:val="auto"/>
          <w:sz w:val="24"/>
          <w:highlight w:val="none"/>
        </w:rPr>
        <w:br w:type="textWrapping"/>
      </w:r>
      <w:r>
        <w:rPr>
          <w:rFonts w:hint="default" w:ascii="Times New Roman" w:hAnsi="Times New Roman" w:eastAsia="仿宋_GB2312" w:cs="Times New Roman"/>
          <w:i w:val="0"/>
          <w:iCs w:val="0"/>
          <w:color w:val="auto"/>
          <w:sz w:val="24"/>
          <w:highlight w:val="none"/>
        </w:rPr>
        <w:t xml:space="preserve">   </w:t>
      </w:r>
      <w:r>
        <w:rPr>
          <w:rFonts w:hint="eastAsia" w:eastAsia="仿宋_GB2312" w:cs="Times New Roman"/>
          <w:i w:val="0"/>
          <w:iCs w:val="0"/>
          <w:color w:val="auto"/>
          <w:sz w:val="24"/>
          <w:highlight w:val="none"/>
          <w:lang w:val="en-US" w:eastAsia="zh-CN"/>
        </w:rPr>
        <w:t xml:space="preserve"> </w:t>
      </w:r>
      <w:r>
        <w:rPr>
          <w:rFonts w:hint="default" w:ascii="Times New Roman" w:hAnsi="Times New Roman" w:eastAsia="仿宋_GB2312" w:cs="Times New Roman"/>
          <w:i w:val="0"/>
          <w:iCs w:val="0"/>
          <w:color w:val="auto"/>
          <w:sz w:val="24"/>
          <w:highlight w:val="none"/>
        </w:rPr>
        <w:t>九、本保证担保以中文文本为准,涂改无效。</w:t>
      </w:r>
    </w:p>
    <w:p>
      <w:pPr>
        <w:snapToGrid w:val="0"/>
        <w:spacing w:line="288"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br w:type="textWrapping"/>
      </w:r>
      <w:r>
        <w:rPr>
          <w:rFonts w:hint="default" w:ascii="Times New Roman" w:hAnsi="Times New Roman" w:eastAsia="仿宋_GB2312" w:cs="Times New Roman"/>
          <w:i w:val="0"/>
          <w:iCs w:val="0"/>
          <w:color w:val="auto"/>
          <w:sz w:val="24"/>
          <w:highlight w:val="none"/>
        </w:rPr>
        <w:t>保证人(盖章):</w:t>
      </w:r>
      <w:r>
        <w:rPr>
          <w:rFonts w:hint="default" w:ascii="Times New Roman" w:hAnsi="Times New Roman" w:eastAsia="仿宋_GB2312" w:cs="Times New Roman"/>
          <w:i w:val="0"/>
          <w:iCs w:val="0"/>
          <w:color w:val="auto"/>
          <w:sz w:val="24"/>
          <w:highlight w:val="none"/>
          <w:u w:val="single"/>
        </w:rPr>
        <w:t xml:space="preserve">     </w:t>
      </w:r>
      <w:r>
        <w:rPr>
          <w:rFonts w:hint="default" w:ascii="Times New Roman" w:hAnsi="Times New Roman" w:eastAsia="仿宋_GB2312" w:cs="Times New Roman"/>
          <w:i w:val="0"/>
          <w:iCs w:val="0"/>
          <w:color w:val="auto"/>
          <w:sz w:val="24"/>
          <w:highlight w:val="none"/>
          <w:u w:val="single"/>
        </w:rPr>
        <w:br w:type="textWrapping"/>
      </w:r>
      <w:r>
        <w:rPr>
          <w:rFonts w:hint="default" w:ascii="Times New Roman" w:hAnsi="Times New Roman" w:eastAsia="仿宋_GB2312" w:cs="Times New Roman"/>
          <w:i w:val="0"/>
          <w:iCs w:val="0"/>
          <w:color w:val="auto"/>
          <w:sz w:val="24"/>
          <w:highlight w:val="none"/>
        </w:rPr>
        <w:t xml:space="preserve">法定代表人或其授权委托代理人(签字或盖章）： </w:t>
      </w:r>
      <w:r>
        <w:rPr>
          <w:rFonts w:hint="default" w:ascii="Times New Roman" w:hAnsi="Times New Roman" w:eastAsia="仿宋_GB2312" w:cs="Times New Roman"/>
          <w:i w:val="0"/>
          <w:iCs w:val="0"/>
          <w:color w:val="auto"/>
          <w:sz w:val="24"/>
          <w:highlight w:val="none"/>
          <w:u w:val="single"/>
        </w:rPr>
        <w:t xml:space="preserve">               </w:t>
      </w:r>
      <w:r>
        <w:rPr>
          <w:rFonts w:hint="default" w:ascii="Times New Roman" w:hAnsi="Times New Roman" w:eastAsia="仿宋_GB2312" w:cs="Times New Roman"/>
          <w:i w:val="0"/>
          <w:iCs w:val="0"/>
          <w:color w:val="auto"/>
          <w:sz w:val="24"/>
          <w:highlight w:val="none"/>
          <w:u w:val="single"/>
        </w:rPr>
        <w:br w:type="textWrapping"/>
      </w:r>
      <w:r>
        <w:rPr>
          <w:rFonts w:hint="default" w:ascii="Times New Roman" w:hAnsi="Times New Roman" w:eastAsia="仿宋_GB2312" w:cs="Times New Roman"/>
          <w:i w:val="0"/>
          <w:iCs w:val="0"/>
          <w:color w:val="auto"/>
          <w:sz w:val="24"/>
          <w:highlight w:val="none"/>
        </w:rPr>
        <w:t>单位地址:</w:t>
      </w:r>
      <w:r>
        <w:rPr>
          <w:rFonts w:hint="default" w:ascii="Times New Roman" w:hAnsi="Times New Roman" w:eastAsia="仿宋_GB2312" w:cs="Times New Roman"/>
          <w:i w:val="0"/>
          <w:iCs w:val="0"/>
          <w:color w:val="auto"/>
          <w:sz w:val="24"/>
          <w:highlight w:val="none"/>
          <w:u w:val="single"/>
        </w:rPr>
        <w:t xml:space="preserve">     </w:t>
      </w:r>
      <w:r>
        <w:rPr>
          <w:rFonts w:hint="default" w:ascii="Times New Roman" w:hAnsi="Times New Roman" w:eastAsia="仿宋_GB2312" w:cs="Times New Roman"/>
          <w:i w:val="0"/>
          <w:iCs w:val="0"/>
          <w:color w:val="auto"/>
          <w:sz w:val="24"/>
          <w:highlight w:val="none"/>
          <w:u w:val="single"/>
        </w:rPr>
        <w:br w:type="textWrapping"/>
      </w:r>
      <w:r>
        <w:rPr>
          <w:rFonts w:hint="default" w:ascii="Times New Roman" w:hAnsi="Times New Roman" w:eastAsia="仿宋_GB2312" w:cs="Times New Roman"/>
          <w:i w:val="0"/>
          <w:iCs w:val="0"/>
          <w:color w:val="auto"/>
          <w:sz w:val="24"/>
          <w:highlight w:val="none"/>
        </w:rPr>
        <w:t>电话:     </w:t>
      </w:r>
    </w:p>
    <w:p>
      <w:pPr>
        <w:snapToGrid w:val="0"/>
        <w:spacing w:line="288"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日期:     年    月    日</w:t>
      </w:r>
    </w:p>
    <w:p>
      <w:pPr>
        <w:pStyle w:val="5"/>
        <w:bidi w:val="0"/>
        <w:rPr>
          <w:rFonts w:hint="default" w:ascii="Times New Roman" w:hAnsi="Times New Roman" w:eastAsia="仿宋_GB2312" w:cs="Times New Roman"/>
          <w:b/>
          <w:bCs/>
          <w:i w:val="0"/>
          <w:iCs w:val="0"/>
          <w:color w:val="auto"/>
          <w:kern w:val="0"/>
          <w:sz w:val="32"/>
          <w:szCs w:val="32"/>
          <w:highlight w:val="none"/>
        </w:rPr>
      </w:pPr>
      <w:bookmarkStart w:id="505" w:name="_Toc532473491"/>
      <w:bookmarkStart w:id="506" w:name="_Toc21748"/>
      <w:bookmarkStart w:id="507" w:name="_Toc515647799"/>
      <w:bookmarkStart w:id="508" w:name="_Toc16186"/>
      <w:r>
        <w:rPr>
          <w:rFonts w:hint="default" w:ascii="Times New Roman" w:hAnsi="Times New Roman" w:eastAsia="仿宋_GB2312" w:cs="Times New Roman"/>
          <w:i w:val="0"/>
          <w:iCs w:val="0"/>
          <w:color w:val="auto"/>
          <w:kern w:val="0"/>
          <w:sz w:val="24"/>
          <w:highlight w:val="none"/>
        </w:rPr>
        <w:br w:type="page"/>
      </w:r>
      <w:bookmarkEnd w:id="505"/>
      <w:bookmarkEnd w:id="506"/>
      <w:bookmarkEnd w:id="507"/>
      <w:bookmarkEnd w:id="508"/>
      <w:bookmarkStart w:id="509" w:name="_Toc20660404"/>
      <w:bookmarkStart w:id="510" w:name="_Toc10951"/>
      <w:bookmarkStart w:id="511" w:name="_Toc515647800"/>
      <w:bookmarkStart w:id="512" w:name="_Toc532473492"/>
      <w:bookmarkStart w:id="513" w:name="_Toc6548"/>
      <w:r>
        <w:rPr>
          <w:rFonts w:hint="default" w:ascii="仿宋_GB2312" w:hAnsi="仿宋_GB2312" w:eastAsia="仿宋_GB2312" w:cs="仿宋_GB2312"/>
          <w:b/>
          <w:bCs/>
          <w:sz w:val="28"/>
          <w:szCs w:val="36"/>
          <w:lang w:val="en-US" w:eastAsia="zh-CN"/>
        </w:rPr>
        <w:t>附件</w:t>
      </w:r>
      <w:r>
        <w:rPr>
          <w:rFonts w:hint="default" w:ascii="仿宋_GB2312" w:hAnsi="仿宋_GB2312" w:eastAsia="仿宋_GB2312" w:cs="仿宋_GB2312"/>
          <w:b/>
          <w:bCs/>
          <w:kern w:val="2"/>
          <w:sz w:val="28"/>
          <w:szCs w:val="36"/>
          <w:lang w:val="en-US" w:eastAsia="zh-CN" w:bidi="ar-SA"/>
        </w:rPr>
        <w:t>2</w:t>
      </w:r>
    </w:p>
    <w:p>
      <w:pPr>
        <w:pStyle w:val="5"/>
        <w:bidi w:val="0"/>
        <w:jc w:val="center"/>
        <w:rPr>
          <w:rFonts w:hint="default" w:ascii="仿宋_GB2312" w:hAnsi="仿宋_GB2312" w:eastAsia="仿宋_GB2312" w:cs="仿宋_GB2312"/>
          <w:b/>
          <w:bCs/>
          <w:sz w:val="28"/>
          <w:szCs w:val="36"/>
        </w:rPr>
      </w:pPr>
      <w:r>
        <w:rPr>
          <w:rFonts w:hint="default" w:ascii="仿宋_GB2312" w:hAnsi="仿宋_GB2312" w:eastAsia="仿宋_GB2312" w:cs="仿宋_GB2312"/>
          <w:b/>
          <w:bCs/>
          <w:sz w:val="28"/>
          <w:szCs w:val="36"/>
        </w:rPr>
        <w:t>履约担保函格式</w:t>
      </w:r>
      <w:bookmarkEnd w:id="509"/>
      <w:bookmarkEnd w:id="510"/>
      <w:bookmarkEnd w:id="511"/>
      <w:bookmarkEnd w:id="512"/>
      <w:bookmarkEnd w:id="513"/>
    </w:p>
    <w:p>
      <w:pPr>
        <w:snapToGrid w:val="0"/>
        <w:spacing w:line="336" w:lineRule="auto"/>
        <w:jc w:val="center"/>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 xml:space="preserve">                             编号：</w:t>
      </w:r>
    </w:p>
    <w:p>
      <w:pPr>
        <w:snapToGrid w:val="0"/>
        <w:spacing w:line="336" w:lineRule="auto"/>
        <w:rPr>
          <w:rFonts w:hint="default" w:ascii="Times New Roman" w:hAnsi="Times New Roman" w:eastAsia="仿宋_GB2312" w:cs="Times New Roman"/>
          <w:i w:val="0"/>
          <w:iCs w:val="0"/>
          <w:color w:val="auto"/>
          <w:sz w:val="28"/>
          <w:szCs w:val="28"/>
          <w:highlight w:val="none"/>
        </w:rPr>
      </w:pPr>
    </w:p>
    <w:p>
      <w:pPr>
        <w:snapToGrid w:val="0"/>
        <w:spacing w:line="336"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u w:val="single"/>
        </w:rPr>
        <w:t xml:space="preserve">                  </w:t>
      </w:r>
      <w:r>
        <w:rPr>
          <w:rFonts w:hint="default" w:ascii="Times New Roman" w:hAnsi="Times New Roman" w:eastAsia="仿宋_GB2312" w:cs="Times New Roman"/>
          <w:i w:val="0"/>
          <w:iCs w:val="0"/>
          <w:color w:val="auto"/>
          <w:sz w:val="24"/>
          <w:highlight w:val="none"/>
        </w:rPr>
        <w:t>（采购人名称）：</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鉴于你方与</w:t>
      </w:r>
      <w:r>
        <w:rPr>
          <w:rFonts w:hint="default" w:ascii="Times New Roman" w:hAnsi="Times New Roman" w:eastAsia="仿宋_GB2312" w:cs="Times New Roman"/>
          <w:i w:val="0"/>
          <w:iCs w:val="0"/>
          <w:color w:val="auto"/>
          <w:sz w:val="24"/>
          <w:highlight w:val="none"/>
          <w:u w:val="single"/>
        </w:rPr>
        <w:t xml:space="preserve">                    </w:t>
      </w:r>
      <w:r>
        <w:rPr>
          <w:rFonts w:hint="default" w:ascii="Times New Roman" w:hAnsi="Times New Roman" w:eastAsia="仿宋_GB2312" w:cs="Times New Roman"/>
          <w:i w:val="0"/>
          <w:iCs w:val="0"/>
          <w:color w:val="auto"/>
          <w:sz w:val="24"/>
          <w:highlight w:val="none"/>
        </w:rPr>
        <w:t>（以下简称供应商）于</w:t>
      </w:r>
      <w:r>
        <w:rPr>
          <w:rFonts w:hint="default" w:ascii="Times New Roman" w:hAnsi="Times New Roman" w:eastAsia="仿宋_GB2312" w:cs="Times New Roman"/>
          <w:i w:val="0"/>
          <w:iCs w:val="0"/>
          <w:color w:val="auto"/>
          <w:sz w:val="24"/>
          <w:highlight w:val="none"/>
          <w:u w:val="single"/>
        </w:rPr>
        <w:t xml:space="preserve">   </w:t>
      </w:r>
      <w:r>
        <w:rPr>
          <w:rFonts w:hint="default" w:ascii="Times New Roman" w:hAnsi="Times New Roman" w:eastAsia="仿宋_GB2312" w:cs="Times New Roman"/>
          <w:i w:val="0"/>
          <w:iCs w:val="0"/>
          <w:color w:val="auto"/>
          <w:sz w:val="24"/>
          <w:highlight w:val="none"/>
        </w:rPr>
        <w:t>年</w:t>
      </w:r>
      <w:r>
        <w:rPr>
          <w:rFonts w:hint="default" w:ascii="Times New Roman" w:hAnsi="Times New Roman" w:eastAsia="仿宋_GB2312" w:cs="Times New Roman"/>
          <w:i w:val="0"/>
          <w:iCs w:val="0"/>
          <w:color w:val="auto"/>
          <w:sz w:val="24"/>
          <w:highlight w:val="none"/>
          <w:u w:val="single"/>
        </w:rPr>
        <w:t xml:space="preserve">  </w:t>
      </w:r>
      <w:r>
        <w:rPr>
          <w:rFonts w:hint="default" w:ascii="Times New Roman" w:hAnsi="Times New Roman" w:eastAsia="仿宋_GB2312" w:cs="Times New Roman"/>
          <w:i w:val="0"/>
          <w:iCs w:val="0"/>
          <w:color w:val="auto"/>
          <w:sz w:val="24"/>
          <w:highlight w:val="none"/>
        </w:rPr>
        <w:t>月</w:t>
      </w:r>
      <w:r>
        <w:rPr>
          <w:rFonts w:hint="default" w:ascii="Times New Roman" w:hAnsi="Times New Roman" w:eastAsia="仿宋_GB2312" w:cs="Times New Roman"/>
          <w:i w:val="0"/>
          <w:iCs w:val="0"/>
          <w:color w:val="auto"/>
          <w:sz w:val="24"/>
          <w:highlight w:val="none"/>
          <w:u w:val="single"/>
        </w:rPr>
        <w:t xml:space="preserve">  </w:t>
      </w:r>
      <w:r>
        <w:rPr>
          <w:rFonts w:hint="default" w:ascii="Times New Roman" w:hAnsi="Times New Roman" w:eastAsia="仿宋_GB2312" w:cs="Times New Roman"/>
          <w:i w:val="0"/>
          <w:iCs w:val="0"/>
          <w:color w:val="auto"/>
          <w:sz w:val="24"/>
          <w:highlight w:val="none"/>
        </w:rPr>
        <w:t>日签定编号为</w:t>
      </w:r>
      <w:r>
        <w:rPr>
          <w:rFonts w:hint="default" w:ascii="Times New Roman" w:hAnsi="Times New Roman" w:eastAsia="仿宋_GB2312" w:cs="Times New Roman"/>
          <w:i w:val="0"/>
          <w:iCs w:val="0"/>
          <w:color w:val="auto"/>
          <w:sz w:val="24"/>
          <w:highlight w:val="none"/>
          <w:u w:val="single"/>
        </w:rPr>
        <w:t xml:space="preserve">                    </w:t>
      </w:r>
      <w:r>
        <w:rPr>
          <w:rFonts w:hint="default" w:ascii="Times New Roman" w:hAnsi="Times New Roman" w:eastAsia="仿宋_GB2312" w:cs="Times New Roman"/>
          <w:i w:val="0"/>
          <w:iCs w:val="0"/>
          <w:color w:val="auto"/>
          <w:sz w:val="24"/>
          <w:highlight w:val="none"/>
        </w:rPr>
        <w:t>的《</w:t>
      </w:r>
      <w:r>
        <w:rPr>
          <w:rFonts w:hint="default" w:ascii="Times New Roman" w:hAnsi="Times New Roman" w:eastAsia="仿宋_GB2312" w:cs="Times New Roman"/>
          <w:i w:val="0"/>
          <w:iCs w:val="0"/>
          <w:color w:val="auto"/>
          <w:sz w:val="24"/>
          <w:highlight w:val="none"/>
          <w:u w:val="single"/>
        </w:rPr>
        <w:t xml:space="preserve">           </w:t>
      </w:r>
      <w:r>
        <w:rPr>
          <w:rFonts w:hint="default" w:ascii="Times New Roman" w:hAnsi="Times New Roman" w:eastAsia="仿宋_GB2312" w:cs="Times New Roman"/>
          <w:i w:val="0"/>
          <w:iCs w:val="0"/>
          <w:color w:val="auto"/>
          <w:sz w:val="24"/>
          <w:highlight w:val="none"/>
        </w:rPr>
        <w:t>政府采购合同》（以下简称主合同），且依据该合同的约定，供应商应在</w:t>
      </w:r>
      <w:r>
        <w:rPr>
          <w:rFonts w:hint="default" w:ascii="Times New Roman" w:hAnsi="Times New Roman" w:eastAsia="仿宋_GB2312" w:cs="Times New Roman"/>
          <w:i w:val="0"/>
          <w:iCs w:val="0"/>
          <w:color w:val="auto"/>
          <w:sz w:val="24"/>
          <w:highlight w:val="none"/>
          <w:u w:val="single"/>
        </w:rPr>
        <w:t xml:space="preserve">    </w:t>
      </w:r>
      <w:r>
        <w:rPr>
          <w:rFonts w:hint="default" w:ascii="Times New Roman" w:hAnsi="Times New Roman" w:eastAsia="仿宋_GB2312" w:cs="Times New Roman"/>
          <w:i w:val="0"/>
          <w:iCs w:val="0"/>
          <w:color w:val="auto"/>
          <w:sz w:val="24"/>
          <w:highlight w:val="none"/>
        </w:rPr>
        <w:t>年</w:t>
      </w:r>
      <w:r>
        <w:rPr>
          <w:rFonts w:hint="default" w:ascii="Times New Roman" w:hAnsi="Times New Roman" w:eastAsia="仿宋_GB2312" w:cs="Times New Roman"/>
          <w:i w:val="0"/>
          <w:iCs w:val="0"/>
          <w:color w:val="auto"/>
          <w:sz w:val="24"/>
          <w:highlight w:val="none"/>
          <w:u w:val="single"/>
        </w:rPr>
        <w:t xml:space="preserve">     </w:t>
      </w:r>
      <w:r>
        <w:rPr>
          <w:rFonts w:hint="default" w:ascii="Times New Roman" w:hAnsi="Times New Roman" w:eastAsia="仿宋_GB2312" w:cs="Times New Roman"/>
          <w:i w:val="0"/>
          <w:iCs w:val="0"/>
          <w:color w:val="auto"/>
          <w:sz w:val="24"/>
          <w:highlight w:val="none"/>
        </w:rPr>
        <w:t>月</w:t>
      </w:r>
      <w:r>
        <w:rPr>
          <w:rFonts w:hint="default" w:ascii="Times New Roman" w:hAnsi="Times New Roman" w:eastAsia="仿宋_GB2312" w:cs="Times New Roman"/>
          <w:i w:val="0"/>
          <w:iCs w:val="0"/>
          <w:color w:val="auto"/>
          <w:sz w:val="24"/>
          <w:highlight w:val="none"/>
          <w:u w:val="single"/>
        </w:rPr>
        <w:t xml:space="preserve">    </w:t>
      </w:r>
      <w:r>
        <w:rPr>
          <w:rFonts w:hint="default" w:ascii="Times New Roman" w:hAnsi="Times New Roman" w:eastAsia="仿宋_GB2312" w:cs="Times New Roman"/>
          <w:i w:val="0"/>
          <w:iCs w:val="0"/>
          <w:color w:val="auto"/>
          <w:sz w:val="24"/>
          <w:highlight w:val="none"/>
        </w:rPr>
        <w:t>日前向你方交纳履约保证金，且可以履约担保函的形式交纳履约保证金。应供应商的申请，我方以保证的方式向你方提供如下履约保证金担保：</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一、保证责任的情形及保证金额</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（一）在供应商出现下列情形之一时，我方承担保证责任：</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1．将成交项目转让给他人，或者在磋商响应文件中未说明，且未经采购人同意，将成交项目分包给他人的；</w:t>
      </w:r>
    </w:p>
    <w:p>
      <w:pPr>
        <w:snapToGrid w:val="0"/>
        <w:spacing w:line="336"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 xml:space="preserve">　　2．主合同约定的应当缴纳履约保证金的情形: </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（1）未按主合同约定的质量、数量和期限供应货物/提供服务/完成工程的；</w:t>
      </w:r>
    </w:p>
    <w:p>
      <w:pPr>
        <w:snapToGrid w:val="0"/>
        <w:spacing w:line="336" w:lineRule="auto"/>
        <w:ind w:firstLine="480" w:firstLineChars="200"/>
        <w:jc w:val="left"/>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w:t>
      </w:r>
      <w:r>
        <w:rPr>
          <w:rFonts w:hint="default" w:ascii="Times New Roman" w:hAnsi="Times New Roman" w:eastAsia="仿宋_GB2312" w:cs="Times New Roman"/>
          <w:i w:val="0"/>
          <w:iCs w:val="0"/>
          <w:color w:val="auto"/>
          <w:sz w:val="24"/>
          <w:highlight w:val="none"/>
          <w:u w:val="single"/>
        </w:rPr>
        <w:t xml:space="preserve">                                                       </w:t>
      </w:r>
      <w:r>
        <w:rPr>
          <w:rFonts w:hint="default" w:ascii="Times New Roman" w:hAnsi="Times New Roman" w:eastAsia="仿宋_GB2312" w:cs="Times New Roman"/>
          <w:i w:val="0"/>
          <w:iCs w:val="0"/>
          <w:color w:val="auto"/>
          <w:sz w:val="24"/>
          <w:highlight w:val="none"/>
        </w:rPr>
        <w:t>。</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（二）我方的保证范围是主合同约定的合同价款总额的</w:t>
      </w:r>
      <w:r>
        <w:rPr>
          <w:rFonts w:hint="default" w:ascii="Times New Roman" w:hAnsi="Times New Roman" w:eastAsia="仿宋_GB2312" w:cs="Times New Roman"/>
          <w:i w:val="0"/>
          <w:iCs w:val="0"/>
          <w:color w:val="auto"/>
          <w:sz w:val="24"/>
          <w:highlight w:val="none"/>
          <w:u w:val="single"/>
        </w:rPr>
        <w:t xml:space="preserve">        </w:t>
      </w:r>
      <w:r>
        <w:rPr>
          <w:rFonts w:hint="default" w:ascii="Times New Roman" w:hAnsi="Times New Roman" w:eastAsia="仿宋_GB2312" w:cs="Times New Roman"/>
          <w:i w:val="0"/>
          <w:iCs w:val="0"/>
          <w:color w:val="auto"/>
          <w:sz w:val="24"/>
          <w:highlight w:val="none"/>
        </w:rPr>
        <w:t>%数额为</w:t>
      </w:r>
      <w:r>
        <w:rPr>
          <w:rFonts w:hint="default" w:ascii="Times New Roman" w:hAnsi="Times New Roman" w:eastAsia="仿宋_GB2312" w:cs="Times New Roman"/>
          <w:i w:val="0"/>
          <w:iCs w:val="0"/>
          <w:color w:val="auto"/>
          <w:sz w:val="24"/>
          <w:highlight w:val="none"/>
          <w:u w:val="single"/>
        </w:rPr>
        <w:t xml:space="preserve">         </w:t>
      </w:r>
      <w:r>
        <w:rPr>
          <w:rFonts w:hint="default" w:ascii="Times New Roman" w:hAnsi="Times New Roman" w:eastAsia="仿宋_GB2312" w:cs="Times New Roman"/>
          <w:i w:val="0"/>
          <w:iCs w:val="0"/>
          <w:color w:val="auto"/>
          <w:sz w:val="24"/>
          <w:highlight w:val="none"/>
        </w:rPr>
        <w:t>元（大写</w:t>
      </w:r>
      <w:r>
        <w:rPr>
          <w:rFonts w:hint="default" w:ascii="Times New Roman" w:hAnsi="Times New Roman" w:eastAsia="仿宋_GB2312" w:cs="Times New Roman"/>
          <w:i w:val="0"/>
          <w:iCs w:val="0"/>
          <w:color w:val="auto"/>
          <w:sz w:val="24"/>
          <w:highlight w:val="none"/>
          <w:u w:val="single"/>
        </w:rPr>
        <w:t xml:space="preserve">           </w:t>
      </w:r>
      <w:r>
        <w:rPr>
          <w:rFonts w:hint="default" w:ascii="Times New Roman" w:hAnsi="Times New Roman" w:eastAsia="仿宋_GB2312" w:cs="Times New Roman"/>
          <w:i w:val="0"/>
          <w:iCs w:val="0"/>
          <w:color w:val="auto"/>
          <w:sz w:val="24"/>
          <w:highlight w:val="none"/>
        </w:rPr>
        <w:t>），币种为</w:t>
      </w:r>
      <w:r>
        <w:rPr>
          <w:rFonts w:hint="default" w:ascii="Times New Roman" w:hAnsi="Times New Roman" w:eastAsia="仿宋_GB2312" w:cs="Times New Roman"/>
          <w:i w:val="0"/>
          <w:iCs w:val="0"/>
          <w:color w:val="auto"/>
          <w:sz w:val="24"/>
          <w:highlight w:val="none"/>
          <w:u w:val="single"/>
        </w:rPr>
        <w:t xml:space="preserve">        </w:t>
      </w:r>
      <w:r>
        <w:rPr>
          <w:rFonts w:hint="default" w:ascii="Times New Roman" w:hAnsi="Times New Roman" w:eastAsia="仿宋_GB2312" w:cs="Times New Roman"/>
          <w:i w:val="0"/>
          <w:iCs w:val="0"/>
          <w:color w:val="auto"/>
          <w:sz w:val="24"/>
          <w:highlight w:val="none"/>
        </w:rPr>
        <w:t>。（即主合同履约保证金金额）</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二、保证的方式及保证期间</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我方保证的方式为：连带责任保证。</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我方保证的期间为：自本合同生效之日起至供应商按照主合同约定的供货/完工期限届满后</w:t>
      </w:r>
      <w:r>
        <w:rPr>
          <w:rFonts w:hint="default" w:ascii="Times New Roman" w:hAnsi="Times New Roman" w:eastAsia="仿宋_GB2312" w:cs="Times New Roman"/>
          <w:i w:val="0"/>
          <w:iCs w:val="0"/>
          <w:color w:val="auto"/>
          <w:sz w:val="24"/>
          <w:highlight w:val="none"/>
          <w:u w:val="single"/>
        </w:rPr>
        <w:t xml:space="preserve">     </w:t>
      </w:r>
      <w:r>
        <w:rPr>
          <w:rFonts w:hint="default" w:ascii="Times New Roman" w:hAnsi="Times New Roman" w:eastAsia="仿宋_GB2312" w:cs="Times New Roman"/>
          <w:i w:val="0"/>
          <w:iCs w:val="0"/>
          <w:color w:val="auto"/>
          <w:sz w:val="24"/>
          <w:highlight w:val="none"/>
        </w:rPr>
        <w:t>日内。</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如果供应商未按主合同约定向贵方供应货物/提供服务/完成工程的，由我方在保证金额内向你方支付上述款项。</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三、承担保证责任的程序</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1．你方要求我方承担保证责任的，应在本保函保证期间内向我方发出书面索赔通知。索赔通知应写明要求索赔的金额，支付款项应到达的</w:t>
      </w:r>
      <w:r>
        <w:rPr>
          <w:rFonts w:hint="default" w:ascii="Times New Roman" w:hAnsi="Times New Roman" w:eastAsia="仿宋_GB2312" w:cs="Times New Roman"/>
          <w:i w:val="0"/>
          <w:iCs w:val="0"/>
          <w:color w:val="auto"/>
          <w:sz w:val="24"/>
          <w:highlight w:val="none"/>
          <w:lang w:eastAsia="zh-CN"/>
        </w:rPr>
        <w:t>账号</w:t>
      </w:r>
      <w:r>
        <w:rPr>
          <w:rFonts w:hint="default" w:ascii="Times New Roman" w:hAnsi="Times New Roman" w:eastAsia="仿宋_GB2312" w:cs="Times New Roman"/>
          <w:i w:val="0"/>
          <w:iCs w:val="0"/>
          <w:color w:val="auto"/>
          <w:sz w:val="24"/>
          <w:highlight w:val="none"/>
        </w:rPr>
        <w:t>。并附有证明供应商违约事实的证明材料。</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如果你方与供应商因货物质量问题产生争议，你方还需同时提供</w:t>
      </w:r>
      <w:r>
        <w:rPr>
          <w:rFonts w:hint="default" w:ascii="Times New Roman" w:hAnsi="Times New Roman" w:eastAsia="仿宋_GB2312" w:cs="Times New Roman"/>
          <w:i w:val="0"/>
          <w:iCs w:val="0"/>
          <w:color w:val="auto"/>
          <w:sz w:val="24"/>
          <w:highlight w:val="none"/>
          <w:u w:val="single"/>
        </w:rPr>
        <w:t xml:space="preserve">        </w:t>
      </w:r>
      <w:r>
        <w:rPr>
          <w:rFonts w:hint="default" w:ascii="Times New Roman" w:hAnsi="Times New Roman" w:eastAsia="仿宋_GB2312" w:cs="Times New Roman"/>
          <w:i w:val="0"/>
          <w:iCs w:val="0"/>
          <w:color w:val="auto"/>
          <w:sz w:val="24"/>
          <w:highlight w:val="none"/>
        </w:rPr>
        <w:t>部门出具的质量检测报告，或经诉讼（仲裁）程序裁决后的裁决书、调解书，本保证人即按照检测结果或裁决书、调解书决定是否承担保证责任。</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 我方收到你方的书面索赔通知及相应证明材料，在</w:t>
      </w:r>
      <w:r>
        <w:rPr>
          <w:rFonts w:hint="default" w:ascii="Times New Roman" w:hAnsi="Times New Roman" w:eastAsia="仿宋_GB2312" w:cs="Times New Roman"/>
          <w:i w:val="0"/>
          <w:iCs w:val="0"/>
          <w:color w:val="auto"/>
          <w:sz w:val="24"/>
          <w:highlight w:val="none"/>
          <w:u w:val="single"/>
        </w:rPr>
        <w:t xml:space="preserve">     </w:t>
      </w:r>
      <w:r>
        <w:rPr>
          <w:rFonts w:hint="default" w:ascii="Times New Roman" w:hAnsi="Times New Roman" w:eastAsia="仿宋_GB2312" w:cs="Times New Roman"/>
          <w:i w:val="0"/>
          <w:iCs w:val="0"/>
          <w:color w:val="auto"/>
          <w:sz w:val="24"/>
          <w:highlight w:val="none"/>
        </w:rPr>
        <w:t>工作日内进行核定后按照本保函的承诺承担保证责任。</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四、保证责任的终止</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2．我方按照本保函向你方履行了保证责任后，自我方向你方支付款项（支付款项从我方账户划出）之日起，保证责任即终止。</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3．按照法律法规的规定或出现应终止我方保证责任的其它情形的，我方在本保函项下的保证责任亦终止。</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五、免责条款</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1．因你方违反主合同约定致使供应商不能履行义务的，我方不承担保证责任。</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2．依照法律法规的规定或你方与供应商的另行约定，全部或者部分免除供应商应缴纳的保证金义务的，我方亦免除相应的保证责任。</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3．因不可抗力造成供应商不能履行供货义务的，我方不承担保证责任。</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六、争议的解决</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因本保函发生的纠纷，由你我双方协商解决，协商不成的，通过诉讼程序解决，诉讼管辖地法院为</w:t>
      </w:r>
      <w:r>
        <w:rPr>
          <w:rFonts w:hint="default" w:ascii="Times New Roman" w:hAnsi="Times New Roman" w:eastAsia="仿宋_GB2312" w:cs="Times New Roman"/>
          <w:i w:val="0"/>
          <w:iCs w:val="0"/>
          <w:color w:val="auto"/>
          <w:sz w:val="24"/>
          <w:highlight w:val="none"/>
          <w:u w:val="single"/>
        </w:rPr>
        <w:t xml:space="preserve">        </w:t>
      </w:r>
      <w:r>
        <w:rPr>
          <w:rFonts w:hint="default" w:ascii="Times New Roman" w:hAnsi="Times New Roman" w:eastAsia="仿宋_GB2312" w:cs="Times New Roman"/>
          <w:i w:val="0"/>
          <w:iCs w:val="0"/>
          <w:color w:val="auto"/>
          <w:sz w:val="24"/>
          <w:highlight w:val="none"/>
        </w:rPr>
        <w:t>法院。</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七、保函的生效</w:t>
      </w:r>
    </w:p>
    <w:p>
      <w:pPr>
        <w:snapToGrid w:val="0"/>
        <w:spacing w:line="336" w:lineRule="auto"/>
        <w:ind w:firstLine="480" w:firstLineChars="20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本保函自我方加盖公章之日起生效。</w:t>
      </w:r>
    </w:p>
    <w:p>
      <w:pPr>
        <w:snapToGrid w:val="0"/>
        <w:spacing w:line="336" w:lineRule="auto"/>
        <w:rPr>
          <w:rFonts w:hint="default" w:ascii="Times New Roman" w:hAnsi="Times New Roman" w:eastAsia="仿宋_GB2312" w:cs="Times New Roman"/>
          <w:i w:val="0"/>
          <w:iCs w:val="0"/>
          <w:color w:val="auto"/>
          <w:sz w:val="24"/>
          <w:highlight w:val="none"/>
        </w:rPr>
      </w:pPr>
    </w:p>
    <w:p>
      <w:pPr>
        <w:snapToGrid w:val="0"/>
        <w:spacing w:line="336" w:lineRule="auto"/>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 xml:space="preserve">                                      </w:t>
      </w:r>
    </w:p>
    <w:p>
      <w:pPr>
        <w:spacing w:line="360" w:lineRule="auto"/>
        <w:ind w:left="1080" w:leftChars="257" w:hanging="54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出具保函单位名称（盖公章）：</w:t>
      </w:r>
      <w:r>
        <w:rPr>
          <w:rFonts w:hint="default" w:ascii="Times New Roman" w:hAnsi="Times New Roman" w:eastAsia="仿宋_GB2312" w:cs="Times New Roman"/>
          <w:i w:val="0"/>
          <w:iCs w:val="0"/>
          <w:color w:val="auto"/>
          <w:sz w:val="24"/>
          <w:highlight w:val="none"/>
          <w:u w:val="single"/>
        </w:rPr>
        <w:t xml:space="preserve">                   </w:t>
      </w:r>
    </w:p>
    <w:p>
      <w:pPr>
        <w:spacing w:line="360" w:lineRule="auto"/>
        <w:ind w:left="1080" w:leftChars="257" w:hanging="540"/>
        <w:rPr>
          <w:rFonts w:hint="default" w:ascii="Times New Roman" w:hAnsi="Times New Roman" w:eastAsia="仿宋_GB2312" w:cs="Times New Roman"/>
          <w:i w:val="0"/>
          <w:iCs w:val="0"/>
          <w:color w:val="auto"/>
          <w:sz w:val="24"/>
          <w:highlight w:val="none"/>
          <w:u w:val="single"/>
        </w:rPr>
      </w:pPr>
      <w:r>
        <w:rPr>
          <w:rFonts w:hint="default" w:ascii="Times New Roman" w:hAnsi="Times New Roman" w:eastAsia="仿宋_GB2312" w:cs="Times New Roman"/>
          <w:i w:val="0"/>
          <w:iCs w:val="0"/>
          <w:color w:val="auto"/>
          <w:sz w:val="24"/>
          <w:highlight w:val="none"/>
        </w:rPr>
        <w:t>签字人姓名和职务：</w:t>
      </w:r>
      <w:r>
        <w:rPr>
          <w:rFonts w:hint="default" w:ascii="Times New Roman" w:hAnsi="Times New Roman" w:eastAsia="仿宋_GB2312" w:cs="Times New Roman"/>
          <w:i w:val="0"/>
          <w:iCs w:val="0"/>
          <w:color w:val="auto"/>
          <w:sz w:val="24"/>
          <w:highlight w:val="none"/>
          <w:u w:val="single"/>
        </w:rPr>
        <w:t xml:space="preserve">                             </w:t>
      </w:r>
    </w:p>
    <w:p>
      <w:pPr>
        <w:spacing w:line="360" w:lineRule="auto"/>
        <w:ind w:left="1080" w:leftChars="257" w:hanging="540"/>
        <w:rPr>
          <w:rFonts w:hint="default" w:ascii="Times New Roman" w:hAnsi="Times New Roman" w:eastAsia="仿宋_GB2312" w:cs="Times New Roman"/>
          <w:i w:val="0"/>
          <w:iCs w:val="0"/>
          <w:color w:val="auto"/>
          <w:sz w:val="24"/>
          <w:highlight w:val="none"/>
        </w:rPr>
      </w:pPr>
      <w:r>
        <w:rPr>
          <w:rFonts w:hint="default" w:ascii="Times New Roman" w:hAnsi="Times New Roman" w:eastAsia="仿宋_GB2312" w:cs="Times New Roman"/>
          <w:i w:val="0"/>
          <w:iCs w:val="0"/>
          <w:color w:val="auto"/>
          <w:sz w:val="24"/>
          <w:highlight w:val="none"/>
        </w:rPr>
        <w:t>签字人签名：</w:t>
      </w:r>
      <w:r>
        <w:rPr>
          <w:rFonts w:hint="default" w:ascii="Times New Roman" w:hAnsi="Times New Roman" w:eastAsia="仿宋_GB2312" w:cs="Times New Roman"/>
          <w:i w:val="0"/>
          <w:iCs w:val="0"/>
          <w:color w:val="auto"/>
          <w:sz w:val="24"/>
          <w:highlight w:val="none"/>
          <w:u w:val="single"/>
        </w:rPr>
        <w:t xml:space="preserve">                                   </w:t>
      </w:r>
    </w:p>
    <w:p>
      <w:pPr>
        <w:spacing w:line="360" w:lineRule="auto"/>
        <w:ind w:left="1080" w:leftChars="257" w:hanging="540"/>
        <w:rPr>
          <w:rFonts w:hint="eastAsia" w:ascii="仿宋" w:hAnsi="仿宋" w:eastAsia="仿宋" w:cs="仿宋"/>
          <w:color w:val="auto"/>
          <w:sz w:val="28"/>
          <w:szCs w:val="28"/>
          <w:highlight w:val="none"/>
          <w:u w:val="single"/>
        </w:rPr>
      </w:pPr>
      <w:r>
        <w:rPr>
          <w:rFonts w:hint="default" w:ascii="Times New Roman" w:hAnsi="Times New Roman" w:eastAsia="仿宋_GB2312" w:cs="Times New Roman"/>
          <w:i w:val="0"/>
          <w:iCs w:val="0"/>
          <w:color w:val="auto"/>
          <w:sz w:val="24"/>
          <w:highlight w:val="none"/>
        </w:rPr>
        <w:t>时间：</w:t>
      </w:r>
      <w:r>
        <w:rPr>
          <w:rFonts w:hint="default" w:ascii="Times New Roman" w:hAnsi="Times New Roman" w:eastAsia="仿宋_GB2312" w:cs="Times New Roman"/>
          <w:i w:val="0"/>
          <w:iCs w:val="0"/>
          <w:color w:val="auto"/>
          <w:sz w:val="24"/>
          <w:highlight w:val="none"/>
          <w:u w:val="single"/>
        </w:rPr>
        <w:t xml:space="preserve">         年      月      日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8"/>
          <w:szCs w:val="28"/>
          <w:highlight w:val="none"/>
          <w:u w:val="single"/>
        </w:rPr>
        <w:t xml:space="preserve">                </w:t>
      </w:r>
    </w:p>
    <w:p>
      <w:pPr>
        <w:spacing w:after="120"/>
        <w:rPr>
          <w:rFonts w:hint="eastAsia" w:ascii="仿宋" w:hAnsi="仿宋" w:eastAsia="仿宋" w:cs="仿宋"/>
          <w:color w:val="auto"/>
          <w:highlight w:val="none"/>
        </w:rPr>
      </w:pPr>
    </w:p>
    <w:p>
      <w:pPr>
        <w:pStyle w:val="22"/>
        <w:rPr>
          <w:rFonts w:hint="eastAsia"/>
        </w:rPr>
      </w:pPr>
    </w:p>
    <w:p>
      <w:pPr>
        <w:autoSpaceDE w:val="0"/>
        <w:autoSpaceDN w:val="0"/>
        <w:adjustRightInd w:val="0"/>
        <w:snapToGrid w:val="0"/>
        <w:spacing w:line="360" w:lineRule="auto"/>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zh-CN"/>
        </w:rPr>
        <w:t>附件3</w:t>
      </w:r>
    </w:p>
    <w:p>
      <w:pPr>
        <w:autoSpaceDE w:val="0"/>
        <w:autoSpaceDN w:val="0"/>
        <w:adjustRightInd w:val="0"/>
        <w:snapToGrid w:val="0"/>
        <w:spacing w:line="360" w:lineRule="auto"/>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 xml:space="preserve"> （最后）磋商响应报价表</w:t>
      </w:r>
    </w:p>
    <w:p>
      <w:pPr>
        <w:spacing w:after="120"/>
        <w:rPr>
          <w:rFonts w:hint="eastAsia" w:ascii="仿宋" w:hAnsi="仿宋" w:eastAsia="仿宋" w:cs="仿宋"/>
          <w:color w:val="auto"/>
          <w:highlight w:val="none"/>
          <w:lang w:val="zh-CN"/>
        </w:rPr>
      </w:pPr>
      <w:r>
        <w:rPr>
          <w:rFonts w:hint="eastAsia" w:ascii="仿宋" w:hAnsi="仿宋" w:eastAsia="仿宋" w:cs="仿宋"/>
          <w:color w:val="auto"/>
          <w:highlight w:val="none"/>
        </w:rPr>
        <w:t xml:space="preserve">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val="zh-CN"/>
        </w:rPr>
        <w:t>（单独提供，无需装订在响应文件中）</w:t>
      </w:r>
    </w:p>
    <w:p>
      <w:pPr>
        <w:pStyle w:val="22"/>
        <w:rPr>
          <w:rFonts w:hint="eastAsia" w:ascii="仿宋" w:hAnsi="仿宋" w:eastAsia="仿宋" w:cs="仿宋"/>
          <w:color w:val="auto"/>
          <w:highlight w:val="none"/>
          <w:lang w:val="zh-CN"/>
        </w:rPr>
      </w:pP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6" w:hRule="atLeast"/>
          <w:jc w:val="center"/>
        </w:trPr>
        <w:tc>
          <w:tcPr>
            <w:tcW w:w="1598" w:type="dxa"/>
            <w:noWrap w:val="0"/>
            <w:vAlign w:val="center"/>
          </w:tcPr>
          <w:p>
            <w:pPr>
              <w:spacing w:after="120"/>
              <w:jc w:val="center"/>
              <w:rPr>
                <w:rFonts w:hint="eastAsia" w:ascii="仿宋" w:hAnsi="仿宋" w:eastAsia="仿宋" w:cs="仿宋"/>
                <w:b/>
                <w:color w:val="auto"/>
                <w:sz w:val="24"/>
                <w:highlight w:val="none"/>
              </w:rPr>
            </w:pPr>
            <w:r>
              <w:rPr>
                <w:rFonts w:hint="eastAsia" w:ascii="仿宋" w:hAnsi="仿宋" w:eastAsia="仿宋" w:cs="仿宋"/>
                <w:color w:val="auto"/>
                <w:sz w:val="24"/>
                <w:highlight w:val="none"/>
                <w:lang w:val="zh-CN"/>
              </w:rPr>
              <w:br w:type="page"/>
            </w:r>
            <w:r>
              <w:rPr>
                <w:rFonts w:hint="eastAsia" w:ascii="仿宋" w:hAnsi="仿宋" w:eastAsia="仿宋" w:cs="仿宋"/>
                <w:b/>
                <w:color w:val="auto"/>
                <w:sz w:val="24"/>
                <w:highlight w:val="none"/>
              </w:rPr>
              <w:t>项目编号及项目名称</w:t>
            </w:r>
          </w:p>
        </w:tc>
        <w:tc>
          <w:tcPr>
            <w:tcW w:w="6981" w:type="dxa"/>
            <w:noWrap w:val="0"/>
            <w:vAlign w:val="center"/>
          </w:tcPr>
          <w:p>
            <w:pPr>
              <w:spacing w:after="12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项目编号：</w:t>
            </w:r>
            <w:r>
              <w:rPr>
                <w:rFonts w:hint="eastAsia" w:ascii="仿宋" w:hAnsi="仿宋" w:eastAsia="仿宋" w:cs="仿宋"/>
                <w:color w:val="auto"/>
                <w:sz w:val="24"/>
                <w:highlight w:val="none"/>
                <w:u w:val="single"/>
              </w:rPr>
              <w:t xml:space="preserve">              </w:t>
            </w:r>
          </w:p>
          <w:p>
            <w:pPr>
              <w:spacing w:after="12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r>
              <w:rPr>
                <w:rFonts w:hint="eastAsia" w:ascii="仿宋" w:hAnsi="仿宋" w:eastAsia="仿宋" w:cs="仿宋"/>
                <w:i/>
                <w:color w:val="auto"/>
                <w:sz w:val="24"/>
                <w:highlight w:val="non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598" w:type="dxa"/>
            <w:noWrap w:val="0"/>
            <w:vAlign w:val="center"/>
          </w:tcPr>
          <w:p>
            <w:pPr>
              <w:spacing w:after="12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响应总价</w:t>
            </w:r>
          </w:p>
        </w:tc>
        <w:tc>
          <w:tcPr>
            <w:tcW w:w="6981" w:type="dxa"/>
            <w:noWrap w:val="0"/>
            <w:vAlign w:val="center"/>
          </w:tcPr>
          <w:p>
            <w:pPr>
              <w:spacing w:after="120"/>
              <w:rPr>
                <w:rFonts w:hint="eastAsia" w:ascii="仿宋" w:hAnsi="仿宋" w:eastAsia="仿宋" w:cs="仿宋"/>
                <w:i/>
                <w:color w:val="auto"/>
                <w:sz w:val="24"/>
                <w:highlight w:val="none"/>
              </w:rPr>
            </w:pPr>
            <w:r>
              <w:rPr>
                <w:rFonts w:hint="eastAsia" w:ascii="仿宋" w:hAnsi="仿宋" w:eastAsia="仿宋" w:cs="仿宋"/>
                <w:color w:val="auto"/>
                <w:sz w:val="24"/>
                <w:highlight w:val="none"/>
              </w:rPr>
              <w:t>人民币（大写）：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整（小写：¥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noWrap w:val="0"/>
            <w:vAlign w:val="center"/>
          </w:tcPr>
          <w:p>
            <w:pPr>
              <w:spacing w:after="120"/>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t>项目负责人</w:t>
            </w:r>
          </w:p>
        </w:tc>
        <w:tc>
          <w:tcPr>
            <w:tcW w:w="6981" w:type="dxa"/>
            <w:noWrap w:val="0"/>
            <w:vAlign w:val="center"/>
          </w:tcPr>
          <w:p>
            <w:pPr>
              <w:spacing w:after="120"/>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noWrap w:val="0"/>
            <w:vAlign w:val="center"/>
          </w:tcPr>
          <w:p>
            <w:pPr>
              <w:spacing w:after="12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服务</w:t>
            </w:r>
            <w:r>
              <w:rPr>
                <w:rFonts w:hint="eastAsia" w:ascii="仿宋" w:hAnsi="仿宋" w:eastAsia="仿宋" w:cs="仿宋"/>
                <w:b/>
                <w:color w:val="auto"/>
                <w:sz w:val="24"/>
                <w:highlight w:val="none"/>
              </w:rPr>
              <w:t>期</w:t>
            </w:r>
          </w:p>
        </w:tc>
        <w:tc>
          <w:tcPr>
            <w:tcW w:w="6981" w:type="dxa"/>
            <w:noWrap w:val="0"/>
            <w:vAlign w:val="center"/>
          </w:tcPr>
          <w:p>
            <w:pPr>
              <w:spacing w:after="120"/>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noWrap w:val="0"/>
            <w:vAlign w:val="center"/>
          </w:tcPr>
          <w:p>
            <w:pPr>
              <w:spacing w:after="12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服务</w:t>
            </w:r>
            <w:r>
              <w:rPr>
                <w:rFonts w:hint="eastAsia" w:ascii="仿宋" w:hAnsi="仿宋" w:eastAsia="仿宋" w:cs="仿宋"/>
                <w:b/>
                <w:color w:val="auto"/>
                <w:sz w:val="24"/>
                <w:highlight w:val="none"/>
              </w:rPr>
              <w:t>地点</w:t>
            </w:r>
          </w:p>
        </w:tc>
        <w:tc>
          <w:tcPr>
            <w:tcW w:w="6981" w:type="dxa"/>
            <w:noWrap w:val="0"/>
            <w:vAlign w:val="center"/>
          </w:tcPr>
          <w:p>
            <w:pPr>
              <w:spacing w:after="120"/>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noWrap w:val="0"/>
            <w:vAlign w:val="center"/>
          </w:tcPr>
          <w:p>
            <w:pPr>
              <w:spacing w:after="12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c>
          <w:tcPr>
            <w:tcW w:w="6981" w:type="dxa"/>
            <w:noWrap w:val="0"/>
            <w:vAlign w:val="center"/>
          </w:tcPr>
          <w:p>
            <w:pPr>
              <w:spacing w:after="120"/>
              <w:rPr>
                <w:rFonts w:hint="eastAsia" w:ascii="仿宋" w:hAnsi="仿宋" w:eastAsia="仿宋" w:cs="仿宋"/>
                <w:color w:val="auto"/>
                <w:sz w:val="24"/>
                <w:highlight w:val="none"/>
              </w:rPr>
            </w:pPr>
          </w:p>
        </w:tc>
      </w:tr>
    </w:tbl>
    <w:p>
      <w:pPr>
        <w:pStyle w:val="22"/>
        <w:rPr>
          <w:rFonts w:hint="eastAsia" w:ascii="仿宋" w:hAnsi="仿宋" w:eastAsia="仿宋" w:cs="仿宋"/>
          <w:color w:val="auto"/>
          <w:highlight w:val="none"/>
          <w:lang w:val="zh-CN"/>
        </w:rPr>
      </w:pPr>
    </w:p>
    <w:p>
      <w:pPr>
        <w:autoSpaceDE w:val="0"/>
        <w:autoSpaceDN w:val="0"/>
        <w:adjustRightInd w:val="0"/>
        <w:snapToGrid w:val="0"/>
        <w:spacing w:line="360" w:lineRule="auto"/>
        <w:rPr>
          <w:rFonts w:hint="eastAsia" w:ascii="仿宋" w:hAnsi="仿宋" w:eastAsia="仿宋" w:cs="仿宋"/>
          <w:b/>
          <w:bCs/>
          <w:color w:val="auto"/>
          <w:sz w:val="24"/>
          <w:highlight w:val="none"/>
        </w:rPr>
      </w:pPr>
    </w:p>
    <w:p>
      <w:pPr>
        <w:autoSpaceDE w:val="0"/>
        <w:autoSpaceDN w:val="0"/>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 xml:space="preserve">                                                                                     </w:t>
      </w:r>
    </w:p>
    <w:p>
      <w:pPr>
        <w:autoSpaceDE w:val="0"/>
        <w:autoSpaceDN w:val="0"/>
        <w:adjustRightInd w:val="0"/>
        <w:snapToGrid w:val="0"/>
        <w:spacing w:line="360" w:lineRule="auto"/>
        <w:ind w:firstLine="1080" w:firstLineChars="45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供应商</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法定代表人</w:t>
      </w:r>
      <w:r>
        <w:rPr>
          <w:rFonts w:hint="eastAsia" w:ascii="仿宋" w:hAnsi="仿宋" w:eastAsia="仿宋" w:cs="仿宋"/>
          <w:color w:val="auto"/>
          <w:sz w:val="24"/>
          <w:highlight w:val="none"/>
        </w:rPr>
        <w:t>或</w:t>
      </w:r>
      <w:r>
        <w:rPr>
          <w:rFonts w:hint="eastAsia" w:ascii="仿宋" w:hAnsi="仿宋" w:eastAsia="仿宋" w:cs="仿宋"/>
          <w:color w:val="auto"/>
          <w:sz w:val="24"/>
          <w:highlight w:val="none"/>
          <w:lang w:val="zh-CN"/>
        </w:rPr>
        <w:t>授权代表</w:t>
      </w:r>
    </w:p>
    <w:p>
      <w:pPr>
        <w:autoSpaceDE w:val="0"/>
        <w:autoSpaceDN w:val="0"/>
        <w:adjustRightInd w:val="0"/>
        <w:snapToGrid w:val="0"/>
        <w:spacing w:line="360" w:lineRule="auto"/>
        <w:ind w:firstLine="960" w:firstLineChars="4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（公章）：                            （</w:t>
      </w:r>
      <w:r>
        <w:rPr>
          <w:rFonts w:hint="eastAsia" w:ascii="仿宋" w:hAnsi="仿宋" w:eastAsia="仿宋" w:cs="仿宋"/>
          <w:b/>
          <w:color w:val="auto"/>
          <w:sz w:val="24"/>
          <w:highlight w:val="none"/>
          <w:lang w:val="zh-CN"/>
        </w:rPr>
        <w:t>签字</w:t>
      </w:r>
      <w:r>
        <w:rPr>
          <w:rFonts w:hint="eastAsia" w:ascii="仿宋" w:hAnsi="仿宋" w:eastAsia="仿宋" w:cs="仿宋"/>
          <w:b/>
          <w:color w:val="auto"/>
          <w:sz w:val="24"/>
          <w:highlight w:val="none"/>
          <w:lang w:val="en-US" w:eastAsia="zh-CN"/>
        </w:rPr>
        <w:t>或盖章</w:t>
      </w:r>
      <w:r>
        <w:rPr>
          <w:rFonts w:hint="eastAsia" w:ascii="仿宋" w:hAnsi="仿宋" w:eastAsia="仿宋" w:cs="仿宋"/>
          <w:color w:val="auto"/>
          <w:sz w:val="24"/>
          <w:highlight w:val="none"/>
          <w:lang w:val="zh-CN"/>
        </w:rPr>
        <w:t>）：</w:t>
      </w:r>
    </w:p>
    <w:p>
      <w:pPr>
        <w:autoSpaceDE w:val="0"/>
        <w:autoSpaceDN w:val="0"/>
        <w:adjustRightInd w:val="0"/>
        <w:snapToGrid w:val="0"/>
        <w:spacing w:line="360" w:lineRule="auto"/>
        <w:rPr>
          <w:rFonts w:hint="eastAsia" w:ascii="仿宋" w:hAnsi="仿宋" w:eastAsia="仿宋" w:cs="仿宋"/>
          <w:color w:val="auto"/>
          <w:sz w:val="24"/>
          <w:highlight w:val="none"/>
          <w:lang w:val="zh-CN"/>
        </w:rPr>
      </w:pPr>
    </w:p>
    <w:p>
      <w:pPr>
        <w:autoSpaceDE w:val="0"/>
        <w:autoSpaceDN w:val="0"/>
        <w:adjustRightInd w:val="0"/>
        <w:snapToGrid w:val="0"/>
        <w:spacing w:line="360" w:lineRule="auto"/>
        <w:rPr>
          <w:rFonts w:hint="eastAsia" w:ascii="仿宋" w:hAnsi="仿宋" w:eastAsia="仿宋" w:cs="仿宋"/>
          <w:color w:val="auto"/>
          <w:sz w:val="24"/>
          <w:highlight w:val="none"/>
          <w:lang w:val="zh-CN"/>
        </w:rPr>
      </w:pPr>
    </w:p>
    <w:p>
      <w:pPr>
        <w:autoSpaceDE w:val="0"/>
        <w:autoSpaceDN w:val="0"/>
        <w:adjustRightInd w:val="0"/>
        <w:snapToGrid w:val="0"/>
        <w:spacing w:line="360" w:lineRule="auto"/>
        <w:ind w:firstLine="240" w:firstLineChars="1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 xml:space="preserve">年 </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p>
    <w:p>
      <w:pPr>
        <w:spacing w:after="120"/>
        <w:jc w:val="center"/>
        <w:rPr>
          <w:rFonts w:hint="eastAsia" w:ascii="仿宋" w:hAnsi="仿宋" w:eastAsia="仿宋" w:cs="仿宋"/>
          <w:b/>
          <w:color w:val="auto"/>
          <w:kern w:val="0"/>
          <w:sz w:val="32"/>
          <w:szCs w:val="32"/>
          <w:highlight w:val="none"/>
          <w:shd w:val="clear" w:color="auto" w:fill="FFFFFF"/>
        </w:rPr>
      </w:pPr>
      <w:r>
        <w:rPr>
          <w:rFonts w:hint="eastAsia" w:ascii="仿宋" w:hAnsi="仿宋" w:eastAsia="仿宋" w:cs="仿宋"/>
          <w:color w:val="auto"/>
          <w:highlight w:val="none"/>
          <w:lang w:val="zh-CN"/>
        </w:rPr>
        <w:br w:type="page"/>
      </w:r>
      <w:r>
        <w:rPr>
          <w:rFonts w:hint="eastAsia" w:ascii="仿宋" w:hAnsi="仿宋" w:eastAsia="仿宋" w:cs="仿宋"/>
          <w:b/>
          <w:color w:val="auto"/>
          <w:kern w:val="0"/>
          <w:sz w:val="32"/>
          <w:szCs w:val="32"/>
          <w:highlight w:val="none"/>
          <w:shd w:val="clear" w:color="auto" w:fill="FFFFFF"/>
        </w:rPr>
        <w:t>（最后）分项报价表</w:t>
      </w:r>
    </w:p>
    <w:p>
      <w:pPr>
        <w:pStyle w:val="22"/>
        <w:rPr>
          <w:rFonts w:hint="eastAsia" w:ascii="仿宋" w:hAnsi="仿宋" w:eastAsia="仿宋" w:cs="仿宋"/>
          <w:color w:val="auto"/>
          <w:highlight w:val="non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（单独提供，无需装订在响应文件中）</w:t>
      </w:r>
    </w:p>
    <w:tbl>
      <w:tblPr>
        <w:tblStyle w:val="50"/>
        <w:tblW w:w="8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2789"/>
        <w:gridCol w:w="1277"/>
        <w:gridCol w:w="1642"/>
        <w:gridCol w:w="1459"/>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789"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服务内容</w:t>
            </w:r>
          </w:p>
        </w:tc>
        <w:tc>
          <w:tcPr>
            <w:tcW w:w="1277" w:type="dxa"/>
            <w:noWrap w:val="0"/>
            <w:vAlign w:val="center"/>
          </w:tcPr>
          <w:p>
            <w:pPr>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1642" w:type="dxa"/>
            <w:noWrap w:val="0"/>
            <w:vAlign w:val="center"/>
          </w:tcPr>
          <w:p>
            <w:pPr>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单价（元）</w:t>
            </w:r>
          </w:p>
        </w:tc>
        <w:tc>
          <w:tcPr>
            <w:tcW w:w="1459" w:type="dxa"/>
            <w:noWrap w:val="0"/>
            <w:vAlign w:val="center"/>
          </w:tcPr>
          <w:p>
            <w:pPr>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小计（元）</w:t>
            </w:r>
          </w:p>
        </w:tc>
        <w:tc>
          <w:tcPr>
            <w:tcW w:w="911"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编制周期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20"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bl>
    <w:p>
      <w:pPr>
        <w:pStyle w:val="22"/>
        <w:rPr>
          <w:rFonts w:hint="eastAsia" w:ascii="仿宋" w:hAnsi="仿宋" w:eastAsia="仿宋" w:cs="仿宋"/>
          <w:color w:val="auto"/>
          <w:highlight w:val="none"/>
        </w:rPr>
      </w:pPr>
    </w:p>
    <w:p>
      <w:pPr>
        <w:autoSpaceDE w:val="0"/>
        <w:autoSpaceDN w:val="0"/>
        <w:adjustRightInd w:val="0"/>
        <w:snapToGrid w:val="0"/>
        <w:spacing w:before="120" w:line="360" w:lineRule="auto"/>
        <w:ind w:left="-206" w:leftChars="-98"/>
        <w:jc w:val="left"/>
        <w:rPr>
          <w:rFonts w:hint="eastAsia" w:ascii="仿宋" w:hAnsi="仿宋" w:eastAsia="仿宋" w:cs="仿宋"/>
          <w:color w:val="auto"/>
          <w:kern w:val="0"/>
          <w:sz w:val="24"/>
          <w:szCs w:val="28"/>
          <w:highlight w:val="none"/>
        </w:rPr>
      </w:pPr>
    </w:p>
    <w:p>
      <w:pPr>
        <w:adjustRightInd w:val="0"/>
        <w:snapToGrid w:val="0"/>
        <w:spacing w:line="360" w:lineRule="auto"/>
        <w:ind w:firstLine="120" w:firstLineChars="5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 xml:space="preserve">                         法定代表人或授权代表</w:t>
      </w:r>
    </w:p>
    <w:p>
      <w:pPr>
        <w:adjustRightInd w:val="0"/>
        <w:snapToGrid w:val="0"/>
        <w:spacing w:line="360" w:lineRule="auto"/>
        <w:ind w:left="-525" w:leftChars="-25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（公章）：                          （签字</w:t>
      </w:r>
      <w:r>
        <w:rPr>
          <w:rFonts w:hint="eastAsia" w:ascii="仿宋" w:hAnsi="仿宋" w:eastAsia="仿宋" w:cs="仿宋"/>
          <w:color w:val="auto"/>
          <w:sz w:val="24"/>
          <w:highlight w:val="none"/>
          <w:lang w:val="en-US" w:eastAsia="zh-CN"/>
        </w:rPr>
        <w:t>或盖章</w:t>
      </w:r>
      <w:r>
        <w:rPr>
          <w:rFonts w:hint="eastAsia" w:ascii="仿宋" w:hAnsi="仿宋" w:eastAsia="仿宋" w:cs="仿宋"/>
          <w:color w:val="auto"/>
          <w:sz w:val="24"/>
          <w:highlight w:val="none"/>
        </w:rPr>
        <w:t>）：</w:t>
      </w:r>
    </w:p>
    <w:p>
      <w:pPr>
        <w:adjustRightInd w:val="0"/>
        <w:snapToGrid w:val="0"/>
        <w:spacing w:line="360" w:lineRule="auto"/>
        <w:jc w:val="center"/>
        <w:rPr>
          <w:rFonts w:hint="eastAsia" w:ascii="仿宋" w:hAnsi="仿宋" w:eastAsia="仿宋" w:cs="仿宋"/>
          <w:b/>
          <w:color w:val="auto"/>
          <w:sz w:val="42"/>
          <w:highlight w:val="none"/>
        </w:rPr>
      </w:pPr>
    </w:p>
    <w:p>
      <w:pPr>
        <w:pStyle w:val="22"/>
        <w:rPr>
          <w:rFonts w:hint="eastAsia" w:ascii="仿宋" w:hAnsi="仿宋" w:eastAsia="仿宋" w:cs="仿宋"/>
          <w:b/>
          <w:color w:val="auto"/>
          <w:sz w:val="42"/>
          <w:highlight w:val="none"/>
        </w:rPr>
      </w:pPr>
    </w:p>
    <w:p>
      <w:pPr>
        <w:pStyle w:val="22"/>
        <w:rPr>
          <w:rFonts w:hint="eastAsia" w:ascii="仿宋" w:hAnsi="仿宋" w:eastAsia="仿宋" w:cs="仿宋"/>
          <w:b/>
          <w:color w:val="auto"/>
          <w:sz w:val="42"/>
          <w:highlight w:val="none"/>
        </w:rPr>
      </w:pPr>
    </w:p>
    <w:p>
      <w:pPr>
        <w:autoSpaceDE w:val="0"/>
        <w:autoSpaceDN w:val="0"/>
        <w:adjustRightInd w:val="0"/>
        <w:spacing w:line="360" w:lineRule="auto"/>
        <w:jc w:val="both"/>
        <w:rPr>
          <w:rFonts w:hint="eastAsia" w:ascii="仿宋" w:hAnsi="仿宋" w:eastAsia="仿宋" w:cs="仿宋"/>
          <w:color w:val="auto"/>
          <w:szCs w:val="21"/>
          <w:highlight w:val="none"/>
        </w:rPr>
      </w:pPr>
    </w:p>
    <w:p>
      <w:pPr>
        <w:rPr>
          <w:rFonts w:hint="eastAsia" w:ascii="仿宋" w:hAnsi="仿宋" w:eastAsia="仿宋" w:cs="仿宋"/>
          <w:b/>
          <w:color w:val="auto"/>
          <w:kern w:val="0"/>
          <w:sz w:val="32"/>
          <w:szCs w:val="32"/>
          <w:highlight w:val="none"/>
          <w:shd w:val="clear" w:color="auto" w:fill="FFFFFF"/>
          <w:lang w:val="en-US" w:eastAsia="zh-CN" w:bidi="ar-SA"/>
        </w:rPr>
      </w:pPr>
      <w:r>
        <w:rPr>
          <w:rFonts w:hint="eastAsia" w:ascii="仿宋" w:hAnsi="仿宋" w:eastAsia="仿宋" w:cs="仿宋"/>
          <w:b/>
          <w:color w:val="auto"/>
          <w:kern w:val="0"/>
          <w:sz w:val="32"/>
          <w:szCs w:val="32"/>
          <w:highlight w:val="none"/>
          <w:shd w:val="clear" w:color="auto" w:fill="FFFFFF"/>
          <w:lang w:val="en-US" w:eastAsia="zh-CN" w:bidi="ar-SA"/>
        </w:rPr>
        <w:br w:type="page"/>
      </w:r>
    </w:p>
    <w:p>
      <w:pPr>
        <w:numPr>
          <w:ilvl w:val="0"/>
          <w:numId w:val="0"/>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b/>
          <w:kern w:val="0"/>
          <w:sz w:val="32"/>
          <w:szCs w:val="32"/>
          <w:shd w:val="clear" w:color="auto" w:fill="FFFFFF"/>
          <w:lang w:val="en-US" w:eastAsia="zh-CN" w:bidi="ar-SA"/>
        </w:rPr>
      </w:pPr>
      <w:r>
        <w:rPr>
          <w:rFonts w:hint="eastAsia" w:ascii="仿宋" w:hAnsi="仿宋" w:eastAsia="仿宋" w:cs="仿宋"/>
          <w:b/>
          <w:color w:val="auto"/>
          <w:kern w:val="0"/>
          <w:sz w:val="32"/>
          <w:szCs w:val="32"/>
          <w:highlight w:val="none"/>
          <w:shd w:val="clear" w:color="auto" w:fill="FFFFFF"/>
          <w:lang w:val="en-US" w:eastAsia="zh-CN" w:bidi="ar-SA"/>
        </w:rPr>
        <w:t>附件4：</w:t>
      </w:r>
      <w:r>
        <w:rPr>
          <w:rFonts w:hint="eastAsia" w:ascii="仿宋" w:hAnsi="仿宋" w:eastAsia="仿宋" w:cs="仿宋"/>
          <w:b/>
          <w:kern w:val="0"/>
          <w:sz w:val="32"/>
          <w:szCs w:val="32"/>
          <w:shd w:val="clear" w:color="auto" w:fill="FFFFFF"/>
          <w:lang w:val="en-US" w:eastAsia="zh-CN" w:bidi="ar-SA"/>
        </w:rPr>
        <w:t>信用承诺书（须上传至信用中国（陕西榆林）附件中进行公示）</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lang w:eastAsia="zh-CN"/>
        </w:rPr>
        <w:t>供应商</w:t>
      </w:r>
      <w:r>
        <w:rPr>
          <w:rFonts w:hint="eastAsia" w:ascii="仿宋" w:hAnsi="仿宋" w:eastAsia="仿宋" w:cs="仿宋"/>
          <w:kern w:val="0"/>
          <w:sz w:val="24"/>
        </w:rPr>
        <w:t>：</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统一社会信用代码：</w:t>
      </w:r>
      <w:r>
        <w:rPr>
          <w:rFonts w:hint="eastAsia" w:ascii="仿宋" w:hAnsi="仿宋" w:eastAsia="仿宋" w:cs="仿宋"/>
          <w:kern w:val="0"/>
          <w:sz w:val="24"/>
          <w:u w:val="single"/>
        </w:rPr>
        <w:t xml:space="preserve">                             </w:t>
      </w:r>
      <w:r>
        <w:rPr>
          <w:rFonts w:hint="eastAsia" w:ascii="仿宋" w:hAnsi="仿宋" w:eastAsia="仿宋" w:cs="仿宋"/>
          <w:kern w:val="0"/>
          <w:sz w:val="24"/>
        </w:rPr>
        <w:t>法人代表：</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adjustRightInd w:val="0"/>
        <w:snapToGrid w:val="0"/>
        <w:spacing w:line="48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项目招投标活动中，我公司（单位）郑重作出以下信用承诺：</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w:t>
      </w:r>
      <w:r>
        <w:rPr>
          <w:rFonts w:hint="eastAsia" w:ascii="仿宋" w:hAnsi="仿宋" w:eastAsia="仿宋" w:cs="仿宋"/>
          <w:kern w:val="0"/>
          <w:sz w:val="24"/>
          <w:lang w:eastAsia="zh-CN"/>
        </w:rPr>
        <w:t>供应商</w:t>
      </w:r>
      <w:r>
        <w:rPr>
          <w:rFonts w:hint="eastAsia" w:ascii="仿宋" w:hAnsi="仿宋" w:eastAsia="仿宋" w:cs="仿宋"/>
          <w:kern w:val="0"/>
          <w:sz w:val="24"/>
        </w:rPr>
        <w:t>参与招投标活动。2.向招投标监督部门、交易中心、招标人、招标代理机构、评审委员会及其成员等当事主体赠送财物。3.投标截止后至中标人确定前，修改或者撤销</w:t>
      </w:r>
      <w:r>
        <w:rPr>
          <w:rFonts w:hint="eastAsia" w:ascii="仿宋" w:hAnsi="仿宋" w:eastAsia="仿宋" w:cs="仿宋"/>
          <w:kern w:val="0"/>
          <w:sz w:val="24"/>
          <w:lang w:eastAsia="zh-CN"/>
        </w:rPr>
        <w:t>磋商响应文件</w:t>
      </w:r>
      <w:r>
        <w:rPr>
          <w:rFonts w:hint="eastAsia" w:ascii="仿宋" w:hAnsi="仿宋" w:eastAsia="仿宋" w:cs="仿宋"/>
          <w:kern w:val="0"/>
          <w:sz w:val="24"/>
        </w:rPr>
        <w:t>。4.在被确定为中标人后无正当理由：不按照招标文件和</w:t>
      </w:r>
      <w:r>
        <w:rPr>
          <w:rFonts w:hint="eastAsia" w:ascii="仿宋" w:hAnsi="仿宋" w:eastAsia="仿宋" w:cs="仿宋"/>
          <w:kern w:val="0"/>
          <w:sz w:val="24"/>
          <w:lang w:eastAsia="zh-CN"/>
        </w:rPr>
        <w:t>磋商响应文件</w:t>
      </w:r>
      <w:r>
        <w:rPr>
          <w:rFonts w:hint="eastAsia" w:ascii="仿宋" w:hAnsi="仿宋" w:eastAsia="仿宋" w:cs="仿宋"/>
          <w:kern w:val="0"/>
          <w:sz w:val="24"/>
        </w:rPr>
        <w:t>与招标人签订合同；在签订合同时向招标人提出附加条件、或者改变</w:t>
      </w:r>
      <w:r>
        <w:rPr>
          <w:rFonts w:hint="eastAsia" w:ascii="仿宋" w:hAnsi="仿宋" w:eastAsia="仿宋" w:cs="仿宋"/>
          <w:kern w:val="0"/>
          <w:sz w:val="24"/>
          <w:lang w:eastAsia="zh-CN"/>
        </w:rPr>
        <w:t>磋商响应文件</w:t>
      </w:r>
      <w:r>
        <w:rPr>
          <w:rFonts w:hint="eastAsia" w:ascii="仿宋" w:hAnsi="仿宋" w:eastAsia="仿宋" w:cs="仿宋"/>
          <w:kern w:val="0"/>
          <w:sz w:val="24"/>
        </w:rPr>
        <w:t>的实质性内容；放弃中标；不按照招标文件的规定提交履约保证金。5.招投标法规定的其它违法违规行为。</w:t>
      </w:r>
    </w:p>
    <w:p>
      <w:pPr>
        <w:keepNext w:val="0"/>
        <w:keepLines w:val="0"/>
        <w:pageBreakBefore w:val="0"/>
        <w:widowControl/>
        <w:kinsoku/>
        <w:wordWrap/>
        <w:overflowPunct/>
        <w:topLinePunct w:val="0"/>
        <w:autoSpaceDE/>
        <w:autoSpaceDN/>
        <w:bidi w:val="0"/>
        <w:adjustRightInd w:val="0"/>
        <w:snapToGrid w:val="0"/>
        <w:spacing w:line="360" w:lineRule="auto"/>
        <w:ind w:firstLine="482"/>
        <w:jc w:val="left"/>
        <w:textAlignment w:val="auto"/>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（四）同意将此信用承诺纳入陕西省公共信用信息平台和榆林市公共信用信息共享平台，并上网公示，接受社会监督。</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pStyle w:val="22"/>
        <w:rPr>
          <w:rFonts w:hint="eastAsia" w:ascii="仿宋" w:hAnsi="仿宋" w:eastAsia="仿宋" w:cs="仿宋"/>
        </w:rPr>
      </w:pPr>
    </w:p>
    <w:p>
      <w:pPr>
        <w:widowControl/>
        <w:tabs>
          <w:tab w:val="left" w:pos="4395"/>
        </w:tabs>
        <w:adjustRightInd w:val="0"/>
        <w:snapToGrid w:val="0"/>
        <w:spacing w:line="480" w:lineRule="auto"/>
        <w:jc w:val="left"/>
        <w:rPr>
          <w:rFonts w:hint="eastAsia" w:ascii="仿宋" w:hAnsi="仿宋" w:eastAsia="仿宋" w:cs="仿宋"/>
          <w:kern w:val="0"/>
          <w:sz w:val="24"/>
        </w:rPr>
      </w:pPr>
      <w:r>
        <w:rPr>
          <w:rFonts w:hint="eastAsia" w:ascii="仿宋" w:hAnsi="仿宋" w:eastAsia="仿宋" w:cs="仿宋"/>
          <w:kern w:val="0"/>
          <w:sz w:val="24"/>
        </w:rPr>
        <w:t xml:space="preserve">法定代表人（签章）：                 </w:t>
      </w:r>
      <w:r>
        <w:rPr>
          <w:rFonts w:hint="eastAsia" w:ascii="仿宋" w:hAnsi="仿宋" w:eastAsia="仿宋" w:cs="仿宋"/>
          <w:kern w:val="0"/>
          <w:sz w:val="24"/>
          <w:lang w:eastAsia="zh-CN"/>
        </w:rPr>
        <w:t>供应商</w:t>
      </w:r>
      <w:r>
        <w:rPr>
          <w:rFonts w:hint="eastAsia" w:ascii="仿宋" w:hAnsi="仿宋" w:eastAsia="仿宋" w:cs="仿宋"/>
          <w:kern w:val="0"/>
          <w:sz w:val="24"/>
        </w:rPr>
        <w:t>（盖章）：</w:t>
      </w:r>
    </w:p>
    <w:p>
      <w:pPr>
        <w:adjustRightInd w:val="0"/>
        <w:snapToGrid w:val="0"/>
        <w:spacing w:line="480" w:lineRule="auto"/>
        <w:jc w:val="center"/>
        <w:rPr>
          <w:rFonts w:hint="eastAsia" w:ascii="仿宋" w:hAnsi="仿宋" w:eastAsia="仿宋" w:cs="仿宋"/>
          <w:kern w:val="0"/>
          <w:sz w:val="24"/>
        </w:rPr>
      </w:pPr>
    </w:p>
    <w:p>
      <w:pPr>
        <w:adjustRightInd w:val="0"/>
        <w:snapToGrid w:val="0"/>
        <w:spacing w:line="480" w:lineRule="auto"/>
        <w:jc w:val="center"/>
        <w:rPr>
          <w:rFonts w:hint="eastAsia" w:ascii="仿宋" w:hAnsi="仿宋" w:eastAsia="仿宋" w:cs="仿宋"/>
          <w:kern w:val="0"/>
          <w:sz w:val="24"/>
        </w:rPr>
      </w:pPr>
      <w:r>
        <w:rPr>
          <w:rFonts w:hint="eastAsia" w:ascii="仿宋" w:hAnsi="仿宋" w:eastAsia="仿宋" w:cs="仿宋"/>
          <w:kern w:val="0"/>
          <w:sz w:val="24"/>
        </w:rPr>
        <w:t xml:space="preserve">                             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spacing w:line="480" w:lineRule="auto"/>
        <w:ind w:right="-2"/>
        <w:jc w:val="center"/>
        <w:rPr>
          <w:rFonts w:hint="eastAsia" w:ascii="仿宋" w:hAnsi="仿宋" w:eastAsia="仿宋" w:cs="仿宋"/>
          <w:b/>
          <w:bCs/>
          <w:sz w:val="32"/>
          <w:szCs w:val="32"/>
          <w:lang w:val="en-US" w:eastAsia="zh-CN"/>
        </w:rPr>
        <w:sectPr>
          <w:pgSz w:w="11906" w:h="16838"/>
          <w:pgMar w:top="1440" w:right="1531" w:bottom="1440" w:left="1531" w:header="720" w:footer="720" w:gutter="0"/>
          <w:pgBorders>
            <w:top w:val="none" w:sz="0" w:space="0"/>
            <w:left w:val="none" w:sz="0" w:space="0"/>
            <w:bottom w:val="none" w:sz="0" w:space="0"/>
            <w:right w:val="none" w:sz="0" w:space="0"/>
          </w:pgBorders>
          <w:pgNumType w:fmt="decimal"/>
          <w:cols w:space="720" w:num="1"/>
          <w:docGrid w:type="lines" w:linePitch="312" w:charSpace="0"/>
        </w:sectPr>
      </w:pPr>
    </w:p>
    <w:p>
      <w:pPr>
        <w:spacing w:line="560" w:lineRule="exact"/>
        <w:ind w:right="-2"/>
        <w:jc w:val="center"/>
        <w:rPr>
          <w:rFonts w:hint="eastAsia" w:ascii="仿宋" w:hAnsi="仿宋" w:eastAsia="仿宋" w:cs="仿宋"/>
          <w:kern w:val="0"/>
          <w:sz w:val="24"/>
        </w:rPr>
      </w:pPr>
      <w:r>
        <w:rPr>
          <w:rFonts w:hint="eastAsia" w:ascii="仿宋" w:hAnsi="仿宋" w:eastAsia="仿宋" w:cs="仿宋"/>
          <w:b/>
          <w:bCs/>
          <w:sz w:val="32"/>
          <w:szCs w:val="32"/>
          <w:lang w:eastAsia="zh-CN"/>
        </w:rPr>
        <w:t>供应商</w:t>
      </w:r>
      <w:r>
        <w:rPr>
          <w:rFonts w:hint="eastAsia" w:ascii="仿宋" w:hAnsi="仿宋" w:eastAsia="仿宋" w:cs="仿宋"/>
          <w:b/>
          <w:bCs/>
          <w:sz w:val="32"/>
          <w:szCs w:val="32"/>
        </w:rPr>
        <w:t>委托代理人员信用承诺书</w:t>
      </w:r>
    </w:p>
    <w:p>
      <w:pPr>
        <w:widowControl/>
        <w:spacing w:line="54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项目招投标活动中，我个人郑重作出以下信用承诺：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w:t>
      </w:r>
      <w:r>
        <w:rPr>
          <w:rFonts w:hint="eastAsia" w:ascii="仿宋" w:hAnsi="仿宋" w:eastAsia="仿宋" w:cs="仿宋"/>
          <w:kern w:val="0"/>
          <w:sz w:val="24"/>
          <w:lang w:eastAsia="zh-CN"/>
        </w:rPr>
        <w:t>供应商</w:t>
      </w:r>
      <w:r>
        <w:rPr>
          <w:rFonts w:hint="eastAsia" w:ascii="仿宋" w:hAnsi="仿宋" w:eastAsia="仿宋" w:cs="仿宋"/>
          <w:kern w:val="0"/>
          <w:sz w:val="24"/>
        </w:rPr>
        <w:t>参与招投标活动。2.向招投标监督部门、交易中心、招标人、招标代理机构、评审委员会及其成员等当事主体赠送财物。3.投标截止后至中标人确定前，修改或者撤销</w:t>
      </w:r>
      <w:r>
        <w:rPr>
          <w:rFonts w:hint="eastAsia" w:ascii="仿宋" w:hAnsi="仿宋" w:eastAsia="仿宋" w:cs="仿宋"/>
          <w:kern w:val="0"/>
          <w:sz w:val="24"/>
          <w:lang w:eastAsia="zh-CN"/>
        </w:rPr>
        <w:t>磋商响应文件</w:t>
      </w:r>
      <w:r>
        <w:rPr>
          <w:rFonts w:hint="eastAsia" w:ascii="仿宋" w:hAnsi="仿宋" w:eastAsia="仿宋" w:cs="仿宋"/>
          <w:kern w:val="0"/>
          <w:sz w:val="24"/>
        </w:rPr>
        <w:t>。4.在被确定为中标人后无正当理由：不按照招标文件和</w:t>
      </w:r>
      <w:r>
        <w:rPr>
          <w:rFonts w:hint="eastAsia" w:ascii="仿宋" w:hAnsi="仿宋" w:eastAsia="仿宋" w:cs="仿宋"/>
          <w:kern w:val="0"/>
          <w:sz w:val="24"/>
          <w:lang w:eastAsia="zh-CN"/>
        </w:rPr>
        <w:t>磋商响应文件</w:t>
      </w:r>
      <w:r>
        <w:rPr>
          <w:rFonts w:hint="eastAsia" w:ascii="仿宋" w:hAnsi="仿宋" w:eastAsia="仿宋" w:cs="仿宋"/>
          <w:kern w:val="0"/>
          <w:sz w:val="24"/>
        </w:rPr>
        <w:t>与招标人签订合同；在签订合同时向招标人提出附加条件、或者改变</w:t>
      </w:r>
      <w:r>
        <w:rPr>
          <w:rFonts w:hint="eastAsia" w:ascii="仿宋" w:hAnsi="仿宋" w:eastAsia="仿宋" w:cs="仿宋"/>
          <w:kern w:val="0"/>
          <w:sz w:val="24"/>
          <w:lang w:eastAsia="zh-CN"/>
        </w:rPr>
        <w:t>磋商响应文件</w:t>
      </w:r>
      <w:r>
        <w:rPr>
          <w:rFonts w:hint="eastAsia" w:ascii="仿宋" w:hAnsi="仿宋" w:eastAsia="仿宋" w:cs="仿宋"/>
          <w:kern w:val="0"/>
          <w:sz w:val="24"/>
        </w:rPr>
        <w:t>的实质性内容；放弃中标；不按照招标文件的规定提交履约保证金。5.招投标法规定的其它违法违规行为。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（四）同意将此信用承诺纳入陕西省公共信用信息平台和榆林市公共信用信息共享平台，并接受社会监督。</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spacing w:line="320" w:lineRule="exact"/>
        <w:ind w:firstLine="482"/>
        <w:jc w:val="left"/>
        <w:rPr>
          <w:rFonts w:hint="eastAsia" w:ascii="仿宋" w:hAnsi="仿宋" w:eastAsia="仿宋" w:cs="仿宋"/>
          <w:kern w:val="0"/>
          <w:sz w:val="24"/>
        </w:rPr>
      </w:pPr>
    </w:p>
    <w:p>
      <w:pPr>
        <w:widowControl/>
        <w:spacing w:line="320" w:lineRule="exact"/>
        <w:ind w:firstLine="482"/>
        <w:jc w:val="left"/>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spacing w:line="320" w:lineRule="exact"/>
        <w:ind w:firstLine="482"/>
        <w:jc w:val="left"/>
        <w:rPr>
          <w:rFonts w:hint="eastAsia" w:ascii="仿宋" w:hAnsi="仿宋" w:eastAsia="仿宋" w:cs="仿宋"/>
          <w:kern w:val="0"/>
          <w:sz w:val="24"/>
        </w:rPr>
      </w:pPr>
    </w:p>
    <w:p>
      <w:pPr>
        <w:widowControl/>
        <w:spacing w:line="320" w:lineRule="exact"/>
        <w:ind w:firstLine="482"/>
        <w:jc w:val="left"/>
        <w:rPr>
          <w:rFonts w:hint="eastAsia" w:ascii="仿宋" w:hAnsi="仿宋" w:eastAsia="仿宋" w:cs="仿宋"/>
          <w:kern w:val="0"/>
          <w:sz w:val="24"/>
          <w:u w:val="single"/>
        </w:rPr>
      </w:pPr>
      <w:r>
        <w:rPr>
          <w:rFonts w:hint="eastAsia" w:ascii="仿宋" w:hAnsi="仿宋" w:eastAsia="仿宋" w:cs="仿宋"/>
          <w:kern w:val="0"/>
          <w:sz w:val="24"/>
          <w:lang w:eastAsia="zh-CN"/>
        </w:rPr>
        <w:t>供应商</w:t>
      </w:r>
      <w:r>
        <w:rPr>
          <w:rFonts w:hint="eastAsia" w:ascii="仿宋" w:hAnsi="仿宋" w:eastAsia="仿宋" w:cs="仿宋"/>
          <w:kern w:val="0"/>
          <w:sz w:val="24"/>
        </w:rPr>
        <w:t>：</w:t>
      </w:r>
      <w:r>
        <w:rPr>
          <w:rFonts w:hint="eastAsia" w:ascii="仿宋" w:hAnsi="仿宋" w:eastAsia="仿宋" w:cs="仿宋"/>
          <w:kern w:val="0"/>
          <w:sz w:val="24"/>
          <w:u w:val="single"/>
        </w:rPr>
        <w:t xml:space="preserve">                                                        </w:t>
      </w:r>
    </w:p>
    <w:p>
      <w:pPr>
        <w:widowControl/>
        <w:spacing w:line="320" w:lineRule="exact"/>
        <w:ind w:firstLine="482"/>
        <w:jc w:val="left"/>
        <w:rPr>
          <w:rFonts w:hint="eastAsia" w:ascii="仿宋" w:hAnsi="仿宋" w:eastAsia="仿宋" w:cs="仿宋"/>
          <w:kern w:val="0"/>
          <w:sz w:val="24"/>
        </w:rPr>
      </w:pPr>
    </w:p>
    <w:p>
      <w:pPr>
        <w:widowControl/>
        <w:spacing w:line="320" w:lineRule="exact"/>
        <w:ind w:firstLine="482"/>
        <w:jc w:val="left"/>
        <w:rPr>
          <w:rFonts w:hint="eastAsia" w:ascii="仿宋" w:hAnsi="仿宋" w:eastAsia="仿宋" w:cs="仿宋"/>
          <w:kern w:val="0"/>
          <w:sz w:val="24"/>
          <w:u w:val="single"/>
        </w:rPr>
      </w:pPr>
      <w:r>
        <w:rPr>
          <w:rFonts w:hint="eastAsia" w:ascii="仿宋" w:hAnsi="仿宋" w:eastAsia="仿宋" w:cs="仿宋"/>
          <w:kern w:val="0"/>
          <w:sz w:val="24"/>
        </w:rPr>
        <w:t>承诺人</w:t>
      </w:r>
      <w:r>
        <w:rPr>
          <w:rFonts w:hint="eastAsia" w:ascii="仿宋" w:hAnsi="仿宋" w:eastAsia="仿宋" w:cs="仿宋"/>
          <w:b w:val="0"/>
          <w:color w:val="auto"/>
          <w:kern w:val="2"/>
          <w:sz w:val="24"/>
          <w:szCs w:val="24"/>
          <w:lang w:val="en-US" w:eastAsia="zh-CN" w:bidi="ar-SA"/>
        </w:rPr>
        <w:t>（签字或</w:t>
      </w:r>
      <w:r>
        <w:rPr>
          <w:rFonts w:hint="eastAsia" w:ascii="仿宋" w:hAnsi="仿宋" w:eastAsia="仿宋" w:cs="仿宋"/>
          <w:color w:val="auto"/>
          <w:sz w:val="24"/>
          <w:szCs w:val="24"/>
        </w:rPr>
        <w:t>盖章</w:t>
      </w:r>
      <w:r>
        <w:rPr>
          <w:rFonts w:hint="eastAsia" w:ascii="仿宋" w:hAnsi="仿宋" w:eastAsia="仿宋" w:cs="仿宋"/>
          <w:b w:val="0"/>
          <w:color w:val="auto"/>
          <w:kern w:val="2"/>
          <w:sz w:val="24"/>
          <w:szCs w:val="24"/>
          <w:lang w:val="en-US" w:eastAsia="zh-CN" w:bidi="ar-SA"/>
        </w:rPr>
        <w:t>）</w:t>
      </w:r>
      <w:r>
        <w:rPr>
          <w:rFonts w:hint="eastAsia" w:ascii="仿宋" w:hAnsi="仿宋" w:eastAsia="仿宋" w:cs="仿宋"/>
          <w:kern w:val="0"/>
          <w:sz w:val="24"/>
        </w:rPr>
        <w:t>：</w:t>
      </w:r>
      <w:r>
        <w:rPr>
          <w:rFonts w:hint="eastAsia" w:ascii="仿宋" w:hAnsi="仿宋" w:eastAsia="仿宋" w:cs="仿宋"/>
          <w:kern w:val="0"/>
          <w:sz w:val="24"/>
          <w:u w:val="single"/>
        </w:rPr>
        <w:t xml:space="preserve">                 </w:t>
      </w:r>
    </w:p>
    <w:p>
      <w:pPr>
        <w:widowControl/>
        <w:spacing w:line="320" w:lineRule="exact"/>
        <w:ind w:firstLine="482"/>
        <w:jc w:val="left"/>
        <w:rPr>
          <w:rFonts w:hint="eastAsia" w:ascii="仿宋" w:hAnsi="仿宋" w:eastAsia="仿宋" w:cs="仿宋"/>
          <w:kern w:val="0"/>
          <w:sz w:val="24"/>
          <w:u w:val="single"/>
        </w:rPr>
      </w:pPr>
    </w:p>
    <w:p>
      <w:pPr>
        <w:numPr>
          <w:ilvl w:val="0"/>
          <w:numId w:val="0"/>
        </w:numPr>
        <w:ind w:firstLine="480" w:firstLineChars="200"/>
        <w:rPr>
          <w:rFonts w:hint="eastAsia" w:ascii="仿宋" w:hAnsi="仿宋" w:eastAsia="仿宋" w:cs="仿宋"/>
          <w:b/>
          <w:kern w:val="0"/>
          <w:sz w:val="32"/>
          <w:szCs w:val="32"/>
          <w:shd w:val="clear" w:color="auto" w:fill="FFFFFF"/>
          <w:lang w:val="zh-CN" w:eastAsia="zh-CN" w:bidi="ar-SA"/>
        </w:rPr>
      </w:pPr>
      <w:r>
        <w:rPr>
          <w:rFonts w:hint="eastAsia" w:ascii="仿宋" w:hAnsi="仿宋" w:eastAsia="仿宋" w:cs="仿宋"/>
          <w:kern w:val="0"/>
          <w:sz w:val="24"/>
        </w:rPr>
        <w:t>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pStyle w:val="4"/>
        <w:bidi w:val="0"/>
        <w:spacing w:line="240" w:lineRule="auto"/>
        <w:jc w:val="center"/>
        <w:rPr>
          <w:rFonts w:hint="eastAsia" w:ascii="仿宋" w:hAnsi="仿宋" w:eastAsia="仿宋" w:cs="仿宋"/>
          <w:b/>
          <w:kern w:val="0"/>
          <w:sz w:val="32"/>
          <w:szCs w:val="32"/>
          <w:shd w:val="clear" w:color="auto" w:fill="FFFFFF"/>
          <w:lang w:val="zh-CN" w:eastAsia="zh-CN" w:bidi="ar-SA"/>
        </w:rPr>
      </w:pPr>
      <w:r>
        <w:rPr>
          <w:rFonts w:hint="eastAsia" w:ascii="仿宋" w:hAnsi="仿宋" w:eastAsia="仿宋" w:cs="仿宋"/>
          <w:b/>
          <w:kern w:val="0"/>
          <w:sz w:val="32"/>
          <w:szCs w:val="32"/>
          <w:shd w:val="clear" w:color="auto" w:fill="FFFFFF"/>
          <w:lang w:val="zh-CN" w:eastAsia="zh-CN" w:bidi="ar-SA"/>
        </w:rPr>
        <w:br w:type="page"/>
      </w:r>
      <w:r>
        <w:rPr>
          <w:rFonts w:hint="eastAsia" w:ascii="仿宋" w:hAnsi="仿宋" w:eastAsia="仿宋" w:cs="仿宋"/>
          <w:b/>
          <w:kern w:val="0"/>
          <w:sz w:val="32"/>
          <w:szCs w:val="32"/>
          <w:shd w:val="clear" w:color="auto" w:fill="FFFFFF"/>
          <w:lang w:val="zh-CN" w:eastAsia="zh-CN" w:bidi="ar-SA"/>
        </w:rPr>
        <w:t>提供在信用中国（陕西榆林）网址上申报的截图</w:t>
      </w:r>
    </w:p>
    <w:p>
      <w:pPr>
        <w:pStyle w:val="4"/>
        <w:bidi w:val="0"/>
        <w:spacing w:line="240" w:lineRule="auto"/>
        <w:jc w:val="both"/>
        <w:rPr>
          <w:rFonts w:hint="eastAsia" w:ascii="仿宋" w:hAnsi="仿宋" w:eastAsia="仿宋" w:cs="仿宋"/>
          <w:lang w:val="en-US" w:eastAsia="zh-CN"/>
        </w:rPr>
      </w:pPr>
      <w:r>
        <w:rPr>
          <w:rFonts w:hint="eastAsia" w:ascii="仿宋" w:hAnsi="仿宋" w:eastAsia="仿宋" w:cs="仿宋"/>
          <w:b/>
          <w:kern w:val="0"/>
          <w:sz w:val="32"/>
          <w:szCs w:val="32"/>
          <w:shd w:val="clear" w:color="auto" w:fill="FFFFFF"/>
          <w:lang w:val="zh-CN" w:eastAsia="zh-CN" w:bidi="ar-SA"/>
        </w:rPr>
        <w:br w:type="page"/>
      </w:r>
      <w:r>
        <w:rPr>
          <w:rFonts w:hint="eastAsia" w:ascii="仿宋" w:hAnsi="仿宋" w:eastAsia="仿宋" w:cs="仿宋"/>
          <w:b/>
          <w:kern w:val="0"/>
          <w:sz w:val="32"/>
          <w:szCs w:val="32"/>
          <w:shd w:val="clear" w:color="auto" w:fill="FFFFFF"/>
          <w:lang w:val="zh-CN" w:eastAsia="zh-CN" w:bidi="ar-SA"/>
        </w:rPr>
        <w:t>附件</w:t>
      </w:r>
      <w:r>
        <w:rPr>
          <w:rFonts w:hint="eastAsia" w:ascii="仿宋" w:hAnsi="仿宋" w:eastAsia="仿宋" w:cs="仿宋"/>
          <w:b/>
          <w:kern w:val="0"/>
          <w:sz w:val="32"/>
          <w:szCs w:val="32"/>
          <w:shd w:val="clear" w:color="auto" w:fill="FFFFFF"/>
          <w:lang w:val="en-US" w:eastAsia="zh-CN" w:bidi="ar-SA"/>
        </w:rPr>
        <w:t>5：</w:t>
      </w:r>
      <w:r>
        <w:rPr>
          <w:rFonts w:hint="eastAsia" w:ascii="仿宋" w:hAnsi="仿宋" w:eastAsia="仿宋" w:cs="仿宋"/>
          <w:lang w:val="en-US" w:eastAsia="zh-CN"/>
        </w:rPr>
        <w:t>关于信用承诺网上公示的通知及操作指南</w:t>
      </w:r>
    </w:p>
    <w:p>
      <w:pPr>
        <w:rPr>
          <w:rFonts w:hint="eastAsia"/>
          <w:lang w:val="en-US" w:eastAsia="zh-CN"/>
        </w:rPr>
      </w:pPr>
      <w:r>
        <w:drawing>
          <wp:inline distT="0" distB="0" distL="114300" distR="114300">
            <wp:extent cx="5753100" cy="7781925"/>
            <wp:effectExtent l="0" t="0" r="0" b="952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3"/>
                    <a:stretch>
                      <a:fillRect/>
                    </a:stretch>
                  </pic:blipFill>
                  <pic:spPr>
                    <a:xfrm>
                      <a:off x="0" y="0"/>
                      <a:ext cx="5753100" cy="7781925"/>
                    </a:xfrm>
                    <a:prstGeom prst="rect">
                      <a:avLst/>
                    </a:prstGeom>
                    <a:noFill/>
                    <a:ln>
                      <a:noFill/>
                    </a:ln>
                  </pic:spPr>
                </pic:pic>
              </a:graphicData>
            </a:graphic>
          </wp:inline>
        </w:drawing>
      </w:r>
      <w:r>
        <w:drawing>
          <wp:inline distT="0" distB="0" distL="114300" distR="114300">
            <wp:extent cx="5343525" cy="7753350"/>
            <wp:effectExtent l="0" t="0" r="9525"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4"/>
                    <a:stretch>
                      <a:fillRect/>
                    </a:stretch>
                  </pic:blipFill>
                  <pic:spPr>
                    <a:xfrm>
                      <a:off x="0" y="0"/>
                      <a:ext cx="5343525" cy="775335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6178550" cy="4373245"/>
            <wp:effectExtent l="0" t="0" r="12700" b="825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5"/>
                    <a:stretch>
                      <a:fillRect/>
                    </a:stretch>
                  </pic:blipFill>
                  <pic:spPr>
                    <a:xfrm>
                      <a:off x="0" y="0"/>
                      <a:ext cx="6178550" cy="43732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539490"/>
            <wp:effectExtent l="0" t="0" r="13970" b="381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6"/>
                    <a:stretch>
                      <a:fillRect/>
                    </a:stretch>
                  </pic:blipFill>
                  <pic:spPr>
                    <a:xfrm>
                      <a:off x="0" y="0"/>
                      <a:ext cx="6177280" cy="35394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0455" cy="3535045"/>
            <wp:effectExtent l="0" t="0" r="10795" b="825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7"/>
                    <a:stretch>
                      <a:fillRect/>
                    </a:stretch>
                  </pic:blipFill>
                  <pic:spPr>
                    <a:xfrm>
                      <a:off x="0" y="0"/>
                      <a:ext cx="6180455" cy="35350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445510"/>
            <wp:effectExtent l="0" t="0" r="10160" b="254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18"/>
                    <a:stretch>
                      <a:fillRect/>
                    </a:stretch>
                  </pic:blipFill>
                  <pic:spPr>
                    <a:xfrm>
                      <a:off x="0" y="0"/>
                      <a:ext cx="6181090" cy="344551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3488690"/>
            <wp:effectExtent l="0" t="0" r="6350" b="1651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19"/>
                    <a:stretch>
                      <a:fillRect/>
                    </a:stretch>
                  </pic:blipFill>
                  <pic:spPr>
                    <a:xfrm>
                      <a:off x="0" y="0"/>
                      <a:ext cx="6184900" cy="34886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234055"/>
            <wp:effectExtent l="0" t="0" r="13970" b="444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20"/>
                    <a:stretch>
                      <a:fillRect/>
                    </a:stretch>
                  </pic:blipFill>
                  <pic:spPr>
                    <a:xfrm>
                      <a:off x="0" y="0"/>
                      <a:ext cx="6177280" cy="323405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2076450"/>
            <wp:effectExtent l="0" t="0" r="635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21"/>
                    <a:srcRect t="16750" b="9335"/>
                    <a:stretch>
                      <a:fillRect/>
                    </a:stretch>
                  </pic:blipFill>
                  <pic:spPr>
                    <a:xfrm>
                      <a:off x="0" y="0"/>
                      <a:ext cx="6184900" cy="207645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3630" cy="2993390"/>
            <wp:effectExtent l="0" t="0" r="7620" b="1651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22"/>
                    <a:srcRect t="1682" b="3944"/>
                    <a:stretch>
                      <a:fillRect/>
                    </a:stretch>
                  </pic:blipFill>
                  <pic:spPr>
                    <a:xfrm>
                      <a:off x="0" y="0"/>
                      <a:ext cx="6183630" cy="29933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074670"/>
            <wp:effectExtent l="0" t="0" r="10160" b="1143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3"/>
                    <a:srcRect t="10237" b="8508"/>
                    <a:stretch>
                      <a:fillRect/>
                    </a:stretch>
                  </pic:blipFill>
                  <pic:spPr>
                    <a:xfrm>
                      <a:off x="0" y="0"/>
                      <a:ext cx="6181090" cy="3074670"/>
                    </a:xfrm>
                    <a:prstGeom prst="rect">
                      <a:avLst/>
                    </a:prstGeom>
                    <a:noFill/>
                    <a:ln>
                      <a:noFill/>
                    </a:ln>
                  </pic:spPr>
                </pic:pic>
              </a:graphicData>
            </a:graphic>
          </wp:inline>
        </w:drawing>
      </w:r>
    </w:p>
    <w:p>
      <w:pPr>
        <w:jc w:val="center"/>
        <w:rPr>
          <w:rFonts w:hint="eastAsia" w:ascii="仿宋" w:hAnsi="仿宋" w:eastAsia="仿宋" w:cs="仿宋"/>
          <w:b/>
          <w:kern w:val="0"/>
          <w:sz w:val="32"/>
          <w:szCs w:val="32"/>
          <w:shd w:val="clear" w:color="auto" w:fill="FFFFFF"/>
          <w:lang w:val="en-US" w:eastAsia="zh-CN" w:bidi="ar-SA"/>
        </w:rPr>
      </w:pPr>
      <w:r>
        <w:rPr>
          <w:rFonts w:hint="eastAsia" w:ascii="仿宋" w:hAnsi="仿宋" w:eastAsia="仿宋" w:cs="仿宋"/>
        </w:rPr>
        <w:br w:type="page"/>
      </w:r>
      <w:r>
        <w:rPr>
          <w:rFonts w:hint="eastAsia" w:ascii="仿宋" w:hAnsi="仿宋" w:eastAsia="仿宋" w:cs="仿宋"/>
          <w:b/>
          <w:kern w:val="0"/>
          <w:sz w:val="32"/>
          <w:szCs w:val="32"/>
          <w:shd w:val="clear" w:color="auto" w:fill="FFFFFF"/>
          <w:lang w:val="en-US" w:eastAsia="zh-CN" w:bidi="ar-SA"/>
        </w:rPr>
        <w:t>陕西省公共资源交易中心政府采购项目远程不见面开标</w:t>
      </w:r>
    </w:p>
    <w:p>
      <w:pPr>
        <w:pStyle w:val="4"/>
        <w:bidi w:val="0"/>
        <w:spacing w:line="240" w:lineRule="auto"/>
        <w:jc w:val="center"/>
        <w:rPr>
          <w:rFonts w:hint="eastAsia" w:ascii="仿宋" w:hAnsi="仿宋" w:eastAsia="仿宋" w:cs="仿宋"/>
          <w:b/>
          <w:kern w:val="0"/>
          <w:sz w:val="32"/>
          <w:szCs w:val="32"/>
          <w:shd w:val="clear" w:color="auto" w:fill="FFFFFF"/>
          <w:lang w:val="en-US" w:eastAsia="zh-CN" w:bidi="ar-SA"/>
        </w:rPr>
      </w:pPr>
      <w:r>
        <w:rPr>
          <w:rFonts w:hint="eastAsia" w:ascii="仿宋" w:hAnsi="仿宋" w:eastAsia="仿宋" w:cs="仿宋"/>
          <w:b/>
          <w:kern w:val="0"/>
          <w:sz w:val="32"/>
          <w:szCs w:val="32"/>
          <w:shd w:val="clear" w:color="auto" w:fill="FFFFFF"/>
          <w:lang w:val="en-US" w:eastAsia="zh-CN" w:bidi="ar-SA"/>
        </w:rPr>
        <w:t>操作手册（供应商版）</w:t>
      </w:r>
    </w:p>
    <w:p>
      <w:pPr>
        <w:pStyle w:val="3"/>
        <w:numPr>
          <w:ilvl w:val="0"/>
          <w:numId w:val="22"/>
        </w:numPr>
        <w:bidi w:val="0"/>
        <w:outlineLvl w:val="0"/>
        <w:rPr>
          <w:rFonts w:hint="eastAsia" w:ascii="仿宋" w:hAnsi="仿宋" w:eastAsia="仿宋" w:cs="仿宋"/>
          <w:lang w:val="en-US" w:eastAsia="zh-CN"/>
        </w:rPr>
      </w:pPr>
      <w:bookmarkStart w:id="514" w:name="_Toc5904"/>
      <w:r>
        <w:rPr>
          <w:rFonts w:hint="eastAsia" w:ascii="仿宋" w:hAnsi="仿宋" w:eastAsia="仿宋" w:cs="仿宋"/>
          <w:lang w:val="en-US" w:eastAsia="zh-CN"/>
        </w:rPr>
        <w:t>系统登录</w:t>
      </w:r>
      <w:bookmarkEnd w:id="514"/>
    </w:p>
    <w:p>
      <w:pPr>
        <w:numPr>
          <w:ilvl w:val="0"/>
          <w:numId w:val="23"/>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打开全国公共资源交易平台（陕西省）（http://www.sxggzyjy.cn/），点击【</w:t>
      </w:r>
      <w:r>
        <w:rPr>
          <w:rFonts w:hint="eastAsia" w:ascii="仿宋" w:hAnsi="仿宋" w:eastAsia="仿宋" w:cs="仿宋"/>
          <w:color w:val="000000"/>
          <w:sz w:val="24"/>
          <w:szCs w:val="24"/>
          <w:highlight w:val="none"/>
          <w:lang w:val="en-US" w:eastAsia="zh-CN"/>
        </w:rPr>
        <w:t>不见面开标</w:t>
      </w:r>
      <w:r>
        <w:rPr>
          <w:rFonts w:hint="eastAsia" w:ascii="仿宋" w:hAnsi="仿宋" w:eastAsia="仿宋" w:cs="仿宋"/>
          <w:sz w:val="24"/>
          <w:szCs w:val="24"/>
          <w:lang w:val="en-US" w:eastAsia="zh-CN"/>
        </w:rPr>
        <w:t>】-&gt;选择对应辖区不见面大厅（注意一定要选对应辖区的不见面开标大厅）-&gt;【不见面开标】进入不见面开标大厅登录首页。</w:t>
      </w:r>
    </w:p>
    <w:p>
      <w:pPr>
        <w:numPr>
          <w:ilvl w:val="0"/>
          <w:numId w:val="0"/>
        </w:numPr>
        <w:jc w:val="left"/>
        <w:rPr>
          <w:rFonts w:hint="eastAsia" w:ascii="仿宋" w:hAnsi="仿宋" w:eastAsia="仿宋" w:cs="仿宋"/>
        </w:rPr>
      </w:pPr>
      <w:r>
        <w:rPr>
          <w:rFonts w:hint="eastAsia" w:ascii="仿宋" w:hAnsi="仿宋" w:eastAsia="仿宋" w:cs="仿宋"/>
        </w:rPr>
        <w:drawing>
          <wp:inline distT="0" distB="0" distL="114300" distR="114300">
            <wp:extent cx="5271135" cy="2298700"/>
            <wp:effectExtent l="0" t="0" r="5715" b="635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4"/>
                    <a:stretch>
                      <a:fillRect/>
                    </a:stretch>
                  </pic:blipFill>
                  <pic:spPr>
                    <a:xfrm>
                      <a:off x="0" y="0"/>
                      <a:ext cx="5271135" cy="2298700"/>
                    </a:xfrm>
                    <a:prstGeom prst="rect">
                      <a:avLst/>
                    </a:prstGeom>
                    <a:noFill/>
                    <a:ln>
                      <a:noFill/>
                    </a:ln>
                  </pic:spPr>
                </pic:pic>
              </a:graphicData>
            </a:graphic>
          </wp:inline>
        </w:drawing>
      </w:r>
    </w:p>
    <w:p>
      <w:pPr>
        <w:numPr>
          <w:ilvl w:val="0"/>
          <w:numId w:val="0"/>
        </w:numPr>
        <w:jc w:val="left"/>
        <w:rPr>
          <w:rFonts w:hint="eastAsia" w:ascii="仿宋" w:hAnsi="仿宋" w:eastAsia="仿宋" w:cs="仿宋"/>
        </w:rPr>
      </w:pPr>
      <w:r>
        <w:rPr>
          <w:rFonts w:hint="eastAsia" w:ascii="仿宋" w:hAnsi="仿宋" w:eastAsia="仿宋" w:cs="仿宋"/>
        </w:rPr>
        <w:drawing>
          <wp:inline distT="0" distB="0" distL="114300" distR="114300">
            <wp:extent cx="5266690" cy="2320925"/>
            <wp:effectExtent l="0" t="0" r="10160"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5"/>
                    <a:stretch>
                      <a:fillRect/>
                    </a:stretch>
                  </pic:blipFill>
                  <pic:spPr>
                    <a:xfrm>
                      <a:off x="0" y="0"/>
                      <a:ext cx="5266690" cy="2320925"/>
                    </a:xfrm>
                    <a:prstGeom prst="rect">
                      <a:avLst/>
                    </a:prstGeom>
                    <a:noFill/>
                    <a:ln>
                      <a:noFill/>
                    </a:ln>
                  </pic:spPr>
                </pic:pic>
              </a:graphicData>
            </a:graphic>
          </wp:inline>
        </w:drawing>
      </w:r>
    </w:p>
    <w:p>
      <w:pPr>
        <w:numPr>
          <w:ilvl w:val="0"/>
          <w:numId w:val="0"/>
        </w:numPr>
        <w:jc w:val="left"/>
        <w:rPr>
          <w:rFonts w:hint="eastAsia" w:ascii="仿宋" w:hAnsi="仿宋" w:eastAsia="仿宋" w:cs="仿宋"/>
        </w:rPr>
      </w:pPr>
    </w:p>
    <w:p>
      <w:pPr>
        <w:numPr>
          <w:ilvl w:val="0"/>
          <w:numId w:val="0"/>
        </w:numPr>
        <w:jc w:val="left"/>
        <w:rPr>
          <w:rFonts w:hint="eastAsia" w:ascii="仿宋" w:hAnsi="仿宋" w:eastAsia="仿宋" w:cs="仿宋"/>
        </w:rPr>
      </w:pPr>
      <w:r>
        <w:rPr>
          <w:rFonts w:hint="eastAsia" w:ascii="仿宋" w:hAnsi="仿宋" w:eastAsia="仿宋" w:cs="仿宋"/>
        </w:rPr>
        <w:drawing>
          <wp:inline distT="0" distB="0" distL="114300" distR="114300">
            <wp:extent cx="5269230" cy="2299335"/>
            <wp:effectExtent l="0" t="0" r="7620" b="571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6"/>
                    <a:stretch>
                      <a:fillRect/>
                    </a:stretch>
                  </pic:blipFill>
                  <pic:spPr>
                    <a:xfrm>
                      <a:off x="0" y="0"/>
                      <a:ext cx="5269230" cy="2299335"/>
                    </a:xfrm>
                    <a:prstGeom prst="rect">
                      <a:avLst/>
                    </a:prstGeom>
                    <a:noFill/>
                    <a:ln>
                      <a:noFill/>
                    </a:ln>
                  </pic:spPr>
                </pic:pic>
              </a:graphicData>
            </a:graphic>
          </wp:inline>
        </w:drawing>
      </w:r>
    </w:p>
    <w:p>
      <w:pPr>
        <w:numPr>
          <w:ilvl w:val="0"/>
          <w:numId w:val="23"/>
        </w:numPr>
        <w:ind w:left="0" w:leftChars="0" w:firstLine="0" w:firstLineChars="0"/>
        <w:jc w:val="left"/>
        <w:rPr>
          <w:rFonts w:hint="eastAsia" w:ascii="仿宋" w:hAnsi="仿宋" w:eastAsia="仿宋" w:cs="仿宋"/>
          <w:lang w:val="en-US" w:eastAsia="zh-CN"/>
        </w:rPr>
      </w:pPr>
      <w:r>
        <w:rPr>
          <w:rFonts w:hint="eastAsia" w:ascii="仿宋" w:hAnsi="仿宋" w:eastAsia="仿宋" w:cs="仿宋"/>
          <w:lang w:val="en-US" w:eastAsia="zh-CN"/>
        </w:rPr>
        <w:t>点击【登录】---挑选供应商身份使用CA锁登录系统</w:t>
      </w:r>
      <w:r>
        <w:rPr>
          <w:rFonts w:hint="eastAsia" w:ascii="仿宋" w:hAnsi="仿宋" w:eastAsia="仿宋" w:cs="仿宋"/>
          <w:color w:val="000000"/>
          <w:lang w:val="en-US" w:eastAsia="zh-CN"/>
        </w:rPr>
        <w:t>，</w:t>
      </w:r>
      <w:r>
        <w:rPr>
          <w:rFonts w:hint="eastAsia" w:ascii="仿宋" w:hAnsi="仿宋" w:eastAsia="仿宋" w:cs="仿宋"/>
          <w:lang w:val="en-US" w:eastAsia="zh-CN"/>
        </w:rPr>
        <w:t>提前登录系统调试环境，确保系统登录正常。</w:t>
      </w:r>
    </w:p>
    <w:p>
      <w:pPr>
        <w:numPr>
          <w:ilvl w:val="0"/>
          <w:numId w:val="0"/>
        </w:numPr>
        <w:ind w:leftChars="0"/>
        <w:jc w:val="left"/>
        <w:rPr>
          <w:rFonts w:hint="eastAsia" w:ascii="仿宋" w:hAnsi="仿宋" w:eastAsia="仿宋" w:cs="仿宋"/>
        </w:rPr>
      </w:pPr>
    </w:p>
    <w:p>
      <w:pPr>
        <w:numPr>
          <w:ilvl w:val="0"/>
          <w:numId w:val="0"/>
        </w:numPr>
        <w:ind w:leftChars="0"/>
        <w:jc w:val="left"/>
        <w:rPr>
          <w:rFonts w:hint="eastAsia" w:ascii="仿宋" w:hAnsi="仿宋" w:eastAsia="仿宋" w:cs="仿宋"/>
        </w:rPr>
      </w:pPr>
      <w:r>
        <w:rPr>
          <w:rFonts w:hint="eastAsia" w:ascii="仿宋" w:hAnsi="仿宋" w:eastAsia="仿宋" w:cs="仿宋"/>
        </w:rPr>
        <w:drawing>
          <wp:inline distT="0" distB="0" distL="114300" distR="114300">
            <wp:extent cx="5266690" cy="2312670"/>
            <wp:effectExtent l="0" t="0" r="10160" b="1143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27"/>
                    <a:stretch>
                      <a:fillRect/>
                    </a:stretch>
                  </pic:blipFill>
                  <pic:spPr>
                    <a:xfrm>
                      <a:off x="0" y="0"/>
                      <a:ext cx="5266690" cy="2312670"/>
                    </a:xfrm>
                    <a:prstGeom prst="rect">
                      <a:avLst/>
                    </a:prstGeom>
                    <a:noFill/>
                    <a:ln>
                      <a:noFill/>
                    </a:ln>
                  </pic:spPr>
                </pic:pic>
              </a:graphicData>
            </a:graphic>
          </wp:inline>
        </w:drawing>
      </w:r>
    </w:p>
    <w:p>
      <w:pPr>
        <w:numPr>
          <w:ilvl w:val="0"/>
          <w:numId w:val="0"/>
        </w:numPr>
        <w:ind w:leftChars="0"/>
        <w:jc w:val="left"/>
        <w:rPr>
          <w:rFonts w:hint="eastAsia" w:ascii="仿宋" w:hAnsi="仿宋" w:eastAsia="仿宋" w:cs="仿宋"/>
          <w:lang w:val="en-US" w:eastAsia="zh-CN"/>
        </w:rPr>
      </w:pPr>
      <w:r>
        <w:rPr>
          <w:rFonts w:hint="eastAsia" w:ascii="仿宋" w:hAnsi="仿宋" w:eastAsia="仿宋" w:cs="仿宋"/>
          <w:lang w:val="en-US" w:eastAsia="zh-CN"/>
        </w:rPr>
        <w:t>备注：推荐使用IE11浏览器</w:t>
      </w:r>
    </w:p>
    <w:p>
      <w:pPr>
        <w:pStyle w:val="3"/>
        <w:numPr>
          <w:ilvl w:val="0"/>
          <w:numId w:val="22"/>
        </w:numPr>
        <w:bidi w:val="0"/>
        <w:outlineLvl w:val="0"/>
        <w:rPr>
          <w:rFonts w:hint="eastAsia" w:ascii="仿宋" w:hAnsi="仿宋" w:eastAsia="仿宋" w:cs="仿宋"/>
          <w:lang w:val="en-US" w:eastAsia="zh-CN"/>
        </w:rPr>
      </w:pPr>
      <w:bookmarkStart w:id="515" w:name="_Toc15416"/>
      <w:r>
        <w:rPr>
          <w:rFonts w:hint="eastAsia" w:ascii="仿宋" w:hAnsi="仿宋" w:eastAsia="仿宋" w:cs="仿宋"/>
          <w:lang w:val="en-US" w:eastAsia="zh-CN"/>
        </w:rPr>
        <w:t>开标流程</w:t>
      </w:r>
      <w:bookmarkEnd w:id="515"/>
    </w:p>
    <w:p>
      <w:pPr>
        <w:pStyle w:val="4"/>
        <w:bidi w:val="0"/>
        <w:outlineLvl w:val="1"/>
        <w:rPr>
          <w:rFonts w:hint="eastAsia" w:ascii="仿宋" w:hAnsi="仿宋" w:eastAsia="仿宋" w:cs="仿宋"/>
          <w:lang w:val="en-US" w:eastAsia="zh-CN"/>
        </w:rPr>
      </w:pPr>
      <w:bookmarkStart w:id="516" w:name="_Toc15553"/>
      <w:r>
        <w:rPr>
          <w:rFonts w:hint="eastAsia" w:ascii="仿宋" w:hAnsi="仿宋" w:eastAsia="仿宋" w:cs="仿宋"/>
          <w:lang w:val="en-US" w:eastAsia="zh-CN"/>
        </w:rPr>
        <w:t>1、选择参加的开标项目</w:t>
      </w:r>
      <w:bookmarkEnd w:id="516"/>
    </w:p>
    <w:p>
      <w:pPr>
        <w:numPr>
          <w:ilvl w:val="0"/>
          <w:numId w:val="0"/>
        </w:numPr>
        <w:ind w:leftChars="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在我的项目里面找到等待开标的项目，点击进入不见面开标会议室。</w:t>
      </w:r>
    </w:p>
    <w:p>
      <w:pPr>
        <w:numPr>
          <w:ilvl w:val="0"/>
          <w:numId w:val="0"/>
        </w:numPr>
        <w:ind w:leftChars="0"/>
        <w:jc w:val="left"/>
        <w:rPr>
          <w:rFonts w:hint="eastAsia" w:ascii="仿宋" w:hAnsi="仿宋" w:eastAsia="仿宋" w:cs="仿宋"/>
        </w:rPr>
      </w:pPr>
      <w:r>
        <w:rPr>
          <w:rFonts w:hint="eastAsia" w:ascii="仿宋" w:hAnsi="仿宋" w:eastAsia="仿宋" w:cs="仿宋"/>
        </w:rPr>
        <w:drawing>
          <wp:inline distT="0" distB="0" distL="114300" distR="114300">
            <wp:extent cx="5269230" cy="2353945"/>
            <wp:effectExtent l="0" t="0" r="7620" b="8255"/>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28"/>
                    <a:stretch>
                      <a:fillRect/>
                    </a:stretch>
                  </pic:blipFill>
                  <pic:spPr>
                    <a:xfrm>
                      <a:off x="0" y="0"/>
                      <a:ext cx="5269230" cy="2353945"/>
                    </a:xfrm>
                    <a:prstGeom prst="rect">
                      <a:avLst/>
                    </a:prstGeom>
                    <a:noFill/>
                    <a:ln>
                      <a:noFill/>
                    </a:ln>
                  </pic:spPr>
                </pic:pic>
              </a:graphicData>
            </a:graphic>
          </wp:inline>
        </w:drawing>
      </w:r>
    </w:p>
    <w:p>
      <w:pPr>
        <w:pStyle w:val="4"/>
        <w:bidi w:val="0"/>
        <w:outlineLvl w:val="1"/>
        <w:rPr>
          <w:rFonts w:hint="eastAsia" w:ascii="仿宋" w:hAnsi="仿宋" w:eastAsia="仿宋" w:cs="仿宋"/>
          <w:lang w:val="en-US" w:eastAsia="zh-CN"/>
        </w:rPr>
      </w:pPr>
      <w:bookmarkStart w:id="517" w:name="_Toc31446"/>
      <w:r>
        <w:rPr>
          <w:rFonts w:hint="eastAsia" w:ascii="仿宋" w:hAnsi="仿宋" w:eastAsia="仿宋" w:cs="仿宋"/>
          <w:lang w:val="en-US" w:eastAsia="zh-CN"/>
        </w:rPr>
        <w:t>2、阅读开标流程</w:t>
      </w:r>
      <w:bookmarkEnd w:id="517"/>
    </w:p>
    <w:p>
      <w:pPr>
        <w:numPr>
          <w:ilvl w:val="0"/>
          <w:numId w:val="0"/>
        </w:numPr>
        <w:ind w:leftChars="0"/>
        <w:jc w:val="left"/>
        <w:rPr>
          <w:rFonts w:hint="eastAsia" w:ascii="仿宋" w:hAnsi="仿宋" w:eastAsia="仿宋" w:cs="仿宋"/>
          <w:lang w:val="en-US" w:eastAsia="zh-CN"/>
        </w:rPr>
      </w:pPr>
      <w:r>
        <w:rPr>
          <w:rFonts w:hint="eastAsia" w:ascii="仿宋" w:hAnsi="仿宋" w:eastAsia="仿宋" w:cs="仿宋"/>
          <w:lang w:val="en-US" w:eastAsia="zh-CN"/>
        </w:rPr>
        <w:t>供应商阅读开标流程。</w:t>
      </w:r>
    </w:p>
    <w:p>
      <w:pPr>
        <w:numPr>
          <w:ilvl w:val="0"/>
          <w:numId w:val="0"/>
        </w:numPr>
        <w:ind w:leftChars="0"/>
        <w:jc w:val="left"/>
        <w:rPr>
          <w:rFonts w:hint="eastAsia" w:ascii="仿宋" w:hAnsi="仿宋" w:eastAsia="仿宋" w:cs="仿宋"/>
        </w:rPr>
      </w:pPr>
      <w:r>
        <w:rPr>
          <w:rFonts w:hint="eastAsia" w:ascii="仿宋" w:hAnsi="仿宋" w:eastAsia="仿宋" w:cs="仿宋"/>
        </w:rPr>
        <w:drawing>
          <wp:inline distT="0" distB="0" distL="114300" distR="114300">
            <wp:extent cx="5266690" cy="2481580"/>
            <wp:effectExtent l="0" t="0" r="10160" b="1397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9"/>
                    <a:stretch>
                      <a:fillRect/>
                    </a:stretch>
                  </pic:blipFill>
                  <pic:spPr>
                    <a:xfrm>
                      <a:off x="0" y="0"/>
                      <a:ext cx="5266690" cy="2481580"/>
                    </a:xfrm>
                    <a:prstGeom prst="rect">
                      <a:avLst/>
                    </a:prstGeom>
                    <a:noFill/>
                    <a:ln>
                      <a:noFill/>
                    </a:ln>
                  </pic:spPr>
                </pic:pic>
              </a:graphicData>
            </a:graphic>
          </wp:inline>
        </w:drawing>
      </w:r>
    </w:p>
    <w:p>
      <w:pPr>
        <w:numPr>
          <w:ilvl w:val="0"/>
          <w:numId w:val="0"/>
        </w:numPr>
        <w:ind w:leftChars="0"/>
        <w:jc w:val="left"/>
        <w:rPr>
          <w:rFonts w:hint="eastAsia" w:ascii="仿宋" w:hAnsi="仿宋" w:eastAsia="仿宋" w:cs="仿宋"/>
          <w:lang w:val="en-US" w:eastAsia="zh-CN"/>
        </w:rPr>
      </w:pPr>
    </w:p>
    <w:p>
      <w:pPr>
        <w:numPr>
          <w:ilvl w:val="0"/>
          <w:numId w:val="0"/>
        </w:numPr>
        <w:ind w:leftChars="0"/>
        <w:jc w:val="left"/>
        <w:rPr>
          <w:rFonts w:hint="eastAsia" w:ascii="仿宋" w:hAnsi="仿宋" w:eastAsia="仿宋" w:cs="仿宋"/>
          <w:lang w:val="en-US" w:eastAsia="zh-CN"/>
        </w:rPr>
      </w:pPr>
    </w:p>
    <w:p>
      <w:pPr>
        <w:pStyle w:val="4"/>
        <w:bidi w:val="0"/>
        <w:outlineLvl w:val="1"/>
        <w:rPr>
          <w:rFonts w:hint="eastAsia" w:ascii="仿宋" w:hAnsi="仿宋" w:eastAsia="仿宋" w:cs="仿宋"/>
          <w:lang w:val="en-US" w:eastAsia="zh-CN"/>
        </w:rPr>
      </w:pPr>
      <w:bookmarkStart w:id="518" w:name="_Toc4728"/>
      <w:r>
        <w:rPr>
          <w:rFonts w:hint="eastAsia" w:ascii="仿宋" w:hAnsi="仿宋" w:eastAsia="仿宋" w:cs="仿宋"/>
          <w:lang w:val="en-US" w:eastAsia="zh-CN"/>
        </w:rPr>
        <w:t>3、查看</w:t>
      </w:r>
      <w:bookmarkEnd w:id="518"/>
      <w:r>
        <w:rPr>
          <w:rFonts w:hint="eastAsia" w:ascii="仿宋" w:hAnsi="仿宋" w:eastAsia="仿宋" w:cs="仿宋"/>
          <w:lang w:val="en-US" w:eastAsia="zh-CN"/>
        </w:rPr>
        <w:t>供应商</w:t>
      </w:r>
    </w:p>
    <w:p>
      <w:pPr>
        <w:numPr>
          <w:ilvl w:val="0"/>
          <w:numId w:val="0"/>
        </w:numPr>
        <w:ind w:leftChars="0"/>
        <w:jc w:val="left"/>
        <w:rPr>
          <w:rFonts w:hint="eastAsia" w:ascii="仿宋" w:hAnsi="仿宋" w:eastAsia="仿宋" w:cs="仿宋"/>
          <w:lang w:val="en-US" w:eastAsia="zh-CN"/>
        </w:rPr>
      </w:pPr>
      <w:r>
        <w:rPr>
          <w:rFonts w:hint="eastAsia" w:ascii="仿宋" w:hAnsi="仿宋" w:eastAsia="仿宋" w:cs="仿宋"/>
          <w:lang w:val="en-US" w:eastAsia="zh-CN"/>
        </w:rPr>
        <w:t>开标时间到了后，系统会在右侧公告栏给出提醒，等待公布供应商</w:t>
      </w:r>
    </w:p>
    <w:p>
      <w:pPr>
        <w:numPr>
          <w:ilvl w:val="0"/>
          <w:numId w:val="0"/>
        </w:numPr>
        <w:ind w:leftChars="0"/>
        <w:jc w:val="left"/>
        <w:rPr>
          <w:rFonts w:hint="eastAsia" w:ascii="仿宋" w:hAnsi="仿宋" w:eastAsia="仿宋" w:cs="仿宋"/>
          <w:lang w:val="en-US" w:eastAsia="zh-CN"/>
        </w:rPr>
      </w:pPr>
      <w:r>
        <w:rPr>
          <w:rFonts w:hint="eastAsia" w:ascii="仿宋" w:hAnsi="仿宋" w:eastAsia="仿宋" w:cs="仿宋"/>
        </w:rPr>
        <w:drawing>
          <wp:inline distT="0" distB="0" distL="114300" distR="114300">
            <wp:extent cx="5269865" cy="2355215"/>
            <wp:effectExtent l="0" t="0" r="6985" b="698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30"/>
                    <a:stretch>
                      <a:fillRect/>
                    </a:stretch>
                  </pic:blipFill>
                  <pic:spPr>
                    <a:xfrm>
                      <a:off x="0" y="0"/>
                      <a:ext cx="5269865" cy="2355215"/>
                    </a:xfrm>
                    <a:prstGeom prst="rect">
                      <a:avLst/>
                    </a:prstGeom>
                    <a:noFill/>
                    <a:ln>
                      <a:noFill/>
                    </a:ln>
                  </pic:spPr>
                </pic:pic>
              </a:graphicData>
            </a:graphic>
          </wp:inline>
        </w:drawing>
      </w:r>
    </w:p>
    <w:p>
      <w:pPr>
        <w:numPr>
          <w:ilvl w:val="0"/>
          <w:numId w:val="0"/>
        </w:numPr>
        <w:ind w:leftChars="0"/>
        <w:jc w:val="left"/>
        <w:rPr>
          <w:rFonts w:hint="eastAsia" w:ascii="仿宋" w:hAnsi="仿宋" w:eastAsia="仿宋" w:cs="仿宋"/>
          <w:lang w:val="en-US" w:eastAsia="zh-CN"/>
        </w:rPr>
      </w:pPr>
      <w:r>
        <w:rPr>
          <w:rFonts w:hint="eastAsia" w:ascii="仿宋" w:hAnsi="仿宋" w:eastAsia="仿宋" w:cs="仿宋"/>
          <w:lang w:val="en-US" w:eastAsia="zh-CN"/>
        </w:rPr>
        <w:t>供应商公布完成后，供应商名单有图标展示模式和列表展示模式，可根据自己意愿进行切换。</w:t>
      </w:r>
    </w:p>
    <w:p>
      <w:pPr>
        <w:numPr>
          <w:ilvl w:val="0"/>
          <w:numId w:val="0"/>
        </w:numPr>
        <w:ind w:leftChars="0"/>
        <w:jc w:val="left"/>
        <w:rPr>
          <w:rFonts w:hint="eastAsia" w:ascii="仿宋" w:hAnsi="仿宋" w:eastAsia="仿宋" w:cs="仿宋"/>
        </w:rPr>
      </w:pPr>
      <w:r>
        <w:rPr>
          <w:rFonts w:hint="eastAsia" w:ascii="仿宋" w:hAnsi="仿宋" w:eastAsia="仿宋" w:cs="仿宋"/>
        </w:rPr>
        <w:drawing>
          <wp:inline distT="0" distB="0" distL="114300" distR="114300">
            <wp:extent cx="5274310" cy="2157095"/>
            <wp:effectExtent l="0" t="0" r="2540" b="1460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31"/>
                    <a:stretch>
                      <a:fillRect/>
                    </a:stretch>
                  </pic:blipFill>
                  <pic:spPr>
                    <a:xfrm>
                      <a:off x="0" y="0"/>
                      <a:ext cx="5274310" cy="2157095"/>
                    </a:xfrm>
                    <a:prstGeom prst="rect">
                      <a:avLst/>
                    </a:prstGeom>
                    <a:noFill/>
                    <a:ln>
                      <a:noFill/>
                    </a:ln>
                  </pic:spPr>
                </pic:pic>
              </a:graphicData>
            </a:graphic>
          </wp:inline>
        </w:drawing>
      </w:r>
    </w:p>
    <w:p>
      <w:pPr>
        <w:numPr>
          <w:ilvl w:val="0"/>
          <w:numId w:val="0"/>
        </w:numPr>
        <w:ind w:leftChars="0"/>
        <w:jc w:val="left"/>
        <w:rPr>
          <w:rFonts w:hint="eastAsia" w:ascii="仿宋" w:hAnsi="仿宋" w:eastAsia="仿宋" w:cs="仿宋"/>
        </w:rPr>
      </w:pPr>
      <w:r>
        <w:rPr>
          <w:rFonts w:hint="eastAsia" w:ascii="仿宋" w:hAnsi="仿宋" w:eastAsia="仿宋" w:cs="仿宋"/>
        </w:rPr>
        <w:drawing>
          <wp:inline distT="0" distB="0" distL="114300" distR="114300">
            <wp:extent cx="5266055" cy="2812415"/>
            <wp:effectExtent l="0" t="0" r="10795" b="698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32"/>
                    <a:stretch>
                      <a:fillRect/>
                    </a:stretch>
                  </pic:blipFill>
                  <pic:spPr>
                    <a:xfrm>
                      <a:off x="0" y="0"/>
                      <a:ext cx="5266055" cy="2812415"/>
                    </a:xfrm>
                    <a:prstGeom prst="rect">
                      <a:avLst/>
                    </a:prstGeom>
                    <a:noFill/>
                    <a:ln>
                      <a:noFill/>
                    </a:ln>
                  </pic:spPr>
                </pic:pic>
              </a:graphicData>
            </a:graphic>
          </wp:inline>
        </w:drawing>
      </w:r>
    </w:p>
    <w:p>
      <w:pPr>
        <w:numPr>
          <w:ilvl w:val="0"/>
          <w:numId w:val="0"/>
        </w:numPr>
        <w:ind w:leftChars="0"/>
        <w:jc w:val="left"/>
        <w:rPr>
          <w:rFonts w:hint="eastAsia" w:ascii="仿宋" w:hAnsi="仿宋" w:eastAsia="仿宋" w:cs="仿宋"/>
        </w:rPr>
      </w:pPr>
    </w:p>
    <w:p>
      <w:pPr>
        <w:pStyle w:val="4"/>
        <w:bidi w:val="0"/>
        <w:outlineLvl w:val="1"/>
        <w:rPr>
          <w:rFonts w:hint="eastAsia" w:ascii="仿宋" w:hAnsi="仿宋" w:eastAsia="仿宋" w:cs="仿宋"/>
          <w:lang w:val="en-US" w:eastAsia="zh-CN"/>
        </w:rPr>
      </w:pPr>
      <w:bookmarkStart w:id="519" w:name="_Toc25373"/>
      <w:r>
        <w:rPr>
          <w:rFonts w:hint="eastAsia" w:ascii="仿宋" w:hAnsi="仿宋" w:eastAsia="仿宋" w:cs="仿宋"/>
          <w:lang w:val="en-US" w:eastAsia="zh-CN"/>
        </w:rPr>
        <w:t>4、供应商远程解密</w:t>
      </w:r>
      <w:bookmarkEnd w:id="519"/>
    </w:p>
    <w:p>
      <w:pPr>
        <w:numPr>
          <w:ilvl w:val="0"/>
          <w:numId w:val="0"/>
        </w:numPr>
        <w:ind w:leftChars="0"/>
        <w:jc w:val="left"/>
        <w:rPr>
          <w:rFonts w:hint="eastAsia" w:ascii="仿宋" w:hAnsi="仿宋" w:eastAsia="仿宋" w:cs="仿宋"/>
          <w:lang w:val="en-US" w:eastAsia="zh-CN"/>
        </w:rPr>
      </w:pPr>
      <w:r>
        <w:rPr>
          <w:rFonts w:hint="eastAsia" w:ascii="仿宋" w:hAnsi="仿宋" w:eastAsia="仿宋" w:cs="仿宋"/>
          <w:lang w:val="en-US" w:eastAsia="zh-CN"/>
        </w:rPr>
        <w:t>采购代理机构主持人宣布进入解密阶段后，供应商需在规定时间内进行远程解密操作。系统会自动弹出以下界面。</w:t>
      </w:r>
    </w:p>
    <w:p>
      <w:pPr>
        <w:numPr>
          <w:ilvl w:val="0"/>
          <w:numId w:val="0"/>
        </w:numPr>
        <w:ind w:leftChars="0"/>
        <w:jc w:val="left"/>
        <w:rPr>
          <w:rFonts w:hint="eastAsia" w:ascii="仿宋" w:hAnsi="仿宋" w:eastAsia="仿宋" w:cs="仿宋"/>
        </w:rPr>
      </w:pPr>
      <w:r>
        <w:rPr>
          <w:rFonts w:hint="eastAsia" w:ascii="仿宋" w:hAnsi="仿宋" w:eastAsia="仿宋" w:cs="仿宋"/>
        </w:rPr>
        <w:drawing>
          <wp:inline distT="0" distB="0" distL="114300" distR="114300">
            <wp:extent cx="5270500" cy="3319780"/>
            <wp:effectExtent l="0" t="0" r="6350" b="1397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33"/>
                    <a:stretch>
                      <a:fillRect/>
                    </a:stretch>
                  </pic:blipFill>
                  <pic:spPr>
                    <a:xfrm>
                      <a:off x="0" y="0"/>
                      <a:ext cx="5270500" cy="3319780"/>
                    </a:xfrm>
                    <a:prstGeom prst="rect">
                      <a:avLst/>
                    </a:prstGeom>
                    <a:noFill/>
                    <a:ln>
                      <a:noFill/>
                    </a:ln>
                  </pic:spPr>
                </pic:pic>
              </a:graphicData>
            </a:graphic>
          </wp:inline>
        </w:drawing>
      </w:r>
    </w:p>
    <w:p>
      <w:pPr>
        <w:numPr>
          <w:ilvl w:val="0"/>
          <w:numId w:val="0"/>
        </w:numPr>
        <w:ind w:leftChars="0"/>
        <w:jc w:val="left"/>
        <w:rPr>
          <w:rFonts w:hint="eastAsia" w:ascii="仿宋" w:hAnsi="仿宋" w:eastAsia="仿宋" w:cs="仿宋"/>
          <w:lang w:val="en-US" w:eastAsia="zh-CN"/>
        </w:rPr>
      </w:pPr>
      <w:r>
        <w:rPr>
          <w:rFonts w:hint="eastAsia" w:ascii="仿宋" w:hAnsi="仿宋" w:eastAsia="仿宋" w:cs="仿宋"/>
          <w:lang w:val="en-US" w:eastAsia="zh-CN"/>
        </w:rPr>
        <w:t>解密成功后图标展示页面会显示一个绿色的解锁图标，列表页面会直接显示蓝色的解密成功。</w:t>
      </w:r>
    </w:p>
    <w:p>
      <w:pPr>
        <w:numPr>
          <w:ilvl w:val="0"/>
          <w:numId w:val="0"/>
        </w:numPr>
        <w:ind w:leftChars="0"/>
        <w:jc w:val="left"/>
        <w:rPr>
          <w:rFonts w:hint="eastAsia" w:ascii="仿宋" w:hAnsi="仿宋" w:eastAsia="仿宋" w:cs="仿宋"/>
          <w:color w:val="FF0000"/>
          <w:lang w:val="en-US" w:eastAsia="zh-CN"/>
        </w:rPr>
      </w:pPr>
      <w:r>
        <w:rPr>
          <w:rFonts w:hint="eastAsia" w:ascii="仿宋" w:hAnsi="仿宋" w:eastAsia="仿宋" w:cs="仿宋"/>
          <w:color w:val="FF0000"/>
          <w:lang w:val="en-US" w:eastAsia="zh-CN"/>
        </w:rPr>
        <w:t>注意：解密时间已到不可解密；如果在解密时间内解密失败，可再次解密。</w:t>
      </w:r>
    </w:p>
    <w:p>
      <w:pPr>
        <w:numPr>
          <w:ilvl w:val="0"/>
          <w:numId w:val="0"/>
        </w:numPr>
        <w:ind w:leftChars="0"/>
        <w:jc w:val="left"/>
        <w:rPr>
          <w:rFonts w:hint="eastAsia" w:ascii="仿宋" w:hAnsi="仿宋" w:eastAsia="仿宋" w:cs="仿宋"/>
        </w:rPr>
      </w:pPr>
      <w:r>
        <w:rPr>
          <w:rFonts w:hint="eastAsia" w:ascii="仿宋" w:hAnsi="仿宋" w:eastAsia="仿宋" w:cs="仿宋"/>
        </w:rPr>
        <w:drawing>
          <wp:inline distT="0" distB="0" distL="114300" distR="114300">
            <wp:extent cx="5273675" cy="3026410"/>
            <wp:effectExtent l="0" t="0" r="3175" b="254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34"/>
                    <a:stretch>
                      <a:fillRect/>
                    </a:stretch>
                  </pic:blipFill>
                  <pic:spPr>
                    <a:xfrm>
                      <a:off x="0" y="0"/>
                      <a:ext cx="5273675" cy="3026410"/>
                    </a:xfrm>
                    <a:prstGeom prst="rect">
                      <a:avLst/>
                    </a:prstGeom>
                    <a:noFill/>
                    <a:ln>
                      <a:noFill/>
                    </a:ln>
                  </pic:spPr>
                </pic:pic>
              </a:graphicData>
            </a:graphic>
          </wp:inline>
        </w:drawing>
      </w:r>
    </w:p>
    <w:p>
      <w:pPr>
        <w:numPr>
          <w:ilvl w:val="0"/>
          <w:numId w:val="0"/>
        </w:numPr>
        <w:ind w:leftChars="0"/>
        <w:jc w:val="left"/>
        <w:outlineLvl w:val="9"/>
        <w:rPr>
          <w:rStyle w:val="102"/>
          <w:rFonts w:hint="eastAsia" w:ascii="仿宋" w:hAnsi="仿宋" w:eastAsia="仿宋" w:cs="仿宋"/>
          <w:lang w:val="en-US" w:eastAsia="zh-CN"/>
        </w:rPr>
      </w:pPr>
      <w:r>
        <w:rPr>
          <w:rFonts w:hint="eastAsia" w:ascii="仿宋" w:hAnsi="仿宋" w:eastAsia="仿宋" w:cs="仿宋"/>
        </w:rPr>
        <w:drawing>
          <wp:inline distT="0" distB="0" distL="114300" distR="114300">
            <wp:extent cx="5273040" cy="3670935"/>
            <wp:effectExtent l="0" t="0" r="3810" b="571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35"/>
                    <a:stretch>
                      <a:fillRect/>
                    </a:stretch>
                  </pic:blipFill>
                  <pic:spPr>
                    <a:xfrm>
                      <a:off x="0" y="0"/>
                      <a:ext cx="5273040" cy="3670935"/>
                    </a:xfrm>
                    <a:prstGeom prst="rect">
                      <a:avLst/>
                    </a:prstGeom>
                    <a:noFill/>
                    <a:ln>
                      <a:noFill/>
                    </a:ln>
                  </pic:spPr>
                </pic:pic>
              </a:graphicData>
            </a:graphic>
          </wp:inline>
        </w:drawing>
      </w:r>
      <w:r>
        <w:rPr>
          <w:rStyle w:val="102"/>
          <w:rFonts w:hint="eastAsia" w:ascii="仿宋" w:hAnsi="仿宋" w:eastAsia="仿宋" w:cs="仿宋"/>
          <w:lang w:val="en-US" w:eastAsia="zh-CN"/>
        </w:rPr>
        <w:t>5、磋商响应文件批量导入</w:t>
      </w:r>
    </w:p>
    <w:p>
      <w:pPr>
        <w:numPr>
          <w:ilvl w:val="0"/>
          <w:numId w:val="0"/>
        </w:numPr>
        <w:jc w:val="left"/>
        <w:rPr>
          <w:rFonts w:hint="eastAsia" w:ascii="仿宋" w:hAnsi="仿宋" w:eastAsia="仿宋" w:cs="仿宋"/>
          <w:lang w:val="en-US" w:eastAsia="zh-CN"/>
        </w:rPr>
      </w:pPr>
      <w:r>
        <w:rPr>
          <w:rFonts w:hint="eastAsia" w:ascii="仿宋" w:hAnsi="仿宋" w:eastAsia="仿宋" w:cs="仿宋"/>
          <w:lang w:val="en-US" w:eastAsia="zh-CN"/>
        </w:rPr>
        <w:t>由采购代理机构将解密成功的磋商响应文件进行批量导入。导入前任何人无法打开已解密的磋商响应文件。</w:t>
      </w:r>
    </w:p>
    <w:p>
      <w:pPr>
        <w:numPr>
          <w:ilvl w:val="0"/>
          <w:numId w:val="0"/>
        </w:numPr>
        <w:jc w:val="left"/>
        <w:rPr>
          <w:rFonts w:hint="eastAsia" w:ascii="仿宋" w:hAnsi="仿宋" w:eastAsia="仿宋" w:cs="仿宋"/>
          <w:lang w:val="en-US" w:eastAsia="zh-CN"/>
        </w:rPr>
      </w:pPr>
    </w:p>
    <w:p>
      <w:pPr>
        <w:numPr>
          <w:ilvl w:val="0"/>
          <w:numId w:val="0"/>
        </w:numPr>
        <w:ind w:leftChars="0"/>
        <w:jc w:val="left"/>
        <w:outlineLvl w:val="1"/>
        <w:rPr>
          <w:rFonts w:hint="eastAsia" w:ascii="仿宋" w:hAnsi="仿宋" w:eastAsia="仿宋" w:cs="仿宋"/>
          <w:lang w:val="en-US" w:eastAsia="zh-CN"/>
        </w:rPr>
      </w:pPr>
      <w:r>
        <w:rPr>
          <w:rStyle w:val="102"/>
          <w:rFonts w:hint="eastAsia" w:ascii="仿宋" w:hAnsi="仿宋" w:eastAsia="仿宋" w:cs="仿宋"/>
          <w:lang w:val="en-US" w:eastAsia="zh-CN"/>
        </w:rPr>
        <w:t>6、唱标及公布开标结果</w:t>
      </w:r>
    </w:p>
    <w:p>
      <w:pPr>
        <w:numPr>
          <w:ilvl w:val="0"/>
          <w:numId w:val="0"/>
        </w:numPr>
        <w:jc w:val="left"/>
        <w:rPr>
          <w:rFonts w:hint="eastAsia" w:ascii="仿宋" w:hAnsi="仿宋" w:eastAsia="仿宋" w:cs="仿宋"/>
          <w:lang w:val="en-US" w:eastAsia="zh-CN"/>
        </w:rPr>
      </w:pPr>
      <w:r>
        <w:rPr>
          <w:rFonts w:hint="eastAsia" w:ascii="仿宋" w:hAnsi="仿宋" w:eastAsia="仿宋" w:cs="仿宋"/>
          <w:lang w:val="en-US" w:eastAsia="zh-CN"/>
        </w:rPr>
        <w:t>解密成功后供应商可在线等待唱标，等待公布开标结果。</w:t>
      </w:r>
    </w:p>
    <w:p>
      <w:pPr>
        <w:numPr>
          <w:ilvl w:val="0"/>
          <w:numId w:val="0"/>
        </w:numPr>
        <w:jc w:val="left"/>
        <w:rPr>
          <w:rFonts w:hint="eastAsia" w:ascii="仿宋" w:hAnsi="仿宋" w:eastAsia="仿宋" w:cs="仿宋"/>
        </w:rPr>
      </w:pPr>
      <w:r>
        <w:rPr>
          <w:rFonts w:hint="eastAsia" w:ascii="仿宋" w:hAnsi="仿宋" w:eastAsia="仿宋" w:cs="仿宋"/>
        </w:rPr>
        <w:drawing>
          <wp:inline distT="0" distB="0" distL="114300" distR="114300">
            <wp:extent cx="5271135" cy="3768090"/>
            <wp:effectExtent l="0" t="0" r="5715" b="3810"/>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36"/>
                    <a:stretch>
                      <a:fillRect/>
                    </a:stretch>
                  </pic:blipFill>
                  <pic:spPr>
                    <a:xfrm>
                      <a:off x="0" y="0"/>
                      <a:ext cx="5271135" cy="3768090"/>
                    </a:xfrm>
                    <a:prstGeom prst="rect">
                      <a:avLst/>
                    </a:prstGeom>
                    <a:noFill/>
                    <a:ln>
                      <a:noFill/>
                    </a:ln>
                  </pic:spPr>
                </pic:pic>
              </a:graphicData>
            </a:graphic>
          </wp:inline>
        </w:drawing>
      </w:r>
    </w:p>
    <w:p>
      <w:pPr>
        <w:pStyle w:val="4"/>
        <w:bidi w:val="0"/>
        <w:outlineLvl w:val="1"/>
        <w:rPr>
          <w:rFonts w:hint="eastAsia" w:ascii="仿宋" w:hAnsi="仿宋" w:eastAsia="仿宋" w:cs="仿宋"/>
          <w:lang w:val="en-US" w:eastAsia="zh-CN"/>
        </w:rPr>
      </w:pPr>
      <w:bookmarkStart w:id="520" w:name="_Toc17150"/>
      <w:r>
        <w:rPr>
          <w:rFonts w:hint="eastAsia" w:ascii="仿宋" w:hAnsi="仿宋" w:eastAsia="仿宋" w:cs="仿宋"/>
          <w:lang w:val="en-US" w:eastAsia="zh-CN"/>
        </w:rPr>
        <w:t>7、开标结束</w:t>
      </w:r>
      <w:bookmarkEnd w:id="520"/>
    </w:p>
    <w:p>
      <w:pPr>
        <w:rPr>
          <w:rFonts w:hint="eastAsia" w:ascii="仿宋" w:hAnsi="仿宋" w:eastAsia="仿宋" w:cs="仿宋"/>
          <w:lang w:val="en-US" w:eastAsia="zh-CN"/>
        </w:rPr>
      </w:pPr>
      <w:r>
        <w:rPr>
          <w:rFonts w:hint="eastAsia" w:ascii="仿宋" w:hAnsi="仿宋" w:eastAsia="仿宋" w:cs="仿宋"/>
          <w:lang w:val="en-US" w:eastAsia="zh-CN"/>
        </w:rPr>
        <w:t>开标结束后供应商可对开标过程进行评价。</w:t>
      </w:r>
    </w:p>
    <w:p>
      <w:pPr>
        <w:rPr>
          <w:rFonts w:hint="eastAsia" w:ascii="仿宋" w:hAnsi="仿宋" w:eastAsia="仿宋" w:cs="仿宋"/>
          <w:lang w:val="en-US" w:eastAsia="zh-CN"/>
        </w:rPr>
      </w:pPr>
      <w:r>
        <w:rPr>
          <w:rFonts w:hint="eastAsia" w:ascii="仿宋" w:hAnsi="仿宋" w:eastAsia="仿宋" w:cs="仿宋"/>
        </w:rPr>
        <w:drawing>
          <wp:inline distT="0" distB="0" distL="114300" distR="114300">
            <wp:extent cx="5271135" cy="3037205"/>
            <wp:effectExtent l="0" t="0" r="5715" b="10795"/>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37"/>
                    <a:stretch>
                      <a:fillRect/>
                    </a:stretch>
                  </pic:blipFill>
                  <pic:spPr>
                    <a:xfrm>
                      <a:off x="0" y="0"/>
                      <a:ext cx="5271135" cy="3037205"/>
                    </a:xfrm>
                    <a:prstGeom prst="rect">
                      <a:avLst/>
                    </a:prstGeom>
                    <a:noFill/>
                    <a:ln>
                      <a:noFill/>
                    </a:ln>
                  </pic:spPr>
                </pic:pic>
              </a:graphicData>
            </a:graphic>
          </wp:inline>
        </w:drawing>
      </w:r>
    </w:p>
    <w:p>
      <w:pPr>
        <w:numPr>
          <w:ilvl w:val="0"/>
          <w:numId w:val="0"/>
        </w:numPr>
        <w:ind w:leftChars="0"/>
        <w:jc w:val="left"/>
        <w:rPr>
          <w:rFonts w:hint="eastAsia" w:ascii="仿宋" w:hAnsi="仿宋" w:eastAsia="仿宋" w:cs="仿宋"/>
          <w:lang w:val="en-US" w:eastAsia="zh-CN"/>
        </w:rPr>
      </w:pPr>
    </w:p>
    <w:p>
      <w:pPr>
        <w:pStyle w:val="3"/>
        <w:numPr>
          <w:ilvl w:val="0"/>
          <w:numId w:val="22"/>
        </w:numPr>
        <w:bidi w:val="0"/>
        <w:outlineLvl w:val="0"/>
        <w:rPr>
          <w:rFonts w:hint="eastAsia" w:ascii="仿宋" w:hAnsi="仿宋" w:eastAsia="仿宋" w:cs="仿宋"/>
          <w:lang w:val="en-US" w:eastAsia="zh-CN"/>
        </w:rPr>
      </w:pPr>
      <w:r>
        <w:rPr>
          <w:rFonts w:hint="eastAsia" w:ascii="仿宋" w:hAnsi="仿宋" w:eastAsia="仿宋" w:cs="仿宋"/>
          <w:lang w:val="en-US" w:eastAsia="zh-CN"/>
        </w:rPr>
        <w:t>其他功能介绍</w:t>
      </w:r>
    </w:p>
    <w:p>
      <w:pPr>
        <w:pStyle w:val="4"/>
        <w:outlineLvl w:val="1"/>
        <w:rPr>
          <w:rFonts w:hint="eastAsia" w:ascii="仿宋" w:hAnsi="仿宋" w:eastAsia="仿宋" w:cs="仿宋"/>
          <w:lang w:val="en-US" w:eastAsia="zh-CN"/>
        </w:rPr>
      </w:pPr>
      <w:r>
        <w:rPr>
          <w:rFonts w:hint="eastAsia" w:ascii="仿宋" w:hAnsi="仿宋" w:eastAsia="仿宋" w:cs="仿宋"/>
          <w:lang w:val="en-US" w:eastAsia="zh-CN"/>
        </w:rPr>
        <w:t>1、主持人桌面分享以及开标环境查看</w:t>
      </w:r>
    </w:p>
    <w:p>
      <w:pPr>
        <w:numPr>
          <w:ilvl w:val="0"/>
          <w:numId w:val="0"/>
        </w:numPr>
        <w:rPr>
          <w:rFonts w:hint="eastAsia" w:ascii="仿宋" w:hAnsi="仿宋" w:eastAsia="仿宋" w:cs="仿宋"/>
          <w:lang w:val="en-US" w:eastAsia="zh-CN"/>
        </w:rPr>
      </w:pPr>
      <w:r>
        <w:rPr>
          <w:rFonts w:hint="eastAsia" w:ascii="仿宋" w:hAnsi="仿宋" w:eastAsia="仿宋" w:cs="仿宋"/>
          <w:lang w:val="en-US" w:eastAsia="zh-CN"/>
        </w:rPr>
        <w:t>供应商在采购代理机构主持人开启直播间后，可以通过控制下图查看按钮，进行“主持人桌面分享查看”以及“开标环境查看”操作。</w:t>
      </w:r>
    </w:p>
    <w:p>
      <w:pPr>
        <w:numPr>
          <w:ilvl w:val="0"/>
          <w:numId w:val="0"/>
        </w:numPr>
        <w:rPr>
          <w:rFonts w:hint="eastAsia" w:ascii="仿宋" w:hAnsi="仿宋" w:eastAsia="仿宋" w:cs="仿宋"/>
        </w:rPr>
      </w:pPr>
      <w:r>
        <w:rPr>
          <w:rFonts w:hint="eastAsia" w:ascii="仿宋" w:hAnsi="仿宋" w:eastAsia="仿宋" w:cs="仿宋"/>
        </w:rPr>
        <w:drawing>
          <wp:inline distT="0" distB="0" distL="114300" distR="114300">
            <wp:extent cx="5271135" cy="2313305"/>
            <wp:effectExtent l="0" t="0" r="5715" b="1079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38"/>
                    <a:stretch>
                      <a:fillRect/>
                    </a:stretch>
                  </pic:blipFill>
                  <pic:spPr>
                    <a:xfrm>
                      <a:off x="0" y="0"/>
                      <a:ext cx="5271135" cy="2313305"/>
                    </a:xfrm>
                    <a:prstGeom prst="rect">
                      <a:avLst/>
                    </a:prstGeom>
                    <a:noFill/>
                    <a:ln>
                      <a:noFill/>
                    </a:ln>
                  </pic:spPr>
                </pic:pic>
              </a:graphicData>
            </a:graphic>
          </wp:inline>
        </w:drawing>
      </w:r>
    </w:p>
    <w:p>
      <w:pPr>
        <w:numPr>
          <w:ilvl w:val="0"/>
          <w:numId w:val="0"/>
        </w:numPr>
        <w:rPr>
          <w:rFonts w:hint="eastAsia" w:ascii="仿宋" w:hAnsi="仿宋" w:eastAsia="仿宋" w:cs="仿宋"/>
          <w:lang w:val="en-US" w:eastAsia="zh-CN"/>
        </w:rPr>
      </w:pPr>
      <w:r>
        <w:rPr>
          <w:rFonts w:hint="eastAsia" w:ascii="仿宋" w:hAnsi="仿宋" w:eastAsia="仿宋" w:cs="仿宋"/>
        </w:rPr>
        <w:drawing>
          <wp:inline distT="0" distB="0" distL="114300" distR="114300">
            <wp:extent cx="5269230" cy="2316480"/>
            <wp:effectExtent l="0" t="0" r="7620" b="7620"/>
            <wp:docPr id="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
                    <pic:cNvPicPr>
                      <a:picLocks noChangeAspect="1"/>
                    </pic:cNvPicPr>
                  </pic:nvPicPr>
                  <pic:blipFill>
                    <a:blip r:embed="rId39"/>
                    <a:stretch>
                      <a:fillRect/>
                    </a:stretch>
                  </pic:blipFill>
                  <pic:spPr>
                    <a:xfrm>
                      <a:off x="0" y="0"/>
                      <a:ext cx="5269230" cy="2316480"/>
                    </a:xfrm>
                    <a:prstGeom prst="rect">
                      <a:avLst/>
                    </a:prstGeom>
                    <a:noFill/>
                    <a:ln>
                      <a:noFill/>
                    </a:ln>
                  </pic:spPr>
                </pic:pic>
              </a:graphicData>
            </a:graphic>
          </wp:inline>
        </w:drawing>
      </w:r>
    </w:p>
    <w:p>
      <w:pPr>
        <w:pStyle w:val="4"/>
        <w:bidi w:val="0"/>
        <w:outlineLvl w:val="1"/>
        <w:rPr>
          <w:rFonts w:hint="eastAsia" w:ascii="仿宋" w:hAnsi="仿宋" w:eastAsia="仿宋" w:cs="仿宋"/>
          <w:lang w:val="en-US" w:eastAsia="zh-CN"/>
        </w:rPr>
      </w:pPr>
      <w:bookmarkStart w:id="521" w:name="_Toc22483"/>
      <w:r>
        <w:rPr>
          <w:rFonts w:hint="eastAsia" w:ascii="仿宋" w:hAnsi="仿宋" w:eastAsia="仿宋" w:cs="仿宋"/>
          <w:lang w:val="en-US" w:eastAsia="zh-CN"/>
        </w:rPr>
        <w:t>2、互动交流</w:t>
      </w:r>
      <w:bookmarkEnd w:id="521"/>
    </w:p>
    <w:p>
      <w:pPr>
        <w:rPr>
          <w:rFonts w:hint="eastAsia" w:ascii="仿宋" w:hAnsi="仿宋" w:eastAsia="仿宋" w:cs="仿宋"/>
          <w:lang w:val="en-US" w:eastAsia="zh-CN"/>
        </w:rPr>
      </w:pPr>
      <w:r>
        <w:rPr>
          <w:rFonts w:hint="eastAsia" w:ascii="仿宋" w:hAnsi="仿宋" w:eastAsia="仿宋" w:cs="仿宋"/>
          <w:lang w:val="en-US" w:eastAsia="zh-CN"/>
        </w:rPr>
        <w:t>供应商可在互动交流页面查看采购代理机构发出的文字、语音信息，当采购代理机构发起群聊的时候，供应商可以文字、语音方式在其中进行响应或回复。</w:t>
      </w:r>
    </w:p>
    <w:p>
      <w:pPr>
        <w:rPr>
          <w:rFonts w:hint="eastAsia" w:ascii="仿宋" w:hAnsi="仿宋" w:eastAsia="仿宋" w:cs="仿宋"/>
        </w:rPr>
      </w:pPr>
      <w:r>
        <w:rPr>
          <w:rFonts w:hint="eastAsia" w:ascii="仿宋" w:hAnsi="仿宋" w:eastAsia="仿宋" w:cs="仿宋"/>
        </w:rPr>
        <w:drawing>
          <wp:inline distT="0" distB="0" distL="114300" distR="114300">
            <wp:extent cx="4015740" cy="5394960"/>
            <wp:effectExtent l="0" t="0" r="3810" b="15240"/>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1"/>
                    </pic:cNvPicPr>
                  </pic:nvPicPr>
                  <pic:blipFill>
                    <a:blip r:embed="rId40"/>
                    <a:stretch>
                      <a:fillRect/>
                    </a:stretch>
                  </pic:blipFill>
                  <pic:spPr>
                    <a:xfrm>
                      <a:off x="0" y="0"/>
                      <a:ext cx="4015740" cy="5394960"/>
                    </a:xfrm>
                    <a:prstGeom prst="rect">
                      <a:avLst/>
                    </a:prstGeom>
                    <a:noFill/>
                    <a:ln>
                      <a:noFill/>
                    </a:ln>
                  </pic:spPr>
                </pic:pic>
              </a:graphicData>
            </a:graphic>
          </wp:inline>
        </w:drawing>
      </w:r>
    </w:p>
    <w:p>
      <w:pPr>
        <w:rPr>
          <w:rFonts w:hint="eastAsia" w:ascii="仿宋" w:hAnsi="仿宋" w:eastAsia="仿宋" w:cs="仿宋"/>
          <w:lang w:val="en-US" w:eastAsia="zh-CN"/>
        </w:rPr>
      </w:pPr>
      <w:r>
        <w:rPr>
          <w:rFonts w:hint="eastAsia" w:ascii="仿宋" w:hAnsi="仿宋" w:eastAsia="仿宋" w:cs="仿宋"/>
          <w:lang w:val="en-US" w:eastAsia="zh-CN"/>
        </w:rPr>
        <w:t>当采购代理机构开启私聊，并有人向供应商发送了私聊信息后，供应商端会在左下角看到有私聊提醒，点击即可与其进行私聊。</w:t>
      </w:r>
    </w:p>
    <w:p>
      <w:pPr>
        <w:rPr>
          <w:rFonts w:hint="eastAsia" w:ascii="仿宋" w:hAnsi="仿宋" w:eastAsia="仿宋" w:cs="仿宋"/>
        </w:rPr>
      </w:pPr>
      <w:r>
        <w:rPr>
          <w:rFonts w:hint="eastAsia" w:ascii="仿宋" w:hAnsi="仿宋" w:eastAsia="仿宋" w:cs="仿宋"/>
        </w:rPr>
        <w:drawing>
          <wp:inline distT="0" distB="0" distL="114300" distR="114300">
            <wp:extent cx="5260975" cy="2563495"/>
            <wp:effectExtent l="0" t="0" r="15875" b="8255"/>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41"/>
                    <a:stretch>
                      <a:fillRect/>
                    </a:stretch>
                  </pic:blipFill>
                  <pic:spPr>
                    <a:xfrm>
                      <a:off x="0" y="0"/>
                      <a:ext cx="5260975" cy="256349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219700" cy="4853940"/>
            <wp:effectExtent l="0" t="0" r="0" b="3810"/>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pic:cNvPicPr>
                  </pic:nvPicPr>
                  <pic:blipFill>
                    <a:blip r:embed="rId42"/>
                    <a:stretch>
                      <a:fillRect/>
                    </a:stretch>
                  </pic:blipFill>
                  <pic:spPr>
                    <a:xfrm>
                      <a:off x="0" y="0"/>
                      <a:ext cx="5219700" cy="4853940"/>
                    </a:xfrm>
                    <a:prstGeom prst="rect">
                      <a:avLst/>
                    </a:prstGeom>
                    <a:noFill/>
                    <a:ln>
                      <a:noFill/>
                    </a:ln>
                  </pic:spPr>
                </pic:pic>
              </a:graphicData>
            </a:graphic>
          </wp:inline>
        </w:drawing>
      </w:r>
    </w:p>
    <w:p>
      <w:pPr>
        <w:pStyle w:val="4"/>
        <w:bidi w:val="0"/>
        <w:outlineLvl w:val="1"/>
        <w:rPr>
          <w:rFonts w:hint="eastAsia" w:ascii="仿宋" w:hAnsi="仿宋" w:eastAsia="仿宋" w:cs="仿宋"/>
          <w:lang w:val="en-US" w:eastAsia="zh-CN"/>
        </w:rPr>
      </w:pPr>
      <w:bookmarkStart w:id="522" w:name="_Toc25111"/>
      <w:r>
        <w:rPr>
          <w:rFonts w:hint="eastAsia" w:ascii="仿宋" w:hAnsi="仿宋" w:eastAsia="仿宋" w:cs="仿宋"/>
          <w:lang w:val="en-US" w:eastAsia="zh-CN"/>
        </w:rPr>
        <w:t>3、开标异议提出及答复</w:t>
      </w:r>
      <w:bookmarkEnd w:id="522"/>
    </w:p>
    <w:p>
      <w:pPr>
        <w:rPr>
          <w:rFonts w:hint="eastAsia" w:ascii="仿宋" w:hAnsi="仿宋" w:eastAsia="仿宋" w:cs="仿宋"/>
          <w:lang w:val="en-US" w:eastAsia="zh-CN"/>
        </w:rPr>
      </w:pPr>
      <w:r>
        <w:rPr>
          <w:rFonts w:hint="eastAsia" w:ascii="仿宋" w:hAnsi="仿宋" w:eastAsia="仿宋" w:cs="仿宋"/>
          <w:lang w:val="en-US" w:eastAsia="zh-CN"/>
        </w:rPr>
        <w:t>供应商可通过“开标异议文字提问”向采购代理机构提出异议</w:t>
      </w:r>
    </w:p>
    <w:p>
      <w:pPr>
        <w:rPr>
          <w:rFonts w:hint="eastAsia" w:ascii="仿宋" w:hAnsi="仿宋" w:eastAsia="仿宋" w:cs="仿宋"/>
        </w:rPr>
      </w:pPr>
      <w:r>
        <w:rPr>
          <w:rFonts w:hint="eastAsia" w:ascii="仿宋" w:hAnsi="仿宋" w:eastAsia="仿宋" w:cs="仿宋"/>
        </w:rPr>
        <w:drawing>
          <wp:inline distT="0" distB="0" distL="114300" distR="114300">
            <wp:extent cx="5274310" cy="2600325"/>
            <wp:effectExtent l="0" t="0" r="2540" b="9525"/>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pic:cNvPicPr>
                  </pic:nvPicPr>
                  <pic:blipFill>
                    <a:blip r:embed="rId43"/>
                    <a:stretch>
                      <a:fillRect/>
                    </a:stretch>
                  </pic:blipFill>
                  <pic:spPr>
                    <a:xfrm>
                      <a:off x="0" y="0"/>
                      <a:ext cx="5274310" cy="2600325"/>
                    </a:xfrm>
                    <a:prstGeom prst="rect">
                      <a:avLst/>
                    </a:prstGeom>
                    <a:noFill/>
                    <a:ln>
                      <a:noFill/>
                    </a:ln>
                  </pic:spPr>
                </pic:pic>
              </a:graphicData>
            </a:graphic>
          </wp:inline>
        </w:drawing>
      </w:r>
    </w:p>
    <w:p>
      <w:pPr>
        <w:rPr>
          <w:rFonts w:hint="eastAsia" w:ascii="仿宋" w:hAnsi="仿宋" w:eastAsia="仿宋" w:cs="仿宋"/>
          <w:lang w:val="en-US" w:eastAsia="zh-CN"/>
        </w:rPr>
      </w:pPr>
      <w:r>
        <w:rPr>
          <w:rFonts w:hint="eastAsia" w:ascii="仿宋" w:hAnsi="仿宋" w:eastAsia="仿宋" w:cs="仿宋"/>
          <w:lang w:val="en-US" w:eastAsia="zh-CN"/>
        </w:rPr>
        <w:t>填写异议内容、依据和理由，也可上传相关证明附件。</w:t>
      </w:r>
    </w:p>
    <w:p>
      <w:pPr>
        <w:rPr>
          <w:rFonts w:hint="eastAsia" w:ascii="仿宋" w:hAnsi="仿宋" w:eastAsia="仿宋" w:cs="仿宋"/>
        </w:rPr>
      </w:pPr>
      <w:r>
        <w:rPr>
          <w:rFonts w:hint="eastAsia" w:ascii="仿宋" w:hAnsi="仿宋" w:eastAsia="仿宋" w:cs="仿宋"/>
        </w:rPr>
        <w:drawing>
          <wp:inline distT="0" distB="0" distL="114300" distR="114300">
            <wp:extent cx="5267325" cy="3223260"/>
            <wp:effectExtent l="0" t="0" r="9525" b="15240"/>
            <wp:docPr id="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pic:cNvPicPr>
                      <a:picLocks noChangeAspect="1"/>
                    </pic:cNvPicPr>
                  </pic:nvPicPr>
                  <pic:blipFill>
                    <a:blip r:embed="rId44"/>
                    <a:stretch>
                      <a:fillRect/>
                    </a:stretch>
                  </pic:blipFill>
                  <pic:spPr>
                    <a:xfrm>
                      <a:off x="0" y="0"/>
                      <a:ext cx="5267325" cy="3223260"/>
                    </a:xfrm>
                    <a:prstGeom prst="rect">
                      <a:avLst/>
                    </a:prstGeom>
                    <a:noFill/>
                    <a:ln>
                      <a:noFill/>
                    </a:ln>
                  </pic:spPr>
                </pic:pic>
              </a:graphicData>
            </a:graphic>
          </wp:inline>
        </w:drawing>
      </w:r>
    </w:p>
    <w:p>
      <w:pPr>
        <w:pStyle w:val="4"/>
        <w:bidi w:val="0"/>
        <w:outlineLvl w:val="1"/>
        <w:rPr>
          <w:rFonts w:hint="eastAsia" w:ascii="仿宋" w:hAnsi="仿宋" w:eastAsia="仿宋" w:cs="仿宋"/>
          <w:lang w:val="en-US" w:eastAsia="zh-CN"/>
        </w:rPr>
      </w:pPr>
      <w:bookmarkStart w:id="523" w:name="_Toc4916"/>
      <w:r>
        <w:rPr>
          <w:rFonts w:hint="eastAsia" w:ascii="仿宋" w:hAnsi="仿宋" w:eastAsia="仿宋" w:cs="仿宋"/>
          <w:lang w:val="en-US" w:eastAsia="zh-CN"/>
        </w:rPr>
        <w:t>4、异议查看</w:t>
      </w:r>
      <w:bookmarkEnd w:id="523"/>
    </w:p>
    <w:p>
      <w:pPr>
        <w:rPr>
          <w:rFonts w:hint="eastAsia" w:ascii="仿宋" w:hAnsi="仿宋" w:eastAsia="仿宋" w:cs="仿宋"/>
          <w:lang w:val="en-US" w:eastAsia="zh-CN"/>
        </w:rPr>
      </w:pPr>
      <w:r>
        <w:rPr>
          <w:rFonts w:hint="eastAsia" w:ascii="仿宋" w:hAnsi="仿宋" w:eastAsia="仿宋" w:cs="仿宋"/>
          <w:lang w:val="en-US" w:eastAsia="zh-CN"/>
        </w:rPr>
        <w:t>供应商可通过异议查看功能查看自己或其他供应商提出的异议及异议的回复内容。</w:t>
      </w:r>
    </w:p>
    <w:p>
      <w:pPr>
        <w:rPr>
          <w:rFonts w:hint="eastAsia" w:ascii="仿宋" w:hAnsi="仿宋" w:eastAsia="仿宋" w:cs="仿宋"/>
        </w:rPr>
      </w:pPr>
      <w:r>
        <w:rPr>
          <w:rFonts w:hint="eastAsia" w:ascii="仿宋" w:hAnsi="仿宋" w:eastAsia="仿宋" w:cs="仿宋"/>
        </w:rPr>
        <w:drawing>
          <wp:inline distT="0" distB="0" distL="114300" distR="114300">
            <wp:extent cx="5267960" cy="2395220"/>
            <wp:effectExtent l="0" t="0" r="8890" b="5080"/>
            <wp:docPr id="1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3"/>
                    <pic:cNvPicPr>
                      <a:picLocks noChangeAspect="1"/>
                    </pic:cNvPicPr>
                  </pic:nvPicPr>
                  <pic:blipFill>
                    <a:blip r:embed="rId45"/>
                    <a:stretch>
                      <a:fillRect/>
                    </a:stretch>
                  </pic:blipFill>
                  <pic:spPr>
                    <a:xfrm>
                      <a:off x="0" y="0"/>
                      <a:ext cx="5267960" cy="239522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268595" cy="2326005"/>
            <wp:effectExtent l="0" t="0" r="8255" b="17145"/>
            <wp:docPr id="1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4"/>
                    <pic:cNvPicPr>
                      <a:picLocks noChangeAspect="1"/>
                    </pic:cNvPicPr>
                  </pic:nvPicPr>
                  <pic:blipFill>
                    <a:blip r:embed="rId46"/>
                    <a:stretch>
                      <a:fillRect/>
                    </a:stretch>
                  </pic:blipFill>
                  <pic:spPr>
                    <a:xfrm>
                      <a:off x="0" y="0"/>
                      <a:ext cx="5268595" cy="2326005"/>
                    </a:xfrm>
                    <a:prstGeom prst="rect">
                      <a:avLst/>
                    </a:prstGeom>
                    <a:noFill/>
                    <a:ln>
                      <a:noFill/>
                    </a:ln>
                  </pic:spPr>
                </pic:pic>
              </a:graphicData>
            </a:graphic>
          </wp:inline>
        </w:drawing>
      </w:r>
    </w:p>
    <w:p>
      <w:pPr>
        <w:pStyle w:val="3"/>
        <w:numPr>
          <w:ilvl w:val="0"/>
          <w:numId w:val="22"/>
        </w:numPr>
        <w:bidi w:val="0"/>
        <w:ind w:left="0" w:leftChars="0" w:firstLine="0" w:firstLineChars="0"/>
        <w:outlineLvl w:val="0"/>
        <w:rPr>
          <w:rFonts w:hint="eastAsia" w:ascii="仿宋" w:hAnsi="仿宋" w:eastAsia="仿宋" w:cs="仿宋"/>
          <w:lang w:val="en-US" w:eastAsia="zh-CN"/>
        </w:rPr>
      </w:pPr>
      <w:bookmarkStart w:id="524" w:name="_Toc7638"/>
      <w:r>
        <w:rPr>
          <w:rFonts w:hint="eastAsia" w:ascii="仿宋" w:hAnsi="仿宋" w:eastAsia="仿宋" w:cs="仿宋"/>
          <w:lang w:val="en-US" w:eastAsia="zh-CN"/>
        </w:rPr>
        <w:t>注意事项</w:t>
      </w:r>
      <w:bookmarkEnd w:id="524"/>
    </w:p>
    <w:p>
      <w:pPr>
        <w:keepNext w:val="0"/>
        <w:keepLines w:val="0"/>
        <w:pageBreakBefore w:val="0"/>
        <w:widowControl w:val="0"/>
        <w:numPr>
          <w:ilvl w:val="0"/>
          <w:numId w:val="24"/>
        </w:numPr>
        <w:kinsoku/>
        <w:wordWrap/>
        <w:overflowPunct/>
        <w:topLinePunct w:val="0"/>
        <w:autoSpaceDE/>
        <w:autoSpaceDN/>
        <w:bidi w:val="0"/>
        <w:adjustRightInd/>
        <w:snapToGrid/>
        <w:spacing w:line="560" w:lineRule="exact"/>
        <w:ind w:leftChars="0" w:firstLine="42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为顺利实现不见面开标系统的远程交互，建议供应商配置的软硬件设施有：高配置电脑、高速稳定的网络、电源（不间断）、CA锁、音视频设备（话筒、耳麦、高清摄像头、音响），浏览器要求使用IE11浏览器，且电脑已经正确安装了陕西省公共资源CA驱动。</w:t>
      </w:r>
    </w:p>
    <w:p>
      <w:pPr>
        <w:keepNext w:val="0"/>
        <w:keepLines w:val="0"/>
        <w:pageBreakBefore w:val="0"/>
        <w:widowControl w:val="0"/>
        <w:numPr>
          <w:ilvl w:val="0"/>
          <w:numId w:val="24"/>
        </w:numPr>
        <w:kinsoku/>
        <w:wordWrap/>
        <w:overflowPunct/>
        <w:topLinePunct w:val="0"/>
        <w:autoSpaceDE/>
        <w:autoSpaceDN/>
        <w:bidi w:val="0"/>
        <w:adjustRightInd/>
        <w:snapToGrid/>
        <w:spacing w:line="560" w:lineRule="exact"/>
        <w:ind w:leftChars="0" w:firstLine="42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建议供应商在开标前半小时登录不见面开标大厅，并及时签到（开标前60分钟即可签到），遇到问题及时联系客服4009280095。</w:t>
      </w:r>
    </w:p>
    <w:p>
      <w:pPr>
        <w:keepNext w:val="0"/>
        <w:keepLines w:val="0"/>
        <w:pageBreakBefore w:val="0"/>
        <w:widowControl w:val="0"/>
        <w:numPr>
          <w:ilvl w:val="0"/>
          <w:numId w:val="24"/>
        </w:numPr>
        <w:kinsoku/>
        <w:wordWrap/>
        <w:overflowPunct/>
        <w:topLinePunct w:val="0"/>
        <w:autoSpaceDE/>
        <w:autoSpaceDN/>
        <w:bidi w:val="0"/>
        <w:adjustRightInd/>
        <w:snapToGrid/>
        <w:spacing w:line="560" w:lineRule="exact"/>
        <w:ind w:leftChars="0" w:firstLine="420" w:firstLineChars="200"/>
        <w:textAlignment w:val="auto"/>
        <w:rPr>
          <w:rFonts w:hint="eastAsia" w:ascii="仿宋" w:hAnsi="仿宋" w:eastAsia="仿宋" w:cs="仿宋"/>
          <w:lang w:val="en-US"/>
        </w:rPr>
      </w:pPr>
      <w:r>
        <w:rPr>
          <w:rFonts w:hint="eastAsia" w:ascii="仿宋" w:hAnsi="仿宋" w:eastAsia="仿宋" w:cs="仿宋"/>
          <w:lang w:val="en-US" w:eastAsia="zh-CN"/>
        </w:rPr>
        <w:t>供应商需注意CA锁一定要提前准备好，并确保CA锁为制作磋商响应文件的CA锁。及时关注右侧公告及互动栏目信息。</w:t>
      </w:r>
    </w:p>
    <w:p>
      <w:pPr>
        <w:keepNext w:val="0"/>
        <w:keepLines w:val="0"/>
        <w:pageBreakBefore w:val="0"/>
        <w:widowControl w:val="0"/>
        <w:numPr>
          <w:ilvl w:val="0"/>
          <w:numId w:val="24"/>
        </w:numPr>
        <w:kinsoku/>
        <w:wordWrap/>
        <w:overflowPunct/>
        <w:topLinePunct w:val="0"/>
        <w:autoSpaceDE/>
        <w:autoSpaceDN/>
        <w:bidi w:val="0"/>
        <w:adjustRightInd/>
        <w:snapToGrid/>
        <w:spacing w:line="560" w:lineRule="exact"/>
        <w:ind w:leftChars="0" w:firstLine="420" w:firstLineChars="200"/>
        <w:textAlignment w:val="auto"/>
        <w:rPr>
          <w:rFonts w:hint="default" w:ascii="仿宋" w:hAnsi="仿宋" w:eastAsia="仿宋" w:cs="仿宋"/>
          <w:lang w:val="en-US" w:eastAsia="zh-CN"/>
        </w:rPr>
      </w:pPr>
      <w:r>
        <w:rPr>
          <w:rFonts w:hint="eastAsia" w:ascii="仿宋" w:hAnsi="仿宋" w:eastAsia="仿宋" w:cs="仿宋"/>
          <w:lang w:val="en-US" w:eastAsia="zh-CN"/>
        </w:rPr>
        <w:t>本项目采购方式为竞争性磋商，还须进行最终报价提交工作。</w:t>
      </w:r>
    </w:p>
    <w:p>
      <w:pPr>
        <w:autoSpaceDE w:val="0"/>
        <w:autoSpaceDN w:val="0"/>
        <w:adjustRightInd w:val="0"/>
        <w:spacing w:line="360" w:lineRule="auto"/>
        <w:jc w:val="center"/>
        <w:rPr>
          <w:rFonts w:hint="default" w:ascii="Times New Roman" w:hAnsi="Times New Roman" w:eastAsia="仿宋_GB2312" w:cs="Times New Roman"/>
          <w:i w:val="0"/>
          <w:iCs w:val="0"/>
          <w:color w:val="auto"/>
          <w:szCs w:val="21"/>
          <w:highlight w:val="none"/>
        </w:rPr>
      </w:pPr>
    </w:p>
    <w:sectPr>
      <w:footerReference r:id="rId9" w:type="first"/>
      <w:headerReference r:id="rId7" w:type="default"/>
      <w:footerReference r:id="rId8" w:type="default"/>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33985" cy="153035"/>
              <wp:effectExtent l="0" t="0" r="0" b="0"/>
              <wp:wrapNone/>
              <wp:docPr id="3"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wps:spPr>
                    <wps:txbx>
                      <w:txbxContent>
                        <w:p>
                          <w:pPr>
                            <w:pStyle w:val="33"/>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rPr>
                            <w:t>58</w:t>
                          </w:r>
                          <w:r>
                            <w:rPr>
                              <w:rFonts w:ascii="Times New Roman" w:hAnsi="Times New Roman"/>
                              <w:sz w:val="21"/>
                              <w:szCs w:val="21"/>
                            </w:rPr>
                            <w:fldChar w:fldCharType="end"/>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2.05pt;width:10.55pt;mso-position-horizontal:center;mso-position-horizontal-relative:margin;mso-wrap-style:none;z-index:251659264;mso-width-relative:page;mso-height-relative:page;" filled="f" stroked="f" coordsize="21600,21600" o:gfxdata="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Qe10z0AAAAAMBAAAPAAAAAAAAAAEAIAAAACIAAABkcnMvZG93bnJldi54bWxQSwEC&#10;FAAUAAAACACHTuJAxuUaWvwBAAAEBAAADgAAAAAAAAABACAAAAAfAQAAZHJzL2Uyb0RvYy54bWxQ&#10;SwUGAAAAAAYABgBZAQAAjQUAAAAA&#10;">
              <v:fill on="f" focussize="0,0"/>
              <v:stroke on="f"/>
              <v:imagedata o:title=""/>
              <o:lock v:ext="edit" aspectratio="f"/>
              <v:textbox inset="0mm,0mm,0mm,0mm" style="mso-fit-shape-to-text:t;">
                <w:txbxContent>
                  <w:p>
                    <w:pPr>
                      <w:pStyle w:val="33"/>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rPr>
                      <w:t>58</w:t>
                    </w:r>
                    <w:r>
                      <w:rPr>
                        <w:rFonts w:ascii="Times New Roman" w:hAnsi="Times New Roman"/>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spacing w:line="14" w:lineRule="auto"/>
      <w:rPr>
        <w:sz w:val="20"/>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ge">
                <wp:posOffset>9932670</wp:posOffset>
              </wp:positionV>
              <wp:extent cx="167005" cy="1397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line="203" w:lineRule="exact"/>
                            <w:ind w:left="40"/>
                            <w:rPr>
                              <w:sz w:val="18"/>
                            </w:rPr>
                          </w:pPr>
                          <w:r>
                            <w:rPr>
                              <w:sz w:val="18"/>
                            </w:rPr>
                            <w:fldChar w:fldCharType="begin"/>
                          </w:r>
                          <w:r>
                            <w:rPr>
                              <w:sz w:val="18"/>
                            </w:rPr>
                            <w:instrText xml:space="preserve"> PAGE  \* MERGEFORMAT </w:instrText>
                          </w:r>
                          <w:r>
                            <w:rPr>
                              <w:sz w:val="18"/>
                            </w:rPr>
                            <w:fldChar w:fldCharType="separate"/>
                          </w:r>
                          <w:r>
                            <w:rPr>
                              <w:sz w:val="18"/>
                            </w:rPr>
                            <w:t>- 45 -</w:t>
                          </w:r>
                          <w:r>
                            <w:rPr>
                              <w:sz w:val="18"/>
                            </w:rPr>
                            <w:fldChar w:fldCharType="end"/>
                          </w:r>
                        </w:p>
                      </w:txbxContent>
                    </wps:txbx>
                    <wps:bodyPr lIns="0" tIns="0" rIns="0" bIns="0" upright="1"/>
                  </wps:wsp>
                </a:graphicData>
              </a:graphic>
            </wp:anchor>
          </w:drawing>
        </mc:Choice>
        <mc:Fallback>
          <w:pict>
            <v:shape id="_x0000_s1026" o:spid="_x0000_s1026" o:spt="202" type="#_x0000_t202" style="position:absolute;left:0pt;margin-top:782.1pt;height:11pt;width:13.15pt;mso-position-horizontal:center;mso-position-horizontal-relative:margin;mso-position-vertical-relative:page;z-index:251660288;mso-width-relative:page;mso-height-relative:page;" filled="f" stroked="f" coordsize="21600,21600" o:gfxdata="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li6arXAAAACQEAAA8AAAAAAAAAAQAgAAAAIgAAAGRycy9kb3ducmV2LnhtbFBLAQIUABQA&#10;AAAIAIdO4kDsDQyRuAEAAHEDAAAOAAAAAAAAAAEAIAAAACYBAABkcnMvZTJvRG9jLnhtbFBLBQYA&#10;AAAABgAGAFkBAABQBQAAAAA=&#10;">
              <v:fill on="f" focussize="0,0"/>
              <v:stroke on="f"/>
              <v:imagedata o:title=""/>
              <o:lock v:ext="edit" aspectratio="f"/>
              <v:textbox inset="0mm,0mm,0mm,0mm">
                <w:txbxContent>
                  <w:p>
                    <w:pPr>
                      <w:spacing w:line="203" w:lineRule="exact"/>
                      <w:ind w:left="40"/>
                      <w:rPr>
                        <w:sz w:val="18"/>
                      </w:rPr>
                    </w:pPr>
                    <w:r>
                      <w:rPr>
                        <w:sz w:val="18"/>
                      </w:rPr>
                      <w:fldChar w:fldCharType="begin"/>
                    </w:r>
                    <w:r>
                      <w:rPr>
                        <w:sz w:val="18"/>
                      </w:rPr>
                      <w:instrText xml:space="preserve"> PAGE  \* MERGEFORMAT </w:instrText>
                    </w:r>
                    <w:r>
                      <w:rPr>
                        <w:sz w:val="18"/>
                      </w:rPr>
                      <w:fldChar w:fldCharType="separate"/>
                    </w:r>
                    <w:r>
                      <w:rPr>
                        <w:sz w:val="18"/>
                      </w:rPr>
                      <w:t>- 45 -</w:t>
                    </w:r>
                    <w:r>
                      <w:rPr>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spacing w:line="14" w:lineRule="auto"/>
      <w:rPr>
        <w:sz w:val="20"/>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ge">
                <wp:posOffset>9932670</wp:posOffset>
              </wp:positionV>
              <wp:extent cx="167005" cy="1397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line="203" w:lineRule="exact"/>
                            <w:ind w:left="40"/>
                            <w:rPr>
                              <w:sz w:val="18"/>
                            </w:rPr>
                          </w:pPr>
                          <w:r>
                            <w:rPr>
                              <w:sz w:val="18"/>
                            </w:rPr>
                            <w:fldChar w:fldCharType="begin"/>
                          </w:r>
                          <w:r>
                            <w:rPr>
                              <w:sz w:val="18"/>
                            </w:rPr>
                            <w:instrText xml:space="preserve"> PAGE  \* MERGEFORMAT </w:instrText>
                          </w:r>
                          <w:r>
                            <w:rPr>
                              <w:sz w:val="18"/>
                            </w:rPr>
                            <w:fldChar w:fldCharType="separate"/>
                          </w:r>
                          <w:r>
                            <w:rPr>
                              <w:sz w:val="18"/>
                            </w:rPr>
                            <w:t>- 45 -</w:t>
                          </w:r>
                          <w:r>
                            <w:rPr>
                              <w:sz w:val="18"/>
                            </w:rPr>
                            <w:fldChar w:fldCharType="end"/>
                          </w:r>
                        </w:p>
                      </w:txbxContent>
                    </wps:txbx>
                    <wps:bodyPr lIns="0" tIns="0" rIns="0" bIns="0" upright="1"/>
                  </wps:wsp>
                </a:graphicData>
              </a:graphic>
            </wp:anchor>
          </w:drawing>
        </mc:Choice>
        <mc:Fallback>
          <w:pict>
            <v:shape id="_x0000_s1026" o:spid="_x0000_s1026" o:spt="202" type="#_x0000_t202" style="position:absolute;left:0pt;margin-top:782.1pt;height:11pt;width:13.15pt;mso-position-horizontal:center;mso-position-horizontal-relative:margin;mso-position-vertical-relative:page;z-index:251661312;mso-width-relative:page;mso-height-relative:page;" filled="f" stroked="f" coordsize="21600,21600" o:gfxdata="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li6arXAAAACQEAAA8AAAAAAAAAAQAgAAAAIgAAAGRycy9kb3ducmV2LnhtbFBLAQIUABQA&#10;AAAIAIdO4kDxCpsJuAEAAHMDAAAOAAAAAAAAAAEAIAAAACYBAABkcnMvZTJvRG9jLnhtbFBLBQYA&#10;AAAABgAGAFkBAABQBQAAAAA=&#10;">
              <v:fill on="f" focussize="0,0"/>
              <v:stroke on="f"/>
              <v:imagedata o:title=""/>
              <o:lock v:ext="edit" aspectratio="f"/>
              <v:textbox inset="0mm,0mm,0mm,0mm">
                <w:txbxContent>
                  <w:p>
                    <w:pPr>
                      <w:spacing w:line="203" w:lineRule="exact"/>
                      <w:ind w:left="40"/>
                      <w:rPr>
                        <w:sz w:val="18"/>
                      </w:rPr>
                    </w:pPr>
                    <w:r>
                      <w:rPr>
                        <w:sz w:val="18"/>
                      </w:rPr>
                      <w:fldChar w:fldCharType="begin"/>
                    </w:r>
                    <w:r>
                      <w:rPr>
                        <w:sz w:val="18"/>
                      </w:rPr>
                      <w:instrText xml:space="preserve"> PAGE  \* MERGEFORMAT </w:instrText>
                    </w:r>
                    <w:r>
                      <w:rPr>
                        <w:sz w:val="18"/>
                      </w:rPr>
                      <w:fldChar w:fldCharType="separate"/>
                    </w:r>
                    <w:r>
                      <w:rPr>
                        <w:sz w:val="18"/>
                      </w:rPr>
                      <w:t>- 45 -</w:t>
                    </w:r>
                    <w:r>
                      <w:rPr>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5095" cy="152400"/>
              <wp:effectExtent l="0" t="0" r="1905" b="12700"/>
              <wp:wrapNone/>
              <wp:docPr id="14" name="文本框 14"/>
              <wp:cNvGraphicFramePr/>
              <a:graphic xmlns:a="http://schemas.openxmlformats.org/drawingml/2006/main">
                <a:graphicData uri="http://schemas.microsoft.com/office/word/2010/wordprocessingShape">
                  <wps:wsp>
                    <wps:cNvSpPr txBox="1"/>
                    <wps:spPr>
                      <a:xfrm>
                        <a:off x="0" y="0"/>
                        <a:ext cx="125095" cy="152400"/>
                      </a:xfrm>
                      <a:prstGeom prst="rect">
                        <a:avLst/>
                      </a:prstGeom>
                      <a:noFill/>
                      <a:ln w="6350">
                        <a:noFill/>
                      </a:ln>
                      <a:effectLst/>
                    </wps:spPr>
                    <wps:txbx>
                      <w:txbxContent>
                        <w:p>
                          <w:pPr>
                            <w:pStyle w:val="33"/>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pt;width:9.85pt;mso-position-horizontal:center;mso-position-horizontal-relative:margin;mso-wrap-style:none;z-index:251659264;mso-width-relative:page;mso-height-relative:page;" filled="f" stroked="f" coordsize="21600,21600" o:gfxdata="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RxezNIAAAADAQAADwAAAAAAAAABACAAAAAiAAAAZHJzL2Rvd25yZXYueG1s&#10;UEsBAhQAFAAAAAgAh07iQJRryiA3AgAAYwQAAA4AAAAAAAAAAQAgAAAAIQEAAGRycy9lMm9Eb2Mu&#10;eG1sUEsFBgAAAAAGAAYAWQEAAMoFA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clear" w:pos="8306"/>
      </w:tabs>
      <w:jc w:val="left"/>
    </w:pPr>
  </w:p>
  <w:p>
    <w:pPr>
      <w:pStyle w:val="34"/>
      <w:tabs>
        <w:tab w:val="left" w:pos="3011"/>
        <w:tab w:val="clear" w:pos="4153"/>
        <w:tab w:val="clear" w:pos="8306"/>
      </w:tabs>
      <w:jc w:val="left"/>
    </w:pPr>
    <w:r>
      <w:rPr>
        <w:rFonts w:hint="eastAsia"/>
        <w:lang w:eastAsia="zh-CN"/>
      </w:rPr>
      <w:t>榆林市第三医院（市传染病医院）建设工程全过程造价咨询服务项目竞争性磋商文件</w:t>
    </w:r>
    <w:r>
      <w:rPr>
        <w:rFonts w:hint="eastAsia"/>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C1FFCC7D"/>
    <w:multiLevelType w:val="singleLevel"/>
    <w:tmpl w:val="C1FFCC7D"/>
    <w:lvl w:ilvl="0" w:tentative="0">
      <w:start w:val="1"/>
      <w:numFmt w:val="decimal"/>
      <w:suff w:val="nothing"/>
      <w:lvlText w:val="%1、"/>
      <w:lvlJc w:val="left"/>
    </w:lvl>
  </w:abstractNum>
  <w:abstractNum w:abstractNumId="1">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2">
    <w:nsid w:val="FA2D3D5B"/>
    <w:multiLevelType w:val="singleLevel"/>
    <w:tmpl w:val="FA2D3D5B"/>
    <w:lvl w:ilvl="0" w:tentative="0">
      <w:start w:val="30"/>
      <w:numFmt w:val="decimal"/>
      <w:suff w:val="space"/>
      <w:lvlText w:val="%1."/>
      <w:lvlJc w:val="left"/>
    </w:lvl>
  </w:abstractNum>
  <w:abstractNum w:abstractNumId="3">
    <w:nsid w:val="0000000E"/>
    <w:multiLevelType w:val="multilevel"/>
    <w:tmpl w:val="0000000E"/>
    <w:lvl w:ilvl="0" w:tentative="0">
      <w:start w:val="1"/>
      <w:numFmt w:val="decimal"/>
      <w:pStyle w:val="91"/>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0000001D"/>
    <w:multiLevelType w:val="multilevel"/>
    <w:tmpl w:val="0000001D"/>
    <w:lvl w:ilvl="0" w:tentative="0">
      <w:start w:val="1"/>
      <w:numFmt w:val="decimal"/>
      <w:lvlText w:val="附件%1"/>
      <w:lvlJc w:val="left"/>
      <w:pPr>
        <w:tabs>
          <w:tab w:val="left" w:pos="1134"/>
        </w:tabs>
        <w:ind w:left="1134" w:hanging="1134"/>
      </w:pPr>
      <w:rPr>
        <w:rFonts w:hint="eastAsia" w:eastAsia="宋体"/>
        <w:b/>
        <w:i w:val="0"/>
        <w:sz w:val="24"/>
        <w:szCs w:val="28"/>
      </w:rPr>
    </w:lvl>
    <w:lvl w:ilvl="1" w:tentative="0">
      <w:start w:val="1"/>
      <w:numFmt w:val="decimal"/>
      <w:lvlText w:val="%2、"/>
      <w:lvlJc w:val="left"/>
      <w:pPr>
        <w:tabs>
          <w:tab w:val="left" w:pos="780"/>
        </w:tabs>
        <w:ind w:left="780" w:hanging="360"/>
      </w:pPr>
      <w:rPr>
        <w:rFonts w:hint="default" w:hAnsi="宋体"/>
        <w:color w:val="000000"/>
      </w:rPr>
    </w:lvl>
    <w:lvl w:ilvl="2" w:tentative="0">
      <w:start w:val="1"/>
      <w:numFmt w:val="decimal"/>
      <w:lvlText w:val="%3."/>
      <w:lvlJc w:val="left"/>
      <w:pPr>
        <w:tabs>
          <w:tab w:val="left" w:pos="1260"/>
        </w:tabs>
        <w:ind w:left="1260" w:hanging="420"/>
      </w:pPr>
      <w:rPr>
        <w:rFonts w:hint="eastAsia"/>
        <w:b/>
        <w:i w:val="0"/>
        <w:sz w:val="24"/>
        <w:szCs w:val="28"/>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9343BCE"/>
    <w:multiLevelType w:val="multilevel"/>
    <w:tmpl w:val="09343BCE"/>
    <w:lvl w:ilvl="0" w:tentative="0">
      <w:start w:val="1"/>
      <w:numFmt w:val="decimal"/>
      <w:lvlText w:val="（%1）"/>
      <w:lvlJc w:val="left"/>
      <w:pPr>
        <w:ind w:left="1146" w:hanging="7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7">
    <w:nsid w:val="1035497F"/>
    <w:multiLevelType w:val="singleLevel"/>
    <w:tmpl w:val="1035497F"/>
    <w:lvl w:ilvl="0" w:tentative="0">
      <w:start w:val="5"/>
      <w:numFmt w:val="decimal"/>
      <w:suff w:val="space"/>
      <w:lvlText w:val="%1."/>
      <w:lvlJc w:val="left"/>
    </w:lvl>
  </w:abstractNum>
  <w:abstractNum w:abstractNumId="8">
    <w:nsid w:val="16F7B74B"/>
    <w:multiLevelType w:val="singleLevel"/>
    <w:tmpl w:val="16F7B74B"/>
    <w:lvl w:ilvl="0" w:tentative="0">
      <w:start w:val="1"/>
      <w:numFmt w:val="chineseCounting"/>
      <w:suff w:val="nothing"/>
      <w:lvlText w:val="%1、"/>
      <w:lvlJc w:val="left"/>
      <w:rPr>
        <w:rFonts w:hint="eastAsia"/>
      </w:rPr>
    </w:lvl>
  </w:abstractNum>
  <w:abstractNum w:abstractNumId="9">
    <w:nsid w:val="1F5942C8"/>
    <w:multiLevelType w:val="multilevel"/>
    <w:tmpl w:val="1F5942C8"/>
    <w:lvl w:ilvl="0" w:tentative="0">
      <w:start w:val="6"/>
      <w:numFmt w:val="decimal"/>
      <w:lvlText w:val="%1"/>
      <w:lvlJc w:val="left"/>
      <w:pPr>
        <w:ind w:left="405" w:hanging="405"/>
      </w:pPr>
      <w:rPr>
        <w:rFonts w:hint="default"/>
      </w:rPr>
    </w:lvl>
    <w:lvl w:ilvl="1" w:tentative="0">
      <w:start w:val="6"/>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10">
    <w:nsid w:val="359CB8E8"/>
    <w:multiLevelType w:val="singleLevel"/>
    <w:tmpl w:val="359CB8E8"/>
    <w:lvl w:ilvl="0" w:tentative="0">
      <w:start w:val="1"/>
      <w:numFmt w:val="chineseCounting"/>
      <w:suff w:val="nothing"/>
      <w:lvlText w:val="%1、"/>
      <w:lvlJc w:val="left"/>
      <w:rPr>
        <w:rFonts w:hint="eastAsia"/>
      </w:rPr>
    </w:lvl>
  </w:abstractNum>
  <w:abstractNum w:abstractNumId="11">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16D2876"/>
    <w:multiLevelType w:val="singleLevel"/>
    <w:tmpl w:val="416D2876"/>
    <w:lvl w:ilvl="0" w:tentative="0">
      <w:start w:val="1"/>
      <w:numFmt w:val="decimal"/>
      <w:lvlText w:val="(%1)"/>
      <w:lvlJc w:val="left"/>
      <w:pPr>
        <w:tabs>
          <w:tab w:val="left" w:pos="420"/>
        </w:tabs>
        <w:ind w:left="845" w:hanging="425"/>
      </w:pPr>
      <w:rPr>
        <w:rFonts w:hint="default"/>
      </w:rPr>
    </w:lvl>
  </w:abstractNum>
  <w:abstractNum w:abstractNumId="13">
    <w:nsid w:val="537AA372"/>
    <w:multiLevelType w:val="singleLevel"/>
    <w:tmpl w:val="537AA372"/>
    <w:lvl w:ilvl="0" w:tentative="0">
      <w:start w:val="21"/>
      <w:numFmt w:val="decimal"/>
      <w:suff w:val="space"/>
      <w:lvlText w:val="%1."/>
      <w:lvlJc w:val="left"/>
    </w:lvl>
  </w:abstractNum>
  <w:abstractNum w:abstractNumId="14">
    <w:nsid w:val="562ED81B"/>
    <w:multiLevelType w:val="singleLevel"/>
    <w:tmpl w:val="562ED81B"/>
    <w:lvl w:ilvl="0" w:tentative="0">
      <w:start w:val="1"/>
      <w:numFmt w:val="decimal"/>
      <w:suff w:val="nothing"/>
      <w:lvlText w:val="%1、"/>
      <w:lvlJc w:val="left"/>
    </w:lvl>
  </w:abstractNum>
  <w:abstractNum w:abstractNumId="15">
    <w:nsid w:val="5AA8DCB0"/>
    <w:multiLevelType w:val="singleLevel"/>
    <w:tmpl w:val="5AA8DCB0"/>
    <w:lvl w:ilvl="0" w:tentative="0">
      <w:start w:val="1"/>
      <w:numFmt w:val="decimal"/>
      <w:suff w:val="nothing"/>
      <w:lvlText w:val="%1、"/>
      <w:lvlJc w:val="left"/>
    </w:lvl>
  </w:abstractNum>
  <w:abstractNum w:abstractNumId="16">
    <w:nsid w:val="5AAB3475"/>
    <w:multiLevelType w:val="singleLevel"/>
    <w:tmpl w:val="5AAB3475"/>
    <w:lvl w:ilvl="0" w:tentative="0">
      <w:start w:val="1"/>
      <w:numFmt w:val="decimal"/>
      <w:lvlText w:val="%1."/>
      <w:lvlJc w:val="left"/>
      <w:pPr>
        <w:ind w:left="425" w:hanging="425"/>
      </w:pPr>
      <w:rPr>
        <w:rFonts w:hint="default"/>
      </w:rPr>
    </w:lvl>
  </w:abstractNum>
  <w:abstractNum w:abstractNumId="17">
    <w:nsid w:val="5AAB3487"/>
    <w:multiLevelType w:val="singleLevel"/>
    <w:tmpl w:val="5AAB3487"/>
    <w:lvl w:ilvl="0" w:tentative="0">
      <w:start w:val="1"/>
      <w:numFmt w:val="decimal"/>
      <w:lvlText w:val="%1)"/>
      <w:lvlJc w:val="left"/>
      <w:pPr>
        <w:ind w:left="567" w:hanging="425"/>
      </w:pPr>
      <w:rPr>
        <w:rFonts w:hint="default"/>
      </w:rPr>
    </w:lvl>
  </w:abstractNum>
  <w:abstractNum w:abstractNumId="18">
    <w:nsid w:val="624D1350"/>
    <w:multiLevelType w:val="singleLevel"/>
    <w:tmpl w:val="624D1350"/>
    <w:lvl w:ilvl="0" w:tentative="0">
      <w:start w:val="25"/>
      <w:numFmt w:val="decimal"/>
      <w:suff w:val="space"/>
      <w:lvlText w:val="%1."/>
      <w:lvlJc w:val="left"/>
    </w:lvl>
  </w:abstractNum>
  <w:abstractNum w:abstractNumId="19">
    <w:nsid w:val="6CEA2025"/>
    <w:multiLevelType w:val="multilevel"/>
    <w:tmpl w:val="6CEA2025"/>
    <w:lvl w:ilvl="0" w:tentative="0">
      <w:start w:val="1"/>
      <w:numFmt w:val="none"/>
      <w:pStyle w:val="239"/>
      <w:suff w:val="nothing"/>
      <w:lvlText w:val="%1"/>
      <w:lvlJc w:val="left"/>
      <w:pPr>
        <w:ind w:left="0" w:firstLine="0"/>
      </w:pPr>
      <w:rPr>
        <w:rFonts w:hint="default" w:ascii="Times New Roman" w:hAnsi="Times New Roman"/>
        <w:b/>
        <w:i w:val="0"/>
        <w:sz w:val="21"/>
      </w:rPr>
    </w:lvl>
    <w:lvl w:ilvl="1" w:tentative="0">
      <w:start w:val="1"/>
      <w:numFmt w:val="decimal"/>
      <w:pStyle w:val="240"/>
      <w:suff w:val="nothing"/>
      <w:lvlText w:val="%1%2　"/>
      <w:lvlJc w:val="left"/>
      <w:pPr>
        <w:ind w:left="315" w:firstLine="0"/>
      </w:pPr>
      <w:rPr>
        <w:rFonts w:hint="eastAsia" w:ascii="黑体" w:hAnsi="Times New Roman" w:eastAsia="黑体"/>
        <w:b w:val="0"/>
        <w:i w:val="0"/>
        <w:sz w:val="21"/>
      </w:rPr>
    </w:lvl>
    <w:lvl w:ilvl="2" w:tentative="0">
      <w:start w:val="1"/>
      <w:numFmt w:val="decimal"/>
      <w:pStyle w:val="241"/>
      <w:suff w:val="nothing"/>
      <w:lvlText w:val="%1%2.%3　"/>
      <w:lvlJc w:val="left"/>
      <w:pPr>
        <w:ind w:left="630" w:firstLine="0"/>
      </w:pPr>
      <w:rPr>
        <w:rFonts w:hint="eastAsia" w:ascii="黑体" w:hAnsi="Times New Roman" w:eastAsia="黑体"/>
        <w:b w:val="0"/>
        <w:i w:val="0"/>
        <w:sz w:val="21"/>
      </w:rPr>
    </w:lvl>
    <w:lvl w:ilvl="3" w:tentative="0">
      <w:start w:val="1"/>
      <w:numFmt w:val="decimal"/>
      <w:pStyle w:val="242"/>
      <w:suff w:val="nothing"/>
      <w:lvlText w:val="%1%2.%3.%4　"/>
      <w:lvlJc w:val="left"/>
      <w:pPr>
        <w:ind w:left="567" w:firstLine="0"/>
      </w:pPr>
      <w:rPr>
        <w:rFonts w:hint="eastAsia" w:ascii="黑体" w:hAnsi="Times New Roman" w:eastAsia="黑体"/>
        <w:b w:val="0"/>
        <w:i w:val="0"/>
        <w:sz w:val="21"/>
      </w:rPr>
    </w:lvl>
    <w:lvl w:ilvl="4" w:tentative="0">
      <w:start w:val="1"/>
      <w:numFmt w:val="decimal"/>
      <w:pStyle w:val="244"/>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5"/>
      <w:suff w:val="nothing"/>
      <w:lvlText w:val="%1%2.%3.%4.%5.%6　"/>
      <w:lvlJc w:val="left"/>
      <w:pPr>
        <w:ind w:left="0" w:firstLine="0"/>
      </w:pPr>
      <w:rPr>
        <w:rFonts w:hint="eastAsia" w:ascii="黑体" w:hAnsi="Times New Roman" w:eastAsia="黑体"/>
        <w:b w:val="0"/>
        <w:i w:val="0"/>
        <w:sz w:val="21"/>
      </w:rPr>
    </w:lvl>
    <w:lvl w:ilvl="6" w:tentative="0">
      <w:start w:val="1"/>
      <w:numFmt w:val="decimal"/>
      <w:pStyle w:val="24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0">
    <w:nsid w:val="6D0941F5"/>
    <w:multiLevelType w:val="multilevel"/>
    <w:tmpl w:val="6D0941F5"/>
    <w:lvl w:ilvl="0" w:tentative="0">
      <w:start w:val="6"/>
      <w:numFmt w:val="decimal"/>
      <w:lvlText w:val="%1"/>
      <w:lvlJc w:val="left"/>
      <w:pPr>
        <w:ind w:left="360" w:hanging="360"/>
      </w:pPr>
      <w:rPr>
        <w:rFonts w:hint="default"/>
      </w:rPr>
    </w:lvl>
    <w:lvl w:ilvl="1" w:tentative="0">
      <w:start w:val="7"/>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21">
    <w:nsid w:val="74681D32"/>
    <w:multiLevelType w:val="multilevel"/>
    <w:tmpl w:val="74681D3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2">
    <w:nsid w:val="76933334"/>
    <w:multiLevelType w:val="multilevel"/>
    <w:tmpl w:val="76933334"/>
    <w:lvl w:ilvl="0" w:tentative="0">
      <w:start w:val="1"/>
      <w:numFmt w:val="none"/>
      <w:pStyle w:val="243"/>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7B20B617"/>
    <w:multiLevelType w:val="singleLevel"/>
    <w:tmpl w:val="7B20B617"/>
    <w:lvl w:ilvl="0" w:tentative="0">
      <w:start w:val="1"/>
      <w:numFmt w:val="decimal"/>
      <w:suff w:val="nothing"/>
      <w:lvlText w:val="%1、"/>
      <w:lvlJc w:val="left"/>
    </w:lvl>
  </w:abstractNum>
  <w:num w:numId="1">
    <w:abstractNumId w:val="4"/>
  </w:num>
  <w:num w:numId="2">
    <w:abstractNumId w:val="3"/>
  </w:num>
  <w:num w:numId="3">
    <w:abstractNumId w:val="19"/>
  </w:num>
  <w:num w:numId="4">
    <w:abstractNumId w:val="22"/>
  </w:num>
  <w:num w:numId="5">
    <w:abstractNumId w:val="11"/>
  </w:num>
  <w:num w:numId="6">
    <w:abstractNumId w:val="7"/>
  </w:num>
  <w:num w:numId="7">
    <w:abstractNumId w:val="12"/>
  </w:num>
  <w:num w:numId="8">
    <w:abstractNumId w:val="1"/>
  </w:num>
  <w:num w:numId="9">
    <w:abstractNumId w:val="13"/>
  </w:num>
  <w:num w:numId="10">
    <w:abstractNumId w:val="18"/>
  </w:num>
  <w:num w:numId="11">
    <w:abstractNumId w:val="6"/>
  </w:num>
  <w:num w:numId="12">
    <w:abstractNumId w:val="2"/>
  </w:num>
  <w:num w:numId="13">
    <w:abstractNumId w:val="16"/>
  </w:num>
  <w:num w:numId="14">
    <w:abstractNumId w:val="17"/>
  </w:num>
  <w:num w:numId="15">
    <w:abstractNumId w:val="5"/>
  </w:num>
  <w:num w:numId="16">
    <w:abstractNumId w:val="14"/>
  </w:num>
  <w:num w:numId="17">
    <w:abstractNumId w:val="15"/>
  </w:num>
  <w:num w:numId="18">
    <w:abstractNumId w:val="9"/>
  </w:num>
  <w:num w:numId="19">
    <w:abstractNumId w:val="20"/>
  </w:num>
  <w:num w:numId="20">
    <w:abstractNumId w:val="21"/>
  </w:num>
  <w:num w:numId="21">
    <w:abstractNumId w:val="10"/>
  </w:num>
  <w:num w:numId="22">
    <w:abstractNumId w:val="8"/>
  </w:num>
  <w:num w:numId="23">
    <w:abstractNumId w:val="2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QyZGU4ZGYwNzM1NzE5OWFjZWZlOWU5YzJlYjk4ZTk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400609"/>
    <w:rsid w:val="00402745"/>
    <w:rsid w:val="0040289E"/>
    <w:rsid w:val="004035B3"/>
    <w:rsid w:val="00410849"/>
    <w:rsid w:val="00421C0B"/>
    <w:rsid w:val="004247BB"/>
    <w:rsid w:val="00424FDA"/>
    <w:rsid w:val="00424FED"/>
    <w:rsid w:val="00425851"/>
    <w:rsid w:val="00425E9F"/>
    <w:rsid w:val="00427494"/>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8179D"/>
    <w:rsid w:val="00B84903"/>
    <w:rsid w:val="00B92025"/>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536"/>
    <w:rsid w:val="00D31E4B"/>
    <w:rsid w:val="00D325EA"/>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6F9A"/>
    <w:rsid w:val="00DA178E"/>
    <w:rsid w:val="00DA1939"/>
    <w:rsid w:val="00DA6A22"/>
    <w:rsid w:val="00DC0934"/>
    <w:rsid w:val="00DD10CD"/>
    <w:rsid w:val="00DE4818"/>
    <w:rsid w:val="00DF2F86"/>
    <w:rsid w:val="00DF4D97"/>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52936"/>
    <w:rsid w:val="00F52B8C"/>
    <w:rsid w:val="00F602DF"/>
    <w:rsid w:val="00F67C33"/>
    <w:rsid w:val="00F7008C"/>
    <w:rsid w:val="00F74506"/>
    <w:rsid w:val="00F77351"/>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276CE6"/>
    <w:rsid w:val="01391AF7"/>
    <w:rsid w:val="01A56820"/>
    <w:rsid w:val="01B73196"/>
    <w:rsid w:val="01DB0F21"/>
    <w:rsid w:val="01F85948"/>
    <w:rsid w:val="027D1EDC"/>
    <w:rsid w:val="02A237D4"/>
    <w:rsid w:val="02AA6F17"/>
    <w:rsid w:val="02E6429D"/>
    <w:rsid w:val="032E5AB3"/>
    <w:rsid w:val="0380752A"/>
    <w:rsid w:val="03C4317A"/>
    <w:rsid w:val="041E1097"/>
    <w:rsid w:val="04874841"/>
    <w:rsid w:val="04AF0DC0"/>
    <w:rsid w:val="04E35F2C"/>
    <w:rsid w:val="04EB4ECE"/>
    <w:rsid w:val="053371D4"/>
    <w:rsid w:val="053B700A"/>
    <w:rsid w:val="05893219"/>
    <w:rsid w:val="05A9381E"/>
    <w:rsid w:val="05CA3B1B"/>
    <w:rsid w:val="05D40F8A"/>
    <w:rsid w:val="05D74CE2"/>
    <w:rsid w:val="05E97CB2"/>
    <w:rsid w:val="060D6A3B"/>
    <w:rsid w:val="06193B1E"/>
    <w:rsid w:val="06383C8B"/>
    <w:rsid w:val="069D66C8"/>
    <w:rsid w:val="06AB6FF1"/>
    <w:rsid w:val="06C6067E"/>
    <w:rsid w:val="06DF18E2"/>
    <w:rsid w:val="0707497A"/>
    <w:rsid w:val="07394A3D"/>
    <w:rsid w:val="07416329"/>
    <w:rsid w:val="07501B9E"/>
    <w:rsid w:val="082B0E32"/>
    <w:rsid w:val="0838785B"/>
    <w:rsid w:val="08727C1D"/>
    <w:rsid w:val="087D0B78"/>
    <w:rsid w:val="08894DF6"/>
    <w:rsid w:val="08A71FD9"/>
    <w:rsid w:val="090449EF"/>
    <w:rsid w:val="0920129B"/>
    <w:rsid w:val="09823E4D"/>
    <w:rsid w:val="098852A8"/>
    <w:rsid w:val="09A06B78"/>
    <w:rsid w:val="09EA3E64"/>
    <w:rsid w:val="0A123F9D"/>
    <w:rsid w:val="0A4B18CE"/>
    <w:rsid w:val="0A601059"/>
    <w:rsid w:val="0A8A4B12"/>
    <w:rsid w:val="0AB2170F"/>
    <w:rsid w:val="0AB25DFE"/>
    <w:rsid w:val="0AC800D5"/>
    <w:rsid w:val="0AE27FA5"/>
    <w:rsid w:val="0AFA19A7"/>
    <w:rsid w:val="0B181252"/>
    <w:rsid w:val="0B2543AA"/>
    <w:rsid w:val="0B651CEF"/>
    <w:rsid w:val="0C275A89"/>
    <w:rsid w:val="0C8E28F7"/>
    <w:rsid w:val="0CBB5882"/>
    <w:rsid w:val="0D531CDF"/>
    <w:rsid w:val="0DCA3125"/>
    <w:rsid w:val="0E211365"/>
    <w:rsid w:val="0E416A77"/>
    <w:rsid w:val="0E5C2657"/>
    <w:rsid w:val="0E5C7CE8"/>
    <w:rsid w:val="0EA34036"/>
    <w:rsid w:val="0EAD7BDA"/>
    <w:rsid w:val="0EB049DF"/>
    <w:rsid w:val="0EB63F9D"/>
    <w:rsid w:val="0EFA06A7"/>
    <w:rsid w:val="0F227C07"/>
    <w:rsid w:val="0F245037"/>
    <w:rsid w:val="0F54794B"/>
    <w:rsid w:val="0F6A354E"/>
    <w:rsid w:val="0F88478D"/>
    <w:rsid w:val="0FB73DA5"/>
    <w:rsid w:val="0FCE37C4"/>
    <w:rsid w:val="0FDE2587"/>
    <w:rsid w:val="101B0BC4"/>
    <w:rsid w:val="103649EC"/>
    <w:rsid w:val="1040315F"/>
    <w:rsid w:val="10507757"/>
    <w:rsid w:val="107A1082"/>
    <w:rsid w:val="109E7189"/>
    <w:rsid w:val="10C72BB3"/>
    <w:rsid w:val="11373F67"/>
    <w:rsid w:val="115206FB"/>
    <w:rsid w:val="11531DCE"/>
    <w:rsid w:val="11B40613"/>
    <w:rsid w:val="11BE2022"/>
    <w:rsid w:val="11D83EA2"/>
    <w:rsid w:val="122510EE"/>
    <w:rsid w:val="123757B7"/>
    <w:rsid w:val="12405481"/>
    <w:rsid w:val="12837EE6"/>
    <w:rsid w:val="128D1331"/>
    <w:rsid w:val="12C1355D"/>
    <w:rsid w:val="12EA1EE6"/>
    <w:rsid w:val="12EF7289"/>
    <w:rsid w:val="13330CAC"/>
    <w:rsid w:val="133D7CD4"/>
    <w:rsid w:val="134D5A81"/>
    <w:rsid w:val="13AC42B6"/>
    <w:rsid w:val="13BF6991"/>
    <w:rsid w:val="13F03DED"/>
    <w:rsid w:val="13F95DC4"/>
    <w:rsid w:val="142A3E2D"/>
    <w:rsid w:val="144A7973"/>
    <w:rsid w:val="14E5758A"/>
    <w:rsid w:val="14F21920"/>
    <w:rsid w:val="14FB7DA2"/>
    <w:rsid w:val="15567E44"/>
    <w:rsid w:val="158710F3"/>
    <w:rsid w:val="15BC1451"/>
    <w:rsid w:val="15C772F3"/>
    <w:rsid w:val="15CE4C34"/>
    <w:rsid w:val="15F0775C"/>
    <w:rsid w:val="160A0AD0"/>
    <w:rsid w:val="16401732"/>
    <w:rsid w:val="165B6F79"/>
    <w:rsid w:val="166E5EB0"/>
    <w:rsid w:val="16C01EAE"/>
    <w:rsid w:val="16F214B3"/>
    <w:rsid w:val="16F50974"/>
    <w:rsid w:val="177A195D"/>
    <w:rsid w:val="17A93F8B"/>
    <w:rsid w:val="17D67E1B"/>
    <w:rsid w:val="17E50036"/>
    <w:rsid w:val="1820060E"/>
    <w:rsid w:val="18205BA9"/>
    <w:rsid w:val="18370FAA"/>
    <w:rsid w:val="188D7D42"/>
    <w:rsid w:val="1890464C"/>
    <w:rsid w:val="18C45643"/>
    <w:rsid w:val="19575882"/>
    <w:rsid w:val="195E155B"/>
    <w:rsid w:val="197321D5"/>
    <w:rsid w:val="1A0C41D1"/>
    <w:rsid w:val="1A336BE7"/>
    <w:rsid w:val="1A612D7C"/>
    <w:rsid w:val="1A7F6A7E"/>
    <w:rsid w:val="1A807E72"/>
    <w:rsid w:val="1A8A2A47"/>
    <w:rsid w:val="1B16166A"/>
    <w:rsid w:val="1BB93E83"/>
    <w:rsid w:val="1BC644B6"/>
    <w:rsid w:val="1C613AB1"/>
    <w:rsid w:val="1C763D6F"/>
    <w:rsid w:val="1C8C0466"/>
    <w:rsid w:val="1CC854C2"/>
    <w:rsid w:val="1D0121D0"/>
    <w:rsid w:val="1D574257"/>
    <w:rsid w:val="1D5B524F"/>
    <w:rsid w:val="1D6D3522"/>
    <w:rsid w:val="1DAB5588"/>
    <w:rsid w:val="1DD72694"/>
    <w:rsid w:val="1DDE1DE9"/>
    <w:rsid w:val="1DFA7416"/>
    <w:rsid w:val="1EFD5795"/>
    <w:rsid w:val="1F247E6F"/>
    <w:rsid w:val="1F474868"/>
    <w:rsid w:val="1F883C9F"/>
    <w:rsid w:val="1F971592"/>
    <w:rsid w:val="1FB94E27"/>
    <w:rsid w:val="1FE57CFE"/>
    <w:rsid w:val="1FF41576"/>
    <w:rsid w:val="200A3A73"/>
    <w:rsid w:val="208337BA"/>
    <w:rsid w:val="20AF20C5"/>
    <w:rsid w:val="20EB717A"/>
    <w:rsid w:val="20ED7306"/>
    <w:rsid w:val="20F96916"/>
    <w:rsid w:val="211106C5"/>
    <w:rsid w:val="21431785"/>
    <w:rsid w:val="219E251A"/>
    <w:rsid w:val="21C24F4B"/>
    <w:rsid w:val="22071464"/>
    <w:rsid w:val="22283C9F"/>
    <w:rsid w:val="2232235C"/>
    <w:rsid w:val="2267461E"/>
    <w:rsid w:val="23291785"/>
    <w:rsid w:val="23710488"/>
    <w:rsid w:val="2381304A"/>
    <w:rsid w:val="23A7789F"/>
    <w:rsid w:val="23BB002C"/>
    <w:rsid w:val="23C33515"/>
    <w:rsid w:val="23F1680C"/>
    <w:rsid w:val="242E494F"/>
    <w:rsid w:val="243E15D5"/>
    <w:rsid w:val="24551238"/>
    <w:rsid w:val="248E2DBA"/>
    <w:rsid w:val="25224672"/>
    <w:rsid w:val="25250089"/>
    <w:rsid w:val="25252A8D"/>
    <w:rsid w:val="25A67057"/>
    <w:rsid w:val="25D54115"/>
    <w:rsid w:val="25F72F27"/>
    <w:rsid w:val="260F4C55"/>
    <w:rsid w:val="26291B1A"/>
    <w:rsid w:val="26763E6F"/>
    <w:rsid w:val="267C3983"/>
    <w:rsid w:val="26D82BDE"/>
    <w:rsid w:val="26EB0757"/>
    <w:rsid w:val="270101AC"/>
    <w:rsid w:val="2719451E"/>
    <w:rsid w:val="274D71B2"/>
    <w:rsid w:val="2751147F"/>
    <w:rsid w:val="27706CF6"/>
    <w:rsid w:val="279C6957"/>
    <w:rsid w:val="27A340C5"/>
    <w:rsid w:val="27D32B77"/>
    <w:rsid w:val="27DE5929"/>
    <w:rsid w:val="27E14C4C"/>
    <w:rsid w:val="282160D2"/>
    <w:rsid w:val="286C62A1"/>
    <w:rsid w:val="28A069B8"/>
    <w:rsid w:val="28C21683"/>
    <w:rsid w:val="28F72971"/>
    <w:rsid w:val="290F3C6E"/>
    <w:rsid w:val="2A3073E0"/>
    <w:rsid w:val="2A664BE3"/>
    <w:rsid w:val="2AE35535"/>
    <w:rsid w:val="2B496FA3"/>
    <w:rsid w:val="2B532BFE"/>
    <w:rsid w:val="2B6A469F"/>
    <w:rsid w:val="2BAC65A8"/>
    <w:rsid w:val="2BB024B4"/>
    <w:rsid w:val="2BC60F98"/>
    <w:rsid w:val="2BCB45F0"/>
    <w:rsid w:val="2C066A1A"/>
    <w:rsid w:val="2C0B4AE6"/>
    <w:rsid w:val="2C673C70"/>
    <w:rsid w:val="2C8165FA"/>
    <w:rsid w:val="2CAC7CBD"/>
    <w:rsid w:val="2CCC08A3"/>
    <w:rsid w:val="2D0A514C"/>
    <w:rsid w:val="2D2F30DD"/>
    <w:rsid w:val="2D3F44AA"/>
    <w:rsid w:val="2DB235BF"/>
    <w:rsid w:val="2E577392"/>
    <w:rsid w:val="2E6E6547"/>
    <w:rsid w:val="2E8B1B62"/>
    <w:rsid w:val="2E970AE4"/>
    <w:rsid w:val="2EB227A5"/>
    <w:rsid w:val="2F822BAC"/>
    <w:rsid w:val="2F96630B"/>
    <w:rsid w:val="2FAC7913"/>
    <w:rsid w:val="301F6139"/>
    <w:rsid w:val="30641E74"/>
    <w:rsid w:val="30810E1D"/>
    <w:rsid w:val="30BB0650"/>
    <w:rsid w:val="30D616E4"/>
    <w:rsid w:val="30F97581"/>
    <w:rsid w:val="31297B83"/>
    <w:rsid w:val="314256C4"/>
    <w:rsid w:val="31947CF5"/>
    <w:rsid w:val="31C65637"/>
    <w:rsid w:val="32417274"/>
    <w:rsid w:val="324A57AF"/>
    <w:rsid w:val="328C6388"/>
    <w:rsid w:val="329F04E5"/>
    <w:rsid w:val="32F9755F"/>
    <w:rsid w:val="331B2806"/>
    <w:rsid w:val="333214D1"/>
    <w:rsid w:val="3370495E"/>
    <w:rsid w:val="33CC0FC6"/>
    <w:rsid w:val="33DD0EAC"/>
    <w:rsid w:val="340622E0"/>
    <w:rsid w:val="34143D51"/>
    <w:rsid w:val="34302898"/>
    <w:rsid w:val="345B460B"/>
    <w:rsid w:val="347B1D25"/>
    <w:rsid w:val="348E2B4F"/>
    <w:rsid w:val="34BB4966"/>
    <w:rsid w:val="35C97D56"/>
    <w:rsid w:val="35EE5D6B"/>
    <w:rsid w:val="3637765B"/>
    <w:rsid w:val="363A3F05"/>
    <w:rsid w:val="365311E6"/>
    <w:rsid w:val="367112A8"/>
    <w:rsid w:val="37473FEE"/>
    <w:rsid w:val="375445E4"/>
    <w:rsid w:val="376964D6"/>
    <w:rsid w:val="378D71CC"/>
    <w:rsid w:val="379C0110"/>
    <w:rsid w:val="379C3619"/>
    <w:rsid w:val="384A2F51"/>
    <w:rsid w:val="387C0DEB"/>
    <w:rsid w:val="387C3364"/>
    <w:rsid w:val="38CC73F3"/>
    <w:rsid w:val="395B66C1"/>
    <w:rsid w:val="395E3B0F"/>
    <w:rsid w:val="39AE15AC"/>
    <w:rsid w:val="39E218FD"/>
    <w:rsid w:val="39E83FB4"/>
    <w:rsid w:val="3A153790"/>
    <w:rsid w:val="3A1F11A7"/>
    <w:rsid w:val="3A86575A"/>
    <w:rsid w:val="3AC94052"/>
    <w:rsid w:val="3B115AB0"/>
    <w:rsid w:val="3B341FC1"/>
    <w:rsid w:val="3B6F11E8"/>
    <w:rsid w:val="3B732683"/>
    <w:rsid w:val="3B851216"/>
    <w:rsid w:val="3BDA3A7D"/>
    <w:rsid w:val="3BEC1ABD"/>
    <w:rsid w:val="3D084D63"/>
    <w:rsid w:val="3D0B4A9A"/>
    <w:rsid w:val="3D420A8C"/>
    <w:rsid w:val="3D517AA3"/>
    <w:rsid w:val="3DA349DC"/>
    <w:rsid w:val="3E0F5C92"/>
    <w:rsid w:val="3E1E44DC"/>
    <w:rsid w:val="3E3457B0"/>
    <w:rsid w:val="3E9753EA"/>
    <w:rsid w:val="3E9948D1"/>
    <w:rsid w:val="3EE41CB3"/>
    <w:rsid w:val="3F43088C"/>
    <w:rsid w:val="3F5E71A0"/>
    <w:rsid w:val="3F7F3F6B"/>
    <w:rsid w:val="3FAA346A"/>
    <w:rsid w:val="3FAB317E"/>
    <w:rsid w:val="3FE327A2"/>
    <w:rsid w:val="40602185"/>
    <w:rsid w:val="40684903"/>
    <w:rsid w:val="406D3C7A"/>
    <w:rsid w:val="408D0A8F"/>
    <w:rsid w:val="40DD4529"/>
    <w:rsid w:val="414920DE"/>
    <w:rsid w:val="41550B18"/>
    <w:rsid w:val="41E371A6"/>
    <w:rsid w:val="4206324A"/>
    <w:rsid w:val="42B01A80"/>
    <w:rsid w:val="42B540C6"/>
    <w:rsid w:val="43124DBF"/>
    <w:rsid w:val="43267EE9"/>
    <w:rsid w:val="43411BCB"/>
    <w:rsid w:val="435C4BA0"/>
    <w:rsid w:val="4373005F"/>
    <w:rsid w:val="442326F2"/>
    <w:rsid w:val="442418FE"/>
    <w:rsid w:val="442B34A2"/>
    <w:rsid w:val="44781DAA"/>
    <w:rsid w:val="44C9249B"/>
    <w:rsid w:val="44CA357E"/>
    <w:rsid w:val="4587776E"/>
    <w:rsid w:val="45CF460B"/>
    <w:rsid w:val="45E27E1E"/>
    <w:rsid w:val="46142700"/>
    <w:rsid w:val="470316C4"/>
    <w:rsid w:val="470E368E"/>
    <w:rsid w:val="477631E0"/>
    <w:rsid w:val="47AC7367"/>
    <w:rsid w:val="47AD6319"/>
    <w:rsid w:val="47BA5BC1"/>
    <w:rsid w:val="47C7285C"/>
    <w:rsid w:val="480C69CA"/>
    <w:rsid w:val="487519F9"/>
    <w:rsid w:val="49347AA6"/>
    <w:rsid w:val="496D392E"/>
    <w:rsid w:val="497F756E"/>
    <w:rsid w:val="498E7313"/>
    <w:rsid w:val="499B629D"/>
    <w:rsid w:val="49EE12CC"/>
    <w:rsid w:val="4A0A5885"/>
    <w:rsid w:val="4B073A5C"/>
    <w:rsid w:val="4B387880"/>
    <w:rsid w:val="4B44760D"/>
    <w:rsid w:val="4B5C5D27"/>
    <w:rsid w:val="4B5E326D"/>
    <w:rsid w:val="4B840ACD"/>
    <w:rsid w:val="4B8C42AD"/>
    <w:rsid w:val="4BC51F60"/>
    <w:rsid w:val="4BD2475B"/>
    <w:rsid w:val="4BF72474"/>
    <w:rsid w:val="4C0A5EAF"/>
    <w:rsid w:val="4C2E5AE5"/>
    <w:rsid w:val="4C4F0B45"/>
    <w:rsid w:val="4D7908B5"/>
    <w:rsid w:val="4DA74A82"/>
    <w:rsid w:val="4DA969FC"/>
    <w:rsid w:val="4DB73FDD"/>
    <w:rsid w:val="4E3706A7"/>
    <w:rsid w:val="4E3B70D2"/>
    <w:rsid w:val="4E5C3A58"/>
    <w:rsid w:val="4E865AFC"/>
    <w:rsid w:val="4F066320"/>
    <w:rsid w:val="4F0C4606"/>
    <w:rsid w:val="4F3D5624"/>
    <w:rsid w:val="4F4E6EBF"/>
    <w:rsid w:val="4F7D4C71"/>
    <w:rsid w:val="4FA80A1B"/>
    <w:rsid w:val="4FCA7073"/>
    <w:rsid w:val="4FE259E9"/>
    <w:rsid w:val="50092961"/>
    <w:rsid w:val="501D7C2E"/>
    <w:rsid w:val="505F3E03"/>
    <w:rsid w:val="50963550"/>
    <w:rsid w:val="50BD3A0A"/>
    <w:rsid w:val="512C7508"/>
    <w:rsid w:val="52321D93"/>
    <w:rsid w:val="52420452"/>
    <w:rsid w:val="524A5FDD"/>
    <w:rsid w:val="52533FC1"/>
    <w:rsid w:val="52B85DAB"/>
    <w:rsid w:val="52F30FD8"/>
    <w:rsid w:val="530973DA"/>
    <w:rsid w:val="53BB70AD"/>
    <w:rsid w:val="53DA43C4"/>
    <w:rsid w:val="53E267AB"/>
    <w:rsid w:val="54D02C4B"/>
    <w:rsid w:val="550D6F8B"/>
    <w:rsid w:val="55112B45"/>
    <w:rsid w:val="551D1A51"/>
    <w:rsid w:val="55351206"/>
    <w:rsid w:val="55653C63"/>
    <w:rsid w:val="558F79BB"/>
    <w:rsid w:val="55A649AE"/>
    <w:rsid w:val="55D93627"/>
    <w:rsid w:val="56602AF8"/>
    <w:rsid w:val="569D1848"/>
    <w:rsid w:val="56B13A64"/>
    <w:rsid w:val="56BA3AA0"/>
    <w:rsid w:val="56CF6D97"/>
    <w:rsid w:val="56D66689"/>
    <w:rsid w:val="570E46A2"/>
    <w:rsid w:val="57847C36"/>
    <w:rsid w:val="584E2691"/>
    <w:rsid w:val="586A742C"/>
    <w:rsid w:val="5881039C"/>
    <w:rsid w:val="58883859"/>
    <w:rsid w:val="58C134D7"/>
    <w:rsid w:val="58C94C3F"/>
    <w:rsid w:val="591E42EB"/>
    <w:rsid w:val="592A1676"/>
    <w:rsid w:val="59E71DDE"/>
    <w:rsid w:val="5A064D2E"/>
    <w:rsid w:val="5A496D02"/>
    <w:rsid w:val="5A53496E"/>
    <w:rsid w:val="5A7756D8"/>
    <w:rsid w:val="5A96078C"/>
    <w:rsid w:val="5ABB0552"/>
    <w:rsid w:val="5AC87CD6"/>
    <w:rsid w:val="5AE85A5C"/>
    <w:rsid w:val="5B18744E"/>
    <w:rsid w:val="5BC63955"/>
    <w:rsid w:val="5C4A2BD7"/>
    <w:rsid w:val="5CAF68F6"/>
    <w:rsid w:val="5CF84E92"/>
    <w:rsid w:val="5D213D72"/>
    <w:rsid w:val="5D63632E"/>
    <w:rsid w:val="5D89138F"/>
    <w:rsid w:val="5DD63758"/>
    <w:rsid w:val="5E2775BD"/>
    <w:rsid w:val="5E326512"/>
    <w:rsid w:val="5E4205CC"/>
    <w:rsid w:val="5E504C73"/>
    <w:rsid w:val="5E985E8A"/>
    <w:rsid w:val="5EE54D87"/>
    <w:rsid w:val="5FB455AB"/>
    <w:rsid w:val="5FCB7633"/>
    <w:rsid w:val="5FD539BB"/>
    <w:rsid w:val="5FD8479E"/>
    <w:rsid w:val="5FEF4FD0"/>
    <w:rsid w:val="5FF11588"/>
    <w:rsid w:val="5FF7262C"/>
    <w:rsid w:val="60585DBB"/>
    <w:rsid w:val="609F50E9"/>
    <w:rsid w:val="61394E2C"/>
    <w:rsid w:val="617F4494"/>
    <w:rsid w:val="61FE7898"/>
    <w:rsid w:val="621C7A8F"/>
    <w:rsid w:val="62A11A47"/>
    <w:rsid w:val="62B4089B"/>
    <w:rsid w:val="62E94FF3"/>
    <w:rsid w:val="62F475B6"/>
    <w:rsid w:val="630C6A64"/>
    <w:rsid w:val="631F7E44"/>
    <w:rsid w:val="63376FCF"/>
    <w:rsid w:val="637C04DD"/>
    <w:rsid w:val="63964CCA"/>
    <w:rsid w:val="63B3451B"/>
    <w:rsid w:val="648D18F2"/>
    <w:rsid w:val="652A2E44"/>
    <w:rsid w:val="654E4849"/>
    <w:rsid w:val="65686657"/>
    <w:rsid w:val="65986AD4"/>
    <w:rsid w:val="65BD69EB"/>
    <w:rsid w:val="664977CF"/>
    <w:rsid w:val="66EC4975"/>
    <w:rsid w:val="66F507CD"/>
    <w:rsid w:val="66F92550"/>
    <w:rsid w:val="67016B09"/>
    <w:rsid w:val="67203D95"/>
    <w:rsid w:val="67597141"/>
    <w:rsid w:val="67F83FF2"/>
    <w:rsid w:val="681B27B3"/>
    <w:rsid w:val="682C56A4"/>
    <w:rsid w:val="683116BC"/>
    <w:rsid w:val="688F3871"/>
    <w:rsid w:val="68D862F5"/>
    <w:rsid w:val="68DC76F5"/>
    <w:rsid w:val="68E74072"/>
    <w:rsid w:val="69173BDC"/>
    <w:rsid w:val="69BD4674"/>
    <w:rsid w:val="6A036769"/>
    <w:rsid w:val="6A325674"/>
    <w:rsid w:val="6A4D2C84"/>
    <w:rsid w:val="6A52291B"/>
    <w:rsid w:val="6A7B10E5"/>
    <w:rsid w:val="6A817F02"/>
    <w:rsid w:val="6A8A48EA"/>
    <w:rsid w:val="6ABF2B74"/>
    <w:rsid w:val="6B351E6F"/>
    <w:rsid w:val="6B7A4051"/>
    <w:rsid w:val="6BBA3B00"/>
    <w:rsid w:val="6BDD581C"/>
    <w:rsid w:val="6BE07043"/>
    <w:rsid w:val="6BE14999"/>
    <w:rsid w:val="6BF427CD"/>
    <w:rsid w:val="6BFB5FD1"/>
    <w:rsid w:val="6C2B3C2F"/>
    <w:rsid w:val="6D12175F"/>
    <w:rsid w:val="6D1F5AF0"/>
    <w:rsid w:val="6D42342C"/>
    <w:rsid w:val="6E1D76E4"/>
    <w:rsid w:val="6E544C48"/>
    <w:rsid w:val="6E67178A"/>
    <w:rsid w:val="6ED54165"/>
    <w:rsid w:val="6F0C74B5"/>
    <w:rsid w:val="6F0F4773"/>
    <w:rsid w:val="6F3657AD"/>
    <w:rsid w:val="6F3B10C9"/>
    <w:rsid w:val="6F5B091E"/>
    <w:rsid w:val="6F8A1C5E"/>
    <w:rsid w:val="6F974373"/>
    <w:rsid w:val="6FAF7C66"/>
    <w:rsid w:val="6FC71802"/>
    <w:rsid w:val="6FC74058"/>
    <w:rsid w:val="70040E87"/>
    <w:rsid w:val="704871A4"/>
    <w:rsid w:val="70592DFA"/>
    <w:rsid w:val="70694F36"/>
    <w:rsid w:val="70880C5C"/>
    <w:rsid w:val="70B523D0"/>
    <w:rsid w:val="70DD3906"/>
    <w:rsid w:val="7109479F"/>
    <w:rsid w:val="719B076B"/>
    <w:rsid w:val="71C160BF"/>
    <w:rsid w:val="71DC2403"/>
    <w:rsid w:val="72EC7281"/>
    <w:rsid w:val="73393BC2"/>
    <w:rsid w:val="737B44DB"/>
    <w:rsid w:val="73842E33"/>
    <w:rsid w:val="73D310AD"/>
    <w:rsid w:val="74262B1B"/>
    <w:rsid w:val="747F1F65"/>
    <w:rsid w:val="74A6094A"/>
    <w:rsid w:val="74CC21DF"/>
    <w:rsid w:val="74E16F35"/>
    <w:rsid w:val="753F3D93"/>
    <w:rsid w:val="75532D3D"/>
    <w:rsid w:val="758805C2"/>
    <w:rsid w:val="7588697C"/>
    <w:rsid w:val="761F2330"/>
    <w:rsid w:val="763F26D5"/>
    <w:rsid w:val="764D0528"/>
    <w:rsid w:val="76621CC3"/>
    <w:rsid w:val="768677C8"/>
    <w:rsid w:val="76C82F19"/>
    <w:rsid w:val="76FC1FA3"/>
    <w:rsid w:val="77045A49"/>
    <w:rsid w:val="77266E5A"/>
    <w:rsid w:val="77291B31"/>
    <w:rsid w:val="775C7088"/>
    <w:rsid w:val="77701354"/>
    <w:rsid w:val="77750DFA"/>
    <w:rsid w:val="77902D8C"/>
    <w:rsid w:val="779A189F"/>
    <w:rsid w:val="781F51BA"/>
    <w:rsid w:val="78494544"/>
    <w:rsid w:val="788E2C97"/>
    <w:rsid w:val="78E431C4"/>
    <w:rsid w:val="78EB4A40"/>
    <w:rsid w:val="796C6682"/>
    <w:rsid w:val="79BB696B"/>
    <w:rsid w:val="79F944AF"/>
    <w:rsid w:val="7A2F69EB"/>
    <w:rsid w:val="7A4413F9"/>
    <w:rsid w:val="7A5711E4"/>
    <w:rsid w:val="7A822D65"/>
    <w:rsid w:val="7AEA0E27"/>
    <w:rsid w:val="7BAF6112"/>
    <w:rsid w:val="7BBE1FE9"/>
    <w:rsid w:val="7C4A702F"/>
    <w:rsid w:val="7C735E4E"/>
    <w:rsid w:val="7D071AF5"/>
    <w:rsid w:val="7D394FD8"/>
    <w:rsid w:val="7D5C4310"/>
    <w:rsid w:val="7D7E7646"/>
    <w:rsid w:val="7DC26738"/>
    <w:rsid w:val="7E972C19"/>
    <w:rsid w:val="7EBB2BFC"/>
    <w:rsid w:val="7F6E4E40"/>
    <w:rsid w:val="7F7E2419"/>
    <w:rsid w:val="7F856BE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3">
    <w:name w:val="heading 1"/>
    <w:basedOn w:val="1"/>
    <w:next w:val="1"/>
    <w:link w:val="120"/>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4">
    <w:name w:val="heading 2"/>
    <w:basedOn w:val="1"/>
    <w:next w:val="1"/>
    <w:link w:val="102"/>
    <w:qFormat/>
    <w:uiPriority w:val="99"/>
    <w:pPr>
      <w:spacing w:before="260" w:after="260" w:line="416" w:lineRule="atLeast"/>
      <w:outlineLvl w:val="1"/>
    </w:pPr>
    <w:rPr>
      <w:rFonts w:ascii="Cambria" w:hAnsi="Cambria"/>
      <w:sz w:val="32"/>
      <w:szCs w:val="32"/>
    </w:rPr>
  </w:style>
  <w:style w:type="paragraph" w:styleId="5">
    <w:name w:val="heading 3"/>
    <w:basedOn w:val="1"/>
    <w:next w:val="1"/>
    <w:link w:val="112"/>
    <w:qFormat/>
    <w:uiPriority w:val="99"/>
    <w:pPr>
      <w:tabs>
        <w:tab w:val="left" w:pos="588"/>
      </w:tabs>
      <w:spacing w:line="360" w:lineRule="auto"/>
      <w:outlineLvl w:val="2"/>
    </w:pPr>
    <w:rPr>
      <w:rFonts w:ascii="Tahoma" w:hAnsi="Tahoma"/>
    </w:rPr>
  </w:style>
  <w:style w:type="paragraph" w:styleId="2">
    <w:name w:val="heading 4"/>
    <w:basedOn w:val="1"/>
    <w:next w:val="1"/>
    <w:link w:val="139"/>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6">
    <w:name w:val="heading 5"/>
    <w:basedOn w:val="1"/>
    <w:next w:val="1"/>
    <w:link w:val="101"/>
    <w:qFormat/>
    <w:uiPriority w:val="99"/>
    <w:pPr>
      <w:keepNext/>
      <w:keepLines/>
      <w:spacing w:before="280" w:after="290" w:line="376" w:lineRule="auto"/>
      <w:ind w:left="1008" w:hanging="1008"/>
      <w:outlineLvl w:val="4"/>
    </w:pPr>
    <w:rPr>
      <w:b/>
      <w:bCs/>
      <w:sz w:val="24"/>
      <w:szCs w:val="28"/>
    </w:rPr>
  </w:style>
  <w:style w:type="paragraph" w:styleId="7">
    <w:name w:val="heading 6"/>
    <w:basedOn w:val="1"/>
    <w:next w:val="1"/>
    <w:link w:val="132"/>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8">
    <w:name w:val="heading 7"/>
    <w:basedOn w:val="1"/>
    <w:next w:val="1"/>
    <w:link w:val="122"/>
    <w:qFormat/>
    <w:uiPriority w:val="99"/>
    <w:pPr>
      <w:keepNext/>
      <w:keepLines/>
      <w:spacing w:before="240" w:after="64" w:line="320" w:lineRule="auto"/>
      <w:ind w:left="1296" w:hanging="1296"/>
      <w:outlineLvl w:val="6"/>
    </w:pPr>
    <w:rPr>
      <w:b/>
      <w:bCs/>
      <w:sz w:val="24"/>
      <w:szCs w:val="28"/>
    </w:rPr>
  </w:style>
  <w:style w:type="paragraph" w:styleId="9">
    <w:name w:val="heading 8"/>
    <w:basedOn w:val="1"/>
    <w:next w:val="1"/>
    <w:link w:val="107"/>
    <w:qFormat/>
    <w:uiPriority w:val="99"/>
    <w:pPr>
      <w:keepNext/>
      <w:keepLines/>
      <w:spacing w:before="240" w:after="64" w:line="320" w:lineRule="auto"/>
      <w:ind w:left="1440" w:hanging="1440"/>
      <w:outlineLvl w:val="7"/>
    </w:pPr>
    <w:rPr>
      <w:rFonts w:ascii="Arial" w:hAnsi="Arial" w:eastAsia="黑体"/>
      <w:sz w:val="24"/>
      <w:szCs w:val="28"/>
    </w:rPr>
  </w:style>
  <w:style w:type="paragraph" w:styleId="10">
    <w:name w:val="heading 9"/>
    <w:basedOn w:val="1"/>
    <w:next w:val="1"/>
    <w:link w:val="124"/>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spacing w:line="440" w:lineRule="exact"/>
      <w:ind w:left="1680"/>
      <w:jc w:val="left"/>
    </w:pPr>
    <w:rPr>
      <w:rFonts w:ascii="Calibri" w:hAnsi="Calibri"/>
      <w:sz w:val="18"/>
      <w:szCs w:val="18"/>
    </w:rPr>
  </w:style>
  <w:style w:type="paragraph" w:styleId="12">
    <w:name w:val="Note Heading"/>
    <w:basedOn w:val="13"/>
    <w:next w:val="13"/>
    <w:link w:val="199"/>
    <w:qFormat/>
    <w:uiPriority w:val="0"/>
    <w:rPr>
      <w:rFonts w:ascii="..ì." w:eastAsia="..ì." w:cs="Times New Roman"/>
      <w:color w:val="auto"/>
      <w:szCs w:val="20"/>
    </w:rPr>
  </w:style>
  <w:style w:type="paragraph" w:customStyle="1" w:styleId="13">
    <w:name w:val="Default"/>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4">
    <w:name w:val="Normal Indent"/>
    <w:basedOn w:val="1"/>
    <w:link w:val="135"/>
    <w:qFormat/>
    <w:uiPriority w:val="0"/>
    <w:pPr>
      <w:spacing w:line="360" w:lineRule="auto"/>
      <w:ind w:firstLine="200" w:firstLineChars="200"/>
    </w:pPr>
    <w:rPr>
      <w:sz w:val="24"/>
      <w:szCs w:val="20"/>
    </w:rPr>
  </w:style>
  <w:style w:type="paragraph" w:styleId="15">
    <w:name w:val="caption"/>
    <w:basedOn w:val="1"/>
    <w:next w:val="1"/>
    <w:link w:val="93"/>
    <w:qFormat/>
    <w:uiPriority w:val="0"/>
    <w:pPr>
      <w:spacing w:line="480" w:lineRule="auto"/>
    </w:pPr>
    <w:rPr>
      <w:rFonts w:ascii="华文中宋" w:eastAsia="华文中宋"/>
      <w:sz w:val="36"/>
      <w:szCs w:val="20"/>
    </w:rPr>
  </w:style>
  <w:style w:type="paragraph" w:styleId="16">
    <w:name w:val="index 5"/>
    <w:basedOn w:val="1"/>
    <w:next w:val="1"/>
    <w:qFormat/>
    <w:uiPriority w:val="99"/>
    <w:pPr>
      <w:ind w:left="800" w:leftChars="800"/>
    </w:pPr>
    <w:rPr>
      <w:rFonts w:eastAsia="宋体"/>
    </w:rPr>
  </w:style>
  <w:style w:type="paragraph" w:styleId="17">
    <w:name w:val="Document Map"/>
    <w:basedOn w:val="1"/>
    <w:link w:val="129"/>
    <w:qFormat/>
    <w:uiPriority w:val="99"/>
    <w:pPr>
      <w:spacing w:line="440" w:lineRule="exact"/>
    </w:pPr>
    <w:rPr>
      <w:rFonts w:ascii="宋体"/>
      <w:sz w:val="18"/>
      <w:szCs w:val="18"/>
    </w:rPr>
  </w:style>
  <w:style w:type="paragraph" w:styleId="18">
    <w:name w:val="toa heading"/>
    <w:basedOn w:val="1"/>
    <w:next w:val="1"/>
    <w:unhideWhenUsed/>
    <w:qFormat/>
    <w:uiPriority w:val="99"/>
    <w:pPr>
      <w:spacing w:before="120"/>
    </w:pPr>
    <w:rPr>
      <w:rFonts w:ascii="Cambria" w:hAnsi="Cambria" w:eastAsia="宋体"/>
      <w:sz w:val="24"/>
    </w:rPr>
  </w:style>
  <w:style w:type="paragraph" w:styleId="19">
    <w:name w:val="annotation text"/>
    <w:basedOn w:val="1"/>
    <w:link w:val="99"/>
    <w:qFormat/>
    <w:uiPriority w:val="0"/>
    <w:pPr>
      <w:jc w:val="left"/>
    </w:pPr>
    <w:rPr>
      <w:rFonts w:ascii="Tahoma" w:hAnsi="Tahoma"/>
    </w:rPr>
  </w:style>
  <w:style w:type="paragraph" w:styleId="20">
    <w:name w:val="Salutation"/>
    <w:basedOn w:val="13"/>
    <w:next w:val="13"/>
    <w:link w:val="198"/>
    <w:qFormat/>
    <w:uiPriority w:val="0"/>
    <w:rPr>
      <w:rFonts w:ascii="..ì." w:eastAsia="..ì." w:cs="Times New Roman"/>
      <w:color w:val="auto"/>
      <w:szCs w:val="20"/>
    </w:rPr>
  </w:style>
  <w:style w:type="paragraph" w:styleId="21">
    <w:name w:val="Body Text 3"/>
    <w:basedOn w:val="1"/>
    <w:link w:val="206"/>
    <w:qFormat/>
    <w:uiPriority w:val="99"/>
    <w:pPr>
      <w:spacing w:after="120"/>
    </w:pPr>
    <w:rPr>
      <w:rFonts w:eastAsia="宋体"/>
      <w:sz w:val="16"/>
      <w:szCs w:val="16"/>
    </w:rPr>
  </w:style>
  <w:style w:type="paragraph" w:styleId="22">
    <w:name w:val="Body Text"/>
    <w:basedOn w:val="1"/>
    <w:next w:val="1"/>
    <w:link w:val="133"/>
    <w:qFormat/>
    <w:uiPriority w:val="99"/>
    <w:pPr>
      <w:spacing w:line="360" w:lineRule="auto"/>
    </w:pPr>
    <w:rPr>
      <w:rFonts w:ascii="Tahoma" w:hAnsi="Tahoma"/>
    </w:rPr>
  </w:style>
  <w:style w:type="paragraph" w:styleId="23">
    <w:name w:val="Body Text Indent"/>
    <w:basedOn w:val="1"/>
    <w:link w:val="165"/>
    <w:qFormat/>
    <w:uiPriority w:val="99"/>
    <w:pPr>
      <w:widowControl/>
      <w:spacing w:line="360" w:lineRule="auto"/>
      <w:ind w:firstLine="709"/>
      <w:jc w:val="left"/>
    </w:pPr>
    <w:rPr>
      <w:rFonts w:ascii="Tahoma" w:hAnsi="Tahoma"/>
    </w:rPr>
  </w:style>
  <w:style w:type="paragraph" w:styleId="24">
    <w:name w:val="Block Text"/>
    <w:basedOn w:val="1"/>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qFormat/>
    <w:uiPriority w:val="0"/>
    <w:pPr>
      <w:numPr>
        <w:ilvl w:val="1"/>
        <w:numId w:val="1"/>
      </w:numPr>
      <w:spacing w:line="360" w:lineRule="auto"/>
    </w:pPr>
    <w:rPr>
      <w:sz w:val="24"/>
      <w:szCs w:val="28"/>
    </w:rPr>
  </w:style>
  <w:style w:type="paragraph" w:styleId="26">
    <w:name w:val="toc 5"/>
    <w:basedOn w:val="1"/>
    <w:next w:val="1"/>
    <w:qFormat/>
    <w:uiPriority w:val="39"/>
    <w:pPr>
      <w:spacing w:line="440" w:lineRule="exact"/>
      <w:ind w:left="1120"/>
      <w:jc w:val="left"/>
    </w:pPr>
    <w:rPr>
      <w:rFonts w:ascii="Calibri" w:hAnsi="Calibri"/>
      <w:sz w:val="18"/>
      <w:szCs w:val="18"/>
    </w:rPr>
  </w:style>
  <w:style w:type="paragraph" w:styleId="27">
    <w:name w:val="toc 3"/>
    <w:basedOn w:val="1"/>
    <w:next w:val="1"/>
    <w:qFormat/>
    <w:uiPriority w:val="39"/>
    <w:pPr>
      <w:tabs>
        <w:tab w:val="right" w:leader="dot" w:pos="8302"/>
      </w:tabs>
      <w:ind w:left="561"/>
      <w:jc w:val="left"/>
    </w:pPr>
    <w:rPr>
      <w:rFonts w:ascii="Calibri" w:hAnsi="Calibri"/>
      <w:iCs/>
      <w:sz w:val="20"/>
      <w:szCs w:val="20"/>
    </w:rPr>
  </w:style>
  <w:style w:type="paragraph" w:styleId="28">
    <w:name w:val="Plain Text"/>
    <w:basedOn w:val="1"/>
    <w:link w:val="220"/>
    <w:qFormat/>
    <w:uiPriority w:val="0"/>
    <w:pPr>
      <w:spacing w:line="360" w:lineRule="auto"/>
    </w:pPr>
    <w:rPr>
      <w:rFonts w:ascii="宋体" w:hAnsi="Courier New"/>
      <w:szCs w:val="21"/>
    </w:rPr>
  </w:style>
  <w:style w:type="paragraph" w:styleId="29">
    <w:name w:val="toc 8"/>
    <w:basedOn w:val="1"/>
    <w:next w:val="1"/>
    <w:qFormat/>
    <w:uiPriority w:val="39"/>
    <w:pPr>
      <w:spacing w:line="440" w:lineRule="exact"/>
      <w:ind w:left="1960"/>
      <w:jc w:val="left"/>
    </w:pPr>
    <w:rPr>
      <w:rFonts w:ascii="Calibri" w:hAnsi="Calibri"/>
      <w:sz w:val="18"/>
      <w:szCs w:val="18"/>
    </w:rPr>
  </w:style>
  <w:style w:type="paragraph" w:styleId="30">
    <w:name w:val="Date"/>
    <w:basedOn w:val="1"/>
    <w:next w:val="1"/>
    <w:link w:val="196"/>
    <w:qFormat/>
    <w:uiPriority w:val="99"/>
    <w:pPr>
      <w:spacing w:line="360" w:lineRule="auto"/>
      <w:ind w:left="2500" w:leftChars="2500"/>
    </w:pPr>
    <w:rPr>
      <w:rFonts w:ascii="Tahoma" w:hAnsi="Tahoma"/>
    </w:rPr>
  </w:style>
  <w:style w:type="paragraph" w:styleId="31">
    <w:name w:val="Body Text Indent 2"/>
    <w:basedOn w:val="1"/>
    <w:link w:val="161"/>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5"/>
    <w:qFormat/>
    <w:uiPriority w:val="0"/>
    <w:rPr>
      <w:sz w:val="18"/>
      <w:szCs w:val="18"/>
    </w:rPr>
  </w:style>
  <w:style w:type="paragraph" w:styleId="33">
    <w:name w:val="footer"/>
    <w:basedOn w:val="1"/>
    <w:link w:val="136"/>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1"/>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qFormat/>
    <w:uiPriority w:val="39"/>
    <w:pPr>
      <w:spacing w:line="440" w:lineRule="exact"/>
      <w:ind w:left="840"/>
      <w:jc w:val="left"/>
    </w:pPr>
    <w:rPr>
      <w:rFonts w:ascii="Calibri" w:hAnsi="Calibri"/>
      <w:sz w:val="18"/>
      <w:szCs w:val="18"/>
    </w:rPr>
  </w:style>
  <w:style w:type="paragraph" w:styleId="37">
    <w:name w:val="List"/>
    <w:basedOn w:val="1"/>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qFormat/>
    <w:uiPriority w:val="39"/>
    <w:pPr>
      <w:spacing w:line="440" w:lineRule="exact"/>
      <w:ind w:left="1400"/>
      <w:jc w:val="left"/>
    </w:pPr>
    <w:rPr>
      <w:rFonts w:ascii="Calibri" w:hAnsi="Calibri"/>
      <w:sz w:val="18"/>
      <w:szCs w:val="18"/>
    </w:rPr>
  </w:style>
  <w:style w:type="paragraph" w:styleId="39">
    <w:name w:val="Body Text Indent 3"/>
    <w:basedOn w:val="1"/>
    <w:link w:val="209"/>
    <w:qFormat/>
    <w:uiPriority w:val="99"/>
    <w:pPr>
      <w:spacing w:after="120"/>
      <w:ind w:left="420" w:leftChars="200"/>
    </w:pPr>
    <w:rPr>
      <w:sz w:val="16"/>
      <w:szCs w:val="16"/>
    </w:rPr>
  </w:style>
  <w:style w:type="paragraph" w:styleId="40">
    <w:name w:val="toc 2"/>
    <w:basedOn w:val="1"/>
    <w:next w:val="1"/>
    <w:qFormat/>
    <w:uiPriority w:val="39"/>
    <w:pPr>
      <w:widowControl/>
      <w:adjustRightInd w:val="0"/>
      <w:spacing w:line="300" w:lineRule="auto"/>
      <w:jc w:val="center"/>
    </w:pPr>
    <w:rPr>
      <w:rFonts w:eastAsia="黑体"/>
      <w:smallCaps/>
      <w:kern w:val="0"/>
      <w:sz w:val="24"/>
    </w:rPr>
  </w:style>
  <w:style w:type="paragraph" w:styleId="41">
    <w:name w:val="toc 9"/>
    <w:basedOn w:val="1"/>
    <w:next w:val="1"/>
    <w:qFormat/>
    <w:uiPriority w:val="39"/>
    <w:pPr>
      <w:spacing w:line="440" w:lineRule="exact"/>
      <w:ind w:left="2240"/>
      <w:jc w:val="left"/>
    </w:pPr>
    <w:rPr>
      <w:rFonts w:ascii="Calibri" w:hAnsi="Calibri"/>
      <w:sz w:val="18"/>
      <w:szCs w:val="18"/>
    </w:rPr>
  </w:style>
  <w:style w:type="paragraph" w:styleId="42">
    <w:name w:val="Body Text 2"/>
    <w:basedOn w:val="1"/>
    <w:link w:val="167"/>
    <w:qFormat/>
    <w:uiPriority w:val="99"/>
    <w:pPr>
      <w:spacing w:line="360" w:lineRule="auto"/>
      <w:ind w:right="26"/>
    </w:pPr>
    <w:rPr>
      <w:rFonts w:ascii="宋体" w:eastAsia="宋体"/>
      <w:szCs w:val="20"/>
    </w:rPr>
  </w:style>
  <w:style w:type="paragraph" w:styleId="43">
    <w:name w:val="HTML Preformatted"/>
    <w:basedOn w:val="1"/>
    <w:link w:val="29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qFormat/>
    <w:uiPriority w:val="99"/>
    <w:pPr>
      <w:spacing w:line="220" w:lineRule="exact"/>
      <w:jc w:val="center"/>
    </w:pPr>
    <w:rPr>
      <w:rFonts w:ascii="仿宋_GB2312" w:eastAsia="仿宋_GB2312"/>
      <w:szCs w:val="21"/>
    </w:rPr>
  </w:style>
  <w:style w:type="paragraph" w:styleId="46">
    <w:name w:val="Title"/>
    <w:basedOn w:val="1"/>
    <w:next w:val="1"/>
    <w:link w:val="123"/>
    <w:qFormat/>
    <w:uiPriority w:val="0"/>
    <w:pPr>
      <w:spacing w:before="240" w:after="60" w:line="440" w:lineRule="exact"/>
      <w:jc w:val="center"/>
      <w:outlineLvl w:val="0"/>
    </w:pPr>
    <w:rPr>
      <w:rFonts w:ascii="Cambria" w:hAnsi="Cambria"/>
      <w:b/>
      <w:bCs/>
      <w:sz w:val="32"/>
      <w:szCs w:val="32"/>
    </w:rPr>
  </w:style>
  <w:style w:type="paragraph" w:styleId="47">
    <w:name w:val="annotation subject"/>
    <w:basedOn w:val="19"/>
    <w:next w:val="19"/>
    <w:link w:val="127"/>
    <w:unhideWhenUsed/>
    <w:qFormat/>
    <w:uiPriority w:val="99"/>
    <w:pPr>
      <w:spacing w:line="440" w:lineRule="exact"/>
    </w:pPr>
    <w:rPr>
      <w:b/>
      <w:bCs/>
      <w:sz w:val="24"/>
      <w:szCs w:val="28"/>
    </w:rPr>
  </w:style>
  <w:style w:type="paragraph" w:styleId="48">
    <w:name w:val="Body Text First Indent"/>
    <w:basedOn w:val="22"/>
    <w:link w:val="130"/>
    <w:qFormat/>
    <w:uiPriority w:val="0"/>
    <w:pPr>
      <w:spacing w:after="120" w:line="240" w:lineRule="auto"/>
      <w:ind w:firstLine="100" w:firstLineChars="100"/>
    </w:pPr>
  </w:style>
  <w:style w:type="paragraph" w:styleId="49">
    <w:name w:val="Body Text First Indent 2"/>
    <w:basedOn w:val="23"/>
    <w:link w:val="166"/>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style>
  <w:style w:type="character" w:styleId="54">
    <w:name w:val="page number"/>
    <w:basedOn w:val="52"/>
    <w:qFormat/>
    <w:uiPriority w:val="99"/>
  </w:style>
  <w:style w:type="character" w:styleId="55">
    <w:name w:val="FollowedHyperlink"/>
    <w:unhideWhenUsed/>
    <w:qFormat/>
    <w:uiPriority w:val="99"/>
    <w:rPr>
      <w:color w:val="954F72"/>
      <w:u w:val="single"/>
    </w:rPr>
  </w:style>
  <w:style w:type="character" w:styleId="56">
    <w:name w:val="Emphasis"/>
    <w:qFormat/>
    <w:uiPriority w:val="0"/>
    <w:rPr>
      <w:i/>
      <w:iCs/>
    </w:rPr>
  </w:style>
  <w:style w:type="character" w:styleId="57">
    <w:name w:val="HTML Definition"/>
    <w:unhideWhenUsed/>
    <w:qFormat/>
    <w:uiPriority w:val="0"/>
  </w:style>
  <w:style w:type="character" w:styleId="58">
    <w:name w:val="HTML Variable"/>
    <w:unhideWhenUsed/>
    <w:qFormat/>
    <w:uiPriority w:val="0"/>
  </w:style>
  <w:style w:type="character" w:styleId="59">
    <w:name w:val="Hyperlink"/>
    <w:qFormat/>
    <w:uiPriority w:val="99"/>
    <w:rPr>
      <w:rFonts w:hint="eastAsia" w:ascii="宋体" w:hAnsi="宋体" w:eastAsia="宋体" w:cs="宋体"/>
      <w:color w:val="004A85"/>
      <w:sz w:val="12"/>
      <w:szCs w:val="12"/>
      <w:u w:val="single"/>
    </w:rPr>
  </w:style>
  <w:style w:type="character" w:styleId="60">
    <w:name w:val="HTML Code"/>
    <w:unhideWhenUsed/>
    <w:qFormat/>
    <w:uiPriority w:val="0"/>
    <w:rPr>
      <w:rFonts w:ascii="Courier New" w:hAnsi="Courier New"/>
      <w:sz w:val="20"/>
    </w:rPr>
  </w:style>
  <w:style w:type="character" w:styleId="61">
    <w:name w:val="annotation reference"/>
    <w:qFormat/>
    <w:uiPriority w:val="99"/>
    <w:rPr>
      <w:sz w:val="21"/>
      <w:szCs w:val="21"/>
    </w:rPr>
  </w:style>
  <w:style w:type="character" w:styleId="62">
    <w:name w:val="HTML Cite"/>
    <w:unhideWhenUsed/>
    <w:qFormat/>
    <w:uiPriority w:val="0"/>
  </w:style>
  <w:style w:type="paragraph" w:customStyle="1" w:styleId="63">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64">
    <w:name w:val="列出段落2"/>
    <w:basedOn w:val="1"/>
    <w:unhideWhenUsed/>
    <w:qFormat/>
    <w:uiPriority w:val="0"/>
    <w:pPr>
      <w:ind w:firstLine="420" w:firstLineChars="200"/>
    </w:pPr>
  </w:style>
  <w:style w:type="paragraph" w:customStyle="1" w:styleId="65">
    <w:name w:val="题头内容"/>
    <w:basedOn w:val="1"/>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6">
    <w:name w:val="_Style 67"/>
    <w:basedOn w:val="1"/>
    <w:next w:val="67"/>
    <w:qFormat/>
    <w:uiPriority w:val="99"/>
    <w:pPr>
      <w:ind w:firstLine="420" w:firstLineChars="200"/>
    </w:pPr>
    <w:rPr>
      <w:rFonts w:ascii="Calibri" w:hAnsi="Calibri"/>
      <w:szCs w:val="22"/>
    </w:rPr>
  </w:style>
  <w:style w:type="paragraph" w:styleId="67">
    <w:name w:val="List Paragraph"/>
    <w:basedOn w:val="1"/>
    <w:qFormat/>
    <w:uiPriority w:val="34"/>
    <w:pPr>
      <w:ind w:firstLine="420" w:firstLineChars="200"/>
    </w:pPr>
    <w:rPr>
      <w:rFonts w:ascii="Calibri" w:hAnsi="Calibri" w:eastAsia="宋体"/>
      <w:szCs w:val="22"/>
    </w:rPr>
  </w:style>
  <w:style w:type="paragraph" w:customStyle="1" w:styleId="68">
    <w:name w:val="_Style 2"/>
    <w:basedOn w:val="1"/>
    <w:qFormat/>
    <w:uiPriority w:val="34"/>
    <w:pPr>
      <w:ind w:firstLine="420" w:firstLineChars="200"/>
    </w:pPr>
    <w:rPr>
      <w:rFonts w:ascii="Calibri" w:hAnsi="Calibri"/>
      <w:szCs w:val="22"/>
    </w:rPr>
  </w:style>
  <w:style w:type="paragraph" w:customStyle="1" w:styleId="69">
    <w:name w:val="列出段落1"/>
    <w:basedOn w:val="1"/>
    <w:qFormat/>
    <w:uiPriority w:val="0"/>
    <w:pPr>
      <w:adjustRightInd w:val="0"/>
      <w:spacing w:line="300" w:lineRule="auto"/>
      <w:ind w:firstLine="420" w:firstLineChars="200"/>
      <w:textAlignment w:val="baseline"/>
    </w:pPr>
    <w:rPr>
      <w:kern w:val="0"/>
      <w:sz w:val="24"/>
    </w:rPr>
  </w:style>
  <w:style w:type="paragraph" w:customStyle="1" w:styleId="70">
    <w:name w:val="TOC 标题1"/>
    <w:basedOn w:val="3"/>
    <w:next w:val="1"/>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1">
    <w:name w:val="封面落款"/>
    <w:basedOn w:val="1"/>
    <w:qFormat/>
    <w:uiPriority w:val="0"/>
    <w:pPr>
      <w:spacing w:line="360" w:lineRule="auto"/>
      <w:jc w:val="center"/>
    </w:pPr>
    <w:rPr>
      <w:rFonts w:ascii="Arial" w:hAnsi="Arial" w:eastAsia="黑体"/>
      <w:sz w:val="32"/>
      <w:szCs w:val="28"/>
    </w:rPr>
  </w:style>
  <w:style w:type="paragraph" w:customStyle="1" w:styleId="72">
    <w:name w:val="目录"/>
    <w:link w:val="104"/>
    <w:qFormat/>
    <w:uiPriority w:val="0"/>
    <w:pPr>
      <w:spacing w:before="156" w:after="156"/>
    </w:pPr>
    <w:rPr>
      <w:rFonts w:ascii="仿宋_GB2312" w:hAnsi="宋体" w:eastAsia="仿宋_GB2312" w:cs="Times New Roman"/>
      <w:sz w:val="28"/>
      <w:szCs w:val="28"/>
      <w:lang w:val="en-US" w:eastAsia="zh-CN" w:bidi="ar-SA"/>
    </w:rPr>
  </w:style>
  <w:style w:type="paragraph" w:customStyle="1" w:styleId="73">
    <w:name w:val="表格字体小四"/>
    <w:link w:val="103"/>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4">
    <w:name w:val="样式 标题 5 + 小四"/>
    <w:basedOn w:val="6"/>
    <w:qFormat/>
    <w:uiPriority w:val="0"/>
    <w:pPr>
      <w:tabs>
        <w:tab w:val="left" w:pos="567"/>
      </w:tabs>
      <w:wordWrap w:val="0"/>
      <w:spacing w:line="377" w:lineRule="auto"/>
      <w:ind w:left="567" w:hanging="567"/>
      <w:jc w:val="left"/>
    </w:pPr>
  </w:style>
  <w:style w:type="paragraph" w:customStyle="1" w:styleId="75">
    <w:name w:val="表格格式"/>
    <w:basedOn w:val="1"/>
    <w:qFormat/>
    <w:uiPriority w:val="0"/>
    <w:pPr>
      <w:adjustRightInd w:val="0"/>
      <w:snapToGrid w:val="0"/>
      <w:jc w:val="left"/>
      <w:textAlignment w:val="baseline"/>
    </w:pPr>
    <w:rPr>
      <w:rFonts w:ascii="宋体"/>
      <w:kern w:val="0"/>
      <w:szCs w:val="20"/>
    </w:rPr>
  </w:style>
  <w:style w:type="paragraph" w:customStyle="1" w:styleId="76">
    <w:name w:val="样式5"/>
    <w:basedOn w:val="14"/>
    <w:qFormat/>
    <w:uiPriority w:val="0"/>
    <w:pPr>
      <w:ind w:firstLine="420"/>
    </w:pPr>
    <w:rPr>
      <w:sz w:val="21"/>
      <w:szCs w:val="21"/>
    </w:rPr>
  </w:style>
  <w:style w:type="paragraph" w:customStyle="1" w:styleId="77">
    <w:name w:val="标题2"/>
    <w:basedOn w:val="4"/>
    <w:next w:val="1"/>
    <w:link w:val="94"/>
    <w:qFormat/>
    <w:uiPriority w:val="0"/>
    <w:pPr>
      <w:widowControl/>
      <w:spacing w:beforeLines="10" w:afterLines="10" w:line="240" w:lineRule="auto"/>
      <w:jc w:val="left"/>
    </w:pPr>
    <w:rPr>
      <w:rFonts w:ascii="Times New Roman" w:hAnsi="Times New Roman" w:eastAsia="黑体"/>
      <w:b/>
      <w:bCs/>
      <w:szCs w:val="24"/>
    </w:rPr>
  </w:style>
  <w:style w:type="paragraph" w:customStyle="1" w:styleId="78">
    <w:name w:val="三级"/>
    <w:basedOn w:val="4"/>
    <w:link w:val="105"/>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79">
    <w:name w:val="样式2"/>
    <w:basedOn w:val="1"/>
    <w:link w:val="117"/>
    <w:qFormat/>
    <w:uiPriority w:val="0"/>
    <w:pPr>
      <w:spacing w:line="300" w:lineRule="auto"/>
      <w:jc w:val="center"/>
      <w:outlineLvl w:val="0"/>
    </w:pPr>
    <w:rPr>
      <w:b/>
      <w:sz w:val="24"/>
    </w:rPr>
  </w:style>
  <w:style w:type="paragraph" w:customStyle="1" w:styleId="80">
    <w:name w:val="Char1"/>
    <w:basedOn w:val="1"/>
    <w:qFormat/>
    <w:uiPriority w:val="0"/>
    <w:pPr>
      <w:adjustRightInd w:val="0"/>
      <w:spacing w:line="360" w:lineRule="auto"/>
    </w:pPr>
    <w:rPr>
      <w:kern w:val="0"/>
      <w:sz w:val="24"/>
      <w:szCs w:val="20"/>
    </w:rPr>
  </w:style>
  <w:style w:type="paragraph" w:customStyle="1" w:styleId="81">
    <w:name w:val="表格标题(居中)"/>
    <w:basedOn w:val="1"/>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2">
    <w:name w:val="标题3"/>
    <w:basedOn w:val="5"/>
    <w:next w:val="1"/>
    <w:link w:val="138"/>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3">
    <w:name w:val="图表正文"/>
    <w:basedOn w:val="1"/>
    <w:qFormat/>
    <w:uiPriority w:val="0"/>
    <w:pPr>
      <w:tabs>
        <w:tab w:val="left" w:pos="2117"/>
      </w:tabs>
      <w:spacing w:beforeLines="50" w:afterLines="50" w:line="276" w:lineRule="auto"/>
      <w:jc w:val="center"/>
    </w:pPr>
    <w:rPr>
      <w:rFonts w:ascii="宋体" w:hAnsi="宋体"/>
      <w:color w:val="000000"/>
      <w:szCs w:val="21"/>
    </w:rPr>
  </w:style>
  <w:style w:type="paragraph" w:customStyle="1" w:styleId="84">
    <w:name w:val="表格标题"/>
    <w:basedOn w:val="15"/>
    <w:link w:val="131"/>
    <w:qFormat/>
    <w:uiPriority w:val="0"/>
    <w:pPr>
      <w:spacing w:before="152" w:after="160" w:line="420" w:lineRule="exact"/>
      <w:ind w:firstLine="480" w:firstLineChars="200"/>
      <w:jc w:val="center"/>
    </w:pPr>
    <w:rPr>
      <w:rFonts w:ascii="Arial" w:hAnsi="Arial" w:eastAsia="宋体"/>
      <w:sz w:val="24"/>
      <w:szCs w:val="24"/>
    </w:rPr>
  </w:style>
  <w:style w:type="paragraph" w:customStyle="1" w:styleId="85">
    <w:name w:val="正文小4号字缩进2字符"/>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6">
    <w:name w:val="图片"/>
    <w:basedOn w:val="1"/>
    <w:link w:val="119"/>
    <w:qFormat/>
    <w:uiPriority w:val="0"/>
    <w:pPr>
      <w:jc w:val="center"/>
    </w:pPr>
    <w:rPr>
      <w:sz w:val="28"/>
      <w:szCs w:val="28"/>
    </w:rPr>
  </w:style>
  <w:style w:type="paragraph" w:customStyle="1" w:styleId="87">
    <w:name w:val="正文首行缩进1"/>
    <w:basedOn w:val="22"/>
    <w:qFormat/>
    <w:uiPriority w:val="0"/>
    <w:pPr>
      <w:suppressAutoHyphens/>
      <w:spacing w:line="300" w:lineRule="auto"/>
      <w:ind w:left="426"/>
    </w:pPr>
    <w:rPr>
      <w:rFonts w:ascii="宋体" w:hAnsi="宋体"/>
      <w:szCs w:val="20"/>
    </w:rPr>
  </w:style>
  <w:style w:type="paragraph" w:customStyle="1" w:styleId="88">
    <w:name w:val="纯文本1"/>
    <w:basedOn w:val="1"/>
    <w:qFormat/>
    <w:uiPriority w:val="0"/>
    <w:rPr>
      <w:rFonts w:ascii="宋体" w:hAnsi="Courier New"/>
    </w:rPr>
  </w:style>
  <w:style w:type="paragraph" w:customStyle="1" w:styleId="89">
    <w:name w:val="样式 首行不缩进"/>
    <w:basedOn w:val="1"/>
    <w:qFormat/>
    <w:uiPriority w:val="0"/>
    <w:pPr>
      <w:spacing w:before="120" w:after="120" w:line="360" w:lineRule="auto"/>
      <w:jc w:val="center"/>
    </w:pPr>
    <w:rPr>
      <w:rFonts w:cs="宋体"/>
      <w:sz w:val="24"/>
      <w:szCs w:val="20"/>
    </w:rPr>
  </w:style>
  <w:style w:type="paragraph" w:customStyle="1" w:styleId="90">
    <w:name w:val="图题"/>
    <w:link w:val="113"/>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1">
    <w:name w:val="小列表"/>
    <w:basedOn w:val="1"/>
    <w:link w:val="97"/>
    <w:qFormat/>
    <w:uiPriority w:val="0"/>
    <w:pPr>
      <w:numPr>
        <w:ilvl w:val="0"/>
        <w:numId w:val="2"/>
      </w:numPr>
      <w:autoSpaceDE w:val="0"/>
      <w:autoSpaceDN w:val="0"/>
      <w:spacing w:line="440" w:lineRule="exact"/>
      <w:ind w:firstLine="0"/>
    </w:pPr>
    <w:rPr>
      <w:sz w:val="24"/>
      <w:szCs w:val="28"/>
    </w:rPr>
  </w:style>
  <w:style w:type="paragraph" w:customStyle="1" w:styleId="92">
    <w:name w:val="表格正文"/>
    <w:basedOn w:val="1"/>
    <w:qFormat/>
    <w:uiPriority w:val="0"/>
    <w:pPr>
      <w:widowControl/>
      <w:snapToGrid w:val="0"/>
      <w:spacing w:before="60" w:after="60"/>
      <w:ind w:left="11"/>
      <w:jc w:val="center"/>
    </w:pPr>
    <w:rPr>
      <w:kern w:val="0"/>
      <w:szCs w:val="21"/>
    </w:rPr>
  </w:style>
  <w:style w:type="character" w:customStyle="1" w:styleId="93">
    <w:name w:val="题注 Char"/>
    <w:link w:val="15"/>
    <w:qFormat/>
    <w:uiPriority w:val="0"/>
    <w:rPr>
      <w:rFonts w:ascii="华文中宋" w:eastAsia="华文中宋"/>
      <w:kern w:val="2"/>
      <w:sz w:val="36"/>
    </w:rPr>
  </w:style>
  <w:style w:type="character" w:customStyle="1" w:styleId="94">
    <w:name w:val="标题2 Char Char"/>
    <w:link w:val="77"/>
    <w:qFormat/>
    <w:uiPriority w:val="0"/>
    <w:rPr>
      <w:rFonts w:eastAsia="黑体"/>
      <w:kern w:val="2"/>
      <w:sz w:val="32"/>
      <w:szCs w:val="24"/>
    </w:rPr>
  </w:style>
  <w:style w:type="character" w:customStyle="1" w:styleId="95">
    <w:name w:val="批注框文本 Char"/>
    <w:link w:val="32"/>
    <w:qFormat/>
    <w:uiPriority w:val="0"/>
    <w:rPr>
      <w:kern w:val="2"/>
      <w:sz w:val="18"/>
      <w:szCs w:val="18"/>
    </w:rPr>
  </w:style>
  <w:style w:type="character" w:customStyle="1" w:styleId="96">
    <w:name w:val="refresh"/>
    <w:basedOn w:val="52"/>
    <w:qFormat/>
    <w:uiPriority w:val="0"/>
  </w:style>
  <w:style w:type="character" w:customStyle="1" w:styleId="97">
    <w:name w:val="小列表 Char Char"/>
    <w:link w:val="91"/>
    <w:qFormat/>
    <w:uiPriority w:val="0"/>
    <w:rPr>
      <w:rFonts w:eastAsia="Arial Unicode MS"/>
      <w:kern w:val="2"/>
      <w:sz w:val="24"/>
      <w:szCs w:val="28"/>
    </w:rPr>
  </w:style>
  <w:style w:type="character" w:customStyle="1" w:styleId="98">
    <w:name w:val="del"/>
    <w:basedOn w:val="52"/>
    <w:qFormat/>
    <w:uiPriority w:val="0"/>
  </w:style>
  <w:style w:type="character" w:customStyle="1" w:styleId="99">
    <w:name w:val="批注文字 Char1"/>
    <w:link w:val="19"/>
    <w:qFormat/>
    <w:uiPriority w:val="0"/>
    <w:rPr>
      <w:rFonts w:ascii="Tahoma" w:hAnsi="Tahoma"/>
      <w:kern w:val="2"/>
      <w:sz w:val="21"/>
      <w:szCs w:val="24"/>
    </w:rPr>
  </w:style>
  <w:style w:type="character" w:customStyle="1" w:styleId="100">
    <w:name w:val="正文缩进 Char1"/>
    <w:qFormat/>
    <w:uiPriority w:val="0"/>
    <w:rPr>
      <w:rFonts w:eastAsia="宋体"/>
      <w:kern w:val="2"/>
      <w:sz w:val="21"/>
      <w:szCs w:val="24"/>
      <w:lang w:val="en-US" w:eastAsia="zh-CN" w:bidi="ar-SA"/>
    </w:rPr>
  </w:style>
  <w:style w:type="character" w:customStyle="1" w:styleId="101">
    <w:name w:val="标题 5 Char"/>
    <w:link w:val="6"/>
    <w:qFormat/>
    <w:uiPriority w:val="99"/>
    <w:rPr>
      <w:b/>
      <w:bCs/>
      <w:kern w:val="2"/>
      <w:sz w:val="24"/>
      <w:szCs w:val="28"/>
    </w:rPr>
  </w:style>
  <w:style w:type="character" w:customStyle="1" w:styleId="102">
    <w:name w:val="标题 2 Char"/>
    <w:link w:val="4"/>
    <w:qFormat/>
    <w:uiPriority w:val="99"/>
    <w:rPr>
      <w:rFonts w:ascii="Cambria" w:hAnsi="Cambria"/>
      <w:b/>
      <w:bCs/>
      <w:kern w:val="2"/>
      <w:sz w:val="32"/>
      <w:szCs w:val="32"/>
    </w:rPr>
  </w:style>
  <w:style w:type="character" w:customStyle="1" w:styleId="103">
    <w:name w:val="表格字体小四 Char Char"/>
    <w:link w:val="73"/>
    <w:qFormat/>
    <w:uiPriority w:val="0"/>
    <w:rPr>
      <w:kern w:val="2"/>
      <w:sz w:val="24"/>
      <w:szCs w:val="24"/>
      <w:lang w:val="en-US" w:eastAsia="zh-CN" w:bidi="ar-SA"/>
    </w:rPr>
  </w:style>
  <w:style w:type="character" w:customStyle="1" w:styleId="104">
    <w:name w:val="目录 Char Char"/>
    <w:link w:val="72"/>
    <w:qFormat/>
    <w:uiPriority w:val="0"/>
    <w:rPr>
      <w:rFonts w:ascii="仿宋_GB2312" w:hAnsi="宋体" w:eastAsia="仿宋_GB2312"/>
      <w:sz w:val="28"/>
      <w:szCs w:val="28"/>
      <w:lang w:val="en-US" w:eastAsia="zh-CN" w:bidi="ar-SA"/>
    </w:rPr>
  </w:style>
  <w:style w:type="character" w:customStyle="1" w:styleId="105">
    <w:name w:val="三级 Char Char"/>
    <w:link w:val="78"/>
    <w:qFormat/>
    <w:uiPriority w:val="0"/>
    <w:rPr>
      <w:rFonts w:eastAsia="黑体"/>
      <w:bCs/>
      <w:kern w:val="2"/>
      <w:sz w:val="30"/>
      <w:szCs w:val="24"/>
    </w:rPr>
  </w:style>
  <w:style w:type="character" w:customStyle="1" w:styleId="106">
    <w:name w:val="label"/>
    <w:basedOn w:val="52"/>
    <w:qFormat/>
    <w:uiPriority w:val="0"/>
  </w:style>
  <w:style w:type="character" w:customStyle="1" w:styleId="107">
    <w:name w:val="标题 8 Char"/>
    <w:link w:val="9"/>
    <w:qFormat/>
    <w:uiPriority w:val="99"/>
    <w:rPr>
      <w:rFonts w:ascii="Arial" w:hAnsi="Arial" w:eastAsia="黑体"/>
      <w:kern w:val="2"/>
      <w:sz w:val="24"/>
      <w:szCs w:val="28"/>
    </w:rPr>
  </w:style>
  <w:style w:type="character" w:customStyle="1" w:styleId="108">
    <w:name w:val="open2"/>
    <w:basedOn w:val="52"/>
    <w:qFormat/>
    <w:uiPriority w:val="0"/>
  </w:style>
  <w:style w:type="character" w:customStyle="1" w:styleId="109">
    <w:name w:val="15"/>
    <w:qFormat/>
    <w:uiPriority w:val="0"/>
    <w:rPr>
      <w:rFonts w:hint="default" w:ascii="Calibri" w:hAnsi="Calibri" w:cs="Calibri"/>
      <w:color w:val="0000FF"/>
      <w:u w:val="single"/>
    </w:rPr>
  </w:style>
  <w:style w:type="character" w:customStyle="1" w:styleId="110">
    <w:name w:val="trans"/>
    <w:basedOn w:val="52"/>
    <w:qFormat/>
    <w:uiPriority w:val="0"/>
  </w:style>
  <w:style w:type="character" w:customStyle="1" w:styleId="111">
    <w:name w:val="del2"/>
    <w:basedOn w:val="52"/>
    <w:qFormat/>
    <w:uiPriority w:val="0"/>
  </w:style>
  <w:style w:type="character" w:customStyle="1" w:styleId="112">
    <w:name w:val="标题 3 Char"/>
    <w:link w:val="5"/>
    <w:qFormat/>
    <w:uiPriority w:val="99"/>
    <w:rPr>
      <w:rFonts w:ascii="Tahoma" w:hAnsi="Tahoma"/>
      <w:b/>
      <w:bCs/>
      <w:kern w:val="2"/>
      <w:sz w:val="32"/>
      <w:szCs w:val="32"/>
    </w:rPr>
  </w:style>
  <w:style w:type="character" w:customStyle="1" w:styleId="113">
    <w:name w:val="图题 Char Char"/>
    <w:link w:val="90"/>
    <w:qFormat/>
    <w:uiPriority w:val="0"/>
    <w:rPr>
      <w:kern w:val="2"/>
      <w:sz w:val="24"/>
      <w:szCs w:val="24"/>
      <w:lang w:val="en-US" w:eastAsia="zh-CN" w:bidi="ar-SA"/>
    </w:rPr>
  </w:style>
  <w:style w:type="character" w:customStyle="1" w:styleId="114">
    <w:name w:val="pagelinks"/>
    <w:basedOn w:val="52"/>
    <w:qFormat/>
    <w:uiPriority w:val="0"/>
  </w:style>
  <w:style w:type="character" w:customStyle="1" w:styleId="115">
    <w:name w:val="morewin"/>
    <w:basedOn w:val="52"/>
    <w:qFormat/>
    <w:uiPriority w:val="0"/>
  </w:style>
  <w:style w:type="character" w:customStyle="1" w:styleId="116">
    <w:name w:val="open"/>
    <w:basedOn w:val="52"/>
    <w:qFormat/>
    <w:uiPriority w:val="0"/>
  </w:style>
  <w:style w:type="character" w:customStyle="1" w:styleId="117">
    <w:name w:val="样式2 Char Char"/>
    <w:link w:val="79"/>
    <w:qFormat/>
    <w:uiPriority w:val="0"/>
    <w:rPr>
      <w:b/>
      <w:kern w:val="2"/>
      <w:sz w:val="24"/>
      <w:szCs w:val="24"/>
    </w:rPr>
  </w:style>
  <w:style w:type="character" w:customStyle="1" w:styleId="118">
    <w:name w:val="批注文字 Char"/>
    <w:qFormat/>
    <w:uiPriority w:val="99"/>
    <w:rPr>
      <w:kern w:val="2"/>
      <w:sz w:val="24"/>
      <w:szCs w:val="28"/>
    </w:rPr>
  </w:style>
  <w:style w:type="character" w:customStyle="1" w:styleId="119">
    <w:name w:val="图片 Char Char"/>
    <w:link w:val="86"/>
    <w:qFormat/>
    <w:uiPriority w:val="0"/>
    <w:rPr>
      <w:kern w:val="2"/>
      <w:sz w:val="28"/>
      <w:szCs w:val="28"/>
    </w:rPr>
  </w:style>
  <w:style w:type="character" w:customStyle="1" w:styleId="120">
    <w:name w:val="标题 1 Char"/>
    <w:link w:val="3"/>
    <w:qFormat/>
    <w:uiPriority w:val="99"/>
    <w:rPr>
      <w:rFonts w:ascii="Tahoma" w:hAnsi="Tahoma"/>
      <w:b/>
      <w:bCs/>
      <w:kern w:val="44"/>
      <w:sz w:val="24"/>
      <w:szCs w:val="44"/>
    </w:rPr>
  </w:style>
  <w:style w:type="character" w:customStyle="1" w:styleId="121">
    <w:name w:val="页眉 Char"/>
    <w:link w:val="34"/>
    <w:qFormat/>
    <w:uiPriority w:val="99"/>
    <w:rPr>
      <w:rFonts w:ascii="Tahoma" w:hAnsi="Tahoma"/>
      <w:kern w:val="2"/>
      <w:sz w:val="18"/>
      <w:szCs w:val="18"/>
    </w:rPr>
  </w:style>
  <w:style w:type="character" w:customStyle="1" w:styleId="122">
    <w:name w:val="标题 7 Char"/>
    <w:link w:val="8"/>
    <w:qFormat/>
    <w:uiPriority w:val="99"/>
    <w:rPr>
      <w:b/>
      <w:bCs/>
      <w:kern w:val="2"/>
      <w:sz w:val="24"/>
      <w:szCs w:val="28"/>
    </w:rPr>
  </w:style>
  <w:style w:type="character" w:customStyle="1" w:styleId="123">
    <w:name w:val="标题 Char"/>
    <w:link w:val="46"/>
    <w:qFormat/>
    <w:uiPriority w:val="0"/>
    <w:rPr>
      <w:rFonts w:ascii="Cambria" w:hAnsi="Cambria"/>
      <w:b/>
      <w:bCs/>
      <w:kern w:val="2"/>
      <w:sz w:val="32"/>
      <w:szCs w:val="32"/>
    </w:rPr>
  </w:style>
  <w:style w:type="character" w:customStyle="1" w:styleId="124">
    <w:name w:val="标题 9 Char"/>
    <w:link w:val="10"/>
    <w:qFormat/>
    <w:uiPriority w:val="99"/>
    <w:rPr>
      <w:rFonts w:ascii="Arial" w:hAnsi="Arial" w:eastAsia="黑体"/>
      <w:kern w:val="2"/>
      <w:sz w:val="24"/>
      <w:szCs w:val="21"/>
    </w:rPr>
  </w:style>
  <w:style w:type="character" w:customStyle="1" w:styleId="125">
    <w:name w:val="error"/>
    <w:qFormat/>
    <w:uiPriority w:val="0"/>
    <w:rPr>
      <w:color w:val="CC0000"/>
    </w:rPr>
  </w:style>
  <w:style w:type="character" w:customStyle="1" w:styleId="126">
    <w:name w:val="add"/>
    <w:basedOn w:val="52"/>
    <w:qFormat/>
    <w:uiPriority w:val="0"/>
  </w:style>
  <w:style w:type="character" w:customStyle="1" w:styleId="127">
    <w:name w:val="批注主题 Char"/>
    <w:link w:val="47"/>
    <w:qFormat/>
    <w:uiPriority w:val="99"/>
    <w:rPr>
      <w:rFonts w:ascii="Tahoma" w:hAnsi="Tahoma"/>
      <w:b/>
      <w:bCs/>
      <w:kern w:val="2"/>
      <w:sz w:val="24"/>
      <w:szCs w:val="28"/>
    </w:rPr>
  </w:style>
  <w:style w:type="character" w:customStyle="1" w:styleId="128">
    <w:name w:val="pagebanner"/>
    <w:basedOn w:val="52"/>
    <w:qFormat/>
    <w:uiPriority w:val="0"/>
  </w:style>
  <w:style w:type="character" w:customStyle="1" w:styleId="129">
    <w:name w:val="文档结构图 Char"/>
    <w:link w:val="17"/>
    <w:qFormat/>
    <w:uiPriority w:val="99"/>
    <w:rPr>
      <w:rFonts w:ascii="宋体"/>
      <w:kern w:val="2"/>
      <w:sz w:val="18"/>
      <w:szCs w:val="18"/>
    </w:rPr>
  </w:style>
  <w:style w:type="character" w:customStyle="1" w:styleId="130">
    <w:name w:val="正文首行缩进 Char"/>
    <w:link w:val="48"/>
    <w:qFormat/>
    <w:uiPriority w:val="0"/>
    <w:rPr>
      <w:rFonts w:ascii="Tahoma" w:hAnsi="Tahoma"/>
      <w:kern w:val="2"/>
      <w:sz w:val="21"/>
      <w:szCs w:val="24"/>
    </w:rPr>
  </w:style>
  <w:style w:type="character" w:customStyle="1" w:styleId="131">
    <w:name w:val="表格标题 Char Char"/>
    <w:link w:val="84"/>
    <w:qFormat/>
    <w:uiPriority w:val="0"/>
    <w:rPr>
      <w:rFonts w:ascii="Arial" w:hAnsi="Arial" w:cs="Arial"/>
      <w:kern w:val="2"/>
      <w:sz w:val="24"/>
      <w:szCs w:val="24"/>
    </w:rPr>
  </w:style>
  <w:style w:type="character" w:customStyle="1" w:styleId="132">
    <w:name w:val="标题 6 Char"/>
    <w:link w:val="7"/>
    <w:qFormat/>
    <w:uiPriority w:val="99"/>
    <w:rPr>
      <w:rFonts w:ascii="Arial" w:hAnsi="Arial" w:eastAsia="黑体"/>
      <w:b/>
      <w:bCs/>
      <w:kern w:val="2"/>
      <w:sz w:val="24"/>
      <w:szCs w:val="28"/>
    </w:rPr>
  </w:style>
  <w:style w:type="character" w:customStyle="1" w:styleId="133">
    <w:name w:val="正文文本 Char"/>
    <w:link w:val="22"/>
    <w:qFormat/>
    <w:uiPriority w:val="99"/>
    <w:rPr>
      <w:rFonts w:ascii="Tahoma" w:hAnsi="Tahoma"/>
      <w:kern w:val="2"/>
      <w:sz w:val="21"/>
      <w:szCs w:val="24"/>
    </w:rPr>
  </w:style>
  <w:style w:type="character" w:customStyle="1" w:styleId="134">
    <w:name w:val="10"/>
    <w:qFormat/>
    <w:uiPriority w:val="0"/>
    <w:rPr>
      <w:rFonts w:hint="default" w:ascii="Calibri" w:hAnsi="Calibri" w:cs="Calibri"/>
    </w:rPr>
  </w:style>
  <w:style w:type="character" w:customStyle="1" w:styleId="135">
    <w:name w:val="正文缩进 Char"/>
    <w:link w:val="14"/>
    <w:qFormat/>
    <w:uiPriority w:val="0"/>
    <w:rPr>
      <w:kern w:val="2"/>
      <w:sz w:val="24"/>
    </w:rPr>
  </w:style>
  <w:style w:type="character" w:customStyle="1" w:styleId="136">
    <w:name w:val="页脚 Char"/>
    <w:link w:val="33"/>
    <w:qFormat/>
    <w:uiPriority w:val="99"/>
    <w:rPr>
      <w:rFonts w:ascii="Tahoma" w:hAnsi="Tahoma"/>
      <w:kern w:val="2"/>
      <w:sz w:val="18"/>
      <w:szCs w:val="18"/>
    </w:rPr>
  </w:style>
  <w:style w:type="character" w:customStyle="1" w:styleId="137">
    <w:name w:val="mod"/>
    <w:basedOn w:val="52"/>
    <w:qFormat/>
    <w:uiPriority w:val="0"/>
  </w:style>
  <w:style w:type="character" w:customStyle="1" w:styleId="138">
    <w:name w:val="标题3 Char Char"/>
    <w:link w:val="82"/>
    <w:qFormat/>
    <w:uiPriority w:val="0"/>
    <w:rPr>
      <w:rFonts w:eastAsia="黑体"/>
      <w:kern w:val="2"/>
      <w:sz w:val="28"/>
      <w:szCs w:val="32"/>
    </w:rPr>
  </w:style>
  <w:style w:type="character" w:customStyle="1" w:styleId="139">
    <w:name w:val="标题 4 Char"/>
    <w:link w:val="2"/>
    <w:qFormat/>
    <w:uiPriority w:val="99"/>
    <w:rPr>
      <w:b/>
      <w:sz w:val="24"/>
      <w:szCs w:val="24"/>
    </w:rPr>
  </w:style>
  <w:style w:type="paragraph" w:customStyle="1" w:styleId="140">
    <w:name w:val="默认"/>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1">
    <w:name w:val="redfilefwwh"/>
    <w:basedOn w:val="52"/>
    <w:qFormat/>
    <w:uiPriority w:val="0"/>
    <w:rPr>
      <w:color w:val="BA2636"/>
      <w:sz w:val="12"/>
      <w:szCs w:val="12"/>
    </w:rPr>
  </w:style>
  <w:style w:type="character" w:customStyle="1" w:styleId="142">
    <w:name w:val="gjfg"/>
    <w:basedOn w:val="52"/>
    <w:qFormat/>
    <w:uiPriority w:val="0"/>
  </w:style>
  <w:style w:type="character" w:customStyle="1" w:styleId="143">
    <w:name w:val="redfilenumber"/>
    <w:basedOn w:val="52"/>
    <w:qFormat/>
    <w:uiPriority w:val="0"/>
    <w:rPr>
      <w:color w:val="BA2636"/>
      <w:sz w:val="12"/>
      <w:szCs w:val="12"/>
    </w:rPr>
  </w:style>
  <w:style w:type="character" w:customStyle="1" w:styleId="144">
    <w:name w:val="qxdate"/>
    <w:basedOn w:val="52"/>
    <w:qFormat/>
    <w:uiPriority w:val="0"/>
    <w:rPr>
      <w:color w:val="333333"/>
      <w:sz w:val="12"/>
      <w:szCs w:val="12"/>
    </w:rPr>
  </w:style>
  <w:style w:type="character" w:customStyle="1" w:styleId="145">
    <w:name w:val="prev"/>
    <w:basedOn w:val="52"/>
    <w:qFormat/>
    <w:uiPriority w:val="0"/>
    <w:rPr>
      <w:rFonts w:ascii="微软雅黑" w:hAnsi="微软雅黑" w:eastAsia="微软雅黑" w:cs="微软雅黑"/>
      <w:sz w:val="14"/>
      <w:szCs w:val="14"/>
    </w:rPr>
  </w:style>
  <w:style w:type="character" w:customStyle="1" w:styleId="146">
    <w:name w:val="cfdate"/>
    <w:basedOn w:val="52"/>
    <w:qFormat/>
    <w:uiPriority w:val="0"/>
    <w:rPr>
      <w:color w:val="333333"/>
      <w:sz w:val="12"/>
      <w:szCs w:val="12"/>
    </w:rPr>
  </w:style>
  <w:style w:type="character" w:customStyle="1" w:styleId="147">
    <w:name w:val="displayarti"/>
    <w:basedOn w:val="52"/>
    <w:qFormat/>
    <w:uiPriority w:val="0"/>
    <w:rPr>
      <w:color w:val="FFFFFF"/>
      <w:shd w:val="clear" w:color="auto" w:fill="A00000"/>
    </w:rPr>
  </w:style>
  <w:style w:type="character" w:customStyle="1" w:styleId="148">
    <w:name w:val="next2"/>
    <w:basedOn w:val="52"/>
    <w:qFormat/>
    <w:uiPriority w:val="0"/>
    <w:rPr>
      <w:rFonts w:hint="eastAsia" w:ascii="微软雅黑" w:hAnsi="微软雅黑" w:eastAsia="微软雅黑" w:cs="微软雅黑"/>
      <w:sz w:val="14"/>
      <w:szCs w:val="14"/>
    </w:rPr>
  </w:style>
  <w:style w:type="character" w:customStyle="1" w:styleId="149">
    <w:name w:val="next3"/>
    <w:basedOn w:val="52"/>
    <w:qFormat/>
    <w:uiPriority w:val="0"/>
    <w:rPr>
      <w:color w:val="888888"/>
    </w:rPr>
  </w:style>
  <w:style w:type="character" w:customStyle="1" w:styleId="150">
    <w:name w:val="next"/>
    <w:basedOn w:val="52"/>
    <w:qFormat/>
    <w:uiPriority w:val="0"/>
    <w:rPr>
      <w:rFonts w:ascii="微软雅黑" w:hAnsi="微软雅黑" w:eastAsia="微软雅黑" w:cs="微软雅黑"/>
      <w:sz w:val="14"/>
      <w:szCs w:val="14"/>
    </w:rPr>
  </w:style>
  <w:style w:type="character" w:customStyle="1" w:styleId="151">
    <w:name w:val="prev1"/>
    <w:basedOn w:val="52"/>
    <w:qFormat/>
    <w:uiPriority w:val="0"/>
    <w:rPr>
      <w:color w:val="888888"/>
    </w:rPr>
  </w:style>
  <w:style w:type="paragraph" w:customStyle="1" w:styleId="152">
    <w:name w:val="Body text|21"/>
    <w:basedOn w:val="1"/>
    <w:link w:val="154"/>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3">
    <w:name w:val="Body text|2 + Spacing 0 pt"/>
    <w:basedOn w:val="154"/>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4">
    <w:name w:val="Body text|2_"/>
    <w:basedOn w:val="52"/>
    <w:link w:val="152"/>
    <w:qFormat/>
    <w:uiPriority w:val="0"/>
    <w:rPr>
      <w:rFonts w:ascii="PMingLiU" w:hAnsi="PMingLiU" w:eastAsia="PMingLiU" w:cs="PMingLiU"/>
      <w:spacing w:val="30"/>
    </w:rPr>
  </w:style>
  <w:style w:type="character" w:customStyle="1" w:styleId="155">
    <w:name w:val="Body text|2 + Spacing 3 pt"/>
    <w:basedOn w:val="154"/>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6">
    <w:name w:val="图文"/>
    <w:basedOn w:val="1"/>
    <w:qFormat/>
    <w:uiPriority w:val="0"/>
    <w:pPr>
      <w:adjustRightInd w:val="0"/>
      <w:snapToGrid w:val="0"/>
      <w:spacing w:after="50" w:line="360" w:lineRule="auto"/>
    </w:pPr>
    <w:rPr>
      <w:sz w:val="24"/>
    </w:rPr>
  </w:style>
  <w:style w:type="paragraph" w:customStyle="1" w:styleId="157">
    <w:name w:val="页眉与页脚"/>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58">
    <w:name w:val="Char"/>
    <w:basedOn w:val="1"/>
    <w:qFormat/>
    <w:uiPriority w:val="0"/>
    <w:rPr>
      <w:rFonts w:ascii="仿宋_GB2312" w:eastAsia="仿宋_GB2312"/>
      <w:b/>
      <w:sz w:val="32"/>
      <w:szCs w:val="32"/>
    </w:rPr>
  </w:style>
  <w:style w:type="paragraph" w:customStyle="1" w:styleId="159">
    <w:name w:val="目录文字"/>
    <w:basedOn w:val="1"/>
    <w:qFormat/>
    <w:uiPriority w:val="0"/>
    <w:pPr>
      <w:widowControl/>
      <w:spacing w:line="480" w:lineRule="auto"/>
      <w:jc w:val="left"/>
    </w:pPr>
    <w:rPr>
      <w:rFonts w:ascii="宋体" w:hAnsi="宋体" w:eastAsia="宋体"/>
      <w:kern w:val="0"/>
      <w:sz w:val="24"/>
      <w:szCs w:val="20"/>
    </w:rPr>
  </w:style>
  <w:style w:type="paragraph" w:customStyle="1" w:styleId="160">
    <w:name w:val="1"/>
    <w:basedOn w:val="1"/>
    <w:next w:val="23"/>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1">
    <w:name w:val="正文文本缩进 2 Char"/>
    <w:basedOn w:val="52"/>
    <w:link w:val="31"/>
    <w:qFormat/>
    <w:uiPriority w:val="99"/>
    <w:rPr>
      <w:rFonts w:ascii="Times New Roman" w:hAnsi="Times New Roman" w:eastAsia="宋体" w:cs="Times New Roman"/>
      <w:kern w:val="2"/>
      <w:sz w:val="24"/>
      <w:szCs w:val="30"/>
    </w:rPr>
  </w:style>
  <w:style w:type="paragraph" w:customStyle="1" w:styleId="162">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3">
    <w:name w:val="xl24"/>
    <w:basedOn w:val="1"/>
    <w:qFormat/>
    <w:uiPriority w:val="99"/>
    <w:pPr>
      <w:widowControl/>
      <w:spacing w:before="100" w:after="100"/>
      <w:jc w:val="center"/>
      <w:textAlignment w:val="center"/>
    </w:pPr>
    <w:rPr>
      <w:rFonts w:ascii="宋体" w:hAnsi="宋体" w:eastAsia="宋体"/>
      <w:kern w:val="0"/>
      <w:sz w:val="24"/>
      <w:szCs w:val="20"/>
    </w:rPr>
  </w:style>
  <w:style w:type="paragraph" w:customStyle="1" w:styleId="164">
    <w:name w:val="倪芳"/>
    <w:basedOn w:val="1"/>
    <w:qFormat/>
    <w:uiPriority w:val="0"/>
    <w:pPr>
      <w:spacing w:beforeLines="25" w:afterLines="15" w:line="400" w:lineRule="exact"/>
    </w:pPr>
    <w:rPr>
      <w:rFonts w:ascii="宋体" w:hAnsi="Courier New" w:eastAsia="宋体" w:cs="Courier New"/>
      <w:sz w:val="24"/>
      <w:szCs w:val="21"/>
    </w:rPr>
  </w:style>
  <w:style w:type="character" w:customStyle="1" w:styleId="165">
    <w:name w:val="正文文本缩进 Char"/>
    <w:basedOn w:val="52"/>
    <w:link w:val="23"/>
    <w:qFormat/>
    <w:uiPriority w:val="99"/>
    <w:rPr>
      <w:rFonts w:ascii="Tahoma" w:hAnsi="Tahoma" w:eastAsia="Arial Unicode MS" w:cs="Times New Roman"/>
      <w:kern w:val="2"/>
      <w:sz w:val="21"/>
      <w:szCs w:val="24"/>
    </w:rPr>
  </w:style>
  <w:style w:type="character" w:customStyle="1" w:styleId="166">
    <w:name w:val="正文首行缩进 2 Char"/>
    <w:basedOn w:val="165"/>
    <w:link w:val="49"/>
    <w:qFormat/>
    <w:uiPriority w:val="0"/>
    <w:rPr>
      <w:rFonts w:ascii="Times New Roman" w:hAnsi="Times New Roman" w:eastAsia="宋体" w:cs="Times New Roman"/>
      <w:kern w:val="2"/>
      <w:sz w:val="21"/>
      <w:szCs w:val="24"/>
    </w:rPr>
  </w:style>
  <w:style w:type="character" w:customStyle="1" w:styleId="167">
    <w:name w:val="正文文本 2 Char"/>
    <w:basedOn w:val="52"/>
    <w:link w:val="42"/>
    <w:qFormat/>
    <w:uiPriority w:val="99"/>
    <w:rPr>
      <w:rFonts w:ascii="宋体" w:hAnsi="Times New Roman" w:eastAsia="宋体" w:cs="Times New Roman"/>
      <w:kern w:val="2"/>
      <w:sz w:val="21"/>
    </w:rPr>
  </w:style>
  <w:style w:type="paragraph" w:customStyle="1" w:styleId="168">
    <w:name w:val="普通 (Web)"/>
    <w:basedOn w:val="1"/>
    <w:qFormat/>
    <w:uiPriority w:val="0"/>
    <w:pPr>
      <w:widowControl/>
      <w:spacing w:before="100" w:beforeAutospacing="1" w:after="100" w:afterAutospacing="1"/>
      <w:jc w:val="left"/>
    </w:pPr>
    <w:rPr>
      <w:rFonts w:ascii="宋体" w:hAnsi="宋体" w:eastAsia="宋体"/>
      <w:kern w:val="0"/>
      <w:sz w:val="24"/>
    </w:rPr>
  </w:style>
  <w:style w:type="paragraph" w:customStyle="1" w:styleId="169">
    <w:name w:val="样式 标题 2 + (符号) 宋体 小四"/>
    <w:basedOn w:val="4"/>
    <w:qFormat/>
    <w:uiPriority w:val="0"/>
    <w:pPr>
      <w:keepNext/>
      <w:keepLines/>
      <w:spacing w:line="416" w:lineRule="auto"/>
    </w:pPr>
    <w:rPr>
      <w:rFonts w:ascii="Arial" w:hAnsi="Arial" w:eastAsia="宋体"/>
      <w:bCs/>
      <w:sz w:val="24"/>
    </w:rPr>
  </w:style>
  <w:style w:type="character" w:customStyle="1" w:styleId="170">
    <w:name w:val="Char2"/>
    <w:qFormat/>
    <w:uiPriority w:val="0"/>
    <w:rPr>
      <w:rFonts w:ascii="Arial" w:hAnsi="Arial" w:eastAsia="黑体"/>
      <w:b/>
      <w:bCs/>
      <w:kern w:val="2"/>
      <w:sz w:val="32"/>
      <w:szCs w:val="32"/>
      <w:lang w:val="en-US" w:eastAsia="zh-CN" w:bidi="ar-SA"/>
    </w:rPr>
  </w:style>
  <w:style w:type="character" w:customStyle="1" w:styleId="171">
    <w:name w:val="样式 标题 2 + (符号) 宋体 小四 Char"/>
    <w:qFormat/>
    <w:uiPriority w:val="0"/>
    <w:rPr>
      <w:rFonts w:ascii="Arial" w:hAnsi="Arial" w:eastAsia="宋体"/>
      <w:b/>
      <w:bCs/>
      <w:kern w:val="2"/>
      <w:sz w:val="24"/>
      <w:szCs w:val="32"/>
      <w:lang w:val="en-US" w:eastAsia="zh-CN" w:bidi="ar-SA"/>
    </w:rPr>
  </w:style>
  <w:style w:type="paragraph" w:customStyle="1" w:styleId="172">
    <w:name w:val="样式1"/>
    <w:basedOn w:val="1"/>
    <w:next w:val="5"/>
    <w:qFormat/>
    <w:uiPriority w:val="99"/>
    <w:rPr>
      <w:rFonts w:eastAsia="宋体"/>
      <w:sz w:val="24"/>
      <w:szCs w:val="20"/>
    </w:rPr>
  </w:style>
  <w:style w:type="paragraph" w:customStyle="1" w:styleId="173">
    <w:name w:val="默认段落字体 Para Char Char Char Char Char Char Char Char Char Char"/>
    <w:basedOn w:val="17"/>
    <w:qFormat/>
    <w:uiPriority w:val="0"/>
    <w:pPr>
      <w:shd w:val="clear" w:color="auto" w:fill="000080"/>
      <w:spacing w:line="240" w:lineRule="auto"/>
    </w:pPr>
    <w:rPr>
      <w:rFonts w:ascii="Tahoma" w:hAnsi="Tahoma" w:eastAsia="宋体"/>
      <w:sz w:val="24"/>
      <w:szCs w:val="24"/>
    </w:rPr>
  </w:style>
  <w:style w:type="paragraph" w:customStyle="1" w:styleId="174">
    <w:name w:val="font5"/>
    <w:basedOn w:val="1"/>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5">
    <w:name w:val="xl25"/>
    <w:basedOn w:val="1"/>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6">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8"/>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1"/>
    <w:basedOn w:val="1"/>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2"/>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3"/>
    <w:basedOn w:val="1"/>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5">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6">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7">
    <w:name w:val="xl3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8">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9"/>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1">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2"/>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_Style 186"/>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5">
    <w:name w:val="文档正文"/>
    <w:basedOn w:val="1"/>
    <w:qFormat/>
    <w:uiPriority w:val="0"/>
    <w:pPr>
      <w:adjustRightInd w:val="0"/>
      <w:spacing w:line="480" w:lineRule="atLeast"/>
      <w:ind w:firstLine="567"/>
      <w:textAlignment w:val="baseline"/>
    </w:pPr>
    <w:rPr>
      <w:rFonts w:ascii="长城仿宋" w:eastAsia="宋体"/>
      <w:kern w:val="0"/>
      <w:sz w:val="24"/>
    </w:rPr>
  </w:style>
  <w:style w:type="character" w:customStyle="1" w:styleId="196">
    <w:name w:val="日期 Char"/>
    <w:link w:val="30"/>
    <w:qFormat/>
    <w:uiPriority w:val="99"/>
    <w:rPr>
      <w:rFonts w:ascii="Tahoma" w:hAnsi="Tahoma" w:eastAsia="Arial Unicode MS" w:cs="Times New Roman"/>
      <w:kern w:val="2"/>
      <w:sz w:val="21"/>
      <w:szCs w:val="24"/>
    </w:rPr>
  </w:style>
  <w:style w:type="character" w:customStyle="1" w:styleId="197">
    <w:name w:val="Char Char"/>
    <w:qFormat/>
    <w:uiPriority w:val="0"/>
    <w:rPr>
      <w:rFonts w:eastAsia="宋体"/>
      <w:kern w:val="2"/>
      <w:sz w:val="24"/>
      <w:lang w:val="en-US" w:eastAsia="zh-CN" w:bidi="ar-SA"/>
    </w:rPr>
  </w:style>
  <w:style w:type="character" w:customStyle="1" w:styleId="198">
    <w:name w:val="称呼 Char"/>
    <w:basedOn w:val="52"/>
    <w:link w:val="20"/>
    <w:qFormat/>
    <w:uiPriority w:val="0"/>
    <w:rPr>
      <w:rFonts w:ascii="..ì." w:hAnsi="Times New Roman" w:eastAsia="..ì." w:cs="Times New Roman"/>
      <w:sz w:val="24"/>
    </w:rPr>
  </w:style>
  <w:style w:type="character" w:customStyle="1" w:styleId="199">
    <w:name w:val="注释标题 Char"/>
    <w:basedOn w:val="52"/>
    <w:link w:val="12"/>
    <w:qFormat/>
    <w:uiPriority w:val="0"/>
    <w:rPr>
      <w:rFonts w:ascii="..ì." w:hAnsi="Times New Roman" w:eastAsia="..ì." w:cs="Times New Roman"/>
      <w:sz w:val="24"/>
    </w:rPr>
  </w:style>
  <w:style w:type="paragraph" w:customStyle="1" w:styleId="200">
    <w:name w:val="1 Char Char Char Char"/>
    <w:basedOn w:val="1"/>
    <w:qFormat/>
    <w:uiPriority w:val="0"/>
    <w:rPr>
      <w:rFonts w:ascii="Tahoma" w:hAnsi="Tahoma" w:eastAsia="宋体"/>
      <w:sz w:val="24"/>
      <w:szCs w:val="20"/>
    </w:rPr>
  </w:style>
  <w:style w:type="paragraph" w:customStyle="1" w:styleId="201">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02">
    <w:name w:val="TOC 标题2"/>
    <w:basedOn w:val="3"/>
    <w:next w:val="1"/>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3">
    <w:name w:val="标题 1 Char1"/>
    <w:qFormat/>
    <w:uiPriority w:val="99"/>
    <w:rPr>
      <w:rFonts w:ascii="黑体" w:eastAsia="黑体"/>
      <w:sz w:val="52"/>
      <w:lang w:bidi="ar-SA"/>
    </w:rPr>
  </w:style>
  <w:style w:type="paragraph" w:customStyle="1" w:styleId="204">
    <w:name w:val="样式 标题 2 + Times New Roman 四号 非加粗 段前: 5 磅 段后: 0 磅 行距: 固定值 20..."/>
    <w:basedOn w:val="4"/>
    <w:qFormat/>
    <w:uiPriority w:val="99"/>
    <w:pPr>
      <w:keepNext/>
      <w:keepLines/>
      <w:spacing w:before="100" w:after="0" w:line="400" w:lineRule="exact"/>
    </w:pPr>
    <w:rPr>
      <w:rFonts w:ascii="Times New Roman" w:hAnsi="Times New Roman" w:eastAsia="黑体" w:cs="宋体"/>
      <w:sz w:val="28"/>
      <w:szCs w:val="20"/>
    </w:rPr>
  </w:style>
  <w:style w:type="paragraph" w:customStyle="1" w:styleId="205">
    <w:name w:val="3"/>
    <w:basedOn w:val="1"/>
    <w:next w:val="21"/>
    <w:qFormat/>
    <w:uiPriority w:val="99"/>
    <w:rPr>
      <w:rFonts w:ascii="宋体" w:eastAsia="宋体"/>
      <w:sz w:val="24"/>
      <w:szCs w:val="20"/>
    </w:rPr>
  </w:style>
  <w:style w:type="character" w:customStyle="1" w:styleId="206">
    <w:name w:val="正文文本 3 Char"/>
    <w:basedOn w:val="52"/>
    <w:link w:val="21"/>
    <w:qFormat/>
    <w:uiPriority w:val="99"/>
    <w:rPr>
      <w:rFonts w:ascii="Times New Roman" w:hAnsi="Times New Roman" w:eastAsia="宋体" w:cs="Times New Roman"/>
      <w:kern w:val="2"/>
      <w:sz w:val="16"/>
      <w:szCs w:val="16"/>
    </w:rPr>
  </w:style>
  <w:style w:type="paragraph" w:customStyle="1" w:styleId="207">
    <w:name w:val="样式 标题 3 + (中文) 黑体 小四 非加粗 段前: 7.8 磅 段后: 0 磅 行距: 固定值 20 磅"/>
    <w:basedOn w:val="5"/>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8">
    <w:name w:val="2"/>
    <w:basedOn w:val="1"/>
    <w:next w:val="23"/>
    <w:qFormat/>
    <w:uiPriority w:val="99"/>
    <w:pPr>
      <w:ind w:left="432"/>
    </w:pPr>
    <w:rPr>
      <w:rFonts w:eastAsia="宋体"/>
      <w:szCs w:val="20"/>
    </w:rPr>
  </w:style>
  <w:style w:type="character" w:customStyle="1" w:styleId="209">
    <w:name w:val="正文文本缩进 3 Char"/>
    <w:link w:val="39"/>
    <w:qFormat/>
    <w:uiPriority w:val="99"/>
    <w:rPr>
      <w:rFonts w:ascii="Times New Roman" w:hAnsi="Times New Roman" w:eastAsia="Arial Unicode MS" w:cs="Times New Roman"/>
      <w:kern w:val="2"/>
      <w:sz w:val="16"/>
      <w:szCs w:val="16"/>
    </w:rPr>
  </w:style>
  <w:style w:type="paragraph" w:customStyle="1" w:styleId="210">
    <w:name w:val="样式 标题 1 + 黑体 三号 非加粗 居中 段前: 6 磅 段后: 6 磅 行距: 固定值 20 磅"/>
    <w:basedOn w:val="3"/>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1">
    <w:name w:val="Char1111"/>
    <w:basedOn w:val="1"/>
    <w:qFormat/>
    <w:uiPriority w:val="0"/>
    <w:rPr>
      <w:rFonts w:ascii="Tahoma" w:hAnsi="Tahoma" w:eastAsia="宋体"/>
      <w:sz w:val="24"/>
      <w:szCs w:val="20"/>
    </w:rPr>
  </w:style>
  <w:style w:type="character" w:customStyle="1" w:styleId="212">
    <w:name w:val="font161"/>
    <w:qFormat/>
    <w:uiPriority w:val="99"/>
    <w:rPr>
      <w:b/>
      <w:bCs/>
      <w:sz w:val="32"/>
      <w:szCs w:val="32"/>
    </w:rPr>
  </w:style>
  <w:style w:type="paragraph" w:customStyle="1" w:styleId="213">
    <w:name w:val="6'"/>
    <w:basedOn w:val="1"/>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4">
    <w:name w:val="表格"/>
    <w:basedOn w:val="1"/>
    <w:qFormat/>
    <w:uiPriority w:val="99"/>
    <w:pPr>
      <w:jc w:val="center"/>
      <w:textAlignment w:val="center"/>
    </w:pPr>
    <w:rPr>
      <w:rFonts w:ascii="华文细黑" w:hAnsi="华文细黑" w:eastAsia="宋体"/>
      <w:kern w:val="0"/>
      <w:szCs w:val="20"/>
    </w:rPr>
  </w:style>
  <w:style w:type="paragraph" w:customStyle="1" w:styleId="215">
    <w:name w:val="表格文字"/>
    <w:basedOn w:val="1"/>
    <w:qFormat/>
    <w:uiPriority w:val="99"/>
    <w:pPr>
      <w:adjustRightInd w:val="0"/>
      <w:spacing w:line="420" w:lineRule="atLeast"/>
      <w:jc w:val="left"/>
      <w:textAlignment w:val="baseline"/>
    </w:pPr>
    <w:rPr>
      <w:rFonts w:eastAsia="宋体"/>
      <w:kern w:val="0"/>
      <w:szCs w:val="20"/>
    </w:rPr>
  </w:style>
  <w:style w:type="paragraph" w:customStyle="1" w:styleId="216">
    <w:name w:val="XW正文"/>
    <w:basedOn w:val="23"/>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7">
    <w:name w:val="金安桥正文"/>
    <w:basedOn w:val="23"/>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8">
    <w:name w:val="样式 粉红"/>
    <w:qFormat/>
    <w:uiPriority w:val="99"/>
    <w:rPr>
      <w:color w:val="auto"/>
      <w:u w:val="none"/>
    </w:rPr>
  </w:style>
  <w:style w:type="character" w:customStyle="1" w:styleId="219">
    <w:name w:val="Char Char1"/>
    <w:qFormat/>
    <w:uiPriority w:val="0"/>
    <w:rPr>
      <w:rFonts w:eastAsia="宋体"/>
      <w:kern w:val="2"/>
      <w:sz w:val="24"/>
      <w:lang w:val="en-US" w:eastAsia="zh-CN" w:bidi="ar-SA"/>
    </w:rPr>
  </w:style>
  <w:style w:type="character" w:customStyle="1" w:styleId="220">
    <w:name w:val="纯文本 Char"/>
    <w:link w:val="28"/>
    <w:qFormat/>
    <w:uiPriority w:val="0"/>
    <w:rPr>
      <w:rFonts w:ascii="宋体" w:hAnsi="Courier New" w:eastAsia="Arial Unicode MS" w:cs="Times New Roman"/>
      <w:kern w:val="2"/>
      <w:sz w:val="21"/>
      <w:szCs w:val="21"/>
    </w:rPr>
  </w:style>
  <w:style w:type="paragraph" w:customStyle="1" w:styleId="221">
    <w:name w:val="Char Char Char Char"/>
    <w:basedOn w:val="1"/>
    <w:qFormat/>
    <w:uiPriority w:val="0"/>
    <w:pPr>
      <w:widowControl/>
      <w:spacing w:after="160" w:line="240" w:lineRule="exact"/>
      <w:jc w:val="left"/>
    </w:pPr>
    <w:rPr>
      <w:rFonts w:eastAsia="宋体"/>
      <w:szCs w:val="20"/>
    </w:rPr>
  </w:style>
  <w:style w:type="paragraph" w:customStyle="1" w:styleId="222">
    <w:name w:val="p17"/>
    <w:basedOn w:val="1"/>
    <w:qFormat/>
    <w:uiPriority w:val="99"/>
    <w:pPr>
      <w:widowControl/>
    </w:pPr>
    <w:rPr>
      <w:rFonts w:eastAsia="宋体"/>
      <w:kern w:val="0"/>
      <w:szCs w:val="21"/>
    </w:rPr>
  </w:style>
  <w:style w:type="character" w:customStyle="1" w:styleId="223">
    <w:name w:val="H4 Char"/>
    <w:qFormat/>
    <w:uiPriority w:val="0"/>
    <w:rPr>
      <w:b/>
      <w:sz w:val="28"/>
    </w:rPr>
  </w:style>
  <w:style w:type="character" w:customStyle="1" w:styleId="224">
    <w:name w:val="Char Char2"/>
    <w:qFormat/>
    <w:uiPriority w:val="0"/>
    <w:rPr>
      <w:rFonts w:eastAsia="宋体"/>
      <w:kern w:val="2"/>
      <w:sz w:val="24"/>
      <w:lang w:val="en-US" w:eastAsia="zh-CN" w:bidi="ar-SA"/>
    </w:rPr>
  </w:style>
  <w:style w:type="character" w:customStyle="1" w:styleId="225">
    <w:name w:val="Char Char111"/>
    <w:qFormat/>
    <w:uiPriority w:val="99"/>
    <w:rPr>
      <w:rFonts w:eastAsia="宋体"/>
      <w:kern w:val="2"/>
      <w:sz w:val="24"/>
      <w:lang w:val="en-US" w:eastAsia="zh-CN" w:bidi="ar-SA"/>
    </w:rPr>
  </w:style>
  <w:style w:type="paragraph" w:customStyle="1" w:styleId="226">
    <w:name w:val="Char Char Char Char111"/>
    <w:basedOn w:val="1"/>
    <w:qFormat/>
    <w:uiPriority w:val="0"/>
    <w:pPr>
      <w:widowControl/>
      <w:spacing w:after="160" w:line="240" w:lineRule="exact"/>
      <w:jc w:val="left"/>
    </w:pPr>
    <w:rPr>
      <w:rFonts w:eastAsia="宋体"/>
      <w:szCs w:val="20"/>
    </w:rPr>
  </w:style>
  <w:style w:type="paragraph" w:customStyle="1" w:styleId="227">
    <w:name w:val="font1"/>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8">
    <w:name w:val="font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0">
    <w:name w:val="xl65"/>
    <w:basedOn w:val="1"/>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3">
    <w:name w:val="xl6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9"/>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7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7">
    <w:name w:val="xl72"/>
    <w:basedOn w:val="1"/>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8">
    <w:name w:val="xl73"/>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9">
    <w:name w:val="前言、引言标题"/>
    <w:next w:val="1"/>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0">
    <w:name w:val="章标题"/>
    <w:next w:val="1"/>
    <w:link w:val="247"/>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1">
    <w:name w:val="一级条标题"/>
    <w:basedOn w:val="240"/>
    <w:next w:val="1"/>
    <w:link w:val="248"/>
    <w:qFormat/>
    <w:uiPriority w:val="0"/>
    <w:pPr>
      <w:numPr>
        <w:ilvl w:val="2"/>
      </w:numPr>
      <w:tabs>
        <w:tab w:val="left" w:pos="360"/>
      </w:tabs>
      <w:spacing w:beforeLines="0" w:afterLines="0"/>
      <w:ind w:left="315"/>
      <w:outlineLvl w:val="2"/>
    </w:pPr>
  </w:style>
  <w:style w:type="paragraph" w:customStyle="1" w:styleId="242">
    <w:name w:val="二级条标题"/>
    <w:basedOn w:val="241"/>
    <w:next w:val="1"/>
    <w:link w:val="249"/>
    <w:qFormat/>
    <w:uiPriority w:val="0"/>
    <w:pPr>
      <w:numPr>
        <w:ilvl w:val="3"/>
      </w:numPr>
      <w:ind w:left="315"/>
      <w:outlineLvl w:val="3"/>
    </w:pPr>
  </w:style>
  <w:style w:type="paragraph" w:customStyle="1" w:styleId="243">
    <w:name w:val="列项——"/>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4">
    <w:name w:val="三级条标题"/>
    <w:basedOn w:val="242"/>
    <w:next w:val="1"/>
    <w:qFormat/>
    <w:uiPriority w:val="0"/>
    <w:pPr>
      <w:numPr>
        <w:ilvl w:val="4"/>
      </w:numPr>
      <w:tabs>
        <w:tab w:val="left" w:pos="1680"/>
        <w:tab w:val="left" w:pos="2100"/>
      </w:tabs>
      <w:ind w:left="2100" w:hanging="420"/>
      <w:outlineLvl w:val="4"/>
    </w:pPr>
  </w:style>
  <w:style w:type="paragraph" w:customStyle="1" w:styleId="245">
    <w:name w:val="四级条标题"/>
    <w:basedOn w:val="244"/>
    <w:next w:val="1"/>
    <w:qFormat/>
    <w:uiPriority w:val="0"/>
    <w:pPr>
      <w:numPr>
        <w:ilvl w:val="5"/>
      </w:numPr>
      <w:tabs>
        <w:tab w:val="left" w:pos="2520"/>
      </w:tabs>
      <w:ind w:left="2520" w:hanging="420"/>
      <w:outlineLvl w:val="5"/>
    </w:pPr>
  </w:style>
  <w:style w:type="paragraph" w:customStyle="1" w:styleId="246">
    <w:name w:val="五级条标题"/>
    <w:basedOn w:val="245"/>
    <w:next w:val="1"/>
    <w:qFormat/>
    <w:uiPriority w:val="0"/>
    <w:pPr>
      <w:numPr>
        <w:ilvl w:val="6"/>
      </w:numPr>
      <w:tabs>
        <w:tab w:val="left" w:pos="2940"/>
      </w:tabs>
      <w:ind w:left="2940" w:hanging="420"/>
      <w:outlineLvl w:val="6"/>
    </w:pPr>
  </w:style>
  <w:style w:type="character" w:customStyle="1" w:styleId="247">
    <w:name w:val="章标题 Char"/>
    <w:link w:val="240"/>
    <w:qFormat/>
    <w:uiPriority w:val="0"/>
    <w:rPr>
      <w:rFonts w:ascii="黑体" w:eastAsia="黑体"/>
      <w:sz w:val="21"/>
    </w:rPr>
  </w:style>
  <w:style w:type="character" w:customStyle="1" w:styleId="248">
    <w:name w:val="一级条标题 Char"/>
    <w:link w:val="241"/>
    <w:qFormat/>
    <w:uiPriority w:val="0"/>
    <w:rPr>
      <w:rFonts w:ascii="黑体" w:eastAsia="黑体"/>
      <w:sz w:val="21"/>
    </w:rPr>
  </w:style>
  <w:style w:type="character" w:customStyle="1" w:styleId="249">
    <w:name w:val="二级条标题 Char"/>
    <w:link w:val="242"/>
    <w:qFormat/>
    <w:uiPriority w:val="0"/>
    <w:rPr>
      <w:rFonts w:ascii="黑体" w:eastAsia="黑体"/>
      <w:sz w:val="21"/>
    </w:rPr>
  </w:style>
  <w:style w:type="character" w:customStyle="1" w:styleId="250">
    <w:name w:val="Heading 1 Char"/>
    <w:qFormat/>
    <w:locked/>
    <w:uiPriority w:val="0"/>
    <w:rPr>
      <w:rFonts w:ascii="黑体" w:hAnsi="Times New Roman" w:eastAsia="黑体" w:cs="Times New Roman"/>
      <w:kern w:val="0"/>
      <w:sz w:val="20"/>
      <w:szCs w:val="20"/>
    </w:rPr>
  </w:style>
  <w:style w:type="character" w:customStyle="1" w:styleId="251">
    <w:name w:val="Heading 2 Char"/>
    <w:qFormat/>
    <w:locked/>
    <w:uiPriority w:val="0"/>
    <w:rPr>
      <w:rFonts w:ascii="Times New Roman" w:hAnsi="Times New Roman" w:eastAsia="宋体" w:cs="Times New Roman"/>
      <w:b/>
      <w:kern w:val="0"/>
      <w:sz w:val="32"/>
      <w:szCs w:val="32"/>
    </w:rPr>
  </w:style>
  <w:style w:type="character" w:customStyle="1" w:styleId="252">
    <w:name w:val="标题 3 Char1"/>
    <w:qFormat/>
    <w:locked/>
    <w:uiPriority w:val="99"/>
    <w:rPr>
      <w:rFonts w:eastAsia="宋体"/>
      <w:b/>
      <w:sz w:val="32"/>
      <w:lang w:val="en-US" w:eastAsia="zh-CN" w:bidi="ar-SA"/>
    </w:rPr>
  </w:style>
  <w:style w:type="character" w:customStyle="1" w:styleId="253">
    <w:name w:val="Heading 4 Char"/>
    <w:qFormat/>
    <w:locked/>
    <w:uiPriority w:val="0"/>
    <w:rPr>
      <w:rFonts w:ascii="Times New Roman" w:hAnsi="Times New Roman" w:eastAsia="宋体" w:cs="Times New Roman"/>
      <w:b/>
      <w:kern w:val="0"/>
      <w:sz w:val="20"/>
      <w:szCs w:val="20"/>
    </w:rPr>
  </w:style>
  <w:style w:type="character" w:customStyle="1" w:styleId="254">
    <w:name w:val="Heading 5 Char"/>
    <w:qFormat/>
    <w:locked/>
    <w:uiPriority w:val="0"/>
    <w:rPr>
      <w:rFonts w:ascii="Times New Roman" w:hAnsi="Times New Roman" w:eastAsia="宋体" w:cs="Times New Roman"/>
      <w:b/>
      <w:bCs/>
      <w:sz w:val="28"/>
      <w:szCs w:val="28"/>
    </w:rPr>
  </w:style>
  <w:style w:type="character" w:customStyle="1" w:styleId="255">
    <w:name w:val="Heading 6 Char"/>
    <w:qFormat/>
    <w:locked/>
    <w:uiPriority w:val="0"/>
    <w:rPr>
      <w:rFonts w:ascii="Arial" w:hAnsi="Arial" w:eastAsia="黑体" w:cs="Times New Roman"/>
      <w:b/>
      <w:bCs/>
      <w:kern w:val="0"/>
      <w:sz w:val="24"/>
      <w:szCs w:val="24"/>
    </w:rPr>
  </w:style>
  <w:style w:type="character" w:customStyle="1" w:styleId="256">
    <w:name w:val="Heading 7 Char"/>
    <w:qFormat/>
    <w:locked/>
    <w:uiPriority w:val="0"/>
    <w:rPr>
      <w:rFonts w:ascii="Times New Roman" w:hAnsi="Times New Roman" w:eastAsia="宋体" w:cs="Times New Roman"/>
      <w:b/>
      <w:bCs/>
      <w:kern w:val="0"/>
      <w:sz w:val="24"/>
      <w:szCs w:val="24"/>
    </w:rPr>
  </w:style>
  <w:style w:type="character" w:customStyle="1" w:styleId="257">
    <w:name w:val="Heading 8 Char"/>
    <w:qFormat/>
    <w:locked/>
    <w:uiPriority w:val="0"/>
    <w:rPr>
      <w:rFonts w:ascii="Arial" w:hAnsi="Arial" w:eastAsia="黑体" w:cs="Times New Roman"/>
      <w:kern w:val="0"/>
      <w:sz w:val="24"/>
      <w:szCs w:val="24"/>
    </w:rPr>
  </w:style>
  <w:style w:type="character" w:customStyle="1" w:styleId="258">
    <w:name w:val="Heading 9 Char"/>
    <w:qFormat/>
    <w:locked/>
    <w:uiPriority w:val="0"/>
    <w:rPr>
      <w:rFonts w:ascii="Arial" w:hAnsi="Arial" w:eastAsia="黑体" w:cs="Times New Roman"/>
      <w:kern w:val="0"/>
      <w:sz w:val="21"/>
      <w:szCs w:val="21"/>
    </w:rPr>
  </w:style>
  <w:style w:type="character" w:customStyle="1" w:styleId="259">
    <w:name w:val="Document Map Char"/>
    <w:qFormat/>
    <w:locked/>
    <w:uiPriority w:val="0"/>
    <w:rPr>
      <w:rFonts w:ascii="Times New Roman" w:hAnsi="Times New Roman" w:eastAsia="宋体" w:cs="Times New Roman"/>
      <w:sz w:val="24"/>
      <w:szCs w:val="24"/>
      <w:shd w:val="clear" w:color="auto" w:fill="000080"/>
    </w:rPr>
  </w:style>
  <w:style w:type="character" w:customStyle="1" w:styleId="260">
    <w:name w:val="Date Char"/>
    <w:qFormat/>
    <w:locked/>
    <w:uiPriority w:val="0"/>
    <w:rPr>
      <w:rFonts w:ascii="Times New Roman" w:hAnsi="Times New Roman" w:eastAsia="宋体" w:cs="Times New Roman"/>
      <w:sz w:val="20"/>
      <w:szCs w:val="20"/>
    </w:rPr>
  </w:style>
  <w:style w:type="character" w:customStyle="1" w:styleId="261">
    <w:name w:val="Header Char"/>
    <w:qFormat/>
    <w:locked/>
    <w:uiPriority w:val="0"/>
    <w:rPr>
      <w:rFonts w:ascii="Times New Roman" w:hAnsi="Times New Roman" w:eastAsia="宋体" w:cs="Times New Roman"/>
      <w:kern w:val="0"/>
      <w:sz w:val="20"/>
      <w:szCs w:val="20"/>
    </w:rPr>
  </w:style>
  <w:style w:type="character" w:customStyle="1" w:styleId="262">
    <w:name w:val="Footer Char"/>
    <w:qFormat/>
    <w:locked/>
    <w:uiPriority w:val="0"/>
    <w:rPr>
      <w:rFonts w:ascii="Times New Roman" w:hAnsi="Times New Roman" w:eastAsia="宋体" w:cs="Times New Roman"/>
      <w:kern w:val="0"/>
      <w:sz w:val="20"/>
      <w:szCs w:val="20"/>
    </w:rPr>
  </w:style>
  <w:style w:type="character" w:customStyle="1" w:styleId="263">
    <w:name w:val="Plain Text Char"/>
    <w:qFormat/>
    <w:locked/>
    <w:uiPriority w:val="0"/>
    <w:rPr>
      <w:rFonts w:ascii="宋体" w:hAnsi="Courier New" w:eastAsia="宋体" w:cs="Times New Roman"/>
      <w:sz w:val="20"/>
      <w:szCs w:val="20"/>
    </w:rPr>
  </w:style>
  <w:style w:type="character" w:customStyle="1" w:styleId="264">
    <w:name w:val="Body Text Indent 2 Char"/>
    <w:qFormat/>
    <w:locked/>
    <w:uiPriority w:val="0"/>
    <w:rPr>
      <w:rFonts w:ascii="Times New Roman" w:hAnsi="Times New Roman" w:eastAsia="宋体" w:cs="Times New Roman"/>
      <w:sz w:val="30"/>
      <w:szCs w:val="30"/>
    </w:rPr>
  </w:style>
  <w:style w:type="character" w:customStyle="1" w:styleId="265">
    <w:name w:val="Body Text Indent 3 Char"/>
    <w:qFormat/>
    <w:locked/>
    <w:uiPriority w:val="0"/>
    <w:rPr>
      <w:rFonts w:ascii="Times New Roman" w:hAnsi="Times New Roman" w:eastAsia="宋体" w:cs="Times New Roman"/>
      <w:sz w:val="30"/>
      <w:szCs w:val="30"/>
    </w:rPr>
  </w:style>
  <w:style w:type="character" w:customStyle="1" w:styleId="266">
    <w:name w:val="Body Text First Indent 2 Char"/>
    <w:qFormat/>
    <w:locked/>
    <w:uiPriority w:val="0"/>
    <w:rPr>
      <w:rFonts w:ascii="Times New Roman" w:hAnsi="Times New Roman" w:eastAsia="宋体" w:cs="Times New Roman"/>
      <w:kern w:val="2"/>
      <w:sz w:val="24"/>
      <w:szCs w:val="24"/>
    </w:rPr>
  </w:style>
  <w:style w:type="character" w:customStyle="1" w:styleId="267">
    <w:name w:val="Body Text 2 Char"/>
    <w:qFormat/>
    <w:locked/>
    <w:uiPriority w:val="0"/>
    <w:rPr>
      <w:rFonts w:ascii="宋体" w:hAnsi="Times New Roman" w:eastAsia="宋体" w:cs="Times New Roman"/>
      <w:sz w:val="20"/>
      <w:szCs w:val="20"/>
    </w:rPr>
  </w:style>
  <w:style w:type="character" w:customStyle="1" w:styleId="268">
    <w:name w:val="Balloon Text Char"/>
    <w:qFormat/>
    <w:locked/>
    <w:uiPriority w:val="0"/>
    <w:rPr>
      <w:rFonts w:ascii="Times New Roman" w:hAnsi="Times New Roman" w:eastAsia="宋体" w:cs="Times New Roman"/>
      <w:sz w:val="18"/>
      <w:szCs w:val="18"/>
    </w:rPr>
  </w:style>
  <w:style w:type="character" w:customStyle="1" w:styleId="269">
    <w:name w:val="Salutation Char"/>
    <w:qFormat/>
    <w:locked/>
    <w:uiPriority w:val="0"/>
    <w:rPr>
      <w:rFonts w:ascii="..ì." w:hAnsi="Times New Roman" w:eastAsia="..ì." w:cs="Times New Roman"/>
      <w:kern w:val="0"/>
      <w:sz w:val="20"/>
      <w:szCs w:val="20"/>
    </w:rPr>
  </w:style>
  <w:style w:type="character" w:customStyle="1" w:styleId="270">
    <w:name w:val="Note Heading Char"/>
    <w:qFormat/>
    <w:locked/>
    <w:uiPriority w:val="0"/>
    <w:rPr>
      <w:rFonts w:ascii="..ì." w:hAnsi="Times New Roman" w:eastAsia="..ì." w:cs="Times New Roman"/>
      <w:kern w:val="0"/>
      <w:sz w:val="20"/>
      <w:szCs w:val="20"/>
    </w:rPr>
  </w:style>
  <w:style w:type="paragraph" w:customStyle="1" w:styleId="271">
    <w:name w:val="Revision1"/>
    <w:hidden/>
    <w:semiHidden/>
    <w:qFormat/>
    <w:uiPriority w:val="0"/>
    <w:rPr>
      <w:rFonts w:ascii="Times New Roman" w:hAnsi="Times New Roman" w:eastAsia="宋体" w:cs="Times New Roman"/>
      <w:kern w:val="2"/>
      <w:sz w:val="21"/>
      <w:szCs w:val="24"/>
      <w:lang w:val="en-US" w:eastAsia="zh-CN" w:bidi="ar-SA"/>
    </w:rPr>
  </w:style>
  <w:style w:type="paragraph" w:customStyle="1" w:styleId="272">
    <w:name w:val="TOC Heading1"/>
    <w:basedOn w:val="3"/>
    <w:next w:val="1"/>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3">
    <w:name w:val="Body Text 3 Char"/>
    <w:qFormat/>
    <w:locked/>
    <w:uiPriority w:val="0"/>
    <w:rPr>
      <w:rFonts w:ascii="Times New Roman" w:hAnsi="Times New Roman" w:eastAsia="宋体" w:cs="Times New Roman"/>
      <w:sz w:val="16"/>
      <w:szCs w:val="16"/>
    </w:rPr>
  </w:style>
  <w:style w:type="character" w:customStyle="1" w:styleId="274">
    <w:name w:val="Title Char"/>
    <w:qFormat/>
    <w:locked/>
    <w:uiPriority w:val="0"/>
    <w:rPr>
      <w:rFonts w:ascii="Arial" w:hAnsi="Arial" w:eastAsia="宋体" w:cs="Times New Roman"/>
      <w:b/>
      <w:kern w:val="0"/>
      <w:sz w:val="20"/>
      <w:szCs w:val="20"/>
    </w:rPr>
  </w:style>
  <w:style w:type="character" w:customStyle="1" w:styleId="275">
    <w:name w:val="Comment Subject Char"/>
    <w:qFormat/>
    <w:locked/>
    <w:uiPriority w:val="0"/>
    <w:rPr>
      <w:rFonts w:ascii="Times New Roman" w:hAnsi="Times New Roman" w:eastAsia="宋体" w:cs="Times New Roman"/>
      <w:b/>
      <w:bCs/>
      <w:sz w:val="24"/>
      <w:szCs w:val="24"/>
    </w:rPr>
  </w:style>
  <w:style w:type="character" w:customStyle="1" w:styleId="276">
    <w:name w:val="Comment Text Char"/>
    <w:qFormat/>
    <w:locked/>
    <w:uiPriority w:val="0"/>
    <w:rPr>
      <w:rFonts w:ascii="Times New Roman" w:hAnsi="Times New Roman" w:eastAsia="宋体"/>
      <w:sz w:val="24"/>
    </w:rPr>
  </w:style>
  <w:style w:type="paragraph" w:customStyle="1" w:styleId="277">
    <w:name w:val="List Paragraph1"/>
    <w:basedOn w:val="1"/>
    <w:qFormat/>
    <w:uiPriority w:val="0"/>
    <w:pPr>
      <w:ind w:firstLine="420" w:firstLineChars="200"/>
    </w:pPr>
    <w:rPr>
      <w:rFonts w:eastAsia="宋体"/>
    </w:rPr>
  </w:style>
  <w:style w:type="paragraph" w:customStyle="1" w:styleId="278">
    <w:name w:val="reader-word-layer reader-word-s2-5"/>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279">
    <w:name w:val="未处理的提及"/>
    <w:unhideWhenUsed/>
    <w:qFormat/>
    <w:uiPriority w:val="99"/>
    <w:rPr>
      <w:color w:val="605E5C"/>
      <w:shd w:val="clear" w:color="auto" w:fill="E1DFDD"/>
    </w:rPr>
  </w:style>
  <w:style w:type="character" w:customStyle="1" w:styleId="280">
    <w:name w:val="Char Char11"/>
    <w:qFormat/>
    <w:uiPriority w:val="99"/>
    <w:rPr>
      <w:rFonts w:eastAsia="宋体"/>
      <w:kern w:val="2"/>
      <w:sz w:val="24"/>
      <w:lang w:val="en-US" w:eastAsia="zh-CN"/>
    </w:rPr>
  </w:style>
  <w:style w:type="character" w:customStyle="1" w:styleId="281">
    <w:name w:val="正文文本 Char1"/>
    <w:semiHidden/>
    <w:qFormat/>
    <w:uiPriority w:val="0"/>
    <w:rPr>
      <w:rFonts w:ascii="Times New Roman" w:hAnsi="Times New Roman" w:eastAsia="宋体" w:cs="Times New Roman"/>
      <w:szCs w:val="24"/>
    </w:rPr>
  </w:style>
  <w:style w:type="paragraph" w:customStyle="1" w:styleId="282">
    <w:name w:val="样式"/>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3">
    <w:name w:val="Char11"/>
    <w:basedOn w:val="1"/>
    <w:qFormat/>
    <w:uiPriority w:val="99"/>
    <w:rPr>
      <w:rFonts w:ascii="Tahoma" w:hAnsi="Tahoma" w:eastAsia="宋体"/>
      <w:sz w:val="24"/>
      <w:szCs w:val="20"/>
    </w:rPr>
  </w:style>
  <w:style w:type="paragraph" w:customStyle="1" w:styleId="284">
    <w:name w:val="Char Char Char Char1"/>
    <w:basedOn w:val="1"/>
    <w:qFormat/>
    <w:uiPriority w:val="99"/>
    <w:pPr>
      <w:widowControl/>
      <w:spacing w:after="160" w:line="240" w:lineRule="exact"/>
      <w:jc w:val="left"/>
    </w:pPr>
    <w:rPr>
      <w:rFonts w:eastAsia="宋体"/>
      <w:szCs w:val="20"/>
    </w:rPr>
  </w:style>
  <w:style w:type="paragraph" w:customStyle="1" w:styleId="285">
    <w:name w:val="Normal_0"/>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6">
    <w:name w:val="_Style 2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7">
    <w:name w:val="Char Char Char Char11"/>
    <w:basedOn w:val="1"/>
    <w:qFormat/>
    <w:uiPriority w:val="99"/>
    <w:pPr>
      <w:widowControl/>
      <w:spacing w:after="160" w:line="240" w:lineRule="exact"/>
      <w:jc w:val="left"/>
    </w:pPr>
    <w:rPr>
      <w:rFonts w:eastAsia="宋体"/>
      <w:szCs w:val="20"/>
    </w:rPr>
  </w:style>
  <w:style w:type="paragraph" w:customStyle="1" w:styleId="288">
    <w:name w:val="Char12"/>
    <w:basedOn w:val="1"/>
    <w:qFormat/>
    <w:uiPriority w:val="99"/>
    <w:rPr>
      <w:rFonts w:ascii="Tahoma" w:hAnsi="Tahoma" w:eastAsia="宋体"/>
      <w:sz w:val="24"/>
      <w:szCs w:val="20"/>
    </w:rPr>
  </w:style>
  <w:style w:type="paragraph" w:customStyle="1" w:styleId="289">
    <w:name w:val="Char111"/>
    <w:basedOn w:val="1"/>
    <w:qFormat/>
    <w:uiPriority w:val="99"/>
    <w:rPr>
      <w:rFonts w:ascii="Tahoma" w:hAnsi="Tahoma" w:eastAsia="宋体"/>
      <w:sz w:val="24"/>
      <w:szCs w:val="20"/>
    </w:rPr>
  </w:style>
  <w:style w:type="paragraph" w:customStyle="1" w:styleId="290">
    <w:name w:val="访问过的超链接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Char Char Char Char2"/>
    <w:basedOn w:val="1"/>
    <w:qFormat/>
    <w:uiPriority w:val="99"/>
    <w:pPr>
      <w:widowControl/>
      <w:spacing w:after="160" w:line="240" w:lineRule="exact"/>
      <w:jc w:val="left"/>
    </w:pPr>
    <w:rPr>
      <w:rFonts w:eastAsia="宋体"/>
      <w:szCs w:val="20"/>
    </w:rPr>
  </w:style>
  <w:style w:type="character" w:customStyle="1" w:styleId="292">
    <w:name w:val="正文文本 字符"/>
    <w:qFormat/>
    <w:uiPriority w:val="0"/>
    <w:rPr>
      <w:b/>
      <w:i/>
      <w:szCs w:val="24"/>
    </w:rPr>
  </w:style>
  <w:style w:type="paragraph" w:customStyle="1" w:styleId="293">
    <w:name w:val="纯文本2"/>
    <w:basedOn w:val="1"/>
    <w:qFormat/>
    <w:uiPriority w:val="0"/>
    <w:rPr>
      <w:rFonts w:ascii="宋体" w:hAnsi="Courier New" w:cs="Courier New"/>
      <w:szCs w:val="21"/>
    </w:rPr>
  </w:style>
  <w:style w:type="paragraph" w:customStyle="1" w:styleId="294">
    <w:name w:val="TOC 标题3"/>
    <w:basedOn w:val="3"/>
    <w:next w:val="1"/>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5">
    <w:name w:val="HTML 预设格式 Char"/>
    <w:basedOn w:val="52"/>
    <w:link w:val="43"/>
    <w:qFormat/>
    <w:uiPriority w:val="0"/>
    <w:rPr>
      <w:rFonts w:ascii="黑体" w:hAnsi="Courier New" w:eastAsia="黑体"/>
    </w:rPr>
  </w:style>
  <w:style w:type="paragraph" w:customStyle="1" w:styleId="296">
    <w:name w:val="正文_5"/>
    <w:qFormat/>
    <w:uiPriority w:val="0"/>
    <w:pPr>
      <w:widowControl w:val="0"/>
      <w:jc w:val="both"/>
    </w:pPr>
    <w:rPr>
      <w:rFonts w:ascii="Times New Roman" w:hAnsi="Times New Roman" w:eastAsia="仿宋_GB2312" w:cs="Times New Roman"/>
      <w:kern w:val="2"/>
      <w:sz w:val="28"/>
      <w:szCs w:val="24"/>
      <w:lang w:val="en-US" w:eastAsia="zh-CN" w:bidi="ar-SA"/>
    </w:rPr>
  </w:style>
  <w:style w:type="paragraph" w:customStyle="1" w:styleId="297">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B1DC3A-4456-4169-AFE6-0CA037B1A249}">
  <ds:schemaRefs/>
</ds:datastoreItem>
</file>

<file path=docProps/app.xml><?xml version="1.0" encoding="utf-8"?>
<Properties xmlns="http://schemas.openxmlformats.org/officeDocument/2006/extended-properties" xmlns:vt="http://schemas.openxmlformats.org/officeDocument/2006/docPropsVTypes">
  <Template>Normal</Template>
  <Company>MS</Company>
  <Pages>109</Pages>
  <Words>39341</Words>
  <Characters>41525</Characters>
  <Lines>247</Lines>
  <Paragraphs>69</Paragraphs>
  <TotalTime>7</TotalTime>
  <ScaleCrop>false</ScaleCrop>
  <LinksUpToDate>false</LinksUpToDate>
  <CharactersWithSpaces>46398</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2021-03-12T07:18:00Z</dcterms:created>
  <dc:creator>Lv Ji_BM</dc:creator>
  <cp:lastModifiedBy>lenovo</cp:lastModifiedBy>
  <cp:lastPrinted>2021-01-08T03:14:00Z</cp:lastPrinted>
  <dcterms:modified xsi:type="dcterms:W3CDTF">2022-07-24T13:08:31Z</dcterms:modified>
  <dc:title>_x0001_</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218699DD5EA74A19B8394C5351A72D8D</vt:lpwstr>
  </property>
</Properties>
</file>