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color w:val="auto"/>
          <w:sz w:val="52"/>
          <w:szCs w:val="52"/>
        </w:rPr>
      </w:pPr>
    </w:p>
    <w:p>
      <w:pPr>
        <w:spacing w:line="240" w:lineRule="auto"/>
        <w:jc w:val="both"/>
        <w:rPr>
          <w:color w:val="auto"/>
          <w:sz w:val="52"/>
          <w:szCs w:val="52"/>
        </w:rPr>
      </w:pPr>
    </w:p>
    <w:p>
      <w:pPr>
        <w:spacing w:line="240" w:lineRule="auto"/>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kern w:val="0"/>
          <w:sz w:val="96"/>
          <w:szCs w:val="96"/>
          <w:lang w:val="en-US" w:eastAsia="zh-CN"/>
        </w:rPr>
        <w:t>汉中市</w:t>
      </w:r>
      <w:r>
        <w:rPr>
          <w:rFonts w:hint="eastAsia" w:ascii="方正小标宋简体" w:hAnsi="方正小标宋简体" w:eastAsia="方正小标宋简体" w:cs="方正小标宋简体"/>
          <w:b w:val="0"/>
          <w:bCs/>
          <w:color w:val="auto"/>
          <w:kern w:val="0"/>
          <w:sz w:val="96"/>
          <w:szCs w:val="96"/>
        </w:rPr>
        <w:t>政府采购中心</w:t>
      </w:r>
    </w:p>
    <w:p>
      <w:pPr>
        <w:spacing w:line="240" w:lineRule="auto"/>
        <w:jc w:val="center"/>
        <w:rPr>
          <w:rFonts w:ascii="黑体" w:hAnsi="黑体" w:eastAsia="黑体" w:cs="黑体"/>
          <w:b w:val="0"/>
          <w:bCs/>
          <w:color w:val="auto"/>
          <w:sz w:val="96"/>
          <w:szCs w:val="96"/>
        </w:rPr>
      </w:pPr>
      <w:r>
        <w:rPr>
          <w:rFonts w:hint="eastAsia" w:ascii="方正小标宋简体" w:hAnsi="方正小标宋简体" w:eastAsia="方正小标宋简体" w:cs="方正小标宋简体"/>
          <w:b w:val="0"/>
          <w:bCs/>
          <w:color w:val="auto"/>
          <w:kern w:val="0"/>
          <w:sz w:val="96"/>
          <w:szCs w:val="96"/>
        </w:rPr>
        <w:t>竞争性磋商文件</w:t>
      </w:r>
    </w:p>
    <w:p>
      <w:pPr>
        <w:pStyle w:val="39"/>
        <w:spacing w:line="240" w:lineRule="auto"/>
        <w:ind w:left="0" w:leftChars="0" w:right="424" w:rightChars="150" w:firstLine="0" w:firstLineChars="0"/>
        <w:jc w:val="center"/>
        <w:rPr>
          <w:rFonts w:hint="eastAsia" w:ascii="仿宋_GB2312" w:hAnsi="仿宋_GB2312" w:eastAsia="仿宋_GB2312" w:cs="仿宋_GB2312"/>
          <w:color w:val="auto"/>
          <w:sz w:val="36"/>
          <w:szCs w:val="36"/>
          <w:highlight w:val="none"/>
          <w:lang w:eastAsia="zh-CN"/>
        </w:rPr>
      </w:pPr>
      <w:r>
        <w:rPr>
          <w:rFonts w:hint="eastAsia" w:ascii="仿宋_GB2312" w:hAnsi="仿宋_GB2312" w:eastAsia="仿宋_GB2312" w:cs="仿宋_GB2312"/>
          <w:color w:val="auto"/>
          <w:sz w:val="44"/>
          <w:szCs w:val="44"/>
          <w:highlight w:val="none"/>
          <w:lang w:eastAsia="zh-CN"/>
        </w:rPr>
        <w:t>（</w:t>
      </w:r>
      <w:r>
        <w:rPr>
          <w:rFonts w:hint="eastAsia" w:ascii="仿宋_GB2312" w:hAnsi="仿宋_GB2312" w:eastAsia="仿宋_GB2312" w:cs="仿宋_GB2312"/>
          <w:color w:val="auto"/>
          <w:sz w:val="44"/>
          <w:szCs w:val="44"/>
          <w:highlight w:val="none"/>
          <w:lang w:val="en-US" w:eastAsia="zh-CN"/>
        </w:rPr>
        <w:t>专门面向小微企业采购</w:t>
      </w:r>
      <w:r>
        <w:rPr>
          <w:rFonts w:hint="eastAsia" w:ascii="仿宋_GB2312" w:hAnsi="仿宋_GB2312" w:eastAsia="仿宋_GB2312" w:cs="仿宋_GB2312"/>
          <w:color w:val="auto"/>
          <w:sz w:val="44"/>
          <w:szCs w:val="44"/>
          <w:highlight w:val="none"/>
          <w:lang w:eastAsia="zh-CN"/>
        </w:rPr>
        <w:t>）</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100"/>
          <w:sz w:val="36"/>
          <w:szCs w:val="36"/>
        </w:rPr>
      </w:pP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95"/>
          <w:sz w:val="36"/>
          <w:szCs w:val="36"/>
          <w:highlight w:val="yellow"/>
          <w:lang w:val="en-US" w:eastAsia="zh-CN"/>
        </w:rPr>
      </w:pPr>
      <w:r>
        <w:rPr>
          <w:rFonts w:hint="eastAsia" w:ascii="仿宋_GB2312" w:hAnsi="仿宋_GB2312" w:eastAsia="仿宋_GB2312" w:cs="仿宋_GB2312"/>
          <w:b w:val="0"/>
          <w:bCs w:val="0"/>
          <w:color w:val="auto"/>
          <w:w w:val="100"/>
          <w:sz w:val="36"/>
          <w:szCs w:val="36"/>
        </w:rPr>
        <w:t>项目名称：</w:t>
      </w:r>
      <w:r>
        <w:rPr>
          <w:rFonts w:hint="eastAsia" w:ascii="仿宋_GB2312" w:hAnsi="仿宋_GB2312" w:eastAsia="仿宋_GB2312" w:cs="仿宋_GB2312"/>
          <w:b w:val="0"/>
          <w:bCs w:val="0"/>
          <w:color w:val="auto"/>
          <w:w w:val="100"/>
          <w:sz w:val="36"/>
          <w:szCs w:val="36"/>
          <w:lang w:val="en-US" w:eastAsia="zh-CN"/>
        </w:rPr>
        <w:t>汉中市公安局刑事技术装备采购项目</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sz w:val="36"/>
          <w:szCs w:val="36"/>
        </w:rPr>
      </w:pPr>
      <w:r>
        <w:rPr>
          <w:rFonts w:hint="eastAsia" w:ascii="仿宋_GB2312" w:hAnsi="仿宋_GB2312" w:eastAsia="仿宋_GB2312" w:cs="仿宋_GB2312"/>
          <w:b w:val="0"/>
          <w:bCs w:val="0"/>
          <w:color w:val="auto"/>
          <w:sz w:val="36"/>
          <w:szCs w:val="36"/>
        </w:rPr>
        <w:t>项目编号：</w:t>
      </w:r>
      <w:r>
        <w:rPr>
          <w:rFonts w:hint="eastAsia" w:ascii="仿宋_GB2312" w:hAnsi="仿宋_GB2312" w:eastAsia="仿宋_GB2312" w:cs="仿宋_GB2312"/>
          <w:b w:val="0"/>
          <w:bCs w:val="0"/>
          <w:color w:val="auto"/>
          <w:sz w:val="36"/>
          <w:szCs w:val="36"/>
          <w:lang w:val="en-US" w:eastAsia="zh-CN"/>
        </w:rPr>
        <w:t>汉采HW【2023】37号</w:t>
      </w:r>
    </w:p>
    <w:p>
      <w:pPr>
        <w:spacing w:line="240" w:lineRule="auto"/>
        <w:ind w:right="424" w:rightChars="150" w:firstLine="726" w:firstLineChars="200"/>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36"/>
          <w:szCs w:val="36"/>
        </w:rPr>
      </w:pPr>
    </w:p>
    <w:p>
      <w:pPr>
        <w:pStyle w:val="9"/>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rPr>
      </w:pPr>
    </w:p>
    <w:p>
      <w:pPr>
        <w:pStyle w:val="38"/>
        <w:rPr>
          <w:rFonts w:hint="eastAsia"/>
        </w:rPr>
      </w:pPr>
    </w:p>
    <w:p>
      <w:pPr>
        <w:spacing w:line="240" w:lineRule="auto"/>
        <w:jc w:val="center"/>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t>202</w:t>
      </w:r>
      <w:r>
        <w:rPr>
          <w:rFonts w:hint="eastAsia" w:ascii="仿宋_GB2312" w:hAnsi="仿宋_GB2312" w:eastAsia="仿宋_GB2312" w:cs="仿宋_GB2312"/>
          <w:b w:val="0"/>
          <w:bCs w:val="0"/>
          <w:color w:val="auto"/>
          <w:sz w:val="44"/>
          <w:szCs w:val="44"/>
          <w:lang w:val="en-US" w:eastAsia="zh-CN"/>
        </w:rPr>
        <w:t>3</w:t>
      </w:r>
      <w:r>
        <w:rPr>
          <w:rFonts w:hint="eastAsia" w:ascii="仿宋_GB2312" w:hAnsi="仿宋_GB2312" w:eastAsia="仿宋_GB2312" w:cs="仿宋_GB2312"/>
          <w:b w:val="0"/>
          <w:bCs w:val="0"/>
          <w:color w:val="auto"/>
          <w:sz w:val="44"/>
          <w:szCs w:val="44"/>
        </w:rPr>
        <w:t>年</w:t>
      </w:r>
      <w:r>
        <w:rPr>
          <w:rFonts w:hint="eastAsia" w:ascii="仿宋_GB2312" w:hAnsi="仿宋_GB2312" w:eastAsia="仿宋_GB2312" w:cs="仿宋_GB2312"/>
          <w:b w:val="0"/>
          <w:bCs w:val="0"/>
          <w:color w:val="auto"/>
          <w:sz w:val="44"/>
          <w:szCs w:val="44"/>
          <w:highlight w:val="none"/>
          <w:lang w:val="en-US" w:eastAsia="zh-CN"/>
        </w:rPr>
        <w:t>12</w:t>
      </w:r>
      <w:r>
        <w:rPr>
          <w:rFonts w:hint="eastAsia" w:ascii="仿宋_GB2312" w:hAnsi="仿宋_GB2312" w:eastAsia="仿宋_GB2312" w:cs="仿宋_GB2312"/>
          <w:b w:val="0"/>
          <w:bCs w:val="0"/>
          <w:color w:val="auto"/>
          <w:sz w:val="44"/>
          <w:szCs w:val="44"/>
          <w:highlight w:val="none"/>
        </w:rPr>
        <w:t>月</w:t>
      </w:r>
      <w:r>
        <w:rPr>
          <w:rFonts w:hint="eastAsia" w:ascii="仿宋_GB2312" w:hAnsi="仿宋_GB2312" w:eastAsia="仿宋_GB2312" w:cs="仿宋_GB2312"/>
          <w:b w:val="0"/>
          <w:bCs w:val="0"/>
          <w:color w:val="auto"/>
          <w:sz w:val="44"/>
          <w:szCs w:val="44"/>
          <w:highlight w:val="none"/>
          <w:lang w:val="en-US" w:eastAsia="zh-CN"/>
        </w:rPr>
        <w:t>1</w:t>
      </w:r>
      <w:r>
        <w:rPr>
          <w:rFonts w:hint="eastAsia" w:ascii="仿宋_GB2312" w:hAnsi="仿宋_GB2312" w:eastAsia="仿宋_GB2312" w:cs="仿宋_GB2312"/>
          <w:b w:val="0"/>
          <w:bCs w:val="0"/>
          <w:color w:val="auto"/>
          <w:sz w:val="44"/>
          <w:szCs w:val="44"/>
        </w:rPr>
        <w:t>日</w:t>
      </w:r>
      <w:bookmarkStart w:id="0" w:name="_Toc10222_WPSOffice_Level1"/>
      <w:bookmarkStart w:id="1" w:name="_Toc30102_WPSOffice_Level1"/>
      <w:bookmarkStart w:id="2" w:name="_Toc30340_WPSOffice_Level1"/>
    </w:p>
    <w:p>
      <w:pPr>
        <w:pStyle w:val="9"/>
        <w:rPr>
          <w:rFonts w:hint="eastAsia"/>
          <w:color w:val="auto"/>
        </w:rPr>
      </w:pPr>
    </w:p>
    <w:p>
      <w:pPr>
        <w:pStyle w:val="16"/>
        <w:tabs>
          <w:tab w:val="right" w:leader="dot" w:pos="9072"/>
        </w:tabs>
        <w:spacing w:before="190" w:beforeLines="50" w:after="190" w:afterLines="50" w:line="500" w:lineRule="exact"/>
        <w:jc w:val="center"/>
        <w:rPr>
          <w:rFonts w:hint="eastAsia" w:ascii="仿宋" w:hAnsi="仿宋" w:eastAsia="仿宋" w:cs="仿宋"/>
          <w:color w:val="auto"/>
          <w:sz w:val="44"/>
          <w:szCs w:val="44"/>
        </w:rPr>
        <w:sectPr>
          <w:footerReference r:id="rId5"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tabs>
          <w:tab w:val="right" w:leader="hyphen" w:pos="8504"/>
        </w:tabs>
        <w:spacing w:after="381" w:afterLines="100" w:line="240" w:lineRule="auto"/>
        <w:ind w:left="567" w:right="566" w:rightChars="200"/>
        <w:jc w:val="center"/>
        <w:rPr>
          <w:rFonts w:ascii="仿宋" w:hAnsi="仿宋" w:eastAsia="仿宋"/>
          <w:b w:val="0"/>
          <w:bCs/>
          <w:color w:val="auto"/>
          <w:sz w:val="44"/>
        </w:rPr>
      </w:pPr>
      <w:r>
        <w:rPr>
          <w:rFonts w:hint="eastAsia" w:ascii="黑体" w:hAnsi="黑体" w:eastAsia="黑体" w:cs="黑体"/>
          <w:b w:val="0"/>
          <w:bCs/>
          <w:color w:val="auto"/>
          <w:sz w:val="44"/>
        </w:rPr>
        <w:t>目  录</w:t>
      </w:r>
    </w:p>
    <w:p>
      <w:pPr>
        <w:pStyle w:val="14"/>
        <w:rPr>
          <w:color w:val="auto"/>
          <w:highlight w:val="yellow"/>
        </w:rPr>
      </w:pP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default"/>
          <w:color w:val="auto"/>
          <w:sz w:val="32"/>
          <w:szCs w:val="32"/>
          <w:lang w:val="en-US" w:eastAsia="zh-CN"/>
        </w:rPr>
        <w:fldChar w:fldCharType="begin"/>
      </w:r>
      <w:r>
        <w:rPr>
          <w:rFonts w:hint="default"/>
          <w:color w:val="auto"/>
          <w:sz w:val="32"/>
          <w:szCs w:val="32"/>
          <w:lang w:val="en-US" w:eastAsia="zh-CN"/>
        </w:rPr>
        <w:instrText xml:space="preserve">TOC \o "1-2" \u </w:instrText>
      </w:r>
      <w:r>
        <w:rPr>
          <w:rFonts w:hint="default"/>
          <w:color w:val="auto"/>
          <w:sz w:val="32"/>
          <w:szCs w:val="32"/>
          <w:lang w:val="en-US" w:eastAsia="zh-CN"/>
        </w:rPr>
        <w:fldChar w:fldCharType="separate"/>
      </w:r>
      <w:r>
        <w:rPr>
          <w:rFonts w:hint="eastAsia" w:ascii="黑体" w:hAnsi="黑体" w:eastAsia="黑体" w:cs="黑体"/>
          <w:color w:val="auto"/>
          <w:sz w:val="32"/>
          <w:szCs w:val="32"/>
        </w:rPr>
        <w:t>第一章 磋商邀请函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rPr>
        <w:t>第二章 供应商须知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_Toc9601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一、定义</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_Toc3062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二、供应商注意事项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_Toc24646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三、磋商文件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_Toc3130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、磋商报价</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_Toc3559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、响应文件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_Toc12154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响应文件开启</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_Toc17536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、组织评审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_Toc31905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16</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、成交</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_Toc3023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36</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kern w:val="0"/>
          <w:sz w:val="32"/>
          <w:szCs w:val="32"/>
        </w:rPr>
        <w:t>政府采购合同</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_Toc23938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37</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采购代理服务费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_Toc14560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37</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第三章  磋商内容及采购要求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_Toc2772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38</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第四章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合同</w:t>
      </w:r>
      <w:r>
        <w:rPr>
          <w:rFonts w:hint="eastAsia" w:ascii="黑体" w:hAnsi="黑体" w:eastAsia="黑体" w:cs="黑体"/>
          <w:color w:val="auto"/>
          <w:sz w:val="32"/>
          <w:szCs w:val="32"/>
          <w:lang w:val="en-US" w:eastAsia="zh-CN"/>
        </w:rPr>
        <w:t>草案</w:t>
      </w:r>
      <w:r>
        <w:rPr>
          <w:rFonts w:hint="eastAsia" w:ascii="黑体" w:hAnsi="黑体" w:eastAsia="黑体" w:cs="黑体"/>
          <w:color w:val="auto"/>
          <w:sz w:val="32"/>
          <w:szCs w:val="32"/>
        </w:rPr>
        <w:t>条款</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_Toc10371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52</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第五章  响应文件构成及格式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_Toc5571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55</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firstLine="646" w:firstLineChars="200"/>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第一部分  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58</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第二部分  符合性证明文件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_Toc9751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61</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黑体" w:hAnsi="黑体" w:eastAsia="黑体" w:cs="黑体"/>
          <w:color w:val="auto"/>
          <w:sz w:val="32"/>
          <w:szCs w:val="32"/>
        </w:rPr>
      </w:pPr>
      <w:r>
        <w:rPr>
          <w:rFonts w:hint="eastAsia" w:ascii="黑体" w:hAnsi="黑体" w:eastAsia="黑体" w:cs="黑体"/>
          <w:bCs w:val="0"/>
          <w:color w:val="auto"/>
          <w:sz w:val="32"/>
          <w:szCs w:val="32"/>
        </w:rPr>
        <w:t>第三部分  响应方案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_Toc17248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69</w:t>
      </w:r>
      <w:r>
        <w:rPr>
          <w:rFonts w:hint="eastAsia" w:ascii="仿宋_GB2312" w:hAnsi="仿宋_GB2312" w:eastAsia="仿宋_GB2312" w:cs="仿宋_GB2312"/>
          <w:color w:val="auto"/>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color w:val="auto"/>
          <w:sz w:val="32"/>
          <w:szCs w:val="32"/>
          <w:lang w:val="en-US" w:eastAsia="zh-CN"/>
        </w:rPr>
        <w:fldChar w:fldCharType="end"/>
      </w:r>
    </w:p>
    <w:p>
      <w:pPr>
        <w:pageBreakBefore w:val="0"/>
        <w:kinsoku/>
        <w:wordWrap/>
        <w:overflowPunct/>
        <w:topLinePunct w:val="0"/>
        <w:bidi w:val="0"/>
        <w:snapToGrid/>
        <w:spacing w:line="560" w:lineRule="exact"/>
        <w:textAlignment w:val="auto"/>
        <w:rPr>
          <w:color w:val="auto"/>
        </w:rPr>
      </w:pPr>
    </w:p>
    <w:p>
      <w:pPr>
        <w:pStyle w:val="2"/>
        <w:pageBreakBefore w:val="0"/>
        <w:kinsoku/>
        <w:wordWrap/>
        <w:overflowPunct/>
        <w:topLinePunct w:val="0"/>
        <w:bidi w:val="0"/>
        <w:snapToGrid/>
        <w:spacing w:line="560" w:lineRule="exact"/>
        <w:textAlignment w:val="auto"/>
        <w:rPr>
          <w:rFonts w:ascii="黑体" w:hAnsi="黑体" w:eastAsia="黑体"/>
          <w:b w:val="0"/>
          <w:color w:val="auto"/>
          <w:sz w:val="32"/>
          <w:szCs w:val="32"/>
        </w:rPr>
        <w:sectPr>
          <w:footerReference r:id="rId6"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pStyle w:val="2"/>
        <w:pageBreakBefore w:val="0"/>
        <w:numPr>
          <w:ilvl w:val="0"/>
          <w:numId w:val="1"/>
        </w:numPr>
        <w:kinsoku/>
        <w:wordWrap/>
        <w:overflowPunct/>
        <w:topLinePunct w:val="0"/>
        <w:bidi w:val="0"/>
        <w:snapToGrid/>
        <w:spacing w:line="560" w:lineRule="exact"/>
        <w:textAlignment w:val="auto"/>
        <w:rPr>
          <w:rFonts w:ascii="黑体" w:hAnsi="黑体" w:eastAsia="黑体"/>
          <w:b w:val="0"/>
          <w:color w:val="auto"/>
          <w:sz w:val="32"/>
          <w:szCs w:val="32"/>
        </w:rPr>
      </w:pPr>
      <w:bookmarkStart w:id="3" w:name="_Toc5655"/>
      <w:bookmarkStart w:id="4" w:name="_Toc21489"/>
      <w:bookmarkStart w:id="5" w:name="_Toc26235"/>
      <w:r>
        <w:rPr>
          <w:rFonts w:ascii="黑体" w:hAnsi="黑体" w:eastAsia="黑体"/>
          <w:b w:val="0"/>
          <w:color w:val="auto"/>
          <w:sz w:val="32"/>
          <w:szCs w:val="32"/>
        </w:rPr>
        <w:t xml:space="preserve"> </w:t>
      </w:r>
      <w:bookmarkStart w:id="6" w:name="_Toc8073"/>
      <w:r>
        <w:rPr>
          <w:rFonts w:hint="eastAsia" w:ascii="黑体" w:hAnsi="黑体" w:eastAsia="黑体"/>
          <w:b w:val="0"/>
          <w:color w:val="auto"/>
          <w:sz w:val="32"/>
          <w:szCs w:val="32"/>
        </w:rPr>
        <w:t>磋商</w:t>
      </w:r>
      <w:r>
        <w:rPr>
          <w:rFonts w:ascii="黑体" w:hAnsi="黑体" w:eastAsia="黑体"/>
          <w:b w:val="0"/>
          <w:color w:val="auto"/>
          <w:sz w:val="32"/>
          <w:szCs w:val="32"/>
        </w:rPr>
        <w:t>邀请函</w:t>
      </w:r>
      <w:bookmarkEnd w:id="0"/>
      <w:bookmarkEnd w:id="1"/>
      <w:bookmarkEnd w:id="2"/>
      <w:bookmarkEnd w:id="3"/>
      <w:bookmarkEnd w:id="4"/>
      <w:bookmarkEnd w:id="5"/>
      <w:bookmarkEnd w:id="6"/>
    </w:p>
    <w:p>
      <w:pPr>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auto"/>
          <w:sz w:val="28"/>
          <w:szCs w:val="28"/>
        </w:rPr>
      </w:pP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项目概况</w:t>
      </w: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u w:val="single"/>
          <w:lang w:val="en-US" w:eastAsia="zh-CN"/>
        </w:rPr>
        <w:t xml:space="preserve">  汉中市公安局刑事技术装备</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采购项目的潜在供应商应在</w:t>
      </w:r>
      <w:r>
        <w:rPr>
          <w:rFonts w:hint="eastAsia" w:ascii="仿宋_GB2312" w:hAnsi="仿宋_GB2312" w:eastAsia="仿宋_GB2312" w:cs="仿宋_GB2312"/>
          <w:color w:val="auto"/>
          <w:sz w:val="28"/>
          <w:szCs w:val="28"/>
          <w:u w:val="single"/>
          <w:lang w:val="en-US" w:eastAsia="zh-CN"/>
        </w:rPr>
        <w:t xml:space="preserve"> 全国公共资源交易平台（汉中市）（sxggzyjy.hanzhong.gov.cn） </w:t>
      </w:r>
      <w:r>
        <w:rPr>
          <w:rFonts w:hint="eastAsia" w:ascii="仿宋_GB2312" w:hAnsi="仿宋_GB2312" w:eastAsia="仿宋_GB2312" w:cs="仿宋_GB2312"/>
          <w:color w:val="auto"/>
          <w:sz w:val="28"/>
          <w:szCs w:val="28"/>
        </w:rPr>
        <w:t>获取采购文件，并于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2023</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bCs/>
          <w:color w:val="auto"/>
          <w:sz w:val="28"/>
          <w:szCs w:val="28"/>
          <w:u w:val="single"/>
        </w:rPr>
        <w:t>年</w:t>
      </w:r>
      <w:r>
        <w:rPr>
          <w:rFonts w:hint="eastAsia" w:ascii="仿宋_GB2312" w:hAnsi="仿宋_GB2312" w:eastAsia="仿宋_GB2312" w:cs="仿宋_GB2312"/>
          <w:bCs/>
          <w:color w:val="auto"/>
          <w:sz w:val="28"/>
          <w:szCs w:val="28"/>
          <w:u w:val="single"/>
          <w:lang w:val="en-US" w:eastAsia="zh-CN"/>
        </w:rPr>
        <w:t xml:space="preserve"> 12 </w:t>
      </w:r>
      <w:r>
        <w:rPr>
          <w:rFonts w:hint="eastAsia" w:ascii="仿宋_GB2312" w:hAnsi="仿宋_GB2312" w:eastAsia="仿宋_GB2312" w:cs="仿宋_GB2312"/>
          <w:bCs/>
          <w:color w:val="auto"/>
          <w:sz w:val="28"/>
          <w:szCs w:val="28"/>
          <w:u w:val="single"/>
        </w:rPr>
        <w:t>月</w:t>
      </w:r>
      <w:r>
        <w:rPr>
          <w:rFonts w:hint="eastAsia" w:ascii="仿宋_GB2312" w:hAnsi="仿宋_GB2312" w:eastAsia="仿宋_GB2312" w:cs="仿宋_GB2312"/>
          <w:bCs/>
          <w:color w:val="auto"/>
          <w:sz w:val="28"/>
          <w:szCs w:val="28"/>
          <w:u w:val="single"/>
          <w:lang w:val="en-US" w:eastAsia="zh-CN"/>
        </w:rPr>
        <w:t xml:space="preserve"> 22 </w:t>
      </w:r>
      <w:r>
        <w:rPr>
          <w:rFonts w:hint="eastAsia" w:ascii="仿宋_GB2312" w:hAnsi="仿宋_GB2312" w:eastAsia="仿宋_GB2312" w:cs="仿宋_GB2312"/>
          <w:bCs/>
          <w:color w:val="auto"/>
          <w:sz w:val="28"/>
          <w:szCs w:val="28"/>
          <w:u w:val="single"/>
        </w:rPr>
        <w:t>日</w:t>
      </w:r>
      <w:r>
        <w:rPr>
          <w:rFonts w:hint="eastAsia" w:ascii="仿宋_GB2312" w:hAnsi="仿宋_GB2312" w:eastAsia="仿宋_GB2312" w:cs="仿宋_GB2312"/>
          <w:bCs/>
          <w:color w:val="auto"/>
          <w:sz w:val="28"/>
          <w:szCs w:val="28"/>
          <w:u w:val="single"/>
          <w:lang w:val="en-US" w:eastAsia="zh-CN"/>
        </w:rPr>
        <w:t xml:space="preserve"> 9 </w:t>
      </w:r>
      <w:r>
        <w:rPr>
          <w:rFonts w:hint="eastAsia" w:ascii="仿宋_GB2312" w:hAnsi="仿宋_GB2312" w:eastAsia="仿宋_GB2312" w:cs="仿宋_GB2312"/>
          <w:bCs/>
          <w:color w:val="auto"/>
          <w:sz w:val="28"/>
          <w:szCs w:val="28"/>
          <w:u w:val="single"/>
        </w:rPr>
        <w:t>点</w:t>
      </w:r>
      <w:r>
        <w:rPr>
          <w:rFonts w:hint="eastAsia" w:ascii="仿宋_GB2312" w:hAnsi="仿宋_GB2312" w:eastAsia="仿宋_GB2312" w:cs="仿宋_GB2312"/>
          <w:bCs/>
          <w:color w:val="auto"/>
          <w:sz w:val="28"/>
          <w:szCs w:val="28"/>
          <w:u w:val="single"/>
          <w:lang w:val="en-US" w:eastAsia="zh-CN"/>
        </w:rPr>
        <w:t xml:space="preserve"> 30</w:t>
      </w:r>
      <w:r>
        <w:rPr>
          <w:rFonts w:hint="eastAsia" w:ascii="仿宋_GB2312" w:hAnsi="仿宋_GB2312" w:eastAsia="仿宋_GB2312" w:cs="仿宋_GB2312"/>
          <w:bCs/>
          <w:color w:val="auto"/>
          <w:sz w:val="28"/>
          <w:szCs w:val="28"/>
          <w:u w:val="single"/>
        </w:rPr>
        <w:t>分</w:t>
      </w:r>
      <w:r>
        <w:rPr>
          <w:rFonts w:hint="eastAsia" w:ascii="仿宋_GB2312" w:hAnsi="仿宋_GB2312" w:eastAsia="仿宋_GB2312" w:cs="仿宋_GB2312"/>
          <w:bCs/>
          <w:color w:val="auto"/>
          <w:sz w:val="28"/>
          <w:szCs w:val="28"/>
        </w:rPr>
        <w:t>（北京时间）前提交响应文件</w:t>
      </w:r>
      <w:r>
        <w:rPr>
          <w:rFonts w:hint="eastAsia" w:ascii="仿宋_GB2312" w:hAnsi="仿宋_GB2312" w:eastAsia="仿宋_GB2312" w:cs="仿宋_GB2312"/>
          <w:color w:val="auto"/>
          <w:sz w:val="28"/>
          <w:szCs w:val="28"/>
        </w:rPr>
        <w:t>。</w:t>
      </w:r>
    </w:p>
    <w:p>
      <w:pPr>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auto"/>
          <w:sz w:val="28"/>
          <w:szCs w:val="28"/>
        </w:rPr>
      </w:pP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7" w:name="_Toc28359089"/>
      <w:bookmarkStart w:id="8" w:name="_Toc28840"/>
      <w:bookmarkStart w:id="9" w:name="_Toc35393629"/>
      <w:bookmarkStart w:id="10" w:name="_Toc35393798"/>
      <w:bookmarkStart w:id="11" w:name="_Toc28359012"/>
      <w:r>
        <w:rPr>
          <w:rFonts w:hint="eastAsia" w:ascii="仿宋_GB2312" w:hAnsi="仿宋_GB2312" w:eastAsia="仿宋_GB2312" w:cs="仿宋_GB2312"/>
          <w:b/>
          <w:bCs/>
          <w:color w:val="auto"/>
          <w:kern w:val="2"/>
          <w:sz w:val="28"/>
          <w:szCs w:val="28"/>
          <w:lang w:val="en-US" w:eastAsia="zh-CN" w:bidi="ar-SA"/>
        </w:rPr>
        <w:t>一、项目基本情况</w:t>
      </w:r>
      <w:bookmarkEnd w:id="7"/>
      <w:bookmarkEnd w:id="8"/>
      <w:bookmarkEnd w:id="9"/>
      <w:bookmarkEnd w:id="10"/>
      <w:bookmarkEnd w:id="11"/>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项目编号：汉采</w:t>
      </w:r>
      <w:r>
        <w:rPr>
          <w:rFonts w:hint="eastAsia" w:ascii="仿宋_GB2312" w:hAnsi="仿宋_GB2312" w:eastAsia="仿宋_GB2312" w:cs="仿宋_GB2312"/>
          <w:color w:val="auto"/>
          <w:sz w:val="28"/>
          <w:szCs w:val="28"/>
          <w:lang w:val="en-US" w:eastAsia="zh-CN"/>
        </w:rPr>
        <w:t>HW</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37</w:t>
      </w:r>
      <w:r>
        <w:rPr>
          <w:rFonts w:hint="eastAsia" w:ascii="仿宋_GB2312" w:hAnsi="仿宋_GB2312" w:eastAsia="仿宋_GB2312" w:cs="仿宋_GB2312"/>
          <w:color w:val="auto"/>
          <w:sz w:val="28"/>
          <w:szCs w:val="28"/>
        </w:rPr>
        <w:t>号</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yellow"/>
          <w:u w:val="single"/>
          <w:lang w:val="en-US"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highlight w:val="none"/>
          <w:lang w:val="en-US" w:eastAsia="zh-CN"/>
        </w:rPr>
        <w:t>汉中市公安局刑事技术装备采购项目</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采购方式：竞</w:t>
      </w:r>
      <w:r>
        <w:rPr>
          <w:rFonts w:hint="eastAsia" w:ascii="仿宋_GB2312" w:hAnsi="仿宋_GB2312" w:eastAsia="仿宋_GB2312" w:cs="仿宋_GB2312"/>
          <w:color w:val="auto"/>
          <w:sz w:val="28"/>
          <w:szCs w:val="28"/>
          <w:highlight w:val="none"/>
        </w:rPr>
        <w:t>争性磋商</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预算金额：</w:t>
      </w:r>
      <w:r>
        <w:rPr>
          <w:rFonts w:hint="eastAsia" w:ascii="仿宋_GB2312" w:hAnsi="仿宋_GB2312" w:eastAsia="仿宋_GB2312" w:cs="仿宋_GB2312"/>
          <w:color w:val="auto"/>
          <w:sz w:val="28"/>
          <w:szCs w:val="28"/>
          <w:highlight w:val="none"/>
          <w:lang w:val="en-US" w:eastAsia="zh-CN"/>
        </w:rPr>
        <w:t>167万元（第一标段：15万元；第二标段：7万元；第三标段：110万元；第四标段：35万元）</w:t>
      </w:r>
    </w:p>
    <w:p>
      <w:pPr>
        <w:keepLines w:val="0"/>
        <w:pageBreakBefore w:val="0"/>
        <w:widowControl w:val="0"/>
        <w:kinsoku/>
        <w:wordWrap/>
        <w:overflowPunct/>
        <w:topLinePunct w:val="0"/>
        <w:bidi w:val="0"/>
        <w:snapToGrid/>
        <w:spacing w:line="560" w:lineRule="exact"/>
        <w:ind w:firstLine="566"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最高限价：</w:t>
      </w:r>
      <w:r>
        <w:rPr>
          <w:rFonts w:hint="eastAsia" w:ascii="仿宋_GB2312" w:hAnsi="仿宋_GB2312" w:eastAsia="仿宋_GB2312" w:cs="仿宋_GB2312"/>
          <w:color w:val="auto"/>
          <w:sz w:val="28"/>
          <w:szCs w:val="28"/>
          <w:highlight w:val="none"/>
          <w:lang w:val="en-US" w:eastAsia="zh-CN"/>
        </w:rPr>
        <w:t>无</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采购需求：</w:t>
      </w:r>
    </w:p>
    <w:p>
      <w:pPr>
        <w:keepLines w:val="0"/>
        <w:pageBreakBefore w:val="0"/>
        <w:widowControl w:val="0"/>
        <w:kinsoku/>
        <w:wordWrap/>
        <w:overflowPunct/>
        <w:topLinePunct w:val="0"/>
        <w:bidi w:val="0"/>
        <w:snapToGrid/>
        <w:spacing w:line="560" w:lineRule="exact"/>
        <w:ind w:firstLine="566"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第一标段：DNA全自动洗消设备1套</w:t>
      </w:r>
    </w:p>
    <w:p>
      <w:pPr>
        <w:keepLines w:val="0"/>
        <w:pageBreakBefore w:val="0"/>
        <w:widowControl w:val="0"/>
        <w:kinsoku/>
        <w:wordWrap/>
        <w:overflowPunct/>
        <w:topLinePunct w:val="0"/>
        <w:bidi w:val="0"/>
        <w:snapToGrid/>
        <w:spacing w:line="560" w:lineRule="exact"/>
        <w:ind w:firstLine="566"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第二标段：社会面视频快采设备1套</w:t>
      </w:r>
    </w:p>
    <w:p>
      <w:pPr>
        <w:keepLines w:val="0"/>
        <w:pageBreakBefore w:val="0"/>
        <w:widowControl w:val="0"/>
        <w:kinsoku/>
        <w:wordWrap/>
        <w:overflowPunct/>
        <w:topLinePunct w:val="0"/>
        <w:bidi w:val="0"/>
        <w:snapToGrid/>
        <w:spacing w:line="560" w:lineRule="exact"/>
        <w:ind w:firstLine="566"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第三标段：文检勘查箱、超级文件检验工作站1套</w:t>
      </w:r>
    </w:p>
    <w:p>
      <w:pPr>
        <w:keepLines w:val="0"/>
        <w:pageBreakBefore w:val="0"/>
        <w:widowControl w:val="0"/>
        <w:kinsoku/>
        <w:wordWrap/>
        <w:overflowPunct/>
        <w:topLinePunct w:val="0"/>
        <w:bidi w:val="0"/>
        <w:snapToGrid/>
        <w:spacing w:line="560" w:lineRule="exact"/>
        <w:ind w:firstLine="566" w:firstLineChars="200"/>
        <w:textAlignment w:val="auto"/>
        <w:rPr>
          <w:rFonts w:hint="default" w:ascii="仿宋_GB2312" w:hAnsi="仿宋_GB2312" w:eastAsia="仿宋_GB2312" w:cs="仿宋_GB2312"/>
          <w:color w:val="auto"/>
          <w:sz w:val="28"/>
          <w:szCs w:val="28"/>
          <w:highlight w:val="none"/>
          <w:u w:val="single"/>
          <w:lang w:val="en-US"/>
        </w:rPr>
      </w:pPr>
      <w:r>
        <w:rPr>
          <w:rFonts w:hint="eastAsia" w:ascii="仿宋_GB2312" w:hAnsi="仿宋_GB2312" w:eastAsia="仿宋_GB2312" w:cs="仿宋_GB2312"/>
          <w:color w:val="auto"/>
          <w:sz w:val="28"/>
          <w:szCs w:val="28"/>
          <w:highlight w:val="none"/>
          <w:lang w:val="en-US" w:eastAsia="zh-CN"/>
        </w:rPr>
        <w:t>第四标段：声纹工作站设备1套</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合同履行期限：</w:t>
      </w:r>
      <w:r>
        <w:rPr>
          <w:rFonts w:hint="eastAsia" w:ascii="仿宋_GB2312" w:hAnsi="仿宋_GB2312" w:eastAsia="仿宋_GB2312" w:cs="仿宋_GB2312"/>
          <w:color w:val="auto"/>
          <w:sz w:val="28"/>
          <w:szCs w:val="28"/>
          <w:highlight w:val="none"/>
          <w:lang w:val="en-US" w:eastAsia="zh-CN"/>
        </w:rPr>
        <w:t>签订合同后15个工作日内。</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color w:val="auto"/>
          <w:sz w:val="28"/>
          <w:szCs w:val="28"/>
          <w:lang w:val="en-US" w:eastAsia="zh-CN"/>
        </w:rPr>
        <w:t>不</w:t>
      </w:r>
      <w:r>
        <w:rPr>
          <w:rFonts w:hint="eastAsia" w:ascii="仿宋_GB2312" w:hAnsi="仿宋_GB2312" w:eastAsia="仿宋_GB2312" w:cs="仿宋_GB2312"/>
          <w:color w:val="auto"/>
          <w:sz w:val="28"/>
          <w:szCs w:val="28"/>
        </w:rPr>
        <w:t>接受联合体。</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2" w:name="_Toc28359090"/>
      <w:bookmarkStart w:id="13" w:name="_Toc28359013"/>
      <w:bookmarkStart w:id="14" w:name="_Toc35393799"/>
      <w:bookmarkStart w:id="15" w:name="_Toc3608"/>
      <w:bookmarkStart w:id="16" w:name="_Toc35393630"/>
      <w:r>
        <w:rPr>
          <w:rFonts w:hint="eastAsia" w:ascii="仿宋_GB2312" w:hAnsi="仿宋_GB2312" w:eastAsia="仿宋_GB2312" w:cs="仿宋_GB2312"/>
          <w:b/>
          <w:bCs/>
          <w:color w:val="auto"/>
          <w:kern w:val="2"/>
          <w:sz w:val="28"/>
          <w:szCs w:val="28"/>
          <w:lang w:val="en-US" w:eastAsia="zh-CN" w:bidi="ar-SA"/>
        </w:rPr>
        <w:t>二、申请人的资格要求：</w:t>
      </w:r>
      <w:bookmarkEnd w:id="12"/>
      <w:bookmarkEnd w:id="13"/>
      <w:bookmarkEnd w:id="14"/>
      <w:bookmarkEnd w:id="15"/>
      <w:bookmarkEnd w:id="16"/>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1.满足《中华人民共和国政府采购法》第二十二条规定；</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eastAsia="zh-CN"/>
        </w:rPr>
      </w:pPr>
      <w:bookmarkStart w:id="17" w:name="_Toc28359091"/>
      <w:bookmarkStart w:id="18" w:name="_Toc28359014"/>
      <w:r>
        <w:rPr>
          <w:rFonts w:hint="eastAsia" w:ascii="仿宋_GB2312" w:hAnsi="仿宋_GB2312" w:eastAsia="仿宋_GB2312" w:cs="仿宋_GB2312"/>
          <w:color w:val="auto"/>
          <w:sz w:val="28"/>
          <w:szCs w:val="28"/>
        </w:rPr>
        <w:t>2.落实政府采购政策需满足的资格要求：</w:t>
      </w:r>
      <w:r>
        <w:rPr>
          <w:rFonts w:hint="eastAsia" w:ascii="仿宋_GB2312" w:hAnsi="仿宋_GB2312" w:eastAsia="仿宋_GB2312" w:cs="仿宋_GB2312"/>
          <w:color w:val="auto"/>
          <w:sz w:val="28"/>
          <w:szCs w:val="28"/>
          <w:highlight w:val="none"/>
          <w:u w:val="none"/>
          <w:lang w:val="en-US" w:eastAsia="zh-CN"/>
        </w:rPr>
        <w:t>本项目专门面向小微企业采购，供应商应为小微企业，磋商时须提供《中小企业声明函》（按第五章格式填写）。本项目采购标的对应的中小企业划分标准所属行业为：工业。</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3.本项目的特定资格要求：</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（1）营业执照等主体资格证明文件：提供有效存续的企业营业执照（副本）/事业单位法人证书/专业服务机构执业许可证/民办非企业单位登记证书。</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（2）财务状况报告：提供202</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年度或202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度经审计的财务会计报告（包括审计报告、资产负债表、利润表、现金流量表、所有者权益变动表及其附注，成立时间至提交响应文件截止时间不足一年的可提供成立后任意时段的资产负债表），或其开标前三个月内基本存款账户开户银行出具的资信证明，或信用担保机构出具的投标担保函。（以上三种形式的资料提供任何一种即可）。</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（3）社保缴纳证明：提供递交响应文件截止之日前一年内任意一个月的社会保障资金缴存单据或社保机构开具的社会保险参保缴费情况证明。依法不需要缴纳社会保障资金的供应商应提供相关证明文件。</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（4）税收缴纳证明：提供递交响应文件截止之日前一年内任意一个月的依法缴纳税收的相关凭据（时间以税款所属日期为准、税种须同时包含</w:t>
      </w:r>
      <w:r>
        <w:rPr>
          <w:rFonts w:hint="eastAsia" w:ascii="仿宋_GB2312" w:hAnsi="仿宋_GB2312" w:eastAsia="仿宋_GB2312" w:cs="仿宋_GB2312"/>
          <w:b/>
          <w:bCs/>
          <w:color w:val="auto"/>
          <w:sz w:val="28"/>
          <w:szCs w:val="28"/>
        </w:rPr>
        <w:t>增值税和企业所得税</w:t>
      </w:r>
      <w:r>
        <w:rPr>
          <w:rFonts w:hint="eastAsia" w:ascii="仿宋_GB2312" w:hAnsi="仿宋_GB2312" w:eastAsia="仿宋_GB2312" w:cs="仿宋_GB2312"/>
          <w:color w:val="auto"/>
          <w:sz w:val="28"/>
          <w:szCs w:val="28"/>
        </w:rPr>
        <w:t>），凭据应有税务机关或代收机关的公章或业务专用章。</w:t>
      </w:r>
      <w:r>
        <w:rPr>
          <w:rFonts w:hint="eastAsia" w:ascii="仿宋_GB2312" w:hAnsi="仿宋_GB2312" w:eastAsia="仿宋_GB2312" w:cs="仿宋_GB2312"/>
          <w:b/>
          <w:bCs/>
          <w:color w:val="auto"/>
          <w:sz w:val="28"/>
          <w:szCs w:val="28"/>
        </w:rPr>
        <w:t>依法免税或无须缴纳税收的供应商，应提供相应证明文件。</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书面声明：</w:t>
      </w:r>
      <w:r>
        <w:rPr>
          <w:rFonts w:hint="eastAsia" w:ascii="仿宋_GB2312" w:hAnsi="仿宋_GB2312" w:eastAsia="仿宋_GB2312" w:cs="仿宋_GB2312"/>
          <w:color w:val="auto"/>
          <w:kern w:val="2"/>
          <w:sz w:val="28"/>
          <w:szCs w:val="28"/>
          <w:lang w:val="en-US" w:eastAsia="zh-CN" w:bidi="ar-SA"/>
        </w:rPr>
        <w:t>提供《近三年内在经营活动中无重大违法记录声明》。（按第五章格式填写）</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w:t>
      </w:r>
      <w:r>
        <w:rPr>
          <w:rFonts w:hint="eastAsia" w:ascii="仿宋_GB2312" w:hAnsi="仿宋_GB2312" w:eastAsia="仿宋_GB2312" w:cs="仿宋_GB2312"/>
          <w:color w:val="auto"/>
          <w:kern w:val="2"/>
          <w:sz w:val="28"/>
          <w:szCs w:val="28"/>
          <w:lang w:val="en-US" w:eastAsia="zh-CN" w:bidi="ar-SA"/>
        </w:rPr>
        <w:t>（按第五章格式填写）</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备注：1、以上资格要求均为必备资格，须提供相关证明文件并加盖响应人公章（如相关证明材料由第三方出具，应有第三方公章），缺少其中任何一项，其响应文件视为无效文件。</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2、分支机构参与磋商时，响应文件中应附法人出具的授权书。法人只能授权一家分支机构参与磋商，且不能与分支机构同时参与磋商。 </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3、事业单位法人参与磋商可不提供财务状况报告、社会保障资金缴纳证明及税收缴纳证明。</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9" w:name="_Toc29259"/>
      <w:bookmarkStart w:id="20" w:name="_Toc35393631"/>
      <w:bookmarkStart w:id="21" w:name="_Toc35393800"/>
      <w:r>
        <w:rPr>
          <w:rFonts w:hint="eastAsia" w:ascii="仿宋_GB2312" w:hAnsi="仿宋_GB2312" w:eastAsia="仿宋_GB2312" w:cs="仿宋_GB2312"/>
          <w:b/>
          <w:bCs/>
          <w:color w:val="auto"/>
          <w:kern w:val="2"/>
          <w:sz w:val="28"/>
          <w:szCs w:val="28"/>
          <w:lang w:val="en-US" w:eastAsia="zh-CN" w:bidi="ar-SA"/>
        </w:rPr>
        <w:t>三、获取采购文件</w:t>
      </w:r>
      <w:bookmarkEnd w:id="17"/>
      <w:bookmarkEnd w:id="18"/>
      <w:bookmarkEnd w:id="19"/>
      <w:bookmarkEnd w:id="20"/>
      <w:bookmarkEnd w:id="21"/>
    </w:p>
    <w:p>
      <w:pPr>
        <w:keepLines w:val="0"/>
        <w:pageBreakBefore w:val="0"/>
        <w:widowControl w:val="0"/>
        <w:kinsoku/>
        <w:wordWrap/>
        <w:overflowPunct/>
        <w:topLinePunct w:val="0"/>
        <w:bidi w:val="0"/>
        <w:snapToGrid/>
        <w:spacing w:line="560" w:lineRule="exact"/>
        <w:ind w:left="376" w:leftChars="133" w:firstLine="443" w:firstLineChars="157"/>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20</w:t>
      </w:r>
      <w:r>
        <w:rPr>
          <w:rFonts w:hint="eastAsia" w:ascii="仿宋_GB2312" w:hAnsi="仿宋_GB2312" w:eastAsia="仿宋_GB2312" w:cs="仿宋_GB2312"/>
          <w:color w:val="auto"/>
          <w:sz w:val="28"/>
          <w:szCs w:val="28"/>
          <w:highlight w:val="none"/>
          <w:u w:val="single"/>
          <w:lang w:val="en-US" w:eastAsia="zh-CN"/>
        </w:rPr>
        <w:t>23</w:t>
      </w:r>
      <w:r>
        <w:rPr>
          <w:rFonts w:hint="eastAsia" w:ascii="仿宋_GB2312" w:hAnsi="仿宋_GB2312" w:eastAsia="仿宋_GB2312" w:cs="仿宋_GB2312"/>
          <w:color w:val="auto"/>
          <w:sz w:val="28"/>
          <w:szCs w:val="28"/>
          <w:highlight w:val="none"/>
          <w:u w:val="single"/>
        </w:rPr>
        <w:t xml:space="preserve"> 年 </w:t>
      </w:r>
      <w:r>
        <w:rPr>
          <w:rFonts w:hint="eastAsia" w:ascii="仿宋_GB2312" w:hAnsi="仿宋_GB2312" w:eastAsia="仿宋_GB2312" w:cs="仿宋_GB2312"/>
          <w:color w:val="auto"/>
          <w:sz w:val="28"/>
          <w:szCs w:val="28"/>
          <w:highlight w:val="none"/>
          <w:u w:val="single"/>
          <w:lang w:val="en-US" w:eastAsia="zh-CN"/>
        </w:rPr>
        <w:t xml:space="preserve">12 </w:t>
      </w:r>
      <w:r>
        <w:rPr>
          <w:rFonts w:hint="eastAsia" w:ascii="仿宋_GB2312" w:hAnsi="仿宋_GB2312" w:eastAsia="仿宋_GB2312" w:cs="仿宋_GB2312"/>
          <w:color w:val="auto"/>
          <w:sz w:val="28"/>
          <w:szCs w:val="28"/>
          <w:highlight w:val="none"/>
          <w:u w:val="single"/>
        </w:rPr>
        <w:t xml:space="preserve">月 </w:t>
      </w:r>
      <w:r>
        <w:rPr>
          <w:rFonts w:hint="eastAsia" w:ascii="仿宋_GB2312" w:hAnsi="仿宋_GB2312" w:eastAsia="仿宋_GB2312" w:cs="仿宋_GB2312"/>
          <w:color w:val="auto"/>
          <w:sz w:val="28"/>
          <w:szCs w:val="28"/>
          <w:highlight w:val="none"/>
          <w:u w:val="single"/>
          <w:lang w:val="en-US" w:eastAsia="zh-CN"/>
        </w:rPr>
        <w:t xml:space="preserve">4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0 点 00 分</w:t>
      </w:r>
      <w:r>
        <w:rPr>
          <w:rFonts w:hint="eastAsia" w:ascii="仿宋_GB2312" w:hAnsi="仿宋_GB2312" w:eastAsia="仿宋_GB2312" w:cs="仿宋_GB2312"/>
          <w:color w:val="auto"/>
          <w:sz w:val="28"/>
          <w:szCs w:val="28"/>
          <w:highlight w:val="none"/>
        </w:rPr>
        <w:t>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2023</w:t>
      </w:r>
      <w:r>
        <w:rPr>
          <w:rFonts w:hint="eastAsia" w:ascii="仿宋_GB2312" w:hAnsi="仿宋_GB2312" w:eastAsia="仿宋_GB2312" w:cs="仿宋_GB2312"/>
          <w:color w:val="auto"/>
          <w:sz w:val="28"/>
          <w:szCs w:val="28"/>
          <w:highlight w:val="none"/>
          <w:u w:val="single"/>
        </w:rPr>
        <w:t xml:space="preserve"> 年 </w:t>
      </w:r>
      <w:r>
        <w:rPr>
          <w:rFonts w:hint="eastAsia" w:ascii="仿宋_GB2312" w:hAnsi="仿宋_GB2312" w:eastAsia="仿宋_GB2312" w:cs="仿宋_GB2312"/>
          <w:color w:val="auto"/>
          <w:sz w:val="28"/>
          <w:szCs w:val="28"/>
          <w:highlight w:val="none"/>
          <w:u w:val="single"/>
          <w:lang w:val="en-US" w:eastAsia="zh-CN"/>
        </w:rPr>
        <w:t xml:space="preserve">12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8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24 点 00 分（北京时间）</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rPr>
        <w:t>地点：</w:t>
      </w:r>
      <w:r>
        <w:rPr>
          <w:rFonts w:hint="eastAsia" w:ascii="仿宋_GB2312" w:hAnsi="仿宋_GB2312" w:eastAsia="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rPr>
        <w:t>登录全国公共资源交易平台（汉中市）（sxggzyjy.hanzhong.gov.cn）〖首页·〉电子交易平台·〉企业端〗后，在〖招标公告/出让公告·〉政府采购〗模块中选择项目点击“我要投标”，参与</w:t>
      </w:r>
      <w:r>
        <w:rPr>
          <w:rFonts w:hint="eastAsia" w:ascii="仿宋_GB2312" w:hAnsi="仿宋_GB2312" w:eastAsia="仿宋_GB2312" w:cs="仿宋_GB2312"/>
          <w:color w:val="auto"/>
          <w:sz w:val="28"/>
          <w:szCs w:val="28"/>
          <w:highlight w:val="none"/>
          <w:lang w:val="en-US" w:eastAsia="zh-CN"/>
        </w:rPr>
        <w:t>采购</w:t>
      </w:r>
      <w:r>
        <w:rPr>
          <w:rFonts w:hint="eastAsia" w:ascii="仿宋_GB2312" w:hAnsi="仿宋_GB2312" w:eastAsia="仿宋_GB2312" w:cs="仿宋_GB2312"/>
          <w:color w:val="auto"/>
          <w:sz w:val="28"/>
          <w:szCs w:val="28"/>
          <w:highlight w:val="none"/>
        </w:rPr>
        <w:t>活动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然后即可在〖我的项目〗中点击“项目流程&gt;交易文件下载”下载电子招标文件（*.SXSZF）。</w:t>
      </w:r>
      <w:r>
        <w:rPr>
          <w:rFonts w:hint="eastAsia" w:ascii="仿宋_GB2312" w:hAnsi="仿宋_GB2312" w:eastAsia="仿宋_GB2312" w:cs="仿宋_GB2312"/>
          <w:color w:val="auto"/>
          <w:sz w:val="28"/>
          <w:szCs w:val="28"/>
          <w:highlight w:val="none"/>
          <w:lang w:val="en-US" w:eastAsia="zh-CN"/>
        </w:rPr>
        <w:t>操作流程详见</w:t>
      </w:r>
      <w:r>
        <w:rPr>
          <w:rFonts w:hint="eastAsia" w:ascii="仿宋_GB2312" w:hAnsi="仿宋_GB2312" w:eastAsia="仿宋_GB2312" w:cs="仿宋_GB2312"/>
          <w:color w:val="auto"/>
          <w:sz w:val="28"/>
          <w:szCs w:val="28"/>
          <w:highlight w:val="none"/>
          <w:lang w:eastAsia="zh-CN"/>
        </w:rPr>
        <w:t>全国公共资源交易平台（汉中市）网站〖首页·〉服务指南·〉下载专区〗中的《政府采购供应商操作手册》。</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方式：</w:t>
      </w:r>
      <w:r>
        <w:rPr>
          <w:rFonts w:hint="eastAsia" w:ascii="仿宋_GB2312" w:hAnsi="仿宋_GB2312" w:eastAsia="仿宋_GB2312" w:cs="仿宋_GB2312"/>
          <w:color w:val="auto"/>
          <w:sz w:val="28"/>
          <w:szCs w:val="28"/>
          <w:highlight w:val="none"/>
          <w:lang w:val="en-US" w:eastAsia="zh-CN"/>
        </w:rPr>
        <w:t>线上获取</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售价：</w:t>
      </w:r>
      <w:r>
        <w:rPr>
          <w:rFonts w:hint="eastAsia" w:ascii="仿宋_GB2312" w:hAnsi="仿宋_GB2312" w:eastAsia="仿宋_GB2312" w:cs="仿宋_GB2312"/>
          <w:color w:val="auto"/>
          <w:sz w:val="28"/>
          <w:szCs w:val="28"/>
          <w:highlight w:val="none"/>
          <w:lang w:val="en-US" w:eastAsia="zh-CN"/>
        </w:rPr>
        <w:t>0.00元</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2" w:name="_Toc859"/>
      <w:bookmarkStart w:id="23" w:name="_Toc35393632"/>
      <w:bookmarkStart w:id="24" w:name="_Toc35393801"/>
      <w:bookmarkStart w:id="25" w:name="_Toc28359015"/>
      <w:bookmarkStart w:id="26" w:name="_Toc28359092"/>
      <w:r>
        <w:rPr>
          <w:rFonts w:hint="eastAsia" w:ascii="仿宋_GB2312" w:hAnsi="仿宋_GB2312" w:eastAsia="仿宋_GB2312" w:cs="仿宋_GB2312"/>
          <w:b/>
          <w:bCs/>
          <w:color w:val="auto"/>
          <w:kern w:val="2"/>
          <w:sz w:val="28"/>
          <w:szCs w:val="28"/>
          <w:highlight w:val="none"/>
          <w:lang w:val="en-US" w:eastAsia="zh-CN" w:bidi="ar-SA"/>
        </w:rPr>
        <w:t>四、响应文件提交</w:t>
      </w:r>
      <w:bookmarkEnd w:id="22"/>
      <w:bookmarkEnd w:id="23"/>
      <w:bookmarkEnd w:id="24"/>
      <w:bookmarkEnd w:id="25"/>
      <w:bookmarkEnd w:id="26"/>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截止时间：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2023</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 xml:space="preserve">12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22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地点：电子</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文件（*.SXSTF）可于提交</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文件截止时间前任意时段登录全国公共资源交易平台（</w:t>
      </w:r>
      <w:r>
        <w:rPr>
          <w:rFonts w:hint="eastAsia" w:ascii="仿宋_GB2312" w:hAnsi="仿宋_GB2312" w:eastAsia="仿宋_GB2312" w:cs="仿宋_GB2312"/>
          <w:color w:val="auto"/>
          <w:sz w:val="28"/>
          <w:szCs w:val="28"/>
          <w:highlight w:val="none"/>
          <w:lang w:val="en-US" w:eastAsia="zh-CN"/>
        </w:rPr>
        <w:t>汉中市</w:t>
      </w:r>
      <w:r>
        <w:rPr>
          <w:rFonts w:hint="eastAsia" w:ascii="仿宋_GB2312" w:hAnsi="仿宋_GB2312" w:eastAsia="仿宋_GB2312" w:cs="仿宋_GB2312"/>
          <w:color w:val="auto"/>
          <w:sz w:val="28"/>
          <w:szCs w:val="28"/>
          <w:highlight w:val="none"/>
        </w:rPr>
        <w:t>）网站进行提交</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逾期系统将拒绝接收。</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7" w:name="_Toc35393633"/>
      <w:bookmarkStart w:id="28" w:name="_Toc32165"/>
      <w:bookmarkStart w:id="29" w:name="_Toc28359093"/>
      <w:bookmarkStart w:id="30" w:name="_Toc28359016"/>
      <w:bookmarkStart w:id="31" w:name="_Toc35393802"/>
      <w:r>
        <w:rPr>
          <w:rFonts w:hint="eastAsia" w:ascii="仿宋_GB2312" w:hAnsi="仿宋_GB2312" w:eastAsia="仿宋_GB2312" w:cs="仿宋_GB2312"/>
          <w:b/>
          <w:bCs/>
          <w:color w:val="auto"/>
          <w:kern w:val="2"/>
          <w:sz w:val="28"/>
          <w:szCs w:val="28"/>
          <w:highlight w:val="none"/>
          <w:lang w:val="en-US" w:eastAsia="zh-CN" w:bidi="ar-SA"/>
        </w:rPr>
        <w:t>五、开启</w:t>
      </w:r>
      <w:bookmarkEnd w:id="27"/>
      <w:bookmarkEnd w:id="28"/>
      <w:bookmarkEnd w:id="29"/>
      <w:bookmarkEnd w:id="30"/>
      <w:bookmarkEnd w:id="31"/>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2023</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 xml:space="preserve">12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22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color w:val="auto"/>
          <w:sz w:val="28"/>
          <w:szCs w:val="28"/>
        </w:rPr>
        <w:t>地点：</w:t>
      </w:r>
      <w:r>
        <w:rPr>
          <w:rFonts w:hint="eastAsia" w:ascii="仿宋_GB2312" w:hAnsi="仿宋_GB2312" w:eastAsia="仿宋_GB2312" w:cs="仿宋_GB2312"/>
          <w:b/>
          <w:bCs/>
          <w:color w:val="auto"/>
          <w:sz w:val="28"/>
          <w:szCs w:val="28"/>
          <w:highlight w:val="none"/>
        </w:rPr>
        <w:t>采用</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不见面开标方式</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前，</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人登录全国公共资源交易平台（陕西省·汉中市）网站〖首页〉不见面开标〗系统，在线参加</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过程。</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时，按照工作人员要求进行远程解密，如因</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人自身原因造成无法解密</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文件，按无效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对待。</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2" w:name="_Toc35393803"/>
      <w:bookmarkStart w:id="33" w:name="_Toc28359017"/>
      <w:bookmarkStart w:id="34" w:name="_Toc28359094"/>
      <w:bookmarkStart w:id="35" w:name="_Toc35393634"/>
      <w:bookmarkStart w:id="36" w:name="_Toc4869"/>
      <w:r>
        <w:rPr>
          <w:rFonts w:hint="eastAsia" w:ascii="仿宋_GB2312" w:hAnsi="仿宋_GB2312" w:eastAsia="仿宋_GB2312" w:cs="仿宋_GB2312"/>
          <w:b/>
          <w:bCs/>
          <w:color w:val="auto"/>
          <w:kern w:val="2"/>
          <w:sz w:val="28"/>
          <w:szCs w:val="28"/>
          <w:lang w:val="en-US" w:eastAsia="zh-CN" w:bidi="ar-SA"/>
        </w:rPr>
        <w:t>六、公告期限</w:t>
      </w:r>
      <w:bookmarkEnd w:id="32"/>
      <w:bookmarkEnd w:id="33"/>
      <w:bookmarkEnd w:id="34"/>
      <w:bookmarkEnd w:id="35"/>
      <w:bookmarkEnd w:id="36"/>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自本公告发布之日起3个工作日。</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7" w:name="_Toc35393804"/>
      <w:bookmarkStart w:id="38" w:name="_Toc35393635"/>
      <w:bookmarkStart w:id="39" w:name="_Toc24605"/>
      <w:r>
        <w:rPr>
          <w:rFonts w:hint="eastAsia" w:ascii="仿宋_GB2312" w:hAnsi="仿宋_GB2312" w:eastAsia="仿宋_GB2312" w:cs="仿宋_GB2312"/>
          <w:b/>
          <w:bCs/>
          <w:color w:val="auto"/>
          <w:kern w:val="2"/>
          <w:sz w:val="28"/>
          <w:szCs w:val="28"/>
          <w:lang w:val="en-US" w:eastAsia="zh-CN" w:bidi="ar-SA"/>
        </w:rPr>
        <w:t>七、其他补充事宜</w:t>
      </w:r>
      <w:bookmarkEnd w:id="37"/>
      <w:bookmarkEnd w:id="38"/>
      <w:bookmarkEnd w:id="39"/>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１、响应人初次使用交易平台，须先完成诚信入库登记、数字认证证书 （CA 锁）认证及企业信息绑定。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b/>
          <w:bCs/>
          <w:color w:val="auto"/>
          <w:kern w:val="0"/>
          <w:sz w:val="28"/>
          <w:szCs w:val="28"/>
          <w:lang w:val="en-US" w:eastAsia="zh-CN"/>
        </w:rPr>
        <w:t>本项目采用“电子化采购”及“不见面开标”方式，</w:t>
      </w:r>
      <w:r>
        <w:rPr>
          <w:rFonts w:hint="eastAsia" w:ascii="仿宋_GB2312" w:hAnsi="仿宋_GB2312" w:eastAsia="仿宋_GB2312" w:cs="仿宋_GB2312"/>
          <w:color w:val="auto"/>
          <w:kern w:val="0"/>
          <w:sz w:val="28"/>
          <w:szCs w:val="28"/>
          <w:lang w:val="en-US" w:eastAsia="zh-CN"/>
        </w:rPr>
        <w:t>响应人须使用数字认证证书（CA锁）对电子响应文件进行签章、加密、递交及开启时解密等相关事宜。（操作手册详见〖首页〉服务指南〉下载专区〗中的《汉中公共资源交易不见面开标大厅投标单位操作手册》）</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3、请响应人务必及时下载采购文件并做好备份，否则会影响响应文件编制及后续采购活动。 </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按照2018年12月26日发布的“陕西省财政厅关于政府采购供应商注册登记有关事项的通知”要求，我省政府采购供应商注册登记工作自本通知印发之日起恢复办理。符合《政府采购法》第二十二条规定的合格供应商通过陕西省政府采购网（http://www.ccgp-shaanxi.gov.cn/）注册登记加入陕西省政府采购供应商库。详细内容请查阅“陕西省政府采购网”。供应商注册登记咨询电话：029-96702-7  87611761。</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40" w:name="_Toc28359095"/>
      <w:bookmarkStart w:id="41" w:name="_Toc35393805"/>
      <w:bookmarkStart w:id="42" w:name="_Toc35393636"/>
      <w:bookmarkStart w:id="43" w:name="_Toc28359018"/>
      <w:bookmarkStart w:id="44" w:name="_Toc17247"/>
      <w:r>
        <w:rPr>
          <w:rFonts w:hint="eastAsia" w:ascii="仿宋_GB2312" w:hAnsi="仿宋_GB2312" w:eastAsia="仿宋_GB2312" w:cs="仿宋_GB2312"/>
          <w:b/>
          <w:bCs/>
          <w:color w:val="auto"/>
          <w:kern w:val="2"/>
          <w:sz w:val="28"/>
          <w:szCs w:val="28"/>
          <w:lang w:val="en-US" w:eastAsia="zh-CN" w:bidi="ar-SA"/>
        </w:rPr>
        <w:t>八、凡对本次采购提出询问，请按以下方式联系。</w:t>
      </w:r>
      <w:bookmarkEnd w:id="40"/>
      <w:bookmarkEnd w:id="41"/>
      <w:bookmarkEnd w:id="42"/>
      <w:bookmarkEnd w:id="43"/>
      <w:bookmarkEnd w:id="44"/>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45" w:name="_Toc9063"/>
      <w:bookmarkStart w:id="46" w:name="_Toc28359096"/>
      <w:bookmarkStart w:id="47" w:name="_Toc28359019"/>
      <w:bookmarkStart w:id="48" w:name="_Toc35393806"/>
      <w:bookmarkStart w:id="49" w:name="_Toc35393637"/>
      <w:r>
        <w:rPr>
          <w:rFonts w:hint="eastAsia" w:ascii="仿宋_GB2312" w:hAnsi="仿宋_GB2312" w:eastAsia="仿宋_GB2312" w:cs="仿宋_GB2312"/>
          <w:b w:val="0"/>
          <w:color w:val="auto"/>
          <w:kern w:val="2"/>
          <w:sz w:val="28"/>
          <w:szCs w:val="28"/>
          <w:lang w:val="en-US" w:eastAsia="zh-CN" w:bidi="ar-SA"/>
        </w:rPr>
        <w:t>1.采购人信息</w:t>
      </w:r>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u w:val="single"/>
          <w:lang w:val="en-US" w:eastAsia="zh-CN"/>
        </w:rPr>
      </w:pPr>
      <w:bookmarkStart w:id="50" w:name="_Toc35393807"/>
      <w:bookmarkStart w:id="51" w:name="_Toc35393638"/>
      <w:bookmarkStart w:id="52" w:name="_Toc28359097"/>
      <w:bookmarkStart w:id="53" w:name="_Toc28359020"/>
      <w:r>
        <w:rPr>
          <w:rFonts w:hint="eastAsia" w:ascii="仿宋_GB2312" w:hAnsi="仿宋_GB2312" w:eastAsia="仿宋_GB2312" w:cs="仿宋_GB2312"/>
          <w:color w:val="auto"/>
          <w:sz w:val="28"/>
          <w:szCs w:val="28"/>
          <w:u w:val="none"/>
        </w:rPr>
        <w:t>名</w:t>
      </w:r>
      <w:r>
        <w:rPr>
          <w:rFonts w:hint="eastAsia" w:ascii="仿宋_GB2312" w:hAnsi="仿宋_GB2312" w:eastAsia="仿宋_GB2312" w:cs="仿宋_GB2312"/>
          <w:color w:val="auto"/>
          <w:sz w:val="28"/>
          <w:szCs w:val="28"/>
          <w:u w:val="none"/>
          <w:lang w:val="en-US" w:eastAsia="zh-CN"/>
        </w:rPr>
        <w:t xml:space="preserve">    称：</w:t>
      </w:r>
      <w:r>
        <w:rPr>
          <w:rFonts w:hint="eastAsia" w:ascii="仿宋_GB2312" w:hAnsi="仿宋_GB2312" w:eastAsia="仿宋_GB2312" w:cs="仿宋_GB2312"/>
          <w:color w:val="auto"/>
          <w:sz w:val="28"/>
          <w:szCs w:val="28"/>
          <w:u w:val="single"/>
          <w:lang w:val="en-US" w:eastAsia="zh-CN"/>
        </w:rPr>
        <w:t>　汉中市公安局 　</w:t>
      </w:r>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none"/>
          <w:lang w:val="en-US" w:eastAsia="zh-CN"/>
        </w:rPr>
        <w:t>地    址：</w:t>
      </w:r>
      <w:r>
        <w:rPr>
          <w:rFonts w:hint="eastAsia" w:ascii="仿宋_GB2312" w:hAnsi="仿宋_GB2312" w:eastAsia="仿宋_GB2312" w:cs="仿宋_GB2312"/>
          <w:color w:val="auto"/>
          <w:sz w:val="28"/>
          <w:szCs w:val="28"/>
          <w:u w:val="single"/>
          <w:lang w:val="en-US" w:eastAsia="zh-CN"/>
        </w:rPr>
        <w:t>　汉中市汉台区民主街 　</w:t>
      </w:r>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highlight w:val="none"/>
          <w:u w:val="single"/>
          <w:lang w:val="en-US" w:eastAsia="zh-CN"/>
        </w:rPr>
        <w:t xml:space="preserve">19888966606   </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4" w:name="_Toc27032"/>
      <w:r>
        <w:rPr>
          <w:rFonts w:hint="eastAsia" w:ascii="仿宋_GB2312" w:hAnsi="仿宋_GB2312" w:eastAsia="仿宋_GB2312" w:cs="仿宋_GB2312"/>
          <w:b w:val="0"/>
          <w:color w:val="auto"/>
          <w:kern w:val="2"/>
          <w:sz w:val="28"/>
          <w:szCs w:val="28"/>
          <w:lang w:val="en-US" w:eastAsia="zh-CN" w:bidi="ar-SA"/>
        </w:rPr>
        <w:t>2.采购代理机构信息</w:t>
      </w:r>
      <w:bookmarkEnd w:id="50"/>
      <w:bookmarkEnd w:id="51"/>
      <w:bookmarkEnd w:id="52"/>
      <w:bookmarkEnd w:id="53"/>
      <w:bookmarkEnd w:id="54"/>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汉中市政府采购中心</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汉中市汉台区南团结街与汉宁路十字金格大厦四楼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0916-2109082</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5" w:name="_Toc6426"/>
      <w:bookmarkStart w:id="56" w:name="_Toc35393808"/>
      <w:bookmarkStart w:id="57" w:name="_Toc28359098"/>
      <w:bookmarkStart w:id="58" w:name="_Toc35393639"/>
      <w:bookmarkStart w:id="59" w:name="_Toc28359021"/>
      <w:r>
        <w:rPr>
          <w:rFonts w:hint="eastAsia" w:ascii="仿宋_GB2312" w:hAnsi="仿宋_GB2312" w:eastAsia="仿宋_GB2312" w:cs="仿宋_GB2312"/>
          <w:b w:val="0"/>
          <w:color w:val="auto"/>
          <w:kern w:val="2"/>
          <w:sz w:val="28"/>
          <w:szCs w:val="28"/>
          <w:lang w:val="en-US" w:eastAsia="zh-CN" w:bidi="ar-SA"/>
        </w:rPr>
        <w:t>3.项目联系方式</w:t>
      </w:r>
      <w:bookmarkEnd w:id="55"/>
      <w:bookmarkEnd w:id="56"/>
      <w:bookmarkEnd w:id="57"/>
      <w:bookmarkEnd w:id="58"/>
      <w:bookmarkEnd w:id="59"/>
    </w:p>
    <w:p>
      <w:pPr>
        <w:pStyle w:val="11"/>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项目联系人：</w:t>
      </w:r>
      <w:r>
        <w:rPr>
          <w:rFonts w:hint="eastAsia" w:ascii="仿宋_GB2312" w:hAnsi="仿宋_GB2312" w:eastAsia="仿宋_GB2312" w:cs="仿宋_GB2312"/>
          <w:color w:val="auto"/>
          <w:kern w:val="2"/>
          <w:sz w:val="28"/>
          <w:szCs w:val="28"/>
          <w:u w:val="single"/>
          <w:lang w:val="en-US" w:eastAsia="zh-CN" w:bidi="ar-SA"/>
        </w:rPr>
        <w:t xml:space="preserve">  王月</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电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话：</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0916-2109082</w:t>
      </w:r>
      <w:r>
        <w:rPr>
          <w:rFonts w:hint="eastAsia" w:ascii="仿宋_GB2312" w:hAnsi="仿宋_GB2312" w:eastAsia="仿宋_GB2312" w:cs="仿宋_GB2312"/>
          <w:color w:val="auto"/>
          <w:sz w:val="28"/>
          <w:szCs w:val="28"/>
          <w:u w:val="single"/>
        </w:rPr>
        <w:t>　</w:t>
      </w:r>
    </w:p>
    <w:p>
      <w:pPr>
        <w:pStyle w:val="2"/>
        <w:rPr>
          <w:rFonts w:ascii="黑体" w:hAnsi="黑体" w:eastAsia="黑体"/>
          <w:color w:val="auto"/>
          <w:sz w:val="32"/>
          <w:szCs w:val="32"/>
        </w:rPr>
      </w:pPr>
      <w:r>
        <w:rPr>
          <w:color w:val="auto"/>
          <w:sz w:val="28"/>
          <w:szCs w:val="28"/>
        </w:rPr>
        <w:br w:type="page"/>
      </w:r>
      <w:bookmarkStart w:id="60" w:name="_Toc495012820"/>
      <w:bookmarkStart w:id="61" w:name="_Toc19337_WPSOffice_Level1"/>
      <w:bookmarkStart w:id="62" w:name="_Toc10140"/>
      <w:bookmarkStart w:id="63" w:name="_Toc22804_WPSOffice_Level1"/>
      <w:bookmarkStart w:id="64" w:name="_Toc445306492"/>
      <w:bookmarkStart w:id="65" w:name="_Toc495012770"/>
      <w:bookmarkStart w:id="66" w:name="_Toc495014584"/>
      <w:bookmarkStart w:id="67" w:name="_Toc495014919"/>
      <w:bookmarkStart w:id="68" w:name="_Toc9601"/>
      <w:bookmarkStart w:id="69" w:name="_Toc15046_WPSOffice_Level1"/>
      <w:bookmarkStart w:id="70" w:name="_Toc495014610"/>
      <w:bookmarkStart w:id="71" w:name="_Toc4326"/>
      <w:bookmarkStart w:id="72" w:name="_Toc7814"/>
      <w:bookmarkStart w:id="73" w:name="_Toc495014953"/>
      <w:bookmarkStart w:id="74" w:name="_Toc495014648"/>
      <w:r>
        <w:rPr>
          <w:rFonts w:ascii="黑体" w:hAnsi="黑体" w:eastAsia="黑体"/>
          <w:b w:val="0"/>
          <w:bCs/>
          <w:color w:val="auto"/>
          <w:sz w:val="32"/>
          <w:szCs w:val="32"/>
        </w:rPr>
        <w:t xml:space="preserve">第二章  </w:t>
      </w:r>
      <w:r>
        <w:rPr>
          <w:rFonts w:hint="eastAsia" w:ascii="黑体" w:hAnsi="黑体" w:eastAsia="黑体"/>
          <w:b w:val="0"/>
          <w:bCs/>
          <w:color w:val="auto"/>
          <w:sz w:val="32"/>
          <w:szCs w:val="32"/>
        </w:rPr>
        <w:t>供应商</w:t>
      </w:r>
      <w:r>
        <w:rPr>
          <w:rFonts w:ascii="黑体" w:hAnsi="黑体" w:eastAsia="黑体"/>
          <w:b w:val="0"/>
          <w:bCs/>
          <w:color w:val="auto"/>
          <w:sz w:val="32"/>
          <w:szCs w:val="32"/>
        </w:rPr>
        <w:t>须知</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3"/>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75" w:name="_Toc3858_WPSOffice_Level2"/>
      <w:bookmarkStart w:id="76" w:name="_Toc24451_WPSOffice_Level2"/>
      <w:bookmarkStart w:id="77" w:name="_Toc16238"/>
      <w:bookmarkStart w:id="78" w:name="_Toc23184"/>
      <w:bookmarkStart w:id="79" w:name="_Toc12337"/>
      <w:bookmarkStart w:id="80" w:name="_Toc18466_WPSOffice_Level2"/>
      <w:bookmarkStart w:id="81" w:name="_Toc3062"/>
      <w:r>
        <w:rPr>
          <w:rFonts w:hint="eastAsia" w:ascii="仿宋_GB2312" w:hAnsi="仿宋_GB2312" w:eastAsia="仿宋_GB2312" w:cs="仿宋_GB2312"/>
          <w:color w:val="auto"/>
          <w:sz w:val="28"/>
          <w:szCs w:val="28"/>
        </w:rPr>
        <w:t>一、定义</w:t>
      </w:r>
      <w:bookmarkEnd w:id="75"/>
      <w:bookmarkEnd w:id="76"/>
      <w:bookmarkEnd w:id="77"/>
      <w:bookmarkEnd w:id="78"/>
      <w:bookmarkEnd w:id="79"/>
      <w:bookmarkEnd w:id="80"/>
      <w:bookmarkEnd w:id="81"/>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82" w:name="_Toc11840_WPSOffice_Level3"/>
      <w:r>
        <w:rPr>
          <w:rFonts w:hint="eastAsia" w:ascii="仿宋_GB2312" w:hAnsi="仿宋_GB2312" w:eastAsia="仿宋_GB2312" w:cs="仿宋_GB2312"/>
          <w:color w:val="auto"/>
          <w:sz w:val="28"/>
          <w:szCs w:val="28"/>
        </w:rPr>
        <w:t>（一）采 购 人</w:t>
      </w:r>
      <w:r>
        <w:rPr>
          <w:rFonts w:hint="eastAsia" w:ascii="仿宋_GB2312" w:hAnsi="仿宋_GB2312" w:eastAsia="仿宋_GB2312" w:cs="仿宋_GB2312"/>
          <w:color w:val="auto"/>
          <w:sz w:val="28"/>
          <w:szCs w:val="28"/>
          <w:lang w:val="en-US" w:eastAsia="zh-CN"/>
        </w:rPr>
        <w:t>：</w:t>
      </w:r>
      <w:bookmarkEnd w:id="82"/>
      <w:bookmarkStart w:id="83" w:name="_Toc9917_WPSOffice_Level3"/>
      <w:r>
        <w:rPr>
          <w:rFonts w:hint="eastAsia" w:ascii="仿宋_GB2312" w:hAnsi="仿宋_GB2312" w:eastAsia="仿宋_GB2312" w:cs="仿宋_GB2312"/>
          <w:color w:val="auto"/>
          <w:sz w:val="28"/>
          <w:szCs w:val="28"/>
          <w:lang w:val="en-US" w:eastAsia="zh-CN"/>
        </w:rPr>
        <w:t>汉中市公安局</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（二）监督机构：</w:t>
      </w:r>
      <w:bookmarkEnd w:id="83"/>
      <w:r>
        <w:rPr>
          <w:rFonts w:hint="eastAsia" w:ascii="仿宋_GB2312" w:hAnsi="仿宋_GB2312" w:eastAsia="仿宋_GB2312" w:cs="仿宋_GB2312"/>
          <w:color w:val="auto"/>
          <w:sz w:val="28"/>
          <w:szCs w:val="28"/>
          <w:lang w:val="en-US" w:eastAsia="zh-CN"/>
        </w:rPr>
        <w:t>汉中市财政局</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4" w:name="_Toc8219_WPSOffice_Level3"/>
      <w:r>
        <w:rPr>
          <w:rFonts w:hint="eastAsia" w:ascii="仿宋_GB2312" w:hAnsi="仿宋_GB2312" w:eastAsia="仿宋_GB2312" w:cs="仿宋_GB2312"/>
          <w:color w:val="auto"/>
          <w:sz w:val="28"/>
          <w:szCs w:val="28"/>
        </w:rPr>
        <w:t>（三）集中采购机构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采购代理机构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bookmarkEnd w:id="84"/>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5" w:name="_Toc20141_WPSOffice_Level3"/>
      <w:r>
        <w:rPr>
          <w:rFonts w:hint="eastAsia" w:ascii="仿宋_GB2312" w:hAnsi="仿宋_GB2312" w:eastAsia="仿宋_GB2312" w:cs="仿宋_GB2312"/>
          <w:color w:val="auto"/>
          <w:sz w:val="28"/>
          <w:szCs w:val="28"/>
        </w:rPr>
        <w:t>（四）供应商：拟向采购人提供货物、工程或者服务的法人、其他组织或者自然人</w:t>
      </w:r>
      <w:bookmarkEnd w:id="85"/>
    </w:p>
    <w:p>
      <w:pPr>
        <w:pStyle w:val="3"/>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6" w:name="_Toc4606"/>
      <w:bookmarkStart w:id="87" w:name="_Toc27278_WPSOffice_Level2"/>
      <w:bookmarkStart w:id="88" w:name="_Toc11745_WPSOffice_Level2"/>
      <w:bookmarkStart w:id="89" w:name="_Toc24646"/>
      <w:bookmarkStart w:id="90" w:name="_Toc13654"/>
      <w:bookmarkStart w:id="91" w:name="_Toc20906_WPSOffice_Level2"/>
      <w:bookmarkStart w:id="92" w:name="_Toc9291"/>
      <w:r>
        <w:rPr>
          <w:rFonts w:hint="eastAsia" w:ascii="仿宋_GB2312" w:hAnsi="仿宋_GB2312" w:eastAsia="仿宋_GB2312" w:cs="仿宋_GB2312"/>
          <w:color w:val="auto"/>
          <w:sz w:val="28"/>
          <w:szCs w:val="28"/>
        </w:rPr>
        <w:t>二、供应商注意事项</w:t>
      </w:r>
      <w:bookmarkEnd w:id="86"/>
      <w:bookmarkEnd w:id="87"/>
      <w:bookmarkEnd w:id="88"/>
      <w:bookmarkEnd w:id="89"/>
      <w:bookmarkEnd w:id="90"/>
      <w:bookmarkEnd w:id="91"/>
      <w:bookmarkEnd w:id="92"/>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93" w:name="_Toc21291"/>
      <w:bookmarkStart w:id="94" w:name="_Toc26982_WPSOffice_Level3"/>
      <w:r>
        <w:rPr>
          <w:rFonts w:hint="eastAsia" w:ascii="仿宋_GB2312" w:hAnsi="仿宋_GB2312" w:eastAsia="仿宋_GB2312" w:cs="仿宋_GB2312"/>
          <w:b/>
          <w:bCs/>
          <w:color w:val="auto"/>
          <w:sz w:val="28"/>
          <w:szCs w:val="28"/>
        </w:rPr>
        <w:t>（一）</w:t>
      </w:r>
      <w:r>
        <w:rPr>
          <w:rFonts w:hint="eastAsia" w:ascii="仿宋_GB2312" w:hAnsi="仿宋_GB2312" w:eastAsia="仿宋_GB2312" w:cs="仿宋_GB2312"/>
          <w:b/>
          <w:color w:val="auto"/>
          <w:sz w:val="28"/>
          <w:szCs w:val="28"/>
        </w:rPr>
        <w:t>现场</w:t>
      </w:r>
      <w:r>
        <w:rPr>
          <w:rFonts w:hint="eastAsia" w:ascii="仿宋_GB2312" w:hAnsi="仿宋_GB2312" w:eastAsia="仿宋_GB2312" w:cs="仿宋_GB2312"/>
          <w:b/>
          <w:color w:val="auto"/>
          <w:sz w:val="28"/>
          <w:szCs w:val="28"/>
          <w:lang w:val="en-US" w:eastAsia="zh-CN"/>
        </w:rPr>
        <w:t>考察</w:t>
      </w:r>
      <w:r>
        <w:rPr>
          <w:rFonts w:hint="eastAsia" w:ascii="仿宋_GB2312" w:hAnsi="仿宋_GB2312" w:eastAsia="仿宋_GB2312" w:cs="仿宋_GB2312"/>
          <w:b/>
          <w:color w:val="auto"/>
          <w:sz w:val="28"/>
          <w:szCs w:val="28"/>
        </w:rPr>
        <w:t>及</w:t>
      </w:r>
      <w:r>
        <w:rPr>
          <w:rFonts w:hint="eastAsia" w:ascii="仿宋_GB2312" w:hAnsi="仿宋_GB2312" w:eastAsia="仿宋_GB2312" w:cs="仿宋_GB2312"/>
          <w:b/>
          <w:color w:val="auto"/>
          <w:sz w:val="28"/>
          <w:szCs w:val="28"/>
          <w:lang w:val="en-US" w:eastAsia="zh-CN"/>
        </w:rPr>
        <w:t>磋商</w:t>
      </w:r>
      <w:r>
        <w:rPr>
          <w:rFonts w:hint="eastAsia" w:ascii="仿宋_GB2312" w:hAnsi="仿宋_GB2312" w:eastAsia="仿宋_GB2312" w:cs="仿宋_GB2312"/>
          <w:b/>
          <w:color w:val="auto"/>
          <w:sz w:val="28"/>
          <w:szCs w:val="28"/>
        </w:rPr>
        <w:t>前答疑会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采购项目安排现场考察和</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前答疑的，采购人应尽量在现场予以解答 （口头提问可口头答复），现场不能做出解答的，应在三个工作日内书面答复，并交由</w:t>
      </w:r>
      <w:r>
        <w:rPr>
          <w:rFonts w:hint="eastAsia" w:ascii="仿宋_GB2312" w:hAnsi="仿宋_GB2312" w:eastAsia="仿宋_GB2312" w:cs="仿宋_GB2312"/>
          <w:bCs/>
          <w:color w:val="auto"/>
          <w:sz w:val="28"/>
          <w:szCs w:val="28"/>
          <w:lang w:val="en-US" w:eastAsia="zh-CN"/>
        </w:rPr>
        <w:t>集中采购机构</w:t>
      </w:r>
      <w:r>
        <w:rPr>
          <w:rFonts w:hint="eastAsia" w:ascii="仿宋_GB2312" w:hAnsi="仿宋_GB2312" w:eastAsia="仿宋_GB2312" w:cs="仿宋_GB2312"/>
          <w:bCs/>
          <w:color w:val="auto"/>
          <w:sz w:val="28"/>
          <w:szCs w:val="28"/>
        </w:rPr>
        <w:t>在财政部门指定的媒体上发布。 答复内容可能影响响应文件编制的，应当顺延</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 xml:space="preserve">时间。凡未参加现场考察及磋商前答疑会的供应商，由此造成的偏差由各供应商自行负责。 </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28"/>
          <w:szCs w:val="28"/>
        </w:rPr>
        <w:t>本项目</w:t>
      </w:r>
      <w:r>
        <w:rPr>
          <w:rFonts w:hint="eastAsia" w:ascii="仿宋_GB2312" w:hAnsi="仿宋_GB2312" w:eastAsia="仿宋_GB2312" w:cs="仿宋_GB2312"/>
          <w:b/>
          <w:color w:val="auto"/>
          <w:sz w:val="28"/>
          <w:szCs w:val="28"/>
          <w:lang w:val="en-US" w:eastAsia="zh-CN"/>
        </w:rPr>
        <w:t>不</w:t>
      </w:r>
      <w:r>
        <w:rPr>
          <w:rFonts w:hint="eastAsia" w:ascii="仿宋_GB2312" w:hAnsi="仿宋_GB2312" w:eastAsia="仿宋_GB2312" w:cs="仿宋_GB2312"/>
          <w:b/>
          <w:color w:val="auto"/>
          <w:sz w:val="28"/>
          <w:szCs w:val="28"/>
        </w:rPr>
        <w:t>组织集中踏勘</w:t>
      </w:r>
      <w:r>
        <w:rPr>
          <w:rFonts w:hint="eastAsia" w:ascii="仿宋_GB2312" w:hAnsi="仿宋_GB2312" w:eastAsia="仿宋_GB2312" w:cs="仿宋_GB2312"/>
          <w:b/>
          <w:color w:val="auto"/>
          <w:sz w:val="28"/>
          <w:szCs w:val="28"/>
          <w:lang w:val="en-US" w:eastAsia="zh-CN"/>
        </w:rPr>
        <w:t>和磋商前答疑会</w:t>
      </w:r>
      <w:r>
        <w:rPr>
          <w:rFonts w:hint="eastAsia" w:ascii="仿宋_GB2312" w:hAnsi="仿宋_GB2312" w:eastAsia="仿宋_GB2312" w:cs="仿宋_GB2312"/>
          <w:b/>
          <w:color w:val="auto"/>
          <w:sz w:val="28"/>
          <w:szCs w:val="28"/>
        </w:rPr>
        <w:t>。</w:t>
      </w:r>
      <w:bookmarkEnd w:id="93"/>
      <w:bookmarkEnd w:id="94"/>
      <w:bookmarkStart w:id="95" w:name="_Toc669_WPSOffice_Level3"/>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rPr>
        <w:t>（二）</w:t>
      </w:r>
      <w:bookmarkEnd w:id="95"/>
      <w:bookmarkStart w:id="96" w:name="_Toc9412_WPSOffice_Level3"/>
      <w:r>
        <w:rPr>
          <w:rFonts w:hint="eastAsia" w:ascii="仿宋_GB2312" w:hAnsi="仿宋_GB2312" w:eastAsia="仿宋_GB2312" w:cs="仿宋_GB2312"/>
          <w:b/>
          <w:bCs/>
          <w:color w:val="auto"/>
          <w:sz w:val="28"/>
          <w:szCs w:val="28"/>
        </w:rPr>
        <w:t>询问</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针对采购文件，向采购人</w:t>
      </w:r>
      <w:r>
        <w:rPr>
          <w:rFonts w:hint="eastAsia" w:ascii="仿宋_GB2312" w:hAnsi="仿宋_GB2312" w:eastAsia="仿宋_GB2312" w:cs="仿宋_GB2312"/>
          <w:color w:val="auto"/>
          <w:sz w:val="28"/>
          <w:szCs w:val="28"/>
        </w:rPr>
        <w:t>提出书面询问的，采购人应在三个工作日内书面答复；供应商向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en-US" w:eastAsia="zh-CN"/>
        </w:rPr>
        <w:t>在委托授权范围内作出答复，超出范围</w:t>
      </w:r>
      <w:r>
        <w:rPr>
          <w:rFonts w:hint="eastAsia" w:ascii="仿宋_GB2312" w:hAnsi="仿宋_GB2312" w:eastAsia="仿宋_GB2312" w:cs="仿宋_GB2312"/>
          <w:color w:val="auto"/>
          <w:sz w:val="28"/>
          <w:szCs w:val="28"/>
        </w:rPr>
        <w:t>应告知采购人</w:t>
      </w:r>
      <w:r>
        <w:rPr>
          <w:rFonts w:hint="eastAsia" w:ascii="仿宋_GB2312" w:hAnsi="仿宋_GB2312" w:eastAsia="仿宋_GB2312" w:cs="仿宋_GB2312"/>
          <w:color w:val="auto"/>
          <w:sz w:val="28"/>
          <w:szCs w:val="28"/>
          <w:lang w:val="en-US" w:eastAsia="zh-CN"/>
        </w:rPr>
        <w:t>作</w:t>
      </w:r>
      <w:r>
        <w:rPr>
          <w:rFonts w:hint="eastAsia" w:ascii="仿宋_GB2312" w:hAnsi="仿宋_GB2312" w:eastAsia="仿宋_GB2312" w:cs="仿宋_GB2312"/>
          <w:color w:val="auto"/>
          <w:sz w:val="28"/>
          <w:szCs w:val="28"/>
        </w:rPr>
        <w:t xml:space="preserve">出答复。 </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w:t>
      </w:r>
      <w:r>
        <w:rPr>
          <w:rFonts w:hint="eastAsia" w:ascii="仿宋_GB2312" w:hAnsi="仿宋_GB2312" w:eastAsia="仿宋_GB2312" w:cs="仿宋_GB2312"/>
          <w:color w:val="auto"/>
          <w:sz w:val="28"/>
          <w:szCs w:val="28"/>
        </w:rPr>
        <w:t>对采购过程、中标（成交）结果，向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应在三个工作日内书面答复</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（三）质疑和投诉</w:t>
      </w:r>
      <w:bookmarkEnd w:id="96"/>
    </w:p>
    <w:p>
      <w:pPr>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供应商如果认为采购过程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w:t>
      </w:r>
      <w:r>
        <w:rPr>
          <w:rFonts w:hint="eastAsia" w:ascii="仿宋_GB2312" w:hAnsi="仿宋_GB2312" w:eastAsia="仿宋_GB2312" w:cs="仿宋_GB2312"/>
          <w:color w:val="auto"/>
          <w:sz w:val="28"/>
          <w:szCs w:val="28"/>
          <w:lang w:val="en-US" w:eastAsia="zh-CN"/>
        </w:rPr>
        <w:t>或者成交</w:t>
      </w:r>
      <w:r>
        <w:rPr>
          <w:rFonts w:hint="eastAsia" w:ascii="仿宋_GB2312" w:hAnsi="仿宋_GB2312" w:eastAsia="仿宋_GB2312" w:cs="仿宋_GB2312"/>
          <w:color w:val="auto"/>
          <w:sz w:val="28"/>
          <w:szCs w:val="28"/>
        </w:rPr>
        <w:t>结果使自身的合法权益受到损害，可以在知道或者应知其权益受到损害之日起7个工作日内，以书面形式向采购人、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提出质疑。</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供应商在法定质疑期内针对同一采购程序环节的质疑</w:t>
      </w:r>
      <w:r>
        <w:rPr>
          <w:rFonts w:hint="eastAsia" w:ascii="仿宋_GB2312" w:hAnsi="仿宋_GB2312" w:eastAsia="仿宋_GB2312" w:cs="仿宋_GB2312"/>
          <w:color w:val="auto"/>
          <w:sz w:val="28"/>
          <w:szCs w:val="28"/>
          <w:lang w:val="en-US" w:eastAsia="zh-CN"/>
        </w:rPr>
        <w:t>应</w:t>
      </w:r>
      <w:r>
        <w:rPr>
          <w:rFonts w:hint="eastAsia" w:ascii="仿宋_GB2312" w:hAnsi="仿宋_GB2312" w:eastAsia="仿宋_GB2312" w:cs="仿宋_GB2312"/>
          <w:color w:val="auto"/>
          <w:sz w:val="28"/>
          <w:szCs w:val="28"/>
        </w:rPr>
        <w:t>一次性提出</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提出质疑应当提交质疑函和必要的证明材料，并按财政部《质疑函范本》给定的格式进行填写，范本下载详见【财政部国库司（gks.mof.gov.cn）】网站〖首页•〉政府采购管理〗栏目中的《政府采购供应商质疑函范本》。</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《政府采购供应商质疑函范本》链接地址</w:t>
      </w:r>
      <w:r>
        <w:rPr>
          <w:rFonts w:hint="eastAsia" w:ascii="仿宋_GB2312" w:hAnsi="仿宋_GB2312" w:eastAsia="仿宋_GB2312" w:cs="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http://gks.mof.gov.cn/ztztz/zhengfucaigouguanli/201802/t20180201_2804589.htm</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接收质疑函方式：现场递交或邮件（快递）寄送；</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联系部门：</w:t>
      </w:r>
      <w:r>
        <w:rPr>
          <w:rFonts w:hint="eastAsia" w:ascii="仿宋_GB2312" w:hAnsi="仿宋_GB2312" w:eastAsia="仿宋_GB2312" w:cs="仿宋_GB2312"/>
          <w:color w:val="auto"/>
          <w:sz w:val="28"/>
          <w:szCs w:val="28"/>
          <w:lang w:val="en-US" w:eastAsia="zh-CN"/>
        </w:rPr>
        <w:t>交易监督科</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联系电话：0916-210908</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通讯地址：汉中市汉台区南团结街与汉宁路十字金格大厦四楼4</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室。</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、采购代理机构或采购人将在收到书面质疑后7个工作日内做出答复，并以书面形式通知质疑人和其他有关供应商。</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、质疑</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或采购人的答复不满意，以及</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或采购人未在规定时间内</w:t>
      </w:r>
      <w:r>
        <w:rPr>
          <w:rFonts w:hint="eastAsia" w:ascii="仿宋_GB2312" w:hAnsi="仿宋_GB2312" w:eastAsia="仿宋_GB2312" w:cs="仿宋_GB2312"/>
          <w:color w:val="auto"/>
          <w:sz w:val="28"/>
          <w:szCs w:val="28"/>
          <w:lang w:val="en-US" w:eastAsia="zh-CN"/>
        </w:rPr>
        <w:t>作出</w:t>
      </w:r>
      <w:r>
        <w:rPr>
          <w:rFonts w:hint="eastAsia" w:ascii="仿宋_GB2312" w:hAnsi="仿宋_GB2312" w:eastAsia="仿宋_GB2312" w:cs="仿宋_GB2312"/>
          <w:color w:val="auto"/>
          <w:sz w:val="28"/>
          <w:szCs w:val="28"/>
        </w:rPr>
        <w:t>答复的，可以在答复期满后15个工作日内向政府采购监管机构提出投诉。</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97" w:name="_Toc14110_WPSOffice_Level3"/>
      <w:r>
        <w:rPr>
          <w:rFonts w:hint="eastAsia" w:ascii="仿宋_GB2312" w:hAnsi="仿宋_GB2312" w:eastAsia="仿宋_GB2312" w:cs="仿宋_GB2312"/>
          <w:b/>
          <w:color w:val="auto"/>
          <w:sz w:val="28"/>
          <w:szCs w:val="28"/>
        </w:rPr>
        <w:t>（四）对参加政府采购活动的中小企业的扶持政策[依据《政府采购促进中小企业发展管理办法》（财库〔2020〕46号）相关规定]</w:t>
      </w:r>
    </w:p>
    <w:bookmarkEnd w:id="97"/>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highlight w:val="yellow"/>
        </w:rPr>
      </w:pPr>
      <w:r>
        <w:rPr>
          <w:rFonts w:hint="eastAsia" w:ascii="仿宋_GB2312" w:hAnsi="仿宋_GB2312" w:eastAsia="仿宋_GB2312" w:cs="仿宋_GB2312"/>
          <w:b/>
          <w:bCs/>
          <w:color w:val="auto"/>
          <w:sz w:val="28"/>
          <w:szCs w:val="28"/>
        </w:rPr>
        <w:t>本项目专门面向</w:t>
      </w:r>
      <w:r>
        <w:rPr>
          <w:rFonts w:hint="eastAsia" w:ascii="仿宋_GB2312" w:hAnsi="仿宋_GB2312" w:eastAsia="仿宋_GB2312" w:cs="仿宋_GB2312"/>
          <w:b/>
          <w:bCs/>
          <w:color w:val="auto"/>
          <w:sz w:val="28"/>
          <w:szCs w:val="28"/>
          <w:lang w:val="en-US" w:eastAsia="zh-CN"/>
        </w:rPr>
        <w:t>小微</w:t>
      </w:r>
      <w:r>
        <w:rPr>
          <w:rFonts w:hint="eastAsia" w:ascii="仿宋_GB2312" w:hAnsi="仿宋_GB2312" w:eastAsia="仿宋_GB2312" w:cs="仿宋_GB2312"/>
          <w:b/>
          <w:bCs/>
          <w:color w:val="auto"/>
          <w:sz w:val="28"/>
          <w:szCs w:val="28"/>
        </w:rPr>
        <w:t>企业采购，不再执行价格评审优惠扶持政策；本项目采购标的对应的中小企业划分标准所属行业为：工业。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供应商提供的货物、工程或者服务符合下列情形的，享受相关中小企业扶持政策：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（1）在货物采购项目中，货物由中小企业制造，即货物由中小企业生产且使用该中小企业商号或者注册商标；</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（2）在工程采购项目中，工程由中小企业承建，即工程施工单位为中小企业；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（3）在服务采购项目中，服务由中小企业承接，即提供服务的人员为中小企业依照《中华人民共和国劳动合同法》订立劳动合同的从业人员。</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在货物采购项目中，供应商提供的货物既有中小企业制造货物，也有大型企业制造货物的，不享受相关中小企业扶持政策。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以联合体形式参加政府采购活动，联合体各方均为中小企业的，联合体视同中小企业。其中，联合体各方均为小微企业的，联合体视同小微企业。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对符合上述情形的小微企业报价给予 </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价格扣除比例或者价格分加分比例对小型企业和微型企业同等对待，不作区分。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中小企业参加政府采购活动，应当出具《中小企业声明函》（见附件），否则不得享受相关中小企业扶持政策。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成交供应商享受相关中小企业扶持政策的，将随中标、成交结果公开中标、成交供应商的《中小企业声明函》。适用招标投标法的政府采购工程建设项目，将在公示中标候选人时公开中标候选人的《中小企业声明函》。</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授予中小企业政府采购合同预付款比例不得低于合同价款的40%。</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中小企业投标（包括磋商、谈判、询价）保证金（需要交纳保证金时）减半，履约保证金全免。</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监狱企业、残疾人福利性单位等视同小型、微型企业情况按照《财政部司法部关于政府采购支持监狱企业发展有关问题的通知》（财库〔2014〕68 号）及《关于促进残疾人就业政府采购政策的通知》（财库〔2017〕141 号）等相关内容执行。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未尽事宜以《政府采购促进中小企业发展管理办法》（财库〔2020〕46号）为准。</w:t>
      </w:r>
      <w:bookmarkStart w:id="98" w:name="_Toc11745_WPSOffice_Level3"/>
    </w:p>
    <w:p>
      <w:pPr>
        <w:spacing w:line="500" w:lineRule="exact"/>
        <w:ind w:firstLine="566" w:firstLineChars="200"/>
        <w:contextualSpacing/>
        <w:rPr>
          <w:rFonts w:hint="eastAsia" w:ascii="仿宋" w:hAnsi="仿宋" w:eastAsia="仿宋"/>
          <w:b/>
          <w:bCs/>
        </w:rPr>
      </w:pPr>
      <w:r>
        <w:rPr>
          <w:rFonts w:hint="eastAsia" w:ascii="华文仿宋" w:hAnsi="华文仿宋" w:cs="华文仿宋"/>
          <w:b/>
          <w:lang w:val="en-US" w:eastAsia="zh-CN"/>
        </w:rPr>
        <w:t>（五）关于同一品牌产品的处理</w:t>
      </w:r>
      <w:r>
        <w:rPr>
          <w:rFonts w:hint="eastAsia" w:ascii="仿宋" w:hAnsi="仿宋" w:eastAsia="仿宋"/>
          <w:b/>
          <w:bCs/>
          <w:lang w:val="en-US" w:eastAsia="zh-CN"/>
        </w:rPr>
        <w:t xml:space="preserve"> </w:t>
      </w:r>
    </w:p>
    <w:p>
      <w:pPr>
        <w:spacing w:line="500" w:lineRule="exact"/>
        <w:ind w:firstLine="566" w:firstLineChars="200"/>
        <w:rPr>
          <w:rFonts w:hint="eastAsia" w:ascii="华文仿宋" w:hAnsi="华文仿宋" w:cs="华文仿宋"/>
          <w:lang w:val="en-US" w:eastAsia="zh-CN"/>
        </w:rPr>
      </w:pPr>
      <w:r>
        <w:rPr>
          <w:rFonts w:hint="eastAsia" w:ascii="华文仿宋" w:hAnsi="华文仿宋" w:cs="华文仿宋"/>
          <w:lang w:val="en-US" w:eastAsia="zh-CN"/>
        </w:rPr>
        <w:t>1、提供相同品牌产品且通过资格审查、符合性审查的不同响应人参加同一合同项下磋商的，按一家响应人计算，评审后得分最高的同品牌响应人获得成交人推荐资格；评审得分相同的，由磋商小组按照报价最低的方式确定一个响应人获得成交人推荐资格，其他同品牌响应人不作为成交候选人。</w:t>
      </w:r>
    </w:p>
    <w:p>
      <w:pPr>
        <w:spacing w:line="500" w:lineRule="exact"/>
        <w:ind w:firstLine="566" w:firstLineChars="200"/>
        <w:rPr>
          <w:rFonts w:hint="eastAsia" w:ascii="华文仿宋" w:hAnsi="华文仿宋" w:cs="华文仿宋"/>
          <w:lang w:val="en-US" w:eastAsia="zh-CN"/>
        </w:rPr>
      </w:pPr>
      <w:r>
        <w:rPr>
          <w:rFonts w:hint="eastAsia" w:ascii="华文仿宋" w:hAnsi="华文仿宋" w:cs="华文仿宋"/>
          <w:lang w:val="en-US" w:eastAsia="zh-CN"/>
        </w:rPr>
        <w:t>2、非单一产品采购项目，采购人将根据采购项目技术构成、产品价格比重等合理确定核心产品，并在磋商文件中载明。多家响应人提供的核心产品品牌相同的，按前款规定处理。</w:t>
      </w:r>
    </w:p>
    <w:p>
      <w:pPr>
        <w:spacing w:line="500" w:lineRule="exact"/>
        <w:ind w:firstLine="566" w:firstLineChars="200"/>
        <w:contextualSpacing/>
        <w:rPr>
          <w:rFonts w:hint="eastAsia" w:ascii="华文仿宋" w:hAnsi="华文仿宋" w:cs="华文仿宋"/>
          <w:b w:val="0"/>
          <w:bCs/>
          <w:lang w:val="en-US" w:eastAsia="zh-CN"/>
        </w:rPr>
      </w:pPr>
      <w:r>
        <w:rPr>
          <w:rFonts w:hint="eastAsia" w:ascii="华文仿宋" w:hAnsi="华文仿宋" w:cs="华文仿宋"/>
          <w:b w:val="0"/>
          <w:bCs/>
          <w:lang w:val="en-US" w:eastAsia="zh-CN"/>
        </w:rPr>
        <w:t>3、核心产品为两个及以上时，多家供应商提供的核心产品中任意一个采用相同品牌的，按一家供应商计算。</w:t>
      </w:r>
    </w:p>
    <w:bookmarkEnd w:id="98"/>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99" w:name="_Toc30436"/>
      <w:bookmarkStart w:id="100" w:name="_Toc10768_WPSOffice_Level2"/>
      <w:bookmarkStart w:id="101" w:name="_Toc3130"/>
      <w:bookmarkStart w:id="102" w:name="_Toc8798_WPSOffice_Level2"/>
      <w:bookmarkStart w:id="103" w:name="_Toc17868_WPSOffice_Level2"/>
      <w:bookmarkStart w:id="104" w:name="_Toc2960"/>
      <w:bookmarkStart w:id="105" w:name="_Toc9976"/>
      <w:r>
        <w:rPr>
          <w:rFonts w:hint="eastAsia" w:ascii="仿宋_GB2312" w:hAnsi="仿宋_GB2312" w:eastAsia="仿宋_GB2312" w:cs="仿宋_GB2312"/>
          <w:color w:val="auto"/>
          <w:sz w:val="28"/>
          <w:szCs w:val="28"/>
        </w:rPr>
        <w:t>三、磋商文件</w:t>
      </w:r>
      <w:bookmarkEnd w:id="99"/>
      <w:bookmarkEnd w:id="100"/>
      <w:bookmarkEnd w:id="101"/>
      <w:bookmarkEnd w:id="102"/>
      <w:bookmarkEnd w:id="103"/>
      <w:bookmarkEnd w:id="104"/>
      <w:bookmarkEnd w:id="105"/>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06" w:name="_Toc20873_WPSOffice_Level3"/>
      <w:r>
        <w:rPr>
          <w:rFonts w:hint="eastAsia" w:ascii="仿宋_GB2312" w:hAnsi="仿宋_GB2312" w:eastAsia="仿宋_GB2312" w:cs="仿宋_GB2312"/>
          <w:b/>
          <w:color w:val="auto"/>
          <w:sz w:val="28"/>
          <w:szCs w:val="28"/>
        </w:rPr>
        <w:t>（一）磋商文件包括下列内容</w:t>
      </w:r>
      <w:bookmarkEnd w:id="10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第一章　磋商邀请函</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第二章　供应商须知</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bookmarkStart w:id="107" w:name="_Toc20041_WPSOffice_Level3"/>
      <w:r>
        <w:rPr>
          <w:rFonts w:hint="eastAsia" w:ascii="仿宋_GB2312" w:hAnsi="仿宋_GB2312" w:eastAsia="仿宋_GB2312" w:cs="仿宋_GB2312"/>
          <w:bCs/>
          <w:color w:val="auto"/>
          <w:sz w:val="28"/>
          <w:szCs w:val="28"/>
        </w:rPr>
        <w:t>第三章　磋商内容及采购要求</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第四章　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第五章　响应文件构成及格式</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（二）磋商文件的检查及阅读</w:t>
      </w:r>
      <w:bookmarkEnd w:id="10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供应商下载磋商文件后应仔细阅读检查磋商文件中的所有内容，按照磋商文件中所列事项、条款、规范要求及格式，在响应文件中对磋商文件做出全面的响</w:t>
      </w:r>
      <w:r>
        <w:rPr>
          <w:rFonts w:hint="eastAsia" w:ascii="仿宋_GB2312" w:hAnsi="仿宋_GB2312" w:eastAsia="仿宋_GB2312" w:cs="仿宋_GB2312"/>
          <w:color w:val="auto"/>
          <w:w w:val="1"/>
          <w:sz w:val="28"/>
          <w:szCs w:val="28"/>
        </w:rPr>
        <w:t xml:space="preserve"> </w:t>
      </w:r>
      <w:r>
        <w:rPr>
          <w:rFonts w:hint="eastAsia" w:ascii="仿宋_GB2312" w:hAnsi="仿宋_GB2312" w:eastAsia="仿宋_GB2312" w:cs="仿宋_GB2312"/>
          <w:color w:val="auto"/>
          <w:sz w:val="28"/>
          <w:szCs w:val="28"/>
        </w:rPr>
        <w:t>应，并按磋商文件的要求提交全部资料。</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08" w:name="_Toc12798_WPSOffice_Level3"/>
      <w:r>
        <w:rPr>
          <w:rFonts w:hint="eastAsia" w:ascii="仿宋_GB2312" w:hAnsi="仿宋_GB2312" w:eastAsia="仿宋_GB2312" w:cs="仿宋_GB2312"/>
          <w:b/>
          <w:color w:val="auto"/>
          <w:sz w:val="28"/>
          <w:szCs w:val="28"/>
        </w:rPr>
        <w:t>（三）磋商文件的修改、澄清</w:t>
      </w:r>
      <w:bookmarkEnd w:id="10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1、在提交响应文件截止之日前，</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可对已发出的磋商文件进行必要的澄清或者修改，澄清或者修改的内容作为磋商文件的组成部分。澄清或者修改的内容可能影响响应文件编制的，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将在提交响应文件截止之日至少5日前，在财政部门指定的政府采购信息发布媒体上</w:t>
      </w:r>
      <w:r>
        <w:rPr>
          <w:rFonts w:hint="eastAsia" w:ascii="仿宋_GB2312" w:hAnsi="仿宋_GB2312" w:eastAsia="仿宋_GB2312" w:cs="仿宋_GB2312"/>
          <w:b/>
          <w:bCs/>
          <w:color w:val="auto"/>
          <w:sz w:val="28"/>
          <w:szCs w:val="28"/>
        </w:rPr>
        <w:t>发布更正公告</w:t>
      </w:r>
      <w:r>
        <w:rPr>
          <w:rFonts w:hint="eastAsia" w:ascii="仿宋_GB2312" w:hAnsi="仿宋_GB2312" w:eastAsia="仿宋_GB2312" w:cs="仿宋_GB2312"/>
          <w:color w:val="auto"/>
          <w:sz w:val="28"/>
          <w:szCs w:val="28"/>
        </w:rPr>
        <w:t>；不足5日，</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将顺延提交响应文件的截止时间。</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2、各供应商在提交响应文件截止时间之前，应随时关注下列地址发布的变更公告，也可登录全国公共资源交易平台（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）政府采购交易系统查看</w:t>
      </w:r>
      <w:r>
        <w:rPr>
          <w:rFonts w:hint="eastAsia" w:ascii="仿宋_GB2312" w:hAnsi="仿宋_GB2312" w:eastAsia="仿宋_GB2312" w:cs="仿宋_GB2312"/>
          <w:color w:val="auto"/>
          <w:sz w:val="28"/>
          <w:szCs w:val="28"/>
          <w:lang w:val="en-US" w:eastAsia="zh-CN"/>
        </w:rPr>
        <w:t>右</w:t>
      </w:r>
      <w:r>
        <w:rPr>
          <w:rFonts w:hint="eastAsia" w:ascii="仿宋_GB2312" w:hAnsi="仿宋_GB2312" w:eastAsia="仿宋_GB2312" w:cs="仿宋_GB2312"/>
          <w:color w:val="auto"/>
          <w:sz w:val="28"/>
          <w:szCs w:val="28"/>
        </w:rPr>
        <w:t>上角的信息提醒，</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b/>
          <w:bCs/>
          <w:color w:val="auto"/>
          <w:sz w:val="28"/>
          <w:szCs w:val="28"/>
        </w:rPr>
        <w:t>不再单独通知，因供应商未及时关注所造成的一切后果由供应商自行承担：</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"http://www.ccgp-shaanxi.gov.cn/" </w:instrText>
      </w:r>
      <w:r>
        <w:rPr>
          <w:rFonts w:hint="eastAsia" w:ascii="仿宋_GB2312" w:hAnsi="仿宋_GB2312" w:eastAsia="仿宋_GB2312" w:cs="仿宋_GB2312"/>
          <w:color w:val="auto"/>
          <w:sz w:val="28"/>
          <w:szCs w:val="28"/>
        </w:rPr>
        <w:fldChar w:fldCharType="separate"/>
      </w:r>
      <w:r>
        <w:rPr>
          <w:rStyle w:val="32"/>
          <w:rFonts w:hint="eastAsia" w:ascii="仿宋_GB2312" w:hAnsi="仿宋_GB2312" w:eastAsia="仿宋_GB2312" w:cs="仿宋_GB2312"/>
          <w:color w:val="auto"/>
          <w:sz w:val="28"/>
          <w:szCs w:val="28"/>
        </w:rPr>
        <w:t>陕西省政府采购网</w:t>
      </w:r>
      <w:r>
        <w:rPr>
          <w:rStyle w:val="32"/>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（www.ccgp-shaanxi.gov.cn/）】中的〖首页·〉</w:t>
      </w:r>
      <w:r>
        <w:rPr>
          <w:rFonts w:hint="eastAsia" w:ascii="仿宋_GB2312" w:hAnsi="仿宋_GB2312" w:eastAsia="仿宋_GB2312" w:cs="仿宋_GB2312"/>
          <w:color w:val="auto"/>
          <w:sz w:val="28"/>
          <w:szCs w:val="28"/>
          <w:lang w:val="en-US" w:eastAsia="zh-CN"/>
        </w:rPr>
        <w:t>市级</w:t>
      </w:r>
      <w:r>
        <w:rPr>
          <w:rFonts w:hint="eastAsia" w:ascii="仿宋_GB2312" w:hAnsi="仿宋_GB2312" w:eastAsia="仿宋_GB2312" w:cs="仿宋_GB2312"/>
          <w:color w:val="auto"/>
          <w:sz w:val="28"/>
          <w:szCs w:val="28"/>
        </w:rPr>
        <w:t>公告·〉更正公告〗；</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0"/>
          <w:sz w:val="28"/>
          <w:szCs w:val="28"/>
        </w:rPr>
        <w:t>（sxggzyjy.hanzhong.gov.cn）</w:t>
      </w:r>
      <w:r>
        <w:rPr>
          <w:rFonts w:hint="eastAsia" w:ascii="仿宋_GB2312" w:hAnsi="仿宋_GB2312" w:eastAsia="仿宋_GB2312" w:cs="仿宋_GB2312"/>
          <w:color w:val="auto"/>
          <w:sz w:val="28"/>
          <w:szCs w:val="28"/>
        </w:rPr>
        <w:t>】中的〖首页·〉交易大厅·〉政府采购·〉</w:t>
      </w:r>
      <w:r>
        <w:rPr>
          <w:rFonts w:hint="eastAsia" w:ascii="仿宋_GB2312" w:hAnsi="仿宋_GB2312" w:eastAsia="仿宋_GB2312" w:cs="仿宋_GB2312"/>
          <w:color w:val="auto"/>
          <w:sz w:val="28"/>
          <w:szCs w:val="28"/>
          <w:lang w:val="en-US" w:eastAsia="zh-CN"/>
        </w:rPr>
        <w:t>更正公告</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09" w:name="_Toc18733_WPSOffice_Level3"/>
      <w:r>
        <w:rPr>
          <w:rFonts w:hint="eastAsia" w:ascii="仿宋_GB2312" w:hAnsi="仿宋_GB2312" w:eastAsia="仿宋_GB2312" w:cs="仿宋_GB2312"/>
          <w:b/>
          <w:color w:val="auto"/>
          <w:sz w:val="28"/>
          <w:szCs w:val="28"/>
        </w:rPr>
        <w:t>（四）磋商文件的解释权归</w:t>
      </w:r>
      <w:r>
        <w:rPr>
          <w:rFonts w:hint="eastAsia" w:ascii="仿宋_GB2312" w:hAnsi="仿宋_GB2312" w:eastAsia="仿宋_GB2312" w:cs="仿宋_GB2312"/>
          <w:b/>
          <w:color w:val="auto"/>
          <w:sz w:val="28"/>
          <w:szCs w:val="28"/>
          <w:lang w:val="en-US" w:eastAsia="zh-CN"/>
        </w:rPr>
        <w:t>集中采购机构</w:t>
      </w:r>
      <w:r>
        <w:rPr>
          <w:rFonts w:hint="eastAsia" w:ascii="仿宋_GB2312" w:hAnsi="仿宋_GB2312" w:eastAsia="仿宋_GB2312" w:cs="仿宋_GB2312"/>
          <w:b/>
          <w:color w:val="auto"/>
          <w:sz w:val="28"/>
          <w:szCs w:val="28"/>
        </w:rPr>
        <w:t>。</w:t>
      </w:r>
      <w:bookmarkEnd w:id="109"/>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0" w:name="_Toc20873_WPSOffice_Level2"/>
      <w:bookmarkStart w:id="111" w:name="_Toc19768_WPSOffice_Level2"/>
      <w:bookmarkStart w:id="112" w:name="_Toc3559"/>
      <w:bookmarkStart w:id="113" w:name="_Toc30415"/>
      <w:bookmarkStart w:id="114" w:name="_Toc13064"/>
      <w:bookmarkStart w:id="115" w:name="_Toc22501_WPSOffice_Level2"/>
      <w:bookmarkStart w:id="116" w:name="_Toc30095"/>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、磋商报价</w:t>
      </w:r>
      <w:bookmarkEnd w:id="110"/>
      <w:bookmarkEnd w:id="111"/>
      <w:bookmarkEnd w:id="112"/>
      <w:bookmarkEnd w:id="113"/>
      <w:bookmarkEnd w:id="114"/>
      <w:bookmarkEnd w:id="115"/>
      <w:bookmarkEnd w:id="11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磋商报价是供应商响应</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项目要求的全部工作内容的价格体现，包括完成采购内容所需的直接费、间接费、利润、税金及其它相关的一切费用。供应商在报价时应充分考虑所有可能发生的费用，</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文件未列明，而供应商认为应当计取的费用均应列入报价中。报价时不论是否计取，采购人均按已计取对待。</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供应商应按照《响应文件构成及格式》中《第一次磋商报价表》中的相关要求填写需要响应的内容。</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磋商报价采取多轮报价的办法，最后报价作为计算价格分值的依据。供应商应在磋商当天，磋商小组规定的报价时间内，使用制作标书的数字认证证书（CA锁）登录全国公共资源交易平台（</w:t>
      </w:r>
      <w:r>
        <w:rPr>
          <w:rFonts w:hint="eastAsia" w:ascii="仿宋_GB2312" w:hAnsi="仿宋_GB2312" w:eastAsia="仿宋_GB2312" w:cs="仿宋_GB2312"/>
          <w:b/>
          <w:bCs/>
          <w:color w:val="auto"/>
          <w:sz w:val="28"/>
          <w:szCs w:val="28"/>
          <w:lang w:val="en-US" w:eastAsia="zh-CN"/>
        </w:rPr>
        <w:t>汉中市</w:t>
      </w:r>
      <w:r>
        <w:rPr>
          <w:rFonts w:hint="eastAsia" w:ascii="仿宋_GB2312" w:hAnsi="仿宋_GB2312" w:eastAsia="仿宋_GB2312" w:cs="仿宋_GB2312"/>
          <w:b/>
          <w:bCs/>
          <w:color w:val="auto"/>
          <w:sz w:val="28"/>
          <w:szCs w:val="28"/>
        </w:rPr>
        <w:t>）网站〖首页·〉电子交易平台·〉企业端〗后，在〖我的项目〗下找到本次磋商的项目，填写最后报价表，签章并提交。</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如采购内容无实质性变更，各供应商的报价应逐次降低。本次报价超过采购预算或磋商文件规定的最高限价的，按无效投标处理；本次报价超过上次报价但未超过采购预算或磋商文件规定的最高限价的，或在规定时间内最后报价提交不成功的均为无效报价，磋商小组在综合比较与评价时将使用上一轮有效报价进行报价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报价货币：</w:t>
      </w:r>
      <w:r>
        <w:rPr>
          <w:rFonts w:hint="eastAsia" w:ascii="仿宋_GB2312" w:hAnsi="仿宋_GB2312" w:eastAsia="仿宋_GB2312" w:cs="仿宋_GB2312"/>
          <w:b/>
          <w:color w:val="auto"/>
          <w:sz w:val="28"/>
          <w:szCs w:val="28"/>
        </w:rPr>
        <w:t>人民币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单位：元</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
          <w:color w:val="auto"/>
          <w:sz w:val="28"/>
          <w:szCs w:val="28"/>
        </w:rPr>
        <w:t>保留到元</w:t>
      </w:r>
      <w:r>
        <w:rPr>
          <w:rFonts w:hint="eastAsia" w:ascii="仿宋_GB2312" w:hAnsi="仿宋_GB2312" w:eastAsia="仿宋_GB2312" w:cs="仿宋_GB2312"/>
          <w:bCs/>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（五）磋商报价大小写不一致的以大写为准。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（六）因供应商对磋商文件理解不透、误解、疏漏或对市场行情了解不清造成的后果和风险，均由供应商自己负责。</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7" w:name="_Toc20041_WPSOffice_Level2"/>
      <w:bookmarkStart w:id="118" w:name="_Toc14959_WPSOffice_Level2"/>
      <w:bookmarkStart w:id="119" w:name="_Toc12154"/>
      <w:bookmarkStart w:id="120" w:name="_Toc11009"/>
      <w:bookmarkStart w:id="121" w:name="_Toc14979"/>
      <w:bookmarkStart w:id="122" w:name="_Toc666"/>
      <w:bookmarkStart w:id="123" w:name="_Toc29669_WPSOffice_Level2"/>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、响应文件</w:t>
      </w:r>
      <w:bookmarkEnd w:id="117"/>
      <w:bookmarkEnd w:id="118"/>
      <w:bookmarkEnd w:id="119"/>
      <w:bookmarkEnd w:id="120"/>
      <w:bookmarkEnd w:id="121"/>
      <w:bookmarkEnd w:id="122"/>
      <w:bookmarkEnd w:id="123"/>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（一）响应文件形式</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本项目采用电子响应文件，供应商在</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时须提供电子响应文件。</w:t>
      </w:r>
      <w:bookmarkStart w:id="124" w:name="_Toc30535_WPSOffice_Level2"/>
      <w:bookmarkStart w:id="125" w:name="_Toc7898_WPSOffice_Level2"/>
      <w:bookmarkStart w:id="126" w:name="_Toc18733_WPSOffice_Level2"/>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编制电子响应文件时，应使用最新发布的电子磋商文件及专用制作工具进行编制。并使用数字认证证书（CA锁）对电子响应文件进行签署、加密、递交及磋商时解密等相关操作。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1、电子磋商文件下载。供应商登录全国公共资源交易平台（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）网站〖首页·〉电子交易平台·〉企业端〗后，在〖招标公告/出让公告·〉</w:t>
      </w:r>
      <w:r>
        <w:rPr>
          <w:rFonts w:hint="eastAsia" w:ascii="仿宋_GB2312" w:hAnsi="仿宋_GB2312" w:eastAsia="仿宋_GB2312" w:cs="仿宋_GB2312"/>
          <w:color w:val="auto"/>
          <w:sz w:val="28"/>
          <w:szCs w:val="28"/>
          <w:lang w:val="en-US" w:eastAsia="zh-CN"/>
        </w:rPr>
        <w:t>政府采购</w:t>
      </w:r>
      <w:r>
        <w:rPr>
          <w:rFonts w:hint="eastAsia" w:ascii="仿宋_GB2312" w:hAnsi="仿宋_GB2312" w:eastAsia="仿宋_GB2312" w:cs="仿宋_GB2312"/>
          <w:color w:val="auto"/>
          <w:sz w:val="28"/>
          <w:szCs w:val="28"/>
        </w:rPr>
        <w:t>〗模块中选择项目</w:t>
      </w:r>
      <w:r>
        <w:rPr>
          <w:rFonts w:hint="eastAsia" w:ascii="仿宋_GB2312" w:hAnsi="仿宋_GB2312" w:eastAsia="仿宋_GB2312" w:cs="仿宋_GB2312"/>
          <w:bCs/>
          <w:color w:val="auto"/>
          <w:sz w:val="28"/>
          <w:szCs w:val="28"/>
        </w:rPr>
        <w:t>点击“我要投标”，参与投标活动。然后即可</w:t>
      </w:r>
      <w:r>
        <w:rPr>
          <w:rFonts w:hint="eastAsia" w:ascii="仿宋_GB2312" w:hAnsi="仿宋_GB2312" w:eastAsia="仿宋_GB2312" w:cs="仿宋_GB2312"/>
          <w:color w:val="auto"/>
          <w:sz w:val="28"/>
          <w:szCs w:val="28"/>
        </w:rPr>
        <w:t>在〖我的项目〗中点击“项目流程&gt;交易文件下载”下载电子磋商文件（*.SXSZF）。</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注意：该项目如有变更文件，则应点击“项目流程&gt;答疑文件下载”下载更新后的电子磋商文件（*.SXSCF），使用旧版电子磋商文件制作的电子响应文件，系统将拒绝接收。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电子磋商文件需要使用专用软件打开、浏览。供应商可在全国公共资源交易平台（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免费下载“陕西省公共资源交易平台政府采购电子标书制作工具”，并升级至最新版本，使用该客户端可以打开电子磋商文件。软件操作手册详见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）网站〖首页·〉服务指南·〉下载专区〗中的《政府采购</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操作手册》。</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sz w:val="28"/>
          <w:szCs w:val="28"/>
          <w:lang w:eastAsia="zh-CN"/>
        </w:rPr>
      </w:pPr>
      <w:bookmarkStart w:id="127" w:name="_Toc9096"/>
      <w:r>
        <w:rPr>
          <w:rFonts w:hint="eastAsia" w:ascii="仿宋_GB2312" w:hAnsi="仿宋_GB2312" w:eastAsia="仿宋_GB2312" w:cs="仿宋_GB2312"/>
          <w:b w:val="0"/>
          <w:bCs w:val="0"/>
          <w:color w:val="auto"/>
          <w:sz w:val="28"/>
          <w:szCs w:val="28"/>
        </w:rPr>
        <w:t>3、制作电子响应文件。电子响应文件同样需要使用上述软件进行编制。在编制过程中，如有技术性问题，请先翻阅操作手册，或致电软件开发商。技术支持热线：4009980000</w:t>
      </w:r>
      <w:bookmarkStart w:id="128" w:name="_Toc11164"/>
      <w:bookmarkStart w:id="129" w:name="_Toc18427_WPSOffice_Level3"/>
      <w:r>
        <w:rPr>
          <w:rFonts w:hint="eastAsia" w:ascii="仿宋_GB2312" w:hAnsi="仿宋_GB2312" w:eastAsia="仿宋_GB2312" w:cs="仿宋_GB2312"/>
          <w:b w:val="0"/>
          <w:bCs w:val="0"/>
          <w:color w:val="auto"/>
          <w:sz w:val="28"/>
          <w:szCs w:val="28"/>
          <w:lang w:eastAsia="zh-CN"/>
        </w:rPr>
        <w:t>。</w:t>
      </w:r>
      <w:bookmarkEnd w:id="127"/>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（需要法定代表人签字或盖章的地方，请使用“法人CA”进行签章；需要加盖响应人公章的地方，请使用“企业 CA”进行盖章。加密和解密应当使用同一CA，否则将会导致解密失败。请勿同时插入企业CA和法人CA，以免系统自动识别法人CA导致开启时标书解密失败。）</w:t>
      </w:r>
    </w:p>
    <w:bookmarkEnd w:id="128"/>
    <w:bookmarkEnd w:id="129"/>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（二）</w:t>
      </w:r>
      <w:r>
        <w:rPr>
          <w:rFonts w:hint="eastAsia" w:ascii="仿宋_GB2312" w:hAnsi="仿宋_GB2312" w:eastAsia="仿宋_GB2312" w:cs="仿宋_GB2312"/>
          <w:b/>
          <w:bCs/>
          <w:color w:val="auto"/>
          <w:sz w:val="28"/>
          <w:szCs w:val="28"/>
        </w:rPr>
        <w:t>响应文件有效期</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1、响应活动的所有文件、资料、函电文均使用简体中文，确需提交用 其他语言形成的资料，必须翻译成简体中文，如有差异，以简体中文为准。 </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2、响应文件有效期为自响应文件开启之日起 90 个日历日。如成交， 延长至合同执行完毕时止。</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（三）响应文件的提交</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电子响应文件可于提交响应文件截止时间前任意时段登录全国公共资源交易平台（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）网站“电子交易平台&gt;企业端”进行提交，逾期系统将拒绝接收。提交时，供应商应登录全国公共资源交易中心平台（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选择“首页&gt;电子交易平台&gt;企业端&gt;我的项目”，点击“项目流程”，在打开的“项目管理”对话框中选择“上传响应文件”，上传加密的电子响应文件（*.SXSTF）。上传成功后，电子化平台将予以记录。</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30" w:name="_Toc15608"/>
      <w:bookmarkStart w:id="131" w:name="_Toc24468"/>
      <w:bookmarkStart w:id="132" w:name="_Toc6095"/>
      <w:r>
        <w:rPr>
          <w:rFonts w:hint="eastAsia" w:ascii="仿宋_GB2312" w:hAnsi="仿宋_GB2312" w:eastAsia="仿宋_GB2312" w:cs="仿宋_GB2312"/>
          <w:b/>
          <w:color w:val="auto"/>
          <w:sz w:val="28"/>
          <w:szCs w:val="28"/>
        </w:rPr>
        <w:t>（四）响应文件的补充、修改和撤回</w:t>
      </w:r>
      <w:bookmarkEnd w:id="130"/>
      <w:bookmarkEnd w:id="131"/>
      <w:bookmarkEnd w:id="132"/>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1、供应商在递交电子响应文件后，且在提交电子响应文件截止时间前，可以对所提交的电子响应文件进行补充、修改或撤回。</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2、对电子响应文件进行补充、修改的，应先从电子交易平台上撤回旧版，再重新提交新版。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3、电子响应文件提交截止时间后，供应商不得对其电子响应文件做任何修改。</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（五）供应商提交响应文件时，出现下列情况之一的，其响应文件将被拒绝接收：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33" w:name="_Toc7022"/>
      <w:bookmarkStart w:id="134" w:name="_Toc6837"/>
      <w:bookmarkStart w:id="135" w:name="_Toc28054"/>
      <w:bookmarkStart w:id="136" w:name="_Toc8003"/>
      <w:bookmarkStart w:id="137" w:name="_Toc10744"/>
      <w:bookmarkStart w:id="138" w:name="_Toc595"/>
      <w:r>
        <w:rPr>
          <w:rFonts w:hint="eastAsia" w:ascii="仿宋_GB2312" w:hAnsi="仿宋_GB2312" w:eastAsia="仿宋_GB2312" w:cs="仿宋_GB2312"/>
          <w:color w:val="auto"/>
          <w:sz w:val="28"/>
          <w:szCs w:val="28"/>
        </w:rPr>
        <w:t>1、逾期提交电子响应文件的；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2、提交的电子响应文件与本项目不相符的。</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139" w:name="_Toc17536"/>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w:t>
      </w:r>
      <w:bookmarkEnd w:id="133"/>
      <w:bookmarkEnd w:id="134"/>
      <w:bookmarkEnd w:id="135"/>
      <w:bookmarkEnd w:id="136"/>
      <w:bookmarkEnd w:id="137"/>
      <w:bookmarkEnd w:id="138"/>
      <w:bookmarkEnd w:id="139"/>
      <w:r>
        <w:rPr>
          <w:rFonts w:hint="eastAsia" w:ascii="仿宋_GB2312" w:hAnsi="仿宋_GB2312" w:eastAsia="仿宋_GB2312" w:cs="仿宋_GB2312"/>
          <w:color w:val="auto"/>
          <w:sz w:val="28"/>
          <w:szCs w:val="28"/>
          <w:lang w:val="en-US" w:eastAsia="zh-CN"/>
        </w:rPr>
        <w:t>响应文件开启</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组织响应文件开启、评审工作，整个过程受政府采购监管机构的监督、管理。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（二）</w:t>
      </w:r>
      <w:r>
        <w:rPr>
          <w:rFonts w:hint="eastAsia" w:ascii="仿宋_GB2312" w:hAnsi="仿宋_GB2312" w:eastAsia="仿宋_GB2312" w:cs="仿宋_GB2312"/>
          <w:b/>
          <w:bCs/>
          <w:color w:val="auto"/>
          <w:sz w:val="28"/>
          <w:szCs w:val="28"/>
          <w:lang w:val="en-US" w:eastAsia="zh-CN"/>
        </w:rPr>
        <w:t>本项目采用“不见面开标”方式。供应商需在开启前最少一小时登录全国公共资源交易平台（汉中市）首页选择“不见面开标”自行调试。并按照工作人员要求进行响应文件解密，远程观看开启直播。如遇困难，请拨打系统平台技术支持电话：4009980000。</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rPr>
        <w:t>人需安装新点播放器，以便观看远程不见面开标直播画面（播放器下载链接为：http://sxggzyjy.hanzhong.gov.cn/fwzn/004003/20230223/17ebe025-dd9a-4eba-b702-8f1696646f01.html）。</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供应商不足3家的，不得开启响应文件。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（三）响应文件开启时，</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现场工作人员将根据项目</w:t>
      </w:r>
      <w:r>
        <w:rPr>
          <w:rFonts w:hint="eastAsia" w:ascii="仿宋_GB2312" w:hAnsi="仿宋_GB2312" w:eastAsia="仿宋_GB2312" w:cs="仿宋_GB2312"/>
          <w:color w:val="auto"/>
          <w:sz w:val="28"/>
          <w:szCs w:val="28"/>
          <w:lang w:val="en-US" w:eastAsia="zh-CN"/>
        </w:rPr>
        <w:t>响应家</w:t>
      </w:r>
      <w:r>
        <w:rPr>
          <w:rFonts w:hint="eastAsia" w:ascii="仿宋_GB2312" w:hAnsi="仿宋_GB2312" w:eastAsia="仿宋_GB2312" w:cs="仿宋_GB2312"/>
          <w:color w:val="auto"/>
          <w:sz w:val="28"/>
          <w:szCs w:val="28"/>
        </w:rPr>
        <w:t>数约定解密时长，供应商应在规定时间内，须使用电子响应文件加密时所用的数字认证证书（CA锁）自行解密电子响应文件，未在规定时间内解密的，视为无效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z w:val="28"/>
          <w:szCs w:val="28"/>
          <w:lang w:val="en-US" w:eastAsia="zh-CN"/>
        </w:rPr>
        <w:t>响应人</w:t>
      </w:r>
      <w:r>
        <w:rPr>
          <w:rFonts w:hint="eastAsia" w:ascii="仿宋_GB2312" w:hAnsi="仿宋_GB2312" w:eastAsia="仿宋_GB2312" w:cs="仿宋_GB2312"/>
          <w:color w:val="auto"/>
          <w:sz w:val="28"/>
          <w:szCs w:val="28"/>
        </w:rPr>
        <w:t>对响应文件开启过程和记录有疑义，以及认为采购人、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相关工作人员有需要回避情形的，应在</w:t>
      </w:r>
      <w:r>
        <w:rPr>
          <w:rFonts w:hint="eastAsia" w:ascii="仿宋_GB2312" w:hAnsi="仿宋_GB2312" w:eastAsia="仿宋_GB2312" w:cs="仿宋_GB2312"/>
          <w:color w:val="auto"/>
          <w:sz w:val="28"/>
          <w:szCs w:val="28"/>
          <w:lang w:val="en-US" w:eastAsia="zh-CN"/>
        </w:rPr>
        <w:t>不见面开标大厅</w:t>
      </w:r>
      <w:r>
        <w:rPr>
          <w:rFonts w:hint="eastAsia" w:ascii="仿宋_GB2312" w:hAnsi="仿宋_GB2312" w:eastAsia="仿宋_GB2312" w:cs="仿宋_GB2312"/>
          <w:color w:val="auto"/>
          <w:sz w:val="28"/>
          <w:szCs w:val="28"/>
        </w:rPr>
        <w:t>提出询问或回避申请，采购人、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应当及时处理。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（五）响应供应商未参加响应文件开启的，视同认可</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结果。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（六）在响应文件开启出现下列情况之一的，其响应文件视为无效文件：</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1、供应商拒绝对电子响应文件进行解密的；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2、因供应商自身原因（如迟到、或所</w:t>
      </w:r>
      <w:r>
        <w:rPr>
          <w:rFonts w:hint="eastAsia" w:ascii="仿宋_GB2312" w:hAnsi="仿宋_GB2312" w:eastAsia="仿宋_GB2312" w:cs="仿宋_GB2312"/>
          <w:color w:val="auto"/>
          <w:sz w:val="28"/>
          <w:szCs w:val="28"/>
          <w:lang w:val="en-US" w:eastAsia="zh-CN"/>
        </w:rPr>
        <w:t>用</w:t>
      </w:r>
      <w:r>
        <w:rPr>
          <w:rFonts w:hint="eastAsia" w:ascii="仿宋_GB2312" w:hAnsi="仿宋_GB2312" w:eastAsia="仿宋_GB2312" w:cs="仿宋_GB2312"/>
          <w:color w:val="auto"/>
          <w:sz w:val="28"/>
          <w:szCs w:val="28"/>
        </w:rPr>
        <w:t>CA锁与制作电子响应文件使用的CA锁不一致、或沿用旧版磋商文件编制响应文件等情形），导致在规定时间内无法解密响应文件的；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3、上传的电子响应文件无法打开的；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4、政府采购法律法规规定的其他无效情形。</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）特殊情形下的应急处置</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在响应文件开启、评审过程中，如因停电、断网、电子化系统故障等特殊原因导致电子化开、评审工作无法正常进行时，将视文件解密情况特殊处理。</w:t>
      </w:r>
    </w:p>
    <w:p>
      <w:pPr>
        <w:pStyle w:val="9"/>
        <w:pageBreakBefore w:val="0"/>
        <w:widowControl/>
        <w:kinsoku/>
        <w:overflowPunct/>
        <w:topLinePunct w:val="0"/>
        <w:autoSpaceDE/>
        <w:autoSpaceDN/>
        <w:bidi w:val="0"/>
        <w:adjustRightInd/>
        <w:snapToGrid/>
        <w:spacing w:after="0"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1、响应文件开启时文件未解密的，将另行确定时间继续完成</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程序；</w:t>
      </w:r>
    </w:p>
    <w:p>
      <w:pPr>
        <w:pageBreakBefore w:val="0"/>
        <w:widowControl/>
        <w:kinsoku/>
        <w:overflowPunct/>
        <w:topLinePunct w:val="0"/>
        <w:autoSpaceDE/>
        <w:autoSpaceDN/>
        <w:bidi w:val="0"/>
        <w:adjustRightInd/>
        <w:snapToGrid/>
        <w:spacing w:line="560" w:lineRule="exact"/>
        <w:ind w:firstLine="56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2、文件已解密但评审结论未形成的，将发布</w:t>
      </w:r>
      <w:r>
        <w:rPr>
          <w:rFonts w:hint="eastAsia" w:ascii="仿宋_GB2312" w:hAnsi="仿宋_GB2312" w:eastAsia="仿宋_GB2312" w:cs="仿宋_GB2312"/>
          <w:color w:val="auto"/>
          <w:sz w:val="28"/>
          <w:szCs w:val="28"/>
          <w:lang w:val="en-US" w:eastAsia="zh-CN"/>
        </w:rPr>
        <w:t>终止</w:t>
      </w:r>
      <w:r>
        <w:rPr>
          <w:rFonts w:hint="eastAsia" w:ascii="仿宋_GB2312" w:hAnsi="仿宋_GB2312" w:eastAsia="仿宋_GB2312" w:cs="仿宋_GB2312"/>
          <w:color w:val="auto"/>
          <w:sz w:val="28"/>
          <w:szCs w:val="28"/>
        </w:rPr>
        <w:t>公告，重新组织采购活动；</w:t>
      </w:r>
    </w:p>
    <w:p>
      <w:pPr>
        <w:pStyle w:val="9"/>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3、文件已解密且评审结论已形成的，待特殊情况排除后，继续完成评审活动。</w:t>
      </w:r>
      <w:bookmarkStart w:id="140" w:name="_Toc8349"/>
      <w:bookmarkStart w:id="141" w:name="_Toc31720"/>
      <w:bookmarkStart w:id="142" w:name="_Toc8460"/>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43" w:name="_Toc31905"/>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、组织评审</w:t>
      </w:r>
      <w:bookmarkEnd w:id="124"/>
      <w:bookmarkEnd w:id="125"/>
      <w:bookmarkEnd w:id="126"/>
      <w:bookmarkEnd w:id="140"/>
      <w:bookmarkEnd w:id="141"/>
      <w:bookmarkEnd w:id="142"/>
      <w:bookmarkEnd w:id="143"/>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bookmarkStart w:id="144" w:name="_Toc3816_WPSOffice_Level3"/>
      <w:r>
        <w:rPr>
          <w:rFonts w:hint="eastAsia" w:ascii="仿宋_GB2312" w:hAnsi="仿宋_GB2312" w:eastAsia="仿宋_GB2312" w:cs="仿宋_GB2312"/>
          <w:b/>
          <w:bCs/>
          <w:color w:val="auto"/>
          <w:sz w:val="28"/>
          <w:szCs w:val="28"/>
          <w:shd w:val="clear" w:color="auto" w:fill="FFFFFF"/>
        </w:rPr>
        <w:t>（一）</w:t>
      </w:r>
      <w:bookmarkEnd w:id="144"/>
      <w:r>
        <w:rPr>
          <w:rFonts w:hint="eastAsia" w:ascii="仿宋_GB2312" w:hAnsi="仿宋_GB2312" w:eastAsia="仿宋_GB2312" w:cs="仿宋_GB2312"/>
          <w:b/>
          <w:bCs/>
          <w:color w:val="auto"/>
          <w:sz w:val="28"/>
          <w:szCs w:val="28"/>
        </w:rPr>
        <w:t>成立磋商小组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1、为了确保磋商工作的公平、公正，依据政府采购法和政府采购相关法规、规章，成立磋商小组，磋商小组由采购人代表和评审专家共3人以上单数组成，其中评审专家人数不少于磋商小组成员总数的三分之二。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评审专家对本单位的采购项目只能作为采购人代表参与评审。采购代理机构工作人员不得参加由本机构代理的政府采购项目的评审。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磋商小组成员名单在评审结果公告前应当保密。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3、评审中因磋商小组成员缺席、回避或者健康等特殊原因导致磋商小组组成不符合规定的，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应当依法补足后继续评审。被更换的磋商小组成员所做出的评审意见无效。无法及时补足磋商小组成员的，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应当停止评审活动，封存所有响应文件和开标、评审资料，依法重新组建磋商小组进行评审。原磋商小组所做出的评审意见无效。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应当将变更、重新组建磋商小组的情况予以记录，并随采购文件一并存档。</w:t>
      </w:r>
    </w:p>
    <w:p>
      <w:pPr>
        <w:pStyle w:val="18"/>
        <w:pageBreakBefore w:val="0"/>
        <w:widowControl/>
        <w:kinsoku/>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bCs/>
          <w:color w:val="auto"/>
          <w:sz w:val="28"/>
          <w:szCs w:val="28"/>
        </w:rPr>
      </w:pPr>
      <w:bookmarkStart w:id="145" w:name="_Toc3147_WPSOffice_Level3"/>
      <w:r>
        <w:rPr>
          <w:rFonts w:hint="eastAsia" w:ascii="仿宋_GB2312" w:hAnsi="仿宋_GB2312" w:eastAsia="仿宋_GB2312" w:cs="仿宋_GB2312"/>
          <w:b/>
          <w:bCs/>
          <w:color w:val="auto"/>
          <w:sz w:val="28"/>
          <w:szCs w:val="28"/>
          <w:shd w:val="clear" w:color="auto" w:fill="FFFFFF"/>
        </w:rPr>
        <w:t>（二）磋商小组负责具体评审事务，并独立履行下列职责：</w:t>
      </w:r>
      <w:bookmarkEnd w:id="145"/>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1、遵守评审工作纪律，不得泄露评审情况和评审中获悉的商业秘密；</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2、按照客观、公正、审慎的原则，根据磋商文件规定的评审程序、评审方法和评审标准进行独立评审；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3、要求供应商对响应文件有关事项做出澄清或者说明；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4、与供应商分别进行磋商；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5、对响应文件进行比较和评价；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6、确定成交候选人名单，以及根据采购人委托直接确定成交供应商；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7、配合答复供应商的询问、质疑和投诉等事项，不得泄露评审文件、评审情况和在评审过程中获悉的商业秘密；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lang w:val="en-US" w:eastAsia="zh-CN"/>
        </w:rPr>
        <w:t xml:space="preserve">8、向采购人、集中采购机构或者有关部门报告评审中发现的违法行为。 </w:t>
      </w:r>
    </w:p>
    <w:p>
      <w:pPr>
        <w:pStyle w:val="18"/>
        <w:pageBreakBefore w:val="0"/>
        <w:widowControl/>
        <w:kinsoku/>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bCs/>
          <w:color w:val="auto"/>
          <w:sz w:val="28"/>
          <w:szCs w:val="28"/>
        </w:rPr>
      </w:pPr>
      <w:bookmarkStart w:id="146" w:name="_Toc8872_WPSOffice_Level3"/>
      <w:r>
        <w:rPr>
          <w:rFonts w:hint="eastAsia" w:ascii="仿宋_GB2312" w:hAnsi="仿宋_GB2312" w:eastAsia="仿宋_GB2312" w:cs="仿宋_GB2312"/>
          <w:b/>
          <w:bCs/>
          <w:color w:val="auto"/>
          <w:sz w:val="28"/>
          <w:szCs w:val="28"/>
        </w:rPr>
        <w:t>（三）</w:t>
      </w:r>
      <w:r>
        <w:rPr>
          <w:rFonts w:hint="eastAsia" w:ascii="仿宋_GB2312" w:hAnsi="仿宋_GB2312" w:eastAsia="仿宋_GB2312" w:cs="仿宋_GB2312"/>
          <w:b/>
          <w:bCs/>
          <w:color w:val="auto"/>
          <w:sz w:val="28"/>
          <w:szCs w:val="28"/>
          <w:shd w:val="clear" w:color="auto" w:fill="FFFFFF"/>
        </w:rPr>
        <w:t>集中采购机构负责组织评审工作，并履行下列职责：</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1、核对评审专家身份和采购人代表授权函，对评审专家在政府采购活动中的职责履行情况予以记录，并及时将有关违法违规行为向财政部门报告;</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2、宣布评审纪律;</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3、公布</w:t>
      </w:r>
      <w:r>
        <w:rPr>
          <w:rFonts w:hint="eastAsia" w:ascii="仿宋_GB2312" w:hAnsi="仿宋_GB2312" w:eastAsia="仿宋_GB2312" w:cs="仿宋_GB2312"/>
          <w:color w:val="auto"/>
          <w:sz w:val="28"/>
          <w:szCs w:val="28"/>
          <w:shd w:val="clear" w:color="auto" w:fill="FFFFFF"/>
          <w:lang w:val="en-US" w:eastAsia="zh-CN"/>
        </w:rPr>
        <w:t>供应商</w:t>
      </w:r>
      <w:r>
        <w:rPr>
          <w:rFonts w:hint="eastAsia" w:ascii="仿宋_GB2312" w:hAnsi="仿宋_GB2312" w:eastAsia="仿宋_GB2312" w:cs="仿宋_GB2312"/>
          <w:color w:val="auto"/>
          <w:sz w:val="28"/>
          <w:szCs w:val="28"/>
          <w:shd w:val="clear" w:color="auto" w:fill="FFFFFF"/>
        </w:rPr>
        <w:t>名单，告知评审专家应当回避的情形;</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4、组织磋商小组推选评审组长，采购人代表不得担任组长;</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5、在评审期间采取必要的通讯管理措施，保证评审活动不受外界干扰;</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6、根据磋商小组的要求介绍政府采购相关政策法规、磋商文件;</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7、维护评审秩序，监督磋商小组依照磋商文件规定的评审程序、方法和标准进行独立评审，及时制止和纠正采购人代表、评审专家的倾向性言论或者违法违规行为;</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8、核对评审结果;</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9、评审工作完成后，按照规定向评审专家支付劳务报酬和异地评审差旅费，不得向评审专家以外的其他人员支付评审劳务报酬;</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10、处理与评审有关的其他事项。</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采购人可以在评审前说明项目背景和采购需求，说明内容不得含有歧视性、倾向性意见，不得超出磋商文件所述范围。说明应当提交书面材料，并随采购文件一并存档。</w:t>
      </w:r>
      <w:bookmarkEnd w:id="14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47" w:name="_Toc4079_WPSOffice_Level3"/>
      <w:r>
        <w:rPr>
          <w:rFonts w:hint="eastAsia" w:ascii="仿宋_GB2312" w:hAnsi="仿宋_GB2312" w:eastAsia="仿宋_GB2312" w:cs="仿宋_GB2312"/>
          <w:b/>
          <w:color w:val="auto"/>
          <w:sz w:val="28"/>
          <w:szCs w:val="28"/>
        </w:rPr>
        <w:t>（四）评审方法：综合评分法</w:t>
      </w:r>
      <w:bookmarkEnd w:id="14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综合评分法，是指响应文件满足磋商文件全部实质性要求且按评审因 素的量化指标评审得分最高的供应商为成交候选供应商的评审方法。</w:t>
      </w:r>
    </w:p>
    <w:p>
      <w:pPr>
        <w:pageBreakBefore w:val="0"/>
        <w:widowControl/>
        <w:kinsoku/>
        <w:overflowPunct/>
        <w:topLinePunct w:val="0"/>
        <w:autoSpaceDE/>
        <w:autoSpaceDN/>
        <w:bidi w:val="0"/>
        <w:adjustRightInd/>
        <w:snapToGrid/>
        <w:spacing w:line="560" w:lineRule="exact"/>
        <w:ind w:left="567"/>
        <w:textAlignment w:val="auto"/>
        <w:rPr>
          <w:rFonts w:hint="eastAsia" w:ascii="仿宋_GB2312" w:hAnsi="仿宋_GB2312" w:eastAsia="仿宋_GB2312" w:cs="仿宋_GB2312"/>
          <w:color w:val="auto"/>
          <w:sz w:val="28"/>
          <w:szCs w:val="28"/>
        </w:rPr>
      </w:pPr>
      <w:bookmarkStart w:id="148" w:name="_Toc25396_WPSOffice_Level3"/>
      <w:r>
        <w:rPr>
          <w:rFonts w:hint="eastAsia" w:ascii="仿宋_GB2312" w:hAnsi="仿宋_GB2312" w:eastAsia="仿宋_GB2312" w:cs="仿宋_GB2312"/>
          <w:b/>
          <w:color w:val="auto"/>
          <w:sz w:val="28"/>
          <w:szCs w:val="28"/>
        </w:rPr>
        <w:t>（五）评审程序</w:t>
      </w:r>
      <w:bookmarkEnd w:id="14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分步评审，每一步评审不符合磋商文件要求者，不得进入下一步评审，全部评审合格的供应商，进入最后的打分，最后按得分由高向低排序，推荐成交候选供应商。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1、资格性审查</w:t>
      </w:r>
    </w:p>
    <w:p>
      <w:pPr>
        <w:pageBreakBefore w:val="0"/>
        <w:widowControl/>
        <w:kinsoku/>
        <w:overflowPunct/>
        <w:topLinePunct w:val="0"/>
        <w:autoSpaceDE/>
        <w:autoSpaceDN/>
        <w:bidi w:val="0"/>
        <w:adjustRightInd/>
        <w:snapToGrid/>
        <w:spacing w:after="190" w:afterLines="50"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响应文件开启</w:t>
      </w:r>
      <w:r>
        <w:rPr>
          <w:rFonts w:hint="eastAsia" w:ascii="仿宋_GB2312" w:hAnsi="仿宋_GB2312" w:eastAsia="仿宋_GB2312" w:cs="仿宋_GB2312"/>
          <w:color w:val="auto"/>
          <w:sz w:val="28"/>
          <w:szCs w:val="28"/>
        </w:rPr>
        <w:t>结束后，磋商小组依据法律法规和磋商文件的规定，对响应文件中的供应商资格证明文件进行审查，以确定供应商是否具备磋商资格。</w:t>
      </w:r>
    </w:p>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资格审查表</w:t>
      </w:r>
    </w:p>
    <w:tbl>
      <w:tblPr>
        <w:tblStyle w:val="22"/>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640"/>
        <w:gridCol w:w="5053"/>
        <w:gridCol w:w="7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资格审查项</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通过条件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结论</w:t>
            </w: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营业执照等主体资格证明文件</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提供有效存续的企业营业执照（副本）/事业单位法人证书/专业服务机构执业许可证/民办非企业单位登记证书。</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财务状况报告</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sz w:val="28"/>
                <w:szCs w:val="28"/>
              </w:rPr>
              <w:t>提供202</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年度或202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度经审计的财务会计报告（包括审计报告、资产负债表、利润表、现金流量表、所有者权益变动表及其附注，成立时间至提交响应文件截止时间不足一年的可提供成立后任意时段的资产负债表），或其开标前三个月内基本存款账户开户银行出具的资信证明，或信用担保机构出具的投标担保函。（以上三种形式的资料提供任何一种即可）。</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社保缴纳证明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提供递交响应文件截止之日前一年内任意一个月的社会保障资金缴存单据或社保机构开具的社会保险参保缴费情况证明。依法不需要缴纳社会保障资金的供应商应提供相关证明文件。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4</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税收缴纳证明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递交响应文件截止之日前一年内任意一个月的依法缴纳税收的相关凭据（时间以税款所属日期为准、税种须同时包含增值税和企业所得税），凭据应有税务机关或代收机关的公章或业务专用章。依法免税或无须缴纳税收的供应商，应提供相应证明文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5</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lang w:eastAsia="zh-CN"/>
              </w:rPr>
            </w:pPr>
            <w:r>
              <w:rPr>
                <w:rFonts w:hint="eastAsia" w:ascii="仿宋_GB2312" w:hAnsi="仿宋_GB2312" w:eastAsia="仿宋_GB2312" w:cs="仿宋_GB2312"/>
                <w:color w:val="auto"/>
                <w:kern w:val="28"/>
                <w:sz w:val="28"/>
                <w:szCs w:val="28"/>
                <w:lang w:val="en-US" w:eastAsia="zh-CN"/>
              </w:rPr>
              <w:t>书面声明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提供《近三年内在经营活动中无重大违法记录声明》。（按第五章格式填写）</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6</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法定代表人授权委托书</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参加磋商的，须提供本人身份证复印件（附在资格证明文件中）；法定代表人授权他人参加磋商的，须提供法定代表人授权委托书。磋商文件中凡是需要法定代表人盖章之处，非法人单位的负责人均参照执行。（按第五章格式填写）</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7</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落实政府采购政策需满足的资格要求</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highlight w:val="none"/>
              </w:rPr>
              <w:t>本项目专门面向小微企业采购，供应商应为小微企业，磋商时须提供《中小企业声明函》（按第五章格式填写）。本项目采购标的对应的中小企业划分标准所属行业为：工业。</w:t>
            </w:r>
            <w:bookmarkStart w:id="443" w:name="_GoBack"/>
            <w:bookmarkEnd w:id="443"/>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kern w:val="0"/>
                <w:sz w:val="28"/>
                <w:szCs w:val="28"/>
              </w:rPr>
              <w:t>磋商小组成员：（签字或盖章）</w:t>
            </w:r>
          </w:p>
        </w:tc>
      </w:tr>
    </w:tbl>
    <w:p>
      <w:pPr>
        <w:pStyle w:val="38"/>
        <w:ind w:left="0" w:leftChars="0" w:firstLine="0" w:firstLineChars="0"/>
        <w:rPr>
          <w:rFonts w:ascii="Calibri" w:hAnsi="Calibri"/>
          <w:b/>
          <w:bCs/>
          <w:color w:val="auto"/>
          <w:sz w:val="28"/>
          <w:szCs w:val="28"/>
        </w:rPr>
      </w:pPr>
    </w:p>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出现下列情形的，响应文件将被视为无效：</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（1）不具备磋商文件中规定的资格要求的；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（2）未按磋商文件要求提供资格证明文件原件，或未按磋商文件要求加盖公章的；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（3）磋商小组认为供应商的资格证明文件存在疑点，要求供应商现场提供原件，供应商不能在规定时限内提供原件或其所提供的原件无法证实响应文件所附证明文件有效性的。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资格审查结束后，磋商小组成员应当对审查结果进行签字确认，并告知无效投标供应商资格审查未通过的原因。</w:t>
      </w:r>
    </w:p>
    <w:p>
      <w:pPr>
        <w:pStyle w:val="9"/>
        <w:keepNext w:val="0"/>
        <w:keepLines w:val="0"/>
        <w:pageBreakBefore w:val="0"/>
        <w:kinsoku/>
        <w:wordWrap/>
        <w:overflowPunct/>
        <w:topLinePunct w:val="0"/>
        <w:autoSpaceDE/>
        <w:autoSpaceDN/>
        <w:bidi w:val="0"/>
        <w:adjustRightInd/>
        <w:spacing w:after="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通过资格审查的供应商不足3家的，不得进行符合性审查。</w:t>
      </w:r>
    </w:p>
    <w:p>
      <w:pPr>
        <w:pStyle w:val="14"/>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2、响应文件的符合性审查</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磋商小组依据磋商文件的规定，对响应文件的有效性、完整性和对磋商文件的响应程度进行审查，以确定是否对磋商文件的全部实质性要求做出响应。</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要审查每份响应文件是否实质上响应了磋商文件的要求。实质上没有响应磋商文件要求的响应文件作无效响应处理，磋商小组要告知有关供应商未通过审查的原因。供应商不得通过修正或撤销不符之处而使其成为实质上响应。</w:t>
      </w:r>
    </w:p>
    <w:p>
      <w:pPr>
        <w:spacing w:line="500" w:lineRule="exact"/>
        <w:ind w:firstLine="566" w:firstLineChars="20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响应文件的符合性审查</w:t>
      </w:r>
    </w:p>
    <w:tbl>
      <w:tblPr>
        <w:tblStyle w:val="22"/>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33"/>
        <w:gridCol w:w="4173"/>
        <w:gridCol w:w="80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序号</w:t>
            </w:r>
          </w:p>
        </w:tc>
        <w:tc>
          <w:tcPr>
            <w:tcW w:w="253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符合性审查项</w:t>
            </w:r>
          </w:p>
        </w:tc>
        <w:tc>
          <w:tcPr>
            <w:tcW w:w="417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通过条件</w:t>
            </w:r>
          </w:p>
        </w:tc>
        <w:tc>
          <w:tcPr>
            <w:tcW w:w="807"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结论</w:t>
            </w:r>
          </w:p>
        </w:tc>
        <w:tc>
          <w:tcPr>
            <w:tcW w:w="1440"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1</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响应文件语言及有效期</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响应文件语言</w:t>
            </w:r>
            <w:r>
              <w:rPr>
                <w:rFonts w:hint="eastAsia" w:ascii="仿宋_GB2312" w:hAnsi="仿宋_GB2312" w:eastAsia="仿宋_GB2312" w:cs="仿宋_GB2312"/>
                <w:bCs/>
                <w:color w:val="auto"/>
                <w:kern w:val="0"/>
                <w:sz w:val="28"/>
                <w:szCs w:val="28"/>
              </w:rPr>
              <w:t>及有效期</w:t>
            </w:r>
            <w:r>
              <w:rPr>
                <w:rFonts w:hint="eastAsia" w:ascii="仿宋_GB2312" w:hAnsi="仿宋_GB2312" w:eastAsia="仿宋_GB2312" w:cs="仿宋_GB2312"/>
                <w:color w:val="auto"/>
                <w:sz w:val="28"/>
                <w:szCs w:val="28"/>
              </w:rPr>
              <w:t>符合磋商文件要求。</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2</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响应文件封面、响应 函、法定代表人授权 委托书三处的项目名 称、项目编号、标段 （如有）</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三处均无遗漏，且与所投项目名称、 项目编号、标段（如有）一致。</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3</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响应文件签署、盖章</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均按磋商文件要求签字、盖章（评分标准中要求提供的证明材料除外）。</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4</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第一次磋商报价表</w:t>
            </w:r>
          </w:p>
        </w:tc>
        <w:tc>
          <w:tcPr>
            <w:tcW w:w="4173" w:type="dxa"/>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（1）第一次磋商报价表填写符合要求；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（2）计量单位、报价货币均符合磋商文件要求；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（3）第一次磋商报价未超出采购预算或磋商文件规定的最高限价。</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5</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响应文件完整性</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响应文件按照磋商文件要求编制，三部分内容齐全，无重大缺漏项。</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6</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技术服务要求</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完全理解并接受对合格供应商、合格的货物、工程或服务要求，根据响应文件中《技术服务偏差表》第三章“★”标识的实质性要求没有负偏离。</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7</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合同草案响应</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有完全理解并接受磋商文件合同草案 条款要求的描述。</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8</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供应商承诺书</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完全理解并填写《拒绝政府采购领域商业贿赂承诺书》。</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9</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无其他磋商文件或法规明确规定响应无效的事项</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没有不符合磋商文件规定的被视为无效响应的其他条款。</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7"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磋商小组成员：（签字或盖章）</w:t>
            </w:r>
          </w:p>
        </w:tc>
      </w:tr>
    </w:tbl>
    <w:p>
      <w:pPr>
        <w:spacing w:line="500" w:lineRule="exact"/>
        <w:ind w:firstLine="566"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3、响应文件的澄清</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（1）磋商小组在对响应文件的有效性、完整性和响应程度进行审查时，可以要求供应商对响应文件中含义不明确、同类问题表述不一致或者有明显文字和计算错误的内容等做出必要的澄清、说明或者更正。</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（2）依照《中华人民共和国民法典》中的过失责任原则，澄清、说明 或更正前磋商小组将按最不利于参与本次磋商供应商的原则对响应文件做 出评判。</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要求供应商澄清、说明或者更正响应文件应通过电子交易平台或电子邮件等书面形式做出。供应商应当在规定的澄清时限内通过公共资源交易平台（以下简称“平台”）或电子邮件（在平台无法支持的情况下）等书面形式提交，</w:t>
      </w:r>
      <w:r>
        <w:rPr>
          <w:rFonts w:hint="eastAsia" w:ascii="仿宋_GB2312" w:hAnsi="仿宋_GB2312" w:eastAsia="仿宋_GB2312" w:cs="仿宋_GB2312"/>
          <w:color w:val="auto"/>
          <w:sz w:val="28"/>
          <w:szCs w:val="28"/>
          <w:lang w:val="en-US" w:eastAsia="zh-CN"/>
        </w:rPr>
        <w:t>通过电子邮件提交的</w:t>
      </w:r>
      <w:r>
        <w:rPr>
          <w:rFonts w:hint="eastAsia" w:ascii="仿宋_GB2312" w:hAnsi="仿宋_GB2312" w:eastAsia="仿宋_GB2312" w:cs="仿宋_GB2312"/>
          <w:color w:val="auto"/>
          <w:sz w:val="28"/>
          <w:szCs w:val="28"/>
        </w:rPr>
        <w:t>澄清、说明或者更正应当由法定代表人或其授权代表签字或者加盖公章。</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（4）供应商的澄清、说明或者更正不得超出响应文件的范围或者改变响应文件的实质性内容。澄清、说明或者更正的内容将作为</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sz w:val="28"/>
          <w:szCs w:val="28"/>
        </w:rPr>
        <w:t>履行的重要依据。</w:t>
      </w:r>
    </w:p>
    <w:p>
      <w:pPr>
        <w:spacing w:line="500" w:lineRule="exact"/>
        <w:ind w:firstLine="566"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除采用竞争性磋商方式采购的政府购买服务项目、市场竞争不充分的 科研项目以及需要扶持的科技成果转化项目外，通过符合性审查的供应商 不足3家的，不得进行后续磋商活动，应予以</w:t>
      </w:r>
      <w:r>
        <w:rPr>
          <w:rFonts w:hint="eastAsia" w:ascii="仿宋_GB2312" w:hAnsi="仿宋_GB2312" w:eastAsia="仿宋_GB2312" w:cs="仿宋_GB2312"/>
          <w:b/>
          <w:bCs/>
          <w:color w:val="auto"/>
          <w:sz w:val="28"/>
          <w:szCs w:val="28"/>
          <w:lang w:val="en-US" w:eastAsia="zh-CN"/>
        </w:rPr>
        <w:t>终止</w:t>
      </w:r>
      <w:r>
        <w:rPr>
          <w:rFonts w:hint="eastAsia" w:ascii="仿宋_GB2312" w:hAnsi="仿宋_GB2312" w:eastAsia="仿宋_GB2312" w:cs="仿宋_GB2312"/>
          <w:b/>
          <w:bCs/>
          <w:color w:val="auto"/>
          <w:sz w:val="28"/>
          <w:szCs w:val="28"/>
        </w:rPr>
        <w:t>。</w:t>
      </w:r>
    </w:p>
    <w:p>
      <w:pPr>
        <w:spacing w:line="500" w:lineRule="exact"/>
        <w:ind w:firstLine="566" w:firstLineChars="200"/>
        <w:contextualSpacing/>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4、进行磋商</w:t>
      </w:r>
    </w:p>
    <w:p>
      <w:pPr>
        <w:spacing w:line="500" w:lineRule="exact"/>
        <w:ind w:firstLine="566" w:firstLineChars="200"/>
        <w:contextualSpacing/>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磋商小组所有成员应当集中与单一供应商分别进行磋商，并给予所有参加磋商的供应商平等的磋商机会。需要供应商书面答复磋商内容的，供应商应当按照磋商小组的要求，在磋商小组规定的时限内通过公共资源交易平台（以下简称“平台”）或电子邮件（在平台无法支持的情况下）等书面形式答复磋商的内容，</w:t>
      </w:r>
      <w:r>
        <w:rPr>
          <w:rFonts w:hint="eastAsia" w:ascii="仿宋_GB2312" w:hAnsi="仿宋_GB2312" w:eastAsia="仿宋_GB2312" w:cs="仿宋_GB2312"/>
          <w:bCs/>
          <w:color w:val="auto"/>
          <w:sz w:val="28"/>
          <w:szCs w:val="28"/>
          <w:lang w:val="en-US" w:eastAsia="zh-CN"/>
        </w:rPr>
        <w:t>通过电子邮件答复的内容应当</w:t>
      </w:r>
      <w:r>
        <w:rPr>
          <w:rFonts w:hint="eastAsia" w:ascii="仿宋_GB2312" w:hAnsi="仿宋_GB2312" w:eastAsia="仿宋_GB2312" w:cs="仿宋_GB2312"/>
          <w:bCs/>
          <w:color w:val="auto"/>
          <w:sz w:val="28"/>
          <w:szCs w:val="28"/>
        </w:rPr>
        <w:t>由法定代表人或其授权代表签字或者加盖公章。</w:t>
      </w:r>
    </w:p>
    <w:p>
      <w:pPr>
        <w:spacing w:line="500" w:lineRule="exact"/>
        <w:ind w:firstLine="566" w:firstLineChars="200"/>
        <w:contextualSpacing/>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5、磋商文件的实质性变更</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（1）在磋商过程中，磋商小组可以根据磋商文件和磋商情况实质性变动采购需求中的技术、服务要求以及合同</w:t>
      </w:r>
      <w:r>
        <w:rPr>
          <w:rFonts w:hint="eastAsia" w:ascii="仿宋_GB2312" w:hAnsi="仿宋_GB2312" w:eastAsia="仿宋_GB2312" w:cs="仿宋_GB2312"/>
          <w:color w:val="auto"/>
          <w:sz w:val="28"/>
          <w:szCs w:val="28"/>
          <w:lang w:val="en-US" w:eastAsia="zh-CN"/>
        </w:rPr>
        <w:t>草案</w:t>
      </w:r>
      <w:r>
        <w:rPr>
          <w:rFonts w:hint="eastAsia" w:ascii="仿宋_GB2312" w:hAnsi="仿宋_GB2312" w:eastAsia="仿宋_GB2312" w:cs="仿宋_GB2312"/>
          <w:color w:val="auto"/>
          <w:sz w:val="28"/>
          <w:szCs w:val="28"/>
        </w:rPr>
        <w:t>条款，但不得变动磋商文件中的其他内容。实质性变动的内容，须经采购人代表确认。</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实质性变动不得改变原标的物，且应遵循有利于采购活动顺利实施的原则，当出现下列情形时，可实质性变动：</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当磋商小组发现磋商文件有明显错误、自相矛盾时，可通过实质性变动纠正错误，且应尽可能保证该变动不会排除各参与供应商；</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当进入最后报价环节的供应商不足</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家时，可通过实质性变动实现不少于</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家供应商提交最后报价，但不得通过实质性变动将原本进入最后报价环节的供应商排除在外。</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）对磋商文件作出的实质性变动是磋商文件的有效组成部分，磋商小组将通过公共资源交易平台（以下简称“平台”）或电子邮件（在平台无法支持的情况下）等书面形式通知所有参加磋商的供应商。</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）供应商应当按照磋商文件的变动情况和磋商小组的要求，在磋商 小组规定的时限内重新提交响应文件，并用数字认证证书（CA 锁）签章或 由法定代表人或其授权代表签字或者加盖公章。</w:t>
      </w:r>
    </w:p>
    <w:p>
      <w:pPr>
        <w:pStyle w:val="20"/>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）供应商未能在规定的时间内按照磋商小组的要求通过公共资源交易平台（以下简称“平台”）或电子邮件（在平台无法支持的情况下）等书面形式提交实质性变更响应文件的，视作未实质性响应。</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6、最后报价</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（1）磋商文件能够详细列明采购标的的技术、服务要求的，磋商结束 后，磋商小组应当要求所有实质性响应的供应商在规定时间内提交最后报 价，提交最后报价的供应商不得少于3家。</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（2）磋商文件不能详细列明采购标的的技术、服务要求，需经磋商由 供应商提供最终设计方案或解决方案的，磋商结束后，磋商小组应当按照 少数服从多数的原则投票推荐3家以上供应商的设计方案或者解决方案， 并要求其在规定时间内提交最后报价。</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（3）最后报价是供应商响应文件的有效组成部分。符合《政府采购竞 争性磋商采购方式管理暂行办法》第三条第四项情形的，即市场竞争不充 分的科研项目，以及需要扶持的科技成果转化项目，提交最后报价的供应 商可以为 2 家。根据《财政部关于政府采购竞争性磋商采购方式管理暂行 办法有关问题的补充通知》（财库〔2015〕124号），采购的政府购买服务项目（含政府和社会资本合作项目），在采购过程中符合要求的供应商 （社会资本）只有2家的，竞争性磋商采购活动可以继续进行。</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要在电子交易平台中提交最后报价，并用数字认证证书（CA锁）签章。平台系统无法使用时，供应商要以书面形式提交最后报价。最后报价表应由其法定代表人或被授权代表签字或者加盖公章。最后报价将作为综合评分法中价格分的计算依据。</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（5）已提交响应文件的供应商，在提交最后报价之前，可以根据磋商 情况书面申请退出磋商，书面申请应由其法定代表人或被授权代表签字或 者加盖公章。</w:t>
      </w:r>
    </w:p>
    <w:p>
      <w:pPr>
        <w:spacing w:line="500" w:lineRule="exact"/>
        <w:ind w:firstLine="566" w:firstLineChars="200"/>
        <w:contextualSpacing/>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6）磋商小组认为供应商的报价明显低于其他通过符合性和响应性审查供应商的报价，有可能影响工程、货物、服务质量或者不能诚信履约的，要求供应商在规定时间内通过公共资源交易平台（以下简称“平台”）或电子邮件（在平台无法支持的情况下）等书面形式提供说明（必要时提交相关证明材料），供应商不能证明其报价合理性的，按无效响应</w:t>
      </w:r>
      <w:r>
        <w:rPr>
          <w:rFonts w:hint="eastAsia" w:ascii="仿宋_GB2312" w:hAnsi="仿宋_GB2312" w:eastAsia="仿宋_GB2312" w:cs="仿宋_GB2312"/>
          <w:color w:val="auto"/>
          <w:sz w:val="28"/>
          <w:szCs w:val="28"/>
          <w:lang w:val="en-US" w:eastAsia="zh-CN"/>
        </w:rPr>
        <w:t>处理</w:t>
      </w:r>
      <w:r>
        <w:rPr>
          <w:rFonts w:hint="eastAsia" w:ascii="仿宋_GB2312" w:hAnsi="仿宋_GB2312" w:eastAsia="仿宋_GB2312" w:cs="仿宋_GB2312"/>
          <w:color w:val="auto"/>
          <w:sz w:val="28"/>
          <w:szCs w:val="28"/>
        </w:rPr>
        <w:t>。</w:t>
      </w:r>
    </w:p>
    <w:p>
      <w:pPr>
        <w:spacing w:line="500" w:lineRule="exact"/>
        <w:ind w:firstLine="566"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7、综合比较与评价</w:t>
      </w:r>
    </w:p>
    <w:p>
      <w:pPr>
        <w:spacing w:line="500" w:lineRule="exact"/>
        <w:ind w:firstLine="566"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rPr>
        <w:t>经磋商确定最终采购需求和提交最后报价的供应商后，由磋商小组按“评审要素及分值一览表”中规定的评审方法和标准，对提交最后报价的供应商的响应文件和最后报价进行综合评分。</w:t>
      </w:r>
    </w:p>
    <w:p>
      <w:pPr>
        <w:spacing w:line="500" w:lineRule="exact"/>
        <w:ind w:firstLine="566" w:firstLineChars="200"/>
        <w:contextualSpacing/>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评审时，磋商小组各成员应当独立对每个有效响应的文件进行评价、打分，然后汇总每个供应商每项评审因素的得分。</w:t>
      </w:r>
    </w:p>
    <w:p>
      <w:pPr>
        <w:spacing w:after="190" w:afterLines="50" w:line="500" w:lineRule="exact"/>
        <w:jc w:val="center"/>
        <w:rPr>
          <w:rFonts w:hint="eastAsia" w:ascii="仿宋_GB2312" w:hAnsi="仿宋_GB2312" w:eastAsia="仿宋_GB2312" w:cs="仿宋_GB2312"/>
          <w:b/>
          <w:bCs/>
          <w:color w:val="auto"/>
          <w:sz w:val="28"/>
          <w:szCs w:val="28"/>
          <w:lang w:eastAsia="zh-CN"/>
        </w:rPr>
      </w:pPr>
      <w:bookmarkStart w:id="149" w:name="_Toc2392"/>
      <w:bookmarkStart w:id="150" w:name="_Toc9626"/>
      <w:bookmarkStart w:id="151" w:name="_Toc27187"/>
      <w:bookmarkStart w:id="152" w:name="_Toc27797"/>
      <w:r>
        <w:rPr>
          <w:rFonts w:hint="eastAsia" w:ascii="仿宋_GB2312" w:hAnsi="仿宋_GB2312" w:eastAsia="仿宋_GB2312" w:cs="仿宋_GB2312"/>
          <w:b/>
          <w:bCs/>
          <w:color w:val="auto"/>
          <w:sz w:val="28"/>
          <w:szCs w:val="28"/>
        </w:rPr>
        <w:t>评审要素及分值一览表</w:t>
      </w:r>
      <w:bookmarkEnd w:id="149"/>
      <w:bookmarkEnd w:id="150"/>
      <w:bookmarkEnd w:id="151"/>
      <w:bookmarkEnd w:id="152"/>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第一标段</w:t>
      </w:r>
      <w:r>
        <w:rPr>
          <w:rFonts w:hint="eastAsia" w:ascii="仿宋_GB2312" w:hAnsi="仿宋_GB2312" w:eastAsia="仿宋_GB2312" w:cs="仿宋_GB2312"/>
          <w:b/>
          <w:bCs/>
          <w:color w:val="auto"/>
          <w:sz w:val="28"/>
          <w:szCs w:val="28"/>
          <w:lang w:eastAsia="zh-CN"/>
        </w:rPr>
        <w:t>）</w:t>
      </w:r>
    </w:p>
    <w:tbl>
      <w:tblPr>
        <w:tblStyle w:val="22"/>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40"/>
        <w:gridCol w:w="826"/>
        <w:gridCol w:w="787"/>
        <w:gridCol w:w="484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31" w:type="dxa"/>
            <w:gridSpan w:val="2"/>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项别</w:t>
            </w:r>
          </w:p>
        </w:tc>
        <w:tc>
          <w:tcPr>
            <w:tcW w:w="1613" w:type="dxa"/>
            <w:gridSpan w:val="2"/>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w:t>
            </w:r>
          </w:p>
        </w:tc>
        <w:tc>
          <w:tcPr>
            <w:tcW w:w="4840"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评审要素</w:t>
            </w:r>
          </w:p>
        </w:tc>
        <w:tc>
          <w:tcPr>
            <w:tcW w:w="1323"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91"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840" w:type="dxa"/>
            <w:vAlign w:val="center"/>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总分值100</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分项最高分值</w:t>
            </w:r>
          </w:p>
        </w:tc>
        <w:tc>
          <w:tcPr>
            <w:tcW w:w="4840"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91" w:type="dxa"/>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840"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w:t>
            </w:r>
          </w:p>
        </w:tc>
        <w:tc>
          <w:tcPr>
            <w:tcW w:w="826" w:type="dxa"/>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w:t>
            </w:r>
          </w:p>
        </w:tc>
        <w:tc>
          <w:tcPr>
            <w:tcW w:w="4840" w:type="dxa"/>
          </w:tcPr>
          <w:p>
            <w:pPr>
              <w:keepNext w:val="0"/>
              <w:keepLines w:val="0"/>
              <w:pageBreakBefore w:val="0"/>
              <w:widowControl/>
              <w:tabs>
                <w:tab w:val="left" w:pos="547"/>
              </w:tabs>
              <w:kinsoku/>
              <w:wordWrap/>
              <w:overflowPunct/>
              <w:topLinePunct w:val="0"/>
              <w:autoSpaceDE w:val="0"/>
              <w:autoSpaceDN w:val="0"/>
              <w:bidi w:val="0"/>
              <w:adjustRightIn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有效供应商最低报价为基准价得</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rPr>
              <w:t>分，其他各供应商的报价得分按下列公式计算：</w:t>
            </w:r>
          </w:p>
          <w:p>
            <w:pPr>
              <w:keepNext w:val="0"/>
              <w:keepLines w:val="0"/>
              <w:pageBreakBefore w:val="0"/>
              <w:widowControl/>
              <w:tabs>
                <w:tab w:val="left" w:pos="547"/>
              </w:tabs>
              <w:kinsoku/>
              <w:wordWrap/>
              <w:overflowPunct/>
              <w:topLinePunct w:val="0"/>
              <w:autoSpaceDE w:val="0"/>
              <w:autoSpaceDN w:val="0"/>
              <w:bidi w:val="0"/>
              <w:adjustRightInd w:val="0"/>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（基准价/磋商报价）×</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0</w:t>
            </w:r>
            <w:r>
              <w:rPr>
                <w:rFonts w:hint="eastAsia" w:ascii="仿宋_GB2312" w:hAnsi="仿宋_GB2312" w:eastAsia="仿宋_GB2312" w:cs="仿宋_GB2312"/>
                <w:b/>
                <w:bCs/>
                <w:sz w:val="28"/>
                <w:szCs w:val="28"/>
                <w:lang w:eastAsia="zh-CN"/>
              </w:rPr>
              <w:t>。</w:t>
            </w:r>
          </w:p>
        </w:tc>
        <w:tc>
          <w:tcPr>
            <w:tcW w:w="1323" w:type="dxa"/>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根据“最后报价”计算价格得分。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91" w:type="dxa"/>
            <w:vMerge w:val="restart"/>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w:t>
            </w:r>
          </w:p>
        </w:tc>
        <w:tc>
          <w:tcPr>
            <w:tcW w:w="840"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主要功能响应</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4840"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能够完全满足第三章主要功能要求，得2分，否则不得分。</w:t>
            </w:r>
          </w:p>
        </w:tc>
        <w:tc>
          <w:tcPr>
            <w:tcW w:w="1323"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技术参数响应</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37</w:t>
            </w:r>
          </w:p>
        </w:tc>
        <w:tc>
          <w:tcPr>
            <w:tcW w:w="4840"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1、所报产品技术参数清楚、明确并能逐条响应第三章中所有技术参数，得36分；</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技术参数（共18项）有负偏离的，每项扣2分。</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2、有技术参数优于第三章要求的，每项加0.5分，此项最多加1分。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来源渠道</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4840"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提供所报产品的合法来源渠道证明文件（包括但不限于产品制造商授权、销售协议、代理协议等），得2分。</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提供证明文件扫描件或复印件，并加盖响应人公章，不提供不得分。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6"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实施方案</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4840"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响应人提供本项目实施方案，包括①拟派人员情况②项目进度计划③备货、运输及应急保障措施④安装、调试实施方案。</w:t>
            </w:r>
          </w:p>
          <w:p>
            <w:pPr>
              <w:pStyle w:val="38"/>
              <w:keepNext w:val="0"/>
              <w:keepLines w:val="0"/>
              <w:pageBreakBefore w:val="0"/>
              <w:widowControl/>
              <w:kinsoku/>
              <w:wordWrap/>
              <w:overflowPunct/>
              <w:topLinePunct w:val="0"/>
              <w:bidi w:val="0"/>
              <w:spacing w:line="400" w:lineRule="exact"/>
              <w:ind w:left="0" w:leftChars="0" w:firstLine="0" w:firstLineChars="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38"/>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1、完整性：方案内容完整全面，对上述各项内容均有详细描述及说明，得1分；缺1项，得0.75分；缺2项，得0.5分；缺3项，得0.25分。</w:t>
            </w:r>
          </w:p>
          <w:p>
            <w:pPr>
              <w:pStyle w:val="38"/>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2、针对性：针对性强，得0.5分；针对性一般，得0.25分；缺乏针对性，得0分。</w:t>
            </w:r>
          </w:p>
          <w:p>
            <w:pPr>
              <w:pStyle w:val="38"/>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3、可实施性：可实施性强，得0.5分；可实施性一般，得0.25分；缺乏可实施性，得0分。</w:t>
            </w:r>
          </w:p>
          <w:p>
            <w:pPr>
              <w:pStyle w:val="38"/>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91" w:type="dxa"/>
            <w:vMerge w:val="restart"/>
            <w:vAlign w:val="center"/>
          </w:tcPr>
          <w:p>
            <w:pPr>
              <w:pStyle w:val="18"/>
              <w:keepNext w:val="0"/>
              <w:keepLines w:val="0"/>
              <w:pageBreakBefore w:val="0"/>
              <w:widowControl/>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val="en-US" w:eastAsia="zh-CN"/>
              </w:rPr>
              <w:t>商务</w:t>
            </w:r>
          </w:p>
        </w:tc>
        <w:tc>
          <w:tcPr>
            <w:tcW w:w="840" w:type="dxa"/>
            <w:vMerge w:val="restart"/>
            <w:vAlign w:val="center"/>
          </w:tcPr>
          <w:p>
            <w:pPr>
              <w:keepNext w:val="0"/>
              <w:keepLines w:val="0"/>
              <w:pageBreakBefore w:val="0"/>
              <w:widowControl/>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业绩</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4</w:t>
            </w:r>
          </w:p>
        </w:tc>
        <w:tc>
          <w:tcPr>
            <w:tcW w:w="4840" w:type="dxa"/>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年1月1日以来</w:t>
            </w:r>
            <w:r>
              <w:rPr>
                <w:rFonts w:hint="eastAsia" w:ascii="仿宋_GB2312" w:hAnsi="仿宋_GB2312" w:eastAsia="仿宋_GB2312" w:cs="仿宋_GB2312"/>
                <w:sz w:val="28"/>
                <w:szCs w:val="28"/>
                <w:lang w:val="en-US" w:eastAsia="zh-CN"/>
              </w:rPr>
              <w:t>同类</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复印件加盖响应人公章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以合同签订日期为准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，每份1分，</w:t>
            </w:r>
            <w:r>
              <w:rPr>
                <w:rFonts w:hint="eastAsia" w:ascii="仿宋_GB2312" w:hAnsi="仿宋_GB2312" w:eastAsia="仿宋_GB2312" w:cs="仿宋_GB2312"/>
                <w:sz w:val="28"/>
                <w:szCs w:val="28"/>
                <w:lang w:val="en-US" w:eastAsia="zh-CN"/>
              </w:rPr>
              <w:t>最多得4</w:t>
            </w:r>
            <w:r>
              <w:rPr>
                <w:rFonts w:hint="eastAsia" w:ascii="仿宋_GB2312" w:hAnsi="仿宋_GB2312" w:eastAsia="仿宋_GB2312" w:cs="仿宋_GB2312"/>
                <w:sz w:val="28"/>
                <w:szCs w:val="28"/>
              </w:rPr>
              <w:t>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jc w:val="center"/>
        </w:trPr>
        <w:tc>
          <w:tcPr>
            <w:tcW w:w="791" w:type="dxa"/>
            <w:vMerge w:val="continue"/>
            <w:vAlign w:val="center"/>
          </w:tcPr>
          <w:p>
            <w:pPr>
              <w:pStyle w:val="18"/>
              <w:keepNext w:val="0"/>
              <w:keepLines w:val="0"/>
              <w:pageBreakBefore w:val="0"/>
              <w:widowControl/>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rPr>
            </w:pPr>
          </w:p>
        </w:tc>
        <w:tc>
          <w:tcPr>
            <w:tcW w:w="840" w:type="dxa"/>
            <w:vMerge w:val="continue"/>
            <w:vAlign w:val="center"/>
          </w:tcPr>
          <w:p>
            <w:pPr>
              <w:keepNext w:val="0"/>
              <w:keepLines w:val="0"/>
              <w:pageBreakBefore w:val="0"/>
              <w:widowControl/>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售后服务</w:t>
            </w:r>
          </w:p>
        </w:tc>
        <w:tc>
          <w:tcPr>
            <w:tcW w:w="787" w:type="dxa"/>
            <w:vAlign w:val="center"/>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w:t>
            </w:r>
          </w:p>
        </w:tc>
        <w:tc>
          <w:tcPr>
            <w:tcW w:w="4840" w:type="dxa"/>
            <w:vAlign w:val="center"/>
          </w:tcPr>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响应人提供本项目售后服务实施方案，包括①各类故障解决措施及响应时间②日常维护方案及应急预案③售后服务网点及服务人员情况④质量保证范围</w:t>
            </w:r>
          </w:p>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1、完整性：方案内容完整全面，对上述各项内容均有详细描述及说明，得1分；缺1项，得0.75分；缺2项，得0.5分；缺3项，得0.25分。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2、针对性：针对性强，得1分；针对性一般，得0.5分；缺乏针对性，得0分。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3、可实施性：可实施性强，得1分；可实施性一般，得0.5分；缺乏可实施性，得0分。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此项不提供不得分。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91"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tc>
        <w:tc>
          <w:tcPr>
            <w:tcW w:w="8616" w:type="dxa"/>
            <w:gridSpan w:val="5"/>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评审标准</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（1）针对性强：方案能够完全切合本项目实际情况。</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（2）针对性一般：方案中多数内容能够切合本项目实际情况，但存在至少一处不适用本项目实际的内容。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（3）缺乏针对性：方案描述不符合本项目</w:t>
            </w:r>
            <w:r>
              <w:rPr>
                <w:rFonts w:hint="eastAsia" w:ascii="仿宋_GB2312" w:hAnsi="仿宋_GB2312" w:eastAsia="仿宋_GB2312" w:cs="仿宋_GB2312"/>
                <w:sz w:val="28"/>
                <w:szCs w:val="28"/>
                <w:highlight w:val="none"/>
                <w:lang w:val="en-US" w:eastAsia="zh-CN"/>
              </w:rPr>
              <w:t>实际情况</w:t>
            </w:r>
            <w:r>
              <w:rPr>
                <w:rFonts w:hint="eastAsia" w:ascii="仿宋_GB2312" w:hAnsi="仿宋_GB2312" w:eastAsia="仿宋_GB2312" w:cs="仿宋_GB2312"/>
                <w:sz w:val="28"/>
                <w:szCs w:val="28"/>
                <w:lang w:eastAsia="zh-CN"/>
              </w:rPr>
              <w:t>，存在明显套用其他项目方案的内容。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2、可实施性：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（1）可实施性强：方案</w:t>
            </w:r>
            <w:r>
              <w:rPr>
                <w:rFonts w:hint="eastAsia" w:ascii="仿宋_GB2312" w:hAnsi="仿宋_GB2312" w:eastAsia="仿宋_GB2312" w:cs="仿宋_GB2312"/>
                <w:sz w:val="28"/>
                <w:szCs w:val="28"/>
                <w:lang w:val="en-US" w:eastAsia="zh-CN"/>
              </w:rPr>
              <w:t>工作流程完善，</w:t>
            </w:r>
            <w:r>
              <w:rPr>
                <w:rFonts w:hint="eastAsia" w:ascii="仿宋_GB2312" w:hAnsi="仿宋_GB2312" w:eastAsia="仿宋_GB2312" w:cs="仿宋_GB2312"/>
                <w:sz w:val="28"/>
                <w:szCs w:val="28"/>
                <w:lang w:eastAsia="zh-CN"/>
              </w:rPr>
              <w:t>实施步骤清晰，科学合理，可操作性强。</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lang w:eastAsia="zh-CN"/>
              </w:rPr>
              <w:t>（2）可实施性一般：方案中存在至少一处表述模糊、难以执行或不够科学合理</w:t>
            </w:r>
            <w:r>
              <w:rPr>
                <w:rFonts w:hint="eastAsia" w:ascii="仿宋_GB2312" w:hAnsi="仿宋_GB2312" w:eastAsia="仿宋_GB2312" w:cs="仿宋_GB2312"/>
                <w:sz w:val="28"/>
                <w:szCs w:val="28"/>
                <w:highlight w:val="none"/>
                <w:lang w:eastAsia="zh-CN"/>
              </w:rPr>
              <w:t>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eastAsia="zh-CN"/>
              </w:rPr>
              <w:t>（3）缺乏可实施性：方案内容空洞，工作流程不完善，实施标准、实施质量不利于采购需求的实现，存在逻辑漏洞、</w:t>
            </w:r>
            <w:r>
              <w:rPr>
                <w:rFonts w:hint="eastAsia" w:ascii="仿宋_GB2312" w:hAnsi="仿宋_GB2312" w:eastAsia="仿宋_GB2312" w:cs="仿宋_GB2312"/>
                <w:sz w:val="28"/>
                <w:szCs w:val="28"/>
                <w:highlight w:val="none"/>
                <w:lang w:val="en-US" w:eastAsia="zh-CN"/>
              </w:rPr>
              <w:t>常识错误</w:t>
            </w:r>
            <w:r>
              <w:rPr>
                <w:rFonts w:hint="eastAsia" w:ascii="仿宋_GB2312" w:hAnsi="仿宋_GB2312" w:eastAsia="仿宋_GB2312" w:cs="仿宋_GB2312"/>
                <w:sz w:val="28"/>
                <w:szCs w:val="28"/>
                <w:highlight w:val="none"/>
                <w:lang w:eastAsia="zh-CN"/>
              </w:rPr>
              <w:t>或合理性差</w:t>
            </w:r>
            <w:r>
              <w:rPr>
                <w:rFonts w:hint="eastAsia" w:ascii="仿宋_GB2312" w:hAnsi="仿宋_GB2312" w:eastAsia="仿宋_GB2312" w:cs="仿宋_GB2312"/>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p>
        </w:tc>
        <w:tc>
          <w:tcPr>
            <w:tcW w:w="8616" w:type="dxa"/>
            <w:gridSpan w:val="5"/>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磋商小组成员必须按照本评审要素据实打分，各类数字计算均按“四舍五入”保留小数点后两位</w:t>
            </w:r>
            <w:r>
              <w:rPr>
                <w:rFonts w:hint="eastAsia" w:ascii="仿宋_GB2312" w:hAnsi="仿宋_GB2312" w:eastAsia="仿宋_GB2312" w:cs="仿宋_GB2312"/>
                <w:sz w:val="28"/>
                <w:szCs w:val="28"/>
                <w:lang w:eastAsia="zh-CN"/>
              </w:rPr>
              <w:t>。</w:t>
            </w:r>
          </w:p>
        </w:tc>
      </w:tr>
    </w:tbl>
    <w:p>
      <w:pPr>
        <w:pStyle w:val="20"/>
        <w:ind w:firstLine="0" w:firstLineChars="0"/>
        <w:rPr>
          <w:color w:val="auto"/>
          <w:sz w:val="28"/>
          <w:szCs w:val="28"/>
        </w:rPr>
      </w:pPr>
    </w:p>
    <w:p>
      <w:pPr>
        <w:spacing w:after="190" w:afterLines="50" w:line="500" w:lineRule="exact"/>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rPr>
        <w:t>评审要素及分值一览表</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第二标段</w:t>
      </w:r>
      <w:r>
        <w:rPr>
          <w:rFonts w:hint="eastAsia" w:ascii="仿宋_GB2312" w:hAnsi="仿宋_GB2312" w:eastAsia="仿宋_GB2312" w:cs="仿宋_GB2312"/>
          <w:b/>
          <w:bCs/>
          <w:color w:val="auto"/>
          <w:sz w:val="28"/>
          <w:szCs w:val="28"/>
          <w:lang w:eastAsia="zh-CN"/>
        </w:rPr>
        <w:t>）</w:t>
      </w:r>
    </w:p>
    <w:tbl>
      <w:tblPr>
        <w:tblStyle w:val="22"/>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40"/>
        <w:gridCol w:w="826"/>
        <w:gridCol w:w="787"/>
        <w:gridCol w:w="484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31" w:type="dxa"/>
            <w:gridSpan w:val="2"/>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项别</w:t>
            </w:r>
          </w:p>
        </w:tc>
        <w:tc>
          <w:tcPr>
            <w:tcW w:w="1613" w:type="dxa"/>
            <w:gridSpan w:val="2"/>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w:t>
            </w:r>
          </w:p>
        </w:tc>
        <w:tc>
          <w:tcPr>
            <w:tcW w:w="4840"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评审要素</w:t>
            </w:r>
          </w:p>
        </w:tc>
        <w:tc>
          <w:tcPr>
            <w:tcW w:w="1323"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91"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840" w:type="dxa"/>
            <w:vAlign w:val="center"/>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总分值100</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分项最高分值</w:t>
            </w:r>
          </w:p>
        </w:tc>
        <w:tc>
          <w:tcPr>
            <w:tcW w:w="4840"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91" w:type="dxa"/>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840"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w:t>
            </w:r>
          </w:p>
        </w:tc>
        <w:tc>
          <w:tcPr>
            <w:tcW w:w="826" w:type="dxa"/>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w:t>
            </w:r>
          </w:p>
        </w:tc>
        <w:tc>
          <w:tcPr>
            <w:tcW w:w="4840" w:type="dxa"/>
          </w:tcPr>
          <w:p>
            <w:pPr>
              <w:keepNext w:val="0"/>
              <w:keepLines w:val="0"/>
              <w:pageBreakBefore w:val="0"/>
              <w:widowControl/>
              <w:tabs>
                <w:tab w:val="left" w:pos="547"/>
              </w:tabs>
              <w:kinsoku/>
              <w:wordWrap/>
              <w:overflowPunct/>
              <w:topLinePunct w:val="0"/>
              <w:autoSpaceDE w:val="0"/>
              <w:autoSpaceDN w:val="0"/>
              <w:bidi w:val="0"/>
              <w:adjustRightIn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有效供应商最低报价为基准价得</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rPr>
              <w:t>分，其他各供应商的报价得分按下列公式计算：</w:t>
            </w:r>
          </w:p>
          <w:p>
            <w:pPr>
              <w:keepNext w:val="0"/>
              <w:keepLines w:val="0"/>
              <w:pageBreakBefore w:val="0"/>
              <w:widowControl/>
              <w:tabs>
                <w:tab w:val="left" w:pos="547"/>
              </w:tabs>
              <w:kinsoku/>
              <w:wordWrap/>
              <w:overflowPunct/>
              <w:topLinePunct w:val="0"/>
              <w:autoSpaceDE w:val="0"/>
              <w:autoSpaceDN w:val="0"/>
              <w:bidi w:val="0"/>
              <w:adjustRightInd w:val="0"/>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（基准价/磋商报价）×</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0</w:t>
            </w:r>
            <w:r>
              <w:rPr>
                <w:rFonts w:hint="eastAsia" w:ascii="仿宋_GB2312" w:hAnsi="仿宋_GB2312" w:eastAsia="仿宋_GB2312" w:cs="仿宋_GB2312"/>
                <w:b/>
                <w:bCs/>
                <w:sz w:val="28"/>
                <w:szCs w:val="28"/>
                <w:lang w:eastAsia="zh-CN"/>
              </w:rPr>
              <w:t>。</w:t>
            </w:r>
          </w:p>
        </w:tc>
        <w:tc>
          <w:tcPr>
            <w:tcW w:w="1323" w:type="dxa"/>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根据“最后报价”计算价格得分。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91" w:type="dxa"/>
            <w:vMerge w:val="restart"/>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w:t>
            </w:r>
          </w:p>
        </w:tc>
        <w:tc>
          <w:tcPr>
            <w:tcW w:w="840"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主要功能响应</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4840"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能够完全满足第三章主要功能要求，得4分，否则不得分。</w:t>
            </w:r>
          </w:p>
        </w:tc>
        <w:tc>
          <w:tcPr>
            <w:tcW w:w="1323"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技术参数响应</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w:t>
            </w:r>
          </w:p>
        </w:tc>
        <w:tc>
          <w:tcPr>
            <w:tcW w:w="4840"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1、所报产品技术参数清楚、明确并能逐条响应第三章中所有技术参数，得28分；</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技术参数（共4项）有负偏离的，每项扣7分。</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2、有技术参数优于第三章要求的，每项加3分，此项最多加6分。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来源渠道</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4840"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提供所报产品的合法来源渠道证明文件（包括但不限于产品制造商授权、销售协议、代理协议等），得2分。</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提供证明文件扫描件或复印件，并加盖响应人公章，不提供不得分。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6"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实施方案</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4840"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响应人提供本项目实施方案，包括①拟派人员情况②项目进度计划③备货、运输及应急保障措施④安装、调试实施方案。</w:t>
            </w:r>
          </w:p>
          <w:p>
            <w:pPr>
              <w:pStyle w:val="38"/>
              <w:keepNext w:val="0"/>
              <w:keepLines w:val="0"/>
              <w:pageBreakBefore w:val="0"/>
              <w:widowControl/>
              <w:kinsoku/>
              <w:wordWrap/>
              <w:overflowPunct/>
              <w:topLinePunct w:val="0"/>
              <w:bidi w:val="0"/>
              <w:spacing w:line="400" w:lineRule="exact"/>
              <w:ind w:left="0" w:leftChars="0" w:firstLine="0" w:firstLineChars="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38"/>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1、完整性：方案内容完整全面，对上述各项内容均有详细描述及说明，得1分；缺1项，得0.75分；缺2项，得0.5分；缺3项，得0.25分。</w:t>
            </w:r>
          </w:p>
          <w:p>
            <w:pPr>
              <w:pStyle w:val="38"/>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2、针对性：针对性强，得0.5分；针对性一般，得0.25分；缺乏针对性，得0分。</w:t>
            </w:r>
          </w:p>
          <w:p>
            <w:pPr>
              <w:pStyle w:val="38"/>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3、可实施性：可实施性强，得0.5分；可实施性一般，得0.25分；缺乏可实施性，得0分。</w:t>
            </w:r>
          </w:p>
          <w:p>
            <w:pPr>
              <w:pStyle w:val="38"/>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91" w:type="dxa"/>
            <w:vMerge w:val="restart"/>
            <w:vAlign w:val="center"/>
          </w:tcPr>
          <w:p>
            <w:pPr>
              <w:pStyle w:val="18"/>
              <w:keepNext w:val="0"/>
              <w:keepLines w:val="0"/>
              <w:pageBreakBefore w:val="0"/>
              <w:widowControl/>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val="en-US" w:eastAsia="zh-CN"/>
              </w:rPr>
              <w:t>商务</w:t>
            </w:r>
          </w:p>
        </w:tc>
        <w:tc>
          <w:tcPr>
            <w:tcW w:w="840" w:type="dxa"/>
            <w:vMerge w:val="restart"/>
            <w:vAlign w:val="center"/>
          </w:tcPr>
          <w:p>
            <w:pPr>
              <w:keepNext w:val="0"/>
              <w:keepLines w:val="0"/>
              <w:pageBreakBefore w:val="0"/>
              <w:widowControl/>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业绩</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4</w:t>
            </w:r>
          </w:p>
        </w:tc>
        <w:tc>
          <w:tcPr>
            <w:tcW w:w="4840" w:type="dxa"/>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年1月1日以来</w:t>
            </w:r>
            <w:r>
              <w:rPr>
                <w:rFonts w:hint="eastAsia" w:ascii="仿宋_GB2312" w:hAnsi="仿宋_GB2312" w:eastAsia="仿宋_GB2312" w:cs="仿宋_GB2312"/>
                <w:sz w:val="28"/>
                <w:szCs w:val="28"/>
                <w:lang w:val="en-US" w:eastAsia="zh-CN"/>
              </w:rPr>
              <w:t>同类</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复印件加盖响应人公章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以合同签订日期为准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，每份1分，</w:t>
            </w:r>
            <w:r>
              <w:rPr>
                <w:rFonts w:hint="eastAsia" w:ascii="仿宋_GB2312" w:hAnsi="仿宋_GB2312" w:eastAsia="仿宋_GB2312" w:cs="仿宋_GB2312"/>
                <w:sz w:val="28"/>
                <w:szCs w:val="28"/>
                <w:lang w:val="en-US" w:eastAsia="zh-CN"/>
              </w:rPr>
              <w:t>最多得4</w:t>
            </w:r>
            <w:r>
              <w:rPr>
                <w:rFonts w:hint="eastAsia" w:ascii="仿宋_GB2312" w:hAnsi="仿宋_GB2312" w:eastAsia="仿宋_GB2312" w:cs="仿宋_GB2312"/>
                <w:sz w:val="28"/>
                <w:szCs w:val="28"/>
              </w:rPr>
              <w:t>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91" w:type="dxa"/>
            <w:vMerge w:val="continue"/>
            <w:vAlign w:val="center"/>
          </w:tcPr>
          <w:p>
            <w:pPr>
              <w:pStyle w:val="18"/>
              <w:keepNext w:val="0"/>
              <w:keepLines w:val="0"/>
              <w:pageBreakBefore w:val="0"/>
              <w:widowControl/>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rPr>
            </w:pPr>
          </w:p>
        </w:tc>
        <w:tc>
          <w:tcPr>
            <w:tcW w:w="840" w:type="dxa"/>
            <w:vMerge w:val="continue"/>
            <w:vAlign w:val="center"/>
          </w:tcPr>
          <w:p>
            <w:pPr>
              <w:keepNext w:val="0"/>
              <w:keepLines w:val="0"/>
              <w:pageBreakBefore w:val="0"/>
              <w:widowControl/>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售后服务</w:t>
            </w:r>
          </w:p>
        </w:tc>
        <w:tc>
          <w:tcPr>
            <w:tcW w:w="787" w:type="dxa"/>
            <w:vAlign w:val="center"/>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4</w:t>
            </w:r>
          </w:p>
        </w:tc>
        <w:tc>
          <w:tcPr>
            <w:tcW w:w="4840" w:type="dxa"/>
            <w:vAlign w:val="center"/>
          </w:tcPr>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响应人提供本项目售后服务实施方案，包括①各类故障解决措施及响应时间②日常维护方案及应急预案③售后服务网点及服务人员情况④质量保证范围</w:t>
            </w:r>
          </w:p>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1、完整性：方案内容完整全面，对上述各项内容均有详细描述及说明，得2分；缺1项，得1.5分；缺2项，得1分；缺3项，得0.5分。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2、针对性：针对性强，得1分；针对性一般，得0.5分；缺乏针对性，得0分。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3、可实施性：可实施性强，得1分；可实施性一般，得0.5分；缺乏可实施性，得0分。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此项不提供不得分。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91"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tc>
        <w:tc>
          <w:tcPr>
            <w:tcW w:w="8616" w:type="dxa"/>
            <w:gridSpan w:val="5"/>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评审标准</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（1）针对性强：方案能够完全切合本项目实际情况。</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（2）针对性一般：方案中多数内容能够切合本项目实际情况，但存在至少一处不适用本项目实际的内容。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（3）缺乏针对性：方案描述不符合本项目</w:t>
            </w:r>
            <w:r>
              <w:rPr>
                <w:rFonts w:hint="eastAsia" w:ascii="仿宋_GB2312" w:hAnsi="仿宋_GB2312" w:eastAsia="仿宋_GB2312" w:cs="仿宋_GB2312"/>
                <w:sz w:val="28"/>
                <w:szCs w:val="28"/>
                <w:highlight w:val="none"/>
                <w:lang w:val="en-US" w:eastAsia="zh-CN"/>
              </w:rPr>
              <w:t>实际情况</w:t>
            </w:r>
            <w:r>
              <w:rPr>
                <w:rFonts w:hint="eastAsia" w:ascii="仿宋_GB2312" w:hAnsi="仿宋_GB2312" w:eastAsia="仿宋_GB2312" w:cs="仿宋_GB2312"/>
                <w:sz w:val="28"/>
                <w:szCs w:val="28"/>
                <w:lang w:eastAsia="zh-CN"/>
              </w:rPr>
              <w:t>，存在明显套用其他项目方案的内容。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2、可实施性：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（1）可实施性强：方案</w:t>
            </w:r>
            <w:r>
              <w:rPr>
                <w:rFonts w:hint="eastAsia" w:ascii="仿宋_GB2312" w:hAnsi="仿宋_GB2312" w:eastAsia="仿宋_GB2312" w:cs="仿宋_GB2312"/>
                <w:sz w:val="28"/>
                <w:szCs w:val="28"/>
                <w:lang w:val="en-US" w:eastAsia="zh-CN"/>
              </w:rPr>
              <w:t>工作流程完善，</w:t>
            </w:r>
            <w:r>
              <w:rPr>
                <w:rFonts w:hint="eastAsia" w:ascii="仿宋_GB2312" w:hAnsi="仿宋_GB2312" w:eastAsia="仿宋_GB2312" w:cs="仿宋_GB2312"/>
                <w:sz w:val="28"/>
                <w:szCs w:val="28"/>
                <w:lang w:eastAsia="zh-CN"/>
              </w:rPr>
              <w:t>实施步骤清晰，科学合理，可操作性强。</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lang w:eastAsia="zh-CN"/>
              </w:rPr>
              <w:t>（2）可实施性一般：方案中存在至少一处表述模糊、难以执行或不够科学合理</w:t>
            </w:r>
            <w:r>
              <w:rPr>
                <w:rFonts w:hint="eastAsia" w:ascii="仿宋_GB2312" w:hAnsi="仿宋_GB2312" w:eastAsia="仿宋_GB2312" w:cs="仿宋_GB2312"/>
                <w:sz w:val="28"/>
                <w:szCs w:val="28"/>
                <w:highlight w:val="none"/>
                <w:lang w:eastAsia="zh-CN"/>
              </w:rPr>
              <w:t>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eastAsia="zh-CN"/>
              </w:rPr>
              <w:t>（3）缺乏可实施性：方案内容空洞，工作流程不完善，实施标准、实施质量不利于采购需求的实现，存在逻辑漏洞、</w:t>
            </w:r>
            <w:r>
              <w:rPr>
                <w:rFonts w:hint="eastAsia" w:ascii="仿宋_GB2312" w:hAnsi="仿宋_GB2312" w:eastAsia="仿宋_GB2312" w:cs="仿宋_GB2312"/>
                <w:sz w:val="28"/>
                <w:szCs w:val="28"/>
                <w:highlight w:val="none"/>
                <w:lang w:val="en-US" w:eastAsia="zh-CN"/>
              </w:rPr>
              <w:t>常识错误</w:t>
            </w:r>
            <w:r>
              <w:rPr>
                <w:rFonts w:hint="eastAsia" w:ascii="仿宋_GB2312" w:hAnsi="仿宋_GB2312" w:eastAsia="仿宋_GB2312" w:cs="仿宋_GB2312"/>
                <w:sz w:val="28"/>
                <w:szCs w:val="28"/>
                <w:highlight w:val="none"/>
                <w:lang w:eastAsia="zh-CN"/>
              </w:rPr>
              <w:t>或合理性差</w:t>
            </w:r>
            <w:r>
              <w:rPr>
                <w:rFonts w:hint="eastAsia" w:ascii="仿宋_GB2312" w:hAnsi="仿宋_GB2312" w:eastAsia="仿宋_GB2312" w:cs="仿宋_GB2312"/>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p>
        </w:tc>
        <w:tc>
          <w:tcPr>
            <w:tcW w:w="8616" w:type="dxa"/>
            <w:gridSpan w:val="5"/>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磋商小组成员必须按照本评审要素据实打分，各类数字计算均按“四舍五入”保留小数点后两位</w:t>
            </w:r>
            <w:r>
              <w:rPr>
                <w:rFonts w:hint="eastAsia" w:ascii="仿宋_GB2312" w:hAnsi="仿宋_GB2312" w:eastAsia="仿宋_GB2312" w:cs="仿宋_GB2312"/>
                <w:sz w:val="28"/>
                <w:szCs w:val="28"/>
                <w:lang w:eastAsia="zh-CN"/>
              </w:rPr>
              <w:t>。</w:t>
            </w:r>
          </w:p>
        </w:tc>
      </w:tr>
    </w:tbl>
    <w:p>
      <w:pPr>
        <w:pStyle w:val="20"/>
        <w:ind w:firstLine="0" w:firstLineChars="0"/>
        <w:rPr>
          <w:color w:val="auto"/>
          <w:sz w:val="28"/>
          <w:szCs w:val="28"/>
        </w:rPr>
      </w:pPr>
    </w:p>
    <w:p>
      <w:pPr>
        <w:spacing w:after="190" w:afterLines="50" w:line="500" w:lineRule="exact"/>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rPr>
        <w:t>评审要素及分值一览表</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第三标段</w:t>
      </w:r>
      <w:r>
        <w:rPr>
          <w:rFonts w:hint="eastAsia" w:ascii="仿宋_GB2312" w:hAnsi="仿宋_GB2312" w:eastAsia="仿宋_GB2312" w:cs="仿宋_GB2312"/>
          <w:b/>
          <w:bCs/>
          <w:color w:val="auto"/>
          <w:sz w:val="28"/>
          <w:szCs w:val="28"/>
          <w:lang w:eastAsia="zh-CN"/>
        </w:rPr>
        <w:t>）</w:t>
      </w:r>
    </w:p>
    <w:tbl>
      <w:tblPr>
        <w:tblStyle w:val="22"/>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40"/>
        <w:gridCol w:w="826"/>
        <w:gridCol w:w="787"/>
        <w:gridCol w:w="463"/>
        <w:gridCol w:w="1171"/>
        <w:gridCol w:w="3206"/>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31" w:type="dxa"/>
            <w:gridSpan w:val="2"/>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项别</w:t>
            </w:r>
          </w:p>
        </w:tc>
        <w:tc>
          <w:tcPr>
            <w:tcW w:w="1613" w:type="dxa"/>
            <w:gridSpan w:val="2"/>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w:t>
            </w:r>
          </w:p>
        </w:tc>
        <w:tc>
          <w:tcPr>
            <w:tcW w:w="4840" w:type="dxa"/>
            <w:gridSpan w:val="3"/>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评审要素</w:t>
            </w:r>
          </w:p>
        </w:tc>
        <w:tc>
          <w:tcPr>
            <w:tcW w:w="1323"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91"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840" w:type="dxa"/>
            <w:vAlign w:val="center"/>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总分值100</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分项最高分值</w:t>
            </w:r>
          </w:p>
        </w:tc>
        <w:tc>
          <w:tcPr>
            <w:tcW w:w="4840" w:type="dxa"/>
            <w:gridSpan w:val="3"/>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91" w:type="dxa"/>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840"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50</w:t>
            </w:r>
          </w:p>
        </w:tc>
        <w:tc>
          <w:tcPr>
            <w:tcW w:w="826" w:type="dxa"/>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w:t>
            </w:r>
          </w:p>
        </w:tc>
        <w:tc>
          <w:tcPr>
            <w:tcW w:w="4840" w:type="dxa"/>
            <w:gridSpan w:val="3"/>
          </w:tcPr>
          <w:p>
            <w:pPr>
              <w:keepNext w:val="0"/>
              <w:keepLines w:val="0"/>
              <w:pageBreakBefore w:val="0"/>
              <w:widowControl/>
              <w:tabs>
                <w:tab w:val="left" w:pos="547"/>
              </w:tabs>
              <w:kinsoku/>
              <w:wordWrap/>
              <w:overflowPunct/>
              <w:topLinePunct w:val="0"/>
              <w:autoSpaceDE w:val="0"/>
              <w:autoSpaceDN w:val="0"/>
              <w:bidi w:val="0"/>
              <w:adjustRightIn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有效供应商最低报价为基准价得</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rPr>
              <w:t>分，其他各供应商的报价得分按下列公式计算：</w:t>
            </w:r>
          </w:p>
          <w:p>
            <w:pPr>
              <w:keepNext w:val="0"/>
              <w:keepLines w:val="0"/>
              <w:pageBreakBefore w:val="0"/>
              <w:widowControl/>
              <w:tabs>
                <w:tab w:val="left" w:pos="547"/>
              </w:tabs>
              <w:kinsoku/>
              <w:wordWrap/>
              <w:overflowPunct/>
              <w:topLinePunct w:val="0"/>
              <w:autoSpaceDE w:val="0"/>
              <w:autoSpaceDN w:val="0"/>
              <w:bidi w:val="0"/>
              <w:adjustRightInd w:val="0"/>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（基准价/磋商报价）×</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0</w:t>
            </w:r>
            <w:r>
              <w:rPr>
                <w:rFonts w:hint="eastAsia" w:ascii="仿宋_GB2312" w:hAnsi="仿宋_GB2312" w:eastAsia="仿宋_GB2312" w:cs="仿宋_GB2312"/>
                <w:b/>
                <w:bCs/>
                <w:sz w:val="28"/>
                <w:szCs w:val="28"/>
                <w:lang w:eastAsia="zh-CN"/>
              </w:rPr>
              <w:t>。</w:t>
            </w:r>
          </w:p>
        </w:tc>
        <w:tc>
          <w:tcPr>
            <w:tcW w:w="1323" w:type="dxa"/>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根据“最后报价”计算价格得分。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1" w:type="dxa"/>
            <w:vMerge w:val="restart"/>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w:t>
            </w:r>
          </w:p>
        </w:tc>
        <w:tc>
          <w:tcPr>
            <w:tcW w:w="840"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w:t>
            </w:r>
          </w:p>
        </w:tc>
        <w:tc>
          <w:tcPr>
            <w:tcW w:w="826"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主要功能响应</w:t>
            </w:r>
          </w:p>
        </w:tc>
        <w:tc>
          <w:tcPr>
            <w:tcW w:w="787"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634" w:type="dxa"/>
            <w:gridSpan w:val="2"/>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文检勘查箱</w:t>
            </w:r>
          </w:p>
        </w:tc>
        <w:tc>
          <w:tcPr>
            <w:tcW w:w="3206"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能够完全满足第三章主要功能要求，得2分，否则不得分。</w:t>
            </w:r>
          </w:p>
        </w:tc>
        <w:tc>
          <w:tcPr>
            <w:tcW w:w="1323"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1" w:type="dxa"/>
            <w:vMerge w:val="continue"/>
            <w:vAlign w:val="center"/>
          </w:tcPr>
          <w:p>
            <w:pPr>
              <w:pStyle w:val="9"/>
              <w:keepNext w:val="0"/>
              <w:keepLines w:val="0"/>
              <w:pageBreakBefore w:val="0"/>
              <w:widowControl/>
              <w:kinsoku/>
              <w:wordWrap/>
              <w:overflowPunct/>
              <w:topLinePunct w:val="0"/>
              <w:autoSpaceDE/>
              <w:autoSpaceDN/>
              <w:bidi w:val="0"/>
              <w:adjustRightInd/>
              <w:snapToGrid/>
              <w:spacing w:after="0" w:line="400" w:lineRule="exact"/>
              <w:textAlignment w:val="auto"/>
            </w:pPr>
          </w:p>
        </w:tc>
        <w:tc>
          <w:tcPr>
            <w:tcW w:w="840" w:type="dxa"/>
            <w:vMerge w:val="continue"/>
            <w:vAlign w:val="center"/>
          </w:tcPr>
          <w:p>
            <w:pPr>
              <w:pStyle w:val="9"/>
              <w:keepNext w:val="0"/>
              <w:keepLines w:val="0"/>
              <w:pageBreakBefore w:val="0"/>
              <w:widowControl/>
              <w:kinsoku/>
              <w:wordWrap/>
              <w:overflowPunct/>
              <w:topLinePunct w:val="0"/>
              <w:autoSpaceDE/>
              <w:autoSpaceDN/>
              <w:bidi w:val="0"/>
              <w:adjustRightInd/>
              <w:snapToGrid/>
              <w:spacing w:after="0" w:line="400" w:lineRule="exact"/>
              <w:textAlignment w:val="auto"/>
            </w:pPr>
          </w:p>
        </w:tc>
        <w:tc>
          <w:tcPr>
            <w:tcW w:w="826" w:type="dxa"/>
            <w:vMerge w:val="continue"/>
            <w:vAlign w:val="center"/>
          </w:tcPr>
          <w:p>
            <w:pPr>
              <w:pStyle w:val="9"/>
              <w:keepNext w:val="0"/>
              <w:keepLines w:val="0"/>
              <w:pageBreakBefore w:val="0"/>
              <w:widowControl/>
              <w:kinsoku/>
              <w:wordWrap/>
              <w:overflowPunct/>
              <w:topLinePunct w:val="0"/>
              <w:autoSpaceDE/>
              <w:autoSpaceDN/>
              <w:bidi w:val="0"/>
              <w:adjustRightInd/>
              <w:snapToGrid/>
              <w:spacing w:after="0" w:line="400" w:lineRule="exact"/>
              <w:textAlignment w:val="auto"/>
            </w:pPr>
          </w:p>
        </w:tc>
        <w:tc>
          <w:tcPr>
            <w:tcW w:w="787" w:type="dxa"/>
            <w:vMerge w:val="continue"/>
            <w:vAlign w:val="center"/>
          </w:tcPr>
          <w:p>
            <w:pPr>
              <w:pStyle w:val="9"/>
              <w:keepNext w:val="0"/>
              <w:keepLines w:val="0"/>
              <w:pageBreakBefore w:val="0"/>
              <w:widowControl/>
              <w:kinsoku/>
              <w:wordWrap/>
              <w:overflowPunct/>
              <w:topLinePunct w:val="0"/>
              <w:autoSpaceDE/>
              <w:autoSpaceDN/>
              <w:bidi w:val="0"/>
              <w:adjustRightInd/>
              <w:snapToGrid/>
              <w:spacing w:after="0" w:line="400" w:lineRule="exact"/>
              <w:textAlignment w:val="auto"/>
            </w:pPr>
          </w:p>
        </w:tc>
        <w:tc>
          <w:tcPr>
            <w:tcW w:w="1634" w:type="dxa"/>
            <w:gridSpan w:val="2"/>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pPr>
            <w:r>
              <w:rPr>
                <w:rFonts w:hint="eastAsia" w:ascii="仿宋_GB2312" w:hAnsi="仿宋_GB2312" w:eastAsia="仿宋_GB2312" w:cs="仿宋_GB2312"/>
                <w:sz w:val="28"/>
                <w:szCs w:val="28"/>
                <w:lang w:val="en-US" w:eastAsia="zh-CN"/>
              </w:rPr>
              <w:t>超</w:t>
            </w:r>
            <w:r>
              <w:rPr>
                <w:rFonts w:hint="default" w:ascii="仿宋_GB2312" w:hAnsi="仿宋_GB2312" w:eastAsia="仿宋_GB2312" w:cs="仿宋_GB2312"/>
                <w:sz w:val="28"/>
                <w:szCs w:val="28"/>
                <w:lang w:val="en-US" w:eastAsia="zh-CN"/>
              </w:rPr>
              <w:t>级文件检验工作站</w:t>
            </w:r>
          </w:p>
        </w:tc>
        <w:tc>
          <w:tcPr>
            <w:tcW w:w="3206"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pPr>
            <w:r>
              <w:rPr>
                <w:rFonts w:hint="eastAsia" w:ascii="仿宋_GB2312" w:hAnsi="仿宋_GB2312" w:eastAsia="仿宋_GB2312" w:cs="仿宋_GB2312"/>
                <w:sz w:val="28"/>
                <w:szCs w:val="28"/>
                <w:lang w:val="en-US" w:eastAsia="zh-CN"/>
              </w:rPr>
              <w:t>能够完全满足第三章主要功能要求，得2分，否则不得分。</w:t>
            </w:r>
          </w:p>
        </w:tc>
        <w:tc>
          <w:tcPr>
            <w:tcW w:w="1323" w:type="dxa"/>
            <w:vMerge w:val="continue"/>
            <w:vAlign w:val="center"/>
          </w:tcPr>
          <w:p>
            <w:pPr>
              <w:pStyle w:val="9"/>
              <w:keepNext w:val="0"/>
              <w:keepLines w:val="0"/>
              <w:pageBreakBefore w:val="0"/>
              <w:widowControl/>
              <w:kinsoku/>
              <w:wordWrap/>
              <w:overflowPunct/>
              <w:topLinePunct w:val="0"/>
              <w:autoSpaceDE/>
              <w:autoSpaceDN/>
              <w:bidi w:val="0"/>
              <w:adjustRightInd/>
              <w:snapToGrid/>
              <w:spacing w:after="0" w:line="40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技术参数响应</w:t>
            </w:r>
          </w:p>
        </w:tc>
        <w:tc>
          <w:tcPr>
            <w:tcW w:w="787"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w:t>
            </w:r>
          </w:p>
        </w:tc>
        <w:tc>
          <w:tcPr>
            <w:tcW w:w="463"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文检勘查箱</w:t>
            </w:r>
          </w:p>
        </w:tc>
        <w:tc>
          <w:tcPr>
            <w:tcW w:w="4377" w:type="dxa"/>
            <w:gridSpan w:val="2"/>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1、所报产品技术参数清楚、明确并能逐条响应第三章中所有技术要求，得9.4分。其中：</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（1）▲项（共2项）满分1.8分，有负偏离每项扣0.9分。</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（2）无标注项（共19项）满分7.6分，有负偏离每项扣0.4分。</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ind w:firstLine="566" w:firstLineChars="200"/>
              <w:textAlignment w:val="auto"/>
              <w:rPr>
                <w:rFonts w:hint="default"/>
                <w:lang w:val="en-US" w:eastAsia="zh-CN"/>
              </w:rPr>
            </w:pPr>
            <w:r>
              <w:rPr>
                <w:rFonts w:hint="eastAsia" w:ascii="仿宋_GB2312" w:hAnsi="仿宋_GB2312" w:eastAsia="仿宋_GB2312" w:cs="仿宋_GB2312"/>
                <w:sz w:val="28"/>
                <w:szCs w:val="28"/>
                <w:lang w:val="en-US" w:eastAsia="zh-CN"/>
              </w:rPr>
              <w:t>2、技术参数优于第三章要求的，▲项每条加0.4分，无标注项每条加0.2分，此项最多加1分。</w:t>
            </w:r>
          </w:p>
        </w:tc>
        <w:tc>
          <w:tcPr>
            <w:tcW w:w="1323"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第三章中注明需提供佐证图片项，以图片所示内容为准进行赋分，未提供图片按照参数负偏离处理。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1" w:type="dxa"/>
            <w:vMerge w:val="continue"/>
            <w:vAlign w:val="center"/>
          </w:tcPr>
          <w:p>
            <w:pPr>
              <w:pStyle w:val="9"/>
              <w:keepNext w:val="0"/>
              <w:keepLines w:val="0"/>
              <w:pageBreakBefore w:val="0"/>
              <w:widowControl/>
              <w:kinsoku/>
              <w:wordWrap/>
              <w:overflowPunct/>
              <w:topLinePunct w:val="0"/>
              <w:autoSpaceDE/>
              <w:autoSpaceDN/>
              <w:bidi w:val="0"/>
              <w:adjustRightInd/>
              <w:snapToGrid/>
              <w:spacing w:after="0" w:line="400" w:lineRule="exact"/>
              <w:ind w:firstLine="566" w:firstLineChars="200"/>
              <w:textAlignment w:val="auto"/>
            </w:pPr>
          </w:p>
        </w:tc>
        <w:tc>
          <w:tcPr>
            <w:tcW w:w="840" w:type="dxa"/>
            <w:vMerge w:val="continue"/>
            <w:vAlign w:val="center"/>
          </w:tcPr>
          <w:p>
            <w:pPr>
              <w:pStyle w:val="9"/>
              <w:keepNext w:val="0"/>
              <w:keepLines w:val="0"/>
              <w:pageBreakBefore w:val="0"/>
              <w:widowControl/>
              <w:kinsoku/>
              <w:wordWrap/>
              <w:overflowPunct/>
              <w:topLinePunct w:val="0"/>
              <w:autoSpaceDE/>
              <w:autoSpaceDN/>
              <w:bidi w:val="0"/>
              <w:adjustRightInd/>
              <w:snapToGrid/>
              <w:spacing w:after="0" w:line="400" w:lineRule="exact"/>
              <w:ind w:firstLine="566" w:firstLineChars="200"/>
              <w:textAlignment w:val="auto"/>
            </w:pPr>
          </w:p>
        </w:tc>
        <w:tc>
          <w:tcPr>
            <w:tcW w:w="826" w:type="dxa"/>
            <w:vMerge w:val="continue"/>
            <w:vAlign w:val="center"/>
          </w:tcPr>
          <w:p>
            <w:pPr>
              <w:pStyle w:val="9"/>
              <w:keepNext w:val="0"/>
              <w:keepLines w:val="0"/>
              <w:pageBreakBefore w:val="0"/>
              <w:widowControl/>
              <w:kinsoku/>
              <w:wordWrap/>
              <w:overflowPunct/>
              <w:topLinePunct w:val="0"/>
              <w:autoSpaceDE/>
              <w:autoSpaceDN/>
              <w:bidi w:val="0"/>
              <w:adjustRightInd/>
              <w:snapToGrid/>
              <w:spacing w:after="0" w:line="400" w:lineRule="exact"/>
              <w:ind w:firstLine="566" w:firstLineChars="200"/>
              <w:textAlignment w:val="auto"/>
            </w:pPr>
          </w:p>
        </w:tc>
        <w:tc>
          <w:tcPr>
            <w:tcW w:w="787" w:type="dxa"/>
            <w:vMerge w:val="continue"/>
            <w:vAlign w:val="center"/>
          </w:tcPr>
          <w:p>
            <w:pPr>
              <w:pStyle w:val="9"/>
              <w:keepNext w:val="0"/>
              <w:keepLines w:val="0"/>
              <w:pageBreakBefore w:val="0"/>
              <w:widowControl/>
              <w:kinsoku/>
              <w:wordWrap/>
              <w:overflowPunct/>
              <w:topLinePunct w:val="0"/>
              <w:autoSpaceDE/>
              <w:autoSpaceDN/>
              <w:bidi w:val="0"/>
              <w:adjustRightInd/>
              <w:snapToGrid/>
              <w:spacing w:after="0" w:line="400" w:lineRule="exact"/>
              <w:ind w:firstLine="566" w:firstLineChars="200"/>
              <w:textAlignment w:val="auto"/>
            </w:pPr>
          </w:p>
        </w:tc>
        <w:tc>
          <w:tcPr>
            <w:tcW w:w="463"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超</w:t>
            </w:r>
            <w:r>
              <w:rPr>
                <w:rFonts w:hint="default" w:ascii="仿宋_GB2312" w:hAnsi="仿宋_GB2312" w:eastAsia="仿宋_GB2312" w:cs="仿宋_GB2312"/>
                <w:sz w:val="28"/>
                <w:szCs w:val="28"/>
                <w:lang w:val="en-US" w:eastAsia="zh-CN"/>
              </w:rPr>
              <w:t>级文件检验工作站</w:t>
            </w:r>
          </w:p>
        </w:tc>
        <w:tc>
          <w:tcPr>
            <w:tcW w:w="4377" w:type="dxa"/>
            <w:gridSpan w:val="2"/>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1、所报产品技术参数清楚、明确并能逐条响应第三章中所有技术要求，得22.6分。其中：</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（1）▲项（共6项）满分5.4分，有负偏离每项扣0.9分。</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（2）无标注项（共43项）满分17.2分，有负偏离每项扣0.4分。</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2、技术参数优于第三章要求的，▲项每条加0.4分，无标注项每条加0.2分，此项最多加2分。</w:t>
            </w:r>
          </w:p>
        </w:tc>
        <w:tc>
          <w:tcPr>
            <w:tcW w:w="1323" w:type="dxa"/>
            <w:vMerge w:val="continue"/>
            <w:vAlign w:val="center"/>
          </w:tcPr>
          <w:p>
            <w:pPr>
              <w:pStyle w:val="9"/>
              <w:keepNext w:val="0"/>
              <w:keepLines w:val="0"/>
              <w:pageBreakBefore w:val="0"/>
              <w:widowControl/>
              <w:kinsoku/>
              <w:wordWrap/>
              <w:overflowPunct/>
              <w:topLinePunct w:val="0"/>
              <w:autoSpaceDE/>
              <w:autoSpaceDN/>
              <w:bidi w:val="0"/>
              <w:adjustRightInd/>
              <w:snapToGrid/>
              <w:spacing w:after="0" w:line="400" w:lineRule="exact"/>
              <w:ind w:firstLine="566" w:firstLineChars="200"/>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来源渠道</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4840" w:type="dxa"/>
            <w:gridSpan w:val="3"/>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提供以下两项产品的合法来源渠道证明文件（包括但不限于产品制造商授权、销售协议、代理协议等），每项产品得1分，满分2分。</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①文检勘查箱</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②超级文件检验工作站</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提供证明文件扫描件或复印件，并加盖响应人公章，不提供不得分。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6"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实施方案</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4840" w:type="dxa"/>
            <w:gridSpan w:val="3"/>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响应人提供本项目实施方案，包括①拟派人员情况②项目进度计划③备货、运输及应急保障措施④安装、调试实施方案。</w:t>
            </w:r>
          </w:p>
          <w:p>
            <w:pPr>
              <w:pStyle w:val="38"/>
              <w:keepNext w:val="0"/>
              <w:keepLines w:val="0"/>
              <w:pageBreakBefore w:val="0"/>
              <w:widowControl/>
              <w:kinsoku/>
              <w:wordWrap/>
              <w:overflowPunct/>
              <w:topLinePunct w:val="0"/>
              <w:bidi w:val="0"/>
              <w:spacing w:line="400" w:lineRule="exact"/>
              <w:ind w:left="0" w:leftChars="0" w:firstLine="0" w:firstLineChars="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38"/>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1、完整性：方案内容完整全面，对上述各项内容均有详细描述及说明，得1分；缺1项，得0.75分；缺2项，得0.5分；缺3项，得0.25分。</w:t>
            </w:r>
          </w:p>
          <w:p>
            <w:pPr>
              <w:pStyle w:val="38"/>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2、针对性：针对性强，得0.5分；针对性一般，得0.25分；缺乏针对性，得0分。</w:t>
            </w:r>
          </w:p>
          <w:p>
            <w:pPr>
              <w:pStyle w:val="38"/>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3、可实施性：可实施性强，得0.5分；可实施性一般，得0.25分；缺乏可实施性，得0分。</w:t>
            </w:r>
          </w:p>
          <w:p>
            <w:pPr>
              <w:pStyle w:val="38"/>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91" w:type="dxa"/>
            <w:vMerge w:val="restart"/>
            <w:vAlign w:val="center"/>
          </w:tcPr>
          <w:p>
            <w:pPr>
              <w:pStyle w:val="18"/>
              <w:keepNext w:val="0"/>
              <w:keepLines w:val="0"/>
              <w:pageBreakBefore w:val="0"/>
              <w:widowControl/>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val="en-US" w:eastAsia="zh-CN"/>
              </w:rPr>
              <w:t>商务</w:t>
            </w:r>
          </w:p>
        </w:tc>
        <w:tc>
          <w:tcPr>
            <w:tcW w:w="840" w:type="dxa"/>
            <w:vMerge w:val="restart"/>
            <w:vAlign w:val="center"/>
          </w:tcPr>
          <w:p>
            <w:pPr>
              <w:keepNext w:val="0"/>
              <w:keepLines w:val="0"/>
              <w:pageBreakBefore w:val="0"/>
              <w:widowControl/>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业绩</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4</w:t>
            </w:r>
          </w:p>
        </w:tc>
        <w:tc>
          <w:tcPr>
            <w:tcW w:w="4840" w:type="dxa"/>
            <w:gridSpan w:val="3"/>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年1月1日以来</w:t>
            </w:r>
            <w:r>
              <w:rPr>
                <w:rFonts w:hint="eastAsia" w:ascii="仿宋_GB2312" w:hAnsi="仿宋_GB2312" w:eastAsia="仿宋_GB2312" w:cs="仿宋_GB2312"/>
                <w:sz w:val="28"/>
                <w:szCs w:val="28"/>
                <w:lang w:val="en-US" w:eastAsia="zh-CN"/>
              </w:rPr>
              <w:t>同类</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复印件加盖响应人公章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以合同签订日期为准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，每份1分，</w:t>
            </w:r>
            <w:r>
              <w:rPr>
                <w:rFonts w:hint="eastAsia" w:ascii="仿宋_GB2312" w:hAnsi="仿宋_GB2312" w:eastAsia="仿宋_GB2312" w:cs="仿宋_GB2312"/>
                <w:sz w:val="28"/>
                <w:szCs w:val="28"/>
                <w:lang w:val="en-US" w:eastAsia="zh-CN"/>
              </w:rPr>
              <w:t>最多得4</w:t>
            </w:r>
            <w:r>
              <w:rPr>
                <w:rFonts w:hint="eastAsia" w:ascii="仿宋_GB2312" w:hAnsi="仿宋_GB2312" w:eastAsia="仿宋_GB2312" w:cs="仿宋_GB2312"/>
                <w:sz w:val="28"/>
                <w:szCs w:val="28"/>
              </w:rPr>
              <w:t>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791" w:type="dxa"/>
            <w:vMerge w:val="continue"/>
            <w:vAlign w:val="center"/>
          </w:tcPr>
          <w:p>
            <w:pPr>
              <w:pStyle w:val="18"/>
              <w:keepNext w:val="0"/>
              <w:keepLines w:val="0"/>
              <w:pageBreakBefore w:val="0"/>
              <w:widowControl/>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rPr>
            </w:pPr>
          </w:p>
        </w:tc>
        <w:tc>
          <w:tcPr>
            <w:tcW w:w="840" w:type="dxa"/>
            <w:vMerge w:val="continue"/>
            <w:vAlign w:val="center"/>
          </w:tcPr>
          <w:p>
            <w:pPr>
              <w:keepNext w:val="0"/>
              <w:keepLines w:val="0"/>
              <w:pageBreakBefore w:val="0"/>
              <w:widowControl/>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售后服务</w:t>
            </w:r>
          </w:p>
        </w:tc>
        <w:tc>
          <w:tcPr>
            <w:tcW w:w="787" w:type="dxa"/>
            <w:vAlign w:val="center"/>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w:t>
            </w:r>
          </w:p>
        </w:tc>
        <w:tc>
          <w:tcPr>
            <w:tcW w:w="4840" w:type="dxa"/>
            <w:gridSpan w:val="3"/>
            <w:vAlign w:val="center"/>
          </w:tcPr>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响应人提供本项目售后服务实施方案，包括①各类故障解决措施及响应时间②日常维护方案及应急预案③售后服务网点及服务人员情况④质量保证范围</w:t>
            </w:r>
          </w:p>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1、完整性：方案内容完整全面，对上述各项内容均有详细描述及说明，得1分；缺1项，得0.75分；缺2项，得0.5分；缺3项，得0.25分。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2、针对性：针对性强，得1分；针对性一般，得0.5分；缺乏针对性，得0分。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3、可实施性：可实施性强，得1分；可实施性一般，得0.5分；缺乏可实施性，得0分。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此项不提供不得分。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91"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tc>
        <w:tc>
          <w:tcPr>
            <w:tcW w:w="8616" w:type="dxa"/>
            <w:gridSpan w:val="7"/>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评审标准</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（1）针对性强：方案能够完全切合本项目实际情况。</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（2）针对性一般：方案中多数内容能够切合本项目实际情况，但存在至少一处不适用本项目实际的内容。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（3）缺乏针对性：方案描述不符合本项目</w:t>
            </w:r>
            <w:r>
              <w:rPr>
                <w:rFonts w:hint="eastAsia" w:ascii="仿宋_GB2312" w:hAnsi="仿宋_GB2312" w:eastAsia="仿宋_GB2312" w:cs="仿宋_GB2312"/>
                <w:sz w:val="28"/>
                <w:szCs w:val="28"/>
                <w:highlight w:val="none"/>
                <w:lang w:val="en-US" w:eastAsia="zh-CN"/>
              </w:rPr>
              <w:t>实际情况</w:t>
            </w:r>
            <w:r>
              <w:rPr>
                <w:rFonts w:hint="eastAsia" w:ascii="仿宋_GB2312" w:hAnsi="仿宋_GB2312" w:eastAsia="仿宋_GB2312" w:cs="仿宋_GB2312"/>
                <w:sz w:val="28"/>
                <w:szCs w:val="28"/>
                <w:lang w:eastAsia="zh-CN"/>
              </w:rPr>
              <w:t>，存在明显套用其他项目方案的内容。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2、可实施性：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（1）可实施性强：方案</w:t>
            </w:r>
            <w:r>
              <w:rPr>
                <w:rFonts w:hint="eastAsia" w:ascii="仿宋_GB2312" w:hAnsi="仿宋_GB2312" w:eastAsia="仿宋_GB2312" w:cs="仿宋_GB2312"/>
                <w:sz w:val="28"/>
                <w:szCs w:val="28"/>
                <w:lang w:val="en-US" w:eastAsia="zh-CN"/>
              </w:rPr>
              <w:t>工作流程完善，</w:t>
            </w:r>
            <w:r>
              <w:rPr>
                <w:rFonts w:hint="eastAsia" w:ascii="仿宋_GB2312" w:hAnsi="仿宋_GB2312" w:eastAsia="仿宋_GB2312" w:cs="仿宋_GB2312"/>
                <w:sz w:val="28"/>
                <w:szCs w:val="28"/>
                <w:lang w:eastAsia="zh-CN"/>
              </w:rPr>
              <w:t>实施步骤清晰，科学合理，可操作性强。</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lang w:eastAsia="zh-CN"/>
              </w:rPr>
              <w:t>（2）可实施性一般：方案中存在至少一处表述模糊、难以执行或不够科学合理</w:t>
            </w:r>
            <w:r>
              <w:rPr>
                <w:rFonts w:hint="eastAsia" w:ascii="仿宋_GB2312" w:hAnsi="仿宋_GB2312" w:eastAsia="仿宋_GB2312" w:cs="仿宋_GB2312"/>
                <w:sz w:val="28"/>
                <w:szCs w:val="28"/>
                <w:highlight w:val="none"/>
                <w:lang w:eastAsia="zh-CN"/>
              </w:rPr>
              <w:t>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eastAsia="zh-CN"/>
              </w:rPr>
              <w:t>（3）缺乏可实施性：方案内容空洞，工作流程不完善，实施标准、实施质量不利于采购需求的实现，存在逻辑漏洞、</w:t>
            </w:r>
            <w:r>
              <w:rPr>
                <w:rFonts w:hint="eastAsia" w:ascii="仿宋_GB2312" w:hAnsi="仿宋_GB2312" w:eastAsia="仿宋_GB2312" w:cs="仿宋_GB2312"/>
                <w:sz w:val="28"/>
                <w:szCs w:val="28"/>
                <w:highlight w:val="none"/>
                <w:lang w:val="en-US" w:eastAsia="zh-CN"/>
              </w:rPr>
              <w:t>常识错误</w:t>
            </w:r>
            <w:r>
              <w:rPr>
                <w:rFonts w:hint="eastAsia" w:ascii="仿宋_GB2312" w:hAnsi="仿宋_GB2312" w:eastAsia="仿宋_GB2312" w:cs="仿宋_GB2312"/>
                <w:sz w:val="28"/>
                <w:szCs w:val="28"/>
                <w:highlight w:val="none"/>
                <w:lang w:eastAsia="zh-CN"/>
              </w:rPr>
              <w:t>或合理性差</w:t>
            </w:r>
            <w:r>
              <w:rPr>
                <w:rFonts w:hint="eastAsia" w:ascii="仿宋_GB2312" w:hAnsi="仿宋_GB2312" w:eastAsia="仿宋_GB2312" w:cs="仿宋_GB2312"/>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p>
        </w:tc>
        <w:tc>
          <w:tcPr>
            <w:tcW w:w="8616" w:type="dxa"/>
            <w:gridSpan w:val="7"/>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磋商小组成员必须按照本评审要素据实打分，各类数字计算均按“四舍五入”保留小数点后两位</w:t>
            </w:r>
            <w:r>
              <w:rPr>
                <w:rFonts w:hint="eastAsia" w:ascii="仿宋_GB2312" w:hAnsi="仿宋_GB2312" w:eastAsia="仿宋_GB2312" w:cs="仿宋_GB2312"/>
                <w:sz w:val="28"/>
                <w:szCs w:val="28"/>
                <w:lang w:eastAsia="zh-CN"/>
              </w:rPr>
              <w:t>。</w:t>
            </w:r>
          </w:p>
        </w:tc>
      </w:tr>
    </w:tbl>
    <w:p>
      <w:pPr>
        <w:spacing w:after="190" w:afterLines="50" w:line="500" w:lineRule="exact"/>
        <w:jc w:val="center"/>
        <w:rPr>
          <w:rFonts w:hint="eastAsia" w:ascii="仿宋_GB2312" w:hAnsi="仿宋_GB2312" w:eastAsia="仿宋_GB2312" w:cs="仿宋_GB2312"/>
          <w:b/>
          <w:bCs/>
          <w:color w:val="auto"/>
          <w:sz w:val="28"/>
          <w:szCs w:val="28"/>
        </w:rPr>
      </w:pPr>
    </w:p>
    <w:p>
      <w:pPr>
        <w:spacing w:after="190" w:afterLines="50" w:line="500" w:lineRule="exact"/>
        <w:jc w:val="center"/>
        <w:rPr>
          <w:color w:val="auto"/>
          <w:sz w:val="28"/>
          <w:szCs w:val="28"/>
        </w:rPr>
      </w:pPr>
      <w:r>
        <w:rPr>
          <w:rFonts w:hint="eastAsia" w:ascii="仿宋_GB2312" w:hAnsi="仿宋_GB2312" w:eastAsia="仿宋_GB2312" w:cs="仿宋_GB2312"/>
          <w:b/>
          <w:bCs/>
          <w:color w:val="auto"/>
          <w:sz w:val="28"/>
          <w:szCs w:val="28"/>
        </w:rPr>
        <w:t>评审要素及分值一览表</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第四标段</w:t>
      </w:r>
      <w:r>
        <w:rPr>
          <w:rFonts w:hint="eastAsia" w:ascii="仿宋_GB2312" w:hAnsi="仿宋_GB2312" w:eastAsia="仿宋_GB2312" w:cs="仿宋_GB2312"/>
          <w:b/>
          <w:bCs/>
          <w:color w:val="auto"/>
          <w:sz w:val="28"/>
          <w:szCs w:val="28"/>
          <w:lang w:eastAsia="zh-CN"/>
        </w:rPr>
        <w:t>）</w:t>
      </w:r>
    </w:p>
    <w:tbl>
      <w:tblPr>
        <w:tblStyle w:val="22"/>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40"/>
        <w:gridCol w:w="826"/>
        <w:gridCol w:w="787"/>
        <w:gridCol w:w="484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31" w:type="dxa"/>
            <w:gridSpan w:val="2"/>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项别</w:t>
            </w:r>
          </w:p>
        </w:tc>
        <w:tc>
          <w:tcPr>
            <w:tcW w:w="1613" w:type="dxa"/>
            <w:gridSpan w:val="2"/>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w:t>
            </w:r>
          </w:p>
        </w:tc>
        <w:tc>
          <w:tcPr>
            <w:tcW w:w="4840"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评审要素</w:t>
            </w:r>
          </w:p>
        </w:tc>
        <w:tc>
          <w:tcPr>
            <w:tcW w:w="1323"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91"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840" w:type="dxa"/>
            <w:vAlign w:val="center"/>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总分值100</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分项最高分值</w:t>
            </w:r>
          </w:p>
        </w:tc>
        <w:tc>
          <w:tcPr>
            <w:tcW w:w="4840"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91" w:type="dxa"/>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840"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w:t>
            </w:r>
          </w:p>
        </w:tc>
        <w:tc>
          <w:tcPr>
            <w:tcW w:w="826" w:type="dxa"/>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w:t>
            </w:r>
          </w:p>
        </w:tc>
        <w:tc>
          <w:tcPr>
            <w:tcW w:w="4840" w:type="dxa"/>
          </w:tcPr>
          <w:p>
            <w:pPr>
              <w:keepNext w:val="0"/>
              <w:keepLines w:val="0"/>
              <w:pageBreakBefore w:val="0"/>
              <w:widowControl/>
              <w:tabs>
                <w:tab w:val="left" w:pos="547"/>
              </w:tabs>
              <w:kinsoku/>
              <w:wordWrap/>
              <w:overflowPunct/>
              <w:topLinePunct w:val="0"/>
              <w:autoSpaceDE w:val="0"/>
              <w:autoSpaceDN w:val="0"/>
              <w:bidi w:val="0"/>
              <w:adjustRightIn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有效供应商最低报价为基准价得</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rPr>
              <w:t>分，其他各供应商的报价得分按下列公式计算：</w:t>
            </w:r>
          </w:p>
          <w:p>
            <w:pPr>
              <w:keepNext w:val="0"/>
              <w:keepLines w:val="0"/>
              <w:pageBreakBefore w:val="0"/>
              <w:widowControl/>
              <w:tabs>
                <w:tab w:val="left" w:pos="547"/>
              </w:tabs>
              <w:kinsoku/>
              <w:wordWrap/>
              <w:overflowPunct/>
              <w:topLinePunct w:val="0"/>
              <w:autoSpaceDE w:val="0"/>
              <w:autoSpaceDN w:val="0"/>
              <w:bidi w:val="0"/>
              <w:adjustRightInd w:val="0"/>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（基准价/磋商报价）×</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0</w:t>
            </w:r>
            <w:r>
              <w:rPr>
                <w:rFonts w:hint="eastAsia" w:ascii="仿宋_GB2312" w:hAnsi="仿宋_GB2312" w:eastAsia="仿宋_GB2312" w:cs="仿宋_GB2312"/>
                <w:b/>
                <w:bCs/>
                <w:sz w:val="28"/>
                <w:szCs w:val="28"/>
                <w:lang w:eastAsia="zh-CN"/>
              </w:rPr>
              <w:t>。</w:t>
            </w:r>
          </w:p>
        </w:tc>
        <w:tc>
          <w:tcPr>
            <w:tcW w:w="1323" w:type="dxa"/>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根据“最后报价”计算价格得分。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91" w:type="dxa"/>
            <w:vMerge w:val="restart"/>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w:t>
            </w:r>
          </w:p>
        </w:tc>
        <w:tc>
          <w:tcPr>
            <w:tcW w:w="840"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主要功能响应</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4840"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能够完全满足第三章主要功能要求，得3分，否则不得分。</w:t>
            </w:r>
          </w:p>
        </w:tc>
        <w:tc>
          <w:tcPr>
            <w:tcW w:w="1323"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技术参数响应</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w:t>
            </w:r>
          </w:p>
        </w:tc>
        <w:tc>
          <w:tcPr>
            <w:tcW w:w="4840"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1、所报产品技术参数清楚、明确并能逐条响应第三章中所有技术参数，得34.3分；</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技术参数（共98项）有负偏离的，每项扣0.35分；</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2、有技术参数优于第三章要求的，每项加0.35分，此项最多加0.7分。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来源渠道</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4840"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提供所报产品的合法来源渠道证明文件（包括但不限于产品制造商授权、销售协议、代理协议等），得2分。</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提供证明文件扫描件或复印件，并加盖响应人公章，不提供不得分。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6"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实施方案</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4840"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响应人提供本项目实施方案，包括①拟派人员情况②项目进度计划③备货、运输及应急保障措施④安装、调试实施方案。</w:t>
            </w:r>
          </w:p>
          <w:p>
            <w:pPr>
              <w:pStyle w:val="38"/>
              <w:keepNext w:val="0"/>
              <w:keepLines w:val="0"/>
              <w:pageBreakBefore w:val="0"/>
              <w:widowControl/>
              <w:kinsoku/>
              <w:wordWrap/>
              <w:overflowPunct/>
              <w:topLinePunct w:val="0"/>
              <w:bidi w:val="0"/>
              <w:spacing w:line="400" w:lineRule="exact"/>
              <w:ind w:left="0" w:leftChars="0" w:firstLine="0" w:firstLineChars="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38"/>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1、完整性：方案内容完整全面，对上述各项内容均有详细描述及说明，得1分；缺1项，得0.75分；缺2项，得0.5分；缺3项，得0.25分。</w:t>
            </w:r>
          </w:p>
          <w:p>
            <w:pPr>
              <w:pStyle w:val="38"/>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2、针对性：针对性强，得0.5分；针对性一般，得0.25分；缺乏针对性，得0分。</w:t>
            </w:r>
          </w:p>
          <w:p>
            <w:pPr>
              <w:pStyle w:val="38"/>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3、可实施性：可实施性强，得0.5分；可实施性一般，得0.25分；缺乏可实施性，得0分。</w:t>
            </w:r>
          </w:p>
          <w:p>
            <w:pPr>
              <w:pStyle w:val="38"/>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91" w:type="dxa"/>
            <w:vMerge w:val="restart"/>
            <w:vAlign w:val="center"/>
          </w:tcPr>
          <w:p>
            <w:pPr>
              <w:pStyle w:val="18"/>
              <w:keepNext w:val="0"/>
              <w:keepLines w:val="0"/>
              <w:pageBreakBefore w:val="0"/>
              <w:widowControl/>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val="en-US" w:eastAsia="zh-CN"/>
              </w:rPr>
              <w:t>商务</w:t>
            </w:r>
          </w:p>
        </w:tc>
        <w:tc>
          <w:tcPr>
            <w:tcW w:w="840" w:type="dxa"/>
            <w:vMerge w:val="restart"/>
            <w:vAlign w:val="center"/>
          </w:tcPr>
          <w:p>
            <w:pPr>
              <w:keepNext w:val="0"/>
              <w:keepLines w:val="0"/>
              <w:pageBreakBefore w:val="0"/>
              <w:widowControl/>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业绩</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4</w:t>
            </w:r>
          </w:p>
        </w:tc>
        <w:tc>
          <w:tcPr>
            <w:tcW w:w="4840" w:type="dxa"/>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年1月1日以来</w:t>
            </w:r>
            <w:r>
              <w:rPr>
                <w:rFonts w:hint="eastAsia" w:ascii="仿宋_GB2312" w:hAnsi="仿宋_GB2312" w:eastAsia="仿宋_GB2312" w:cs="仿宋_GB2312"/>
                <w:sz w:val="28"/>
                <w:szCs w:val="28"/>
                <w:lang w:val="en-US" w:eastAsia="zh-CN"/>
              </w:rPr>
              <w:t>同类</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复印件加盖响应人公章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以合同签订日期为准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，每份1分，</w:t>
            </w:r>
            <w:r>
              <w:rPr>
                <w:rFonts w:hint="eastAsia" w:ascii="仿宋_GB2312" w:hAnsi="仿宋_GB2312" w:eastAsia="仿宋_GB2312" w:cs="仿宋_GB2312"/>
                <w:sz w:val="28"/>
                <w:szCs w:val="28"/>
                <w:lang w:val="en-US" w:eastAsia="zh-CN"/>
              </w:rPr>
              <w:t>最多得4</w:t>
            </w:r>
            <w:r>
              <w:rPr>
                <w:rFonts w:hint="eastAsia" w:ascii="仿宋_GB2312" w:hAnsi="仿宋_GB2312" w:eastAsia="仿宋_GB2312" w:cs="仿宋_GB2312"/>
                <w:sz w:val="28"/>
                <w:szCs w:val="28"/>
              </w:rPr>
              <w:t>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jc w:val="center"/>
        </w:trPr>
        <w:tc>
          <w:tcPr>
            <w:tcW w:w="791" w:type="dxa"/>
            <w:vMerge w:val="continue"/>
            <w:vAlign w:val="center"/>
          </w:tcPr>
          <w:p>
            <w:pPr>
              <w:pStyle w:val="18"/>
              <w:keepNext w:val="0"/>
              <w:keepLines w:val="0"/>
              <w:pageBreakBefore w:val="0"/>
              <w:widowControl/>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rPr>
            </w:pPr>
          </w:p>
        </w:tc>
        <w:tc>
          <w:tcPr>
            <w:tcW w:w="840" w:type="dxa"/>
            <w:vMerge w:val="continue"/>
            <w:vAlign w:val="center"/>
          </w:tcPr>
          <w:p>
            <w:pPr>
              <w:keepNext w:val="0"/>
              <w:keepLines w:val="0"/>
              <w:pageBreakBefore w:val="0"/>
              <w:widowControl/>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售后服务</w:t>
            </w:r>
          </w:p>
        </w:tc>
        <w:tc>
          <w:tcPr>
            <w:tcW w:w="787" w:type="dxa"/>
            <w:vAlign w:val="center"/>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4</w:t>
            </w:r>
          </w:p>
        </w:tc>
        <w:tc>
          <w:tcPr>
            <w:tcW w:w="4840" w:type="dxa"/>
            <w:vAlign w:val="center"/>
          </w:tcPr>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响应人提供本项目售后服务实施方案，包括①各类故障解决措施及响应时间②日常维护方案及应急预案③售后服务网点及服务人员情况④质量保证范围</w:t>
            </w:r>
          </w:p>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1、完整性：方案内容完整全面，对上述各项内容均有详细描述及说明，得2分；缺1项，得1.5分；缺2项，得1分；缺3项，得0.5分。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2、针对性：针对性强，得1分；针对性一般，得0.5分；缺乏针对性，得0分。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3、可实施性：可实施性强，得1分；可实施性一般，得0.5分；缺乏可实施性，得0分。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此项不提供不得分。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91"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tc>
        <w:tc>
          <w:tcPr>
            <w:tcW w:w="8616" w:type="dxa"/>
            <w:gridSpan w:val="5"/>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评审标准</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（1）针对性强：方案能够完全切合本项目实际情况。</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（2）针对性一般：方案中多数内容能够切合本项目实际情况，但存在至少一处不适用本项目实际的内容。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（3）缺乏针对性：方案描述不符合本项目</w:t>
            </w:r>
            <w:r>
              <w:rPr>
                <w:rFonts w:hint="eastAsia" w:ascii="仿宋_GB2312" w:hAnsi="仿宋_GB2312" w:eastAsia="仿宋_GB2312" w:cs="仿宋_GB2312"/>
                <w:sz w:val="28"/>
                <w:szCs w:val="28"/>
                <w:highlight w:val="none"/>
                <w:lang w:val="en-US" w:eastAsia="zh-CN"/>
              </w:rPr>
              <w:t>实际情况</w:t>
            </w:r>
            <w:r>
              <w:rPr>
                <w:rFonts w:hint="eastAsia" w:ascii="仿宋_GB2312" w:hAnsi="仿宋_GB2312" w:eastAsia="仿宋_GB2312" w:cs="仿宋_GB2312"/>
                <w:sz w:val="28"/>
                <w:szCs w:val="28"/>
                <w:lang w:eastAsia="zh-CN"/>
              </w:rPr>
              <w:t>，存在明显套用其他项目方案的内容。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2、可实施性：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（1）可实施性强：方案</w:t>
            </w:r>
            <w:r>
              <w:rPr>
                <w:rFonts w:hint="eastAsia" w:ascii="仿宋_GB2312" w:hAnsi="仿宋_GB2312" w:eastAsia="仿宋_GB2312" w:cs="仿宋_GB2312"/>
                <w:sz w:val="28"/>
                <w:szCs w:val="28"/>
                <w:lang w:val="en-US" w:eastAsia="zh-CN"/>
              </w:rPr>
              <w:t>工作流程完善，</w:t>
            </w:r>
            <w:r>
              <w:rPr>
                <w:rFonts w:hint="eastAsia" w:ascii="仿宋_GB2312" w:hAnsi="仿宋_GB2312" w:eastAsia="仿宋_GB2312" w:cs="仿宋_GB2312"/>
                <w:sz w:val="28"/>
                <w:szCs w:val="28"/>
                <w:lang w:eastAsia="zh-CN"/>
              </w:rPr>
              <w:t>实施步骤清晰，科学合理，可操作性强。</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lang w:eastAsia="zh-CN"/>
              </w:rPr>
              <w:t>（2）可实施性一般：方案中存在至少一处表述模糊、难以执行或不够科学合理</w:t>
            </w:r>
            <w:r>
              <w:rPr>
                <w:rFonts w:hint="eastAsia" w:ascii="仿宋_GB2312" w:hAnsi="仿宋_GB2312" w:eastAsia="仿宋_GB2312" w:cs="仿宋_GB2312"/>
                <w:sz w:val="28"/>
                <w:szCs w:val="28"/>
                <w:highlight w:val="none"/>
                <w:lang w:eastAsia="zh-CN"/>
              </w:rPr>
              <w:t>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eastAsia="zh-CN"/>
              </w:rPr>
              <w:t>（3）缺乏可实施性：方案内容空洞，工作流程不完善，实施标准、实施质量不利于采购需求的实现，存在逻辑漏洞、</w:t>
            </w:r>
            <w:r>
              <w:rPr>
                <w:rFonts w:hint="eastAsia" w:ascii="仿宋_GB2312" w:hAnsi="仿宋_GB2312" w:eastAsia="仿宋_GB2312" w:cs="仿宋_GB2312"/>
                <w:sz w:val="28"/>
                <w:szCs w:val="28"/>
                <w:highlight w:val="none"/>
                <w:lang w:val="en-US" w:eastAsia="zh-CN"/>
              </w:rPr>
              <w:t>常识错误</w:t>
            </w:r>
            <w:r>
              <w:rPr>
                <w:rFonts w:hint="eastAsia" w:ascii="仿宋_GB2312" w:hAnsi="仿宋_GB2312" w:eastAsia="仿宋_GB2312" w:cs="仿宋_GB2312"/>
                <w:sz w:val="28"/>
                <w:szCs w:val="28"/>
                <w:highlight w:val="none"/>
                <w:lang w:eastAsia="zh-CN"/>
              </w:rPr>
              <w:t>或合理性差</w:t>
            </w:r>
            <w:r>
              <w:rPr>
                <w:rFonts w:hint="eastAsia" w:ascii="仿宋_GB2312" w:hAnsi="仿宋_GB2312" w:eastAsia="仿宋_GB2312" w:cs="仿宋_GB2312"/>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p>
        </w:tc>
        <w:tc>
          <w:tcPr>
            <w:tcW w:w="8616" w:type="dxa"/>
            <w:gridSpan w:val="5"/>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磋商小组成员必须按照本评审要素据实打分，各类数字计算均按“四舍五入”保留小数点后两位</w:t>
            </w:r>
            <w:r>
              <w:rPr>
                <w:rFonts w:hint="eastAsia" w:ascii="仿宋_GB2312" w:hAnsi="仿宋_GB2312" w:eastAsia="仿宋_GB2312" w:cs="仿宋_GB2312"/>
                <w:sz w:val="28"/>
                <w:szCs w:val="28"/>
                <w:lang w:eastAsia="zh-CN"/>
              </w:rPr>
              <w:t>。</w:t>
            </w:r>
          </w:p>
        </w:tc>
      </w:tr>
    </w:tbl>
    <w:p>
      <w:pPr>
        <w:pStyle w:val="20"/>
        <w:ind w:firstLine="0" w:firstLineChars="0"/>
        <w:rPr>
          <w:color w:val="auto"/>
          <w:sz w:val="28"/>
          <w:szCs w:val="28"/>
        </w:rPr>
      </w:pP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8、推荐成交候选供应商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应当根据综合评分情况，按照评审得分由高到低顺序推荐3名以上成交候选供应商（有效供应商不足三家时以实际数量推荐）。评审得分相同的，按照最后报价由低到高的顺序推荐。评审得分且最后报价相同的，按照技术指标优劣顺序推荐。</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9、编写评审报告</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当排序推荐磋商供应商名单出现多数评委成员的评审意见比较一致，某一个别评委的赋分畸高畸低，导致排序结果改变的，该评委</w:t>
      </w:r>
      <w:r>
        <w:rPr>
          <w:rFonts w:hint="eastAsia" w:ascii="仿宋_GB2312" w:hAnsi="仿宋_GB2312" w:eastAsia="仿宋_GB2312" w:cs="仿宋_GB2312"/>
          <w:color w:val="auto"/>
          <w:sz w:val="28"/>
          <w:szCs w:val="28"/>
          <w:lang w:val="en-US" w:eastAsia="zh-CN"/>
        </w:rPr>
        <w:t>应当</w:t>
      </w:r>
      <w:r>
        <w:rPr>
          <w:rFonts w:hint="eastAsia" w:ascii="仿宋_GB2312" w:hAnsi="仿宋_GB2312" w:eastAsia="仿宋_GB2312" w:cs="仿宋_GB2312"/>
          <w:color w:val="auto"/>
          <w:sz w:val="28"/>
          <w:szCs w:val="28"/>
        </w:rPr>
        <w:t>重新进行评价，并向磋商</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说明其赋分的合理理由，对拒绝说明、拒绝重新评价的，报告同级财政政府采购管理部门处理。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除下列情形外，任何人不得以任何理由组织重新评审：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资格性检查认定错误的；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 xml:space="preserve">分值汇总计算错误的； </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③</w:t>
      </w:r>
      <w:r>
        <w:rPr>
          <w:rFonts w:hint="eastAsia" w:ascii="仿宋_GB2312" w:hAnsi="仿宋_GB2312" w:eastAsia="仿宋_GB2312" w:cs="仿宋_GB2312"/>
          <w:color w:val="auto"/>
          <w:sz w:val="28"/>
          <w:szCs w:val="28"/>
        </w:rPr>
        <w:t>分项评分超出评分标准范围的；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④</w:t>
      </w:r>
      <w:r>
        <w:rPr>
          <w:rFonts w:hint="eastAsia" w:ascii="仿宋_GB2312" w:hAnsi="仿宋_GB2312" w:eastAsia="仿宋_GB2312" w:cs="仿宋_GB2312"/>
          <w:color w:val="auto"/>
          <w:sz w:val="28"/>
          <w:szCs w:val="28"/>
        </w:rPr>
        <w:t>客观分因素评分不一致的；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⑤</w:t>
      </w:r>
      <w:r>
        <w:rPr>
          <w:rFonts w:hint="eastAsia" w:ascii="仿宋_GB2312" w:hAnsi="仿宋_GB2312" w:eastAsia="仿宋_GB2312" w:cs="仿宋_GB2312"/>
          <w:color w:val="auto"/>
          <w:sz w:val="28"/>
          <w:szCs w:val="28"/>
        </w:rPr>
        <w:t>经磋商小组一致认定评分畸高、畸低的情形。</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（六）有下列情况之一的，视为供应商串通投标，其投标无效：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1、不同供应商的响应文件由同一单位或者个人编制；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2、不同供应商的响应文件由同一台电脑编制；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3、不同供应商委托同一单位或者个人办理投标事宜；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4、不同供应商的响应文件载明的项目管理成员或者联系人员为同一人；</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5、不同供应商的响应文件异常一致或者磋商报价呈规律性差异；</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6、政府采购法律法规及磋商文件规定的其他情形。</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53" w:name="_Toc3023"/>
      <w:bookmarkStart w:id="154" w:name="_Toc28287"/>
      <w:bookmarkStart w:id="155" w:name="_Toc17612"/>
      <w:bookmarkStart w:id="156" w:name="_Toc25855"/>
      <w:bookmarkStart w:id="157" w:name="_Toc22712"/>
      <w:bookmarkStart w:id="158" w:name="_Toc4670"/>
      <w:bookmarkStart w:id="159" w:name="_Toc28384"/>
      <w:bookmarkStart w:id="160" w:name="_Toc495014920"/>
      <w:bookmarkStart w:id="161" w:name="_Toc495014954"/>
      <w:bookmarkStart w:id="162" w:name="_Toc619_WPSOffice_Level1"/>
      <w:bookmarkStart w:id="163" w:name="_Toc495014611"/>
      <w:bookmarkStart w:id="164" w:name="_Toc495012821"/>
      <w:bookmarkStart w:id="165" w:name="_Toc495014585"/>
      <w:bookmarkStart w:id="166" w:name="_Toc424636365"/>
      <w:bookmarkStart w:id="167" w:name="_Toc495014649"/>
      <w:bookmarkStart w:id="168" w:name="_Toc495012771"/>
      <w:bookmarkStart w:id="169" w:name="_Toc28286_WPSOffice_Level1"/>
      <w:bookmarkStart w:id="170" w:name="_Toc445306493"/>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、成交</w:t>
      </w:r>
      <w:bookmarkEnd w:id="153"/>
      <w:bookmarkEnd w:id="154"/>
      <w:bookmarkEnd w:id="155"/>
      <w:bookmarkEnd w:id="156"/>
      <w:bookmarkEnd w:id="157"/>
      <w:bookmarkEnd w:id="158"/>
      <w:bookmarkEnd w:id="159"/>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在评审结束后2个工作日内将评审报告送采购人确认。</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采购人在收到评审报告之日起5个工作日内，从评审报告提出的成交候选供应商中，按照排序由高到低的原则确定成交供应商。采购人逾期未确定成交供应商且不提出异议的，视同按评审报告提出的排序第一的供应商为成交供应商。</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将在成交供应商确定之日起2个工作日内，在</w:t>
      </w:r>
      <w:r>
        <w:rPr>
          <w:rFonts w:hint="eastAsia" w:ascii="仿宋_GB2312" w:hAnsi="仿宋_GB2312" w:eastAsia="仿宋_GB2312" w:cs="仿宋_GB2312"/>
          <w:color w:val="auto"/>
          <w:sz w:val="28"/>
          <w:szCs w:val="28"/>
          <w:lang w:val="en-US" w:eastAsia="zh-CN"/>
        </w:rPr>
        <w:t>以下网址发布结果公告：</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【陕西省政府采购网（www.ccgp-shaanxi.gov.cn/）】中的〖首页·〉市级公告·〉</w:t>
      </w:r>
      <w:r>
        <w:rPr>
          <w:rFonts w:hint="eastAsia" w:ascii="仿宋_GB2312" w:hAnsi="仿宋_GB2312" w:eastAsia="仿宋_GB2312" w:cs="仿宋_GB2312"/>
          <w:color w:val="auto"/>
          <w:sz w:val="28"/>
          <w:szCs w:val="28"/>
          <w:lang w:val="en-US" w:eastAsia="zh-CN"/>
        </w:rPr>
        <w:t>结果</w:t>
      </w:r>
      <w:r>
        <w:rPr>
          <w:rFonts w:hint="eastAsia"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lang w:val="en-US" w:eastAsia="zh-CN"/>
        </w:rPr>
        <w:t>/终止公告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【全国公共资源交易平台（汉中市）（sxggzyjy.hanzhong.gov.cn/）】中的〖首页·〉交易大厅·〉政府采购·〉</w:t>
      </w:r>
      <w:r>
        <w:rPr>
          <w:rFonts w:hint="eastAsia" w:ascii="仿宋_GB2312" w:hAnsi="仿宋_GB2312" w:eastAsia="仿宋_GB2312" w:cs="仿宋_GB2312"/>
          <w:color w:val="auto"/>
          <w:sz w:val="28"/>
          <w:szCs w:val="28"/>
          <w:lang w:val="en-US" w:eastAsia="zh-CN"/>
        </w:rPr>
        <w:t>中标（成交）结果/终止公告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向成交供应商发出成交通知书。</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71" w:name="_Toc3100"/>
      <w:bookmarkStart w:id="172" w:name="_Toc14009"/>
      <w:bookmarkStart w:id="173" w:name="_Toc20049"/>
      <w:bookmarkStart w:id="174" w:name="_Toc23938"/>
      <w:bookmarkStart w:id="175" w:name="_Toc28870"/>
      <w:bookmarkStart w:id="176" w:name="_Toc10386"/>
      <w:bookmarkStart w:id="177" w:name="_Toc18233"/>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、签订</w:t>
      </w:r>
      <w:r>
        <w:rPr>
          <w:rFonts w:hint="eastAsia" w:ascii="仿宋_GB2312" w:hAnsi="仿宋_GB2312" w:eastAsia="仿宋_GB2312" w:cs="仿宋_GB2312"/>
          <w:color w:val="auto"/>
          <w:kern w:val="0"/>
          <w:sz w:val="28"/>
          <w:szCs w:val="28"/>
        </w:rPr>
        <w:t>政府采购合同</w:t>
      </w:r>
      <w:bookmarkEnd w:id="171"/>
      <w:bookmarkEnd w:id="172"/>
      <w:bookmarkEnd w:id="173"/>
      <w:bookmarkEnd w:id="174"/>
      <w:bookmarkEnd w:id="175"/>
      <w:bookmarkEnd w:id="176"/>
      <w:bookmarkEnd w:id="17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（一）采购人与成交供应商应当在《成交通知书》发出之后，洽谈合同条款内容，拟定合同文本草案。并在《成交通知书》发出之日起30日内签订书面合同。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（二）合同在执行过程中，确需修改、变更时，应当按照相应的审核批准程序办理。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（三）磋商文件、补充通知、磋商响应文件、补充协议等为合同的组成部分，具有同等法律效力。成交供应商不得将合同分包、转让他人。</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ascii="黑体" w:hAnsi="黑体" w:eastAsia="黑体"/>
          <w:color w:val="auto"/>
          <w:sz w:val="28"/>
          <w:szCs w:val="28"/>
        </w:rPr>
        <w:sectPr>
          <w:headerReference r:id="rId7" w:type="default"/>
          <w:footerReference r:id="rId8" w:type="default"/>
          <w:pgSz w:w="11906" w:h="16838"/>
          <w:pgMar w:top="1417" w:right="1417" w:bottom="1134"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bookmarkStart w:id="178" w:name="_Toc23303"/>
      <w:bookmarkStart w:id="179" w:name="_Toc10336"/>
      <w:bookmarkStart w:id="180" w:name="_Toc8426"/>
      <w:bookmarkStart w:id="181" w:name="_Toc11780"/>
      <w:bookmarkStart w:id="182" w:name="_Toc4764"/>
      <w:bookmarkStart w:id="183" w:name="_Toc14560"/>
      <w:bookmarkStart w:id="184" w:name="_Toc5278"/>
      <w:bookmarkStart w:id="185" w:name="_Toc17324"/>
      <w:bookmarkStart w:id="186" w:name="_Toc11584"/>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采购代理服务费：免费</w:t>
      </w:r>
      <w:bookmarkEnd w:id="178"/>
      <w:bookmarkEnd w:id="179"/>
      <w:bookmarkEnd w:id="180"/>
      <w:bookmarkEnd w:id="181"/>
      <w:bookmarkEnd w:id="182"/>
      <w:bookmarkEnd w:id="183"/>
      <w:bookmarkEnd w:id="184"/>
      <w:bookmarkEnd w:id="185"/>
      <w:bookmarkEnd w:id="186"/>
    </w:p>
    <w:p>
      <w:pPr>
        <w:pStyle w:val="2"/>
        <w:rPr>
          <w:color w:val="auto"/>
        </w:rPr>
      </w:pPr>
      <w:bookmarkStart w:id="187" w:name="_Toc10476_WPSOffice_Level1"/>
      <w:bookmarkStart w:id="188" w:name="_Toc6345"/>
      <w:bookmarkStart w:id="189" w:name="_Toc22915"/>
      <w:bookmarkStart w:id="190" w:name="_Toc31517"/>
      <w:bookmarkStart w:id="191" w:name="_Toc2772"/>
      <w:r>
        <w:rPr>
          <w:rFonts w:hint="eastAsia" w:ascii="黑体" w:hAnsi="黑体" w:eastAsia="黑体" w:cs="黑体"/>
          <w:b w:val="0"/>
          <w:bCs/>
          <w:color w:val="auto"/>
          <w:sz w:val="32"/>
          <w:szCs w:val="40"/>
        </w:rPr>
        <w:t>第三章  磋商内容及采</w:t>
      </w:r>
      <w:bookmarkEnd w:id="187"/>
      <w:r>
        <w:rPr>
          <w:rFonts w:hint="eastAsia" w:ascii="黑体" w:hAnsi="黑体" w:eastAsia="黑体" w:cs="黑体"/>
          <w:b w:val="0"/>
          <w:bCs/>
          <w:color w:val="auto"/>
          <w:sz w:val="32"/>
          <w:szCs w:val="40"/>
        </w:rPr>
        <w:t>购要求</w:t>
      </w:r>
      <w:bookmarkEnd w:id="160"/>
      <w:bookmarkEnd w:id="161"/>
      <w:bookmarkEnd w:id="162"/>
      <w:bookmarkEnd w:id="163"/>
      <w:bookmarkEnd w:id="164"/>
      <w:bookmarkEnd w:id="165"/>
      <w:bookmarkEnd w:id="166"/>
      <w:bookmarkEnd w:id="167"/>
      <w:bookmarkEnd w:id="168"/>
      <w:bookmarkEnd w:id="169"/>
      <w:bookmarkEnd w:id="170"/>
      <w:bookmarkEnd w:id="188"/>
      <w:bookmarkEnd w:id="189"/>
      <w:bookmarkEnd w:id="190"/>
      <w:bookmarkEnd w:id="191"/>
    </w:p>
    <w:p>
      <w:pPr>
        <w:pStyle w:val="38"/>
        <w:keepNext w:val="0"/>
        <w:keepLines w:val="0"/>
        <w:pageBreakBefore w:val="0"/>
        <w:widowControl/>
        <w:kinsoku/>
        <w:wordWrap/>
        <w:overflowPunct/>
        <w:topLinePunct w:val="0"/>
        <w:bidi w:val="0"/>
        <w:adjustRightInd/>
        <w:snapToGrid/>
        <w:spacing w:line="400" w:lineRule="exact"/>
        <w:ind w:left="0" w:leftChars="0" w:firstLine="0" w:firstLineChars="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第一标段</w:t>
      </w:r>
    </w:p>
    <w:p>
      <w:pPr>
        <w:rPr>
          <w:rFonts w:hint="eastAsia"/>
        </w:rPr>
      </w:pPr>
    </w:p>
    <w:p>
      <w:pPr>
        <w:keepNext w:val="0"/>
        <w:keepLines w:val="0"/>
        <w:pageBreakBefore w:val="0"/>
        <w:widowControl/>
        <w:kinsoku/>
        <w:wordWrap/>
        <w:overflowPunct/>
        <w:topLinePunct w:val="0"/>
        <w:autoSpaceDE/>
        <w:autoSpaceDN/>
        <w:bidi w:val="0"/>
        <w:adjustRightInd w:val="0"/>
        <w:snapToGrid/>
        <w:spacing w:after="192" w:afterLines="50" w:line="400" w:lineRule="exact"/>
        <w:ind w:firstLine="646" w:firstLineChars="200"/>
        <w:jc w:val="center"/>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关于采购DNA全自动洗消设备的</w:t>
      </w:r>
      <w:r>
        <w:rPr>
          <w:rFonts w:hint="eastAsia" w:ascii="仿宋_GB2312" w:hAnsi="仿宋_GB2312" w:eastAsia="仿宋_GB2312" w:cs="仿宋_GB2312"/>
          <w:b/>
          <w:sz w:val="32"/>
          <w:szCs w:val="32"/>
          <w:lang w:val="en-US" w:eastAsia="zh-CN"/>
        </w:rPr>
        <w:t>采购需求</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一、主要功能</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实验室胶垫、剪刀、镊子等实验用具清洗消杀，避免案件检验中的交叉污染，保证实验结果的真实性、准确性。</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器内置7种程序自动清洗程序：强力、标准、经济、漂洗、快速、超快、预洗，变频水压控制技术，内部循环水压力可调整，全面提升清洗效率，满足特殊物品清洗要求，图形显示不同程序的冲洗过程、时间、温度、清洗剂添加、余热烘干等信息，冲洗结束蜂鸣提示；清洗硅胶垫后，配合使用离心机离心，可以快速甩干硅胶垫水份，快速干燥，便于后续实验使用。</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sz w:val="28"/>
          <w:szCs w:val="28"/>
          <w:lang w:val="en-US" w:eastAsia="zh-CN"/>
        </w:rPr>
        <w:t>技术参数</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1.内胆需耐高温、耐腐蚀、易清洁；</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2.配置测序仪硅胶垫专用清洗篮，一次清洗量不少于30块硅胶垫；</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3.内腔容积：≤120L；</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4.含可自动加液机，实现清洗剂自动添加；</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5.额定外接水流压力：0.04—1.00Mpa，支持冷水和热水清洗；</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6.内置自动清洗程序；</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7.真空复合过滤器：最小过滤≥10um；</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8.可自动存储清洗记录，实现清洗过程全面监控和记录，符合GMP要求，断电不丢失；</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9.遇到故障自动诊断（提示）紧急停机；</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10.内置电压监测，如遇断电，能程序终止并自动记录；</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11.配备平板离心机一台，在清洗硅胶垫后能将孔内不易去除的水分甩干，快速干燥，为确保离心机离心效果，需满足如下要求：</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 最大离心力：≥12000g；</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11.2驱动系统：无碳刷电机直接驱动；</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11.3RCF设定、软刹车及软启动功能；</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11.4安全性能：转头过速保护、不平衡保护、状态自诊断、多种电路保护；</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11.5噪音：≤ 58 dB；</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11.6胶垫脱水高速离心模块：配置2×96孔板转头，转速≥3000转/分，离心力≥1500×g；</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12.配置：</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1）清洗消毒机主机           1台</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2）清洗剂自动加液机         1台</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3）软水机                   1台</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4）前置过滤组件             1套</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5）硅胶垫清洗架             1个</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6）胶垫脱水高速离心机       1台</w:t>
      </w:r>
    </w:p>
    <w:p>
      <w:pPr>
        <w:keepNext w:val="0"/>
        <w:keepLines w:val="0"/>
        <w:pageBreakBefore w:val="0"/>
        <w:widowControl/>
        <w:kinsoku/>
        <w:wordWrap/>
        <w:overflowPunct/>
        <w:topLinePunct w:val="0"/>
        <w:autoSpaceDE/>
        <w:autoSpaceDN/>
        <w:bidi w:val="0"/>
        <w:snapToGrid/>
        <w:spacing w:line="400" w:lineRule="exact"/>
        <w:ind w:firstLine="566"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三、售后要求</w:t>
      </w:r>
    </w:p>
    <w:p>
      <w:pPr>
        <w:keepNext w:val="0"/>
        <w:keepLines w:val="0"/>
        <w:pageBreakBefore w:val="0"/>
        <w:widowControl/>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自验收完毕起设备质保三年。</w:t>
      </w:r>
    </w:p>
    <w:p>
      <w:pPr>
        <w:keepNext w:val="0"/>
        <w:keepLines w:val="0"/>
        <w:pageBreakBefore w:val="0"/>
        <w:widowControl/>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b/>
          <w:bCs/>
          <w:sz w:val="28"/>
          <w:szCs w:val="28"/>
        </w:rPr>
      </w:pPr>
    </w:p>
    <w:p>
      <w:pPr>
        <w:keepNext w:val="0"/>
        <w:keepLines w:val="0"/>
        <w:pageBreakBefore w:val="0"/>
        <w:widowControl/>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b/>
          <w:bCs/>
          <w:sz w:val="28"/>
          <w:szCs w:val="28"/>
        </w:rPr>
      </w:pPr>
    </w:p>
    <w:p>
      <w:pPr>
        <w:keepNext w:val="0"/>
        <w:keepLines w:val="0"/>
        <w:pageBreakBefore w:val="0"/>
        <w:widowControl/>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备注：以上</w:t>
      </w:r>
      <w:r>
        <w:rPr>
          <w:rFonts w:hint="eastAsia" w:ascii="仿宋_GB2312" w:hAnsi="仿宋_GB2312" w:eastAsia="仿宋_GB2312" w:cs="仿宋_GB2312"/>
          <w:b/>
          <w:bCs/>
          <w:sz w:val="28"/>
          <w:szCs w:val="28"/>
          <w:lang w:val="en-US" w:eastAsia="zh-CN"/>
        </w:rPr>
        <w:t>采购需求</w:t>
      </w:r>
      <w:r>
        <w:rPr>
          <w:rFonts w:hint="eastAsia" w:ascii="仿宋_GB2312" w:hAnsi="仿宋_GB2312" w:eastAsia="仿宋_GB2312" w:cs="仿宋_GB2312"/>
          <w:b/>
          <w:bCs/>
          <w:sz w:val="28"/>
          <w:szCs w:val="28"/>
        </w:rPr>
        <w:t>均接受负偏离。</w:t>
      </w:r>
    </w:p>
    <w:p/>
    <w:p>
      <w:pPr>
        <w:keepNext w:val="0"/>
        <w:keepLines w:val="0"/>
        <w:pageBreakBefore w:val="0"/>
        <w:widowControl/>
        <w:kinsoku/>
        <w:wordWrap/>
        <w:overflowPunct/>
        <w:topLinePunct w:val="0"/>
        <w:bidi w:val="0"/>
        <w:adjustRightInd/>
        <w:snapToGrid/>
        <w:spacing w:line="400" w:lineRule="exact"/>
        <w:jc w:val="both"/>
        <w:textAlignment w:val="auto"/>
        <w:rPr>
          <w:rFonts w:hint="eastAsia" w:ascii="黑体" w:hAnsi="黑体" w:eastAsia="黑体" w:cs="黑体"/>
          <w:sz w:val="32"/>
          <w:szCs w:val="32"/>
          <w:lang w:val="en-US" w:eastAsia="zh-CN"/>
        </w:rPr>
      </w:pPr>
    </w:p>
    <w:p>
      <w:pPr>
        <w:pStyle w:val="38"/>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第二标段</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center"/>
        <w:rPr>
          <w:rFonts w:hint="eastAsia" w:ascii="仿宋_GB2312" w:hAnsi="仿宋_GB2312" w:eastAsia="仿宋_GB2312" w:cs="仿宋_GB2312"/>
          <w:b/>
          <w:sz w:val="28"/>
          <w:szCs w:val="28"/>
          <w:lang w:val="en-US" w:eastAsia="zh-CN"/>
        </w:rPr>
      </w:pPr>
    </w:p>
    <w:p>
      <w:pPr>
        <w:keepNext w:val="0"/>
        <w:keepLines w:val="0"/>
        <w:pageBreakBefore w:val="0"/>
        <w:widowControl/>
        <w:kinsoku/>
        <w:wordWrap/>
        <w:overflowPunct/>
        <w:topLinePunct w:val="0"/>
        <w:autoSpaceDE/>
        <w:autoSpaceDN/>
        <w:bidi w:val="0"/>
        <w:adjustRightInd w:val="0"/>
        <w:snapToGrid/>
        <w:spacing w:after="192" w:afterLines="50" w:line="400" w:lineRule="exact"/>
        <w:ind w:firstLine="646" w:firstLineChars="200"/>
        <w:jc w:val="center"/>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关于采购社会面视频快采设备的采购需求</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一、</w:t>
      </w:r>
      <w:r>
        <w:rPr>
          <w:rFonts w:hint="eastAsia" w:ascii="仿宋_GB2312" w:hAnsi="仿宋_GB2312" w:eastAsia="仿宋_GB2312" w:cs="仿宋_GB2312"/>
          <w:b/>
          <w:sz w:val="28"/>
          <w:szCs w:val="28"/>
        </w:rPr>
        <w:t>主要功能</w:t>
      </w:r>
    </w:p>
    <w:p>
      <w:pPr>
        <w:keepNext w:val="0"/>
        <w:keepLines w:val="0"/>
        <w:pageBreakBefore w:val="0"/>
        <w:widowControl/>
        <w:numPr>
          <w:ilvl w:val="0"/>
          <w:numId w:val="0"/>
        </w:numPr>
        <w:kinsoku/>
        <w:wordWrap/>
        <w:overflowPunct/>
        <w:topLinePunct w:val="0"/>
        <w:autoSpaceDE/>
        <w:autoSpaceDN/>
        <w:bidi w:val="0"/>
        <w:snapToGrid/>
        <w:spacing w:line="400" w:lineRule="exact"/>
        <w:ind w:firstLine="566" w:firstLineChars="200"/>
        <w:jc w:val="left"/>
        <w:textAlignment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为加强视频侦查装备建设，加强对侦破全市大要案件的支持，视频快速采集装备可以对适配监控设备中的录像视频进行预览、高速提取采集及播放，从而起到节约时间，提高工作效率的作用。</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二、</w:t>
      </w:r>
      <w:r>
        <w:rPr>
          <w:rFonts w:hint="eastAsia" w:ascii="仿宋_GB2312" w:hAnsi="仿宋_GB2312" w:eastAsia="仿宋_GB2312" w:cs="仿宋_GB2312"/>
          <w:b/>
          <w:sz w:val="28"/>
          <w:szCs w:val="28"/>
          <w:lang w:val="en-US" w:eastAsia="zh-CN"/>
        </w:rPr>
        <w:t>技术参数</w:t>
      </w:r>
    </w:p>
    <w:p>
      <w:pPr>
        <w:keepNext w:val="0"/>
        <w:keepLines w:val="0"/>
        <w:pageBreakBefore w:val="0"/>
        <w:widowControl/>
        <w:numPr>
          <w:ilvl w:val="0"/>
          <w:numId w:val="0"/>
        </w:numPr>
        <w:kinsoku/>
        <w:wordWrap/>
        <w:overflowPunct/>
        <w:topLinePunct w:val="0"/>
        <w:autoSpaceDE/>
        <w:autoSpaceDN/>
        <w:bidi w:val="0"/>
        <w:snapToGrid/>
        <w:spacing w:line="400" w:lineRule="exact"/>
        <w:ind w:firstLine="566" w:firstLineChars="20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具备检测硬盘源厂家，自动获取设备信息，可设置设备类型、名称、网址、端口、用户名、密码等信息，系统自动验证信息，信息无误即可成功添加该设备。</w:t>
      </w:r>
    </w:p>
    <w:p>
      <w:pPr>
        <w:keepNext w:val="0"/>
        <w:keepLines w:val="0"/>
        <w:pageBreakBefore w:val="0"/>
        <w:widowControl/>
        <w:numPr>
          <w:ilvl w:val="0"/>
          <w:numId w:val="0"/>
        </w:numPr>
        <w:kinsoku/>
        <w:wordWrap/>
        <w:overflowPunct/>
        <w:topLinePunct w:val="0"/>
        <w:autoSpaceDE/>
        <w:autoSpaceDN/>
        <w:bidi w:val="0"/>
        <w:snapToGrid/>
        <w:spacing w:line="400" w:lineRule="exact"/>
        <w:ind w:firstLine="566" w:firstLineChars="20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具备下载任务设置，可删除下载任务、可下载路径自由设置、可查询下载进度、可下载进行文件、监控和采集操作。</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具备选择监控设备，设置通道和时间，可将查询到的视频记录显示在文件列表。</w:t>
      </w:r>
    </w:p>
    <w:p>
      <w:pPr>
        <w:keepNext w:val="0"/>
        <w:keepLines w:val="0"/>
        <w:pageBreakBefore w:val="0"/>
        <w:widowControl/>
        <w:kinsoku/>
        <w:wordWrap/>
        <w:overflowPunct/>
        <w:topLinePunct w:val="0"/>
        <w:autoSpaceDE/>
        <w:autoSpaceDN/>
        <w:bidi w:val="0"/>
        <w:snapToGrid/>
        <w:spacing w:line="400" w:lineRule="exact"/>
        <w:ind w:firstLine="566"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具备视频播放功能，可快速对视频进行播放预览。</w:t>
      </w:r>
      <w:r>
        <w:rPr>
          <w:rFonts w:hint="eastAsia" w:ascii="仿宋_GB2312" w:hAnsi="仿宋_GB2312" w:eastAsia="仿宋_GB2312" w:cs="仿宋_GB2312"/>
          <w:sz w:val="28"/>
          <w:szCs w:val="28"/>
        </w:rPr>
        <w:t xml:space="preserve"> </w:t>
      </w:r>
    </w:p>
    <w:p>
      <w:pPr>
        <w:keepNext w:val="0"/>
        <w:keepLines w:val="0"/>
        <w:pageBreakBefore w:val="0"/>
        <w:widowControl/>
        <w:kinsoku/>
        <w:wordWrap/>
        <w:overflowPunct/>
        <w:topLinePunct w:val="0"/>
        <w:autoSpaceDE/>
        <w:autoSpaceDN/>
        <w:bidi w:val="0"/>
        <w:snapToGrid/>
        <w:spacing w:line="400" w:lineRule="exact"/>
        <w:ind w:firstLine="566"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三、售后要求</w:t>
      </w:r>
    </w:p>
    <w:p>
      <w:pPr>
        <w:keepNext w:val="0"/>
        <w:keepLines w:val="0"/>
        <w:pageBreakBefore w:val="0"/>
        <w:widowControl/>
        <w:kinsoku/>
        <w:wordWrap/>
        <w:overflowPunct/>
        <w:topLinePunct w:val="0"/>
        <w:autoSpaceDE/>
        <w:autoSpaceDN/>
        <w:bidi w:val="0"/>
        <w:snapToGrid/>
        <w:spacing w:line="400" w:lineRule="exact"/>
        <w:ind w:firstLine="56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自验收完毕起</w:t>
      </w:r>
      <w:r>
        <w:rPr>
          <w:rFonts w:hint="eastAsia" w:ascii="仿宋_GB2312" w:hAnsi="仿宋_GB2312" w:eastAsia="仿宋_GB2312" w:cs="仿宋_GB2312"/>
          <w:sz w:val="28"/>
          <w:szCs w:val="28"/>
          <w:lang w:eastAsia="zh-CN"/>
        </w:rPr>
        <w:t>设备质保三</w:t>
      </w:r>
      <w:r>
        <w:rPr>
          <w:rFonts w:hint="eastAsia" w:ascii="仿宋_GB2312" w:hAnsi="仿宋_GB2312" w:eastAsia="仿宋_GB2312" w:cs="仿宋_GB2312"/>
          <w:sz w:val="28"/>
          <w:szCs w:val="28"/>
        </w:rPr>
        <w:t>年。</w:t>
      </w:r>
    </w:p>
    <w:p>
      <w:pPr>
        <w:keepNext w:val="0"/>
        <w:keepLines w:val="0"/>
        <w:pageBreakBefore w:val="0"/>
        <w:widowControl/>
        <w:kinsoku/>
        <w:wordWrap/>
        <w:overflowPunct/>
        <w:topLinePunct w:val="0"/>
        <w:autoSpaceDE/>
        <w:autoSpaceDN/>
        <w:bidi w:val="0"/>
        <w:snapToGrid/>
        <w:spacing w:line="400" w:lineRule="exact"/>
        <w:ind w:firstLine="566" w:firstLineChars="200"/>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snapToGrid/>
        <w:spacing w:line="400" w:lineRule="exact"/>
        <w:ind w:firstLine="566" w:firstLineChars="200"/>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备注：以上</w:t>
      </w:r>
      <w:r>
        <w:rPr>
          <w:rFonts w:hint="eastAsia" w:ascii="仿宋_GB2312" w:hAnsi="仿宋_GB2312" w:eastAsia="仿宋_GB2312" w:cs="仿宋_GB2312"/>
          <w:b/>
          <w:bCs/>
          <w:sz w:val="28"/>
          <w:szCs w:val="28"/>
          <w:lang w:val="en-US" w:eastAsia="zh-CN"/>
        </w:rPr>
        <w:t>采购需求</w:t>
      </w:r>
      <w:r>
        <w:rPr>
          <w:rFonts w:hint="eastAsia" w:ascii="仿宋_GB2312" w:hAnsi="仿宋_GB2312" w:eastAsia="仿宋_GB2312" w:cs="仿宋_GB2312"/>
          <w:b/>
          <w:bCs/>
          <w:sz w:val="28"/>
          <w:szCs w:val="28"/>
        </w:rPr>
        <w:t>均接受负偏离。</w:t>
      </w:r>
    </w:p>
    <w:p>
      <w:pPr>
        <w:keepNext w:val="0"/>
        <w:keepLines w:val="0"/>
        <w:pageBreakBefore w:val="0"/>
        <w:widowControl/>
        <w:kinsoku/>
        <w:wordWrap/>
        <w:overflowPunct/>
        <w:topLinePunct w:val="0"/>
        <w:autoSpaceDE/>
        <w:autoSpaceDN/>
        <w:bidi w:val="0"/>
        <w:snapToGrid/>
        <w:spacing w:line="400" w:lineRule="exact"/>
        <w:ind w:firstLine="566" w:firstLineChars="200"/>
        <w:rPr>
          <w:rFonts w:hint="eastAsia" w:ascii="仿宋_GB2312" w:hAnsi="仿宋_GB2312" w:eastAsia="仿宋_GB2312" w:cs="仿宋_GB2312"/>
          <w:sz w:val="28"/>
          <w:szCs w:val="28"/>
        </w:rPr>
      </w:pPr>
    </w:p>
    <w:p>
      <w:pPr>
        <w:keepNext w:val="0"/>
        <w:keepLines w:val="0"/>
        <w:pageBreakBefore w:val="0"/>
        <w:widowControl/>
        <w:kinsoku/>
        <w:wordWrap/>
        <w:overflowPunct/>
        <w:topLinePunct w:val="0"/>
        <w:bidi w:val="0"/>
        <w:adjustRightInd/>
        <w:snapToGrid/>
        <w:spacing w:line="400" w:lineRule="exact"/>
        <w:jc w:val="both"/>
        <w:textAlignment w:val="auto"/>
        <w:rPr>
          <w:rFonts w:hint="eastAsia" w:ascii="黑体" w:hAnsi="黑体" w:eastAsia="黑体" w:cs="黑体"/>
          <w:sz w:val="32"/>
          <w:szCs w:val="32"/>
          <w:lang w:val="en-US" w:eastAsia="zh-CN"/>
        </w:rPr>
      </w:pPr>
    </w:p>
    <w:p>
      <w:pPr>
        <w:pStyle w:val="38"/>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38"/>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第三标段</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192" w:afterLines="50" w:line="400" w:lineRule="exact"/>
        <w:ind w:firstLine="646" w:firstLineChars="200"/>
        <w:jc w:val="center"/>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sz w:val="32"/>
          <w:szCs w:val="32"/>
        </w:rPr>
        <w:t>关于对文检勘查箱、超级文件检验工作站</w:t>
      </w:r>
      <w:r>
        <w:rPr>
          <w:rFonts w:hint="eastAsia" w:ascii="仿宋_GB2312" w:hAnsi="仿宋_GB2312" w:eastAsia="仿宋_GB2312" w:cs="仿宋_GB2312"/>
          <w:b/>
          <w:bCs/>
          <w:color w:val="000000"/>
          <w:sz w:val="32"/>
          <w:szCs w:val="32"/>
        </w:rPr>
        <w:t>招标</w:t>
      </w:r>
      <w:r>
        <w:rPr>
          <w:rFonts w:hint="eastAsia" w:ascii="仿宋_GB2312" w:hAnsi="仿宋_GB2312" w:eastAsia="仿宋_GB2312" w:cs="仿宋_GB2312"/>
          <w:b/>
          <w:bCs/>
          <w:color w:val="000000"/>
          <w:sz w:val="32"/>
          <w:szCs w:val="32"/>
          <w:lang w:val="en-US" w:eastAsia="zh-CN"/>
        </w:rPr>
        <w:t>采购需求</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一、主要功能</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（一）文检勘查箱：</w:t>
      </w:r>
      <w:r>
        <w:rPr>
          <w:rFonts w:hint="eastAsia" w:ascii="仿宋_GB2312" w:hAnsi="仿宋_GB2312" w:eastAsia="仿宋_GB2312" w:cs="仿宋_GB2312"/>
          <w:sz w:val="28"/>
          <w:szCs w:val="28"/>
        </w:rPr>
        <w:t>采用一体化便携拉杆箱设计，方便外出办案。通过多种专业采集检验设备组合，可实现对印章印文、笔迹、手印的1:1快速高清采集与实时比对，对变造文件、伪造文件和打印文件快速检验，对证据固定以及特征标注，测量。</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（二）</w:t>
      </w:r>
      <w:r>
        <w:rPr>
          <w:rFonts w:hint="eastAsia" w:ascii="仿宋_GB2312" w:hAnsi="仿宋_GB2312" w:eastAsia="仿宋_GB2312" w:cs="仿宋_GB2312"/>
          <w:sz w:val="28"/>
          <w:szCs w:val="28"/>
        </w:rPr>
        <w:t>超级文件检验工作站：融合计算机控制技术、光学技术、机电控制技术、图像处理等技术于一身，为文件检验提供丰富的技术手段。能够利用全光谱LED光源系统，揭示书写材料细微差异。内置高速显微分光光度计，快速完成光谱定量分析，具备自动自检功能。</w:t>
      </w:r>
    </w:p>
    <w:p>
      <w:pPr>
        <w:keepNext w:val="0"/>
        <w:keepLines w:val="0"/>
        <w:pageBreakBefore w:val="0"/>
        <w:widowControl/>
        <w:kinsoku/>
        <w:wordWrap/>
        <w:overflowPunct/>
        <w:topLinePunct w:val="0"/>
        <w:autoSpaceDE/>
        <w:autoSpaceDN/>
        <w:bidi w:val="0"/>
        <w:adjustRightInd w:val="0"/>
        <w:snapToGrid/>
        <w:spacing w:line="400" w:lineRule="exact"/>
        <w:ind w:firstLine="566" w:firstLineChars="200"/>
        <w:jc w:val="left"/>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二、</w:t>
      </w:r>
      <w:r>
        <w:rPr>
          <w:rFonts w:hint="eastAsia" w:ascii="仿宋_GB2312" w:hAnsi="仿宋_GB2312" w:eastAsia="仿宋_GB2312" w:cs="仿宋_GB2312"/>
          <w:b/>
          <w:sz w:val="28"/>
          <w:szCs w:val="28"/>
          <w:lang w:val="en-US" w:eastAsia="zh-CN"/>
        </w:rPr>
        <w:t>技术参数</w:t>
      </w:r>
    </w:p>
    <w:p>
      <w:pPr>
        <w:keepNext w:val="0"/>
        <w:keepLines w:val="0"/>
        <w:pageBreakBefore w:val="0"/>
        <w:widowControl/>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（一）文检勘查箱：</w:t>
      </w:r>
    </w:p>
    <w:p>
      <w:pPr>
        <w:pStyle w:val="52"/>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采用一体化便携拉杆箱设计，通过多种专业采集检验设备组合，可实现对印章印文、笔迹、手印的1:1快速高清采集与实时比对，对变造文件、伪造文件和打印文件快速检验，对证据固定以及特征标注、测量。</w:t>
      </w:r>
    </w:p>
    <w:p>
      <w:pPr>
        <w:pStyle w:val="52"/>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高清印章手印笔迹翻拍鉴别仪</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 印章印文、笔迹、手印1:1物证规范采集；</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2.2 图像采集范围≥56×56mm，满足各种尺寸印章、签名笔迹采集需求</w:t>
      </w:r>
      <w:r>
        <w:rPr>
          <w:rFonts w:hint="eastAsia" w:ascii="仿宋_GB2312" w:hAnsi="仿宋_GB2312" w:eastAsia="仿宋_GB2312" w:cs="仿宋_GB2312"/>
          <w:b/>
          <w:bCs/>
          <w:sz w:val="28"/>
          <w:szCs w:val="28"/>
        </w:rPr>
        <w:t>（需出具采集范围佐证图片）</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 配备≥1000万像素数字成像系统，能够实现图像的高清采集；</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 内置≥2组环形白光光源、≥1组蓝光光源，能满足不同场景设备使用要求；</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 支持通过USB3.0数据接口与电脑端连接，或通过内置wifi与手机相连，进行图像获取、数据传输；</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2.6支持现场印章快速检验，具有印章重叠、拼接、旋转、拖动、标注测量功能；</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 支持对采集的JPG、TIFF等图像裁剪、特征标注、分类管理，具有符合国家标准和规范的符号标注库；</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 具有测量长度、角度、直径等测量辅助工具；具有比对表创建功能，支持自定义编辑、自定义模板；</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3、手持式文检仪</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 具有≥3档放大倍率，最低放大倍率≥15倍，中档放大倍率40倍，最高放大倍率≥140倍；</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 配备≥6种发光二极管光源，包含高色温白光、蓝光、绿光、长波紫外光、双波段近红外光等；</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3.3 配备滤镜台，具有≥8片高精度光学截止滤色片，滤色片截止波长含490nm、550nm、565nm、610nm、670nm、700nm、760nm等，保证光学检验成像质量</w:t>
      </w:r>
      <w:r>
        <w:rPr>
          <w:rFonts w:hint="eastAsia" w:ascii="仿宋_GB2312" w:hAnsi="仿宋_GB2312" w:eastAsia="仿宋_GB2312" w:cs="仿宋_GB2312"/>
          <w:b/>
          <w:bCs/>
          <w:sz w:val="28"/>
          <w:szCs w:val="28"/>
        </w:rPr>
        <w:t>（需出具滤镜台佐证图片）</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 手持操作，支持对圆柱体等异型物体表面进行快速检测，可通过USB接口直连供电；</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4、零边距扫描仪</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 A4扫描幅面，支持零边距扫描，扫描分辨率≥3档可调，最高扫描分辨率≥1050dpi</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5、配备文检放大镜，放大倍率≥10倍，内置二极管白光与紫外光光源。</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6、配备折叠伸缩式翻拍仪，分辨率≥1000万像素，能够对A3/A4幅面卷宗进行整体图像拍照和固定。</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、配备便携机动数据处理平台，≥12英寸显示屏，安装正版Windows操作系统。</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、配备应急文件检材分析工作站，具备酷睿i7处理器，处理器加速频率≥5.0GHz，内存频率≥5200MHz，内存≥16G，固态硬盘≥1TB，屏幕尺寸≥14寸，分辨率≥2240*1400，USB3.2接口数量≥2，雷电端口≥1</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 xml:space="preserve">、配置便携式证照检验仪 </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.1配备≥3英寸全彩显示屏，实时显示当前检验参数、检验图像；支持≥3种放大倍率调节，提供不小于30倍的放大倍率，图像分辨率不低于500万像素，配备HDMI接口，可连接高清显示器，同步显示。</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.2配备紫外、蓝光、顶白光、侧白光、红外光光源等，光源种类≥5种；支持顶照、侧照、交叉照明等≥3种配光方案；</w:t>
      </w:r>
    </w:p>
    <w:p>
      <w:pPr>
        <w:keepNext w:val="0"/>
        <w:keepLines w:val="0"/>
        <w:pageBreakBefore w:val="0"/>
        <w:widowControl/>
        <w:numPr>
          <w:ilvl w:val="0"/>
          <w:numId w:val="0"/>
        </w:numPr>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10、</w:t>
      </w:r>
      <w:r>
        <w:rPr>
          <w:rFonts w:hint="eastAsia" w:ascii="仿宋_GB2312" w:hAnsi="仿宋_GB2312" w:eastAsia="仿宋_GB2312" w:cs="仿宋_GB2312"/>
          <w:sz w:val="28"/>
          <w:szCs w:val="28"/>
        </w:rPr>
        <w:t>配备文件检材输出设备，支持无边框打印和自动双面，彩色模式打印分辨率≥4800*1200dpi,支持无线网络打印,黑白印量≥4500页。</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（二）</w:t>
      </w:r>
      <w:r>
        <w:rPr>
          <w:rFonts w:hint="eastAsia" w:ascii="仿宋_GB2312" w:hAnsi="仿宋_GB2312" w:eastAsia="仿宋_GB2312" w:cs="仿宋_GB2312"/>
          <w:sz w:val="28"/>
          <w:szCs w:val="28"/>
        </w:rPr>
        <w:t>超级文件检验工作站：</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1、仪器操作安全性</w:t>
      </w:r>
    </w:p>
    <w:p>
      <w:pPr>
        <w:keepNext w:val="0"/>
        <w:keepLines w:val="0"/>
        <w:pageBreakBefore w:val="0"/>
        <w:widowControl/>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color w:val="000000"/>
          <w:kern w:val="0"/>
          <w:sz w:val="28"/>
          <w:szCs w:val="28"/>
        </w:rPr>
        <w:t>仪器正面、背面、左侧、右侧防护盖板可向上翻起并且带有</w:t>
      </w:r>
      <w:r>
        <w:rPr>
          <w:rFonts w:hint="eastAsia" w:ascii="仿宋_GB2312" w:hAnsi="仿宋_GB2312" w:eastAsia="仿宋_GB2312" w:cs="仿宋_GB2312"/>
          <w:color w:val="000000"/>
          <w:sz w:val="28"/>
          <w:szCs w:val="28"/>
        </w:rPr>
        <w:t>安全联锁装置，其中正面防护盖板具有荧光观察窗口，防护盖板没有关闭时，对人体有害的</w:t>
      </w:r>
      <w:r>
        <w:rPr>
          <w:rFonts w:hint="eastAsia" w:ascii="仿宋_GB2312" w:hAnsi="仿宋_GB2312" w:eastAsia="仿宋_GB2312" w:cs="仿宋_GB2312"/>
          <w:color w:val="000000"/>
          <w:kern w:val="0"/>
          <w:sz w:val="28"/>
          <w:szCs w:val="28"/>
        </w:rPr>
        <w:t>中波紫外光源、短波紫外光源无法启动，可确保操作人员安全。</w:t>
      </w:r>
    </w:p>
    <w:p>
      <w:pPr>
        <w:keepNext w:val="0"/>
        <w:keepLines w:val="0"/>
        <w:pageBreakBefore w:val="0"/>
        <w:widowControl/>
        <w:kinsoku/>
        <w:wordWrap/>
        <w:overflowPunct/>
        <w:topLinePunct w:val="0"/>
        <w:autoSpaceDE/>
        <w:autoSpaceDN/>
        <w:bidi w:val="0"/>
        <w:snapToGrid/>
        <w:spacing w:line="400" w:lineRule="exact"/>
        <w:ind w:left="2" w:firstLine="566"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1.2</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color w:val="000000"/>
          <w:sz w:val="28"/>
          <w:szCs w:val="28"/>
        </w:rPr>
        <w:t>软件具有监控各</w:t>
      </w:r>
      <w:r>
        <w:rPr>
          <w:rFonts w:hint="eastAsia" w:ascii="仿宋_GB2312" w:hAnsi="仿宋_GB2312" w:eastAsia="仿宋_GB2312" w:cs="仿宋_GB2312"/>
          <w:color w:val="000000"/>
          <w:kern w:val="0"/>
          <w:sz w:val="28"/>
          <w:szCs w:val="28"/>
        </w:rPr>
        <w:t>防护盖板开启功能，处于开启状态的盖板，软件界面应具有警告提示。</w:t>
      </w:r>
    </w:p>
    <w:p>
      <w:pPr>
        <w:keepNext w:val="0"/>
        <w:keepLines w:val="0"/>
        <w:pageBreakBefore w:val="0"/>
        <w:widowControl/>
        <w:kinsoku/>
        <w:wordWrap/>
        <w:overflowPunct/>
        <w:topLinePunct w:val="0"/>
        <w:autoSpaceDE/>
        <w:autoSpaceDN/>
        <w:bidi w:val="0"/>
        <w:snapToGrid/>
        <w:spacing w:line="400" w:lineRule="exact"/>
        <w:ind w:left="2"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2、成像及光学系统</w:t>
      </w:r>
    </w:p>
    <w:p>
      <w:pPr>
        <w:keepNext w:val="0"/>
        <w:keepLines w:val="0"/>
        <w:pageBreakBefore w:val="0"/>
        <w:widowControl/>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bCs/>
          <w:color w:val="000000"/>
          <w:sz w:val="28"/>
          <w:szCs w:val="28"/>
        </w:rPr>
        <w:t>2.1、彩色/红外高分辨率数字成像系统：内置，实时图像分辨率≥1200万像素，光谱范围≥</w:t>
      </w:r>
      <w:r>
        <w:rPr>
          <w:rFonts w:hint="eastAsia" w:ascii="仿宋_GB2312" w:hAnsi="仿宋_GB2312" w:eastAsia="仿宋_GB2312" w:cs="仿宋_GB2312"/>
          <w:color w:val="000000"/>
          <w:sz w:val="28"/>
          <w:szCs w:val="28"/>
        </w:rPr>
        <w:t>350～1100纳米，最大实时动态视场范围</w:t>
      </w:r>
      <w:r>
        <w:rPr>
          <w:rFonts w:hint="eastAsia" w:ascii="仿宋_GB2312" w:hAnsi="仿宋_GB2312" w:eastAsia="仿宋_GB2312" w:cs="仿宋_GB2312"/>
          <w:bCs/>
          <w:color w:val="000000"/>
          <w:sz w:val="28"/>
          <w:szCs w:val="28"/>
        </w:rPr>
        <w:t>≥220×160毫米，</w:t>
      </w:r>
      <w:r>
        <w:rPr>
          <w:rFonts w:hint="eastAsia" w:ascii="仿宋_GB2312" w:hAnsi="仿宋_GB2312" w:eastAsia="仿宋_GB2312" w:cs="仿宋_GB2312"/>
          <w:color w:val="000000"/>
          <w:sz w:val="28"/>
          <w:szCs w:val="28"/>
        </w:rPr>
        <w:t>采用USB3.1高速</w:t>
      </w:r>
      <w:r>
        <w:rPr>
          <w:rFonts w:hint="eastAsia" w:ascii="仿宋_GB2312" w:hAnsi="仿宋_GB2312" w:eastAsia="仿宋_GB2312" w:cs="仿宋_GB2312"/>
          <w:bCs/>
          <w:color w:val="000000"/>
          <w:sz w:val="28"/>
          <w:szCs w:val="28"/>
        </w:rPr>
        <w:t>数据传输接口，</w:t>
      </w:r>
      <w:r>
        <w:rPr>
          <w:rFonts w:hint="eastAsia" w:ascii="仿宋_GB2312" w:hAnsi="仿宋_GB2312" w:eastAsia="仿宋_GB2312" w:cs="仿宋_GB2312"/>
          <w:color w:val="000000"/>
          <w:sz w:val="28"/>
          <w:szCs w:val="28"/>
        </w:rPr>
        <w:t>对焦、光圈和图像积分时间可手动或自动调节，最长</w:t>
      </w:r>
      <w:r>
        <w:rPr>
          <w:rFonts w:hint="eastAsia" w:ascii="仿宋_GB2312" w:hAnsi="仿宋_GB2312" w:eastAsia="仿宋_GB2312" w:cs="仿宋_GB2312"/>
          <w:bCs/>
          <w:color w:val="000000"/>
          <w:sz w:val="28"/>
          <w:szCs w:val="28"/>
        </w:rPr>
        <w:t>图像积分时间 ≥ 180秒。</w:t>
      </w:r>
      <w:r>
        <w:rPr>
          <w:rFonts w:hint="eastAsia" w:ascii="仿宋_GB2312" w:hAnsi="仿宋_GB2312" w:eastAsia="仿宋_GB2312" w:cs="仿宋_GB2312"/>
          <w:bCs/>
          <w:sz w:val="28"/>
          <w:szCs w:val="28"/>
        </w:rPr>
        <w:t>支持软件合成图像，分辨率不低于1.2亿像素</w:t>
      </w:r>
      <w:r>
        <w:rPr>
          <w:rFonts w:hint="eastAsia" w:ascii="仿宋_GB2312" w:hAnsi="仿宋_GB2312" w:eastAsia="仿宋_GB2312" w:cs="仿宋_GB2312"/>
          <w:b/>
          <w:color w:val="000000"/>
          <w:sz w:val="28"/>
          <w:szCs w:val="28"/>
        </w:rPr>
        <w:t>（实时图像分辨率需提供本机拍摄的静态图像佐证）</w:t>
      </w:r>
    </w:p>
    <w:p>
      <w:pPr>
        <w:keepNext w:val="0"/>
        <w:keepLines w:val="0"/>
        <w:pageBreakBefore w:val="0"/>
        <w:widowControl/>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2.2、</w:t>
      </w:r>
      <w:r>
        <w:rPr>
          <w:rFonts w:hint="eastAsia" w:ascii="仿宋_GB2312" w:hAnsi="仿宋_GB2312" w:eastAsia="仿宋_GB2312" w:cs="仿宋_GB2312"/>
          <w:bCs/>
          <w:color w:val="000000"/>
          <w:sz w:val="28"/>
          <w:szCs w:val="28"/>
        </w:rPr>
        <w:t>最大增强视场范围≥280×210毫米。</w:t>
      </w:r>
    </w:p>
    <w:p>
      <w:pPr>
        <w:keepNext w:val="0"/>
        <w:keepLines w:val="0"/>
        <w:pageBreakBefore w:val="0"/>
        <w:widowControl/>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Cs/>
          <w:color w:val="000000"/>
          <w:sz w:val="28"/>
          <w:szCs w:val="28"/>
        </w:rPr>
        <w:t>2.3、</w:t>
      </w:r>
      <w:bookmarkStart w:id="192" w:name="_Hlk56430342"/>
      <w:r>
        <w:rPr>
          <w:rFonts w:hint="eastAsia" w:ascii="仿宋_GB2312" w:hAnsi="仿宋_GB2312" w:eastAsia="仿宋_GB2312" w:cs="仿宋_GB2312"/>
          <w:color w:val="000000"/>
          <w:sz w:val="28"/>
          <w:szCs w:val="28"/>
        </w:rPr>
        <w:t>内置</w:t>
      </w:r>
      <w:r>
        <w:rPr>
          <w:rFonts w:hint="eastAsia" w:ascii="仿宋_GB2312" w:hAnsi="仿宋_GB2312" w:eastAsia="仿宋_GB2312" w:cs="仿宋_GB2312"/>
          <w:color w:val="000000"/>
          <w:kern w:val="0"/>
          <w:sz w:val="28"/>
          <w:szCs w:val="28"/>
        </w:rPr>
        <w:t>全软件控制的高精度电动载物台。</w:t>
      </w:r>
      <w:bookmarkEnd w:id="192"/>
    </w:p>
    <w:p>
      <w:pPr>
        <w:keepNext w:val="0"/>
        <w:keepLines w:val="0"/>
        <w:pageBreakBefore w:val="0"/>
        <w:widowControl/>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bCs/>
          <w:color w:val="000000"/>
          <w:sz w:val="28"/>
          <w:szCs w:val="28"/>
        </w:rPr>
        <w:t>2.4、纯光学放大倍率≥245倍。配备双高清4K 显示器，实现不同放大倍率的同步显示，最高光学放大倍率≥340倍，最高综合放大倍率≥2000倍，连续放大功能，并预置常用放大档位，实现连续无级变倍</w:t>
      </w:r>
      <w:r>
        <w:rPr>
          <w:rFonts w:hint="eastAsia" w:ascii="仿宋_GB2312" w:hAnsi="仿宋_GB2312" w:eastAsia="仿宋_GB2312" w:cs="仿宋_GB2312"/>
          <w:b/>
          <w:color w:val="000000"/>
          <w:sz w:val="28"/>
          <w:szCs w:val="28"/>
        </w:rPr>
        <w:t>（双高清4K显示器实现不同放大倍率提供佐证照片）</w:t>
      </w:r>
    </w:p>
    <w:p>
      <w:pPr>
        <w:keepNext w:val="0"/>
        <w:keepLines w:val="0"/>
        <w:pageBreakBefore w:val="0"/>
        <w:widowControl/>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Cs/>
          <w:color w:val="000000"/>
          <w:sz w:val="28"/>
          <w:szCs w:val="28"/>
        </w:rPr>
        <w:t>2.5、软件界面可获取显示</w:t>
      </w:r>
      <w:r>
        <w:rPr>
          <w:rFonts w:hint="eastAsia" w:ascii="仿宋_GB2312" w:hAnsi="仿宋_GB2312" w:eastAsia="仿宋_GB2312" w:cs="仿宋_GB2312"/>
          <w:color w:val="000000"/>
          <w:kern w:val="0"/>
          <w:sz w:val="28"/>
          <w:szCs w:val="28"/>
        </w:rPr>
        <w:t>≥A4尺寸文件，并可保存图像。</w:t>
      </w:r>
    </w:p>
    <w:p>
      <w:pPr>
        <w:keepNext w:val="0"/>
        <w:keepLines w:val="0"/>
        <w:pageBreakBefore w:val="0"/>
        <w:widowControl/>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2.6、摄像机前截止型滤色片</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bCs/>
          <w:color w:val="000000"/>
          <w:sz w:val="28"/>
          <w:szCs w:val="28"/>
        </w:rPr>
        <w:t>18片，包括可见光滤色片，UV滤色片和偏振光滤色片，可自动或手动控制切换。</w:t>
      </w:r>
    </w:p>
    <w:p>
      <w:pPr>
        <w:keepNext w:val="0"/>
        <w:keepLines w:val="0"/>
        <w:pageBreakBefore w:val="0"/>
        <w:widowControl/>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3、检验光源数量</w:t>
      </w:r>
      <w:r>
        <w:rPr>
          <w:rFonts w:hint="eastAsia" w:ascii="仿宋_GB2312" w:hAnsi="仿宋_GB2312" w:eastAsia="仿宋_GB2312" w:cs="仿宋_GB2312"/>
          <w:color w:val="000000"/>
          <w:kern w:val="0"/>
          <w:sz w:val="28"/>
          <w:szCs w:val="28"/>
        </w:rPr>
        <w:t>≥18种，应包括</w:t>
      </w:r>
    </w:p>
    <w:p>
      <w:pPr>
        <w:keepNext w:val="0"/>
        <w:keepLines w:val="0"/>
        <w:pageBreakBefore w:val="0"/>
        <w:widowControl/>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bCs/>
          <w:color w:val="000000"/>
          <w:sz w:val="28"/>
          <w:szCs w:val="28"/>
        </w:rPr>
        <w:t>3.1、</w:t>
      </w:r>
      <w:r>
        <w:rPr>
          <w:rFonts w:hint="eastAsia" w:ascii="仿宋_GB2312" w:hAnsi="仿宋_GB2312" w:eastAsia="仿宋_GB2312" w:cs="仿宋_GB2312"/>
          <w:color w:val="000000"/>
          <w:sz w:val="28"/>
          <w:szCs w:val="28"/>
        </w:rPr>
        <w:t>可见/红外入射泛光源：采用独立可见/红外LED光源，光源强度可调</w:t>
      </w:r>
    </w:p>
    <w:p>
      <w:pPr>
        <w:keepNext w:val="0"/>
        <w:keepLines w:val="0"/>
        <w:pageBreakBefore w:val="0"/>
        <w:widowControl/>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3.2、</w:t>
      </w:r>
      <w:r>
        <w:rPr>
          <w:rFonts w:hint="eastAsia" w:ascii="仿宋_GB2312" w:hAnsi="仿宋_GB2312" w:eastAsia="仿宋_GB2312" w:cs="仿宋_GB2312"/>
          <w:color w:val="000000"/>
          <w:sz w:val="28"/>
          <w:szCs w:val="28"/>
        </w:rPr>
        <w:t>带通光源：功率≥100瓦，连续可调带通滤色片，光谱范围</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rPr>
        <w:t>400～1000纳米，光学分辨率≤3纳米，可连续输出</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rPr>
        <w:t>200波段激发光源。</w:t>
      </w:r>
    </w:p>
    <w:p>
      <w:pPr>
        <w:keepNext w:val="0"/>
        <w:keepLines w:val="0"/>
        <w:pageBreakBefore w:val="0"/>
        <w:widowControl/>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3.3、</w:t>
      </w:r>
      <w:r>
        <w:rPr>
          <w:rFonts w:hint="eastAsia" w:ascii="仿宋_GB2312" w:hAnsi="仿宋_GB2312" w:eastAsia="仿宋_GB2312" w:cs="仿宋_GB2312"/>
          <w:color w:val="000000"/>
          <w:sz w:val="28"/>
          <w:szCs w:val="28"/>
        </w:rPr>
        <w:t>配备发光二极管技术的365纳米长波入射紫外光源。</w:t>
      </w:r>
    </w:p>
    <w:p>
      <w:pPr>
        <w:keepNext w:val="0"/>
        <w:keepLines w:val="0"/>
        <w:pageBreakBefore w:val="0"/>
        <w:widowControl/>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3.4、</w:t>
      </w:r>
      <w:r>
        <w:rPr>
          <w:rFonts w:hint="eastAsia" w:ascii="仿宋_GB2312" w:hAnsi="仿宋_GB2312" w:eastAsia="仿宋_GB2312" w:cs="仿宋_GB2312"/>
          <w:color w:val="000000"/>
          <w:sz w:val="28"/>
          <w:szCs w:val="28"/>
        </w:rPr>
        <w:t>配备发光二极管技术的365纳米长波透射紫外光源。</w:t>
      </w:r>
    </w:p>
    <w:p>
      <w:pPr>
        <w:keepNext w:val="0"/>
        <w:keepLines w:val="0"/>
        <w:pageBreakBefore w:val="0"/>
        <w:widowControl/>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3.5、配备发光二极管技术的365纳米长波紫外脉冲光源，可有效区分防伪油墨的荧光和磷光效应。</w:t>
      </w:r>
    </w:p>
    <w:p>
      <w:pPr>
        <w:keepNext w:val="0"/>
        <w:keepLines w:val="0"/>
        <w:pageBreakBefore w:val="0"/>
        <w:widowControl/>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3.6、带安全联锁防护装置的312纳米中波入射紫外光源。</w:t>
      </w:r>
    </w:p>
    <w:p>
      <w:pPr>
        <w:keepNext w:val="0"/>
        <w:keepLines w:val="0"/>
        <w:pageBreakBefore w:val="0"/>
        <w:widowControl/>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3.7、带安全联锁防护装置的254纳米短波入射紫外光源。</w:t>
      </w:r>
    </w:p>
    <w:p>
      <w:pPr>
        <w:keepNext w:val="0"/>
        <w:keepLines w:val="0"/>
        <w:pageBreakBefore w:val="0"/>
        <w:widowControl/>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3.8、</w:t>
      </w:r>
      <w:r>
        <w:rPr>
          <w:rFonts w:hint="eastAsia" w:ascii="仿宋_GB2312" w:hAnsi="仿宋_GB2312" w:eastAsia="仿宋_GB2312" w:cs="仿宋_GB2312"/>
          <w:color w:val="000000"/>
          <w:sz w:val="28"/>
          <w:szCs w:val="28"/>
        </w:rPr>
        <w:t>采用发光二极管技术的透射可见/红外泛光源。</w:t>
      </w:r>
    </w:p>
    <w:p>
      <w:pPr>
        <w:keepNext w:val="0"/>
        <w:keepLines w:val="0"/>
        <w:pageBreakBefore w:val="0"/>
        <w:widowControl/>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3.9、具备强透射点光源。</w:t>
      </w:r>
    </w:p>
    <w:p>
      <w:pPr>
        <w:keepNext w:val="0"/>
        <w:keepLines w:val="0"/>
        <w:pageBreakBefore w:val="0"/>
        <w:widowControl/>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3.10、强光源,功率≥250瓦，带通输出波段≥130组；配有可手动或自动调节的聚光镜头和隔热保护装置；荧光观察截止滤色片可根据选用的激发滤色片自动匹配。</w:t>
      </w:r>
    </w:p>
    <w:p>
      <w:pPr>
        <w:keepNext w:val="0"/>
        <w:keepLines w:val="0"/>
        <w:pageBreakBefore w:val="0"/>
        <w:widowControl/>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3.11、</w:t>
      </w:r>
      <w:r>
        <w:rPr>
          <w:rFonts w:hint="eastAsia" w:ascii="仿宋_GB2312" w:hAnsi="仿宋_GB2312" w:eastAsia="仿宋_GB2312" w:cs="仿宋_GB2312"/>
          <w:color w:val="000000"/>
          <w:sz w:val="28"/>
          <w:szCs w:val="28"/>
        </w:rPr>
        <w:t>发光二极管可见光双侧光源，照射角度和高度可调，可一键自动将左侧和右侧光源分别开启观察所得两幅的侧光图像用计算机进行叠加处理。</w:t>
      </w:r>
    </w:p>
    <w:p>
      <w:pPr>
        <w:keepNext w:val="0"/>
        <w:keepLines w:val="0"/>
        <w:pageBreakBefore w:val="0"/>
        <w:widowControl/>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3.12 发光二极管红外光双侧光源，照射角度和高度可调。</w:t>
      </w:r>
    </w:p>
    <w:p>
      <w:pPr>
        <w:keepNext w:val="0"/>
        <w:keepLines w:val="0"/>
        <w:pageBreakBefore w:val="0"/>
        <w:widowControl/>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3.13、配备980纳米高强度LED发光二极管阵列光源。</w:t>
      </w:r>
    </w:p>
    <w:p>
      <w:pPr>
        <w:keepNext w:val="0"/>
        <w:keepLines w:val="0"/>
        <w:pageBreakBefore w:val="0"/>
        <w:widowControl/>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3.14、配备发光二极管阵列同轴光源。</w:t>
      </w:r>
    </w:p>
    <w:p>
      <w:pPr>
        <w:keepNext w:val="0"/>
        <w:keepLines w:val="0"/>
        <w:pageBreakBefore w:val="0"/>
        <w:widowControl/>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3.15、配备背景发光二极管照明光源，光强连续可调。</w:t>
      </w:r>
    </w:p>
    <w:p>
      <w:pPr>
        <w:keepNext w:val="0"/>
        <w:keepLines w:val="0"/>
        <w:pageBreakBefore w:val="0"/>
        <w:widowControl/>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bCs/>
          <w:color w:val="000000"/>
          <w:sz w:val="28"/>
          <w:szCs w:val="28"/>
        </w:rPr>
        <w:t>3.16、</w:t>
      </w:r>
      <w:r>
        <w:rPr>
          <w:rFonts w:hint="eastAsia" w:ascii="仿宋_GB2312" w:hAnsi="仿宋_GB2312" w:eastAsia="仿宋_GB2312" w:cs="仿宋_GB2312"/>
          <w:color w:val="000000"/>
          <w:kern w:val="0"/>
          <w:sz w:val="28"/>
          <w:szCs w:val="28"/>
        </w:rPr>
        <w:t>X-Y轴十字交叉双向</w:t>
      </w:r>
      <w:r>
        <w:rPr>
          <w:rFonts w:hint="eastAsia" w:ascii="仿宋_GB2312" w:hAnsi="仿宋_GB2312" w:eastAsia="仿宋_GB2312" w:cs="仿宋_GB2312"/>
          <w:color w:val="000000"/>
          <w:sz w:val="28"/>
          <w:szCs w:val="28"/>
        </w:rPr>
        <w:t>发光二极管</w:t>
      </w:r>
      <w:r>
        <w:rPr>
          <w:rFonts w:hint="eastAsia" w:ascii="仿宋_GB2312" w:hAnsi="仿宋_GB2312" w:eastAsia="仿宋_GB2312" w:cs="仿宋_GB2312"/>
          <w:color w:val="000000"/>
          <w:kern w:val="0"/>
          <w:sz w:val="28"/>
          <w:szCs w:val="28"/>
        </w:rPr>
        <w:t>环形光源，可手动或自动控制切换，双向</w:t>
      </w:r>
      <w:r>
        <w:rPr>
          <w:rFonts w:hint="eastAsia" w:ascii="仿宋_GB2312" w:hAnsi="仿宋_GB2312" w:eastAsia="仿宋_GB2312" w:cs="仿宋_GB2312"/>
          <w:color w:val="000000"/>
          <w:sz w:val="28"/>
          <w:szCs w:val="28"/>
        </w:rPr>
        <w:t>发光二极管</w:t>
      </w:r>
      <w:r>
        <w:rPr>
          <w:rFonts w:hint="eastAsia" w:ascii="仿宋_GB2312" w:hAnsi="仿宋_GB2312" w:eastAsia="仿宋_GB2312" w:cs="仿宋_GB2312"/>
          <w:color w:val="000000"/>
          <w:kern w:val="0"/>
          <w:sz w:val="28"/>
          <w:szCs w:val="28"/>
        </w:rPr>
        <w:t>总数≥37只，用于检验激光全息类防伪技术。</w:t>
      </w:r>
      <w:r>
        <w:rPr>
          <w:rFonts w:hint="eastAsia" w:ascii="仿宋_GB2312" w:hAnsi="仿宋_GB2312" w:eastAsia="仿宋_GB2312" w:cs="仿宋_GB2312"/>
          <w:b/>
          <w:bCs/>
          <w:color w:val="000000"/>
          <w:kern w:val="0"/>
          <w:sz w:val="28"/>
          <w:szCs w:val="28"/>
        </w:rPr>
        <w:t>（需出具发光二极管数量佐证照片）</w:t>
      </w:r>
    </w:p>
    <w:p>
      <w:pPr>
        <w:keepNext w:val="0"/>
        <w:keepLines w:val="0"/>
        <w:pageBreakBefore w:val="0"/>
        <w:widowControl/>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3.17、配备发光二极管双环形偏振光源。</w:t>
      </w:r>
    </w:p>
    <w:p>
      <w:pPr>
        <w:keepNext w:val="0"/>
        <w:keepLines w:val="0"/>
        <w:pageBreakBefore w:val="0"/>
        <w:widowControl/>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3.18 顶置结构光：4只LED发光二极管光源，用于三维立体成像。</w:t>
      </w:r>
    </w:p>
    <w:p>
      <w:pPr>
        <w:keepNext w:val="0"/>
        <w:keepLines w:val="0"/>
        <w:pageBreakBefore w:val="0"/>
        <w:widowControl/>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3.19 系统可对光源实时工作电流及已使用小时数进行监控，有异常情况或光源寿命到期时可实时报警提示。</w:t>
      </w:r>
    </w:p>
    <w:p>
      <w:pPr>
        <w:keepNext w:val="0"/>
        <w:keepLines w:val="0"/>
        <w:pageBreakBefore w:val="0"/>
        <w:widowControl/>
        <w:kinsoku/>
        <w:wordWrap/>
        <w:overflowPunct/>
        <w:topLinePunct w:val="0"/>
        <w:autoSpaceDE/>
        <w:autoSpaceDN/>
        <w:bidi w:val="0"/>
        <w:adjustRightInd/>
        <w:snapToGrid/>
        <w:spacing w:line="400" w:lineRule="exact"/>
        <w:ind w:right="17" w:firstLine="566" w:firstLineChars="20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bCs/>
          <w:color w:val="000000"/>
          <w:sz w:val="28"/>
          <w:szCs w:val="28"/>
        </w:rPr>
        <w:t>4、内置高速</w:t>
      </w:r>
      <w:r>
        <w:rPr>
          <w:rFonts w:hint="eastAsia" w:ascii="仿宋_GB2312" w:hAnsi="仿宋_GB2312" w:eastAsia="仿宋_GB2312" w:cs="仿宋_GB2312"/>
          <w:color w:val="000000"/>
          <w:kern w:val="0"/>
          <w:sz w:val="28"/>
          <w:szCs w:val="28"/>
        </w:rPr>
        <w:t>显微分光光度计</w:t>
      </w:r>
    </w:p>
    <w:p>
      <w:pPr>
        <w:keepNext w:val="0"/>
        <w:keepLines w:val="0"/>
        <w:pageBreakBefore w:val="0"/>
        <w:widowControl/>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采用独立的光谱量化分析通道，光纤传到信号，</w:t>
      </w:r>
      <w:r>
        <w:rPr>
          <w:rFonts w:hint="eastAsia" w:ascii="仿宋_GB2312" w:hAnsi="仿宋_GB2312" w:eastAsia="仿宋_GB2312" w:cs="仿宋_GB2312"/>
          <w:color w:val="000000"/>
          <w:kern w:val="0"/>
          <w:sz w:val="28"/>
          <w:szCs w:val="28"/>
        </w:rPr>
        <w:t>并在≤10秒钟内快速完成分析</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kern w:val="0"/>
          <w:sz w:val="28"/>
          <w:szCs w:val="28"/>
        </w:rPr>
        <w:t>光学分辨率≤3纳米，光谱分析范围≥400-1000纳米，</w:t>
      </w:r>
      <w:r>
        <w:rPr>
          <w:rFonts w:hint="eastAsia" w:ascii="仿宋_GB2312" w:hAnsi="仿宋_GB2312" w:eastAsia="仿宋_GB2312" w:cs="仿宋_GB2312"/>
          <w:color w:val="000000"/>
          <w:sz w:val="28"/>
          <w:szCs w:val="28"/>
        </w:rPr>
        <w:t>采样区域</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rPr>
        <w:t>62微米。可进行吸收、反射、透射、荧光光谱的定量测量，实现对文件形成材料的精确分析。</w:t>
      </w:r>
    </w:p>
    <w:p>
      <w:pPr>
        <w:keepNext w:val="0"/>
        <w:keepLines w:val="0"/>
        <w:pageBreakBefore w:val="0"/>
        <w:widowControl/>
        <w:tabs>
          <w:tab w:val="left" w:pos="180"/>
        </w:tabs>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5、超光谱量化分析功能</w:t>
      </w:r>
    </w:p>
    <w:p>
      <w:pPr>
        <w:keepNext w:val="0"/>
        <w:keepLines w:val="0"/>
        <w:pageBreakBefore w:val="0"/>
        <w:widowControl/>
        <w:tabs>
          <w:tab w:val="left" w:pos="180"/>
        </w:tabs>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具有超光谱量化分析功能，光谱扫描范围≥400～1000纳米，最高光学分辨率</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z w:val="28"/>
          <w:szCs w:val="28"/>
        </w:rPr>
        <w:t>1纳米，自动扫描完成后可生成≥600张检材光谱图像，并保存数据立方体。</w:t>
      </w:r>
    </w:p>
    <w:p>
      <w:pPr>
        <w:keepNext w:val="0"/>
        <w:keepLines w:val="0"/>
        <w:pageBreakBefore w:val="0"/>
        <w:widowControl/>
        <w:tabs>
          <w:tab w:val="left" w:pos="180"/>
        </w:tabs>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6、软件分析功能</w:t>
      </w:r>
    </w:p>
    <w:p>
      <w:pPr>
        <w:keepNext w:val="0"/>
        <w:keepLines w:val="0"/>
        <w:pageBreakBefore w:val="0"/>
        <w:widowControl/>
        <w:kinsoku/>
        <w:wordWrap/>
        <w:overflowPunct/>
        <w:topLinePunct w:val="0"/>
        <w:autoSpaceDE/>
        <w:autoSpaceDN/>
        <w:bidi w:val="0"/>
        <w:snapToGrid/>
        <w:spacing w:line="400" w:lineRule="exact"/>
        <w:ind w:right="249"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6.1、</w:t>
      </w:r>
      <w:r>
        <w:rPr>
          <w:rFonts w:hint="eastAsia" w:ascii="仿宋_GB2312" w:hAnsi="仿宋_GB2312" w:eastAsia="仿宋_GB2312" w:cs="仿宋_GB2312"/>
          <w:color w:val="000000"/>
          <w:sz w:val="28"/>
          <w:szCs w:val="28"/>
        </w:rPr>
        <w:t>具有仪器自动诊断功能</w:t>
      </w:r>
      <w:r>
        <w:rPr>
          <w:rFonts w:hint="eastAsia" w:ascii="仿宋_GB2312" w:hAnsi="仿宋_GB2312" w:eastAsia="仿宋_GB2312" w:cs="仿宋_GB2312"/>
          <w:b/>
          <w:bCs/>
          <w:sz w:val="28"/>
          <w:szCs w:val="28"/>
        </w:rPr>
        <w:t>。</w:t>
      </w:r>
    </w:p>
    <w:p>
      <w:pPr>
        <w:keepNext w:val="0"/>
        <w:keepLines w:val="0"/>
        <w:pageBreakBefore w:val="0"/>
        <w:widowControl/>
        <w:kinsoku/>
        <w:wordWrap/>
        <w:overflowPunct/>
        <w:topLinePunct w:val="0"/>
        <w:autoSpaceDE/>
        <w:autoSpaceDN/>
        <w:bidi w:val="0"/>
        <w:snapToGrid/>
        <w:spacing w:line="400" w:lineRule="exact"/>
        <w:ind w:right="249"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6.2、</w:t>
      </w:r>
      <w:r>
        <w:rPr>
          <w:rFonts w:hint="eastAsia" w:ascii="仿宋_GB2312" w:hAnsi="仿宋_GB2312" w:eastAsia="仿宋_GB2312" w:cs="仿宋_GB2312"/>
          <w:color w:val="000000"/>
          <w:sz w:val="28"/>
          <w:szCs w:val="28"/>
        </w:rPr>
        <w:t>实时图像支持标准分辨率、适配屏幕分辨率、全分辨率三种显示方式；可同屏并排显示实时图像和已存储图像，并可将并排显示的两幅图像一键保存为一个数字图像文件。</w:t>
      </w:r>
    </w:p>
    <w:p>
      <w:pPr>
        <w:keepNext w:val="0"/>
        <w:keepLines w:val="0"/>
        <w:pageBreakBefore w:val="0"/>
        <w:widowControl/>
        <w:kinsoku/>
        <w:wordWrap/>
        <w:overflowPunct/>
        <w:topLinePunct w:val="0"/>
        <w:autoSpaceDE/>
        <w:autoSpaceDN/>
        <w:bidi w:val="0"/>
        <w:snapToGrid/>
        <w:spacing w:line="400" w:lineRule="exact"/>
        <w:ind w:right="249"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6.3、图像分析和处理系统：支持图像测量、注释、印章重叠、拼接、闪烁比对，支持彩色-黑白图像转换、红绿蓝三原色单色通道图像显示等功能。</w:t>
      </w:r>
    </w:p>
    <w:p>
      <w:pPr>
        <w:keepNext w:val="0"/>
        <w:keepLines w:val="0"/>
        <w:pageBreakBefore w:val="0"/>
        <w:widowControl/>
        <w:kinsoku/>
        <w:wordWrap/>
        <w:overflowPunct/>
        <w:topLinePunct w:val="0"/>
        <w:autoSpaceDE/>
        <w:autoSpaceDN/>
        <w:bidi w:val="0"/>
        <w:snapToGrid/>
        <w:spacing w:line="400" w:lineRule="exact"/>
        <w:ind w:right="249"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6.4、具有数字图像增强处理功能，包括：亮度、对比度、HSL、RGB、数字滤波器、均衡化、FFT快速傅立叶变换、伽玛校正、锐化等。</w:t>
      </w:r>
    </w:p>
    <w:p>
      <w:pPr>
        <w:keepNext w:val="0"/>
        <w:keepLines w:val="0"/>
        <w:pageBreakBefore w:val="0"/>
        <w:widowControl/>
        <w:kinsoku/>
        <w:wordWrap/>
        <w:overflowPunct/>
        <w:topLinePunct w:val="0"/>
        <w:autoSpaceDE/>
        <w:autoSpaceDN/>
        <w:bidi w:val="0"/>
        <w:snapToGrid/>
        <w:spacing w:line="400" w:lineRule="exact"/>
        <w:ind w:right="249"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6.5、具有颜色分离、潜影防伪技术观察、OCR光学字符识别、一维/二维条形码快速识别和自动解码、可编程自动预检、选点自动旋转对齐、实时图像选定区域自动优化曝光调节、实时图像视频录制、检验参数自动保存与导入等功能。</w:t>
      </w:r>
    </w:p>
    <w:p>
      <w:pPr>
        <w:keepNext w:val="0"/>
        <w:keepLines w:val="0"/>
        <w:pageBreakBefore w:val="0"/>
        <w:widowControl/>
        <w:kinsoku/>
        <w:wordWrap/>
        <w:overflowPunct/>
        <w:topLinePunct w:val="0"/>
        <w:autoSpaceDE/>
        <w:autoSpaceDN/>
        <w:bidi w:val="0"/>
        <w:snapToGrid/>
        <w:spacing w:line="400" w:lineRule="exact"/>
        <w:ind w:right="249"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6.6 自动红外荧光扫描功能：系统可针对选定的两点，自动遍历一系列检验参数，最终给出使得选定两点红外荧光反差最大的最优检验参数。</w:t>
      </w:r>
    </w:p>
    <w:p>
      <w:pPr>
        <w:keepNext w:val="0"/>
        <w:keepLines w:val="0"/>
        <w:pageBreakBefore w:val="0"/>
        <w:widowControl/>
        <w:kinsoku/>
        <w:wordWrap/>
        <w:overflowPunct/>
        <w:topLinePunct w:val="0"/>
        <w:autoSpaceDE/>
        <w:autoSpaceDN/>
        <w:bidi w:val="0"/>
        <w:snapToGrid/>
        <w:spacing w:line="400" w:lineRule="exact"/>
        <w:ind w:right="249" w:firstLine="566"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6.7</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000000"/>
          <w:sz w:val="28"/>
          <w:szCs w:val="28"/>
        </w:rPr>
        <w:t>宏编程快速自动检验功能：可自动顺序执行一组已存储的检验参数，并获取相应图像。</w:t>
      </w:r>
      <w:r>
        <w:rPr>
          <w:rFonts w:hint="eastAsia" w:ascii="仿宋_GB2312" w:hAnsi="仿宋_GB2312" w:eastAsia="仿宋_GB2312" w:cs="仿宋_GB2312"/>
          <w:b/>
          <w:color w:val="000000"/>
          <w:sz w:val="28"/>
          <w:szCs w:val="28"/>
        </w:rPr>
        <w:t xml:space="preserve"> </w:t>
      </w:r>
    </w:p>
    <w:p>
      <w:pPr>
        <w:keepNext w:val="0"/>
        <w:keepLines w:val="0"/>
        <w:pageBreakBefore w:val="0"/>
        <w:widowControl/>
        <w:kinsoku/>
        <w:wordWrap/>
        <w:overflowPunct/>
        <w:topLinePunct w:val="0"/>
        <w:autoSpaceDE/>
        <w:autoSpaceDN/>
        <w:bidi w:val="0"/>
        <w:snapToGrid/>
        <w:spacing w:line="400" w:lineRule="exact"/>
        <w:ind w:right="249"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6.8 三维立体成像功能：基于专用光源，软件可对检材表面进行三维立体成像。</w:t>
      </w:r>
    </w:p>
    <w:p>
      <w:pPr>
        <w:keepNext w:val="0"/>
        <w:keepLines w:val="0"/>
        <w:pageBreakBefore w:val="0"/>
        <w:widowControl/>
        <w:kinsoku/>
        <w:wordWrap/>
        <w:overflowPunct/>
        <w:topLinePunct w:val="0"/>
        <w:autoSpaceDE/>
        <w:autoSpaceDN/>
        <w:bidi w:val="0"/>
        <w:snapToGrid/>
        <w:spacing w:line="400" w:lineRule="exact"/>
        <w:ind w:right="249"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▲6.9 </w:t>
      </w:r>
      <w:r>
        <w:rPr>
          <w:rFonts w:hint="eastAsia" w:ascii="仿宋_GB2312" w:hAnsi="仿宋_GB2312" w:eastAsia="仿宋_GB2312" w:cs="仿宋_GB2312"/>
          <w:sz w:val="28"/>
          <w:szCs w:val="28"/>
        </w:rPr>
        <w:t>仪器支持检验过程自动录屏功能，可以时间轴方式记录检验参数变化过程</w:t>
      </w:r>
      <w:r>
        <w:rPr>
          <w:rFonts w:hint="eastAsia" w:ascii="仿宋_GB2312" w:hAnsi="仿宋_GB2312" w:eastAsia="仿宋_GB2312" w:cs="仿宋_GB2312"/>
          <w:b/>
          <w:bCs/>
          <w:sz w:val="28"/>
          <w:szCs w:val="28"/>
        </w:rPr>
        <w:t>（屏幕录像需出具屏幕佐证照片）</w:t>
      </w:r>
      <w:r>
        <w:rPr>
          <w:rFonts w:hint="eastAsia" w:ascii="仿宋_GB2312" w:hAnsi="仿宋_GB2312" w:eastAsia="仿宋_GB2312" w:cs="仿宋_GB2312"/>
          <w:sz w:val="28"/>
          <w:szCs w:val="28"/>
        </w:rPr>
        <w:t>。</w:t>
      </w:r>
      <w:r>
        <w:rPr>
          <w:rFonts w:hint="eastAsia" w:ascii="仿宋_GB2312" w:hAnsi="仿宋_GB2312" w:eastAsia="仿宋_GB2312" w:cs="仿宋_GB2312"/>
          <w:color w:val="FF0000"/>
          <w:sz w:val="28"/>
          <w:szCs w:val="28"/>
        </w:rPr>
        <w:t xml:space="preserve">       </w:t>
      </w:r>
      <w:r>
        <w:rPr>
          <w:rFonts w:hint="eastAsia" w:ascii="仿宋_GB2312" w:hAnsi="仿宋_GB2312" w:eastAsia="仿宋_GB2312" w:cs="仿宋_GB2312"/>
          <w:sz w:val="28"/>
          <w:szCs w:val="28"/>
        </w:rPr>
        <w:t xml:space="preserve">                       </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7、具有文检笔迹印鉴鉴别功能</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7.1根据国内文件检验特点而设计开发，系统可对文检印鉴等检材进行识别，同时对笔迹特征进行各种辅助的量化分析，对印章检验提供拼接、比对、图像增强、量化测量等处理功能，同时还在笔迹检验的标准化方面, 如案件描述、检材/样本录入、单字摘取、特征标识、报告生成，提供了可由用户选取的专业化的工作程序。</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7.2软件系统采用加密锁控制使用权限，确保数据信息安全可靠；设置两个检验图像工作区，支持检材、样本分区管理、快速保存调用。 </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7.3具备图像全景预览功能，支持对图像缩放后快速定位检验区域；支持各种成像设备采集图像的快速导入，支持JPG、TIFF等图像格式；具备图像特征量化标注工具，支持角度、长度等特征值测量。</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7.4支持现场快速检验，具有图像重叠比对、拼接比对、多窗口直观比对等功能；具备图像旋转、缩放、去除干扰色、亮度调整、反色等图像处理功能；具备标号、长尾箭头、直线、圆形等特征标注工具，符号标注库符合国家标准和规范；具有比对表创建功能，支持用户自定义编辑、自定义模板导入。</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8、配备文书数据库远程授权阅读功能</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数据库参照公安部、司法部相关规范、标准，结合行业相关共识，基于笔迹、言语、印迹、物质材料、篡改污损、制作时间六类检验对象，形成9大类，80余个小类的检验项目。检验项目涵盖篡改（污损）文件鉴定、朱墨时序鉴定、印章印文鉴定等，检验项目分类切合实际，并根据需求不断更新；</w:t>
      </w:r>
    </w:p>
    <w:p>
      <w:pPr>
        <w:keepNext w:val="0"/>
        <w:keepLines w:val="0"/>
        <w:pageBreakBefore w:val="0"/>
        <w:widowControl/>
        <w:kinsoku/>
        <w:wordWrap/>
        <w:overflowPunct/>
        <w:topLinePunct w:val="0"/>
        <w:autoSpaceDE/>
        <w:autoSpaceDN/>
        <w:bidi w:val="0"/>
        <w:snapToGrid/>
        <w:spacing w:line="400" w:lineRule="exact"/>
        <w:ind w:right="252"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9、控制和数据处理平台</w:t>
      </w:r>
    </w:p>
    <w:p>
      <w:pPr>
        <w:keepNext w:val="0"/>
        <w:keepLines w:val="0"/>
        <w:pageBreakBefore w:val="0"/>
        <w:widowControl/>
        <w:shd w:val="clear" w:color="auto" w:fill="FFFFFF"/>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配备实验室文检数据处理平台x1，CPU配置不低于Intel 酷睿i7，内存≥16GB，硬盘：≥1TB，DVD刻录光驱，Windows10中文操作系统，配有系统一键还原U盘；显示器数量x2,显示器尺寸≥32英寸，分辨率≥4K</w:t>
      </w:r>
      <w:r>
        <w:rPr>
          <w:rFonts w:hint="eastAsia" w:ascii="仿宋_GB2312" w:hAnsi="仿宋_GB2312" w:eastAsia="仿宋_GB2312" w:cs="仿宋_GB2312"/>
          <w:color w:val="000000"/>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10、配备文检录入、输出设备：</w:t>
      </w:r>
    </w:p>
    <w:p>
      <w:pPr>
        <w:keepNext w:val="0"/>
        <w:keepLines w:val="0"/>
        <w:pageBreakBefore w:val="0"/>
        <w:widowControl/>
        <w:shd w:val="clear" w:color="auto" w:fill="FFFFFF"/>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10.1配有文件检材录入设备x1，平板式设计，A4幅面，分辨率4800dpi,扫描速度彩色≥9.9秒/页（A4/300dpi）；</w:t>
      </w:r>
    </w:p>
    <w:p>
      <w:pPr>
        <w:keepNext w:val="0"/>
        <w:keepLines w:val="0"/>
        <w:pageBreakBefore w:val="0"/>
        <w:widowControl/>
        <w:shd w:val="clear" w:color="auto" w:fill="FFFFFF"/>
        <w:kinsoku/>
        <w:wordWrap/>
        <w:overflowPunct/>
        <w:topLinePunct w:val="0"/>
        <w:autoSpaceDE/>
        <w:autoSpaceDN/>
        <w:bidi w:val="0"/>
        <w:snapToGrid/>
        <w:spacing w:line="400" w:lineRule="exact"/>
        <w:ind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10.2配有检材输出设备x1，支持有线及无线方式，最佳打印分辨率≥1200*1200dpi，打印速度0-24页/分，最大支持A4幅面。</w:t>
      </w:r>
    </w:p>
    <w:p>
      <w:pPr>
        <w:keepNext w:val="0"/>
        <w:keepLines w:val="0"/>
        <w:pageBreakBefore w:val="0"/>
        <w:widowControl/>
        <w:kinsoku/>
        <w:wordWrap/>
        <w:overflowPunct/>
        <w:topLinePunct w:val="0"/>
        <w:autoSpaceDE/>
        <w:autoSpaceDN/>
        <w:bidi w:val="0"/>
        <w:snapToGrid/>
        <w:spacing w:line="400" w:lineRule="exact"/>
        <w:ind w:right="252" w:firstLine="566"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11、配备便携式显微测量仪，</w:t>
      </w:r>
      <w:r>
        <w:rPr>
          <w:rFonts w:hint="eastAsia" w:ascii="仿宋_GB2312" w:hAnsi="仿宋_GB2312" w:eastAsia="仿宋_GB2312" w:cs="仿宋_GB2312"/>
          <w:color w:val="000000"/>
          <w:sz w:val="28"/>
          <w:szCs w:val="28"/>
        </w:rPr>
        <w:t>放大倍率5X/60X/200倍，支持自动对焦，手动微调，配备≥5英寸液晶显示屏。</w:t>
      </w:r>
    </w:p>
    <w:p>
      <w:pPr>
        <w:keepNext w:val="0"/>
        <w:keepLines w:val="0"/>
        <w:pageBreakBefore w:val="0"/>
        <w:widowControl/>
        <w:kinsoku/>
        <w:wordWrap/>
        <w:overflowPunct/>
        <w:topLinePunct w:val="0"/>
        <w:autoSpaceDE/>
        <w:autoSpaceDN/>
        <w:bidi w:val="0"/>
        <w:snapToGrid/>
        <w:spacing w:line="400" w:lineRule="exact"/>
        <w:ind w:right="252"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12、配备文检工作站操作台，满足设备正常使用，长宽高≥3000mm*750mm*820mm。</w:t>
      </w:r>
    </w:p>
    <w:p>
      <w:pPr>
        <w:keepNext w:val="0"/>
        <w:keepLines w:val="0"/>
        <w:pageBreakBefore w:val="0"/>
        <w:widowControl/>
        <w:kinsoku/>
        <w:wordWrap/>
        <w:overflowPunct/>
        <w:topLinePunct w:val="0"/>
        <w:autoSpaceDE/>
        <w:autoSpaceDN/>
        <w:bidi w:val="0"/>
        <w:snapToGrid/>
        <w:spacing w:line="400" w:lineRule="exact"/>
        <w:ind w:right="249"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13、配有镇纸、文件定位器、OVI光变油墨观察镜等附件。</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snapToGrid/>
        <w:spacing w:line="400" w:lineRule="exact"/>
        <w:ind w:firstLine="566"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备注：</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以上</w:t>
      </w:r>
      <w:r>
        <w:rPr>
          <w:rFonts w:hint="eastAsia" w:ascii="仿宋_GB2312" w:hAnsi="仿宋_GB2312" w:eastAsia="仿宋_GB2312" w:cs="仿宋_GB2312"/>
          <w:b/>
          <w:bCs/>
          <w:sz w:val="28"/>
          <w:szCs w:val="28"/>
          <w:lang w:val="en-US" w:eastAsia="zh-CN"/>
        </w:rPr>
        <w:t>采购需求</w:t>
      </w:r>
      <w:r>
        <w:rPr>
          <w:rFonts w:hint="eastAsia" w:ascii="仿宋_GB2312" w:hAnsi="仿宋_GB2312" w:eastAsia="仿宋_GB2312" w:cs="仿宋_GB2312"/>
          <w:b/>
          <w:bCs/>
          <w:sz w:val="28"/>
          <w:szCs w:val="28"/>
        </w:rPr>
        <w:t>均接受负偏离</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其中</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项</w:t>
      </w:r>
      <w:r>
        <w:rPr>
          <w:rFonts w:hint="eastAsia" w:ascii="仿宋_GB2312" w:hAnsi="仿宋_GB2312" w:eastAsia="仿宋_GB2312" w:cs="仿宋_GB2312"/>
          <w:b/>
          <w:bCs/>
          <w:sz w:val="28"/>
          <w:szCs w:val="28"/>
        </w:rPr>
        <w:t>为关键技术指标</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出现负偏离将影响评分；2、核心产品为超级文件检验工作站。</w:t>
      </w:r>
    </w:p>
    <w:p>
      <w:pPr>
        <w:keepNext w:val="0"/>
        <w:keepLines w:val="0"/>
        <w:pageBreakBefore w:val="0"/>
        <w:widowControl/>
        <w:kinsoku/>
        <w:wordWrap/>
        <w:overflowPunct/>
        <w:topLinePunct w:val="0"/>
        <w:autoSpaceDE/>
        <w:autoSpaceDN/>
        <w:bidi w:val="0"/>
        <w:snapToGrid/>
        <w:spacing w:line="400" w:lineRule="exact"/>
        <w:ind w:firstLine="566" w:firstLineChars="200"/>
        <w:jc w:val="left"/>
        <w:textAlignment w:val="auto"/>
        <w:rPr>
          <w:rFonts w:hint="eastAsia" w:ascii="仿宋_GB2312" w:hAnsi="仿宋_GB2312" w:eastAsia="仿宋_GB2312" w:cs="仿宋_GB2312"/>
          <w:color w:val="000000"/>
          <w:sz w:val="28"/>
          <w:szCs w:val="28"/>
        </w:rPr>
      </w:pPr>
    </w:p>
    <w:p>
      <w:pPr>
        <w:pStyle w:val="38"/>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kinsoku/>
        <w:wordWrap/>
        <w:overflowPunct/>
        <w:topLinePunct w:val="0"/>
        <w:bidi w:val="0"/>
        <w:adjustRightInd/>
        <w:snapToGrid/>
        <w:spacing w:line="40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第四标段</w:t>
      </w:r>
    </w:p>
    <w:p>
      <w:pPr>
        <w:pStyle w:val="38"/>
        <w:keepNext w:val="0"/>
        <w:keepLines w:val="0"/>
        <w:pageBreakBefore w:val="0"/>
        <w:widowControl/>
        <w:kinsoku/>
        <w:wordWrap/>
        <w:overflowPunct/>
        <w:topLinePunct w:val="0"/>
        <w:bidi w:val="0"/>
        <w:snapToGrid/>
        <w:spacing w:line="400" w:lineRule="exact"/>
        <w:ind w:firstLine="566" w:firstLineChars="200"/>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192" w:afterLines="50" w:line="400" w:lineRule="exact"/>
        <w:ind w:firstLine="646" w:firstLineChars="200"/>
        <w:jc w:val="center"/>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关于采购声纹工作站设备的</w:t>
      </w:r>
      <w:r>
        <w:rPr>
          <w:rFonts w:hint="eastAsia" w:ascii="仿宋_GB2312" w:hAnsi="仿宋_GB2312" w:eastAsia="仿宋_GB2312" w:cs="仿宋_GB2312"/>
          <w:b/>
          <w:sz w:val="32"/>
          <w:szCs w:val="32"/>
          <w:lang w:val="en-US" w:eastAsia="zh-CN"/>
        </w:rPr>
        <w:t>采购需求</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一、主要功能</w:t>
      </w:r>
    </w:p>
    <w:p>
      <w:pPr>
        <w:keepNext w:val="0"/>
        <w:keepLines w:val="0"/>
        <w:pageBreakBefore w:val="0"/>
        <w:widowControl/>
        <w:kinsoku/>
        <w:wordWrap/>
        <w:overflowPunct/>
        <w:topLinePunct w:val="0"/>
        <w:bidi w:val="0"/>
        <w:snapToGrid/>
        <w:spacing w:line="400" w:lineRule="exact"/>
        <w:ind w:firstLine="56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声纹工作站可以对嫌疑人语音与部涉案语音库的样本语音进行同一认定，从而破获涉语音类案件，特别是电信网络诈骗类案件，同时声纹工作站也可对违法犯罪人员语音样本进行采集，对涉案语音进行增益和降噪。</w:t>
      </w:r>
    </w:p>
    <w:p>
      <w:pPr>
        <w:keepNext w:val="0"/>
        <w:keepLines w:val="0"/>
        <w:pageBreakBefore w:val="0"/>
        <w:widowControl/>
        <w:numPr>
          <w:ilvl w:val="0"/>
          <w:numId w:val="0"/>
        </w:numPr>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二、技术参数</w:t>
      </w:r>
    </w:p>
    <w:p>
      <w:pPr>
        <w:keepNext w:val="0"/>
        <w:keepLines w:val="0"/>
        <w:pageBreakBefore w:val="0"/>
        <w:widowControl/>
        <w:numPr>
          <w:ilvl w:val="0"/>
          <w:numId w:val="0"/>
        </w:numPr>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kern w:val="2"/>
          <w:sz w:val="28"/>
          <w:szCs w:val="28"/>
          <w:lang w:val="en-US" w:eastAsia="zh-CN" w:bidi="ar-SA"/>
        </w:rPr>
        <w:t>1.</w:t>
      </w:r>
      <w:r>
        <w:rPr>
          <w:rFonts w:hint="eastAsia" w:ascii="仿宋_GB2312" w:hAnsi="仿宋_GB2312" w:eastAsia="仿宋_GB2312" w:cs="仿宋_GB2312"/>
          <w:b/>
          <w:sz w:val="28"/>
          <w:szCs w:val="28"/>
        </w:rPr>
        <w:t>多源数据处理工作站</w:t>
      </w:r>
    </w:p>
    <w:p>
      <w:pPr>
        <w:keepNext w:val="0"/>
        <w:keepLines w:val="0"/>
        <w:pageBreakBefore w:val="0"/>
        <w:widowControl/>
        <w:kinsoku/>
        <w:wordWrap/>
        <w:overflowPunct/>
        <w:topLinePunct w:val="0"/>
        <w:autoSpaceDE/>
        <w:autoSpaceDN/>
        <w:bidi w:val="0"/>
        <w:adjustRightInd/>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1.1音频文件识别，支持多种音频文件导入，如：mp3、wma、wav、flac、ape、aac、silk、amr等多种音频格式。</w:t>
      </w:r>
    </w:p>
    <w:p>
      <w:pPr>
        <w:keepNext w:val="0"/>
        <w:keepLines w:val="0"/>
        <w:pageBreakBefore w:val="0"/>
        <w:widowControl/>
        <w:kinsoku/>
        <w:wordWrap/>
        <w:overflowPunct/>
        <w:topLinePunct w:val="0"/>
        <w:autoSpaceDE/>
        <w:autoSpaceDN/>
        <w:bidi w:val="0"/>
        <w:adjustRightInd/>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1.2文件大小获取，支持自动识别音频文件大小。</w:t>
      </w:r>
    </w:p>
    <w:p>
      <w:pPr>
        <w:keepNext w:val="0"/>
        <w:keepLines w:val="0"/>
        <w:pageBreakBefore w:val="0"/>
        <w:widowControl/>
        <w:kinsoku/>
        <w:wordWrap/>
        <w:overflowPunct/>
        <w:topLinePunct w:val="0"/>
        <w:autoSpaceDE/>
        <w:autoSpaceDN/>
        <w:bidi w:val="0"/>
        <w:adjustRightInd/>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1.3音频时长获取，支持自动获取音频文件播放总时长。</w:t>
      </w:r>
    </w:p>
    <w:p>
      <w:pPr>
        <w:keepNext w:val="0"/>
        <w:keepLines w:val="0"/>
        <w:pageBreakBefore w:val="0"/>
        <w:widowControl/>
        <w:kinsoku/>
        <w:wordWrap/>
        <w:overflowPunct/>
        <w:topLinePunct w:val="0"/>
        <w:autoSpaceDE/>
        <w:autoSpaceDN/>
        <w:bidi w:val="0"/>
        <w:adjustRightInd/>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1.4音频通道识别，支持自动识别音频文件的通道数。</w:t>
      </w:r>
    </w:p>
    <w:p>
      <w:pPr>
        <w:keepNext w:val="0"/>
        <w:keepLines w:val="0"/>
        <w:pageBreakBefore w:val="0"/>
        <w:widowControl/>
        <w:kinsoku/>
        <w:wordWrap/>
        <w:overflowPunct/>
        <w:topLinePunct w:val="0"/>
        <w:autoSpaceDE/>
        <w:autoSpaceDN/>
        <w:bidi w:val="0"/>
        <w:adjustRightInd/>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1.5案件详情：支持获取案件名称、案件编号、案件性质、案件状态、立案日期、办案单位名称、原始检材数量、比对检材数量、优化检材数量、案件处理状态等案件详情信息。</w:t>
      </w:r>
    </w:p>
    <w:p>
      <w:pPr>
        <w:keepNext w:val="0"/>
        <w:keepLines w:val="0"/>
        <w:pageBreakBefore w:val="0"/>
        <w:widowControl/>
        <w:kinsoku/>
        <w:wordWrap/>
        <w:overflowPunct/>
        <w:topLinePunct w:val="0"/>
        <w:autoSpaceDE/>
        <w:autoSpaceDN/>
        <w:bidi w:val="0"/>
        <w:adjustRightInd/>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1.6采样频率识别，支持取音频文的采样频率，自动进行识别展示。</w:t>
      </w:r>
    </w:p>
    <w:p>
      <w:pPr>
        <w:keepNext w:val="0"/>
        <w:keepLines w:val="0"/>
        <w:pageBreakBefore w:val="0"/>
        <w:widowControl/>
        <w:kinsoku/>
        <w:wordWrap/>
        <w:overflowPunct/>
        <w:topLinePunct w:val="0"/>
        <w:autoSpaceDE/>
        <w:autoSpaceDN/>
        <w:bidi w:val="0"/>
        <w:adjustRightInd/>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1.7采样精度识别，支持取音频文的采样精度，如：8bit、16bit、32bit。</w:t>
      </w:r>
    </w:p>
    <w:p>
      <w:pPr>
        <w:keepNext w:val="0"/>
        <w:keepLines w:val="0"/>
        <w:pageBreakBefore w:val="0"/>
        <w:widowControl/>
        <w:kinsoku/>
        <w:wordWrap/>
        <w:overflowPunct/>
        <w:topLinePunct w:val="0"/>
        <w:autoSpaceDE/>
        <w:autoSpaceDN/>
        <w:bidi w:val="0"/>
        <w:adjustRightInd/>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1.8编码格式，支持获取音频文件的编码格式。</w:t>
      </w:r>
    </w:p>
    <w:p>
      <w:pPr>
        <w:keepNext w:val="0"/>
        <w:keepLines w:val="0"/>
        <w:pageBreakBefore w:val="0"/>
        <w:widowControl/>
        <w:kinsoku/>
        <w:wordWrap/>
        <w:overflowPunct/>
        <w:topLinePunct w:val="0"/>
        <w:autoSpaceDE/>
        <w:autoSpaceDN/>
        <w:bidi w:val="0"/>
        <w:adjustRightInd/>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1.9有效时长检测，支持检测音频文件中有效人声部分的音频时间长度。</w:t>
      </w:r>
    </w:p>
    <w:p>
      <w:pPr>
        <w:keepNext w:val="0"/>
        <w:keepLines w:val="0"/>
        <w:pageBreakBefore w:val="0"/>
        <w:widowControl/>
        <w:kinsoku/>
        <w:wordWrap/>
        <w:overflowPunct/>
        <w:topLinePunct w:val="0"/>
        <w:autoSpaceDE/>
        <w:autoSpaceDN/>
        <w:bidi w:val="0"/>
        <w:adjustRightInd/>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1.10信噪比检测，支持检测音频文件的信噪比。</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1.11大文件处理：支特导入大小为1GB的音频文件和4GB的视频文件；支持时长1h的音频文件导入到工作站的时间≤3s。</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sz w:val="28"/>
          <w:szCs w:val="28"/>
        </w:rPr>
        <w:t xml:space="preserve">1.12 </w:t>
      </w:r>
      <w:r>
        <w:rPr>
          <w:rFonts w:hint="eastAsia" w:ascii="仿宋_GB2312" w:hAnsi="仿宋_GB2312" w:eastAsia="仿宋_GB2312" w:cs="仿宋_GB2312"/>
          <w:kern w:val="0"/>
          <w:sz w:val="28"/>
          <w:szCs w:val="28"/>
          <w:lang w:bidi="ar"/>
        </w:rPr>
        <w:t>采样率转换：支持改变数字语音信号的采样率，支持高采样率转换为低采样率，采样率转换范围为8kHz~48kHz。</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1.13格式转换，支持把音频文件转成标准.wav格式音频。</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1.14语音分离：针对检材中出现的多人对话语音，支持通过语音分离算法，提取音频中各个说话人的声纹特征，支持自动分离、指定分离、标记分离三种分离方式分离出不同说话人的音频；针对两人语音，语音分离错误率≤3%；针对多人语音，语音分离错误率≤5%。</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1.15背景降噪，支持抑制音频文件中的噪声，可一键式处理。</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1.16语音增益：支持对微弱的语音进行放大同时抑制背景噪音；支持对一段语音或整条语音文件做增强或衰减，语音增益设置范围:（-96～48）dB。</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1.17音视频分离，可以对视频中的音频进行高保真分离。保存视频里的音频文件。</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1.18音频播放，支持播放导入的音频。</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1.19音频剪切，支持对音频文件进行剪切，剪切后的音频段落拼接为一段。</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1.20音频段选中，支持对音频文件进行精确到毫秒的段落选择。</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1.21</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kern w:val="0"/>
          <w:sz w:val="28"/>
          <w:szCs w:val="28"/>
          <w:lang w:bidi="ar"/>
        </w:rPr>
        <w:t>图谱渲染速度：单条3分钟音频语谱图渲染速率≥25次/s。</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1.22操作撤销，支持对音频进行的撤销处理操作，支持还原至音频上一次保存时的状态。</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1.23波形图放大缩小，支持在频域或时域方向上放大/缩小波形图。</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1.24声纹快速比对：支持对有效时长≥3s的语音文件发起声纹比对；支持对所有语音文件发起1:1、1:N、N:N三种比对模式，比对结果以声纹相似程度进行由高到低的排名展示；声纹比对的查全率≥99%、查准率≥98%、漏警率≤1.5%、虚警率≤0.1%；等错误率≤0.8%。</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1.25智能降噪：支持对含有音乐声、风声、雨声、传真音、机器运行声等典型噪音进行自动滤除。</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1.26声纹聚类：对批量检材中出现多人数据、且每条检材仅有1人说话的情况，支持通过声纹聚类算法，对每条检材的特征向量进行聚类，将相同类别的特征聚为一类，不同类别的特征分为不同类；支持对声纹聚类阈值参数进行调节；平均说话人纯度≥92%，平均类纯度≥98%。</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1.27手动聚类，支持文件目录里的文件进行手动选择多文件聚类分析，将属于同一类的音频归为一个聚类记录，支持输出多条聚类记录，不属于任何聚类的即为未聚类音频。</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1.28声纹数据库对接：a、案件数据获取：支持对接声纹数据库系统平台，获取案件检材等第三方数据，进行案件信息双向数据交互。b、案件展示：支持默认读取声纹数据库最新10个案件（默认读取数量可后台配置）在客户端进行展示，超过默认数量的案件不做展示，支持通过搜索框输入案件名称或案件编号进行搜索，拉取在线数据。c、提交案件：支持对接声纹数据库，将案件下所有已处理文件一键上传至声纹数据库，用于声纹注册、声纹比对等案件研判、检验鉴定业务等。d、优化检材比对：支持对接声纹数据库，将处理后音频文件一键推送给声纹数据库进行声纹比对。</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1.29兼容多种操作系统，支持win7、win8.1、win10、win11等系统。</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1.30流程化处理：支持通话语音处理流程、社交APP语音处理流程、智能自处理流程三种默认流程；同时支持用户自定义增加音频处理流程；支持通过语音质量检测、语音分离、有效音提取、声道分离、声纹聚类、语音合并、结果保存等功能进行自定义能力模块编排和序列化处理；支持对处理流程进行增、删、改、查操作；支持批量选择音频文件并按流程批量处理，处理后的音频可试听。</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1.31硬件参数</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1）</w:t>
      </w:r>
      <w:r>
        <w:rPr>
          <w:rFonts w:hint="eastAsia" w:ascii="仿宋_GB2312" w:hAnsi="仿宋_GB2312" w:eastAsia="仿宋_GB2312" w:cs="仿宋_GB2312"/>
          <w:sz w:val="28"/>
          <w:szCs w:val="28"/>
        </w:rPr>
        <w:t>CPU：≥6核 2.6GHZ</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2）内存：≥64G内存</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3）硬盘：≥512GB SSD </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4）显卡类型：≥4GB专业显卡；</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5）屏幕规格：≥15寸，16:9 比例，1920x1080分辨率；</w:t>
      </w:r>
    </w:p>
    <w:p>
      <w:pPr>
        <w:keepNext w:val="0"/>
        <w:keepLines w:val="0"/>
        <w:pageBreakBefore w:val="0"/>
        <w:widowControl/>
        <w:numPr>
          <w:ilvl w:val="0"/>
          <w:numId w:val="0"/>
        </w:numPr>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kern w:val="2"/>
          <w:sz w:val="28"/>
          <w:szCs w:val="28"/>
          <w:lang w:val="en-US" w:eastAsia="zh-CN" w:bidi="ar-SA"/>
        </w:rPr>
        <w:t>2.</w:t>
      </w:r>
      <w:r>
        <w:rPr>
          <w:rFonts w:hint="eastAsia" w:ascii="仿宋_GB2312" w:hAnsi="仿宋_GB2312" w:eastAsia="仿宋_GB2312" w:cs="仿宋_GB2312"/>
          <w:b/>
          <w:sz w:val="28"/>
          <w:szCs w:val="28"/>
        </w:rPr>
        <w:t>音频接口</w:t>
      </w:r>
    </w:p>
    <w:p>
      <w:pPr>
        <w:keepNext w:val="0"/>
        <w:keepLines w:val="0"/>
        <w:pageBreakBefore w:val="0"/>
        <w:widowControl/>
        <w:numPr>
          <w:ilvl w:val="1"/>
          <w:numId w:val="0"/>
        </w:numPr>
        <w:kinsoku/>
        <w:wordWrap/>
        <w:overflowPunct/>
        <w:topLinePunct w:val="0"/>
        <w:autoSpaceDE/>
        <w:autoSpaceDN/>
        <w:bidi w:val="0"/>
        <w:adjustRightInd w:val="0"/>
        <w:snapToGrid/>
        <w:spacing w:line="400" w:lineRule="exact"/>
        <w:ind w:left="0" w:leftChars="0" w:firstLine="566" w:firstLineChars="200"/>
        <w:jc w:val="left"/>
        <w:textAlignment w:val="auto"/>
        <w:rPr>
          <w:rFonts w:hint="eastAsia" w:ascii="仿宋_GB2312" w:hAnsi="仿宋_GB2312" w:eastAsia="仿宋_GB2312" w:cs="仿宋_GB2312"/>
          <w:kern w:val="0"/>
          <w:sz w:val="28"/>
          <w:szCs w:val="28"/>
          <w:lang w:bidi="ar"/>
        </w:rPr>
      </w:pPr>
      <w:r>
        <w:rPr>
          <w:rFonts w:hint="default" w:ascii="仿宋_GB2312" w:hAnsi="仿宋_GB2312" w:eastAsia="仿宋_GB2312" w:cs="仿宋_GB2312"/>
          <w:kern w:val="0"/>
          <w:sz w:val="28"/>
          <w:szCs w:val="28"/>
          <w:lang w:val="en-US" w:eastAsia="zh-CN" w:bidi="ar"/>
        </w:rPr>
        <w:t>2.1</w:t>
      </w:r>
      <w:r>
        <w:rPr>
          <w:rFonts w:hint="eastAsia" w:ascii="仿宋_GB2312" w:hAnsi="仿宋_GB2312" w:eastAsia="仿宋_GB2312" w:cs="仿宋_GB2312"/>
          <w:kern w:val="0"/>
          <w:sz w:val="28"/>
          <w:szCs w:val="28"/>
          <w:lang w:bidi="ar"/>
        </w:rPr>
        <w:t>连接类型：USB Type-C</w:t>
      </w:r>
    </w:p>
    <w:p>
      <w:pPr>
        <w:keepNext w:val="0"/>
        <w:keepLines w:val="0"/>
        <w:pageBreakBefore w:val="0"/>
        <w:widowControl/>
        <w:numPr>
          <w:ilvl w:val="1"/>
          <w:numId w:val="0"/>
        </w:numPr>
        <w:kinsoku/>
        <w:wordWrap/>
        <w:overflowPunct/>
        <w:topLinePunct w:val="0"/>
        <w:autoSpaceDE/>
        <w:autoSpaceDN/>
        <w:bidi w:val="0"/>
        <w:adjustRightInd w:val="0"/>
        <w:snapToGrid/>
        <w:spacing w:line="400" w:lineRule="exact"/>
        <w:ind w:left="0" w:leftChars="0" w:firstLine="566" w:firstLineChars="200"/>
        <w:jc w:val="left"/>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2.2 外壳：纯金属外壳</w:t>
      </w:r>
    </w:p>
    <w:p>
      <w:pPr>
        <w:keepNext w:val="0"/>
        <w:keepLines w:val="0"/>
        <w:pageBreakBefore w:val="0"/>
        <w:widowControl/>
        <w:numPr>
          <w:ilvl w:val="1"/>
          <w:numId w:val="0"/>
        </w:numPr>
        <w:kinsoku/>
        <w:wordWrap/>
        <w:overflowPunct/>
        <w:topLinePunct w:val="0"/>
        <w:autoSpaceDE/>
        <w:autoSpaceDN/>
        <w:bidi w:val="0"/>
        <w:adjustRightInd w:val="0"/>
        <w:snapToGrid/>
        <w:spacing w:line="400" w:lineRule="exact"/>
        <w:ind w:left="0" w:leftChars="0" w:firstLine="566" w:firstLineChars="200"/>
        <w:jc w:val="left"/>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2.3 模数/数模转换：24 bit</w:t>
      </w:r>
    </w:p>
    <w:p>
      <w:pPr>
        <w:keepNext w:val="0"/>
        <w:keepLines w:val="0"/>
        <w:pageBreakBefore w:val="0"/>
        <w:widowControl/>
        <w:numPr>
          <w:ilvl w:val="1"/>
          <w:numId w:val="0"/>
        </w:numPr>
        <w:kinsoku/>
        <w:wordWrap/>
        <w:overflowPunct/>
        <w:topLinePunct w:val="0"/>
        <w:autoSpaceDE/>
        <w:autoSpaceDN/>
        <w:bidi w:val="0"/>
        <w:adjustRightInd w:val="0"/>
        <w:snapToGrid/>
        <w:spacing w:line="400" w:lineRule="exact"/>
        <w:ind w:left="0" w:leftChars="0" w:firstLine="566" w:firstLineChars="200"/>
        <w:jc w:val="left"/>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2.4 最大采样率：192 kHz</w:t>
      </w:r>
    </w:p>
    <w:p>
      <w:pPr>
        <w:keepNext w:val="0"/>
        <w:keepLines w:val="0"/>
        <w:pageBreakBefore w:val="0"/>
        <w:widowControl/>
        <w:numPr>
          <w:ilvl w:val="1"/>
          <w:numId w:val="0"/>
        </w:numPr>
        <w:kinsoku/>
        <w:wordWrap/>
        <w:overflowPunct/>
        <w:topLinePunct w:val="0"/>
        <w:autoSpaceDE/>
        <w:autoSpaceDN/>
        <w:bidi w:val="0"/>
        <w:adjustRightInd w:val="0"/>
        <w:snapToGrid/>
        <w:spacing w:line="400" w:lineRule="exact"/>
        <w:ind w:left="0" w:leftChars="0" w:firstLine="566" w:firstLineChars="200"/>
        <w:jc w:val="left"/>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2.5 同步输入输出：4×4</w:t>
      </w:r>
    </w:p>
    <w:p>
      <w:pPr>
        <w:keepNext w:val="0"/>
        <w:keepLines w:val="0"/>
        <w:pageBreakBefore w:val="0"/>
        <w:widowControl/>
        <w:numPr>
          <w:ilvl w:val="1"/>
          <w:numId w:val="0"/>
        </w:numPr>
        <w:kinsoku/>
        <w:wordWrap/>
        <w:overflowPunct/>
        <w:topLinePunct w:val="0"/>
        <w:autoSpaceDE/>
        <w:autoSpaceDN/>
        <w:bidi w:val="0"/>
        <w:adjustRightInd w:val="0"/>
        <w:snapToGrid/>
        <w:spacing w:line="400" w:lineRule="exact"/>
        <w:ind w:left="0" w:leftChars="0" w:firstLine="566" w:firstLineChars="200"/>
        <w:jc w:val="left"/>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2.6 48V幻象供电：支持</w:t>
      </w:r>
    </w:p>
    <w:p>
      <w:pPr>
        <w:keepNext w:val="0"/>
        <w:keepLines w:val="0"/>
        <w:pageBreakBefore w:val="0"/>
        <w:widowControl/>
        <w:numPr>
          <w:ilvl w:val="0"/>
          <w:numId w:val="0"/>
        </w:numPr>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kern w:val="2"/>
          <w:sz w:val="28"/>
          <w:szCs w:val="28"/>
          <w:lang w:val="en-US" w:eastAsia="zh-CN" w:bidi="ar-SA"/>
        </w:rPr>
        <w:t>3.</w:t>
      </w:r>
      <w:r>
        <w:rPr>
          <w:rFonts w:hint="eastAsia" w:ascii="仿宋_GB2312" w:hAnsi="仿宋_GB2312" w:eastAsia="仿宋_GB2312" w:cs="仿宋_GB2312"/>
          <w:b/>
          <w:sz w:val="28"/>
          <w:szCs w:val="28"/>
        </w:rPr>
        <w:t>有源监听音箱（对）</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3.1音箱类型：2路双功放有源工作站监听音箱</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3.2频率响应 65Hz-22kHz </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3.3高频单元 1/8" </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3.4低频单元 4”</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kern w:val="0"/>
          <w:sz w:val="28"/>
          <w:szCs w:val="28"/>
          <w:lang w:bidi="ar"/>
        </w:rPr>
        <w:t>3.5单路输出功率 20W</w:t>
      </w:r>
    </w:p>
    <w:p>
      <w:pPr>
        <w:keepNext w:val="0"/>
        <w:keepLines w:val="0"/>
        <w:pageBreakBefore w:val="0"/>
        <w:widowControl/>
        <w:numPr>
          <w:ilvl w:val="0"/>
          <w:numId w:val="0"/>
        </w:numPr>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kern w:val="2"/>
          <w:sz w:val="28"/>
          <w:szCs w:val="28"/>
          <w:lang w:val="en-US" w:eastAsia="zh-CN" w:bidi="ar-SA"/>
        </w:rPr>
        <w:t>4.</w:t>
      </w:r>
      <w:r>
        <w:rPr>
          <w:rFonts w:hint="eastAsia" w:ascii="仿宋_GB2312" w:hAnsi="仿宋_GB2312" w:eastAsia="仿宋_GB2312" w:cs="仿宋_GB2312"/>
          <w:b/>
          <w:sz w:val="28"/>
          <w:szCs w:val="28"/>
        </w:rPr>
        <w:t>监听耳机</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4.1类别：密闭动圈型</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4.2驱动单元：45mm</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4.3频率响应：5 ~ 40,000Hz</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4.4最大输入功率：2000mW于1kHz</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4.5灵敏度：97dB/mW</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kern w:val="0"/>
          <w:sz w:val="28"/>
          <w:szCs w:val="28"/>
          <w:lang w:bidi="ar"/>
        </w:rPr>
        <w:t>4.6阻抗：35Ω</w:t>
      </w:r>
    </w:p>
    <w:p>
      <w:pPr>
        <w:keepNext w:val="0"/>
        <w:keepLines w:val="0"/>
        <w:pageBreakBefore w:val="0"/>
        <w:widowControl/>
        <w:numPr>
          <w:ilvl w:val="0"/>
          <w:numId w:val="0"/>
        </w:numPr>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kern w:val="2"/>
          <w:sz w:val="28"/>
          <w:szCs w:val="28"/>
          <w:lang w:val="en-US" w:eastAsia="zh-CN" w:bidi="ar-SA"/>
        </w:rPr>
        <w:t>5.</w:t>
      </w:r>
      <w:r>
        <w:rPr>
          <w:rFonts w:hint="eastAsia" w:ascii="仿宋_GB2312" w:hAnsi="仿宋_GB2312" w:eastAsia="仿宋_GB2312" w:cs="仿宋_GB2312"/>
          <w:b/>
          <w:sz w:val="28"/>
          <w:szCs w:val="28"/>
        </w:rPr>
        <w:t>数码录音机</w:t>
      </w:r>
    </w:p>
    <w:p>
      <w:pPr>
        <w:keepNext w:val="0"/>
        <w:keepLines w:val="0"/>
        <w:pageBreakBefore w:val="0"/>
        <w:widowControl/>
        <w:numPr>
          <w:ilvl w:val="1"/>
          <w:numId w:val="0"/>
        </w:numPr>
        <w:tabs>
          <w:tab w:val="left" w:pos="312"/>
        </w:tabs>
        <w:kinsoku/>
        <w:wordWrap/>
        <w:overflowPunct/>
        <w:topLinePunct w:val="0"/>
        <w:bidi w:val="0"/>
        <w:adjustRightInd w:val="0"/>
        <w:snapToGrid/>
        <w:spacing w:line="400" w:lineRule="exact"/>
        <w:ind w:left="0" w:leftChars="0" w:firstLine="566" w:firstLineChars="200"/>
        <w:jc w:val="left"/>
        <w:rPr>
          <w:rFonts w:hint="eastAsia" w:ascii="仿宋_GB2312" w:hAnsi="仿宋_GB2312" w:eastAsia="仿宋_GB2312" w:cs="仿宋_GB2312"/>
          <w:kern w:val="0"/>
          <w:sz w:val="28"/>
          <w:szCs w:val="28"/>
          <w:lang w:bidi="ar"/>
        </w:rPr>
      </w:pPr>
      <w:r>
        <w:rPr>
          <w:rFonts w:hint="default" w:ascii="仿宋_GB2312" w:hAnsi="仿宋_GB2312" w:eastAsia="仿宋_GB2312" w:cs="仿宋_GB2312"/>
          <w:kern w:val="0"/>
          <w:sz w:val="28"/>
          <w:szCs w:val="28"/>
          <w:lang w:val="en-US" w:eastAsia="zh-CN" w:bidi="ar"/>
        </w:rPr>
        <w:t>5.1</w:t>
      </w:r>
      <w:r>
        <w:rPr>
          <w:rFonts w:hint="eastAsia" w:ascii="仿宋_GB2312" w:hAnsi="仿宋_GB2312" w:eastAsia="仿宋_GB2312" w:cs="仿宋_GB2312"/>
          <w:kern w:val="0"/>
          <w:sz w:val="28"/>
          <w:szCs w:val="28"/>
          <w:lang w:bidi="ar"/>
        </w:rPr>
        <w:t>1.8寸黑白显示屏</w:t>
      </w:r>
    </w:p>
    <w:p>
      <w:pPr>
        <w:keepNext w:val="0"/>
        <w:keepLines w:val="0"/>
        <w:pageBreakBefore w:val="0"/>
        <w:widowControl/>
        <w:numPr>
          <w:ilvl w:val="1"/>
          <w:numId w:val="0"/>
        </w:numPr>
        <w:tabs>
          <w:tab w:val="left" w:pos="312"/>
        </w:tabs>
        <w:kinsoku/>
        <w:wordWrap/>
        <w:overflowPunct/>
        <w:topLinePunct w:val="0"/>
        <w:bidi w:val="0"/>
        <w:adjustRightInd w:val="0"/>
        <w:snapToGrid/>
        <w:spacing w:line="400" w:lineRule="exact"/>
        <w:ind w:left="0" w:leftChars="0"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5.2 录音存储格式:ADPCM</w:t>
      </w:r>
    </w:p>
    <w:p>
      <w:pPr>
        <w:keepNext w:val="0"/>
        <w:keepLines w:val="0"/>
        <w:pageBreakBefore w:val="0"/>
        <w:widowControl/>
        <w:numPr>
          <w:ilvl w:val="1"/>
          <w:numId w:val="0"/>
        </w:numPr>
        <w:tabs>
          <w:tab w:val="left" w:pos="312"/>
        </w:tabs>
        <w:kinsoku/>
        <w:wordWrap/>
        <w:overflowPunct/>
        <w:topLinePunct w:val="0"/>
        <w:bidi w:val="0"/>
        <w:adjustRightInd w:val="0"/>
        <w:snapToGrid/>
        <w:spacing w:line="400" w:lineRule="exact"/>
        <w:ind w:left="0" w:leftChars="0"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5.3 储存空间:32GB</w:t>
      </w:r>
    </w:p>
    <w:p>
      <w:pPr>
        <w:keepNext w:val="0"/>
        <w:keepLines w:val="0"/>
        <w:pageBreakBefore w:val="0"/>
        <w:widowControl/>
        <w:numPr>
          <w:ilvl w:val="1"/>
          <w:numId w:val="0"/>
        </w:numPr>
        <w:tabs>
          <w:tab w:val="left" w:pos="312"/>
        </w:tabs>
        <w:kinsoku/>
        <w:wordWrap/>
        <w:overflowPunct/>
        <w:topLinePunct w:val="0"/>
        <w:bidi w:val="0"/>
        <w:adjustRightInd w:val="0"/>
        <w:snapToGrid/>
        <w:spacing w:line="400" w:lineRule="exact"/>
        <w:ind w:left="0" w:leftChars="0"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5.4 录音启动模式:压控，声控，键控</w:t>
      </w:r>
    </w:p>
    <w:p>
      <w:pPr>
        <w:keepNext w:val="0"/>
        <w:keepLines w:val="0"/>
        <w:pageBreakBefore w:val="0"/>
        <w:widowControl/>
        <w:numPr>
          <w:ilvl w:val="1"/>
          <w:numId w:val="0"/>
        </w:numPr>
        <w:tabs>
          <w:tab w:val="left" w:pos="312"/>
        </w:tabs>
        <w:kinsoku/>
        <w:wordWrap/>
        <w:overflowPunct/>
        <w:topLinePunct w:val="0"/>
        <w:bidi w:val="0"/>
        <w:adjustRightInd w:val="0"/>
        <w:snapToGrid/>
        <w:spacing w:line="400" w:lineRule="exact"/>
        <w:ind w:left="0" w:leftChars="0"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5.5 信噪比:&gt;60dB</w:t>
      </w:r>
    </w:p>
    <w:p>
      <w:pPr>
        <w:keepNext w:val="0"/>
        <w:keepLines w:val="0"/>
        <w:pageBreakBefore w:val="0"/>
        <w:widowControl/>
        <w:numPr>
          <w:ilvl w:val="1"/>
          <w:numId w:val="0"/>
        </w:numPr>
        <w:tabs>
          <w:tab w:val="left" w:pos="312"/>
        </w:tabs>
        <w:kinsoku/>
        <w:wordWrap/>
        <w:overflowPunct/>
        <w:topLinePunct w:val="0"/>
        <w:bidi w:val="0"/>
        <w:adjustRightInd w:val="0"/>
        <w:snapToGrid/>
        <w:spacing w:line="400" w:lineRule="exact"/>
        <w:ind w:left="0" w:leftChars="0"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5.6 录音频率范围:100Hz-3400Hz</w:t>
      </w:r>
    </w:p>
    <w:p>
      <w:pPr>
        <w:keepNext w:val="0"/>
        <w:keepLines w:val="0"/>
        <w:pageBreakBefore w:val="0"/>
        <w:widowControl/>
        <w:numPr>
          <w:ilvl w:val="0"/>
          <w:numId w:val="0"/>
        </w:numPr>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kern w:val="2"/>
          <w:sz w:val="28"/>
          <w:szCs w:val="28"/>
          <w:lang w:val="en-US" w:eastAsia="zh-CN" w:bidi="ar-SA"/>
        </w:rPr>
        <w:t>6.</w:t>
      </w:r>
      <w:r>
        <w:rPr>
          <w:rFonts w:hint="eastAsia" w:ascii="仿宋_GB2312" w:hAnsi="仿宋_GB2312" w:eastAsia="仿宋_GB2312" w:cs="仿宋_GB2312"/>
          <w:b/>
          <w:sz w:val="28"/>
          <w:szCs w:val="28"/>
        </w:rPr>
        <w:t>声纹采集器</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6.1完全符合《公安部声纹数据采集终端技术要求》各项技术指标，声纹采集终端设备为公安部《声纹数据采集终端合格产品及制造商名录》中的制造商生产。</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6.2采用麦克风阵列设计。</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6.3信噪比＞60dB。</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6.4波形失真度≤0.1%。</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6.5频率响应：50-8kHz。</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6.6采样率：16kHz采样率。</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6.7具备噪声抑制功能。</w:t>
      </w:r>
    </w:p>
    <w:p>
      <w:pPr>
        <w:keepNext w:val="0"/>
        <w:keepLines w:val="0"/>
        <w:pageBreakBefore w:val="0"/>
        <w:widowControl/>
        <w:numPr>
          <w:ilvl w:val="0"/>
          <w:numId w:val="0"/>
        </w:numPr>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kern w:val="2"/>
          <w:sz w:val="28"/>
          <w:szCs w:val="28"/>
          <w:lang w:val="en-US" w:eastAsia="zh-CN" w:bidi="ar-SA"/>
        </w:rPr>
        <w:t>7.</w:t>
      </w:r>
      <w:r>
        <w:rPr>
          <w:rFonts w:hint="eastAsia" w:ascii="仿宋_GB2312" w:hAnsi="仿宋_GB2312" w:eastAsia="仿宋_GB2312" w:cs="仿宋_GB2312"/>
          <w:b/>
          <w:sz w:val="28"/>
          <w:szCs w:val="28"/>
        </w:rPr>
        <w:t>无线麦克风</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7.1动态范围 大于100dB </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7.2最大偏差 ±48KHZ Audio </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7.3音频频率响应 40HZ-18KHZ(±3dB) </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7.4信噪比 105dB</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7.5相邻信道抑制 ≤0.3%</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7.6邻频干扰比 ≥70dB</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7.7有效工作距离 100m</w:t>
      </w:r>
    </w:p>
    <w:p>
      <w:pPr>
        <w:keepNext w:val="0"/>
        <w:keepLines w:val="0"/>
        <w:pageBreakBefore w:val="0"/>
        <w:widowControl/>
        <w:numPr>
          <w:ilvl w:val="0"/>
          <w:numId w:val="0"/>
        </w:numPr>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kern w:val="2"/>
          <w:sz w:val="28"/>
          <w:szCs w:val="28"/>
          <w:lang w:val="en-US" w:eastAsia="zh-CN" w:bidi="ar-SA"/>
        </w:rPr>
        <w:t>8.</w:t>
      </w:r>
      <w:r>
        <w:rPr>
          <w:rFonts w:hint="eastAsia" w:ascii="仿宋_GB2312" w:hAnsi="仿宋_GB2312" w:eastAsia="仿宋_GB2312" w:cs="仿宋_GB2312"/>
          <w:b/>
          <w:sz w:val="28"/>
          <w:szCs w:val="28"/>
        </w:rPr>
        <w:t>动圈麦克风</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8.1种类 动圈式 </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8.2指向性 心型指向</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8.3频率响应 40Hz~18000Hz</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8.4输出阻抗 600 Ω± 15%(at1KHz)</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kern w:val="0"/>
          <w:sz w:val="28"/>
          <w:szCs w:val="28"/>
          <w:lang w:bidi="ar"/>
        </w:rPr>
        <w:t>8.5灵敏度 -72dB±2dB(1V/Pa)</w:t>
      </w:r>
    </w:p>
    <w:p>
      <w:pPr>
        <w:keepNext w:val="0"/>
        <w:keepLines w:val="0"/>
        <w:pageBreakBefore w:val="0"/>
        <w:widowControl/>
        <w:numPr>
          <w:ilvl w:val="0"/>
          <w:numId w:val="0"/>
        </w:numPr>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kern w:val="2"/>
          <w:sz w:val="28"/>
          <w:szCs w:val="28"/>
          <w:lang w:val="en-US" w:eastAsia="zh-CN" w:bidi="ar-SA"/>
        </w:rPr>
        <w:t>9.</w:t>
      </w:r>
      <w:r>
        <w:rPr>
          <w:rFonts w:hint="eastAsia" w:ascii="仿宋_GB2312" w:hAnsi="仿宋_GB2312" w:eastAsia="仿宋_GB2312" w:cs="仿宋_GB2312"/>
          <w:b/>
          <w:sz w:val="28"/>
          <w:szCs w:val="28"/>
        </w:rPr>
        <w:t>音频对录仪</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9.1有线转录方式：支持通过有线方式转录音频设备中的语音信息，支持转录语音文件的导出；</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9.2实时通话转录：支持对微信、QQ等通讯APP实时通话语音进行转录；</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9.3平台对接：支持对接涉案语音处理平台、声纹鉴定工作站等进行语音转录；</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9.4转录准确率：从音频设备转录的语音与原始语音比对，准确率≥90%；</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9.5设备内置电池，支持便携式采集；</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9.6采集语音格式：Windows PCM WAV，单声道，16位量化精度；</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9.7采样率：16kHz采样率；</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9.8设备接口：设备转录接口兼容TYPE-C、Lightning、CTIA3.5mm、OMTP3.5mm等标准接口；</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9.9兼容平台：系统兼容Android、windows7、windows10等系统平台；</w:t>
      </w:r>
    </w:p>
    <w:p>
      <w:pPr>
        <w:keepNext w:val="0"/>
        <w:keepLines w:val="0"/>
        <w:pageBreakBefore w:val="0"/>
        <w:widowControl/>
        <w:kinsoku/>
        <w:wordWrap/>
        <w:overflowPunct/>
        <w:topLinePunct w:val="0"/>
        <w:bidi w:val="0"/>
        <w:snapToGrid/>
        <w:spacing w:line="400" w:lineRule="exact"/>
        <w:ind w:firstLine="566" w:firstLineChars="200"/>
        <w:jc w:val="left"/>
        <w:textAlignment w:val="top"/>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9.10设备免驱：设备免驱，即插即用；</w:t>
      </w:r>
    </w:p>
    <w:p>
      <w:pPr>
        <w:keepNext w:val="0"/>
        <w:keepLines w:val="0"/>
        <w:pageBreakBefore w:val="0"/>
        <w:widowControl/>
        <w:tabs>
          <w:tab w:val="left" w:pos="312"/>
        </w:tabs>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9.11 稳定性：设备支持连续8小时进行稳定地语音转录工作；</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10.多功能物证翻拍仪</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10.1 A3幅面，不小于1700万像素</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10.2支持自然光+LED灯补光</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10.3支持win7、win8.1、win10等操作系统</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10.4可自动纠偏裁切</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11.彩色打印复印一体机</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11.1 涵盖功能打印/复印/扫描</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11.2 打印分辨率不低于600×600dpi</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11.3 复印分辨率不低于600×600dpi</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11.4 扫描光学分辨率不低于1200×1200dpi</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11.5 250页进纸盒</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11.6 打印速度不少于18页/min</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lang w:val="en-US" w:eastAsia="zh-CN"/>
        </w:rPr>
        <w:t>三、售后要求</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质保期三年，质保期内免费维护升级。</w:t>
      </w: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eastAsia" w:ascii="仿宋_GB2312" w:hAnsi="仿宋_GB2312" w:eastAsia="仿宋_GB2312" w:cs="仿宋_GB2312"/>
          <w:kern w:val="0"/>
          <w:sz w:val="28"/>
          <w:szCs w:val="28"/>
          <w:lang w:bidi="ar"/>
        </w:rPr>
      </w:pPr>
    </w:p>
    <w:p>
      <w:pPr>
        <w:keepNext w:val="0"/>
        <w:keepLines w:val="0"/>
        <w:pageBreakBefore w:val="0"/>
        <w:widowControl/>
        <w:kinsoku/>
        <w:wordWrap/>
        <w:overflowPunct/>
        <w:topLinePunct w:val="0"/>
        <w:bidi w:val="0"/>
        <w:adjustRightInd w:val="0"/>
        <w:snapToGrid/>
        <w:spacing w:line="400" w:lineRule="exact"/>
        <w:ind w:firstLine="566" w:firstLineChars="200"/>
        <w:jc w:val="left"/>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b/>
          <w:bCs/>
          <w:sz w:val="28"/>
          <w:szCs w:val="28"/>
        </w:rPr>
        <w:t>备注：以上</w:t>
      </w:r>
      <w:r>
        <w:rPr>
          <w:rFonts w:hint="eastAsia" w:ascii="仿宋_GB2312" w:hAnsi="仿宋_GB2312" w:eastAsia="仿宋_GB2312" w:cs="仿宋_GB2312"/>
          <w:b/>
          <w:bCs/>
          <w:sz w:val="28"/>
          <w:szCs w:val="28"/>
          <w:lang w:val="en-US" w:eastAsia="zh-CN"/>
        </w:rPr>
        <w:t>采购需求</w:t>
      </w:r>
      <w:r>
        <w:rPr>
          <w:rFonts w:hint="eastAsia" w:ascii="仿宋_GB2312" w:hAnsi="仿宋_GB2312" w:eastAsia="仿宋_GB2312" w:cs="仿宋_GB2312"/>
          <w:b/>
          <w:bCs/>
          <w:sz w:val="28"/>
          <w:szCs w:val="28"/>
        </w:rPr>
        <w:t>均接受负偏离。</w:t>
      </w:r>
    </w:p>
    <w:p>
      <w:pPr>
        <w:pStyle w:val="2"/>
        <w:jc w:val="center"/>
        <w:rPr>
          <w:rFonts w:hint="eastAsia" w:ascii="华文仿宋" w:hAnsi="华文仿宋" w:cs="华文仿宋"/>
          <w:color w:val="auto"/>
        </w:rPr>
      </w:pPr>
      <w:r>
        <w:rPr>
          <w:rFonts w:ascii="宋体" w:hAnsi="宋体" w:eastAsia="宋体" w:cs="宋体"/>
          <w:color w:val="auto"/>
          <w:sz w:val="21"/>
          <w:szCs w:val="21"/>
        </w:rPr>
        <w:br w:type="page"/>
      </w:r>
      <w:bookmarkStart w:id="193" w:name="_Toc10371"/>
      <w:bookmarkStart w:id="194" w:name="_Toc35871571"/>
      <w:bookmarkStart w:id="195" w:name="_Toc18466_WPSOffice_Level1"/>
      <w:bookmarkStart w:id="196" w:name="_Toc19317"/>
      <w:bookmarkStart w:id="197" w:name="_Toc14089"/>
      <w:bookmarkStart w:id="198" w:name="_Toc12628"/>
      <w:bookmarkStart w:id="199" w:name="_Toc18484_WPSOffice_Level1"/>
      <w:bookmarkStart w:id="200" w:name="_Toc445306495"/>
      <w:bookmarkStart w:id="201" w:name="_Toc495014651"/>
      <w:bookmarkStart w:id="202" w:name="_Toc784_WPSOffice_Level1"/>
      <w:bookmarkStart w:id="203" w:name="_Toc495014587"/>
      <w:bookmarkStart w:id="204" w:name="_Toc495012773"/>
      <w:bookmarkStart w:id="205" w:name="_Toc495014956"/>
      <w:bookmarkStart w:id="206" w:name="_Toc495012823"/>
      <w:bookmarkStart w:id="207" w:name="_Toc495014922"/>
      <w:bookmarkStart w:id="208" w:name="_Toc495014613"/>
      <w:r>
        <w:rPr>
          <w:rFonts w:ascii="黑体" w:hAnsi="黑体" w:eastAsia="黑体"/>
          <w:b w:val="0"/>
          <w:color w:val="auto"/>
          <w:sz w:val="32"/>
          <w:szCs w:val="32"/>
        </w:rPr>
        <w:t>第</w:t>
      </w:r>
      <w:r>
        <w:rPr>
          <w:rFonts w:hint="eastAsia" w:ascii="黑体" w:hAnsi="黑体" w:eastAsia="黑体"/>
          <w:b w:val="0"/>
          <w:color w:val="auto"/>
          <w:sz w:val="32"/>
          <w:szCs w:val="32"/>
        </w:rPr>
        <w:t>四</w:t>
      </w:r>
      <w:r>
        <w:rPr>
          <w:rFonts w:ascii="黑体" w:hAnsi="黑体" w:eastAsia="黑体"/>
          <w:b w:val="0"/>
          <w:color w:val="auto"/>
          <w:sz w:val="32"/>
          <w:szCs w:val="32"/>
        </w:rPr>
        <w:t xml:space="preserve">章 </w:t>
      </w:r>
      <w:r>
        <w:rPr>
          <w:rFonts w:hint="eastAsia" w:ascii="黑体" w:hAnsi="黑体" w:eastAsia="黑体"/>
          <w:b w:val="0"/>
          <w:color w:val="auto"/>
          <w:sz w:val="32"/>
          <w:szCs w:val="32"/>
        </w:rPr>
        <w:t>合同</w:t>
      </w:r>
      <w:r>
        <w:rPr>
          <w:rFonts w:hint="eastAsia" w:ascii="黑体" w:hAnsi="黑体" w:eastAsia="黑体"/>
          <w:b w:val="0"/>
          <w:color w:val="auto"/>
          <w:sz w:val="32"/>
          <w:szCs w:val="32"/>
          <w:lang w:val="en-US" w:eastAsia="zh-CN"/>
        </w:rPr>
        <w:t>草案</w:t>
      </w:r>
      <w:r>
        <w:rPr>
          <w:rFonts w:hint="eastAsia" w:ascii="黑体" w:hAnsi="黑体" w:eastAsia="黑体"/>
          <w:b w:val="0"/>
          <w:color w:val="auto"/>
          <w:sz w:val="32"/>
          <w:szCs w:val="32"/>
        </w:rPr>
        <w:t>条款</w:t>
      </w:r>
      <w:bookmarkEnd w:id="193"/>
      <w:bookmarkEnd w:id="194"/>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b/>
          <w:bCs/>
          <w:color w:val="000000"/>
          <w:kern w:val="0"/>
          <w:sz w:val="28"/>
          <w:szCs w:val="28"/>
          <w:lang w:val="en-US" w:eastAsia="zh-CN" w:bidi="ar"/>
        </w:rPr>
        <w:t>一、</w:t>
      </w:r>
      <w:r>
        <w:rPr>
          <w:rFonts w:hint="eastAsia" w:ascii="华文仿宋" w:hAnsi="华文仿宋" w:cs="华文仿宋"/>
          <w:b/>
          <w:bCs/>
          <w:color w:val="000000"/>
          <w:kern w:val="0"/>
          <w:sz w:val="28"/>
          <w:szCs w:val="28"/>
          <w:lang w:val="en-US" w:eastAsia="zh-CN" w:bidi="ar"/>
        </w:rPr>
        <w:t>基本条件</w:t>
      </w:r>
      <w:r>
        <w:rPr>
          <w:rFonts w:hint="eastAsia" w:ascii="华文仿宋" w:hAnsi="华文仿宋" w:eastAsia="华文仿宋" w:cs="华文仿宋"/>
          <w:b/>
          <w:bCs/>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color w:val="000000"/>
          <w:kern w:val="0"/>
          <w:sz w:val="28"/>
          <w:szCs w:val="28"/>
          <w:lang w:val="en-US" w:eastAsia="zh-CN" w:bidi="ar"/>
        </w:rPr>
        <w:t>（一）</w:t>
      </w:r>
      <w:r>
        <w:rPr>
          <w:rFonts w:hint="eastAsia" w:ascii="华文仿宋" w:hAnsi="华文仿宋" w:cs="华文仿宋"/>
          <w:color w:val="000000"/>
          <w:kern w:val="0"/>
          <w:sz w:val="28"/>
          <w:szCs w:val="28"/>
          <w:lang w:val="en-US" w:eastAsia="zh-CN" w:bidi="ar"/>
        </w:rPr>
        <w:t>交货</w:t>
      </w:r>
      <w:r>
        <w:rPr>
          <w:rFonts w:hint="eastAsia" w:ascii="华文仿宋" w:hAnsi="华文仿宋" w:eastAsia="华文仿宋" w:cs="华文仿宋"/>
          <w:color w:val="000000"/>
          <w:kern w:val="0"/>
          <w:sz w:val="28"/>
          <w:szCs w:val="28"/>
          <w:lang w:val="en-US" w:eastAsia="zh-CN" w:bidi="ar"/>
        </w:rPr>
        <w:t>地点</w:t>
      </w:r>
      <w:r>
        <w:rPr>
          <w:rFonts w:hint="eastAsia" w:ascii="华文仿宋" w:hAnsi="华文仿宋" w:eastAsia="华文仿宋" w:cs="华文仿宋"/>
          <w:color w:val="000000"/>
          <w:kern w:val="0"/>
          <w:sz w:val="28"/>
          <w:szCs w:val="28"/>
          <w:highlight w:val="none"/>
          <w:lang w:val="en-US" w:eastAsia="zh-CN" w:bidi="ar"/>
        </w:rPr>
        <w:t>：</w:t>
      </w:r>
      <w:r>
        <w:rPr>
          <w:rFonts w:hint="eastAsia" w:ascii="华文仿宋" w:hAnsi="华文仿宋" w:cs="华文仿宋"/>
          <w:color w:val="000000"/>
          <w:kern w:val="0"/>
          <w:sz w:val="28"/>
          <w:szCs w:val="28"/>
          <w:highlight w:val="none"/>
          <w:lang w:val="en-US" w:eastAsia="zh-CN" w:bidi="ar"/>
        </w:rPr>
        <w:t>汉中市公安局</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default" w:ascii="华文仿宋" w:hAnsi="华文仿宋" w:eastAsia="华文仿宋" w:cs="华文仿宋"/>
          <w:sz w:val="28"/>
          <w:szCs w:val="28"/>
          <w:highlight w:val="none"/>
          <w:lang w:val="en-US"/>
        </w:rPr>
      </w:pPr>
      <w:r>
        <w:rPr>
          <w:rFonts w:hint="eastAsia" w:ascii="华文仿宋" w:hAnsi="华文仿宋" w:eastAsia="华文仿宋" w:cs="华文仿宋"/>
          <w:color w:val="000000"/>
          <w:kern w:val="0"/>
          <w:sz w:val="28"/>
          <w:szCs w:val="28"/>
          <w:highlight w:val="none"/>
          <w:lang w:val="en-US" w:eastAsia="zh-CN" w:bidi="ar"/>
        </w:rPr>
        <w:t>（二）交货期：</w:t>
      </w:r>
      <w:r>
        <w:rPr>
          <w:rFonts w:hint="eastAsia" w:ascii="华文仿宋" w:hAnsi="华文仿宋" w:cs="华文仿宋"/>
          <w:color w:val="000000"/>
          <w:kern w:val="0"/>
          <w:sz w:val="28"/>
          <w:szCs w:val="28"/>
          <w:highlight w:val="none"/>
          <w:lang w:val="en-US" w:eastAsia="zh-CN" w:bidi="ar"/>
        </w:rPr>
        <w:t>签订合同后15个工作日内。</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color w:val="000000"/>
          <w:kern w:val="0"/>
          <w:sz w:val="28"/>
          <w:szCs w:val="28"/>
          <w:highlight w:val="none"/>
          <w:lang w:val="en-US" w:eastAsia="zh-CN" w:bidi="ar"/>
        </w:rPr>
        <w:t>（三）质保期：</w:t>
      </w:r>
      <w:r>
        <w:rPr>
          <w:rFonts w:hint="eastAsia" w:ascii="华文仿宋" w:hAnsi="华文仿宋" w:cs="华文仿宋"/>
          <w:color w:val="000000"/>
          <w:kern w:val="0"/>
          <w:sz w:val="28"/>
          <w:szCs w:val="28"/>
          <w:highlight w:val="none"/>
          <w:lang w:val="en-US" w:eastAsia="zh-CN" w:bidi="ar"/>
        </w:rPr>
        <w:t>三</w:t>
      </w:r>
      <w:r>
        <w:rPr>
          <w:rFonts w:hint="eastAsia" w:ascii="华文仿宋" w:hAnsi="华文仿宋" w:eastAsia="华文仿宋" w:cs="华文仿宋"/>
          <w:color w:val="000000"/>
          <w:kern w:val="0"/>
          <w:sz w:val="28"/>
          <w:szCs w:val="28"/>
          <w:highlight w:val="none"/>
          <w:lang w:val="en-US" w:eastAsia="zh-CN" w:bidi="ar"/>
        </w:rPr>
        <w:t xml:space="preserve">年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b/>
          <w:bCs/>
          <w:color w:val="000000"/>
          <w:kern w:val="0"/>
          <w:sz w:val="28"/>
          <w:szCs w:val="28"/>
          <w:lang w:val="en-US" w:eastAsia="zh-CN" w:bidi="ar"/>
        </w:rPr>
        <w:t xml:space="preserve">二、合同价款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合同总价一次性包死，不受市场价格变化因素的影响。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b/>
          <w:bCs/>
          <w:color w:val="000000"/>
          <w:kern w:val="0"/>
          <w:sz w:val="28"/>
          <w:szCs w:val="28"/>
          <w:lang w:val="en-US" w:eastAsia="zh-CN" w:bidi="ar"/>
        </w:rPr>
        <w:t xml:space="preserve">三、款项结算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（一）支付方式：银行转账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（二）货币单位：人民币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（三）</w:t>
      </w:r>
      <w:r>
        <w:rPr>
          <w:rFonts w:hint="eastAsia" w:ascii="华文仿宋" w:hAnsi="华文仿宋" w:eastAsia="华文仿宋" w:cs="华文仿宋"/>
          <w:color w:val="000000"/>
          <w:kern w:val="0"/>
          <w:sz w:val="28"/>
          <w:szCs w:val="28"/>
          <w:highlight w:val="none"/>
          <w:lang w:val="en-US" w:eastAsia="zh-CN" w:bidi="ar"/>
        </w:rPr>
        <w:t>结算方式：</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color w:val="000000"/>
          <w:kern w:val="0"/>
          <w:sz w:val="28"/>
          <w:szCs w:val="28"/>
          <w:highlight w:val="none"/>
          <w:lang w:val="en-US" w:eastAsia="zh-CN" w:bidi="ar"/>
        </w:rPr>
      </w:pPr>
      <w:r>
        <w:rPr>
          <w:rFonts w:hint="eastAsia" w:ascii="华文仿宋" w:hAnsi="华文仿宋" w:cs="华文仿宋"/>
          <w:color w:val="000000"/>
          <w:kern w:val="0"/>
          <w:sz w:val="28"/>
          <w:szCs w:val="28"/>
          <w:highlight w:val="none"/>
          <w:lang w:val="en-US" w:eastAsia="zh-CN" w:bidi="ar"/>
        </w:rPr>
        <w:t>项目</w:t>
      </w:r>
      <w:r>
        <w:rPr>
          <w:rFonts w:hint="eastAsia" w:ascii="华文仿宋" w:hAnsi="华文仿宋" w:eastAsia="华文仿宋" w:cs="华文仿宋"/>
          <w:color w:val="000000"/>
          <w:kern w:val="0"/>
          <w:sz w:val="28"/>
          <w:szCs w:val="28"/>
          <w:highlight w:val="none"/>
          <w:lang w:val="en-US" w:eastAsia="zh-CN" w:bidi="ar"/>
        </w:rPr>
        <w:t>验收合格</w:t>
      </w:r>
      <w:r>
        <w:rPr>
          <w:rFonts w:hint="eastAsia" w:ascii="华文仿宋" w:hAnsi="华文仿宋" w:cs="华文仿宋"/>
          <w:color w:val="000000"/>
          <w:kern w:val="0"/>
          <w:sz w:val="28"/>
          <w:szCs w:val="28"/>
          <w:highlight w:val="none"/>
          <w:lang w:val="en-US" w:eastAsia="zh-CN" w:bidi="ar"/>
        </w:rPr>
        <w:t>后15个工作日内</w:t>
      </w:r>
      <w:r>
        <w:rPr>
          <w:rFonts w:hint="eastAsia" w:ascii="华文仿宋" w:hAnsi="华文仿宋" w:eastAsia="华文仿宋" w:cs="华文仿宋"/>
          <w:color w:val="000000"/>
          <w:kern w:val="0"/>
          <w:sz w:val="28"/>
          <w:szCs w:val="28"/>
          <w:highlight w:val="none"/>
          <w:lang w:val="en-US" w:eastAsia="zh-CN" w:bidi="ar"/>
        </w:rPr>
        <w:t>采购人</w:t>
      </w:r>
      <w:r>
        <w:rPr>
          <w:rFonts w:hint="eastAsia" w:ascii="华文仿宋" w:hAnsi="华文仿宋" w:cs="华文仿宋"/>
          <w:color w:val="000000"/>
          <w:kern w:val="0"/>
          <w:sz w:val="28"/>
          <w:szCs w:val="28"/>
          <w:highlight w:val="none"/>
          <w:lang w:val="en-US" w:eastAsia="zh-CN" w:bidi="ar"/>
        </w:rPr>
        <w:t>支付全部合同金额</w:t>
      </w:r>
      <w:r>
        <w:rPr>
          <w:rFonts w:hint="eastAsia" w:ascii="华文仿宋" w:hAnsi="华文仿宋" w:eastAsia="华文仿宋" w:cs="华文仿宋"/>
          <w:color w:val="000000"/>
          <w:kern w:val="0"/>
          <w:sz w:val="28"/>
          <w:szCs w:val="28"/>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b/>
          <w:bCs/>
          <w:color w:val="000000"/>
          <w:kern w:val="0"/>
          <w:sz w:val="28"/>
          <w:szCs w:val="28"/>
          <w:lang w:val="en-US" w:eastAsia="zh-CN" w:bidi="ar"/>
        </w:rPr>
        <w:t xml:space="preserve">四、包装运输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1、运输由成交供应商负责，运杂费已包含在合同总价内。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2、运输方式由成交供应商自行选择，但必须保证按期交付。不得断货，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因断货造成的损失由成交供货商负责赔偿。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3、产品及其备附件的包装必须是制造商原厂包装，其包装均应有良好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的防湿、防锈、防潮、防雨、防腐及防碰撞的措施。包装内应附有详细的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装箱清单、出厂合格证明及其他相关资料。凡由于包装不良造成的损失和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由此产生的费用均由成交供应商承担。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4、成交供应商负责将货物材料货到现场过程中的全部运输，包括装卸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车、货物现场的搬运、安装、调试。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5、各种货物必须提供装箱清单，按装箱清单验收货物。</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ascii="华文仿宋" w:hAnsi="华文仿宋" w:eastAsia="华文仿宋" w:cs="华文仿宋"/>
          <w:color w:val="000000"/>
          <w:kern w:val="0"/>
          <w:sz w:val="28"/>
          <w:szCs w:val="28"/>
          <w:lang w:val="en-US" w:eastAsia="zh-CN" w:bidi="ar"/>
        </w:rPr>
        <w:t xml:space="preserve">6、货物在现场的保管由成交供应商负责，直至项目安装、验收完毕。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7、货物至采购人指定的使用现场的包装、保险及发运等环节和费用均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r>
        <w:rPr>
          <w:rFonts w:hint="eastAsia" w:ascii="华文仿宋" w:hAnsi="华文仿宋" w:eastAsia="华文仿宋" w:cs="华文仿宋"/>
          <w:color w:val="000000"/>
          <w:kern w:val="0"/>
          <w:sz w:val="28"/>
          <w:szCs w:val="28"/>
          <w:lang w:val="en-US" w:eastAsia="zh-CN" w:bidi="ar"/>
        </w:rPr>
        <w:t xml:space="preserve">由成交供应商负责。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8、施工期间，成交供应商必须保护采购人的场地及各类设施，并做好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r>
        <w:rPr>
          <w:rFonts w:hint="eastAsia" w:ascii="华文仿宋" w:hAnsi="华文仿宋" w:eastAsia="华文仿宋" w:cs="华文仿宋"/>
          <w:color w:val="000000"/>
          <w:kern w:val="0"/>
          <w:sz w:val="28"/>
          <w:szCs w:val="28"/>
          <w:lang w:val="en-US" w:eastAsia="zh-CN" w:bidi="ar"/>
        </w:rPr>
        <w:t xml:space="preserve">场地的卫生保洁工作。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9、本项目投标总报价包括项目所需软件、硬件、配件、包装、运杂、安装调试、基础施工、管理费、人工、材料、机械及利润、税金、各项规 费等从项目成交起到项目验收合格并正式交付使用以及质保期内所发生的 一切费用。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b/>
          <w:bCs/>
          <w:color w:val="000000"/>
          <w:kern w:val="0"/>
          <w:sz w:val="28"/>
          <w:szCs w:val="28"/>
          <w:lang w:val="en-US" w:eastAsia="zh-CN" w:bidi="ar"/>
        </w:rPr>
        <w:t xml:space="preserve">五、质量保障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1.保证所供产品的设计、制造、产品性能、材料的选择和材料的检验及产品的测试等，均应按国家的现行标准和相应的技术规范执行，这些标</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r>
        <w:rPr>
          <w:rFonts w:hint="eastAsia" w:ascii="华文仿宋" w:hAnsi="华文仿宋" w:eastAsia="华文仿宋" w:cs="华文仿宋"/>
          <w:color w:val="000000"/>
          <w:kern w:val="0"/>
          <w:sz w:val="28"/>
          <w:szCs w:val="28"/>
          <w:lang w:val="en-US" w:eastAsia="zh-CN" w:bidi="ar"/>
        </w:rPr>
        <w:t xml:space="preserve">准和技术规范应为合同签订日为止最新公布发行的标准和技术规范。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2.保证所供产品进货渠道正规，无假货、水货或翻新货，并能按期交付。</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3.保证所供产品在装卸、运输和仓储过程中有足够的包装保护，防止产品受潮、锈蚀、遭受冲撞及其他不可预见的损坏。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4.供应商所供产品因侵权而产生的一切后果由供应商负责，采购人保</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r>
        <w:rPr>
          <w:rFonts w:hint="eastAsia" w:ascii="华文仿宋" w:hAnsi="华文仿宋" w:eastAsia="华文仿宋" w:cs="华文仿宋"/>
          <w:color w:val="000000"/>
          <w:kern w:val="0"/>
          <w:sz w:val="28"/>
          <w:szCs w:val="28"/>
          <w:lang w:val="en-US" w:eastAsia="zh-CN" w:bidi="ar"/>
        </w:rPr>
        <w:t xml:space="preserve">留索赔权力。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b/>
          <w:bCs/>
          <w:color w:val="000000"/>
          <w:kern w:val="0"/>
          <w:sz w:val="28"/>
          <w:szCs w:val="28"/>
          <w:lang w:val="en-US" w:eastAsia="zh-CN" w:bidi="ar"/>
        </w:rPr>
        <w:t xml:space="preserve">六、验收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1.现场验收：产品及其备附件到达指定地点后，采购人根据合同要求，</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r>
        <w:rPr>
          <w:rFonts w:hint="eastAsia" w:ascii="华文仿宋" w:hAnsi="华文仿宋" w:eastAsia="华文仿宋" w:cs="华文仿宋"/>
          <w:color w:val="000000"/>
          <w:kern w:val="0"/>
          <w:sz w:val="28"/>
          <w:szCs w:val="28"/>
          <w:lang w:val="en-US" w:eastAsia="zh-CN" w:bidi="ar"/>
        </w:rPr>
        <w:t xml:space="preserve">在双方相关负责人双方同时在场的情况下，进行外观验收，确认产地、规 格、型号和数量。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2.最终验收：产品安装调试和运行后，经采购人确认后，组织供应商进行系统验收，</w:t>
      </w:r>
      <w:r>
        <w:rPr>
          <w:rFonts w:hint="eastAsia" w:ascii="华文仿宋" w:hAnsi="华文仿宋" w:cs="华文仿宋"/>
          <w:color w:val="000000"/>
          <w:kern w:val="0"/>
          <w:sz w:val="28"/>
          <w:szCs w:val="28"/>
          <w:lang w:val="en-US" w:eastAsia="zh-CN" w:bidi="ar"/>
        </w:rPr>
        <w:t>必要时</w:t>
      </w:r>
      <w:r>
        <w:rPr>
          <w:rFonts w:hint="eastAsia" w:ascii="华文仿宋" w:hAnsi="华文仿宋" w:eastAsia="华文仿宋" w:cs="华文仿宋"/>
          <w:color w:val="000000"/>
          <w:kern w:val="0"/>
          <w:sz w:val="28"/>
          <w:szCs w:val="28"/>
          <w:lang w:val="en-US" w:eastAsia="zh-CN" w:bidi="ar"/>
        </w:rPr>
        <w:t xml:space="preserve">采购人将委托具有相关资质的第三方检测机构/技术专家对产品进行系统验收。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产品经采购人根据合同要求，进行验收，确认规格、质量和数量。验</w:t>
      </w:r>
      <w:r>
        <w:rPr>
          <w:rFonts w:ascii="华文仿宋" w:hAnsi="华文仿宋" w:eastAsia="华文仿宋" w:cs="华文仿宋"/>
          <w:color w:val="000000"/>
          <w:kern w:val="0"/>
          <w:sz w:val="28"/>
          <w:szCs w:val="28"/>
          <w:lang w:val="en-US" w:eastAsia="zh-CN" w:bidi="ar"/>
        </w:rPr>
        <w:t xml:space="preserve">收依据：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3、验收依据及交付标准和方法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（1）</w:t>
      </w:r>
      <w:r>
        <w:rPr>
          <w:rFonts w:hint="eastAsia" w:ascii="华文仿宋" w:hAnsi="华文仿宋" w:cs="华文仿宋"/>
          <w:color w:val="000000"/>
          <w:kern w:val="0"/>
          <w:sz w:val="28"/>
          <w:szCs w:val="28"/>
          <w:lang w:val="en-US" w:eastAsia="zh-CN" w:bidi="ar"/>
        </w:rPr>
        <w:t>磋商</w:t>
      </w:r>
      <w:r>
        <w:rPr>
          <w:rFonts w:hint="eastAsia" w:ascii="华文仿宋" w:hAnsi="华文仿宋" w:eastAsia="华文仿宋" w:cs="华文仿宋"/>
          <w:color w:val="000000"/>
          <w:kern w:val="0"/>
          <w:sz w:val="28"/>
          <w:szCs w:val="28"/>
          <w:lang w:val="en-US" w:eastAsia="zh-CN" w:bidi="ar"/>
        </w:rPr>
        <w:t xml:space="preserve">文件、响应文件、澄清表（函）；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（2）本合同及附件文本；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（3）合同签订时国家及行业现行的标准和技术规范。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（4）供应商应向采购人提交项目实施过程中的所有资料，以便采购人日后管理和维护。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b/>
          <w:bCs/>
          <w:color w:val="000000"/>
          <w:kern w:val="0"/>
          <w:sz w:val="28"/>
          <w:szCs w:val="28"/>
          <w:lang w:val="en-US" w:eastAsia="zh-CN" w:bidi="ar"/>
        </w:rPr>
        <w:t xml:space="preserve">七、违约责任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成交供应商违约的，采购人有权终止合同；若给采购人造成经济损失的，采购人可依法向成交供应商进行经济索赔，并报请政府采购监管机关依法进行相应的行政处罚。采购人违约的，须依法赔偿给成交供应商造成的经济损失。</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b/>
          <w:bCs/>
          <w:color w:val="000000"/>
          <w:kern w:val="0"/>
          <w:sz w:val="28"/>
          <w:szCs w:val="28"/>
          <w:lang w:val="en-US" w:eastAsia="zh-CN" w:bidi="ar"/>
        </w:rPr>
        <w:t xml:space="preserve">八、争议解决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执行本合同中产生纠纷，由采购人与成交供应商双方协商解决；协商不成，向有管辖权的人民法院提起诉讼。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b/>
          <w:bCs/>
          <w:color w:val="000000"/>
          <w:kern w:val="0"/>
          <w:sz w:val="28"/>
          <w:szCs w:val="28"/>
          <w:lang w:val="en-US" w:eastAsia="zh-CN" w:bidi="ar"/>
        </w:rPr>
        <w:t xml:space="preserve">九、合同生效及其他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1、本合同自签订之日起生效。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 xml:space="preserve">2、合同份数由采购人和成交供应商具体商定。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pPr>
      <w:r>
        <w:rPr>
          <w:rFonts w:hint="eastAsia" w:ascii="华文仿宋" w:hAnsi="华文仿宋" w:eastAsia="华文仿宋" w:cs="华文仿宋"/>
          <w:color w:val="000000"/>
          <w:kern w:val="0"/>
          <w:sz w:val="28"/>
          <w:szCs w:val="28"/>
          <w:lang w:val="en-US" w:eastAsia="zh-CN" w:bidi="ar"/>
        </w:rPr>
        <w:t>3、未尽事宜由双方在签订合同时具体明确。</w:t>
      </w:r>
    </w:p>
    <w:p>
      <w:pPr>
        <w:spacing w:line="240" w:lineRule="auto"/>
        <w:jc w:val="left"/>
        <w:rPr>
          <w:rFonts w:ascii="黑体" w:hAnsi="黑体" w:eastAsia="黑体"/>
          <w:b/>
          <w:bCs/>
          <w:color w:val="auto"/>
          <w:kern w:val="44"/>
          <w:sz w:val="32"/>
          <w:szCs w:val="32"/>
        </w:rPr>
      </w:pPr>
      <w:r>
        <w:rPr>
          <w:rFonts w:ascii="黑体" w:hAnsi="黑体" w:eastAsia="黑体"/>
          <w:bCs/>
          <w:color w:val="auto"/>
          <w:sz w:val="32"/>
          <w:szCs w:val="32"/>
        </w:rPr>
        <w:br w:type="page"/>
      </w:r>
    </w:p>
    <w:p>
      <w:pPr>
        <w:pStyle w:val="2"/>
        <w:rPr>
          <w:rFonts w:ascii="黑体" w:hAnsi="黑体" w:eastAsia="黑体" w:cs="黑体"/>
          <w:b w:val="0"/>
          <w:bCs/>
          <w:color w:val="auto"/>
          <w:sz w:val="32"/>
          <w:szCs w:val="32"/>
        </w:rPr>
      </w:pPr>
      <w:bookmarkStart w:id="209" w:name="_Toc5571"/>
      <w:r>
        <w:rPr>
          <w:rFonts w:hint="eastAsia" w:ascii="黑体" w:hAnsi="黑体" w:eastAsia="黑体" w:cs="黑体"/>
          <w:b w:val="0"/>
          <w:bCs/>
          <w:color w:val="auto"/>
          <w:sz w:val="32"/>
          <w:szCs w:val="32"/>
        </w:rPr>
        <w:t>第五章  响应文件构成及格式</w:t>
      </w:r>
      <w:bookmarkEnd w:id="195"/>
      <w:bookmarkEnd w:id="196"/>
      <w:bookmarkEnd w:id="197"/>
      <w:bookmarkEnd w:id="198"/>
      <w:bookmarkEnd w:id="209"/>
    </w:p>
    <w:p>
      <w:pPr>
        <w:pStyle w:val="43"/>
        <w:rPr>
          <w:color w:val="auto"/>
        </w:rPr>
      </w:pPr>
    </w:p>
    <w:p>
      <w:pPr>
        <w:pStyle w:val="43"/>
        <w:rPr>
          <w:color w:val="auto"/>
        </w:rPr>
      </w:pPr>
    </w:p>
    <w:p>
      <w:pPr>
        <w:pStyle w:val="43"/>
        <w:rPr>
          <w:color w:val="auto"/>
        </w:rPr>
      </w:pPr>
    </w:p>
    <w:p>
      <w:pPr>
        <w:pStyle w:val="43"/>
        <w:rPr>
          <w:color w:val="auto"/>
        </w:rPr>
      </w:pPr>
      <w:r>
        <w:rPr>
          <w:rFonts w:hint="eastAsia"/>
          <w:color w:val="auto"/>
        </w:rPr>
        <w:t xml:space="preserve">  </w:t>
      </w:r>
    </w:p>
    <w:tbl>
      <w:tblPr>
        <w:tblStyle w:val="22"/>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注释： </w:t>
            </w:r>
          </w:p>
          <w:p>
            <w:pPr>
              <w:spacing w:before="120" w:line="420" w:lineRule="exact"/>
              <w:ind w:firstLine="486"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1、本章分为三部分，是为方便投标人制作响应文件设计。第一、二部分应按要求或给定格式选择填报。</w:t>
            </w:r>
          </w:p>
          <w:p>
            <w:pPr>
              <w:spacing w:before="120" w:line="420" w:lineRule="exact"/>
              <w:ind w:firstLine="486"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2、第三部分</w:t>
            </w:r>
            <w:r>
              <w:rPr>
                <w:rFonts w:hint="eastAsia" w:ascii="仿宋_GB2312" w:hAnsi="仿宋_GB2312" w:eastAsia="仿宋_GB2312" w:cs="仿宋_GB2312"/>
                <w:color w:val="auto"/>
                <w:sz w:val="24"/>
                <w:szCs w:val="24"/>
                <w:lang w:val="en-US" w:eastAsia="zh-CN"/>
              </w:rPr>
              <w:t>响应</w:t>
            </w:r>
            <w:r>
              <w:rPr>
                <w:rFonts w:hint="eastAsia" w:ascii="仿宋_GB2312" w:hAnsi="仿宋_GB2312" w:eastAsia="仿宋_GB2312" w:cs="仿宋_GB2312"/>
                <w:color w:val="auto"/>
                <w:sz w:val="24"/>
                <w:szCs w:val="24"/>
              </w:rPr>
              <w:t>方案格式仅供参考，</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应根据项目特点，结合本次</w:t>
            </w:r>
            <w:r>
              <w:rPr>
                <w:rFonts w:hint="eastAsia" w:ascii="仿宋_GB2312" w:hAnsi="仿宋_GB2312" w:eastAsia="仿宋_GB2312" w:cs="仿宋_GB2312"/>
                <w:color w:val="auto"/>
                <w:sz w:val="24"/>
                <w:szCs w:val="24"/>
                <w:lang w:val="en-US" w:eastAsia="zh-CN"/>
              </w:rPr>
              <w:t>磋商</w:t>
            </w:r>
            <w:r>
              <w:rPr>
                <w:rFonts w:hint="eastAsia" w:ascii="仿宋_GB2312" w:hAnsi="仿宋_GB2312" w:eastAsia="仿宋_GB2312" w:cs="仿宋_GB2312"/>
                <w:color w:val="auto"/>
                <w:sz w:val="24"/>
                <w:szCs w:val="24"/>
              </w:rPr>
              <w:t>要求，对有关表格进行补充或修改，但不得对实质性文件的相关条款作出变动。</w:t>
            </w:r>
          </w:p>
        </w:tc>
      </w:tr>
    </w:tbl>
    <w:p>
      <w:pPr>
        <w:pStyle w:val="43"/>
        <w:rPr>
          <w:color w:val="auto"/>
          <w:sz w:val="20"/>
        </w:rPr>
      </w:pPr>
    </w:p>
    <w:p>
      <w:pPr>
        <w:pStyle w:val="40"/>
        <w:spacing w:line="240" w:lineRule="auto"/>
        <w:ind w:firstLine="253" w:firstLineChars="70"/>
        <w:jc w:val="center"/>
        <w:rPr>
          <w:rFonts w:ascii="宋体" w:hAnsi="宋体" w:eastAsia="宋体"/>
          <w:color w:val="auto"/>
          <w:sz w:val="36"/>
          <w:szCs w:val="36"/>
        </w:rPr>
      </w:pPr>
    </w:p>
    <w:p>
      <w:pPr>
        <w:pStyle w:val="40"/>
        <w:spacing w:line="240" w:lineRule="auto"/>
        <w:ind w:firstLine="253" w:firstLineChars="70"/>
        <w:jc w:val="center"/>
        <w:rPr>
          <w:color w:val="auto"/>
          <w:sz w:val="36"/>
          <w:szCs w:val="36"/>
        </w:rPr>
      </w:pPr>
      <w:r>
        <w:rPr>
          <w:rFonts w:ascii="宋体" w:hAnsi="宋体" w:eastAsia="宋体"/>
          <w:color w:val="auto"/>
          <w:sz w:val="36"/>
          <w:szCs w:val="36"/>
        </w:rPr>
        <w:br w:type="page"/>
      </w:r>
    </w:p>
    <w:p>
      <w:pPr>
        <w:spacing w:line="240" w:lineRule="auto"/>
        <w:jc w:val="left"/>
        <w:outlineLvl w:val="0"/>
        <w:rPr>
          <w:rFonts w:hint="eastAsia" w:ascii="华文中宋" w:hAnsi="华文中宋" w:eastAsia="华文中宋" w:cs="华文中宋"/>
          <w:color w:val="auto"/>
          <w:sz w:val="60"/>
          <w:szCs w:val="60"/>
        </w:rPr>
      </w:pPr>
      <w:bookmarkStart w:id="210" w:name="_Toc257"/>
      <w:bookmarkStart w:id="211" w:name="_Toc6132"/>
      <w:bookmarkStart w:id="212" w:name="_Toc23235"/>
      <w:bookmarkStart w:id="213" w:name="_Toc24786"/>
      <w:bookmarkStart w:id="214" w:name="_Toc10248"/>
      <w:bookmarkStart w:id="215" w:name="_Toc26349"/>
      <w:bookmarkStart w:id="216" w:name="_Toc26293"/>
    </w:p>
    <w:p>
      <w:pPr>
        <w:spacing w:line="240" w:lineRule="auto"/>
        <w:jc w:val="center"/>
        <w:outlineLvl w:val="0"/>
        <w:rPr>
          <w:rFonts w:hint="eastAsia" w:ascii="方正小标宋简体" w:hAnsi="方正小标宋简体" w:eastAsia="方正小标宋简体" w:cs="方正小标宋简体"/>
          <w:color w:val="auto"/>
          <w:sz w:val="52"/>
          <w:szCs w:val="52"/>
        </w:rPr>
      </w:pPr>
      <w:bookmarkStart w:id="217" w:name="_Toc14411"/>
      <w:r>
        <w:rPr>
          <w:rFonts w:hint="eastAsia" w:ascii="方正小标宋简体" w:hAnsi="方正小标宋简体" w:eastAsia="方正小标宋简体" w:cs="方正小标宋简体"/>
          <w:color w:val="auto"/>
          <w:sz w:val="52"/>
          <w:szCs w:val="52"/>
          <w:lang w:val="en-US" w:eastAsia="zh-CN"/>
        </w:rPr>
        <w:t>汉中市</w:t>
      </w:r>
      <w:r>
        <w:rPr>
          <w:rFonts w:hint="eastAsia" w:ascii="方正小标宋简体" w:hAnsi="方正小标宋简体" w:eastAsia="方正小标宋简体" w:cs="方正小标宋简体"/>
          <w:color w:val="auto"/>
          <w:sz w:val="52"/>
          <w:szCs w:val="52"/>
        </w:rPr>
        <w:t>政府采购</w:t>
      </w:r>
      <w:r>
        <w:rPr>
          <w:rFonts w:hint="eastAsia" w:ascii="方正小标宋简体" w:hAnsi="方正小标宋简体" w:eastAsia="方正小标宋简体" w:cs="方正小标宋简体"/>
          <w:color w:val="auto"/>
          <w:sz w:val="52"/>
          <w:szCs w:val="52"/>
          <w:lang w:val="en-US" w:eastAsia="zh-CN"/>
        </w:rPr>
        <w:t>竞争性磋商</w:t>
      </w:r>
      <w:r>
        <w:rPr>
          <w:rFonts w:hint="eastAsia" w:ascii="方正小标宋简体" w:hAnsi="方正小标宋简体" w:eastAsia="方正小标宋简体" w:cs="方正小标宋简体"/>
          <w:color w:val="auto"/>
          <w:sz w:val="52"/>
          <w:szCs w:val="52"/>
        </w:rPr>
        <w:t>项目</w:t>
      </w:r>
      <w:bookmarkEnd w:id="210"/>
      <w:bookmarkEnd w:id="211"/>
      <w:bookmarkEnd w:id="212"/>
      <w:bookmarkEnd w:id="213"/>
      <w:bookmarkEnd w:id="214"/>
      <w:bookmarkEnd w:id="215"/>
      <w:bookmarkEnd w:id="216"/>
      <w:bookmarkEnd w:id="217"/>
    </w:p>
    <w:p>
      <w:pPr>
        <w:pStyle w:val="40"/>
        <w:spacing w:line="240" w:lineRule="auto"/>
        <w:ind w:left="0" w:leftChars="0" w:firstLine="0" w:firstLineChars="0"/>
        <w:jc w:val="both"/>
        <w:rPr>
          <w:rFonts w:hint="eastAsia" w:ascii="方正小标宋简体" w:hAnsi="方正小标宋简体" w:eastAsia="方正小标宋简体" w:cs="方正小标宋简体"/>
          <w:color w:val="auto"/>
          <w:sz w:val="36"/>
          <w:szCs w:val="36"/>
        </w:rPr>
      </w:pPr>
    </w:p>
    <w:p>
      <w:pPr>
        <w:spacing w:line="240" w:lineRule="auto"/>
        <w:jc w:val="center"/>
        <w:outlineLvl w:val="0"/>
        <w:rPr>
          <w:rFonts w:hint="eastAsia" w:ascii="方正小标宋简体" w:hAnsi="方正小标宋简体" w:eastAsia="方正小标宋简体" w:cs="方正小标宋简体"/>
          <w:color w:val="auto"/>
          <w:sz w:val="100"/>
          <w:szCs w:val="100"/>
          <w:lang w:val="en-US" w:eastAsia="zh-CN"/>
        </w:rPr>
      </w:pPr>
      <w:bookmarkStart w:id="218" w:name="_Toc20481"/>
      <w:bookmarkStart w:id="219" w:name="_Toc26378"/>
      <w:bookmarkStart w:id="220" w:name="_Toc8257"/>
      <w:bookmarkStart w:id="221" w:name="_Toc6733"/>
      <w:bookmarkStart w:id="222" w:name="_Toc76"/>
      <w:bookmarkStart w:id="223" w:name="_Toc17700"/>
      <w:bookmarkStart w:id="224" w:name="_Toc13950"/>
      <w:bookmarkStart w:id="225" w:name="_Toc19569"/>
      <w:r>
        <w:rPr>
          <w:rFonts w:hint="eastAsia" w:ascii="方正小标宋简体" w:hAnsi="方正小标宋简体" w:eastAsia="方正小标宋简体" w:cs="方正小标宋简体"/>
          <w:color w:val="auto"/>
          <w:sz w:val="100"/>
          <w:szCs w:val="100"/>
          <w:lang w:val="en-US" w:eastAsia="zh-CN"/>
        </w:rPr>
        <w:t>响应文件</w:t>
      </w:r>
      <w:bookmarkEnd w:id="218"/>
      <w:bookmarkEnd w:id="219"/>
      <w:bookmarkEnd w:id="220"/>
      <w:bookmarkEnd w:id="221"/>
      <w:bookmarkEnd w:id="222"/>
      <w:bookmarkEnd w:id="223"/>
      <w:bookmarkEnd w:id="224"/>
      <w:bookmarkEnd w:id="225"/>
    </w:p>
    <w:p>
      <w:pPr>
        <w:pStyle w:val="40"/>
        <w:spacing w:line="240" w:lineRule="auto"/>
        <w:ind w:firstLine="0" w:firstLineChars="0"/>
        <w:jc w:val="center"/>
        <w:rPr>
          <w:rFonts w:ascii="华文仿宋" w:hAnsi="华文仿宋" w:cs="华文仿宋"/>
          <w:color w:val="auto"/>
          <w:sz w:val="36"/>
          <w:szCs w:val="36"/>
        </w:rPr>
      </w:pPr>
    </w:p>
    <w:p>
      <w:pPr>
        <w:pStyle w:val="40"/>
        <w:spacing w:line="240" w:lineRule="auto"/>
        <w:ind w:firstLine="0" w:firstLineChars="0"/>
        <w:jc w:val="both"/>
        <w:rPr>
          <w:rFonts w:ascii="华文仿宋" w:hAnsi="华文仿宋" w:cs="华文仿宋"/>
          <w:color w:val="auto"/>
          <w:sz w:val="36"/>
          <w:szCs w:val="36"/>
        </w:rPr>
      </w:pPr>
    </w:p>
    <w:p>
      <w:pPr>
        <w:pStyle w:val="40"/>
        <w:spacing w:line="240" w:lineRule="auto"/>
        <w:ind w:firstLine="0" w:firstLineChars="0"/>
        <w:jc w:val="both"/>
        <w:rPr>
          <w:rFonts w:ascii="华文仿宋" w:hAnsi="华文仿宋" w:cs="华文仿宋"/>
          <w:color w:val="auto"/>
          <w:sz w:val="36"/>
          <w:szCs w:val="36"/>
        </w:rPr>
      </w:pPr>
    </w:p>
    <w:p>
      <w:pPr>
        <w:pStyle w:val="40"/>
        <w:spacing w:line="240" w:lineRule="auto"/>
        <w:ind w:firstLine="0" w:firstLineChars="0"/>
        <w:jc w:val="center"/>
        <w:rPr>
          <w:rFonts w:ascii="华文仿宋" w:hAnsi="华文仿宋" w:cs="华文仿宋"/>
          <w:color w:val="auto"/>
          <w:sz w:val="36"/>
        </w:rPr>
      </w:pPr>
    </w:p>
    <w:p>
      <w:pPr>
        <w:pStyle w:val="40"/>
        <w:spacing w:line="240" w:lineRule="auto"/>
        <w:ind w:firstLine="0" w:firstLineChars="0"/>
        <w:jc w:val="center"/>
        <w:rPr>
          <w:rFonts w:ascii="华文仿宋" w:hAnsi="华文仿宋" w:cs="华文仿宋"/>
          <w:color w:val="auto"/>
          <w:sz w:val="36"/>
        </w:rPr>
      </w:pPr>
    </w:p>
    <w:p>
      <w:pPr>
        <w:pStyle w:val="40"/>
        <w:spacing w:line="240" w:lineRule="auto"/>
        <w:ind w:firstLine="0" w:firstLineChars="0"/>
        <w:jc w:val="center"/>
        <w:rPr>
          <w:rFonts w:hint="eastAsia" w:ascii="仿宋_GB2312" w:hAnsi="仿宋_GB2312" w:eastAsia="仿宋_GB2312" w:cs="仿宋_GB2312"/>
          <w:color w:val="auto"/>
          <w:sz w:val="36"/>
        </w:rPr>
      </w:pPr>
    </w:p>
    <w:p>
      <w:pPr>
        <w:pStyle w:val="40"/>
        <w:spacing w:line="240" w:lineRule="auto"/>
        <w:ind w:firstLine="1452" w:firstLineChars="400"/>
        <w:outlineLvl w:val="0"/>
        <w:rPr>
          <w:rFonts w:hint="eastAsia" w:ascii="仿宋_GB2312" w:hAnsi="仿宋_GB2312" w:eastAsia="仿宋_GB2312" w:cs="仿宋_GB2312"/>
          <w:b/>
          <w:color w:val="auto"/>
          <w:sz w:val="36"/>
          <w:szCs w:val="36"/>
          <w:u w:val="single"/>
        </w:rPr>
      </w:pPr>
      <w:bookmarkStart w:id="226" w:name="_Toc12627"/>
      <w:bookmarkStart w:id="227" w:name="_Toc24486"/>
      <w:bookmarkStart w:id="228" w:name="_Toc2030"/>
      <w:bookmarkStart w:id="229" w:name="_Toc24457"/>
      <w:bookmarkStart w:id="230" w:name="_Toc22280"/>
      <w:bookmarkStart w:id="231" w:name="_Toc15913"/>
      <w:bookmarkStart w:id="232" w:name="_Toc15354"/>
      <w:bookmarkStart w:id="233" w:name="_Toc23171"/>
      <w:r>
        <w:rPr>
          <w:rFonts w:hint="eastAsia" w:ascii="仿宋_GB2312" w:hAnsi="仿宋_GB2312" w:eastAsia="仿宋_GB2312" w:cs="仿宋_GB2312"/>
          <w:bCs/>
          <w:color w:val="auto"/>
          <w:sz w:val="36"/>
          <w:szCs w:val="36"/>
        </w:rPr>
        <w:t>项目名称：</w:t>
      </w:r>
      <w:bookmarkEnd w:id="226"/>
      <w:bookmarkEnd w:id="227"/>
      <w:bookmarkEnd w:id="228"/>
      <w:bookmarkEnd w:id="229"/>
      <w:bookmarkEnd w:id="230"/>
      <w:bookmarkEnd w:id="231"/>
      <w:bookmarkEnd w:id="232"/>
      <w:bookmarkEnd w:id="233"/>
      <w:r>
        <w:rPr>
          <w:rFonts w:hint="eastAsia" w:ascii="仿宋_GB2312" w:hAnsi="仿宋_GB2312" w:eastAsia="仿宋_GB2312" w:cs="仿宋_GB2312"/>
          <w:color w:val="auto"/>
          <w:sz w:val="36"/>
          <w:szCs w:val="36"/>
          <w:u w:val="single"/>
        </w:rPr>
        <w:t xml:space="preserve">             </w:t>
      </w:r>
    </w:p>
    <w:p>
      <w:pPr>
        <w:pStyle w:val="40"/>
        <w:spacing w:line="240" w:lineRule="auto"/>
        <w:ind w:firstLine="1452" w:firstLineChars="400"/>
        <w:outlineLvl w:val="0"/>
        <w:rPr>
          <w:rFonts w:hint="eastAsia" w:ascii="仿宋_GB2312" w:hAnsi="仿宋_GB2312" w:eastAsia="仿宋_GB2312" w:cs="仿宋_GB2312"/>
          <w:color w:val="auto"/>
          <w:sz w:val="36"/>
          <w:szCs w:val="36"/>
          <w:u w:val="single"/>
        </w:rPr>
      </w:pPr>
      <w:bookmarkStart w:id="234" w:name="_Toc16607"/>
      <w:bookmarkStart w:id="235" w:name="_Toc11267"/>
      <w:bookmarkStart w:id="236" w:name="_Toc21054"/>
      <w:bookmarkStart w:id="237" w:name="_Toc15987"/>
      <w:bookmarkStart w:id="238" w:name="_Toc1120"/>
      <w:bookmarkStart w:id="239" w:name="_Toc5428"/>
      <w:bookmarkStart w:id="240" w:name="_Toc22519"/>
      <w:bookmarkStart w:id="241" w:name="_Toc29966"/>
      <w:r>
        <w:rPr>
          <w:rFonts w:hint="eastAsia" w:ascii="仿宋_GB2312" w:hAnsi="仿宋_GB2312" w:eastAsia="仿宋_GB2312" w:cs="仿宋_GB2312"/>
          <w:bCs/>
          <w:color w:val="auto"/>
          <w:sz w:val="36"/>
          <w:szCs w:val="36"/>
        </w:rPr>
        <w:t>项目</w:t>
      </w:r>
      <w:r>
        <w:rPr>
          <w:rFonts w:hint="eastAsia" w:ascii="仿宋_GB2312" w:hAnsi="仿宋_GB2312" w:eastAsia="仿宋_GB2312" w:cs="仿宋_GB2312"/>
          <w:bCs/>
          <w:color w:val="auto"/>
          <w:sz w:val="36"/>
          <w:szCs w:val="36"/>
          <w:lang w:val="en-US" w:eastAsia="zh-CN"/>
        </w:rPr>
        <w:t>编号</w:t>
      </w:r>
      <w:r>
        <w:rPr>
          <w:rFonts w:hint="eastAsia" w:ascii="仿宋_GB2312" w:hAnsi="仿宋_GB2312" w:eastAsia="仿宋_GB2312" w:cs="仿宋_GB2312"/>
          <w:bCs/>
          <w:color w:val="auto"/>
          <w:sz w:val="36"/>
          <w:szCs w:val="36"/>
        </w:rPr>
        <w:t>：</w:t>
      </w:r>
      <w:bookmarkEnd w:id="234"/>
      <w:r>
        <w:rPr>
          <w:rFonts w:hint="eastAsia" w:ascii="仿宋_GB2312" w:hAnsi="仿宋_GB2312" w:eastAsia="仿宋_GB2312" w:cs="仿宋_GB2312"/>
          <w:color w:val="auto"/>
          <w:sz w:val="36"/>
          <w:szCs w:val="36"/>
          <w:u w:val="single"/>
        </w:rPr>
        <w:t xml:space="preserve">             </w:t>
      </w:r>
    </w:p>
    <w:p>
      <w:pPr>
        <w:pStyle w:val="40"/>
        <w:spacing w:line="240" w:lineRule="auto"/>
        <w:ind w:firstLine="1452" w:firstLineChars="400"/>
        <w:outlineLvl w:val="0"/>
        <w:rPr>
          <w:rFonts w:hint="eastAsia" w:ascii="仿宋_GB2312" w:hAnsi="仿宋_GB2312" w:eastAsia="仿宋_GB2312" w:cs="仿宋_GB2312"/>
          <w:color w:val="auto"/>
          <w:sz w:val="36"/>
        </w:rPr>
      </w:pPr>
      <w:bookmarkStart w:id="242" w:name="_Toc18959"/>
      <w:r>
        <w:rPr>
          <w:rFonts w:hint="eastAsia" w:ascii="仿宋_GB2312" w:hAnsi="仿宋_GB2312" w:eastAsia="仿宋_GB2312" w:cs="仿宋_GB2312"/>
          <w:color w:val="auto"/>
          <w:sz w:val="36"/>
        </w:rPr>
        <w:t>供 应 商：</w:t>
      </w:r>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r>
        <w:rPr>
          <w:rFonts w:hint="eastAsia" w:ascii="仿宋_GB2312" w:hAnsi="仿宋_GB2312" w:eastAsia="仿宋_GB2312" w:cs="仿宋_GB2312"/>
          <w:color w:val="auto"/>
          <w:sz w:val="36"/>
        </w:rPr>
        <w:t>（公章）</w:t>
      </w:r>
      <w:bookmarkEnd w:id="235"/>
      <w:bookmarkEnd w:id="236"/>
      <w:bookmarkEnd w:id="237"/>
      <w:bookmarkEnd w:id="238"/>
      <w:bookmarkEnd w:id="239"/>
      <w:bookmarkEnd w:id="240"/>
      <w:bookmarkEnd w:id="241"/>
      <w:bookmarkEnd w:id="242"/>
    </w:p>
    <w:p>
      <w:pPr>
        <w:pStyle w:val="40"/>
        <w:spacing w:line="240" w:lineRule="auto"/>
        <w:ind w:firstLine="1452" w:firstLineChars="400"/>
        <w:jc w:val="left"/>
        <w:outlineLvl w:val="0"/>
        <w:rPr>
          <w:rFonts w:hint="eastAsia" w:ascii="仿宋" w:hAnsi="仿宋" w:eastAsia="仿宋" w:cs="仿宋"/>
          <w:color w:val="auto"/>
          <w:sz w:val="36"/>
          <w:szCs w:val="36"/>
          <w:u w:val="single"/>
        </w:rPr>
      </w:pPr>
      <w:bookmarkStart w:id="243" w:name="_Toc7734"/>
      <w:bookmarkStart w:id="244" w:name="_Toc21702"/>
      <w:bookmarkStart w:id="245" w:name="_Toc9715"/>
      <w:bookmarkStart w:id="246" w:name="_Toc15429"/>
      <w:bookmarkStart w:id="247" w:name="_Toc5243"/>
      <w:bookmarkStart w:id="248" w:name="_Toc26250"/>
      <w:bookmarkStart w:id="249" w:name="_Toc24294"/>
      <w:bookmarkStart w:id="250" w:name="_Toc880"/>
      <w:r>
        <w:rPr>
          <w:rFonts w:hint="eastAsia" w:ascii="仿宋_GB2312" w:hAnsi="仿宋_GB2312" w:eastAsia="仿宋_GB2312" w:cs="仿宋_GB2312"/>
          <w:color w:val="auto"/>
          <w:sz w:val="36"/>
        </w:rPr>
        <w:t>时　  间：</w:t>
      </w:r>
      <w:bookmarkEnd w:id="243"/>
      <w:bookmarkEnd w:id="244"/>
      <w:bookmarkEnd w:id="245"/>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bookmarkEnd w:id="246"/>
      <w:bookmarkEnd w:id="247"/>
      <w:bookmarkEnd w:id="248"/>
      <w:bookmarkEnd w:id="249"/>
      <w:bookmarkEnd w:id="250"/>
    </w:p>
    <w:p>
      <w:pPr>
        <w:pStyle w:val="40"/>
        <w:spacing w:line="240" w:lineRule="auto"/>
        <w:ind w:firstLine="1452" w:firstLineChars="400"/>
        <w:jc w:val="left"/>
        <w:outlineLvl w:val="0"/>
        <w:rPr>
          <w:rFonts w:hint="eastAsia" w:ascii="仿宋" w:hAnsi="仿宋" w:eastAsia="仿宋" w:cs="仿宋"/>
          <w:color w:val="auto"/>
          <w:sz w:val="36"/>
          <w:szCs w:val="36"/>
          <w:u w:val="single"/>
        </w:rPr>
      </w:pPr>
    </w:p>
    <w:bookmarkEnd w:id="199"/>
    <w:bookmarkEnd w:id="200"/>
    <w:bookmarkEnd w:id="201"/>
    <w:bookmarkEnd w:id="202"/>
    <w:bookmarkEnd w:id="203"/>
    <w:bookmarkEnd w:id="204"/>
    <w:bookmarkEnd w:id="205"/>
    <w:bookmarkEnd w:id="206"/>
    <w:bookmarkEnd w:id="207"/>
    <w:bookmarkEnd w:id="208"/>
    <w:p>
      <w:pPr>
        <w:rPr>
          <w:rFonts w:ascii="华文仿宋" w:hAnsi="华文仿宋" w:cs="华文仿宋"/>
          <w:color w:val="auto"/>
          <w:sz w:val="36"/>
        </w:rPr>
      </w:pPr>
      <w:bookmarkStart w:id="251" w:name="_Toc2071_WPSOffice_Level1"/>
      <w:bookmarkStart w:id="252" w:name="_Toc21571_WPSOffice_Level1"/>
      <w:bookmarkStart w:id="253" w:name="_Toc22476_WPSOffice_Level1"/>
      <w:bookmarkStart w:id="254" w:name="_Toc31082_WPSOffice_Level1"/>
      <w:r>
        <w:rPr>
          <w:rFonts w:ascii="华文仿宋" w:hAnsi="华文仿宋" w:cs="华文仿宋"/>
          <w:color w:val="auto"/>
          <w:sz w:val="36"/>
        </w:rPr>
        <w:br w:type="page"/>
      </w:r>
    </w:p>
    <w:p>
      <w:pPr>
        <w:pStyle w:val="44"/>
        <w:rPr>
          <w:rFonts w:hint="eastAsia" w:ascii="黑体" w:hAnsi="黑体" w:eastAsia="黑体" w:cs="黑体"/>
          <w:b w:val="0"/>
          <w:bCs w:val="0"/>
          <w:color w:val="auto"/>
          <w:sz w:val="36"/>
          <w:szCs w:val="36"/>
        </w:rPr>
      </w:pPr>
      <w:bookmarkStart w:id="255" w:name="_Toc10193"/>
      <w:bookmarkStart w:id="256" w:name="_Toc24906"/>
      <w:bookmarkStart w:id="257" w:name="_Toc11156"/>
      <w:bookmarkStart w:id="258" w:name="_Toc27037"/>
      <w:bookmarkStart w:id="259" w:name="_Toc23450"/>
      <w:r>
        <w:rPr>
          <w:rFonts w:hint="eastAsia" w:ascii="黑体" w:hAnsi="黑体" w:eastAsia="黑体" w:cs="黑体"/>
          <w:b w:val="0"/>
          <w:bCs w:val="0"/>
          <w:color w:val="auto"/>
          <w:sz w:val="44"/>
          <w:szCs w:val="44"/>
        </w:rPr>
        <w:t>目  录</w:t>
      </w:r>
      <w:bookmarkEnd w:id="251"/>
      <w:bookmarkEnd w:id="252"/>
      <w:bookmarkEnd w:id="253"/>
      <w:bookmarkEnd w:id="254"/>
      <w:bookmarkEnd w:id="255"/>
      <w:bookmarkEnd w:id="256"/>
      <w:bookmarkEnd w:id="257"/>
      <w:bookmarkEnd w:id="258"/>
      <w:bookmarkEnd w:id="259"/>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ascii="黑体" w:hAnsi="黑体" w:eastAsia="黑体" w:cs="黑体"/>
          <w:color w:val="auto"/>
          <w:sz w:val="32"/>
          <w:szCs w:val="32"/>
        </w:rPr>
      </w:pPr>
      <w:bookmarkStart w:id="260" w:name="_Toc19993_WPSOffice_Level1"/>
      <w:bookmarkStart w:id="261" w:name="_Toc26192_WPSOffice_Level1"/>
      <w:bookmarkStart w:id="262" w:name="_Toc25537_WPSOffice_Level1"/>
      <w:bookmarkStart w:id="263" w:name="_Toc8294_WPSOffice_Level1"/>
      <w:r>
        <w:rPr>
          <w:rFonts w:hint="eastAsia" w:ascii="黑体" w:hAnsi="黑体" w:eastAsia="黑体" w:cs="黑体"/>
          <w:color w:val="auto"/>
          <w:sz w:val="32"/>
          <w:szCs w:val="32"/>
        </w:rPr>
        <w:t>第一部分  资格证明文件</w:t>
      </w:r>
      <w:r>
        <w:rPr>
          <w:rFonts w:hint="eastAsia" w:ascii="黑体" w:hAnsi="黑体" w:eastAsia="黑体" w:cs="黑体"/>
          <w:color w:val="auto"/>
          <w:sz w:val="32"/>
          <w:szCs w:val="32"/>
        </w:rPr>
        <w:tab/>
      </w:r>
      <w:r>
        <w:rPr>
          <w:rFonts w:hint="eastAsia" w:ascii="黑体" w:hAnsi="黑体" w:eastAsia="黑体" w:cs="黑体"/>
          <w:color w:val="auto"/>
          <w:sz w:val="32"/>
          <w:szCs w:val="32"/>
        </w:rPr>
        <w:t>X</w:t>
      </w:r>
      <w:bookmarkEnd w:id="260"/>
      <w:bookmarkEnd w:id="261"/>
      <w:bookmarkEnd w:id="262"/>
      <w:bookmarkEnd w:id="263"/>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64" w:name="_Toc19993_WPSOffice_Level2"/>
      <w:bookmarkStart w:id="265" w:name="_Toc14464_WPSOffice_Level2"/>
      <w:bookmarkStart w:id="266" w:name="_Toc31082_WPSOffice_Level2"/>
      <w:bookmarkStart w:id="267" w:name="_Toc25969_WPSOffice_Level2"/>
      <w:r>
        <w:rPr>
          <w:rFonts w:hint="eastAsia" w:ascii="仿宋_GB2312" w:hAnsi="仿宋_GB2312" w:eastAsia="仿宋_GB2312" w:cs="仿宋_GB2312"/>
          <w:color w:val="auto"/>
          <w:sz w:val="32"/>
          <w:szCs w:val="32"/>
        </w:rPr>
        <w:t>一、营业执照等主体资格证明文件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4"/>
      <w:bookmarkEnd w:id="265"/>
      <w:bookmarkEnd w:id="266"/>
      <w:bookmarkEnd w:id="267"/>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68" w:name="_Toc5830_WPSOffice_Level2"/>
      <w:bookmarkStart w:id="269" w:name="_Toc27026_WPSOffice_Level2"/>
      <w:bookmarkStart w:id="270" w:name="_Toc10078_WPSOffice_Level2"/>
      <w:bookmarkStart w:id="271" w:name="_Toc25537_WPSOffice_Level2"/>
      <w:r>
        <w:rPr>
          <w:rFonts w:hint="eastAsia" w:ascii="仿宋_GB2312" w:hAnsi="仿宋_GB2312" w:eastAsia="仿宋_GB2312" w:cs="仿宋_GB2312"/>
          <w:color w:val="auto"/>
          <w:sz w:val="32"/>
          <w:szCs w:val="32"/>
        </w:rPr>
        <w:t>二、财务状况报告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8"/>
      <w:bookmarkEnd w:id="269"/>
      <w:bookmarkEnd w:id="270"/>
      <w:bookmarkEnd w:id="271"/>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2" w:name="_Toc22808_WPSOffice_Level2"/>
      <w:bookmarkStart w:id="273" w:name="_Toc17853_WPSOffice_Level2"/>
      <w:bookmarkStart w:id="274" w:name="_Toc6392_WPSOffice_Level2"/>
      <w:bookmarkStart w:id="275" w:name="_Toc30252_WPSOffice_Level2"/>
      <w:r>
        <w:rPr>
          <w:rFonts w:hint="eastAsia" w:ascii="仿宋_GB2312" w:hAnsi="仿宋_GB2312" w:eastAsia="仿宋_GB2312" w:cs="仿宋_GB2312"/>
          <w:color w:val="auto"/>
          <w:sz w:val="32"/>
          <w:szCs w:val="32"/>
        </w:rPr>
        <w:t>三、社保缴纳证明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2"/>
      <w:bookmarkEnd w:id="273"/>
      <w:bookmarkEnd w:id="274"/>
      <w:bookmarkEnd w:id="275"/>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6" w:name="_Toc26939_WPSOffice_Level2"/>
      <w:bookmarkStart w:id="277" w:name="_Toc25958_WPSOffice_Level2"/>
      <w:bookmarkStart w:id="278" w:name="_Toc6376_WPSOffice_Level2"/>
      <w:bookmarkStart w:id="279" w:name="_Toc27464_WPSOffice_Level2"/>
      <w:r>
        <w:rPr>
          <w:rFonts w:hint="eastAsia" w:ascii="仿宋_GB2312" w:hAnsi="仿宋_GB2312" w:eastAsia="仿宋_GB2312" w:cs="仿宋_GB2312"/>
          <w:color w:val="auto"/>
          <w:sz w:val="32"/>
          <w:szCs w:val="32"/>
        </w:rPr>
        <w:t>四、税收缴纳证明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6"/>
      <w:bookmarkEnd w:id="277"/>
      <w:bookmarkEnd w:id="278"/>
      <w:bookmarkEnd w:id="279"/>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80" w:name="_Toc17511_WPSOffice_Level2"/>
      <w:bookmarkStart w:id="281" w:name="_Toc25801_WPSOffice_Level2"/>
      <w:bookmarkStart w:id="282" w:name="_Toc3534_WPSOffice_Level2"/>
      <w:bookmarkStart w:id="283" w:name="_Toc10792_WPSOffice_Level2"/>
      <w:r>
        <w:rPr>
          <w:rFonts w:hint="eastAsia" w:ascii="仿宋_GB2312" w:hAnsi="仿宋_GB2312" w:eastAsia="仿宋_GB2312" w:cs="仿宋_GB2312"/>
          <w:color w:val="auto"/>
          <w:sz w:val="32"/>
          <w:szCs w:val="32"/>
        </w:rPr>
        <w:t>五、书面声明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80"/>
      <w:bookmarkEnd w:id="281"/>
      <w:bookmarkEnd w:id="282"/>
      <w:bookmarkEnd w:id="283"/>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84" w:name="_Toc21196_WPSOffice_Level2"/>
      <w:bookmarkStart w:id="285" w:name="_Toc17236_WPSOffice_Level2"/>
      <w:bookmarkStart w:id="286" w:name="_Toc12145_WPSOffice_Level2"/>
      <w:bookmarkStart w:id="287" w:name="_Toc5115_WPSOffice_Level2"/>
      <w:r>
        <w:rPr>
          <w:rFonts w:hint="eastAsia" w:ascii="仿宋_GB2312" w:hAnsi="仿宋_GB2312" w:eastAsia="仿宋_GB2312" w:cs="仿宋_GB2312"/>
          <w:color w:val="auto"/>
          <w:sz w:val="32"/>
          <w:szCs w:val="32"/>
        </w:rPr>
        <w:t>六、法定代表人授权委托书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84"/>
      <w:bookmarkEnd w:id="285"/>
      <w:bookmarkEnd w:id="286"/>
      <w:bookmarkEnd w:id="287"/>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黑体" w:hAnsi="黑体" w:eastAsia="黑体" w:cs="黑体"/>
          <w:color w:val="auto"/>
          <w:sz w:val="32"/>
          <w:szCs w:val="32"/>
        </w:rPr>
      </w:pPr>
      <w:bookmarkStart w:id="288" w:name="_Toc22849_WPSOffice_Level1"/>
      <w:bookmarkStart w:id="289" w:name="_Toc27026_WPSOffice_Level1"/>
      <w:bookmarkStart w:id="290" w:name="_Toc28184_WPSOffice_Level1"/>
      <w:bookmarkStart w:id="291" w:name="_Toc30252_WPSOffice_Level1"/>
      <w:r>
        <w:rPr>
          <w:rFonts w:hint="eastAsia" w:ascii="仿宋_GB2312" w:hAnsi="仿宋_GB2312" w:eastAsia="仿宋_GB2312" w:cs="仿宋_GB2312"/>
          <w:color w:val="auto"/>
          <w:sz w:val="32"/>
          <w:szCs w:val="32"/>
        </w:rPr>
        <w:t>七、落实政府采购政策需满足的资格要求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ascii="黑体" w:hAnsi="黑体" w:eastAsia="黑体" w:cs="黑体"/>
          <w:color w:val="auto"/>
          <w:sz w:val="32"/>
          <w:szCs w:val="32"/>
        </w:rPr>
      </w:pPr>
      <w:r>
        <w:rPr>
          <w:rFonts w:hint="eastAsia" w:ascii="黑体" w:hAnsi="黑体" w:eastAsia="黑体" w:cs="黑体"/>
          <w:color w:val="auto"/>
          <w:sz w:val="32"/>
          <w:szCs w:val="32"/>
        </w:rPr>
        <w:t>第二部分  符合性证明文件</w:t>
      </w:r>
      <w:r>
        <w:rPr>
          <w:color w:val="auto"/>
          <w:sz w:val="32"/>
          <w:szCs w:val="32"/>
        </w:rPr>
        <w:tab/>
      </w:r>
      <w:r>
        <w:rPr>
          <w:color w:val="auto"/>
          <w:sz w:val="32"/>
          <w:szCs w:val="32"/>
        </w:rPr>
        <w:t>X</w:t>
      </w:r>
      <w:bookmarkEnd w:id="288"/>
      <w:bookmarkEnd w:id="289"/>
      <w:bookmarkEnd w:id="290"/>
      <w:bookmarkEnd w:id="291"/>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2" w:name="_Toc7348_WPSOffice_Level2"/>
      <w:bookmarkStart w:id="293" w:name="_Toc183_WPSOffice_Level2"/>
      <w:bookmarkStart w:id="294" w:name="_Toc5795_WPSOffice_Level2"/>
      <w:bookmarkStart w:id="295" w:name="_Toc28631_WPSOffice_Level2"/>
      <w:r>
        <w:rPr>
          <w:rFonts w:hint="eastAsia" w:ascii="仿宋_GB2312" w:hAnsi="仿宋_GB2312" w:eastAsia="仿宋_GB2312" w:cs="仿宋_GB2312"/>
          <w:color w:val="auto"/>
          <w:sz w:val="32"/>
          <w:szCs w:val="32"/>
        </w:rPr>
        <w:t>一、响应函格式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2"/>
      <w:bookmarkEnd w:id="293"/>
      <w:bookmarkEnd w:id="294"/>
      <w:bookmarkEnd w:id="295"/>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6" w:name="_Toc1168_WPSOffice_Level2"/>
      <w:bookmarkStart w:id="297" w:name="_Toc9021_WPSOffice_Level2"/>
      <w:bookmarkStart w:id="298" w:name="_Toc27223_WPSOffice_Level2"/>
      <w:bookmarkStart w:id="299" w:name="_Toc8116_WPSOffice_Level2"/>
      <w:r>
        <w:rPr>
          <w:rFonts w:hint="eastAsia" w:ascii="仿宋_GB2312" w:hAnsi="仿宋_GB2312" w:eastAsia="仿宋_GB2312" w:cs="仿宋_GB2312"/>
          <w:color w:val="auto"/>
          <w:sz w:val="32"/>
          <w:szCs w:val="32"/>
        </w:rPr>
        <w:t>二、第一次磋商报价表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6"/>
      <w:bookmarkEnd w:id="297"/>
      <w:bookmarkEnd w:id="298"/>
      <w:bookmarkEnd w:id="299"/>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分项报价表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00" w:name="_Toc3525_WPSOffice_Level2"/>
      <w:bookmarkStart w:id="301" w:name="_Toc11630_WPSOffice_Level2"/>
      <w:bookmarkStart w:id="302" w:name="_Toc29414_WPSOffice_Level2"/>
      <w:bookmarkStart w:id="303" w:name="_Toc27170_WPSOffice_Level2"/>
      <w:r>
        <w:rPr>
          <w:rFonts w:hint="eastAsia" w:ascii="仿宋_GB2312" w:hAnsi="仿宋_GB2312" w:eastAsia="仿宋_GB2312" w:cs="仿宋_GB2312"/>
          <w:color w:val="auto"/>
          <w:sz w:val="32"/>
          <w:szCs w:val="32"/>
        </w:rPr>
        <w:t>三、供应商参加政府采购活动承诺书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0"/>
      <w:bookmarkEnd w:id="301"/>
      <w:bookmarkEnd w:id="302"/>
      <w:bookmarkEnd w:id="303"/>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04" w:name="_Toc31457_WPSOffice_Level2"/>
      <w:bookmarkStart w:id="305" w:name="_Toc18811_WPSOffice_Level2"/>
      <w:bookmarkStart w:id="306" w:name="_Toc1782_WPSOffice_Level2"/>
      <w:bookmarkStart w:id="307" w:name="_Toc20504_WPSOffice_Level2"/>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、技术服务偏差表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4"/>
      <w:bookmarkEnd w:id="305"/>
      <w:bookmarkEnd w:id="306"/>
      <w:bookmarkEnd w:id="307"/>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08" w:name="_Toc19486_WPSOffice_Level2"/>
      <w:bookmarkStart w:id="309" w:name="_Toc28279_WPSOffice_Level2"/>
      <w:bookmarkStart w:id="310" w:name="_Toc13258_WPSOffice_Level2"/>
      <w:bookmarkStart w:id="311" w:name="_Toc17428_WPSOffice_Level2"/>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条款响应</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8"/>
      <w:bookmarkEnd w:id="309"/>
      <w:bookmarkEnd w:id="310"/>
      <w:bookmarkEnd w:id="311"/>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646" w:firstLineChars="200"/>
        <w:textAlignment w:val="auto"/>
        <w:rPr>
          <w:rFonts w:ascii="黑体" w:hAnsi="黑体" w:eastAsia="黑体" w:cs="黑体"/>
          <w:color w:val="auto"/>
          <w:sz w:val="32"/>
          <w:szCs w:val="32"/>
        </w:rPr>
      </w:pPr>
      <w:bookmarkStart w:id="312" w:name="_Toc27464_WPSOffice_Level1"/>
      <w:bookmarkStart w:id="313" w:name="_Toc22808_WPSOffice_Level1"/>
      <w:bookmarkStart w:id="314" w:name="_Toc21905_WPSOffice_Level1"/>
      <w:bookmarkStart w:id="315" w:name="_Toc23092_WPSOffice_Level1"/>
      <w:r>
        <w:rPr>
          <w:rFonts w:hint="eastAsia" w:ascii="黑体" w:hAnsi="黑体" w:eastAsia="黑体" w:cs="黑体"/>
          <w:color w:val="auto"/>
          <w:sz w:val="32"/>
          <w:szCs w:val="32"/>
        </w:rPr>
        <w:t>第三部分  响应方案</w:t>
      </w:r>
      <w:bookmarkEnd w:id="312"/>
      <w:bookmarkEnd w:id="313"/>
      <w:bookmarkEnd w:id="314"/>
      <w:bookmarkEnd w:id="315"/>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16" w:name="_Toc7951_WPSOffice_Level2"/>
      <w:bookmarkStart w:id="317" w:name="_Toc8316_WPSOffice_Level2"/>
      <w:bookmarkStart w:id="318" w:name="_Toc7544_WPSOffice_Level2"/>
      <w:bookmarkStart w:id="319" w:name="_Toc980_WPSOffice_Level2"/>
      <w:r>
        <w:rPr>
          <w:rFonts w:hint="eastAsia" w:ascii="仿宋_GB2312" w:hAnsi="仿宋_GB2312" w:eastAsia="仿宋_GB2312" w:cs="仿宋_GB2312"/>
          <w:color w:val="auto"/>
          <w:sz w:val="32"/>
          <w:szCs w:val="32"/>
        </w:rPr>
        <w:t>一、供应商</w:t>
      </w:r>
      <w:bookmarkEnd w:id="316"/>
      <w:r>
        <w:rPr>
          <w:rFonts w:hint="eastAsia" w:ascii="仿宋_GB2312" w:hAnsi="仿宋_GB2312" w:eastAsia="仿宋_GB2312" w:cs="仿宋_GB2312"/>
          <w:color w:val="auto"/>
          <w:sz w:val="32"/>
          <w:szCs w:val="32"/>
          <w:lang w:val="en-US" w:eastAsia="zh-CN"/>
        </w:rPr>
        <w:t>基本情况及其性质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7"/>
      <w:bookmarkEnd w:id="318"/>
      <w:bookmarkEnd w:id="319"/>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20" w:name="_Toc2987_WPSOffice_Level2"/>
      <w:bookmarkStart w:id="321" w:name="_Toc2999_WPSOffice_Level2"/>
      <w:bookmarkStart w:id="322" w:name="_Toc10127_WPSOffice_Level2"/>
      <w:bookmarkStart w:id="323" w:name="_Toc15474_WPSOffice_Level2"/>
      <w:r>
        <w:rPr>
          <w:rFonts w:hint="eastAsia" w:ascii="仿宋_GB2312" w:hAnsi="仿宋_GB2312" w:eastAsia="仿宋_GB2312" w:cs="仿宋_GB2312"/>
          <w:color w:val="auto"/>
          <w:sz w:val="32"/>
          <w:szCs w:val="32"/>
        </w:rPr>
        <w:t>二、技术服务方案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20"/>
      <w:bookmarkEnd w:id="321"/>
      <w:bookmarkEnd w:id="322"/>
      <w:bookmarkEnd w:id="323"/>
    </w:p>
    <w:p>
      <w:pPr>
        <w:keepNext w:val="0"/>
        <w:keepLines w:val="0"/>
        <w:pageBreakBefore w:val="0"/>
        <w:widowControl/>
        <w:numPr>
          <w:ilvl w:val="0"/>
          <w:numId w:val="0"/>
        </w:numPr>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24" w:name="_Toc22913_WPSOffice_Level2"/>
      <w:bookmarkStart w:id="325" w:name="_Toc28542_WPSOffice_Level2"/>
      <w:bookmarkStart w:id="326" w:name="_Toc13401_WPSOffice_Level2"/>
      <w:bookmarkStart w:id="327" w:name="_Toc15492_WPSOffice_Level2"/>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参考样表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24"/>
      <w:bookmarkEnd w:id="325"/>
      <w:bookmarkEnd w:id="326"/>
      <w:bookmarkEnd w:id="327"/>
    </w:p>
    <w:p>
      <w:pPr>
        <w:spacing w:line="500" w:lineRule="exact"/>
        <w:jc w:val="center"/>
        <w:rPr>
          <w:rFonts w:ascii="黑体" w:hAnsi="黑体" w:eastAsia="黑体"/>
          <w:b/>
          <w:color w:val="auto"/>
        </w:rPr>
      </w:pPr>
    </w:p>
    <w:p>
      <w:pPr>
        <w:spacing w:line="500" w:lineRule="exact"/>
        <w:jc w:val="center"/>
        <w:rPr>
          <w:rFonts w:ascii="黑体" w:hAnsi="黑体" w:eastAsia="黑体"/>
          <w:b/>
          <w:color w:val="auto"/>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b/>
          <w:color w:val="auto"/>
        </w:rPr>
      </w:pPr>
      <w:r>
        <w:rPr>
          <w:rFonts w:ascii="黑体" w:hAnsi="黑体" w:eastAsia="黑体"/>
          <w:b/>
          <w:color w:val="auto"/>
        </w:rPr>
        <w:br w:type="page"/>
      </w:r>
      <w:bookmarkStart w:id="328" w:name="_Toc8079"/>
      <w:bookmarkStart w:id="329" w:name="_Toc3534_WPSOffice_Level1"/>
      <w:bookmarkStart w:id="330" w:name="_Toc5115_WPSOffice_Level1"/>
      <w:bookmarkStart w:id="331" w:name="_Toc6199"/>
      <w:bookmarkStart w:id="332" w:name="_Toc16498"/>
      <w:bookmarkStart w:id="333" w:name="_Toc14670_WPSOffice_Level1"/>
      <w:bookmarkStart w:id="334" w:name="_Toc23478"/>
      <w:r>
        <w:rPr>
          <w:rStyle w:val="45"/>
          <w:rFonts w:hint="eastAsia" w:ascii="黑体" w:hAnsi="黑体" w:eastAsia="黑体" w:cs="黑体"/>
          <w:b w:val="0"/>
          <w:bCs/>
          <w:color w:val="auto"/>
          <w:sz w:val="32"/>
          <w:szCs w:val="40"/>
        </w:rPr>
        <w:t>第一部分  资格证明文件</w:t>
      </w:r>
      <w:bookmarkEnd w:id="328"/>
      <w:bookmarkEnd w:id="329"/>
      <w:bookmarkEnd w:id="330"/>
      <w:bookmarkEnd w:id="331"/>
      <w:bookmarkEnd w:id="332"/>
      <w:bookmarkEnd w:id="333"/>
      <w:bookmarkEnd w:id="334"/>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供应商应按照磋商文件第</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章</w:t>
      </w:r>
      <w:r>
        <w:rPr>
          <w:rFonts w:hint="eastAsia" w:ascii="仿宋_GB2312" w:hAnsi="仿宋_GB2312" w:eastAsia="仿宋_GB2312" w:cs="仿宋_GB2312"/>
          <w:color w:val="auto"/>
          <w:sz w:val="28"/>
          <w:szCs w:val="28"/>
          <w:lang w:val="en-US" w:eastAsia="zh-CN"/>
        </w:rPr>
        <w:t>《资格审查表》</w:t>
      </w:r>
      <w:r>
        <w:rPr>
          <w:rFonts w:hint="eastAsia" w:ascii="仿宋_GB2312" w:hAnsi="仿宋_GB2312" w:eastAsia="仿宋_GB2312" w:cs="仿宋_GB2312"/>
          <w:color w:val="auto"/>
          <w:sz w:val="28"/>
          <w:szCs w:val="28"/>
        </w:rPr>
        <w:t>所列</w:t>
      </w:r>
      <w:r>
        <w:rPr>
          <w:rFonts w:hint="eastAsia" w:ascii="仿宋_GB2312" w:hAnsi="仿宋_GB2312" w:eastAsia="仿宋_GB2312" w:cs="仿宋_GB2312"/>
          <w:color w:val="auto"/>
          <w:sz w:val="28"/>
          <w:szCs w:val="28"/>
          <w:lang w:val="en-US" w:eastAsia="zh-CN"/>
        </w:rPr>
        <w:t>审查项</w:t>
      </w:r>
      <w:r>
        <w:rPr>
          <w:rFonts w:hint="eastAsia" w:ascii="仿宋_GB2312" w:hAnsi="仿宋_GB2312" w:eastAsia="仿宋_GB2312" w:cs="仿宋_GB2312"/>
          <w:color w:val="auto"/>
          <w:sz w:val="28"/>
          <w:szCs w:val="28"/>
        </w:rPr>
        <w:t>逐一提供全部资格证明文件。缺少其中任何一项，其响应文件将被视为无效文件。</w:t>
      </w:r>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其中，《近三年内在经营活动中无重大违法记录声明》、《法定代表人授权委托书》</w:t>
      </w:r>
      <w:r>
        <w:rPr>
          <w:rFonts w:hint="eastAsia" w:ascii="仿宋_GB2312" w:hAnsi="仿宋_GB2312" w:eastAsia="仿宋_GB2312" w:cs="仿宋_GB2312"/>
          <w:color w:val="auto"/>
          <w:sz w:val="28"/>
          <w:szCs w:val="28"/>
          <w:lang w:eastAsia="zh-CN"/>
        </w:rPr>
        <w:t>《中小企业声明函》</w:t>
      </w:r>
      <w:r>
        <w:rPr>
          <w:rFonts w:hint="eastAsia" w:ascii="仿宋_GB2312" w:hAnsi="仿宋_GB2312" w:eastAsia="仿宋_GB2312" w:cs="仿宋_GB2312"/>
          <w:color w:val="auto"/>
          <w:sz w:val="28"/>
          <w:szCs w:val="28"/>
        </w:rPr>
        <w:t>须按下文给定格式填写，否则按无效处理。特别说明，法定代表人亲自参加</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的，可不提供法定代表人授权委托书，但须提供其本人身份证（正反面）复印件。</w:t>
      </w:r>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35" w:name="_Toc19075_WPSOffice_Level2"/>
      <w:bookmarkStart w:id="336" w:name="_Toc26041_WPSOffice_Level2"/>
      <w:bookmarkStart w:id="337" w:name="_Toc9954_WPSOffice_Level2"/>
      <w:bookmarkStart w:id="338" w:name="_Toc6967_WPSOffice_Level2"/>
      <w:r>
        <w:rPr>
          <w:rFonts w:hint="eastAsia" w:ascii="仿宋_GB2312" w:hAnsi="仿宋_GB2312" w:eastAsia="仿宋_GB2312" w:cs="仿宋_GB2312"/>
          <w:b/>
          <w:color w:val="auto"/>
          <w:sz w:val="28"/>
          <w:szCs w:val="28"/>
        </w:rPr>
        <w:t>一、营业执照等主体资格证明文件</w:t>
      </w:r>
      <w:bookmarkEnd w:id="335"/>
      <w:bookmarkEnd w:id="336"/>
      <w:bookmarkEnd w:id="337"/>
      <w:bookmarkEnd w:id="338"/>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39" w:name="_Toc18116_WPSOffice_Level2"/>
      <w:bookmarkStart w:id="340" w:name="_Toc8228_WPSOffice_Level2"/>
      <w:bookmarkStart w:id="341" w:name="_Toc24324_WPSOffice_Level2"/>
      <w:bookmarkStart w:id="342" w:name="_Toc6228_WPSOffice_Level2"/>
      <w:r>
        <w:rPr>
          <w:rFonts w:hint="eastAsia" w:ascii="仿宋_GB2312" w:hAnsi="仿宋_GB2312" w:eastAsia="仿宋_GB2312" w:cs="仿宋_GB2312"/>
          <w:b/>
          <w:color w:val="auto"/>
          <w:sz w:val="28"/>
          <w:szCs w:val="28"/>
        </w:rPr>
        <w:t>二、财务状况报告</w:t>
      </w:r>
      <w:bookmarkEnd w:id="339"/>
      <w:bookmarkEnd w:id="340"/>
      <w:bookmarkEnd w:id="341"/>
      <w:bookmarkEnd w:id="342"/>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43" w:name="_Toc8724_WPSOffice_Level2"/>
      <w:bookmarkStart w:id="344" w:name="_Toc25438_WPSOffice_Level2"/>
      <w:bookmarkStart w:id="345" w:name="_Toc9514_WPSOffice_Level2"/>
      <w:bookmarkStart w:id="346" w:name="_Toc29597_WPSOffice_Level2"/>
      <w:r>
        <w:rPr>
          <w:rFonts w:hint="eastAsia" w:ascii="仿宋_GB2312" w:hAnsi="仿宋_GB2312" w:eastAsia="仿宋_GB2312" w:cs="仿宋_GB2312"/>
          <w:b/>
          <w:color w:val="auto"/>
          <w:sz w:val="28"/>
          <w:szCs w:val="28"/>
        </w:rPr>
        <w:t>三、社保缴纳证明</w:t>
      </w:r>
      <w:bookmarkEnd w:id="343"/>
      <w:bookmarkEnd w:id="344"/>
      <w:bookmarkEnd w:id="345"/>
      <w:bookmarkEnd w:id="346"/>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47" w:name="_Toc18154_WPSOffice_Level2"/>
      <w:bookmarkStart w:id="348" w:name="_Toc26260_WPSOffice_Level2"/>
      <w:bookmarkStart w:id="349" w:name="_Toc22563_WPSOffice_Level2"/>
      <w:bookmarkStart w:id="350" w:name="_Toc960_WPSOffice_Level2"/>
      <w:r>
        <w:rPr>
          <w:rFonts w:hint="eastAsia" w:ascii="仿宋_GB2312" w:hAnsi="仿宋_GB2312" w:eastAsia="仿宋_GB2312" w:cs="仿宋_GB2312"/>
          <w:b/>
          <w:color w:val="auto"/>
          <w:sz w:val="28"/>
          <w:szCs w:val="28"/>
        </w:rPr>
        <w:t>四、税收缴纳证明</w:t>
      </w:r>
      <w:bookmarkEnd w:id="347"/>
      <w:bookmarkEnd w:id="348"/>
      <w:bookmarkEnd w:id="349"/>
      <w:bookmarkEnd w:id="350"/>
    </w:p>
    <w:p>
      <w:pPr>
        <w:spacing w:line="500" w:lineRule="exact"/>
        <w:ind w:firstLine="566" w:firstLineChars="200"/>
        <w:rPr>
          <w:rFonts w:hint="eastAsia" w:ascii="仿宋" w:hAnsi="仿宋" w:eastAsia="仿宋"/>
          <w:b/>
          <w:color w:val="auto"/>
          <w:sz w:val="28"/>
          <w:szCs w:val="28"/>
        </w:rPr>
      </w:pPr>
      <w:bookmarkStart w:id="351" w:name="_Toc10483_WPSOffice_Level2"/>
      <w:bookmarkStart w:id="352" w:name="_Toc32533_WPSOffice_Level2"/>
      <w:bookmarkStart w:id="353" w:name="_Toc30636_WPSOffice_Level2"/>
      <w:bookmarkStart w:id="354" w:name="_Toc1079_WPSOffice_Level2"/>
    </w:p>
    <w:p>
      <w:pPr>
        <w:spacing w:line="500" w:lineRule="exact"/>
        <w:ind w:firstLine="566" w:firstLineChars="200"/>
        <w:rPr>
          <w:rFonts w:hint="eastAsia" w:ascii="仿宋" w:hAnsi="仿宋" w:eastAsia="仿宋"/>
          <w:b/>
          <w:color w:val="auto"/>
          <w:sz w:val="28"/>
          <w:szCs w:val="28"/>
        </w:rPr>
      </w:pPr>
    </w:p>
    <w:p>
      <w:pPr>
        <w:spacing w:line="500" w:lineRule="exact"/>
        <w:ind w:firstLine="566" w:firstLineChars="200"/>
        <w:rPr>
          <w:rFonts w:hint="eastAsia" w:ascii="仿宋" w:hAnsi="仿宋" w:eastAsia="仿宋"/>
          <w:b/>
          <w:color w:val="auto"/>
        </w:rPr>
      </w:pPr>
    </w:p>
    <w:p>
      <w:pPr>
        <w:spacing w:line="500" w:lineRule="exact"/>
        <w:ind w:firstLine="566" w:firstLineChars="200"/>
        <w:rPr>
          <w:rFonts w:hint="eastAsia" w:ascii="仿宋" w:hAnsi="仿宋" w:eastAsia="仿宋"/>
          <w:b/>
          <w:color w:val="auto"/>
        </w:rPr>
      </w:pPr>
    </w:p>
    <w:p>
      <w:pPr>
        <w:rPr>
          <w:rFonts w:hint="eastAsia" w:ascii="仿宋" w:hAnsi="仿宋" w:eastAsia="仿宋"/>
          <w:b/>
          <w:color w:val="auto"/>
        </w:rPr>
      </w:pPr>
      <w:r>
        <w:rPr>
          <w:rFonts w:hint="eastAsia" w:ascii="仿宋" w:hAnsi="仿宋" w:eastAsia="仿宋"/>
          <w:b/>
          <w:color w:val="auto"/>
        </w:rPr>
        <w:br w:type="page"/>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b/>
          <w:color w:val="auto"/>
        </w:rPr>
        <w:t>五、书面声明</w:t>
      </w:r>
      <w:bookmarkEnd w:id="351"/>
      <w:bookmarkEnd w:id="352"/>
      <w:bookmarkEnd w:id="353"/>
      <w:bookmarkEnd w:id="354"/>
    </w:p>
    <w:p>
      <w:pPr>
        <w:pStyle w:val="46"/>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0"/>
          <w:szCs w:val="30"/>
        </w:rPr>
      </w:pPr>
    </w:p>
    <w:p>
      <w:pPr>
        <w:pStyle w:val="46"/>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近三年内在经营活动中无重大违法记录声明</w:t>
      </w: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我方作为</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rPr>
        <w:t>（项目编号：____）第___标段的供应商，在此郑重声明：</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在参加本次政府采购活动前3年内的经营活动中____（填“没有”或“有”）重大违法记录。</w:t>
      </w:r>
    </w:p>
    <w:p>
      <w:pPr>
        <w:pStyle w:val="20"/>
        <w:pageBreakBefore w:val="0"/>
        <w:widowControl/>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如有不实，我方将无条件地退出本项目的采购活动，并遵照《</w:t>
      </w:r>
      <w:r>
        <w:rPr>
          <w:rFonts w:hint="eastAsia" w:ascii="仿宋_GB2312" w:hAnsi="仿宋_GB2312" w:eastAsia="仿宋_GB2312" w:cs="仿宋_GB2312"/>
          <w:color w:val="auto"/>
          <w:sz w:val="28"/>
          <w:szCs w:val="28"/>
          <w:lang w:val="en-US" w:eastAsia="zh-CN"/>
        </w:rPr>
        <w:t>中华人民共和国</w:t>
      </w:r>
      <w:r>
        <w:rPr>
          <w:rFonts w:hint="eastAsia" w:ascii="仿宋_GB2312" w:hAnsi="仿宋_GB2312" w:eastAsia="仿宋_GB2312" w:cs="仿宋_GB2312"/>
          <w:color w:val="auto"/>
          <w:sz w:val="28"/>
          <w:szCs w:val="28"/>
        </w:rPr>
        <w:t>政府采购法》有关“提供虚假材料的规定”接受处罚。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特此声明。</w:t>
      </w:r>
    </w:p>
    <w:p>
      <w:pPr>
        <w:pageBreakBefore w:val="0"/>
        <w:widowControl/>
        <w:kinsoku/>
        <w:wordWrap/>
        <w:overflowPunct/>
        <w:topLinePunct w:val="0"/>
        <w:autoSpaceDE/>
        <w:autoSpaceDN/>
        <w:bidi w:val="0"/>
        <w:adjustRightInd/>
        <w:snapToGrid/>
        <w:spacing w:line="560" w:lineRule="exact"/>
        <w:ind w:firstLine="4245" w:firstLineChars="15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pageBreakBefore w:val="0"/>
        <w:widowControl/>
        <w:kinsoku/>
        <w:wordWrap/>
        <w:overflowPunct/>
        <w:topLinePunct w:val="0"/>
        <w:autoSpaceDE/>
        <w:autoSpaceDN/>
        <w:bidi w:val="0"/>
        <w:adjustRightInd/>
        <w:snapToGrid/>
        <w:spacing w:line="560" w:lineRule="exact"/>
        <w:ind w:firstLine="4245" w:firstLineChars="15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spacing w:line="500" w:lineRule="exact"/>
        <w:ind w:firstLine="566" w:firstLineChars="200"/>
        <w:rPr>
          <w:rFonts w:ascii="仿宋" w:hAnsi="仿宋" w:eastAsia="仿宋" w:cs="仿宋"/>
          <w:color w:val="auto"/>
        </w:rPr>
      </w:pPr>
    </w:p>
    <w:p>
      <w:pPr>
        <w:spacing w:line="500" w:lineRule="exact"/>
        <w:ind w:firstLine="426"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备注：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重大违法记录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是指供应商因违法经营受到刑事处罚或者责令停产停业、吊销许可证或者执照、较大数额罚款等行政处罚</w:t>
      </w:r>
      <w:r>
        <w:rPr>
          <w:rFonts w:hint="eastAsia" w:ascii="宋体" w:hAnsi="宋体" w:eastAsia="宋体" w:cs="宋体"/>
          <w:color w:val="auto"/>
          <w:sz w:val="21"/>
          <w:szCs w:val="21"/>
          <w:lang w:eastAsia="zh-CN"/>
        </w:rPr>
        <w:t>。</w:t>
      </w:r>
    </w:p>
    <w:p>
      <w:pPr>
        <w:spacing w:line="500" w:lineRule="exact"/>
        <w:ind w:firstLine="426"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2、供应商在参加政府采购活动前3年内因违法经营被禁止在一定期限内参加政府采购活动，期限届满的，可以参加政府采购活动。</w:t>
      </w:r>
    </w:p>
    <w:p>
      <w:pPr>
        <w:spacing w:line="500" w:lineRule="exact"/>
        <w:ind w:firstLine="426" w:firstLineChars="200"/>
        <w:rPr>
          <w:color w:val="auto"/>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项目不分标段的，第___标段空白处填写“/”。</w:t>
      </w:r>
    </w:p>
    <w:p>
      <w:pPr>
        <w:spacing w:line="240" w:lineRule="auto"/>
        <w:jc w:val="left"/>
        <w:rPr>
          <w:b/>
          <w:bCs/>
          <w:color w:val="auto"/>
          <w:sz w:val="30"/>
          <w:szCs w:val="30"/>
        </w:rPr>
      </w:pPr>
    </w:p>
    <w:p>
      <w:pPr>
        <w:pStyle w:val="20"/>
        <w:ind w:firstLine="304"/>
        <w:rPr>
          <w:b/>
          <w:bCs/>
          <w:color w:val="auto"/>
          <w:sz w:val="30"/>
          <w:szCs w:val="30"/>
        </w:rPr>
      </w:pPr>
    </w:p>
    <w:p>
      <w:pPr>
        <w:pStyle w:val="20"/>
        <w:ind w:firstLine="304"/>
        <w:rPr>
          <w:b/>
          <w:bCs/>
          <w:color w:val="auto"/>
          <w:sz w:val="30"/>
          <w:szCs w:val="30"/>
        </w:rPr>
      </w:pPr>
    </w:p>
    <w:p>
      <w:pPr>
        <w:rPr>
          <w:b/>
          <w:bCs/>
          <w:color w:val="auto"/>
          <w:sz w:val="30"/>
          <w:szCs w:val="30"/>
        </w:rPr>
      </w:pPr>
      <w:r>
        <w:rPr>
          <w:b/>
          <w:bCs/>
          <w:color w:val="auto"/>
          <w:sz w:val="30"/>
          <w:szCs w:val="30"/>
        </w:rPr>
        <w:br w:type="page"/>
      </w:r>
    </w:p>
    <w:p>
      <w:pPr>
        <w:pStyle w:val="46"/>
        <w:keepNext/>
        <w:keepLines/>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color w:val="auto"/>
          <w:sz w:val="30"/>
          <w:szCs w:val="30"/>
        </w:rPr>
      </w:pPr>
      <w:bookmarkStart w:id="355" w:name="_Toc24625_WPSOffice_Level2"/>
      <w:bookmarkStart w:id="356" w:name="_Toc14516_WPSOffice_Level2"/>
      <w:bookmarkStart w:id="357" w:name="_Toc13298_WPSOffice_Level2"/>
      <w:bookmarkStart w:id="358" w:name="_Toc23486_WPSOffice_Level2"/>
      <w:r>
        <w:rPr>
          <w:rFonts w:hint="eastAsia" w:ascii="仿宋_GB2312" w:hAnsi="仿宋_GB2312" w:eastAsia="仿宋_GB2312" w:cs="仿宋_GB2312"/>
          <w:color w:val="auto"/>
          <w:sz w:val="30"/>
          <w:szCs w:val="30"/>
        </w:rPr>
        <w:t>六、法定代表人授权委托书</w:t>
      </w:r>
      <w:bookmarkEnd w:id="355"/>
      <w:bookmarkEnd w:id="356"/>
      <w:bookmarkEnd w:id="357"/>
      <w:bookmarkEnd w:id="358"/>
      <w:bookmarkStart w:id="359" w:name="_Toc19993_WPSOffice_Level3"/>
    </w:p>
    <w:p>
      <w:pPr>
        <w:pStyle w:val="46"/>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法定代表人授权委托书</w:t>
      </w:r>
      <w:bookmarkEnd w:id="359"/>
    </w:p>
    <w:p>
      <w:pPr>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p>
    <w:p>
      <w:pPr>
        <w:pageBreakBefore w:val="0"/>
        <w:widowControl/>
        <w:kinsoku/>
        <w:wordWrap/>
        <w:overflowPunct/>
        <w:topLinePunct w:val="0"/>
        <w:autoSpaceDE/>
        <w:autoSpaceDN/>
        <w:bidi w:val="0"/>
        <w:adjustRightInd/>
        <w:spacing w:line="560" w:lineRule="exact"/>
        <w:ind w:right="11"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现委派</w:t>
      </w:r>
      <w:r>
        <w:rPr>
          <w:rFonts w:hint="eastAsia" w:ascii="仿宋_GB2312" w:hAnsi="仿宋_GB2312" w:eastAsia="仿宋_GB2312" w:cs="仿宋_GB2312"/>
          <w:color w:val="auto"/>
          <w:sz w:val="28"/>
          <w:szCs w:val="28"/>
          <w:u w:val="single"/>
        </w:rPr>
        <w:t>（授权代表姓名）</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身份证号：</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rPr>
        <w:t>为本公司的授权代表，参加贵方组织的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项目名称 </w:t>
      </w: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）第___标段政府采购活动，就该项目的</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及合同的执行和完成，以本公司的名义处理一切与之有关的事宜。本授权自开标之日起生效，有效期与投标文件有效期一致。</w:t>
      </w:r>
    </w:p>
    <w:p>
      <w:pPr>
        <w:pageBreakBefore w:val="0"/>
        <w:widowControl/>
        <w:tabs>
          <w:tab w:val="left" w:pos="5245"/>
          <w:tab w:val="left" w:pos="6946"/>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授权代表姓名：_______________</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性别：_____</w:t>
      </w:r>
      <w:r>
        <w:rPr>
          <w:rFonts w:hint="eastAsia" w:ascii="仿宋_GB2312" w:hAnsi="仿宋_GB2312" w:eastAsia="仿宋_GB2312" w:cs="仿宋_GB2312"/>
          <w:color w:val="auto"/>
          <w:sz w:val="28"/>
          <w:szCs w:val="28"/>
        </w:rPr>
        <w:tab/>
      </w:r>
    </w:p>
    <w:p>
      <w:pPr>
        <w:pageBreakBefore w:val="0"/>
        <w:widowControl/>
        <w:tabs>
          <w:tab w:val="left" w:pos="5245"/>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职务：________________           电话：_________</w:t>
      </w:r>
    </w:p>
    <w:p>
      <w:pPr>
        <w:pageBreakBefore w:val="0"/>
        <w:widowControl/>
        <w:tabs>
          <w:tab w:val="left" w:pos="3828"/>
          <w:tab w:val="left" w:pos="6237"/>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通讯地址：__________________     邮政编码：__________</w:t>
      </w:r>
    </w:p>
    <w:tbl>
      <w:tblPr>
        <w:tblStyle w:val="22"/>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法定代表人身份证复印件</w:t>
            </w:r>
          </w:p>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（有人像面）</w:t>
            </w:r>
          </w:p>
        </w:tc>
        <w:tc>
          <w:tcPr>
            <w:tcW w:w="409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4072"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（有国徽面）</w:t>
            </w:r>
          </w:p>
        </w:tc>
        <w:tc>
          <w:tcPr>
            <w:tcW w:w="4098"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（有国徽面）</w:t>
            </w:r>
          </w:p>
        </w:tc>
      </w:tr>
    </w:tbl>
    <w:p>
      <w:pPr>
        <w:pageBreakBefore w:val="0"/>
        <w:widowControl/>
        <w:tabs>
          <w:tab w:val="right" w:pos="8931"/>
        </w:tabs>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供应商：名称（加盖公章）        法定代表人：（签字或盖章）</w:t>
      </w:r>
    </w:p>
    <w:p>
      <w:pPr>
        <w:pageBreakBefore w:val="0"/>
        <w:widowControl/>
        <w:kinsoku/>
        <w:wordWrap/>
        <w:overflowPunct/>
        <w:topLinePunct w:val="0"/>
        <w:autoSpaceDE/>
        <w:autoSpaceDN/>
        <w:bidi w:val="0"/>
        <w:adjustRightInd/>
        <w:spacing w:line="560" w:lineRule="exact"/>
        <w:ind w:firstLine="5943" w:firstLineChars="21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2、法定代表人亲自参加</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的，无需提供该委托授权书，但须提供法定代表人本人身份证（正反面）复印件。</w:t>
      </w:r>
    </w:p>
    <w:p>
      <w:pPr>
        <w:pStyle w:val="20"/>
        <w:keepNext w:val="0"/>
        <w:keepLines w:val="0"/>
        <w:pageBreakBefore w:val="0"/>
        <w:widowControl/>
        <w:kinsoku/>
        <w:wordWrap/>
        <w:overflowPunct/>
        <w:topLinePunct w:val="0"/>
        <w:autoSpaceDE/>
        <w:autoSpaceDN/>
        <w:bidi w:val="0"/>
        <w:adjustRightInd/>
        <w:snapToGrid/>
        <w:spacing w:after="0" w:line="360" w:lineRule="exact"/>
        <w:ind w:left="0" w:leftChars="0" w:firstLine="426"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rPr>
        <w:t>3、法定代表人签字或盖章可采用纸质签字或盖章后，上传至电子响应文件，也可使用法定代表人CA锁在电子响应文件制作软件中签章。</w:t>
      </w:r>
      <w:r>
        <w:rPr>
          <w:rFonts w:hint="eastAsia" w:ascii="宋体" w:hAnsi="宋体" w:eastAsia="宋体"/>
          <w:color w:val="auto"/>
          <w:sz w:val="21"/>
          <w:szCs w:val="21"/>
          <w:lang w:val="en-US" w:eastAsia="zh-CN"/>
        </w:rPr>
        <w:t xml:space="preserve">   </w:t>
      </w:r>
    </w:p>
    <w:p>
      <w:pP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br w:type="page"/>
      </w:r>
    </w:p>
    <w:p>
      <w:pPr>
        <w:keepNext w:val="0"/>
        <w:keepLines w:val="0"/>
        <w:pageBreakBefore w:val="0"/>
        <w:widowControl/>
        <w:kinsoku/>
        <w:wordWrap/>
        <w:overflowPunct/>
        <w:topLinePunct w:val="0"/>
        <w:autoSpaceDE/>
        <w:autoSpaceDN/>
        <w:bidi w:val="0"/>
        <w:adjustRightInd/>
        <w:snapToGrid/>
        <w:spacing w:after="120" w:line="240" w:lineRule="auto"/>
        <w:ind w:firstLine="606" w:firstLineChars="200"/>
        <w:jc w:val="both"/>
        <w:textAlignment w:val="auto"/>
        <w:outlineLvl w:val="2"/>
        <w:rPr>
          <w:rFonts w:hint="default" w:ascii="Calibri Light" w:hAnsi="Calibri Light" w:eastAsia="华文仿宋" w:cs="Calibri Light"/>
          <w:b/>
          <w:bCs/>
          <w:kern w:val="2"/>
          <w:sz w:val="30"/>
          <w:szCs w:val="30"/>
          <w:highlight w:val="none"/>
          <w:lang w:val="en-US" w:eastAsia="zh-CN" w:bidi="ar-SA"/>
        </w:rPr>
      </w:pPr>
      <w:bookmarkStart w:id="360" w:name="_Toc2083"/>
      <w:bookmarkStart w:id="361" w:name="_Toc18829"/>
      <w:bookmarkStart w:id="362" w:name="_Toc1034"/>
      <w:bookmarkStart w:id="363" w:name="_Toc9751"/>
      <w:bookmarkStart w:id="364" w:name="_Toc29866"/>
      <w:bookmarkStart w:id="365" w:name="_Toc28770"/>
      <w:bookmarkStart w:id="366" w:name="_Toc20137"/>
      <w:bookmarkStart w:id="367" w:name="_Toc17773_WPSOffice_Level2"/>
      <w:bookmarkStart w:id="368" w:name="_Toc29102_WPSOffice_Level2"/>
      <w:bookmarkStart w:id="369" w:name="_Toc29990_WPSOffice_Level2"/>
      <w:bookmarkStart w:id="370" w:name="_Toc9519_WPSOffice_Level2"/>
      <w:r>
        <w:rPr>
          <w:rFonts w:hint="eastAsia" w:ascii="Calibri Light" w:hAnsi="Calibri Light" w:eastAsia="华文仿宋" w:cs="Calibri Light"/>
          <w:b/>
          <w:bCs/>
          <w:kern w:val="2"/>
          <w:sz w:val="30"/>
          <w:szCs w:val="30"/>
          <w:highlight w:val="none"/>
          <w:lang w:val="en-US" w:eastAsia="zh-CN" w:bidi="ar-SA"/>
        </w:rPr>
        <w:t>七、落实政府采购政策需满足的资格要求</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仿宋" w:hAnsi="华文仿宋" w:eastAsia="华文仿宋" w:cs="华文仿宋"/>
          <w:b/>
          <w:bCs/>
          <w:sz w:val="28"/>
          <w:szCs w:val="28"/>
          <w:highlight w:val="none"/>
          <w:lang w:val="en-US" w:eastAsia="zh-CN"/>
        </w:rPr>
      </w:pPr>
      <w:r>
        <w:rPr>
          <w:rFonts w:hint="eastAsia" w:ascii="华文仿宋" w:hAnsi="华文仿宋" w:eastAsia="华文仿宋" w:cs="华文仿宋"/>
          <w:b/>
          <w:bCs/>
          <w:sz w:val="28"/>
          <w:szCs w:val="28"/>
          <w:highlight w:val="none"/>
          <w:lang w:val="en-US" w:eastAsia="zh-CN"/>
        </w:rPr>
        <w:t>中小企业声明函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仿宋" w:hAnsi="华文仿宋" w:eastAsia="华文仿宋" w:cs="华文仿宋"/>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本公司（联合体）郑重声明，根据《政府采购促进中小企业发展管理办法》（财库﹝2020﹞46 号）的规定，本公司（联合体）参加</w:t>
      </w:r>
      <w:r>
        <w:rPr>
          <w:rFonts w:hint="eastAsia" w:ascii="华文仿宋" w:hAnsi="华文仿宋" w:eastAsia="华文仿宋" w:cs="华文仿宋"/>
          <w:i/>
          <w:iCs/>
          <w:sz w:val="28"/>
          <w:szCs w:val="28"/>
          <w:u w:val="single"/>
          <w:lang w:eastAsia="zh-CN"/>
        </w:rPr>
        <w:t>（单位名称）</w:t>
      </w:r>
      <w:r>
        <w:rPr>
          <w:rFonts w:hint="eastAsia" w:ascii="华文仿宋" w:hAnsi="华文仿宋" w:eastAsia="华文仿宋" w:cs="华文仿宋"/>
          <w:sz w:val="28"/>
          <w:szCs w:val="28"/>
          <w:lang w:eastAsia="zh-CN"/>
        </w:rPr>
        <w:t>的</w:t>
      </w:r>
      <w:r>
        <w:rPr>
          <w:rFonts w:hint="eastAsia" w:ascii="华文仿宋" w:hAnsi="华文仿宋" w:eastAsia="华文仿宋" w:cs="华文仿宋"/>
          <w:i/>
          <w:iCs/>
          <w:sz w:val="28"/>
          <w:szCs w:val="28"/>
          <w:u w:val="single"/>
          <w:lang w:eastAsia="zh-CN"/>
        </w:rPr>
        <w:t>（项目名称）</w:t>
      </w:r>
      <w:r>
        <w:rPr>
          <w:rFonts w:hint="eastAsia" w:ascii="华文仿宋" w:hAnsi="华文仿宋" w:eastAsia="华文仿宋" w:cs="华文仿宋"/>
          <w:sz w:val="28"/>
          <w:szCs w:val="28"/>
          <w:lang w:eastAsia="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1.</w:t>
      </w:r>
      <w:r>
        <w:rPr>
          <w:rFonts w:hint="eastAsia" w:ascii="华文仿宋" w:hAnsi="华文仿宋" w:eastAsia="华文仿宋" w:cs="华文仿宋"/>
          <w:i/>
          <w:iCs/>
          <w:sz w:val="28"/>
          <w:szCs w:val="28"/>
          <w:u w:val="single"/>
          <w:lang w:eastAsia="zh-CN"/>
        </w:rPr>
        <w:t xml:space="preserve"> （标的名称） </w:t>
      </w:r>
      <w:r>
        <w:rPr>
          <w:rFonts w:hint="eastAsia" w:ascii="华文仿宋" w:hAnsi="华文仿宋" w:eastAsia="华文仿宋" w:cs="华文仿宋"/>
          <w:sz w:val="28"/>
          <w:szCs w:val="28"/>
          <w:lang w:eastAsia="zh-CN"/>
        </w:rPr>
        <w:t>，属于</w:t>
      </w:r>
      <w:r>
        <w:rPr>
          <w:rFonts w:hint="eastAsia" w:ascii="华文仿宋" w:hAnsi="华文仿宋" w:eastAsia="华文仿宋" w:cs="华文仿宋"/>
          <w:i/>
          <w:iCs/>
          <w:sz w:val="28"/>
          <w:szCs w:val="28"/>
          <w:u w:val="single"/>
          <w:lang w:eastAsia="zh-CN"/>
        </w:rPr>
        <w:t>（采购文件中明确的所属行业）行业</w:t>
      </w:r>
      <w:r>
        <w:rPr>
          <w:rFonts w:hint="eastAsia" w:ascii="华文仿宋" w:hAnsi="华文仿宋" w:eastAsia="华文仿宋" w:cs="华文仿宋"/>
          <w:sz w:val="28"/>
          <w:szCs w:val="28"/>
          <w:lang w:eastAsia="zh-CN"/>
        </w:rPr>
        <w:t>；制造商为</w:t>
      </w:r>
      <w:r>
        <w:rPr>
          <w:rFonts w:hint="eastAsia" w:ascii="华文仿宋" w:hAnsi="华文仿宋" w:eastAsia="华文仿宋" w:cs="华文仿宋"/>
          <w:i/>
          <w:iCs/>
          <w:sz w:val="28"/>
          <w:szCs w:val="28"/>
          <w:u w:val="single"/>
          <w:lang w:eastAsia="zh-CN"/>
        </w:rPr>
        <w:t>（企业名称）</w:t>
      </w:r>
      <w:r>
        <w:rPr>
          <w:rFonts w:hint="eastAsia" w:ascii="华文仿宋" w:hAnsi="华文仿宋" w:eastAsia="华文仿宋" w:cs="华文仿宋"/>
          <w:sz w:val="28"/>
          <w:szCs w:val="28"/>
          <w:lang w:eastAsia="zh-CN"/>
        </w:rPr>
        <w:t>，从业人员</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人，营业收入为</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万元，资产总额为万元，属于</w:t>
      </w:r>
      <w:r>
        <w:rPr>
          <w:rFonts w:hint="eastAsia" w:ascii="华文仿宋" w:hAnsi="华文仿宋" w:eastAsia="华文仿宋" w:cs="华文仿宋"/>
          <w:i/>
          <w:iCs/>
          <w:sz w:val="28"/>
          <w:szCs w:val="28"/>
          <w:u w:val="single"/>
          <w:lang w:eastAsia="zh-CN"/>
        </w:rPr>
        <w:t>（中型企业、小型企业、微型企业）</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w:t>
      </w:r>
      <w:r>
        <w:rPr>
          <w:rFonts w:hint="eastAsia" w:ascii="华文仿宋" w:hAnsi="华文仿宋" w:eastAsia="华文仿宋" w:cs="华文仿宋"/>
          <w:i/>
          <w:iCs/>
          <w:sz w:val="28"/>
          <w:szCs w:val="28"/>
          <w:u w:val="single"/>
          <w:lang w:eastAsia="zh-CN"/>
        </w:rPr>
        <w:t xml:space="preserve"> （标的名称） </w:t>
      </w:r>
      <w:r>
        <w:rPr>
          <w:rFonts w:hint="eastAsia" w:ascii="华文仿宋" w:hAnsi="华文仿宋" w:eastAsia="华文仿宋" w:cs="华文仿宋"/>
          <w:sz w:val="28"/>
          <w:szCs w:val="28"/>
          <w:lang w:eastAsia="zh-CN"/>
        </w:rPr>
        <w:t>，属于</w:t>
      </w:r>
      <w:r>
        <w:rPr>
          <w:rFonts w:hint="eastAsia" w:ascii="华文仿宋" w:hAnsi="华文仿宋" w:eastAsia="华文仿宋" w:cs="华文仿宋"/>
          <w:i/>
          <w:iCs/>
          <w:sz w:val="28"/>
          <w:szCs w:val="28"/>
          <w:u w:val="single"/>
          <w:lang w:eastAsia="zh-CN"/>
        </w:rPr>
        <w:t>（采购文件中明确的所属行业）行业</w:t>
      </w:r>
      <w:r>
        <w:rPr>
          <w:rFonts w:hint="eastAsia" w:ascii="华文仿宋" w:hAnsi="华文仿宋" w:eastAsia="华文仿宋" w:cs="华文仿宋"/>
          <w:sz w:val="28"/>
          <w:szCs w:val="28"/>
          <w:lang w:eastAsia="zh-CN"/>
        </w:rPr>
        <w:t>；制造商为</w:t>
      </w:r>
      <w:r>
        <w:rPr>
          <w:rFonts w:hint="eastAsia" w:ascii="华文仿宋" w:hAnsi="华文仿宋" w:eastAsia="华文仿宋" w:cs="华文仿宋"/>
          <w:i/>
          <w:iCs/>
          <w:sz w:val="28"/>
          <w:szCs w:val="28"/>
          <w:u w:val="single"/>
          <w:lang w:eastAsia="zh-CN"/>
        </w:rPr>
        <w:t>（企业名称）</w:t>
      </w:r>
      <w:r>
        <w:rPr>
          <w:rFonts w:hint="eastAsia" w:ascii="华文仿宋" w:hAnsi="华文仿宋" w:eastAsia="华文仿宋" w:cs="华文仿宋"/>
          <w:sz w:val="28"/>
          <w:szCs w:val="28"/>
          <w:lang w:eastAsia="zh-CN"/>
        </w:rPr>
        <w:t>，从业人员</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人，营业收入为</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万元，资产总额为万元，属于</w:t>
      </w:r>
      <w:r>
        <w:rPr>
          <w:rFonts w:hint="eastAsia" w:ascii="华文仿宋" w:hAnsi="华文仿宋" w:eastAsia="华文仿宋" w:cs="华文仿宋"/>
          <w:i/>
          <w:iCs/>
          <w:sz w:val="28"/>
          <w:szCs w:val="28"/>
          <w:u w:val="single"/>
          <w:lang w:eastAsia="zh-CN"/>
        </w:rPr>
        <w:t>（中型企业、小型企业、微型企业）</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企业名称（盖章）：</w:t>
      </w:r>
      <w:r>
        <w:rPr>
          <w:rFonts w:hint="eastAsia" w:ascii="华文仿宋" w:hAnsi="华文仿宋" w:eastAsia="华文仿宋" w:cs="华文仿宋"/>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日 期：</w:t>
      </w:r>
      <w:r>
        <w:rPr>
          <w:rFonts w:hint="eastAsia" w:ascii="华文仿宋" w:hAnsi="华文仿宋" w:eastAsia="华文仿宋" w:cs="华文仿宋"/>
          <w:sz w:val="28"/>
          <w:szCs w:val="28"/>
          <w:lang w:val="en-US" w:eastAsia="zh-CN"/>
        </w:rPr>
        <w:t xml:space="preserve">                       </w:t>
      </w:r>
    </w:p>
    <w:p>
      <w:pPr>
        <w:spacing w:line="500" w:lineRule="exact"/>
        <w:ind w:firstLine="426" w:firstLineChars="200"/>
        <w:rPr>
          <w:rFonts w:hint="eastAsia" w:ascii="宋体" w:hAnsi="宋体" w:eastAsia="宋体" w:cs="宋体"/>
          <w:sz w:val="21"/>
          <w:szCs w:val="21"/>
        </w:rPr>
      </w:pPr>
      <w:r>
        <w:rPr>
          <w:rFonts w:hint="eastAsia" w:ascii="宋体" w:hAnsi="宋体" w:eastAsia="宋体" w:cs="宋体"/>
          <w:sz w:val="21"/>
          <w:szCs w:val="21"/>
          <w:lang w:val="en-US" w:eastAsia="zh-CN"/>
        </w:rPr>
        <w:t>备注：1、</w:t>
      </w:r>
      <w:r>
        <w:rPr>
          <w:rFonts w:hint="eastAsia" w:ascii="宋体" w:hAnsi="宋体" w:eastAsia="宋体" w:cs="宋体"/>
          <w:sz w:val="21"/>
          <w:szCs w:val="21"/>
        </w:rPr>
        <w:t>本项目采购标的对应的中小企业划分标准所属行业为：</w:t>
      </w:r>
      <w:r>
        <w:rPr>
          <w:rFonts w:hint="eastAsia" w:ascii="宋体" w:hAnsi="宋体" w:eastAsia="宋体" w:cs="宋体"/>
          <w:b/>
          <w:bCs/>
          <w:sz w:val="21"/>
          <w:szCs w:val="21"/>
          <w:highlight w:val="none"/>
          <w:lang w:val="en-US" w:eastAsia="zh-CN"/>
        </w:rPr>
        <w:t>工</w:t>
      </w:r>
      <w:r>
        <w:rPr>
          <w:rFonts w:hint="eastAsia" w:ascii="宋体" w:hAnsi="宋体" w:eastAsia="宋体" w:cs="宋体"/>
          <w:b/>
          <w:bCs/>
          <w:sz w:val="21"/>
          <w:szCs w:val="21"/>
          <w:highlight w:val="none"/>
        </w:rPr>
        <w:t>业</w:t>
      </w:r>
      <w:r>
        <w:rPr>
          <w:rFonts w:hint="eastAsia" w:ascii="宋体" w:hAnsi="宋体" w:eastAsia="宋体" w:cs="宋体"/>
          <w:sz w:val="21"/>
          <w:szCs w:val="21"/>
        </w:rPr>
        <w:t>。</w:t>
      </w:r>
    </w:p>
    <w:p>
      <w:pPr>
        <w:spacing w:line="500" w:lineRule="exact"/>
        <w:ind w:firstLine="426"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2、成交供应商的《中小企业声明函》将随成交结果公告一同公布。 </w:t>
      </w:r>
    </w:p>
    <w:p>
      <w:pPr>
        <w:keepNext w:val="0"/>
        <w:keepLines w:val="0"/>
        <w:pageBreakBefore w:val="0"/>
        <w:widowControl/>
        <w:kinsoku/>
        <w:wordWrap/>
        <w:overflowPunct/>
        <w:topLinePunct w:val="0"/>
        <w:autoSpaceDE/>
        <w:autoSpaceDN/>
        <w:bidi w:val="0"/>
        <w:adjustRightInd/>
        <w:snapToGrid/>
        <w:spacing w:line="500" w:lineRule="exact"/>
        <w:ind w:firstLine="426"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各供应商可根据企业从业人员、营业收入、资产总额等指标，按照磋商文件约定的采购标的对应的中小企业划分标准所属行业和《中小企业划型标准规定》（工信部联企业〔2011〕300号）进行自测。可登录工业和信息化部的中小企业规模类型自测小程序（https://baosong.miit.gov.cn/ScaleTest）进行测算。  </w:t>
      </w:r>
    </w:p>
    <w:p>
      <w:pPr>
        <w:pStyle w:val="44"/>
        <w:pageBreakBefore w:val="0"/>
        <w:widowControl/>
        <w:kinsoku/>
        <w:wordWrap/>
        <w:overflowPunct/>
        <w:topLinePunct w:val="0"/>
        <w:autoSpaceDE/>
        <w:autoSpaceDN/>
        <w:bidi w:val="0"/>
        <w:adjustRightInd/>
        <w:snapToGrid/>
        <w:spacing w:line="560" w:lineRule="exact"/>
        <w:textAlignment w:val="auto"/>
        <w:rPr>
          <w:rFonts w:ascii="黑体" w:hAnsi="黑体" w:eastAsia="黑体"/>
          <w:b w:val="0"/>
          <w:color w:val="auto"/>
          <w:sz w:val="32"/>
          <w:szCs w:val="32"/>
        </w:rPr>
      </w:pPr>
      <w:r>
        <w:rPr>
          <w:rFonts w:hint="eastAsia" w:ascii="黑体" w:hAnsi="黑体" w:eastAsia="黑体"/>
          <w:b w:val="0"/>
          <w:color w:val="auto"/>
          <w:sz w:val="32"/>
          <w:szCs w:val="32"/>
        </w:rPr>
        <w:t>第二部分  符合性证明文件</w:t>
      </w:r>
      <w:bookmarkEnd w:id="360"/>
      <w:bookmarkEnd w:id="361"/>
      <w:bookmarkEnd w:id="362"/>
      <w:bookmarkEnd w:id="363"/>
      <w:bookmarkEnd w:id="364"/>
      <w:bookmarkEnd w:id="365"/>
    </w:p>
    <w:p>
      <w:pPr>
        <w:pStyle w:val="44"/>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28"/>
          <w:szCs w:val="28"/>
        </w:rPr>
      </w:pPr>
      <w:bookmarkStart w:id="371" w:name="_Toc7047"/>
      <w:bookmarkStart w:id="372" w:name="_Toc26585"/>
      <w:bookmarkStart w:id="373" w:name="_Toc26623"/>
      <w:bookmarkStart w:id="374" w:name="_Toc14262"/>
      <w:bookmarkStart w:id="375" w:name="_Toc2230"/>
      <w:bookmarkStart w:id="376" w:name="_Toc28961"/>
      <w:bookmarkStart w:id="377" w:name="_Toc22486"/>
      <w:bookmarkStart w:id="378" w:name="_Toc3857"/>
      <w:bookmarkStart w:id="379" w:name="_Toc19788"/>
      <w:r>
        <w:rPr>
          <w:rFonts w:hint="eastAsia" w:ascii="仿宋_GB2312" w:hAnsi="仿宋_GB2312" w:eastAsia="仿宋_GB2312" w:cs="仿宋_GB2312"/>
          <w:bCs w:val="0"/>
          <w:color w:val="auto"/>
          <w:sz w:val="28"/>
          <w:szCs w:val="28"/>
        </w:rPr>
        <w:t>一、响应函格式</w:t>
      </w:r>
      <w:bookmarkEnd w:id="371"/>
      <w:bookmarkEnd w:id="372"/>
      <w:bookmarkEnd w:id="373"/>
      <w:bookmarkEnd w:id="374"/>
      <w:bookmarkEnd w:id="375"/>
      <w:bookmarkEnd w:id="376"/>
      <w:bookmarkEnd w:id="377"/>
      <w:bookmarkEnd w:id="378"/>
      <w:bookmarkEnd w:id="379"/>
    </w:p>
    <w:p>
      <w:pPr>
        <w:pStyle w:val="40"/>
        <w:pageBreakBefore w:val="0"/>
        <w:widowControl/>
        <w:kinsoku/>
        <w:wordWrap/>
        <w:overflowPunct/>
        <w:topLinePunct w:val="0"/>
        <w:autoSpaceDE/>
        <w:autoSpaceDN/>
        <w:bidi w:val="0"/>
        <w:adjustRightInd/>
        <w:snapToGrid/>
        <w:spacing w:line="560" w:lineRule="exact"/>
        <w:ind w:firstLine="647"/>
        <w:jc w:val="center"/>
        <w:textAlignment w:val="auto"/>
        <w:rPr>
          <w:rFonts w:hint="eastAsia" w:ascii="仿宋_GB2312" w:hAnsi="仿宋_GB2312" w:eastAsia="仿宋_GB2312" w:cs="仿宋_GB2312"/>
          <w:b/>
          <w:bCs/>
          <w:color w:val="auto"/>
          <w:sz w:val="28"/>
          <w:szCs w:val="28"/>
        </w:rPr>
      </w:pPr>
      <w:bookmarkStart w:id="380" w:name="_Toc23334"/>
      <w:bookmarkStart w:id="381" w:name="_Toc22777"/>
      <w:bookmarkStart w:id="382" w:name="_Toc10617"/>
      <w:r>
        <w:rPr>
          <w:rFonts w:hint="eastAsia" w:ascii="仿宋_GB2312" w:hAnsi="仿宋_GB2312" w:eastAsia="仿宋_GB2312" w:cs="仿宋_GB2312"/>
          <w:b/>
          <w:bCs/>
          <w:color w:val="auto"/>
          <w:sz w:val="28"/>
          <w:szCs w:val="28"/>
        </w:rPr>
        <w:t>响应函</w:t>
      </w:r>
      <w:bookmarkEnd w:id="380"/>
      <w:bookmarkEnd w:id="381"/>
      <w:bookmarkEnd w:id="382"/>
    </w:p>
    <w:p>
      <w:pPr>
        <w:pStyle w:val="4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zh-CN"/>
        </w:rPr>
        <w:t>：</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我方收到贵中心发布的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u w:val="single"/>
        </w:rPr>
        <w:t>___</w:t>
      </w:r>
      <w:r>
        <w:rPr>
          <w:rFonts w:hint="eastAsia" w:ascii="仿宋_GB2312" w:hAnsi="仿宋_GB2312" w:eastAsia="仿宋_GB2312" w:cs="仿宋_GB2312"/>
          <w:color w:val="auto"/>
          <w:sz w:val="28"/>
          <w:szCs w:val="28"/>
        </w:rPr>
        <w:t>标段磋商文件，经详细研究，我方决定参加该项目第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标段</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活动。为此，我方郑重声明以下诸点，并负法律责任。</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一、我方已详细阅读了磋商文件，完全理解并同意磋商文件的所有事项及内容。</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三、我方同意向贵方提供与本</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有关的任何证明材料，保证所提交的证明材料真实、合法、有效。</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四、我方</w:t>
      </w:r>
      <w:r>
        <w:rPr>
          <w:rFonts w:hint="eastAsia" w:ascii="仿宋_GB2312" w:hAnsi="仿宋_GB2312" w:eastAsia="仿宋_GB2312" w:cs="仿宋_GB2312"/>
          <w:color w:val="auto"/>
          <w:sz w:val="28"/>
          <w:szCs w:val="28"/>
        </w:rPr>
        <w:t>尊重磋商小组的评审结果。</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如若成交，</w:t>
      </w:r>
      <w:r>
        <w:rPr>
          <w:rFonts w:hint="eastAsia" w:ascii="仿宋_GB2312" w:hAnsi="仿宋_GB2312" w:eastAsia="仿宋_GB2312" w:cs="仿宋_GB2312"/>
          <w:color w:val="auto"/>
          <w:sz w:val="28"/>
          <w:szCs w:val="28"/>
        </w:rPr>
        <w:t>我方愿意按照磋商文件中的一切要求，完成本项目合同责任和义务。</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、我方提交</w:t>
      </w:r>
      <w:r>
        <w:rPr>
          <w:rFonts w:hint="eastAsia" w:ascii="仿宋_GB2312" w:hAnsi="仿宋_GB2312" w:eastAsia="仿宋_GB2312" w:cs="仿宋_GB2312"/>
          <w:b/>
          <w:color w:val="auto"/>
          <w:sz w:val="28"/>
          <w:szCs w:val="28"/>
        </w:rPr>
        <w:t>电子响应文件一份</w:t>
      </w:r>
      <w:r>
        <w:rPr>
          <w:rFonts w:hint="eastAsia" w:ascii="仿宋_GB2312" w:hAnsi="仿宋_GB2312" w:eastAsia="仿宋_GB2312" w:cs="仿宋_GB2312"/>
          <w:b/>
          <w:bCs/>
          <w:color w:val="auto"/>
          <w:sz w:val="28"/>
          <w:szCs w:val="28"/>
        </w:rPr>
        <w:t>。</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、供应商在提交响应文件截止时间后撤回响应文件的，我们愿接受政府采购的有关处罚决定。</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、我方的响应文件在开标之日起</w:t>
      </w:r>
      <w:r>
        <w:rPr>
          <w:rFonts w:hint="eastAsia" w:ascii="仿宋_GB2312" w:hAnsi="仿宋_GB2312" w:eastAsia="仿宋_GB2312" w:cs="仿宋_GB2312"/>
          <w:b/>
          <w:bCs/>
          <w:color w:val="auto"/>
          <w:sz w:val="28"/>
          <w:szCs w:val="28"/>
          <w:u w:val="single"/>
        </w:rPr>
        <w:t xml:space="preserve"> 90 </w:t>
      </w:r>
      <w:r>
        <w:rPr>
          <w:rFonts w:hint="eastAsia" w:ascii="仿宋_GB2312" w:hAnsi="仿宋_GB2312" w:eastAsia="仿宋_GB2312" w:cs="仿宋_GB2312"/>
          <w:color w:val="auto"/>
          <w:sz w:val="28"/>
          <w:szCs w:val="28"/>
        </w:rPr>
        <w:t>个日历日内有效，如成交，延长至合同执行完毕时止。</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、所有关于此次</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活动的函电，请按下列地址联系：</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供应商：名称（加盖公章）</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传真：</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邮编：</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 xml:space="preserve">电子邮箱：         </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pStyle w:val="4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rPr>
      </w:pPr>
    </w:p>
    <w:p>
      <w:pPr>
        <w:pStyle w:val="4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rPr>
      </w:pPr>
    </w:p>
    <w:p>
      <w:pPr>
        <w:pStyle w:val="40"/>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40"/>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40"/>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40"/>
        <w:keepNext w:val="0"/>
        <w:keepLines w:val="0"/>
        <w:pageBreakBefore w:val="0"/>
        <w:widowControl/>
        <w:kinsoku/>
        <w:wordWrap/>
        <w:overflowPunct/>
        <w:topLinePunct w:val="0"/>
        <w:autoSpaceDE/>
        <w:autoSpaceDN/>
        <w:bidi w:val="0"/>
        <w:adjustRightInd/>
        <w:snapToGrid/>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pStyle w:val="40"/>
        <w:keepNext w:val="0"/>
        <w:keepLines w:val="0"/>
        <w:pageBreakBefore w:val="0"/>
        <w:widowControl/>
        <w:kinsoku/>
        <w:wordWrap/>
        <w:overflowPunct/>
        <w:topLinePunct w:val="0"/>
        <w:autoSpaceDE/>
        <w:autoSpaceDN/>
        <w:bidi w:val="0"/>
        <w:adjustRightInd/>
        <w:snapToGrid/>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2、除可填报项目外，对本响应函的任何实质性内容修改将被视为非实质性响应，在评审时将其视为无效响应。</w:t>
      </w:r>
    </w:p>
    <w:p>
      <w:pPr>
        <w:pStyle w:val="40"/>
        <w:ind w:firstLine="639" w:firstLineChars="300"/>
        <w:rPr>
          <w:rFonts w:hint="eastAsia" w:ascii="宋体" w:hAnsi="宋体" w:eastAsia="宋体" w:cs="宋体"/>
          <w:b/>
          <w:bCs/>
          <w:color w:val="auto"/>
          <w:sz w:val="21"/>
          <w:szCs w:val="21"/>
        </w:rPr>
      </w:pPr>
    </w:p>
    <w:p>
      <w:pPr>
        <w:pStyle w:val="40"/>
        <w:ind w:firstLine="639" w:firstLineChars="300"/>
        <w:rPr>
          <w:rFonts w:hint="eastAsia" w:ascii="宋体" w:hAnsi="宋体" w:eastAsia="宋体" w:cs="宋体"/>
          <w:b/>
          <w:bCs/>
          <w:color w:val="auto"/>
          <w:sz w:val="21"/>
          <w:szCs w:val="21"/>
        </w:rPr>
      </w:pPr>
    </w:p>
    <w:p>
      <w:pPr>
        <w:pStyle w:val="40"/>
        <w:ind w:firstLine="639" w:firstLineChars="300"/>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bookmarkEnd w:id="366"/>
    <w:bookmarkEnd w:id="367"/>
    <w:bookmarkEnd w:id="368"/>
    <w:bookmarkEnd w:id="369"/>
    <w:bookmarkEnd w:id="370"/>
    <w:p>
      <w:pPr>
        <w:pStyle w:val="44"/>
        <w:jc w:val="both"/>
        <w:rPr>
          <w:rFonts w:ascii="仿宋" w:hAnsi="仿宋" w:eastAsia="仿宋"/>
          <w:color w:val="auto"/>
          <w:sz w:val="28"/>
          <w:szCs w:val="28"/>
        </w:rPr>
      </w:pPr>
      <w:bookmarkStart w:id="383" w:name="_Toc23660"/>
      <w:bookmarkStart w:id="384" w:name="_Toc24876"/>
      <w:bookmarkStart w:id="385" w:name="_Toc15883"/>
      <w:bookmarkStart w:id="386" w:name="_Toc13216"/>
      <w:bookmarkStart w:id="387" w:name="_Toc23955"/>
      <w:bookmarkStart w:id="388" w:name="_Toc6154"/>
      <w:bookmarkStart w:id="389" w:name="_Toc6921"/>
      <w:bookmarkStart w:id="390" w:name="_Toc8175"/>
      <w:bookmarkStart w:id="391" w:name="_Toc30525"/>
      <w:bookmarkStart w:id="392" w:name="_Toc17656_WPSOffice_Level2"/>
      <w:r>
        <w:rPr>
          <w:rFonts w:hint="eastAsia" w:ascii="仿宋" w:hAnsi="仿宋" w:eastAsia="仿宋" w:cs="仿宋"/>
          <w:bCs w:val="0"/>
          <w:color w:val="auto"/>
          <w:sz w:val="28"/>
          <w:szCs w:val="28"/>
        </w:rPr>
        <w:t>二、第一次磋商报价表</w:t>
      </w:r>
      <w:bookmarkEnd w:id="383"/>
      <w:bookmarkEnd w:id="384"/>
      <w:bookmarkEnd w:id="385"/>
      <w:bookmarkEnd w:id="386"/>
      <w:bookmarkEnd w:id="387"/>
      <w:bookmarkEnd w:id="388"/>
      <w:bookmarkEnd w:id="389"/>
      <w:bookmarkEnd w:id="390"/>
      <w:bookmarkEnd w:id="391"/>
    </w:p>
    <w:p>
      <w:pPr>
        <w:spacing w:line="500" w:lineRule="exact"/>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项目名称：</w:t>
      </w:r>
    </w:p>
    <w:p>
      <w:pPr>
        <w:pStyle w:val="18"/>
        <w:wordWrap w:val="0"/>
        <w:spacing w:beforeAutospacing="0" w:afterAutospacing="0" w:line="500" w:lineRule="exact"/>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项目编号：</w:t>
      </w:r>
    </w:p>
    <w:p>
      <w:pPr>
        <w:pStyle w:val="14"/>
        <w:rPr>
          <w:rFonts w:hint="eastAsia" w:ascii="仿宋_GB2312" w:hAnsi="仿宋_GB2312" w:eastAsia="仿宋_GB2312" w:cs="仿宋_GB2312"/>
          <w:color w:val="auto"/>
          <w:sz w:val="28"/>
          <w:szCs w:val="28"/>
          <w:shd w:val="clear" w:color="auto" w:fill="FFFFFF"/>
        </w:rPr>
      </w:pPr>
    </w:p>
    <w:tbl>
      <w:tblPr>
        <w:tblStyle w:val="22"/>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9"/>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7"/>
              <w:spacing w:line="360" w:lineRule="auto"/>
              <w:ind w:firstLine="0"/>
              <w:jc w:val="center"/>
              <w:rPr>
                <w:rFonts w:hint="eastAsia" w:ascii="仿宋_GB2312" w:hAnsi="仿宋_GB2312" w:eastAsia="仿宋_GB2312" w:cs="仿宋_GB2312"/>
                <w:color w:val="auto"/>
                <w:sz w:val="28"/>
                <w:szCs w:val="28"/>
              </w:rPr>
            </w:pPr>
          </w:p>
        </w:tc>
        <w:tc>
          <w:tcPr>
            <w:tcW w:w="5752" w:type="dxa"/>
            <w:vAlign w:val="center"/>
          </w:tcPr>
          <w:p>
            <w:pPr>
              <w:spacing w:line="4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7"/>
              <w:spacing w:line="360" w:lineRule="auto"/>
              <w:ind w:firstLine="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磋商报价</w:t>
            </w:r>
          </w:p>
        </w:tc>
        <w:tc>
          <w:tcPr>
            <w:tcW w:w="5752" w:type="dxa"/>
            <w:vAlign w:val="center"/>
          </w:tcPr>
          <w:p>
            <w:pPr>
              <w:autoSpaceDE w:val="0"/>
              <w:autoSpaceDN w:val="0"/>
              <w:spacing w:line="360" w:lineRule="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小写：</w:t>
            </w:r>
          </w:p>
          <w:p>
            <w:pPr>
              <w:pStyle w:val="14"/>
              <w:rPr>
                <w:rFonts w:hint="eastAsia" w:ascii="仿宋_GB2312" w:hAnsi="仿宋_GB2312" w:eastAsia="仿宋_GB2312" w:cs="仿宋_GB2312"/>
                <w:color w:val="auto"/>
                <w:sz w:val="28"/>
                <w:szCs w:val="28"/>
                <w:lang w:val="zh-CN"/>
              </w:rPr>
            </w:pP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大写</w:t>
            </w:r>
            <w:r>
              <w:rPr>
                <w:rFonts w:hint="eastAsia" w:ascii="仿宋_GB2312" w:hAnsi="仿宋_GB2312" w:eastAsia="仿宋_GB2312" w:cs="仿宋_GB2312"/>
                <w:color w:val="auto"/>
                <w:sz w:val="28"/>
                <w:szCs w:val="28"/>
              </w:rPr>
              <w:t>：</w:t>
            </w: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单位：元（保留到元）</w:t>
            </w:r>
          </w:p>
        </w:tc>
      </w:tr>
    </w:tbl>
    <w:p>
      <w:pPr>
        <w:autoSpaceDE w:val="0"/>
        <w:autoSpaceDN w:val="0"/>
        <w:spacing w:line="240" w:lineRule="auto"/>
        <w:ind w:firstLine="480"/>
        <w:rPr>
          <w:rFonts w:hint="eastAsia" w:ascii="宋体" w:hAnsi="宋体" w:eastAsia="宋体" w:cs="宋体"/>
          <w:b/>
          <w:bCs/>
          <w:color w:val="auto"/>
          <w:kern w:val="0"/>
          <w:sz w:val="21"/>
          <w:szCs w:val="21"/>
        </w:rPr>
      </w:pPr>
    </w:p>
    <w:p>
      <w:pPr>
        <w:autoSpaceDE w:val="0"/>
        <w:autoSpaceDN w:val="0"/>
        <w:spacing w:line="240" w:lineRule="auto"/>
        <w:ind w:firstLine="48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rPr>
        <w:t>备注</w:t>
      </w:r>
      <w:r>
        <w:rPr>
          <w:rFonts w:hint="eastAsia" w:ascii="宋体" w:hAnsi="宋体" w:eastAsia="宋体" w:cs="宋体"/>
          <w:b/>
          <w:bCs/>
          <w:color w:val="auto"/>
          <w:kern w:val="0"/>
          <w:sz w:val="21"/>
          <w:szCs w:val="21"/>
          <w:lang w:val="zh-CN"/>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zh-CN"/>
        </w:rPr>
        <w:t>“磋商报价”为磋商总价。磋商</w:t>
      </w:r>
      <w:r>
        <w:rPr>
          <w:rFonts w:ascii="宋体" w:hAnsi="宋体" w:eastAsia="宋体" w:cs="宋体"/>
          <w:color w:val="auto"/>
          <w:kern w:val="0"/>
          <w:sz w:val="21"/>
          <w:szCs w:val="21"/>
          <w:lang w:val="zh-CN"/>
        </w:rPr>
        <w:t>报价必须包括</w:t>
      </w:r>
      <w:r>
        <w:rPr>
          <w:rFonts w:hint="eastAsia" w:ascii="宋体" w:hAnsi="宋体" w:eastAsia="宋体" w:cs="宋体"/>
          <w:color w:val="auto"/>
          <w:kern w:val="0"/>
          <w:sz w:val="21"/>
          <w:szCs w:val="21"/>
          <w:lang w:val="zh-CN"/>
        </w:rPr>
        <w:t>本项目所需</w:t>
      </w:r>
      <w:r>
        <w:rPr>
          <w:rFonts w:ascii="宋体" w:hAnsi="宋体" w:eastAsia="宋体" w:cs="宋体"/>
          <w:color w:val="auto"/>
          <w:kern w:val="0"/>
          <w:sz w:val="21"/>
          <w:szCs w:val="21"/>
          <w:lang w:val="zh-CN"/>
        </w:rPr>
        <w:t>全部费用</w:t>
      </w:r>
      <w:r>
        <w:rPr>
          <w:rFonts w:hint="eastAsia" w:ascii="宋体" w:hAnsi="宋体" w:eastAsia="宋体" w:cs="宋体"/>
          <w:color w:val="auto"/>
          <w:kern w:val="0"/>
          <w:sz w:val="21"/>
          <w:szCs w:val="21"/>
          <w:lang w:val="zh-CN"/>
        </w:rPr>
        <w:t>。</w:t>
      </w:r>
    </w:p>
    <w:p>
      <w:pPr>
        <w:autoSpaceDE w:val="0"/>
        <w:autoSpaceDN w:val="0"/>
        <w:spacing w:line="240" w:lineRule="auto"/>
        <w:ind w:firstLine="48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2、该报价须与标书信息确认中的报价一致，如不一致，以标书信息确认中的报价为准，请各供应商仔细填写。</w:t>
      </w:r>
    </w:p>
    <w:p>
      <w:pPr>
        <w:autoSpaceDE w:val="0"/>
        <w:autoSpaceDN w:val="0"/>
        <w:spacing w:line="240" w:lineRule="auto"/>
        <w:ind w:firstLine="1065" w:firstLineChars="500"/>
        <w:rPr>
          <w:rFonts w:ascii="宋体" w:hAnsi="宋体" w:eastAsia="宋体" w:cs="宋体"/>
          <w:color w:val="auto"/>
          <w:sz w:val="21"/>
          <w:szCs w:val="21"/>
        </w:rPr>
      </w:pPr>
    </w:p>
    <w:p>
      <w:pPr>
        <w:spacing w:line="440" w:lineRule="exact"/>
        <w:ind w:right="560"/>
        <w:jc w:val="right"/>
        <w:rPr>
          <w:rFonts w:ascii="仿宋" w:hAnsi="仿宋" w:eastAsia="仿宋"/>
          <w:color w:val="auto"/>
          <w:sz w:val="28"/>
          <w:szCs w:val="28"/>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ind w:firstLine="566" w:firstLineChars="200"/>
        <w:rPr>
          <w:rFonts w:ascii="华文仿宋" w:hAnsi="华文仿宋" w:cs="华文仿宋"/>
          <w:b/>
          <w:color w:val="auto"/>
        </w:rPr>
      </w:pPr>
    </w:p>
    <w:bookmarkEnd w:id="392"/>
    <w:p>
      <w:pPr>
        <w:rPr>
          <w:rFonts w:ascii="宋体" w:hAnsi="宋体"/>
          <w:b/>
          <w:bCs/>
          <w:color w:val="auto"/>
          <w:sz w:val="32"/>
          <w:szCs w:val="32"/>
        </w:rPr>
      </w:pPr>
      <w:r>
        <w:rPr>
          <w:rFonts w:ascii="华文仿宋" w:hAnsi="华文仿宋" w:cs="华文仿宋"/>
          <w:b w:val="0"/>
          <w:color w:val="auto"/>
          <w:sz w:val="28"/>
          <w:szCs w:val="28"/>
        </w:rPr>
        <w:br w:type="page"/>
      </w:r>
    </w:p>
    <w:p>
      <w:pPr>
        <w:spacing w:line="240" w:lineRule="auto"/>
        <w:jc w:val="center"/>
      </w:pPr>
      <w:r>
        <w:rPr>
          <w:rFonts w:hint="eastAsia" w:ascii="仿宋_GB2312" w:hAnsi="仿宋_GB2312" w:eastAsia="仿宋_GB2312" w:cs="仿宋_GB2312"/>
          <w:b/>
          <w:bCs/>
          <w:color w:val="auto"/>
          <w:sz w:val="28"/>
          <w:szCs w:val="28"/>
        </w:rPr>
        <w:t>分项报价表（样表）</w:t>
      </w:r>
      <w:r>
        <w:rPr>
          <w:rFonts w:hint="eastAsia" w:ascii="仿宋_GB2312" w:hAnsi="仿宋_GB2312" w:eastAsia="仿宋_GB2312" w:cs="仿宋_GB2312"/>
          <w:b/>
          <w:color w:val="auto"/>
          <w:sz w:val="28"/>
          <w:szCs w:val="28"/>
        </w:rPr>
        <w:tab/>
      </w:r>
    </w:p>
    <w:tbl>
      <w:tblPr>
        <w:tblStyle w:val="23"/>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379"/>
        <w:gridCol w:w="966"/>
        <w:gridCol w:w="1555"/>
        <w:gridCol w:w="1240"/>
        <w:gridCol w:w="870"/>
        <w:gridCol w:w="1037"/>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30" w:type="dxa"/>
            <w:vAlign w:val="center"/>
          </w:tcPr>
          <w:p>
            <w:pPr>
              <w:pStyle w:val="44"/>
              <w:widowControl w:val="0"/>
              <w:rPr>
                <w:rFonts w:hint="eastAsia" w:ascii="仿宋_GB2312" w:hAnsi="仿宋_GB2312" w:eastAsia="仿宋_GB2312" w:cs="仿宋_GB2312"/>
                <w:bCs w:val="0"/>
                <w:sz w:val="28"/>
                <w:szCs w:val="28"/>
              </w:rPr>
            </w:pPr>
            <w:bookmarkStart w:id="393" w:name="_Toc16723"/>
            <w:bookmarkStart w:id="394" w:name="_Toc32361"/>
            <w:bookmarkStart w:id="395" w:name="_Toc1934"/>
            <w:bookmarkStart w:id="396" w:name="_Toc28408"/>
            <w:bookmarkStart w:id="397" w:name="_Toc11534"/>
            <w:bookmarkStart w:id="398" w:name="_Toc18433"/>
            <w:bookmarkStart w:id="399" w:name="_Toc26257"/>
            <w:bookmarkStart w:id="400" w:name="_Toc11855"/>
            <w:bookmarkStart w:id="401" w:name="_Toc22090"/>
            <w:r>
              <w:rPr>
                <w:rFonts w:hint="eastAsia" w:ascii="仿宋_GB2312" w:hAnsi="仿宋_GB2312" w:eastAsia="仿宋_GB2312" w:cs="仿宋_GB2312"/>
                <w:bCs w:val="0"/>
                <w:sz w:val="28"/>
                <w:szCs w:val="28"/>
              </w:rPr>
              <w:t>序号</w:t>
            </w:r>
            <w:bookmarkEnd w:id="393"/>
            <w:bookmarkEnd w:id="394"/>
            <w:bookmarkEnd w:id="395"/>
            <w:bookmarkEnd w:id="396"/>
            <w:bookmarkEnd w:id="397"/>
            <w:bookmarkEnd w:id="398"/>
            <w:bookmarkEnd w:id="399"/>
            <w:bookmarkEnd w:id="400"/>
            <w:bookmarkEnd w:id="401"/>
          </w:p>
        </w:tc>
        <w:tc>
          <w:tcPr>
            <w:tcW w:w="1379" w:type="dxa"/>
            <w:vAlign w:val="center"/>
          </w:tcPr>
          <w:p>
            <w:pPr>
              <w:pStyle w:val="44"/>
              <w:widowControl w:val="0"/>
              <w:rPr>
                <w:rFonts w:hint="eastAsia" w:ascii="仿宋_GB2312" w:hAnsi="仿宋_GB2312" w:eastAsia="仿宋_GB2312" w:cs="仿宋_GB2312"/>
                <w:bCs w:val="0"/>
                <w:sz w:val="28"/>
                <w:szCs w:val="28"/>
                <w:lang w:eastAsia="zh-CN"/>
              </w:rPr>
            </w:pPr>
            <w:r>
              <w:rPr>
                <w:rFonts w:hint="eastAsia" w:ascii="仿宋_GB2312" w:hAnsi="仿宋_GB2312" w:eastAsia="仿宋_GB2312" w:cs="仿宋_GB2312"/>
                <w:bCs w:val="0"/>
                <w:sz w:val="28"/>
                <w:szCs w:val="28"/>
                <w:lang w:val="en-US" w:eastAsia="zh-CN"/>
              </w:rPr>
              <w:t>产品名称</w:t>
            </w:r>
          </w:p>
        </w:tc>
        <w:tc>
          <w:tcPr>
            <w:tcW w:w="966" w:type="dxa"/>
            <w:vAlign w:val="center"/>
          </w:tcPr>
          <w:p>
            <w:pPr>
              <w:pStyle w:val="44"/>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品牌</w:t>
            </w:r>
          </w:p>
        </w:tc>
        <w:tc>
          <w:tcPr>
            <w:tcW w:w="1555" w:type="dxa"/>
            <w:vAlign w:val="center"/>
          </w:tcPr>
          <w:p>
            <w:pPr>
              <w:pStyle w:val="44"/>
              <w:widowControl w:val="0"/>
              <w:spacing w:line="300" w:lineRule="exact"/>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规格型号</w:t>
            </w:r>
          </w:p>
        </w:tc>
        <w:tc>
          <w:tcPr>
            <w:tcW w:w="1240" w:type="dxa"/>
            <w:vAlign w:val="center"/>
          </w:tcPr>
          <w:p>
            <w:pPr>
              <w:pStyle w:val="44"/>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制造商</w:t>
            </w:r>
          </w:p>
        </w:tc>
        <w:tc>
          <w:tcPr>
            <w:tcW w:w="870" w:type="dxa"/>
            <w:vAlign w:val="center"/>
          </w:tcPr>
          <w:p>
            <w:pPr>
              <w:pStyle w:val="44"/>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数量</w:t>
            </w:r>
          </w:p>
        </w:tc>
        <w:tc>
          <w:tcPr>
            <w:tcW w:w="1037" w:type="dxa"/>
            <w:vAlign w:val="center"/>
          </w:tcPr>
          <w:p>
            <w:pPr>
              <w:pStyle w:val="44"/>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单价</w:t>
            </w:r>
          </w:p>
        </w:tc>
        <w:tc>
          <w:tcPr>
            <w:tcW w:w="1352" w:type="dxa"/>
            <w:vAlign w:val="center"/>
          </w:tcPr>
          <w:p>
            <w:pPr>
              <w:pStyle w:val="44"/>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4"/>
              <w:widowControl w:val="0"/>
              <w:jc w:val="left"/>
              <w:rPr>
                <w:rFonts w:hint="eastAsia" w:ascii="仿宋_GB2312" w:hAnsi="仿宋_GB2312" w:eastAsia="仿宋_GB2312" w:cs="仿宋_GB2312"/>
                <w:bCs w:val="0"/>
                <w:sz w:val="28"/>
                <w:szCs w:val="28"/>
              </w:rPr>
            </w:pPr>
          </w:p>
        </w:tc>
        <w:tc>
          <w:tcPr>
            <w:tcW w:w="1379" w:type="dxa"/>
          </w:tcPr>
          <w:p>
            <w:pPr>
              <w:pStyle w:val="44"/>
              <w:widowControl w:val="0"/>
              <w:jc w:val="left"/>
              <w:rPr>
                <w:rFonts w:hint="eastAsia" w:ascii="仿宋_GB2312" w:hAnsi="仿宋_GB2312" w:eastAsia="仿宋_GB2312" w:cs="仿宋_GB2312"/>
                <w:bCs w:val="0"/>
                <w:sz w:val="28"/>
                <w:szCs w:val="28"/>
              </w:rPr>
            </w:pPr>
          </w:p>
        </w:tc>
        <w:tc>
          <w:tcPr>
            <w:tcW w:w="966" w:type="dxa"/>
          </w:tcPr>
          <w:p>
            <w:pPr>
              <w:pStyle w:val="44"/>
              <w:widowControl w:val="0"/>
              <w:jc w:val="left"/>
              <w:rPr>
                <w:rFonts w:hint="eastAsia" w:ascii="仿宋_GB2312" w:hAnsi="仿宋_GB2312" w:eastAsia="仿宋_GB2312" w:cs="仿宋_GB2312"/>
                <w:bCs w:val="0"/>
                <w:sz w:val="28"/>
                <w:szCs w:val="28"/>
              </w:rPr>
            </w:pPr>
          </w:p>
        </w:tc>
        <w:tc>
          <w:tcPr>
            <w:tcW w:w="1555" w:type="dxa"/>
          </w:tcPr>
          <w:p>
            <w:pPr>
              <w:pStyle w:val="44"/>
              <w:widowControl w:val="0"/>
              <w:jc w:val="left"/>
              <w:rPr>
                <w:rFonts w:hint="eastAsia" w:ascii="仿宋_GB2312" w:hAnsi="仿宋_GB2312" w:eastAsia="仿宋_GB2312" w:cs="仿宋_GB2312"/>
                <w:bCs w:val="0"/>
                <w:sz w:val="28"/>
                <w:szCs w:val="28"/>
              </w:rPr>
            </w:pPr>
          </w:p>
        </w:tc>
        <w:tc>
          <w:tcPr>
            <w:tcW w:w="1240" w:type="dxa"/>
          </w:tcPr>
          <w:p>
            <w:pPr>
              <w:pStyle w:val="44"/>
              <w:widowControl w:val="0"/>
              <w:jc w:val="left"/>
              <w:rPr>
                <w:rFonts w:hint="eastAsia" w:ascii="仿宋_GB2312" w:hAnsi="仿宋_GB2312" w:eastAsia="仿宋_GB2312" w:cs="仿宋_GB2312"/>
                <w:bCs w:val="0"/>
                <w:sz w:val="28"/>
                <w:szCs w:val="28"/>
              </w:rPr>
            </w:pPr>
          </w:p>
        </w:tc>
        <w:tc>
          <w:tcPr>
            <w:tcW w:w="870" w:type="dxa"/>
          </w:tcPr>
          <w:p>
            <w:pPr>
              <w:pStyle w:val="44"/>
              <w:widowControl w:val="0"/>
              <w:jc w:val="left"/>
              <w:rPr>
                <w:rFonts w:hint="eastAsia" w:ascii="仿宋_GB2312" w:hAnsi="仿宋_GB2312" w:eastAsia="仿宋_GB2312" w:cs="仿宋_GB2312"/>
                <w:bCs w:val="0"/>
                <w:sz w:val="28"/>
                <w:szCs w:val="28"/>
              </w:rPr>
            </w:pPr>
          </w:p>
        </w:tc>
        <w:tc>
          <w:tcPr>
            <w:tcW w:w="1037" w:type="dxa"/>
          </w:tcPr>
          <w:p>
            <w:pPr>
              <w:pStyle w:val="44"/>
              <w:widowControl w:val="0"/>
              <w:jc w:val="left"/>
              <w:rPr>
                <w:rFonts w:hint="eastAsia" w:ascii="仿宋_GB2312" w:hAnsi="仿宋_GB2312" w:eastAsia="仿宋_GB2312" w:cs="仿宋_GB2312"/>
                <w:bCs w:val="0"/>
                <w:sz w:val="28"/>
                <w:szCs w:val="28"/>
              </w:rPr>
            </w:pPr>
          </w:p>
        </w:tc>
        <w:tc>
          <w:tcPr>
            <w:tcW w:w="1352" w:type="dxa"/>
          </w:tcPr>
          <w:p>
            <w:pPr>
              <w:pStyle w:val="44"/>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4"/>
              <w:widowControl w:val="0"/>
              <w:jc w:val="left"/>
              <w:rPr>
                <w:rFonts w:hint="eastAsia" w:ascii="仿宋_GB2312" w:hAnsi="仿宋_GB2312" w:eastAsia="仿宋_GB2312" w:cs="仿宋_GB2312"/>
                <w:bCs w:val="0"/>
                <w:sz w:val="28"/>
                <w:szCs w:val="28"/>
              </w:rPr>
            </w:pPr>
            <w:bookmarkStart w:id="402" w:name="_Toc31519"/>
          </w:p>
        </w:tc>
        <w:tc>
          <w:tcPr>
            <w:tcW w:w="1379" w:type="dxa"/>
          </w:tcPr>
          <w:p>
            <w:pPr>
              <w:pStyle w:val="44"/>
              <w:widowControl w:val="0"/>
              <w:jc w:val="left"/>
              <w:rPr>
                <w:rFonts w:hint="eastAsia" w:ascii="仿宋_GB2312" w:hAnsi="仿宋_GB2312" w:eastAsia="仿宋_GB2312" w:cs="仿宋_GB2312"/>
                <w:bCs w:val="0"/>
                <w:sz w:val="28"/>
                <w:szCs w:val="28"/>
              </w:rPr>
            </w:pPr>
          </w:p>
        </w:tc>
        <w:tc>
          <w:tcPr>
            <w:tcW w:w="966" w:type="dxa"/>
          </w:tcPr>
          <w:p>
            <w:pPr>
              <w:pStyle w:val="44"/>
              <w:widowControl w:val="0"/>
              <w:jc w:val="left"/>
              <w:rPr>
                <w:rFonts w:hint="eastAsia" w:ascii="仿宋_GB2312" w:hAnsi="仿宋_GB2312" w:eastAsia="仿宋_GB2312" w:cs="仿宋_GB2312"/>
                <w:bCs w:val="0"/>
                <w:sz w:val="28"/>
                <w:szCs w:val="28"/>
              </w:rPr>
            </w:pPr>
          </w:p>
        </w:tc>
        <w:tc>
          <w:tcPr>
            <w:tcW w:w="1555" w:type="dxa"/>
          </w:tcPr>
          <w:p>
            <w:pPr>
              <w:pStyle w:val="44"/>
              <w:widowControl w:val="0"/>
              <w:jc w:val="left"/>
              <w:rPr>
                <w:rFonts w:hint="eastAsia" w:ascii="仿宋_GB2312" w:hAnsi="仿宋_GB2312" w:eastAsia="仿宋_GB2312" w:cs="仿宋_GB2312"/>
                <w:bCs w:val="0"/>
                <w:sz w:val="28"/>
                <w:szCs w:val="28"/>
              </w:rPr>
            </w:pPr>
          </w:p>
        </w:tc>
        <w:tc>
          <w:tcPr>
            <w:tcW w:w="1240" w:type="dxa"/>
          </w:tcPr>
          <w:p>
            <w:pPr>
              <w:pStyle w:val="44"/>
              <w:widowControl w:val="0"/>
              <w:jc w:val="left"/>
              <w:rPr>
                <w:rFonts w:hint="eastAsia" w:ascii="仿宋_GB2312" w:hAnsi="仿宋_GB2312" w:eastAsia="仿宋_GB2312" w:cs="仿宋_GB2312"/>
                <w:bCs w:val="0"/>
                <w:sz w:val="28"/>
                <w:szCs w:val="28"/>
              </w:rPr>
            </w:pPr>
          </w:p>
        </w:tc>
        <w:tc>
          <w:tcPr>
            <w:tcW w:w="870" w:type="dxa"/>
          </w:tcPr>
          <w:p>
            <w:pPr>
              <w:pStyle w:val="44"/>
              <w:widowControl w:val="0"/>
              <w:jc w:val="left"/>
              <w:rPr>
                <w:rFonts w:hint="eastAsia" w:ascii="仿宋_GB2312" w:hAnsi="仿宋_GB2312" w:eastAsia="仿宋_GB2312" w:cs="仿宋_GB2312"/>
                <w:bCs w:val="0"/>
                <w:sz w:val="28"/>
                <w:szCs w:val="28"/>
              </w:rPr>
            </w:pPr>
          </w:p>
        </w:tc>
        <w:tc>
          <w:tcPr>
            <w:tcW w:w="1037" w:type="dxa"/>
          </w:tcPr>
          <w:p>
            <w:pPr>
              <w:pStyle w:val="44"/>
              <w:widowControl w:val="0"/>
              <w:jc w:val="left"/>
              <w:rPr>
                <w:rFonts w:hint="eastAsia" w:ascii="仿宋_GB2312" w:hAnsi="仿宋_GB2312" w:eastAsia="仿宋_GB2312" w:cs="仿宋_GB2312"/>
                <w:bCs w:val="0"/>
                <w:sz w:val="28"/>
                <w:szCs w:val="28"/>
              </w:rPr>
            </w:pPr>
          </w:p>
        </w:tc>
        <w:tc>
          <w:tcPr>
            <w:tcW w:w="1352" w:type="dxa"/>
          </w:tcPr>
          <w:p>
            <w:pPr>
              <w:pStyle w:val="44"/>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4"/>
              <w:widowControl w:val="0"/>
              <w:jc w:val="left"/>
              <w:rPr>
                <w:rFonts w:hint="eastAsia" w:ascii="仿宋_GB2312" w:hAnsi="仿宋_GB2312" w:eastAsia="仿宋_GB2312" w:cs="仿宋_GB2312"/>
                <w:bCs w:val="0"/>
                <w:sz w:val="28"/>
                <w:szCs w:val="28"/>
              </w:rPr>
            </w:pPr>
          </w:p>
        </w:tc>
        <w:tc>
          <w:tcPr>
            <w:tcW w:w="1379" w:type="dxa"/>
          </w:tcPr>
          <w:p>
            <w:pPr>
              <w:pStyle w:val="44"/>
              <w:widowControl w:val="0"/>
              <w:jc w:val="left"/>
              <w:rPr>
                <w:rFonts w:hint="eastAsia" w:ascii="仿宋_GB2312" w:hAnsi="仿宋_GB2312" w:eastAsia="仿宋_GB2312" w:cs="仿宋_GB2312"/>
                <w:bCs w:val="0"/>
                <w:sz w:val="28"/>
                <w:szCs w:val="28"/>
              </w:rPr>
            </w:pPr>
          </w:p>
        </w:tc>
        <w:tc>
          <w:tcPr>
            <w:tcW w:w="966" w:type="dxa"/>
          </w:tcPr>
          <w:p>
            <w:pPr>
              <w:pStyle w:val="44"/>
              <w:widowControl w:val="0"/>
              <w:jc w:val="left"/>
              <w:rPr>
                <w:rFonts w:hint="eastAsia" w:ascii="仿宋_GB2312" w:hAnsi="仿宋_GB2312" w:eastAsia="仿宋_GB2312" w:cs="仿宋_GB2312"/>
                <w:bCs w:val="0"/>
                <w:sz w:val="28"/>
                <w:szCs w:val="28"/>
              </w:rPr>
            </w:pPr>
          </w:p>
        </w:tc>
        <w:tc>
          <w:tcPr>
            <w:tcW w:w="1555" w:type="dxa"/>
          </w:tcPr>
          <w:p>
            <w:pPr>
              <w:pStyle w:val="44"/>
              <w:widowControl w:val="0"/>
              <w:jc w:val="left"/>
              <w:rPr>
                <w:rFonts w:hint="eastAsia" w:ascii="仿宋_GB2312" w:hAnsi="仿宋_GB2312" w:eastAsia="仿宋_GB2312" w:cs="仿宋_GB2312"/>
                <w:bCs w:val="0"/>
                <w:sz w:val="28"/>
                <w:szCs w:val="28"/>
              </w:rPr>
            </w:pPr>
          </w:p>
        </w:tc>
        <w:tc>
          <w:tcPr>
            <w:tcW w:w="1240" w:type="dxa"/>
          </w:tcPr>
          <w:p>
            <w:pPr>
              <w:pStyle w:val="44"/>
              <w:widowControl w:val="0"/>
              <w:jc w:val="left"/>
              <w:rPr>
                <w:rFonts w:hint="eastAsia" w:ascii="仿宋_GB2312" w:hAnsi="仿宋_GB2312" w:eastAsia="仿宋_GB2312" w:cs="仿宋_GB2312"/>
                <w:bCs w:val="0"/>
                <w:sz w:val="28"/>
                <w:szCs w:val="28"/>
              </w:rPr>
            </w:pPr>
          </w:p>
        </w:tc>
        <w:tc>
          <w:tcPr>
            <w:tcW w:w="870" w:type="dxa"/>
          </w:tcPr>
          <w:p>
            <w:pPr>
              <w:pStyle w:val="44"/>
              <w:widowControl w:val="0"/>
              <w:jc w:val="left"/>
              <w:rPr>
                <w:rFonts w:hint="eastAsia" w:ascii="仿宋_GB2312" w:hAnsi="仿宋_GB2312" w:eastAsia="仿宋_GB2312" w:cs="仿宋_GB2312"/>
                <w:bCs w:val="0"/>
                <w:sz w:val="28"/>
                <w:szCs w:val="28"/>
              </w:rPr>
            </w:pPr>
          </w:p>
        </w:tc>
        <w:tc>
          <w:tcPr>
            <w:tcW w:w="1037" w:type="dxa"/>
          </w:tcPr>
          <w:p>
            <w:pPr>
              <w:pStyle w:val="44"/>
              <w:widowControl w:val="0"/>
              <w:jc w:val="left"/>
              <w:rPr>
                <w:rFonts w:hint="eastAsia" w:ascii="仿宋_GB2312" w:hAnsi="仿宋_GB2312" w:eastAsia="仿宋_GB2312" w:cs="仿宋_GB2312"/>
                <w:bCs w:val="0"/>
                <w:sz w:val="28"/>
                <w:szCs w:val="28"/>
              </w:rPr>
            </w:pPr>
          </w:p>
        </w:tc>
        <w:tc>
          <w:tcPr>
            <w:tcW w:w="1352" w:type="dxa"/>
          </w:tcPr>
          <w:p>
            <w:pPr>
              <w:pStyle w:val="44"/>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4"/>
              <w:widowControl w:val="0"/>
              <w:jc w:val="left"/>
              <w:rPr>
                <w:rFonts w:hint="eastAsia" w:ascii="仿宋_GB2312" w:hAnsi="仿宋_GB2312" w:eastAsia="仿宋_GB2312" w:cs="仿宋_GB2312"/>
                <w:bCs w:val="0"/>
                <w:sz w:val="28"/>
                <w:szCs w:val="28"/>
              </w:rPr>
            </w:pPr>
          </w:p>
        </w:tc>
        <w:tc>
          <w:tcPr>
            <w:tcW w:w="1379" w:type="dxa"/>
          </w:tcPr>
          <w:p>
            <w:pPr>
              <w:pStyle w:val="44"/>
              <w:widowControl w:val="0"/>
              <w:jc w:val="left"/>
              <w:rPr>
                <w:rFonts w:hint="eastAsia" w:ascii="仿宋_GB2312" w:hAnsi="仿宋_GB2312" w:eastAsia="仿宋_GB2312" w:cs="仿宋_GB2312"/>
                <w:bCs w:val="0"/>
                <w:sz w:val="28"/>
                <w:szCs w:val="28"/>
              </w:rPr>
            </w:pPr>
          </w:p>
        </w:tc>
        <w:tc>
          <w:tcPr>
            <w:tcW w:w="966" w:type="dxa"/>
          </w:tcPr>
          <w:p>
            <w:pPr>
              <w:pStyle w:val="44"/>
              <w:widowControl w:val="0"/>
              <w:jc w:val="left"/>
              <w:rPr>
                <w:rFonts w:hint="eastAsia" w:ascii="仿宋_GB2312" w:hAnsi="仿宋_GB2312" w:eastAsia="仿宋_GB2312" w:cs="仿宋_GB2312"/>
                <w:bCs w:val="0"/>
                <w:sz w:val="28"/>
                <w:szCs w:val="28"/>
              </w:rPr>
            </w:pPr>
          </w:p>
        </w:tc>
        <w:tc>
          <w:tcPr>
            <w:tcW w:w="1555" w:type="dxa"/>
          </w:tcPr>
          <w:p>
            <w:pPr>
              <w:pStyle w:val="44"/>
              <w:widowControl w:val="0"/>
              <w:jc w:val="left"/>
              <w:rPr>
                <w:rFonts w:hint="eastAsia" w:ascii="仿宋_GB2312" w:hAnsi="仿宋_GB2312" w:eastAsia="仿宋_GB2312" w:cs="仿宋_GB2312"/>
                <w:bCs w:val="0"/>
                <w:sz w:val="28"/>
                <w:szCs w:val="28"/>
              </w:rPr>
            </w:pPr>
          </w:p>
        </w:tc>
        <w:tc>
          <w:tcPr>
            <w:tcW w:w="1240" w:type="dxa"/>
          </w:tcPr>
          <w:p>
            <w:pPr>
              <w:pStyle w:val="44"/>
              <w:widowControl w:val="0"/>
              <w:jc w:val="left"/>
              <w:rPr>
                <w:rFonts w:hint="eastAsia" w:ascii="仿宋_GB2312" w:hAnsi="仿宋_GB2312" w:eastAsia="仿宋_GB2312" w:cs="仿宋_GB2312"/>
                <w:bCs w:val="0"/>
                <w:sz w:val="28"/>
                <w:szCs w:val="28"/>
              </w:rPr>
            </w:pPr>
          </w:p>
        </w:tc>
        <w:tc>
          <w:tcPr>
            <w:tcW w:w="870" w:type="dxa"/>
          </w:tcPr>
          <w:p>
            <w:pPr>
              <w:pStyle w:val="44"/>
              <w:widowControl w:val="0"/>
              <w:jc w:val="left"/>
              <w:rPr>
                <w:rFonts w:hint="eastAsia" w:ascii="仿宋_GB2312" w:hAnsi="仿宋_GB2312" w:eastAsia="仿宋_GB2312" w:cs="仿宋_GB2312"/>
                <w:bCs w:val="0"/>
                <w:sz w:val="28"/>
                <w:szCs w:val="28"/>
              </w:rPr>
            </w:pPr>
          </w:p>
        </w:tc>
        <w:tc>
          <w:tcPr>
            <w:tcW w:w="1037" w:type="dxa"/>
          </w:tcPr>
          <w:p>
            <w:pPr>
              <w:pStyle w:val="44"/>
              <w:widowControl w:val="0"/>
              <w:jc w:val="left"/>
              <w:rPr>
                <w:rFonts w:hint="eastAsia" w:ascii="仿宋_GB2312" w:hAnsi="仿宋_GB2312" w:eastAsia="仿宋_GB2312" w:cs="仿宋_GB2312"/>
                <w:bCs w:val="0"/>
                <w:sz w:val="28"/>
                <w:szCs w:val="28"/>
              </w:rPr>
            </w:pPr>
          </w:p>
        </w:tc>
        <w:tc>
          <w:tcPr>
            <w:tcW w:w="1352" w:type="dxa"/>
          </w:tcPr>
          <w:p>
            <w:pPr>
              <w:pStyle w:val="44"/>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4"/>
              <w:widowControl w:val="0"/>
              <w:jc w:val="left"/>
              <w:rPr>
                <w:rFonts w:hint="eastAsia" w:ascii="仿宋_GB2312" w:hAnsi="仿宋_GB2312" w:eastAsia="仿宋_GB2312" w:cs="仿宋_GB2312"/>
                <w:bCs w:val="0"/>
                <w:sz w:val="28"/>
                <w:szCs w:val="28"/>
              </w:rPr>
            </w:pPr>
          </w:p>
        </w:tc>
        <w:tc>
          <w:tcPr>
            <w:tcW w:w="1379" w:type="dxa"/>
          </w:tcPr>
          <w:p>
            <w:pPr>
              <w:pStyle w:val="44"/>
              <w:widowControl w:val="0"/>
              <w:jc w:val="left"/>
              <w:rPr>
                <w:rFonts w:hint="eastAsia" w:ascii="仿宋_GB2312" w:hAnsi="仿宋_GB2312" w:eastAsia="仿宋_GB2312" w:cs="仿宋_GB2312"/>
                <w:bCs w:val="0"/>
                <w:sz w:val="28"/>
                <w:szCs w:val="28"/>
              </w:rPr>
            </w:pPr>
          </w:p>
        </w:tc>
        <w:tc>
          <w:tcPr>
            <w:tcW w:w="966" w:type="dxa"/>
          </w:tcPr>
          <w:p>
            <w:pPr>
              <w:pStyle w:val="44"/>
              <w:widowControl w:val="0"/>
              <w:jc w:val="left"/>
              <w:rPr>
                <w:rFonts w:hint="eastAsia" w:ascii="仿宋_GB2312" w:hAnsi="仿宋_GB2312" w:eastAsia="仿宋_GB2312" w:cs="仿宋_GB2312"/>
                <w:bCs w:val="0"/>
                <w:sz w:val="28"/>
                <w:szCs w:val="28"/>
              </w:rPr>
            </w:pPr>
          </w:p>
        </w:tc>
        <w:tc>
          <w:tcPr>
            <w:tcW w:w="1555" w:type="dxa"/>
          </w:tcPr>
          <w:p>
            <w:pPr>
              <w:pStyle w:val="44"/>
              <w:widowControl w:val="0"/>
              <w:jc w:val="left"/>
              <w:rPr>
                <w:rFonts w:hint="eastAsia" w:ascii="仿宋_GB2312" w:hAnsi="仿宋_GB2312" w:eastAsia="仿宋_GB2312" w:cs="仿宋_GB2312"/>
                <w:bCs w:val="0"/>
                <w:sz w:val="28"/>
                <w:szCs w:val="28"/>
              </w:rPr>
            </w:pPr>
          </w:p>
        </w:tc>
        <w:tc>
          <w:tcPr>
            <w:tcW w:w="1240" w:type="dxa"/>
          </w:tcPr>
          <w:p>
            <w:pPr>
              <w:pStyle w:val="44"/>
              <w:widowControl w:val="0"/>
              <w:jc w:val="left"/>
              <w:rPr>
                <w:rFonts w:hint="eastAsia" w:ascii="仿宋_GB2312" w:hAnsi="仿宋_GB2312" w:eastAsia="仿宋_GB2312" w:cs="仿宋_GB2312"/>
                <w:bCs w:val="0"/>
                <w:sz w:val="28"/>
                <w:szCs w:val="28"/>
              </w:rPr>
            </w:pPr>
          </w:p>
        </w:tc>
        <w:tc>
          <w:tcPr>
            <w:tcW w:w="870" w:type="dxa"/>
          </w:tcPr>
          <w:p>
            <w:pPr>
              <w:pStyle w:val="44"/>
              <w:widowControl w:val="0"/>
              <w:jc w:val="left"/>
              <w:rPr>
                <w:rFonts w:hint="eastAsia" w:ascii="仿宋_GB2312" w:hAnsi="仿宋_GB2312" w:eastAsia="仿宋_GB2312" w:cs="仿宋_GB2312"/>
                <w:bCs w:val="0"/>
                <w:sz w:val="28"/>
                <w:szCs w:val="28"/>
              </w:rPr>
            </w:pPr>
          </w:p>
        </w:tc>
        <w:tc>
          <w:tcPr>
            <w:tcW w:w="1037" w:type="dxa"/>
          </w:tcPr>
          <w:p>
            <w:pPr>
              <w:pStyle w:val="44"/>
              <w:widowControl w:val="0"/>
              <w:jc w:val="left"/>
              <w:rPr>
                <w:rFonts w:hint="eastAsia" w:ascii="仿宋_GB2312" w:hAnsi="仿宋_GB2312" w:eastAsia="仿宋_GB2312" w:cs="仿宋_GB2312"/>
                <w:bCs w:val="0"/>
                <w:sz w:val="28"/>
                <w:szCs w:val="28"/>
              </w:rPr>
            </w:pPr>
          </w:p>
        </w:tc>
        <w:tc>
          <w:tcPr>
            <w:tcW w:w="1352" w:type="dxa"/>
          </w:tcPr>
          <w:p>
            <w:pPr>
              <w:pStyle w:val="44"/>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gridSpan w:val="2"/>
            <w:vAlign w:val="center"/>
          </w:tcPr>
          <w:p>
            <w:pPr>
              <w:pStyle w:val="44"/>
              <w:widowControl w:val="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sz w:val="28"/>
                <w:szCs w:val="28"/>
                <w:lang w:val="en-US" w:eastAsia="zh-CN"/>
              </w:rPr>
              <w:t>合计</w:t>
            </w:r>
            <w:bookmarkEnd w:id="402"/>
          </w:p>
        </w:tc>
        <w:tc>
          <w:tcPr>
            <w:tcW w:w="7020" w:type="dxa"/>
            <w:gridSpan w:val="6"/>
          </w:tcPr>
          <w:p>
            <w:pPr>
              <w:widowControl w:val="0"/>
              <w:autoSpaceDE w:val="0"/>
              <w:autoSpaceDN w:val="0"/>
              <w:spacing w:line="240" w:lineRule="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小写：</w:t>
            </w:r>
          </w:p>
          <w:p>
            <w:pPr>
              <w:pStyle w:val="44"/>
              <w:widowControl w:val="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w:t>
            </w:r>
            <w:bookmarkStart w:id="403" w:name="_Toc10552"/>
            <w:bookmarkStart w:id="404" w:name="_Toc28010"/>
            <w:bookmarkStart w:id="405" w:name="_Toc31429"/>
            <w:bookmarkStart w:id="406" w:name="_Toc8004"/>
            <w:bookmarkStart w:id="407" w:name="_Toc22162"/>
            <w:bookmarkStart w:id="408" w:name="_Toc7253"/>
            <w:bookmarkStart w:id="409" w:name="_Toc17991"/>
            <w:r>
              <w:rPr>
                <w:rFonts w:hint="eastAsia" w:ascii="仿宋_GB2312" w:hAnsi="仿宋_GB2312" w:eastAsia="仿宋_GB2312" w:cs="仿宋_GB2312"/>
                <w:b w:val="0"/>
                <w:bCs w:val="0"/>
                <w:sz w:val="28"/>
                <w:szCs w:val="28"/>
              </w:rPr>
              <w:t>单位：元（保留到元）</w:t>
            </w:r>
            <w:bookmarkEnd w:id="403"/>
            <w:bookmarkEnd w:id="404"/>
            <w:bookmarkEnd w:id="405"/>
            <w:bookmarkEnd w:id="406"/>
            <w:bookmarkEnd w:id="407"/>
            <w:bookmarkEnd w:id="408"/>
            <w:bookmarkEnd w:id="409"/>
          </w:p>
        </w:tc>
      </w:tr>
    </w:tbl>
    <w:p>
      <w:pPr>
        <w:tabs>
          <w:tab w:val="right" w:pos="9072"/>
        </w:tabs>
        <w:spacing w:line="240" w:lineRule="auto"/>
        <w:ind w:firstLine="213" w:firstLineChars="100"/>
        <w:rPr>
          <w:rFonts w:hint="eastAsia" w:ascii="宋体" w:hAnsi="宋体" w:eastAsia="宋体" w:cs="华文仿宋"/>
          <w:color w:val="auto"/>
          <w:sz w:val="21"/>
          <w:szCs w:val="21"/>
        </w:rPr>
      </w:pPr>
    </w:p>
    <w:p>
      <w:pPr>
        <w:tabs>
          <w:tab w:val="right" w:pos="9072"/>
        </w:tabs>
        <w:spacing w:line="240" w:lineRule="auto"/>
        <w:ind w:firstLine="213" w:firstLineChars="100"/>
        <w:rPr>
          <w:rFonts w:ascii="宋体" w:hAnsi="宋体" w:eastAsia="宋体" w:cs="华文仿宋"/>
          <w:color w:val="auto"/>
          <w:sz w:val="21"/>
          <w:szCs w:val="21"/>
        </w:rPr>
      </w:pPr>
      <w:r>
        <w:rPr>
          <w:rFonts w:hint="eastAsia" w:ascii="宋体" w:hAnsi="宋体" w:eastAsia="宋体" w:cs="华文仿宋"/>
          <w:color w:val="auto"/>
          <w:sz w:val="21"/>
          <w:szCs w:val="21"/>
        </w:rPr>
        <w:t>备注</w:t>
      </w:r>
      <w:r>
        <w:rPr>
          <w:rFonts w:ascii="宋体" w:hAnsi="宋体" w:eastAsia="宋体" w:cs="华文仿宋"/>
          <w:color w:val="auto"/>
          <w:sz w:val="21"/>
          <w:szCs w:val="21"/>
        </w:rPr>
        <w:t>：</w:t>
      </w:r>
      <w:r>
        <w:rPr>
          <w:rFonts w:hint="eastAsia" w:ascii="宋体" w:hAnsi="宋体" w:eastAsia="宋体" w:cs="华文仿宋"/>
          <w:color w:val="auto"/>
          <w:sz w:val="21"/>
          <w:szCs w:val="21"/>
        </w:rPr>
        <w:t>1、本表“</w:t>
      </w:r>
      <w:r>
        <w:rPr>
          <w:rFonts w:hint="eastAsia" w:ascii="宋体" w:hAnsi="宋体" w:eastAsia="宋体" w:cs="华文仿宋"/>
          <w:color w:val="auto"/>
          <w:sz w:val="21"/>
          <w:szCs w:val="21"/>
          <w:lang w:val="en-US" w:eastAsia="zh-CN"/>
        </w:rPr>
        <w:t>合计</w:t>
      </w:r>
      <w:r>
        <w:rPr>
          <w:rFonts w:hint="eastAsia" w:ascii="宋体" w:hAnsi="宋体" w:eastAsia="宋体" w:cs="华文仿宋"/>
          <w:color w:val="auto"/>
          <w:sz w:val="21"/>
          <w:szCs w:val="21"/>
        </w:rPr>
        <w:t>”金额应与“第一次磋商报价表”中的“磋商报价”一致；</w:t>
      </w:r>
    </w:p>
    <w:p>
      <w:pPr>
        <w:tabs>
          <w:tab w:val="right" w:pos="9072"/>
        </w:tabs>
        <w:spacing w:line="240" w:lineRule="auto"/>
        <w:ind w:firstLine="852" w:firstLineChars="400"/>
        <w:rPr>
          <w:rFonts w:ascii="宋体" w:hAnsi="宋体" w:eastAsia="宋体" w:cs="华文仿宋"/>
          <w:color w:val="auto"/>
          <w:sz w:val="21"/>
          <w:szCs w:val="21"/>
        </w:rPr>
      </w:pPr>
      <w:r>
        <w:rPr>
          <w:rFonts w:hint="eastAsia" w:ascii="宋体" w:hAnsi="宋体" w:eastAsia="宋体" w:cs="华文仿宋"/>
          <w:color w:val="auto"/>
          <w:sz w:val="21"/>
          <w:szCs w:val="21"/>
        </w:rPr>
        <w:t>2、本表为</w:t>
      </w:r>
      <w:r>
        <w:rPr>
          <w:rFonts w:ascii="宋体" w:hAnsi="宋体" w:eastAsia="宋体" w:cs="华文仿宋"/>
          <w:color w:val="auto"/>
          <w:sz w:val="21"/>
          <w:szCs w:val="21"/>
        </w:rPr>
        <w:t>样表，仅供参考，</w:t>
      </w:r>
      <w:r>
        <w:rPr>
          <w:rFonts w:hint="eastAsia" w:ascii="宋体" w:hAnsi="宋体" w:eastAsia="宋体" w:cs="华文仿宋"/>
          <w:color w:val="auto"/>
          <w:sz w:val="21"/>
          <w:szCs w:val="21"/>
        </w:rPr>
        <w:t>供应商根据</w:t>
      </w:r>
      <w:r>
        <w:rPr>
          <w:rFonts w:ascii="宋体" w:hAnsi="宋体" w:eastAsia="宋体" w:cs="华文仿宋"/>
          <w:color w:val="auto"/>
          <w:sz w:val="21"/>
          <w:szCs w:val="21"/>
        </w:rPr>
        <w:t>项目实际</w:t>
      </w:r>
      <w:r>
        <w:rPr>
          <w:rFonts w:hint="eastAsia" w:ascii="宋体" w:hAnsi="宋体" w:eastAsia="宋体" w:cs="华文仿宋"/>
          <w:color w:val="auto"/>
          <w:sz w:val="21"/>
          <w:szCs w:val="21"/>
        </w:rPr>
        <w:t>需求</w:t>
      </w:r>
      <w:r>
        <w:rPr>
          <w:rFonts w:ascii="宋体" w:hAnsi="宋体" w:eastAsia="宋体" w:cs="华文仿宋"/>
          <w:color w:val="auto"/>
          <w:sz w:val="21"/>
          <w:szCs w:val="21"/>
        </w:rPr>
        <w:t>进行填写</w:t>
      </w:r>
      <w:r>
        <w:rPr>
          <w:rFonts w:hint="eastAsia" w:ascii="宋体" w:hAnsi="宋体" w:eastAsia="宋体" w:cs="华文仿宋"/>
          <w:color w:val="auto"/>
          <w:sz w:val="21"/>
          <w:szCs w:val="21"/>
        </w:rPr>
        <w:t>。</w:t>
      </w:r>
    </w:p>
    <w:p>
      <w:pPr>
        <w:tabs>
          <w:tab w:val="right" w:pos="9072"/>
        </w:tabs>
        <w:spacing w:line="500" w:lineRule="exact"/>
        <w:ind w:firstLine="486" w:firstLineChars="200"/>
        <w:rPr>
          <w:rFonts w:ascii="华文仿宋" w:hAnsi="华文仿宋" w:cs="华文仿宋"/>
          <w:color w:val="auto"/>
          <w:sz w:val="24"/>
          <w:szCs w:val="24"/>
        </w:rPr>
      </w:pPr>
    </w:p>
    <w:p>
      <w:pPr>
        <w:tabs>
          <w:tab w:val="right" w:pos="9072"/>
        </w:tabs>
        <w:spacing w:line="500" w:lineRule="exact"/>
        <w:ind w:firstLine="566" w:firstLineChars="200"/>
        <w:rPr>
          <w:rFonts w:ascii="华文仿宋" w:hAnsi="华文仿宋" w:cs="华文仿宋"/>
          <w:color w:val="auto"/>
          <w:sz w:val="28"/>
          <w:szCs w:val="28"/>
        </w:rPr>
      </w:pPr>
    </w:p>
    <w:p>
      <w:pPr>
        <w:tabs>
          <w:tab w:val="right" w:pos="9072"/>
        </w:tabs>
        <w:spacing w:line="500" w:lineRule="exact"/>
        <w:ind w:firstLine="566" w:firstLineChars="200"/>
        <w:rPr>
          <w:rFonts w:ascii="华文仿宋" w:hAnsi="华文仿宋" w:cs="华文仿宋"/>
          <w:b/>
          <w:color w:val="auto"/>
          <w:sz w:val="28"/>
          <w:szCs w:val="28"/>
        </w:rPr>
      </w:pPr>
    </w:p>
    <w:p>
      <w:pPr>
        <w:spacing w:line="500" w:lineRule="exact"/>
        <w:ind w:firstLine="4811" w:firstLineChars="17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tabs>
          <w:tab w:val="right" w:pos="9070"/>
        </w:tabs>
        <w:spacing w:line="500" w:lineRule="exact"/>
        <w:ind w:firstLine="4811" w:firstLineChars="17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32"/>
          <w:szCs w:val="32"/>
        </w:rPr>
        <w:t xml:space="preserve"> </w:t>
      </w:r>
    </w:p>
    <w:p>
      <w:pPr>
        <w:tabs>
          <w:tab w:val="right" w:pos="9070"/>
        </w:tabs>
        <w:spacing w:line="500" w:lineRule="exact"/>
        <w:rPr>
          <w:rFonts w:ascii="华文仿宋" w:hAnsi="华文仿宋" w:cs="华文仿宋"/>
          <w:bCs/>
          <w:color w:val="auto"/>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r>
        <w:rPr>
          <w:rFonts w:ascii="仿宋" w:hAnsi="仿宋" w:eastAsia="仿宋" w:cs="仿宋"/>
          <w:color w:val="auto"/>
          <w:sz w:val="32"/>
          <w:szCs w:val="32"/>
        </w:rPr>
        <w:br w:type="page"/>
      </w:r>
    </w:p>
    <w:p>
      <w:pPr>
        <w:pStyle w:val="44"/>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32"/>
          <w:szCs w:val="32"/>
        </w:rPr>
      </w:pPr>
      <w:bookmarkStart w:id="410" w:name="_Toc2393"/>
      <w:bookmarkStart w:id="411" w:name="_Toc13309_WPSOffice_Level2"/>
      <w:bookmarkStart w:id="412" w:name="_Toc20416"/>
      <w:bookmarkStart w:id="413" w:name="_Toc26668"/>
      <w:bookmarkStart w:id="414" w:name="_Toc1823_WPSOffice_Level2"/>
      <w:bookmarkStart w:id="415" w:name="_Toc18036_WPSOffice_Level2"/>
      <w:bookmarkStart w:id="416" w:name="_Toc13794"/>
      <w:bookmarkStart w:id="417" w:name="_Toc9727_WPSOffice_Level2"/>
      <w:bookmarkStart w:id="418" w:name="_Toc26536_WPSOffice_Level2"/>
      <w:r>
        <w:rPr>
          <w:rFonts w:hint="eastAsia" w:ascii="仿宋_GB2312" w:hAnsi="仿宋_GB2312" w:eastAsia="仿宋_GB2312" w:cs="仿宋_GB2312"/>
          <w:bCs w:val="0"/>
          <w:color w:val="auto"/>
          <w:sz w:val="32"/>
          <w:szCs w:val="32"/>
        </w:rPr>
        <w:t>三、</w:t>
      </w:r>
      <w:bookmarkEnd w:id="410"/>
      <w:bookmarkEnd w:id="411"/>
      <w:bookmarkStart w:id="419" w:name="_Toc4322"/>
      <w:bookmarkStart w:id="420" w:name="_Toc31081"/>
      <w:r>
        <w:rPr>
          <w:rFonts w:hint="eastAsia" w:ascii="仿宋_GB2312" w:hAnsi="仿宋_GB2312" w:eastAsia="仿宋_GB2312" w:cs="仿宋_GB2312"/>
          <w:bCs w:val="0"/>
          <w:color w:val="auto"/>
          <w:sz w:val="32"/>
          <w:szCs w:val="32"/>
        </w:rPr>
        <w:t>供应商参加政府采购活动承诺书</w:t>
      </w:r>
      <w:bookmarkEnd w:id="412"/>
      <w:bookmarkEnd w:id="419"/>
      <w:bookmarkEnd w:id="420"/>
    </w:p>
    <w:bookmarkEnd w:id="413"/>
    <w:bookmarkEnd w:id="414"/>
    <w:bookmarkEnd w:id="415"/>
    <w:bookmarkEnd w:id="416"/>
    <w:bookmarkEnd w:id="417"/>
    <w:bookmarkEnd w:id="418"/>
    <w:p>
      <w:pPr>
        <w:pageBreakBefore w:val="0"/>
        <w:widowControl/>
        <w:kinsoku/>
        <w:wordWrap/>
        <w:overflowPunct/>
        <w:topLinePunct w:val="0"/>
        <w:autoSpaceDE/>
        <w:autoSpaceDN/>
        <w:bidi w:val="0"/>
        <w:adjustRightInd/>
        <w:snapToGrid/>
        <w:spacing w:before="190" w:beforeLines="50" w:line="560" w:lineRule="exact"/>
        <w:ind w:firstLine="566" w:firstLineChars="200"/>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拒绝政府采购领域商业贿赂承诺书</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为响应党中央、国务院关于治理政府采购领域商业贿赂行为的号召，我公司在此庄严承诺：</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1、在参与政府采购活动中遵纪守法、诚信经营、公平竞标。</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2、不向政府采购人、采购代理机构和政府采购评审专家进行任何形式的商业贿赂以谋取交易机会。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3、不向政府采购代理机构和采购人提供虚假资质文件或采用虚假应标方式参与政府采购市场竞争并谋取中标、成交。</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4、不采取“围标、陪标”等商业欺诈手段获得政府采购定单。</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5、不采取不正当手段诋毁、排挤其他供应商。</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6、不在提供商品和服务时“偷梁换柱、以次充好”损害采购人的合法权益。</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7、不与采购人、采购代理机构政府采购评审专家或其它供应商恶意串通，进行质疑和投诉，维护政府采购市场秩序。</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8、尊重和接受政府采购监督管理部门的监督和政府采购代理机构招标采购要求，承担因违约行为给采购人造成的损失。</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9、不发生其他有悖于政府采购公开、公平、公正和诚信原则的行为。</w:t>
      </w:r>
    </w:p>
    <w:p>
      <w:pPr>
        <w:pStyle w:val="20"/>
        <w:pageBreakBefore w:val="0"/>
        <w:widowControl/>
        <w:kinsoku/>
        <w:wordWrap/>
        <w:overflowPunct/>
        <w:topLinePunct w:val="0"/>
        <w:autoSpaceDE/>
        <w:autoSpaceDN/>
        <w:bidi w:val="0"/>
        <w:adjustRightInd/>
        <w:snapToGrid/>
        <w:spacing w:line="560" w:lineRule="exact"/>
        <w:ind w:firstLine="183"/>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ind w:firstLine="5377" w:firstLineChars="1900"/>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rPr>
          <w:rFonts w:ascii="仿宋" w:hAnsi="仿宋" w:eastAsia="仿宋"/>
          <w:b/>
          <w:color w:val="auto"/>
          <w:sz w:val="28"/>
          <w:szCs w:val="28"/>
        </w:rPr>
      </w:pPr>
      <w:r>
        <w:rPr>
          <w:rFonts w:hint="eastAsia"/>
          <w:color w:val="auto"/>
        </w:rPr>
        <w:br w:type="page"/>
      </w:r>
      <w:bookmarkStart w:id="421" w:name="_Toc16442_WPSOffice_Level2"/>
      <w:bookmarkStart w:id="422" w:name="_Toc16564_WPSOffice_Level2"/>
      <w:bookmarkStart w:id="423" w:name="_Toc10928_WPSOffice_Level2"/>
      <w:bookmarkStart w:id="424" w:name="_Toc27976_WPSOffice_Level2"/>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rPr>
        <w:t>、</w:t>
      </w:r>
      <w:r>
        <w:rPr>
          <w:rFonts w:ascii="仿宋" w:hAnsi="仿宋" w:eastAsia="仿宋"/>
          <w:b/>
          <w:color w:val="auto"/>
          <w:sz w:val="28"/>
          <w:szCs w:val="28"/>
        </w:rPr>
        <w:t>技术</w:t>
      </w:r>
      <w:r>
        <w:rPr>
          <w:rFonts w:hint="eastAsia" w:ascii="仿宋" w:hAnsi="仿宋" w:eastAsia="仿宋"/>
          <w:b/>
          <w:color w:val="auto"/>
          <w:sz w:val="28"/>
          <w:szCs w:val="28"/>
        </w:rPr>
        <w:t>服务偏差表</w:t>
      </w:r>
      <w:bookmarkEnd w:id="421"/>
      <w:bookmarkEnd w:id="422"/>
      <w:bookmarkEnd w:id="423"/>
      <w:bookmarkEnd w:id="424"/>
    </w:p>
    <w:tbl>
      <w:tblPr>
        <w:tblStyle w:val="22"/>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423"/>
        <w:gridCol w:w="2599"/>
        <w:gridCol w:w="137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9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423"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磋商文件要求</w:t>
            </w:r>
          </w:p>
        </w:tc>
        <w:tc>
          <w:tcPr>
            <w:tcW w:w="2599"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响应文件响应条款</w:t>
            </w:r>
          </w:p>
        </w:tc>
        <w:tc>
          <w:tcPr>
            <w:tcW w:w="1375"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rPr>
              <w:t>偏离程度</w:t>
            </w:r>
          </w:p>
        </w:tc>
        <w:tc>
          <w:tcPr>
            <w:tcW w:w="235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偏离简述</w:t>
            </w:r>
          </w:p>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bl>
    <w:p>
      <w:pPr>
        <w:keepNext w:val="0"/>
        <w:keepLines w:val="0"/>
        <w:pageBreakBefore w:val="0"/>
        <w:widowControl/>
        <w:tabs>
          <w:tab w:val="right" w:pos="9070"/>
        </w:tabs>
        <w:kinsoku/>
        <w:wordWrap/>
        <w:overflowPunct/>
        <w:topLinePunct w:val="0"/>
        <w:autoSpaceDE/>
        <w:autoSpaceDN/>
        <w:bidi w:val="0"/>
        <w:adjustRightInd/>
        <w:snapToGrid/>
        <w:spacing w:line="240" w:lineRule="auto"/>
        <w:ind w:firstLine="486" w:firstLineChars="200"/>
        <w:textAlignment w:val="auto"/>
        <w:rPr>
          <w:rFonts w:hint="eastAsia" w:ascii="仿宋_GB2312" w:hAnsi="仿宋_GB2312" w:eastAsia="仿宋_GB2312" w:cs="仿宋_GB2312"/>
          <w:color w:val="auto"/>
          <w:sz w:val="24"/>
          <w:szCs w:val="24"/>
          <w:lang w:eastAsia="zh-CN"/>
        </w:rPr>
      </w:pPr>
      <w:bookmarkStart w:id="425" w:name="_Toc5795_WPSOffice_Level1"/>
      <w:bookmarkStart w:id="426" w:name="_Toc9021_WPSOffice_Level1"/>
      <w:bookmarkStart w:id="427" w:name="_Toc31624_WPSOffice_Level1"/>
      <w:r>
        <w:rPr>
          <w:rFonts w:hint="eastAsia" w:ascii="仿宋_GB2312" w:hAnsi="仿宋_GB2312" w:eastAsia="仿宋_GB2312" w:cs="仿宋_GB2312"/>
          <w:color w:val="auto"/>
          <w:sz w:val="24"/>
          <w:szCs w:val="24"/>
        </w:rPr>
        <w:t>备注：填写此表时以第三章“磋商内容及采购要求”各条款为基本响应要求，满足磋商文件要求的，“偏离程度”注明“0”，无需填写“偏离简述”项。超出、不满足磋商文件要求的，列出“</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”偏差，并在“偏离简述”项做出详细说明；如果加“★”内容的“响应条款”</w:t>
      </w:r>
      <w:r>
        <w:rPr>
          <w:rFonts w:hint="eastAsia" w:ascii="仿宋_GB2312" w:hAnsi="仿宋_GB2312" w:eastAsia="仿宋_GB2312" w:cs="仿宋_GB2312"/>
          <w:color w:val="auto"/>
          <w:sz w:val="24"/>
          <w:szCs w:val="24"/>
          <w:lang w:val="en-US" w:eastAsia="zh-CN"/>
        </w:rPr>
        <w:t>或</w:t>
      </w:r>
      <w:r>
        <w:rPr>
          <w:rFonts w:hint="eastAsia" w:ascii="仿宋_GB2312" w:hAnsi="仿宋_GB2312" w:eastAsia="仿宋_GB2312" w:cs="仿宋_GB2312"/>
          <w:color w:val="auto"/>
          <w:sz w:val="24"/>
          <w:szCs w:val="24"/>
        </w:rPr>
        <w:t>“偏离程度”项未填写，将视为该项指标未响应，投标无效</w:t>
      </w:r>
      <w:r>
        <w:rPr>
          <w:rFonts w:hint="eastAsia" w:ascii="仿宋_GB2312" w:hAnsi="仿宋_GB2312" w:eastAsia="仿宋_GB2312" w:cs="仿宋_GB2312"/>
          <w:color w:val="auto"/>
          <w:sz w:val="24"/>
          <w:szCs w:val="24"/>
          <w:lang w:eastAsia="zh-CN"/>
        </w:rPr>
        <w:t>。</w:t>
      </w:r>
    </w:p>
    <w:p>
      <w:pPr>
        <w:spacing w:line="240" w:lineRule="auto"/>
        <w:ind w:firstLine="426" w:firstLineChars="200"/>
        <w:rPr>
          <w:rFonts w:ascii="宋体" w:hAnsi="宋体" w:eastAsia="宋体" w:cs="宋体"/>
          <w:color w:val="auto"/>
          <w:sz w:val="21"/>
          <w:szCs w:val="21"/>
        </w:rPr>
      </w:pPr>
    </w:p>
    <w:p>
      <w:pPr>
        <w:spacing w:line="500" w:lineRule="exact"/>
        <w:ind w:firstLine="566" w:firstLineChars="200"/>
        <w:rPr>
          <w:color w:val="auto"/>
        </w:rPr>
      </w:pPr>
    </w:p>
    <w:p>
      <w:pPr>
        <w:spacing w:line="500" w:lineRule="exact"/>
        <w:ind w:firstLine="5094" w:firstLineChars="1800"/>
        <w:rPr>
          <w:rFonts w:hint="eastAsia" w:ascii="仿宋_GB2312" w:hAnsi="仿宋_GB2312" w:eastAsia="仿宋_GB2312" w:cs="仿宋_GB2312"/>
          <w:color w:val="auto"/>
        </w:rPr>
      </w:pPr>
      <w:r>
        <w:rPr>
          <w:rFonts w:hint="eastAsia" w:ascii="仿宋_GB2312" w:hAnsi="仿宋_GB2312" w:eastAsia="仿宋_GB2312" w:cs="仿宋_GB2312"/>
          <w:color w:val="auto"/>
        </w:rPr>
        <w:t>供应商：</w:t>
      </w:r>
      <w:r>
        <w:rPr>
          <w:rFonts w:hint="eastAsia" w:ascii="仿宋_GB2312" w:hAnsi="仿宋_GB2312" w:eastAsia="仿宋_GB2312" w:cs="仿宋_GB2312"/>
          <w:color w:val="auto"/>
          <w:u w:val="single"/>
        </w:rPr>
        <w:t>名称</w:t>
      </w:r>
      <w:r>
        <w:rPr>
          <w:rFonts w:hint="eastAsia" w:ascii="仿宋_GB2312" w:hAnsi="仿宋_GB2312" w:eastAsia="仿宋_GB2312" w:cs="仿宋_GB2312"/>
          <w:color w:val="auto"/>
        </w:rPr>
        <w:t>（加盖公章）</w:t>
      </w:r>
    </w:p>
    <w:p>
      <w:pPr>
        <w:tabs>
          <w:tab w:val="right" w:pos="9070"/>
        </w:tabs>
        <w:spacing w:line="500" w:lineRule="exact"/>
        <w:ind w:firstLine="5094" w:firstLineChars="1800"/>
        <w:rPr>
          <w:rFonts w:hint="eastAsia" w:ascii="仿宋_GB2312" w:hAnsi="仿宋_GB2312" w:eastAsia="仿宋_GB2312" w:cs="仿宋_GB2312"/>
          <w:bCs/>
          <w:color w:val="auto"/>
        </w:rPr>
      </w:pPr>
      <w:r>
        <w:rPr>
          <w:rFonts w:hint="eastAsia" w:ascii="仿宋_GB2312" w:hAnsi="仿宋_GB2312" w:eastAsia="仿宋_GB2312" w:cs="仿宋_GB2312"/>
          <w:color w:val="auto"/>
        </w:rPr>
        <w:t>日期：　　年　月　日</w:t>
      </w:r>
      <w:r>
        <w:rPr>
          <w:rFonts w:hint="eastAsia" w:ascii="仿宋_GB2312" w:hAnsi="仿宋_GB2312" w:eastAsia="仿宋_GB2312" w:cs="仿宋_GB2312"/>
          <w:bCs/>
          <w:color w:val="auto"/>
        </w:rPr>
        <w:tab/>
      </w:r>
    </w:p>
    <w:p>
      <w:pPr>
        <w:tabs>
          <w:tab w:val="right" w:pos="9070"/>
        </w:tabs>
        <w:spacing w:line="500" w:lineRule="exact"/>
        <w:ind w:firstLine="566" w:firstLineChars="200"/>
        <w:rPr>
          <w:rFonts w:ascii="仿宋" w:hAnsi="仿宋" w:eastAsia="仿宋"/>
          <w:bCs/>
          <w:color w:val="auto"/>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rPr>
          <w:color w:val="auto"/>
        </w:rPr>
      </w:pPr>
      <w:r>
        <w:rPr>
          <w:rFonts w:ascii="仿宋" w:hAnsi="仿宋" w:eastAsia="仿宋" w:cs="仿宋"/>
          <w:b/>
          <w:color w:val="auto"/>
          <w:sz w:val="32"/>
          <w:szCs w:val="32"/>
        </w:rPr>
        <w:br w:type="page"/>
      </w:r>
    </w:p>
    <w:p>
      <w:pPr>
        <w:spacing w:line="240" w:lineRule="auto"/>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
          <w:color w:val="auto"/>
          <w:sz w:val="28"/>
          <w:szCs w:val="28"/>
          <w:lang w:val="en-US" w:eastAsia="zh-CN"/>
        </w:rPr>
        <w:t>五</w:t>
      </w:r>
      <w:r>
        <w:rPr>
          <w:rFonts w:hint="eastAsia" w:ascii="仿宋_GB2312" w:hAnsi="仿宋_GB2312" w:eastAsia="仿宋_GB2312" w:cs="仿宋_GB2312"/>
          <w:b/>
          <w:color w:val="auto"/>
          <w:sz w:val="28"/>
          <w:szCs w:val="28"/>
        </w:rPr>
        <w:t>、合同</w:t>
      </w:r>
      <w:r>
        <w:rPr>
          <w:rFonts w:hint="eastAsia" w:ascii="仿宋_GB2312" w:hAnsi="仿宋_GB2312" w:eastAsia="仿宋_GB2312" w:cs="仿宋_GB2312"/>
          <w:b/>
          <w:color w:val="auto"/>
          <w:sz w:val="28"/>
          <w:szCs w:val="28"/>
          <w:lang w:val="en-US" w:eastAsia="zh-CN"/>
        </w:rPr>
        <w:t>草案</w:t>
      </w:r>
      <w:r>
        <w:rPr>
          <w:rFonts w:hint="eastAsia" w:ascii="仿宋_GB2312" w:hAnsi="仿宋_GB2312" w:eastAsia="仿宋_GB2312" w:cs="仿宋_GB2312"/>
          <w:b/>
          <w:color w:val="auto"/>
          <w:sz w:val="28"/>
          <w:szCs w:val="28"/>
        </w:rPr>
        <w:t>条款响应</w:t>
      </w:r>
    </w:p>
    <w:p>
      <w:pPr>
        <w:spacing w:line="500" w:lineRule="exact"/>
        <w:ind w:firstLine="566"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完全理解并接受磋商文件中“合同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条款”要求。</w:t>
      </w:r>
    </w:p>
    <w:p>
      <w:pPr>
        <w:pStyle w:val="20"/>
        <w:ind w:firstLine="183"/>
        <w:rPr>
          <w:rFonts w:hint="eastAsia" w:ascii="仿宋_GB2312" w:hAnsi="仿宋_GB2312" w:eastAsia="仿宋_GB2312" w:cs="仿宋_GB2312"/>
          <w:color w:val="auto"/>
          <w:sz w:val="28"/>
          <w:szCs w:val="28"/>
        </w:rPr>
      </w:pPr>
    </w:p>
    <w:p>
      <w:pPr>
        <w:pStyle w:val="20"/>
        <w:ind w:firstLine="183"/>
        <w:rPr>
          <w:rFonts w:hint="eastAsia" w:ascii="仿宋_GB2312" w:hAnsi="仿宋_GB2312" w:eastAsia="仿宋_GB2312" w:cs="仿宋_GB2312"/>
          <w:color w:val="auto"/>
          <w:sz w:val="28"/>
          <w:szCs w:val="28"/>
        </w:rPr>
      </w:pPr>
    </w:p>
    <w:p>
      <w:pPr>
        <w:pStyle w:val="20"/>
        <w:ind w:firstLine="183"/>
        <w:jc w:val="right"/>
        <w:rPr>
          <w:rFonts w:hint="eastAsia" w:ascii="仿宋_GB2312" w:hAnsi="仿宋_GB2312" w:eastAsia="仿宋_GB2312" w:cs="仿宋_GB2312"/>
          <w:color w:val="auto"/>
          <w:sz w:val="28"/>
          <w:szCs w:val="28"/>
        </w:rPr>
      </w:pPr>
    </w:p>
    <w:p>
      <w:pPr>
        <w:spacing w:line="500" w:lineRule="exact"/>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tabs>
          <w:tab w:val="right" w:pos="9070"/>
        </w:tabs>
        <w:wordWrap w:val="0"/>
        <w:spacing w:line="500" w:lineRule="exact"/>
        <w:jc w:val="right"/>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rPr>
          <w:color w:val="auto"/>
        </w:rPr>
      </w:pPr>
      <w:r>
        <w:rPr>
          <w:color w:val="auto"/>
        </w:rPr>
        <w:br w:type="page"/>
      </w:r>
    </w:p>
    <w:p>
      <w:pPr>
        <w:pStyle w:val="44"/>
        <w:spacing w:line="500" w:lineRule="exact"/>
        <w:rPr>
          <w:rFonts w:ascii="黑体" w:hAnsi="黑体" w:eastAsia="黑体"/>
          <w:b w:val="0"/>
          <w:color w:val="auto"/>
        </w:rPr>
      </w:pPr>
      <w:bookmarkStart w:id="428" w:name="_Toc17248"/>
      <w:bookmarkStart w:id="429" w:name="_Toc28832"/>
      <w:bookmarkStart w:id="430" w:name="_Toc19912"/>
      <w:bookmarkStart w:id="431" w:name="_Toc30940"/>
      <w:r>
        <w:rPr>
          <w:rStyle w:val="45"/>
          <w:rFonts w:hint="eastAsia" w:ascii="黑体" w:hAnsi="黑体" w:eastAsia="黑体"/>
          <w:b w:val="0"/>
          <w:bCs w:val="0"/>
          <w:color w:val="auto"/>
          <w:sz w:val="32"/>
          <w:szCs w:val="40"/>
        </w:rPr>
        <w:t>第三部分  响应方案</w:t>
      </w:r>
      <w:bookmarkEnd w:id="425"/>
      <w:bookmarkEnd w:id="426"/>
      <w:bookmarkEnd w:id="427"/>
      <w:bookmarkEnd w:id="428"/>
      <w:bookmarkEnd w:id="429"/>
      <w:bookmarkEnd w:id="430"/>
      <w:bookmarkEnd w:id="431"/>
    </w:p>
    <w:p>
      <w:pPr>
        <w:pStyle w:val="44"/>
        <w:spacing w:before="190" w:beforeLines="50" w:after="190" w:afterLines="50" w:line="500" w:lineRule="exact"/>
        <w:jc w:val="both"/>
        <w:rPr>
          <w:rFonts w:hint="eastAsia" w:ascii="仿宋_GB2312" w:hAnsi="仿宋_GB2312" w:eastAsia="仿宋_GB2312" w:cs="仿宋_GB2312"/>
          <w:bCs w:val="0"/>
          <w:color w:val="auto"/>
          <w:sz w:val="28"/>
          <w:szCs w:val="28"/>
          <w:lang w:val="en-US" w:eastAsia="zh-CN"/>
        </w:rPr>
      </w:pPr>
      <w:bookmarkStart w:id="432" w:name="_Toc29975_WPSOffice_Level2"/>
      <w:bookmarkStart w:id="433" w:name="_Toc27817"/>
      <w:bookmarkStart w:id="434" w:name="_Toc15660_WPSOffice_Level2"/>
      <w:bookmarkStart w:id="435" w:name="_Toc11401"/>
      <w:bookmarkStart w:id="436" w:name="_Toc17062_WPSOffice_Level2"/>
      <w:bookmarkStart w:id="437" w:name="_Toc1481"/>
      <w:bookmarkStart w:id="438" w:name="_Toc9079"/>
      <w:bookmarkStart w:id="439" w:name="_Toc11555"/>
      <w:bookmarkStart w:id="440" w:name="_Toc9337_WPSOffice_Level2"/>
      <w:r>
        <w:rPr>
          <w:rFonts w:hint="eastAsia" w:ascii="仿宋_GB2312" w:hAnsi="仿宋_GB2312" w:eastAsia="仿宋_GB2312" w:cs="仿宋_GB2312"/>
          <w:bCs w:val="0"/>
          <w:color w:val="auto"/>
          <w:sz w:val="28"/>
          <w:szCs w:val="28"/>
        </w:rPr>
        <w:t>一、供应商</w:t>
      </w:r>
      <w:bookmarkEnd w:id="432"/>
      <w:bookmarkEnd w:id="433"/>
      <w:bookmarkEnd w:id="434"/>
      <w:bookmarkEnd w:id="435"/>
      <w:bookmarkEnd w:id="436"/>
      <w:bookmarkEnd w:id="437"/>
      <w:bookmarkEnd w:id="438"/>
      <w:bookmarkEnd w:id="439"/>
      <w:bookmarkEnd w:id="440"/>
      <w:r>
        <w:rPr>
          <w:rFonts w:hint="eastAsia" w:ascii="仿宋_GB2312" w:hAnsi="仿宋_GB2312" w:eastAsia="仿宋_GB2312" w:cs="仿宋_GB2312"/>
          <w:bCs w:val="0"/>
          <w:color w:val="auto"/>
          <w:sz w:val="28"/>
          <w:szCs w:val="28"/>
          <w:lang w:val="en-US" w:eastAsia="zh-CN"/>
        </w:rPr>
        <w:t>基本情况及其性质</w:t>
      </w:r>
    </w:p>
    <w:p>
      <w:pPr>
        <w:spacing w:line="500" w:lineRule="exact"/>
        <w:ind w:firstLine="566" w:firstLineChars="200"/>
        <w:rPr>
          <w:rFonts w:ascii="仿宋" w:hAnsi="仿宋" w:eastAsia="仿宋" w:cs="仿宋"/>
          <w:b/>
          <w:color w:val="auto"/>
          <w:sz w:val="28"/>
          <w:szCs w:val="28"/>
        </w:rPr>
      </w:pPr>
      <w:bookmarkStart w:id="441" w:name="_Toc27223_WPSOffice_Level3"/>
      <w:r>
        <w:rPr>
          <w:rFonts w:hint="eastAsia"/>
          <w:b/>
          <w:color w:val="auto"/>
          <w:sz w:val="28"/>
          <w:szCs w:val="28"/>
        </w:rPr>
        <w:t>（</w:t>
      </w:r>
      <w:r>
        <w:rPr>
          <w:b/>
          <w:color w:val="auto"/>
          <w:sz w:val="28"/>
          <w:szCs w:val="28"/>
        </w:rPr>
        <w:t>一</w:t>
      </w:r>
      <w:r>
        <w:rPr>
          <w:rFonts w:hint="eastAsia"/>
          <w:b/>
          <w:color w:val="auto"/>
          <w:sz w:val="28"/>
          <w:szCs w:val="28"/>
        </w:rPr>
        <w:t>）供应</w:t>
      </w:r>
      <w:r>
        <w:rPr>
          <w:b/>
          <w:color w:val="auto"/>
          <w:sz w:val="28"/>
          <w:szCs w:val="28"/>
        </w:rPr>
        <w:t>商基本信息</w:t>
      </w:r>
      <w:bookmarkEnd w:id="441"/>
    </w:p>
    <w:tbl>
      <w:tblPr>
        <w:tblStyle w:val="22"/>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239"/>
        <w:gridCol w:w="1770"/>
        <w:gridCol w:w="1395"/>
        <w:gridCol w:w="1692"/>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供应商全称</w:t>
            </w:r>
          </w:p>
        </w:tc>
        <w:tc>
          <w:tcPr>
            <w:tcW w:w="7494"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注册地址</w:t>
            </w:r>
          </w:p>
        </w:tc>
        <w:tc>
          <w:tcPr>
            <w:tcW w:w="3009" w:type="dxa"/>
            <w:gridSpan w:val="2"/>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成立时间</w:t>
            </w:r>
          </w:p>
        </w:tc>
        <w:tc>
          <w:tcPr>
            <w:tcW w:w="3090"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登记证号</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单位性质</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法定代表人</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(主要负责人)</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所属行业</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上年度</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营业收入</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资产总额</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基本存款账户</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开户银行</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账户账号</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联系电话</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邮箱</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所获得资质及等级(国家行政部门颁发)</w:t>
            </w:r>
          </w:p>
        </w:tc>
        <w:tc>
          <w:tcPr>
            <w:tcW w:w="7494"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经营范围</w:t>
            </w:r>
          </w:p>
        </w:tc>
        <w:tc>
          <w:tcPr>
            <w:tcW w:w="7494"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从业人员总数</w:t>
            </w:r>
          </w:p>
        </w:tc>
        <w:tc>
          <w:tcPr>
            <w:tcW w:w="1239" w:type="dxa"/>
            <w:vMerge w:val="restart"/>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管理人员数量</w:t>
            </w: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692"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专业技术</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人员数量</w:t>
            </w:r>
          </w:p>
        </w:tc>
        <w:tc>
          <w:tcPr>
            <w:tcW w:w="1398" w:type="dxa"/>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239" w:type="dxa"/>
            <w:vMerge w:val="continue"/>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残疾人人数</w:t>
            </w:r>
          </w:p>
        </w:tc>
        <w:tc>
          <w:tcPr>
            <w:tcW w:w="1395"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692"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少数民族人数</w:t>
            </w:r>
          </w:p>
        </w:tc>
        <w:tc>
          <w:tcPr>
            <w:tcW w:w="1398" w:type="dxa"/>
            <w:tcBorders>
              <w:bottom w:val="single" w:color="auto" w:sz="4"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w:t>
            </w:r>
          </w:p>
        </w:tc>
        <w:tc>
          <w:tcPr>
            <w:tcW w:w="7494" w:type="dxa"/>
            <w:gridSpan w:val="5"/>
            <w:tcBorders>
              <w:bottom w:val="single" w:color="auto" w:sz="12" w:space="0"/>
              <w:right w:val="single" w:color="auto" w:sz="12" w:space="0"/>
            </w:tcBorders>
            <w:vAlign w:val="center"/>
          </w:tcPr>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1、登记证号指营业执照/事业单位法人证书/专业服务机构执业许可证/民办非企业单位登记证书中的登记号。</w:t>
            </w:r>
          </w:p>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2、成立时间至提交响应文件截止时间不足一年的可不提供“上年度营业收入”。</w:t>
            </w:r>
          </w:p>
          <w:p>
            <w:pPr>
              <w:spacing w:line="320" w:lineRule="exact"/>
              <w:ind w:left="360" w:hanging="36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3、供应商应如实填写上述信息。</w:t>
            </w:r>
            <w:bookmarkStart w:id="442" w:name="■AcceptUnion_CH5_A■"/>
            <w:r>
              <w:rPr>
                <w:rFonts w:hint="eastAsia" w:ascii="仿宋_GB2312" w:hAnsi="仿宋_GB2312" w:eastAsia="仿宋_GB2312" w:cs="仿宋_GB2312"/>
                <w:color w:val="auto"/>
                <w:sz w:val="24"/>
                <w:szCs w:val="24"/>
              </w:rPr>
              <w:t>磋商文件允许联合体投标的，联合体各方均应提供。</w:t>
            </w:r>
            <w:bookmarkEnd w:id="442"/>
          </w:p>
        </w:tc>
      </w:tr>
    </w:tbl>
    <w:p>
      <w:pPr>
        <w:spacing w:line="500" w:lineRule="exact"/>
        <w:ind w:firstLine="566"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供应商其他情况</w:t>
      </w:r>
    </w:p>
    <w:p>
      <w:pPr>
        <w:tabs>
          <w:tab w:val="right" w:pos="8364"/>
        </w:tabs>
        <w:spacing w:line="500" w:lineRule="exact"/>
        <w:ind w:firstLine="566"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包括但不限于总公司分公司分布及经营状况、股权变更、管理制度、人员配备、用户评价、正在实施的项目，评优获奖等情况，以及供应商认为有利于成交的其他情况说明。</w:t>
      </w:r>
    </w:p>
    <w:p>
      <w:pPr>
        <w:spacing w:line="500" w:lineRule="exact"/>
        <w:ind w:firstLine="4811" w:firstLineChars="1700"/>
        <w:rPr>
          <w:rFonts w:hint="eastAsia"/>
          <w:b/>
          <w:color w:val="auto"/>
          <w:sz w:val="28"/>
          <w:szCs w:val="28"/>
        </w:rPr>
      </w:pPr>
      <w:r>
        <w:rPr>
          <w:rFonts w:hint="eastAsia"/>
          <w:b/>
          <w:color w:val="auto"/>
          <w:sz w:val="28"/>
          <w:szCs w:val="28"/>
        </w:rPr>
        <w:br w:type="page"/>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二、技术服务方案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参照磋商文件第二章《组织评审》各条款的要求，结合第三章《磋商内容及采购要求》编制技术服务方案。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一</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所报产品详细介绍（品牌、型号、功能、</w:t>
      </w:r>
      <w:r>
        <w:rPr>
          <w:rFonts w:hint="eastAsia" w:ascii="仿宋_GB2312" w:hAnsi="仿宋_GB2312" w:eastAsia="仿宋_GB2312" w:cs="仿宋_GB2312"/>
          <w:color w:val="auto"/>
          <w:highlight w:val="none"/>
        </w:rPr>
        <w:t>技术参数</w:t>
      </w:r>
      <w:r>
        <w:rPr>
          <w:rFonts w:hint="eastAsia" w:ascii="仿宋_GB2312" w:hAnsi="仿宋_GB2312" w:eastAsia="仿宋_GB2312" w:cs="仿宋_GB2312"/>
          <w:color w:val="auto"/>
          <w:highlight w:val="none"/>
          <w:lang w:val="en-US" w:eastAsia="zh-CN"/>
        </w:rPr>
        <w:t>等</w:t>
      </w:r>
      <w:r>
        <w:rPr>
          <w:rFonts w:hint="eastAsia" w:ascii="仿宋_GB2312" w:hAnsi="仿宋_GB2312" w:eastAsia="仿宋_GB2312" w:cs="仿宋_GB2312"/>
          <w:bCs/>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kern w:val="2"/>
          <w:sz w:val="28"/>
          <w:szCs w:val="28"/>
          <w:highlight w:val="none"/>
          <w:lang w:val="en-US" w:eastAsia="zh-CN" w:bidi="ar-SA"/>
        </w:rPr>
        <w:t>来源渠道</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color w:val="auto"/>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三</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实施方案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四</w:t>
      </w:r>
      <w:r>
        <w:rPr>
          <w:rFonts w:hint="eastAsia" w:ascii="仿宋_GB2312" w:hAnsi="仿宋_GB2312" w:eastAsia="仿宋_GB2312" w:cs="仿宋_GB2312"/>
          <w:bCs/>
          <w:color w:val="auto"/>
          <w:sz w:val="28"/>
          <w:szCs w:val="28"/>
          <w:highlight w:val="none"/>
          <w:lang w:eastAsia="zh-CN"/>
        </w:rPr>
        <w:t>）业绩</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五</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售后</w:t>
      </w:r>
      <w:r>
        <w:rPr>
          <w:rFonts w:hint="eastAsia" w:ascii="仿宋_GB2312" w:hAnsi="仿宋_GB2312" w:eastAsia="仿宋_GB2312" w:cs="仿宋_GB2312"/>
          <w:bCs/>
          <w:color w:val="auto"/>
          <w:sz w:val="28"/>
          <w:szCs w:val="28"/>
          <w:highlight w:val="none"/>
          <w:lang w:eastAsia="zh-CN"/>
        </w:rPr>
        <w:t>服务</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（六）</w:t>
      </w:r>
      <w:r>
        <w:rPr>
          <w:rFonts w:hint="eastAsia" w:ascii="仿宋_GB2312" w:hAnsi="仿宋_GB2312" w:eastAsia="仿宋_GB2312" w:cs="仿宋_GB2312"/>
          <w:bCs/>
          <w:color w:val="auto"/>
          <w:kern w:val="2"/>
          <w:sz w:val="28"/>
          <w:szCs w:val="28"/>
          <w:highlight w:val="none"/>
          <w:lang w:val="en-US" w:eastAsia="zh-CN" w:bidi="ar-SA"/>
        </w:rPr>
        <w:t>其他有必要说明的内容</w:t>
      </w:r>
    </w:p>
    <w:p>
      <w:pPr>
        <w:rPr>
          <w:color w:val="auto"/>
        </w:rPr>
      </w:pPr>
    </w:p>
    <w:p>
      <w:pPr>
        <w:rPr>
          <w:color w:val="auto"/>
        </w:rPr>
      </w:pPr>
    </w:p>
    <w:p>
      <w:pPr>
        <w:rPr>
          <w:color w:val="auto"/>
        </w:rPr>
      </w:pPr>
    </w:p>
    <w:p>
      <w:pPr>
        <w:rPr>
          <w:color w:val="auto"/>
        </w:rPr>
      </w:pPr>
      <w:r>
        <w:rPr>
          <w:color w:val="auto"/>
        </w:rPr>
        <w:br w:type="page"/>
      </w:r>
    </w:p>
    <w:p>
      <w:pPr>
        <w:tabs>
          <w:tab w:val="right" w:pos="9070"/>
        </w:tabs>
        <w:spacing w:line="500" w:lineRule="exact"/>
        <w:rPr>
          <w:rFonts w:ascii="仿宋" w:hAnsi="仿宋" w:eastAsia="仿宋"/>
          <w:bCs/>
          <w:color w:val="auto"/>
          <w:sz w:val="28"/>
          <w:szCs w:val="28"/>
        </w:rPr>
      </w:pPr>
      <w:r>
        <w:rPr>
          <w:rFonts w:hint="eastAsia" w:ascii="仿宋" w:hAnsi="仿宋" w:eastAsia="仿宋"/>
          <w:b/>
          <w:color w:val="auto"/>
          <w:sz w:val="28"/>
          <w:szCs w:val="28"/>
        </w:rPr>
        <w:t>三、参考样表</w:t>
      </w:r>
    </w:p>
    <w:p>
      <w:pPr>
        <w:spacing w:line="500" w:lineRule="exact"/>
        <w:ind w:firstLine="566"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（一）履约进度计划表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98"/>
        <w:gridCol w:w="3095"/>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序号</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拟定时间安排</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计划完成的工作内容</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拟定  年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签订</w:t>
            </w:r>
            <w:r>
              <w:rPr>
                <w:rFonts w:hint="eastAsia" w:ascii="仿宋_GB2312" w:hAnsi="仿宋_GB2312" w:eastAsia="仿宋_GB2312" w:cs="仿宋_GB2312"/>
                <w:color w:val="auto"/>
                <w:sz w:val="28"/>
                <w:szCs w:val="28"/>
              </w:rPr>
              <w:t>合同并生效</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质保期</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bl>
    <w:p>
      <w:pPr>
        <w:spacing w:line="500" w:lineRule="exact"/>
        <w:ind w:firstLine="566"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业绩合同样表</w:t>
      </w:r>
    </w:p>
    <w:tbl>
      <w:tblPr>
        <w:tblStyle w:val="22"/>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027"/>
        <w:gridCol w:w="1592"/>
        <w:gridCol w:w="237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20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采购单位名称</w:t>
            </w:r>
          </w:p>
        </w:tc>
        <w:tc>
          <w:tcPr>
            <w:tcW w:w="15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合同名称</w:t>
            </w:r>
          </w:p>
        </w:tc>
        <w:tc>
          <w:tcPr>
            <w:tcW w:w="237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合同起止时间</w:t>
            </w:r>
          </w:p>
        </w:tc>
        <w:tc>
          <w:tcPr>
            <w:tcW w:w="19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3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数量合计（个）</w:t>
            </w:r>
            <w:r>
              <w:rPr>
                <w:rFonts w:hint="eastAsia" w:ascii="仿宋_GB2312" w:hAnsi="仿宋_GB2312" w:eastAsia="仿宋_GB2312" w:cs="仿宋_GB2312"/>
                <w:color w:val="auto"/>
                <w:sz w:val="28"/>
                <w:szCs w:val="28"/>
              </w:rPr>
              <w:t>：</w:t>
            </w:r>
          </w:p>
        </w:tc>
      </w:tr>
    </w:tbl>
    <w:p>
      <w:pPr>
        <w:tabs>
          <w:tab w:val="right" w:pos="9070"/>
        </w:tabs>
        <w:snapToGrid w:val="0"/>
        <w:spacing w:line="240" w:lineRule="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rPr>
        <w:t xml:space="preserve">    注：</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后附20</w:t>
      </w: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年1月1日以来同类项目合同复印件加盖响应人公章（以合同签订日期为准）</w:t>
      </w:r>
      <w:r>
        <w:rPr>
          <w:rFonts w:hint="eastAsia" w:ascii="仿宋_GB2312" w:hAnsi="仿宋_GB2312" w:eastAsia="仿宋_GB2312" w:cs="仿宋_GB2312"/>
          <w:bCs/>
          <w:color w:val="auto"/>
          <w:sz w:val="28"/>
          <w:szCs w:val="28"/>
          <w:lang w:val="en-US" w:eastAsia="zh-CN"/>
        </w:rPr>
        <w:t>2、视情况，此表一并随《成交结果》公示。</w:t>
      </w:r>
    </w:p>
    <w:p>
      <w:pPr>
        <w:tabs>
          <w:tab w:val="right" w:pos="9070"/>
        </w:tabs>
        <w:snapToGrid w:val="0"/>
        <w:spacing w:line="500" w:lineRule="exact"/>
        <w:ind w:left="566" w:left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）项目团队样表</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1、项目团队情况概述</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概述内容包括但不限于为本项目提供服务的团队整体情况、团队负责人、联系人基本情况、背景、能力介绍等，具体内容自行编制。</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2、项目团队人员清单</w:t>
      </w:r>
    </w:p>
    <w:tbl>
      <w:tblPr>
        <w:tblStyle w:val="22"/>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1023"/>
        <w:gridCol w:w="1968"/>
        <w:gridCol w:w="1672"/>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l2br w:val="nil"/>
              <w:tr2bl w:val="nil"/>
            </w:tcBorders>
            <w:vAlign w:val="center"/>
          </w:tcPr>
          <w:p>
            <w:pPr>
              <w:keepNext w:val="0"/>
              <w:keepLines w:val="0"/>
              <w:pageBreakBefore w:val="0"/>
              <w:tabs>
                <w:tab w:val="right" w:pos="9070"/>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7"/>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本项目</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8051" w:type="dxa"/>
            <w:gridSpan w:val="6"/>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表格空间不足时请自行扩展。</w:t>
            </w:r>
          </w:p>
        </w:tc>
      </w:tr>
    </w:tbl>
    <w:p>
      <w:pPr>
        <w:pStyle w:val="9"/>
        <w:rPr>
          <w:color w:val="auto"/>
        </w:rPr>
      </w:pPr>
    </w:p>
    <w:sectPr>
      <w:footerReference r:id="rId11" w:type="first"/>
      <w:headerReference r:id="rId9" w:type="default"/>
      <w:footerReference r:id="rId10" w:type="default"/>
      <w:pgSz w:w="11906" w:h="16838"/>
      <w:pgMar w:top="1417" w:right="1417" w:bottom="1417" w:left="1417" w:header="850" w:footer="992" w:gutter="0"/>
      <w:pgBorders>
        <w:top w:val="none" w:sz="0" w:space="0"/>
        <w:left w:val="none" w:sz="0" w:space="0"/>
        <w:bottom w:val="none" w:sz="0" w:space="0"/>
        <w:right w:val="none" w:sz="0" w:space="0"/>
      </w:pgBorders>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jc w:val="center"/>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36"/>
        <w:tab w:val="right" w:pos="10489"/>
        <w:tab w:val="clear" w:pos="4153"/>
        <w:tab w:val="clear" w:pos="8306"/>
      </w:tabs>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72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72 </w:t>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72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72 </w:t>
                    </w:r>
                    <w:r>
                      <w:rPr>
                        <w:rFonts w:hint="eastAsia"/>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pPr>
    <w:r>
      <w:rPr>
        <w:rFonts w:hint="eastAsia" w:ascii="宋体" w:hAnsi="宋体" w:eastAsia="宋体"/>
      </w:rPr>
      <w:t>西安市市级单位政府采购中心第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hint="eastAsia" w:ascii="宋体" w:hAnsi="宋体" w:eastAsia="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ascii="宋体" w:hAnsi="宋体" w:eastAsia="宋体" w:cs="华文仿宋"/>
        <w:lang w:val="en-US" w:eastAsia="zh-CN"/>
      </w:rPr>
      <w:t>汉中市政府采购中心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eastAsia="宋体"/>
        <w:sz w:val="21"/>
        <w:szCs w:val="21"/>
        <w:lang w:val="en-US" w:eastAsia="zh-CN"/>
      </w:rPr>
    </w:pPr>
    <w:r>
      <w:rPr>
        <w:rFonts w:hint="eastAsia" w:ascii="宋体" w:hAnsi="宋体" w:eastAsia="宋体" w:cs="华文仿宋"/>
        <w:lang w:val="en-US" w:eastAsia="zh-CN"/>
      </w:rPr>
      <w:t>汉中市政府采购中心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A63B9"/>
    <w:multiLevelType w:val="singleLevel"/>
    <w:tmpl w:val="D7BA63B9"/>
    <w:lvl w:ilvl="0" w:tentative="0">
      <w:start w:val="1"/>
      <w:numFmt w:val="chineseCounting"/>
      <w:suff w:val="space"/>
      <w:lvlText w:val="第%1章"/>
      <w:lvlJc w:val="left"/>
      <w:rPr>
        <w:rFonts w:hint="eastAsia"/>
      </w:rPr>
    </w:lvl>
  </w:abstractNum>
  <w:abstractNum w:abstractNumId="1">
    <w:nsid w:val="0053208E"/>
    <w:multiLevelType w:val="singleLevel"/>
    <w:tmpl w:val="0053208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EwYTliYzRhYmI5YjgwYWI5N2JkYzNiMjBlOTkifQ=="/>
  </w:docVars>
  <w:rsids>
    <w:rsidRoot w:val="15DB7622"/>
    <w:rsid w:val="0007204D"/>
    <w:rsid w:val="00294CF0"/>
    <w:rsid w:val="002B30BD"/>
    <w:rsid w:val="00331341"/>
    <w:rsid w:val="00340C6A"/>
    <w:rsid w:val="0038572B"/>
    <w:rsid w:val="003917EE"/>
    <w:rsid w:val="003E41D4"/>
    <w:rsid w:val="004D68F8"/>
    <w:rsid w:val="004F3FD4"/>
    <w:rsid w:val="007378C6"/>
    <w:rsid w:val="007A39DA"/>
    <w:rsid w:val="00934F0E"/>
    <w:rsid w:val="009716B8"/>
    <w:rsid w:val="00975546"/>
    <w:rsid w:val="00BA4780"/>
    <w:rsid w:val="00D54DC4"/>
    <w:rsid w:val="00DA0F8E"/>
    <w:rsid w:val="00EF498E"/>
    <w:rsid w:val="00F058FE"/>
    <w:rsid w:val="010518F0"/>
    <w:rsid w:val="015A5870"/>
    <w:rsid w:val="015C7263"/>
    <w:rsid w:val="015D1C6F"/>
    <w:rsid w:val="016439CE"/>
    <w:rsid w:val="01684E01"/>
    <w:rsid w:val="01903397"/>
    <w:rsid w:val="01A050EF"/>
    <w:rsid w:val="01BD7E6C"/>
    <w:rsid w:val="01C82D28"/>
    <w:rsid w:val="01CD6A8A"/>
    <w:rsid w:val="01CE3474"/>
    <w:rsid w:val="01D515BB"/>
    <w:rsid w:val="01FA3AC8"/>
    <w:rsid w:val="0204742C"/>
    <w:rsid w:val="02277B34"/>
    <w:rsid w:val="02343D5B"/>
    <w:rsid w:val="023E3EED"/>
    <w:rsid w:val="02557B87"/>
    <w:rsid w:val="025A0286"/>
    <w:rsid w:val="02891DCB"/>
    <w:rsid w:val="02BA36FE"/>
    <w:rsid w:val="02BD0EE2"/>
    <w:rsid w:val="02C11391"/>
    <w:rsid w:val="02C4205E"/>
    <w:rsid w:val="02D15085"/>
    <w:rsid w:val="02E307E4"/>
    <w:rsid w:val="02FC284D"/>
    <w:rsid w:val="032A6C20"/>
    <w:rsid w:val="03427B4F"/>
    <w:rsid w:val="03460878"/>
    <w:rsid w:val="034B3DA3"/>
    <w:rsid w:val="03526AB2"/>
    <w:rsid w:val="03531D00"/>
    <w:rsid w:val="036C3D74"/>
    <w:rsid w:val="036E21FF"/>
    <w:rsid w:val="037E48A2"/>
    <w:rsid w:val="0387207F"/>
    <w:rsid w:val="039F5F7A"/>
    <w:rsid w:val="03A7685B"/>
    <w:rsid w:val="03B2157C"/>
    <w:rsid w:val="03BD2FA8"/>
    <w:rsid w:val="03D43FC2"/>
    <w:rsid w:val="03E823D6"/>
    <w:rsid w:val="03EC3438"/>
    <w:rsid w:val="03EF1CB8"/>
    <w:rsid w:val="03F22485"/>
    <w:rsid w:val="0426080F"/>
    <w:rsid w:val="044762AA"/>
    <w:rsid w:val="045F127B"/>
    <w:rsid w:val="0467205E"/>
    <w:rsid w:val="046E5030"/>
    <w:rsid w:val="047F7D42"/>
    <w:rsid w:val="0489653F"/>
    <w:rsid w:val="048A6B28"/>
    <w:rsid w:val="04981D44"/>
    <w:rsid w:val="049F3DB3"/>
    <w:rsid w:val="04A04E7B"/>
    <w:rsid w:val="04A56CCB"/>
    <w:rsid w:val="04B01582"/>
    <w:rsid w:val="04C17D44"/>
    <w:rsid w:val="04C57B89"/>
    <w:rsid w:val="05016CE4"/>
    <w:rsid w:val="050E718A"/>
    <w:rsid w:val="05210E5D"/>
    <w:rsid w:val="05214B13"/>
    <w:rsid w:val="055F2FF6"/>
    <w:rsid w:val="0562110C"/>
    <w:rsid w:val="05686454"/>
    <w:rsid w:val="057139B6"/>
    <w:rsid w:val="057754F2"/>
    <w:rsid w:val="05A35D71"/>
    <w:rsid w:val="05B065AB"/>
    <w:rsid w:val="05D17456"/>
    <w:rsid w:val="062335AF"/>
    <w:rsid w:val="06243474"/>
    <w:rsid w:val="0637726D"/>
    <w:rsid w:val="06410743"/>
    <w:rsid w:val="064B18B7"/>
    <w:rsid w:val="064E03A2"/>
    <w:rsid w:val="068157BD"/>
    <w:rsid w:val="06843B5A"/>
    <w:rsid w:val="06B51EAB"/>
    <w:rsid w:val="06C17517"/>
    <w:rsid w:val="07195343"/>
    <w:rsid w:val="07254389"/>
    <w:rsid w:val="07280963"/>
    <w:rsid w:val="073843F7"/>
    <w:rsid w:val="074E0A56"/>
    <w:rsid w:val="076C6CA2"/>
    <w:rsid w:val="076D5CE6"/>
    <w:rsid w:val="078508C6"/>
    <w:rsid w:val="07C66F31"/>
    <w:rsid w:val="07C92D47"/>
    <w:rsid w:val="07CA4DE5"/>
    <w:rsid w:val="07DB28A2"/>
    <w:rsid w:val="07E020CE"/>
    <w:rsid w:val="07EA4D10"/>
    <w:rsid w:val="08097B10"/>
    <w:rsid w:val="080F1B46"/>
    <w:rsid w:val="0813234A"/>
    <w:rsid w:val="08211FD1"/>
    <w:rsid w:val="08243795"/>
    <w:rsid w:val="083537ED"/>
    <w:rsid w:val="083C734E"/>
    <w:rsid w:val="083F4CD5"/>
    <w:rsid w:val="08417A7B"/>
    <w:rsid w:val="085F77E6"/>
    <w:rsid w:val="086E5C87"/>
    <w:rsid w:val="08707E21"/>
    <w:rsid w:val="08712B08"/>
    <w:rsid w:val="08763D9D"/>
    <w:rsid w:val="088F579F"/>
    <w:rsid w:val="089366B6"/>
    <w:rsid w:val="08955C70"/>
    <w:rsid w:val="08970F3A"/>
    <w:rsid w:val="08976949"/>
    <w:rsid w:val="08A10645"/>
    <w:rsid w:val="08AA7F56"/>
    <w:rsid w:val="08AC12A9"/>
    <w:rsid w:val="08BA2649"/>
    <w:rsid w:val="08C85A1D"/>
    <w:rsid w:val="08D06A36"/>
    <w:rsid w:val="08D8683B"/>
    <w:rsid w:val="08DC0FE3"/>
    <w:rsid w:val="08E24872"/>
    <w:rsid w:val="08EF588E"/>
    <w:rsid w:val="08F6330D"/>
    <w:rsid w:val="090C54BA"/>
    <w:rsid w:val="092F16EE"/>
    <w:rsid w:val="09555E20"/>
    <w:rsid w:val="096F7367"/>
    <w:rsid w:val="097F6C5F"/>
    <w:rsid w:val="098900BC"/>
    <w:rsid w:val="09921B5C"/>
    <w:rsid w:val="099F1A4B"/>
    <w:rsid w:val="09A44801"/>
    <w:rsid w:val="09E319B7"/>
    <w:rsid w:val="09ED721B"/>
    <w:rsid w:val="0A16231D"/>
    <w:rsid w:val="0A394E5E"/>
    <w:rsid w:val="0A4214E6"/>
    <w:rsid w:val="0A622F41"/>
    <w:rsid w:val="0A7A446C"/>
    <w:rsid w:val="0A7D5CED"/>
    <w:rsid w:val="0A7F7130"/>
    <w:rsid w:val="0A870BFA"/>
    <w:rsid w:val="0A9B2547"/>
    <w:rsid w:val="0AF11BC9"/>
    <w:rsid w:val="0AF305A4"/>
    <w:rsid w:val="0AFB176D"/>
    <w:rsid w:val="0B0B31B3"/>
    <w:rsid w:val="0B144A64"/>
    <w:rsid w:val="0B1C7012"/>
    <w:rsid w:val="0B240833"/>
    <w:rsid w:val="0B3031ED"/>
    <w:rsid w:val="0B354EB2"/>
    <w:rsid w:val="0B373F04"/>
    <w:rsid w:val="0B3F0F07"/>
    <w:rsid w:val="0B4C17B5"/>
    <w:rsid w:val="0B5155F7"/>
    <w:rsid w:val="0B6901C4"/>
    <w:rsid w:val="0B692F04"/>
    <w:rsid w:val="0B6A096C"/>
    <w:rsid w:val="0B6D6042"/>
    <w:rsid w:val="0B710869"/>
    <w:rsid w:val="0B721EFB"/>
    <w:rsid w:val="0B8556F0"/>
    <w:rsid w:val="0B894B9F"/>
    <w:rsid w:val="0B8E23DB"/>
    <w:rsid w:val="0B9C58ED"/>
    <w:rsid w:val="0BC4039D"/>
    <w:rsid w:val="0BD065D0"/>
    <w:rsid w:val="0BD14F4E"/>
    <w:rsid w:val="0BDF2684"/>
    <w:rsid w:val="0BDF30E8"/>
    <w:rsid w:val="0BDF5D7D"/>
    <w:rsid w:val="0BE60A01"/>
    <w:rsid w:val="0BEC43AB"/>
    <w:rsid w:val="0C182E69"/>
    <w:rsid w:val="0C1D529F"/>
    <w:rsid w:val="0C1E1870"/>
    <w:rsid w:val="0C325E86"/>
    <w:rsid w:val="0C424E69"/>
    <w:rsid w:val="0C5D7BD6"/>
    <w:rsid w:val="0C620A1C"/>
    <w:rsid w:val="0C7C7D5B"/>
    <w:rsid w:val="0C8E6CD7"/>
    <w:rsid w:val="0CBE1B9E"/>
    <w:rsid w:val="0CC20327"/>
    <w:rsid w:val="0CC24884"/>
    <w:rsid w:val="0CE86762"/>
    <w:rsid w:val="0CEC4544"/>
    <w:rsid w:val="0D085996"/>
    <w:rsid w:val="0D256266"/>
    <w:rsid w:val="0D6E60A1"/>
    <w:rsid w:val="0D9171AE"/>
    <w:rsid w:val="0D9A1169"/>
    <w:rsid w:val="0DA9338A"/>
    <w:rsid w:val="0DE037BA"/>
    <w:rsid w:val="0DE85E53"/>
    <w:rsid w:val="0E0E4861"/>
    <w:rsid w:val="0E132C75"/>
    <w:rsid w:val="0E2E2A82"/>
    <w:rsid w:val="0E550C71"/>
    <w:rsid w:val="0E5F01E5"/>
    <w:rsid w:val="0E8363B6"/>
    <w:rsid w:val="0EB253C1"/>
    <w:rsid w:val="0EB957D3"/>
    <w:rsid w:val="0ECE1CDE"/>
    <w:rsid w:val="0ECF35E0"/>
    <w:rsid w:val="0EDB7766"/>
    <w:rsid w:val="0EED3D24"/>
    <w:rsid w:val="0EFE3455"/>
    <w:rsid w:val="0F1B578D"/>
    <w:rsid w:val="0F1D03EF"/>
    <w:rsid w:val="0F3533CF"/>
    <w:rsid w:val="0F461A45"/>
    <w:rsid w:val="0F684453"/>
    <w:rsid w:val="0F7165DD"/>
    <w:rsid w:val="0F8A6E5B"/>
    <w:rsid w:val="0F8B2DA9"/>
    <w:rsid w:val="0FB15E33"/>
    <w:rsid w:val="0FDA797C"/>
    <w:rsid w:val="0FE75496"/>
    <w:rsid w:val="0FF86D48"/>
    <w:rsid w:val="100C563E"/>
    <w:rsid w:val="10292C44"/>
    <w:rsid w:val="104430E9"/>
    <w:rsid w:val="104A4BA3"/>
    <w:rsid w:val="10841837"/>
    <w:rsid w:val="10883FD1"/>
    <w:rsid w:val="109A142C"/>
    <w:rsid w:val="109F5877"/>
    <w:rsid w:val="10BB57F6"/>
    <w:rsid w:val="10BC00C6"/>
    <w:rsid w:val="10C9398C"/>
    <w:rsid w:val="10E13394"/>
    <w:rsid w:val="10FD2B76"/>
    <w:rsid w:val="110C102F"/>
    <w:rsid w:val="11181B40"/>
    <w:rsid w:val="114A462A"/>
    <w:rsid w:val="1169081A"/>
    <w:rsid w:val="118249C0"/>
    <w:rsid w:val="11B03DAF"/>
    <w:rsid w:val="11DE655A"/>
    <w:rsid w:val="12303C06"/>
    <w:rsid w:val="123E6579"/>
    <w:rsid w:val="12421048"/>
    <w:rsid w:val="124E27C4"/>
    <w:rsid w:val="125C0391"/>
    <w:rsid w:val="126B7053"/>
    <w:rsid w:val="126F2075"/>
    <w:rsid w:val="128D6FC9"/>
    <w:rsid w:val="12950F85"/>
    <w:rsid w:val="12960862"/>
    <w:rsid w:val="12A04BDA"/>
    <w:rsid w:val="12A86650"/>
    <w:rsid w:val="12BB71B7"/>
    <w:rsid w:val="12E51257"/>
    <w:rsid w:val="12F57C06"/>
    <w:rsid w:val="12FD6D66"/>
    <w:rsid w:val="12FF18AF"/>
    <w:rsid w:val="131953F9"/>
    <w:rsid w:val="13310D86"/>
    <w:rsid w:val="134C233A"/>
    <w:rsid w:val="136F7A26"/>
    <w:rsid w:val="137B051A"/>
    <w:rsid w:val="138222F2"/>
    <w:rsid w:val="13837718"/>
    <w:rsid w:val="138C0895"/>
    <w:rsid w:val="138D048A"/>
    <w:rsid w:val="13900013"/>
    <w:rsid w:val="13931510"/>
    <w:rsid w:val="13A11597"/>
    <w:rsid w:val="13AE09B3"/>
    <w:rsid w:val="13C31130"/>
    <w:rsid w:val="13C40C8F"/>
    <w:rsid w:val="13C85D12"/>
    <w:rsid w:val="13C937D6"/>
    <w:rsid w:val="13E737B7"/>
    <w:rsid w:val="13EE393F"/>
    <w:rsid w:val="1402440B"/>
    <w:rsid w:val="1408673E"/>
    <w:rsid w:val="140E39DD"/>
    <w:rsid w:val="141C207A"/>
    <w:rsid w:val="142D54E1"/>
    <w:rsid w:val="14336CEA"/>
    <w:rsid w:val="14341855"/>
    <w:rsid w:val="14373691"/>
    <w:rsid w:val="14477D16"/>
    <w:rsid w:val="144B4426"/>
    <w:rsid w:val="14503183"/>
    <w:rsid w:val="14633F0B"/>
    <w:rsid w:val="14743D20"/>
    <w:rsid w:val="14774D9D"/>
    <w:rsid w:val="14817EA1"/>
    <w:rsid w:val="148D32B1"/>
    <w:rsid w:val="1493627B"/>
    <w:rsid w:val="14A539EC"/>
    <w:rsid w:val="14DA45EC"/>
    <w:rsid w:val="14E56F92"/>
    <w:rsid w:val="14F33389"/>
    <w:rsid w:val="14FB602E"/>
    <w:rsid w:val="150E3E9E"/>
    <w:rsid w:val="151F1ED6"/>
    <w:rsid w:val="1564126D"/>
    <w:rsid w:val="15645D6E"/>
    <w:rsid w:val="157F0489"/>
    <w:rsid w:val="15A614D9"/>
    <w:rsid w:val="15CA6D94"/>
    <w:rsid w:val="15D226A2"/>
    <w:rsid w:val="15DB7622"/>
    <w:rsid w:val="162271CE"/>
    <w:rsid w:val="163D2276"/>
    <w:rsid w:val="1646616E"/>
    <w:rsid w:val="164B7078"/>
    <w:rsid w:val="16545E33"/>
    <w:rsid w:val="16961986"/>
    <w:rsid w:val="16984A31"/>
    <w:rsid w:val="169F72CB"/>
    <w:rsid w:val="16A724A2"/>
    <w:rsid w:val="16DF64BF"/>
    <w:rsid w:val="16E25B8A"/>
    <w:rsid w:val="16FF6F24"/>
    <w:rsid w:val="170555E3"/>
    <w:rsid w:val="172547B0"/>
    <w:rsid w:val="17562AFA"/>
    <w:rsid w:val="178701A0"/>
    <w:rsid w:val="178D3B42"/>
    <w:rsid w:val="17CD1BB2"/>
    <w:rsid w:val="17EB105E"/>
    <w:rsid w:val="17F54509"/>
    <w:rsid w:val="180D61E0"/>
    <w:rsid w:val="181417AB"/>
    <w:rsid w:val="18460FF6"/>
    <w:rsid w:val="184B4224"/>
    <w:rsid w:val="184F21B3"/>
    <w:rsid w:val="186516AB"/>
    <w:rsid w:val="186802BC"/>
    <w:rsid w:val="18864D3A"/>
    <w:rsid w:val="189A4C02"/>
    <w:rsid w:val="18A626E9"/>
    <w:rsid w:val="18A74FE1"/>
    <w:rsid w:val="18A90755"/>
    <w:rsid w:val="18B77BA2"/>
    <w:rsid w:val="18BA17D8"/>
    <w:rsid w:val="18C835DC"/>
    <w:rsid w:val="18CB4DD4"/>
    <w:rsid w:val="18D41CCF"/>
    <w:rsid w:val="18E1122A"/>
    <w:rsid w:val="190A1374"/>
    <w:rsid w:val="19192C89"/>
    <w:rsid w:val="19364865"/>
    <w:rsid w:val="19392B48"/>
    <w:rsid w:val="195E4D01"/>
    <w:rsid w:val="19961403"/>
    <w:rsid w:val="19A07745"/>
    <w:rsid w:val="19B25FC3"/>
    <w:rsid w:val="19BF282D"/>
    <w:rsid w:val="19C0263E"/>
    <w:rsid w:val="19CD08FA"/>
    <w:rsid w:val="19D22C3D"/>
    <w:rsid w:val="19F0518E"/>
    <w:rsid w:val="1A0D68EB"/>
    <w:rsid w:val="1A2B68D6"/>
    <w:rsid w:val="1A50307B"/>
    <w:rsid w:val="1A7D7923"/>
    <w:rsid w:val="1A810701"/>
    <w:rsid w:val="1A9D590B"/>
    <w:rsid w:val="1AA441E5"/>
    <w:rsid w:val="1AC85D1B"/>
    <w:rsid w:val="1ACC5E1B"/>
    <w:rsid w:val="1AD304B8"/>
    <w:rsid w:val="1AD532A6"/>
    <w:rsid w:val="1AE006FC"/>
    <w:rsid w:val="1AE21AC3"/>
    <w:rsid w:val="1AFF05E0"/>
    <w:rsid w:val="1B0374CB"/>
    <w:rsid w:val="1B1021D6"/>
    <w:rsid w:val="1B2E0D2F"/>
    <w:rsid w:val="1B34316D"/>
    <w:rsid w:val="1B3C49CA"/>
    <w:rsid w:val="1B4771C2"/>
    <w:rsid w:val="1B7D49F7"/>
    <w:rsid w:val="1B8E56AB"/>
    <w:rsid w:val="1BA80A6F"/>
    <w:rsid w:val="1BB14E66"/>
    <w:rsid w:val="1BE04391"/>
    <w:rsid w:val="1BE31C2B"/>
    <w:rsid w:val="1BF8652E"/>
    <w:rsid w:val="1C2E65C9"/>
    <w:rsid w:val="1C2F716F"/>
    <w:rsid w:val="1C3E54EB"/>
    <w:rsid w:val="1C3F3D72"/>
    <w:rsid w:val="1C552039"/>
    <w:rsid w:val="1C796C6B"/>
    <w:rsid w:val="1C8A3C5A"/>
    <w:rsid w:val="1C8F7303"/>
    <w:rsid w:val="1C901B90"/>
    <w:rsid w:val="1C967A89"/>
    <w:rsid w:val="1CAE291B"/>
    <w:rsid w:val="1CC21924"/>
    <w:rsid w:val="1CD15C79"/>
    <w:rsid w:val="1CF458DE"/>
    <w:rsid w:val="1D1B4F27"/>
    <w:rsid w:val="1D20081E"/>
    <w:rsid w:val="1D335514"/>
    <w:rsid w:val="1D356CC0"/>
    <w:rsid w:val="1D501181"/>
    <w:rsid w:val="1D8343E7"/>
    <w:rsid w:val="1D992236"/>
    <w:rsid w:val="1DA51267"/>
    <w:rsid w:val="1DC27599"/>
    <w:rsid w:val="1DE42258"/>
    <w:rsid w:val="1DF82208"/>
    <w:rsid w:val="1DFB27F1"/>
    <w:rsid w:val="1E150EE3"/>
    <w:rsid w:val="1E3C4FCE"/>
    <w:rsid w:val="1E5A2132"/>
    <w:rsid w:val="1E776749"/>
    <w:rsid w:val="1E820D2A"/>
    <w:rsid w:val="1E8F1ECA"/>
    <w:rsid w:val="1E9546A5"/>
    <w:rsid w:val="1E9B1F5F"/>
    <w:rsid w:val="1EA37146"/>
    <w:rsid w:val="1EAB1ADB"/>
    <w:rsid w:val="1EAC4085"/>
    <w:rsid w:val="1EBF5830"/>
    <w:rsid w:val="1EC645BF"/>
    <w:rsid w:val="1EC67C8F"/>
    <w:rsid w:val="1ED8574D"/>
    <w:rsid w:val="1EDC1A7B"/>
    <w:rsid w:val="1EDD7FA9"/>
    <w:rsid w:val="1F0268BD"/>
    <w:rsid w:val="1F0F280A"/>
    <w:rsid w:val="1F1260D8"/>
    <w:rsid w:val="1F2422DF"/>
    <w:rsid w:val="1F2B2168"/>
    <w:rsid w:val="1F306773"/>
    <w:rsid w:val="1F321C14"/>
    <w:rsid w:val="1F346CA0"/>
    <w:rsid w:val="1F4C66FE"/>
    <w:rsid w:val="1F536EA5"/>
    <w:rsid w:val="1F77014D"/>
    <w:rsid w:val="1F827198"/>
    <w:rsid w:val="1F876088"/>
    <w:rsid w:val="1F925678"/>
    <w:rsid w:val="1F9F20EA"/>
    <w:rsid w:val="1FB20F28"/>
    <w:rsid w:val="1FB47EFC"/>
    <w:rsid w:val="1FD35342"/>
    <w:rsid w:val="1FDB5C4A"/>
    <w:rsid w:val="200705EA"/>
    <w:rsid w:val="203945B9"/>
    <w:rsid w:val="2042167B"/>
    <w:rsid w:val="20491DF1"/>
    <w:rsid w:val="204D2CD4"/>
    <w:rsid w:val="20500A32"/>
    <w:rsid w:val="205D4EF1"/>
    <w:rsid w:val="20677454"/>
    <w:rsid w:val="20787973"/>
    <w:rsid w:val="207F496E"/>
    <w:rsid w:val="20885D40"/>
    <w:rsid w:val="20A21E92"/>
    <w:rsid w:val="20A37050"/>
    <w:rsid w:val="20A91698"/>
    <w:rsid w:val="20B53E4A"/>
    <w:rsid w:val="20BA6848"/>
    <w:rsid w:val="20C430EF"/>
    <w:rsid w:val="20E07AF1"/>
    <w:rsid w:val="20F37841"/>
    <w:rsid w:val="210F4172"/>
    <w:rsid w:val="215E7F7D"/>
    <w:rsid w:val="216A5B17"/>
    <w:rsid w:val="21881D08"/>
    <w:rsid w:val="218C5F60"/>
    <w:rsid w:val="218D3E5D"/>
    <w:rsid w:val="21910AEA"/>
    <w:rsid w:val="21AA2BB6"/>
    <w:rsid w:val="21CE6EEF"/>
    <w:rsid w:val="21D073B0"/>
    <w:rsid w:val="21D72497"/>
    <w:rsid w:val="21DE4542"/>
    <w:rsid w:val="21EB6A1B"/>
    <w:rsid w:val="21ED538F"/>
    <w:rsid w:val="21F0447F"/>
    <w:rsid w:val="21F77868"/>
    <w:rsid w:val="21FB63BA"/>
    <w:rsid w:val="2217504C"/>
    <w:rsid w:val="223E2DC4"/>
    <w:rsid w:val="22491C26"/>
    <w:rsid w:val="224E07D8"/>
    <w:rsid w:val="22554647"/>
    <w:rsid w:val="22575CE6"/>
    <w:rsid w:val="2264646B"/>
    <w:rsid w:val="226C52A0"/>
    <w:rsid w:val="226E2973"/>
    <w:rsid w:val="226F59C8"/>
    <w:rsid w:val="22887BC3"/>
    <w:rsid w:val="22FA3D86"/>
    <w:rsid w:val="231A1B0E"/>
    <w:rsid w:val="231B09DE"/>
    <w:rsid w:val="23222DE2"/>
    <w:rsid w:val="23244A98"/>
    <w:rsid w:val="23373684"/>
    <w:rsid w:val="23567880"/>
    <w:rsid w:val="237D15F6"/>
    <w:rsid w:val="237E524F"/>
    <w:rsid w:val="23876DB6"/>
    <w:rsid w:val="238C2D74"/>
    <w:rsid w:val="239048BE"/>
    <w:rsid w:val="23A93BDB"/>
    <w:rsid w:val="23A96390"/>
    <w:rsid w:val="23B35841"/>
    <w:rsid w:val="23C41338"/>
    <w:rsid w:val="23DC390D"/>
    <w:rsid w:val="23EF46D5"/>
    <w:rsid w:val="23F724F4"/>
    <w:rsid w:val="24042BDB"/>
    <w:rsid w:val="24234AF6"/>
    <w:rsid w:val="24404FB3"/>
    <w:rsid w:val="244C739C"/>
    <w:rsid w:val="245B144E"/>
    <w:rsid w:val="245D3144"/>
    <w:rsid w:val="246B7E66"/>
    <w:rsid w:val="246F4AAC"/>
    <w:rsid w:val="247E599E"/>
    <w:rsid w:val="248E26A9"/>
    <w:rsid w:val="249155FE"/>
    <w:rsid w:val="24E16FE1"/>
    <w:rsid w:val="24EB6423"/>
    <w:rsid w:val="250A773C"/>
    <w:rsid w:val="25136D8E"/>
    <w:rsid w:val="25384B48"/>
    <w:rsid w:val="25471D43"/>
    <w:rsid w:val="254D418D"/>
    <w:rsid w:val="255179ED"/>
    <w:rsid w:val="256B6EB4"/>
    <w:rsid w:val="2571095A"/>
    <w:rsid w:val="258549DE"/>
    <w:rsid w:val="259326F1"/>
    <w:rsid w:val="25F305D3"/>
    <w:rsid w:val="26016813"/>
    <w:rsid w:val="2606196B"/>
    <w:rsid w:val="26072636"/>
    <w:rsid w:val="26143C85"/>
    <w:rsid w:val="26156A2E"/>
    <w:rsid w:val="261D1E42"/>
    <w:rsid w:val="261E645E"/>
    <w:rsid w:val="262364AE"/>
    <w:rsid w:val="26414B12"/>
    <w:rsid w:val="2664395E"/>
    <w:rsid w:val="26755ECA"/>
    <w:rsid w:val="26906045"/>
    <w:rsid w:val="269E5D92"/>
    <w:rsid w:val="26A37629"/>
    <w:rsid w:val="26C02358"/>
    <w:rsid w:val="26C77C48"/>
    <w:rsid w:val="26D20FF7"/>
    <w:rsid w:val="26D272A7"/>
    <w:rsid w:val="26D93911"/>
    <w:rsid w:val="26E63298"/>
    <w:rsid w:val="26F63815"/>
    <w:rsid w:val="271543D2"/>
    <w:rsid w:val="27475541"/>
    <w:rsid w:val="275E46A6"/>
    <w:rsid w:val="27723BE0"/>
    <w:rsid w:val="27835FC2"/>
    <w:rsid w:val="27886618"/>
    <w:rsid w:val="278A15B2"/>
    <w:rsid w:val="278C71E1"/>
    <w:rsid w:val="279845D2"/>
    <w:rsid w:val="27B256E3"/>
    <w:rsid w:val="27D305C7"/>
    <w:rsid w:val="27D91A5B"/>
    <w:rsid w:val="27DB1F8C"/>
    <w:rsid w:val="27E31A18"/>
    <w:rsid w:val="27E964AC"/>
    <w:rsid w:val="27EE6269"/>
    <w:rsid w:val="27F947FC"/>
    <w:rsid w:val="280653FC"/>
    <w:rsid w:val="280B2A12"/>
    <w:rsid w:val="283F53A6"/>
    <w:rsid w:val="28424EE2"/>
    <w:rsid w:val="28453086"/>
    <w:rsid w:val="285E08D0"/>
    <w:rsid w:val="28637E3D"/>
    <w:rsid w:val="28651224"/>
    <w:rsid w:val="287B7B56"/>
    <w:rsid w:val="288D49B8"/>
    <w:rsid w:val="288D78CB"/>
    <w:rsid w:val="28A15125"/>
    <w:rsid w:val="28CB1F56"/>
    <w:rsid w:val="28D30D37"/>
    <w:rsid w:val="28DF504B"/>
    <w:rsid w:val="28F224E1"/>
    <w:rsid w:val="28FC7ED2"/>
    <w:rsid w:val="290410FD"/>
    <w:rsid w:val="291A586C"/>
    <w:rsid w:val="292045F7"/>
    <w:rsid w:val="292B0B20"/>
    <w:rsid w:val="29514F8D"/>
    <w:rsid w:val="2959155B"/>
    <w:rsid w:val="29613908"/>
    <w:rsid w:val="2967676A"/>
    <w:rsid w:val="298C582A"/>
    <w:rsid w:val="299568ED"/>
    <w:rsid w:val="299E4141"/>
    <w:rsid w:val="29CD2E3F"/>
    <w:rsid w:val="29D02637"/>
    <w:rsid w:val="29D432EC"/>
    <w:rsid w:val="29D67228"/>
    <w:rsid w:val="2A144AFA"/>
    <w:rsid w:val="2A212221"/>
    <w:rsid w:val="2A230158"/>
    <w:rsid w:val="2A3B2025"/>
    <w:rsid w:val="2A5F55C3"/>
    <w:rsid w:val="2A6F48BA"/>
    <w:rsid w:val="2A8339A2"/>
    <w:rsid w:val="2ACE1EC8"/>
    <w:rsid w:val="2ADD059B"/>
    <w:rsid w:val="2ADE61BC"/>
    <w:rsid w:val="2AE632C3"/>
    <w:rsid w:val="2B007F78"/>
    <w:rsid w:val="2B1B11BE"/>
    <w:rsid w:val="2B290297"/>
    <w:rsid w:val="2B4A4876"/>
    <w:rsid w:val="2B9A382D"/>
    <w:rsid w:val="2BA0394B"/>
    <w:rsid w:val="2BA35BA3"/>
    <w:rsid w:val="2BB2311B"/>
    <w:rsid w:val="2BBD4C5A"/>
    <w:rsid w:val="2BCD150F"/>
    <w:rsid w:val="2BD93648"/>
    <w:rsid w:val="2BE34287"/>
    <w:rsid w:val="2BEC377F"/>
    <w:rsid w:val="2BFC2CAF"/>
    <w:rsid w:val="2C26758B"/>
    <w:rsid w:val="2C286B86"/>
    <w:rsid w:val="2C292C06"/>
    <w:rsid w:val="2C357305"/>
    <w:rsid w:val="2C383938"/>
    <w:rsid w:val="2C473F94"/>
    <w:rsid w:val="2C4958B7"/>
    <w:rsid w:val="2C574478"/>
    <w:rsid w:val="2C5E4EB5"/>
    <w:rsid w:val="2C617E8F"/>
    <w:rsid w:val="2C916EC8"/>
    <w:rsid w:val="2CA65861"/>
    <w:rsid w:val="2CC828D8"/>
    <w:rsid w:val="2D0E75A7"/>
    <w:rsid w:val="2D197F39"/>
    <w:rsid w:val="2D272F05"/>
    <w:rsid w:val="2D3145A1"/>
    <w:rsid w:val="2D472455"/>
    <w:rsid w:val="2D477E26"/>
    <w:rsid w:val="2D4E0FF6"/>
    <w:rsid w:val="2D551367"/>
    <w:rsid w:val="2D9939FD"/>
    <w:rsid w:val="2DA06D16"/>
    <w:rsid w:val="2DAC4350"/>
    <w:rsid w:val="2DB53831"/>
    <w:rsid w:val="2DCE3C7D"/>
    <w:rsid w:val="2DCF0D38"/>
    <w:rsid w:val="2DDB0505"/>
    <w:rsid w:val="2DF77CC5"/>
    <w:rsid w:val="2DFF70AD"/>
    <w:rsid w:val="2E197228"/>
    <w:rsid w:val="2E1B06A0"/>
    <w:rsid w:val="2E490CF6"/>
    <w:rsid w:val="2E616693"/>
    <w:rsid w:val="2E640E80"/>
    <w:rsid w:val="2E685A4D"/>
    <w:rsid w:val="2E6D421C"/>
    <w:rsid w:val="2E85670C"/>
    <w:rsid w:val="2E93683E"/>
    <w:rsid w:val="2EAE51C5"/>
    <w:rsid w:val="2ECE0FF5"/>
    <w:rsid w:val="2EDB35F4"/>
    <w:rsid w:val="2EE144CD"/>
    <w:rsid w:val="2EE80E9D"/>
    <w:rsid w:val="2F340AB1"/>
    <w:rsid w:val="2F3E05FD"/>
    <w:rsid w:val="2F5A04F1"/>
    <w:rsid w:val="2F702A20"/>
    <w:rsid w:val="2F7601D5"/>
    <w:rsid w:val="2F9C3813"/>
    <w:rsid w:val="2FB13E9F"/>
    <w:rsid w:val="2FB214E2"/>
    <w:rsid w:val="2FC13835"/>
    <w:rsid w:val="2FC17679"/>
    <w:rsid w:val="2FCB33B7"/>
    <w:rsid w:val="2FDC394C"/>
    <w:rsid w:val="2FE82DA7"/>
    <w:rsid w:val="2FE8558C"/>
    <w:rsid w:val="2FED6249"/>
    <w:rsid w:val="2FF263FF"/>
    <w:rsid w:val="2FF724D0"/>
    <w:rsid w:val="3012072F"/>
    <w:rsid w:val="30141C9C"/>
    <w:rsid w:val="301A150C"/>
    <w:rsid w:val="302D1BB3"/>
    <w:rsid w:val="30342F1D"/>
    <w:rsid w:val="30395C43"/>
    <w:rsid w:val="303F40CB"/>
    <w:rsid w:val="305344F9"/>
    <w:rsid w:val="305658CA"/>
    <w:rsid w:val="306C1DBC"/>
    <w:rsid w:val="307A4AC9"/>
    <w:rsid w:val="308929C6"/>
    <w:rsid w:val="30893359"/>
    <w:rsid w:val="308E0291"/>
    <w:rsid w:val="30942A46"/>
    <w:rsid w:val="309E477A"/>
    <w:rsid w:val="30A42698"/>
    <w:rsid w:val="30DB652B"/>
    <w:rsid w:val="30E639BE"/>
    <w:rsid w:val="30E74C0B"/>
    <w:rsid w:val="30F02844"/>
    <w:rsid w:val="30F30335"/>
    <w:rsid w:val="31051699"/>
    <w:rsid w:val="310D5CA5"/>
    <w:rsid w:val="311321B5"/>
    <w:rsid w:val="311A5A74"/>
    <w:rsid w:val="311F02AF"/>
    <w:rsid w:val="313A7E15"/>
    <w:rsid w:val="3145771C"/>
    <w:rsid w:val="3151177C"/>
    <w:rsid w:val="317A3376"/>
    <w:rsid w:val="318031CF"/>
    <w:rsid w:val="31890866"/>
    <w:rsid w:val="318A77C5"/>
    <w:rsid w:val="31A063FD"/>
    <w:rsid w:val="31B4416D"/>
    <w:rsid w:val="31E150A9"/>
    <w:rsid w:val="31F5271A"/>
    <w:rsid w:val="320061DC"/>
    <w:rsid w:val="32352A7B"/>
    <w:rsid w:val="323671A4"/>
    <w:rsid w:val="3237369F"/>
    <w:rsid w:val="32406CCF"/>
    <w:rsid w:val="32463A26"/>
    <w:rsid w:val="32552500"/>
    <w:rsid w:val="326E6E6C"/>
    <w:rsid w:val="32700042"/>
    <w:rsid w:val="327166EE"/>
    <w:rsid w:val="327C087E"/>
    <w:rsid w:val="32933F60"/>
    <w:rsid w:val="329A2FAD"/>
    <w:rsid w:val="32CA3359"/>
    <w:rsid w:val="32E02AEF"/>
    <w:rsid w:val="32E5571A"/>
    <w:rsid w:val="32EB65E8"/>
    <w:rsid w:val="32EC120E"/>
    <w:rsid w:val="32EE756C"/>
    <w:rsid w:val="331623EA"/>
    <w:rsid w:val="33165D81"/>
    <w:rsid w:val="331F562A"/>
    <w:rsid w:val="331F7CDC"/>
    <w:rsid w:val="33201918"/>
    <w:rsid w:val="33275293"/>
    <w:rsid w:val="333B2E78"/>
    <w:rsid w:val="33441CFD"/>
    <w:rsid w:val="33634E42"/>
    <w:rsid w:val="3386499B"/>
    <w:rsid w:val="33B12A74"/>
    <w:rsid w:val="33B755E0"/>
    <w:rsid w:val="33C01934"/>
    <w:rsid w:val="33EA22B9"/>
    <w:rsid w:val="33EE561B"/>
    <w:rsid w:val="33F2005B"/>
    <w:rsid w:val="340915D9"/>
    <w:rsid w:val="341660D6"/>
    <w:rsid w:val="343321E4"/>
    <w:rsid w:val="3449718C"/>
    <w:rsid w:val="345A7CDA"/>
    <w:rsid w:val="346B239F"/>
    <w:rsid w:val="3477169F"/>
    <w:rsid w:val="347845C3"/>
    <w:rsid w:val="347A4A94"/>
    <w:rsid w:val="348061C8"/>
    <w:rsid w:val="348E726D"/>
    <w:rsid w:val="34A72740"/>
    <w:rsid w:val="34A83CBD"/>
    <w:rsid w:val="34C90259"/>
    <w:rsid w:val="34F23FA0"/>
    <w:rsid w:val="34F5398E"/>
    <w:rsid w:val="35232779"/>
    <w:rsid w:val="354E7917"/>
    <w:rsid w:val="35533564"/>
    <w:rsid w:val="357F3C0D"/>
    <w:rsid w:val="359C482A"/>
    <w:rsid w:val="35A2648D"/>
    <w:rsid w:val="35EE3F20"/>
    <w:rsid w:val="3603321B"/>
    <w:rsid w:val="363A1A40"/>
    <w:rsid w:val="365057CB"/>
    <w:rsid w:val="366F05D1"/>
    <w:rsid w:val="36707E4B"/>
    <w:rsid w:val="36C06D6C"/>
    <w:rsid w:val="36C0742F"/>
    <w:rsid w:val="36C848DD"/>
    <w:rsid w:val="36CB72FE"/>
    <w:rsid w:val="36D72CEE"/>
    <w:rsid w:val="370B22B6"/>
    <w:rsid w:val="3720617D"/>
    <w:rsid w:val="375A115E"/>
    <w:rsid w:val="37786996"/>
    <w:rsid w:val="37A12A4B"/>
    <w:rsid w:val="37AB7604"/>
    <w:rsid w:val="38152477"/>
    <w:rsid w:val="381A3FBC"/>
    <w:rsid w:val="383115F5"/>
    <w:rsid w:val="386A4D8B"/>
    <w:rsid w:val="387060FE"/>
    <w:rsid w:val="38780152"/>
    <w:rsid w:val="387D2978"/>
    <w:rsid w:val="388242C0"/>
    <w:rsid w:val="388D490B"/>
    <w:rsid w:val="38A35CBB"/>
    <w:rsid w:val="38AA19BF"/>
    <w:rsid w:val="38B3195E"/>
    <w:rsid w:val="38C53CA2"/>
    <w:rsid w:val="38CA274D"/>
    <w:rsid w:val="38DB3D3B"/>
    <w:rsid w:val="391A3434"/>
    <w:rsid w:val="396759FD"/>
    <w:rsid w:val="397958BD"/>
    <w:rsid w:val="397D3884"/>
    <w:rsid w:val="39801E55"/>
    <w:rsid w:val="398F400C"/>
    <w:rsid w:val="398F55AF"/>
    <w:rsid w:val="39916AF0"/>
    <w:rsid w:val="399B079A"/>
    <w:rsid w:val="39BB72A2"/>
    <w:rsid w:val="39C61315"/>
    <w:rsid w:val="39DA200A"/>
    <w:rsid w:val="39DB1464"/>
    <w:rsid w:val="39EC4848"/>
    <w:rsid w:val="39FB1FB5"/>
    <w:rsid w:val="3A0641AD"/>
    <w:rsid w:val="3A0A0D7C"/>
    <w:rsid w:val="3A1D23B3"/>
    <w:rsid w:val="3A3620BE"/>
    <w:rsid w:val="3A3932E5"/>
    <w:rsid w:val="3A3F327A"/>
    <w:rsid w:val="3A402C8E"/>
    <w:rsid w:val="3A57294E"/>
    <w:rsid w:val="3A725720"/>
    <w:rsid w:val="3A8A623C"/>
    <w:rsid w:val="3A8C487E"/>
    <w:rsid w:val="3A8D36C6"/>
    <w:rsid w:val="3A9E50EE"/>
    <w:rsid w:val="3ABC50BD"/>
    <w:rsid w:val="3AC416E1"/>
    <w:rsid w:val="3AE47E5B"/>
    <w:rsid w:val="3AFB0727"/>
    <w:rsid w:val="3B0E7AE4"/>
    <w:rsid w:val="3B34709E"/>
    <w:rsid w:val="3B374E54"/>
    <w:rsid w:val="3B662A70"/>
    <w:rsid w:val="3B7216AD"/>
    <w:rsid w:val="3B7A2E9E"/>
    <w:rsid w:val="3B815EBA"/>
    <w:rsid w:val="3B8B5E54"/>
    <w:rsid w:val="3B924D83"/>
    <w:rsid w:val="3B9C0F7B"/>
    <w:rsid w:val="3BA044D9"/>
    <w:rsid w:val="3BE54BE6"/>
    <w:rsid w:val="3C043541"/>
    <w:rsid w:val="3C1D0ABD"/>
    <w:rsid w:val="3C456A27"/>
    <w:rsid w:val="3C7B42E0"/>
    <w:rsid w:val="3C894E88"/>
    <w:rsid w:val="3CA37266"/>
    <w:rsid w:val="3CEF7ADE"/>
    <w:rsid w:val="3CF010B9"/>
    <w:rsid w:val="3CF61A27"/>
    <w:rsid w:val="3D1B7EA2"/>
    <w:rsid w:val="3D2116F3"/>
    <w:rsid w:val="3D2E7CCB"/>
    <w:rsid w:val="3D4B512D"/>
    <w:rsid w:val="3D612479"/>
    <w:rsid w:val="3D741EAE"/>
    <w:rsid w:val="3D7E2A2B"/>
    <w:rsid w:val="3D7E6297"/>
    <w:rsid w:val="3D834075"/>
    <w:rsid w:val="3D8D740C"/>
    <w:rsid w:val="3DBA72BA"/>
    <w:rsid w:val="3DC92869"/>
    <w:rsid w:val="3DD3562E"/>
    <w:rsid w:val="3DDE52D5"/>
    <w:rsid w:val="3DEE0AC0"/>
    <w:rsid w:val="3DF24001"/>
    <w:rsid w:val="3E077CBE"/>
    <w:rsid w:val="3E0B0664"/>
    <w:rsid w:val="3E102F58"/>
    <w:rsid w:val="3E1C24A8"/>
    <w:rsid w:val="3E29618D"/>
    <w:rsid w:val="3E3C7AEA"/>
    <w:rsid w:val="3E3D4BD0"/>
    <w:rsid w:val="3E683EEA"/>
    <w:rsid w:val="3E824C64"/>
    <w:rsid w:val="3E8A0F75"/>
    <w:rsid w:val="3E987AEE"/>
    <w:rsid w:val="3E9A2284"/>
    <w:rsid w:val="3EAC34A7"/>
    <w:rsid w:val="3EB472BD"/>
    <w:rsid w:val="3F15252A"/>
    <w:rsid w:val="3F1B5750"/>
    <w:rsid w:val="3F3177A8"/>
    <w:rsid w:val="3F496CBE"/>
    <w:rsid w:val="3F587306"/>
    <w:rsid w:val="3F926086"/>
    <w:rsid w:val="3FAE024D"/>
    <w:rsid w:val="3FF033EE"/>
    <w:rsid w:val="3FF67573"/>
    <w:rsid w:val="40213BB3"/>
    <w:rsid w:val="40275EA5"/>
    <w:rsid w:val="40546C48"/>
    <w:rsid w:val="40701A4C"/>
    <w:rsid w:val="40741F5B"/>
    <w:rsid w:val="40774232"/>
    <w:rsid w:val="40860801"/>
    <w:rsid w:val="40865A6A"/>
    <w:rsid w:val="408E7435"/>
    <w:rsid w:val="40924816"/>
    <w:rsid w:val="40A427E0"/>
    <w:rsid w:val="40AE3E97"/>
    <w:rsid w:val="40FA1B12"/>
    <w:rsid w:val="41076015"/>
    <w:rsid w:val="4122513C"/>
    <w:rsid w:val="41355EF0"/>
    <w:rsid w:val="41392674"/>
    <w:rsid w:val="41452699"/>
    <w:rsid w:val="415D1E0C"/>
    <w:rsid w:val="41794F45"/>
    <w:rsid w:val="41AB4208"/>
    <w:rsid w:val="41C51A2C"/>
    <w:rsid w:val="41E24A0A"/>
    <w:rsid w:val="41E54201"/>
    <w:rsid w:val="41EA0EFE"/>
    <w:rsid w:val="42517364"/>
    <w:rsid w:val="4262363F"/>
    <w:rsid w:val="42866E0B"/>
    <w:rsid w:val="42887741"/>
    <w:rsid w:val="42A10A0B"/>
    <w:rsid w:val="42A82704"/>
    <w:rsid w:val="42AF630A"/>
    <w:rsid w:val="42CE76C5"/>
    <w:rsid w:val="42E25E07"/>
    <w:rsid w:val="4305085A"/>
    <w:rsid w:val="431742E7"/>
    <w:rsid w:val="43312BDE"/>
    <w:rsid w:val="433862B6"/>
    <w:rsid w:val="43457D5C"/>
    <w:rsid w:val="43743B53"/>
    <w:rsid w:val="43763D41"/>
    <w:rsid w:val="43843137"/>
    <w:rsid w:val="4391176E"/>
    <w:rsid w:val="43B545F0"/>
    <w:rsid w:val="43CF397F"/>
    <w:rsid w:val="43D01C4E"/>
    <w:rsid w:val="43EC3C39"/>
    <w:rsid w:val="43F539A2"/>
    <w:rsid w:val="442A447D"/>
    <w:rsid w:val="442E5667"/>
    <w:rsid w:val="44391ED2"/>
    <w:rsid w:val="444903F3"/>
    <w:rsid w:val="444F12A9"/>
    <w:rsid w:val="449A4C45"/>
    <w:rsid w:val="44A85A06"/>
    <w:rsid w:val="44C252E7"/>
    <w:rsid w:val="44E22F1E"/>
    <w:rsid w:val="44E43D61"/>
    <w:rsid w:val="44E72DD0"/>
    <w:rsid w:val="44EE10CA"/>
    <w:rsid w:val="452250F1"/>
    <w:rsid w:val="4525639F"/>
    <w:rsid w:val="452623E2"/>
    <w:rsid w:val="45284541"/>
    <w:rsid w:val="45316B5D"/>
    <w:rsid w:val="45593BE6"/>
    <w:rsid w:val="45603F46"/>
    <w:rsid w:val="456875F0"/>
    <w:rsid w:val="456F5A54"/>
    <w:rsid w:val="45A96C77"/>
    <w:rsid w:val="45AC7614"/>
    <w:rsid w:val="45B33761"/>
    <w:rsid w:val="45C53DA9"/>
    <w:rsid w:val="45CC6425"/>
    <w:rsid w:val="463F07A1"/>
    <w:rsid w:val="464C37AE"/>
    <w:rsid w:val="46B67097"/>
    <w:rsid w:val="46BA5F18"/>
    <w:rsid w:val="46BC3AE3"/>
    <w:rsid w:val="46BF57EA"/>
    <w:rsid w:val="46E22B80"/>
    <w:rsid w:val="47073A3C"/>
    <w:rsid w:val="471C6162"/>
    <w:rsid w:val="471D1AE4"/>
    <w:rsid w:val="471E63A8"/>
    <w:rsid w:val="474B7E8D"/>
    <w:rsid w:val="474F4C0B"/>
    <w:rsid w:val="475F38B6"/>
    <w:rsid w:val="47664B2B"/>
    <w:rsid w:val="47685614"/>
    <w:rsid w:val="476D294A"/>
    <w:rsid w:val="477E4AE2"/>
    <w:rsid w:val="47A428C2"/>
    <w:rsid w:val="47B75973"/>
    <w:rsid w:val="47C00874"/>
    <w:rsid w:val="47D236CB"/>
    <w:rsid w:val="47E41648"/>
    <w:rsid w:val="47E71D6B"/>
    <w:rsid w:val="47E801AB"/>
    <w:rsid w:val="47EC4B78"/>
    <w:rsid w:val="47F02948"/>
    <w:rsid w:val="47FB39B9"/>
    <w:rsid w:val="480D47B9"/>
    <w:rsid w:val="48233849"/>
    <w:rsid w:val="48277842"/>
    <w:rsid w:val="483D20C4"/>
    <w:rsid w:val="48776E5E"/>
    <w:rsid w:val="48795C23"/>
    <w:rsid w:val="488C2FD7"/>
    <w:rsid w:val="489451D8"/>
    <w:rsid w:val="48974A79"/>
    <w:rsid w:val="489F5422"/>
    <w:rsid w:val="48D14BB0"/>
    <w:rsid w:val="48D70F6B"/>
    <w:rsid w:val="48E50E7E"/>
    <w:rsid w:val="490E63AC"/>
    <w:rsid w:val="490F1DBB"/>
    <w:rsid w:val="49260A0E"/>
    <w:rsid w:val="492A7C7B"/>
    <w:rsid w:val="49750ACF"/>
    <w:rsid w:val="498768B0"/>
    <w:rsid w:val="498F1EC9"/>
    <w:rsid w:val="498F281F"/>
    <w:rsid w:val="49E1306F"/>
    <w:rsid w:val="4A0A6A2A"/>
    <w:rsid w:val="4A104F60"/>
    <w:rsid w:val="4A1277D9"/>
    <w:rsid w:val="4A204EC8"/>
    <w:rsid w:val="4A236AB7"/>
    <w:rsid w:val="4A4C7A60"/>
    <w:rsid w:val="4A5730A3"/>
    <w:rsid w:val="4A7D1B58"/>
    <w:rsid w:val="4A7D6FF8"/>
    <w:rsid w:val="4AD34EFA"/>
    <w:rsid w:val="4ADD1B95"/>
    <w:rsid w:val="4AE04400"/>
    <w:rsid w:val="4AE93111"/>
    <w:rsid w:val="4B217CD3"/>
    <w:rsid w:val="4B30754A"/>
    <w:rsid w:val="4B35377F"/>
    <w:rsid w:val="4B37594E"/>
    <w:rsid w:val="4B3C44DC"/>
    <w:rsid w:val="4B4546E2"/>
    <w:rsid w:val="4B5F5FC3"/>
    <w:rsid w:val="4B6549DC"/>
    <w:rsid w:val="4B6E06DF"/>
    <w:rsid w:val="4B937C35"/>
    <w:rsid w:val="4B9F2EFD"/>
    <w:rsid w:val="4BAF63DD"/>
    <w:rsid w:val="4BB57285"/>
    <w:rsid w:val="4BBD1489"/>
    <w:rsid w:val="4BDB0C2D"/>
    <w:rsid w:val="4C0478A6"/>
    <w:rsid w:val="4C3A380D"/>
    <w:rsid w:val="4C6A0DCA"/>
    <w:rsid w:val="4C6B04B5"/>
    <w:rsid w:val="4C7F272A"/>
    <w:rsid w:val="4CB01933"/>
    <w:rsid w:val="4CB45732"/>
    <w:rsid w:val="4CBD3D2C"/>
    <w:rsid w:val="4CC24367"/>
    <w:rsid w:val="4CD160C0"/>
    <w:rsid w:val="4D022C05"/>
    <w:rsid w:val="4D1F5342"/>
    <w:rsid w:val="4D2C7AF3"/>
    <w:rsid w:val="4D343260"/>
    <w:rsid w:val="4D452701"/>
    <w:rsid w:val="4D484218"/>
    <w:rsid w:val="4D5D0D6B"/>
    <w:rsid w:val="4D5F4C58"/>
    <w:rsid w:val="4D677E3B"/>
    <w:rsid w:val="4D7267BE"/>
    <w:rsid w:val="4DAA2AAB"/>
    <w:rsid w:val="4DD067B1"/>
    <w:rsid w:val="4DDC7FA5"/>
    <w:rsid w:val="4E143766"/>
    <w:rsid w:val="4E4906EE"/>
    <w:rsid w:val="4E5C0BF1"/>
    <w:rsid w:val="4E692982"/>
    <w:rsid w:val="4E81128D"/>
    <w:rsid w:val="4EAA2B9B"/>
    <w:rsid w:val="4EAC63A7"/>
    <w:rsid w:val="4EB44450"/>
    <w:rsid w:val="4EBE06E2"/>
    <w:rsid w:val="4ED211D4"/>
    <w:rsid w:val="4EF018DD"/>
    <w:rsid w:val="4F04640B"/>
    <w:rsid w:val="4F0E3BBD"/>
    <w:rsid w:val="4F144EEE"/>
    <w:rsid w:val="4F4C2A01"/>
    <w:rsid w:val="4F6B7BB9"/>
    <w:rsid w:val="4F8D0EEC"/>
    <w:rsid w:val="4F981B6D"/>
    <w:rsid w:val="4FA6654E"/>
    <w:rsid w:val="4FCC7BD9"/>
    <w:rsid w:val="4FD51E77"/>
    <w:rsid w:val="4FEF0962"/>
    <w:rsid w:val="4FF5172F"/>
    <w:rsid w:val="4FF51ACA"/>
    <w:rsid w:val="4FF659D3"/>
    <w:rsid w:val="4FFB6AF8"/>
    <w:rsid w:val="502D6990"/>
    <w:rsid w:val="503A7C33"/>
    <w:rsid w:val="503B7503"/>
    <w:rsid w:val="505408EF"/>
    <w:rsid w:val="50626FEC"/>
    <w:rsid w:val="50802698"/>
    <w:rsid w:val="50971DFA"/>
    <w:rsid w:val="50B62460"/>
    <w:rsid w:val="50BF5218"/>
    <w:rsid w:val="50D8777E"/>
    <w:rsid w:val="50DF4E67"/>
    <w:rsid w:val="50E15827"/>
    <w:rsid w:val="51002F0E"/>
    <w:rsid w:val="51071B0C"/>
    <w:rsid w:val="51753008"/>
    <w:rsid w:val="517D7903"/>
    <w:rsid w:val="51E809A2"/>
    <w:rsid w:val="51EF6CDE"/>
    <w:rsid w:val="51F219E4"/>
    <w:rsid w:val="52151A1A"/>
    <w:rsid w:val="521A27C6"/>
    <w:rsid w:val="522C13B9"/>
    <w:rsid w:val="5234116C"/>
    <w:rsid w:val="52391B1D"/>
    <w:rsid w:val="5254213E"/>
    <w:rsid w:val="526650E8"/>
    <w:rsid w:val="5274323B"/>
    <w:rsid w:val="527812C6"/>
    <w:rsid w:val="52804735"/>
    <w:rsid w:val="52AE3750"/>
    <w:rsid w:val="52B5436D"/>
    <w:rsid w:val="52BE1CC3"/>
    <w:rsid w:val="52DB195C"/>
    <w:rsid w:val="52E25026"/>
    <w:rsid w:val="52F03D33"/>
    <w:rsid w:val="52F96DDB"/>
    <w:rsid w:val="53053AB0"/>
    <w:rsid w:val="530E7D45"/>
    <w:rsid w:val="531655AF"/>
    <w:rsid w:val="536E66F9"/>
    <w:rsid w:val="53733BF6"/>
    <w:rsid w:val="53873D44"/>
    <w:rsid w:val="53962B3E"/>
    <w:rsid w:val="539F4BC3"/>
    <w:rsid w:val="53C7637D"/>
    <w:rsid w:val="53C9708E"/>
    <w:rsid w:val="53CD6E9C"/>
    <w:rsid w:val="53E3217E"/>
    <w:rsid w:val="53E51640"/>
    <w:rsid w:val="53E775E0"/>
    <w:rsid w:val="5410069F"/>
    <w:rsid w:val="5428422D"/>
    <w:rsid w:val="542850CE"/>
    <w:rsid w:val="54412AB9"/>
    <w:rsid w:val="54484B90"/>
    <w:rsid w:val="545430A1"/>
    <w:rsid w:val="5459131B"/>
    <w:rsid w:val="5471114B"/>
    <w:rsid w:val="54721E9F"/>
    <w:rsid w:val="54B14A15"/>
    <w:rsid w:val="54B14ED7"/>
    <w:rsid w:val="54B57A36"/>
    <w:rsid w:val="54BE73BB"/>
    <w:rsid w:val="54C0392D"/>
    <w:rsid w:val="54C71CC1"/>
    <w:rsid w:val="54EC1A3E"/>
    <w:rsid w:val="550876C8"/>
    <w:rsid w:val="55095D59"/>
    <w:rsid w:val="552473CE"/>
    <w:rsid w:val="55273084"/>
    <w:rsid w:val="553918DB"/>
    <w:rsid w:val="554F3566"/>
    <w:rsid w:val="55694C7A"/>
    <w:rsid w:val="557A1F24"/>
    <w:rsid w:val="557B277B"/>
    <w:rsid w:val="55823A64"/>
    <w:rsid w:val="558A40D4"/>
    <w:rsid w:val="55A939CC"/>
    <w:rsid w:val="55AA7895"/>
    <w:rsid w:val="55DF443D"/>
    <w:rsid w:val="55E62380"/>
    <w:rsid w:val="55EF0CD5"/>
    <w:rsid w:val="55FB34EE"/>
    <w:rsid w:val="5628417F"/>
    <w:rsid w:val="562B489D"/>
    <w:rsid w:val="56310FE7"/>
    <w:rsid w:val="564357FC"/>
    <w:rsid w:val="5650554F"/>
    <w:rsid w:val="565C7725"/>
    <w:rsid w:val="56655560"/>
    <w:rsid w:val="56721800"/>
    <w:rsid w:val="568820D4"/>
    <w:rsid w:val="568D45BE"/>
    <w:rsid w:val="569D5052"/>
    <w:rsid w:val="56D33E1D"/>
    <w:rsid w:val="56EB5C17"/>
    <w:rsid w:val="56F67432"/>
    <w:rsid w:val="56FC10C4"/>
    <w:rsid w:val="570C2AAA"/>
    <w:rsid w:val="570F06B1"/>
    <w:rsid w:val="57196811"/>
    <w:rsid w:val="57230876"/>
    <w:rsid w:val="5725461D"/>
    <w:rsid w:val="57440F69"/>
    <w:rsid w:val="5754503F"/>
    <w:rsid w:val="576378C6"/>
    <w:rsid w:val="57645644"/>
    <w:rsid w:val="578C51EE"/>
    <w:rsid w:val="57AC7CFA"/>
    <w:rsid w:val="57BC2B32"/>
    <w:rsid w:val="57C2639A"/>
    <w:rsid w:val="57E27D6D"/>
    <w:rsid w:val="58135902"/>
    <w:rsid w:val="581D05D2"/>
    <w:rsid w:val="581E7B89"/>
    <w:rsid w:val="58203E2B"/>
    <w:rsid w:val="58363A1E"/>
    <w:rsid w:val="583B5B55"/>
    <w:rsid w:val="583E7652"/>
    <w:rsid w:val="586C0F12"/>
    <w:rsid w:val="586E0CF8"/>
    <w:rsid w:val="587F7675"/>
    <w:rsid w:val="58AA2D4B"/>
    <w:rsid w:val="58B0376F"/>
    <w:rsid w:val="58D24194"/>
    <w:rsid w:val="58E72DE9"/>
    <w:rsid w:val="590251D7"/>
    <w:rsid w:val="59075246"/>
    <w:rsid w:val="590810D4"/>
    <w:rsid w:val="592B1BE2"/>
    <w:rsid w:val="592D2065"/>
    <w:rsid w:val="593E07E2"/>
    <w:rsid w:val="59517920"/>
    <w:rsid w:val="59617A34"/>
    <w:rsid w:val="596C32A7"/>
    <w:rsid w:val="59721B65"/>
    <w:rsid w:val="599574FB"/>
    <w:rsid w:val="599975B3"/>
    <w:rsid w:val="59A25F54"/>
    <w:rsid w:val="59A87F44"/>
    <w:rsid w:val="59C451A3"/>
    <w:rsid w:val="59C46400"/>
    <w:rsid w:val="59CE01AC"/>
    <w:rsid w:val="59FD3B38"/>
    <w:rsid w:val="5A2B7D90"/>
    <w:rsid w:val="5A3E0765"/>
    <w:rsid w:val="5A406DEB"/>
    <w:rsid w:val="5A4640AD"/>
    <w:rsid w:val="5A493D64"/>
    <w:rsid w:val="5A583C89"/>
    <w:rsid w:val="5A5E3DF2"/>
    <w:rsid w:val="5A6E567A"/>
    <w:rsid w:val="5A8238C1"/>
    <w:rsid w:val="5A824E8E"/>
    <w:rsid w:val="5AAF6D4A"/>
    <w:rsid w:val="5AB74837"/>
    <w:rsid w:val="5AC530DC"/>
    <w:rsid w:val="5AC54D73"/>
    <w:rsid w:val="5ADF16B5"/>
    <w:rsid w:val="5B034F7D"/>
    <w:rsid w:val="5B077572"/>
    <w:rsid w:val="5B1C48F7"/>
    <w:rsid w:val="5B372BFB"/>
    <w:rsid w:val="5B3D2335"/>
    <w:rsid w:val="5B596518"/>
    <w:rsid w:val="5B825172"/>
    <w:rsid w:val="5B95101E"/>
    <w:rsid w:val="5BA15941"/>
    <w:rsid w:val="5BA43574"/>
    <w:rsid w:val="5BAA3237"/>
    <w:rsid w:val="5BBA2229"/>
    <w:rsid w:val="5BC46FC8"/>
    <w:rsid w:val="5BC91312"/>
    <w:rsid w:val="5BDD6EA5"/>
    <w:rsid w:val="5BDE1220"/>
    <w:rsid w:val="5BDE3B67"/>
    <w:rsid w:val="5C1F62D6"/>
    <w:rsid w:val="5C4471CE"/>
    <w:rsid w:val="5C510CA7"/>
    <w:rsid w:val="5C6C4B26"/>
    <w:rsid w:val="5C70627F"/>
    <w:rsid w:val="5C7429EA"/>
    <w:rsid w:val="5C78121F"/>
    <w:rsid w:val="5C797243"/>
    <w:rsid w:val="5C7E3B46"/>
    <w:rsid w:val="5C8E6AD3"/>
    <w:rsid w:val="5C962A0F"/>
    <w:rsid w:val="5C9C63C8"/>
    <w:rsid w:val="5CA04BF9"/>
    <w:rsid w:val="5CBA15A3"/>
    <w:rsid w:val="5CD82D18"/>
    <w:rsid w:val="5CDC0BDD"/>
    <w:rsid w:val="5CE96DCA"/>
    <w:rsid w:val="5CFB0D0E"/>
    <w:rsid w:val="5D077EF5"/>
    <w:rsid w:val="5D0D570F"/>
    <w:rsid w:val="5D5061F6"/>
    <w:rsid w:val="5D590772"/>
    <w:rsid w:val="5D670BC7"/>
    <w:rsid w:val="5D6F385A"/>
    <w:rsid w:val="5D8E4CA8"/>
    <w:rsid w:val="5D920685"/>
    <w:rsid w:val="5DB86D54"/>
    <w:rsid w:val="5DBE6255"/>
    <w:rsid w:val="5DCA043A"/>
    <w:rsid w:val="5DDC5EE5"/>
    <w:rsid w:val="5DE06080"/>
    <w:rsid w:val="5E026B09"/>
    <w:rsid w:val="5E096374"/>
    <w:rsid w:val="5E103836"/>
    <w:rsid w:val="5E1216FE"/>
    <w:rsid w:val="5E1C1E8A"/>
    <w:rsid w:val="5E1C4572"/>
    <w:rsid w:val="5E246A8B"/>
    <w:rsid w:val="5E303CE5"/>
    <w:rsid w:val="5E4B5198"/>
    <w:rsid w:val="5E642265"/>
    <w:rsid w:val="5EA70CDE"/>
    <w:rsid w:val="5EBE0A06"/>
    <w:rsid w:val="5ECB1CD4"/>
    <w:rsid w:val="5ED50ED8"/>
    <w:rsid w:val="5EDA258A"/>
    <w:rsid w:val="5EF63F87"/>
    <w:rsid w:val="5EF779D7"/>
    <w:rsid w:val="5EFA1803"/>
    <w:rsid w:val="5EFC2014"/>
    <w:rsid w:val="5F0465E4"/>
    <w:rsid w:val="5F0E78E8"/>
    <w:rsid w:val="5F1B0A3E"/>
    <w:rsid w:val="5F3B2D6C"/>
    <w:rsid w:val="5F4D0535"/>
    <w:rsid w:val="5F57453E"/>
    <w:rsid w:val="5F5B53F6"/>
    <w:rsid w:val="5F60685A"/>
    <w:rsid w:val="5FA570E4"/>
    <w:rsid w:val="5FAC744F"/>
    <w:rsid w:val="5FC353A5"/>
    <w:rsid w:val="5FDC62ED"/>
    <w:rsid w:val="5FE819D3"/>
    <w:rsid w:val="5FED7100"/>
    <w:rsid w:val="5FF44887"/>
    <w:rsid w:val="604550F9"/>
    <w:rsid w:val="604638E0"/>
    <w:rsid w:val="6049085F"/>
    <w:rsid w:val="6051231A"/>
    <w:rsid w:val="60554CDC"/>
    <w:rsid w:val="60580311"/>
    <w:rsid w:val="60751E3A"/>
    <w:rsid w:val="60963944"/>
    <w:rsid w:val="60994E7B"/>
    <w:rsid w:val="60B62814"/>
    <w:rsid w:val="60DC5B8D"/>
    <w:rsid w:val="60E77EFC"/>
    <w:rsid w:val="60ED27E4"/>
    <w:rsid w:val="611C61A9"/>
    <w:rsid w:val="6143479C"/>
    <w:rsid w:val="619A1950"/>
    <w:rsid w:val="619D4186"/>
    <w:rsid w:val="61AE7D97"/>
    <w:rsid w:val="61F80AC1"/>
    <w:rsid w:val="62031A89"/>
    <w:rsid w:val="62316AA4"/>
    <w:rsid w:val="623E241B"/>
    <w:rsid w:val="624A237C"/>
    <w:rsid w:val="62686EAA"/>
    <w:rsid w:val="62722A66"/>
    <w:rsid w:val="627D508D"/>
    <w:rsid w:val="629F78CE"/>
    <w:rsid w:val="62A226C2"/>
    <w:rsid w:val="62C8546B"/>
    <w:rsid w:val="62D813F4"/>
    <w:rsid w:val="62DC4BD7"/>
    <w:rsid w:val="630615B2"/>
    <w:rsid w:val="632073D1"/>
    <w:rsid w:val="6329520B"/>
    <w:rsid w:val="63362285"/>
    <w:rsid w:val="633C307F"/>
    <w:rsid w:val="63517988"/>
    <w:rsid w:val="635C5213"/>
    <w:rsid w:val="636D7EBA"/>
    <w:rsid w:val="639064E8"/>
    <w:rsid w:val="63CE15FA"/>
    <w:rsid w:val="63D83474"/>
    <w:rsid w:val="63DB6EED"/>
    <w:rsid w:val="63EF2296"/>
    <w:rsid w:val="64044E99"/>
    <w:rsid w:val="643F15A9"/>
    <w:rsid w:val="644D1BED"/>
    <w:rsid w:val="64743A57"/>
    <w:rsid w:val="64962060"/>
    <w:rsid w:val="64A81117"/>
    <w:rsid w:val="64B27796"/>
    <w:rsid w:val="64B308E0"/>
    <w:rsid w:val="64C32CDA"/>
    <w:rsid w:val="64E85323"/>
    <w:rsid w:val="64E86B5E"/>
    <w:rsid w:val="64EC5266"/>
    <w:rsid w:val="65336F33"/>
    <w:rsid w:val="655834E5"/>
    <w:rsid w:val="65774DE2"/>
    <w:rsid w:val="658F6A2D"/>
    <w:rsid w:val="65A9123D"/>
    <w:rsid w:val="65AF7C90"/>
    <w:rsid w:val="65B124D6"/>
    <w:rsid w:val="65BD2414"/>
    <w:rsid w:val="65C7198A"/>
    <w:rsid w:val="65FB194F"/>
    <w:rsid w:val="661208FC"/>
    <w:rsid w:val="661C3008"/>
    <w:rsid w:val="6626043C"/>
    <w:rsid w:val="662D301C"/>
    <w:rsid w:val="663E0B6F"/>
    <w:rsid w:val="664A36D1"/>
    <w:rsid w:val="665A7A13"/>
    <w:rsid w:val="6664740F"/>
    <w:rsid w:val="6665384F"/>
    <w:rsid w:val="66943F9D"/>
    <w:rsid w:val="6695367E"/>
    <w:rsid w:val="66986EFA"/>
    <w:rsid w:val="66B91561"/>
    <w:rsid w:val="66B91976"/>
    <w:rsid w:val="66B97C81"/>
    <w:rsid w:val="66F43DD4"/>
    <w:rsid w:val="66FC4493"/>
    <w:rsid w:val="670C7116"/>
    <w:rsid w:val="673452B8"/>
    <w:rsid w:val="67472245"/>
    <w:rsid w:val="674B7A80"/>
    <w:rsid w:val="675C0C10"/>
    <w:rsid w:val="67B75509"/>
    <w:rsid w:val="67C004EE"/>
    <w:rsid w:val="67CB3049"/>
    <w:rsid w:val="67DF5789"/>
    <w:rsid w:val="67E5058E"/>
    <w:rsid w:val="67E553B0"/>
    <w:rsid w:val="67EF2889"/>
    <w:rsid w:val="67FA4E8C"/>
    <w:rsid w:val="67FB568E"/>
    <w:rsid w:val="681E1C8A"/>
    <w:rsid w:val="681E74FC"/>
    <w:rsid w:val="68246020"/>
    <w:rsid w:val="6846531F"/>
    <w:rsid w:val="685734F6"/>
    <w:rsid w:val="685A18FB"/>
    <w:rsid w:val="687C28DB"/>
    <w:rsid w:val="68907DEF"/>
    <w:rsid w:val="68976136"/>
    <w:rsid w:val="68A0278A"/>
    <w:rsid w:val="68C812E7"/>
    <w:rsid w:val="68CE0B86"/>
    <w:rsid w:val="68F540D3"/>
    <w:rsid w:val="69082643"/>
    <w:rsid w:val="69256E15"/>
    <w:rsid w:val="692764EA"/>
    <w:rsid w:val="695976F5"/>
    <w:rsid w:val="699219DD"/>
    <w:rsid w:val="69A654F2"/>
    <w:rsid w:val="69B00A10"/>
    <w:rsid w:val="69B42EE2"/>
    <w:rsid w:val="69D92366"/>
    <w:rsid w:val="69DE72A2"/>
    <w:rsid w:val="69E40BF9"/>
    <w:rsid w:val="69FA5E67"/>
    <w:rsid w:val="6A206100"/>
    <w:rsid w:val="6A263131"/>
    <w:rsid w:val="6A263720"/>
    <w:rsid w:val="6A330B04"/>
    <w:rsid w:val="6A426472"/>
    <w:rsid w:val="6A436AEC"/>
    <w:rsid w:val="6A717CE3"/>
    <w:rsid w:val="6A730EA4"/>
    <w:rsid w:val="6A9260A0"/>
    <w:rsid w:val="6AAB68AC"/>
    <w:rsid w:val="6AB574DF"/>
    <w:rsid w:val="6ACC62E0"/>
    <w:rsid w:val="6ACE4105"/>
    <w:rsid w:val="6AD03793"/>
    <w:rsid w:val="6AE608D0"/>
    <w:rsid w:val="6B327AFB"/>
    <w:rsid w:val="6B336006"/>
    <w:rsid w:val="6B467F07"/>
    <w:rsid w:val="6B4904A7"/>
    <w:rsid w:val="6B5E78FE"/>
    <w:rsid w:val="6B622E3D"/>
    <w:rsid w:val="6B94255A"/>
    <w:rsid w:val="6B966DF8"/>
    <w:rsid w:val="6BA554C4"/>
    <w:rsid w:val="6BB06E24"/>
    <w:rsid w:val="6BB211A1"/>
    <w:rsid w:val="6BF71AE5"/>
    <w:rsid w:val="6BFA67A6"/>
    <w:rsid w:val="6C0C2360"/>
    <w:rsid w:val="6C1D733F"/>
    <w:rsid w:val="6C296A44"/>
    <w:rsid w:val="6C2C23C0"/>
    <w:rsid w:val="6C395525"/>
    <w:rsid w:val="6C54338D"/>
    <w:rsid w:val="6C5F747B"/>
    <w:rsid w:val="6C6643BF"/>
    <w:rsid w:val="6C667726"/>
    <w:rsid w:val="6C6B1CC8"/>
    <w:rsid w:val="6C813704"/>
    <w:rsid w:val="6CCD618B"/>
    <w:rsid w:val="6CD41A5B"/>
    <w:rsid w:val="6CD45481"/>
    <w:rsid w:val="6CE33536"/>
    <w:rsid w:val="6D0059E8"/>
    <w:rsid w:val="6D0D058A"/>
    <w:rsid w:val="6D155705"/>
    <w:rsid w:val="6D2102DD"/>
    <w:rsid w:val="6D4F5F3E"/>
    <w:rsid w:val="6D654AF0"/>
    <w:rsid w:val="6D672DF1"/>
    <w:rsid w:val="6D702BDA"/>
    <w:rsid w:val="6D7607C6"/>
    <w:rsid w:val="6D7C6B93"/>
    <w:rsid w:val="6D91680B"/>
    <w:rsid w:val="6DBE61E8"/>
    <w:rsid w:val="6DF45B50"/>
    <w:rsid w:val="6E0237C7"/>
    <w:rsid w:val="6E0F5CB7"/>
    <w:rsid w:val="6E3C46FC"/>
    <w:rsid w:val="6E487B8A"/>
    <w:rsid w:val="6E547FBE"/>
    <w:rsid w:val="6E62419F"/>
    <w:rsid w:val="6E9D322D"/>
    <w:rsid w:val="6EBB757B"/>
    <w:rsid w:val="6EC519AE"/>
    <w:rsid w:val="6ECA1928"/>
    <w:rsid w:val="6ED17380"/>
    <w:rsid w:val="6EEE6897"/>
    <w:rsid w:val="6F080E6D"/>
    <w:rsid w:val="6F086931"/>
    <w:rsid w:val="6F175ED7"/>
    <w:rsid w:val="6F1A63C1"/>
    <w:rsid w:val="6F222ACE"/>
    <w:rsid w:val="6F4106F3"/>
    <w:rsid w:val="6F570003"/>
    <w:rsid w:val="6F724588"/>
    <w:rsid w:val="6F734606"/>
    <w:rsid w:val="6F812514"/>
    <w:rsid w:val="6F8C7562"/>
    <w:rsid w:val="6F8D5CB6"/>
    <w:rsid w:val="6FA9005F"/>
    <w:rsid w:val="6FC71C5E"/>
    <w:rsid w:val="6FCC43BD"/>
    <w:rsid w:val="6FD91702"/>
    <w:rsid w:val="6FE657EB"/>
    <w:rsid w:val="6FED00FF"/>
    <w:rsid w:val="6FF84890"/>
    <w:rsid w:val="70383246"/>
    <w:rsid w:val="704E6956"/>
    <w:rsid w:val="70D3169F"/>
    <w:rsid w:val="70DC4E9C"/>
    <w:rsid w:val="70FB50CB"/>
    <w:rsid w:val="71103E0A"/>
    <w:rsid w:val="711A6DEF"/>
    <w:rsid w:val="711F45B9"/>
    <w:rsid w:val="712802B3"/>
    <w:rsid w:val="71353C29"/>
    <w:rsid w:val="713B1222"/>
    <w:rsid w:val="714E63D6"/>
    <w:rsid w:val="71695F16"/>
    <w:rsid w:val="71756349"/>
    <w:rsid w:val="71905F74"/>
    <w:rsid w:val="71AC3EEB"/>
    <w:rsid w:val="71D92806"/>
    <w:rsid w:val="71E33AEE"/>
    <w:rsid w:val="71F71DF5"/>
    <w:rsid w:val="71F92EA9"/>
    <w:rsid w:val="71FC66A6"/>
    <w:rsid w:val="71FD217F"/>
    <w:rsid w:val="720601C5"/>
    <w:rsid w:val="72206BCE"/>
    <w:rsid w:val="722B123D"/>
    <w:rsid w:val="72441107"/>
    <w:rsid w:val="724541FF"/>
    <w:rsid w:val="72842B7E"/>
    <w:rsid w:val="729C6937"/>
    <w:rsid w:val="72AC0994"/>
    <w:rsid w:val="72C20476"/>
    <w:rsid w:val="72D32E9D"/>
    <w:rsid w:val="72D95E85"/>
    <w:rsid w:val="72E66B78"/>
    <w:rsid w:val="72E7502A"/>
    <w:rsid w:val="72F71196"/>
    <w:rsid w:val="73044502"/>
    <w:rsid w:val="730832B1"/>
    <w:rsid w:val="7345735F"/>
    <w:rsid w:val="734E1B56"/>
    <w:rsid w:val="736528CC"/>
    <w:rsid w:val="736D4CD8"/>
    <w:rsid w:val="73A019BD"/>
    <w:rsid w:val="73A155A6"/>
    <w:rsid w:val="73A9592E"/>
    <w:rsid w:val="73A960E7"/>
    <w:rsid w:val="73BC23E0"/>
    <w:rsid w:val="73DB7AF6"/>
    <w:rsid w:val="73DE0A03"/>
    <w:rsid w:val="73E96B3C"/>
    <w:rsid w:val="73EC7BCD"/>
    <w:rsid w:val="740A43A4"/>
    <w:rsid w:val="74314148"/>
    <w:rsid w:val="744C7E0E"/>
    <w:rsid w:val="745775DE"/>
    <w:rsid w:val="745D758A"/>
    <w:rsid w:val="745F712C"/>
    <w:rsid w:val="74695686"/>
    <w:rsid w:val="746C3BCF"/>
    <w:rsid w:val="74726218"/>
    <w:rsid w:val="74813987"/>
    <w:rsid w:val="74AF7B7D"/>
    <w:rsid w:val="74B15097"/>
    <w:rsid w:val="74B174B7"/>
    <w:rsid w:val="74B662A6"/>
    <w:rsid w:val="74C14C55"/>
    <w:rsid w:val="74C730E6"/>
    <w:rsid w:val="74D40C14"/>
    <w:rsid w:val="74DD408E"/>
    <w:rsid w:val="74EF0204"/>
    <w:rsid w:val="74F4000B"/>
    <w:rsid w:val="74F53565"/>
    <w:rsid w:val="750C0702"/>
    <w:rsid w:val="75290C8A"/>
    <w:rsid w:val="75354D85"/>
    <w:rsid w:val="753A05F3"/>
    <w:rsid w:val="755E271D"/>
    <w:rsid w:val="756646E4"/>
    <w:rsid w:val="75674CA9"/>
    <w:rsid w:val="756C26AF"/>
    <w:rsid w:val="758B541D"/>
    <w:rsid w:val="75A152BF"/>
    <w:rsid w:val="75B5699E"/>
    <w:rsid w:val="75EF0431"/>
    <w:rsid w:val="761D6F02"/>
    <w:rsid w:val="7628317F"/>
    <w:rsid w:val="763846D6"/>
    <w:rsid w:val="765C2A9A"/>
    <w:rsid w:val="76616E2A"/>
    <w:rsid w:val="769470CC"/>
    <w:rsid w:val="76B90DB8"/>
    <w:rsid w:val="76EE01F5"/>
    <w:rsid w:val="7709593C"/>
    <w:rsid w:val="770F4A0E"/>
    <w:rsid w:val="771B662C"/>
    <w:rsid w:val="771C23B1"/>
    <w:rsid w:val="772E2BF6"/>
    <w:rsid w:val="774804CC"/>
    <w:rsid w:val="77547927"/>
    <w:rsid w:val="77722EAD"/>
    <w:rsid w:val="777C270F"/>
    <w:rsid w:val="777C39DF"/>
    <w:rsid w:val="77CF75E3"/>
    <w:rsid w:val="77DD3B92"/>
    <w:rsid w:val="77F12A59"/>
    <w:rsid w:val="78063C29"/>
    <w:rsid w:val="780B46B4"/>
    <w:rsid w:val="782021D6"/>
    <w:rsid w:val="782C17E6"/>
    <w:rsid w:val="7831720A"/>
    <w:rsid w:val="784A371B"/>
    <w:rsid w:val="784D0268"/>
    <w:rsid w:val="78511BFB"/>
    <w:rsid w:val="78570929"/>
    <w:rsid w:val="78720F0B"/>
    <w:rsid w:val="787B6CEB"/>
    <w:rsid w:val="7889250C"/>
    <w:rsid w:val="7895540D"/>
    <w:rsid w:val="789629A1"/>
    <w:rsid w:val="78AA212A"/>
    <w:rsid w:val="78B47E62"/>
    <w:rsid w:val="78BD3A19"/>
    <w:rsid w:val="78CA743F"/>
    <w:rsid w:val="78FC723E"/>
    <w:rsid w:val="7903576C"/>
    <w:rsid w:val="790B2A62"/>
    <w:rsid w:val="791059C4"/>
    <w:rsid w:val="79471A66"/>
    <w:rsid w:val="794B4FBB"/>
    <w:rsid w:val="79715F03"/>
    <w:rsid w:val="79832C90"/>
    <w:rsid w:val="79B34D12"/>
    <w:rsid w:val="79BA09EE"/>
    <w:rsid w:val="79C4158B"/>
    <w:rsid w:val="79CD40FA"/>
    <w:rsid w:val="79EA60FA"/>
    <w:rsid w:val="7A1376CB"/>
    <w:rsid w:val="7A3F563E"/>
    <w:rsid w:val="7A47368D"/>
    <w:rsid w:val="7A477AC9"/>
    <w:rsid w:val="7A487312"/>
    <w:rsid w:val="7A4A7E2B"/>
    <w:rsid w:val="7A4B0FE0"/>
    <w:rsid w:val="7A4C2BA3"/>
    <w:rsid w:val="7A662F0C"/>
    <w:rsid w:val="7A922A62"/>
    <w:rsid w:val="7A9B7021"/>
    <w:rsid w:val="7AAB161A"/>
    <w:rsid w:val="7AB744CE"/>
    <w:rsid w:val="7AD622E1"/>
    <w:rsid w:val="7AD718AD"/>
    <w:rsid w:val="7AE019BD"/>
    <w:rsid w:val="7AE31DB8"/>
    <w:rsid w:val="7AEE7382"/>
    <w:rsid w:val="7AF2300E"/>
    <w:rsid w:val="7B0C07ED"/>
    <w:rsid w:val="7B192506"/>
    <w:rsid w:val="7B2B7492"/>
    <w:rsid w:val="7B3B29FD"/>
    <w:rsid w:val="7B440233"/>
    <w:rsid w:val="7B505C2F"/>
    <w:rsid w:val="7B590514"/>
    <w:rsid w:val="7B631BC2"/>
    <w:rsid w:val="7B66424C"/>
    <w:rsid w:val="7BAB783C"/>
    <w:rsid w:val="7BAC3148"/>
    <w:rsid w:val="7BBC0F77"/>
    <w:rsid w:val="7BBF003E"/>
    <w:rsid w:val="7BC07695"/>
    <w:rsid w:val="7BC86099"/>
    <w:rsid w:val="7BCF61EF"/>
    <w:rsid w:val="7BDE4FC2"/>
    <w:rsid w:val="7C251BB9"/>
    <w:rsid w:val="7C270A47"/>
    <w:rsid w:val="7C420169"/>
    <w:rsid w:val="7C526BA2"/>
    <w:rsid w:val="7C66738C"/>
    <w:rsid w:val="7C887303"/>
    <w:rsid w:val="7C9E49BB"/>
    <w:rsid w:val="7CBE33F7"/>
    <w:rsid w:val="7CDE5CED"/>
    <w:rsid w:val="7CE77E19"/>
    <w:rsid w:val="7CF873D9"/>
    <w:rsid w:val="7CFC31CC"/>
    <w:rsid w:val="7D023B87"/>
    <w:rsid w:val="7D094AC2"/>
    <w:rsid w:val="7D277784"/>
    <w:rsid w:val="7D281411"/>
    <w:rsid w:val="7D2D0E92"/>
    <w:rsid w:val="7D2F1335"/>
    <w:rsid w:val="7D5E7AAB"/>
    <w:rsid w:val="7D613541"/>
    <w:rsid w:val="7D623196"/>
    <w:rsid w:val="7D6A383D"/>
    <w:rsid w:val="7D787EF8"/>
    <w:rsid w:val="7D853F17"/>
    <w:rsid w:val="7DB3008D"/>
    <w:rsid w:val="7DB32A7F"/>
    <w:rsid w:val="7DC3439E"/>
    <w:rsid w:val="7DE435B1"/>
    <w:rsid w:val="7DF123E8"/>
    <w:rsid w:val="7E0064D6"/>
    <w:rsid w:val="7E032F24"/>
    <w:rsid w:val="7E113552"/>
    <w:rsid w:val="7E34384C"/>
    <w:rsid w:val="7E3D470A"/>
    <w:rsid w:val="7E3E2ED1"/>
    <w:rsid w:val="7E481050"/>
    <w:rsid w:val="7E4F112B"/>
    <w:rsid w:val="7E5132C5"/>
    <w:rsid w:val="7E725143"/>
    <w:rsid w:val="7E7722A2"/>
    <w:rsid w:val="7E8D040A"/>
    <w:rsid w:val="7EB75211"/>
    <w:rsid w:val="7ED17784"/>
    <w:rsid w:val="7EDA761A"/>
    <w:rsid w:val="7EFC4E2F"/>
    <w:rsid w:val="7F20708C"/>
    <w:rsid w:val="7F334BDF"/>
    <w:rsid w:val="7F413AA5"/>
    <w:rsid w:val="7F4E67C5"/>
    <w:rsid w:val="7F5E3540"/>
    <w:rsid w:val="7F6C5324"/>
    <w:rsid w:val="7F8A2AB7"/>
    <w:rsid w:val="7F8C2BED"/>
    <w:rsid w:val="7F8F0454"/>
    <w:rsid w:val="7FAE3829"/>
    <w:rsid w:val="7FC62FFE"/>
    <w:rsid w:val="7FCA3FDF"/>
    <w:rsid w:val="7FE3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qFormat="1" w:uiPriority="99"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45"/>
    <w:qFormat/>
    <w:uiPriority w:val="9"/>
    <w:pPr>
      <w:keepNext/>
      <w:keepLines/>
      <w:spacing w:line="240" w:lineRule="auto"/>
      <w:jc w:val="center"/>
      <w:outlineLvl w:val="0"/>
    </w:pPr>
    <w:rPr>
      <w:rFonts w:eastAsia="仿宋"/>
      <w:b/>
      <w:color w:val="000000"/>
      <w:kern w:val="44"/>
      <w:sz w:val="36"/>
      <w:szCs w:val="44"/>
    </w:rPr>
  </w:style>
  <w:style w:type="paragraph" w:styleId="3">
    <w:name w:val="heading 2"/>
    <w:basedOn w:val="1"/>
    <w:next w:val="1"/>
    <w:qFormat/>
    <w:uiPriority w:val="9"/>
    <w:pPr>
      <w:keepNext/>
      <w:keepLines/>
      <w:spacing w:line="240" w:lineRule="auto"/>
      <w:outlineLvl w:val="1"/>
    </w:pPr>
    <w:rPr>
      <w:rFonts w:ascii="Calibri" w:hAnsi="Calibri" w:cs="黑体"/>
      <w:b/>
      <w:bCs/>
      <w:sz w:val="32"/>
      <w:szCs w:val="32"/>
    </w:rPr>
  </w:style>
  <w:style w:type="paragraph" w:styleId="4">
    <w:name w:val="heading 3"/>
    <w:basedOn w:val="1"/>
    <w:next w:val="1"/>
    <w:qFormat/>
    <w:uiPriority w:val="9"/>
    <w:pPr>
      <w:keepNext/>
      <w:keepLines/>
      <w:spacing w:line="400" w:lineRule="atLeast"/>
      <w:jc w:val="center"/>
      <w:outlineLvl w:val="2"/>
    </w:pPr>
    <w:rPr>
      <w:b/>
      <w:bCs/>
      <w:sz w:val="32"/>
      <w:szCs w:val="32"/>
      <w:u w:val="double"/>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semiHidden/>
    <w:unhideWhenUsed/>
    <w:qFormat/>
    <w:uiPriority w:val="99"/>
    <w:pPr>
      <w:ind w:left="420" w:leftChars="200"/>
    </w:pPr>
  </w:style>
  <w:style w:type="paragraph" w:styleId="7">
    <w:name w:val="Normal Indent"/>
    <w:basedOn w:val="1"/>
    <w:qFormat/>
    <w:uiPriority w:val="99"/>
    <w:pPr>
      <w:ind w:firstLine="420"/>
    </w:pPr>
  </w:style>
  <w:style w:type="paragraph" w:styleId="8">
    <w:name w:val="annotation text"/>
    <w:basedOn w:val="1"/>
    <w:link w:val="49"/>
    <w:qFormat/>
    <w:uiPriority w:val="0"/>
    <w:pPr>
      <w:jc w:val="left"/>
    </w:pPr>
  </w:style>
  <w:style w:type="paragraph" w:styleId="9">
    <w:name w:val="Body Text"/>
    <w:basedOn w:val="1"/>
    <w:next w:val="1"/>
    <w:qFormat/>
    <w:uiPriority w:val="99"/>
    <w:pPr>
      <w:spacing w:after="120"/>
    </w:pPr>
  </w:style>
  <w:style w:type="paragraph" w:styleId="10">
    <w:name w:val="Body Text Indent"/>
    <w:basedOn w:val="1"/>
    <w:qFormat/>
    <w:uiPriority w:val="0"/>
    <w:pPr>
      <w:spacing w:after="120"/>
      <w:ind w:left="420" w:leftChars="200"/>
    </w:pPr>
  </w:style>
  <w:style w:type="paragraph" w:styleId="11">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12">
    <w:name w:val="Date"/>
    <w:next w:val="1"/>
    <w:qFormat/>
    <w:uiPriority w:val="0"/>
    <w:pPr>
      <w:widowControl w:val="0"/>
      <w:ind w:leftChars="2500"/>
      <w:jc w:val="both"/>
    </w:pPr>
    <w:rPr>
      <w:rFonts w:hint="eastAsia" w:ascii="仿宋_GB2312" w:hAnsi="Calibri" w:eastAsia="仿宋_GB2312" w:cs="Times New Roman"/>
      <w:color w:val="000000"/>
      <w:kern w:val="0"/>
      <w:sz w:val="32"/>
      <w:szCs w:val="20"/>
      <w:lang w:val="en-US" w:eastAsia="zh-CN" w:bidi="ar-SA"/>
    </w:rPr>
  </w:style>
  <w:style w:type="paragraph" w:styleId="13">
    <w:name w:val="Balloon Text"/>
    <w:basedOn w:val="1"/>
    <w:link w:val="51"/>
    <w:qFormat/>
    <w:uiPriority w:val="0"/>
    <w:pPr>
      <w:spacing w:line="240" w:lineRule="auto"/>
    </w:pPr>
    <w:rPr>
      <w:sz w:val="18"/>
      <w:szCs w:val="18"/>
    </w:rPr>
  </w:style>
  <w:style w:type="paragraph" w:styleId="14">
    <w:name w:val="footer"/>
    <w:basedOn w:val="1"/>
    <w:qFormat/>
    <w:uiPriority w:val="99"/>
    <w:pPr>
      <w:widowControl w:val="0"/>
      <w:tabs>
        <w:tab w:val="center" w:pos="4153"/>
        <w:tab w:val="right" w:pos="8306"/>
      </w:tabs>
      <w:snapToGrid w:val="0"/>
      <w:spacing w:line="240" w:lineRule="auto"/>
      <w:jc w:val="left"/>
    </w:pPr>
    <w:rPr>
      <w:sz w:val="18"/>
    </w:rPr>
  </w:style>
  <w:style w:type="paragraph" w:styleId="15">
    <w:name w:val="header"/>
    <w:basedOn w:val="1"/>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6">
    <w:name w:val="toc 1"/>
    <w:basedOn w:val="1"/>
    <w:next w:val="1"/>
    <w:qFormat/>
    <w:uiPriority w:val="39"/>
  </w:style>
  <w:style w:type="paragraph" w:styleId="17">
    <w:name w:val="toc 2"/>
    <w:basedOn w:val="1"/>
    <w:next w:val="1"/>
    <w:unhideWhenUsed/>
    <w:qFormat/>
    <w:uiPriority w:val="39"/>
    <w:pPr>
      <w:ind w:left="420" w:leftChars="200"/>
    </w:pPr>
  </w:style>
  <w:style w:type="paragraph" w:styleId="18">
    <w:name w:val="Normal (Web)"/>
    <w:basedOn w:val="1"/>
    <w:qFormat/>
    <w:uiPriority w:val="99"/>
    <w:pPr>
      <w:spacing w:beforeAutospacing="1" w:afterAutospacing="1"/>
      <w:jc w:val="left"/>
    </w:pPr>
    <w:rPr>
      <w:rFonts w:cs="Times New Roman"/>
      <w:kern w:val="0"/>
      <w:sz w:val="24"/>
    </w:rPr>
  </w:style>
  <w:style w:type="paragraph" w:styleId="19">
    <w:name w:val="annotation subject"/>
    <w:basedOn w:val="8"/>
    <w:next w:val="8"/>
    <w:link w:val="50"/>
    <w:qFormat/>
    <w:uiPriority w:val="0"/>
    <w:rPr>
      <w:b/>
      <w:bCs/>
    </w:rPr>
  </w:style>
  <w:style w:type="paragraph" w:styleId="20">
    <w:name w:val="Body Text First Indent"/>
    <w:basedOn w:val="9"/>
    <w:unhideWhenUsed/>
    <w:qFormat/>
    <w:uiPriority w:val="0"/>
    <w:pPr>
      <w:spacing w:line="240" w:lineRule="auto"/>
      <w:ind w:firstLine="420" w:firstLineChars="100"/>
    </w:pPr>
    <w:rPr>
      <w:rFonts w:ascii="Times New Roman" w:hAnsi="Times New Roman"/>
      <w:sz w:val="18"/>
      <w:szCs w:val="18"/>
    </w:rPr>
  </w:style>
  <w:style w:type="paragraph" w:styleId="21">
    <w:name w:val="Body Text First Indent 2"/>
    <w:basedOn w:val="10"/>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FollowedHyperlink"/>
    <w:basedOn w:val="24"/>
    <w:semiHidden/>
    <w:unhideWhenUsed/>
    <w:qFormat/>
    <w:uiPriority w:val="0"/>
    <w:rPr>
      <w:color w:val="800080"/>
      <w:u w:val="none"/>
    </w:rPr>
  </w:style>
  <w:style w:type="character" w:styleId="27">
    <w:name w:val="Emphasis"/>
    <w:basedOn w:val="24"/>
    <w:qFormat/>
    <w:uiPriority w:val="0"/>
    <w:rPr>
      <w:b/>
    </w:rPr>
  </w:style>
  <w:style w:type="character" w:styleId="28">
    <w:name w:val="HTML Definition"/>
    <w:basedOn w:val="24"/>
    <w:semiHidden/>
    <w:unhideWhenUsed/>
    <w:qFormat/>
    <w:uiPriority w:val="0"/>
  </w:style>
  <w:style w:type="character" w:styleId="29">
    <w:name w:val="HTML Typewriter"/>
    <w:basedOn w:val="24"/>
    <w:semiHidden/>
    <w:unhideWhenUsed/>
    <w:qFormat/>
    <w:uiPriority w:val="0"/>
    <w:rPr>
      <w:rFonts w:ascii="monospace" w:hAnsi="monospace" w:eastAsia="monospace" w:cs="monospace"/>
      <w:sz w:val="20"/>
    </w:rPr>
  </w:style>
  <w:style w:type="character" w:styleId="30">
    <w:name w:val="HTML Acronym"/>
    <w:basedOn w:val="24"/>
    <w:semiHidden/>
    <w:unhideWhenUsed/>
    <w:qFormat/>
    <w:uiPriority w:val="0"/>
  </w:style>
  <w:style w:type="character" w:styleId="31">
    <w:name w:val="HTML Variable"/>
    <w:basedOn w:val="24"/>
    <w:semiHidden/>
    <w:unhideWhenUsed/>
    <w:qFormat/>
    <w:uiPriority w:val="0"/>
  </w:style>
  <w:style w:type="character" w:styleId="32">
    <w:name w:val="Hyperlink"/>
    <w:qFormat/>
    <w:uiPriority w:val="99"/>
    <w:rPr>
      <w:color w:val="000000"/>
      <w:sz w:val="18"/>
      <w:szCs w:val="18"/>
      <w:u w:val="none"/>
    </w:rPr>
  </w:style>
  <w:style w:type="character" w:styleId="33">
    <w:name w:val="HTML Code"/>
    <w:basedOn w:val="24"/>
    <w:semiHidden/>
    <w:unhideWhenUsed/>
    <w:qFormat/>
    <w:uiPriority w:val="0"/>
    <w:rPr>
      <w:rFonts w:hint="default" w:ascii="monospace" w:hAnsi="monospace" w:eastAsia="monospace" w:cs="monospace"/>
      <w:sz w:val="20"/>
    </w:rPr>
  </w:style>
  <w:style w:type="character" w:styleId="34">
    <w:name w:val="annotation reference"/>
    <w:basedOn w:val="24"/>
    <w:qFormat/>
    <w:uiPriority w:val="0"/>
    <w:rPr>
      <w:sz w:val="21"/>
      <w:szCs w:val="21"/>
    </w:rPr>
  </w:style>
  <w:style w:type="character" w:styleId="35">
    <w:name w:val="HTML Cite"/>
    <w:basedOn w:val="24"/>
    <w:semiHidden/>
    <w:unhideWhenUsed/>
    <w:qFormat/>
    <w:uiPriority w:val="0"/>
  </w:style>
  <w:style w:type="character" w:styleId="36">
    <w:name w:val="HTML Keyboard"/>
    <w:basedOn w:val="24"/>
    <w:semiHidden/>
    <w:unhideWhenUsed/>
    <w:qFormat/>
    <w:uiPriority w:val="0"/>
    <w:rPr>
      <w:rFonts w:hint="default" w:ascii="monospace" w:hAnsi="monospace" w:eastAsia="monospace" w:cs="monospace"/>
      <w:sz w:val="18"/>
      <w:szCs w:val="18"/>
      <w:bdr w:val="single" w:color="D2D2D2" w:sz="2" w:space="0"/>
    </w:rPr>
  </w:style>
  <w:style w:type="character" w:styleId="37">
    <w:name w:val="HTML Sample"/>
    <w:basedOn w:val="24"/>
    <w:semiHidden/>
    <w:unhideWhenUsed/>
    <w:qFormat/>
    <w:uiPriority w:val="0"/>
    <w:rPr>
      <w:rFonts w:hint="default" w:ascii="monospace" w:hAnsi="monospace" w:eastAsia="monospace" w:cs="monospace"/>
    </w:rPr>
  </w:style>
  <w:style w:type="paragraph" w:customStyle="1" w:styleId="38">
    <w:name w:val="段"/>
    <w:next w:val="1"/>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paragraph" w:customStyle="1" w:styleId="39">
    <w:name w:val="正文缩进1"/>
    <w:basedOn w:val="1"/>
    <w:qFormat/>
    <w:uiPriority w:val="0"/>
    <w:pPr>
      <w:ind w:firstLine="420" w:firstLineChars="200"/>
    </w:pPr>
  </w:style>
  <w:style w:type="paragraph" w:customStyle="1" w:styleId="40">
    <w:name w:val="正文（缩进 2 字符）"/>
    <w:basedOn w:val="1"/>
    <w:qFormat/>
    <w:uiPriority w:val="0"/>
    <w:pPr>
      <w:ind w:firstLine="200" w:firstLineChars="200"/>
    </w:pPr>
  </w:style>
  <w:style w:type="paragraph" w:customStyle="1" w:styleId="41">
    <w:name w:val="正文（缩进 4 字符）"/>
    <w:basedOn w:val="1"/>
    <w:qFormat/>
    <w:uiPriority w:val="0"/>
    <w:pPr>
      <w:ind w:firstLine="1134" w:firstLineChars="400"/>
    </w:pPr>
  </w:style>
  <w:style w:type="paragraph" w:customStyle="1" w:styleId="42">
    <w:name w:val="列出段落1"/>
    <w:basedOn w:val="1"/>
    <w:qFormat/>
    <w:uiPriority w:val="99"/>
    <w:pPr>
      <w:ind w:firstLine="420" w:firstLineChars="200"/>
    </w:pPr>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标题 2（投标文件）"/>
    <w:basedOn w:val="3"/>
    <w:qFormat/>
    <w:uiPriority w:val="0"/>
    <w:pPr>
      <w:jc w:val="center"/>
    </w:pPr>
  </w:style>
  <w:style w:type="character" w:customStyle="1" w:styleId="45">
    <w:name w:val="标题 1 字符"/>
    <w:link w:val="2"/>
    <w:qFormat/>
    <w:uiPriority w:val="9"/>
    <w:rPr>
      <w:rFonts w:eastAsia="仿宋"/>
      <w:b/>
      <w:color w:val="000000"/>
      <w:kern w:val="44"/>
      <w:sz w:val="36"/>
      <w:szCs w:val="44"/>
    </w:rPr>
  </w:style>
  <w:style w:type="paragraph" w:customStyle="1" w:styleId="46">
    <w:name w:val="标题 3（投标文件）"/>
    <w:basedOn w:val="4"/>
    <w:qFormat/>
    <w:uiPriority w:val="0"/>
    <w:pPr>
      <w:jc w:val="left"/>
    </w:pPr>
    <w:rPr>
      <w:u w:val="none"/>
    </w:rPr>
  </w:style>
  <w:style w:type="character" w:customStyle="1" w:styleId="47">
    <w:name w:val="font21"/>
    <w:basedOn w:val="24"/>
    <w:qFormat/>
    <w:uiPriority w:val="0"/>
    <w:rPr>
      <w:rFonts w:hint="default" w:ascii="Tahoma" w:hAnsi="Tahoma" w:eastAsia="Tahoma" w:cs="Tahoma"/>
      <w:color w:val="000000"/>
      <w:sz w:val="22"/>
      <w:szCs w:val="22"/>
      <w:u w:val="none"/>
    </w:rPr>
  </w:style>
  <w:style w:type="character" w:customStyle="1" w:styleId="48">
    <w:name w:val="font01"/>
    <w:basedOn w:val="24"/>
    <w:qFormat/>
    <w:uiPriority w:val="0"/>
    <w:rPr>
      <w:rFonts w:hint="eastAsia" w:ascii="宋体" w:hAnsi="宋体" w:eastAsia="宋体" w:cs="宋体"/>
      <w:color w:val="000000"/>
      <w:sz w:val="22"/>
      <w:szCs w:val="22"/>
      <w:u w:val="none"/>
    </w:rPr>
  </w:style>
  <w:style w:type="character" w:customStyle="1" w:styleId="49">
    <w:name w:val="批注文字 字符"/>
    <w:basedOn w:val="24"/>
    <w:link w:val="8"/>
    <w:qFormat/>
    <w:uiPriority w:val="0"/>
    <w:rPr>
      <w:rFonts w:ascii="Calibri Light" w:hAnsi="Calibri Light" w:eastAsia="华文仿宋" w:cs="Calibri Light"/>
      <w:kern w:val="2"/>
      <w:sz w:val="28"/>
      <w:szCs w:val="28"/>
    </w:rPr>
  </w:style>
  <w:style w:type="character" w:customStyle="1" w:styleId="50">
    <w:name w:val="批注主题 字符"/>
    <w:basedOn w:val="49"/>
    <w:link w:val="19"/>
    <w:qFormat/>
    <w:uiPriority w:val="0"/>
    <w:rPr>
      <w:rFonts w:ascii="Calibri Light" w:hAnsi="Calibri Light" w:eastAsia="华文仿宋" w:cs="Calibri Light"/>
      <w:b/>
      <w:bCs/>
      <w:kern w:val="2"/>
      <w:sz w:val="28"/>
      <w:szCs w:val="28"/>
    </w:rPr>
  </w:style>
  <w:style w:type="character" w:customStyle="1" w:styleId="51">
    <w:name w:val="批注框文本 字符"/>
    <w:basedOn w:val="24"/>
    <w:link w:val="13"/>
    <w:qFormat/>
    <w:uiPriority w:val="0"/>
    <w:rPr>
      <w:rFonts w:ascii="Calibri Light" w:hAnsi="Calibri Light" w:eastAsia="华文仿宋" w:cs="Calibri Light"/>
      <w:kern w:val="2"/>
      <w:sz w:val="18"/>
      <w:szCs w:val="18"/>
    </w:rPr>
  </w:style>
  <w:style w:type="paragraph" w:styleId="52">
    <w:name w:val="List Paragraph"/>
    <w:basedOn w:val="1"/>
    <w:qFormat/>
    <w:uiPriority w:val="34"/>
    <w:pPr>
      <w:ind w:firstLine="420" w:firstLineChars="200"/>
    </w:pPr>
  </w:style>
  <w:style w:type="table" w:customStyle="1" w:styleId="53">
    <w:name w:val="Table Normal"/>
    <w:unhideWhenUsed/>
    <w:qFormat/>
    <w:uiPriority w:val="0"/>
    <w:tblPr>
      <w:tblCellMar>
        <w:top w:w="0" w:type="dxa"/>
        <w:left w:w="0" w:type="dxa"/>
        <w:bottom w:w="0" w:type="dxa"/>
        <w:right w:w="0" w:type="dxa"/>
      </w:tblCellMar>
    </w:tblPr>
  </w:style>
  <w:style w:type="character" w:customStyle="1" w:styleId="54">
    <w:name w:val="font11"/>
    <w:basedOn w:val="24"/>
    <w:qFormat/>
    <w:uiPriority w:val="0"/>
    <w:rPr>
      <w:rFonts w:hint="eastAsia" w:ascii="宋体" w:hAnsi="宋体" w:eastAsia="宋体" w:cs="宋体"/>
      <w:color w:val="000000"/>
      <w:sz w:val="24"/>
      <w:szCs w:val="24"/>
      <w:u w:val="none"/>
    </w:rPr>
  </w:style>
  <w:style w:type="character" w:customStyle="1" w:styleId="55">
    <w:name w:val="font31"/>
    <w:basedOn w:val="24"/>
    <w:qFormat/>
    <w:uiPriority w:val="0"/>
    <w:rPr>
      <w:rFonts w:ascii="Arial Unicode MS" w:hAnsi="Arial Unicode MS" w:eastAsia="Arial Unicode MS" w:cs="Arial Unicode MS"/>
      <w:color w:val="000000"/>
      <w:sz w:val="24"/>
      <w:szCs w:val="24"/>
      <w:u w:val="none"/>
    </w:rPr>
  </w:style>
  <w:style w:type="character" w:customStyle="1" w:styleId="56">
    <w:name w:val="font61"/>
    <w:basedOn w:val="24"/>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28073</Words>
  <Characters>30034</Characters>
  <Lines>245</Lines>
  <Paragraphs>68</Paragraphs>
  <TotalTime>5</TotalTime>
  <ScaleCrop>false</ScaleCrop>
  <LinksUpToDate>false</LinksUpToDate>
  <CharactersWithSpaces>30721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2020-07-14T04:13:00Z</dcterms:created>
  <dc:creator>x</dc:creator>
  <cp:lastModifiedBy>lenovo</cp:lastModifiedBy>
  <cp:lastPrinted>2023-08-11T02:37:00Z</cp:lastPrinted>
  <dcterms:modified xsi:type="dcterms:W3CDTF">2023-12-01T04:39:38Z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C1863EAD3B154342B8010F7CF7AB9BA7</vt:lpwstr>
  </property>
</Properties>
</file>