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eastAsia="宋体" w:cs="宋体"/>
          <w:b/>
          <w:bCs/>
          <w:sz w:val="28"/>
          <w:szCs w:val="28"/>
          <w:highlight w:val="none"/>
        </w:rPr>
      </w:pPr>
      <w:r>
        <w:rPr>
          <w:rFonts w:hint="eastAsia" w:ascii="宋体" w:hAnsi="宋体" w:eastAsia="宋体" w:cs="宋体"/>
          <w:b/>
          <w:bCs/>
          <w:sz w:val="28"/>
          <w:szCs w:val="28"/>
          <w:highlight w:val="none"/>
        </w:rPr>
        <w:t>政府采购项目</w:t>
      </w:r>
    </w:p>
    <w:p>
      <w:pPr>
        <w:spacing w:line="360" w:lineRule="auto"/>
        <w:rPr>
          <w:rFonts w:ascii="宋体" w:hAnsi="宋体" w:eastAsia="宋体" w:cs="宋体"/>
          <w:b/>
          <w:bCs/>
          <w:sz w:val="28"/>
          <w:szCs w:val="28"/>
          <w:highlight w:val="none"/>
        </w:rPr>
      </w:pPr>
      <w:r>
        <w:rPr>
          <w:rFonts w:hint="eastAsia" w:ascii="宋体" w:hAnsi="宋体" w:eastAsia="宋体" w:cs="宋体"/>
          <w:b/>
          <w:bCs/>
          <w:sz w:val="28"/>
          <w:szCs w:val="28"/>
          <w:highlight w:val="none"/>
        </w:rPr>
        <w:t>项目编号：HTXMZB2022-049</w:t>
      </w:r>
    </w:p>
    <w:p>
      <w:pPr>
        <w:jc w:val="center"/>
        <w:rPr>
          <w:rFonts w:ascii="宋体" w:hAnsi="宋体" w:eastAsia="宋体" w:cs="宋体"/>
          <w:b/>
          <w:bCs/>
          <w:sz w:val="48"/>
          <w:szCs w:val="48"/>
          <w:highlight w:val="none"/>
        </w:rPr>
      </w:pPr>
      <w:bookmarkStart w:id="218" w:name="_GoBack"/>
      <w:bookmarkEnd w:id="218"/>
    </w:p>
    <w:p>
      <w:pPr>
        <w:jc w:val="center"/>
        <w:rPr>
          <w:rFonts w:ascii="宋体" w:hAnsi="宋体" w:eastAsia="宋体" w:cs="宋体"/>
          <w:b/>
          <w:bCs/>
          <w:sz w:val="48"/>
          <w:szCs w:val="48"/>
          <w:highlight w:val="none"/>
        </w:rPr>
      </w:pPr>
    </w:p>
    <w:p>
      <w:pPr>
        <w:jc w:val="center"/>
        <w:rPr>
          <w:rFonts w:ascii="宋体" w:hAnsi="宋体" w:eastAsia="宋体" w:cs="宋体"/>
          <w:b/>
          <w:bCs/>
          <w:spacing w:val="-11"/>
          <w:szCs w:val="48"/>
          <w:highlight w:val="none"/>
        </w:rPr>
      </w:pPr>
      <w:r>
        <w:rPr>
          <w:rFonts w:hint="eastAsia" w:ascii="宋体" w:hAnsi="宋体" w:eastAsia="宋体" w:cs="宋体"/>
          <w:b/>
          <w:bCs/>
          <w:sz w:val="48"/>
          <w:szCs w:val="48"/>
          <w:highlight w:val="none"/>
        </w:rPr>
        <w:t>汉中市国资在线监管系统建设（一期）</w:t>
      </w:r>
    </w:p>
    <w:p>
      <w:pPr>
        <w:jc w:val="center"/>
        <w:rPr>
          <w:rFonts w:ascii="宋体" w:hAnsi="宋体" w:eastAsia="宋体" w:cs="宋体"/>
          <w:b/>
          <w:bCs/>
          <w:sz w:val="48"/>
          <w:szCs w:val="48"/>
          <w:highlight w:val="none"/>
        </w:rPr>
      </w:pPr>
    </w:p>
    <w:p>
      <w:pPr>
        <w:rPr>
          <w:highlight w:val="none"/>
        </w:rPr>
      </w:pPr>
    </w:p>
    <w:p>
      <w:pPr>
        <w:pStyle w:val="2"/>
        <w:rPr>
          <w:highlight w:val="none"/>
        </w:rPr>
      </w:pPr>
    </w:p>
    <w:p>
      <w:pPr>
        <w:jc w:val="center"/>
        <w:rPr>
          <w:rFonts w:ascii="宋体" w:hAnsi="宋体" w:eastAsia="宋体" w:cs="宋体"/>
          <w:b/>
          <w:bCs/>
          <w:sz w:val="48"/>
          <w:szCs w:val="48"/>
          <w:highlight w:val="none"/>
        </w:rPr>
      </w:pPr>
    </w:p>
    <w:p>
      <w:pPr>
        <w:jc w:val="center"/>
        <w:rPr>
          <w:rFonts w:ascii="宋体" w:hAnsi="宋体" w:eastAsia="宋体" w:cs="宋体"/>
          <w:b/>
          <w:bCs/>
          <w:sz w:val="48"/>
          <w:szCs w:val="48"/>
          <w:highlight w:val="none"/>
        </w:rPr>
      </w:pPr>
    </w:p>
    <w:p>
      <w:pPr>
        <w:jc w:val="center"/>
        <w:rPr>
          <w:rFonts w:ascii="宋体" w:hAnsi="宋体" w:eastAsia="宋体" w:cs="宋体"/>
          <w:b/>
          <w:bCs/>
          <w:sz w:val="48"/>
          <w:szCs w:val="48"/>
          <w:highlight w:val="none"/>
        </w:rPr>
      </w:pPr>
    </w:p>
    <w:p>
      <w:pPr>
        <w:jc w:val="center"/>
        <w:rPr>
          <w:rFonts w:ascii="宋体" w:hAnsi="宋体" w:eastAsia="宋体" w:cs="宋体"/>
          <w:b/>
          <w:bCs/>
          <w:sz w:val="48"/>
          <w:szCs w:val="48"/>
          <w:highlight w:val="none"/>
        </w:rPr>
      </w:pPr>
      <w:r>
        <w:rPr>
          <w:rFonts w:hint="eastAsia" w:ascii="宋体" w:hAnsi="宋体" w:eastAsia="宋体" w:cs="宋体"/>
          <w:spacing w:val="6"/>
          <w:sz w:val="84"/>
          <w:szCs w:val="84"/>
          <w:highlight w:val="none"/>
          <w14:textOutline w14:w="10147" w14:cap="sq" w14:cmpd="sng" w14:algn="ctr">
            <w14:solidFill>
              <w14:srgbClr w14:val="000000"/>
            </w14:solidFill>
            <w14:prstDash w14:val="solid"/>
            <w14:bevel/>
          </w14:textOutline>
        </w:rPr>
        <w:t>招标文件</w:t>
      </w:r>
    </w:p>
    <w:p>
      <w:pPr>
        <w:spacing w:line="360" w:lineRule="auto"/>
        <w:ind w:firstLine="723" w:firstLineChars="200"/>
        <w:rPr>
          <w:rFonts w:ascii="宋体" w:hAnsi="宋体" w:eastAsia="宋体" w:cs="宋体"/>
          <w:b/>
          <w:bCs/>
          <w:sz w:val="36"/>
          <w:szCs w:val="36"/>
          <w:highlight w:val="none"/>
        </w:rPr>
      </w:pPr>
    </w:p>
    <w:p>
      <w:pPr>
        <w:spacing w:line="360" w:lineRule="auto"/>
        <w:ind w:firstLine="723" w:firstLineChars="200"/>
        <w:rPr>
          <w:rFonts w:ascii="宋体" w:hAnsi="宋体" w:eastAsia="宋体" w:cs="宋体"/>
          <w:b/>
          <w:bCs/>
          <w:sz w:val="36"/>
          <w:szCs w:val="36"/>
          <w:highlight w:val="none"/>
        </w:rPr>
      </w:pPr>
    </w:p>
    <w:p>
      <w:pPr>
        <w:spacing w:line="360" w:lineRule="auto"/>
        <w:ind w:firstLine="723" w:firstLineChars="200"/>
        <w:rPr>
          <w:rFonts w:ascii="宋体" w:hAnsi="宋体" w:eastAsia="宋体" w:cs="宋体"/>
          <w:b/>
          <w:bCs/>
          <w:sz w:val="36"/>
          <w:szCs w:val="36"/>
          <w:highlight w:val="none"/>
        </w:rPr>
      </w:pPr>
    </w:p>
    <w:p>
      <w:pPr>
        <w:spacing w:line="360" w:lineRule="auto"/>
        <w:ind w:firstLine="723" w:firstLineChars="200"/>
        <w:rPr>
          <w:rFonts w:ascii="宋体" w:hAnsi="宋体" w:eastAsia="宋体" w:cs="宋体"/>
          <w:b/>
          <w:bCs/>
          <w:sz w:val="36"/>
          <w:szCs w:val="36"/>
          <w:highlight w:val="none"/>
        </w:rPr>
      </w:pPr>
    </w:p>
    <w:p>
      <w:pPr>
        <w:pStyle w:val="2"/>
        <w:rPr>
          <w:rFonts w:ascii="宋体" w:hAnsi="宋体" w:eastAsia="宋体" w:cs="宋体"/>
          <w:b/>
          <w:bCs/>
          <w:sz w:val="36"/>
          <w:szCs w:val="36"/>
          <w:highlight w:val="none"/>
        </w:rPr>
      </w:pPr>
    </w:p>
    <w:p>
      <w:pPr>
        <w:rPr>
          <w:rFonts w:ascii="宋体" w:hAnsi="宋体" w:eastAsia="宋体" w:cs="宋体"/>
          <w:b/>
          <w:bCs/>
          <w:sz w:val="36"/>
          <w:szCs w:val="36"/>
          <w:highlight w:val="none"/>
        </w:rPr>
      </w:pPr>
    </w:p>
    <w:p>
      <w:pPr>
        <w:pStyle w:val="2"/>
        <w:rPr>
          <w:highlight w:val="none"/>
        </w:rPr>
      </w:pPr>
    </w:p>
    <w:p>
      <w:pPr>
        <w:spacing w:line="480" w:lineRule="auto"/>
        <w:ind w:firstLine="643" w:firstLineChars="200"/>
        <w:rPr>
          <w:rFonts w:ascii="宋体" w:hAnsi="宋体" w:eastAsia="宋体" w:cs="宋体"/>
          <w:b/>
          <w:bCs/>
          <w:sz w:val="32"/>
          <w:szCs w:val="32"/>
          <w:highlight w:val="none"/>
        </w:rPr>
      </w:pPr>
      <w:r>
        <w:rPr>
          <w:rFonts w:hint="eastAsia" w:ascii="宋体" w:hAnsi="宋体" w:eastAsia="宋体" w:cs="宋体"/>
          <w:b/>
          <w:bCs/>
          <w:sz w:val="32"/>
          <w:szCs w:val="32"/>
          <w:highlight w:val="none"/>
        </w:rPr>
        <w:t>采 购 人：汉中市政府国有资产监督管理委员会</w:t>
      </w:r>
    </w:p>
    <w:p>
      <w:pPr>
        <w:spacing w:line="480" w:lineRule="auto"/>
        <w:ind w:firstLine="643" w:firstLineChars="200"/>
        <w:rPr>
          <w:rFonts w:ascii="宋体" w:hAnsi="宋体" w:eastAsia="宋体" w:cs="宋体"/>
          <w:b/>
          <w:bCs/>
          <w:sz w:val="32"/>
          <w:szCs w:val="32"/>
          <w:highlight w:val="none"/>
        </w:rPr>
      </w:pPr>
      <w:r>
        <w:rPr>
          <w:rFonts w:hint="eastAsia" w:ascii="宋体" w:hAnsi="宋体" w:eastAsia="宋体" w:cs="宋体"/>
          <w:b/>
          <w:bCs/>
          <w:sz w:val="32"/>
          <w:szCs w:val="32"/>
          <w:highlight w:val="none"/>
        </w:rPr>
        <w:t>代理机构：陕西华泰工程项目管理有限公司</w:t>
      </w:r>
    </w:p>
    <w:p>
      <w:pPr>
        <w:spacing w:line="480" w:lineRule="auto"/>
        <w:jc w:val="center"/>
        <w:rPr>
          <w:rFonts w:ascii="宋体" w:hAnsi="宋体" w:eastAsia="宋体" w:cs="宋体"/>
          <w:b/>
          <w:bCs/>
          <w:sz w:val="32"/>
          <w:szCs w:val="32"/>
          <w:highlight w:val="none"/>
        </w:rPr>
      </w:pPr>
      <w:r>
        <w:rPr>
          <w:rFonts w:hint="eastAsia" w:ascii="宋体" w:hAnsi="宋体" w:eastAsia="宋体" w:cs="宋体"/>
          <w:b/>
          <w:bCs/>
          <w:sz w:val="32"/>
          <w:szCs w:val="32"/>
          <w:highlight w:val="none"/>
        </w:rPr>
        <w:t>二〇二二 年 十一 月</w:t>
      </w:r>
    </w:p>
    <w:p>
      <w:pPr>
        <w:jc w:val="center"/>
        <w:rPr>
          <w:rFonts w:ascii="宋体" w:hAnsi="宋体" w:eastAsia="宋体" w:cs="宋体"/>
          <w:spacing w:val="-17"/>
          <w:sz w:val="44"/>
          <w:szCs w:val="44"/>
          <w:highlight w:val="none"/>
          <w14:textOutline w14:w="8712" w14:cap="sq" w14:cmpd="sng" w14:algn="ctr">
            <w14:solidFill>
              <w14:srgbClr w14:val="000000"/>
            </w14:solidFill>
            <w14:prstDash w14:val="solid"/>
            <w14:bevel/>
          </w14:textOutline>
        </w:rPr>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pPr>
    </w:p>
    <w:p>
      <w:pPr>
        <w:spacing w:line="720" w:lineRule="exact"/>
        <w:jc w:val="center"/>
        <w:rPr>
          <w:rFonts w:ascii="宋体" w:hAnsi="宋体" w:eastAsia="宋体" w:cs="宋体"/>
          <w:spacing w:val="-17"/>
          <w:sz w:val="44"/>
          <w:szCs w:val="44"/>
          <w:highlight w:val="none"/>
          <w14:textOutline w14:w="8712" w14:cap="sq" w14:cmpd="sng" w14:algn="ctr">
            <w14:solidFill>
              <w14:srgbClr w14:val="000000"/>
            </w14:solidFill>
            <w14:prstDash w14:val="solid"/>
            <w14:bevel/>
          </w14:textOutline>
        </w:rPr>
      </w:pPr>
      <w:r>
        <w:rPr>
          <w:rFonts w:ascii="宋体" w:hAnsi="宋体" w:eastAsia="宋体" w:cs="宋体"/>
          <w:spacing w:val="-17"/>
          <w:sz w:val="44"/>
          <w:szCs w:val="44"/>
          <w:highlight w:val="none"/>
          <w14:textOutline w14:w="8712" w14:cap="sq" w14:cmpd="sng" w14:algn="ctr">
            <w14:solidFill>
              <w14:srgbClr w14:val="000000"/>
            </w14:solidFill>
            <w14:prstDash w14:val="solid"/>
            <w14:bevel/>
          </w14:textOutline>
        </w:rPr>
        <w:t>目</w:t>
      </w:r>
      <w:r>
        <w:rPr>
          <w:rFonts w:ascii="宋体" w:hAnsi="宋体" w:eastAsia="宋体" w:cs="宋体"/>
          <w:spacing w:val="-17"/>
          <w:sz w:val="44"/>
          <w:szCs w:val="44"/>
          <w:highlight w:val="none"/>
        </w:rPr>
        <w:t xml:space="preserve">  </w:t>
      </w:r>
      <w:r>
        <w:rPr>
          <w:rFonts w:ascii="宋体" w:hAnsi="宋体" w:eastAsia="宋体" w:cs="宋体"/>
          <w:spacing w:val="-17"/>
          <w:sz w:val="44"/>
          <w:szCs w:val="44"/>
          <w:highlight w:val="none"/>
          <w14:textOutline w14:w="8712" w14:cap="sq" w14:cmpd="sng" w14:algn="ctr">
            <w14:solidFill>
              <w14:srgbClr w14:val="000000"/>
            </w14:solidFill>
            <w14:prstDash w14:val="solid"/>
            <w14:bevel/>
          </w14:textOutline>
        </w:rPr>
        <w:t>录</w:t>
      </w:r>
    </w:p>
    <w:p>
      <w:pPr>
        <w:spacing w:line="720" w:lineRule="exact"/>
        <w:rPr>
          <w:rFonts w:hint="default" w:ascii="宋体" w:hAnsi="宋体" w:eastAsia="宋体" w:cs="宋体"/>
          <w:b/>
          <w:bCs/>
          <w:sz w:val="28"/>
          <w:szCs w:val="28"/>
          <w:highlight w:val="none"/>
          <w:lang w:val="en-US" w:eastAsia="zh-CN"/>
        </w:rPr>
      </w:pPr>
      <w:r>
        <w:rPr>
          <w:rFonts w:hint="eastAsia" w:ascii="宋体" w:hAnsi="宋体" w:eastAsia="宋体" w:cs="宋体"/>
          <w:b/>
          <w:bCs/>
          <w:sz w:val="28"/>
          <w:szCs w:val="28"/>
          <w:highlight w:val="none"/>
        </w:rPr>
        <w:t>第一部分 招标公告</w:t>
      </w:r>
      <w:r>
        <w:rPr>
          <w:rFonts w:hint="eastAsia" w:ascii="宋体" w:hAnsi="宋体" w:eastAsia="宋体" w:cs="宋体"/>
          <w:b/>
          <w:bCs/>
          <w:sz w:val="28"/>
          <w:szCs w:val="28"/>
          <w:highlight w:val="none"/>
          <w:lang w:val="en-US" w:eastAsia="zh-CN"/>
        </w:rPr>
        <w:t>......................................002</w:t>
      </w:r>
    </w:p>
    <w:p>
      <w:pPr>
        <w:spacing w:line="720" w:lineRule="exact"/>
        <w:rPr>
          <w:rFonts w:hint="default" w:ascii="宋体" w:hAnsi="宋体" w:eastAsia="宋体" w:cs="宋体"/>
          <w:b/>
          <w:bCs/>
          <w:sz w:val="28"/>
          <w:szCs w:val="28"/>
          <w:highlight w:val="none"/>
          <w:lang w:val="en-US" w:eastAsia="zh-CN"/>
        </w:rPr>
      </w:pPr>
      <w:r>
        <w:rPr>
          <w:rFonts w:hint="eastAsia" w:ascii="宋体" w:hAnsi="宋体" w:eastAsia="宋体" w:cs="宋体"/>
          <w:b/>
          <w:bCs/>
          <w:sz w:val="28"/>
          <w:szCs w:val="28"/>
          <w:highlight w:val="none"/>
        </w:rPr>
        <w:t>第二部分 投标供应商须知</w:t>
      </w:r>
      <w:r>
        <w:rPr>
          <w:rFonts w:hint="eastAsia" w:ascii="宋体" w:hAnsi="宋体" w:eastAsia="宋体" w:cs="宋体"/>
          <w:b/>
          <w:bCs/>
          <w:sz w:val="28"/>
          <w:szCs w:val="28"/>
          <w:highlight w:val="none"/>
          <w:lang w:val="en-US" w:eastAsia="zh-CN"/>
        </w:rPr>
        <w:t>................................006</w:t>
      </w:r>
    </w:p>
    <w:p>
      <w:pPr>
        <w:spacing w:line="720" w:lineRule="exact"/>
        <w:rPr>
          <w:rFonts w:hint="default" w:ascii="宋体" w:hAnsi="宋体" w:eastAsia="宋体" w:cs="宋体"/>
          <w:b/>
          <w:bCs/>
          <w:sz w:val="28"/>
          <w:szCs w:val="28"/>
          <w:highlight w:val="none"/>
          <w:lang w:val="en-US" w:eastAsia="zh-CN"/>
        </w:rPr>
      </w:pPr>
      <w:r>
        <w:rPr>
          <w:rFonts w:hint="eastAsia" w:ascii="宋体" w:hAnsi="宋体" w:eastAsia="宋体" w:cs="宋体"/>
          <w:b/>
          <w:bCs/>
          <w:sz w:val="28"/>
          <w:szCs w:val="28"/>
          <w:highlight w:val="none"/>
        </w:rPr>
        <w:t>第三部分 采购需求</w:t>
      </w:r>
      <w:r>
        <w:rPr>
          <w:rFonts w:hint="eastAsia" w:ascii="宋体" w:hAnsi="宋体" w:eastAsia="宋体" w:cs="宋体"/>
          <w:b/>
          <w:bCs/>
          <w:sz w:val="28"/>
          <w:szCs w:val="28"/>
          <w:highlight w:val="none"/>
          <w:lang w:val="en-US" w:eastAsia="zh-CN"/>
        </w:rPr>
        <w:t>......................................025</w:t>
      </w:r>
    </w:p>
    <w:p>
      <w:pPr>
        <w:spacing w:line="720" w:lineRule="exact"/>
        <w:rPr>
          <w:rFonts w:hint="default" w:ascii="宋体" w:hAnsi="宋体" w:eastAsia="宋体" w:cs="宋体"/>
          <w:b/>
          <w:bCs/>
          <w:sz w:val="28"/>
          <w:szCs w:val="28"/>
          <w:highlight w:val="none"/>
          <w:lang w:val="en-US" w:eastAsia="zh-CN"/>
        </w:rPr>
      </w:pPr>
      <w:r>
        <w:rPr>
          <w:rFonts w:hint="eastAsia" w:ascii="宋体" w:hAnsi="宋体" w:eastAsia="宋体" w:cs="宋体"/>
          <w:b/>
          <w:bCs/>
          <w:sz w:val="28"/>
          <w:szCs w:val="28"/>
          <w:highlight w:val="none"/>
        </w:rPr>
        <w:t>第四部分 评标办法</w:t>
      </w:r>
      <w:r>
        <w:rPr>
          <w:rFonts w:hint="eastAsia" w:ascii="宋体" w:hAnsi="宋体" w:eastAsia="宋体" w:cs="宋体"/>
          <w:b/>
          <w:bCs/>
          <w:sz w:val="28"/>
          <w:szCs w:val="28"/>
          <w:highlight w:val="none"/>
          <w:lang w:val="en-US" w:eastAsia="zh-CN"/>
        </w:rPr>
        <w:t>......................................046</w:t>
      </w:r>
    </w:p>
    <w:p>
      <w:pPr>
        <w:spacing w:line="720" w:lineRule="exact"/>
        <w:rPr>
          <w:rFonts w:hint="default" w:ascii="宋体" w:hAnsi="宋体" w:eastAsia="宋体" w:cs="宋体"/>
          <w:b/>
          <w:bCs/>
          <w:sz w:val="28"/>
          <w:szCs w:val="28"/>
          <w:highlight w:val="none"/>
          <w:lang w:val="en-US" w:eastAsia="zh-CN"/>
        </w:rPr>
      </w:pPr>
      <w:r>
        <w:rPr>
          <w:rFonts w:hint="eastAsia" w:ascii="宋体" w:hAnsi="宋体" w:eastAsia="宋体" w:cs="宋体"/>
          <w:b/>
          <w:bCs/>
          <w:sz w:val="28"/>
          <w:szCs w:val="28"/>
          <w:highlight w:val="none"/>
        </w:rPr>
        <w:t>第五部分 采购合同</w:t>
      </w:r>
      <w:r>
        <w:rPr>
          <w:rFonts w:hint="eastAsia" w:ascii="宋体" w:hAnsi="宋体" w:eastAsia="宋体" w:cs="宋体"/>
          <w:b/>
          <w:bCs/>
          <w:sz w:val="28"/>
          <w:szCs w:val="28"/>
          <w:highlight w:val="none"/>
          <w:lang w:val="en-US" w:eastAsia="zh-CN"/>
        </w:rPr>
        <w:t>......................................054</w:t>
      </w:r>
    </w:p>
    <w:p>
      <w:pPr>
        <w:spacing w:line="720" w:lineRule="exact"/>
        <w:rPr>
          <w:rFonts w:hint="default" w:ascii="宋体" w:hAnsi="宋体" w:eastAsia="宋体" w:cs="宋体"/>
          <w:b/>
          <w:bCs/>
          <w:sz w:val="28"/>
          <w:szCs w:val="28"/>
          <w:highlight w:val="none"/>
          <w:lang w:val="en-US" w:eastAsia="zh-CN"/>
        </w:rPr>
      </w:pPr>
      <w:r>
        <w:rPr>
          <w:rFonts w:hint="eastAsia" w:ascii="宋体" w:hAnsi="宋体" w:eastAsia="宋体" w:cs="宋体"/>
          <w:b/>
          <w:bCs/>
          <w:sz w:val="28"/>
          <w:szCs w:val="28"/>
          <w:highlight w:val="none"/>
        </w:rPr>
        <w:t>第六部分 投标文件格式</w:t>
      </w:r>
      <w:r>
        <w:rPr>
          <w:rFonts w:hint="eastAsia" w:ascii="宋体" w:hAnsi="宋体" w:eastAsia="宋体" w:cs="宋体"/>
          <w:b/>
          <w:bCs/>
          <w:sz w:val="28"/>
          <w:szCs w:val="28"/>
          <w:highlight w:val="none"/>
          <w:lang w:val="en-US" w:eastAsia="zh-CN"/>
        </w:rPr>
        <w:t>..................................060</w:t>
      </w:r>
    </w:p>
    <w:p>
      <w:pPr>
        <w:spacing w:line="480" w:lineRule="auto"/>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spacing w:before="94" w:line="229" w:lineRule="auto"/>
        <w:jc w:val="center"/>
        <w:outlineLvl w:val="0"/>
        <w:rPr>
          <w:rFonts w:ascii="宋体" w:hAnsi="宋体" w:eastAsia="宋体" w:cs="宋体"/>
          <w:sz w:val="28"/>
          <w:szCs w:val="28"/>
          <w:highlight w:val="none"/>
        </w:rPr>
      </w:pPr>
      <w:r>
        <w:rPr>
          <w:rFonts w:hint="eastAsia" w:ascii="宋体" w:hAnsi="宋体" w:eastAsia="宋体" w:cs="宋体"/>
          <w:spacing w:val="9"/>
          <w:sz w:val="28"/>
          <w:szCs w:val="28"/>
          <w:highlight w:val="none"/>
          <w14:textOutline w14:w="5448" w14:cap="sq" w14:cmpd="sng" w14:algn="ctr">
            <w14:solidFill>
              <w14:srgbClr w14:val="000000"/>
            </w14:solidFill>
            <w14:prstDash w14:val="solid"/>
            <w14:bevel/>
          </w14:textOutline>
        </w:rPr>
        <w:t>第</w:t>
      </w:r>
      <w:r>
        <w:rPr>
          <w:rFonts w:hint="eastAsia" w:ascii="宋体" w:hAnsi="宋体" w:eastAsia="宋体" w:cs="宋体"/>
          <w:spacing w:val="8"/>
          <w:sz w:val="28"/>
          <w:szCs w:val="28"/>
          <w:highlight w:val="none"/>
          <w14:textOutline w14:w="5448" w14:cap="sq" w14:cmpd="sng" w14:algn="ctr">
            <w14:solidFill>
              <w14:srgbClr w14:val="000000"/>
            </w14:solidFill>
            <w14:prstDash w14:val="solid"/>
            <w14:bevel/>
          </w14:textOutline>
        </w:rPr>
        <w:t>一部分 招标公告</w:t>
      </w:r>
    </w:p>
    <w:tbl>
      <w:tblPr>
        <w:tblStyle w:val="20"/>
        <w:tblW w:w="8460"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460"/>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2052" w:hRule="atLeast"/>
        </w:trPr>
        <w:tc>
          <w:tcPr>
            <w:tcW w:w="8460" w:type="dxa"/>
          </w:tcPr>
          <w:p>
            <w:pPr>
              <w:spacing w:line="240" w:lineRule="exact"/>
              <w:rPr>
                <w:rFonts w:ascii="宋体" w:hAnsi="宋体" w:eastAsia="宋体" w:cs="宋体"/>
                <w:b/>
                <w:bCs/>
                <w:sz w:val="24"/>
                <w:szCs w:val="24"/>
                <w:highlight w:val="none"/>
              </w:rPr>
            </w:pPr>
          </w:p>
          <w:p>
            <w:pPr>
              <w:spacing w:line="360" w:lineRule="auto"/>
              <w:rPr>
                <w:rFonts w:ascii="宋体" w:hAnsi="宋体" w:eastAsia="宋体" w:cs="宋体"/>
                <w:b/>
                <w:bCs/>
                <w:sz w:val="24"/>
                <w:szCs w:val="24"/>
                <w:highlight w:val="none"/>
              </w:rPr>
            </w:pPr>
            <w:r>
              <w:rPr>
                <w:rFonts w:hint="eastAsia" w:ascii="宋体" w:hAnsi="宋体" w:eastAsia="宋体" w:cs="宋体"/>
                <w:b/>
                <w:bCs/>
                <w:sz w:val="24"/>
                <w:szCs w:val="24"/>
                <w:highlight w:val="none"/>
              </w:rPr>
              <w:t>项目概况</w:t>
            </w:r>
          </w:p>
          <w:p>
            <w:pPr>
              <w:spacing w:line="360" w:lineRule="auto"/>
              <w:ind w:firstLine="480" w:firstLineChars="200"/>
              <w:rPr>
                <w:rFonts w:ascii="仿宋" w:hAnsi="仿宋" w:eastAsia="仿宋" w:cs="仿宋"/>
                <w:szCs w:val="22"/>
                <w:highlight w:val="none"/>
              </w:rPr>
            </w:pPr>
            <w:r>
              <w:rPr>
                <w:rFonts w:hint="eastAsia" w:ascii="宋体" w:hAnsi="宋体" w:eastAsia="宋体" w:cs="宋体"/>
                <w:sz w:val="24"/>
                <w:szCs w:val="24"/>
                <w:highlight w:val="none"/>
              </w:rPr>
              <w:t>汉中市国资在线监管系统建设（一期）的潜在投标供应商应在西安市未央区凤城五路世融嘉轩5号楼27层获取招标文件，并于2022年11月</w:t>
            </w:r>
            <w:r>
              <w:rPr>
                <w:rFonts w:hint="eastAsia" w:ascii="宋体" w:hAnsi="宋体" w:eastAsia="宋体" w:cs="宋体"/>
                <w:sz w:val="24"/>
                <w:szCs w:val="24"/>
                <w:highlight w:val="none"/>
                <w:lang w:val="en-US" w:eastAsia="zh-CN"/>
              </w:rPr>
              <w:t>28</w:t>
            </w:r>
            <w:r>
              <w:rPr>
                <w:rFonts w:hint="eastAsia" w:ascii="宋体" w:hAnsi="宋体" w:eastAsia="宋体" w:cs="宋体"/>
                <w:sz w:val="24"/>
                <w:szCs w:val="24"/>
                <w:highlight w:val="none"/>
              </w:rPr>
              <w:t>日</w:t>
            </w:r>
            <w:r>
              <w:rPr>
                <w:rFonts w:hint="eastAsia" w:ascii="宋体" w:hAnsi="宋体" w:eastAsia="宋体" w:cs="宋体"/>
                <w:sz w:val="24"/>
                <w:szCs w:val="24"/>
                <w:highlight w:val="none"/>
                <w:lang w:val="en-US" w:eastAsia="zh-CN"/>
              </w:rPr>
              <w:t>14</w:t>
            </w:r>
            <w:r>
              <w:rPr>
                <w:rFonts w:hint="eastAsia" w:ascii="宋体" w:hAnsi="宋体" w:eastAsia="宋体" w:cs="宋体"/>
                <w:sz w:val="24"/>
                <w:szCs w:val="24"/>
                <w:highlight w:val="none"/>
              </w:rPr>
              <w:t>时</w:t>
            </w:r>
            <w:r>
              <w:rPr>
                <w:rFonts w:hint="eastAsia" w:ascii="宋体" w:hAnsi="宋体" w:eastAsia="宋体" w:cs="宋体"/>
                <w:sz w:val="24"/>
                <w:szCs w:val="24"/>
                <w:highlight w:val="none"/>
                <w:lang w:val="en-US" w:eastAsia="zh-CN"/>
              </w:rPr>
              <w:t>00</w:t>
            </w:r>
            <w:r>
              <w:rPr>
                <w:rFonts w:hint="eastAsia" w:ascii="宋体" w:hAnsi="宋体" w:eastAsia="宋体" w:cs="宋体"/>
                <w:sz w:val="24"/>
                <w:szCs w:val="24"/>
                <w:highlight w:val="none"/>
              </w:rPr>
              <w:t>分 (北京时间) 前提交投标文件。</w:t>
            </w:r>
          </w:p>
        </w:tc>
      </w:tr>
    </w:tbl>
    <w:p>
      <w:pPr>
        <w:spacing w:line="240" w:lineRule="exact"/>
        <w:rPr>
          <w:rFonts w:ascii="宋体" w:hAnsi="宋体" w:eastAsia="宋体" w:cs="宋体"/>
          <w:b/>
          <w:bCs/>
          <w:sz w:val="24"/>
          <w:szCs w:val="24"/>
          <w:highlight w:val="none"/>
        </w:rPr>
      </w:pPr>
    </w:p>
    <w:p>
      <w:pPr>
        <w:spacing w:line="360" w:lineRule="auto"/>
        <w:rPr>
          <w:rFonts w:ascii="宋体" w:hAnsi="宋体" w:eastAsia="宋体" w:cs="宋体"/>
          <w:b/>
          <w:bCs/>
          <w:sz w:val="24"/>
          <w:szCs w:val="24"/>
          <w:highlight w:val="none"/>
        </w:rPr>
      </w:pPr>
      <w:r>
        <w:rPr>
          <w:rFonts w:hint="eastAsia" w:ascii="宋体" w:hAnsi="宋体" w:eastAsia="宋体" w:cs="宋体"/>
          <w:b/>
          <w:bCs/>
          <w:sz w:val="24"/>
          <w:szCs w:val="24"/>
          <w:highlight w:val="none"/>
        </w:rPr>
        <w:t>一、项目基本情况</w:t>
      </w:r>
    </w:p>
    <w:p>
      <w:pPr>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1.项目编号：HTXMZB2022-049</w:t>
      </w:r>
    </w:p>
    <w:p>
      <w:pPr>
        <w:spacing w:line="360" w:lineRule="auto"/>
        <w:ind w:left="1440" w:hanging="1440" w:hangingChars="600"/>
        <w:rPr>
          <w:rFonts w:ascii="宋体" w:hAnsi="宋体" w:eastAsia="宋体" w:cs="宋体"/>
          <w:sz w:val="24"/>
          <w:szCs w:val="24"/>
          <w:highlight w:val="none"/>
        </w:rPr>
      </w:pPr>
      <w:r>
        <w:rPr>
          <w:rFonts w:hint="eastAsia" w:ascii="宋体" w:hAnsi="宋体" w:eastAsia="宋体" w:cs="宋体"/>
          <w:sz w:val="24"/>
          <w:szCs w:val="24"/>
          <w:highlight w:val="none"/>
        </w:rPr>
        <w:t>2.项目名称：汉中市国资在线监管系统建设（一期）</w:t>
      </w:r>
    </w:p>
    <w:p>
      <w:pPr>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3.采购方式：公开招标</w:t>
      </w:r>
    </w:p>
    <w:p>
      <w:pPr>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4.预算金额：2000000.00元</w:t>
      </w:r>
    </w:p>
    <w:p>
      <w:pPr>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5.采购需求：</w:t>
      </w:r>
    </w:p>
    <w:p>
      <w:pPr>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合同包 1(汉中市国资在线监管系统建设（一期）):</w:t>
      </w:r>
    </w:p>
    <w:p>
      <w:pPr>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合同包预算金额：2000000.00元</w:t>
      </w:r>
    </w:p>
    <w:p>
      <w:pPr>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合同包最高限价：2000000.00元</w:t>
      </w:r>
    </w:p>
    <w:tbl>
      <w:tblPr>
        <w:tblStyle w:val="20"/>
        <w:tblW w:w="853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81"/>
        <w:gridCol w:w="1142"/>
        <w:gridCol w:w="1186"/>
        <w:gridCol w:w="749"/>
        <w:gridCol w:w="1573"/>
        <w:gridCol w:w="1461"/>
        <w:gridCol w:w="15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6" w:hRule="atLeast"/>
        </w:trPr>
        <w:tc>
          <w:tcPr>
            <w:tcW w:w="881" w:type="dxa"/>
            <w:vAlign w:val="center"/>
          </w:tcPr>
          <w:p>
            <w:pPr>
              <w:jc w:val="center"/>
              <w:rPr>
                <w:rFonts w:ascii="宋体" w:hAnsi="宋体" w:eastAsia="宋体" w:cs="宋体"/>
                <w:b/>
                <w:bCs/>
                <w:highlight w:val="none"/>
              </w:rPr>
            </w:pPr>
            <w:r>
              <w:rPr>
                <w:rFonts w:hint="eastAsia" w:ascii="宋体" w:hAnsi="宋体" w:eastAsia="宋体" w:cs="宋体"/>
                <w:b/>
                <w:bCs/>
                <w:highlight w:val="none"/>
              </w:rPr>
              <w:t>品目号</w:t>
            </w:r>
          </w:p>
        </w:tc>
        <w:tc>
          <w:tcPr>
            <w:tcW w:w="1142" w:type="dxa"/>
            <w:vAlign w:val="center"/>
          </w:tcPr>
          <w:p>
            <w:pPr>
              <w:jc w:val="center"/>
              <w:rPr>
                <w:rFonts w:ascii="宋体" w:hAnsi="宋体" w:eastAsia="宋体" w:cs="宋体"/>
                <w:b/>
                <w:bCs/>
                <w:highlight w:val="none"/>
              </w:rPr>
            </w:pPr>
            <w:r>
              <w:rPr>
                <w:rFonts w:hint="eastAsia" w:ascii="宋体" w:hAnsi="宋体" w:eastAsia="宋体" w:cs="宋体"/>
                <w:b/>
                <w:bCs/>
                <w:highlight w:val="none"/>
              </w:rPr>
              <w:t>品目名称</w:t>
            </w:r>
          </w:p>
        </w:tc>
        <w:tc>
          <w:tcPr>
            <w:tcW w:w="1186" w:type="dxa"/>
            <w:vAlign w:val="center"/>
          </w:tcPr>
          <w:p>
            <w:pPr>
              <w:jc w:val="center"/>
              <w:rPr>
                <w:rFonts w:ascii="宋体" w:hAnsi="宋体" w:eastAsia="宋体" w:cs="宋体"/>
                <w:b/>
                <w:bCs/>
                <w:highlight w:val="none"/>
              </w:rPr>
            </w:pPr>
            <w:r>
              <w:rPr>
                <w:rFonts w:hint="eastAsia" w:ascii="宋体" w:hAnsi="宋体" w:eastAsia="宋体" w:cs="宋体"/>
                <w:b/>
                <w:bCs/>
                <w:highlight w:val="none"/>
              </w:rPr>
              <w:t>采购标的</w:t>
            </w:r>
          </w:p>
        </w:tc>
        <w:tc>
          <w:tcPr>
            <w:tcW w:w="749" w:type="dxa"/>
            <w:vAlign w:val="center"/>
          </w:tcPr>
          <w:p>
            <w:pPr>
              <w:jc w:val="center"/>
              <w:rPr>
                <w:rFonts w:ascii="宋体" w:hAnsi="宋体" w:eastAsia="宋体" w:cs="宋体"/>
                <w:b/>
                <w:bCs/>
                <w:highlight w:val="none"/>
              </w:rPr>
            </w:pPr>
            <w:r>
              <w:rPr>
                <w:rFonts w:hint="eastAsia" w:ascii="宋体" w:hAnsi="宋体" w:eastAsia="宋体" w:cs="宋体"/>
                <w:b/>
                <w:bCs/>
                <w:highlight w:val="none"/>
              </w:rPr>
              <w:t>数量</w:t>
            </w:r>
          </w:p>
          <w:p>
            <w:pPr>
              <w:jc w:val="center"/>
              <w:rPr>
                <w:rFonts w:ascii="宋体" w:hAnsi="宋体" w:eastAsia="宋体" w:cs="宋体"/>
                <w:b/>
                <w:bCs/>
                <w:highlight w:val="none"/>
              </w:rPr>
            </w:pPr>
            <w:r>
              <w:rPr>
                <w:rFonts w:hint="eastAsia" w:ascii="宋体" w:hAnsi="宋体" w:eastAsia="宋体" w:cs="宋体"/>
                <w:b/>
                <w:bCs/>
                <w:highlight w:val="none"/>
              </w:rPr>
              <w:t>(单位)</w:t>
            </w:r>
          </w:p>
        </w:tc>
        <w:tc>
          <w:tcPr>
            <w:tcW w:w="1573" w:type="dxa"/>
            <w:vAlign w:val="center"/>
          </w:tcPr>
          <w:p>
            <w:pPr>
              <w:jc w:val="center"/>
              <w:rPr>
                <w:rFonts w:ascii="宋体" w:hAnsi="宋体" w:eastAsia="宋体" w:cs="宋体"/>
                <w:b/>
                <w:bCs/>
                <w:highlight w:val="none"/>
              </w:rPr>
            </w:pPr>
            <w:r>
              <w:rPr>
                <w:rFonts w:hint="eastAsia" w:ascii="宋体" w:hAnsi="宋体" w:eastAsia="宋体" w:cs="宋体"/>
                <w:b/>
                <w:bCs/>
                <w:highlight w:val="none"/>
              </w:rPr>
              <w:t>技术规格、参数</w:t>
            </w:r>
          </w:p>
          <w:p>
            <w:pPr>
              <w:jc w:val="center"/>
              <w:rPr>
                <w:rFonts w:ascii="宋体" w:hAnsi="宋体" w:eastAsia="宋体" w:cs="宋体"/>
                <w:b/>
                <w:bCs/>
                <w:highlight w:val="none"/>
              </w:rPr>
            </w:pPr>
            <w:r>
              <w:rPr>
                <w:rFonts w:hint="eastAsia" w:ascii="宋体" w:hAnsi="宋体" w:eastAsia="宋体" w:cs="宋体"/>
                <w:b/>
                <w:bCs/>
                <w:highlight w:val="none"/>
              </w:rPr>
              <w:t>及要求</w:t>
            </w:r>
          </w:p>
        </w:tc>
        <w:tc>
          <w:tcPr>
            <w:tcW w:w="1461" w:type="dxa"/>
            <w:vAlign w:val="center"/>
          </w:tcPr>
          <w:p>
            <w:pPr>
              <w:jc w:val="center"/>
              <w:rPr>
                <w:rFonts w:ascii="宋体" w:hAnsi="宋体" w:eastAsia="宋体" w:cs="宋体"/>
                <w:b/>
                <w:bCs/>
                <w:highlight w:val="none"/>
              </w:rPr>
            </w:pPr>
            <w:r>
              <w:rPr>
                <w:rFonts w:hint="eastAsia" w:ascii="宋体" w:hAnsi="宋体" w:eastAsia="宋体" w:cs="宋体"/>
                <w:b/>
                <w:bCs/>
                <w:highlight w:val="none"/>
              </w:rPr>
              <w:t>品目预算(元)</w:t>
            </w:r>
          </w:p>
        </w:tc>
        <w:tc>
          <w:tcPr>
            <w:tcW w:w="1540" w:type="dxa"/>
            <w:vAlign w:val="center"/>
          </w:tcPr>
          <w:p>
            <w:pPr>
              <w:jc w:val="center"/>
              <w:rPr>
                <w:rFonts w:ascii="宋体" w:hAnsi="宋体" w:eastAsia="宋体" w:cs="宋体"/>
                <w:b/>
                <w:bCs/>
                <w:highlight w:val="none"/>
              </w:rPr>
            </w:pPr>
            <w:r>
              <w:rPr>
                <w:rFonts w:hint="eastAsia" w:ascii="宋体" w:hAnsi="宋体" w:eastAsia="宋体" w:cs="宋体"/>
                <w:b/>
                <w:bCs/>
                <w:highlight w:val="none"/>
              </w:rPr>
              <w:t>最高限价(元)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7" w:hRule="atLeast"/>
        </w:trPr>
        <w:tc>
          <w:tcPr>
            <w:tcW w:w="881" w:type="dxa"/>
            <w:vAlign w:val="center"/>
          </w:tcPr>
          <w:p>
            <w:pPr>
              <w:jc w:val="center"/>
              <w:rPr>
                <w:rFonts w:ascii="宋体" w:hAnsi="宋体" w:eastAsia="宋体" w:cs="宋体"/>
                <w:highlight w:val="none"/>
              </w:rPr>
            </w:pPr>
            <w:r>
              <w:rPr>
                <w:rFonts w:hint="eastAsia" w:ascii="宋体" w:hAnsi="宋体" w:eastAsia="宋体" w:cs="宋体"/>
                <w:highlight w:val="none"/>
              </w:rPr>
              <w:t>1-1</w:t>
            </w:r>
          </w:p>
        </w:tc>
        <w:tc>
          <w:tcPr>
            <w:tcW w:w="1142" w:type="dxa"/>
            <w:vAlign w:val="center"/>
          </w:tcPr>
          <w:p>
            <w:pPr>
              <w:jc w:val="center"/>
              <w:rPr>
                <w:rFonts w:ascii="宋体" w:hAnsi="宋体" w:eastAsia="宋体" w:cs="宋体"/>
                <w:highlight w:val="none"/>
              </w:rPr>
            </w:pPr>
            <w:r>
              <w:rPr>
                <w:rFonts w:hint="eastAsia" w:ascii="宋体" w:hAnsi="宋体" w:eastAsia="宋体" w:cs="宋体"/>
                <w:highlight w:val="none"/>
              </w:rPr>
              <w:t>其他专业技术服务</w:t>
            </w:r>
          </w:p>
        </w:tc>
        <w:tc>
          <w:tcPr>
            <w:tcW w:w="1186" w:type="dxa"/>
            <w:vAlign w:val="center"/>
          </w:tcPr>
          <w:p>
            <w:pPr>
              <w:jc w:val="center"/>
              <w:rPr>
                <w:rFonts w:ascii="宋体" w:hAnsi="宋体" w:eastAsia="宋体" w:cs="宋体"/>
                <w:highlight w:val="none"/>
              </w:rPr>
            </w:pPr>
            <w:r>
              <w:rPr>
                <w:rFonts w:hint="eastAsia" w:ascii="宋体" w:hAnsi="宋体" w:eastAsia="宋体" w:cs="宋体"/>
                <w:highlight w:val="none"/>
              </w:rPr>
              <w:t>汉中市国资在线监管系统建设</w:t>
            </w:r>
          </w:p>
        </w:tc>
        <w:tc>
          <w:tcPr>
            <w:tcW w:w="749" w:type="dxa"/>
            <w:vAlign w:val="center"/>
          </w:tcPr>
          <w:p>
            <w:pPr>
              <w:jc w:val="center"/>
              <w:rPr>
                <w:rFonts w:ascii="宋体" w:hAnsi="宋体" w:eastAsia="宋体" w:cs="宋体"/>
                <w:highlight w:val="none"/>
              </w:rPr>
            </w:pPr>
            <w:r>
              <w:rPr>
                <w:rFonts w:hint="eastAsia" w:ascii="宋体" w:hAnsi="宋体" w:eastAsia="宋体" w:cs="宋体"/>
                <w:highlight w:val="none"/>
              </w:rPr>
              <w:t>1 (项)</w:t>
            </w:r>
          </w:p>
        </w:tc>
        <w:tc>
          <w:tcPr>
            <w:tcW w:w="1573" w:type="dxa"/>
            <w:vAlign w:val="center"/>
          </w:tcPr>
          <w:p>
            <w:pPr>
              <w:jc w:val="center"/>
              <w:rPr>
                <w:rFonts w:ascii="宋体" w:hAnsi="宋体" w:eastAsia="宋体" w:cs="宋体"/>
                <w:highlight w:val="none"/>
              </w:rPr>
            </w:pPr>
            <w:r>
              <w:rPr>
                <w:rFonts w:hint="eastAsia" w:ascii="宋体" w:hAnsi="宋体" w:eastAsia="宋体" w:cs="宋体"/>
                <w:highlight w:val="none"/>
              </w:rPr>
              <w:t>详见采购文件</w:t>
            </w:r>
          </w:p>
        </w:tc>
        <w:tc>
          <w:tcPr>
            <w:tcW w:w="1461" w:type="dxa"/>
            <w:vAlign w:val="center"/>
          </w:tcPr>
          <w:p>
            <w:pPr>
              <w:jc w:val="center"/>
              <w:rPr>
                <w:rFonts w:ascii="宋体" w:hAnsi="宋体" w:eastAsia="宋体" w:cs="宋体"/>
                <w:highlight w:val="none"/>
              </w:rPr>
            </w:pPr>
            <w:r>
              <w:rPr>
                <w:rFonts w:hint="eastAsia" w:ascii="宋体" w:hAnsi="宋体" w:eastAsia="宋体" w:cs="宋体"/>
                <w:highlight w:val="none"/>
              </w:rPr>
              <w:t>2000000.00</w:t>
            </w:r>
          </w:p>
        </w:tc>
        <w:tc>
          <w:tcPr>
            <w:tcW w:w="1540" w:type="dxa"/>
            <w:vAlign w:val="center"/>
          </w:tcPr>
          <w:p>
            <w:pPr>
              <w:jc w:val="center"/>
              <w:rPr>
                <w:rFonts w:ascii="宋体" w:hAnsi="宋体" w:eastAsia="宋体" w:cs="宋体"/>
                <w:highlight w:val="none"/>
              </w:rPr>
            </w:pPr>
            <w:r>
              <w:rPr>
                <w:rFonts w:hint="eastAsia" w:ascii="宋体" w:hAnsi="宋体" w:eastAsia="宋体" w:cs="宋体"/>
                <w:highlight w:val="none"/>
              </w:rPr>
              <w:t>2000000.00</w:t>
            </w:r>
          </w:p>
        </w:tc>
      </w:tr>
    </w:tbl>
    <w:p>
      <w:pPr>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本合同包不接受联合体投标</w:t>
      </w:r>
    </w:p>
    <w:p>
      <w:pPr>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合同履行期限：建设期</w:t>
      </w:r>
      <w:r>
        <w:rPr>
          <w:rFonts w:hint="eastAsia" w:ascii="宋体" w:hAnsi="宋体" w:eastAsia="宋体" w:cs="宋体"/>
          <w:sz w:val="24"/>
          <w:szCs w:val="24"/>
          <w:highlight w:val="none"/>
          <w:lang w:val="en-US" w:eastAsia="zh-CN"/>
        </w:rPr>
        <w:t>30</w:t>
      </w:r>
      <w:r>
        <w:rPr>
          <w:rFonts w:hint="eastAsia" w:ascii="宋体" w:hAnsi="宋体" w:eastAsia="宋体" w:cs="宋体"/>
          <w:sz w:val="24"/>
          <w:szCs w:val="24"/>
          <w:highlight w:val="none"/>
        </w:rPr>
        <w:t>日历天，服务期验收</w:t>
      </w:r>
      <w:r>
        <w:rPr>
          <w:rFonts w:hint="eastAsia" w:ascii="宋体" w:hAnsi="宋体" w:eastAsia="宋体" w:cs="宋体"/>
          <w:sz w:val="24"/>
          <w:szCs w:val="24"/>
          <w:highlight w:val="none"/>
          <w:lang w:val="en-US" w:eastAsia="zh-CN"/>
        </w:rPr>
        <w:t>合格之日期</w:t>
      </w:r>
      <w:r>
        <w:rPr>
          <w:rFonts w:hint="eastAsia" w:ascii="宋体" w:hAnsi="宋体" w:eastAsia="宋体" w:cs="宋体"/>
          <w:sz w:val="24"/>
          <w:szCs w:val="24"/>
          <w:highlight w:val="none"/>
        </w:rPr>
        <w:t>1年。</w:t>
      </w:r>
    </w:p>
    <w:p>
      <w:pPr>
        <w:spacing w:line="360" w:lineRule="auto"/>
        <w:rPr>
          <w:rFonts w:ascii="宋体" w:hAnsi="宋体" w:eastAsia="宋体" w:cs="宋体"/>
          <w:b/>
          <w:bCs/>
          <w:sz w:val="24"/>
          <w:szCs w:val="24"/>
          <w:highlight w:val="none"/>
        </w:rPr>
      </w:pPr>
      <w:r>
        <w:rPr>
          <w:rFonts w:hint="eastAsia" w:ascii="宋体" w:hAnsi="宋体" w:eastAsia="宋体" w:cs="宋体"/>
          <w:b/>
          <w:bCs/>
          <w:sz w:val="24"/>
          <w:szCs w:val="24"/>
          <w:highlight w:val="none"/>
        </w:rPr>
        <w:t>二、 投标供应商的资格要求：</w:t>
      </w:r>
    </w:p>
    <w:p>
      <w:pPr>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1.满足《中华人民共和国政府采购法》第二十二条规定；</w:t>
      </w:r>
    </w:p>
    <w:p>
      <w:pPr>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2.落实政府采购政策需满足的资格要求：</w:t>
      </w:r>
    </w:p>
    <w:p>
      <w:pPr>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（1）《政府采购促进中小企业发展管理办法》(财库〔2020〕46号)；</w:t>
      </w:r>
    </w:p>
    <w:p>
      <w:pPr>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 xml:space="preserve">（2）《关于进一步加大政府采购支持中小企业力度的通知》(财库〔2022〕19号）； </w:t>
      </w:r>
    </w:p>
    <w:p>
      <w:pPr>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（3）《财政部司法部关于政府采购支持监狱企业发展有关问题的通知》(财库〔2014〕68号)；</w:t>
      </w:r>
    </w:p>
    <w:p>
      <w:pPr>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（4）《关于调整优化节能产品、环境标志产品政府采购执行机制的通知》（财库〔2019〕9号）、《国务院办公厅关于建立政府强制采购节能产品制度的通知》 (国办发〔2007〕51号)；</w:t>
      </w:r>
    </w:p>
    <w:p>
      <w:pPr>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（5）《节能产品政府采购实施意见》(财库[2004]185 号)；</w:t>
      </w:r>
    </w:p>
    <w:p>
      <w:pPr>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（6）《环境标志产品政府采购实施的意见》(财库[2006]90 号)；</w:t>
      </w:r>
    </w:p>
    <w:p>
      <w:pPr>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（7）《关于促进残疾人就业政府采购政策的通知》(财库〔2017〕141号)；</w:t>
      </w:r>
    </w:p>
    <w:p>
      <w:pPr>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（8）《陕西省中小企业政府采购信用融资办法》(陕财办采〔2018〕23号)；</w:t>
      </w:r>
    </w:p>
    <w:p>
      <w:pPr>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（9）《关于运用政府采购政策支持乡村产业振兴的通知》（财库〔2021〕19号；</w:t>
      </w:r>
    </w:p>
    <w:p>
      <w:pPr>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（10）其他需要落实的政府采购政策。</w:t>
      </w:r>
    </w:p>
    <w:p>
      <w:pPr>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3.本项目的特定资格要求：</w:t>
      </w:r>
    </w:p>
    <w:p>
      <w:pPr>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（1）具有独立承担民事责任的法人、其他组织或自然人，提供有效的营业执照等相应证明文件，非法人单位参照执行；</w:t>
      </w:r>
    </w:p>
    <w:p>
      <w:pPr>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2）提供2021年度审计报告(至少包括有资产负债表、利润表、现金流量表)，成立时间至提交响应文件截止时间不足一年的可提供成立后任意时段的资产负债表，或提供响应文件递交截止前三个月内基本存款账户开户银行出具的资信证明(以上两种形式的资料提供任何一种即可)；</w:t>
      </w:r>
    </w:p>
    <w:p>
      <w:pPr>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（3）具有履行合同所必需的设备和专业技术能力，提供承诺书；</w:t>
      </w:r>
    </w:p>
    <w:p>
      <w:pPr>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（4）税收缴纳证明：提供投标文件递交截止时间前六个月内任意三月已缴纳的纳税证明或完税证明(包含增值税、企业所得税至少一种)，依法免税的供应商应提供相关证明文件；</w:t>
      </w:r>
    </w:p>
    <w:p>
      <w:pPr>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（5）社会保障资金缴纳证明：提供投标文件递交截止时间前六个月内任意三月已缴存的社会保障资金缴费证明或参保证明，依法不需要缴纳社会保障资金的供应商应提供相关证明文件；</w:t>
      </w:r>
    </w:p>
    <w:p>
      <w:pPr>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（6）参加政府采购活动前三年内，在经营活动中没有重大违法记录，提供书面声明；</w:t>
      </w:r>
    </w:p>
    <w:p>
      <w:pPr>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（7）未被信用中国网站列入失信被执行人和重大税收违法案件当事人名单、未被中国政府采购网列入政府采购严重违法失信行为记录名单，参加本次政府采购活动前三年内在经营活动中没有重大违法记录 (处罚期满除外)；</w:t>
      </w:r>
    </w:p>
    <w:p>
      <w:pPr>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（8）法定代表人直接参加投标的须提供法定代表人证明书，法定代表人授权代表参加投标的须提供法定代表人证明书和法定代表人授权书。</w:t>
      </w:r>
    </w:p>
    <w:p>
      <w:pPr>
        <w:spacing w:line="360" w:lineRule="auto"/>
        <w:rPr>
          <w:rFonts w:ascii="宋体" w:hAnsi="宋体" w:eastAsia="宋体" w:cs="宋体"/>
          <w:b/>
          <w:bCs/>
          <w:sz w:val="24"/>
          <w:szCs w:val="24"/>
          <w:highlight w:val="none"/>
        </w:rPr>
      </w:pPr>
      <w:r>
        <w:rPr>
          <w:rFonts w:hint="eastAsia" w:ascii="宋体" w:hAnsi="宋体" w:eastAsia="宋体" w:cs="宋体"/>
          <w:b/>
          <w:bCs/>
          <w:sz w:val="24"/>
          <w:szCs w:val="24"/>
          <w:highlight w:val="none"/>
        </w:rPr>
        <w:t>三、获取招标文件</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 xml:space="preserve">时间： 2022年 11月 </w:t>
      </w:r>
      <w:r>
        <w:rPr>
          <w:rFonts w:hint="eastAsia" w:ascii="宋体" w:hAnsi="宋体" w:eastAsia="宋体" w:cs="宋体"/>
          <w:sz w:val="24"/>
          <w:szCs w:val="24"/>
          <w:highlight w:val="none"/>
          <w:lang w:val="en-US" w:eastAsia="zh-CN"/>
        </w:rPr>
        <w:t>08</w:t>
      </w:r>
      <w:r>
        <w:rPr>
          <w:rFonts w:hint="eastAsia" w:ascii="宋体" w:hAnsi="宋体" w:eastAsia="宋体" w:cs="宋体"/>
          <w:sz w:val="24"/>
          <w:szCs w:val="24"/>
          <w:highlight w:val="none"/>
        </w:rPr>
        <w:t xml:space="preserve">日至 2022年 11月 </w:t>
      </w:r>
      <w:r>
        <w:rPr>
          <w:rFonts w:hint="eastAsia" w:ascii="宋体" w:hAnsi="宋体" w:eastAsia="宋体" w:cs="宋体"/>
          <w:sz w:val="24"/>
          <w:szCs w:val="24"/>
          <w:highlight w:val="none"/>
          <w:lang w:val="en-US" w:eastAsia="zh-CN"/>
        </w:rPr>
        <w:t>14</w:t>
      </w:r>
      <w:r>
        <w:rPr>
          <w:rFonts w:hint="eastAsia" w:ascii="宋体" w:hAnsi="宋体" w:eastAsia="宋体" w:cs="宋体"/>
          <w:sz w:val="24"/>
          <w:szCs w:val="24"/>
          <w:highlight w:val="none"/>
        </w:rPr>
        <w:t>日，每天上午 09:00:00 至 12:00:00，下午 14:00:00 至 17:00:00 (北京时间,法定节假日除外)</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地点：陕西省西安市经开区凤城五路世融嘉轩5号楼27层招标部</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方式：现场获取。</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售价：每套500元（人民币），售后不退。</w:t>
      </w:r>
    </w:p>
    <w:p>
      <w:pPr>
        <w:spacing w:line="360" w:lineRule="auto"/>
        <w:rPr>
          <w:rFonts w:ascii="宋体" w:hAnsi="宋体" w:eastAsia="宋体" w:cs="宋体"/>
          <w:b/>
          <w:bCs/>
          <w:sz w:val="24"/>
          <w:szCs w:val="24"/>
          <w:highlight w:val="none"/>
        </w:rPr>
      </w:pPr>
      <w:r>
        <w:rPr>
          <w:rFonts w:hint="eastAsia" w:ascii="宋体" w:hAnsi="宋体" w:eastAsia="宋体" w:cs="宋体"/>
          <w:b/>
          <w:bCs/>
          <w:sz w:val="24"/>
          <w:szCs w:val="24"/>
          <w:highlight w:val="none"/>
        </w:rPr>
        <w:t>四、投标文件提交</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截止时间：2022年11月</w:t>
      </w:r>
      <w:r>
        <w:rPr>
          <w:rFonts w:hint="eastAsia" w:ascii="宋体" w:hAnsi="宋体" w:eastAsia="宋体" w:cs="宋体"/>
          <w:sz w:val="24"/>
          <w:szCs w:val="24"/>
          <w:highlight w:val="none"/>
          <w:lang w:val="en-US" w:eastAsia="zh-CN"/>
        </w:rPr>
        <w:t>28</w:t>
      </w:r>
      <w:r>
        <w:rPr>
          <w:rFonts w:hint="eastAsia" w:ascii="宋体" w:hAnsi="宋体" w:eastAsia="宋体" w:cs="宋体"/>
          <w:sz w:val="24"/>
          <w:szCs w:val="24"/>
          <w:highlight w:val="none"/>
        </w:rPr>
        <w:t>日</w:t>
      </w:r>
      <w:r>
        <w:rPr>
          <w:rFonts w:hint="eastAsia" w:ascii="宋体" w:hAnsi="宋体" w:eastAsia="宋体" w:cs="宋体"/>
          <w:sz w:val="24"/>
          <w:szCs w:val="24"/>
          <w:highlight w:val="none"/>
          <w:lang w:val="en-US" w:eastAsia="zh-CN"/>
        </w:rPr>
        <w:t>14</w:t>
      </w:r>
      <w:r>
        <w:rPr>
          <w:rFonts w:hint="eastAsia" w:ascii="宋体" w:hAnsi="宋体" w:eastAsia="宋体" w:cs="宋体"/>
          <w:sz w:val="24"/>
          <w:szCs w:val="24"/>
          <w:highlight w:val="none"/>
        </w:rPr>
        <w:t>时</w:t>
      </w:r>
      <w:r>
        <w:rPr>
          <w:rFonts w:hint="eastAsia" w:ascii="宋体" w:hAnsi="宋体" w:eastAsia="宋体" w:cs="宋体"/>
          <w:sz w:val="24"/>
          <w:szCs w:val="24"/>
          <w:highlight w:val="none"/>
          <w:lang w:val="en-US" w:eastAsia="zh-CN"/>
        </w:rPr>
        <w:t>00</w:t>
      </w:r>
      <w:r>
        <w:rPr>
          <w:rFonts w:hint="eastAsia" w:ascii="宋体" w:hAnsi="宋体" w:eastAsia="宋体" w:cs="宋体"/>
          <w:sz w:val="24"/>
          <w:szCs w:val="24"/>
          <w:highlight w:val="none"/>
        </w:rPr>
        <w:t>分（北京时间）</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地点：陕西省西安市经开区凤城五路世融嘉轩5号楼27层第三会议室</w:t>
      </w:r>
    </w:p>
    <w:p>
      <w:pPr>
        <w:spacing w:line="360" w:lineRule="auto"/>
        <w:rPr>
          <w:rFonts w:ascii="宋体" w:hAnsi="宋体" w:eastAsia="宋体" w:cs="宋体"/>
          <w:b/>
          <w:bCs/>
          <w:sz w:val="24"/>
          <w:szCs w:val="24"/>
          <w:highlight w:val="none"/>
        </w:rPr>
      </w:pPr>
      <w:r>
        <w:rPr>
          <w:rFonts w:hint="eastAsia" w:ascii="宋体" w:hAnsi="宋体" w:eastAsia="宋体" w:cs="宋体"/>
          <w:b/>
          <w:bCs/>
          <w:sz w:val="24"/>
          <w:szCs w:val="24"/>
          <w:highlight w:val="none"/>
        </w:rPr>
        <w:t>五、开启</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时间：2022年11月</w:t>
      </w:r>
      <w:r>
        <w:rPr>
          <w:rFonts w:hint="eastAsia" w:ascii="宋体" w:hAnsi="宋体" w:eastAsia="宋体" w:cs="宋体"/>
          <w:sz w:val="24"/>
          <w:szCs w:val="24"/>
          <w:highlight w:val="none"/>
          <w:lang w:val="en-US" w:eastAsia="zh-CN"/>
        </w:rPr>
        <w:t>28</w:t>
      </w:r>
      <w:r>
        <w:rPr>
          <w:rFonts w:hint="eastAsia" w:ascii="宋体" w:hAnsi="宋体" w:eastAsia="宋体" w:cs="宋体"/>
          <w:sz w:val="24"/>
          <w:szCs w:val="24"/>
          <w:highlight w:val="none"/>
        </w:rPr>
        <w:t>日</w:t>
      </w:r>
      <w:r>
        <w:rPr>
          <w:rFonts w:hint="eastAsia" w:ascii="宋体" w:hAnsi="宋体" w:eastAsia="宋体" w:cs="宋体"/>
          <w:sz w:val="24"/>
          <w:szCs w:val="24"/>
          <w:highlight w:val="none"/>
          <w:lang w:val="en-US" w:eastAsia="zh-CN"/>
        </w:rPr>
        <w:t>14</w:t>
      </w:r>
      <w:r>
        <w:rPr>
          <w:rFonts w:hint="eastAsia" w:ascii="宋体" w:hAnsi="宋体" w:eastAsia="宋体" w:cs="宋体"/>
          <w:sz w:val="24"/>
          <w:szCs w:val="24"/>
          <w:highlight w:val="none"/>
        </w:rPr>
        <w:t>时</w:t>
      </w:r>
      <w:r>
        <w:rPr>
          <w:rFonts w:hint="eastAsia" w:ascii="宋体" w:hAnsi="宋体" w:eastAsia="宋体" w:cs="宋体"/>
          <w:sz w:val="24"/>
          <w:szCs w:val="24"/>
          <w:highlight w:val="none"/>
          <w:lang w:val="en-US" w:eastAsia="zh-CN"/>
        </w:rPr>
        <w:t>00</w:t>
      </w:r>
      <w:r>
        <w:rPr>
          <w:rFonts w:hint="eastAsia" w:ascii="宋体" w:hAnsi="宋体" w:eastAsia="宋体" w:cs="宋体"/>
          <w:sz w:val="24"/>
          <w:szCs w:val="24"/>
          <w:highlight w:val="none"/>
        </w:rPr>
        <w:t>分(北京时间)</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地点：陕西省西安市经开区凤城五路世融嘉轩5号楼27层第三会议室</w:t>
      </w:r>
    </w:p>
    <w:p>
      <w:pPr>
        <w:spacing w:line="360" w:lineRule="auto"/>
        <w:rPr>
          <w:rFonts w:ascii="宋体" w:hAnsi="宋体" w:eastAsia="宋体" w:cs="宋体"/>
          <w:b/>
          <w:bCs/>
          <w:sz w:val="24"/>
          <w:szCs w:val="24"/>
          <w:highlight w:val="none"/>
        </w:rPr>
      </w:pPr>
      <w:r>
        <w:rPr>
          <w:rFonts w:hint="eastAsia" w:ascii="宋体" w:hAnsi="宋体" w:eastAsia="宋体" w:cs="宋体"/>
          <w:b/>
          <w:bCs/>
          <w:sz w:val="24"/>
          <w:szCs w:val="24"/>
          <w:highlight w:val="none"/>
        </w:rPr>
        <w:t>六、公告期限</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自本公告发布之日起5个工作日。</w:t>
      </w:r>
    </w:p>
    <w:p>
      <w:pPr>
        <w:spacing w:line="360" w:lineRule="auto"/>
        <w:rPr>
          <w:rFonts w:ascii="宋体" w:hAnsi="宋体" w:eastAsia="宋体" w:cs="宋体"/>
          <w:b/>
          <w:bCs/>
          <w:sz w:val="24"/>
          <w:szCs w:val="24"/>
          <w:highlight w:val="none"/>
        </w:rPr>
      </w:pPr>
      <w:r>
        <w:rPr>
          <w:rFonts w:hint="eastAsia" w:ascii="宋体" w:hAnsi="宋体" w:eastAsia="宋体" w:cs="宋体"/>
          <w:b/>
          <w:bCs/>
          <w:sz w:val="24"/>
          <w:szCs w:val="24"/>
          <w:highlight w:val="none"/>
        </w:rPr>
        <w:t>七、其他补充事宜</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1.获取招标文件请携带有效期内的单位介绍信原件、经办人身份证原件及身份证复印件加盖公章，或将盖章资料扫描发送至QQ邮箱（361263013@qq.com），代理机构确认完毕后方可获取招标文件。</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2.投标供应商需按照陕西省财政厅关于政府采购供应商注册登记有关事项的通知中的要求，通过陕西省政府采购网（http://www.ccgp-shaanxi.gov.cn/）注册登记加入陕西省政府采购供应商库。</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3.本项目为非专门面向中小微型企业采购项目。</w:t>
      </w:r>
    </w:p>
    <w:p>
      <w:pPr>
        <w:spacing w:line="360" w:lineRule="auto"/>
        <w:rPr>
          <w:rFonts w:ascii="宋体" w:hAnsi="宋体" w:eastAsia="宋体" w:cs="宋体"/>
          <w:b/>
          <w:bCs/>
          <w:sz w:val="24"/>
          <w:szCs w:val="24"/>
          <w:highlight w:val="none"/>
        </w:rPr>
      </w:pPr>
      <w:r>
        <w:rPr>
          <w:rFonts w:hint="eastAsia" w:ascii="宋体" w:hAnsi="宋体" w:eastAsia="宋体" w:cs="宋体"/>
          <w:b/>
          <w:bCs/>
          <w:sz w:val="24"/>
          <w:szCs w:val="24"/>
          <w:highlight w:val="none"/>
        </w:rPr>
        <w:t>八、对本次招标提出询问，请按以下方式联系</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1、采购人信息：</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名称：汉中市政府国有资产监督管理委员会</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地址：汉中市汉台区民主街65号市政府大院</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联系方式：18591604386</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2、采购代理机构信息</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名称：陕西华泰工程项目管理有限公司</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地址：陕西省西安市经开区凤城五路世融嘉轩5号楼27层</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联系方式：029-86250354</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3、项目联系方式</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项目联系人：纪工</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电 话：13709298734</w:t>
      </w:r>
    </w:p>
    <w:p>
      <w:pPr>
        <w:pStyle w:val="2"/>
        <w:rPr>
          <w:highlight w:val="none"/>
        </w:rPr>
      </w:pPr>
      <w:r>
        <w:rPr>
          <w:rFonts w:hint="eastAsia" w:ascii="宋体" w:hAnsi="宋体" w:eastAsia="宋体" w:cs="宋体"/>
          <w:szCs w:val="24"/>
          <w:highlight w:val="none"/>
        </w:rPr>
        <w:t xml:space="preserve">    邮 箱：361263013@qq.com</w:t>
      </w:r>
    </w:p>
    <w:p>
      <w:pPr>
        <w:pStyle w:val="2"/>
        <w:rPr>
          <w:highlight w:val="none"/>
        </w:rPr>
      </w:pPr>
    </w:p>
    <w:p>
      <w:pPr>
        <w:pStyle w:val="15"/>
        <w:kinsoku/>
        <w:autoSpaceDE/>
        <w:autoSpaceDN/>
        <w:adjustRightInd/>
        <w:snapToGrid/>
        <w:spacing w:beforeAutospacing="0" w:afterAutospacing="0" w:line="420" w:lineRule="exact"/>
        <w:ind w:firstLine="420"/>
        <w:jc w:val="center"/>
        <w:rPr>
          <w:rFonts w:cs="宋体"/>
          <w:color w:val="auto"/>
          <w:szCs w:val="24"/>
          <w:highlight w:val="none"/>
        </w:rPr>
      </w:pPr>
      <w:r>
        <w:rPr>
          <w:rFonts w:hint="eastAsia" w:cs="宋体"/>
          <w:color w:val="auto"/>
          <w:szCs w:val="24"/>
          <w:highlight w:val="none"/>
        </w:rPr>
        <w:t xml:space="preserve">       </w:t>
      </w:r>
    </w:p>
    <w:p>
      <w:pPr>
        <w:pStyle w:val="15"/>
        <w:kinsoku/>
        <w:autoSpaceDE/>
        <w:autoSpaceDN/>
        <w:adjustRightInd/>
        <w:snapToGrid/>
        <w:spacing w:beforeAutospacing="0" w:afterAutospacing="0" w:line="420" w:lineRule="exact"/>
        <w:ind w:firstLine="420"/>
        <w:jc w:val="center"/>
        <w:rPr>
          <w:rFonts w:cs="宋体"/>
          <w:color w:val="auto"/>
          <w:szCs w:val="24"/>
          <w:highlight w:val="none"/>
          <w:lang w:val="zh-CN"/>
        </w:rPr>
      </w:pPr>
      <w:r>
        <w:rPr>
          <w:rFonts w:hint="eastAsia" w:cs="宋体"/>
          <w:color w:val="auto"/>
          <w:szCs w:val="24"/>
          <w:highlight w:val="none"/>
        </w:rPr>
        <w:t xml:space="preserve">                       </w:t>
      </w:r>
      <w:r>
        <w:rPr>
          <w:rFonts w:hint="eastAsia" w:cs="宋体"/>
          <w:color w:val="auto"/>
          <w:szCs w:val="24"/>
          <w:highlight w:val="none"/>
          <w:lang w:val="zh-CN"/>
        </w:rPr>
        <w:t>陕西华泰工程项目管理有限公司</w:t>
      </w:r>
    </w:p>
    <w:p>
      <w:pPr>
        <w:rPr>
          <w:rFonts w:ascii="宋体" w:hAnsi="宋体" w:eastAsia="宋体" w:cs="宋体"/>
          <w:sz w:val="24"/>
          <w:szCs w:val="24"/>
          <w:highlight w:val="none"/>
          <w:lang w:val="zh-CN"/>
        </w:rPr>
      </w:pPr>
      <w:r>
        <w:rPr>
          <w:rFonts w:hint="eastAsia" w:cs="宋体"/>
          <w:color w:val="auto"/>
          <w:szCs w:val="24"/>
          <w:highlight w:val="none"/>
        </w:rPr>
        <w:t xml:space="preserve">                                 </w:t>
      </w: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lang w:val="zh-CN"/>
        </w:rPr>
        <w:t>2022年</w:t>
      </w:r>
      <w:r>
        <w:rPr>
          <w:rFonts w:hint="eastAsia" w:ascii="宋体" w:hAnsi="宋体" w:eastAsia="宋体" w:cs="宋体"/>
          <w:sz w:val="24"/>
          <w:szCs w:val="24"/>
          <w:highlight w:val="none"/>
        </w:rPr>
        <w:t>11</w:t>
      </w:r>
      <w:r>
        <w:rPr>
          <w:rFonts w:hint="eastAsia" w:ascii="宋体" w:hAnsi="宋体" w:eastAsia="宋体" w:cs="宋体"/>
          <w:sz w:val="24"/>
          <w:szCs w:val="24"/>
          <w:highlight w:val="none"/>
          <w:lang w:val="zh-CN"/>
        </w:rPr>
        <w:t>月</w:t>
      </w:r>
      <w:r>
        <w:rPr>
          <w:rFonts w:hint="eastAsia" w:ascii="宋体" w:hAnsi="宋体" w:eastAsia="宋体" w:cs="宋体"/>
          <w:sz w:val="24"/>
          <w:szCs w:val="24"/>
          <w:highlight w:val="none"/>
          <w:lang w:val="en-US" w:eastAsia="zh-CN"/>
        </w:rPr>
        <w:t>08</w:t>
      </w:r>
      <w:r>
        <w:rPr>
          <w:rFonts w:hint="eastAsia" w:ascii="宋体" w:hAnsi="宋体" w:eastAsia="宋体" w:cs="宋体"/>
          <w:sz w:val="24"/>
          <w:szCs w:val="24"/>
          <w:highlight w:val="none"/>
          <w:lang w:val="zh-CN"/>
        </w:rPr>
        <w:t>日</w: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spacing w:before="94" w:line="229" w:lineRule="auto"/>
        <w:jc w:val="center"/>
        <w:outlineLvl w:val="0"/>
        <w:rPr>
          <w:rFonts w:ascii="宋体" w:hAnsi="宋体" w:eastAsia="宋体" w:cs="宋体"/>
          <w:spacing w:val="9"/>
          <w:sz w:val="28"/>
          <w:szCs w:val="28"/>
          <w:highlight w:val="none"/>
          <w14:textOutline w14:w="5448" w14:cap="sq" w14:cmpd="sng" w14:algn="ctr">
            <w14:solidFill>
              <w14:srgbClr w14:val="000000"/>
            </w14:solidFill>
            <w14:prstDash w14:val="solid"/>
            <w14:bevel/>
          </w14:textOutline>
        </w:rPr>
      </w:pPr>
      <w:bookmarkStart w:id="0" w:name="_Toc618"/>
      <w:r>
        <w:rPr>
          <w:rFonts w:hint="eastAsia" w:ascii="宋体" w:hAnsi="宋体" w:eastAsia="宋体" w:cs="宋体"/>
          <w:spacing w:val="9"/>
          <w:sz w:val="28"/>
          <w:szCs w:val="28"/>
          <w:highlight w:val="none"/>
          <w14:textOutline w14:w="5448" w14:cap="sq" w14:cmpd="sng" w14:algn="ctr">
            <w14:solidFill>
              <w14:srgbClr w14:val="000000"/>
            </w14:solidFill>
            <w14:prstDash w14:val="solid"/>
            <w14:bevel/>
          </w14:textOutline>
        </w:rPr>
        <w:t>第二部分 投标供应商须知</w:t>
      </w:r>
      <w:bookmarkEnd w:id="0"/>
    </w:p>
    <w:p>
      <w:pPr>
        <w:jc w:val="center"/>
        <w:rPr>
          <w:rFonts w:ascii="宋体" w:hAnsi="宋体" w:eastAsia="宋体" w:cs="宋体"/>
          <w:highlight w:val="none"/>
        </w:rPr>
      </w:pPr>
      <w:r>
        <w:rPr>
          <w:rFonts w:hint="eastAsia" w:ascii="宋体" w:hAnsi="宋体" w:eastAsia="宋体" w:cs="宋体"/>
          <w:b/>
          <w:color w:val="auto"/>
          <w:sz w:val="24"/>
          <w:szCs w:val="24"/>
          <w:highlight w:val="none"/>
        </w:rPr>
        <w:t>须知前附表</w:t>
      </w:r>
    </w:p>
    <w:tbl>
      <w:tblPr>
        <w:tblStyle w:val="18"/>
        <w:tblW w:w="986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45"/>
        <w:gridCol w:w="2201"/>
        <w:gridCol w:w="67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945" w:type="dxa"/>
            <w:vAlign w:val="center"/>
          </w:tcPr>
          <w:p>
            <w:pPr>
              <w:kinsoku/>
              <w:autoSpaceDE/>
              <w:autoSpaceDN/>
              <w:adjustRightInd/>
              <w:snapToGrid/>
              <w:spacing w:line="320" w:lineRule="exact"/>
              <w:jc w:val="center"/>
              <w:textAlignment w:val="auto"/>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条款号</w:t>
            </w:r>
          </w:p>
        </w:tc>
        <w:tc>
          <w:tcPr>
            <w:tcW w:w="2201" w:type="dxa"/>
            <w:vAlign w:val="center"/>
          </w:tcPr>
          <w:p>
            <w:pPr>
              <w:kinsoku/>
              <w:autoSpaceDE/>
              <w:autoSpaceDN/>
              <w:adjustRightInd/>
              <w:snapToGrid/>
              <w:spacing w:line="320" w:lineRule="exact"/>
              <w:jc w:val="center"/>
              <w:textAlignment w:val="auto"/>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条 款 名 称</w:t>
            </w:r>
          </w:p>
        </w:tc>
        <w:tc>
          <w:tcPr>
            <w:tcW w:w="6723" w:type="dxa"/>
            <w:vAlign w:val="center"/>
          </w:tcPr>
          <w:p>
            <w:pPr>
              <w:kinsoku/>
              <w:autoSpaceDE/>
              <w:autoSpaceDN/>
              <w:adjustRightInd/>
              <w:snapToGrid/>
              <w:spacing w:line="320" w:lineRule="exact"/>
              <w:jc w:val="center"/>
              <w:textAlignment w:val="auto"/>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编 列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945" w:type="dxa"/>
            <w:vAlign w:val="center"/>
          </w:tcPr>
          <w:p>
            <w:pPr>
              <w:kinsoku/>
              <w:autoSpaceDE/>
              <w:autoSpaceDN/>
              <w:adjustRightInd/>
              <w:snapToGrid/>
              <w:spacing w:line="32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2201" w:type="dxa"/>
            <w:vAlign w:val="center"/>
          </w:tcPr>
          <w:p>
            <w:pPr>
              <w:kinsoku/>
              <w:autoSpaceDE/>
              <w:autoSpaceDN/>
              <w:adjustRightInd/>
              <w:snapToGrid/>
              <w:spacing w:line="32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采  购  人</w:t>
            </w:r>
          </w:p>
        </w:tc>
        <w:tc>
          <w:tcPr>
            <w:tcW w:w="6723" w:type="dxa"/>
            <w:vAlign w:val="center"/>
          </w:tcPr>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采购人名称：</w:t>
            </w:r>
            <w:r>
              <w:rPr>
                <w:rFonts w:hint="eastAsia" w:ascii="宋体" w:hAnsi="宋体" w:eastAsia="宋体" w:cs="宋体"/>
                <w:sz w:val="24"/>
                <w:szCs w:val="24"/>
                <w:highlight w:val="none"/>
              </w:rPr>
              <w:t>汉中市政府国有资产监督管理委员会</w:t>
            </w:r>
          </w:p>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sz w:val="24"/>
                <w:szCs w:val="24"/>
                <w:highlight w:val="none"/>
              </w:rPr>
              <w:t>汉中市汉台区民主街65号市政府大院</w:t>
            </w:r>
          </w:p>
          <w:p>
            <w:pPr>
              <w:kinsoku/>
              <w:autoSpaceDE/>
              <w:autoSpaceDN/>
              <w:adjustRightInd/>
              <w:snapToGrid/>
              <w:spacing w:line="320" w:lineRule="exact"/>
              <w:textAlignment w:val="auto"/>
              <w:rPr>
                <w:rFonts w:ascii="宋体" w:hAnsi="宋体" w:eastAsia="宋体" w:cs="宋体"/>
                <w:sz w:val="24"/>
                <w:szCs w:val="24"/>
                <w:highlight w:val="none"/>
              </w:rPr>
            </w:pPr>
            <w:r>
              <w:rPr>
                <w:rFonts w:hint="eastAsia" w:ascii="宋体" w:hAnsi="宋体" w:eastAsia="宋体" w:cs="宋体"/>
                <w:sz w:val="24"/>
                <w:szCs w:val="24"/>
                <w:highlight w:val="none"/>
              </w:rPr>
              <w:t>联系人：王工</w:t>
            </w:r>
          </w:p>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sz w:val="24"/>
                <w:szCs w:val="24"/>
                <w:highlight w:val="none"/>
              </w:rPr>
              <w:t>联系电话：18591604386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945" w:type="dxa"/>
            <w:vAlign w:val="center"/>
          </w:tcPr>
          <w:p>
            <w:pPr>
              <w:kinsoku/>
              <w:autoSpaceDE/>
              <w:autoSpaceDN/>
              <w:adjustRightInd/>
              <w:snapToGrid/>
              <w:spacing w:line="32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2201" w:type="dxa"/>
            <w:vAlign w:val="center"/>
          </w:tcPr>
          <w:p>
            <w:pPr>
              <w:kinsoku/>
              <w:autoSpaceDE/>
              <w:autoSpaceDN/>
              <w:adjustRightInd/>
              <w:snapToGrid/>
              <w:spacing w:line="32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采购代理机构</w:t>
            </w:r>
          </w:p>
        </w:tc>
        <w:tc>
          <w:tcPr>
            <w:tcW w:w="6723" w:type="dxa"/>
            <w:vAlign w:val="center"/>
          </w:tcPr>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名  称：陕西华泰工程项目管理有限公司</w:t>
            </w:r>
          </w:p>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lang w:val="zh-CN"/>
              </w:rPr>
              <w:t>陕西省西安市经开区凤城五路世融嘉轩5号楼</w:t>
            </w:r>
            <w:r>
              <w:rPr>
                <w:rFonts w:hint="eastAsia" w:ascii="宋体" w:hAnsi="宋体" w:eastAsia="宋体" w:cs="宋体"/>
                <w:color w:val="auto"/>
                <w:sz w:val="24"/>
                <w:szCs w:val="24"/>
                <w:highlight w:val="none"/>
              </w:rPr>
              <w:t>27</w:t>
            </w:r>
            <w:r>
              <w:rPr>
                <w:rFonts w:hint="eastAsia" w:ascii="宋体" w:hAnsi="宋体" w:eastAsia="宋体" w:cs="宋体"/>
                <w:color w:val="auto"/>
                <w:sz w:val="24"/>
                <w:szCs w:val="24"/>
                <w:highlight w:val="none"/>
                <w:lang w:val="zh-CN"/>
              </w:rPr>
              <w:t>层</w:t>
            </w:r>
          </w:p>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联系人：纪工</w:t>
            </w:r>
          </w:p>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电  话：13709298734、029-86250354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45" w:type="dxa"/>
            <w:vAlign w:val="center"/>
          </w:tcPr>
          <w:p>
            <w:pPr>
              <w:kinsoku/>
              <w:autoSpaceDE/>
              <w:autoSpaceDN/>
              <w:adjustRightInd/>
              <w:snapToGrid/>
              <w:spacing w:line="320" w:lineRule="exact"/>
              <w:jc w:val="center"/>
              <w:textAlignment w:val="auto"/>
              <w:rPr>
                <w:rFonts w:ascii="宋体" w:hAnsi="宋体" w:eastAsia="宋体" w:cs="宋体"/>
                <w:color w:val="auto"/>
                <w:kern w:val="2"/>
                <w:sz w:val="24"/>
                <w:szCs w:val="24"/>
                <w:highlight w:val="none"/>
              </w:rPr>
            </w:pPr>
            <w:r>
              <w:rPr>
                <w:rFonts w:hint="eastAsia" w:ascii="宋体" w:hAnsi="宋体" w:eastAsia="宋体" w:cs="宋体"/>
                <w:color w:val="auto"/>
                <w:sz w:val="24"/>
                <w:szCs w:val="24"/>
                <w:highlight w:val="none"/>
              </w:rPr>
              <w:t>3</w:t>
            </w:r>
          </w:p>
        </w:tc>
        <w:tc>
          <w:tcPr>
            <w:tcW w:w="2201" w:type="dxa"/>
            <w:vAlign w:val="center"/>
          </w:tcPr>
          <w:p>
            <w:pPr>
              <w:kinsoku/>
              <w:autoSpaceDE/>
              <w:autoSpaceDN/>
              <w:adjustRightInd/>
              <w:snapToGrid/>
              <w:spacing w:line="32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招标项目名称</w:t>
            </w:r>
          </w:p>
        </w:tc>
        <w:tc>
          <w:tcPr>
            <w:tcW w:w="6723" w:type="dxa"/>
            <w:vAlign w:val="center"/>
          </w:tcPr>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sz w:val="24"/>
                <w:szCs w:val="24"/>
                <w:highlight w:val="none"/>
              </w:rPr>
              <w:t>汉中市国资在线监管系统建设（一期）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45" w:type="dxa"/>
            <w:vAlign w:val="center"/>
          </w:tcPr>
          <w:p>
            <w:pPr>
              <w:kinsoku/>
              <w:autoSpaceDE/>
              <w:autoSpaceDN/>
              <w:adjustRightInd/>
              <w:snapToGrid/>
              <w:spacing w:line="320" w:lineRule="exact"/>
              <w:jc w:val="center"/>
              <w:textAlignment w:val="auto"/>
              <w:rPr>
                <w:rFonts w:ascii="宋体" w:hAnsi="宋体" w:eastAsia="宋体" w:cs="宋体"/>
                <w:color w:val="auto"/>
                <w:kern w:val="2"/>
                <w:sz w:val="24"/>
                <w:szCs w:val="24"/>
                <w:highlight w:val="none"/>
              </w:rPr>
            </w:pPr>
            <w:r>
              <w:rPr>
                <w:rFonts w:hint="eastAsia" w:ascii="宋体" w:hAnsi="宋体" w:eastAsia="宋体" w:cs="宋体"/>
                <w:color w:val="auto"/>
                <w:sz w:val="24"/>
                <w:szCs w:val="24"/>
                <w:highlight w:val="none"/>
              </w:rPr>
              <w:t>4</w:t>
            </w:r>
          </w:p>
        </w:tc>
        <w:tc>
          <w:tcPr>
            <w:tcW w:w="2201" w:type="dxa"/>
            <w:vAlign w:val="center"/>
          </w:tcPr>
          <w:p>
            <w:pPr>
              <w:kinsoku/>
              <w:autoSpaceDE/>
              <w:autoSpaceDN/>
              <w:adjustRightInd/>
              <w:snapToGrid/>
              <w:spacing w:line="32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资金来源及比例</w:t>
            </w:r>
          </w:p>
        </w:tc>
        <w:tc>
          <w:tcPr>
            <w:tcW w:w="6723" w:type="dxa"/>
            <w:vAlign w:val="center"/>
          </w:tcPr>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财政资金100%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45" w:type="dxa"/>
            <w:vAlign w:val="center"/>
          </w:tcPr>
          <w:p>
            <w:pPr>
              <w:kinsoku/>
              <w:autoSpaceDE/>
              <w:autoSpaceDN/>
              <w:adjustRightInd/>
              <w:snapToGrid/>
              <w:spacing w:line="320" w:lineRule="exact"/>
              <w:jc w:val="center"/>
              <w:textAlignment w:val="auto"/>
              <w:rPr>
                <w:rFonts w:ascii="宋体" w:hAnsi="宋体" w:eastAsia="宋体" w:cs="宋体"/>
                <w:color w:val="auto"/>
                <w:kern w:val="2"/>
                <w:sz w:val="24"/>
                <w:szCs w:val="24"/>
                <w:highlight w:val="none"/>
              </w:rPr>
            </w:pPr>
            <w:r>
              <w:rPr>
                <w:rFonts w:hint="eastAsia" w:ascii="宋体" w:hAnsi="宋体" w:eastAsia="宋体" w:cs="宋体"/>
                <w:color w:val="auto"/>
                <w:sz w:val="24"/>
                <w:szCs w:val="24"/>
                <w:highlight w:val="none"/>
              </w:rPr>
              <w:t>5</w:t>
            </w:r>
          </w:p>
        </w:tc>
        <w:tc>
          <w:tcPr>
            <w:tcW w:w="2201" w:type="dxa"/>
            <w:vAlign w:val="center"/>
          </w:tcPr>
          <w:p>
            <w:pPr>
              <w:kinsoku/>
              <w:autoSpaceDE/>
              <w:autoSpaceDN/>
              <w:adjustRightInd/>
              <w:snapToGrid/>
              <w:spacing w:line="32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资金落实情况</w:t>
            </w:r>
          </w:p>
        </w:tc>
        <w:tc>
          <w:tcPr>
            <w:tcW w:w="6723" w:type="dxa"/>
            <w:vAlign w:val="center"/>
          </w:tcPr>
          <w:p>
            <w:pPr>
              <w:shd w:val="clear" w:color="auto" w:fill="FFFFFF"/>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已落实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945" w:type="dxa"/>
            <w:vAlign w:val="center"/>
          </w:tcPr>
          <w:p>
            <w:pPr>
              <w:kinsoku/>
              <w:autoSpaceDE/>
              <w:autoSpaceDN/>
              <w:adjustRightInd/>
              <w:snapToGrid/>
              <w:spacing w:line="320" w:lineRule="exact"/>
              <w:jc w:val="center"/>
              <w:textAlignment w:val="auto"/>
              <w:rPr>
                <w:rFonts w:ascii="宋体" w:hAnsi="宋体" w:eastAsia="宋体" w:cs="宋体"/>
                <w:color w:val="auto"/>
                <w:kern w:val="2"/>
                <w:sz w:val="24"/>
                <w:szCs w:val="24"/>
                <w:highlight w:val="none"/>
              </w:rPr>
            </w:pPr>
            <w:r>
              <w:rPr>
                <w:rFonts w:hint="eastAsia" w:ascii="宋体" w:hAnsi="宋体" w:eastAsia="宋体" w:cs="宋体"/>
                <w:color w:val="auto"/>
                <w:sz w:val="24"/>
                <w:szCs w:val="24"/>
                <w:highlight w:val="none"/>
              </w:rPr>
              <w:t>6</w:t>
            </w:r>
          </w:p>
        </w:tc>
        <w:tc>
          <w:tcPr>
            <w:tcW w:w="2201" w:type="dxa"/>
            <w:vAlign w:val="center"/>
          </w:tcPr>
          <w:p>
            <w:pPr>
              <w:kinsoku/>
              <w:autoSpaceDE/>
              <w:autoSpaceDN/>
              <w:adjustRightInd/>
              <w:snapToGrid/>
              <w:spacing w:line="32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招标范围</w:t>
            </w:r>
          </w:p>
        </w:tc>
        <w:tc>
          <w:tcPr>
            <w:tcW w:w="6723" w:type="dxa"/>
            <w:vAlign w:val="center"/>
          </w:tcPr>
          <w:p>
            <w:pPr>
              <w:shd w:val="clear" w:color="auto" w:fill="FFFFFF"/>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sz w:val="24"/>
                <w:szCs w:val="24"/>
                <w:highlight w:val="none"/>
              </w:rPr>
              <w:t>根据国务院、省、市国资委及其他信息技术标准的要求，制定一套国资监管系统和服务规范，包括数据资源管理标准规范、数据运营规范、数据安全标准。各类规范须符合满足国资监管各项业务的实际需求，确保当前以及将来能够支撑监管企业接入、监管业务和分析决策应用。</w:t>
            </w:r>
            <w:r>
              <w:rPr>
                <w:rFonts w:hint="eastAsia" w:ascii="宋体" w:hAnsi="宋体" w:eastAsia="宋体" w:cs="宋体"/>
                <w:color w:val="auto"/>
                <w:sz w:val="24"/>
                <w:szCs w:val="24"/>
                <w:highlight w:val="none"/>
              </w:rPr>
              <w:t>国资监管系统运用大数据、云计算、人工智能、互联网+等技术为核心，要求建设：1套数据标准规范体系、1个国资监管数据采集汇聚平台、1个监管业务中心（</w:t>
            </w:r>
            <w:r>
              <w:rPr>
                <w:rFonts w:hint="eastAsia" w:ascii="宋体" w:hAnsi="宋体" w:eastAsia="宋体" w:cs="宋体"/>
                <w:sz w:val="24"/>
                <w:szCs w:val="24"/>
                <w:highlight w:val="none"/>
              </w:rPr>
              <w:t>企业基本信息、财务监管、投资布局、科技创新、公司治理、企干管理、人事管理、产权管理、党建管理、三重一大</w:t>
            </w:r>
            <w:r>
              <w:rPr>
                <w:rFonts w:hint="eastAsia" w:ascii="宋体" w:hAnsi="宋体" w:eastAsia="宋体" w:cs="宋体"/>
                <w:color w:val="auto"/>
                <w:sz w:val="24"/>
                <w:szCs w:val="24"/>
                <w:highlight w:val="none"/>
              </w:rPr>
              <w:t>）、1个生态资源云脑平台、1个应用门户。系统建设完成稳定运行后，逐步与企业等进行对接采集，构建市国资监管大格局，形成市国资监管一盘棋。详见招标文件采购需求。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945" w:type="dxa"/>
            <w:vAlign w:val="center"/>
          </w:tcPr>
          <w:p>
            <w:pPr>
              <w:kinsoku/>
              <w:autoSpaceDE/>
              <w:autoSpaceDN/>
              <w:adjustRightInd/>
              <w:snapToGrid/>
              <w:spacing w:line="320" w:lineRule="exact"/>
              <w:jc w:val="center"/>
              <w:textAlignment w:val="auto"/>
              <w:rPr>
                <w:rFonts w:ascii="宋体" w:hAnsi="宋体" w:eastAsia="宋体" w:cs="宋体"/>
                <w:color w:val="auto"/>
                <w:kern w:val="2"/>
                <w:sz w:val="24"/>
                <w:szCs w:val="24"/>
                <w:highlight w:val="none"/>
              </w:rPr>
            </w:pPr>
            <w:r>
              <w:rPr>
                <w:rFonts w:hint="eastAsia" w:ascii="宋体" w:hAnsi="宋体" w:eastAsia="宋体" w:cs="宋体"/>
                <w:color w:val="auto"/>
                <w:sz w:val="24"/>
                <w:szCs w:val="24"/>
                <w:highlight w:val="none"/>
              </w:rPr>
              <w:t>7</w:t>
            </w:r>
          </w:p>
        </w:tc>
        <w:tc>
          <w:tcPr>
            <w:tcW w:w="2201" w:type="dxa"/>
            <w:vAlign w:val="center"/>
          </w:tcPr>
          <w:p>
            <w:pPr>
              <w:kinsoku/>
              <w:autoSpaceDE/>
              <w:autoSpaceDN/>
              <w:adjustRightInd/>
              <w:snapToGrid/>
              <w:spacing w:line="32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建设期</w:t>
            </w:r>
          </w:p>
        </w:tc>
        <w:tc>
          <w:tcPr>
            <w:tcW w:w="6723" w:type="dxa"/>
            <w:vAlign w:val="center"/>
          </w:tcPr>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30</w:t>
            </w:r>
            <w:r>
              <w:rPr>
                <w:rFonts w:hint="eastAsia" w:ascii="宋体" w:hAnsi="宋体" w:eastAsia="宋体" w:cs="宋体"/>
                <w:color w:val="auto"/>
                <w:sz w:val="24"/>
                <w:szCs w:val="24"/>
                <w:highlight w:val="none"/>
              </w:rPr>
              <w:t>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945" w:type="dxa"/>
            <w:vAlign w:val="center"/>
          </w:tcPr>
          <w:p>
            <w:pPr>
              <w:kinsoku/>
              <w:autoSpaceDE/>
              <w:autoSpaceDN/>
              <w:adjustRightInd/>
              <w:snapToGrid/>
              <w:spacing w:line="32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p>
        </w:tc>
        <w:tc>
          <w:tcPr>
            <w:tcW w:w="2201" w:type="dxa"/>
            <w:vAlign w:val="center"/>
          </w:tcPr>
          <w:p>
            <w:pPr>
              <w:kinsoku/>
              <w:autoSpaceDE/>
              <w:autoSpaceDN/>
              <w:adjustRightInd/>
              <w:snapToGrid/>
              <w:spacing w:line="32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服务期</w:t>
            </w:r>
          </w:p>
        </w:tc>
        <w:tc>
          <w:tcPr>
            <w:tcW w:w="6723" w:type="dxa"/>
            <w:vAlign w:val="center"/>
          </w:tcPr>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验收</w:t>
            </w:r>
            <w:r>
              <w:rPr>
                <w:rFonts w:hint="eastAsia" w:ascii="宋体" w:hAnsi="宋体" w:eastAsia="宋体" w:cs="宋体"/>
                <w:color w:val="auto"/>
                <w:sz w:val="24"/>
                <w:szCs w:val="24"/>
                <w:highlight w:val="none"/>
                <w:lang w:val="en-US" w:eastAsia="zh-CN"/>
              </w:rPr>
              <w:t>合格之日起</w:t>
            </w:r>
            <w:r>
              <w:rPr>
                <w:rFonts w:hint="eastAsia" w:ascii="宋体" w:hAnsi="宋体" w:eastAsia="宋体" w:cs="宋体"/>
                <w:color w:val="auto"/>
                <w:sz w:val="24"/>
                <w:szCs w:val="24"/>
                <w:highlight w:val="none"/>
              </w:rPr>
              <w:t>1年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45" w:type="dxa"/>
            <w:vAlign w:val="center"/>
          </w:tcPr>
          <w:p>
            <w:pPr>
              <w:kinsoku/>
              <w:autoSpaceDE/>
              <w:autoSpaceDN/>
              <w:adjustRightInd/>
              <w:snapToGrid/>
              <w:spacing w:line="320" w:lineRule="exact"/>
              <w:jc w:val="center"/>
              <w:textAlignment w:val="auto"/>
              <w:rPr>
                <w:rFonts w:ascii="宋体" w:hAnsi="宋体" w:eastAsia="宋体" w:cs="宋体"/>
                <w:color w:val="auto"/>
                <w:kern w:val="2"/>
                <w:sz w:val="24"/>
                <w:szCs w:val="24"/>
                <w:highlight w:val="none"/>
              </w:rPr>
            </w:pPr>
            <w:r>
              <w:rPr>
                <w:rFonts w:hint="eastAsia" w:ascii="宋体" w:hAnsi="宋体" w:eastAsia="宋体" w:cs="宋体"/>
                <w:color w:val="auto"/>
                <w:sz w:val="24"/>
                <w:szCs w:val="24"/>
                <w:highlight w:val="none"/>
              </w:rPr>
              <w:t>9</w:t>
            </w:r>
          </w:p>
        </w:tc>
        <w:tc>
          <w:tcPr>
            <w:tcW w:w="2201" w:type="dxa"/>
            <w:vAlign w:val="center"/>
          </w:tcPr>
          <w:p>
            <w:pPr>
              <w:shd w:val="clear" w:color="auto" w:fill="FFFFFF"/>
              <w:kinsoku/>
              <w:autoSpaceDE/>
              <w:autoSpaceDN/>
              <w:adjustRightInd/>
              <w:snapToGrid/>
              <w:spacing w:line="32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质量标准</w:t>
            </w:r>
          </w:p>
        </w:tc>
        <w:tc>
          <w:tcPr>
            <w:tcW w:w="6723" w:type="dxa"/>
            <w:vAlign w:val="center"/>
          </w:tcPr>
          <w:p>
            <w:pPr>
              <w:shd w:val="clear" w:color="auto" w:fill="FFFFFF"/>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合格，符合国家相关技术规范要求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945" w:type="dxa"/>
            <w:vAlign w:val="center"/>
          </w:tcPr>
          <w:p>
            <w:pPr>
              <w:kinsoku/>
              <w:autoSpaceDE/>
              <w:autoSpaceDN/>
              <w:adjustRightInd/>
              <w:snapToGrid/>
              <w:spacing w:line="32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c>
          <w:tcPr>
            <w:tcW w:w="2201" w:type="dxa"/>
            <w:vAlign w:val="center"/>
          </w:tcPr>
          <w:p>
            <w:pPr>
              <w:shd w:val="clear" w:color="auto" w:fill="FFFFFF"/>
              <w:kinsoku/>
              <w:autoSpaceDE/>
              <w:autoSpaceDN/>
              <w:adjustRightInd/>
              <w:snapToGrid/>
              <w:spacing w:line="32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服务地点</w:t>
            </w:r>
          </w:p>
        </w:tc>
        <w:tc>
          <w:tcPr>
            <w:tcW w:w="6723" w:type="dxa"/>
            <w:vAlign w:val="center"/>
          </w:tcPr>
          <w:p>
            <w:pPr>
              <w:shd w:val="clear" w:color="auto" w:fill="FFFFFF"/>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采购人指定地点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5" w:type="dxa"/>
            <w:vAlign w:val="center"/>
          </w:tcPr>
          <w:p>
            <w:pPr>
              <w:kinsoku/>
              <w:autoSpaceDE/>
              <w:autoSpaceDN/>
              <w:adjustRightInd/>
              <w:snapToGrid/>
              <w:spacing w:line="32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11</w:t>
            </w:r>
          </w:p>
        </w:tc>
        <w:tc>
          <w:tcPr>
            <w:tcW w:w="2201" w:type="dxa"/>
            <w:vAlign w:val="center"/>
          </w:tcPr>
          <w:p>
            <w:pPr>
              <w:kinsoku/>
              <w:autoSpaceDE/>
              <w:autoSpaceDN/>
              <w:adjustRightInd/>
              <w:snapToGrid/>
              <w:spacing w:line="32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资格条件</w:t>
            </w:r>
          </w:p>
        </w:tc>
        <w:tc>
          <w:tcPr>
            <w:tcW w:w="6723" w:type="dxa"/>
            <w:vAlign w:val="center"/>
          </w:tcPr>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1.满足《中华人民共和国政府采购法》第二十二条规定；</w:t>
            </w:r>
          </w:p>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2.落实政府采购政策需满足的资格要求：</w:t>
            </w:r>
          </w:p>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（1）《政府采购促进中小企业发展管理办法》(财库〔2020〕46号)；</w:t>
            </w:r>
          </w:p>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（2）《关于进一步加大政府采购支持中小企业力度的通知》(财库〔2022〕19号）； </w:t>
            </w:r>
          </w:p>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（3）《财政部司法部关于政府采购支持监狱企业发展有关问题的通知》(财库〔2014〕68号)；</w:t>
            </w:r>
          </w:p>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（4）《关于调整优化节能产品、环境标志产品政府采购执行机制的通知》（财库〔2019〕9号）、《国务院办公厅关于建立政府强制采购节能产品制度的通知》(国办发〔2007〕51号)；</w:t>
            </w:r>
          </w:p>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（5）《节能产品政府采购实施意见》(财库[2004]185 号)；</w:t>
            </w:r>
          </w:p>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（6）《环境标志产品政府采购实施的意见》(财库[2006]90 号)；</w:t>
            </w:r>
          </w:p>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（7）《关于促进残疾人就业政府采购政策的通知》(财库〔2017〕141号)；</w:t>
            </w:r>
          </w:p>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（8）《陕西省中小企业政府采购信用融资办法》(陕财办采〔2018〕23号)；</w:t>
            </w:r>
          </w:p>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（9）《关于运用政府采购政策支持乡村产业振兴的通知》（财库〔2021〕19号；</w:t>
            </w:r>
          </w:p>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（10）其他需要落实的政府采购政策。</w:t>
            </w:r>
          </w:p>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3.本项目的特定资格要求：</w:t>
            </w:r>
          </w:p>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（1）具有独立承担民事责任的法人、其他组织或自然人，提供有效的营业执照等相应证明文件，非法人单位参照执行；</w:t>
            </w:r>
          </w:p>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提供2021年度审计报告(至少包括有资产负债表、利润表、现金流量表)，成立时间至提交响应文件截止时间不足一年的可提供成立后任意时段的资产负债表，或提供响应文件递交截止前三个月内基本存款账户开户银行出具的资信证明(以上两种形式的资料提供任何一种即可)；</w:t>
            </w:r>
          </w:p>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（3）具有履行合同所必需的设备和专业技术能力，提供承诺书；</w:t>
            </w:r>
          </w:p>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（4）税收缴纳证明：提供投标文件递交截止时间前六个月内任意三月已缴纳的纳税证明或完税证明(包含增值税、企业所得税至少一种)，依法免税的供应商应提供相关证明文件；</w:t>
            </w:r>
          </w:p>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（5）社会保障资金缴纳证明：提供投标文件递交截止时间前六个月内任意三月已缴存的社会保障资金缴费证明或参保证明，依法不需要缴纳社会保障资金的供应商应提供相关证明文件；</w:t>
            </w:r>
          </w:p>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（6）参加政府采购活动前三年内，在经营活动中没有重大违法记录，提供书面声明；</w:t>
            </w:r>
          </w:p>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（7）未被信用中国网站列入失信被执行人和重大税收违法案件当事人名单、未被中国政府采购网列入政府采购严重违法失信行为记录名单，参加本次政府采购活动前三年内在经营活动中没有重大违法记录 (处罚期满除外)；</w:t>
            </w:r>
          </w:p>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（8）法定代表人直接参加投标的须提供法定代表人证明书，法定代表人授权代表参加投标的须提供法定代表人证明书和法定代表人授权书。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945" w:type="dxa"/>
            <w:vAlign w:val="center"/>
          </w:tcPr>
          <w:p>
            <w:pPr>
              <w:kinsoku/>
              <w:autoSpaceDE/>
              <w:autoSpaceDN/>
              <w:adjustRightInd/>
              <w:snapToGrid/>
              <w:spacing w:line="32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12</w:t>
            </w:r>
          </w:p>
        </w:tc>
        <w:tc>
          <w:tcPr>
            <w:tcW w:w="2201" w:type="dxa"/>
            <w:vAlign w:val="center"/>
          </w:tcPr>
          <w:p>
            <w:pPr>
              <w:kinsoku/>
              <w:autoSpaceDE/>
              <w:autoSpaceDN/>
              <w:adjustRightInd/>
              <w:snapToGrid/>
              <w:spacing w:line="32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是否接受</w:t>
            </w:r>
          </w:p>
          <w:p>
            <w:pPr>
              <w:kinsoku/>
              <w:autoSpaceDE/>
              <w:autoSpaceDN/>
              <w:adjustRightInd/>
              <w:snapToGrid/>
              <w:spacing w:line="32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联合体投标</w:t>
            </w:r>
          </w:p>
        </w:tc>
        <w:tc>
          <w:tcPr>
            <w:tcW w:w="6723" w:type="dxa"/>
            <w:vAlign w:val="center"/>
          </w:tcPr>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不接受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945" w:type="dxa"/>
            <w:vAlign w:val="center"/>
          </w:tcPr>
          <w:p>
            <w:pPr>
              <w:kinsoku/>
              <w:autoSpaceDE/>
              <w:autoSpaceDN/>
              <w:adjustRightInd/>
              <w:snapToGrid/>
              <w:spacing w:line="32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13</w:t>
            </w:r>
          </w:p>
        </w:tc>
        <w:tc>
          <w:tcPr>
            <w:tcW w:w="2201" w:type="dxa"/>
            <w:vAlign w:val="center"/>
          </w:tcPr>
          <w:p>
            <w:pPr>
              <w:kinsoku/>
              <w:autoSpaceDE/>
              <w:autoSpaceDN/>
              <w:adjustRightInd/>
              <w:snapToGrid/>
              <w:spacing w:line="32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现场勘查、标前</w:t>
            </w:r>
          </w:p>
          <w:p>
            <w:pPr>
              <w:kinsoku/>
              <w:autoSpaceDE/>
              <w:autoSpaceDN/>
              <w:adjustRightInd/>
              <w:snapToGrid/>
              <w:spacing w:line="32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答疑会</w:t>
            </w:r>
          </w:p>
        </w:tc>
        <w:tc>
          <w:tcPr>
            <w:tcW w:w="6723" w:type="dxa"/>
            <w:vAlign w:val="center"/>
          </w:tcPr>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不组织。投标供应商认为有必要可自行勘查，并承担所有费用及风险。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945" w:type="dxa"/>
            <w:vMerge w:val="restart"/>
            <w:vAlign w:val="center"/>
          </w:tcPr>
          <w:p>
            <w:pPr>
              <w:kinsoku/>
              <w:autoSpaceDE/>
              <w:autoSpaceDN/>
              <w:adjustRightInd/>
              <w:snapToGrid/>
              <w:spacing w:line="32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14</w:t>
            </w:r>
          </w:p>
        </w:tc>
        <w:tc>
          <w:tcPr>
            <w:tcW w:w="2201" w:type="dxa"/>
            <w:vMerge w:val="restart"/>
            <w:vAlign w:val="center"/>
          </w:tcPr>
          <w:p>
            <w:pPr>
              <w:kinsoku/>
              <w:autoSpaceDE/>
              <w:autoSpaceDN/>
              <w:adjustRightInd/>
              <w:snapToGrid/>
              <w:spacing w:line="32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投标供应商对招标文件提出质疑的时间</w:t>
            </w:r>
          </w:p>
        </w:tc>
        <w:tc>
          <w:tcPr>
            <w:tcW w:w="6723" w:type="dxa"/>
            <w:vAlign w:val="center"/>
          </w:tcPr>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时间：投标供应商认为招标文件使自己的权益受到损害的，可以对该文件提出质疑。应当在获取招标文件或者招标文件公告期限届满之日起7个工作日内提出。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45" w:type="dxa"/>
            <w:vMerge w:val="continue"/>
            <w:vAlign w:val="center"/>
          </w:tcPr>
          <w:p>
            <w:pPr>
              <w:kinsoku/>
              <w:autoSpaceDE/>
              <w:autoSpaceDN/>
              <w:adjustRightInd/>
              <w:snapToGrid/>
              <w:spacing w:line="320" w:lineRule="exact"/>
              <w:jc w:val="center"/>
              <w:textAlignment w:val="auto"/>
              <w:rPr>
                <w:rFonts w:ascii="宋体" w:hAnsi="宋体" w:eastAsia="宋体" w:cs="宋体"/>
                <w:color w:val="auto"/>
                <w:sz w:val="24"/>
                <w:szCs w:val="24"/>
                <w:highlight w:val="none"/>
              </w:rPr>
            </w:pPr>
          </w:p>
        </w:tc>
        <w:tc>
          <w:tcPr>
            <w:tcW w:w="2201" w:type="dxa"/>
            <w:vMerge w:val="continue"/>
            <w:vAlign w:val="center"/>
          </w:tcPr>
          <w:p>
            <w:pPr>
              <w:kinsoku/>
              <w:autoSpaceDE/>
              <w:autoSpaceDN/>
              <w:adjustRightInd/>
              <w:snapToGrid/>
              <w:spacing w:line="320" w:lineRule="exact"/>
              <w:jc w:val="center"/>
              <w:textAlignment w:val="auto"/>
              <w:rPr>
                <w:rFonts w:ascii="宋体" w:hAnsi="宋体" w:eastAsia="宋体" w:cs="宋体"/>
                <w:color w:val="auto"/>
                <w:sz w:val="24"/>
                <w:szCs w:val="24"/>
                <w:highlight w:val="none"/>
              </w:rPr>
            </w:pPr>
          </w:p>
        </w:tc>
        <w:tc>
          <w:tcPr>
            <w:tcW w:w="6723" w:type="dxa"/>
            <w:vAlign w:val="center"/>
          </w:tcPr>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形式：书面形式向采购代理机构提出质疑，逾期提出的无效，因此带来的一切不利后果由投标供应商自负。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945" w:type="dxa"/>
            <w:vAlign w:val="center"/>
          </w:tcPr>
          <w:p>
            <w:pPr>
              <w:kinsoku/>
              <w:autoSpaceDE/>
              <w:autoSpaceDN/>
              <w:adjustRightInd/>
              <w:snapToGrid/>
              <w:spacing w:line="32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15</w:t>
            </w:r>
          </w:p>
        </w:tc>
        <w:tc>
          <w:tcPr>
            <w:tcW w:w="2201" w:type="dxa"/>
            <w:vAlign w:val="center"/>
          </w:tcPr>
          <w:p>
            <w:pPr>
              <w:kinsoku/>
              <w:autoSpaceDE/>
              <w:autoSpaceDN/>
              <w:adjustRightInd/>
              <w:snapToGrid/>
              <w:spacing w:line="32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招标文件</w:t>
            </w:r>
          </w:p>
          <w:p>
            <w:pPr>
              <w:kinsoku/>
              <w:autoSpaceDE/>
              <w:autoSpaceDN/>
              <w:adjustRightInd/>
              <w:snapToGrid/>
              <w:spacing w:line="32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澄清或修改</w:t>
            </w:r>
          </w:p>
        </w:tc>
        <w:tc>
          <w:tcPr>
            <w:tcW w:w="6723" w:type="dxa"/>
            <w:vAlign w:val="center"/>
          </w:tcPr>
          <w:p>
            <w:pPr>
              <w:pStyle w:val="2"/>
              <w:kinsoku/>
              <w:autoSpaceDE/>
              <w:autoSpaceDN/>
              <w:adjustRightInd/>
              <w:snapToGrid/>
              <w:spacing w:line="320" w:lineRule="exact"/>
              <w:textAlignment w:val="auto"/>
              <w:rPr>
                <w:rFonts w:ascii="宋体" w:hAnsi="宋体" w:eastAsia="宋体" w:cs="宋体"/>
                <w:color w:val="auto"/>
                <w:szCs w:val="24"/>
                <w:highlight w:val="none"/>
              </w:rPr>
            </w:pPr>
            <w:r>
              <w:rPr>
                <w:rFonts w:hint="eastAsia" w:ascii="宋体" w:hAnsi="宋体" w:eastAsia="宋体" w:cs="宋体"/>
                <w:color w:val="auto"/>
                <w:szCs w:val="24"/>
                <w:highlight w:val="none"/>
              </w:rPr>
              <w:t>（1）对已发出的招标文件进行必要澄清或者修改的，在原发布招标公告的媒体上发布澄清或修改，并以书面形式通知所有招标文件收受人。</w:t>
            </w:r>
          </w:p>
          <w:p>
            <w:pPr>
              <w:pStyle w:val="2"/>
              <w:kinsoku/>
              <w:autoSpaceDE/>
              <w:autoSpaceDN/>
              <w:adjustRightInd/>
              <w:snapToGrid/>
              <w:spacing w:line="320" w:lineRule="exact"/>
              <w:textAlignment w:val="auto"/>
              <w:rPr>
                <w:rFonts w:ascii="宋体" w:hAnsi="宋体" w:eastAsia="宋体" w:cs="宋体"/>
                <w:color w:val="auto"/>
                <w:szCs w:val="24"/>
                <w:highlight w:val="none"/>
              </w:rPr>
            </w:pPr>
            <w:r>
              <w:rPr>
                <w:rFonts w:hint="eastAsia" w:ascii="宋体" w:hAnsi="宋体" w:eastAsia="宋体" w:cs="宋体"/>
                <w:color w:val="auto"/>
                <w:szCs w:val="24"/>
                <w:highlight w:val="none"/>
              </w:rPr>
              <w:t>（2）如果澄清或者修改时间距本章投标须知前附表规定的投标截止时间不足15日，将相应顺延提交投标文件的截止时间。</w:t>
            </w:r>
          </w:p>
          <w:p>
            <w:pPr>
              <w:pStyle w:val="2"/>
              <w:kinsoku/>
              <w:autoSpaceDE/>
              <w:autoSpaceDN/>
              <w:adjustRightInd/>
              <w:snapToGrid/>
              <w:spacing w:line="320" w:lineRule="exact"/>
              <w:textAlignment w:val="auto"/>
              <w:rPr>
                <w:rFonts w:ascii="宋体" w:hAnsi="宋体" w:eastAsia="宋体" w:cs="宋体"/>
                <w:color w:val="auto"/>
                <w:szCs w:val="24"/>
                <w:highlight w:val="none"/>
              </w:rPr>
            </w:pPr>
            <w:r>
              <w:rPr>
                <w:rFonts w:hint="eastAsia" w:ascii="宋体" w:hAnsi="宋体" w:eastAsia="宋体" w:cs="宋体"/>
                <w:color w:val="auto"/>
                <w:szCs w:val="24"/>
                <w:highlight w:val="none"/>
              </w:rPr>
              <w:t>（3）澄清或者修改内容为招标文件的组成部分，对所有领取了招标文件的投标单位均具有约束力。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04" w:hRule="atLeast"/>
          <w:jc w:val="center"/>
        </w:trPr>
        <w:tc>
          <w:tcPr>
            <w:tcW w:w="945" w:type="dxa"/>
            <w:vAlign w:val="center"/>
          </w:tcPr>
          <w:p>
            <w:pPr>
              <w:kinsoku/>
              <w:autoSpaceDE/>
              <w:autoSpaceDN/>
              <w:adjustRightInd/>
              <w:snapToGrid/>
              <w:spacing w:line="32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16</w:t>
            </w:r>
          </w:p>
        </w:tc>
        <w:tc>
          <w:tcPr>
            <w:tcW w:w="2201" w:type="dxa"/>
            <w:vAlign w:val="center"/>
          </w:tcPr>
          <w:p>
            <w:pPr>
              <w:kinsoku/>
              <w:autoSpaceDE/>
              <w:autoSpaceDN/>
              <w:adjustRightInd/>
              <w:snapToGrid/>
              <w:spacing w:line="32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w:t>
            </w:r>
          </w:p>
        </w:tc>
        <w:tc>
          <w:tcPr>
            <w:tcW w:w="6723" w:type="dxa"/>
            <w:vAlign w:val="center"/>
          </w:tcPr>
          <w:p>
            <w:pPr>
              <w:pStyle w:val="2"/>
              <w:kinsoku/>
              <w:autoSpaceDE/>
              <w:autoSpaceDN/>
              <w:adjustRightInd/>
              <w:snapToGrid/>
              <w:spacing w:line="320" w:lineRule="exact"/>
              <w:textAlignment w:val="auto"/>
              <w:rPr>
                <w:rFonts w:ascii="宋体" w:hAnsi="宋体" w:eastAsia="宋体" w:cs="宋体"/>
                <w:color w:val="auto"/>
                <w:szCs w:val="24"/>
                <w:highlight w:val="none"/>
              </w:rPr>
            </w:pPr>
            <w:r>
              <w:rPr>
                <w:rFonts w:hint="eastAsia" w:ascii="宋体" w:hAnsi="宋体" w:eastAsia="宋体" w:cs="宋体"/>
                <w:color w:val="auto"/>
                <w:szCs w:val="24"/>
                <w:highlight w:val="none"/>
              </w:rPr>
              <w:t>投标报价包含：包含了交付使用前的全部费用，包括硬件设备购置费、软件购置费、软件开发费、系统集成费、安装调试费、人员培训费、验收费、售后服务期内的运行维护费、软件永久升级费、税金、其他费用等一切费用。付款方式及条件：具体付款方式详见采购需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945" w:type="dxa"/>
            <w:vAlign w:val="center"/>
          </w:tcPr>
          <w:p>
            <w:pPr>
              <w:kinsoku/>
              <w:autoSpaceDE/>
              <w:autoSpaceDN/>
              <w:adjustRightInd/>
              <w:snapToGrid/>
              <w:spacing w:line="32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17</w:t>
            </w:r>
          </w:p>
        </w:tc>
        <w:tc>
          <w:tcPr>
            <w:tcW w:w="2201" w:type="dxa"/>
            <w:vAlign w:val="center"/>
          </w:tcPr>
          <w:p>
            <w:pPr>
              <w:kinsoku/>
              <w:autoSpaceDE/>
              <w:autoSpaceDN/>
              <w:adjustRightInd/>
              <w:snapToGrid/>
              <w:spacing w:line="32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投标有效期</w:t>
            </w:r>
          </w:p>
        </w:tc>
        <w:tc>
          <w:tcPr>
            <w:tcW w:w="6723" w:type="dxa"/>
            <w:vAlign w:val="center"/>
          </w:tcPr>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自投标截止之日起90日历天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98" w:hRule="atLeast"/>
          <w:jc w:val="center"/>
        </w:trPr>
        <w:tc>
          <w:tcPr>
            <w:tcW w:w="945" w:type="dxa"/>
            <w:vAlign w:val="center"/>
          </w:tcPr>
          <w:p>
            <w:pPr>
              <w:kinsoku/>
              <w:autoSpaceDE/>
              <w:autoSpaceDN/>
              <w:adjustRightInd/>
              <w:snapToGrid/>
              <w:spacing w:line="32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18</w:t>
            </w:r>
          </w:p>
        </w:tc>
        <w:tc>
          <w:tcPr>
            <w:tcW w:w="2201" w:type="dxa"/>
            <w:vAlign w:val="center"/>
          </w:tcPr>
          <w:p>
            <w:pPr>
              <w:kinsoku/>
              <w:autoSpaceDE/>
              <w:autoSpaceDN/>
              <w:adjustRightInd/>
              <w:snapToGrid/>
              <w:spacing w:line="32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投标保证金</w:t>
            </w:r>
          </w:p>
        </w:tc>
        <w:tc>
          <w:tcPr>
            <w:tcW w:w="6723" w:type="dxa"/>
            <w:vAlign w:val="center"/>
          </w:tcPr>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保证金金额：人民币贰万元整（¥：20000.00元）</w:t>
            </w:r>
          </w:p>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投标供应商自主选择以支票、汇票、本票、保函等非现金形式缴纳或提交保证金。</w:t>
            </w:r>
          </w:p>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保证金递交截止时间：投标截止时间前。</w:t>
            </w:r>
          </w:p>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对于未能按要求提交保证金的投标供应商，其投标文件将被拒绝。</w:t>
            </w:r>
          </w:p>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保证金收取说明</w:t>
            </w:r>
          </w:p>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①保证金</w:t>
            </w:r>
            <w:r>
              <w:rPr>
                <w:rFonts w:hint="eastAsia" w:ascii="宋体" w:hAnsi="宋体" w:eastAsia="宋体" w:cs="宋体"/>
                <w:color w:val="auto"/>
                <w:sz w:val="24"/>
                <w:szCs w:val="24"/>
                <w:highlight w:val="none"/>
                <w:lang w:val="en-US" w:eastAsia="zh-CN"/>
              </w:rPr>
              <w:t>交</w:t>
            </w:r>
            <w:r>
              <w:rPr>
                <w:rFonts w:hint="eastAsia" w:ascii="宋体" w:hAnsi="宋体" w:eastAsia="宋体" w:cs="宋体"/>
                <w:color w:val="auto"/>
                <w:sz w:val="24"/>
                <w:szCs w:val="24"/>
                <w:highlight w:val="none"/>
              </w:rPr>
              <w:t>纳证明上应明确项目名称，以便核对查实；</w:t>
            </w:r>
          </w:p>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②保证金缴纳人必须与报名供应商名称一致；</w:t>
            </w:r>
          </w:p>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③投标截止时间后收到的磋商保证金为无效磋商保证金。</w:t>
            </w:r>
          </w:p>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供应商须将保证金</w:t>
            </w:r>
            <w:r>
              <w:rPr>
                <w:rFonts w:hint="eastAsia" w:ascii="宋体" w:hAnsi="宋体" w:eastAsia="宋体" w:cs="宋体"/>
                <w:color w:val="auto"/>
                <w:sz w:val="24"/>
                <w:szCs w:val="24"/>
                <w:highlight w:val="none"/>
                <w:lang w:val="en-US" w:eastAsia="zh-CN"/>
              </w:rPr>
              <w:t>交</w:t>
            </w:r>
            <w:r>
              <w:rPr>
                <w:rFonts w:hint="eastAsia" w:ascii="宋体" w:hAnsi="宋体" w:eastAsia="宋体" w:cs="宋体"/>
                <w:color w:val="auto"/>
                <w:sz w:val="24"/>
                <w:szCs w:val="24"/>
                <w:highlight w:val="none"/>
              </w:rPr>
              <w:t>纳凭证粘贴在投标文件中，并加盖公章。</w:t>
            </w:r>
          </w:p>
          <w:p>
            <w:pPr>
              <w:pStyle w:val="2"/>
              <w:kinsoku/>
              <w:autoSpaceDE/>
              <w:autoSpaceDN/>
              <w:adjustRightInd/>
              <w:snapToGrid/>
              <w:spacing w:line="320" w:lineRule="exact"/>
              <w:textAlignment w:val="auto"/>
              <w:rPr>
                <w:rFonts w:ascii="宋体" w:hAnsi="宋体" w:eastAsia="宋体" w:cs="宋体"/>
                <w:color w:val="auto"/>
                <w:szCs w:val="24"/>
                <w:highlight w:val="none"/>
              </w:rPr>
            </w:pPr>
            <w:r>
              <w:rPr>
                <w:rFonts w:hint="eastAsia" w:ascii="宋体" w:hAnsi="宋体" w:eastAsia="宋体" w:cs="宋体"/>
                <w:color w:val="auto"/>
                <w:szCs w:val="24"/>
                <w:highlight w:val="none"/>
              </w:rPr>
              <w:t>7</w:t>
            </w:r>
            <w:r>
              <w:rPr>
                <w:rFonts w:hint="eastAsia" w:ascii="宋体" w:hAnsi="宋体" w:eastAsia="宋体" w:cs="宋体"/>
                <w:color w:val="auto"/>
                <w:szCs w:val="24"/>
                <w:highlight w:val="none"/>
                <w:lang w:val="en-US" w:eastAsia="zh-CN"/>
              </w:rPr>
              <w:t>.</w:t>
            </w:r>
            <w:r>
              <w:rPr>
                <w:rFonts w:hint="eastAsia" w:ascii="宋体" w:hAnsi="宋体" w:eastAsia="宋体" w:cs="宋体"/>
                <w:color w:val="auto"/>
                <w:szCs w:val="24"/>
                <w:highlight w:val="none"/>
              </w:rPr>
              <w:t>保证金汇款账户</w:t>
            </w:r>
          </w:p>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开户名称：陕西华泰工程项目管理有限公司</w:t>
            </w:r>
          </w:p>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开户行名称：浙商银行西安未央路支行</w:t>
            </w:r>
          </w:p>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账号：7910000610120100005935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945" w:type="dxa"/>
            <w:vAlign w:val="center"/>
          </w:tcPr>
          <w:p>
            <w:pPr>
              <w:kinsoku/>
              <w:autoSpaceDE/>
              <w:autoSpaceDN/>
              <w:adjustRightInd/>
              <w:snapToGrid/>
              <w:spacing w:line="32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19</w:t>
            </w:r>
          </w:p>
        </w:tc>
        <w:tc>
          <w:tcPr>
            <w:tcW w:w="2201" w:type="dxa"/>
            <w:vAlign w:val="center"/>
          </w:tcPr>
          <w:p>
            <w:pPr>
              <w:kinsoku/>
              <w:autoSpaceDE/>
              <w:autoSpaceDN/>
              <w:adjustRightInd/>
              <w:snapToGrid/>
              <w:spacing w:line="32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履约保证金</w:t>
            </w:r>
          </w:p>
        </w:tc>
        <w:tc>
          <w:tcPr>
            <w:tcW w:w="6723" w:type="dxa"/>
            <w:vAlign w:val="center"/>
          </w:tcPr>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4" w:hRule="atLeast"/>
          <w:jc w:val="center"/>
        </w:trPr>
        <w:tc>
          <w:tcPr>
            <w:tcW w:w="945" w:type="dxa"/>
            <w:vAlign w:val="center"/>
          </w:tcPr>
          <w:p>
            <w:pPr>
              <w:kinsoku/>
              <w:autoSpaceDE/>
              <w:autoSpaceDN/>
              <w:adjustRightInd/>
              <w:snapToGrid/>
              <w:spacing w:line="32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20</w:t>
            </w:r>
          </w:p>
        </w:tc>
        <w:tc>
          <w:tcPr>
            <w:tcW w:w="2201" w:type="dxa"/>
            <w:vAlign w:val="center"/>
          </w:tcPr>
          <w:p>
            <w:pPr>
              <w:kinsoku/>
              <w:autoSpaceDE/>
              <w:autoSpaceDN/>
              <w:adjustRightInd/>
              <w:snapToGrid/>
              <w:spacing w:line="32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政府采购信用担保和信用融资</w:t>
            </w:r>
          </w:p>
        </w:tc>
        <w:tc>
          <w:tcPr>
            <w:tcW w:w="6723" w:type="dxa"/>
            <w:vAlign w:val="center"/>
          </w:tcPr>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为支持和促进中小企业发展，进一步发挥政府采购政策功能作用，有效缓解中小企业融资难等问题，根据财政部财库〔2011〕124号文件的精神，陕西省财政厅制订了《陕西省政府采购信用担保试点工作实施方案（试行）》，为参与陕西省政府采购项目的供应商提供政府采购信用担保，并按照程序确定了合作的担保机构。中标单位缴纳履约保证金时可自愿选择通过政府采购信用担保合作的担保机构出具的保函形式缴纳。</w:t>
            </w:r>
          </w:p>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根据《陕西省中小企业政府采购信用融资办法》陕财办采〔2018〕23号规定，供应商如果需要进行政府采购信用融资贷款服务的，可凭中标通知书、政府采购合同等相关资料，按照文件规定的程序申请办理，具体规定可登陆陕西省政府采购网（www.ccgp-shaanxi.gov.cn/）重要通知专栏中查询了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5" w:type="dxa"/>
            <w:vAlign w:val="center"/>
          </w:tcPr>
          <w:p>
            <w:pPr>
              <w:kinsoku/>
              <w:autoSpaceDE/>
              <w:autoSpaceDN/>
              <w:adjustRightInd/>
              <w:snapToGrid/>
              <w:spacing w:line="32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21</w:t>
            </w:r>
          </w:p>
        </w:tc>
        <w:tc>
          <w:tcPr>
            <w:tcW w:w="2201" w:type="dxa"/>
            <w:vAlign w:val="center"/>
          </w:tcPr>
          <w:p>
            <w:pPr>
              <w:kinsoku/>
              <w:autoSpaceDE/>
              <w:autoSpaceDN/>
              <w:adjustRightInd/>
              <w:snapToGrid/>
              <w:spacing w:line="32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采购标的对应的中小企业划分标准所属行业</w:t>
            </w:r>
          </w:p>
        </w:tc>
        <w:tc>
          <w:tcPr>
            <w:tcW w:w="6723" w:type="dxa"/>
            <w:vAlign w:val="center"/>
          </w:tcPr>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其他未列明行业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45" w:type="dxa"/>
            <w:vAlign w:val="center"/>
          </w:tcPr>
          <w:p>
            <w:pPr>
              <w:kinsoku/>
              <w:autoSpaceDE/>
              <w:autoSpaceDN/>
              <w:adjustRightInd/>
              <w:snapToGrid/>
              <w:spacing w:line="32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22</w:t>
            </w:r>
          </w:p>
        </w:tc>
        <w:tc>
          <w:tcPr>
            <w:tcW w:w="2201" w:type="dxa"/>
            <w:vAlign w:val="center"/>
          </w:tcPr>
          <w:p>
            <w:pPr>
              <w:kinsoku/>
              <w:autoSpaceDE/>
              <w:autoSpaceDN/>
              <w:adjustRightInd/>
              <w:snapToGrid/>
              <w:spacing w:line="32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是否专门面向中小企业或小微型企业采购</w:t>
            </w:r>
          </w:p>
        </w:tc>
        <w:tc>
          <w:tcPr>
            <w:tcW w:w="6723" w:type="dxa"/>
            <w:vAlign w:val="center"/>
          </w:tcPr>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945" w:type="dxa"/>
            <w:vAlign w:val="center"/>
          </w:tcPr>
          <w:p>
            <w:pPr>
              <w:kinsoku/>
              <w:autoSpaceDE/>
              <w:autoSpaceDN/>
              <w:adjustRightInd/>
              <w:snapToGrid/>
              <w:spacing w:line="32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23</w:t>
            </w:r>
          </w:p>
        </w:tc>
        <w:tc>
          <w:tcPr>
            <w:tcW w:w="2201" w:type="dxa"/>
            <w:vAlign w:val="center"/>
          </w:tcPr>
          <w:p>
            <w:pPr>
              <w:pStyle w:val="10"/>
              <w:kinsoku/>
              <w:autoSpaceDE/>
              <w:autoSpaceDN/>
              <w:adjustRightInd/>
              <w:snapToGrid/>
              <w:spacing w:line="320" w:lineRule="exact"/>
              <w:jc w:val="center"/>
              <w:textAlignment w:val="auto"/>
              <w:rPr>
                <w:rFonts w:hAnsi="宋体" w:eastAsia="宋体" w:cs="宋体"/>
                <w:color w:val="auto"/>
                <w:kern w:val="2"/>
                <w:sz w:val="24"/>
                <w:szCs w:val="24"/>
                <w:highlight w:val="none"/>
              </w:rPr>
            </w:pPr>
            <w:r>
              <w:rPr>
                <w:rFonts w:hint="eastAsia" w:hAnsi="宋体" w:eastAsia="宋体" w:cs="宋体"/>
                <w:color w:val="auto"/>
                <w:kern w:val="2"/>
                <w:sz w:val="24"/>
                <w:szCs w:val="24"/>
                <w:highlight w:val="none"/>
              </w:rPr>
              <w:t>支持监狱企业</w:t>
            </w:r>
          </w:p>
        </w:tc>
        <w:tc>
          <w:tcPr>
            <w:tcW w:w="6723" w:type="dxa"/>
            <w:vAlign w:val="center"/>
          </w:tcPr>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非专门面向监狱采购项目(价格扣除)：监狱企业可在价格评审时给予10%-20%的扣除，用扣除后的价格参与评审。本项目的扣除比例为：扣除10%。</w:t>
            </w:r>
          </w:p>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《财政部司法部关于政府采购支持监狱企业发展有关问题的通知》（财库〔2014〕68号），提供《监狱企业声明函》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04" w:hRule="atLeast"/>
          <w:jc w:val="center"/>
        </w:trPr>
        <w:tc>
          <w:tcPr>
            <w:tcW w:w="945" w:type="dxa"/>
            <w:vAlign w:val="center"/>
          </w:tcPr>
          <w:p>
            <w:pPr>
              <w:kinsoku/>
              <w:autoSpaceDE/>
              <w:autoSpaceDN/>
              <w:adjustRightInd/>
              <w:snapToGrid/>
              <w:spacing w:line="32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24</w:t>
            </w:r>
          </w:p>
        </w:tc>
        <w:tc>
          <w:tcPr>
            <w:tcW w:w="2201" w:type="dxa"/>
            <w:vAlign w:val="center"/>
          </w:tcPr>
          <w:p>
            <w:pPr>
              <w:pStyle w:val="10"/>
              <w:kinsoku/>
              <w:autoSpaceDE/>
              <w:autoSpaceDN/>
              <w:adjustRightInd/>
              <w:snapToGrid/>
              <w:spacing w:line="320" w:lineRule="exact"/>
              <w:jc w:val="center"/>
              <w:textAlignment w:val="auto"/>
              <w:rPr>
                <w:rFonts w:hAnsi="宋体" w:eastAsia="宋体" w:cs="宋体"/>
                <w:color w:val="auto"/>
                <w:kern w:val="2"/>
                <w:sz w:val="24"/>
                <w:szCs w:val="24"/>
                <w:highlight w:val="none"/>
              </w:rPr>
            </w:pPr>
            <w:r>
              <w:rPr>
                <w:rFonts w:hint="eastAsia" w:hAnsi="宋体" w:eastAsia="宋体" w:cs="宋体"/>
                <w:color w:val="auto"/>
                <w:kern w:val="2"/>
                <w:sz w:val="24"/>
                <w:szCs w:val="24"/>
                <w:highlight w:val="none"/>
              </w:rPr>
              <w:t>其他法律法规强制性规定或扶持政策</w:t>
            </w:r>
          </w:p>
        </w:tc>
        <w:tc>
          <w:tcPr>
            <w:tcW w:w="6723" w:type="dxa"/>
            <w:vAlign w:val="center"/>
          </w:tcPr>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残疾人福利性单位可在价格评审时给予10%-20%的扣除，用扣除后的价格参与评审。</w:t>
            </w:r>
          </w:p>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本项目的扣除比例为：扣除10%；但应满足下列条件：</w:t>
            </w:r>
          </w:p>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残疾人福利性单位应符合《财政部、民政部、中国残疾人联合会关于促进残疾人就业政府采购政策的通知》（财库[2017]141号）文件规定，并提供《残疾人福利性单位声明函》。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45" w:type="dxa"/>
            <w:vAlign w:val="center"/>
          </w:tcPr>
          <w:p>
            <w:pPr>
              <w:kinsoku/>
              <w:autoSpaceDE/>
              <w:autoSpaceDN/>
              <w:adjustRightInd/>
              <w:snapToGrid/>
              <w:spacing w:line="32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25</w:t>
            </w:r>
          </w:p>
        </w:tc>
        <w:tc>
          <w:tcPr>
            <w:tcW w:w="2201" w:type="dxa"/>
            <w:vAlign w:val="center"/>
          </w:tcPr>
          <w:p>
            <w:pPr>
              <w:kinsoku/>
              <w:autoSpaceDE/>
              <w:autoSpaceDN/>
              <w:adjustRightInd/>
              <w:snapToGrid/>
              <w:spacing w:line="32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备选投标方案</w:t>
            </w:r>
          </w:p>
          <w:p>
            <w:pPr>
              <w:kinsoku/>
              <w:autoSpaceDE/>
              <w:autoSpaceDN/>
              <w:adjustRightInd/>
              <w:snapToGrid/>
              <w:spacing w:line="32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和报价</w:t>
            </w:r>
          </w:p>
        </w:tc>
        <w:tc>
          <w:tcPr>
            <w:tcW w:w="6723" w:type="dxa"/>
            <w:vAlign w:val="center"/>
          </w:tcPr>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不接受备选投标方案和多个报价。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45" w:type="dxa"/>
            <w:vAlign w:val="center"/>
          </w:tcPr>
          <w:p>
            <w:pPr>
              <w:kinsoku/>
              <w:autoSpaceDE/>
              <w:autoSpaceDN/>
              <w:adjustRightInd/>
              <w:snapToGrid/>
              <w:spacing w:line="32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26</w:t>
            </w:r>
          </w:p>
        </w:tc>
        <w:tc>
          <w:tcPr>
            <w:tcW w:w="2201" w:type="dxa"/>
            <w:vAlign w:val="center"/>
          </w:tcPr>
          <w:p>
            <w:pPr>
              <w:kinsoku/>
              <w:autoSpaceDE/>
              <w:autoSpaceDN/>
              <w:adjustRightInd/>
              <w:snapToGrid/>
              <w:spacing w:line="32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盖章签字</w:t>
            </w:r>
          </w:p>
        </w:tc>
        <w:tc>
          <w:tcPr>
            <w:tcW w:w="6723" w:type="dxa"/>
            <w:vAlign w:val="center"/>
          </w:tcPr>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投标供应商必须按照招标文件的规定和要求在投标文件中指定的页面落款处加盖公章，并由法定代表人或被授权人签字（或盖章）。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945" w:type="dxa"/>
            <w:vAlign w:val="center"/>
          </w:tcPr>
          <w:p>
            <w:pPr>
              <w:kinsoku/>
              <w:autoSpaceDE/>
              <w:autoSpaceDN/>
              <w:adjustRightInd/>
              <w:snapToGrid/>
              <w:spacing w:line="32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27</w:t>
            </w:r>
          </w:p>
        </w:tc>
        <w:tc>
          <w:tcPr>
            <w:tcW w:w="2201" w:type="dxa"/>
            <w:vAlign w:val="center"/>
          </w:tcPr>
          <w:p>
            <w:pPr>
              <w:kinsoku/>
              <w:autoSpaceDE/>
              <w:autoSpaceDN/>
              <w:adjustRightInd/>
              <w:snapToGrid/>
              <w:spacing w:line="320" w:lineRule="exact"/>
              <w:jc w:val="center"/>
              <w:textAlignment w:val="auto"/>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投标文件份数及装订要求</w:t>
            </w:r>
          </w:p>
        </w:tc>
        <w:tc>
          <w:tcPr>
            <w:tcW w:w="6723" w:type="dxa"/>
            <w:vAlign w:val="center"/>
          </w:tcPr>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投标文件份数：一份正本，三份副本，电子版1份（U盘）。</w:t>
            </w:r>
          </w:p>
          <w:p>
            <w:pPr>
              <w:kinsoku/>
              <w:autoSpaceDE/>
              <w:autoSpaceDN/>
              <w:adjustRightInd/>
              <w:snapToGrid/>
              <w:spacing w:line="320" w:lineRule="exact"/>
              <w:textAlignment w:val="auto"/>
              <w:rPr>
                <w:rFonts w:ascii="宋体" w:hAnsi="宋体" w:eastAsia="宋体" w:cs="宋体"/>
                <w:color w:val="auto"/>
                <w:kern w:val="2"/>
                <w:sz w:val="24"/>
                <w:szCs w:val="24"/>
                <w:highlight w:val="none"/>
              </w:rPr>
            </w:pPr>
            <w:r>
              <w:rPr>
                <w:rFonts w:hint="eastAsia" w:ascii="宋体" w:hAnsi="宋体" w:eastAsia="宋体" w:cs="宋体"/>
                <w:color w:val="auto"/>
                <w:sz w:val="24"/>
                <w:szCs w:val="24"/>
                <w:highlight w:val="none"/>
              </w:rPr>
              <w:t>投标文件装订：采用胶装方式装订，装订应牢固、不易拆散和换页，不得采用活页装订。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45" w:type="dxa"/>
            <w:vAlign w:val="center"/>
          </w:tcPr>
          <w:p>
            <w:pPr>
              <w:kinsoku/>
              <w:autoSpaceDE/>
              <w:autoSpaceDN/>
              <w:adjustRightInd/>
              <w:snapToGrid/>
              <w:spacing w:line="32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28</w:t>
            </w:r>
          </w:p>
        </w:tc>
        <w:tc>
          <w:tcPr>
            <w:tcW w:w="2201" w:type="dxa"/>
            <w:vAlign w:val="center"/>
          </w:tcPr>
          <w:p>
            <w:pPr>
              <w:kinsoku/>
              <w:autoSpaceDE/>
              <w:autoSpaceDN/>
              <w:adjustRightInd/>
              <w:snapToGrid/>
              <w:spacing w:line="32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投标截止时间及地点</w:t>
            </w:r>
          </w:p>
        </w:tc>
        <w:tc>
          <w:tcPr>
            <w:tcW w:w="6723" w:type="dxa"/>
            <w:vAlign w:val="center"/>
          </w:tcPr>
          <w:p>
            <w:pPr>
              <w:kinsoku/>
              <w:autoSpaceDE/>
              <w:autoSpaceDN/>
              <w:adjustRightInd/>
              <w:snapToGrid/>
              <w:spacing w:line="320" w:lineRule="exact"/>
              <w:ind w:right="-197"/>
              <w:textAlignment w:val="auto"/>
              <w:rPr>
                <w:rFonts w:ascii="宋体" w:hAnsi="宋体" w:eastAsia="宋体" w:cs="宋体"/>
                <w:sz w:val="24"/>
                <w:szCs w:val="24"/>
                <w:highlight w:val="none"/>
              </w:rPr>
            </w:pPr>
            <w:r>
              <w:rPr>
                <w:rFonts w:hint="eastAsia" w:ascii="宋体" w:hAnsi="宋体" w:eastAsia="宋体" w:cs="宋体"/>
                <w:sz w:val="24"/>
                <w:szCs w:val="24"/>
                <w:highlight w:val="none"/>
              </w:rPr>
              <w:t>截止时间：2022年11月</w:t>
            </w:r>
            <w:r>
              <w:rPr>
                <w:rFonts w:hint="eastAsia" w:ascii="宋体" w:hAnsi="宋体" w:eastAsia="宋体" w:cs="宋体"/>
                <w:sz w:val="24"/>
                <w:szCs w:val="24"/>
                <w:highlight w:val="none"/>
                <w:lang w:val="en-US" w:eastAsia="zh-CN"/>
              </w:rPr>
              <w:t>28</w:t>
            </w:r>
            <w:r>
              <w:rPr>
                <w:rFonts w:hint="eastAsia" w:ascii="宋体" w:hAnsi="宋体" w:eastAsia="宋体" w:cs="宋体"/>
                <w:sz w:val="24"/>
                <w:szCs w:val="24"/>
                <w:highlight w:val="none"/>
              </w:rPr>
              <w:t>日</w:t>
            </w:r>
            <w:r>
              <w:rPr>
                <w:rFonts w:hint="eastAsia" w:ascii="宋体" w:hAnsi="宋体" w:eastAsia="宋体" w:cs="宋体"/>
                <w:sz w:val="24"/>
                <w:szCs w:val="24"/>
                <w:highlight w:val="none"/>
                <w:lang w:val="en-US" w:eastAsia="zh-CN"/>
              </w:rPr>
              <w:t>14</w:t>
            </w:r>
            <w:r>
              <w:rPr>
                <w:rFonts w:hint="eastAsia" w:ascii="宋体" w:hAnsi="宋体" w:eastAsia="宋体" w:cs="宋体"/>
                <w:sz w:val="24"/>
                <w:szCs w:val="24"/>
                <w:highlight w:val="none"/>
              </w:rPr>
              <w:t>时</w:t>
            </w:r>
            <w:r>
              <w:rPr>
                <w:rFonts w:hint="eastAsia" w:ascii="宋体" w:hAnsi="宋体" w:eastAsia="宋体" w:cs="宋体"/>
                <w:sz w:val="24"/>
                <w:szCs w:val="24"/>
                <w:highlight w:val="none"/>
                <w:lang w:val="en-US" w:eastAsia="zh-CN"/>
              </w:rPr>
              <w:t>00</w:t>
            </w:r>
            <w:r>
              <w:rPr>
                <w:rFonts w:hint="eastAsia" w:ascii="宋体" w:hAnsi="宋体" w:eastAsia="宋体" w:cs="宋体"/>
                <w:sz w:val="24"/>
                <w:szCs w:val="24"/>
                <w:highlight w:val="none"/>
              </w:rPr>
              <w:t>分</w:t>
            </w:r>
            <w:r>
              <w:rPr>
                <w:rFonts w:hint="eastAsia" w:ascii="宋体" w:hAnsi="宋体" w:eastAsia="宋体" w:cs="宋体"/>
                <w:sz w:val="24"/>
                <w:szCs w:val="24"/>
                <w:highlight w:val="none"/>
                <w:lang w:val="en-US" w:eastAsia="zh-CN"/>
              </w:rPr>
              <w:t>00</w:t>
            </w:r>
            <w:r>
              <w:rPr>
                <w:rFonts w:hint="eastAsia" w:ascii="宋体" w:hAnsi="宋体" w:eastAsia="宋体" w:cs="宋体"/>
                <w:sz w:val="24"/>
                <w:szCs w:val="24"/>
                <w:highlight w:val="none"/>
              </w:rPr>
              <w:t>秒（北京时间）</w:t>
            </w:r>
          </w:p>
          <w:p>
            <w:pPr>
              <w:pStyle w:val="2"/>
              <w:kinsoku/>
              <w:autoSpaceDE/>
              <w:autoSpaceDN/>
              <w:adjustRightInd/>
              <w:snapToGrid/>
              <w:spacing w:line="320" w:lineRule="exact"/>
              <w:textAlignment w:val="auto"/>
              <w:rPr>
                <w:rFonts w:ascii="宋体" w:hAnsi="宋体" w:eastAsia="宋体" w:cs="宋体"/>
                <w:szCs w:val="24"/>
                <w:highlight w:val="none"/>
              </w:rPr>
            </w:pPr>
            <w:r>
              <w:rPr>
                <w:rFonts w:hint="eastAsia" w:ascii="宋体" w:hAnsi="宋体" w:eastAsia="宋体" w:cs="宋体"/>
                <w:color w:val="auto"/>
                <w:szCs w:val="24"/>
                <w:highlight w:val="none"/>
              </w:rPr>
              <w:t>递交地点：陕西省西安市经开区凤城五路世融嘉轩5号楼27层第三会议室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945" w:type="dxa"/>
            <w:vAlign w:val="center"/>
          </w:tcPr>
          <w:p>
            <w:pPr>
              <w:kinsoku/>
              <w:autoSpaceDE/>
              <w:autoSpaceDN/>
              <w:adjustRightInd/>
              <w:snapToGrid/>
              <w:spacing w:line="32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29</w:t>
            </w:r>
          </w:p>
        </w:tc>
        <w:tc>
          <w:tcPr>
            <w:tcW w:w="2201" w:type="dxa"/>
            <w:vAlign w:val="center"/>
          </w:tcPr>
          <w:p>
            <w:pPr>
              <w:kinsoku/>
              <w:autoSpaceDE/>
              <w:autoSpaceDN/>
              <w:adjustRightInd/>
              <w:snapToGrid/>
              <w:spacing w:line="32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开标时间和地点</w:t>
            </w:r>
          </w:p>
        </w:tc>
        <w:tc>
          <w:tcPr>
            <w:tcW w:w="6723" w:type="dxa"/>
            <w:vAlign w:val="center"/>
          </w:tcPr>
          <w:p>
            <w:pPr>
              <w:kinsoku/>
              <w:autoSpaceDE/>
              <w:autoSpaceDN/>
              <w:adjustRightInd/>
              <w:snapToGrid/>
              <w:spacing w:line="320" w:lineRule="exact"/>
              <w:ind w:right="-197"/>
              <w:textAlignment w:val="auto"/>
              <w:rPr>
                <w:rFonts w:ascii="宋体" w:hAnsi="宋体" w:eastAsia="宋体" w:cs="宋体"/>
                <w:sz w:val="24"/>
                <w:szCs w:val="24"/>
                <w:highlight w:val="none"/>
              </w:rPr>
            </w:pPr>
            <w:r>
              <w:rPr>
                <w:rFonts w:hint="eastAsia" w:ascii="宋体" w:hAnsi="宋体" w:eastAsia="宋体" w:cs="宋体"/>
                <w:color w:val="auto"/>
                <w:sz w:val="24"/>
                <w:szCs w:val="24"/>
                <w:highlight w:val="none"/>
              </w:rPr>
              <w:t>开标时间：</w:t>
            </w:r>
            <w:r>
              <w:rPr>
                <w:rFonts w:hint="eastAsia" w:ascii="宋体" w:hAnsi="宋体" w:eastAsia="宋体" w:cs="宋体"/>
                <w:sz w:val="24"/>
                <w:szCs w:val="24"/>
                <w:highlight w:val="none"/>
              </w:rPr>
              <w:t>2022年11月</w:t>
            </w:r>
            <w:r>
              <w:rPr>
                <w:rFonts w:hint="eastAsia" w:ascii="宋体" w:hAnsi="宋体" w:eastAsia="宋体" w:cs="宋体"/>
                <w:sz w:val="24"/>
                <w:szCs w:val="24"/>
                <w:highlight w:val="none"/>
                <w:lang w:val="en-US" w:eastAsia="zh-CN"/>
              </w:rPr>
              <w:t>28</w:t>
            </w:r>
            <w:r>
              <w:rPr>
                <w:rFonts w:hint="eastAsia" w:ascii="宋体" w:hAnsi="宋体" w:eastAsia="宋体" w:cs="宋体"/>
                <w:sz w:val="24"/>
                <w:szCs w:val="24"/>
                <w:highlight w:val="none"/>
              </w:rPr>
              <w:t>日</w:t>
            </w:r>
            <w:r>
              <w:rPr>
                <w:rFonts w:hint="eastAsia" w:ascii="宋体" w:hAnsi="宋体" w:eastAsia="宋体" w:cs="宋体"/>
                <w:sz w:val="24"/>
                <w:szCs w:val="24"/>
                <w:highlight w:val="none"/>
                <w:lang w:val="en-US" w:eastAsia="zh-CN"/>
              </w:rPr>
              <w:t>14</w:t>
            </w:r>
            <w:r>
              <w:rPr>
                <w:rFonts w:hint="eastAsia" w:ascii="宋体" w:hAnsi="宋体" w:eastAsia="宋体" w:cs="宋体"/>
                <w:sz w:val="24"/>
                <w:szCs w:val="24"/>
                <w:highlight w:val="none"/>
              </w:rPr>
              <w:t>时</w:t>
            </w:r>
            <w:r>
              <w:rPr>
                <w:rFonts w:hint="eastAsia" w:ascii="宋体" w:hAnsi="宋体" w:eastAsia="宋体" w:cs="宋体"/>
                <w:sz w:val="24"/>
                <w:szCs w:val="24"/>
                <w:highlight w:val="none"/>
                <w:lang w:val="en-US" w:eastAsia="zh-CN"/>
              </w:rPr>
              <w:t>00</w:t>
            </w:r>
            <w:r>
              <w:rPr>
                <w:rFonts w:hint="eastAsia" w:ascii="宋体" w:hAnsi="宋体" w:eastAsia="宋体" w:cs="宋体"/>
                <w:sz w:val="24"/>
                <w:szCs w:val="24"/>
                <w:highlight w:val="none"/>
              </w:rPr>
              <w:t>分</w:t>
            </w:r>
            <w:r>
              <w:rPr>
                <w:rFonts w:hint="eastAsia" w:ascii="宋体" w:hAnsi="宋体" w:eastAsia="宋体" w:cs="宋体"/>
                <w:sz w:val="24"/>
                <w:szCs w:val="24"/>
                <w:highlight w:val="none"/>
                <w:lang w:val="en-US" w:eastAsia="zh-CN"/>
              </w:rPr>
              <w:t>00</w:t>
            </w:r>
            <w:r>
              <w:rPr>
                <w:rFonts w:hint="eastAsia" w:ascii="宋体" w:hAnsi="宋体" w:eastAsia="宋体" w:cs="宋体"/>
                <w:sz w:val="24"/>
                <w:szCs w:val="24"/>
                <w:highlight w:val="none"/>
              </w:rPr>
              <w:t>秒（北京时间）</w:t>
            </w:r>
          </w:p>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开标地点：陕西省西安市经开区凤城五路世融嘉轩5号楼27层第三会议室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945" w:type="dxa"/>
            <w:vAlign w:val="center"/>
          </w:tcPr>
          <w:p>
            <w:pPr>
              <w:kinsoku/>
              <w:autoSpaceDE/>
              <w:autoSpaceDN/>
              <w:adjustRightInd/>
              <w:snapToGrid/>
              <w:spacing w:line="32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30</w:t>
            </w:r>
          </w:p>
        </w:tc>
        <w:tc>
          <w:tcPr>
            <w:tcW w:w="2201" w:type="dxa"/>
            <w:vAlign w:val="center"/>
          </w:tcPr>
          <w:p>
            <w:pPr>
              <w:kinsoku/>
              <w:autoSpaceDE/>
              <w:autoSpaceDN/>
              <w:adjustRightInd/>
              <w:snapToGrid/>
              <w:spacing w:line="32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评标委员会的组建</w:t>
            </w:r>
          </w:p>
        </w:tc>
        <w:tc>
          <w:tcPr>
            <w:tcW w:w="6723" w:type="dxa"/>
            <w:vAlign w:val="center"/>
          </w:tcPr>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评标委员会构成：</w:t>
            </w:r>
            <w:r>
              <w:rPr>
                <w:rFonts w:hint="eastAsia" w:ascii="宋体" w:hAnsi="宋体" w:eastAsia="宋体" w:cs="宋体"/>
                <w:color w:val="auto"/>
                <w:sz w:val="24"/>
                <w:szCs w:val="24"/>
                <w:highlight w:val="none"/>
                <w:u w:val="single"/>
              </w:rPr>
              <w:t xml:space="preserve"> 5 </w:t>
            </w:r>
            <w:r>
              <w:rPr>
                <w:rFonts w:hint="eastAsia" w:ascii="宋体" w:hAnsi="宋体" w:eastAsia="宋体" w:cs="宋体"/>
                <w:color w:val="auto"/>
                <w:sz w:val="24"/>
                <w:szCs w:val="24"/>
                <w:highlight w:val="none"/>
              </w:rPr>
              <w:t>人。</w:t>
            </w:r>
          </w:p>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其中采购人代表</w:t>
            </w:r>
            <w:r>
              <w:rPr>
                <w:rFonts w:hint="eastAsia" w:ascii="宋体" w:hAnsi="宋体" w:eastAsia="宋体" w:cs="宋体"/>
                <w:color w:val="auto"/>
                <w:sz w:val="24"/>
                <w:szCs w:val="24"/>
                <w:highlight w:val="none"/>
                <w:u w:val="single"/>
              </w:rPr>
              <w:t xml:space="preserve"> 1 </w:t>
            </w:r>
            <w:r>
              <w:rPr>
                <w:rFonts w:hint="eastAsia" w:ascii="宋体" w:hAnsi="宋体" w:eastAsia="宋体" w:cs="宋体"/>
                <w:color w:val="auto"/>
                <w:sz w:val="24"/>
                <w:szCs w:val="24"/>
                <w:highlight w:val="none"/>
              </w:rPr>
              <w:t>人，专家</w:t>
            </w:r>
            <w:r>
              <w:rPr>
                <w:rFonts w:hint="eastAsia" w:ascii="宋体" w:hAnsi="宋体" w:eastAsia="宋体" w:cs="宋体"/>
                <w:color w:val="auto"/>
                <w:sz w:val="24"/>
                <w:szCs w:val="24"/>
                <w:highlight w:val="none"/>
                <w:u w:val="single"/>
              </w:rPr>
              <w:t xml:space="preserve"> 4 </w:t>
            </w:r>
            <w:r>
              <w:rPr>
                <w:rFonts w:hint="eastAsia" w:ascii="宋体" w:hAnsi="宋体" w:eastAsia="宋体" w:cs="宋体"/>
                <w:color w:val="auto"/>
                <w:sz w:val="24"/>
                <w:szCs w:val="24"/>
                <w:highlight w:val="none"/>
              </w:rPr>
              <w:t>人。</w:t>
            </w:r>
          </w:p>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评标专家确定方式：按《中华人民共和国政府采购法》相关规定，在政府采购专家库中随机抽取。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945" w:type="dxa"/>
            <w:vAlign w:val="center"/>
          </w:tcPr>
          <w:p>
            <w:pPr>
              <w:kinsoku/>
              <w:autoSpaceDE/>
              <w:autoSpaceDN/>
              <w:adjustRightInd/>
              <w:snapToGrid/>
              <w:spacing w:line="32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31</w:t>
            </w:r>
          </w:p>
        </w:tc>
        <w:tc>
          <w:tcPr>
            <w:tcW w:w="2201" w:type="dxa"/>
            <w:vAlign w:val="center"/>
          </w:tcPr>
          <w:p>
            <w:pPr>
              <w:kinsoku/>
              <w:autoSpaceDE/>
              <w:autoSpaceDN/>
              <w:adjustRightInd/>
              <w:snapToGrid/>
              <w:spacing w:line="32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评标委员会推荐中标候选人的人数</w:t>
            </w:r>
          </w:p>
        </w:tc>
        <w:tc>
          <w:tcPr>
            <w:tcW w:w="6723" w:type="dxa"/>
            <w:vAlign w:val="center"/>
          </w:tcPr>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3 </w:t>
            </w:r>
            <w:r>
              <w:rPr>
                <w:rFonts w:hint="eastAsia" w:ascii="宋体" w:hAnsi="宋体" w:eastAsia="宋体" w:cs="宋体"/>
                <w:color w:val="auto"/>
                <w:sz w:val="24"/>
                <w:szCs w:val="24"/>
                <w:highlight w:val="none"/>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45" w:type="dxa"/>
            <w:vAlign w:val="center"/>
          </w:tcPr>
          <w:p>
            <w:pPr>
              <w:kinsoku/>
              <w:autoSpaceDE/>
              <w:autoSpaceDN/>
              <w:adjustRightInd/>
              <w:snapToGrid/>
              <w:spacing w:line="320" w:lineRule="exact"/>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32</w:t>
            </w:r>
          </w:p>
        </w:tc>
        <w:tc>
          <w:tcPr>
            <w:tcW w:w="2201" w:type="dxa"/>
            <w:vAlign w:val="center"/>
          </w:tcPr>
          <w:p>
            <w:pPr>
              <w:kinsoku/>
              <w:autoSpaceDE/>
              <w:autoSpaceDN/>
              <w:adjustRightInd/>
              <w:snapToGrid/>
              <w:spacing w:line="320" w:lineRule="exact"/>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付款方式</w:t>
            </w:r>
          </w:p>
        </w:tc>
        <w:tc>
          <w:tcPr>
            <w:tcW w:w="6723" w:type="dxa"/>
            <w:vAlign w:val="center"/>
          </w:tcPr>
          <w:p>
            <w:pPr>
              <w:kinsoku/>
              <w:autoSpaceDE/>
              <w:autoSpaceDN/>
              <w:adjustRightInd/>
              <w:snapToGrid/>
              <w:spacing w:line="32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1.合同签订后10个工作日内，甲方向乙方支付合同价款的</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0%作为项目预付款。</w:t>
            </w:r>
          </w:p>
          <w:p>
            <w:pPr>
              <w:kinsoku/>
              <w:autoSpaceDE/>
              <w:autoSpaceDN/>
              <w:adjustRightInd/>
              <w:snapToGrid/>
              <w:spacing w:line="32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2.乙方一次性交付系统，甲方验收合格后5个工作日内，甲方向乙方支付合同价款的</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0%。如遇特殊原因，顺延付款期限。</w:t>
            </w:r>
          </w:p>
          <w:p>
            <w:pPr>
              <w:kinsoku/>
              <w:autoSpaceDE/>
              <w:autoSpaceDN/>
              <w:adjustRightInd/>
              <w:snapToGrid/>
              <w:spacing w:line="32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3.支付方式：银行转账。</w:t>
            </w:r>
          </w:p>
          <w:p>
            <w:pPr>
              <w:kinsoku/>
              <w:autoSpaceDE/>
              <w:autoSpaceDN/>
              <w:adjustRightInd/>
              <w:snapToGrid/>
              <w:spacing w:line="320" w:lineRule="exact"/>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4.结算方式：付款前乙方根据甲方要求开具相应金额的发票。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945" w:type="dxa"/>
            <w:vAlign w:val="center"/>
          </w:tcPr>
          <w:p>
            <w:pPr>
              <w:kinsoku/>
              <w:autoSpaceDE/>
              <w:autoSpaceDN/>
              <w:adjustRightInd/>
              <w:snapToGrid/>
              <w:spacing w:line="320" w:lineRule="exact"/>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33</w:t>
            </w:r>
          </w:p>
        </w:tc>
        <w:tc>
          <w:tcPr>
            <w:tcW w:w="8924" w:type="dxa"/>
            <w:gridSpan w:val="2"/>
            <w:vAlign w:val="center"/>
          </w:tcPr>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945" w:type="dxa"/>
            <w:vAlign w:val="center"/>
          </w:tcPr>
          <w:p>
            <w:pPr>
              <w:kinsoku/>
              <w:autoSpaceDE/>
              <w:autoSpaceDN/>
              <w:adjustRightInd/>
              <w:snapToGrid/>
              <w:spacing w:line="32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.1</w:t>
            </w:r>
          </w:p>
        </w:tc>
        <w:tc>
          <w:tcPr>
            <w:tcW w:w="8924" w:type="dxa"/>
            <w:gridSpan w:val="2"/>
            <w:vAlign w:val="center"/>
          </w:tcPr>
          <w:p>
            <w:pPr>
              <w:kinsoku/>
              <w:autoSpaceDE/>
              <w:autoSpaceDN/>
              <w:adjustRightInd/>
              <w:snapToGrid/>
              <w:spacing w:line="320" w:lineRule="exact"/>
              <w:textAlignment w:val="auto"/>
              <w:rPr>
                <w:rFonts w:ascii="宋体" w:hAnsi="宋体" w:eastAsia="宋体" w:cs="宋体"/>
                <w:color w:val="auto"/>
                <w:kern w:val="2"/>
                <w:sz w:val="24"/>
                <w:szCs w:val="24"/>
                <w:highlight w:val="none"/>
              </w:rPr>
            </w:pPr>
            <w:r>
              <w:rPr>
                <w:rFonts w:hint="eastAsia" w:ascii="宋体" w:hAnsi="宋体" w:eastAsia="宋体" w:cs="宋体"/>
                <w:b/>
                <w:bCs/>
                <w:color w:val="auto"/>
                <w:sz w:val="24"/>
                <w:szCs w:val="24"/>
                <w:highlight w:val="none"/>
              </w:rPr>
              <w:t>代理服务费：</w:t>
            </w:r>
            <w:r>
              <w:rPr>
                <w:rFonts w:hint="eastAsia" w:ascii="宋体" w:hAnsi="宋体" w:eastAsia="宋体" w:cs="宋体"/>
                <w:color w:val="auto"/>
                <w:sz w:val="24"/>
                <w:szCs w:val="24"/>
                <w:highlight w:val="none"/>
                <w:lang w:val="zh-TW"/>
              </w:rPr>
              <w:t>由中标</w:t>
            </w:r>
            <w:r>
              <w:rPr>
                <w:rFonts w:hint="eastAsia" w:ascii="宋体" w:hAnsi="宋体" w:eastAsia="宋体" w:cs="宋体"/>
                <w:color w:val="auto"/>
                <w:sz w:val="24"/>
                <w:szCs w:val="24"/>
                <w:highlight w:val="none"/>
              </w:rPr>
              <w:t>供应商</w:t>
            </w:r>
            <w:r>
              <w:rPr>
                <w:rFonts w:hint="eastAsia" w:ascii="宋体" w:hAnsi="宋体" w:eastAsia="宋体" w:cs="宋体"/>
                <w:color w:val="auto"/>
                <w:sz w:val="24"/>
                <w:szCs w:val="24"/>
                <w:highlight w:val="none"/>
                <w:lang w:val="zh-TW"/>
              </w:rPr>
              <w:t>支付代理服务费，代理服务费参照《国家计委关于印发&lt;招标代理服务收费管理暂行办法&gt;的通知》（计价格〔2002〕1980号）和发改办价格〔2003〕857号以及发改价格〔2011〕534号文中规定的标准执行，按差额定率累进法收取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12" w:hRule="atLeast"/>
          <w:jc w:val="center"/>
        </w:trPr>
        <w:tc>
          <w:tcPr>
            <w:tcW w:w="945" w:type="dxa"/>
            <w:vAlign w:val="center"/>
          </w:tcPr>
          <w:p>
            <w:pPr>
              <w:kinsoku/>
              <w:autoSpaceDE/>
              <w:autoSpaceDN/>
              <w:adjustRightInd/>
              <w:snapToGrid/>
              <w:spacing w:line="32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.2</w:t>
            </w:r>
          </w:p>
        </w:tc>
        <w:tc>
          <w:tcPr>
            <w:tcW w:w="8924" w:type="dxa"/>
            <w:gridSpan w:val="2"/>
            <w:vAlign w:val="center"/>
          </w:tcPr>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本次采购、投标报价、评审和合同授予均以项目为单位，投标供应商必须就一个完整项目进行响应。中标人与采购人在中标通知书发出30天内签订合同，不及时签订视为自动放弃。非经采购人同意，本项目不允许中标后另行转包或者分包。中标人无正当理由不得放弃中标。因自身原因拒绝签订政府采购合同的或者未按合同约定进行履约的，中标人不得参加对该项目重新开展的招标活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945" w:type="dxa"/>
            <w:vAlign w:val="center"/>
          </w:tcPr>
          <w:p>
            <w:pPr>
              <w:kinsoku/>
              <w:autoSpaceDE/>
              <w:autoSpaceDN/>
              <w:adjustRightInd/>
              <w:snapToGrid/>
              <w:spacing w:line="320" w:lineRule="exact"/>
              <w:jc w:val="center"/>
              <w:textAlignment w:val="auto"/>
              <w:rPr>
                <w:rFonts w:ascii="宋体" w:hAnsi="宋体" w:eastAsia="宋体" w:cs="宋体"/>
                <w:color w:val="auto"/>
                <w:kern w:val="2"/>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.3</w:t>
            </w:r>
          </w:p>
        </w:tc>
        <w:tc>
          <w:tcPr>
            <w:tcW w:w="8924" w:type="dxa"/>
            <w:gridSpan w:val="2"/>
            <w:vAlign w:val="center"/>
          </w:tcPr>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开标现场携带的原件：</w:t>
            </w:r>
            <w:r>
              <w:rPr>
                <w:rFonts w:hint="eastAsia" w:ascii="宋体" w:hAnsi="宋体" w:eastAsia="宋体" w:cs="宋体"/>
                <w:color w:val="auto"/>
                <w:sz w:val="24"/>
                <w:szCs w:val="24"/>
                <w:highlight w:val="none"/>
              </w:rPr>
              <w:t>法定代表人代表授权书（原件）和被授权人身份证（原件）；</w:t>
            </w:r>
          </w:p>
          <w:p>
            <w:pPr>
              <w:kinsoku/>
              <w:autoSpaceDE/>
              <w:autoSpaceDN/>
              <w:adjustRightInd/>
              <w:snapToGrid/>
              <w:spacing w:line="320" w:lineRule="exact"/>
              <w:textAlignment w:val="auto"/>
              <w:rPr>
                <w:rFonts w:ascii="宋体" w:hAnsi="宋体" w:eastAsia="宋体" w:cs="宋体"/>
                <w:color w:val="auto"/>
                <w:kern w:val="2"/>
                <w:sz w:val="24"/>
                <w:szCs w:val="24"/>
                <w:highlight w:val="none"/>
              </w:rPr>
            </w:pPr>
            <w:r>
              <w:rPr>
                <w:rFonts w:hint="eastAsia" w:ascii="宋体" w:hAnsi="宋体" w:eastAsia="宋体" w:cs="宋体"/>
                <w:color w:val="auto"/>
                <w:sz w:val="24"/>
                <w:szCs w:val="24"/>
                <w:highlight w:val="none"/>
              </w:rPr>
              <w:t>（法定代表人参加开标时,须提供法定代表人身份证明书（原件）和法定代表人身份证原件）。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945" w:type="dxa"/>
            <w:vAlign w:val="center"/>
          </w:tcPr>
          <w:p>
            <w:pPr>
              <w:kinsoku/>
              <w:autoSpaceDE/>
              <w:autoSpaceDN/>
              <w:adjustRightInd/>
              <w:snapToGrid/>
              <w:spacing w:line="32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.4</w:t>
            </w:r>
          </w:p>
        </w:tc>
        <w:tc>
          <w:tcPr>
            <w:tcW w:w="8924" w:type="dxa"/>
            <w:gridSpan w:val="2"/>
            <w:vAlign w:val="center"/>
          </w:tcPr>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（1）2022年新成立的企业（2021年度财务审计报告）只需提供企业成立后的证明材料；</w:t>
            </w:r>
          </w:p>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（2）单位负责人为同一人或者存在控股、管理关系的不同单位，不得参加同一项目的投标；</w:t>
            </w:r>
          </w:p>
          <w:p>
            <w:pPr>
              <w:kinsoku/>
              <w:autoSpaceDE/>
              <w:autoSpaceDN/>
              <w:adjustRightInd/>
              <w:snapToGrid/>
              <w:spacing w:line="32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参加本项目的相关企业和人员，必须严格执行汉中市新型冠状病毒感染的肺炎疫情联防联控工作领导小组相关文件规定。进场的所有人员须持有24小时核酸阴性证明，并全程佩戴口罩、行程码接种码检查、体温测量等疫情防控措施，每个投标单位参会人员不得超过1人。如有违反，所有责任自负。</w:t>
            </w:r>
          </w:p>
        </w:tc>
      </w:tr>
    </w:tbl>
    <w:p>
      <w:pPr>
        <w:rPr>
          <w:rFonts w:ascii="宋体" w:hAnsi="宋体" w:eastAsia="宋体" w:cs="宋体"/>
          <w:highlight w:val="none"/>
        </w:rPr>
      </w:pPr>
    </w:p>
    <w:p>
      <w:pPr>
        <w:spacing w:line="460" w:lineRule="exact"/>
        <w:rPr>
          <w:rFonts w:ascii="宋体" w:hAnsi="宋体" w:eastAsia="宋体" w:cs="宋体"/>
          <w:b/>
          <w:bCs/>
          <w:sz w:val="24"/>
          <w:szCs w:val="24"/>
          <w:highlight w:val="none"/>
        </w:rPr>
      </w:pPr>
      <w:r>
        <w:rPr>
          <w:rFonts w:hint="eastAsia" w:ascii="宋体" w:hAnsi="宋体" w:eastAsia="宋体" w:cs="宋体"/>
          <w:b/>
          <w:bCs/>
          <w:sz w:val="24"/>
          <w:szCs w:val="24"/>
          <w:highlight w:val="none"/>
        </w:rPr>
        <w:t>一、总则</w:t>
      </w:r>
    </w:p>
    <w:p>
      <w:pPr>
        <w:spacing w:line="460" w:lineRule="exact"/>
        <w:rPr>
          <w:rFonts w:ascii="宋体" w:hAnsi="宋体" w:eastAsia="宋体" w:cs="宋体"/>
          <w:b/>
          <w:bCs/>
          <w:sz w:val="24"/>
          <w:szCs w:val="24"/>
          <w:highlight w:val="none"/>
        </w:rPr>
      </w:pPr>
      <w:bookmarkStart w:id="1" w:name="_Toc24606"/>
      <w:bookmarkStart w:id="2" w:name="_Toc6642"/>
      <w:bookmarkStart w:id="3" w:name="_Toc347478675"/>
      <w:r>
        <w:rPr>
          <w:rFonts w:hint="eastAsia" w:ascii="宋体" w:hAnsi="宋体" w:eastAsia="宋体" w:cs="宋体"/>
          <w:b/>
          <w:bCs/>
          <w:sz w:val="24"/>
          <w:szCs w:val="24"/>
          <w:highlight w:val="none"/>
        </w:rPr>
        <w:t>1.适用范围</w:t>
      </w:r>
      <w:bookmarkEnd w:id="1"/>
      <w:bookmarkEnd w:id="2"/>
      <w:bookmarkEnd w:id="3"/>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根据《中华人民共和国政府采购法》、《中华人民共和国政府采购法实施条例》等有关法律、法规和规章的规定，本项目已具备招标条件，现进行招标。</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本招标文件仅适用于本次招标公告中所列项目的货物及服务采购。</w:t>
      </w:r>
    </w:p>
    <w:p>
      <w:pPr>
        <w:spacing w:line="460" w:lineRule="exact"/>
        <w:rPr>
          <w:rFonts w:ascii="宋体" w:hAnsi="宋体" w:eastAsia="宋体" w:cs="宋体"/>
          <w:sz w:val="24"/>
          <w:szCs w:val="24"/>
          <w:highlight w:val="none"/>
        </w:rPr>
      </w:pPr>
      <w:bookmarkStart w:id="4" w:name="_Toc31563"/>
      <w:r>
        <w:rPr>
          <w:rFonts w:hint="eastAsia" w:ascii="宋体" w:hAnsi="宋体" w:eastAsia="宋体" w:cs="宋体"/>
          <w:b/>
          <w:bCs/>
          <w:sz w:val="24"/>
          <w:szCs w:val="24"/>
          <w:highlight w:val="none"/>
        </w:rPr>
        <w:t>2.定义</w:t>
      </w:r>
      <w:bookmarkEnd w:id="4"/>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2.1采购人：汉中市政府国有资产监督管理委员会；</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2.2采购代理机构：陕西华泰工程项目管理有限公司；</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2.3供应商：响应采购人要求，向采购人提交投标文件的投标人；</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2.4“货物”系指卖方按合同要求，须向买方提供的一切货物、仪器、备品、手册及其他技术资料及材料。</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2.5“服务”系指合同规定卖方须承担的运输、装卸、仓储、人员培训和交付使用后保修期内应履行的义务及售后服务等其他类似的伴随服务。</w:t>
      </w:r>
    </w:p>
    <w:p>
      <w:pPr>
        <w:pStyle w:val="5"/>
        <w:spacing w:line="460" w:lineRule="exact"/>
        <w:ind w:left="0" w:leftChars="0"/>
        <w:rPr>
          <w:rFonts w:ascii="宋体" w:hAnsi="宋体" w:eastAsia="宋体" w:cs="宋体"/>
          <w:bCs/>
          <w:szCs w:val="24"/>
          <w:highlight w:val="none"/>
        </w:rPr>
      </w:pPr>
      <w:bookmarkStart w:id="5" w:name="_Toc25783"/>
      <w:bookmarkStart w:id="6" w:name="_Toc32103"/>
      <w:bookmarkStart w:id="7" w:name="_Toc347478677"/>
      <w:r>
        <w:rPr>
          <w:rFonts w:hint="eastAsia" w:ascii="宋体" w:hAnsi="宋体" w:eastAsia="宋体" w:cs="宋体"/>
          <w:bCs/>
          <w:szCs w:val="24"/>
          <w:highlight w:val="none"/>
        </w:rPr>
        <w:t>3.合格的供应商</w:t>
      </w:r>
      <w:bookmarkEnd w:id="5"/>
      <w:bookmarkEnd w:id="6"/>
      <w:bookmarkEnd w:id="7"/>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3.1凡在中华人民共和国注册的、具备招标公告资格要求且有能力提供所采购服务的投标供应商；</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3.2供应商必须在招标公告载明的地点购买招标文件并登记，未经购买招标文件并登记的潜在供应商均无资格参加本次投标；</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3.3供应商应满足《中华人民共和国政府采购法》及其它有关的中国法律和法规。</w:t>
      </w:r>
    </w:p>
    <w:p>
      <w:pPr>
        <w:pStyle w:val="5"/>
        <w:spacing w:line="460" w:lineRule="exact"/>
        <w:ind w:left="0" w:leftChars="0"/>
        <w:rPr>
          <w:rFonts w:ascii="宋体" w:hAnsi="宋体" w:eastAsia="宋体" w:cs="宋体"/>
          <w:bCs/>
          <w:szCs w:val="24"/>
          <w:highlight w:val="none"/>
        </w:rPr>
      </w:pPr>
      <w:bookmarkStart w:id="8" w:name="_Toc14283"/>
      <w:r>
        <w:rPr>
          <w:rFonts w:hint="eastAsia" w:ascii="宋体" w:hAnsi="宋体" w:eastAsia="宋体" w:cs="宋体"/>
          <w:bCs/>
          <w:szCs w:val="24"/>
          <w:highlight w:val="none"/>
        </w:rPr>
        <w:t>4.费用</w:t>
      </w:r>
      <w:bookmarkEnd w:id="8"/>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供应商应承担所有与编写和提交投标文件有关的费用，无论投标过程中的做法和结果如何，采购人在任何情况下均无义务和责任承担这些费用。</w:t>
      </w:r>
    </w:p>
    <w:p>
      <w:pPr>
        <w:spacing w:line="460" w:lineRule="exact"/>
        <w:rPr>
          <w:rFonts w:ascii="宋体" w:hAnsi="宋体" w:eastAsia="宋体" w:cs="宋体"/>
          <w:b/>
          <w:bCs/>
          <w:sz w:val="24"/>
          <w:szCs w:val="24"/>
          <w:highlight w:val="none"/>
        </w:rPr>
      </w:pPr>
      <w:r>
        <w:rPr>
          <w:rFonts w:hint="eastAsia" w:ascii="宋体" w:hAnsi="宋体" w:eastAsia="宋体" w:cs="宋体"/>
          <w:b/>
          <w:bCs/>
          <w:sz w:val="24"/>
          <w:szCs w:val="24"/>
          <w:highlight w:val="none"/>
        </w:rPr>
        <w:t>二、招标文件</w:t>
      </w:r>
      <w:bookmarkStart w:id="9" w:name="_Toc347478680"/>
      <w:bookmarkStart w:id="10" w:name="_Toc15431"/>
      <w:bookmarkStart w:id="11" w:name="_Toc21755"/>
    </w:p>
    <w:p>
      <w:pPr>
        <w:spacing w:line="460" w:lineRule="exact"/>
        <w:rPr>
          <w:rFonts w:ascii="宋体" w:hAnsi="宋体" w:eastAsia="宋体" w:cs="宋体"/>
          <w:b/>
          <w:bCs/>
          <w:sz w:val="24"/>
          <w:szCs w:val="24"/>
          <w:highlight w:val="none"/>
        </w:rPr>
      </w:pPr>
      <w:r>
        <w:rPr>
          <w:rFonts w:hint="eastAsia" w:ascii="宋体" w:hAnsi="宋体" w:eastAsia="宋体" w:cs="宋体"/>
          <w:b/>
          <w:bCs/>
          <w:sz w:val="24"/>
          <w:szCs w:val="24"/>
          <w:highlight w:val="none"/>
        </w:rPr>
        <w:t>5.招标文件的构成</w:t>
      </w:r>
      <w:bookmarkEnd w:id="9"/>
      <w:bookmarkEnd w:id="10"/>
      <w:bookmarkEnd w:id="11"/>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5.1招标文件用以阐明所需提供的服务和合同条件。招标文件包括：</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第一部分 招标公告</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第二部分 供应商须知</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第三部分 采购需求</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第四部分 评标办法</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第五部分 合同主要条款</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第六部分 投标文件格式</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5.2供应商应认真阅读招标文件中所有的事项、格式条款和规范要求等。供应商没有对招标文件全面做出实质性响应是供应商自身的风险。采购人有权拒绝没有对招标文件要求做出实质性响应的投标。</w:t>
      </w:r>
    </w:p>
    <w:p>
      <w:pPr>
        <w:pStyle w:val="5"/>
        <w:spacing w:line="460" w:lineRule="exact"/>
        <w:ind w:left="0" w:leftChars="0"/>
        <w:rPr>
          <w:rFonts w:ascii="宋体" w:hAnsi="宋体" w:eastAsia="宋体" w:cs="宋体"/>
          <w:color w:val="auto"/>
          <w:szCs w:val="24"/>
          <w:highlight w:val="none"/>
        </w:rPr>
      </w:pPr>
      <w:bookmarkStart w:id="12" w:name="_Toc7474"/>
      <w:bookmarkStart w:id="13" w:name="_Toc6225"/>
      <w:bookmarkStart w:id="14" w:name="_Toc347478681"/>
      <w:r>
        <w:rPr>
          <w:rFonts w:hint="eastAsia" w:ascii="宋体" w:hAnsi="宋体" w:eastAsia="宋体" w:cs="宋体"/>
          <w:color w:val="auto"/>
          <w:szCs w:val="24"/>
          <w:highlight w:val="none"/>
        </w:rPr>
        <w:t>6.招标文件的澄清</w:t>
      </w:r>
      <w:bookmarkEnd w:id="12"/>
      <w:bookmarkEnd w:id="13"/>
      <w:bookmarkEnd w:id="14"/>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任何要求对招标文件澄清的供应商，均应于投标截止日期15日前以书面形式（包括电报、电传、传真）通知采购代理机构。采购代理机构将视情况确定采用适当方式予以澄清或以书面形式予以答复，并在其认为必要时，将不标明来源的书面答复通知到每个购买招标文件的供应商。</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在规定的时间内供应商对招标文件无异议的，视为供应商完全响应招标文件并接受招标文件中约定的主要条款。在规定时间后提出的质疑，采购人或采购代理机构不予答复。</w:t>
      </w:r>
    </w:p>
    <w:p>
      <w:pPr>
        <w:pStyle w:val="5"/>
        <w:spacing w:line="460" w:lineRule="exact"/>
        <w:ind w:left="0" w:leftChars="0"/>
        <w:rPr>
          <w:rFonts w:ascii="宋体" w:hAnsi="宋体" w:eastAsia="宋体" w:cs="宋体"/>
          <w:color w:val="auto"/>
          <w:szCs w:val="24"/>
          <w:highlight w:val="none"/>
        </w:rPr>
      </w:pPr>
      <w:bookmarkStart w:id="15" w:name="_Toc26176"/>
      <w:r>
        <w:rPr>
          <w:rFonts w:hint="eastAsia" w:ascii="宋体" w:hAnsi="宋体" w:eastAsia="宋体" w:cs="宋体"/>
          <w:color w:val="auto"/>
          <w:szCs w:val="24"/>
          <w:highlight w:val="none"/>
        </w:rPr>
        <w:t>7.招标文件的修改</w:t>
      </w:r>
      <w:bookmarkEnd w:id="15"/>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7.1在投标截止期15日前，无论出于何种原因，采购人可主动地或在解答供应商要求澄清的问题时对招标文件进行修改。</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7.2招标文件的修改将以书面形式（包括电子邮件）通知所有招标文件的收受人；供应商在收到该通知后应立即以传真、电子邮件等有效形式予以确认。</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7.3为使供应商在准备投标文件时，有充分的时间对招标文件的修改进行研究考虑，采购人可自行决定，酌情推迟投标截止日期，并以书面形式通知所有已购买招标文件的供应商。</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7.4招标文件的修改内容将构成招标文件的一部分，对采购人和供应商都具有约束力。</w:t>
      </w:r>
    </w:p>
    <w:p>
      <w:pPr>
        <w:spacing w:line="460" w:lineRule="exact"/>
        <w:rPr>
          <w:rFonts w:ascii="宋体" w:hAnsi="宋体" w:eastAsia="宋体" w:cs="宋体"/>
          <w:b/>
          <w:bCs/>
          <w:sz w:val="24"/>
          <w:szCs w:val="24"/>
          <w:highlight w:val="none"/>
        </w:rPr>
      </w:pPr>
      <w:r>
        <w:rPr>
          <w:rFonts w:hint="eastAsia" w:ascii="宋体" w:hAnsi="宋体" w:eastAsia="宋体" w:cs="宋体"/>
          <w:b/>
          <w:bCs/>
          <w:sz w:val="24"/>
          <w:szCs w:val="24"/>
          <w:highlight w:val="none"/>
        </w:rPr>
        <w:t>三、投标文件的编制</w:t>
      </w:r>
    </w:p>
    <w:p>
      <w:pPr>
        <w:spacing w:line="460" w:lineRule="exact"/>
        <w:rPr>
          <w:rFonts w:ascii="宋体" w:hAnsi="宋体" w:eastAsia="宋体" w:cs="宋体"/>
          <w:sz w:val="24"/>
          <w:szCs w:val="24"/>
          <w:highlight w:val="none"/>
        </w:rPr>
      </w:pPr>
      <w:bookmarkStart w:id="16" w:name="_Toc347478684"/>
      <w:bookmarkStart w:id="17" w:name="_Toc19847"/>
      <w:bookmarkStart w:id="18" w:name="_Toc643"/>
      <w:r>
        <w:rPr>
          <w:rFonts w:hint="eastAsia" w:ascii="宋体" w:hAnsi="宋体" w:eastAsia="宋体" w:cs="宋体"/>
          <w:b/>
          <w:bCs/>
          <w:sz w:val="24"/>
          <w:szCs w:val="24"/>
          <w:highlight w:val="none"/>
        </w:rPr>
        <w:t>8.投标语言</w:t>
      </w:r>
      <w:bookmarkEnd w:id="16"/>
      <w:bookmarkEnd w:id="17"/>
      <w:bookmarkEnd w:id="18"/>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供应商编写的投标文件和往来信件应以中文书写。</w:t>
      </w:r>
    </w:p>
    <w:p>
      <w:pPr>
        <w:spacing w:line="460" w:lineRule="exact"/>
        <w:rPr>
          <w:rFonts w:ascii="宋体" w:hAnsi="宋体" w:eastAsia="宋体" w:cs="宋体"/>
          <w:b/>
          <w:bCs/>
          <w:sz w:val="24"/>
          <w:szCs w:val="24"/>
          <w:highlight w:val="none"/>
        </w:rPr>
      </w:pPr>
      <w:bookmarkStart w:id="19" w:name="_Toc347478685"/>
      <w:bookmarkStart w:id="20" w:name="_Toc25959"/>
      <w:bookmarkStart w:id="21" w:name="_Toc15450"/>
      <w:r>
        <w:rPr>
          <w:rFonts w:hint="eastAsia" w:ascii="宋体" w:hAnsi="宋体" w:eastAsia="宋体" w:cs="宋体"/>
          <w:b/>
          <w:bCs/>
          <w:sz w:val="24"/>
          <w:szCs w:val="24"/>
          <w:highlight w:val="none"/>
        </w:rPr>
        <w:t>9.计量单位</w:t>
      </w:r>
      <w:bookmarkEnd w:id="19"/>
      <w:bookmarkEnd w:id="20"/>
      <w:bookmarkEnd w:id="21"/>
    </w:p>
    <w:p>
      <w:pPr>
        <w:spacing w:line="460" w:lineRule="exact"/>
        <w:ind w:firstLine="480" w:firstLineChars="200"/>
        <w:rPr>
          <w:rFonts w:ascii="宋体" w:hAnsi="宋体" w:eastAsia="宋体" w:cs="宋体"/>
          <w:sz w:val="24"/>
          <w:szCs w:val="24"/>
          <w:highlight w:val="none"/>
        </w:rPr>
      </w:pPr>
      <w:bookmarkStart w:id="22" w:name="_Toc15760"/>
      <w:bookmarkStart w:id="23" w:name="_Toc347478686"/>
      <w:r>
        <w:rPr>
          <w:rFonts w:hint="eastAsia" w:ascii="宋体" w:hAnsi="宋体" w:eastAsia="宋体" w:cs="宋体"/>
          <w:sz w:val="24"/>
          <w:szCs w:val="24"/>
          <w:highlight w:val="none"/>
        </w:rPr>
        <w:t>除在招标文件的技术规格中另有规定外，计量单位应使用中华人民共和国法定计量单位。</w:t>
      </w:r>
    </w:p>
    <w:p>
      <w:pPr>
        <w:spacing w:line="460" w:lineRule="exact"/>
        <w:rPr>
          <w:rFonts w:ascii="宋体" w:hAnsi="宋体" w:eastAsia="宋体" w:cs="宋体"/>
          <w:b/>
          <w:bCs/>
          <w:sz w:val="24"/>
          <w:szCs w:val="24"/>
          <w:highlight w:val="none"/>
        </w:rPr>
      </w:pPr>
      <w:bookmarkStart w:id="24" w:name="_Toc27150"/>
      <w:r>
        <w:rPr>
          <w:rFonts w:hint="eastAsia" w:ascii="宋体" w:hAnsi="宋体" w:eastAsia="宋体" w:cs="宋体"/>
          <w:b/>
          <w:bCs/>
          <w:sz w:val="24"/>
          <w:szCs w:val="24"/>
          <w:highlight w:val="none"/>
        </w:rPr>
        <w:t>10.投标文件的组成</w:t>
      </w:r>
      <w:bookmarkEnd w:id="22"/>
      <w:bookmarkEnd w:id="23"/>
      <w:bookmarkEnd w:id="24"/>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10.1供应商编写的投标文件应包括下列部分：</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10.1.1投标函、开标一览表、分项报价表等投标文件要求的所有内容；</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10.1.2按照供应商须知要求出具的供应商资格证明文件；</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10.1.3按照供应商须知要求出具的投标货物和服务符合招标文件规定的证明文件及供应商认为需加以说明的其他内容；</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10.1.4招标文件要求供应商提供的其他内容。</w:t>
      </w:r>
    </w:p>
    <w:p>
      <w:pPr>
        <w:spacing w:line="460" w:lineRule="exact"/>
        <w:rPr>
          <w:rFonts w:ascii="宋体" w:hAnsi="宋体" w:eastAsia="宋体" w:cs="宋体"/>
          <w:b/>
          <w:bCs/>
          <w:sz w:val="24"/>
          <w:szCs w:val="24"/>
          <w:highlight w:val="none"/>
        </w:rPr>
      </w:pPr>
      <w:bookmarkStart w:id="25" w:name="_Toc6896"/>
      <w:bookmarkStart w:id="26" w:name="_Toc3253"/>
      <w:bookmarkStart w:id="27" w:name="_Toc347478687"/>
      <w:r>
        <w:rPr>
          <w:rFonts w:hint="eastAsia" w:ascii="宋体" w:hAnsi="宋体" w:eastAsia="宋体" w:cs="宋体"/>
          <w:b/>
          <w:bCs/>
          <w:sz w:val="24"/>
          <w:szCs w:val="24"/>
          <w:highlight w:val="none"/>
        </w:rPr>
        <w:t>11.投标文件格式</w:t>
      </w:r>
      <w:bookmarkEnd w:id="25"/>
      <w:bookmarkEnd w:id="26"/>
      <w:bookmarkEnd w:id="27"/>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供应商应按招标文件中提供的投标文件格式填写“投标函”、“开标一览表”、“商务偏离表”以及其他相关文件等。</w:t>
      </w:r>
    </w:p>
    <w:p>
      <w:pPr>
        <w:spacing w:line="460" w:lineRule="exact"/>
        <w:rPr>
          <w:rFonts w:ascii="宋体" w:hAnsi="宋体" w:eastAsia="宋体" w:cs="宋体"/>
          <w:b/>
          <w:bCs/>
          <w:sz w:val="24"/>
          <w:szCs w:val="24"/>
          <w:highlight w:val="none"/>
        </w:rPr>
      </w:pPr>
      <w:bookmarkStart w:id="28" w:name="_Toc4765"/>
      <w:bookmarkStart w:id="29" w:name="_Toc22581"/>
      <w:bookmarkStart w:id="30" w:name="_Toc347478688"/>
      <w:r>
        <w:rPr>
          <w:rFonts w:hint="eastAsia" w:ascii="宋体" w:hAnsi="宋体" w:eastAsia="宋体" w:cs="宋体"/>
          <w:b/>
          <w:bCs/>
          <w:sz w:val="24"/>
          <w:szCs w:val="24"/>
          <w:highlight w:val="none"/>
        </w:rPr>
        <w:t>12.报价</w:t>
      </w:r>
      <w:bookmarkEnd w:id="28"/>
      <w:bookmarkEnd w:id="29"/>
      <w:bookmarkEnd w:id="30"/>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12.1供应商应对此项目所列的所有内容进行报价，不得将其中所列内容拆开报价；</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12.1.1供应商所报投标报价包含项目完成所含的一切费用；</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12.2凡本招标文件要求（或允许）及供应商认为需要进行报价的各项费用项目（不论是否要求进入报价），若报价时未报或未在“开标一览表”中予以说明，采购人将认为这些费用供应商已计取，并包含在总报价中（项目采购内容、项目数量调整除外）。</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12.3采购人只接受供应商提供的唯一投标方案，不接受备选方案。</w:t>
      </w:r>
    </w:p>
    <w:p>
      <w:pPr>
        <w:spacing w:line="460" w:lineRule="exact"/>
        <w:rPr>
          <w:rFonts w:ascii="宋体" w:hAnsi="宋体" w:eastAsia="宋体" w:cs="宋体"/>
          <w:b/>
          <w:bCs/>
          <w:sz w:val="24"/>
          <w:szCs w:val="24"/>
          <w:highlight w:val="none"/>
        </w:rPr>
      </w:pPr>
      <w:bookmarkStart w:id="31" w:name="_Toc347478689"/>
      <w:bookmarkStart w:id="32" w:name="_Toc30786"/>
      <w:bookmarkStart w:id="33" w:name="_Toc30437"/>
      <w:r>
        <w:rPr>
          <w:rFonts w:hint="eastAsia" w:ascii="宋体" w:hAnsi="宋体" w:eastAsia="宋体" w:cs="宋体"/>
          <w:b/>
          <w:bCs/>
          <w:sz w:val="24"/>
          <w:szCs w:val="24"/>
          <w:highlight w:val="none"/>
        </w:rPr>
        <w:t>13.投标货币</w:t>
      </w:r>
      <w:bookmarkEnd w:id="31"/>
      <w:bookmarkEnd w:id="32"/>
      <w:bookmarkEnd w:id="33"/>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采购人只接受人民币作为唯一投标货币。</w:t>
      </w:r>
    </w:p>
    <w:p>
      <w:pPr>
        <w:spacing w:line="460" w:lineRule="exact"/>
        <w:rPr>
          <w:rFonts w:ascii="宋体" w:hAnsi="宋体" w:eastAsia="宋体" w:cs="宋体"/>
          <w:b/>
          <w:bCs/>
          <w:sz w:val="24"/>
          <w:szCs w:val="24"/>
          <w:highlight w:val="none"/>
        </w:rPr>
      </w:pPr>
      <w:bookmarkStart w:id="34" w:name="_Toc24171"/>
      <w:bookmarkStart w:id="35" w:name="_Toc21322"/>
      <w:bookmarkStart w:id="36" w:name="_Toc347478690"/>
      <w:r>
        <w:rPr>
          <w:rFonts w:hint="eastAsia" w:ascii="宋体" w:hAnsi="宋体" w:eastAsia="宋体" w:cs="宋体"/>
          <w:b/>
          <w:bCs/>
          <w:sz w:val="24"/>
          <w:szCs w:val="24"/>
          <w:highlight w:val="none"/>
        </w:rPr>
        <w:t>14.供应商资格证明文件</w:t>
      </w:r>
      <w:bookmarkEnd w:id="34"/>
      <w:bookmarkEnd w:id="35"/>
      <w:bookmarkEnd w:id="36"/>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14.1供应商必须按供应商资质要求提交证明文件，以证明其有资格参加投标和入选后有履行合同的能力，并作为其投标文件的一部分。</w:t>
      </w:r>
    </w:p>
    <w:p>
      <w:pPr>
        <w:spacing w:line="460" w:lineRule="exact"/>
        <w:rPr>
          <w:rFonts w:ascii="宋体" w:hAnsi="宋体" w:eastAsia="宋体" w:cs="宋体"/>
          <w:b/>
          <w:bCs/>
          <w:sz w:val="24"/>
          <w:szCs w:val="24"/>
          <w:highlight w:val="none"/>
        </w:rPr>
      </w:pPr>
      <w:bookmarkStart w:id="37" w:name="_Toc8428"/>
      <w:bookmarkStart w:id="38" w:name="_Toc12057"/>
      <w:bookmarkStart w:id="39" w:name="_Toc347478691"/>
      <w:r>
        <w:rPr>
          <w:rFonts w:hint="eastAsia" w:ascii="宋体" w:hAnsi="宋体" w:eastAsia="宋体" w:cs="宋体"/>
          <w:b/>
          <w:bCs/>
          <w:sz w:val="24"/>
          <w:szCs w:val="24"/>
          <w:highlight w:val="none"/>
        </w:rPr>
        <w:t>15.符合招标文件规定的文件</w:t>
      </w:r>
      <w:bookmarkEnd w:id="37"/>
      <w:bookmarkEnd w:id="38"/>
      <w:bookmarkEnd w:id="39"/>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15.1提交文件可以是文字资料也可以是图纸、图片等资料，须提供：</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15.1.1服务相关的证明及技术资料；</w:t>
      </w:r>
    </w:p>
    <w:p>
      <w:pPr>
        <w:spacing w:line="460" w:lineRule="exact"/>
        <w:rPr>
          <w:rFonts w:ascii="宋体" w:hAnsi="宋体" w:eastAsia="宋体" w:cs="宋体"/>
          <w:b/>
          <w:bCs/>
          <w:sz w:val="24"/>
          <w:szCs w:val="24"/>
          <w:highlight w:val="none"/>
        </w:rPr>
      </w:pPr>
      <w:bookmarkStart w:id="40" w:name="_Toc6719"/>
      <w:bookmarkStart w:id="41" w:name="_Toc347478692"/>
      <w:bookmarkStart w:id="42" w:name="_Toc11015"/>
      <w:r>
        <w:rPr>
          <w:rFonts w:hint="eastAsia" w:ascii="宋体" w:hAnsi="宋体" w:eastAsia="宋体" w:cs="宋体"/>
          <w:b/>
          <w:bCs/>
          <w:sz w:val="24"/>
          <w:szCs w:val="24"/>
          <w:highlight w:val="none"/>
        </w:rPr>
        <w:t>16.投标保证金</w:t>
      </w:r>
      <w:bookmarkEnd w:id="40"/>
      <w:bookmarkEnd w:id="41"/>
      <w:bookmarkEnd w:id="42"/>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16.1投标保证金递交时间详见供应商须知前附表；</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16.2未中标供应商的投标保证金将于中标通知书发出后五个工作日内予以退还；</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16.3中标供应商的投标保证金，在中标供应商与采购人签订采购合同后5个工作日内退还；</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16.4如发生下列情况之一时，投标保证金将被没收：</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16.4.1供应商在投标截止至投标有效期满之前撤回投标文件；</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16.4.2中标供应商放弃中标的；</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16.4.3不按规定提交履约保证金的；</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16.4.4中标供应商拒绝签订合同协议；</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16.4.5投标人采用不正当的手段骗取中标；</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16.4.6中标供应商不按本须知规定交纳代理服务费。</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16.5投标保证金用于保护采购人及采购代理机构免受因供应商行为而蒙受的损失，采购人有权拒绝接受未按规定提交投标保证金的投标。</w:t>
      </w:r>
    </w:p>
    <w:p>
      <w:pPr>
        <w:spacing w:line="460" w:lineRule="exact"/>
        <w:rPr>
          <w:rFonts w:ascii="宋体" w:hAnsi="宋体" w:eastAsia="宋体" w:cs="宋体"/>
          <w:b/>
          <w:bCs/>
          <w:sz w:val="24"/>
          <w:szCs w:val="24"/>
          <w:highlight w:val="none"/>
        </w:rPr>
      </w:pPr>
      <w:bookmarkStart w:id="43" w:name="_Toc8550"/>
      <w:bookmarkStart w:id="44" w:name="_Toc347478693"/>
      <w:bookmarkStart w:id="45" w:name="_Toc19751"/>
      <w:r>
        <w:rPr>
          <w:rFonts w:hint="eastAsia" w:ascii="宋体" w:hAnsi="宋体" w:eastAsia="宋体" w:cs="宋体"/>
          <w:b/>
          <w:bCs/>
          <w:sz w:val="24"/>
          <w:szCs w:val="24"/>
          <w:highlight w:val="none"/>
        </w:rPr>
        <w:t>17.投标有效期</w:t>
      </w:r>
      <w:bookmarkEnd w:id="43"/>
      <w:bookmarkEnd w:id="44"/>
      <w:bookmarkEnd w:id="45"/>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17.1投标文件从投标之日起，投标有效期为90天。投标文件的有效期比本须知规定的有效期短的，将被视为非响应投标，采购人有权拒绝；</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17.2特殊情况下，采购人可于投标有效期满之前要求供应商同意延长有效期，要求与答复均应为书面形式。供应商可以拒绝上述要求，其投标保证金不被没收。对于同意该要求的供应商，既不要求也不允许其修改投标文件，但将要求其相应延长投标保证金的有效期，有关退还和没收投标保证金的规定在投标有效期的延长期内继续有效。</w:t>
      </w:r>
    </w:p>
    <w:p>
      <w:pPr>
        <w:spacing w:line="460" w:lineRule="exact"/>
        <w:rPr>
          <w:rFonts w:ascii="宋体" w:hAnsi="宋体" w:eastAsia="宋体" w:cs="宋体"/>
          <w:b/>
          <w:bCs/>
          <w:sz w:val="24"/>
          <w:szCs w:val="24"/>
          <w:highlight w:val="none"/>
        </w:rPr>
      </w:pPr>
      <w:bookmarkStart w:id="46" w:name="_Toc30501"/>
      <w:bookmarkStart w:id="47" w:name="_Toc29588"/>
      <w:bookmarkStart w:id="48" w:name="_Toc347478694"/>
      <w:r>
        <w:rPr>
          <w:rFonts w:hint="eastAsia" w:ascii="宋体" w:hAnsi="宋体" w:eastAsia="宋体" w:cs="宋体"/>
          <w:b/>
          <w:bCs/>
          <w:sz w:val="24"/>
          <w:szCs w:val="24"/>
          <w:highlight w:val="none"/>
        </w:rPr>
        <w:t>18.投标文件的签署及格式</w:t>
      </w:r>
      <w:bookmarkEnd w:id="46"/>
      <w:bookmarkEnd w:id="47"/>
      <w:bookmarkEnd w:id="48"/>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18.1投标文件的正本和所有副本均须打印或用不褪色蓝（黑）墨水（汁）书写，必须编写页码和目录，统一装订、标码。投标文件中，每一页均应由供应商加盖公章，不允许用骑缝章代替逐页盖章，其中规定格式的文件应当按要求签名和加盖供应商公章。一旦正本和副本有差异，以正本为准；</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18.2除供应商对错处作必要修改外，投标文件中不许有加行、涂抹或改写；若有修改须由授权代表或法定代表人在修改处签字；</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18.3采购人拒绝接受以电报、电话、传真、电子邮件形式的投标。</w:t>
      </w:r>
    </w:p>
    <w:p>
      <w:pPr>
        <w:spacing w:line="460" w:lineRule="exact"/>
        <w:rPr>
          <w:rFonts w:ascii="宋体" w:hAnsi="宋体" w:eastAsia="宋体" w:cs="宋体"/>
          <w:b/>
          <w:bCs/>
          <w:sz w:val="24"/>
          <w:szCs w:val="24"/>
          <w:highlight w:val="none"/>
        </w:rPr>
      </w:pPr>
      <w:r>
        <w:rPr>
          <w:rFonts w:hint="eastAsia" w:ascii="宋体" w:hAnsi="宋体" w:eastAsia="宋体" w:cs="宋体"/>
          <w:b/>
          <w:bCs/>
          <w:sz w:val="24"/>
          <w:szCs w:val="24"/>
          <w:highlight w:val="none"/>
        </w:rPr>
        <w:t>四、投标文件的递交</w:t>
      </w:r>
    </w:p>
    <w:p>
      <w:pPr>
        <w:spacing w:line="460" w:lineRule="exact"/>
        <w:rPr>
          <w:rFonts w:ascii="宋体" w:hAnsi="宋体" w:eastAsia="宋体" w:cs="宋体"/>
          <w:b/>
          <w:bCs/>
          <w:sz w:val="24"/>
          <w:szCs w:val="24"/>
          <w:highlight w:val="none"/>
        </w:rPr>
      </w:pPr>
      <w:bookmarkStart w:id="49" w:name="_Toc13582"/>
      <w:bookmarkStart w:id="50" w:name="_Toc29116"/>
      <w:bookmarkStart w:id="51" w:name="_Toc347478696"/>
      <w:r>
        <w:rPr>
          <w:rFonts w:hint="eastAsia" w:ascii="宋体" w:hAnsi="宋体" w:eastAsia="宋体" w:cs="宋体"/>
          <w:b/>
          <w:bCs/>
          <w:sz w:val="24"/>
          <w:szCs w:val="24"/>
          <w:highlight w:val="none"/>
        </w:rPr>
        <w:t>19.投标文件的份数、包装和标记</w:t>
      </w:r>
      <w:bookmarkEnd w:id="49"/>
      <w:bookmarkEnd w:id="50"/>
      <w:bookmarkEnd w:id="51"/>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19.1投标文件份数见供应商须知前附表；</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19.1.1供应商应将所有投标文件的正本和所有副本分别装订，每套“投标文件”封面的应标明“正本”或“副本”。一旦正本与副本不符，以正本为主；</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19.2供应商应将投标文件正本一份、副本三份分别密封，电子版一份（U盘），放于正本中，同正本一起密封；</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19.2.1投标文件正本、副本应分别用投标文件袋密封，并在正面标明采购项目编号、采购项目名称、供应商名称及“正本”、“副本”字样。为方便开标唱标，供应商应将</w:t>
      </w:r>
      <w:r>
        <w:rPr>
          <w:rFonts w:hint="eastAsia" w:ascii="宋体" w:hAnsi="宋体" w:eastAsia="宋体" w:cs="宋体"/>
          <w:b/>
          <w:bCs/>
          <w:sz w:val="24"/>
          <w:szCs w:val="24"/>
          <w:highlight w:val="none"/>
        </w:rPr>
        <w:t>开标一览表单独密封</w:t>
      </w:r>
      <w:r>
        <w:rPr>
          <w:rFonts w:hint="eastAsia" w:ascii="宋体" w:hAnsi="宋体" w:eastAsia="宋体" w:cs="宋体"/>
          <w:sz w:val="24"/>
          <w:szCs w:val="24"/>
          <w:highlight w:val="none"/>
        </w:rPr>
        <w:t>提交，并在密封袋上标明“开标一览表”字样；</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19.2.2投标文件密封必须用封条在投标文件袋的上方开口处密封，并填写密封日期。封条上加盖供应商公章和法定代表人或其授权人签字或印鉴，投标文件袋正面按照规定加盖供应商公章。</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19.3如果未按上述规定进行密封和标记，采购人有权拒绝供应商的投标文件。</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供应商出现以下情况，采购人（代理机构）将拒收其递交的响应文件。</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（1）逾期送达响应文件的。</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（2）未按招标文件要求密封投标文件的。</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（3）未按规定交纳保证金的。</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（4）供应商出席开标会议时，法定代表人不能出具法人代表证明材料的或授权代表不能出具授权委托书原件的。</w:t>
      </w:r>
    </w:p>
    <w:p>
      <w:pPr>
        <w:spacing w:line="460" w:lineRule="exact"/>
        <w:rPr>
          <w:rFonts w:ascii="宋体" w:hAnsi="宋体" w:eastAsia="宋体" w:cs="宋体"/>
          <w:b/>
          <w:bCs/>
          <w:sz w:val="24"/>
          <w:szCs w:val="24"/>
          <w:highlight w:val="none"/>
        </w:rPr>
      </w:pPr>
      <w:bookmarkStart w:id="52" w:name="_Toc26669"/>
      <w:bookmarkStart w:id="53" w:name="_Toc4991"/>
      <w:bookmarkStart w:id="54" w:name="_Toc347478697"/>
      <w:r>
        <w:rPr>
          <w:rFonts w:hint="eastAsia" w:ascii="宋体" w:hAnsi="宋体" w:eastAsia="宋体" w:cs="宋体"/>
          <w:b/>
          <w:bCs/>
          <w:sz w:val="24"/>
          <w:szCs w:val="24"/>
          <w:highlight w:val="none"/>
        </w:rPr>
        <w:t>20.投标截止时间</w:t>
      </w:r>
      <w:bookmarkEnd w:id="52"/>
      <w:bookmarkEnd w:id="53"/>
      <w:bookmarkEnd w:id="54"/>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20.1所有投标文件都必须按招标文件中规定的统一递交投标文件时间送达招标文件规定的递交地址；</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20.2出现第7.3款因招标文件的修改推迟投标截止日期时，则按采购人修改通知规定的时间递交；</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20.3采购人将拒绝接收在投标文件递交时间之后收到的任何投标文件。</w:t>
      </w:r>
    </w:p>
    <w:p>
      <w:pPr>
        <w:spacing w:line="460" w:lineRule="exact"/>
        <w:rPr>
          <w:rFonts w:ascii="宋体" w:hAnsi="宋体" w:eastAsia="宋体" w:cs="宋体"/>
          <w:b/>
          <w:bCs/>
          <w:sz w:val="24"/>
          <w:szCs w:val="24"/>
          <w:highlight w:val="none"/>
        </w:rPr>
      </w:pPr>
      <w:r>
        <w:rPr>
          <w:rFonts w:hint="eastAsia" w:ascii="宋体" w:hAnsi="宋体" w:eastAsia="宋体" w:cs="宋体"/>
          <w:b/>
          <w:bCs/>
          <w:sz w:val="24"/>
          <w:szCs w:val="24"/>
          <w:highlight w:val="none"/>
        </w:rPr>
        <w:t>五、开标及评审</w:t>
      </w:r>
    </w:p>
    <w:p>
      <w:pPr>
        <w:spacing w:line="460" w:lineRule="exact"/>
        <w:rPr>
          <w:rFonts w:ascii="宋体" w:hAnsi="宋体" w:eastAsia="宋体" w:cs="宋体"/>
          <w:b/>
          <w:bCs/>
          <w:sz w:val="24"/>
          <w:szCs w:val="24"/>
          <w:highlight w:val="none"/>
        </w:rPr>
      </w:pPr>
      <w:bookmarkStart w:id="55" w:name="_Toc347478699"/>
      <w:bookmarkStart w:id="56" w:name="_Toc6303"/>
      <w:bookmarkStart w:id="57" w:name="_Toc22692"/>
      <w:r>
        <w:rPr>
          <w:rFonts w:hint="eastAsia" w:ascii="宋体" w:hAnsi="宋体" w:eastAsia="宋体" w:cs="宋体"/>
          <w:b/>
          <w:bCs/>
          <w:sz w:val="24"/>
          <w:szCs w:val="24"/>
          <w:highlight w:val="none"/>
        </w:rPr>
        <w:t>21.开标</w:t>
      </w:r>
      <w:bookmarkEnd w:id="55"/>
      <w:bookmarkEnd w:id="56"/>
      <w:bookmarkEnd w:id="57"/>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21.1采购代理机构按“供应商须知前附表”所规定的时间和地点公开开标，开标仪式由采购代理机构主持，供应商、采购人代表及有关工作人员参加；</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21.2开标程序：</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21.2.1开标由采购代理机构主持；</w:t>
      </w:r>
    </w:p>
    <w:p>
      <w:pPr>
        <w:spacing w:line="460" w:lineRule="exact"/>
        <w:ind w:firstLine="480" w:firstLineChars="200"/>
        <w:rPr>
          <w:rFonts w:ascii="宋体" w:hAnsi="宋体" w:eastAsia="宋体" w:cs="宋体"/>
          <w:sz w:val="24"/>
          <w:szCs w:val="24"/>
          <w:highlight w:val="none"/>
          <w:u w:val="single"/>
        </w:rPr>
      </w:pPr>
      <w:r>
        <w:rPr>
          <w:rFonts w:hint="eastAsia" w:ascii="宋体" w:hAnsi="宋体" w:eastAsia="宋体" w:cs="宋体"/>
          <w:sz w:val="24"/>
          <w:szCs w:val="24"/>
          <w:highlight w:val="none"/>
        </w:rPr>
        <w:t>21.2.2投标供应商不足3家的，不得开标；</w:t>
      </w:r>
      <w:r>
        <w:rPr>
          <w:rFonts w:hint="eastAsia" w:ascii="宋体" w:hAnsi="宋体" w:eastAsia="宋体" w:cs="宋体"/>
          <w:sz w:val="24"/>
          <w:szCs w:val="24"/>
          <w:highlight w:val="none"/>
          <w:u w:val="single"/>
        </w:rPr>
        <w:t>投标供应商代表必须持本人身份证参加开标会，如投标供应商代表非法定代表人，还应持法定代表人授权书(该投标供应商代表与投标文件中的授权代表为同一人)，否则不接受其投标文件。</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21.2.3由供应商授权代表和监标人共同检查投标文件的密封情况；</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21.2.4经确认无误后，由采购代理机构工作人员当众拆封，宣布投标供应商名称、投标价格和招标文件规定的需要宣布的其他内容。</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21.2.5开标过程应当由采购人或者采购代理机构负责记录，由参加开标的各投标供应商代表和相关工作人员签字确认后随采购文件一并存档；</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21.2.6投标供应商未参加开标的，视同认可开标结果；</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21.3公开招标数额标准以上的采购项目，投标截止后投标供应商不足3家或者通过资格审查或符合性审查的投标供应商不足3家的，除采购任务取消情形外，按照以下方式处理：</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21.3.1招标文件存在不合理条款或者招标程序不符合规定的，采购人、采购代理机构改正后依法重新招标；</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21.3.2招标文件没有不合理条款、招标程序符合规定，需要采用其他采购方式采购的，采购人应当依法报财政部门批准；</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21.4公开招标采购项目开标结束后，采购人或者采购代理机构应当依法对投标供应商的资格进行审查。合格投标供应商不足3家的，不得评标。</w:t>
      </w:r>
    </w:p>
    <w:p>
      <w:pPr>
        <w:spacing w:line="460" w:lineRule="exact"/>
        <w:rPr>
          <w:rFonts w:ascii="宋体" w:hAnsi="宋体" w:eastAsia="宋体" w:cs="宋体"/>
          <w:b/>
          <w:bCs/>
          <w:sz w:val="24"/>
          <w:szCs w:val="24"/>
          <w:highlight w:val="none"/>
        </w:rPr>
      </w:pPr>
      <w:bookmarkStart w:id="58" w:name="_Toc8782"/>
      <w:bookmarkStart w:id="59" w:name="_Toc347478700"/>
      <w:bookmarkStart w:id="60" w:name="_Toc30943"/>
      <w:r>
        <w:rPr>
          <w:rFonts w:hint="eastAsia" w:ascii="宋体" w:hAnsi="宋体" w:eastAsia="宋体" w:cs="宋体"/>
          <w:b/>
          <w:bCs/>
          <w:sz w:val="24"/>
          <w:szCs w:val="24"/>
          <w:highlight w:val="none"/>
        </w:rPr>
        <w:t>22.评标委员会</w:t>
      </w:r>
      <w:bookmarkEnd w:id="58"/>
      <w:bookmarkEnd w:id="59"/>
      <w:r>
        <w:rPr>
          <w:rFonts w:hint="eastAsia" w:ascii="宋体" w:hAnsi="宋体" w:eastAsia="宋体" w:cs="宋体"/>
          <w:b/>
          <w:bCs/>
          <w:sz w:val="24"/>
          <w:szCs w:val="24"/>
          <w:highlight w:val="none"/>
        </w:rPr>
        <w:t>与评审</w:t>
      </w:r>
      <w:bookmarkEnd w:id="60"/>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22.1采购人和采购代理机构依法组建评标委员会。评标委员会由采购人和有关技术、经济专家组成，其中技术、经济专家人数不少于评标委员会总人数的2/3；</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22.2采购代理机构负责组织评标工作：</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22.2.1核对评审专家身份和采购人代表授权函，对评审专家在政府采购活动中的职责履行情况予以记录，并及时将有关违法违规行为向财政部门报告；</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22.2.2宣布评标纪律；</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22.2.3公布投标供应商名单，告知评审专家应当回避的情形；</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22.2.4组织评标委员会推选评标组长，采购人代表不得担任组长；</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22.2.5在评标期间采取必要的通讯管理措施，保证评标活动不受外界干扰；</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22.2.6维护评标秩序，监督评标委员会依照招标文件规定的评标程序、方法和标准进行独立评审，及时制止和纠正采购人代表、评审专家的倾向性言论或者违法违规行为；</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22.2.7核对评标结果，有《政府采购货物和服务招标投标管理办法》（财政部第87号令）第六十四条规定情形的，要求评标委员会复核或者书面说明理由，评标委员会拒绝的，应予记录并向本级财政部门报告；</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22.3评标委员会负责具体评标事务：</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22.3.1审查、评价投标文件是否符合招标文件的商务、技术等实质性要求；</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22.3.2要求投标供应商对投标文件有关事项作出澄清或者说明；</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22.3.3对投标文件进行比较和评价；</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22.3.4确定中标候选人名单，以及根据采购人委托直接确定中标人；</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22.4评标委员会按照以下程序进行评审，未通过上一程序审查的不能进入下一程序：</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22.4.1投标文件资格性审查；</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22.4.2投标文件符合性审查；</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22.4.3投标文件详细评审。</w:t>
      </w:r>
    </w:p>
    <w:p>
      <w:pPr>
        <w:spacing w:line="460" w:lineRule="exact"/>
        <w:rPr>
          <w:rFonts w:ascii="宋体" w:hAnsi="宋体" w:eastAsia="宋体" w:cs="宋体"/>
          <w:b/>
          <w:bCs/>
          <w:sz w:val="24"/>
          <w:szCs w:val="24"/>
          <w:highlight w:val="none"/>
        </w:rPr>
      </w:pPr>
      <w:bookmarkStart w:id="61" w:name="_Toc19509"/>
      <w:r>
        <w:rPr>
          <w:rFonts w:hint="eastAsia" w:ascii="宋体" w:hAnsi="宋体" w:eastAsia="宋体" w:cs="宋体"/>
          <w:b/>
          <w:bCs/>
          <w:sz w:val="24"/>
          <w:szCs w:val="24"/>
          <w:highlight w:val="none"/>
        </w:rPr>
        <w:t>23.投标及投标文件的有效性</w:t>
      </w:r>
      <w:bookmarkEnd w:id="61"/>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经过对供应商及投标文件的资格性和符合性审查，出现下列情况者（但不限于），按无效投标处理：</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23.1投标文件没有法定代表人授权书（法人直接投标除外）或授权书的合法性或有效性不符合招标文件规定；</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23.2供应商资质的有效性或符合性不符合要求的；</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23.3供应商未按招标文件要求提供投标保证金的；</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23.4投标文件的格式不符合招标文件要求、关键内容字迹模糊、无法辨认、前后矛盾的；</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23.5投标文件未按招标文件规定有效签字和盖章的；由供应商授权代表签字的,但未随投标文件一起提交有效的“授权委托书”原件的；</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23.6投标有效期不足的；</w:t>
      </w:r>
    </w:p>
    <w:p>
      <w:pPr>
        <w:spacing w:line="460" w:lineRule="exact"/>
        <w:ind w:firstLine="480" w:firstLineChars="200"/>
        <w:rPr>
          <w:rFonts w:ascii="宋体" w:hAnsi="宋体" w:eastAsia="宋体" w:cs="宋体"/>
          <w:color w:val="auto"/>
          <w:sz w:val="24"/>
          <w:szCs w:val="24"/>
          <w:highlight w:val="none"/>
        </w:rPr>
      </w:pPr>
      <w:r>
        <w:rPr>
          <w:rFonts w:hint="eastAsia" w:ascii="宋体" w:hAnsi="宋体" w:eastAsia="宋体" w:cs="宋体"/>
          <w:sz w:val="24"/>
          <w:szCs w:val="24"/>
          <w:highlight w:val="none"/>
        </w:rPr>
        <w:t>23.7投标内容出现漏项或与要求不符，出现重大负偏差；</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23.8投标文件的合同主要条款响应与招标文件要求不一致（建设期、服务期、质保及售后服务等项），附加了采购人难以接受的条件；</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23.9规定不接受选择方案和选择报价（包括交叉折扣）的，供应商提供了选择方案和/或选择报价（包括交叉折扣）；</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23.10投标报价超过招标文件中规定的预算金额或者最高限价；</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23.11评标委员会认为投标供应商的报价明显低于其他通过符合性审查投标供应商的报价，有可能影响产品质量或者不能诚信履约的，可要求该供应商在规定期限内，提供必要的书面文件予以解释和说明并附带相关证明材料，证明其报价合理性的；否则，评标委员会认定该供应商以低于成本价竞价，其响应文件作无效投标文件处理；</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23.11提供虚假资质，开具虚假证明，出现虚假应答；</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23.12供应商有违法违规行为的；</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23.13其他法律法规规定的无效投标情形。</w:t>
      </w:r>
    </w:p>
    <w:p>
      <w:pPr>
        <w:spacing w:line="460" w:lineRule="exact"/>
        <w:rPr>
          <w:rFonts w:ascii="宋体" w:hAnsi="宋体" w:eastAsia="宋体" w:cs="宋体"/>
          <w:b/>
          <w:bCs/>
          <w:sz w:val="24"/>
          <w:szCs w:val="24"/>
          <w:highlight w:val="none"/>
        </w:rPr>
      </w:pPr>
      <w:bookmarkStart w:id="62" w:name="_Toc24612"/>
      <w:r>
        <w:rPr>
          <w:rFonts w:hint="eastAsia" w:ascii="宋体" w:hAnsi="宋体" w:eastAsia="宋体" w:cs="宋体"/>
          <w:b/>
          <w:bCs/>
          <w:sz w:val="24"/>
          <w:szCs w:val="24"/>
          <w:highlight w:val="none"/>
        </w:rPr>
        <w:t>24.对投标文件的审查和响应性的确定</w:t>
      </w:r>
      <w:bookmarkEnd w:id="62"/>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24.1评标委员会将组织审查投标文件是否完整，规定的技术方案是否提交，要求的投标保证金是否已有效提供，文件是否按招标文件规定签署。</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24.2评标委员会将确定每一投标供应商是否对招标文件的要求作出了实质性的响应，而没有重大偏离。实质性响应的投标是指投标符合招标文件的所有条款、条件和规定且没有重大偏离或保留。</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24.3评标委员会有权拒绝被确定为非实质性响应的投标，投标供应商不能通过修正或撤回不符合之处而使其投标成为实质性响应的投标。</w:t>
      </w:r>
    </w:p>
    <w:p>
      <w:pPr>
        <w:spacing w:line="460" w:lineRule="exact"/>
        <w:rPr>
          <w:rFonts w:ascii="宋体" w:hAnsi="宋体" w:eastAsia="宋体" w:cs="宋体"/>
          <w:b/>
          <w:bCs/>
          <w:sz w:val="24"/>
          <w:szCs w:val="24"/>
          <w:highlight w:val="none"/>
        </w:rPr>
      </w:pPr>
      <w:bookmarkStart w:id="63" w:name="_Toc31730"/>
      <w:r>
        <w:rPr>
          <w:rFonts w:hint="eastAsia" w:ascii="宋体" w:hAnsi="宋体" w:eastAsia="宋体" w:cs="宋体"/>
          <w:b/>
          <w:bCs/>
          <w:sz w:val="24"/>
          <w:szCs w:val="24"/>
          <w:highlight w:val="none"/>
        </w:rPr>
        <w:t>25.投标文件的澄清</w:t>
      </w:r>
      <w:bookmarkEnd w:id="63"/>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25.1对于投标文件中含义不明确、同类问题表述不一致或者有明显文字和计算错误的内容，评标委员会应当要求投标供应商作出必要的澄清、说明或者补正。</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25.2投标供应商的澄清、说明或者补正应当采用书面形式加盖公章，并由法定代表人或其授权的代表签字。投标供应商的澄清、说明或者补正不得超出投标文件的范围或者改变投标文件的实质性内容。</w:t>
      </w:r>
    </w:p>
    <w:p>
      <w:pPr>
        <w:spacing w:line="460" w:lineRule="exact"/>
        <w:rPr>
          <w:rFonts w:ascii="宋体" w:hAnsi="宋体" w:eastAsia="宋体" w:cs="宋体"/>
          <w:b/>
          <w:bCs/>
          <w:sz w:val="24"/>
          <w:szCs w:val="24"/>
          <w:highlight w:val="none"/>
        </w:rPr>
      </w:pPr>
      <w:bookmarkStart w:id="64" w:name="_Toc23910"/>
      <w:r>
        <w:rPr>
          <w:rFonts w:hint="eastAsia" w:ascii="宋体" w:hAnsi="宋体" w:eastAsia="宋体" w:cs="宋体"/>
          <w:b/>
          <w:bCs/>
          <w:sz w:val="24"/>
          <w:szCs w:val="24"/>
          <w:highlight w:val="none"/>
        </w:rPr>
        <w:t>26.投标文件的评估和比较</w:t>
      </w:r>
      <w:bookmarkEnd w:id="64"/>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26.1对所有实质性响应招标文件要求的投标文件，评标委员会将采用相同的程序和标准，遵循公平、公正、科学和择优的原则，按综合评分法进行评审，确定供应商的排名；</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26.2评标标准和方法详见本招标文件第四部分“评标办法”；</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26.3投标文件报价出现前后不一致的，除招标文件另有规定外，按照下列规定修正：</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26.3.1投标文件中开标一览表（报价表）内容与投标文件中相应内容不一致的，以开标一览表（报价表）为准；</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26.3.2大写金额和小写金额不一致的，以大写金额为准；</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26.3.3单价金额小数点或者百分比有明显错位的，以开标一览表的总价为准，并修改单价；</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26.3.4总价金额与按单价汇总金额不一致的，以单价金额计算结果为准。</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26.3.5同时出现两种以上不一致的，按照上述规定的顺序修正。修正后的报价按照《政府采购货物和服务招标投标管理办法》（财政部第87号令）第五十一条第二款的规定经投标供应商确认后产生约束力，投标供应商不确认的，其投标无效。</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26.4评标结果按评审后得分由高到低顺序排列。得分相同的，按投标报价由低到高顺序排列。得分且投标报价相同的并列。投标文件满足招标文件全部实质性要求，且按照评审因素的量化指标评审得分最高的投标供应商为排名第一的中标候选人；</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26.4评标委员会根据全体评标成员签字的原始评标记录和评标结果编写评标报告。</w:t>
      </w:r>
    </w:p>
    <w:p>
      <w:pPr>
        <w:spacing w:line="460" w:lineRule="exact"/>
        <w:rPr>
          <w:rFonts w:ascii="宋体" w:hAnsi="宋体" w:eastAsia="宋体" w:cs="宋体"/>
          <w:b/>
          <w:bCs/>
          <w:sz w:val="24"/>
          <w:szCs w:val="24"/>
          <w:highlight w:val="none"/>
        </w:rPr>
      </w:pPr>
      <w:bookmarkStart w:id="65" w:name="_Toc10080"/>
      <w:r>
        <w:rPr>
          <w:rFonts w:hint="eastAsia" w:ascii="宋体" w:hAnsi="宋体" w:eastAsia="宋体" w:cs="宋体"/>
          <w:b/>
          <w:bCs/>
          <w:sz w:val="24"/>
          <w:szCs w:val="24"/>
          <w:highlight w:val="none"/>
        </w:rPr>
        <w:t>27.评标过程的保密</w:t>
      </w:r>
      <w:bookmarkEnd w:id="65"/>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27.1采购人、采购代理机构应当采取必要措施，保证评标在严格保密的情况下进行。除采购人代表、评标现场组织人员外，采购人的其他工作人员以及与评标工作无关的人员不得进入评标现场。</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27.2开标后直至授予中标供应商合同为止，评标委员会成员和与评标工作有关的工作人员不得透露对投标文件的评审和比较、中标候选人的推荐情况以及与评标有关的其他情况；</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27.3在投标文件的评审和比较、中标候选人推荐以及授予合同的过程中，供应商向采购人、采购代理机构和评标委员会施加影响的任何行为，都将会导致其投标被拒绝；</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27.4中标供应商确定后，采购人不对未中标供应商就评标过程以及未能中标原因作出任何解释。未中标供应商不得向评标委员会组成人员或其他有关人员询问评审过程的情况。</w:t>
      </w:r>
    </w:p>
    <w:p>
      <w:pPr>
        <w:spacing w:line="460" w:lineRule="exact"/>
        <w:rPr>
          <w:rFonts w:ascii="宋体" w:hAnsi="宋体" w:eastAsia="宋体" w:cs="宋体"/>
          <w:sz w:val="24"/>
          <w:szCs w:val="24"/>
          <w:highlight w:val="none"/>
        </w:rPr>
      </w:pPr>
      <w:r>
        <w:rPr>
          <w:rFonts w:hint="eastAsia" w:ascii="宋体" w:hAnsi="宋体" w:eastAsia="宋体" w:cs="宋体"/>
          <w:b/>
          <w:bCs/>
          <w:sz w:val="24"/>
          <w:szCs w:val="24"/>
          <w:highlight w:val="none"/>
        </w:rPr>
        <w:t>五、中标及合同授予</w:t>
      </w:r>
    </w:p>
    <w:p>
      <w:pPr>
        <w:spacing w:line="460" w:lineRule="exact"/>
        <w:rPr>
          <w:rFonts w:ascii="宋体" w:hAnsi="宋体" w:eastAsia="宋体" w:cs="宋体"/>
          <w:b/>
          <w:bCs/>
          <w:sz w:val="24"/>
          <w:szCs w:val="24"/>
          <w:highlight w:val="none"/>
        </w:rPr>
      </w:pPr>
      <w:bookmarkStart w:id="66" w:name="_Toc389620200"/>
      <w:bookmarkStart w:id="67" w:name="_Toc347478704"/>
      <w:bookmarkStart w:id="68" w:name="_Toc12161"/>
      <w:bookmarkStart w:id="69" w:name="_Toc20655"/>
      <w:bookmarkStart w:id="70" w:name="_Toc385992361"/>
      <w:r>
        <w:rPr>
          <w:rFonts w:hint="eastAsia" w:ascii="宋体" w:hAnsi="宋体" w:eastAsia="宋体" w:cs="宋体"/>
          <w:b/>
          <w:bCs/>
          <w:sz w:val="24"/>
          <w:szCs w:val="24"/>
          <w:highlight w:val="none"/>
        </w:rPr>
        <w:t>28.中标准则</w:t>
      </w:r>
      <w:bookmarkEnd w:id="66"/>
      <w:bookmarkEnd w:id="67"/>
      <w:bookmarkEnd w:id="68"/>
      <w:bookmarkEnd w:id="69"/>
      <w:bookmarkEnd w:id="70"/>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28.1采购人可以委托评标委员会直接确定排名第一的供应商为中标人；采购人未委托的，采购代理机构应当在评标结束后2个工作日内将评标报告送采购人。采购人应当自收到评标报告之日起５个工作日内，在评标报告确定的中标候选人名单中按顺序确定中标人。</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28.2排名第一的中标候选人放弃中标、因不可抗力提出不能履行合同，或者招标文件规定应当提交履约保证金而在规定的期限内未能提交，或者被查实存在影响中标结果的违法行为等情形，不符合中标条件的，采购人可以按照评标委员会提出的中标候选人名单排序依次确定其他中标候选人为中标供应商，依次确定其他中标候选人与采购人预期差距较大，或者对采购人明显不利的，采购人可以重新招标；</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28.3本项目不保证最低价中标</w:t>
      </w:r>
      <w:bookmarkStart w:id="71" w:name="_Toc389620201"/>
      <w:bookmarkStart w:id="72" w:name="_Toc385992362"/>
      <w:r>
        <w:rPr>
          <w:rFonts w:hint="eastAsia" w:ascii="宋体" w:hAnsi="宋体" w:eastAsia="宋体" w:cs="宋体"/>
          <w:sz w:val="24"/>
          <w:szCs w:val="24"/>
          <w:highlight w:val="none"/>
        </w:rPr>
        <w:t>；</w:t>
      </w:r>
      <w:r>
        <w:rPr>
          <w:rFonts w:hint="eastAsia" w:ascii="宋体" w:hAnsi="宋体" w:eastAsia="宋体" w:cs="宋体"/>
          <w:sz w:val="24"/>
          <w:szCs w:val="24"/>
          <w:highlight w:val="none"/>
        </w:rPr>
        <w:tab/>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28.4采购代理机构自中标人确定之日起2个工作日内，在省级以上财政部门指定的媒体上公告中标结果，同时，发出中标通知书。中标公告期限为1个工作日；</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28.4中标通知书发出30天内，中标供应商不能按投标文件，包括补充文件（如澄清、承诺等）中承诺的条件履行签约行为，采购人有权废标，并扣除其投标保证金。</w:t>
      </w:r>
      <w:bookmarkEnd w:id="71"/>
      <w:bookmarkEnd w:id="72"/>
    </w:p>
    <w:p>
      <w:pPr>
        <w:spacing w:line="460" w:lineRule="exact"/>
        <w:rPr>
          <w:rFonts w:ascii="宋体" w:hAnsi="宋体" w:eastAsia="宋体" w:cs="宋体"/>
          <w:b/>
          <w:bCs/>
          <w:sz w:val="24"/>
          <w:szCs w:val="24"/>
          <w:highlight w:val="none"/>
        </w:rPr>
      </w:pPr>
      <w:bookmarkStart w:id="73" w:name="_Toc347478705"/>
      <w:bookmarkStart w:id="74" w:name="_Toc27317"/>
      <w:bookmarkStart w:id="75" w:name="_Toc889"/>
      <w:r>
        <w:rPr>
          <w:rFonts w:hint="eastAsia" w:ascii="宋体" w:hAnsi="宋体" w:eastAsia="宋体" w:cs="宋体"/>
          <w:b/>
          <w:bCs/>
          <w:sz w:val="24"/>
          <w:szCs w:val="24"/>
          <w:highlight w:val="none"/>
        </w:rPr>
        <w:t>29.中标通知</w:t>
      </w:r>
      <w:bookmarkEnd w:id="73"/>
      <w:bookmarkEnd w:id="74"/>
      <w:bookmarkEnd w:id="75"/>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29.1采购代理机构向中标供应商发出中标通知书，其他供应商的投标保证金，将按16.2条款规定退还；</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29.2中标通知书作为签订合同的依据，并成为合同的一个组成部分。</w:t>
      </w:r>
    </w:p>
    <w:p>
      <w:pPr>
        <w:spacing w:line="460" w:lineRule="exact"/>
        <w:rPr>
          <w:rFonts w:ascii="宋体" w:hAnsi="宋体" w:eastAsia="宋体" w:cs="宋体"/>
          <w:b/>
          <w:bCs/>
          <w:sz w:val="24"/>
          <w:szCs w:val="24"/>
          <w:highlight w:val="none"/>
        </w:rPr>
      </w:pPr>
      <w:bookmarkStart w:id="76" w:name="_Toc347478706"/>
      <w:bookmarkStart w:id="77" w:name="_Toc25890"/>
      <w:bookmarkStart w:id="78" w:name="_Toc7982"/>
      <w:bookmarkStart w:id="79" w:name="_Toc389620205"/>
      <w:bookmarkStart w:id="80" w:name="_Toc385992366"/>
      <w:r>
        <w:rPr>
          <w:rFonts w:hint="eastAsia" w:ascii="宋体" w:hAnsi="宋体" w:eastAsia="宋体" w:cs="宋体"/>
          <w:b/>
          <w:bCs/>
          <w:sz w:val="24"/>
          <w:szCs w:val="24"/>
          <w:highlight w:val="none"/>
        </w:rPr>
        <w:t>30.签订合同</w:t>
      </w:r>
      <w:bookmarkEnd w:id="76"/>
      <w:bookmarkEnd w:id="77"/>
      <w:bookmarkEnd w:id="78"/>
      <w:bookmarkEnd w:id="79"/>
      <w:bookmarkEnd w:id="80"/>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30.1中标供应商应在规定时间内与采购人签订合同，否则按违约处理，其投标保证金不予退还。</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30.2招标文件、中标供应商的投标文件和补充文件（如澄清、承诺等）等，均为有法律约束力的合同组成部分。</w:t>
      </w:r>
      <w:bookmarkStart w:id="81" w:name="_Toc11154"/>
      <w:bookmarkEnd w:id="81"/>
    </w:p>
    <w:p>
      <w:pPr>
        <w:spacing w:line="460" w:lineRule="exact"/>
        <w:rPr>
          <w:rFonts w:ascii="宋体" w:hAnsi="宋体" w:eastAsia="宋体" w:cs="宋体"/>
          <w:b/>
          <w:bCs/>
          <w:sz w:val="24"/>
          <w:szCs w:val="24"/>
          <w:highlight w:val="none"/>
        </w:rPr>
      </w:pPr>
      <w:r>
        <w:rPr>
          <w:rFonts w:hint="eastAsia" w:ascii="宋体" w:hAnsi="宋体" w:eastAsia="宋体" w:cs="宋体"/>
          <w:b/>
          <w:bCs/>
          <w:sz w:val="24"/>
          <w:szCs w:val="24"/>
          <w:highlight w:val="none"/>
        </w:rPr>
        <w:t>六、落实政府采购政策</w:t>
      </w:r>
    </w:p>
    <w:p>
      <w:pPr>
        <w:pStyle w:val="2"/>
        <w:spacing w:line="460" w:lineRule="exact"/>
        <w:rPr>
          <w:rFonts w:ascii="宋体" w:hAnsi="宋体" w:eastAsia="宋体" w:cs="宋体"/>
          <w:b/>
          <w:bCs/>
          <w:szCs w:val="24"/>
          <w:highlight w:val="none"/>
        </w:rPr>
      </w:pPr>
      <w:r>
        <w:rPr>
          <w:rFonts w:hint="eastAsia" w:ascii="宋体" w:hAnsi="宋体" w:eastAsia="宋体" w:cs="宋体"/>
          <w:b/>
          <w:bCs/>
          <w:szCs w:val="24"/>
          <w:highlight w:val="none"/>
        </w:rPr>
        <w:t>31.落实政府采购政策</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31.1 根据《政府采购促进中小企业发展管理办法》（财库〔2020〕46 号）的有关规定，在货物采购项目中，货物由小微企业制造，即货物由小微企业生产且使用该小微企业商号或者注册商标；在工程采购项目中，工程由小微企业承建，即工程施工单位为小微企业；在服务采购项目中，服务由小微企业承接，即提供服务的人员为小微企业。货物和服务项目对小型和微型企业产品的价格给予10%-20%的价格扣除，用扣除后的价格参与评审。</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在货物采购项目中，供应商提供的货物既有小微企业制造货物，也有大型、中型企业制造货物的，不享受政府采购价格扣除优惠政策。</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 xml:space="preserve">接受大中型企业与小微企业组成联合体或者允许大中型企业向一家或者多家小微企业分包的采购项目，对于联合协议或者分包意向协议约定小微企业的合同份额占到合同总金额30%以上的，货物和服务项目可给予联合体或者大中型企业的报价4%-6%的扣除，用扣除后的价格参与评审。联合体各方均为小型、微型企业的，联合体视同为小型、微型企业。组成联合体或者接受分包的小微企业与联合体内其他企业、分包企业之间存在直接控股、管理关系的，不享受价格扣除优惠政策。 </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 xml:space="preserve">参加政府采购活动的中小企业应提供《中小企业声明函》原件。未提供上述声明函原件的，不能享受招标文件规定的价格扣除，但不影响投标文件的有效性。实际价格扣除比例以本章组织评标中的约定为准。 </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 xml:space="preserve">31.2 监狱企业应符合《财政部司法部关于政府采购支持监狱企业发展有关问题的通知》（财库〔2014〕68号）文件规定，并提供由省级以上监狱管理局、戒毒管理局(含新疆生产建设兵团)出具的属于监狱企业的证明文件。未提相关属于监狱企业的证明文件的，不能享受招标文件规定的价格扣除，但不影响投标文件的有效性。 </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 xml:space="preserve">在政府采购活动中，监狱企业视同小型、微型企业，享受预留份额、评审中价格扣除等政府采购促进中小企业发展的政府采购政策。向监狱企业采购的金额，计入面向中小企业采购的统计数据。 </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31.3 根据财政部、民政部、中国残疾人联合会下发的《关于促进残疾人就业政府采购政策的通知》（财库〔2017〕141号）的规定，残疾人福利性单位提供本单位制造的货物、承担的工程或者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参加政府采购活动的残疾人单位应提供《残疾人福利性单位声明函》原件。未提供上述声明函原件，不能享受招标文件规定的价格扣除，但不影响投标文件的有效性。</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31.4 根据国务院办公厅《关于建立政府强制采购节能产品制度的通知》（国办发〔2007〕51号）的有关规定，采购人需购买的产品属于政府强制采购节能产品范围应当在清单之内采购。节能清单中无对应细化分类且节能清单中的产品确实无法满足工作需要的，允许在节能清单之外采购。</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 xml:space="preserve">31.5 根据财政部、国家发展改革委《关于印发〈节能产品政府采购实施意见〉的通知》（财库〔2004〕185号）规定“政府采购属于节能产品品目清单的，在技术、服务等指标同等条件下，应当优先采购节能品目清单的节能产品。” </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 xml:space="preserve">31.6 根据财政部、国家环保总局联合印发《关于环境标志产品政府采购实施的意见》（财库〔2006〕90号）规定“采购人采购的产品属于环境标志产品政府采购清单中品目的，在性能、技术、服务等指标同等条件下，应当优先采购清单中的产品”。 </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31.7 根据财政部、国家发改委、生态环境部、市场监管总局联合印发《关于调整优化节能产品、环境标志产品政府采购执行机制的通知》（财库〔2019〕9 号）的有关规定，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 xml:space="preserve">31.8 根据财政部农业农村部国家乡村振兴局《关于运用政府采购政策支持乡村产业振兴的通知》（财库〔2021〕19号）的有关规定，自2021年起，各级预算单位应当按照不低于10%的比例预留年度食堂食材采购份额，通过脱贫地区农副产品网络销售平台（原贫困地区农副产品网络销售平台）采购脱贫地区农副产品。脱贫地区农副产品是指在832个脱贫县域内注册的企业、农民专业合作社、家庭农场等出产的农副产品。 </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31.9 根据财政部农业农村部国家乡村振兴局中华全国供销合作总社《关于印发&lt;关于深入开展政府采购脱贫地区农副产品工作推进乡村产业振兴的实施意见&gt;的通知》（财库〔2021〕20号）的有关规定，各级预算单位要按照不低于10%的预留比例在“832平台”填报预留份额。鼓励各级预算单位工会组织通过“832平台”采购工会福利、慰问品等，有关采购金额计入本单位年度采购总额。</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31.10 根据陕西省财政厅关于印发《陕西省中小企业政府采购信用融资办法》（陕财办采〔2018〕23号）的有关规定，银行为参与政府采购融资的中小企业提供的产品，应以信用贷款为主，贷款利率应当优于一般中小企业的贷款利率水平，并将产品信息（包 括贷款发放条件、利率优惠、贷款金额）等在陕西政府采购网予以展示。</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 xml:space="preserve">31.11 根据陕西省财政厅《关于加快推进我省中小企业政府采购信用融资工作的通知》（陕财办采〔2020〕15 号）的规定，有融资需求的供应商可根据自身情况，在陕西省政府采购信用融资平台（含各市分平台）自主选择金融机构及其融资产品，凭政府采购中标（成交）通知书或政府采购合同向金融机构提出融资申请。   </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lang w:val="zh-CN"/>
        </w:rPr>
        <w:t>具体规定可登陆陕西省政府采购网</w:t>
      </w:r>
      <w:r>
        <w:rPr>
          <w:rFonts w:hint="eastAsia" w:ascii="宋体" w:hAnsi="宋体" w:eastAsia="宋体" w:cs="宋体"/>
          <w:sz w:val="24"/>
          <w:szCs w:val="24"/>
          <w:highlight w:val="none"/>
        </w:rPr>
        <w:t>(www.ccgp-shaanxi.gov.cn)</w:t>
      </w:r>
      <w:r>
        <w:rPr>
          <w:rFonts w:hint="eastAsia" w:ascii="宋体" w:hAnsi="宋体" w:eastAsia="宋体" w:cs="宋体"/>
          <w:sz w:val="24"/>
          <w:szCs w:val="24"/>
          <w:highlight w:val="none"/>
          <w:lang w:val="zh-CN"/>
        </w:rPr>
        <w:t>重要通知专栏中查询了解</w:t>
      </w:r>
      <w:r>
        <w:rPr>
          <w:rFonts w:hint="eastAsia" w:ascii="宋体" w:hAnsi="宋体" w:eastAsia="宋体" w:cs="宋体"/>
          <w:sz w:val="24"/>
          <w:szCs w:val="24"/>
          <w:highlight w:val="none"/>
        </w:rPr>
        <w:t>。</w:t>
      </w:r>
    </w:p>
    <w:p>
      <w:pPr>
        <w:spacing w:line="460" w:lineRule="exact"/>
        <w:rPr>
          <w:rFonts w:ascii="宋体" w:hAnsi="宋体" w:eastAsia="宋体" w:cs="宋体"/>
          <w:highlight w:val="none"/>
        </w:rPr>
      </w:pPr>
      <w:r>
        <w:rPr>
          <w:rFonts w:hint="eastAsia" w:ascii="宋体" w:hAnsi="宋体" w:eastAsia="宋体" w:cs="宋体"/>
          <w:b/>
          <w:bCs/>
          <w:sz w:val="24"/>
          <w:szCs w:val="24"/>
          <w:highlight w:val="none"/>
        </w:rPr>
        <w:t>七、质疑和投诉</w:t>
      </w:r>
    </w:p>
    <w:p>
      <w:pPr>
        <w:spacing w:line="460" w:lineRule="exact"/>
        <w:rPr>
          <w:rFonts w:ascii="宋体" w:hAnsi="宋体" w:eastAsia="宋体" w:cs="宋体"/>
          <w:b/>
          <w:bCs/>
          <w:sz w:val="24"/>
          <w:szCs w:val="24"/>
          <w:highlight w:val="none"/>
        </w:rPr>
      </w:pPr>
      <w:r>
        <w:rPr>
          <w:rFonts w:hint="eastAsia" w:ascii="宋体" w:hAnsi="宋体" w:eastAsia="宋体" w:cs="宋体"/>
          <w:b/>
          <w:bCs/>
          <w:sz w:val="24"/>
          <w:szCs w:val="24"/>
          <w:highlight w:val="none"/>
        </w:rPr>
        <w:t>32.质疑和投诉</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 xml:space="preserve">32.1 质疑、投诉的接收和处理严格按照《中华人共和国政府采购法》、《政府采购质疑和投诉办法》财政部令第94号、《财政部关于加强政府采购供应商投诉受理审查工作的通知》等的相关规定办理。 </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32.1.1投标人认为招标文件、采购过程和中标和成交结果使自己的权益受到损害的，可以在知道或者应知其权益受到损害之日起七个工作日内，以书面原件形式向采购代理机构提出质疑，逾期质疑无效。质疑、投诉的接收和处理严格按照《中华人共和国政府采购法》、《政府采购供应商投诉处理办法》、《财政部关于加强政府采购供应商投诉受理审查工作的通知》等的相关规定办理。</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投标人应知其权益受到损害之日是指：</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1）对招标文件提出质疑的，为收到招标文件之日；</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2）对采购过程提出质疑的，为各采购程序环节结束之日；</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3）对中标和成交结果提出质疑的，为中标和成交结果公告发布之日。</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32.1.2 质疑文件应当包括下列主要内容：</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1）质疑投标人和相关投标人的名称、地址、联系人及联系电话等；</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2）质疑项目及编号、质疑事项；</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3）认为招标文件、采购过程、中标和成交结果使自己的合法权益受到损害的法律依据、事实依据、相关证明材料及证据来源；</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4）提出质疑的日期。</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32.1.3 质疑函应当署名。质疑投标人为自然人的，应当由本人签字；质疑投标人为法人或者其他组织的，应当由法定代表人或者主要负责人签字并加盖公章。</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32.1.4 投标人质疑应当有明确的请求和必要的证明材料。质疑内容不得含有虚假、恶意成份。依照谁主张谁举证的原则，提出质疑者必须同时提交相关确凿的证据材料和注明证据的确切来源，证据来源必须合法，采购代理机构有权将质疑函转发质疑事项各关联方，请其作出解释说明。对捏造事实、滥用维权扰乱采购秩序的恶意质疑者，将依法处理。</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 xml:space="preserve">32.1.5 质疑文件提交方式：由自然人本人或法定代表人或者其委托代理人携带书面原件及身份证明原件到现场提交，否则不予受理。 </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32.1.6 投标人在法定质疑期内一次性提出针对同一采购程序环节的质疑。</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32.1.7 潜在投标人已依法获取其可质疑的招标文件的（必须为从合法渠道购买招标文件的投标人），可以对该文件提出质疑。</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32.1.8 质疑投标人对采购代理机构的质疑答复不满意，或者采购代理机构未在规定期限内作出答复的，可以在答复期满后15个工作日内向采购人的同级政府采购监督管理部门提起投诉。</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32.1.9 本次采购活动中，采购代理机构对质疑回复等文件的送达方式为现场取件。</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32.1.10 质疑函应当使用中文。质疑函范本详见财政部制定的范本即文件格式附件5。</w:t>
      </w:r>
    </w:p>
    <w:p>
      <w:pPr>
        <w:widowControl w:val="0"/>
        <w:kinsoku/>
        <w:autoSpaceDE/>
        <w:autoSpaceDN/>
        <w:adjustRightInd/>
        <w:snapToGrid/>
        <w:spacing w:line="460" w:lineRule="exact"/>
        <w:ind w:firstLine="480" w:firstLineChars="200"/>
        <w:jc w:val="both"/>
        <w:textAlignment w:val="auto"/>
        <w:rPr>
          <w:rFonts w:ascii="宋体" w:hAnsi="宋体" w:eastAsia="宋体" w:cs="宋体"/>
          <w:color w:val="auto"/>
          <w:kern w:val="2"/>
          <w:sz w:val="24"/>
          <w:szCs w:val="24"/>
          <w:highlight w:val="none"/>
        </w:rPr>
      </w:pPr>
      <w:r>
        <w:rPr>
          <w:rFonts w:hint="eastAsia" w:ascii="宋体" w:hAnsi="宋体" w:eastAsia="宋体" w:cs="宋体"/>
          <w:color w:val="auto"/>
          <w:sz w:val="24"/>
          <w:szCs w:val="24"/>
          <w:highlight w:val="none"/>
        </w:rPr>
        <w:t xml:space="preserve">23.1.11 </w:t>
      </w:r>
      <w:r>
        <w:rPr>
          <w:rFonts w:hint="eastAsia" w:ascii="宋体" w:hAnsi="宋体" w:eastAsia="宋体" w:cs="宋体"/>
          <w:color w:val="auto"/>
          <w:kern w:val="2"/>
          <w:sz w:val="24"/>
          <w:szCs w:val="24"/>
          <w:highlight w:val="none"/>
        </w:rPr>
        <w:t xml:space="preserve">接收质疑函的方式：书面形式 </w:t>
      </w:r>
    </w:p>
    <w:p>
      <w:pPr>
        <w:widowControl w:val="0"/>
        <w:kinsoku/>
        <w:autoSpaceDE/>
        <w:autoSpaceDN/>
        <w:adjustRightInd/>
        <w:snapToGrid/>
        <w:spacing w:line="460" w:lineRule="exact"/>
        <w:ind w:firstLine="480" w:firstLineChars="200"/>
        <w:jc w:val="both"/>
        <w:textAlignment w:val="auto"/>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23.1.12联系部门：陕西华泰工程项目管理有限公司</w:t>
      </w:r>
    </w:p>
    <w:p>
      <w:pPr>
        <w:widowControl w:val="0"/>
        <w:kinsoku/>
        <w:autoSpaceDE/>
        <w:autoSpaceDN/>
        <w:adjustRightInd/>
        <w:snapToGrid/>
        <w:spacing w:line="460" w:lineRule="exact"/>
        <w:ind w:firstLine="480" w:firstLineChars="200"/>
        <w:jc w:val="both"/>
        <w:textAlignment w:val="auto"/>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 xml:space="preserve">23.1.13 联系电话：029-86250354 </w:t>
      </w:r>
    </w:p>
    <w:p>
      <w:pPr>
        <w:widowControl w:val="0"/>
        <w:kinsoku/>
        <w:autoSpaceDE/>
        <w:autoSpaceDN/>
        <w:adjustRightInd/>
        <w:snapToGrid/>
        <w:spacing w:line="460" w:lineRule="exact"/>
        <w:ind w:firstLine="480" w:firstLineChars="200"/>
        <w:jc w:val="both"/>
        <w:textAlignment w:val="auto"/>
        <w:rPr>
          <w:rFonts w:ascii="宋体" w:hAnsi="宋体" w:eastAsia="宋体" w:cs="宋体"/>
          <w:sz w:val="24"/>
          <w:szCs w:val="24"/>
          <w:highlight w:val="none"/>
        </w:rPr>
      </w:pPr>
      <w:r>
        <w:rPr>
          <w:rFonts w:hint="eastAsia" w:ascii="宋体" w:hAnsi="宋体" w:eastAsia="宋体" w:cs="宋体"/>
          <w:color w:val="auto"/>
          <w:kern w:val="2"/>
          <w:sz w:val="24"/>
          <w:szCs w:val="24"/>
          <w:highlight w:val="none"/>
        </w:rPr>
        <w:t>23.1.14 通讯地址：西安市经开区凤城五路世融嘉轩5号楼27层招标部</w:t>
      </w:r>
    </w:p>
    <w:p>
      <w:pPr>
        <w:spacing w:line="460" w:lineRule="exact"/>
        <w:rPr>
          <w:rFonts w:ascii="宋体" w:hAnsi="宋体" w:eastAsia="宋体" w:cs="宋体"/>
          <w:sz w:val="24"/>
          <w:szCs w:val="24"/>
          <w:highlight w:val="none"/>
        </w:rPr>
      </w:pPr>
      <w:r>
        <w:rPr>
          <w:rFonts w:hint="eastAsia" w:ascii="宋体" w:hAnsi="宋体" w:eastAsia="宋体" w:cs="宋体"/>
          <w:b/>
          <w:bCs/>
          <w:sz w:val="24"/>
          <w:szCs w:val="24"/>
          <w:highlight w:val="none"/>
        </w:rPr>
        <w:t>八、其他事项</w:t>
      </w:r>
    </w:p>
    <w:p>
      <w:pPr>
        <w:spacing w:line="460" w:lineRule="exact"/>
        <w:rPr>
          <w:rFonts w:ascii="宋体" w:hAnsi="宋体" w:eastAsia="宋体" w:cs="宋体"/>
          <w:b/>
          <w:bCs/>
          <w:sz w:val="24"/>
          <w:szCs w:val="24"/>
          <w:highlight w:val="none"/>
        </w:rPr>
      </w:pPr>
      <w:r>
        <w:rPr>
          <w:rFonts w:hint="eastAsia" w:ascii="宋体" w:hAnsi="宋体" w:eastAsia="宋体" w:cs="宋体"/>
          <w:b/>
          <w:bCs/>
          <w:sz w:val="24"/>
          <w:szCs w:val="24"/>
          <w:highlight w:val="none"/>
        </w:rPr>
        <w:t>33.代理服务费</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33.1本项目采购代理服务费按《招标代理服务收费管理暂行办法》（计价格〔2002〕1980号）、发改价格〔2011〕534号标准计算，由中标供应商在领取中标通知书时向采购代理机构一次性支付。</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33.2采购代理服务费的交纳方式：中标供应商在领取中标通知书时按上述收费标准，以转账或现金形式向采购代理机构直接交纳。</w:t>
      </w:r>
    </w:p>
    <w:p>
      <w:pPr>
        <w:spacing w:line="460" w:lineRule="exact"/>
        <w:rPr>
          <w:rFonts w:ascii="宋体" w:hAnsi="宋体" w:eastAsia="宋体" w:cs="宋体"/>
          <w:sz w:val="24"/>
          <w:szCs w:val="24"/>
          <w:highlight w:val="none"/>
        </w:rPr>
      </w:pPr>
      <w:r>
        <w:rPr>
          <w:rFonts w:hint="eastAsia" w:ascii="宋体" w:hAnsi="宋体" w:eastAsia="宋体" w:cs="宋体"/>
          <w:b/>
          <w:bCs/>
          <w:sz w:val="24"/>
          <w:szCs w:val="24"/>
          <w:highlight w:val="none"/>
        </w:rPr>
        <w:t>34.</w:t>
      </w:r>
      <w:r>
        <w:rPr>
          <w:rFonts w:hint="eastAsia" w:ascii="宋体" w:hAnsi="宋体" w:eastAsia="宋体" w:cs="宋体"/>
          <w:sz w:val="24"/>
          <w:szCs w:val="24"/>
          <w:highlight w:val="none"/>
        </w:rPr>
        <w:t>未尽事宜，参照政府采购法律法规、规章及规范性文件的相关规定。</w:t>
      </w:r>
    </w:p>
    <w:p>
      <w:pPr>
        <w:spacing w:line="460" w:lineRule="exact"/>
        <w:rPr>
          <w:rFonts w:ascii="宋体" w:hAnsi="宋体" w:eastAsia="宋体" w:cs="宋体"/>
          <w:sz w:val="24"/>
          <w:szCs w:val="24"/>
          <w:highlight w:val="none"/>
        </w:rPr>
      </w:pPr>
      <w:r>
        <w:rPr>
          <w:rFonts w:hint="eastAsia" w:ascii="宋体" w:hAnsi="宋体" w:eastAsia="宋体" w:cs="宋体"/>
          <w:b/>
          <w:bCs/>
          <w:sz w:val="24"/>
          <w:szCs w:val="24"/>
          <w:highlight w:val="none"/>
        </w:rPr>
        <w:t>35.</w:t>
      </w:r>
      <w:r>
        <w:rPr>
          <w:rFonts w:hint="eastAsia" w:ascii="宋体" w:hAnsi="宋体" w:eastAsia="宋体" w:cs="宋体"/>
          <w:sz w:val="24"/>
          <w:szCs w:val="24"/>
          <w:highlight w:val="none"/>
        </w:rPr>
        <w:t>招标文件解释权：本招标文件由采购人和采购代理机构解释。</w:t>
      </w:r>
    </w:p>
    <w:p>
      <w:pPr>
        <w:jc w:val="center"/>
        <w:rPr>
          <w:rFonts w:hint="eastAsia" w:ascii="宋体" w:hAnsi="宋体" w:eastAsia="宋体" w:cs="宋体"/>
          <w:spacing w:val="9"/>
          <w:sz w:val="28"/>
          <w:szCs w:val="28"/>
          <w:highlight w:val="none"/>
          <w14:textOutline w14:w="5448" w14:cap="sq" w14:cmpd="sng" w14:algn="ctr">
            <w14:solidFill>
              <w14:srgbClr w14:val="000000"/>
            </w14:solidFill>
            <w14:prstDash w14:val="solid"/>
            <w14:bevel/>
          </w14:textOutline>
        </w:rPr>
      </w:pPr>
    </w:p>
    <w:p>
      <w:pPr>
        <w:jc w:val="center"/>
        <w:rPr>
          <w:rFonts w:hint="eastAsia" w:ascii="宋体" w:hAnsi="宋体" w:eastAsia="宋体" w:cs="宋体"/>
          <w:spacing w:val="9"/>
          <w:sz w:val="28"/>
          <w:szCs w:val="28"/>
          <w:highlight w:val="none"/>
          <w14:textOutline w14:w="5448" w14:cap="sq" w14:cmpd="sng" w14:algn="ctr">
            <w14:solidFill>
              <w14:srgbClr w14:val="000000"/>
            </w14:solidFill>
            <w14:prstDash w14:val="solid"/>
            <w14:bevel/>
          </w14:textOutline>
        </w:rPr>
      </w:pPr>
    </w:p>
    <w:p>
      <w:pPr>
        <w:jc w:val="center"/>
        <w:rPr>
          <w:highlight w:val="none"/>
        </w:rPr>
      </w:pPr>
      <w:r>
        <w:rPr>
          <w:rFonts w:hint="eastAsia" w:ascii="宋体" w:hAnsi="宋体" w:eastAsia="宋体" w:cs="宋体"/>
          <w:spacing w:val="9"/>
          <w:sz w:val="28"/>
          <w:szCs w:val="28"/>
          <w:highlight w:val="none"/>
          <w14:textOutline w14:w="5448" w14:cap="sq" w14:cmpd="sng" w14:algn="ctr">
            <w14:solidFill>
              <w14:srgbClr w14:val="000000"/>
            </w14:solidFill>
            <w14:prstDash w14:val="solid"/>
            <w14:bevel/>
          </w14:textOutline>
        </w:rPr>
        <w:t>第</w:t>
      </w:r>
      <w:r>
        <w:rPr>
          <w:rFonts w:hint="eastAsia" w:ascii="宋体" w:hAnsi="宋体" w:eastAsia="宋体" w:cs="宋体"/>
          <w:spacing w:val="8"/>
          <w:sz w:val="28"/>
          <w:szCs w:val="28"/>
          <w:highlight w:val="none"/>
          <w14:textOutline w14:w="5448" w14:cap="sq" w14:cmpd="sng" w14:algn="ctr">
            <w14:solidFill>
              <w14:srgbClr w14:val="000000"/>
            </w14:solidFill>
            <w14:prstDash w14:val="solid"/>
            <w14:bevel/>
          </w14:textOutline>
        </w:rPr>
        <w:t>三部分 采购需求</w:t>
      </w:r>
    </w:p>
    <w:p>
      <w:pPr>
        <w:spacing w:line="360" w:lineRule="auto"/>
        <w:rPr>
          <w:rFonts w:ascii="宋体" w:hAnsi="宋体" w:eastAsia="宋体" w:cs="宋体"/>
          <w:b/>
          <w:bCs/>
          <w:sz w:val="24"/>
          <w:szCs w:val="24"/>
          <w:highlight w:val="none"/>
        </w:rPr>
      </w:pPr>
      <w:bookmarkStart w:id="82" w:name="_Toc116574525"/>
      <w:bookmarkStart w:id="83" w:name="_Toc45213723"/>
      <w:bookmarkStart w:id="84" w:name="_Toc22431"/>
      <w:bookmarkStart w:id="85" w:name="_Toc35341458"/>
      <w:bookmarkStart w:id="86" w:name="_Toc28505"/>
      <w:r>
        <w:rPr>
          <w:rFonts w:hint="eastAsia" w:ascii="宋体" w:hAnsi="宋体" w:eastAsia="宋体" w:cs="宋体"/>
          <w:b/>
          <w:bCs/>
          <w:sz w:val="24"/>
          <w:szCs w:val="24"/>
          <w:highlight w:val="none"/>
        </w:rPr>
        <w:t>1.项目概述</w:t>
      </w:r>
      <w:bookmarkEnd w:id="82"/>
      <w:bookmarkEnd w:id="83"/>
      <w:bookmarkEnd w:id="84"/>
      <w:bookmarkEnd w:id="85"/>
      <w:bookmarkEnd w:id="86"/>
    </w:p>
    <w:p>
      <w:pPr>
        <w:spacing w:line="360" w:lineRule="auto"/>
        <w:ind w:firstLine="480"/>
        <w:rPr>
          <w:rFonts w:ascii="宋体" w:hAnsi="宋体" w:eastAsia="宋体" w:cs="宋体"/>
          <w:sz w:val="24"/>
          <w:szCs w:val="24"/>
          <w:highlight w:val="none"/>
          <w:lang w:bidi="ar"/>
        </w:rPr>
      </w:pPr>
      <w:r>
        <w:rPr>
          <w:rFonts w:hint="eastAsia" w:ascii="宋体" w:hAnsi="宋体" w:eastAsia="宋体" w:cs="宋体"/>
          <w:sz w:val="24"/>
          <w:szCs w:val="24"/>
          <w:highlight w:val="none"/>
          <w:lang w:bidi="ar"/>
        </w:rPr>
        <w:t>近年来，国务院国资委领导在多次场合提出建设国资国企在线监管系统的重要性，党委书记、主任郝鹏强调，建好用好国资国企在线监管系统， 是认真贯彻落实习近平总书记关于国资国企改革发展和党的建设的系列重要指示精神，坚决扛起党中央、国务院赋予的使命责任，深入实施国资监管信息化建设“三年行动计划”的需要。建好用好在线监管系统，有利于实时动态掌握中央企业生产经营情况，有利于推动中央企业加强企业管理和内控体系建设，有利于更好促进国有资本做强做优做大。</w:t>
      </w:r>
    </w:p>
    <w:p>
      <w:pPr>
        <w:spacing w:line="360" w:lineRule="auto"/>
        <w:ind w:firstLine="480"/>
        <w:rPr>
          <w:rFonts w:ascii="宋体" w:hAnsi="宋体" w:eastAsia="宋体" w:cs="宋体"/>
          <w:sz w:val="24"/>
          <w:szCs w:val="24"/>
          <w:highlight w:val="none"/>
          <w:lang w:bidi="ar"/>
        </w:rPr>
      </w:pPr>
      <w:r>
        <w:rPr>
          <w:rFonts w:hint="eastAsia" w:ascii="宋体" w:hAnsi="宋体" w:eastAsia="宋体" w:cs="宋体"/>
          <w:sz w:val="24"/>
          <w:szCs w:val="24"/>
          <w:highlight w:val="none"/>
          <w:lang w:bidi="ar"/>
        </w:rPr>
        <w:t>2021年7月陕西省国资委下发《全省性国资国企在线监管系统建设工作方案》，指出以习近平新时代中国特色社会主义思想为指导，贯彻落实党中央、国务院和省委省政府关于“互联网+监管”系列决策部署以及陕西省国资国企改革三年行动方案，紧密结合陕西省国资国企改革发展实际，建成用好实时在线的全省性国资国企监管系统，助力国资监管方式转变和履职能力提升，更好地担当国资国企改革发展的职责和使命。</w:t>
      </w:r>
    </w:p>
    <w:p>
      <w:pPr>
        <w:spacing w:line="360" w:lineRule="auto"/>
        <w:rPr>
          <w:rFonts w:ascii="宋体" w:hAnsi="宋体" w:eastAsia="宋体" w:cs="宋体"/>
          <w:b/>
          <w:bCs/>
          <w:sz w:val="24"/>
          <w:szCs w:val="24"/>
          <w:highlight w:val="none"/>
        </w:rPr>
      </w:pPr>
      <w:bookmarkStart w:id="87" w:name="_Toc116574526"/>
      <w:r>
        <w:rPr>
          <w:rFonts w:hint="eastAsia" w:ascii="宋体" w:hAnsi="宋体" w:eastAsia="宋体" w:cs="宋体"/>
          <w:b/>
          <w:bCs/>
          <w:sz w:val="24"/>
          <w:szCs w:val="24"/>
          <w:highlight w:val="none"/>
        </w:rPr>
        <w:t>2.项目目标</w:t>
      </w:r>
      <w:bookmarkEnd w:id="87"/>
    </w:p>
    <w:p>
      <w:pPr>
        <w:spacing w:line="360" w:lineRule="auto"/>
        <w:ind w:firstLine="480"/>
        <w:rPr>
          <w:rFonts w:ascii="宋体" w:hAnsi="宋体" w:eastAsia="宋体" w:cs="宋体"/>
          <w:sz w:val="24"/>
          <w:szCs w:val="24"/>
          <w:highlight w:val="none"/>
          <w:lang w:bidi="ar"/>
        </w:rPr>
      </w:pPr>
      <w:r>
        <w:rPr>
          <w:rFonts w:hint="eastAsia" w:ascii="宋体" w:hAnsi="宋体" w:eastAsia="宋体" w:cs="宋体"/>
          <w:sz w:val="24"/>
          <w:szCs w:val="24"/>
          <w:highlight w:val="none"/>
          <w:lang w:bidi="ar"/>
        </w:rPr>
        <w:t>汉中市国资委国资监管系统建设项目（一期）是响应习总书记关于国资国企改革发展的指示精神，是市国资委落实国务院国资委国资监管信息化建设“国企改革三年行动计划”和陕西省国资委以管资本为主推进职能转变方案的通知的重要项目。</w:t>
      </w:r>
    </w:p>
    <w:p>
      <w:pPr>
        <w:spacing w:line="360" w:lineRule="auto"/>
        <w:ind w:firstLine="480"/>
        <w:rPr>
          <w:rFonts w:ascii="宋体" w:hAnsi="宋体" w:eastAsia="宋体" w:cs="宋体"/>
          <w:sz w:val="24"/>
          <w:szCs w:val="24"/>
          <w:highlight w:val="none"/>
          <w:lang w:bidi="ar"/>
        </w:rPr>
      </w:pPr>
      <w:r>
        <w:rPr>
          <w:rFonts w:hint="eastAsia" w:ascii="宋体" w:hAnsi="宋体" w:eastAsia="宋体" w:cs="宋体"/>
          <w:sz w:val="24"/>
          <w:szCs w:val="24"/>
          <w:highlight w:val="none"/>
          <w:lang w:bidi="ar"/>
        </w:rPr>
        <w:t>项目基于出资人职责的监管要求，突出管资本职能，通过信息化手段，突出基础信息监管、立体协同监管、动态全程监管、智慧智能监管，建立覆盖所辖财务快报、人事管理、三重一大等涉及国资监管各类业务，充分共享各类资源数据，通过网络化、电子化、数字化手段，实现全方位、全层级、全过程、全天候监管，实现从管人管事管资产向管资本布局、管资本规范运作、管提高资本回报、管维护资本安全转变。</w:t>
      </w:r>
    </w:p>
    <w:p>
      <w:pPr>
        <w:spacing w:line="360" w:lineRule="auto"/>
        <w:ind w:firstLine="480"/>
        <w:rPr>
          <w:rFonts w:ascii="宋体" w:hAnsi="宋体" w:eastAsia="宋体" w:cs="宋体"/>
          <w:sz w:val="24"/>
          <w:szCs w:val="24"/>
          <w:highlight w:val="none"/>
          <w:lang w:bidi="ar"/>
        </w:rPr>
      </w:pPr>
      <w:r>
        <w:rPr>
          <w:rFonts w:hint="eastAsia" w:ascii="宋体" w:hAnsi="宋体" w:eastAsia="宋体" w:cs="宋体"/>
          <w:sz w:val="24"/>
          <w:szCs w:val="24"/>
          <w:highlight w:val="none"/>
          <w:lang w:bidi="ar"/>
        </w:rPr>
        <w:t>（一）建立国资监管数据汇聚体系</w:t>
      </w:r>
    </w:p>
    <w:p>
      <w:pPr>
        <w:spacing w:line="360" w:lineRule="auto"/>
        <w:ind w:firstLine="480"/>
        <w:rPr>
          <w:rFonts w:ascii="宋体" w:hAnsi="宋体" w:eastAsia="宋体" w:cs="宋体"/>
          <w:sz w:val="24"/>
          <w:szCs w:val="24"/>
          <w:highlight w:val="none"/>
          <w:lang w:bidi="ar"/>
        </w:rPr>
      </w:pPr>
      <w:r>
        <w:rPr>
          <w:rFonts w:hint="eastAsia" w:ascii="宋体" w:hAnsi="宋体" w:eastAsia="宋体" w:cs="宋体"/>
          <w:sz w:val="24"/>
          <w:szCs w:val="24"/>
          <w:highlight w:val="none"/>
          <w:lang w:bidi="ar"/>
        </w:rPr>
        <w:t>梳理并整合国资监管数据资源，建立标准统一、体系完整的国资监管数据资源体系，打破国资数据孤岛，形成统一的国资数据中心，为国资监管可视化展示提供数据支撑，为后续数据资产价值挖掘提供原始材料。</w:t>
      </w:r>
    </w:p>
    <w:p>
      <w:pPr>
        <w:spacing w:line="360" w:lineRule="auto"/>
        <w:ind w:firstLine="480"/>
        <w:rPr>
          <w:rFonts w:ascii="宋体" w:hAnsi="宋体" w:eastAsia="宋体" w:cs="宋体"/>
          <w:sz w:val="24"/>
          <w:szCs w:val="24"/>
          <w:highlight w:val="none"/>
          <w:lang w:bidi="ar"/>
        </w:rPr>
      </w:pPr>
      <w:r>
        <w:rPr>
          <w:rFonts w:hint="eastAsia" w:ascii="宋体" w:hAnsi="宋体" w:eastAsia="宋体" w:cs="宋体"/>
          <w:sz w:val="24"/>
          <w:szCs w:val="24"/>
          <w:highlight w:val="none"/>
          <w:lang w:bidi="ar"/>
        </w:rPr>
        <w:t>（二）建立国资监管业务协同体系</w:t>
      </w:r>
    </w:p>
    <w:p>
      <w:pPr>
        <w:spacing w:line="360" w:lineRule="auto"/>
        <w:ind w:firstLine="482"/>
        <w:rPr>
          <w:rFonts w:ascii="宋体" w:hAnsi="宋体" w:eastAsia="宋体" w:cs="宋体"/>
          <w:sz w:val="24"/>
          <w:szCs w:val="24"/>
          <w:highlight w:val="none"/>
          <w:lang w:bidi="ar"/>
        </w:rPr>
      </w:pPr>
      <w:r>
        <w:rPr>
          <w:rFonts w:hint="eastAsia" w:ascii="宋体" w:hAnsi="宋体" w:eastAsia="宋体" w:cs="宋体"/>
          <w:sz w:val="24"/>
          <w:szCs w:val="24"/>
          <w:highlight w:val="none"/>
          <w:lang w:bidi="ar"/>
        </w:rPr>
        <w:t>优化完善国资监管体系、提升国资监管效率效能、增强快速反应与应急能力，建立覆盖监管企业、国资委的数据集成共享与业务协同机制，打通国资监管业务及数据链条，确保国有资产保值增值。</w:t>
      </w:r>
    </w:p>
    <w:p>
      <w:pPr>
        <w:spacing w:line="360" w:lineRule="auto"/>
        <w:ind w:firstLine="482"/>
        <w:rPr>
          <w:rFonts w:ascii="宋体" w:hAnsi="宋体" w:eastAsia="宋体" w:cs="宋体"/>
          <w:sz w:val="24"/>
          <w:szCs w:val="24"/>
          <w:highlight w:val="none"/>
          <w:lang w:bidi="ar"/>
        </w:rPr>
      </w:pPr>
      <w:r>
        <w:rPr>
          <w:rFonts w:hint="eastAsia" w:ascii="宋体" w:hAnsi="宋体" w:eastAsia="宋体" w:cs="宋体"/>
          <w:sz w:val="24"/>
          <w:szCs w:val="24"/>
          <w:highlight w:val="none"/>
          <w:lang w:bidi="ar"/>
        </w:rPr>
        <w:t>（三）提升国资监管分析决策能力</w:t>
      </w:r>
    </w:p>
    <w:p>
      <w:pPr>
        <w:spacing w:line="360" w:lineRule="auto"/>
        <w:ind w:firstLine="482"/>
        <w:rPr>
          <w:rFonts w:ascii="宋体" w:hAnsi="宋体" w:eastAsia="宋体" w:cs="宋体"/>
          <w:sz w:val="24"/>
          <w:szCs w:val="24"/>
          <w:highlight w:val="none"/>
          <w:lang w:bidi="ar"/>
        </w:rPr>
      </w:pPr>
      <w:r>
        <w:rPr>
          <w:rFonts w:hint="eastAsia" w:ascii="宋体" w:hAnsi="宋体" w:eastAsia="宋体" w:cs="宋体"/>
          <w:sz w:val="24"/>
          <w:szCs w:val="24"/>
          <w:highlight w:val="none"/>
          <w:lang w:bidi="ar"/>
        </w:rPr>
        <w:t>以国资监管数据资源为基础，建设国资可视化分析展示，以多维报表呈现财务、人事、三重一大相关业务数据，增强国资监管宏观调控的前瞻性、协同性、有效性，逐步打造“用数据说话、用数据决策、用数据管理、用数据创新”的管理机制。</w:t>
      </w:r>
    </w:p>
    <w:p>
      <w:pPr>
        <w:spacing w:line="360" w:lineRule="auto"/>
        <w:ind w:firstLine="482"/>
        <w:rPr>
          <w:rFonts w:ascii="宋体" w:hAnsi="宋体" w:eastAsia="宋体" w:cs="宋体"/>
          <w:sz w:val="24"/>
          <w:szCs w:val="24"/>
          <w:highlight w:val="none"/>
          <w:lang w:bidi="ar"/>
        </w:rPr>
      </w:pPr>
      <w:r>
        <w:rPr>
          <w:rFonts w:hint="eastAsia" w:ascii="宋体" w:hAnsi="宋体" w:eastAsia="宋体" w:cs="宋体"/>
          <w:sz w:val="24"/>
          <w:szCs w:val="24"/>
          <w:highlight w:val="none"/>
          <w:lang w:bidi="ar"/>
        </w:rPr>
        <w:t>（四）建立国资监管持续集成及扩展应用机制</w:t>
      </w:r>
    </w:p>
    <w:p>
      <w:pPr>
        <w:spacing w:line="360" w:lineRule="auto"/>
        <w:ind w:firstLine="482"/>
        <w:rPr>
          <w:rFonts w:ascii="宋体" w:hAnsi="宋体" w:eastAsia="宋体" w:cs="宋体"/>
          <w:sz w:val="24"/>
          <w:szCs w:val="24"/>
          <w:highlight w:val="none"/>
          <w:lang w:bidi="ar"/>
        </w:rPr>
      </w:pPr>
      <w:r>
        <w:rPr>
          <w:rFonts w:hint="eastAsia" w:ascii="宋体" w:hAnsi="宋体" w:eastAsia="宋体" w:cs="宋体"/>
          <w:sz w:val="24"/>
          <w:szCs w:val="24"/>
          <w:highlight w:val="none"/>
          <w:lang w:bidi="ar"/>
        </w:rPr>
        <w:t>本期项目是汉中市国资委搭建信息化架构、夯实信息化基础的关键环节。平台采用开放式体系架构，利用先进技术进行国资监管数据采集、存储、管理、分析及应用，揭示数据价值、释放数据潜能，提升国资监管决策能力和洞察力，同时具备支持国资监管大数据分析应用、国资监管信息化系统建设与业务的持续接入与集成能力，支持国企国资可持续发展。</w:t>
      </w:r>
    </w:p>
    <w:p>
      <w:pPr>
        <w:spacing w:line="360" w:lineRule="auto"/>
        <w:ind w:firstLine="482"/>
        <w:rPr>
          <w:rFonts w:ascii="宋体" w:hAnsi="宋体" w:eastAsia="宋体" w:cs="宋体"/>
          <w:sz w:val="24"/>
          <w:szCs w:val="24"/>
          <w:highlight w:val="none"/>
          <w:lang w:bidi="ar"/>
        </w:rPr>
      </w:pPr>
      <w:r>
        <w:rPr>
          <w:rFonts w:hint="eastAsia" w:ascii="宋体" w:hAnsi="宋体" w:eastAsia="宋体" w:cs="宋体"/>
          <w:sz w:val="24"/>
          <w:szCs w:val="24"/>
          <w:highlight w:val="none"/>
          <w:lang w:bidi="ar"/>
        </w:rPr>
        <w:t>（五）建立国资监管生态资源价值转化机制</w:t>
      </w:r>
    </w:p>
    <w:p>
      <w:pPr>
        <w:spacing w:line="360" w:lineRule="auto"/>
        <w:ind w:firstLine="482"/>
        <w:rPr>
          <w:rFonts w:ascii="宋体" w:hAnsi="宋体" w:eastAsia="宋体" w:cs="宋体"/>
          <w:sz w:val="24"/>
          <w:szCs w:val="24"/>
          <w:highlight w:val="none"/>
          <w:lang w:bidi="ar"/>
        </w:rPr>
      </w:pPr>
      <w:r>
        <w:rPr>
          <w:rFonts w:hint="eastAsia" w:ascii="宋体" w:hAnsi="宋体" w:eastAsia="宋体" w:cs="宋体"/>
          <w:sz w:val="24"/>
          <w:szCs w:val="24"/>
          <w:highlight w:val="none"/>
          <w:lang w:bidi="ar"/>
        </w:rPr>
        <w:t>依托信息化技术优化闲置和低效资源的配置，盘活资源，将分散零碎、闲置沉睡的生态资源进行有序的收储流转、整合提升，引进社会资源进行适度开发和盘活经营。通过与各县区两山平台的数据对接，完成全市区域内的生态资源调查摸底，形成以汉中市各县区基础资源库、登记清单、项目清单等为基础的数据资源中心。建立健全汉中市生态资源保护、交易、开发、监管全过程的工作机制，积极探索具有区域特色的“两山”转化路径通道。为加快探索生态产品价值提供有效的实现机制，打造新时代践行“两山”理念的汉中样本。</w:t>
      </w:r>
    </w:p>
    <w:p>
      <w:pPr>
        <w:spacing w:line="360" w:lineRule="auto"/>
        <w:rPr>
          <w:rFonts w:ascii="宋体" w:hAnsi="宋体" w:eastAsia="宋体" w:cs="宋体"/>
          <w:b/>
          <w:bCs/>
          <w:sz w:val="24"/>
          <w:szCs w:val="24"/>
          <w:highlight w:val="none"/>
        </w:rPr>
      </w:pPr>
      <w:r>
        <w:rPr>
          <w:rFonts w:hint="eastAsia" w:ascii="宋体" w:hAnsi="宋体" w:eastAsia="宋体" w:cs="宋体"/>
          <w:b/>
          <w:bCs/>
          <w:sz w:val="24"/>
          <w:szCs w:val="24"/>
          <w:highlight w:val="none"/>
        </w:rPr>
        <w:t>3.项目原则</w:t>
      </w:r>
    </w:p>
    <w:p>
      <w:pPr>
        <w:spacing w:line="360" w:lineRule="auto"/>
        <w:ind w:firstLine="480" w:firstLineChars="200"/>
        <w:rPr>
          <w:rFonts w:ascii="宋体" w:hAnsi="宋体" w:eastAsia="宋体" w:cs="宋体"/>
          <w:sz w:val="24"/>
          <w:szCs w:val="24"/>
          <w:highlight w:val="none"/>
          <w:lang w:bidi="ar"/>
        </w:rPr>
      </w:pPr>
      <w:r>
        <w:rPr>
          <w:rFonts w:hint="eastAsia" w:ascii="宋体" w:hAnsi="宋体" w:eastAsia="宋体" w:cs="宋体"/>
          <w:sz w:val="24"/>
          <w:szCs w:val="24"/>
          <w:highlight w:val="none"/>
          <w:lang w:bidi="ar"/>
        </w:rPr>
        <w:t>（1）标准化原则：以国家、省统一制定的规范和标准为基础，结合实际情况制定标准和规范，实现异构系统之间的互联互通。</w:t>
      </w:r>
    </w:p>
    <w:p>
      <w:pPr>
        <w:spacing w:line="360" w:lineRule="auto"/>
        <w:ind w:firstLine="480" w:firstLineChars="200"/>
        <w:rPr>
          <w:rFonts w:ascii="宋体" w:hAnsi="宋体" w:eastAsia="宋体" w:cs="宋体"/>
          <w:sz w:val="24"/>
          <w:szCs w:val="24"/>
          <w:highlight w:val="none"/>
          <w:lang w:bidi="ar"/>
        </w:rPr>
      </w:pPr>
      <w:r>
        <w:rPr>
          <w:rFonts w:hint="eastAsia" w:ascii="宋体" w:hAnsi="宋体" w:eastAsia="宋体" w:cs="宋体"/>
          <w:sz w:val="24"/>
          <w:szCs w:val="24"/>
          <w:highlight w:val="none"/>
          <w:lang w:bidi="ar"/>
        </w:rPr>
        <w:t>（2）实用性原则：坚持以需求为导向，在界面和功能设计等方面，结合目前先进的互联网思维，贴近用户的需求，顺应国企深化改革以及国资监管业务的需求。</w:t>
      </w:r>
    </w:p>
    <w:p>
      <w:pPr>
        <w:spacing w:line="360" w:lineRule="auto"/>
        <w:ind w:firstLine="480" w:firstLineChars="200"/>
        <w:rPr>
          <w:rFonts w:ascii="宋体" w:hAnsi="宋体" w:eastAsia="宋体" w:cs="宋体"/>
          <w:sz w:val="24"/>
          <w:szCs w:val="24"/>
          <w:highlight w:val="none"/>
          <w:lang w:bidi="ar"/>
        </w:rPr>
      </w:pPr>
      <w:r>
        <w:rPr>
          <w:rFonts w:hint="eastAsia" w:ascii="宋体" w:hAnsi="宋体" w:eastAsia="宋体" w:cs="宋体"/>
          <w:sz w:val="24"/>
          <w:szCs w:val="24"/>
          <w:highlight w:val="none"/>
          <w:lang w:bidi="ar"/>
        </w:rPr>
        <w:t>（3）先进性原则：采用先进技术，构建先进应用，要求所用技术领先，系统着眼点要高，不仅能够满足当前国资监管系统既定的技术要求，而且要符合未来国资管理的长远规划发展需求。</w:t>
      </w:r>
    </w:p>
    <w:p>
      <w:pPr>
        <w:spacing w:line="360" w:lineRule="auto"/>
        <w:ind w:firstLine="480" w:firstLineChars="200"/>
        <w:rPr>
          <w:rFonts w:ascii="宋体" w:hAnsi="宋体" w:eastAsia="宋体" w:cs="宋体"/>
          <w:sz w:val="24"/>
          <w:szCs w:val="24"/>
          <w:highlight w:val="none"/>
          <w:lang w:bidi="ar"/>
        </w:rPr>
      </w:pPr>
      <w:r>
        <w:rPr>
          <w:rFonts w:hint="eastAsia" w:ascii="宋体" w:hAnsi="宋体" w:eastAsia="宋体" w:cs="宋体"/>
          <w:sz w:val="24"/>
          <w:szCs w:val="24"/>
          <w:highlight w:val="none"/>
          <w:lang w:bidi="ar"/>
        </w:rPr>
        <w:t>（4）高集成性原则：强调所建设的平台与现有待接入、待集成IT系统实现规范化的、有效的衔接，实现信息的共享和集成。</w:t>
      </w:r>
    </w:p>
    <w:p>
      <w:pPr>
        <w:spacing w:line="360" w:lineRule="auto"/>
        <w:ind w:firstLine="480" w:firstLineChars="200"/>
        <w:rPr>
          <w:rFonts w:ascii="宋体" w:hAnsi="宋体" w:eastAsia="宋体" w:cs="宋体"/>
          <w:sz w:val="24"/>
          <w:szCs w:val="24"/>
          <w:highlight w:val="none"/>
          <w:lang w:bidi="ar"/>
        </w:rPr>
      </w:pPr>
      <w:r>
        <w:rPr>
          <w:rFonts w:hint="eastAsia" w:ascii="宋体" w:hAnsi="宋体" w:eastAsia="宋体" w:cs="宋体"/>
          <w:sz w:val="24"/>
          <w:szCs w:val="24"/>
          <w:highlight w:val="none"/>
          <w:lang w:bidi="ar"/>
        </w:rPr>
        <w:t>（5）可扩展性原则：平台设计应充分考虑扩展的长远发展目标，采用先进的设计思想和开发手段，全面支持各种应用功能的扩展，为整个软件系统功能的完善和更新提供条件。</w:t>
      </w:r>
    </w:p>
    <w:p>
      <w:pPr>
        <w:spacing w:line="360" w:lineRule="auto"/>
        <w:ind w:firstLine="480" w:firstLineChars="200"/>
        <w:rPr>
          <w:rFonts w:ascii="宋体" w:hAnsi="宋体" w:eastAsia="宋体" w:cs="宋体"/>
          <w:sz w:val="24"/>
          <w:szCs w:val="24"/>
          <w:highlight w:val="none"/>
          <w:lang w:bidi="ar"/>
        </w:rPr>
      </w:pPr>
      <w:r>
        <w:rPr>
          <w:rFonts w:hint="eastAsia" w:ascii="宋体" w:hAnsi="宋体" w:eastAsia="宋体" w:cs="宋体"/>
          <w:sz w:val="24"/>
          <w:szCs w:val="24"/>
          <w:highlight w:val="none"/>
          <w:lang w:bidi="ar"/>
        </w:rPr>
        <w:t>（6）开放性原则：在设备选择及联网方案上一定要坚持开放性原则，在软件上支持跨平台和开放数据接口，便于与其它系统软件集成在一起。</w:t>
      </w:r>
    </w:p>
    <w:p>
      <w:pPr>
        <w:spacing w:line="360" w:lineRule="auto"/>
        <w:ind w:firstLine="480" w:firstLineChars="200"/>
        <w:rPr>
          <w:rFonts w:ascii="宋体" w:hAnsi="宋体" w:eastAsia="宋体" w:cs="宋体"/>
          <w:sz w:val="24"/>
          <w:szCs w:val="24"/>
          <w:highlight w:val="none"/>
          <w:lang w:bidi="ar"/>
        </w:rPr>
      </w:pPr>
      <w:r>
        <w:rPr>
          <w:rFonts w:hint="eastAsia" w:ascii="宋体" w:hAnsi="宋体" w:eastAsia="宋体" w:cs="宋体"/>
          <w:sz w:val="24"/>
          <w:szCs w:val="24"/>
          <w:highlight w:val="none"/>
          <w:lang w:bidi="ar"/>
        </w:rPr>
        <w:t>（7）稳定性原则：系统应选择成熟、稳定、先进的操作系统、数据库、网络协议、 中间件等，采用高可用性技术，保证系统具备长期稳定工作的能力，当出现失误操作或异常情况时，有良好的系统纠错和恢复能力。</w:t>
      </w:r>
    </w:p>
    <w:p>
      <w:pPr>
        <w:spacing w:line="360" w:lineRule="auto"/>
        <w:ind w:firstLine="480" w:firstLineChars="200"/>
        <w:rPr>
          <w:rFonts w:ascii="宋体" w:hAnsi="宋体" w:eastAsia="宋体" w:cs="宋体"/>
          <w:sz w:val="24"/>
          <w:szCs w:val="24"/>
          <w:highlight w:val="none"/>
          <w:lang w:bidi="ar"/>
        </w:rPr>
      </w:pPr>
      <w:r>
        <w:rPr>
          <w:rFonts w:hint="eastAsia" w:ascii="宋体" w:hAnsi="宋体" w:eastAsia="宋体" w:cs="宋体"/>
          <w:sz w:val="24"/>
          <w:szCs w:val="24"/>
          <w:highlight w:val="none"/>
          <w:lang w:bidi="ar"/>
        </w:rPr>
        <w:t>（8）可管理性原则：系统的使用及管理以简便、易于操作、方便实用为准则，保证系统具有高可管理性，降低系统管理和维护成本。系统中各功能模块的设计就注重业务逻辑的细化，采用模块化、组件化和开放性设计，方便实现应用模块的增加和删除。</w:t>
      </w:r>
    </w:p>
    <w:p>
      <w:pPr>
        <w:spacing w:line="360" w:lineRule="auto"/>
        <w:ind w:firstLine="480" w:firstLineChars="200"/>
        <w:rPr>
          <w:rFonts w:ascii="宋体" w:hAnsi="宋体" w:eastAsia="宋体" w:cs="宋体"/>
          <w:sz w:val="24"/>
          <w:szCs w:val="24"/>
          <w:highlight w:val="none"/>
          <w:lang w:bidi="ar"/>
        </w:rPr>
      </w:pPr>
      <w:r>
        <w:rPr>
          <w:rFonts w:hint="eastAsia" w:ascii="宋体" w:hAnsi="宋体" w:eastAsia="宋体" w:cs="宋体"/>
          <w:sz w:val="24"/>
          <w:szCs w:val="24"/>
          <w:highlight w:val="none"/>
          <w:lang w:bidi="ar"/>
        </w:rPr>
        <w:t>（9）系统安全性原则：在网络系统、应用软件系统层次上的平台建设应分别考虑安全控制，细致全面地考虑各种可能遇到的情况，规划出合理的解决方案，为整个平台的安全、可靠运行提供保障。另外，平台运行时要有严格的管理机制，从技术、制度上充分保证系统具有稳定、快速、可靠、连续的运行性能。</w:t>
      </w:r>
    </w:p>
    <w:p>
      <w:pPr>
        <w:spacing w:line="360" w:lineRule="auto"/>
        <w:rPr>
          <w:rFonts w:ascii="宋体" w:hAnsi="宋体" w:eastAsia="宋体" w:cs="宋体"/>
          <w:b/>
          <w:bCs/>
          <w:sz w:val="24"/>
          <w:szCs w:val="24"/>
          <w:highlight w:val="none"/>
        </w:rPr>
      </w:pPr>
      <w:r>
        <w:rPr>
          <w:rFonts w:hint="eastAsia" w:ascii="宋体" w:hAnsi="宋体" w:eastAsia="宋体" w:cs="宋体"/>
          <w:b/>
          <w:bCs/>
          <w:sz w:val="24"/>
          <w:szCs w:val="24"/>
          <w:highlight w:val="none"/>
        </w:rPr>
        <w:t>4.项目建设内容</w:t>
      </w:r>
    </w:p>
    <w:p>
      <w:pPr>
        <w:pStyle w:val="21"/>
        <w:rPr>
          <w:rFonts w:hint="default" w:ascii="宋体" w:hAnsi="宋体" w:eastAsia="宋体" w:cs="宋体"/>
          <w:snapToGrid w:val="0"/>
          <w:color w:val="000000"/>
          <w:sz w:val="24"/>
          <w:szCs w:val="24"/>
          <w:highlight w:val="none"/>
          <w:lang w:val="en-US" w:eastAsia="zh-CN" w:bidi="ar"/>
        </w:rPr>
      </w:pPr>
      <w:r>
        <w:rPr>
          <w:rFonts w:hint="eastAsia" w:ascii="宋体" w:hAnsi="宋体" w:eastAsia="宋体" w:cs="宋体"/>
          <w:snapToGrid w:val="0"/>
          <w:color w:val="000000"/>
          <w:sz w:val="24"/>
          <w:szCs w:val="24"/>
          <w:highlight w:val="none"/>
          <w:lang w:val="en-US" w:eastAsia="zh-CN" w:bidi="ar"/>
        </w:rPr>
        <w:t>本次建设的软件均部署在汉中市政务云上。</w:t>
      </w:r>
    </w:p>
    <w:p>
      <w:pPr>
        <w:pStyle w:val="21"/>
        <w:rPr>
          <w:rFonts w:ascii="宋体" w:hAnsi="宋体" w:eastAsia="宋体" w:cs="宋体"/>
          <w:sz w:val="24"/>
          <w:szCs w:val="24"/>
          <w:highlight w:val="none"/>
        </w:rPr>
      </w:pPr>
      <w:r>
        <w:rPr>
          <w:rFonts w:hint="eastAsia" w:ascii="宋体" w:hAnsi="宋体" w:eastAsia="宋体" w:cs="宋体"/>
          <w:sz w:val="24"/>
          <w:szCs w:val="24"/>
          <w:highlight w:val="none"/>
        </w:rPr>
        <w:t>国资监管系统是一个组织健全、制度配套、业务协同的综合管理信息系统，系统建设服务于国资监管全部职能。国资监管系统运用大数据、云计算、人工智能、互联网+等技术为核心，要求建设：1套数据标准规范体系、1个国资监管数据采集汇聚平台、1个监管业务中心（企业基本信息、财务监管、投资布局、科技创新、公司治理、企干管理、人事管理、产权管理、党建管理、三重一大）、1个生态资源云脑平台、1个应用门户。系统建设完成稳定运行后，逐步与企业等进行对接采集，构建市国资监管大格局，形成市国资监管一盘棋。</w:t>
      </w:r>
    </w:p>
    <w:p>
      <w:pPr>
        <w:spacing w:line="360" w:lineRule="auto"/>
        <w:rPr>
          <w:rFonts w:ascii="宋体" w:hAnsi="宋体" w:eastAsia="宋体" w:cs="宋体"/>
          <w:b/>
          <w:bCs/>
          <w:sz w:val="24"/>
          <w:szCs w:val="24"/>
          <w:highlight w:val="none"/>
        </w:rPr>
      </w:pPr>
    </w:p>
    <w:p>
      <w:pPr>
        <w:spacing w:line="360" w:lineRule="auto"/>
        <w:rPr>
          <w:rFonts w:ascii="宋体" w:hAnsi="宋体" w:eastAsia="宋体" w:cs="宋体"/>
          <w:b/>
          <w:bCs/>
          <w:sz w:val="24"/>
          <w:szCs w:val="24"/>
          <w:highlight w:val="none"/>
        </w:rPr>
      </w:pPr>
    </w:p>
    <w:p>
      <w:pPr>
        <w:spacing w:line="360" w:lineRule="auto"/>
        <w:rPr>
          <w:rFonts w:ascii="宋体" w:hAnsi="宋体" w:eastAsia="宋体" w:cs="宋体"/>
          <w:b/>
          <w:bCs/>
          <w:sz w:val="24"/>
          <w:szCs w:val="24"/>
          <w:highlight w:val="none"/>
        </w:rPr>
      </w:pPr>
      <w:r>
        <w:rPr>
          <w:rFonts w:hint="eastAsia" w:ascii="宋体" w:hAnsi="宋体" w:eastAsia="宋体" w:cs="宋体"/>
          <w:b/>
          <w:bCs/>
          <w:sz w:val="24"/>
          <w:szCs w:val="24"/>
          <w:highlight w:val="none"/>
        </w:rPr>
        <w:t>4.1</w:t>
      </w:r>
      <w:bookmarkStart w:id="88" w:name="_Toc116574529"/>
      <w:r>
        <w:rPr>
          <w:rFonts w:hint="eastAsia" w:ascii="宋体" w:hAnsi="宋体" w:eastAsia="宋体" w:cs="宋体"/>
          <w:b/>
          <w:bCs/>
          <w:sz w:val="24"/>
          <w:szCs w:val="24"/>
          <w:highlight w:val="none"/>
        </w:rPr>
        <w:t xml:space="preserve"> 数据标准规范</w:t>
      </w:r>
      <w:bookmarkEnd w:id="88"/>
    </w:p>
    <w:p>
      <w:pPr>
        <w:spacing w:line="360" w:lineRule="auto"/>
        <w:ind w:firstLine="480" w:firstLineChars="200"/>
        <w:rPr>
          <w:rFonts w:ascii="宋体" w:hAnsi="宋体" w:eastAsia="宋体" w:cs="宋体"/>
          <w:sz w:val="24"/>
          <w:szCs w:val="24"/>
          <w:highlight w:val="none"/>
          <w:lang w:bidi="ar"/>
        </w:rPr>
      </w:pPr>
      <w:r>
        <w:rPr>
          <w:rFonts w:hint="eastAsia" w:ascii="宋体" w:hAnsi="宋体" w:eastAsia="宋体" w:cs="宋体"/>
          <w:sz w:val="24"/>
          <w:szCs w:val="24"/>
          <w:highlight w:val="none"/>
          <w:lang w:bidi="ar"/>
        </w:rPr>
        <w:t>根据国务院、省、市国资委及其他信息技术标准的要求，制定一套国资监管系统和服务规范，包括数据资源管理标准规范、数据运营规范、数据安全标准。各类规范须符合满足国资监管各项业务的实际需求，确保当前以及将来能够支撑监管企业接入、监管业务和分析决策应用。</w:t>
      </w:r>
    </w:p>
    <w:p>
      <w:pPr>
        <w:spacing w:line="360" w:lineRule="auto"/>
        <w:rPr>
          <w:rFonts w:ascii="宋体" w:hAnsi="宋体" w:eastAsia="宋体" w:cs="宋体"/>
          <w:b/>
          <w:bCs/>
          <w:sz w:val="24"/>
          <w:szCs w:val="24"/>
          <w:highlight w:val="none"/>
        </w:rPr>
      </w:pPr>
      <w:bookmarkStart w:id="89" w:name="_Toc15285"/>
      <w:bookmarkStart w:id="90" w:name="_Hlk73560498"/>
      <w:bookmarkStart w:id="91" w:name="_Toc79616503"/>
      <w:bookmarkStart w:id="92" w:name="_Toc80363007"/>
      <w:bookmarkStart w:id="93" w:name="_Toc116574530"/>
      <w:bookmarkStart w:id="94" w:name="_Toc11693"/>
      <w:bookmarkStart w:id="95" w:name="_Toc73581067"/>
      <w:r>
        <w:rPr>
          <w:rFonts w:hint="eastAsia" w:ascii="宋体" w:hAnsi="宋体" w:eastAsia="宋体" w:cs="宋体"/>
          <w:b/>
          <w:bCs/>
          <w:sz w:val="24"/>
          <w:szCs w:val="24"/>
          <w:highlight w:val="none"/>
        </w:rPr>
        <w:t>4.2 数据采集汇聚平台</w:t>
      </w:r>
      <w:bookmarkEnd w:id="89"/>
      <w:bookmarkEnd w:id="90"/>
      <w:bookmarkEnd w:id="91"/>
      <w:bookmarkEnd w:id="92"/>
      <w:bookmarkEnd w:id="93"/>
      <w:bookmarkEnd w:id="94"/>
      <w:bookmarkEnd w:id="95"/>
    </w:p>
    <w:p>
      <w:pPr>
        <w:spacing w:line="360" w:lineRule="auto"/>
        <w:rPr>
          <w:rFonts w:ascii="宋体" w:hAnsi="宋体" w:eastAsia="宋体" w:cs="宋体"/>
          <w:b/>
          <w:bCs/>
          <w:sz w:val="24"/>
          <w:szCs w:val="24"/>
          <w:highlight w:val="none"/>
        </w:rPr>
      </w:pPr>
      <w:r>
        <w:rPr>
          <w:rFonts w:hint="eastAsia" w:ascii="宋体" w:hAnsi="宋体" w:eastAsia="宋体" w:cs="宋体"/>
          <w:b/>
          <w:bCs/>
          <w:sz w:val="24"/>
          <w:szCs w:val="24"/>
          <w:highlight w:val="none"/>
        </w:rPr>
        <w:t>4.4.1 大数据基础平台</w:t>
      </w:r>
    </w:p>
    <w:p>
      <w:pPr>
        <w:pStyle w:val="21"/>
        <w:rPr>
          <w:rFonts w:ascii="宋体" w:hAnsi="宋体" w:eastAsia="宋体" w:cs="宋体"/>
          <w:sz w:val="24"/>
          <w:szCs w:val="24"/>
          <w:highlight w:val="none"/>
        </w:rPr>
      </w:pPr>
      <w:r>
        <w:rPr>
          <w:rFonts w:hint="eastAsia" w:ascii="宋体" w:hAnsi="宋体" w:eastAsia="宋体" w:cs="宋体"/>
          <w:sz w:val="24"/>
          <w:szCs w:val="24"/>
          <w:highlight w:val="none"/>
        </w:rPr>
        <w:t>大数据基础能力平台提供大数据的存储和计算能力，包括大数据存储、计算资源管理、大数据分析、数据应用集成等功能。</w:t>
      </w:r>
    </w:p>
    <w:p>
      <w:pPr>
        <w:spacing w:line="360" w:lineRule="auto"/>
        <w:rPr>
          <w:rFonts w:ascii="宋体" w:hAnsi="宋体" w:eastAsia="宋体" w:cs="宋体"/>
          <w:b/>
          <w:bCs/>
          <w:sz w:val="24"/>
          <w:szCs w:val="24"/>
          <w:highlight w:val="none"/>
        </w:rPr>
      </w:pPr>
      <w:r>
        <w:rPr>
          <w:rFonts w:hint="eastAsia" w:ascii="宋体" w:hAnsi="宋体" w:eastAsia="宋体" w:cs="宋体"/>
          <w:b/>
          <w:bCs/>
          <w:sz w:val="24"/>
          <w:szCs w:val="24"/>
          <w:highlight w:val="none"/>
        </w:rPr>
        <w:t>4.4.2 数据采集平台</w:t>
      </w:r>
    </w:p>
    <w:p>
      <w:pPr>
        <w:spacing w:line="360" w:lineRule="auto"/>
        <w:ind w:firstLine="480" w:firstLineChars="200"/>
        <w:rPr>
          <w:rFonts w:ascii="宋体" w:hAnsi="宋体" w:eastAsia="宋体" w:cs="宋体"/>
          <w:sz w:val="24"/>
          <w:szCs w:val="24"/>
          <w:highlight w:val="none"/>
          <w:lang w:bidi="ar"/>
        </w:rPr>
      </w:pPr>
      <w:r>
        <w:rPr>
          <w:rFonts w:hint="eastAsia" w:ascii="宋体" w:hAnsi="宋体" w:eastAsia="宋体" w:cs="宋体"/>
          <w:sz w:val="24"/>
          <w:szCs w:val="24"/>
          <w:highlight w:val="none"/>
          <w:lang w:bidi="ar"/>
        </w:rPr>
        <w:t>数据采集中心构建统一数据采集机制，具备高质量、自动化、高效灵活、安全可靠的数据采集能力，按照统一技术规范和要求实现数据采集。数据采集中心要具备以下功能：数据源管理、数据采集、数据采集任务管理、数据采集任务监控。</w:t>
      </w:r>
    </w:p>
    <w:p>
      <w:pPr>
        <w:spacing w:line="360" w:lineRule="auto"/>
        <w:ind w:firstLine="480" w:firstLineChars="200"/>
        <w:rPr>
          <w:rFonts w:ascii="宋体" w:hAnsi="宋体" w:eastAsia="宋体" w:cs="宋体"/>
          <w:sz w:val="24"/>
          <w:szCs w:val="24"/>
          <w:highlight w:val="none"/>
          <w:lang w:bidi="ar"/>
        </w:rPr>
      </w:pPr>
      <w:r>
        <w:rPr>
          <w:rFonts w:hint="eastAsia" w:ascii="宋体" w:hAnsi="宋体" w:eastAsia="宋体" w:cs="宋体"/>
          <w:sz w:val="24"/>
          <w:szCs w:val="24"/>
          <w:highlight w:val="none"/>
          <w:lang w:bidi="ar"/>
        </w:rPr>
        <w:t>（1）数据源管理</w:t>
      </w:r>
    </w:p>
    <w:p>
      <w:pPr>
        <w:spacing w:line="360" w:lineRule="auto"/>
        <w:ind w:firstLine="480" w:firstLineChars="200"/>
        <w:rPr>
          <w:rFonts w:ascii="宋体" w:hAnsi="宋体" w:eastAsia="宋体" w:cs="宋体"/>
          <w:sz w:val="24"/>
          <w:szCs w:val="24"/>
          <w:highlight w:val="none"/>
          <w:lang w:bidi="ar"/>
        </w:rPr>
      </w:pPr>
      <w:r>
        <w:rPr>
          <w:rFonts w:hint="eastAsia" w:ascii="宋体" w:hAnsi="宋体" w:eastAsia="宋体" w:cs="宋体"/>
          <w:sz w:val="24"/>
          <w:szCs w:val="24"/>
          <w:highlight w:val="none"/>
          <w:lang w:bidi="ar"/>
        </w:rPr>
        <w:t>支持数据源的配置与查询。</w:t>
      </w:r>
    </w:p>
    <w:p>
      <w:pPr>
        <w:spacing w:line="360" w:lineRule="auto"/>
        <w:ind w:firstLine="480" w:firstLineChars="200"/>
        <w:rPr>
          <w:rFonts w:ascii="宋体" w:hAnsi="宋体" w:eastAsia="宋体" w:cs="宋体"/>
          <w:sz w:val="24"/>
          <w:szCs w:val="24"/>
          <w:highlight w:val="none"/>
          <w:lang w:bidi="ar"/>
        </w:rPr>
      </w:pPr>
      <w:r>
        <w:rPr>
          <w:rFonts w:hint="eastAsia" w:ascii="宋体" w:hAnsi="宋体" w:eastAsia="宋体" w:cs="宋体"/>
          <w:sz w:val="24"/>
          <w:szCs w:val="24"/>
          <w:highlight w:val="none"/>
          <w:lang w:bidi="ar"/>
        </w:rPr>
        <w:t>数据源配置：支持创建数据源，支持IP主机名、端口配置；支持编辑数据源，选择需要修改的数据源，对数据源进行修改；支持删除数据源，根据业务需求，对不需要的数据源进行删除。</w:t>
      </w:r>
    </w:p>
    <w:p>
      <w:pPr>
        <w:spacing w:line="360" w:lineRule="auto"/>
        <w:ind w:firstLine="480" w:firstLineChars="200"/>
        <w:rPr>
          <w:rFonts w:ascii="宋体" w:hAnsi="宋体" w:eastAsia="宋体" w:cs="宋体"/>
          <w:sz w:val="24"/>
          <w:szCs w:val="24"/>
          <w:highlight w:val="none"/>
          <w:lang w:bidi="ar"/>
        </w:rPr>
      </w:pPr>
      <w:r>
        <w:rPr>
          <w:rFonts w:hint="eastAsia" w:ascii="宋体" w:hAnsi="宋体" w:eastAsia="宋体" w:cs="宋体"/>
          <w:sz w:val="24"/>
          <w:szCs w:val="24"/>
          <w:highlight w:val="none"/>
          <w:lang w:bidi="ar"/>
        </w:rPr>
        <w:t>查询数据源：通过数据源配置界面，进行数据源检索和查询。</w:t>
      </w:r>
    </w:p>
    <w:p>
      <w:pPr>
        <w:spacing w:line="360" w:lineRule="auto"/>
        <w:ind w:firstLine="480" w:firstLineChars="200"/>
        <w:rPr>
          <w:rFonts w:ascii="宋体" w:hAnsi="宋体" w:eastAsia="宋体" w:cs="宋体"/>
          <w:sz w:val="24"/>
          <w:szCs w:val="24"/>
          <w:highlight w:val="none"/>
          <w:lang w:bidi="ar"/>
        </w:rPr>
      </w:pPr>
      <w:r>
        <w:rPr>
          <w:rFonts w:hint="eastAsia" w:ascii="宋体" w:hAnsi="宋体" w:eastAsia="宋体" w:cs="宋体"/>
          <w:sz w:val="24"/>
          <w:szCs w:val="24"/>
          <w:highlight w:val="none"/>
          <w:lang w:bidi="ar"/>
        </w:rPr>
        <w:t>（2）数据采集</w:t>
      </w:r>
    </w:p>
    <w:p>
      <w:pPr>
        <w:spacing w:line="360" w:lineRule="auto"/>
        <w:ind w:firstLine="480" w:firstLineChars="200"/>
        <w:rPr>
          <w:rFonts w:ascii="宋体" w:hAnsi="宋体" w:eastAsia="宋体" w:cs="宋体"/>
          <w:sz w:val="24"/>
          <w:szCs w:val="24"/>
          <w:highlight w:val="none"/>
          <w:lang w:bidi="ar"/>
        </w:rPr>
      </w:pPr>
      <w:r>
        <w:rPr>
          <w:rFonts w:hint="eastAsia" w:ascii="宋体" w:hAnsi="宋体" w:eastAsia="宋体" w:cs="宋体"/>
          <w:sz w:val="24"/>
          <w:szCs w:val="24"/>
          <w:highlight w:val="none"/>
          <w:lang w:bidi="ar"/>
        </w:rPr>
        <w:t>支持MySQL、Hive、SQL Server、Oracle等主流数据库采集；支持CSV、xls、txt等多种文件格式数据的采集；支持以接口方式进行数据采集。</w:t>
      </w:r>
    </w:p>
    <w:p>
      <w:pPr>
        <w:spacing w:line="360" w:lineRule="auto"/>
        <w:ind w:firstLine="480" w:firstLineChars="200"/>
        <w:rPr>
          <w:rFonts w:ascii="宋体" w:hAnsi="宋体" w:eastAsia="宋体" w:cs="宋体"/>
          <w:sz w:val="24"/>
          <w:szCs w:val="24"/>
          <w:highlight w:val="none"/>
          <w:lang w:bidi="ar"/>
        </w:rPr>
      </w:pPr>
      <w:r>
        <w:rPr>
          <w:rFonts w:hint="eastAsia" w:ascii="宋体" w:hAnsi="宋体" w:eastAsia="宋体" w:cs="宋体"/>
          <w:sz w:val="24"/>
          <w:szCs w:val="24"/>
          <w:highlight w:val="none"/>
          <w:lang w:bidi="ar"/>
        </w:rPr>
        <w:t>（3）数据采集任务管理</w:t>
      </w:r>
    </w:p>
    <w:p>
      <w:pPr>
        <w:spacing w:line="360" w:lineRule="auto"/>
        <w:ind w:firstLine="480" w:firstLineChars="200"/>
        <w:rPr>
          <w:rFonts w:ascii="宋体" w:hAnsi="宋体" w:eastAsia="宋体" w:cs="宋体"/>
          <w:sz w:val="24"/>
          <w:szCs w:val="24"/>
          <w:highlight w:val="none"/>
          <w:lang w:bidi="ar"/>
        </w:rPr>
      </w:pPr>
      <w:r>
        <w:rPr>
          <w:rFonts w:hint="eastAsia" w:ascii="宋体" w:hAnsi="宋体" w:eastAsia="宋体" w:cs="宋体"/>
          <w:sz w:val="24"/>
          <w:szCs w:val="24"/>
          <w:highlight w:val="none"/>
          <w:lang w:bidi="ar"/>
        </w:rPr>
        <w:t>数据采集任务管理支持以下功能：支持采集任务工作流定义，可以创建工作流、导入工作流；支持工作流实例编辑、重跑、恢复失败、停止、暂停和删除；支持任务实例内容和日志查看；支持任务定义、查看、编辑和删除任务等功能。</w:t>
      </w:r>
    </w:p>
    <w:p>
      <w:pPr>
        <w:spacing w:line="360" w:lineRule="auto"/>
        <w:ind w:firstLine="480" w:firstLineChars="200"/>
        <w:rPr>
          <w:rFonts w:ascii="宋体" w:hAnsi="宋体" w:eastAsia="宋体" w:cs="宋体"/>
          <w:sz w:val="24"/>
          <w:szCs w:val="24"/>
          <w:highlight w:val="none"/>
          <w:lang w:bidi="ar"/>
        </w:rPr>
      </w:pPr>
      <w:r>
        <w:rPr>
          <w:rFonts w:hint="eastAsia" w:ascii="宋体" w:hAnsi="宋体" w:eastAsia="宋体" w:cs="宋体"/>
          <w:sz w:val="24"/>
          <w:szCs w:val="24"/>
          <w:highlight w:val="none"/>
          <w:lang w:bidi="ar"/>
        </w:rPr>
        <w:t>（4）数据采集任务监控</w:t>
      </w:r>
    </w:p>
    <w:p>
      <w:pPr>
        <w:spacing w:line="360" w:lineRule="auto"/>
        <w:ind w:firstLine="480" w:firstLineChars="200"/>
        <w:rPr>
          <w:rFonts w:ascii="宋体" w:hAnsi="宋体" w:eastAsia="宋体" w:cs="宋体"/>
          <w:sz w:val="24"/>
          <w:szCs w:val="24"/>
          <w:highlight w:val="none"/>
          <w:lang w:bidi="ar"/>
        </w:rPr>
      </w:pPr>
      <w:r>
        <w:rPr>
          <w:rFonts w:hint="eastAsia" w:ascii="宋体" w:hAnsi="宋体" w:eastAsia="宋体" w:cs="宋体"/>
          <w:sz w:val="24"/>
          <w:szCs w:val="24"/>
          <w:highlight w:val="none"/>
          <w:lang w:bidi="ar"/>
        </w:rPr>
        <w:t>支持调度任务的全方位监控，包括调度作业监控、调度作业运维、告警管理。</w:t>
      </w:r>
    </w:p>
    <w:p>
      <w:pPr>
        <w:spacing w:line="360" w:lineRule="auto"/>
        <w:ind w:firstLine="480" w:firstLineChars="200"/>
        <w:rPr>
          <w:rFonts w:ascii="宋体" w:hAnsi="宋体" w:eastAsia="宋体" w:cs="宋体"/>
          <w:sz w:val="24"/>
          <w:szCs w:val="24"/>
          <w:highlight w:val="none"/>
          <w:lang w:bidi="ar"/>
        </w:rPr>
      </w:pPr>
      <w:r>
        <w:rPr>
          <w:rFonts w:hint="eastAsia" w:ascii="宋体" w:hAnsi="宋体" w:eastAsia="宋体" w:cs="宋体"/>
          <w:sz w:val="24"/>
          <w:szCs w:val="24"/>
          <w:highlight w:val="none"/>
          <w:lang w:bidi="ar"/>
        </w:rPr>
        <w:t>1.调度作业监控：用于任务日志监控；</w:t>
      </w:r>
    </w:p>
    <w:p>
      <w:pPr>
        <w:spacing w:line="360" w:lineRule="auto"/>
        <w:ind w:firstLine="480" w:firstLineChars="200"/>
        <w:rPr>
          <w:rFonts w:ascii="宋体" w:hAnsi="宋体" w:eastAsia="宋体" w:cs="宋体"/>
          <w:sz w:val="24"/>
          <w:szCs w:val="24"/>
          <w:highlight w:val="none"/>
          <w:lang w:bidi="ar"/>
        </w:rPr>
      </w:pPr>
      <w:r>
        <w:rPr>
          <w:rFonts w:hint="eastAsia" w:ascii="宋体" w:hAnsi="宋体" w:eastAsia="宋体" w:cs="宋体"/>
          <w:sz w:val="24"/>
          <w:szCs w:val="24"/>
          <w:highlight w:val="none"/>
          <w:lang w:bidi="ar"/>
        </w:rPr>
        <w:t>2.调度作业运维：提供采集任务的运维操作，包括：重跑、强制通过、停止、暂停、删除；</w:t>
      </w:r>
    </w:p>
    <w:p>
      <w:pPr>
        <w:spacing w:line="360" w:lineRule="auto"/>
        <w:ind w:firstLine="480" w:firstLineChars="200"/>
        <w:rPr>
          <w:rFonts w:ascii="宋体" w:hAnsi="宋体" w:eastAsia="宋体" w:cs="宋体"/>
          <w:sz w:val="24"/>
          <w:szCs w:val="24"/>
          <w:highlight w:val="none"/>
          <w:lang w:bidi="ar"/>
        </w:rPr>
      </w:pPr>
      <w:r>
        <w:rPr>
          <w:rFonts w:hint="eastAsia" w:ascii="宋体" w:hAnsi="宋体" w:eastAsia="宋体" w:cs="宋体"/>
          <w:sz w:val="24"/>
          <w:szCs w:val="24"/>
          <w:highlight w:val="none"/>
          <w:lang w:bidi="ar"/>
        </w:rPr>
        <w:t>3.告警管理：失败告警、超时告警等。</w:t>
      </w:r>
    </w:p>
    <w:p>
      <w:pPr>
        <w:spacing w:line="360" w:lineRule="auto"/>
        <w:rPr>
          <w:rFonts w:ascii="宋体" w:hAnsi="宋体" w:eastAsia="宋体" w:cs="宋体"/>
          <w:b/>
          <w:bCs/>
          <w:sz w:val="24"/>
          <w:szCs w:val="24"/>
          <w:highlight w:val="none"/>
        </w:rPr>
      </w:pPr>
      <w:r>
        <w:rPr>
          <w:rFonts w:hint="eastAsia" w:ascii="宋体" w:hAnsi="宋体" w:eastAsia="宋体" w:cs="宋体"/>
          <w:b/>
          <w:bCs/>
          <w:sz w:val="24"/>
          <w:szCs w:val="24"/>
          <w:highlight w:val="none"/>
        </w:rPr>
        <w:t>4.4.3 用户中心</w:t>
      </w:r>
    </w:p>
    <w:p>
      <w:pPr>
        <w:spacing w:line="360" w:lineRule="auto"/>
        <w:ind w:firstLine="480" w:firstLineChars="200"/>
        <w:rPr>
          <w:rFonts w:ascii="宋体" w:hAnsi="宋体" w:eastAsia="宋体" w:cs="宋体"/>
          <w:sz w:val="24"/>
          <w:szCs w:val="24"/>
          <w:highlight w:val="none"/>
          <w:lang w:bidi="ar"/>
        </w:rPr>
      </w:pPr>
      <w:r>
        <w:rPr>
          <w:rFonts w:hint="eastAsia" w:ascii="宋体" w:hAnsi="宋体" w:eastAsia="宋体" w:cs="宋体"/>
          <w:sz w:val="24"/>
          <w:szCs w:val="24"/>
          <w:highlight w:val="none"/>
          <w:lang w:bidi="ar"/>
        </w:rPr>
        <w:t>用户中心支持用户管理、团队管理、角色管理、菜单管理、审计日志、待办等功能。管理员可以对用户进行增删改和角色赋权，可以查看用户角色，支持对角色进行增删改和菜单赋权。</w:t>
      </w:r>
    </w:p>
    <w:p>
      <w:pPr>
        <w:spacing w:line="360" w:lineRule="auto"/>
        <w:ind w:firstLine="480" w:firstLineChars="200"/>
        <w:rPr>
          <w:rFonts w:ascii="宋体" w:hAnsi="宋体" w:eastAsia="宋体" w:cs="宋体"/>
          <w:sz w:val="24"/>
          <w:szCs w:val="24"/>
          <w:highlight w:val="none"/>
          <w:lang w:bidi="ar"/>
        </w:rPr>
      </w:pPr>
      <w:r>
        <w:rPr>
          <w:rFonts w:hint="eastAsia" w:ascii="宋体" w:hAnsi="宋体" w:eastAsia="宋体" w:cs="宋体"/>
          <w:sz w:val="24"/>
          <w:szCs w:val="24"/>
          <w:highlight w:val="none"/>
          <w:lang w:bidi="ar"/>
        </w:rPr>
        <w:t>用户管理：支持用户信息查询、新增、修改、删除以及分配角色等操作；</w:t>
      </w:r>
    </w:p>
    <w:p>
      <w:pPr>
        <w:spacing w:line="360" w:lineRule="auto"/>
        <w:ind w:firstLine="480" w:firstLineChars="200"/>
        <w:rPr>
          <w:rFonts w:ascii="宋体" w:hAnsi="宋体" w:eastAsia="宋体" w:cs="宋体"/>
          <w:sz w:val="24"/>
          <w:szCs w:val="24"/>
          <w:highlight w:val="none"/>
          <w:lang w:bidi="ar"/>
        </w:rPr>
      </w:pPr>
      <w:r>
        <w:rPr>
          <w:rFonts w:hint="eastAsia" w:ascii="宋体" w:hAnsi="宋体" w:eastAsia="宋体" w:cs="宋体"/>
          <w:sz w:val="24"/>
          <w:szCs w:val="24"/>
          <w:highlight w:val="none"/>
          <w:lang w:bidi="ar"/>
        </w:rPr>
        <w:t>团队管理：支持团队信息查询、新增、修改、删除以及团队成员的管理功能；</w:t>
      </w:r>
    </w:p>
    <w:p>
      <w:pPr>
        <w:spacing w:line="360" w:lineRule="auto"/>
        <w:ind w:firstLine="480" w:firstLineChars="200"/>
        <w:rPr>
          <w:rFonts w:ascii="宋体" w:hAnsi="宋体" w:eastAsia="宋体" w:cs="宋体"/>
          <w:sz w:val="24"/>
          <w:szCs w:val="24"/>
          <w:highlight w:val="none"/>
          <w:lang w:bidi="ar"/>
        </w:rPr>
      </w:pPr>
      <w:r>
        <w:rPr>
          <w:rFonts w:hint="eastAsia" w:ascii="宋体" w:hAnsi="宋体" w:eastAsia="宋体" w:cs="宋体"/>
          <w:sz w:val="24"/>
          <w:szCs w:val="24"/>
          <w:highlight w:val="none"/>
          <w:lang w:bidi="ar"/>
        </w:rPr>
        <w:t>角色管理：支持角色新增、查询、禁用、修改等功能点。用户在平台上的操作权限由对应的角色划分；</w:t>
      </w:r>
    </w:p>
    <w:p>
      <w:pPr>
        <w:spacing w:line="360" w:lineRule="auto"/>
        <w:ind w:firstLine="480" w:firstLineChars="200"/>
        <w:rPr>
          <w:rFonts w:ascii="宋体" w:hAnsi="宋体" w:eastAsia="宋体" w:cs="宋体"/>
          <w:sz w:val="24"/>
          <w:szCs w:val="24"/>
          <w:highlight w:val="none"/>
          <w:lang w:bidi="ar"/>
        </w:rPr>
      </w:pPr>
      <w:r>
        <w:rPr>
          <w:rFonts w:hint="eastAsia" w:ascii="宋体" w:hAnsi="宋体" w:eastAsia="宋体" w:cs="宋体"/>
          <w:sz w:val="24"/>
          <w:szCs w:val="24"/>
          <w:highlight w:val="none"/>
          <w:lang w:bidi="ar"/>
        </w:rPr>
        <w:t>菜单管理：支持菜单新增、修改、删除等功能；</w:t>
      </w:r>
    </w:p>
    <w:p>
      <w:pPr>
        <w:spacing w:line="360" w:lineRule="auto"/>
        <w:ind w:firstLine="480" w:firstLineChars="200"/>
        <w:rPr>
          <w:rFonts w:ascii="宋体" w:hAnsi="宋体" w:eastAsia="宋体" w:cs="宋体"/>
          <w:sz w:val="24"/>
          <w:szCs w:val="24"/>
          <w:highlight w:val="none"/>
          <w:lang w:bidi="ar"/>
        </w:rPr>
      </w:pPr>
      <w:r>
        <w:rPr>
          <w:rFonts w:hint="eastAsia" w:ascii="宋体" w:hAnsi="宋体" w:eastAsia="宋体" w:cs="宋体"/>
          <w:sz w:val="24"/>
          <w:szCs w:val="24"/>
          <w:highlight w:val="none"/>
          <w:lang w:bidi="ar"/>
        </w:rPr>
        <w:t>审计日志：支持用户访问菜单日志和用户登录日志记录和查询能力；</w:t>
      </w:r>
    </w:p>
    <w:p>
      <w:pPr>
        <w:spacing w:line="360" w:lineRule="auto"/>
        <w:ind w:firstLine="480" w:firstLineChars="200"/>
        <w:rPr>
          <w:rFonts w:ascii="宋体" w:hAnsi="宋体" w:eastAsia="宋体" w:cs="宋体"/>
          <w:sz w:val="24"/>
          <w:szCs w:val="24"/>
          <w:highlight w:val="none"/>
          <w:lang w:bidi="ar"/>
        </w:rPr>
      </w:pPr>
      <w:r>
        <w:rPr>
          <w:rFonts w:hint="eastAsia" w:ascii="宋体" w:hAnsi="宋体" w:eastAsia="宋体" w:cs="宋体"/>
          <w:sz w:val="24"/>
          <w:szCs w:val="24"/>
          <w:highlight w:val="none"/>
          <w:lang w:bidi="ar"/>
        </w:rPr>
        <w:t>待办：支持管理员审批用户提交的操作。</w:t>
      </w:r>
    </w:p>
    <w:p>
      <w:pPr>
        <w:spacing w:line="360" w:lineRule="auto"/>
        <w:rPr>
          <w:rFonts w:ascii="宋体" w:hAnsi="宋体" w:eastAsia="宋体" w:cs="宋体"/>
          <w:b/>
          <w:bCs/>
          <w:sz w:val="24"/>
          <w:szCs w:val="24"/>
          <w:highlight w:val="none"/>
        </w:rPr>
      </w:pPr>
      <w:bookmarkStart w:id="96" w:name="_Toc23346"/>
      <w:bookmarkStart w:id="97" w:name="_Toc9779"/>
      <w:bookmarkStart w:id="98" w:name="_Toc116574531"/>
      <w:bookmarkStart w:id="99" w:name="_Toc79616504"/>
      <w:bookmarkStart w:id="100" w:name="_Hlk73560510"/>
      <w:bookmarkStart w:id="101" w:name="_Toc73581068"/>
      <w:bookmarkStart w:id="102" w:name="_Toc80363008"/>
      <w:r>
        <w:rPr>
          <w:rFonts w:hint="eastAsia" w:ascii="宋体" w:hAnsi="宋体" w:eastAsia="宋体" w:cs="宋体"/>
          <w:b/>
          <w:bCs/>
          <w:sz w:val="24"/>
          <w:szCs w:val="24"/>
          <w:highlight w:val="none"/>
        </w:rPr>
        <w:t>4.3 监管业务中心</w:t>
      </w:r>
      <w:bookmarkEnd w:id="96"/>
      <w:bookmarkEnd w:id="97"/>
      <w:bookmarkEnd w:id="98"/>
      <w:bookmarkEnd w:id="99"/>
      <w:bookmarkEnd w:id="100"/>
      <w:bookmarkEnd w:id="101"/>
      <w:bookmarkEnd w:id="102"/>
    </w:p>
    <w:p>
      <w:pPr>
        <w:pStyle w:val="21"/>
        <w:rPr>
          <w:rFonts w:ascii="宋体" w:hAnsi="宋体"/>
          <w:sz w:val="24"/>
          <w:szCs w:val="24"/>
          <w:highlight w:val="none"/>
        </w:rPr>
      </w:pPr>
      <w:r>
        <w:rPr>
          <w:rFonts w:hint="eastAsia" w:ascii="宋体" w:hAnsi="宋体" w:eastAsia="宋体" w:cs="宋体"/>
          <w:sz w:val="24"/>
          <w:szCs w:val="24"/>
          <w:highlight w:val="none"/>
        </w:rPr>
        <w:t>监管业务中心构建基础应用支撑体系，从统一应用、统一管理等视角进行技术与业务的融合，形成应用支撑能力，可提供流程管理、通用组件管理等框架能力，可适应未来业务扩展的持续集成。同时监管业务中心实现国资监管的业务管理，建设内容包括企业基本信息、财务监管、投资布局、科技创新、公司治理、企干管理、人事管理、产权管理、党建管理、三重一大共十个功能模块。</w:t>
      </w:r>
    </w:p>
    <w:p>
      <w:pPr>
        <w:pStyle w:val="5"/>
        <w:widowControl w:val="0"/>
        <w:numPr>
          <w:ilvl w:val="2"/>
          <w:numId w:val="3"/>
        </w:numPr>
        <w:tabs>
          <w:tab w:val="left" w:pos="560"/>
        </w:tabs>
        <w:kinsoku/>
        <w:autoSpaceDE/>
        <w:autoSpaceDN/>
        <w:adjustRightInd/>
        <w:snapToGrid/>
        <w:spacing w:before="240" w:after="120" w:line="360" w:lineRule="auto"/>
        <w:ind w:left="420" w:leftChars="0"/>
        <w:jc w:val="both"/>
        <w:textAlignment w:val="auto"/>
        <w:rPr>
          <w:rFonts w:hint="eastAsia" w:ascii="宋体" w:hAnsi="宋体" w:eastAsia="宋体"/>
          <w:szCs w:val="16"/>
          <w:highlight w:val="none"/>
        </w:rPr>
      </w:pPr>
      <w:r>
        <w:rPr>
          <w:rFonts w:hint="eastAsia" w:ascii="宋体" w:hAnsi="宋体" w:eastAsia="宋体"/>
          <w:szCs w:val="16"/>
          <w:highlight w:val="none"/>
        </w:rPr>
        <w:t>企业基本信息</w:t>
      </w:r>
    </w:p>
    <w:p>
      <w:pPr>
        <w:pStyle w:val="21"/>
        <w:rPr>
          <w:rFonts w:hint="eastAsia" w:ascii="宋体" w:hAnsi="宋体"/>
          <w:sz w:val="24"/>
          <w:szCs w:val="24"/>
          <w:highlight w:val="none"/>
        </w:rPr>
      </w:pPr>
      <w:r>
        <w:rPr>
          <w:rFonts w:hint="eastAsia" w:ascii="宋体" w:hAnsi="宋体" w:eastAsia="宋体" w:cs="宋体"/>
          <w:sz w:val="24"/>
          <w:szCs w:val="24"/>
          <w:highlight w:val="none"/>
        </w:rPr>
        <w:t>实现对监管企业多层次、多维度信息进行管理，构建国资监管业务体系中企业的统一性信息，建立全方位、集中式的维护和管理机制，在业务应用运行过程中提供统一资源数据，主要包括基本信息、工商登记信息、股权信息等。</w:t>
      </w:r>
    </w:p>
    <w:p>
      <w:pPr>
        <w:pStyle w:val="5"/>
        <w:widowControl w:val="0"/>
        <w:numPr>
          <w:ilvl w:val="2"/>
          <w:numId w:val="3"/>
        </w:numPr>
        <w:tabs>
          <w:tab w:val="left" w:pos="560"/>
        </w:tabs>
        <w:kinsoku/>
        <w:autoSpaceDE/>
        <w:autoSpaceDN/>
        <w:adjustRightInd/>
        <w:snapToGrid/>
        <w:spacing w:before="240" w:after="120" w:line="360" w:lineRule="auto"/>
        <w:ind w:left="420" w:leftChars="0"/>
        <w:jc w:val="both"/>
        <w:textAlignment w:val="auto"/>
        <w:rPr>
          <w:rFonts w:ascii="宋体" w:hAnsi="宋体" w:eastAsia="宋体"/>
          <w:szCs w:val="16"/>
          <w:highlight w:val="none"/>
        </w:rPr>
      </w:pPr>
      <w:r>
        <w:rPr>
          <w:rFonts w:hint="eastAsia" w:ascii="宋体" w:hAnsi="宋体" w:eastAsia="宋体"/>
          <w:szCs w:val="16"/>
          <w:highlight w:val="none"/>
        </w:rPr>
        <w:t>财务监管</w:t>
      </w:r>
    </w:p>
    <w:p>
      <w:pPr>
        <w:pStyle w:val="21"/>
        <w:rPr>
          <w:rFonts w:hint="eastAsia" w:ascii="宋体" w:hAnsi="宋体"/>
          <w:sz w:val="24"/>
          <w:szCs w:val="24"/>
          <w:highlight w:val="none"/>
        </w:rPr>
      </w:pPr>
      <w:bookmarkStart w:id="103" w:name="_Hlk80087842"/>
      <w:r>
        <w:rPr>
          <w:rFonts w:hint="eastAsia" w:ascii="宋体" w:hAnsi="宋体"/>
          <w:sz w:val="24"/>
          <w:szCs w:val="24"/>
          <w:highlight w:val="none"/>
        </w:rPr>
        <w:t>财务监管以企财务数据为核心，根据市国资委下发的务要求，通过分类、分周期、分阶段、分科目的定期数据管理(填报、审核、汇总等)，建立企业财务数据全级次、全指标采集机制，实现对企业生产经营状况、资产状况、财务运行状况多方位的财务监督管理。系统支持根据市国资委的财务监督要求进行内容定制化设计，如资产情况、国资监管专项情况等。主要功能要求如下：</w:t>
      </w:r>
    </w:p>
    <w:p>
      <w:pPr>
        <w:pStyle w:val="21"/>
        <w:rPr>
          <w:rFonts w:hint="eastAsia" w:ascii="宋体" w:hAnsi="宋体"/>
          <w:sz w:val="24"/>
          <w:szCs w:val="24"/>
          <w:highlight w:val="none"/>
        </w:rPr>
      </w:pPr>
      <w:r>
        <w:rPr>
          <w:rFonts w:hint="eastAsia" w:asciiTheme="minorEastAsia" w:hAnsiTheme="minorEastAsia" w:eastAsiaTheme="minorEastAsia"/>
          <w:sz w:val="24"/>
          <w:szCs w:val="24"/>
          <w:highlight w:val="none"/>
        </w:rPr>
        <w:t>（一）</w:t>
      </w:r>
      <w:r>
        <w:rPr>
          <w:rFonts w:hint="eastAsia" w:ascii="宋体" w:hAnsi="宋体"/>
          <w:sz w:val="24"/>
          <w:szCs w:val="24"/>
          <w:highlight w:val="none"/>
        </w:rPr>
        <w:t>财务快报</w:t>
      </w:r>
    </w:p>
    <w:p>
      <w:pPr>
        <w:pStyle w:val="21"/>
        <w:rPr>
          <w:rFonts w:ascii="宋体" w:hAnsi="宋体"/>
          <w:sz w:val="24"/>
          <w:szCs w:val="24"/>
          <w:highlight w:val="none"/>
        </w:rPr>
      </w:pPr>
      <w:r>
        <w:rPr>
          <w:rFonts w:hint="eastAsia" w:ascii="宋体" w:hAnsi="宋体"/>
          <w:sz w:val="24"/>
          <w:szCs w:val="24"/>
          <w:highlight w:val="none"/>
        </w:rPr>
        <w:t>财务快报管理监管企业根据国资委下达的通知每月定期上报财务快报数据或主要财务报表财务，资本收益与财务监管处对快报数据进行审核并提交国务院国资委进行备案。利用财务快报数据，编制月度企业财务统计快报，以及利用三张报表信息与预算月度分解表进行对比分析，形成相关统计报表。</w:t>
      </w:r>
    </w:p>
    <w:p>
      <w:pPr>
        <w:pStyle w:val="21"/>
        <w:rPr>
          <w:rFonts w:ascii="宋体" w:hAnsi="宋体"/>
          <w:sz w:val="24"/>
          <w:szCs w:val="24"/>
          <w:highlight w:val="none"/>
        </w:rPr>
      </w:pPr>
      <w:r>
        <w:rPr>
          <w:rFonts w:hint="eastAsia" w:ascii="宋体" w:hAnsi="宋体"/>
          <w:sz w:val="24"/>
          <w:szCs w:val="24"/>
          <w:highlight w:val="none"/>
        </w:rPr>
        <w:t>快报管理主要是对国家出资企业的企业经营、投资情况进行月度跟踪管理。业务功能主要包括数据录入、数据运算、数据审核、数据汇总、审核反馈、数据导出、查询分析、分析报告以及对外报送等功能。</w:t>
      </w:r>
    </w:p>
    <w:p>
      <w:pPr>
        <w:pStyle w:val="21"/>
        <w:rPr>
          <w:rFonts w:ascii="宋体" w:hAnsi="宋体"/>
          <w:sz w:val="24"/>
          <w:szCs w:val="24"/>
          <w:highlight w:val="none"/>
        </w:rPr>
      </w:pPr>
      <w:r>
        <w:rPr>
          <w:rFonts w:hint="eastAsia" w:ascii="宋体" w:hAnsi="宋体"/>
          <w:sz w:val="24"/>
          <w:szCs w:val="24"/>
          <w:highlight w:val="none"/>
        </w:rPr>
        <w:t>该模块主要对企业财务快报模板的报表格式、采集指标、采集规则、计算公式、校验公式等进行设计和修改。此模块功能由统一的数据采集系统提供。提供如下功能：</w:t>
      </w:r>
    </w:p>
    <w:p>
      <w:pPr>
        <w:pStyle w:val="21"/>
        <w:rPr>
          <w:rFonts w:ascii="宋体" w:hAnsi="宋体"/>
          <w:sz w:val="24"/>
          <w:szCs w:val="24"/>
          <w:highlight w:val="none"/>
        </w:rPr>
      </w:pPr>
      <w:r>
        <w:rPr>
          <w:rFonts w:hint="eastAsia" w:ascii="宋体" w:hAnsi="宋体"/>
          <w:sz w:val="24"/>
          <w:szCs w:val="24"/>
          <w:highlight w:val="none"/>
        </w:rPr>
        <w:t>1、 企业快报模板设计</w:t>
      </w:r>
    </w:p>
    <w:p>
      <w:pPr>
        <w:pStyle w:val="21"/>
        <w:rPr>
          <w:rFonts w:ascii="宋体" w:hAnsi="宋体"/>
          <w:sz w:val="24"/>
          <w:szCs w:val="24"/>
          <w:highlight w:val="none"/>
        </w:rPr>
      </w:pPr>
      <w:r>
        <w:rPr>
          <w:rFonts w:hint="eastAsia" w:ascii="宋体" w:hAnsi="宋体"/>
          <w:sz w:val="24"/>
          <w:szCs w:val="24"/>
          <w:highlight w:val="none"/>
        </w:rPr>
        <w:t>对提供企业财务快报的模板进行定制设计，该模块是提供对设计工具的开发，包括所见即所得的功能界面，通用工具箱的设计开发。</w:t>
      </w:r>
    </w:p>
    <w:p>
      <w:pPr>
        <w:pStyle w:val="21"/>
        <w:rPr>
          <w:rFonts w:ascii="宋体" w:hAnsi="宋体"/>
          <w:sz w:val="24"/>
          <w:szCs w:val="24"/>
          <w:highlight w:val="none"/>
        </w:rPr>
      </w:pPr>
      <w:r>
        <w:rPr>
          <w:rFonts w:hint="eastAsia" w:ascii="宋体" w:hAnsi="宋体"/>
          <w:sz w:val="24"/>
          <w:szCs w:val="24"/>
          <w:highlight w:val="none"/>
        </w:rPr>
        <w:t>（1）数据录入、导出</w:t>
      </w:r>
    </w:p>
    <w:p>
      <w:pPr>
        <w:pStyle w:val="21"/>
        <w:rPr>
          <w:rFonts w:ascii="宋体" w:hAnsi="宋体"/>
          <w:sz w:val="24"/>
          <w:szCs w:val="24"/>
          <w:highlight w:val="none"/>
        </w:rPr>
      </w:pPr>
      <w:r>
        <w:rPr>
          <w:rFonts w:hint="eastAsia" w:ascii="宋体" w:hAnsi="宋体"/>
          <w:sz w:val="24"/>
          <w:szCs w:val="24"/>
          <w:highlight w:val="none"/>
        </w:rPr>
        <w:t>通过系统的上传接口，企业可表格上传、批量上传的方式；也可以对文件进行批量导出和单个导出；</w:t>
      </w:r>
    </w:p>
    <w:p>
      <w:pPr>
        <w:pStyle w:val="21"/>
        <w:rPr>
          <w:rFonts w:ascii="宋体" w:hAnsi="宋体"/>
          <w:sz w:val="24"/>
          <w:szCs w:val="24"/>
          <w:highlight w:val="none"/>
        </w:rPr>
      </w:pPr>
      <w:r>
        <w:rPr>
          <w:rFonts w:hint="eastAsia" w:ascii="宋体" w:hAnsi="宋体"/>
          <w:sz w:val="24"/>
          <w:szCs w:val="24"/>
          <w:highlight w:val="none"/>
        </w:rPr>
        <w:t>企业可以在需要填报的企业财务快报报表中填写数据，填写后可以保存，系统可以通过预定义的规则进行自动校验；系统提供在线填报或离线填报方式可供选择；企业在填报快报报表的同时，还可以添加企业经营状况分析和重大事项说明等附报文档；对于没有按时填报的企业，系统可以自动催报提醒。</w:t>
      </w:r>
    </w:p>
    <w:p>
      <w:pPr>
        <w:pStyle w:val="21"/>
        <w:rPr>
          <w:rFonts w:ascii="宋体" w:hAnsi="宋体"/>
          <w:sz w:val="24"/>
          <w:szCs w:val="24"/>
          <w:highlight w:val="none"/>
        </w:rPr>
      </w:pPr>
      <w:r>
        <w:rPr>
          <w:rFonts w:hint="eastAsia" w:ascii="宋体" w:hAnsi="宋体"/>
          <w:sz w:val="24"/>
          <w:szCs w:val="24"/>
          <w:highlight w:val="none"/>
        </w:rPr>
        <w:t>（2）数据运算、汇总</w:t>
      </w:r>
    </w:p>
    <w:p>
      <w:pPr>
        <w:pStyle w:val="21"/>
        <w:rPr>
          <w:rFonts w:ascii="宋体" w:hAnsi="宋体"/>
          <w:sz w:val="24"/>
          <w:szCs w:val="24"/>
          <w:highlight w:val="none"/>
        </w:rPr>
      </w:pPr>
      <w:r>
        <w:rPr>
          <w:rFonts w:hint="eastAsia" w:ascii="宋体" w:hAnsi="宋体"/>
          <w:sz w:val="24"/>
          <w:szCs w:val="24"/>
          <w:highlight w:val="none"/>
        </w:rPr>
        <w:t>系统内集合了多种财务标准算法，通过基础数据的收集完善，系统对数据进行高速准确的运算，并汇总生成报表；</w:t>
      </w:r>
    </w:p>
    <w:p>
      <w:pPr>
        <w:pStyle w:val="21"/>
        <w:rPr>
          <w:rFonts w:ascii="宋体" w:hAnsi="宋体"/>
          <w:sz w:val="24"/>
          <w:szCs w:val="24"/>
          <w:highlight w:val="none"/>
        </w:rPr>
      </w:pPr>
      <w:r>
        <w:rPr>
          <w:rFonts w:hint="eastAsia" w:ascii="宋体" w:hAnsi="宋体"/>
          <w:sz w:val="24"/>
          <w:szCs w:val="24"/>
          <w:highlight w:val="none"/>
        </w:rPr>
        <w:t>（3）数据报送</w:t>
      </w:r>
    </w:p>
    <w:p>
      <w:pPr>
        <w:pStyle w:val="21"/>
        <w:rPr>
          <w:rFonts w:ascii="宋体" w:hAnsi="宋体"/>
          <w:sz w:val="24"/>
          <w:szCs w:val="24"/>
          <w:highlight w:val="none"/>
        </w:rPr>
      </w:pPr>
      <w:r>
        <w:rPr>
          <w:rFonts w:hint="eastAsia" w:ascii="宋体" w:hAnsi="宋体"/>
          <w:sz w:val="24"/>
          <w:szCs w:val="24"/>
          <w:highlight w:val="none"/>
        </w:rPr>
        <w:t>企业所属下级企业可以将填写完成的企业财务快报提交给企业，国有企业可以将填写完成的企业财务快报提交给市国资委，企业、国资委可以浏览、接收当期需要接收的上报报表；系统还可以自动统计报送情况，生成企业财务快报报送情况统计报告，以便于企业财务状况监督人员快速实时地掌握报送情况。</w:t>
      </w:r>
    </w:p>
    <w:p>
      <w:pPr>
        <w:pStyle w:val="21"/>
        <w:rPr>
          <w:rFonts w:ascii="宋体" w:hAnsi="宋体"/>
          <w:sz w:val="24"/>
          <w:szCs w:val="24"/>
          <w:highlight w:val="none"/>
        </w:rPr>
      </w:pPr>
      <w:r>
        <w:rPr>
          <w:rFonts w:hint="eastAsia" w:ascii="宋体" w:hAnsi="宋体"/>
          <w:sz w:val="24"/>
          <w:szCs w:val="24"/>
          <w:highlight w:val="none"/>
        </w:rPr>
        <w:t>该模块主要包含的功能有财务快报上报类型管理、快报上报周期管理、上报指标维护模块、快报上报节点管理。</w:t>
      </w:r>
    </w:p>
    <w:p>
      <w:pPr>
        <w:pStyle w:val="21"/>
        <w:rPr>
          <w:rFonts w:ascii="宋体" w:hAnsi="宋体"/>
          <w:sz w:val="24"/>
          <w:szCs w:val="24"/>
          <w:highlight w:val="none"/>
        </w:rPr>
      </w:pPr>
      <w:r>
        <w:rPr>
          <w:rFonts w:hint="eastAsia" w:ascii="宋体" w:hAnsi="宋体"/>
          <w:sz w:val="24"/>
          <w:szCs w:val="24"/>
          <w:highlight w:val="none"/>
        </w:rPr>
        <w:t>（4）查询分析及报告</w:t>
      </w:r>
    </w:p>
    <w:p>
      <w:pPr>
        <w:pStyle w:val="21"/>
        <w:rPr>
          <w:rFonts w:ascii="宋体" w:hAnsi="宋体"/>
          <w:sz w:val="24"/>
          <w:szCs w:val="24"/>
          <w:highlight w:val="none"/>
        </w:rPr>
      </w:pPr>
      <w:r>
        <w:rPr>
          <w:rFonts w:hint="eastAsia" w:ascii="宋体" w:hAnsi="宋体"/>
          <w:sz w:val="24"/>
          <w:szCs w:val="24"/>
          <w:highlight w:val="none"/>
        </w:rPr>
        <w:t>系统根据企业的特性支持多维度的查询，同时支持自动生PDF、DOC等多种报告格式，提供报告下载功能；</w:t>
      </w:r>
    </w:p>
    <w:p>
      <w:pPr>
        <w:pStyle w:val="21"/>
        <w:rPr>
          <w:rFonts w:ascii="宋体" w:hAnsi="宋体"/>
          <w:sz w:val="24"/>
          <w:szCs w:val="24"/>
          <w:highlight w:val="none"/>
        </w:rPr>
      </w:pPr>
      <w:r>
        <w:rPr>
          <w:rFonts w:hint="eastAsia" w:ascii="宋体" w:hAnsi="宋体"/>
          <w:sz w:val="24"/>
          <w:szCs w:val="24"/>
          <w:highlight w:val="none"/>
        </w:rPr>
        <w:t>（5）快报类别管理</w:t>
      </w:r>
    </w:p>
    <w:p>
      <w:pPr>
        <w:pStyle w:val="21"/>
        <w:rPr>
          <w:rFonts w:ascii="宋体" w:hAnsi="宋体"/>
          <w:sz w:val="24"/>
          <w:szCs w:val="24"/>
          <w:highlight w:val="none"/>
        </w:rPr>
      </w:pPr>
      <w:r>
        <w:rPr>
          <w:rFonts w:hint="eastAsia" w:ascii="宋体" w:hAnsi="宋体"/>
          <w:sz w:val="24"/>
          <w:szCs w:val="24"/>
          <w:highlight w:val="none"/>
        </w:rPr>
        <w:t>完成快报报表类别的管理，按照需要的类别层级对快报报表进行定义，关联快报对应的报表以及换算关系，为快报的分类提供指标依据。</w:t>
      </w:r>
    </w:p>
    <w:p>
      <w:pPr>
        <w:pStyle w:val="21"/>
        <w:rPr>
          <w:rFonts w:ascii="宋体" w:hAnsi="宋体"/>
          <w:sz w:val="24"/>
          <w:szCs w:val="24"/>
          <w:highlight w:val="none"/>
        </w:rPr>
      </w:pPr>
      <w:r>
        <w:rPr>
          <w:rFonts w:hint="eastAsia" w:ascii="宋体" w:hAnsi="宋体"/>
          <w:sz w:val="24"/>
          <w:szCs w:val="24"/>
          <w:highlight w:val="none"/>
        </w:rPr>
        <w:t>（6）快报关联管理</w:t>
      </w:r>
    </w:p>
    <w:p>
      <w:pPr>
        <w:pStyle w:val="21"/>
        <w:rPr>
          <w:rFonts w:ascii="宋体" w:hAnsi="宋体"/>
          <w:sz w:val="24"/>
          <w:szCs w:val="24"/>
          <w:highlight w:val="none"/>
        </w:rPr>
      </w:pPr>
      <w:r>
        <w:rPr>
          <w:rFonts w:hint="eastAsia" w:ascii="宋体" w:hAnsi="宋体"/>
          <w:sz w:val="24"/>
          <w:szCs w:val="24"/>
          <w:highlight w:val="none"/>
        </w:rPr>
        <w:t>对应设计完成各快报之间的关联关系，各报表数据项的对应需要进行指定，完成个数据项之间的通用计算关联关系。</w:t>
      </w:r>
    </w:p>
    <w:p>
      <w:pPr>
        <w:pStyle w:val="21"/>
        <w:rPr>
          <w:rFonts w:ascii="宋体" w:hAnsi="宋体"/>
          <w:sz w:val="24"/>
          <w:szCs w:val="24"/>
          <w:highlight w:val="none"/>
        </w:rPr>
      </w:pPr>
      <w:r>
        <w:rPr>
          <w:rFonts w:hint="eastAsia" w:ascii="宋体" w:hAnsi="宋体"/>
          <w:sz w:val="24"/>
          <w:szCs w:val="24"/>
          <w:highlight w:val="none"/>
        </w:rPr>
        <w:t>2、企业财务快报任务制定管理模块</w:t>
      </w:r>
    </w:p>
    <w:p>
      <w:pPr>
        <w:pStyle w:val="21"/>
        <w:rPr>
          <w:rFonts w:ascii="宋体" w:hAnsi="宋体"/>
          <w:sz w:val="24"/>
          <w:szCs w:val="24"/>
          <w:highlight w:val="none"/>
        </w:rPr>
      </w:pPr>
      <w:r>
        <w:rPr>
          <w:rFonts w:hint="eastAsia" w:ascii="宋体" w:hAnsi="宋体"/>
          <w:sz w:val="24"/>
          <w:szCs w:val="24"/>
          <w:highlight w:val="none"/>
        </w:rPr>
        <w:t>提供按期制定企业财务快报编制任务的功能。通过选取已设计好的企业财务快报模板的组合，确定本次编制任务使用哪些报表，设置数据填报的起止时间，不同行业的差异设置等，从而制定每月企业财务快报的编制任务。该功能模块主要包含如下功能：</w:t>
      </w:r>
    </w:p>
    <w:p>
      <w:pPr>
        <w:pStyle w:val="21"/>
        <w:rPr>
          <w:rFonts w:ascii="宋体" w:hAnsi="宋体"/>
          <w:sz w:val="24"/>
          <w:szCs w:val="24"/>
          <w:highlight w:val="none"/>
        </w:rPr>
      </w:pPr>
      <w:r>
        <w:rPr>
          <w:rFonts w:hint="eastAsia" w:ascii="宋体" w:hAnsi="宋体"/>
          <w:sz w:val="24"/>
          <w:szCs w:val="24"/>
          <w:highlight w:val="none"/>
        </w:rPr>
        <w:t>（1）快报任务类别管理：完成对快报任务的类别层级定义，可以定义多级别的快报任务类别，辅助快报任务的归类和统一管理。</w:t>
      </w:r>
    </w:p>
    <w:p>
      <w:pPr>
        <w:pStyle w:val="21"/>
        <w:rPr>
          <w:rFonts w:ascii="宋体" w:hAnsi="宋体"/>
          <w:sz w:val="24"/>
          <w:szCs w:val="24"/>
          <w:highlight w:val="none"/>
        </w:rPr>
      </w:pPr>
      <w:r>
        <w:rPr>
          <w:rFonts w:hint="eastAsia" w:ascii="宋体" w:hAnsi="宋体"/>
          <w:sz w:val="24"/>
          <w:szCs w:val="24"/>
          <w:highlight w:val="none"/>
        </w:rPr>
        <w:t>（2）快报任务模板设计：对快报任务模板的报表界面进行设计和开发，借助统一的设计工具完成对各自不同任务快报的模板定制，为任务的下发和上报提供基础。</w:t>
      </w:r>
    </w:p>
    <w:p>
      <w:pPr>
        <w:pStyle w:val="21"/>
        <w:rPr>
          <w:rFonts w:ascii="宋体" w:hAnsi="宋体"/>
          <w:sz w:val="24"/>
          <w:szCs w:val="24"/>
          <w:highlight w:val="none"/>
        </w:rPr>
      </w:pPr>
      <w:r>
        <w:rPr>
          <w:rFonts w:hint="eastAsia" w:ascii="宋体" w:hAnsi="宋体"/>
          <w:sz w:val="24"/>
          <w:szCs w:val="24"/>
          <w:highlight w:val="none"/>
        </w:rPr>
        <w:t>（3）快报任务指标管理：通过对快报任务指标的统一维护与管理来完成对制定的任务报表的规划和定制。</w:t>
      </w:r>
    </w:p>
    <w:p>
      <w:pPr>
        <w:pStyle w:val="21"/>
        <w:rPr>
          <w:rFonts w:ascii="宋体" w:hAnsi="宋体"/>
          <w:sz w:val="24"/>
          <w:szCs w:val="24"/>
          <w:highlight w:val="none"/>
        </w:rPr>
      </w:pPr>
      <w:r>
        <w:rPr>
          <w:rFonts w:hint="eastAsia" w:ascii="宋体" w:hAnsi="宋体"/>
          <w:sz w:val="24"/>
          <w:szCs w:val="24"/>
          <w:highlight w:val="none"/>
        </w:rPr>
        <w:t>（4）快报任务用户管理：统一制定规划使用快报任务模块的用户权限和角色。</w:t>
      </w:r>
    </w:p>
    <w:p>
      <w:pPr>
        <w:pStyle w:val="21"/>
        <w:rPr>
          <w:rFonts w:ascii="宋体" w:hAnsi="宋体"/>
          <w:sz w:val="24"/>
          <w:szCs w:val="24"/>
          <w:highlight w:val="none"/>
        </w:rPr>
      </w:pPr>
      <w:r>
        <w:rPr>
          <w:rFonts w:hint="eastAsia" w:ascii="宋体" w:hAnsi="宋体"/>
          <w:sz w:val="24"/>
          <w:szCs w:val="24"/>
          <w:highlight w:val="none"/>
        </w:rPr>
        <w:t>3、企业财务快报任务下发管理模块</w:t>
      </w:r>
    </w:p>
    <w:p>
      <w:pPr>
        <w:pStyle w:val="21"/>
        <w:rPr>
          <w:rFonts w:ascii="宋体" w:hAnsi="宋体"/>
          <w:sz w:val="24"/>
          <w:szCs w:val="24"/>
          <w:highlight w:val="none"/>
        </w:rPr>
      </w:pPr>
      <w:r>
        <w:rPr>
          <w:rFonts w:hint="eastAsia" w:ascii="宋体" w:hAnsi="宋体"/>
          <w:sz w:val="24"/>
          <w:szCs w:val="24"/>
          <w:highlight w:val="none"/>
        </w:rPr>
        <w:t>将企业财务快报编制任务分配到各级国有企业，系统自动提示企业当前需要填写的报表，实现任务的上下级贯通，确保任务信息能够及时被获取。国资委可以向企业下发财务快报编制任务，企业接收任务后可以向下级企业逐级下发；</w:t>
      </w:r>
    </w:p>
    <w:p>
      <w:pPr>
        <w:pStyle w:val="21"/>
        <w:rPr>
          <w:rFonts w:ascii="宋体" w:hAnsi="宋体"/>
          <w:sz w:val="24"/>
          <w:szCs w:val="24"/>
          <w:highlight w:val="none"/>
        </w:rPr>
      </w:pPr>
      <w:r>
        <w:rPr>
          <w:rFonts w:hint="eastAsia" w:ascii="宋体" w:hAnsi="宋体"/>
          <w:sz w:val="24"/>
          <w:szCs w:val="24"/>
          <w:highlight w:val="none"/>
        </w:rPr>
        <w:t>该功能模块主要包含的功能有任务下发角色管理、下发角色配置管理、快报下发机制管理、快报任务流程管理。</w:t>
      </w:r>
    </w:p>
    <w:p>
      <w:pPr>
        <w:pStyle w:val="21"/>
        <w:rPr>
          <w:rFonts w:ascii="宋体" w:hAnsi="宋体"/>
          <w:sz w:val="24"/>
          <w:szCs w:val="24"/>
          <w:highlight w:val="none"/>
        </w:rPr>
      </w:pPr>
      <w:r>
        <w:rPr>
          <w:rFonts w:hint="eastAsia" w:ascii="宋体" w:hAnsi="宋体"/>
          <w:sz w:val="24"/>
          <w:szCs w:val="24"/>
          <w:highlight w:val="none"/>
        </w:rPr>
        <w:t>4、企业财务快报录入管理模块</w:t>
      </w:r>
    </w:p>
    <w:p>
      <w:pPr>
        <w:pStyle w:val="21"/>
        <w:rPr>
          <w:rFonts w:ascii="宋体" w:hAnsi="宋体"/>
          <w:sz w:val="24"/>
          <w:szCs w:val="24"/>
          <w:highlight w:val="none"/>
        </w:rPr>
      </w:pPr>
      <w:r>
        <w:rPr>
          <w:rFonts w:hint="eastAsia" w:ascii="宋体" w:hAnsi="宋体"/>
          <w:sz w:val="24"/>
          <w:szCs w:val="24"/>
          <w:highlight w:val="none"/>
        </w:rPr>
        <w:t>企业可以在需要填报的企业财务快报报表中填写数据，填写后可以保存，系统可以通过预定义的规则进行自动校验；系统提供在线填报或离线填报方式可供选择；企业在填报快报报表的同时，还可以添加企业经营状况分析和重大事项说明等附报文档；对于没有按时填报的企业，系统可以自动催报提醒。</w:t>
      </w:r>
    </w:p>
    <w:p>
      <w:pPr>
        <w:pStyle w:val="21"/>
        <w:rPr>
          <w:rFonts w:ascii="宋体" w:hAnsi="宋体"/>
          <w:sz w:val="24"/>
          <w:szCs w:val="24"/>
          <w:highlight w:val="none"/>
        </w:rPr>
      </w:pPr>
      <w:r>
        <w:rPr>
          <w:rFonts w:hint="eastAsia" w:ascii="宋体" w:hAnsi="宋体"/>
          <w:sz w:val="24"/>
          <w:szCs w:val="24"/>
          <w:highlight w:val="none"/>
        </w:rPr>
        <w:t>该功能模块主要由数据采集系统功能复用提供，主要包含如下功能：财务快报离线填报模块、财务快报在线填报模块、财务快报联网填报模块、快报填报数据指标管理。</w:t>
      </w:r>
    </w:p>
    <w:p>
      <w:pPr>
        <w:pStyle w:val="21"/>
        <w:rPr>
          <w:rFonts w:ascii="宋体" w:hAnsi="宋体"/>
          <w:sz w:val="24"/>
          <w:szCs w:val="24"/>
          <w:highlight w:val="none"/>
        </w:rPr>
      </w:pPr>
      <w:r>
        <w:rPr>
          <w:rFonts w:hint="eastAsia" w:ascii="宋体" w:hAnsi="宋体"/>
          <w:sz w:val="24"/>
          <w:szCs w:val="24"/>
          <w:highlight w:val="none"/>
        </w:rPr>
        <w:t>5、企业财务快报数据审核管理模块</w:t>
      </w:r>
    </w:p>
    <w:p>
      <w:pPr>
        <w:pStyle w:val="21"/>
        <w:rPr>
          <w:rFonts w:ascii="宋体" w:hAnsi="宋体"/>
          <w:sz w:val="24"/>
          <w:szCs w:val="24"/>
          <w:highlight w:val="none"/>
        </w:rPr>
      </w:pPr>
      <w:r>
        <w:rPr>
          <w:rFonts w:hint="eastAsia" w:ascii="宋体" w:hAnsi="宋体"/>
          <w:sz w:val="24"/>
          <w:szCs w:val="24"/>
          <w:highlight w:val="none"/>
        </w:rPr>
        <w:t>审核上报的企业财务快报数据。系统可以根据预定义公式自动审核，还提供在人工审核后填写审核意见的功能，对于审核不通过的财务快报可以返回企业重新填报。主要包含如下功能：</w:t>
      </w:r>
    </w:p>
    <w:p>
      <w:pPr>
        <w:pStyle w:val="21"/>
        <w:rPr>
          <w:rFonts w:ascii="宋体" w:hAnsi="宋体"/>
          <w:sz w:val="24"/>
          <w:szCs w:val="24"/>
          <w:highlight w:val="none"/>
        </w:rPr>
      </w:pPr>
      <w:r>
        <w:rPr>
          <w:rFonts w:hint="eastAsia" w:ascii="宋体" w:hAnsi="宋体"/>
          <w:sz w:val="24"/>
          <w:szCs w:val="24"/>
          <w:highlight w:val="none"/>
        </w:rPr>
        <w:t>（1）快报数据审核周期管理：对数据审核的周期进行管理和维护，按照进行定义的周期来定期审核企业财务快报数据。</w:t>
      </w:r>
    </w:p>
    <w:p>
      <w:pPr>
        <w:pStyle w:val="21"/>
        <w:rPr>
          <w:rFonts w:ascii="宋体" w:hAnsi="宋体"/>
          <w:sz w:val="24"/>
          <w:szCs w:val="24"/>
          <w:highlight w:val="none"/>
        </w:rPr>
      </w:pPr>
      <w:r>
        <w:rPr>
          <w:rFonts w:hint="eastAsia" w:ascii="宋体" w:hAnsi="宋体"/>
          <w:sz w:val="24"/>
          <w:szCs w:val="24"/>
          <w:highlight w:val="none"/>
        </w:rPr>
        <w:t>（2）快报审核权限管理：对快报审核用户的权限进行规划和定义，对于不同的人员有不同的访问、审核、控制权限来对快报数据进行审核，按照快报审核流程中的顺序完成整个审核的过程。</w:t>
      </w:r>
    </w:p>
    <w:p>
      <w:pPr>
        <w:pStyle w:val="21"/>
        <w:rPr>
          <w:rFonts w:ascii="宋体" w:hAnsi="宋体"/>
          <w:sz w:val="24"/>
          <w:szCs w:val="24"/>
          <w:highlight w:val="none"/>
        </w:rPr>
      </w:pPr>
      <w:r>
        <w:rPr>
          <w:rFonts w:hint="eastAsia" w:ascii="宋体" w:hAnsi="宋体"/>
          <w:sz w:val="24"/>
          <w:szCs w:val="24"/>
          <w:highlight w:val="none"/>
        </w:rPr>
        <w:t>（3）快报审核流程管理：对于不同类别的快报数据定义相适应的审核流程，审核流程可以是单独针对一类快报，也可以是针对一组报表，并且在流程的控制中可以有多个节点的多条件流程判断，做到完全满足各种快报审核流程的差异性。</w:t>
      </w:r>
    </w:p>
    <w:p>
      <w:pPr>
        <w:pStyle w:val="21"/>
        <w:rPr>
          <w:rFonts w:ascii="宋体" w:hAnsi="宋体"/>
          <w:sz w:val="24"/>
          <w:szCs w:val="24"/>
          <w:highlight w:val="none"/>
        </w:rPr>
      </w:pPr>
      <w:r>
        <w:rPr>
          <w:rFonts w:hint="eastAsia" w:ascii="宋体" w:hAnsi="宋体"/>
          <w:sz w:val="24"/>
          <w:szCs w:val="24"/>
          <w:highlight w:val="none"/>
        </w:rPr>
        <w:t>（4）审核快报项管理维护模块：对快报审核过程中单独的审核项进行管理，可以把快报审核数据与审核结果数据分解存储，将来进行定制类开发能够方便的利用其资源。</w:t>
      </w:r>
    </w:p>
    <w:p>
      <w:pPr>
        <w:pStyle w:val="21"/>
        <w:rPr>
          <w:rFonts w:ascii="宋体" w:hAnsi="宋体"/>
          <w:sz w:val="24"/>
          <w:szCs w:val="24"/>
          <w:highlight w:val="none"/>
        </w:rPr>
      </w:pPr>
      <w:r>
        <w:rPr>
          <w:rFonts w:hint="eastAsia" w:ascii="宋体" w:hAnsi="宋体"/>
          <w:sz w:val="24"/>
          <w:szCs w:val="24"/>
          <w:highlight w:val="none"/>
        </w:rPr>
        <w:t>6、企业财务快报数据汇总管理模块</w:t>
      </w:r>
    </w:p>
    <w:p>
      <w:pPr>
        <w:pStyle w:val="21"/>
        <w:rPr>
          <w:rFonts w:ascii="宋体" w:hAnsi="宋体"/>
          <w:sz w:val="24"/>
          <w:szCs w:val="24"/>
          <w:highlight w:val="none"/>
        </w:rPr>
      </w:pPr>
      <w:r>
        <w:rPr>
          <w:rFonts w:hint="eastAsia" w:ascii="宋体" w:hAnsi="宋体"/>
          <w:sz w:val="24"/>
          <w:szCs w:val="24"/>
          <w:highlight w:val="none"/>
        </w:rPr>
        <w:t>可以对企业财务快报数据进行分表式、分级次、分企业、分行业、分时间的汇总，也可以按照用户设定的条件汇总，可追溯查询汇总数据的来源。具体包括如下功能：</w:t>
      </w:r>
    </w:p>
    <w:p>
      <w:pPr>
        <w:pStyle w:val="21"/>
        <w:rPr>
          <w:rFonts w:ascii="宋体" w:hAnsi="宋体"/>
          <w:sz w:val="24"/>
          <w:szCs w:val="24"/>
          <w:highlight w:val="none"/>
        </w:rPr>
      </w:pPr>
      <w:r>
        <w:rPr>
          <w:rFonts w:hint="eastAsia" w:ascii="宋体" w:hAnsi="宋体"/>
          <w:sz w:val="24"/>
          <w:szCs w:val="24"/>
          <w:highlight w:val="none"/>
        </w:rPr>
        <w:t>（1）汇总快报数据类别管理：首先对于汇总的快报数据进行类别管理，方便对数据进行汇总时可以归类和提取使用。其中包含类别的增删改查，相关维护的类别属性有名称、关联项、说明等字段。</w:t>
      </w:r>
    </w:p>
    <w:p>
      <w:pPr>
        <w:pStyle w:val="21"/>
        <w:rPr>
          <w:rFonts w:ascii="宋体" w:hAnsi="宋体"/>
          <w:sz w:val="24"/>
          <w:szCs w:val="24"/>
          <w:highlight w:val="none"/>
        </w:rPr>
      </w:pPr>
      <w:r>
        <w:rPr>
          <w:rFonts w:hint="eastAsia" w:ascii="宋体" w:hAnsi="宋体"/>
          <w:sz w:val="24"/>
          <w:szCs w:val="24"/>
          <w:highlight w:val="none"/>
        </w:rPr>
        <w:t>（2）快报数据抽取管理：根据快报数据的分类完成快报的数据抽取，抽取需要制定源快报数据地址、目的快报数据地址，抽取方式定义等项，把不同的快报数据项抽取汇总到一张中间表中，然后利用汇总定义的公式来完成数据项的自动计算和汇总功能。</w:t>
      </w:r>
    </w:p>
    <w:p>
      <w:pPr>
        <w:pStyle w:val="21"/>
        <w:rPr>
          <w:rFonts w:ascii="宋体" w:hAnsi="宋体"/>
          <w:sz w:val="24"/>
          <w:szCs w:val="24"/>
          <w:highlight w:val="none"/>
        </w:rPr>
      </w:pPr>
      <w:r>
        <w:rPr>
          <w:rFonts w:hint="eastAsia" w:ascii="宋体" w:hAnsi="宋体"/>
          <w:sz w:val="24"/>
          <w:szCs w:val="24"/>
          <w:highlight w:val="none"/>
        </w:rPr>
        <w:t>（3）快报数据中间表维护管理：在数据抽取过程中，需要对快报数据临时指定和定义中间表记录，方便最终的统计汇总，这就需要对中间表进行维护管理，把不同分类的中间表汇总统一管理需要使用时进行关联定义。</w:t>
      </w:r>
    </w:p>
    <w:p>
      <w:pPr>
        <w:pStyle w:val="21"/>
        <w:rPr>
          <w:rFonts w:ascii="宋体" w:hAnsi="宋体"/>
          <w:sz w:val="24"/>
          <w:szCs w:val="24"/>
          <w:highlight w:val="none"/>
        </w:rPr>
      </w:pPr>
      <w:r>
        <w:rPr>
          <w:rFonts w:hint="eastAsia" w:ascii="宋体" w:hAnsi="宋体"/>
          <w:sz w:val="24"/>
          <w:szCs w:val="24"/>
          <w:highlight w:val="none"/>
        </w:rPr>
        <w:t>（4）快报数据汇总公式管理：对于汇总的快报数据需要定义模型和方法，该功能主要是对于模型和的方法的公式进行统一分类管理，分别定义不同的计算公式，方便汇总快报数据时使用。</w:t>
      </w:r>
    </w:p>
    <w:p>
      <w:pPr>
        <w:pStyle w:val="21"/>
        <w:rPr>
          <w:rFonts w:ascii="宋体" w:hAnsi="宋体"/>
          <w:sz w:val="24"/>
          <w:szCs w:val="24"/>
          <w:highlight w:val="none"/>
        </w:rPr>
      </w:pPr>
      <w:r>
        <w:rPr>
          <w:rFonts w:hint="eastAsia" w:ascii="宋体" w:hAnsi="宋体"/>
          <w:sz w:val="24"/>
          <w:szCs w:val="24"/>
          <w:highlight w:val="none"/>
        </w:rPr>
        <w:t>7. 企业财务快报数据查询管理模块</w:t>
      </w:r>
    </w:p>
    <w:p>
      <w:pPr>
        <w:pStyle w:val="21"/>
        <w:rPr>
          <w:rFonts w:hint="eastAsia" w:ascii="宋体" w:hAnsi="宋体" w:eastAsiaTheme="minorEastAsia"/>
          <w:sz w:val="24"/>
          <w:szCs w:val="24"/>
          <w:highlight w:val="none"/>
        </w:rPr>
      </w:pPr>
      <w:r>
        <w:rPr>
          <w:rFonts w:hint="eastAsia" w:ascii="宋体" w:hAnsi="宋体"/>
          <w:sz w:val="24"/>
          <w:szCs w:val="24"/>
          <w:highlight w:val="none"/>
        </w:rPr>
        <w:t>提供对企业财务快报数据的简单条件查询、复杂组合查询、自定义查询、基于查询结果集的二次查询等功能。可以选取企业代码、集团总部代码、所在地区、所属行业、经营规模、组织形式、填报年月等字段查询各期企业财务快报数据，通过关键字段对财务快报进行检索，能够准确、快速地定位需要查找的内容，有效提高工作效率；还可以根据报表类型分别查询分户数据和合并数据。</w:t>
      </w:r>
    </w:p>
    <w:p>
      <w:pPr>
        <w:pStyle w:val="21"/>
        <w:rPr>
          <w:rFonts w:ascii="宋体" w:hAnsi="宋体" w:eastAsiaTheme="minorEastAsia"/>
          <w:sz w:val="24"/>
          <w:szCs w:val="24"/>
          <w:highlight w:val="none"/>
        </w:rPr>
      </w:pPr>
      <w:r>
        <w:rPr>
          <w:rFonts w:hint="eastAsia" w:ascii="宋体" w:hAnsi="宋体" w:cs="宋体" w:eastAsiaTheme="minorEastAsia"/>
          <w:sz w:val="24"/>
          <w:szCs w:val="24"/>
          <w:highlight w:val="none"/>
        </w:rPr>
        <w:t>（二）资产情况</w:t>
      </w:r>
    </w:p>
    <w:p>
      <w:pPr>
        <w:pStyle w:val="21"/>
        <w:rPr>
          <w:rFonts w:ascii="宋体" w:hAnsi="宋体" w:eastAsiaTheme="minorEastAsia"/>
          <w:sz w:val="24"/>
          <w:szCs w:val="24"/>
          <w:highlight w:val="none"/>
        </w:rPr>
      </w:pPr>
      <w:r>
        <w:rPr>
          <w:rFonts w:hint="eastAsia" w:ascii="宋体" w:hAnsi="宋体" w:cs="宋体" w:eastAsiaTheme="minorEastAsia"/>
          <w:sz w:val="24"/>
          <w:szCs w:val="24"/>
          <w:highlight w:val="none"/>
        </w:rPr>
        <w:t>可对监管企业的固定资产与无形资产存量情况、土地情况、房屋情况、在建工程情况、资产出借情况进行在线数据管理，不同的资产可按照资产状态、资产分类情况进行管理。</w:t>
      </w:r>
    </w:p>
    <w:p>
      <w:pPr>
        <w:pStyle w:val="21"/>
        <w:rPr>
          <w:rFonts w:ascii="宋体" w:hAnsi="宋体" w:eastAsiaTheme="minorEastAsia"/>
          <w:sz w:val="24"/>
          <w:szCs w:val="24"/>
          <w:highlight w:val="none"/>
        </w:rPr>
      </w:pPr>
      <w:r>
        <w:rPr>
          <w:rFonts w:hint="eastAsia" w:ascii="宋体" w:hAnsi="宋体" w:cs="宋体" w:eastAsiaTheme="minorEastAsia"/>
          <w:sz w:val="24"/>
          <w:szCs w:val="24"/>
          <w:highlight w:val="none"/>
        </w:rPr>
        <w:t>（三）国资监管专项情况</w:t>
      </w:r>
    </w:p>
    <w:p>
      <w:pPr>
        <w:pStyle w:val="21"/>
        <w:rPr>
          <w:rFonts w:ascii="宋体" w:hAnsi="宋体" w:eastAsiaTheme="minorEastAsia"/>
          <w:sz w:val="24"/>
          <w:szCs w:val="24"/>
          <w:highlight w:val="none"/>
        </w:rPr>
      </w:pPr>
      <w:r>
        <w:rPr>
          <w:rFonts w:hint="eastAsia" w:ascii="宋体" w:hAnsi="宋体" w:cs="宋体" w:eastAsiaTheme="minorEastAsia"/>
          <w:sz w:val="24"/>
          <w:szCs w:val="24"/>
          <w:highlight w:val="none"/>
        </w:rPr>
        <w:t>可对监管企业的资产负债、利润、企业股权、对外投资、提供抵押担保等情况进行专项数据管理，为国资监管业务过程提供关键数据支撑。</w:t>
      </w:r>
    </w:p>
    <w:bookmarkEnd w:id="103"/>
    <w:p>
      <w:pPr>
        <w:pStyle w:val="5"/>
        <w:widowControl w:val="0"/>
        <w:numPr>
          <w:ilvl w:val="2"/>
          <w:numId w:val="3"/>
        </w:numPr>
        <w:tabs>
          <w:tab w:val="left" w:pos="560"/>
        </w:tabs>
        <w:kinsoku/>
        <w:autoSpaceDE/>
        <w:autoSpaceDN/>
        <w:adjustRightInd/>
        <w:snapToGrid/>
        <w:spacing w:before="240" w:after="120" w:line="360" w:lineRule="auto"/>
        <w:ind w:left="420" w:leftChars="0"/>
        <w:jc w:val="both"/>
        <w:textAlignment w:val="auto"/>
        <w:rPr>
          <w:rFonts w:hint="eastAsia" w:ascii="宋体" w:hAnsi="宋体" w:eastAsia="宋体"/>
          <w:szCs w:val="16"/>
          <w:highlight w:val="none"/>
        </w:rPr>
      </w:pPr>
      <w:bookmarkStart w:id="104" w:name="_Toc9185"/>
      <w:bookmarkStart w:id="105" w:name="_Hlk80087557"/>
      <w:r>
        <w:rPr>
          <w:rFonts w:hint="eastAsia" w:ascii="宋体" w:hAnsi="宋体" w:eastAsia="宋体"/>
          <w:szCs w:val="16"/>
          <w:highlight w:val="none"/>
        </w:rPr>
        <w:t>投资布局</w:t>
      </w:r>
    </w:p>
    <w:p>
      <w:pPr>
        <w:pStyle w:val="21"/>
        <w:rPr>
          <w:rFonts w:hint="eastAsia" w:ascii="宋体" w:hAnsi="宋体" w:eastAsia="宋体"/>
          <w:sz w:val="24"/>
          <w:szCs w:val="16"/>
          <w:highlight w:val="none"/>
        </w:rPr>
      </w:pPr>
      <w:r>
        <w:rPr>
          <w:rFonts w:hint="eastAsia" w:ascii="宋体" w:hAnsi="宋体"/>
          <w:sz w:val="24"/>
          <w:szCs w:val="24"/>
          <w:highlight w:val="none"/>
        </w:rPr>
        <w:t>实现对监管企业的投资布局情况管理，从年度投资计划、月度完成情况等方面进行业务数据管理与分析，实现对监管企业所有投资项目综合情况的统一管理和业务监管。主要功能包括年度投资计划、月度完成情况、投资分析、综合查询与统计等。</w:t>
      </w:r>
    </w:p>
    <w:p>
      <w:pPr>
        <w:pStyle w:val="5"/>
        <w:keepNext/>
        <w:keepLines/>
        <w:pageBreakBefore w:val="0"/>
        <w:widowControl w:val="0"/>
        <w:numPr>
          <w:ilvl w:val="2"/>
          <w:numId w:val="3"/>
        </w:numPr>
        <w:tabs>
          <w:tab w:val="left" w:pos="560"/>
        </w:tabs>
        <w:kinsoku/>
        <w:wordWrap/>
        <w:overflowPunct/>
        <w:topLinePunct w:val="0"/>
        <w:autoSpaceDE/>
        <w:autoSpaceDN/>
        <w:bidi w:val="0"/>
        <w:adjustRightInd/>
        <w:snapToGrid/>
        <w:spacing w:before="240" w:after="120" w:line="240" w:lineRule="auto"/>
        <w:ind w:left="420" w:leftChars="0" w:hanging="709"/>
        <w:jc w:val="both"/>
        <w:textAlignment w:val="auto"/>
        <w:rPr>
          <w:rFonts w:hint="eastAsia" w:ascii="宋体" w:hAnsi="宋体" w:eastAsia="宋体" w:cs="Times New Roman"/>
          <w:szCs w:val="16"/>
          <w:highlight w:val="none"/>
        </w:rPr>
      </w:pPr>
      <w:r>
        <w:rPr>
          <w:rFonts w:hint="eastAsia" w:ascii="宋体" w:hAnsi="宋体" w:eastAsia="宋体" w:cs="Times New Roman"/>
          <w:szCs w:val="16"/>
          <w:highlight w:val="none"/>
        </w:rPr>
        <w:t>科技创新</w:t>
      </w:r>
    </w:p>
    <w:p>
      <w:pPr>
        <w:pStyle w:val="21"/>
        <w:rPr>
          <w:rFonts w:hint="eastAsia" w:ascii="宋体" w:hAnsi="宋体"/>
          <w:sz w:val="24"/>
          <w:szCs w:val="24"/>
          <w:highlight w:val="none"/>
        </w:rPr>
      </w:pPr>
      <w:r>
        <w:rPr>
          <w:rFonts w:hint="eastAsia" w:ascii="宋体" w:hAnsi="宋体"/>
          <w:sz w:val="24"/>
          <w:szCs w:val="24"/>
          <w:highlight w:val="none"/>
        </w:rPr>
        <w:t>科技创新实现监管企业科技创新情况的管理，包括高新技术企业情况、安全环保情况、创新成果情况等。系统设计应符合陕西省国资委下发的监管指标要求。企业创新的基本情况包括科技活动经费支出、科技人才数量、申请专利数量(项)</w:t>
      </w:r>
      <w:r>
        <w:rPr>
          <w:rFonts w:hint="eastAsia" w:ascii="宋体" w:hAnsi="宋体" w:eastAsia="宋体"/>
          <w:sz w:val="24"/>
          <w:szCs w:val="24"/>
          <w:highlight w:val="none"/>
          <w:lang w:eastAsia="zh-CN"/>
        </w:rPr>
        <w:t>、</w:t>
      </w:r>
      <w:r>
        <w:rPr>
          <w:rFonts w:hint="eastAsia" w:ascii="宋体" w:hAnsi="宋体"/>
          <w:sz w:val="24"/>
          <w:szCs w:val="24"/>
          <w:highlight w:val="none"/>
        </w:rPr>
        <w:t>取得发明专利数量、取得实用新型专利数量等。高新技术企业登记情况包括资产总额、净资产、营业收入、净利润、科技活动经费支出、研发投入费用等。安全环保信息包括事故发生时间、事故发生地点、受伤人数、事故类型、事故原因、事故概况、直接经济损失等。</w:t>
      </w:r>
    </w:p>
    <w:p>
      <w:pPr>
        <w:pStyle w:val="5"/>
        <w:keepNext/>
        <w:keepLines/>
        <w:pageBreakBefore w:val="0"/>
        <w:widowControl w:val="0"/>
        <w:numPr>
          <w:ilvl w:val="2"/>
          <w:numId w:val="3"/>
        </w:numPr>
        <w:tabs>
          <w:tab w:val="left" w:pos="560"/>
        </w:tabs>
        <w:kinsoku/>
        <w:wordWrap/>
        <w:overflowPunct/>
        <w:topLinePunct w:val="0"/>
        <w:autoSpaceDE/>
        <w:autoSpaceDN/>
        <w:bidi w:val="0"/>
        <w:adjustRightInd/>
        <w:snapToGrid/>
        <w:spacing w:before="240" w:after="120" w:line="240" w:lineRule="auto"/>
        <w:ind w:left="420" w:leftChars="0" w:hanging="709"/>
        <w:jc w:val="both"/>
        <w:textAlignment w:val="auto"/>
        <w:rPr>
          <w:rFonts w:hint="eastAsia" w:ascii="宋体" w:hAnsi="宋体" w:eastAsia="宋体"/>
          <w:szCs w:val="16"/>
          <w:highlight w:val="none"/>
        </w:rPr>
      </w:pPr>
      <w:r>
        <w:rPr>
          <w:rFonts w:hint="eastAsia" w:ascii="宋体" w:hAnsi="宋体" w:eastAsia="宋体"/>
          <w:szCs w:val="16"/>
          <w:highlight w:val="none"/>
        </w:rPr>
        <w:t>公司治理</w:t>
      </w:r>
    </w:p>
    <w:p>
      <w:pPr>
        <w:pStyle w:val="21"/>
        <w:rPr>
          <w:rFonts w:hint="eastAsia" w:ascii="宋体" w:hAnsi="宋体"/>
          <w:sz w:val="24"/>
          <w:szCs w:val="24"/>
          <w:highlight w:val="none"/>
        </w:rPr>
      </w:pPr>
      <w:r>
        <w:rPr>
          <w:rFonts w:hint="eastAsia" w:ascii="宋体" w:hAnsi="宋体"/>
          <w:sz w:val="24"/>
          <w:szCs w:val="24"/>
          <w:highlight w:val="none"/>
        </w:rPr>
        <w:t>实现监管企业董事会设立情况、监事会设立情况的数据管理，包括一级、二级企业董事会设立情况，一级、二级企业监事会设立情况。</w:t>
      </w:r>
    </w:p>
    <w:p>
      <w:pPr>
        <w:pStyle w:val="5"/>
        <w:keepNext/>
        <w:keepLines/>
        <w:pageBreakBefore w:val="0"/>
        <w:widowControl w:val="0"/>
        <w:numPr>
          <w:ilvl w:val="2"/>
          <w:numId w:val="3"/>
        </w:numPr>
        <w:tabs>
          <w:tab w:val="left" w:pos="560"/>
        </w:tabs>
        <w:kinsoku/>
        <w:wordWrap/>
        <w:overflowPunct/>
        <w:topLinePunct w:val="0"/>
        <w:autoSpaceDE/>
        <w:autoSpaceDN/>
        <w:bidi w:val="0"/>
        <w:adjustRightInd/>
        <w:snapToGrid/>
        <w:spacing w:before="240" w:after="120" w:line="240" w:lineRule="auto"/>
        <w:ind w:left="420" w:leftChars="0" w:hanging="709"/>
        <w:jc w:val="both"/>
        <w:textAlignment w:val="auto"/>
        <w:rPr>
          <w:rFonts w:hint="eastAsia" w:ascii="宋体" w:hAnsi="宋体" w:eastAsia="宋体"/>
          <w:szCs w:val="16"/>
          <w:highlight w:val="none"/>
        </w:rPr>
      </w:pPr>
      <w:r>
        <w:rPr>
          <w:rFonts w:hint="eastAsia" w:ascii="宋体" w:hAnsi="宋体" w:eastAsia="宋体"/>
          <w:szCs w:val="16"/>
          <w:highlight w:val="none"/>
        </w:rPr>
        <w:t>企干管理</w:t>
      </w:r>
    </w:p>
    <w:p>
      <w:pPr>
        <w:pStyle w:val="21"/>
        <w:rPr>
          <w:rFonts w:hint="eastAsia" w:ascii="宋体" w:hAnsi="宋体" w:eastAsia="宋体"/>
          <w:sz w:val="24"/>
          <w:szCs w:val="24"/>
          <w:highlight w:val="none"/>
        </w:rPr>
      </w:pPr>
      <w:r>
        <w:rPr>
          <w:rFonts w:hint="eastAsia" w:ascii="宋体" w:hAnsi="宋体"/>
          <w:sz w:val="24"/>
          <w:szCs w:val="24"/>
          <w:highlight w:val="none"/>
        </w:rPr>
        <w:t>实现监管企业用工情况的数据管理，包括学历、年龄、薪酬水平、用工形式等多类汇总数据。系统设计应符合陕西省国资委下发的监管指标要求。</w:t>
      </w:r>
    </w:p>
    <w:p>
      <w:pPr>
        <w:pStyle w:val="5"/>
        <w:keepNext/>
        <w:keepLines/>
        <w:pageBreakBefore w:val="0"/>
        <w:widowControl w:val="0"/>
        <w:numPr>
          <w:ilvl w:val="2"/>
          <w:numId w:val="3"/>
        </w:numPr>
        <w:tabs>
          <w:tab w:val="left" w:pos="560"/>
        </w:tabs>
        <w:kinsoku/>
        <w:wordWrap/>
        <w:overflowPunct/>
        <w:topLinePunct w:val="0"/>
        <w:autoSpaceDE/>
        <w:autoSpaceDN/>
        <w:bidi w:val="0"/>
        <w:adjustRightInd/>
        <w:snapToGrid/>
        <w:spacing w:before="240" w:after="120" w:line="240" w:lineRule="auto"/>
        <w:ind w:left="420" w:leftChars="0" w:hanging="709"/>
        <w:jc w:val="both"/>
        <w:textAlignment w:val="auto"/>
        <w:rPr>
          <w:rFonts w:hint="eastAsia" w:ascii="宋体" w:hAnsi="宋体" w:eastAsia="宋体"/>
          <w:szCs w:val="16"/>
          <w:highlight w:val="none"/>
        </w:rPr>
      </w:pPr>
      <w:r>
        <w:rPr>
          <w:rFonts w:hint="eastAsia" w:ascii="宋体" w:hAnsi="宋体" w:eastAsia="宋体"/>
          <w:szCs w:val="16"/>
          <w:highlight w:val="none"/>
        </w:rPr>
        <w:t>人事管理</w:t>
      </w:r>
    </w:p>
    <w:p>
      <w:pPr>
        <w:pStyle w:val="21"/>
        <w:rPr>
          <w:rFonts w:hint="eastAsia" w:ascii="宋体" w:hAnsi="宋体"/>
          <w:sz w:val="24"/>
          <w:szCs w:val="24"/>
          <w:highlight w:val="none"/>
        </w:rPr>
      </w:pPr>
      <w:r>
        <w:rPr>
          <w:rFonts w:hint="eastAsia" w:ascii="宋体" w:hAnsi="宋体"/>
          <w:sz w:val="24"/>
          <w:szCs w:val="24"/>
          <w:highlight w:val="none"/>
        </w:rPr>
        <w:t>实现监管企业人员情况、人工成本情况的数据管理。企业人员基本信息包括合同制职工、劳务派遣人员、事业身份人员、其他人员等分布情况，企业人工成本统计信息包括基本工资、绩效工资、工资性津贴和补贴、其他工资等统计情况。系统设计应符合陕西省国资委下发的监管指标要求。</w:t>
      </w:r>
    </w:p>
    <w:p>
      <w:pPr>
        <w:pStyle w:val="21"/>
        <w:rPr>
          <w:rFonts w:hint="eastAsia" w:ascii="宋体" w:hAnsi="宋体"/>
          <w:sz w:val="24"/>
          <w:szCs w:val="24"/>
          <w:highlight w:val="none"/>
        </w:rPr>
      </w:pPr>
      <w:r>
        <w:rPr>
          <w:rFonts w:hint="eastAsia" w:ascii="宋体" w:hAnsi="宋体"/>
          <w:sz w:val="24"/>
          <w:szCs w:val="24"/>
          <w:highlight w:val="none"/>
        </w:rPr>
        <w:t>人事管理实现对国有企业领导人员管理、领导人绩效与薪酬管理、企业工资总额管理。</w:t>
      </w:r>
    </w:p>
    <w:p>
      <w:pPr>
        <w:pStyle w:val="21"/>
        <w:rPr>
          <w:rFonts w:hint="eastAsia" w:ascii="宋体" w:hAnsi="宋体"/>
          <w:sz w:val="24"/>
          <w:szCs w:val="24"/>
          <w:highlight w:val="none"/>
        </w:rPr>
      </w:pPr>
      <w:r>
        <w:rPr>
          <w:rFonts w:hint="eastAsia" w:ascii="宋体" w:hAnsi="宋体"/>
          <w:sz w:val="24"/>
          <w:szCs w:val="24"/>
          <w:highlight w:val="none"/>
        </w:rPr>
        <w:t>企业人事管理主要包括人员信息管理、干部任免管理、考核评价管理、薪酬及履职待遇管理、中长期激励管理、工资总额管理、出国（境）管理、退役军人安置管理、劳动用工和就业管理、拖欠农民工工资管理、专项审计信息管理等业务。</w:t>
      </w:r>
    </w:p>
    <w:p>
      <w:pPr>
        <w:pStyle w:val="21"/>
        <w:rPr>
          <w:rFonts w:hint="eastAsia" w:ascii="宋体" w:hAnsi="宋体"/>
          <w:sz w:val="24"/>
          <w:szCs w:val="24"/>
          <w:highlight w:val="none"/>
        </w:rPr>
      </w:pPr>
      <w:r>
        <w:rPr>
          <w:rFonts w:hint="eastAsia" w:ascii="宋体" w:hAnsi="宋体"/>
          <w:sz w:val="24"/>
          <w:szCs w:val="24"/>
          <w:highlight w:val="none"/>
        </w:rPr>
        <w:t>（一）人员信息管理</w:t>
      </w:r>
    </w:p>
    <w:p>
      <w:pPr>
        <w:pStyle w:val="21"/>
        <w:rPr>
          <w:rFonts w:hint="eastAsia" w:ascii="宋体" w:hAnsi="宋体"/>
          <w:sz w:val="24"/>
          <w:szCs w:val="24"/>
          <w:highlight w:val="none"/>
        </w:rPr>
      </w:pPr>
      <w:r>
        <w:rPr>
          <w:rFonts w:hint="eastAsia" w:ascii="宋体" w:hAnsi="宋体"/>
          <w:sz w:val="24"/>
          <w:szCs w:val="24"/>
          <w:highlight w:val="none"/>
        </w:rPr>
        <w:t>实现企干处对出资人代表、经营管理人员、党务人员、专业技术人员等人员信息进行维护管理，提供人员基础信息的维护功能；提供与主数据管理系统的数据同步功能；提供对人才信息库的多维度的统计分析功能，包括学历结构、年龄结构等维度。</w:t>
      </w:r>
    </w:p>
    <w:p>
      <w:pPr>
        <w:pStyle w:val="21"/>
        <w:rPr>
          <w:rFonts w:hint="eastAsia" w:ascii="宋体" w:hAnsi="宋体"/>
          <w:sz w:val="24"/>
          <w:szCs w:val="24"/>
          <w:highlight w:val="none"/>
        </w:rPr>
      </w:pPr>
      <w:r>
        <w:rPr>
          <w:rFonts w:hint="eastAsia" w:ascii="宋体" w:hAnsi="宋体"/>
          <w:sz w:val="24"/>
          <w:szCs w:val="24"/>
          <w:highlight w:val="none"/>
        </w:rPr>
        <w:t>（二）干部任免管理</w:t>
      </w:r>
    </w:p>
    <w:p>
      <w:pPr>
        <w:pStyle w:val="21"/>
        <w:rPr>
          <w:rFonts w:hint="eastAsia" w:ascii="宋体" w:hAnsi="宋体"/>
          <w:sz w:val="24"/>
          <w:szCs w:val="24"/>
          <w:highlight w:val="none"/>
        </w:rPr>
      </w:pPr>
      <w:r>
        <w:rPr>
          <w:rFonts w:hint="eastAsia" w:ascii="宋体" w:hAnsi="宋体"/>
          <w:sz w:val="24"/>
          <w:szCs w:val="24"/>
          <w:highlight w:val="none"/>
        </w:rPr>
        <w:t>维护企业干部任免基本信息，提供与任免文件的上传在线阅读功能，与人员信息管理的数据同步；对干部任免信息进行统计分析，包括对性别结构、学历结构、年龄结构等维度进行统计分析；</w:t>
      </w:r>
    </w:p>
    <w:p>
      <w:pPr>
        <w:pStyle w:val="21"/>
        <w:rPr>
          <w:rFonts w:hint="eastAsia" w:ascii="宋体" w:hAnsi="宋体"/>
          <w:sz w:val="24"/>
          <w:szCs w:val="24"/>
          <w:highlight w:val="none"/>
        </w:rPr>
      </w:pPr>
      <w:r>
        <w:rPr>
          <w:rFonts w:hint="eastAsia" w:ascii="宋体" w:hAnsi="宋体"/>
          <w:sz w:val="24"/>
          <w:szCs w:val="24"/>
          <w:highlight w:val="none"/>
        </w:rPr>
        <w:t>（三）考核评价管理</w:t>
      </w:r>
    </w:p>
    <w:p>
      <w:pPr>
        <w:pStyle w:val="21"/>
        <w:rPr>
          <w:rFonts w:hint="eastAsia" w:ascii="宋体" w:hAnsi="宋体"/>
          <w:sz w:val="24"/>
          <w:szCs w:val="24"/>
          <w:highlight w:val="none"/>
        </w:rPr>
      </w:pPr>
      <w:r>
        <w:rPr>
          <w:rFonts w:hint="eastAsia" w:ascii="宋体" w:hAnsi="宋体"/>
          <w:sz w:val="24"/>
          <w:szCs w:val="24"/>
          <w:highlight w:val="none"/>
        </w:rPr>
        <w:t>考核评价管理包括企业负责人年度考核管理、企业负责人任期考核管理、干部履职评价管理三部分。其中企业负责人年度考核管理分为考核目标制定、考核目标调整、考核过程跟踪、考核结果评定等4个流程；干部履职评价管理是国资委对委管企业领导班子、领导人员、外部董事、派出监事等企业领导干部的年度考核管理。</w:t>
      </w:r>
    </w:p>
    <w:p>
      <w:pPr>
        <w:pStyle w:val="21"/>
        <w:rPr>
          <w:rFonts w:hint="eastAsia" w:ascii="宋体" w:hAnsi="宋体"/>
          <w:sz w:val="24"/>
          <w:szCs w:val="24"/>
          <w:highlight w:val="none"/>
        </w:rPr>
      </w:pPr>
      <w:r>
        <w:rPr>
          <w:rFonts w:hint="eastAsia" w:ascii="宋体" w:hAnsi="宋体"/>
          <w:sz w:val="24"/>
          <w:szCs w:val="24"/>
          <w:highlight w:val="none"/>
        </w:rPr>
        <w:t>（四）薪酬及履职待遇</w:t>
      </w:r>
    </w:p>
    <w:p>
      <w:pPr>
        <w:pStyle w:val="21"/>
        <w:rPr>
          <w:rFonts w:hint="eastAsia" w:ascii="宋体" w:hAnsi="宋体"/>
          <w:sz w:val="24"/>
          <w:szCs w:val="24"/>
          <w:highlight w:val="none"/>
        </w:rPr>
      </w:pPr>
      <w:r>
        <w:rPr>
          <w:rFonts w:hint="eastAsia" w:ascii="宋体" w:hAnsi="宋体"/>
          <w:sz w:val="24"/>
          <w:szCs w:val="24"/>
          <w:highlight w:val="none"/>
        </w:rPr>
        <w:t>薪酬及履职待遇包括企业负责人薪酬管理、企业负责人公务用车管理、企业负责人办公用房、企业年金、企业补充医疗保险等部分。</w:t>
      </w:r>
    </w:p>
    <w:p>
      <w:pPr>
        <w:pStyle w:val="21"/>
        <w:rPr>
          <w:rFonts w:hint="eastAsia" w:ascii="宋体" w:hAnsi="宋体"/>
          <w:sz w:val="24"/>
          <w:szCs w:val="24"/>
          <w:highlight w:val="none"/>
        </w:rPr>
      </w:pPr>
      <w:r>
        <w:rPr>
          <w:rFonts w:hint="eastAsia" w:ascii="宋体" w:hAnsi="宋体"/>
          <w:sz w:val="24"/>
          <w:szCs w:val="24"/>
          <w:highlight w:val="none"/>
        </w:rPr>
        <w:t>（五）中长期激励管理</w:t>
      </w:r>
    </w:p>
    <w:p>
      <w:pPr>
        <w:pStyle w:val="21"/>
        <w:rPr>
          <w:rFonts w:hint="eastAsia" w:ascii="宋体" w:hAnsi="宋体"/>
          <w:sz w:val="24"/>
          <w:szCs w:val="24"/>
          <w:highlight w:val="none"/>
        </w:rPr>
      </w:pPr>
      <w:r>
        <w:rPr>
          <w:rFonts w:hint="eastAsia" w:ascii="宋体" w:hAnsi="宋体"/>
          <w:sz w:val="24"/>
          <w:szCs w:val="24"/>
          <w:highlight w:val="none"/>
        </w:rPr>
        <w:t>中长期激励管理包括国有控股上市公司股权激励管理、科技新企业股权激励和分红管理、其他中长期激励管理。</w:t>
      </w:r>
    </w:p>
    <w:p>
      <w:pPr>
        <w:pStyle w:val="21"/>
        <w:rPr>
          <w:rFonts w:hint="eastAsia" w:ascii="宋体" w:hAnsi="宋体"/>
          <w:sz w:val="24"/>
          <w:szCs w:val="24"/>
          <w:highlight w:val="none"/>
        </w:rPr>
      </w:pPr>
      <w:r>
        <w:rPr>
          <w:rFonts w:hint="eastAsia" w:ascii="宋体" w:hAnsi="宋体"/>
          <w:sz w:val="24"/>
          <w:szCs w:val="24"/>
          <w:highlight w:val="none"/>
        </w:rPr>
        <w:t>（六）工资总额管理</w:t>
      </w:r>
    </w:p>
    <w:p>
      <w:pPr>
        <w:pStyle w:val="21"/>
        <w:rPr>
          <w:rFonts w:hint="eastAsia" w:ascii="宋体" w:hAnsi="宋体"/>
          <w:sz w:val="24"/>
          <w:szCs w:val="24"/>
          <w:highlight w:val="none"/>
        </w:rPr>
      </w:pPr>
      <w:r>
        <w:rPr>
          <w:rFonts w:hint="eastAsia" w:ascii="宋体" w:hAnsi="宋体"/>
          <w:sz w:val="24"/>
          <w:szCs w:val="24"/>
          <w:highlight w:val="none"/>
        </w:rPr>
        <w:t>工资总额管理整体上包括工资总额预算编制、工资总额预算调整、工资总额执行过程监督、工资总额清算等4个环节。</w:t>
      </w:r>
    </w:p>
    <w:p>
      <w:pPr>
        <w:pStyle w:val="21"/>
        <w:rPr>
          <w:rFonts w:hint="eastAsia" w:ascii="宋体" w:hAnsi="宋体"/>
          <w:sz w:val="24"/>
          <w:szCs w:val="24"/>
          <w:highlight w:val="none"/>
        </w:rPr>
      </w:pPr>
      <w:r>
        <w:rPr>
          <w:rFonts w:hint="eastAsia" w:ascii="宋体" w:hAnsi="宋体"/>
          <w:sz w:val="24"/>
          <w:szCs w:val="24"/>
          <w:highlight w:val="none"/>
        </w:rPr>
        <w:t>（七）、劳动用工和就业管理</w:t>
      </w:r>
    </w:p>
    <w:p>
      <w:pPr>
        <w:pStyle w:val="21"/>
        <w:rPr>
          <w:rFonts w:hint="eastAsia" w:ascii="宋体" w:hAnsi="宋体"/>
          <w:sz w:val="24"/>
          <w:szCs w:val="24"/>
          <w:highlight w:val="none"/>
        </w:rPr>
      </w:pPr>
      <w:r>
        <w:rPr>
          <w:rFonts w:hint="eastAsia" w:ascii="宋体" w:hAnsi="宋体"/>
          <w:sz w:val="24"/>
          <w:szCs w:val="24"/>
          <w:highlight w:val="none"/>
        </w:rPr>
        <w:t>监管企业通过系统上报劳动用工和就业信息，国资委对企业填报的信息进行统计、汇总和分析。</w:t>
      </w:r>
    </w:p>
    <w:p>
      <w:pPr>
        <w:pStyle w:val="21"/>
        <w:rPr>
          <w:rFonts w:hint="eastAsia" w:ascii="宋体" w:hAnsi="宋体"/>
          <w:sz w:val="24"/>
          <w:szCs w:val="24"/>
          <w:highlight w:val="none"/>
        </w:rPr>
      </w:pPr>
      <w:r>
        <w:rPr>
          <w:rFonts w:hint="eastAsia" w:ascii="宋体" w:hAnsi="宋体"/>
          <w:sz w:val="24"/>
          <w:szCs w:val="24"/>
          <w:highlight w:val="none"/>
        </w:rPr>
        <w:t>（八）拖欠农民工工资管理</w:t>
      </w:r>
    </w:p>
    <w:p>
      <w:pPr>
        <w:pStyle w:val="21"/>
        <w:rPr>
          <w:rFonts w:hint="eastAsia" w:ascii="宋体" w:hAnsi="宋体"/>
          <w:sz w:val="24"/>
          <w:szCs w:val="24"/>
          <w:highlight w:val="none"/>
        </w:rPr>
      </w:pPr>
      <w:r>
        <w:rPr>
          <w:rFonts w:hint="eastAsia" w:ascii="宋体" w:hAnsi="宋体"/>
          <w:sz w:val="24"/>
          <w:szCs w:val="24"/>
          <w:highlight w:val="none"/>
        </w:rPr>
        <w:t>对监管企业拖欠农民工工资情况进行管理。</w:t>
      </w:r>
    </w:p>
    <w:p>
      <w:pPr>
        <w:pStyle w:val="21"/>
        <w:rPr>
          <w:rFonts w:hint="eastAsia" w:ascii="宋体" w:hAnsi="宋体"/>
          <w:sz w:val="24"/>
          <w:szCs w:val="24"/>
          <w:highlight w:val="none"/>
        </w:rPr>
      </w:pPr>
      <w:r>
        <w:rPr>
          <w:rFonts w:hint="eastAsia" w:ascii="宋体" w:hAnsi="宋体"/>
          <w:sz w:val="24"/>
          <w:szCs w:val="24"/>
          <w:highlight w:val="none"/>
        </w:rPr>
        <w:t>（九）企业领导人出国（境）管理</w:t>
      </w:r>
    </w:p>
    <w:p>
      <w:pPr>
        <w:pStyle w:val="21"/>
        <w:rPr>
          <w:rFonts w:hint="eastAsia" w:ascii="宋体" w:hAnsi="宋体"/>
          <w:sz w:val="24"/>
          <w:szCs w:val="24"/>
          <w:highlight w:val="none"/>
        </w:rPr>
      </w:pPr>
      <w:r>
        <w:rPr>
          <w:rFonts w:hint="eastAsia" w:ascii="宋体" w:hAnsi="宋体"/>
          <w:sz w:val="24"/>
          <w:szCs w:val="24"/>
          <w:highlight w:val="none"/>
        </w:rPr>
        <w:t>对监管企业的经理层因公、因私出国（境）进行登记、审批管理。</w:t>
      </w:r>
    </w:p>
    <w:p>
      <w:pPr>
        <w:pStyle w:val="5"/>
        <w:keepNext/>
        <w:keepLines/>
        <w:pageBreakBefore w:val="0"/>
        <w:widowControl w:val="0"/>
        <w:numPr>
          <w:ilvl w:val="2"/>
          <w:numId w:val="3"/>
        </w:numPr>
        <w:tabs>
          <w:tab w:val="left" w:pos="560"/>
        </w:tabs>
        <w:kinsoku/>
        <w:wordWrap/>
        <w:overflowPunct/>
        <w:topLinePunct w:val="0"/>
        <w:autoSpaceDE/>
        <w:autoSpaceDN/>
        <w:bidi w:val="0"/>
        <w:adjustRightInd/>
        <w:snapToGrid/>
        <w:spacing w:before="240" w:after="120" w:line="240" w:lineRule="auto"/>
        <w:ind w:left="420" w:leftChars="0" w:hanging="709"/>
        <w:jc w:val="both"/>
        <w:textAlignment w:val="auto"/>
        <w:rPr>
          <w:rFonts w:hint="eastAsia" w:ascii="宋体" w:hAnsi="宋体" w:eastAsia="宋体"/>
          <w:szCs w:val="16"/>
          <w:highlight w:val="none"/>
        </w:rPr>
      </w:pPr>
      <w:r>
        <w:rPr>
          <w:rFonts w:hint="eastAsia" w:ascii="宋体" w:hAnsi="宋体" w:eastAsia="宋体"/>
          <w:szCs w:val="16"/>
          <w:highlight w:val="none"/>
        </w:rPr>
        <w:t>产权管理</w:t>
      </w:r>
    </w:p>
    <w:p>
      <w:pPr>
        <w:pStyle w:val="21"/>
        <w:rPr>
          <w:rFonts w:hint="eastAsia" w:ascii="宋体" w:hAnsi="宋体"/>
          <w:sz w:val="24"/>
          <w:szCs w:val="24"/>
          <w:highlight w:val="none"/>
        </w:rPr>
      </w:pPr>
      <w:r>
        <w:rPr>
          <w:rFonts w:hint="eastAsia" w:ascii="宋体" w:hAnsi="宋体"/>
          <w:sz w:val="24"/>
          <w:szCs w:val="24"/>
          <w:highlight w:val="none"/>
        </w:rPr>
        <w:t>实现以《国家出资企业产权登记管理暂行办法》等制度法规为依据，以产权登记为务核心，对监管企主要的经济行为进行了统一流程性管理，主要信息范围包含企业基础信息、经济行为信息、合规性资料目录等。主要功能包括产权登记与变更、注销，产权管理树，综合查询与分析等。</w:t>
      </w:r>
    </w:p>
    <w:p>
      <w:pPr>
        <w:pStyle w:val="21"/>
        <w:rPr>
          <w:rFonts w:hint="eastAsia" w:ascii="宋体" w:hAnsi="宋体"/>
          <w:sz w:val="24"/>
          <w:szCs w:val="24"/>
          <w:highlight w:val="none"/>
        </w:rPr>
      </w:pPr>
      <w:r>
        <w:rPr>
          <w:rFonts w:hint="eastAsia" w:ascii="宋体" w:hAnsi="宋体"/>
          <w:sz w:val="24"/>
          <w:szCs w:val="24"/>
          <w:highlight w:val="none"/>
        </w:rPr>
        <w:t>产权登记必须支持企的主要经济行为，如投资新设、收购、减资、注销等。</w:t>
      </w:r>
    </w:p>
    <w:p>
      <w:pPr>
        <w:pStyle w:val="21"/>
        <w:rPr>
          <w:rFonts w:hint="eastAsia" w:ascii="宋体" w:hAnsi="宋体"/>
          <w:sz w:val="24"/>
          <w:szCs w:val="24"/>
          <w:highlight w:val="none"/>
        </w:rPr>
      </w:pPr>
      <w:r>
        <w:rPr>
          <w:rFonts w:hint="eastAsia" w:ascii="宋体" w:hAnsi="宋体"/>
          <w:sz w:val="24"/>
          <w:szCs w:val="24"/>
          <w:highlight w:val="none"/>
        </w:rPr>
        <w:t>系统具备产权交易数据管理功能，支持与产权交易中心进行数据对接。</w:t>
      </w:r>
    </w:p>
    <w:p>
      <w:pPr>
        <w:pStyle w:val="21"/>
        <w:rPr>
          <w:rFonts w:hint="eastAsia" w:ascii="宋体" w:hAnsi="宋体"/>
          <w:sz w:val="24"/>
          <w:szCs w:val="24"/>
          <w:highlight w:val="none"/>
        </w:rPr>
      </w:pPr>
      <w:r>
        <w:rPr>
          <w:rFonts w:hint="eastAsia" w:ascii="宋体" w:hAnsi="宋体"/>
          <w:sz w:val="24"/>
          <w:szCs w:val="24"/>
          <w:highlight w:val="none"/>
        </w:rPr>
        <w:t>系统审批基于事项流程进行设计实现产权信息的流程审批与确认，包括发起事项、待办事项、在办事项、已办事项等。可配置和定义事项流程，支持不同的经济行为采用不同的审批流程。</w:t>
      </w:r>
    </w:p>
    <w:p>
      <w:pPr>
        <w:pStyle w:val="21"/>
        <w:rPr>
          <w:rFonts w:hint="eastAsia" w:ascii="宋体" w:hAnsi="宋体"/>
          <w:sz w:val="24"/>
          <w:szCs w:val="24"/>
          <w:highlight w:val="none"/>
        </w:rPr>
      </w:pPr>
      <w:r>
        <w:rPr>
          <w:rFonts w:hint="eastAsia" w:ascii="宋体" w:hAnsi="宋体"/>
          <w:sz w:val="24"/>
          <w:szCs w:val="24"/>
          <w:highlight w:val="none"/>
        </w:rPr>
        <w:t>系统可以产权关系树的形式动态呈现企业产权归属、占比及管理状况，每个节点可以体现企基础信息。</w:t>
      </w:r>
    </w:p>
    <w:p>
      <w:pPr>
        <w:pStyle w:val="21"/>
        <w:rPr>
          <w:rFonts w:hint="eastAsia" w:ascii="宋体" w:hAnsi="宋体"/>
          <w:sz w:val="24"/>
          <w:szCs w:val="24"/>
          <w:highlight w:val="none"/>
        </w:rPr>
      </w:pPr>
      <w:r>
        <w:rPr>
          <w:rFonts w:hint="eastAsia" w:ascii="宋体" w:hAnsi="宋体"/>
          <w:sz w:val="24"/>
          <w:szCs w:val="24"/>
          <w:highlight w:val="none"/>
        </w:rPr>
        <w:t>系统支持附件上传与下载，表证打印等常用功能。</w:t>
      </w:r>
    </w:p>
    <w:p>
      <w:pPr>
        <w:pStyle w:val="5"/>
        <w:keepNext/>
        <w:keepLines/>
        <w:pageBreakBefore w:val="0"/>
        <w:widowControl w:val="0"/>
        <w:numPr>
          <w:ilvl w:val="2"/>
          <w:numId w:val="3"/>
        </w:numPr>
        <w:tabs>
          <w:tab w:val="left" w:pos="560"/>
        </w:tabs>
        <w:kinsoku/>
        <w:wordWrap/>
        <w:overflowPunct/>
        <w:topLinePunct w:val="0"/>
        <w:autoSpaceDE/>
        <w:autoSpaceDN/>
        <w:bidi w:val="0"/>
        <w:adjustRightInd/>
        <w:snapToGrid/>
        <w:spacing w:before="240" w:after="120" w:line="240" w:lineRule="auto"/>
        <w:ind w:left="420" w:leftChars="0" w:hanging="709"/>
        <w:jc w:val="both"/>
        <w:textAlignment w:val="auto"/>
        <w:rPr>
          <w:rFonts w:hint="eastAsia" w:ascii="宋体" w:hAnsi="宋体" w:eastAsia="宋体"/>
          <w:szCs w:val="16"/>
          <w:highlight w:val="none"/>
        </w:rPr>
      </w:pPr>
      <w:r>
        <w:rPr>
          <w:rFonts w:hint="eastAsia" w:ascii="宋体" w:hAnsi="宋体" w:eastAsia="宋体"/>
          <w:szCs w:val="16"/>
          <w:highlight w:val="none"/>
        </w:rPr>
        <w:t>党建管理</w:t>
      </w:r>
    </w:p>
    <w:p>
      <w:pPr>
        <w:pStyle w:val="21"/>
        <w:rPr>
          <w:rFonts w:hint="eastAsia" w:ascii="宋体" w:hAnsi="宋体" w:eastAsia="Arial" w:cs="Arial"/>
          <w:sz w:val="24"/>
          <w:szCs w:val="24"/>
          <w:highlight w:val="none"/>
        </w:rPr>
      </w:pPr>
      <w:r>
        <w:rPr>
          <w:rFonts w:hint="eastAsia" w:ascii="宋体" w:hAnsi="宋体" w:eastAsia="Arial" w:cs="Arial"/>
          <w:sz w:val="24"/>
          <w:szCs w:val="24"/>
          <w:highlight w:val="none"/>
        </w:rPr>
        <w:t>实现监管企业党委、党组织、党委工作部门、党员信息以及党员发展情况的数据管理。系统设计应符合陕西省国资委下发的监管指标要求，包括党委基本信息、党组织基本信息、党委工作部门设置情况、党员基本信息、党员发展情况等，为党建体系工作的开展提供高效、便捷的应用。</w:t>
      </w:r>
    </w:p>
    <w:p>
      <w:pPr>
        <w:pStyle w:val="5"/>
        <w:keepNext/>
        <w:keepLines/>
        <w:pageBreakBefore w:val="0"/>
        <w:widowControl w:val="0"/>
        <w:numPr>
          <w:ilvl w:val="2"/>
          <w:numId w:val="3"/>
        </w:numPr>
        <w:tabs>
          <w:tab w:val="left" w:pos="560"/>
        </w:tabs>
        <w:kinsoku/>
        <w:wordWrap/>
        <w:overflowPunct/>
        <w:topLinePunct w:val="0"/>
        <w:autoSpaceDE/>
        <w:autoSpaceDN/>
        <w:bidi w:val="0"/>
        <w:adjustRightInd/>
        <w:snapToGrid/>
        <w:spacing w:before="240" w:after="120" w:line="240" w:lineRule="auto"/>
        <w:ind w:left="420" w:leftChars="0" w:hanging="709"/>
        <w:jc w:val="both"/>
        <w:textAlignment w:val="auto"/>
        <w:rPr>
          <w:rFonts w:hint="eastAsia" w:ascii="宋体" w:hAnsi="宋体" w:eastAsia="宋体"/>
          <w:szCs w:val="16"/>
          <w:highlight w:val="none"/>
        </w:rPr>
      </w:pPr>
      <w:r>
        <w:rPr>
          <w:rFonts w:hint="eastAsia" w:ascii="宋体" w:hAnsi="宋体" w:eastAsia="宋体"/>
          <w:szCs w:val="16"/>
          <w:highlight w:val="none"/>
          <w:lang w:val="en-US" w:eastAsia="zh-CN"/>
        </w:rPr>
        <w:t>三重一大</w:t>
      </w:r>
    </w:p>
    <w:p>
      <w:pPr>
        <w:pStyle w:val="21"/>
        <w:rPr>
          <w:rFonts w:hint="eastAsia" w:ascii="宋体" w:hAnsi="宋体"/>
          <w:sz w:val="24"/>
          <w:szCs w:val="24"/>
          <w:highlight w:val="none"/>
        </w:rPr>
      </w:pPr>
      <w:r>
        <w:rPr>
          <w:rFonts w:hint="eastAsia" w:ascii="宋体" w:hAnsi="宋体"/>
          <w:sz w:val="24"/>
          <w:szCs w:val="24"/>
          <w:highlight w:val="none"/>
        </w:rPr>
        <w:t>根据市国资委监管要求，结合监管企业填报需求，需建设三重一大填报系统，实现对涉及三重一大相关的监管数据指标进行在线填报。功能为监管概况、信息管理、决策制度管理、事项清单管理、决策会议管理、数据上报。</w:t>
      </w:r>
    </w:p>
    <w:p>
      <w:pPr>
        <w:pStyle w:val="21"/>
        <w:rPr>
          <w:rFonts w:hint="eastAsia" w:ascii="宋体" w:hAnsi="宋体"/>
          <w:sz w:val="24"/>
          <w:szCs w:val="24"/>
          <w:highlight w:val="none"/>
        </w:rPr>
      </w:pPr>
      <w:r>
        <w:rPr>
          <w:rFonts w:hint="eastAsia" w:ascii="宋体" w:hAnsi="宋体"/>
          <w:sz w:val="24"/>
          <w:szCs w:val="24"/>
          <w:highlight w:val="none"/>
        </w:rPr>
        <w:t>1、“三重一大”监管概况</w:t>
      </w:r>
    </w:p>
    <w:p>
      <w:pPr>
        <w:pStyle w:val="21"/>
        <w:rPr>
          <w:rFonts w:hint="eastAsia" w:ascii="宋体" w:hAnsi="宋体"/>
          <w:sz w:val="24"/>
          <w:szCs w:val="24"/>
          <w:highlight w:val="none"/>
        </w:rPr>
      </w:pPr>
      <w:r>
        <w:rPr>
          <w:rFonts w:hint="eastAsia" w:ascii="宋体" w:hAnsi="宋体"/>
          <w:sz w:val="24"/>
          <w:szCs w:val="24"/>
          <w:highlight w:val="none"/>
        </w:rPr>
        <w:t>实现国资委及监管企业查看“三重一大”监管指标体系，其中包括企业类型、决策制度、事项清单、议题及会议等重要监管指标，支持实时、本年度、上年度的指标统计分析，支持全量及目标监管对象的数量统计、占比分析等。</w:t>
      </w:r>
    </w:p>
    <w:p>
      <w:pPr>
        <w:pStyle w:val="21"/>
        <w:rPr>
          <w:rFonts w:hint="eastAsia" w:ascii="宋体" w:hAnsi="宋体"/>
          <w:sz w:val="24"/>
          <w:szCs w:val="24"/>
          <w:highlight w:val="none"/>
        </w:rPr>
      </w:pPr>
      <w:r>
        <w:rPr>
          <w:rFonts w:hint="eastAsia" w:ascii="宋体" w:hAnsi="宋体"/>
          <w:sz w:val="24"/>
          <w:szCs w:val="24"/>
          <w:highlight w:val="none"/>
        </w:rPr>
        <w:t>2、监管企业信息管理</w:t>
      </w:r>
    </w:p>
    <w:p>
      <w:pPr>
        <w:pStyle w:val="21"/>
        <w:rPr>
          <w:rFonts w:hint="eastAsia" w:ascii="宋体" w:hAnsi="宋体"/>
          <w:sz w:val="24"/>
          <w:szCs w:val="24"/>
          <w:highlight w:val="none"/>
        </w:rPr>
      </w:pPr>
      <w:r>
        <w:rPr>
          <w:rFonts w:hint="eastAsia" w:ascii="宋体" w:hAnsi="宋体"/>
          <w:sz w:val="24"/>
          <w:szCs w:val="24"/>
          <w:highlight w:val="none"/>
        </w:rPr>
        <w:t>实现国资委查看监管企业列表及详情，实现监管企业维护企业基本信息。</w:t>
      </w:r>
    </w:p>
    <w:p>
      <w:pPr>
        <w:pStyle w:val="21"/>
        <w:rPr>
          <w:rFonts w:hint="eastAsia" w:ascii="宋体" w:hAnsi="宋体"/>
          <w:sz w:val="24"/>
          <w:szCs w:val="24"/>
          <w:highlight w:val="none"/>
        </w:rPr>
      </w:pPr>
      <w:r>
        <w:rPr>
          <w:rFonts w:hint="eastAsia" w:ascii="宋体" w:hAnsi="宋体"/>
          <w:sz w:val="24"/>
          <w:szCs w:val="24"/>
          <w:highlight w:val="none"/>
        </w:rPr>
        <w:t>3、“三重一大”决策制度管理</w:t>
      </w:r>
    </w:p>
    <w:p>
      <w:pPr>
        <w:pStyle w:val="21"/>
        <w:rPr>
          <w:rFonts w:hint="eastAsia" w:ascii="宋体" w:hAnsi="宋体"/>
          <w:sz w:val="24"/>
          <w:szCs w:val="24"/>
          <w:highlight w:val="none"/>
        </w:rPr>
      </w:pPr>
      <w:r>
        <w:rPr>
          <w:rFonts w:hint="eastAsia" w:ascii="宋体" w:hAnsi="宋体"/>
          <w:sz w:val="24"/>
          <w:szCs w:val="24"/>
          <w:highlight w:val="none"/>
        </w:rPr>
        <w:t>实现监管企业填报或批量导入 “三重一大”决策制度，包括制度名称、制度类型、生效日期、失效日期、文件等；提供监管企业内部查看、审批确认等功能。</w:t>
      </w:r>
    </w:p>
    <w:p>
      <w:pPr>
        <w:pStyle w:val="21"/>
        <w:rPr>
          <w:rFonts w:hint="eastAsia" w:ascii="宋体" w:hAnsi="宋体"/>
          <w:sz w:val="24"/>
          <w:szCs w:val="24"/>
          <w:highlight w:val="none"/>
        </w:rPr>
      </w:pPr>
      <w:r>
        <w:rPr>
          <w:rFonts w:hint="eastAsia" w:ascii="宋体" w:hAnsi="宋体"/>
          <w:sz w:val="24"/>
          <w:szCs w:val="24"/>
          <w:highlight w:val="none"/>
        </w:rPr>
        <w:t>4、“三重一大”事项清单管理</w:t>
      </w:r>
    </w:p>
    <w:p>
      <w:pPr>
        <w:pStyle w:val="21"/>
        <w:rPr>
          <w:rFonts w:hint="eastAsia" w:ascii="宋体" w:hAnsi="宋体"/>
          <w:sz w:val="24"/>
          <w:szCs w:val="24"/>
          <w:highlight w:val="none"/>
        </w:rPr>
      </w:pPr>
      <w:r>
        <w:rPr>
          <w:rFonts w:hint="eastAsia" w:ascii="宋体" w:hAnsi="宋体"/>
          <w:sz w:val="24"/>
          <w:szCs w:val="24"/>
          <w:highlight w:val="none"/>
        </w:rPr>
        <w:t>实现监管企业填报或批量导入 “三重一大”事项清单，包括事项清单名称、版本号、生效日期、失效日期、事项名称及编码、决策会议及顺序、是否经法律审核等，提供监管企业内部查看、审批确认等功能。</w:t>
      </w:r>
    </w:p>
    <w:p>
      <w:pPr>
        <w:pStyle w:val="21"/>
        <w:rPr>
          <w:rFonts w:hint="eastAsia" w:ascii="宋体" w:hAnsi="宋体"/>
          <w:sz w:val="24"/>
          <w:szCs w:val="24"/>
          <w:highlight w:val="none"/>
        </w:rPr>
      </w:pPr>
      <w:r>
        <w:rPr>
          <w:rFonts w:hint="eastAsia" w:ascii="宋体" w:hAnsi="宋体"/>
          <w:sz w:val="24"/>
          <w:szCs w:val="24"/>
          <w:highlight w:val="none"/>
        </w:rPr>
        <w:t>5、“三重一大”决策会议管理</w:t>
      </w:r>
    </w:p>
    <w:p>
      <w:pPr>
        <w:pStyle w:val="21"/>
        <w:rPr>
          <w:rFonts w:hint="eastAsia" w:ascii="宋体" w:hAnsi="宋体"/>
          <w:sz w:val="24"/>
          <w:szCs w:val="24"/>
          <w:highlight w:val="none"/>
        </w:rPr>
      </w:pPr>
      <w:r>
        <w:rPr>
          <w:rFonts w:hint="eastAsia" w:ascii="宋体" w:hAnsi="宋体"/>
          <w:sz w:val="24"/>
          <w:szCs w:val="24"/>
          <w:highlight w:val="none"/>
        </w:rPr>
        <w:t>实现监管企业填报或批量导入 “三重一大”决策会议，包括会议名称、会议类型、会议时间、主持人、参会人、议题名称、事项编码、列席人、是否通过等，提供监管企业内部查看、审批确认等功能。</w:t>
      </w:r>
    </w:p>
    <w:p>
      <w:pPr>
        <w:pStyle w:val="21"/>
        <w:rPr>
          <w:rFonts w:hint="eastAsia" w:ascii="宋体" w:hAnsi="宋体"/>
          <w:sz w:val="24"/>
          <w:szCs w:val="24"/>
          <w:highlight w:val="none"/>
        </w:rPr>
      </w:pPr>
      <w:r>
        <w:rPr>
          <w:rFonts w:hint="eastAsia" w:ascii="宋体" w:hAnsi="宋体"/>
          <w:sz w:val="24"/>
          <w:szCs w:val="24"/>
          <w:highlight w:val="none"/>
        </w:rPr>
        <w:t>6、“三重一大”数据上报</w:t>
      </w:r>
    </w:p>
    <w:p>
      <w:pPr>
        <w:pStyle w:val="21"/>
        <w:ind w:firstLine="0" w:firstLineChars="0"/>
        <w:rPr>
          <w:rFonts w:ascii="宋体" w:hAnsi="宋体" w:eastAsia="宋体" w:cs="宋体"/>
          <w:sz w:val="24"/>
          <w:szCs w:val="24"/>
          <w:highlight w:val="none"/>
        </w:rPr>
      </w:pPr>
      <w:r>
        <w:rPr>
          <w:rFonts w:hint="eastAsia" w:ascii="宋体" w:hAnsi="宋体"/>
          <w:sz w:val="24"/>
          <w:szCs w:val="24"/>
          <w:highlight w:val="none"/>
        </w:rPr>
        <w:t>实现监管企业将审批确认的“三重一大”监管数据上报至国资委，国资委可分类查询监管企业上报内容，实现国资指标监管。</w:t>
      </w:r>
      <w:bookmarkEnd w:id="104"/>
      <w:bookmarkEnd w:id="105"/>
    </w:p>
    <w:p>
      <w:pPr>
        <w:spacing w:line="360" w:lineRule="auto"/>
        <w:rPr>
          <w:rFonts w:ascii="宋体" w:hAnsi="宋体" w:eastAsia="宋体" w:cs="宋体"/>
          <w:b/>
          <w:bCs/>
          <w:sz w:val="24"/>
          <w:szCs w:val="24"/>
          <w:highlight w:val="none"/>
        </w:rPr>
      </w:pPr>
      <w:bookmarkStart w:id="106" w:name="_Toc116574532"/>
      <w:r>
        <w:rPr>
          <w:rFonts w:hint="eastAsia" w:ascii="宋体" w:hAnsi="宋体" w:eastAsia="宋体" w:cs="宋体"/>
          <w:b/>
          <w:bCs/>
          <w:sz w:val="24"/>
          <w:szCs w:val="24"/>
          <w:highlight w:val="none"/>
        </w:rPr>
        <w:t>4.4 两山生态资源云脑平台</w:t>
      </w:r>
      <w:bookmarkEnd w:id="106"/>
    </w:p>
    <w:p>
      <w:pPr>
        <w:pStyle w:val="21"/>
        <w:rPr>
          <w:rFonts w:ascii="宋体" w:hAnsi="宋体"/>
          <w:sz w:val="24"/>
          <w:szCs w:val="24"/>
          <w:highlight w:val="none"/>
        </w:rPr>
      </w:pPr>
      <w:r>
        <w:rPr>
          <w:rFonts w:hint="eastAsia" w:ascii="宋体" w:hAnsi="宋体"/>
          <w:sz w:val="24"/>
          <w:szCs w:val="24"/>
          <w:highlight w:val="none"/>
        </w:rPr>
        <w:t>两山生态资源云脑项目的建设，旨在将汉中市全县区内的山、水、林、田、矿、房、旅、文等碎片化资源资产进行全面的摸底、整合、确权、评估，并进行市场化交易的监督管理。围绕“低效闲置的困惑”、“支农无奈的困惑”、“增收乏力的困惑”和“招商开发的困惑”四大问题导向，从解决好资源闲置和经济发展之间的矛盾出发，优化资源配置，合理分配开发资源，提升资源收益，造福百姓，响应“为人民服务”的宗旨。</w:t>
      </w:r>
    </w:p>
    <w:p>
      <w:pPr>
        <w:pStyle w:val="21"/>
        <w:rPr>
          <w:rFonts w:ascii="宋体" w:hAnsi="宋体"/>
          <w:sz w:val="24"/>
          <w:szCs w:val="24"/>
          <w:highlight w:val="none"/>
        </w:rPr>
      </w:pPr>
      <w:r>
        <w:rPr>
          <w:rFonts w:hint="eastAsia" w:ascii="宋体" w:hAnsi="宋体"/>
          <w:sz w:val="24"/>
          <w:szCs w:val="24"/>
          <w:highlight w:val="none"/>
        </w:rPr>
        <w:t>汉中市两山生态资源云脑项目主要建设“一库、一平台、一舱、一微”，即：一个两山生态资源云脑基础数据库、一个两山生态资源业务管理平台、一个两山生态资源微信小程序和一个生态资源数字驾驶舱。</w:t>
      </w:r>
    </w:p>
    <w:p>
      <w:pPr>
        <w:spacing w:line="360" w:lineRule="auto"/>
        <w:rPr>
          <w:rFonts w:ascii="宋体" w:hAnsi="宋体" w:eastAsia="宋体" w:cs="宋体"/>
          <w:b/>
          <w:bCs/>
          <w:sz w:val="24"/>
          <w:szCs w:val="24"/>
          <w:highlight w:val="none"/>
        </w:rPr>
      </w:pPr>
      <w:r>
        <w:rPr>
          <w:rFonts w:hint="eastAsia" w:ascii="宋体" w:hAnsi="宋体" w:eastAsia="宋体" w:cs="宋体"/>
          <w:b/>
          <w:bCs/>
          <w:sz w:val="24"/>
          <w:szCs w:val="24"/>
          <w:highlight w:val="none"/>
        </w:rPr>
        <w:t xml:space="preserve">    两山生态资源云脑基础数据库</w:t>
      </w:r>
    </w:p>
    <w:p>
      <w:pPr>
        <w:pStyle w:val="21"/>
        <w:rPr>
          <w:rFonts w:ascii="宋体" w:hAnsi="宋体"/>
          <w:sz w:val="24"/>
          <w:szCs w:val="24"/>
          <w:highlight w:val="none"/>
        </w:rPr>
      </w:pPr>
      <w:r>
        <w:rPr>
          <w:rFonts w:hint="eastAsia" w:ascii="宋体" w:hAnsi="宋体"/>
          <w:sz w:val="24"/>
          <w:szCs w:val="24"/>
          <w:highlight w:val="none"/>
        </w:rPr>
        <w:t>两山生态资源云脑基础数据库的建设，整合全市9县2区两山生态资源基础数据以及相关部门的共享公共数据资源，各县区负责本地区生态资源基础数据的采集工作，各部门负责本部门公共资源数据的采集工作，通过统一的数据交换汇聚方式，将本单位数据统一汇聚到中间数据仓，供汉中市两山云脑基础数据库抓取、使用，提供数据的各单位需要对数据的完整性、准确性、时效性负责。</w:t>
      </w:r>
    </w:p>
    <w:p>
      <w:pPr>
        <w:pStyle w:val="21"/>
        <w:rPr>
          <w:rFonts w:ascii="宋体" w:hAnsi="宋体"/>
          <w:sz w:val="24"/>
          <w:szCs w:val="24"/>
          <w:highlight w:val="none"/>
        </w:rPr>
      </w:pPr>
      <w:r>
        <w:rPr>
          <w:rFonts w:hint="eastAsia" w:ascii="宋体" w:hAnsi="宋体"/>
          <w:sz w:val="24"/>
          <w:szCs w:val="24"/>
          <w:highlight w:val="none"/>
        </w:rPr>
        <w:t>归集和梳理各类资源信息、信贷信息、投资项目信息和碳汇需求信息等，搭建基础数据库，为领导层决策、数据分析、预警处理等提供更多的数据支撑。根据汉中市资源资产等基础数据分类和归集，从相关渠道归集的数据进行清洗、比对、分析后，按数据仓库标准建设两山生态资源云脑基础数据库，为数据共享使用提供基础数据保障。依托海量数据，同时利用数据分析算法模型，对数据进行深度的挖掘分析，为领导的科学决策提供数据支撑。</w:t>
      </w:r>
    </w:p>
    <w:p>
      <w:pPr>
        <w:pStyle w:val="21"/>
        <w:ind w:firstLine="482"/>
        <w:rPr>
          <w:rFonts w:ascii="宋体" w:hAnsi="宋体"/>
          <w:b/>
          <w:sz w:val="24"/>
          <w:szCs w:val="24"/>
          <w:highlight w:val="none"/>
        </w:rPr>
      </w:pPr>
      <w:r>
        <w:rPr>
          <w:rFonts w:hint="eastAsia" w:ascii="宋体" w:hAnsi="宋体"/>
          <w:b/>
          <w:sz w:val="24"/>
          <w:szCs w:val="24"/>
          <w:highlight w:val="none"/>
        </w:rPr>
        <w:t xml:space="preserve"> 两山生态资源云脑业务管理平台</w:t>
      </w:r>
    </w:p>
    <w:p>
      <w:pPr>
        <w:pStyle w:val="21"/>
        <w:rPr>
          <w:rFonts w:ascii="宋体" w:hAnsi="宋体"/>
          <w:sz w:val="24"/>
          <w:szCs w:val="24"/>
          <w:highlight w:val="none"/>
        </w:rPr>
      </w:pPr>
      <w:r>
        <w:rPr>
          <w:rFonts w:hint="eastAsia" w:ascii="宋体" w:hAnsi="宋体"/>
          <w:bCs/>
          <w:sz w:val="24"/>
          <w:szCs w:val="24"/>
          <w:highlight w:val="none"/>
        </w:rPr>
        <w:t xml:space="preserve"> 两山生态资源云脑</w:t>
      </w:r>
      <w:r>
        <w:rPr>
          <w:rFonts w:hint="eastAsia" w:ascii="宋体" w:hAnsi="宋体"/>
          <w:sz w:val="24"/>
          <w:szCs w:val="24"/>
          <w:highlight w:val="none"/>
        </w:rPr>
        <w:t>业务管理平台通过资源管理中心、资源交易中心、绿色金融中心、小程序中心和系统管理实现对生态资源的盘点、登记、存储，提高对于资源资产、招商、信贷的管理能力。平台提供从资源登记、存储、收储到资源打包、项目招商、信贷申请等多方面全流程的高效管理。</w:t>
      </w:r>
    </w:p>
    <w:p>
      <w:pPr>
        <w:pStyle w:val="21"/>
        <w:rPr>
          <w:rFonts w:ascii="宋体" w:hAnsi="宋体"/>
          <w:sz w:val="24"/>
          <w:szCs w:val="24"/>
          <w:highlight w:val="none"/>
        </w:rPr>
      </w:pPr>
      <w:r>
        <w:rPr>
          <w:rFonts w:hint="eastAsia" w:ascii="宋体" w:hAnsi="宋体"/>
          <w:sz w:val="24"/>
          <w:szCs w:val="24"/>
          <w:highlight w:val="none"/>
        </w:rPr>
        <w:t>依托业务管理平台的全流程管理，为不同角色分工，实现多角色的操作管理。并且业务平台通过GIS地理信息技术，将汉中市资源资产、项目等数据实现可视化管理，进一步提高管理人员在业务操作中的便捷性。</w:t>
      </w:r>
    </w:p>
    <w:p>
      <w:pPr>
        <w:pStyle w:val="21"/>
        <w:ind w:firstLine="482"/>
        <w:rPr>
          <w:rFonts w:ascii="宋体" w:hAnsi="宋体"/>
          <w:b/>
          <w:sz w:val="24"/>
          <w:szCs w:val="24"/>
          <w:highlight w:val="none"/>
        </w:rPr>
      </w:pPr>
      <w:r>
        <w:rPr>
          <w:rFonts w:hint="eastAsia" w:ascii="宋体" w:hAnsi="宋体"/>
          <w:b/>
          <w:sz w:val="24"/>
          <w:szCs w:val="24"/>
          <w:highlight w:val="none"/>
        </w:rPr>
        <w:t>两山生态资源云脑微信小程序</w:t>
      </w:r>
    </w:p>
    <w:p>
      <w:pPr>
        <w:pStyle w:val="21"/>
        <w:rPr>
          <w:rFonts w:ascii="宋体" w:hAnsi="宋体"/>
          <w:sz w:val="24"/>
          <w:szCs w:val="24"/>
          <w:highlight w:val="none"/>
        </w:rPr>
      </w:pPr>
      <w:r>
        <w:rPr>
          <w:rFonts w:hint="eastAsia" w:ascii="宋体" w:hAnsi="宋体"/>
          <w:sz w:val="24"/>
          <w:szCs w:val="24"/>
          <w:highlight w:val="none"/>
        </w:rPr>
        <w:t>建设</w:t>
      </w:r>
      <w:r>
        <w:rPr>
          <w:rFonts w:hint="eastAsia" w:ascii="宋体" w:hAnsi="宋体"/>
          <w:bCs/>
          <w:sz w:val="24"/>
          <w:szCs w:val="24"/>
          <w:highlight w:val="none"/>
        </w:rPr>
        <w:t>两山生态资源云脑</w:t>
      </w:r>
      <w:r>
        <w:rPr>
          <w:rFonts w:hint="eastAsia" w:ascii="宋体" w:hAnsi="宋体"/>
          <w:sz w:val="24"/>
          <w:szCs w:val="24"/>
          <w:highlight w:val="none"/>
        </w:rPr>
        <w:t xml:space="preserve">微信小程序，通过微信小程序串联资源主体（投资主体）、两山生态公司及闲置资源资产，建设资源中心、交易中心、个人中心板块。为资源主体提供资源储蓄的便捷通道，通过资源的储蓄，资源主体可以将闲置的资源资产登记到两山公司，公司通过资源资产的有效组合，以项目的形式进行管理运营，并同步展示到微信小程序；投资主体可以通过微信小程序进行不同资源项目的查看、筛选，查看项目的具体信息，对感兴趣的项目进行意向登记；对于有资金需求的资源主体，也可以通过微信小程序登记自己的贷款需求，通过金融服务业务，帮助主体提高授信额度，解决主体的资金需求问题。 </w:t>
      </w:r>
    </w:p>
    <w:p>
      <w:pPr>
        <w:pStyle w:val="21"/>
        <w:ind w:firstLine="482"/>
        <w:rPr>
          <w:rFonts w:ascii="宋体" w:hAnsi="宋体"/>
          <w:b/>
          <w:sz w:val="24"/>
          <w:szCs w:val="24"/>
          <w:highlight w:val="none"/>
        </w:rPr>
      </w:pPr>
      <w:r>
        <w:rPr>
          <w:rFonts w:hint="eastAsia" w:ascii="宋体" w:hAnsi="宋体"/>
          <w:b/>
          <w:sz w:val="24"/>
          <w:szCs w:val="24"/>
          <w:highlight w:val="none"/>
        </w:rPr>
        <w:t>汉中市生态资源数字驾驶舱</w:t>
      </w:r>
    </w:p>
    <w:p>
      <w:pPr>
        <w:pStyle w:val="21"/>
        <w:rPr>
          <w:rFonts w:ascii="宋体" w:hAnsi="宋体"/>
          <w:sz w:val="24"/>
          <w:szCs w:val="24"/>
          <w:highlight w:val="none"/>
        </w:rPr>
      </w:pPr>
      <w:r>
        <w:rPr>
          <w:rFonts w:hint="eastAsia" w:ascii="宋体" w:hAnsi="宋体"/>
          <w:sz w:val="24"/>
          <w:szCs w:val="24"/>
          <w:highlight w:val="none"/>
        </w:rPr>
        <w:t>汉中市生态资源数字驾驶舱实现挂图作业，为业务决策、管理提供“一站式”支持，综合采用数据仓库、数据挖掘、元数据管理、决策分析等技术，将汉中市资源资产管理、资源交易情况、绿色金融情况及基础资源资产信息进行可视化展示。</w:t>
      </w:r>
    </w:p>
    <w:p>
      <w:pPr>
        <w:spacing w:line="360" w:lineRule="auto"/>
        <w:rPr>
          <w:highlight w:val="none"/>
        </w:rPr>
      </w:pPr>
      <w:bookmarkStart w:id="107" w:name="_Toc22596"/>
      <w:bookmarkStart w:id="108" w:name="_Toc116574533"/>
      <w:bookmarkStart w:id="109" w:name="_Toc80363010"/>
      <w:bookmarkStart w:id="110" w:name="_Toc79616506"/>
      <w:bookmarkStart w:id="111" w:name="_Toc16452"/>
      <w:r>
        <w:rPr>
          <w:rFonts w:hint="eastAsia" w:ascii="宋体" w:hAnsi="宋体" w:eastAsia="宋体" w:cs="宋体"/>
          <w:b/>
          <w:bCs/>
          <w:sz w:val="24"/>
          <w:szCs w:val="24"/>
          <w:highlight w:val="none"/>
        </w:rPr>
        <w:t>4.5 数据</w:t>
      </w:r>
      <w:bookmarkStart w:id="112" w:name="_Toc73581070"/>
      <w:bookmarkStart w:id="113" w:name="_Hlk73560592"/>
      <w:r>
        <w:rPr>
          <w:rFonts w:hint="eastAsia" w:ascii="宋体" w:hAnsi="宋体" w:eastAsia="宋体" w:cs="宋体"/>
          <w:b/>
          <w:bCs/>
          <w:sz w:val="24"/>
          <w:szCs w:val="24"/>
          <w:highlight w:val="none"/>
        </w:rPr>
        <w:t>应用门户</w:t>
      </w:r>
      <w:bookmarkEnd w:id="107"/>
      <w:bookmarkEnd w:id="108"/>
      <w:bookmarkEnd w:id="109"/>
      <w:bookmarkEnd w:id="110"/>
      <w:bookmarkEnd w:id="111"/>
      <w:bookmarkEnd w:id="112"/>
      <w:bookmarkEnd w:id="113"/>
    </w:p>
    <w:p>
      <w:pPr>
        <w:pStyle w:val="21"/>
        <w:rPr>
          <w:rFonts w:ascii="宋体" w:hAnsi="宋体"/>
          <w:sz w:val="24"/>
          <w:szCs w:val="24"/>
          <w:highlight w:val="none"/>
        </w:rPr>
      </w:pPr>
      <w:r>
        <w:rPr>
          <w:rFonts w:hint="eastAsia" w:ascii="宋体" w:hAnsi="宋体"/>
          <w:sz w:val="24"/>
          <w:szCs w:val="24"/>
          <w:highlight w:val="none"/>
        </w:rPr>
        <w:t>面向委内各业务监管处室和中心领导、监管企业和省市级上级领导部门，应用门户支持个性化定制，统一应用接入管理，统一认证管理，统一服务提供。</w:t>
      </w:r>
    </w:p>
    <w:p>
      <w:pPr>
        <w:pStyle w:val="21"/>
        <w:rPr>
          <w:rFonts w:ascii="宋体" w:hAnsi="宋体"/>
          <w:sz w:val="24"/>
          <w:szCs w:val="24"/>
          <w:highlight w:val="none"/>
        </w:rPr>
      </w:pPr>
      <w:r>
        <w:rPr>
          <w:rFonts w:hint="eastAsia" w:ascii="宋体" w:hAnsi="宋体" w:eastAsia="宋体"/>
          <w:sz w:val="24"/>
          <w:szCs w:val="24"/>
          <w:highlight w:val="none"/>
        </w:rPr>
        <w:t>（1）</w:t>
      </w:r>
      <w:r>
        <w:rPr>
          <w:rFonts w:hint="eastAsia" w:ascii="宋体" w:hAnsi="宋体"/>
          <w:sz w:val="24"/>
          <w:szCs w:val="24"/>
          <w:highlight w:val="none"/>
        </w:rPr>
        <w:t>工作台</w:t>
      </w:r>
    </w:p>
    <w:p>
      <w:pPr>
        <w:pStyle w:val="21"/>
        <w:rPr>
          <w:rFonts w:ascii="宋体" w:hAnsi="宋体"/>
          <w:sz w:val="24"/>
          <w:szCs w:val="24"/>
          <w:highlight w:val="none"/>
        </w:rPr>
      </w:pPr>
      <w:r>
        <w:rPr>
          <w:rFonts w:hint="eastAsia" w:ascii="宋体" w:hAnsi="宋体"/>
          <w:sz w:val="24"/>
          <w:szCs w:val="24"/>
          <w:highlight w:val="none"/>
        </w:rPr>
        <w:t>按照系统使用对象提供关注、代办和个性化信息推荐的工作台，实现快速和直观操作。通过综合看板的个性化定制功能，用户可以基于指标方便组装个人定制看板。</w:t>
      </w:r>
    </w:p>
    <w:p>
      <w:pPr>
        <w:pStyle w:val="21"/>
        <w:rPr>
          <w:rFonts w:ascii="宋体" w:hAnsi="宋体"/>
          <w:sz w:val="24"/>
          <w:szCs w:val="24"/>
          <w:highlight w:val="none"/>
        </w:rPr>
      </w:pPr>
      <w:bookmarkStart w:id="114" w:name="_Toc11458"/>
      <w:r>
        <w:rPr>
          <w:rFonts w:hint="eastAsia" w:ascii="宋体" w:hAnsi="宋体" w:eastAsia="宋体"/>
          <w:sz w:val="24"/>
          <w:szCs w:val="24"/>
          <w:highlight w:val="none"/>
        </w:rPr>
        <w:t>（2）</w:t>
      </w:r>
      <w:r>
        <w:rPr>
          <w:rFonts w:hint="eastAsia" w:ascii="宋体" w:hAnsi="宋体"/>
          <w:sz w:val="24"/>
          <w:szCs w:val="24"/>
          <w:highlight w:val="none"/>
        </w:rPr>
        <w:t>统一身份认证</w:t>
      </w:r>
      <w:bookmarkEnd w:id="114"/>
    </w:p>
    <w:p>
      <w:pPr>
        <w:pStyle w:val="21"/>
        <w:rPr>
          <w:rFonts w:ascii="宋体" w:hAnsi="宋体"/>
          <w:sz w:val="24"/>
          <w:szCs w:val="24"/>
          <w:highlight w:val="none"/>
        </w:rPr>
      </w:pPr>
      <w:r>
        <w:rPr>
          <w:rFonts w:hint="eastAsia" w:ascii="宋体" w:hAnsi="宋体"/>
          <w:sz w:val="24"/>
          <w:szCs w:val="24"/>
          <w:highlight w:val="none"/>
        </w:rPr>
        <w:t>门户提供统一身份认证，多应用接入，通过统一身份认证、统一权限管理、统一用户安全管理等技术，确保各类应用系统、业务数据安全可靠地集成和共享。</w:t>
      </w:r>
    </w:p>
    <w:p>
      <w:pPr>
        <w:pStyle w:val="21"/>
        <w:rPr>
          <w:rFonts w:ascii="宋体" w:hAnsi="宋体"/>
          <w:sz w:val="24"/>
          <w:szCs w:val="24"/>
          <w:highlight w:val="none"/>
        </w:rPr>
      </w:pPr>
      <w:bookmarkStart w:id="115" w:name="_Toc18354"/>
      <w:r>
        <w:rPr>
          <w:rFonts w:hint="eastAsia" w:ascii="宋体" w:hAnsi="宋体" w:eastAsia="宋体"/>
          <w:sz w:val="24"/>
          <w:szCs w:val="24"/>
          <w:highlight w:val="none"/>
        </w:rPr>
        <w:t>（3）</w:t>
      </w:r>
      <w:r>
        <w:rPr>
          <w:rFonts w:hint="eastAsia" w:ascii="宋体" w:hAnsi="宋体"/>
          <w:sz w:val="24"/>
          <w:szCs w:val="24"/>
          <w:highlight w:val="none"/>
        </w:rPr>
        <w:t>组织机构管理</w:t>
      </w:r>
      <w:bookmarkEnd w:id="115"/>
    </w:p>
    <w:p>
      <w:pPr>
        <w:pStyle w:val="21"/>
        <w:rPr>
          <w:rFonts w:ascii="宋体" w:hAnsi="宋体"/>
          <w:sz w:val="24"/>
          <w:szCs w:val="24"/>
          <w:highlight w:val="none"/>
        </w:rPr>
      </w:pPr>
      <w:r>
        <w:rPr>
          <w:rFonts w:hint="eastAsia" w:ascii="宋体" w:hAnsi="宋体"/>
          <w:sz w:val="24"/>
          <w:szCs w:val="24"/>
          <w:highlight w:val="none"/>
        </w:rPr>
        <w:t>构建统一用户数据源和统一组织信息存储和管理，准确表示组织结构关系，能灵活增减用户属性，多样化的用户和用户组管理。</w:t>
      </w:r>
    </w:p>
    <w:p>
      <w:pPr>
        <w:pStyle w:val="21"/>
        <w:rPr>
          <w:rFonts w:ascii="宋体" w:hAnsi="宋体"/>
          <w:sz w:val="24"/>
          <w:szCs w:val="24"/>
          <w:highlight w:val="none"/>
        </w:rPr>
      </w:pPr>
      <w:bookmarkStart w:id="116" w:name="_Toc5741"/>
      <w:r>
        <w:rPr>
          <w:rFonts w:hint="eastAsia" w:ascii="宋体" w:hAnsi="宋体" w:eastAsia="宋体"/>
          <w:sz w:val="24"/>
          <w:szCs w:val="24"/>
          <w:highlight w:val="none"/>
        </w:rPr>
        <w:t>（4）</w:t>
      </w:r>
      <w:r>
        <w:rPr>
          <w:rFonts w:hint="eastAsia" w:ascii="宋体" w:hAnsi="宋体"/>
          <w:sz w:val="24"/>
          <w:szCs w:val="24"/>
          <w:highlight w:val="none"/>
        </w:rPr>
        <w:t>应用管理</w:t>
      </w:r>
      <w:bookmarkEnd w:id="116"/>
    </w:p>
    <w:p>
      <w:pPr>
        <w:pStyle w:val="21"/>
        <w:rPr>
          <w:rFonts w:ascii="宋体" w:hAnsi="宋体"/>
          <w:sz w:val="24"/>
          <w:szCs w:val="24"/>
          <w:highlight w:val="none"/>
        </w:rPr>
      </w:pPr>
      <w:r>
        <w:rPr>
          <w:rFonts w:hint="eastAsia" w:ascii="宋体" w:hAnsi="宋体"/>
          <w:sz w:val="24"/>
          <w:szCs w:val="24"/>
          <w:highlight w:val="none"/>
        </w:rPr>
        <w:t>管理通过门户链接操作的内外部应用组件或系统，分配组织和用户权限。</w:t>
      </w:r>
    </w:p>
    <w:p>
      <w:pPr>
        <w:pStyle w:val="21"/>
        <w:rPr>
          <w:rFonts w:ascii="宋体" w:hAnsi="宋体"/>
          <w:sz w:val="24"/>
          <w:szCs w:val="24"/>
          <w:highlight w:val="none"/>
        </w:rPr>
      </w:pPr>
      <w:r>
        <w:rPr>
          <w:rFonts w:hint="eastAsia" w:ascii="宋体" w:hAnsi="宋体" w:eastAsia="宋体"/>
          <w:sz w:val="24"/>
          <w:szCs w:val="24"/>
          <w:highlight w:val="none"/>
        </w:rPr>
        <w:t>（5）</w:t>
      </w:r>
      <w:r>
        <w:rPr>
          <w:rFonts w:hint="eastAsia" w:ascii="宋体" w:hAnsi="宋体"/>
          <w:sz w:val="24"/>
          <w:szCs w:val="24"/>
          <w:highlight w:val="none"/>
        </w:rPr>
        <w:t>可视化展示</w:t>
      </w:r>
    </w:p>
    <w:p>
      <w:pPr>
        <w:spacing w:line="360" w:lineRule="auto"/>
        <w:ind w:firstLine="480" w:firstLineChars="200"/>
        <w:rPr>
          <w:highlight w:val="none"/>
        </w:rPr>
      </w:pPr>
      <w:r>
        <w:rPr>
          <w:rFonts w:hint="eastAsia" w:ascii="宋体" w:hAnsi="宋体"/>
          <w:sz w:val="24"/>
          <w:szCs w:val="24"/>
          <w:highlight w:val="none"/>
        </w:rPr>
        <w:t>以国资监管业务数据为基础，旨在打造敏捷开放的大数据探索、可视化分析与展现能力，提供一个集数据源配置、自助取数、报表分析、可视化展现为一体的可视化展示工作台，为国资监管系统业务人员提供自助式、可视化、实时化、可协作的数据探索与分析能力，通过动态、联动的可视化效果展现财务快报、人事管理、三重一大相关国资数据指标。</w:t>
      </w:r>
    </w:p>
    <w:p>
      <w:pPr>
        <w:spacing w:line="360" w:lineRule="auto"/>
        <w:rPr>
          <w:rFonts w:ascii="宋体" w:hAnsi="宋体" w:eastAsia="宋体" w:cs="宋体"/>
          <w:b/>
          <w:bCs/>
          <w:sz w:val="24"/>
          <w:szCs w:val="24"/>
          <w:highlight w:val="none"/>
        </w:rPr>
      </w:pPr>
      <w:bookmarkStart w:id="117" w:name="_Toc116574534"/>
      <w:r>
        <w:rPr>
          <w:rFonts w:hint="eastAsia" w:ascii="宋体" w:hAnsi="宋体" w:eastAsia="宋体" w:cs="宋体"/>
          <w:b/>
          <w:bCs/>
          <w:sz w:val="24"/>
          <w:szCs w:val="24"/>
          <w:highlight w:val="none"/>
        </w:rPr>
        <w:t>5.项目对接要求</w:t>
      </w:r>
      <w:bookmarkEnd w:id="117"/>
    </w:p>
    <w:p>
      <w:pPr>
        <w:pStyle w:val="21"/>
        <w:rPr>
          <w:rFonts w:ascii="宋体" w:hAnsi="宋体"/>
          <w:sz w:val="24"/>
          <w:szCs w:val="24"/>
          <w:highlight w:val="none"/>
        </w:rPr>
      </w:pPr>
      <w:r>
        <w:rPr>
          <w:rFonts w:ascii="宋体" w:hAnsi="宋体"/>
          <w:sz w:val="24"/>
          <w:szCs w:val="24"/>
          <w:highlight w:val="none"/>
        </w:rPr>
        <w:t>中标供应商需协助采购人与省国资委监管系统进行数据对接，根据采购人要求，实现数据传输及数据指标对接工作</w:t>
      </w:r>
      <w:r>
        <w:rPr>
          <w:rFonts w:hint="eastAsia" w:ascii="宋体" w:hAnsi="宋体"/>
          <w:sz w:val="24"/>
          <w:szCs w:val="24"/>
          <w:highlight w:val="none"/>
        </w:rPr>
        <w:t>，</w:t>
      </w:r>
      <w:r>
        <w:rPr>
          <w:rFonts w:ascii="宋体" w:hAnsi="宋体"/>
          <w:sz w:val="24"/>
          <w:szCs w:val="24"/>
          <w:highlight w:val="none"/>
        </w:rPr>
        <w:t>满足省国资委监管系统的数据要求。</w:t>
      </w:r>
    </w:p>
    <w:p>
      <w:pPr>
        <w:pStyle w:val="21"/>
        <w:rPr>
          <w:highlight w:val="none"/>
        </w:rPr>
      </w:pPr>
      <w:r>
        <w:rPr>
          <w:rFonts w:hint="eastAsia" w:ascii="宋体" w:hAnsi="宋体"/>
          <w:sz w:val="24"/>
          <w:szCs w:val="24"/>
          <w:highlight w:val="none"/>
        </w:rPr>
        <w:t>汉中市</w:t>
      </w:r>
      <w:r>
        <w:rPr>
          <w:rFonts w:ascii="宋体" w:hAnsi="宋体"/>
          <w:sz w:val="24"/>
          <w:szCs w:val="24"/>
          <w:highlight w:val="none"/>
        </w:rPr>
        <w:t>国资委</w:t>
      </w:r>
      <w:r>
        <w:rPr>
          <w:rFonts w:hint="eastAsia" w:ascii="宋体" w:hAnsi="宋体"/>
          <w:sz w:val="24"/>
          <w:szCs w:val="24"/>
          <w:highlight w:val="none"/>
        </w:rPr>
        <w:t>国资监管</w:t>
      </w:r>
      <w:r>
        <w:rPr>
          <w:rFonts w:ascii="宋体" w:hAnsi="宋体"/>
          <w:sz w:val="24"/>
          <w:szCs w:val="24"/>
          <w:highlight w:val="none"/>
        </w:rPr>
        <w:t>平台</w:t>
      </w:r>
      <w:r>
        <w:rPr>
          <w:rFonts w:hint="eastAsia" w:ascii="宋体" w:hAnsi="宋体"/>
          <w:sz w:val="24"/>
          <w:szCs w:val="24"/>
          <w:highlight w:val="none"/>
        </w:rPr>
        <w:t>需</w:t>
      </w:r>
      <w:r>
        <w:rPr>
          <w:rFonts w:ascii="宋体" w:hAnsi="宋体"/>
          <w:sz w:val="24"/>
          <w:szCs w:val="24"/>
          <w:highlight w:val="none"/>
        </w:rPr>
        <w:t>遵循国务院</w:t>
      </w:r>
      <w:r>
        <w:rPr>
          <w:rFonts w:hint="eastAsia" w:ascii="宋体" w:hAnsi="宋体"/>
          <w:sz w:val="24"/>
          <w:szCs w:val="24"/>
          <w:highlight w:val="none"/>
        </w:rPr>
        <w:t>、陕西省下发的《国资国企在线监管系统数据指标目录》进行开发建设。</w:t>
      </w:r>
      <w:r>
        <w:rPr>
          <w:rFonts w:ascii="宋体" w:hAnsi="宋体"/>
          <w:sz w:val="24"/>
          <w:szCs w:val="24"/>
          <w:highlight w:val="none"/>
        </w:rPr>
        <w:t>市国资委和省国资委</w:t>
      </w:r>
      <w:r>
        <w:rPr>
          <w:rFonts w:hint="eastAsia" w:ascii="宋体" w:hAnsi="宋体"/>
          <w:sz w:val="24"/>
          <w:szCs w:val="24"/>
          <w:highlight w:val="none"/>
        </w:rPr>
        <w:t>基于专线链路，</w:t>
      </w:r>
      <w:r>
        <w:rPr>
          <w:rFonts w:ascii="宋体" w:hAnsi="宋体"/>
          <w:sz w:val="24"/>
          <w:szCs w:val="24"/>
          <w:highlight w:val="none"/>
        </w:rPr>
        <w:t>建立专属数据交换通道，在</w:t>
      </w:r>
      <w:r>
        <w:rPr>
          <w:rFonts w:hint="eastAsia" w:ascii="宋体" w:hAnsi="宋体"/>
          <w:sz w:val="24"/>
          <w:szCs w:val="24"/>
          <w:highlight w:val="none"/>
        </w:rPr>
        <w:t>汉中</w:t>
      </w:r>
      <w:r>
        <w:rPr>
          <w:rFonts w:ascii="宋体" w:hAnsi="宋体"/>
          <w:sz w:val="24"/>
          <w:szCs w:val="24"/>
          <w:highlight w:val="none"/>
        </w:rPr>
        <w:t>市国资委</w:t>
      </w:r>
      <w:r>
        <w:rPr>
          <w:rFonts w:hint="eastAsia" w:ascii="宋体" w:hAnsi="宋体"/>
          <w:sz w:val="24"/>
          <w:szCs w:val="24"/>
          <w:highlight w:val="none"/>
        </w:rPr>
        <w:t>前置机上</w:t>
      </w:r>
      <w:r>
        <w:rPr>
          <w:rFonts w:ascii="宋体" w:hAnsi="宋体"/>
          <w:sz w:val="24"/>
          <w:szCs w:val="24"/>
          <w:highlight w:val="none"/>
        </w:rPr>
        <w:t>部署</w:t>
      </w:r>
      <w:r>
        <w:rPr>
          <w:rFonts w:hint="eastAsia" w:ascii="宋体" w:hAnsi="宋体"/>
          <w:sz w:val="24"/>
          <w:szCs w:val="24"/>
          <w:highlight w:val="none"/>
        </w:rPr>
        <w:t>省国资委的</w:t>
      </w:r>
      <w:r>
        <w:rPr>
          <w:rFonts w:ascii="宋体" w:hAnsi="宋体"/>
          <w:sz w:val="24"/>
          <w:szCs w:val="24"/>
          <w:highlight w:val="none"/>
        </w:rPr>
        <w:t>数据采集</w:t>
      </w:r>
      <w:r>
        <w:rPr>
          <w:rFonts w:hint="eastAsia" w:ascii="宋体" w:hAnsi="宋体"/>
          <w:sz w:val="24"/>
          <w:szCs w:val="24"/>
          <w:highlight w:val="none"/>
        </w:rPr>
        <w:t>汇聚</w:t>
      </w:r>
      <w:r>
        <w:rPr>
          <w:rFonts w:ascii="宋体" w:hAnsi="宋体"/>
          <w:sz w:val="24"/>
          <w:szCs w:val="24"/>
          <w:highlight w:val="none"/>
        </w:rPr>
        <w:t>平台，以接口方式实现与省国资委端的数据采集。</w:t>
      </w:r>
    </w:p>
    <w:p>
      <w:pPr>
        <w:pStyle w:val="22"/>
        <w:numPr>
          <w:ilvl w:val="0"/>
          <w:numId w:val="0"/>
        </w:numPr>
        <w:tabs>
          <w:tab w:val="left" w:pos="525"/>
          <w:tab w:val="left" w:pos="993"/>
          <w:tab w:val="clear" w:pos="1206"/>
        </w:tabs>
        <w:spacing w:before="0" w:beforeLines="0" w:after="0" w:afterLines="0" w:line="360" w:lineRule="auto"/>
        <w:outlineLvl w:val="1"/>
        <w:rPr>
          <w:rFonts w:ascii="宋体" w:hAnsi="宋体" w:eastAsia="宋体" w:cs="宋体"/>
          <w:b/>
          <w:bCs/>
          <w:sz w:val="24"/>
          <w:szCs w:val="24"/>
          <w:highlight w:val="none"/>
        </w:rPr>
      </w:pPr>
      <w:bookmarkStart w:id="118" w:name="_Toc116574535"/>
      <w:r>
        <w:rPr>
          <w:rFonts w:hint="eastAsia" w:ascii="宋体" w:hAnsi="宋体" w:eastAsia="宋体" w:cs="宋体"/>
          <w:b/>
          <w:bCs/>
          <w:sz w:val="24"/>
          <w:szCs w:val="24"/>
          <w:highlight w:val="none"/>
        </w:rPr>
        <w:t>6.项目部署要求</w:t>
      </w:r>
      <w:bookmarkEnd w:id="118"/>
    </w:p>
    <w:p>
      <w:pPr>
        <w:pStyle w:val="21"/>
        <w:rPr>
          <w:rFonts w:ascii="宋体" w:hAnsi="宋体"/>
          <w:sz w:val="24"/>
          <w:szCs w:val="24"/>
          <w:highlight w:val="none"/>
        </w:rPr>
      </w:pPr>
      <w:r>
        <w:rPr>
          <w:rFonts w:ascii="宋体" w:hAnsi="宋体"/>
          <w:sz w:val="24"/>
          <w:szCs w:val="24"/>
          <w:highlight w:val="none"/>
        </w:rPr>
        <w:t>本期项目整体运行环境采用</w:t>
      </w:r>
      <w:r>
        <w:rPr>
          <w:rFonts w:hint="eastAsia" w:ascii="宋体" w:hAnsi="宋体"/>
          <w:sz w:val="24"/>
          <w:szCs w:val="24"/>
          <w:highlight w:val="none"/>
        </w:rPr>
        <w:t>汉中</w:t>
      </w:r>
      <w:r>
        <w:rPr>
          <w:rFonts w:ascii="宋体" w:hAnsi="宋体"/>
          <w:sz w:val="24"/>
          <w:szCs w:val="24"/>
          <w:highlight w:val="none"/>
        </w:rPr>
        <w:t>政务云平台体系进行构建，需提供详细云平台部署资源清单说明，在资源合理利用的基础上，保证当前及未来业务扩展能力需求。系统部署符合信息安全等级保护三级认证要求。</w:t>
      </w:r>
    </w:p>
    <w:p>
      <w:pPr>
        <w:pStyle w:val="22"/>
        <w:numPr>
          <w:ilvl w:val="0"/>
          <w:numId w:val="0"/>
        </w:numPr>
        <w:tabs>
          <w:tab w:val="left" w:pos="525"/>
          <w:tab w:val="left" w:pos="993"/>
          <w:tab w:val="clear" w:pos="1206"/>
        </w:tabs>
        <w:spacing w:before="0" w:beforeLines="0" w:after="0" w:afterLines="0" w:line="360" w:lineRule="auto"/>
        <w:outlineLvl w:val="1"/>
        <w:rPr>
          <w:rFonts w:ascii="宋体" w:hAnsi="宋体" w:eastAsia="宋体" w:cs="宋体"/>
          <w:b/>
          <w:bCs/>
          <w:sz w:val="24"/>
          <w:szCs w:val="24"/>
          <w:highlight w:val="none"/>
        </w:rPr>
      </w:pPr>
      <w:bookmarkStart w:id="119" w:name="_Toc116574536"/>
      <w:r>
        <w:rPr>
          <w:rFonts w:hint="eastAsia" w:ascii="宋体" w:hAnsi="宋体" w:eastAsia="宋体" w:cs="宋体"/>
          <w:b/>
          <w:bCs/>
          <w:sz w:val="24"/>
          <w:szCs w:val="24"/>
          <w:highlight w:val="none"/>
        </w:rPr>
        <w:t>7.项目非功能要求</w:t>
      </w:r>
      <w:bookmarkEnd w:id="119"/>
    </w:p>
    <w:p>
      <w:pPr>
        <w:pStyle w:val="23"/>
        <w:numPr>
          <w:ilvl w:val="1"/>
          <w:numId w:val="0"/>
        </w:numPr>
        <w:spacing w:before="0" w:beforeLines="0" w:after="0" w:afterLines="0" w:line="360" w:lineRule="auto"/>
        <w:outlineLvl w:val="2"/>
        <w:rPr>
          <w:rFonts w:ascii="宋体" w:hAnsi="宋体" w:cs="宋体"/>
          <w:b/>
          <w:bCs/>
          <w:sz w:val="24"/>
          <w:szCs w:val="24"/>
          <w:highlight w:val="none"/>
        </w:rPr>
      </w:pPr>
      <w:r>
        <w:rPr>
          <w:rFonts w:hint="eastAsia" w:ascii="宋体" w:hAnsi="宋体" w:cs="宋体"/>
          <w:b/>
          <w:bCs/>
          <w:sz w:val="24"/>
          <w:szCs w:val="24"/>
          <w:highlight w:val="none"/>
        </w:rPr>
        <w:t xml:space="preserve">7.1 </w:t>
      </w:r>
      <w:bookmarkStart w:id="120" w:name="_Toc116574537"/>
      <w:r>
        <w:rPr>
          <w:rFonts w:hint="eastAsia" w:ascii="宋体" w:hAnsi="宋体" w:cs="宋体"/>
          <w:b/>
          <w:bCs/>
          <w:sz w:val="24"/>
          <w:szCs w:val="24"/>
          <w:highlight w:val="none"/>
        </w:rPr>
        <w:t>用户数需求</w:t>
      </w:r>
      <w:bookmarkEnd w:id="120"/>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系统用户数400，最大并发量80。</w:t>
      </w:r>
    </w:p>
    <w:p>
      <w:pPr>
        <w:pStyle w:val="23"/>
        <w:numPr>
          <w:ilvl w:val="1"/>
          <w:numId w:val="0"/>
        </w:numPr>
        <w:spacing w:before="0" w:beforeLines="0" w:after="0" w:afterLines="0" w:line="360" w:lineRule="auto"/>
        <w:outlineLvl w:val="2"/>
        <w:rPr>
          <w:rFonts w:ascii="宋体" w:hAnsi="宋体" w:cs="宋体"/>
          <w:b/>
          <w:bCs/>
          <w:sz w:val="24"/>
          <w:szCs w:val="24"/>
          <w:highlight w:val="none"/>
        </w:rPr>
      </w:pPr>
      <w:r>
        <w:rPr>
          <w:rFonts w:hint="eastAsia" w:ascii="宋体" w:hAnsi="宋体" w:cs="宋体"/>
          <w:b/>
          <w:bCs/>
          <w:sz w:val="24"/>
          <w:szCs w:val="24"/>
          <w:highlight w:val="none"/>
        </w:rPr>
        <w:t xml:space="preserve">7.2 </w:t>
      </w:r>
      <w:bookmarkStart w:id="121" w:name="_Toc116574538"/>
      <w:r>
        <w:rPr>
          <w:rFonts w:hint="eastAsia" w:ascii="宋体" w:hAnsi="宋体" w:cs="宋体"/>
          <w:b/>
          <w:bCs/>
          <w:sz w:val="24"/>
          <w:szCs w:val="24"/>
          <w:highlight w:val="none"/>
        </w:rPr>
        <w:t>数据处理能力需求</w:t>
      </w:r>
      <w:bookmarkEnd w:id="121"/>
    </w:p>
    <w:p>
      <w:pPr>
        <w:pStyle w:val="23"/>
        <w:numPr>
          <w:ilvl w:val="1"/>
          <w:numId w:val="0"/>
        </w:numPr>
        <w:spacing w:before="0" w:beforeLines="0" w:after="0" w:afterLines="0" w:line="360" w:lineRule="auto"/>
        <w:ind w:firstLine="480" w:firstLineChars="200"/>
        <w:outlineLvl w:val="2"/>
        <w:rPr>
          <w:rFonts w:ascii="宋体" w:hAnsi="宋体" w:eastAsia="Arial"/>
          <w:sz w:val="24"/>
          <w:szCs w:val="24"/>
          <w:highlight w:val="none"/>
        </w:rPr>
      </w:pPr>
      <w:r>
        <w:rPr>
          <w:rFonts w:hint="eastAsia" w:ascii="宋体" w:hAnsi="宋体" w:eastAsia="Arial"/>
          <w:sz w:val="24"/>
          <w:szCs w:val="24"/>
          <w:highlight w:val="none"/>
        </w:rPr>
        <w:t>系统应保证平台快速响应客户请求，对于普通事务类操作，页面响应时间不能超过1秒，对于复杂的分析类请求，页面响应时间不能超过3秒。</w:t>
      </w:r>
    </w:p>
    <w:p>
      <w:pPr>
        <w:spacing w:line="360" w:lineRule="auto"/>
        <w:rPr>
          <w:rFonts w:ascii="宋体" w:hAnsi="宋体" w:eastAsia="宋体" w:cs="宋体"/>
          <w:b/>
          <w:bCs/>
          <w:sz w:val="24"/>
          <w:szCs w:val="24"/>
          <w:highlight w:val="none"/>
        </w:rPr>
      </w:pPr>
      <w:r>
        <w:rPr>
          <w:rFonts w:hint="eastAsia" w:ascii="宋体" w:hAnsi="宋体" w:eastAsia="宋体" w:cs="宋体"/>
          <w:b/>
          <w:bCs/>
          <w:sz w:val="24"/>
          <w:szCs w:val="24"/>
          <w:highlight w:val="none"/>
        </w:rPr>
        <w:t xml:space="preserve">7.3 </w:t>
      </w:r>
      <w:bookmarkStart w:id="122" w:name="_Hlk46599400"/>
      <w:bookmarkStart w:id="123" w:name="_Toc116574539"/>
      <w:r>
        <w:rPr>
          <w:rFonts w:hint="eastAsia" w:ascii="宋体" w:hAnsi="宋体" w:eastAsia="宋体" w:cs="宋体"/>
          <w:b/>
          <w:bCs/>
          <w:sz w:val="24"/>
          <w:szCs w:val="24"/>
          <w:highlight w:val="none"/>
        </w:rPr>
        <w:t>系统可维护性</w:t>
      </w:r>
      <w:bookmarkEnd w:id="122"/>
      <w:r>
        <w:rPr>
          <w:rFonts w:hint="eastAsia" w:ascii="宋体" w:hAnsi="宋体" w:eastAsia="宋体" w:cs="宋体"/>
          <w:b/>
          <w:bCs/>
          <w:sz w:val="24"/>
          <w:szCs w:val="24"/>
          <w:highlight w:val="none"/>
        </w:rPr>
        <w:t>需求</w:t>
      </w:r>
      <w:bookmarkEnd w:id="123"/>
      <w:bookmarkStart w:id="124" w:name="_Hlk46599455"/>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系统设计应充分考虑系统的可维护性，便于对系统的统一管理和升级，管理界面友好，易操作，便于对系统的设置、调整和升级维护等。</w:t>
      </w:r>
      <w:bookmarkEnd w:id="124"/>
    </w:p>
    <w:p>
      <w:pPr>
        <w:pStyle w:val="23"/>
        <w:numPr>
          <w:ilvl w:val="1"/>
          <w:numId w:val="0"/>
        </w:numPr>
        <w:spacing w:before="0" w:beforeLines="0" w:after="0" w:afterLines="0" w:line="360" w:lineRule="auto"/>
        <w:outlineLvl w:val="2"/>
        <w:rPr>
          <w:rFonts w:ascii="宋体" w:hAnsi="宋体" w:cs="宋体"/>
          <w:b/>
          <w:bCs/>
          <w:sz w:val="24"/>
          <w:szCs w:val="24"/>
          <w:highlight w:val="none"/>
        </w:rPr>
      </w:pPr>
      <w:bookmarkStart w:id="125" w:name="_Hlk46599740"/>
      <w:bookmarkStart w:id="126" w:name="_Toc14634"/>
      <w:bookmarkStart w:id="127" w:name="_Toc5286"/>
      <w:bookmarkStart w:id="128" w:name="_Toc21533"/>
      <w:bookmarkStart w:id="129" w:name="_Toc32055"/>
      <w:bookmarkStart w:id="130" w:name="_Toc12672"/>
      <w:bookmarkStart w:id="131" w:name="_Toc116574540"/>
      <w:bookmarkStart w:id="132" w:name="_Toc5883"/>
      <w:bookmarkStart w:id="133" w:name="_Toc20195"/>
      <w:bookmarkStart w:id="134" w:name="_Toc18729"/>
      <w:bookmarkStart w:id="135" w:name="_Toc15333"/>
      <w:bookmarkStart w:id="136" w:name="_Toc30699"/>
      <w:bookmarkStart w:id="137" w:name="_Toc459301230"/>
      <w:r>
        <w:rPr>
          <w:rFonts w:hint="eastAsia" w:ascii="宋体" w:hAnsi="宋体" w:cs="宋体"/>
          <w:b/>
          <w:bCs/>
          <w:sz w:val="24"/>
          <w:szCs w:val="24"/>
          <w:highlight w:val="none"/>
        </w:rPr>
        <w:t>7.4 系统可用性</w:t>
      </w:r>
      <w:bookmarkEnd w:id="125"/>
      <w:r>
        <w:rPr>
          <w:rFonts w:hint="eastAsia" w:ascii="宋体" w:hAnsi="宋体" w:cs="宋体"/>
          <w:b/>
          <w:bCs/>
          <w:sz w:val="24"/>
          <w:szCs w:val="24"/>
          <w:highlight w:val="none"/>
        </w:rPr>
        <w:t>需求</w:t>
      </w:r>
      <w:bookmarkEnd w:id="126"/>
      <w:bookmarkEnd w:id="127"/>
      <w:bookmarkEnd w:id="128"/>
      <w:bookmarkEnd w:id="129"/>
      <w:bookmarkEnd w:id="130"/>
      <w:bookmarkEnd w:id="131"/>
      <w:bookmarkEnd w:id="132"/>
      <w:bookmarkEnd w:id="133"/>
      <w:bookmarkEnd w:id="134"/>
      <w:bookmarkEnd w:id="135"/>
      <w:bookmarkEnd w:id="136"/>
      <w:bookmarkEnd w:id="137"/>
    </w:p>
    <w:p>
      <w:pPr>
        <w:pStyle w:val="24"/>
        <w:rPr>
          <w:rFonts w:cs="宋体"/>
          <w:highlight w:val="none"/>
        </w:rPr>
      </w:pPr>
      <w:bookmarkStart w:id="138" w:name="_Hlk46599763"/>
      <w:r>
        <w:rPr>
          <w:rFonts w:hint="eastAsia" w:cs="宋体"/>
          <w:highlight w:val="none"/>
        </w:rPr>
        <w:t>提供友好、方便的功能操作界面。提供完善的系统操作日志以及异常日志方便故障后进行分析提供依据。</w:t>
      </w:r>
    </w:p>
    <w:bookmarkEnd w:id="138"/>
    <w:p>
      <w:pPr>
        <w:pStyle w:val="23"/>
        <w:numPr>
          <w:ilvl w:val="1"/>
          <w:numId w:val="0"/>
        </w:numPr>
        <w:spacing w:before="0" w:beforeLines="0" w:after="0" w:afterLines="0" w:line="360" w:lineRule="auto"/>
        <w:outlineLvl w:val="2"/>
        <w:rPr>
          <w:b/>
          <w:bCs/>
          <w:sz w:val="24"/>
          <w:szCs w:val="24"/>
          <w:highlight w:val="none"/>
        </w:rPr>
      </w:pPr>
      <w:bookmarkStart w:id="139" w:name="_Hlk46599810"/>
      <w:bookmarkStart w:id="140" w:name="_Toc32743"/>
      <w:bookmarkStart w:id="141" w:name="_Toc116574541"/>
      <w:bookmarkStart w:id="142" w:name="_Toc1248"/>
      <w:bookmarkStart w:id="143" w:name="_Toc23150"/>
      <w:bookmarkStart w:id="144" w:name="_Toc13359"/>
      <w:bookmarkStart w:id="145" w:name="_Toc459301231"/>
      <w:bookmarkStart w:id="146" w:name="_Toc10724"/>
      <w:bookmarkStart w:id="147" w:name="_Toc23882"/>
      <w:bookmarkStart w:id="148" w:name="_Toc28896"/>
      <w:bookmarkStart w:id="149" w:name="_Toc20944"/>
      <w:bookmarkStart w:id="150" w:name="_Toc17099"/>
      <w:bookmarkStart w:id="151" w:name="_Toc7175"/>
      <w:r>
        <w:rPr>
          <w:rFonts w:hint="eastAsia" w:ascii="宋体" w:hAnsi="宋体" w:cs="宋体"/>
          <w:b/>
          <w:bCs/>
          <w:sz w:val="24"/>
          <w:szCs w:val="24"/>
          <w:highlight w:val="none"/>
        </w:rPr>
        <w:t>7.5 系统可</w:t>
      </w:r>
      <w:r>
        <w:rPr>
          <w:rFonts w:hint="eastAsia"/>
          <w:b/>
          <w:bCs/>
          <w:sz w:val="24"/>
          <w:szCs w:val="24"/>
          <w:highlight w:val="none"/>
        </w:rPr>
        <w:t>靠性</w:t>
      </w:r>
      <w:bookmarkEnd w:id="139"/>
      <w:r>
        <w:rPr>
          <w:rFonts w:hint="eastAsia"/>
          <w:b/>
          <w:bCs/>
          <w:sz w:val="24"/>
          <w:szCs w:val="24"/>
          <w:highlight w:val="none"/>
        </w:rPr>
        <w:t>需求</w:t>
      </w:r>
      <w:bookmarkEnd w:id="140"/>
      <w:bookmarkEnd w:id="141"/>
      <w:bookmarkEnd w:id="142"/>
      <w:bookmarkEnd w:id="143"/>
      <w:bookmarkEnd w:id="144"/>
      <w:bookmarkEnd w:id="145"/>
      <w:bookmarkEnd w:id="146"/>
      <w:bookmarkEnd w:id="147"/>
      <w:bookmarkEnd w:id="148"/>
      <w:bookmarkEnd w:id="149"/>
      <w:bookmarkEnd w:id="150"/>
      <w:bookmarkEnd w:id="151"/>
      <w:bookmarkStart w:id="152" w:name="_Hlk46599831"/>
    </w:p>
    <w:p>
      <w:pPr>
        <w:pStyle w:val="24"/>
        <w:rPr>
          <w:rFonts w:cs="宋体"/>
          <w:highlight w:val="none"/>
        </w:rPr>
      </w:pPr>
      <w:r>
        <w:rPr>
          <w:rFonts w:hint="eastAsia" w:cs="宋体"/>
          <w:highlight w:val="none"/>
        </w:rPr>
        <w:t>系统保证不间断工作。系统无单点故障。系统应有的容错能力，对于单一功能的故障不影响系统其他功能的正常使用。</w:t>
      </w:r>
      <w:bookmarkEnd w:id="152"/>
    </w:p>
    <w:p>
      <w:pPr>
        <w:pStyle w:val="23"/>
        <w:numPr>
          <w:ilvl w:val="1"/>
          <w:numId w:val="0"/>
        </w:numPr>
        <w:spacing w:before="0" w:beforeLines="0" w:after="0" w:afterLines="0" w:line="360" w:lineRule="auto"/>
        <w:outlineLvl w:val="2"/>
        <w:rPr>
          <w:rFonts w:ascii="宋体" w:hAnsi="宋体" w:cs="宋体"/>
          <w:b/>
          <w:bCs/>
          <w:sz w:val="24"/>
          <w:szCs w:val="24"/>
          <w:highlight w:val="none"/>
        </w:rPr>
      </w:pPr>
      <w:bookmarkStart w:id="153" w:name="_Hlk46599920"/>
      <w:bookmarkStart w:id="154" w:name="_Toc26928"/>
      <w:bookmarkStart w:id="155" w:name="_Toc19754"/>
      <w:bookmarkStart w:id="156" w:name="_Toc7558"/>
      <w:bookmarkStart w:id="157" w:name="_Toc116574542"/>
      <w:bookmarkStart w:id="158" w:name="_Toc2678"/>
      <w:bookmarkStart w:id="159" w:name="_Toc7408"/>
      <w:bookmarkStart w:id="160" w:name="_Toc28489"/>
      <w:bookmarkStart w:id="161" w:name="_Toc4762"/>
      <w:bookmarkStart w:id="162" w:name="_Toc20790"/>
      <w:r>
        <w:rPr>
          <w:rFonts w:hint="eastAsia" w:ascii="宋体" w:hAnsi="宋体" w:cs="宋体"/>
          <w:b/>
          <w:bCs/>
          <w:sz w:val="24"/>
          <w:szCs w:val="24"/>
          <w:highlight w:val="none"/>
        </w:rPr>
        <w:t>7.6 系统安全性</w:t>
      </w:r>
      <w:bookmarkEnd w:id="153"/>
      <w:r>
        <w:rPr>
          <w:rFonts w:hint="eastAsia" w:ascii="宋体" w:hAnsi="宋体" w:cs="宋体"/>
          <w:b/>
          <w:bCs/>
          <w:sz w:val="24"/>
          <w:szCs w:val="24"/>
          <w:highlight w:val="none"/>
        </w:rPr>
        <w:t>需求</w:t>
      </w:r>
      <w:bookmarkEnd w:id="154"/>
      <w:bookmarkEnd w:id="155"/>
      <w:bookmarkEnd w:id="156"/>
      <w:bookmarkEnd w:id="157"/>
      <w:bookmarkEnd w:id="158"/>
      <w:bookmarkEnd w:id="159"/>
      <w:bookmarkEnd w:id="160"/>
      <w:bookmarkEnd w:id="161"/>
      <w:bookmarkEnd w:id="162"/>
    </w:p>
    <w:p>
      <w:pPr>
        <w:pStyle w:val="2"/>
        <w:spacing w:line="360" w:lineRule="auto"/>
        <w:ind w:firstLine="480" w:firstLineChars="200"/>
        <w:rPr>
          <w:rFonts w:ascii="宋体" w:hAnsi="宋体" w:cs="宋体"/>
          <w:szCs w:val="24"/>
          <w:highlight w:val="none"/>
        </w:rPr>
      </w:pPr>
      <w:r>
        <w:rPr>
          <w:rFonts w:hint="eastAsia" w:ascii="宋体" w:hAnsi="宋体" w:cs="宋体"/>
          <w:szCs w:val="24"/>
          <w:highlight w:val="none"/>
        </w:rPr>
        <w:t>本项目的</w:t>
      </w:r>
      <w:bookmarkStart w:id="163" w:name="_Hlk46599943"/>
      <w:r>
        <w:rPr>
          <w:rFonts w:hint="eastAsia" w:ascii="宋体" w:hAnsi="宋体" w:cs="宋体"/>
          <w:szCs w:val="24"/>
          <w:highlight w:val="none"/>
        </w:rPr>
        <w:t>安全性应满足等保3级的保护要求</w:t>
      </w:r>
      <w:bookmarkEnd w:id="163"/>
      <w:r>
        <w:rPr>
          <w:rFonts w:hint="eastAsia" w:ascii="宋体" w:hAnsi="宋体" w:cs="宋体"/>
          <w:szCs w:val="24"/>
          <w:highlight w:val="none"/>
        </w:rPr>
        <w:t>。</w:t>
      </w:r>
    </w:p>
    <w:p>
      <w:pPr>
        <w:pStyle w:val="22"/>
        <w:numPr>
          <w:ilvl w:val="0"/>
          <w:numId w:val="0"/>
        </w:numPr>
        <w:tabs>
          <w:tab w:val="left" w:pos="525"/>
          <w:tab w:val="left" w:pos="993"/>
          <w:tab w:val="clear" w:pos="1206"/>
        </w:tabs>
        <w:spacing w:before="0" w:beforeLines="0" w:after="0" w:afterLines="0" w:line="360" w:lineRule="auto"/>
        <w:outlineLvl w:val="1"/>
        <w:rPr>
          <w:rFonts w:ascii="宋体" w:hAnsi="宋体" w:eastAsia="宋体" w:cs="宋体"/>
          <w:b/>
          <w:bCs/>
          <w:sz w:val="24"/>
          <w:szCs w:val="24"/>
          <w:highlight w:val="none"/>
        </w:rPr>
      </w:pPr>
      <w:bookmarkStart w:id="164" w:name="_Toc116574543"/>
      <w:r>
        <w:rPr>
          <w:rFonts w:hint="eastAsia" w:ascii="宋体" w:hAnsi="宋体" w:eastAsia="宋体" w:cs="宋体"/>
          <w:b/>
          <w:bCs/>
          <w:sz w:val="24"/>
          <w:szCs w:val="24"/>
          <w:highlight w:val="none"/>
        </w:rPr>
        <w:t>8.项目实施要求</w:t>
      </w:r>
      <w:bookmarkEnd w:id="164"/>
    </w:p>
    <w:p>
      <w:pPr>
        <w:pStyle w:val="24"/>
        <w:rPr>
          <w:rFonts w:cs="宋体"/>
          <w:highlight w:val="none"/>
        </w:rPr>
      </w:pPr>
      <w:r>
        <w:rPr>
          <w:rFonts w:hint="eastAsia" w:cs="宋体"/>
          <w:highlight w:val="none"/>
        </w:rPr>
        <w:t>本项目建设内容包括但不限于要求本项目中标供应商为完成本工程所需的主要工作，具体工作内容包括：软件开发、测试、培训和验收；与其他相关系统，相关专业的配合；全部调试、系统集成、联调、系统测试、用户培训等。</w:t>
      </w:r>
    </w:p>
    <w:p>
      <w:pPr>
        <w:pStyle w:val="23"/>
        <w:numPr>
          <w:ilvl w:val="1"/>
          <w:numId w:val="0"/>
        </w:numPr>
        <w:spacing w:before="0" w:beforeLines="0" w:after="0" w:afterLines="0" w:line="360" w:lineRule="auto"/>
        <w:outlineLvl w:val="2"/>
        <w:rPr>
          <w:rFonts w:ascii="宋体" w:hAnsi="宋体" w:cs="宋体"/>
          <w:b/>
          <w:bCs/>
          <w:sz w:val="24"/>
          <w:szCs w:val="24"/>
          <w:highlight w:val="none"/>
        </w:rPr>
      </w:pPr>
      <w:bookmarkStart w:id="165" w:name="_Toc116574544"/>
      <w:r>
        <w:rPr>
          <w:rFonts w:hint="eastAsia" w:ascii="宋体" w:hAnsi="宋体" w:cs="宋体"/>
          <w:b/>
          <w:bCs/>
          <w:sz w:val="24"/>
          <w:szCs w:val="24"/>
          <w:highlight w:val="none"/>
        </w:rPr>
        <w:t>8.1 实施组织</w:t>
      </w:r>
      <w:bookmarkEnd w:id="165"/>
    </w:p>
    <w:p>
      <w:pPr>
        <w:pStyle w:val="24"/>
        <w:rPr>
          <w:rFonts w:cs="宋体"/>
          <w:highlight w:val="none"/>
        </w:rPr>
      </w:pPr>
      <w:r>
        <w:rPr>
          <w:rFonts w:hint="eastAsia" w:cs="宋体"/>
          <w:highlight w:val="none"/>
        </w:rPr>
        <w:t>中标供应商</w:t>
      </w:r>
      <w:r>
        <w:rPr>
          <w:rFonts w:hint="eastAsia" w:cs="宋体"/>
          <w:highlight w:val="none"/>
          <w:lang w:bidi="ar"/>
        </w:rPr>
        <w:t>必须成立项目实施组、明确责任、严格按照信息化项目管理的有关规定进行项目管理，保证项目质量、确保项目如期完成。项目实施组</w:t>
      </w:r>
      <w:r>
        <w:rPr>
          <w:rFonts w:hint="eastAsia" w:cs="宋体"/>
          <w:highlight w:val="none"/>
        </w:rPr>
        <w:t>负责工程全过程的各项工作，如项目计划编制、系统开发、系统部署、现场培训、系统测试、系统验收等。</w:t>
      </w:r>
    </w:p>
    <w:p>
      <w:pPr>
        <w:pStyle w:val="24"/>
        <w:rPr>
          <w:rFonts w:cs="宋体"/>
          <w:highlight w:val="none"/>
        </w:rPr>
      </w:pPr>
      <w:r>
        <w:rPr>
          <w:rFonts w:hint="eastAsia" w:cs="宋体"/>
          <w:highlight w:val="none"/>
        </w:rPr>
        <w:t>中标供应商项目经理需要由具有较强的相关专业知识和丰富工作经验的人员担任，要求了解国资监管系统架构，具有国资监管平台类项目管理业绩，具有相关专业和项目管理类资格证书。</w:t>
      </w:r>
    </w:p>
    <w:p>
      <w:pPr>
        <w:pStyle w:val="24"/>
        <w:rPr>
          <w:rFonts w:cs="宋体"/>
          <w:highlight w:val="none"/>
        </w:rPr>
      </w:pPr>
      <w:r>
        <w:rPr>
          <w:rFonts w:hint="eastAsia" w:cs="宋体"/>
          <w:highlight w:val="none"/>
        </w:rPr>
        <w:t>中标供应商项目技术负责人需要由具有较强的相关专业知识和丰富工作经验的人员担任，要求了解国资监管系统架构，具有国资监管平台类项目设计业绩，有相关专业资格证书。</w:t>
      </w:r>
    </w:p>
    <w:p>
      <w:pPr>
        <w:pStyle w:val="24"/>
        <w:rPr>
          <w:rFonts w:cs="宋体"/>
          <w:highlight w:val="none"/>
        </w:rPr>
      </w:pPr>
      <w:r>
        <w:rPr>
          <w:rFonts w:hint="eastAsia" w:cs="宋体"/>
          <w:highlight w:val="none"/>
        </w:rPr>
        <w:t>中标供应商项目成员须具有同类项目经验，在现场工作期间还应遵守现场工作的规定。</w:t>
      </w:r>
    </w:p>
    <w:p>
      <w:pPr>
        <w:pStyle w:val="24"/>
        <w:rPr>
          <w:rFonts w:cs="宋体"/>
          <w:highlight w:val="none"/>
        </w:rPr>
      </w:pPr>
      <w:r>
        <w:rPr>
          <w:rFonts w:hint="eastAsia" w:cs="宋体"/>
          <w:highlight w:val="none"/>
        </w:rPr>
        <w:t>中标供应商应自行支付所需交通、生活和其它各项费用，采购单位应为其提供便利。</w:t>
      </w:r>
    </w:p>
    <w:p>
      <w:pPr>
        <w:pStyle w:val="23"/>
        <w:numPr>
          <w:ilvl w:val="1"/>
          <w:numId w:val="0"/>
        </w:numPr>
        <w:spacing w:before="0" w:beforeLines="0" w:after="0" w:afterLines="0" w:line="360" w:lineRule="auto"/>
        <w:outlineLvl w:val="2"/>
        <w:rPr>
          <w:rFonts w:ascii="宋体" w:hAnsi="宋体" w:cs="宋体"/>
          <w:b/>
          <w:bCs/>
          <w:sz w:val="24"/>
          <w:szCs w:val="24"/>
          <w:highlight w:val="none"/>
        </w:rPr>
      </w:pPr>
      <w:bookmarkStart w:id="166" w:name="_Toc116574545"/>
      <w:r>
        <w:rPr>
          <w:rFonts w:hint="eastAsia" w:ascii="宋体" w:hAnsi="宋体" w:cs="宋体"/>
          <w:b/>
          <w:bCs/>
          <w:sz w:val="24"/>
          <w:szCs w:val="24"/>
          <w:highlight w:val="none"/>
        </w:rPr>
        <w:t>8.2 实施进度要求</w:t>
      </w:r>
      <w:bookmarkEnd w:id="166"/>
    </w:p>
    <w:p>
      <w:pPr>
        <w:pStyle w:val="24"/>
        <w:rPr>
          <w:rFonts w:cs="宋体"/>
          <w:highlight w:val="none"/>
        </w:rPr>
      </w:pPr>
      <w:r>
        <w:rPr>
          <w:rFonts w:hint="eastAsia" w:cs="宋体"/>
          <w:highlight w:val="none"/>
        </w:rPr>
        <w:t>交付期：自合同签订之日起</w:t>
      </w:r>
      <w:r>
        <w:rPr>
          <w:rFonts w:hint="eastAsia" w:eastAsia="宋体" w:cs="宋体"/>
          <w:highlight w:val="none"/>
          <w:lang w:val="en-US" w:eastAsia="zh-CN"/>
        </w:rPr>
        <w:t>3</w:t>
      </w:r>
      <w:r>
        <w:rPr>
          <w:rFonts w:cs="宋体"/>
          <w:highlight w:val="none"/>
        </w:rPr>
        <w:t>0</w:t>
      </w:r>
      <w:r>
        <w:rPr>
          <w:rFonts w:hint="eastAsia" w:cs="宋体"/>
          <w:highlight w:val="none"/>
        </w:rPr>
        <w:t>日历日内完成项目需求分析、设计、开发、测试、培训、验收等工作；须提供项目进度风险因素分析及控制措施。</w:t>
      </w:r>
    </w:p>
    <w:p>
      <w:pPr>
        <w:pStyle w:val="23"/>
        <w:numPr>
          <w:ilvl w:val="1"/>
          <w:numId w:val="0"/>
        </w:numPr>
        <w:spacing w:before="0" w:beforeLines="0" w:after="0" w:afterLines="0" w:line="360" w:lineRule="auto"/>
        <w:outlineLvl w:val="2"/>
        <w:rPr>
          <w:rFonts w:ascii="宋体" w:hAnsi="宋体" w:cs="宋体"/>
          <w:b/>
          <w:bCs/>
          <w:sz w:val="24"/>
          <w:szCs w:val="24"/>
          <w:highlight w:val="none"/>
        </w:rPr>
      </w:pPr>
      <w:bookmarkStart w:id="167" w:name="_Toc116574546"/>
      <w:r>
        <w:rPr>
          <w:rFonts w:hint="eastAsia" w:ascii="宋体" w:hAnsi="宋体" w:cs="宋体"/>
          <w:b/>
          <w:bCs/>
          <w:sz w:val="24"/>
          <w:szCs w:val="24"/>
          <w:highlight w:val="none"/>
        </w:rPr>
        <w:t>8.3 质量保证</w:t>
      </w:r>
      <w:bookmarkEnd w:id="167"/>
    </w:p>
    <w:p>
      <w:pPr>
        <w:pStyle w:val="24"/>
        <w:rPr>
          <w:rFonts w:cs="宋体"/>
          <w:highlight w:val="none"/>
        </w:rPr>
      </w:pPr>
      <w:r>
        <w:rPr>
          <w:rFonts w:hint="eastAsia" w:cs="宋体"/>
          <w:highlight w:val="none"/>
        </w:rPr>
        <w:t>项目实施期间，中标供应商、采购单位共同成立项目质量控制小组（SQC），负责对实施质量进行全程管理，文档审核，阶段考核，归档等工作。项目</w:t>
      </w:r>
      <w:r>
        <w:rPr>
          <w:rFonts w:hint="eastAsia" w:eastAsia="宋体" w:cs="宋体"/>
          <w:highlight w:val="none"/>
          <w:lang w:val="en-US" w:eastAsia="zh-CN"/>
        </w:rPr>
        <w:t>服务</w:t>
      </w:r>
      <w:r>
        <w:rPr>
          <w:rFonts w:hint="eastAsia" w:cs="宋体"/>
          <w:highlight w:val="none"/>
        </w:rPr>
        <w:t>期内，在试验、检查和演示过程中，如发现任何不符合本技术部分要求的硬件</w:t>
      </w:r>
      <w:r>
        <w:rPr>
          <w:rFonts w:hint="eastAsia" w:eastAsia="宋体" w:cs="宋体"/>
          <w:highlight w:val="none"/>
          <w:lang w:eastAsia="zh-CN"/>
        </w:rPr>
        <w:t>（</w:t>
      </w:r>
      <w:r>
        <w:rPr>
          <w:rFonts w:hint="eastAsia" w:eastAsia="宋体" w:cs="宋体"/>
          <w:highlight w:val="none"/>
          <w:lang w:val="en-US" w:eastAsia="zh-CN"/>
        </w:rPr>
        <w:t>供应商提供的</w:t>
      </w:r>
      <w:r>
        <w:rPr>
          <w:rFonts w:hint="eastAsia" w:eastAsia="宋体" w:cs="宋体"/>
          <w:highlight w:val="none"/>
          <w:lang w:eastAsia="zh-CN"/>
        </w:rPr>
        <w:t>）</w:t>
      </w:r>
      <w:r>
        <w:rPr>
          <w:rFonts w:hint="eastAsia" w:cs="宋体"/>
          <w:highlight w:val="none"/>
        </w:rPr>
        <w:t>或软件，中标供应商都必须及时更换。由此而引起的任何费用都应由中标供应商承担。更换后的硬件或软件还必须通过本技术部分规定的要求。</w:t>
      </w:r>
    </w:p>
    <w:p>
      <w:pPr>
        <w:pStyle w:val="23"/>
        <w:numPr>
          <w:ilvl w:val="1"/>
          <w:numId w:val="0"/>
        </w:numPr>
        <w:spacing w:before="0" w:beforeLines="0" w:after="0" w:afterLines="0" w:line="360" w:lineRule="auto"/>
        <w:outlineLvl w:val="2"/>
        <w:rPr>
          <w:rFonts w:ascii="宋体" w:hAnsi="宋体" w:cs="宋体"/>
          <w:b/>
          <w:bCs/>
          <w:sz w:val="24"/>
          <w:szCs w:val="24"/>
          <w:highlight w:val="none"/>
        </w:rPr>
      </w:pPr>
      <w:bookmarkStart w:id="168" w:name="_Toc116574547"/>
      <w:r>
        <w:rPr>
          <w:rFonts w:hint="eastAsia" w:ascii="宋体" w:hAnsi="宋体" w:cs="宋体"/>
          <w:b/>
          <w:bCs/>
          <w:sz w:val="24"/>
          <w:szCs w:val="24"/>
          <w:highlight w:val="none"/>
        </w:rPr>
        <w:t>8.4 技术文档要求</w:t>
      </w:r>
      <w:bookmarkEnd w:id="168"/>
    </w:p>
    <w:p>
      <w:pPr>
        <w:pStyle w:val="24"/>
        <w:rPr>
          <w:rFonts w:cs="宋体"/>
          <w:highlight w:val="none"/>
        </w:rPr>
      </w:pPr>
      <w:r>
        <w:rPr>
          <w:rFonts w:hint="eastAsia" w:cs="宋体"/>
          <w:highlight w:val="none"/>
        </w:rPr>
        <w:t>本项目的技术文档包括：需求规格说明书、数据库详细设计说明书、软件详细设计说明书、软件接口设计说明书、系统测试大纲、系统测试用例、系统测试报告、系统用户使用手册、操作规程等。</w:t>
      </w:r>
    </w:p>
    <w:p>
      <w:pPr>
        <w:pStyle w:val="23"/>
        <w:numPr>
          <w:ilvl w:val="1"/>
          <w:numId w:val="0"/>
        </w:numPr>
        <w:spacing w:before="0" w:beforeLines="0" w:after="0" w:afterLines="0" w:line="360" w:lineRule="auto"/>
        <w:outlineLvl w:val="2"/>
        <w:rPr>
          <w:rFonts w:ascii="宋体" w:hAnsi="宋体" w:cs="宋体"/>
          <w:b/>
          <w:bCs/>
          <w:sz w:val="24"/>
          <w:szCs w:val="24"/>
          <w:highlight w:val="none"/>
        </w:rPr>
      </w:pPr>
      <w:bookmarkStart w:id="169" w:name="_Toc116574548"/>
      <w:r>
        <w:rPr>
          <w:rFonts w:hint="eastAsia" w:ascii="宋体" w:hAnsi="宋体" w:cs="宋体"/>
          <w:b/>
          <w:bCs/>
          <w:sz w:val="24"/>
          <w:szCs w:val="24"/>
          <w:highlight w:val="none"/>
        </w:rPr>
        <w:t>8.5 知识产权归属</w:t>
      </w:r>
      <w:bookmarkEnd w:id="169"/>
    </w:p>
    <w:p>
      <w:pPr>
        <w:pStyle w:val="24"/>
        <w:rPr>
          <w:rFonts w:cs="宋体"/>
          <w:highlight w:val="none"/>
        </w:rPr>
      </w:pPr>
      <w:r>
        <w:rPr>
          <w:rFonts w:hint="eastAsia" w:cs="宋体"/>
          <w:highlight w:val="none"/>
        </w:rPr>
        <w:t>本项目所采购的软件系统所有权归汉中市人民政府国有资产监督管理委员会所有，知识产权归中标供应商所有。</w:t>
      </w:r>
    </w:p>
    <w:p>
      <w:pPr>
        <w:pStyle w:val="23"/>
        <w:numPr>
          <w:ilvl w:val="1"/>
          <w:numId w:val="0"/>
        </w:numPr>
        <w:spacing w:before="0" w:beforeLines="0" w:after="0" w:afterLines="0" w:line="360" w:lineRule="auto"/>
        <w:outlineLvl w:val="2"/>
        <w:rPr>
          <w:rFonts w:ascii="宋体" w:hAnsi="宋体" w:cs="宋体"/>
          <w:b/>
          <w:bCs/>
          <w:sz w:val="24"/>
          <w:szCs w:val="24"/>
          <w:highlight w:val="none"/>
        </w:rPr>
      </w:pPr>
      <w:bookmarkStart w:id="170" w:name="_Toc116574549"/>
      <w:r>
        <w:rPr>
          <w:rFonts w:hint="eastAsia" w:ascii="宋体" w:hAnsi="宋体" w:cs="宋体"/>
          <w:b/>
          <w:bCs/>
          <w:sz w:val="24"/>
          <w:szCs w:val="24"/>
          <w:highlight w:val="none"/>
        </w:rPr>
        <w:t>8.6 培训</w:t>
      </w:r>
      <w:bookmarkEnd w:id="170"/>
    </w:p>
    <w:p>
      <w:pPr>
        <w:pStyle w:val="24"/>
        <w:rPr>
          <w:rFonts w:cs="宋体"/>
          <w:highlight w:val="none"/>
        </w:rPr>
      </w:pPr>
      <w:r>
        <w:rPr>
          <w:rFonts w:hint="eastAsia" w:cs="宋体"/>
          <w:highlight w:val="none"/>
        </w:rPr>
        <w:t>中标供应商应对采购人有关人员进行系统的培训，根据人员职责划分及业务分工，进行分类培训；培训对象包括：系统管理员、系统维护支撑人员、国资委具体业务操作人员、监管企业具体业务操作人员；培训方式应包括集中培训和现场培训。</w:t>
      </w:r>
    </w:p>
    <w:p>
      <w:pPr>
        <w:pStyle w:val="24"/>
        <w:rPr>
          <w:rFonts w:cs="宋体"/>
          <w:highlight w:val="none"/>
        </w:rPr>
      </w:pPr>
      <w:r>
        <w:rPr>
          <w:rFonts w:hint="eastAsia" w:cs="宋体"/>
          <w:highlight w:val="none"/>
        </w:rPr>
        <w:t>培训设计应包括培训内容、培训材料、培训时间、地点、培训范围、课程计划、要求等；中标供应商应提供培训手册，包括《系统操作手册》、《系统设计说明书》、《系统数据结构》、《操作维护指南》，确保用户能正常使用与简单维护。</w:t>
      </w:r>
    </w:p>
    <w:p>
      <w:pPr>
        <w:pStyle w:val="23"/>
        <w:numPr>
          <w:ilvl w:val="1"/>
          <w:numId w:val="0"/>
        </w:numPr>
        <w:spacing w:before="0" w:beforeLines="0" w:after="0" w:afterLines="0" w:line="360" w:lineRule="auto"/>
        <w:outlineLvl w:val="2"/>
        <w:rPr>
          <w:rFonts w:ascii="宋体" w:hAnsi="宋体" w:cs="宋体"/>
          <w:b/>
          <w:bCs/>
          <w:sz w:val="24"/>
          <w:szCs w:val="24"/>
          <w:highlight w:val="none"/>
        </w:rPr>
      </w:pPr>
      <w:bookmarkStart w:id="171" w:name="_Toc116574550"/>
      <w:r>
        <w:rPr>
          <w:rFonts w:hint="eastAsia" w:ascii="宋体" w:hAnsi="宋体" w:cs="宋体"/>
          <w:b/>
          <w:bCs/>
          <w:sz w:val="24"/>
          <w:szCs w:val="24"/>
          <w:highlight w:val="none"/>
        </w:rPr>
        <w:t>8.7 售后服务</w:t>
      </w:r>
      <w:bookmarkEnd w:id="171"/>
    </w:p>
    <w:p>
      <w:pPr>
        <w:pStyle w:val="24"/>
        <w:rPr>
          <w:rFonts w:cs="宋体"/>
          <w:highlight w:val="none"/>
        </w:rPr>
      </w:pPr>
      <w:r>
        <w:rPr>
          <w:rFonts w:hint="eastAsia" w:cs="宋体"/>
          <w:highlight w:val="none"/>
        </w:rPr>
        <w:t>项目</w:t>
      </w:r>
      <w:r>
        <w:rPr>
          <w:rFonts w:hint="eastAsia" w:eastAsia="宋体" w:cs="宋体"/>
          <w:highlight w:val="none"/>
          <w:lang w:val="en-US" w:eastAsia="zh-CN"/>
        </w:rPr>
        <w:t>服务</w:t>
      </w:r>
      <w:r>
        <w:rPr>
          <w:rFonts w:hint="eastAsia" w:cs="宋体"/>
          <w:highlight w:val="none"/>
        </w:rPr>
        <w:t>期1年，提供本地化售后服务，同时提供完整的售后服务方案。在质保期内，提供全年 7*24 小时远程咨询支持，包括热线支持、邮件支持以及通过远程软件支持；并提供免人工费、免服务费的现场排故服务。</w:t>
      </w:r>
    </w:p>
    <w:p>
      <w:pPr>
        <w:pStyle w:val="24"/>
        <w:rPr>
          <w:rFonts w:cs="宋体"/>
          <w:highlight w:val="none"/>
        </w:rPr>
      </w:pPr>
      <w:r>
        <w:rPr>
          <w:rFonts w:hint="eastAsia" w:cs="宋体"/>
          <w:highlight w:val="none"/>
        </w:rPr>
        <w:t>在质保期内，一旦系统出现故障，中标供应商应确保 1 小时内响应，4 小时内到达现场，24 小时内排除故障。</w:t>
      </w:r>
    </w:p>
    <w:p>
      <w:pPr>
        <w:pStyle w:val="24"/>
        <w:rPr>
          <w:rFonts w:cs="宋体"/>
          <w:highlight w:val="none"/>
        </w:rPr>
      </w:pPr>
      <w:r>
        <w:rPr>
          <w:rFonts w:hint="eastAsia" w:cs="宋体"/>
          <w:highlight w:val="none"/>
        </w:rPr>
        <w:t>售后服务团队成员至少包括：运维项目经理、软件工程师、云计算工程师、网络工程师、信息安全工程师。</w:t>
      </w:r>
    </w:p>
    <w:p>
      <w:pPr>
        <w:pStyle w:val="24"/>
        <w:rPr>
          <w:rFonts w:cs="宋体"/>
          <w:highlight w:val="none"/>
        </w:rPr>
      </w:pPr>
      <w:r>
        <w:rPr>
          <w:rFonts w:hint="eastAsia" w:cs="宋体"/>
          <w:highlight w:val="none"/>
        </w:rPr>
        <w:t>售后服务保密要求：系统中的数据、资料等相关信息，参与运维的全体人员非经授权不得在任何时候向任何人透露。</w:t>
      </w:r>
    </w:p>
    <w:p>
      <w:pPr>
        <w:pStyle w:val="24"/>
        <w:rPr>
          <w:rFonts w:hint="eastAsia" w:eastAsia="宋体" w:cs="宋体"/>
          <w:highlight w:val="none"/>
        </w:rPr>
      </w:pPr>
    </w:p>
    <w:p>
      <w:pPr>
        <w:pStyle w:val="24"/>
        <w:rPr>
          <w:rFonts w:hint="eastAsia" w:eastAsia="宋体" w:cs="宋体"/>
          <w:highlight w:val="none"/>
        </w:rPr>
      </w:pPr>
    </w:p>
    <w:p>
      <w:pPr>
        <w:pStyle w:val="24"/>
        <w:rPr>
          <w:rFonts w:hint="eastAsia" w:eastAsia="宋体" w:cs="宋体"/>
          <w:highlight w:val="none"/>
        </w:rPr>
      </w:pPr>
    </w:p>
    <w:p>
      <w:pPr>
        <w:pStyle w:val="24"/>
        <w:rPr>
          <w:rFonts w:hint="eastAsia" w:eastAsia="宋体" w:cs="宋体"/>
          <w:highlight w:val="none"/>
        </w:rPr>
      </w:pPr>
    </w:p>
    <w:p>
      <w:pPr>
        <w:pStyle w:val="22"/>
        <w:numPr>
          <w:ilvl w:val="0"/>
          <w:numId w:val="0"/>
        </w:numPr>
        <w:tabs>
          <w:tab w:val="left" w:pos="525"/>
          <w:tab w:val="left" w:pos="993"/>
          <w:tab w:val="clear" w:pos="1206"/>
        </w:tabs>
        <w:spacing w:before="0" w:beforeLines="0" w:after="0" w:afterLines="0" w:line="360" w:lineRule="auto"/>
        <w:outlineLvl w:val="1"/>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rPr>
        <w:t>9.</w:t>
      </w:r>
      <w:bookmarkStart w:id="172" w:name="_Toc116574551"/>
      <w:r>
        <w:rPr>
          <w:rFonts w:hint="eastAsia" w:ascii="宋体" w:hAnsi="宋体" w:eastAsia="宋体" w:cs="宋体"/>
          <w:b/>
          <w:bCs/>
          <w:sz w:val="24"/>
          <w:szCs w:val="24"/>
          <w:highlight w:val="none"/>
        </w:rPr>
        <w:t>项目采购清单</w:t>
      </w:r>
      <w:bookmarkEnd w:id="172"/>
    </w:p>
    <w:tbl>
      <w:tblPr>
        <w:tblStyle w:val="18"/>
        <w:tblW w:w="5745" w:type="pct"/>
        <w:tblInd w:w="-556" w:type="dxa"/>
        <w:tblLayout w:type="fixed"/>
        <w:tblCellMar>
          <w:top w:w="0" w:type="dxa"/>
          <w:left w:w="108" w:type="dxa"/>
          <w:bottom w:w="0" w:type="dxa"/>
          <w:right w:w="108" w:type="dxa"/>
        </w:tblCellMar>
      </w:tblPr>
      <w:tblGrid>
        <w:gridCol w:w="780"/>
        <w:gridCol w:w="1200"/>
        <w:gridCol w:w="1704"/>
        <w:gridCol w:w="4607"/>
        <w:gridCol w:w="768"/>
        <w:gridCol w:w="733"/>
      </w:tblGrid>
      <w:tr>
        <w:tblPrEx>
          <w:tblCellMar>
            <w:top w:w="0" w:type="dxa"/>
            <w:left w:w="108" w:type="dxa"/>
            <w:bottom w:w="0" w:type="dxa"/>
            <w:right w:w="108" w:type="dxa"/>
          </w:tblCellMar>
        </w:tblPrEx>
        <w:trPr>
          <w:trHeight w:val="629" w:hRule="atLeast"/>
        </w:trPr>
        <w:tc>
          <w:tcPr>
            <w:tcW w:w="3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ascii="宋体" w:hAnsi="宋体" w:eastAsia="宋体" w:cs="宋体"/>
                <w:b/>
                <w:bCs/>
                <w:sz w:val="24"/>
                <w:szCs w:val="24"/>
                <w:highlight w:val="none"/>
              </w:rPr>
            </w:pPr>
            <w:r>
              <w:rPr>
                <w:rFonts w:hint="eastAsia" w:ascii="宋体" w:hAnsi="宋体" w:eastAsia="宋体" w:cs="宋体"/>
                <w:b/>
                <w:bCs/>
                <w:sz w:val="24"/>
                <w:szCs w:val="24"/>
                <w:highlight w:val="none"/>
              </w:rPr>
              <w:t>序号</w:t>
            </w:r>
          </w:p>
        </w:tc>
        <w:tc>
          <w:tcPr>
            <w:tcW w:w="1482" w:type="pct"/>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ascii="宋体" w:hAnsi="宋体" w:eastAsia="宋体" w:cs="宋体"/>
                <w:b/>
                <w:bCs/>
                <w:sz w:val="24"/>
                <w:szCs w:val="24"/>
                <w:highlight w:val="none"/>
              </w:rPr>
            </w:pPr>
            <w:r>
              <w:rPr>
                <w:rFonts w:hint="eastAsia" w:ascii="宋体" w:hAnsi="宋体" w:eastAsia="宋体" w:cs="宋体"/>
                <w:b/>
                <w:bCs/>
                <w:sz w:val="24"/>
                <w:szCs w:val="24"/>
                <w:highlight w:val="none"/>
              </w:rPr>
              <w:t>名称</w:t>
            </w:r>
          </w:p>
        </w:tc>
        <w:tc>
          <w:tcPr>
            <w:tcW w:w="2352"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ascii="宋体" w:hAnsi="宋体" w:eastAsia="宋体" w:cs="宋体"/>
                <w:b/>
                <w:bCs/>
                <w:sz w:val="24"/>
                <w:szCs w:val="24"/>
                <w:highlight w:val="none"/>
              </w:rPr>
            </w:pPr>
            <w:r>
              <w:rPr>
                <w:rFonts w:hint="eastAsia" w:ascii="宋体" w:hAnsi="宋体" w:eastAsia="宋体" w:cs="宋体"/>
                <w:b/>
                <w:bCs/>
                <w:sz w:val="24"/>
                <w:szCs w:val="24"/>
                <w:highlight w:val="none"/>
              </w:rPr>
              <w:t>规格要求</w:t>
            </w:r>
          </w:p>
        </w:tc>
        <w:tc>
          <w:tcPr>
            <w:tcW w:w="392"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ascii="宋体" w:hAnsi="宋体" w:eastAsia="宋体" w:cs="宋体"/>
                <w:b/>
                <w:bCs/>
                <w:sz w:val="24"/>
                <w:szCs w:val="24"/>
                <w:highlight w:val="none"/>
              </w:rPr>
            </w:pPr>
            <w:r>
              <w:rPr>
                <w:rFonts w:hint="eastAsia" w:ascii="宋体" w:hAnsi="宋体" w:eastAsia="宋体" w:cs="宋体"/>
                <w:b/>
                <w:bCs/>
                <w:sz w:val="24"/>
                <w:szCs w:val="24"/>
                <w:highlight w:val="none"/>
              </w:rPr>
              <w:t>单位</w:t>
            </w:r>
          </w:p>
        </w:tc>
        <w:tc>
          <w:tcPr>
            <w:tcW w:w="374"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ascii="宋体" w:hAnsi="宋体" w:eastAsia="宋体" w:cs="宋体"/>
                <w:b/>
                <w:bCs/>
                <w:sz w:val="24"/>
                <w:szCs w:val="24"/>
                <w:highlight w:val="none"/>
              </w:rPr>
            </w:pPr>
            <w:r>
              <w:rPr>
                <w:rFonts w:hint="eastAsia" w:ascii="宋体" w:hAnsi="宋体" w:eastAsia="宋体" w:cs="宋体"/>
                <w:b/>
                <w:bCs/>
                <w:sz w:val="24"/>
                <w:szCs w:val="24"/>
                <w:highlight w:val="none"/>
              </w:rPr>
              <w:t>数量</w:t>
            </w:r>
          </w:p>
        </w:tc>
      </w:tr>
      <w:tr>
        <w:tblPrEx>
          <w:tblCellMar>
            <w:top w:w="0" w:type="dxa"/>
            <w:left w:w="108" w:type="dxa"/>
            <w:bottom w:w="0" w:type="dxa"/>
            <w:right w:w="108" w:type="dxa"/>
          </w:tblCellMar>
        </w:tblPrEx>
        <w:trPr>
          <w:trHeight w:val="280" w:hRule="atLeast"/>
        </w:trPr>
        <w:tc>
          <w:tcPr>
            <w:tcW w:w="398"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ascii="宋体" w:hAnsi="宋体" w:eastAsia="宋体" w:cs="宋体"/>
                <w:sz w:val="24"/>
                <w:szCs w:val="24"/>
                <w:highlight w:val="none"/>
              </w:rPr>
            </w:pPr>
            <w:r>
              <w:rPr>
                <w:rFonts w:hint="eastAsia" w:ascii="宋体" w:hAnsi="宋体" w:eastAsia="宋体" w:cs="宋体"/>
                <w:sz w:val="24"/>
                <w:szCs w:val="24"/>
                <w:highlight w:val="none"/>
              </w:rPr>
              <w:t>1</w:t>
            </w:r>
          </w:p>
        </w:tc>
        <w:tc>
          <w:tcPr>
            <w:tcW w:w="1482" w:type="pct"/>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ascii="宋体" w:hAnsi="宋体" w:eastAsia="宋体" w:cs="宋体"/>
                <w:sz w:val="24"/>
                <w:szCs w:val="24"/>
                <w:highlight w:val="none"/>
              </w:rPr>
            </w:pPr>
            <w:r>
              <w:rPr>
                <w:rFonts w:hint="eastAsia" w:ascii="宋体" w:hAnsi="宋体" w:eastAsia="宋体" w:cs="宋体"/>
                <w:sz w:val="24"/>
                <w:szCs w:val="24"/>
                <w:highlight w:val="none"/>
              </w:rPr>
              <w:t>标准规范体系</w:t>
            </w:r>
          </w:p>
        </w:tc>
        <w:tc>
          <w:tcPr>
            <w:tcW w:w="235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ascii="宋体" w:hAnsi="宋体" w:eastAsia="宋体" w:cs="宋体"/>
                <w:sz w:val="24"/>
                <w:szCs w:val="24"/>
                <w:highlight w:val="none"/>
              </w:rPr>
            </w:pPr>
            <w:r>
              <w:rPr>
                <w:rFonts w:hint="eastAsia" w:ascii="宋体" w:hAnsi="宋体" w:eastAsia="宋体" w:cs="宋体"/>
                <w:sz w:val="24"/>
                <w:szCs w:val="24"/>
                <w:highlight w:val="none"/>
              </w:rPr>
              <w:t>数据资源管理标准规范、数据运营规范、数据安全标准。</w:t>
            </w:r>
          </w:p>
        </w:tc>
        <w:tc>
          <w:tcPr>
            <w:tcW w:w="39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ascii="宋体" w:hAnsi="宋体" w:eastAsia="宋体" w:cs="宋体"/>
                <w:sz w:val="24"/>
                <w:szCs w:val="24"/>
                <w:highlight w:val="none"/>
              </w:rPr>
            </w:pPr>
            <w:r>
              <w:rPr>
                <w:rFonts w:hint="eastAsia" w:ascii="宋体" w:hAnsi="宋体" w:eastAsia="宋体" w:cs="宋体"/>
                <w:sz w:val="24"/>
                <w:szCs w:val="24"/>
                <w:highlight w:val="none"/>
              </w:rPr>
              <w:t>套</w:t>
            </w:r>
          </w:p>
        </w:tc>
        <w:tc>
          <w:tcPr>
            <w:tcW w:w="37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ascii="宋体" w:hAnsi="宋体" w:eastAsia="宋体" w:cs="宋体"/>
                <w:sz w:val="24"/>
                <w:szCs w:val="24"/>
                <w:highlight w:val="none"/>
              </w:rPr>
            </w:pPr>
            <w:r>
              <w:rPr>
                <w:rFonts w:hint="eastAsia" w:ascii="宋体" w:hAnsi="宋体" w:eastAsia="宋体" w:cs="宋体"/>
                <w:sz w:val="24"/>
                <w:szCs w:val="24"/>
                <w:highlight w:val="none"/>
              </w:rPr>
              <w:t>1</w:t>
            </w:r>
          </w:p>
        </w:tc>
      </w:tr>
      <w:tr>
        <w:tblPrEx>
          <w:tblCellMar>
            <w:top w:w="0" w:type="dxa"/>
            <w:left w:w="108" w:type="dxa"/>
            <w:bottom w:w="0" w:type="dxa"/>
            <w:right w:w="108" w:type="dxa"/>
          </w:tblCellMar>
        </w:tblPrEx>
        <w:trPr>
          <w:trHeight w:val="280" w:hRule="atLeast"/>
        </w:trPr>
        <w:tc>
          <w:tcPr>
            <w:tcW w:w="398"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ascii="宋体" w:hAnsi="宋体" w:eastAsia="宋体" w:cs="宋体"/>
                <w:sz w:val="24"/>
                <w:szCs w:val="24"/>
                <w:highlight w:val="none"/>
              </w:rPr>
            </w:pPr>
            <w:r>
              <w:rPr>
                <w:rFonts w:hint="eastAsia" w:ascii="宋体" w:hAnsi="宋体" w:eastAsia="宋体" w:cs="宋体"/>
                <w:sz w:val="24"/>
                <w:szCs w:val="24"/>
                <w:highlight w:val="none"/>
              </w:rPr>
              <w:t>2</w:t>
            </w:r>
          </w:p>
        </w:tc>
        <w:tc>
          <w:tcPr>
            <w:tcW w:w="612" w:type="pct"/>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ascii="宋体" w:hAnsi="宋体" w:eastAsia="宋体" w:cs="宋体"/>
                <w:sz w:val="24"/>
                <w:szCs w:val="24"/>
                <w:highlight w:val="none"/>
              </w:rPr>
            </w:pPr>
            <w:r>
              <w:rPr>
                <w:rFonts w:hint="eastAsia" w:ascii="宋体" w:hAnsi="宋体" w:eastAsia="宋体" w:cs="宋体"/>
                <w:sz w:val="24"/>
                <w:szCs w:val="24"/>
                <w:highlight w:val="none"/>
              </w:rPr>
              <w:t>数据中台</w:t>
            </w:r>
          </w:p>
        </w:tc>
        <w:tc>
          <w:tcPr>
            <w:tcW w:w="87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ascii="宋体" w:hAnsi="宋体" w:eastAsia="宋体" w:cs="宋体"/>
                <w:sz w:val="24"/>
                <w:szCs w:val="24"/>
                <w:highlight w:val="none"/>
              </w:rPr>
            </w:pPr>
            <w:r>
              <w:rPr>
                <w:rFonts w:hint="eastAsia" w:ascii="宋体" w:hAnsi="宋体" w:eastAsia="宋体" w:cs="宋体"/>
                <w:sz w:val="24"/>
                <w:szCs w:val="24"/>
                <w:highlight w:val="none"/>
              </w:rPr>
              <w:t>大数据基础</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ascii="宋体" w:hAnsi="宋体" w:eastAsia="宋体" w:cs="宋体"/>
                <w:sz w:val="24"/>
                <w:szCs w:val="24"/>
                <w:highlight w:val="none"/>
              </w:rPr>
            </w:pPr>
            <w:r>
              <w:rPr>
                <w:rFonts w:hint="eastAsia" w:ascii="宋体" w:hAnsi="宋体" w:eastAsia="宋体" w:cs="宋体"/>
                <w:sz w:val="24"/>
                <w:szCs w:val="24"/>
                <w:highlight w:val="none"/>
              </w:rPr>
              <w:t>平台</w:t>
            </w:r>
          </w:p>
        </w:tc>
        <w:tc>
          <w:tcPr>
            <w:tcW w:w="235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ascii="宋体" w:hAnsi="宋体" w:eastAsia="宋体" w:cs="宋体"/>
                <w:sz w:val="24"/>
                <w:szCs w:val="24"/>
                <w:highlight w:val="none"/>
              </w:rPr>
            </w:pPr>
            <w:r>
              <w:rPr>
                <w:rFonts w:hint="eastAsia" w:ascii="宋体" w:hAnsi="宋体" w:eastAsia="宋体" w:cs="宋体"/>
                <w:sz w:val="24"/>
                <w:szCs w:val="24"/>
                <w:highlight w:val="none"/>
              </w:rPr>
              <w:t>大数据存储、计算资源管理、大数据分析、数据应用集成等功能。</w:t>
            </w:r>
          </w:p>
        </w:tc>
        <w:tc>
          <w:tcPr>
            <w:tcW w:w="39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ascii="宋体" w:hAnsi="宋体" w:eastAsia="宋体" w:cs="宋体"/>
                <w:sz w:val="24"/>
                <w:szCs w:val="24"/>
                <w:highlight w:val="none"/>
              </w:rPr>
            </w:pPr>
            <w:r>
              <w:rPr>
                <w:rFonts w:hint="eastAsia" w:ascii="宋体" w:hAnsi="宋体" w:eastAsia="宋体" w:cs="宋体"/>
                <w:sz w:val="24"/>
                <w:szCs w:val="24"/>
                <w:highlight w:val="none"/>
              </w:rPr>
              <w:t>套</w:t>
            </w:r>
          </w:p>
        </w:tc>
        <w:tc>
          <w:tcPr>
            <w:tcW w:w="37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ascii="宋体" w:hAnsi="宋体" w:eastAsia="宋体" w:cs="宋体"/>
                <w:sz w:val="24"/>
                <w:szCs w:val="24"/>
                <w:highlight w:val="none"/>
              </w:rPr>
            </w:pPr>
            <w:r>
              <w:rPr>
                <w:rFonts w:hint="eastAsia" w:ascii="宋体" w:hAnsi="宋体" w:eastAsia="宋体" w:cs="宋体"/>
                <w:sz w:val="24"/>
                <w:szCs w:val="24"/>
                <w:highlight w:val="none"/>
              </w:rPr>
              <w:t>1</w:t>
            </w:r>
          </w:p>
        </w:tc>
      </w:tr>
      <w:tr>
        <w:tblPrEx>
          <w:tblCellMar>
            <w:top w:w="0" w:type="dxa"/>
            <w:left w:w="108" w:type="dxa"/>
            <w:bottom w:w="0" w:type="dxa"/>
            <w:right w:w="108" w:type="dxa"/>
          </w:tblCellMar>
        </w:tblPrEx>
        <w:trPr>
          <w:trHeight w:val="280" w:hRule="atLeast"/>
        </w:trPr>
        <w:tc>
          <w:tcPr>
            <w:tcW w:w="398"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ascii="宋体" w:hAnsi="宋体" w:eastAsia="宋体" w:cs="宋体"/>
                <w:sz w:val="24"/>
                <w:szCs w:val="24"/>
                <w:highlight w:val="none"/>
              </w:rPr>
            </w:pPr>
            <w:r>
              <w:rPr>
                <w:rFonts w:hint="eastAsia" w:ascii="宋体" w:hAnsi="宋体" w:eastAsia="宋体" w:cs="宋体"/>
                <w:sz w:val="24"/>
                <w:szCs w:val="24"/>
                <w:highlight w:val="none"/>
              </w:rPr>
              <w:t>3</w:t>
            </w:r>
          </w:p>
        </w:tc>
        <w:tc>
          <w:tcPr>
            <w:tcW w:w="612"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ascii="宋体" w:hAnsi="宋体" w:eastAsia="宋体" w:cs="宋体"/>
                <w:sz w:val="24"/>
                <w:szCs w:val="24"/>
                <w:highlight w:val="none"/>
              </w:rPr>
            </w:pPr>
          </w:p>
        </w:tc>
        <w:tc>
          <w:tcPr>
            <w:tcW w:w="87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ascii="宋体" w:hAnsi="宋体" w:eastAsia="宋体" w:cs="宋体"/>
                <w:sz w:val="24"/>
                <w:szCs w:val="24"/>
                <w:highlight w:val="none"/>
              </w:rPr>
            </w:pPr>
            <w:r>
              <w:rPr>
                <w:rFonts w:hint="eastAsia" w:ascii="宋体" w:hAnsi="宋体" w:eastAsia="宋体" w:cs="宋体"/>
                <w:sz w:val="24"/>
                <w:szCs w:val="24"/>
                <w:highlight w:val="none"/>
              </w:rPr>
              <w:t>数据采集平台</w:t>
            </w:r>
          </w:p>
        </w:tc>
        <w:tc>
          <w:tcPr>
            <w:tcW w:w="235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ascii="宋体" w:hAnsi="宋体" w:eastAsia="宋体" w:cs="宋体"/>
                <w:sz w:val="24"/>
                <w:szCs w:val="24"/>
                <w:highlight w:val="none"/>
              </w:rPr>
            </w:pPr>
            <w:r>
              <w:rPr>
                <w:rFonts w:hint="eastAsia" w:ascii="宋体" w:hAnsi="宋体" w:eastAsia="宋体" w:cs="宋体"/>
                <w:sz w:val="24"/>
                <w:szCs w:val="24"/>
                <w:highlight w:val="none"/>
              </w:rPr>
              <w:t>数据源管理、数据采集、数据采集任务管理、数据采集任务监控</w:t>
            </w:r>
          </w:p>
        </w:tc>
        <w:tc>
          <w:tcPr>
            <w:tcW w:w="39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ascii="宋体" w:hAnsi="宋体" w:eastAsia="宋体" w:cs="宋体"/>
                <w:sz w:val="24"/>
                <w:szCs w:val="24"/>
                <w:highlight w:val="none"/>
              </w:rPr>
            </w:pPr>
            <w:r>
              <w:rPr>
                <w:rFonts w:hint="eastAsia" w:ascii="宋体" w:hAnsi="宋体" w:eastAsia="宋体" w:cs="宋体"/>
                <w:sz w:val="24"/>
                <w:szCs w:val="24"/>
                <w:highlight w:val="none"/>
              </w:rPr>
              <w:t>套</w:t>
            </w:r>
          </w:p>
        </w:tc>
        <w:tc>
          <w:tcPr>
            <w:tcW w:w="37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ascii="宋体" w:hAnsi="宋体" w:eastAsia="宋体" w:cs="宋体"/>
                <w:sz w:val="24"/>
                <w:szCs w:val="24"/>
                <w:highlight w:val="none"/>
              </w:rPr>
            </w:pPr>
            <w:r>
              <w:rPr>
                <w:rFonts w:hint="eastAsia" w:ascii="宋体" w:hAnsi="宋体" w:eastAsia="宋体" w:cs="宋体"/>
                <w:sz w:val="24"/>
                <w:szCs w:val="24"/>
                <w:highlight w:val="none"/>
              </w:rPr>
              <w:t>1</w:t>
            </w:r>
          </w:p>
        </w:tc>
      </w:tr>
      <w:tr>
        <w:tblPrEx>
          <w:tblCellMar>
            <w:top w:w="0" w:type="dxa"/>
            <w:left w:w="108" w:type="dxa"/>
            <w:bottom w:w="0" w:type="dxa"/>
            <w:right w:w="108" w:type="dxa"/>
          </w:tblCellMar>
        </w:tblPrEx>
        <w:trPr>
          <w:trHeight w:val="280" w:hRule="atLeast"/>
        </w:trPr>
        <w:tc>
          <w:tcPr>
            <w:tcW w:w="398"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ascii="宋体" w:hAnsi="宋体" w:eastAsia="宋体" w:cs="宋体"/>
                <w:sz w:val="24"/>
                <w:szCs w:val="24"/>
                <w:highlight w:val="none"/>
              </w:rPr>
            </w:pPr>
            <w:r>
              <w:rPr>
                <w:rFonts w:hint="eastAsia" w:ascii="宋体" w:hAnsi="宋体" w:eastAsia="宋体" w:cs="宋体"/>
                <w:sz w:val="24"/>
                <w:szCs w:val="24"/>
                <w:highlight w:val="none"/>
              </w:rPr>
              <w:t>4</w:t>
            </w:r>
          </w:p>
        </w:tc>
        <w:tc>
          <w:tcPr>
            <w:tcW w:w="612"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ascii="宋体" w:hAnsi="宋体" w:eastAsia="宋体" w:cs="宋体"/>
                <w:sz w:val="24"/>
                <w:szCs w:val="24"/>
                <w:highlight w:val="none"/>
              </w:rPr>
            </w:pPr>
          </w:p>
        </w:tc>
        <w:tc>
          <w:tcPr>
            <w:tcW w:w="87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ascii="宋体" w:hAnsi="宋体" w:eastAsia="宋体" w:cs="宋体"/>
                <w:sz w:val="24"/>
                <w:szCs w:val="24"/>
                <w:highlight w:val="none"/>
              </w:rPr>
            </w:pPr>
            <w:r>
              <w:rPr>
                <w:rFonts w:hint="eastAsia" w:ascii="宋体" w:hAnsi="宋体" w:eastAsia="宋体" w:cs="宋体"/>
                <w:sz w:val="24"/>
                <w:szCs w:val="24"/>
                <w:highlight w:val="none"/>
              </w:rPr>
              <w:t>用户中心</w:t>
            </w:r>
          </w:p>
        </w:tc>
        <w:tc>
          <w:tcPr>
            <w:tcW w:w="235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ascii="宋体" w:hAnsi="宋体" w:eastAsia="宋体" w:cs="宋体"/>
                <w:sz w:val="24"/>
                <w:szCs w:val="24"/>
                <w:highlight w:val="none"/>
              </w:rPr>
            </w:pPr>
            <w:r>
              <w:rPr>
                <w:rFonts w:hint="eastAsia" w:ascii="宋体" w:hAnsi="宋体" w:eastAsia="宋体" w:cs="宋体"/>
                <w:sz w:val="24"/>
                <w:szCs w:val="24"/>
                <w:highlight w:val="none"/>
              </w:rPr>
              <w:t>用户管理、团队管理、角色管理、菜单管理、审计日志、待办。</w:t>
            </w:r>
          </w:p>
        </w:tc>
        <w:tc>
          <w:tcPr>
            <w:tcW w:w="39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ascii="宋体" w:hAnsi="宋体" w:eastAsia="宋体" w:cs="宋体"/>
                <w:sz w:val="24"/>
                <w:szCs w:val="24"/>
                <w:highlight w:val="none"/>
              </w:rPr>
            </w:pPr>
            <w:r>
              <w:rPr>
                <w:rFonts w:hint="eastAsia" w:ascii="宋体" w:hAnsi="宋体" w:eastAsia="宋体" w:cs="宋体"/>
                <w:sz w:val="24"/>
                <w:szCs w:val="24"/>
                <w:highlight w:val="none"/>
              </w:rPr>
              <w:t>套</w:t>
            </w:r>
          </w:p>
        </w:tc>
        <w:tc>
          <w:tcPr>
            <w:tcW w:w="37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ascii="宋体" w:hAnsi="宋体" w:eastAsia="宋体" w:cs="宋体"/>
                <w:sz w:val="24"/>
                <w:szCs w:val="24"/>
                <w:highlight w:val="none"/>
              </w:rPr>
            </w:pPr>
            <w:r>
              <w:rPr>
                <w:rFonts w:hint="eastAsia" w:ascii="宋体" w:hAnsi="宋体" w:eastAsia="宋体" w:cs="宋体"/>
                <w:sz w:val="24"/>
                <w:szCs w:val="24"/>
                <w:highlight w:val="none"/>
              </w:rPr>
              <w:t>1</w:t>
            </w:r>
          </w:p>
        </w:tc>
      </w:tr>
      <w:tr>
        <w:tblPrEx>
          <w:tblCellMar>
            <w:top w:w="0" w:type="dxa"/>
            <w:left w:w="108" w:type="dxa"/>
            <w:bottom w:w="0" w:type="dxa"/>
            <w:right w:w="108" w:type="dxa"/>
          </w:tblCellMar>
        </w:tblPrEx>
        <w:trPr>
          <w:trHeight w:val="520" w:hRule="atLeast"/>
        </w:trPr>
        <w:tc>
          <w:tcPr>
            <w:tcW w:w="398"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ascii="宋体" w:hAnsi="宋体" w:eastAsia="宋体" w:cs="宋体"/>
                <w:sz w:val="24"/>
                <w:szCs w:val="24"/>
                <w:highlight w:val="none"/>
              </w:rPr>
            </w:pPr>
            <w:r>
              <w:rPr>
                <w:rFonts w:hint="eastAsia" w:ascii="宋体" w:hAnsi="宋体" w:eastAsia="宋体" w:cs="宋体"/>
                <w:sz w:val="24"/>
                <w:szCs w:val="24"/>
                <w:highlight w:val="none"/>
              </w:rPr>
              <w:t>5</w:t>
            </w:r>
          </w:p>
        </w:tc>
        <w:tc>
          <w:tcPr>
            <w:tcW w:w="612" w:type="pct"/>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ascii="宋体" w:hAnsi="宋体" w:eastAsia="宋体" w:cs="宋体"/>
                <w:sz w:val="24"/>
                <w:szCs w:val="24"/>
                <w:highlight w:val="none"/>
              </w:rPr>
            </w:pPr>
            <w:r>
              <w:rPr>
                <w:rFonts w:hint="eastAsia" w:ascii="宋体" w:hAnsi="宋体" w:eastAsia="宋体" w:cs="宋体"/>
                <w:sz w:val="24"/>
                <w:szCs w:val="24"/>
                <w:highlight w:val="none"/>
              </w:rPr>
              <w:t>监管业务中心</w:t>
            </w:r>
          </w:p>
        </w:tc>
        <w:tc>
          <w:tcPr>
            <w:tcW w:w="87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ascii="宋体" w:hAnsi="宋体" w:eastAsia="宋体" w:cs="宋体"/>
                <w:sz w:val="24"/>
                <w:szCs w:val="24"/>
                <w:highlight w:val="none"/>
              </w:rPr>
            </w:pPr>
            <w:r>
              <w:rPr>
                <w:rFonts w:hint="eastAsia" w:ascii="宋体" w:hAnsi="宋体" w:eastAsia="宋体" w:cs="宋体"/>
                <w:sz w:val="24"/>
                <w:szCs w:val="24"/>
                <w:highlight w:val="none"/>
              </w:rPr>
              <w:t>企业基本信息</w:t>
            </w:r>
          </w:p>
        </w:tc>
        <w:tc>
          <w:tcPr>
            <w:tcW w:w="235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实现对监管企业多层次、多维度信息进行管理，构建国资监管业务体系中企业的统一性信息，建立全方位、集中式的维护和管理机制，在业务应用运行过程中提供统一资源数据，主要包括基本信息、工商登记信息、股权信息等。</w:t>
            </w:r>
          </w:p>
        </w:tc>
        <w:tc>
          <w:tcPr>
            <w:tcW w:w="39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宋体" w:hAnsi="宋体" w:eastAsia="宋体" w:cs="宋体"/>
                <w:snapToGrid w:val="0"/>
                <w:color w:val="000000"/>
                <w:sz w:val="24"/>
                <w:szCs w:val="24"/>
                <w:highlight w:val="none"/>
                <w:lang w:val="en-US" w:eastAsia="zh-CN" w:bidi="ar-SA"/>
              </w:rPr>
            </w:pPr>
            <w:r>
              <w:rPr>
                <w:rFonts w:hint="eastAsia" w:ascii="宋体" w:hAnsi="宋体" w:eastAsia="宋体" w:cs="宋体"/>
                <w:sz w:val="24"/>
                <w:szCs w:val="24"/>
                <w:highlight w:val="none"/>
              </w:rPr>
              <w:t>套</w:t>
            </w:r>
          </w:p>
        </w:tc>
        <w:tc>
          <w:tcPr>
            <w:tcW w:w="37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宋体" w:hAnsi="宋体" w:eastAsia="宋体" w:cs="宋体"/>
                <w:snapToGrid w:val="0"/>
                <w:color w:val="000000"/>
                <w:sz w:val="24"/>
                <w:szCs w:val="24"/>
                <w:highlight w:val="none"/>
                <w:lang w:val="en-US" w:eastAsia="zh-CN" w:bidi="ar-SA"/>
              </w:rPr>
            </w:pPr>
            <w:r>
              <w:rPr>
                <w:rFonts w:hint="eastAsia" w:ascii="宋体" w:hAnsi="宋体" w:eastAsia="宋体" w:cs="宋体"/>
                <w:sz w:val="24"/>
                <w:szCs w:val="24"/>
                <w:highlight w:val="none"/>
              </w:rPr>
              <w:t>1</w:t>
            </w:r>
          </w:p>
        </w:tc>
      </w:tr>
      <w:tr>
        <w:tblPrEx>
          <w:tblCellMar>
            <w:top w:w="0" w:type="dxa"/>
            <w:left w:w="108" w:type="dxa"/>
            <w:bottom w:w="0" w:type="dxa"/>
            <w:right w:w="108" w:type="dxa"/>
          </w:tblCellMar>
        </w:tblPrEx>
        <w:trPr>
          <w:trHeight w:val="520" w:hRule="atLeast"/>
        </w:trPr>
        <w:tc>
          <w:tcPr>
            <w:tcW w:w="398"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w:t>
            </w:r>
          </w:p>
        </w:tc>
        <w:tc>
          <w:tcPr>
            <w:tcW w:w="612" w:type="pct"/>
            <w:vMerge w:val="continue"/>
            <w:tcBorders>
              <w:left w:val="single" w:color="auto"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宋体" w:hAnsi="宋体" w:eastAsia="宋体" w:cs="宋体"/>
                <w:sz w:val="24"/>
                <w:szCs w:val="24"/>
                <w:highlight w:val="none"/>
              </w:rPr>
            </w:pPr>
          </w:p>
        </w:tc>
        <w:tc>
          <w:tcPr>
            <w:tcW w:w="87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宋体" w:hAnsi="宋体" w:eastAsia="宋体" w:cs="宋体"/>
                <w:snapToGrid w:val="0"/>
                <w:color w:val="000000"/>
                <w:sz w:val="24"/>
                <w:szCs w:val="24"/>
                <w:highlight w:val="none"/>
                <w:lang w:val="en-US" w:eastAsia="zh-CN" w:bidi="ar-SA"/>
              </w:rPr>
            </w:pPr>
            <w:r>
              <w:rPr>
                <w:rFonts w:hint="eastAsia" w:ascii="宋体" w:hAnsi="宋体" w:eastAsia="宋体" w:cs="宋体"/>
                <w:sz w:val="24"/>
                <w:szCs w:val="24"/>
                <w:highlight w:val="none"/>
              </w:rPr>
              <w:t>财务监管</w:t>
            </w:r>
          </w:p>
        </w:tc>
        <w:tc>
          <w:tcPr>
            <w:tcW w:w="235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hint="eastAsia" w:ascii="宋体" w:hAnsi="宋体" w:eastAsia="宋体" w:cs="宋体"/>
                <w:snapToGrid w:val="0"/>
                <w:color w:val="000000"/>
                <w:sz w:val="24"/>
                <w:szCs w:val="24"/>
                <w:highlight w:val="none"/>
                <w:lang w:val="en-US" w:eastAsia="zh-CN" w:bidi="ar-SA"/>
              </w:rPr>
            </w:pPr>
            <w:r>
              <w:rPr>
                <w:rFonts w:hint="eastAsia" w:ascii="宋体" w:hAnsi="宋体" w:eastAsia="宋体" w:cs="宋体"/>
                <w:sz w:val="24"/>
                <w:szCs w:val="24"/>
                <w:highlight w:val="none"/>
              </w:rPr>
              <w:t>企业财务快报的数据录入、数据运算、数据审核、数据汇总、审核反馈、数据导出、查询分析、分析报告以及对外报送等功能。</w:t>
            </w:r>
          </w:p>
        </w:tc>
        <w:tc>
          <w:tcPr>
            <w:tcW w:w="39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宋体" w:hAnsi="宋体" w:eastAsia="宋体" w:cs="宋体"/>
                <w:snapToGrid w:val="0"/>
                <w:color w:val="000000"/>
                <w:sz w:val="24"/>
                <w:szCs w:val="24"/>
                <w:highlight w:val="none"/>
                <w:lang w:val="en-US" w:eastAsia="zh-CN" w:bidi="ar-SA"/>
              </w:rPr>
            </w:pPr>
            <w:r>
              <w:rPr>
                <w:rFonts w:hint="eastAsia" w:ascii="宋体" w:hAnsi="宋体" w:eastAsia="宋体" w:cs="宋体"/>
                <w:sz w:val="24"/>
                <w:szCs w:val="24"/>
                <w:highlight w:val="none"/>
              </w:rPr>
              <w:t>套</w:t>
            </w:r>
          </w:p>
        </w:tc>
        <w:tc>
          <w:tcPr>
            <w:tcW w:w="37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宋体" w:hAnsi="宋体" w:eastAsia="宋体" w:cs="宋体"/>
                <w:snapToGrid w:val="0"/>
                <w:color w:val="000000"/>
                <w:sz w:val="24"/>
                <w:szCs w:val="24"/>
                <w:highlight w:val="none"/>
                <w:lang w:val="en-US" w:eastAsia="zh-CN" w:bidi="ar-SA"/>
              </w:rPr>
            </w:pPr>
            <w:r>
              <w:rPr>
                <w:rFonts w:hint="eastAsia" w:ascii="宋体" w:hAnsi="宋体" w:eastAsia="宋体" w:cs="宋体"/>
                <w:sz w:val="24"/>
                <w:szCs w:val="24"/>
                <w:highlight w:val="none"/>
              </w:rPr>
              <w:t>1</w:t>
            </w:r>
          </w:p>
        </w:tc>
      </w:tr>
      <w:tr>
        <w:tblPrEx>
          <w:tblCellMar>
            <w:top w:w="0" w:type="dxa"/>
            <w:left w:w="108" w:type="dxa"/>
            <w:bottom w:w="0" w:type="dxa"/>
            <w:right w:w="108" w:type="dxa"/>
          </w:tblCellMar>
        </w:tblPrEx>
        <w:trPr>
          <w:trHeight w:val="520" w:hRule="atLeast"/>
        </w:trPr>
        <w:tc>
          <w:tcPr>
            <w:tcW w:w="398"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w:t>
            </w:r>
          </w:p>
        </w:tc>
        <w:tc>
          <w:tcPr>
            <w:tcW w:w="612" w:type="pct"/>
            <w:vMerge w:val="continue"/>
            <w:tcBorders>
              <w:left w:val="single" w:color="auto"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宋体" w:hAnsi="宋体" w:eastAsia="宋体" w:cs="宋体"/>
                <w:sz w:val="24"/>
                <w:szCs w:val="24"/>
                <w:highlight w:val="none"/>
              </w:rPr>
            </w:pPr>
          </w:p>
        </w:tc>
        <w:tc>
          <w:tcPr>
            <w:tcW w:w="87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投资布局</w:t>
            </w:r>
          </w:p>
        </w:tc>
        <w:tc>
          <w:tcPr>
            <w:tcW w:w="235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实现对监管企业的投资布局情况管理，从年度投资计划、月度完成情况等方面进行业务数据管理与分析，实现对监管企业所有投资项目综合情况的统一管理和业务监管。主要功能包括年度投资计划、月度完成情况、投资分析、综合查询与统计等。</w:t>
            </w:r>
          </w:p>
        </w:tc>
        <w:tc>
          <w:tcPr>
            <w:tcW w:w="39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37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r>
      <w:tr>
        <w:tblPrEx>
          <w:tblCellMar>
            <w:top w:w="0" w:type="dxa"/>
            <w:left w:w="108" w:type="dxa"/>
            <w:bottom w:w="0" w:type="dxa"/>
            <w:right w:w="108" w:type="dxa"/>
          </w:tblCellMar>
        </w:tblPrEx>
        <w:trPr>
          <w:trHeight w:val="520" w:hRule="atLeast"/>
        </w:trPr>
        <w:tc>
          <w:tcPr>
            <w:tcW w:w="398"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w:t>
            </w:r>
          </w:p>
        </w:tc>
        <w:tc>
          <w:tcPr>
            <w:tcW w:w="612" w:type="pct"/>
            <w:vMerge w:val="continue"/>
            <w:tcBorders>
              <w:left w:val="single" w:color="auto"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宋体" w:hAnsi="宋体" w:eastAsia="宋体" w:cs="宋体"/>
                <w:sz w:val="24"/>
                <w:szCs w:val="24"/>
                <w:highlight w:val="none"/>
              </w:rPr>
            </w:pPr>
          </w:p>
        </w:tc>
        <w:tc>
          <w:tcPr>
            <w:tcW w:w="87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宋体" w:hAnsi="宋体" w:eastAsia="宋体" w:cs="宋体"/>
                <w:snapToGrid w:val="0"/>
                <w:color w:val="000000"/>
                <w:sz w:val="24"/>
                <w:szCs w:val="24"/>
                <w:highlight w:val="none"/>
                <w:lang w:val="en-US" w:eastAsia="zh-CN" w:bidi="ar-SA"/>
              </w:rPr>
            </w:pPr>
            <w:r>
              <w:rPr>
                <w:rFonts w:hint="eastAsia" w:ascii="宋体" w:hAnsi="宋体" w:eastAsia="宋体" w:cs="宋体"/>
                <w:sz w:val="24"/>
                <w:szCs w:val="24"/>
                <w:highlight w:val="none"/>
              </w:rPr>
              <w:t>科技创新</w:t>
            </w:r>
          </w:p>
        </w:tc>
        <w:tc>
          <w:tcPr>
            <w:tcW w:w="235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hint="eastAsia" w:ascii="宋体" w:hAnsi="宋体" w:eastAsia="宋体" w:cs="宋体"/>
                <w:snapToGrid w:val="0"/>
                <w:color w:val="000000"/>
                <w:sz w:val="24"/>
                <w:szCs w:val="24"/>
                <w:highlight w:val="none"/>
                <w:lang w:val="en-US" w:eastAsia="zh-CN" w:bidi="ar-SA"/>
              </w:rPr>
            </w:pPr>
            <w:r>
              <w:rPr>
                <w:rFonts w:hint="eastAsia" w:ascii="宋体" w:hAnsi="宋体"/>
                <w:sz w:val="24"/>
                <w:szCs w:val="24"/>
                <w:highlight w:val="none"/>
              </w:rPr>
              <w:t>高新技术企业情况、安全环保情况、创新成果情况等。</w:t>
            </w:r>
          </w:p>
        </w:tc>
        <w:tc>
          <w:tcPr>
            <w:tcW w:w="39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宋体" w:hAnsi="宋体" w:eastAsia="宋体" w:cs="宋体"/>
                <w:snapToGrid w:val="0"/>
                <w:color w:val="000000"/>
                <w:sz w:val="24"/>
                <w:szCs w:val="24"/>
                <w:highlight w:val="none"/>
                <w:lang w:val="en-US" w:eastAsia="zh-CN" w:bidi="ar-SA"/>
              </w:rPr>
            </w:pPr>
            <w:r>
              <w:rPr>
                <w:rFonts w:hint="eastAsia" w:ascii="宋体" w:hAnsi="宋体" w:eastAsia="宋体" w:cs="宋体"/>
                <w:sz w:val="24"/>
                <w:szCs w:val="24"/>
                <w:highlight w:val="none"/>
              </w:rPr>
              <w:t>套</w:t>
            </w:r>
          </w:p>
        </w:tc>
        <w:tc>
          <w:tcPr>
            <w:tcW w:w="37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宋体" w:hAnsi="宋体" w:eastAsia="宋体" w:cs="宋体"/>
                <w:snapToGrid w:val="0"/>
                <w:color w:val="000000"/>
                <w:sz w:val="24"/>
                <w:szCs w:val="24"/>
                <w:highlight w:val="none"/>
                <w:lang w:val="en-US" w:eastAsia="zh-CN" w:bidi="ar-SA"/>
              </w:rPr>
            </w:pPr>
            <w:r>
              <w:rPr>
                <w:rFonts w:hint="eastAsia" w:ascii="宋体" w:hAnsi="宋体" w:eastAsia="宋体" w:cs="宋体"/>
                <w:sz w:val="24"/>
                <w:szCs w:val="24"/>
                <w:highlight w:val="none"/>
              </w:rPr>
              <w:t>1</w:t>
            </w:r>
          </w:p>
        </w:tc>
      </w:tr>
      <w:tr>
        <w:tblPrEx>
          <w:tblCellMar>
            <w:top w:w="0" w:type="dxa"/>
            <w:left w:w="108" w:type="dxa"/>
            <w:bottom w:w="0" w:type="dxa"/>
            <w:right w:w="108" w:type="dxa"/>
          </w:tblCellMar>
        </w:tblPrEx>
        <w:trPr>
          <w:trHeight w:val="1512" w:hRule="atLeast"/>
        </w:trPr>
        <w:tc>
          <w:tcPr>
            <w:tcW w:w="398"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w:t>
            </w:r>
          </w:p>
        </w:tc>
        <w:tc>
          <w:tcPr>
            <w:tcW w:w="612" w:type="pct"/>
            <w:vMerge w:val="continue"/>
            <w:tcBorders>
              <w:left w:val="single" w:color="auto"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宋体" w:hAnsi="宋体" w:eastAsia="宋体" w:cs="宋体"/>
                <w:sz w:val="24"/>
                <w:szCs w:val="24"/>
                <w:highlight w:val="none"/>
              </w:rPr>
            </w:pPr>
          </w:p>
        </w:tc>
        <w:tc>
          <w:tcPr>
            <w:tcW w:w="870"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公司治理</w:t>
            </w:r>
          </w:p>
        </w:tc>
        <w:tc>
          <w:tcPr>
            <w:tcW w:w="2352"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hint="eastAsia" w:ascii="宋体" w:hAnsi="宋体" w:eastAsia="宋体" w:cs="宋体"/>
                <w:snapToGrid w:val="0"/>
                <w:color w:val="000000"/>
                <w:sz w:val="24"/>
                <w:szCs w:val="24"/>
                <w:highlight w:val="none"/>
                <w:lang w:val="en-US" w:eastAsia="zh-CN" w:bidi="ar-SA"/>
              </w:rPr>
            </w:pPr>
            <w:r>
              <w:rPr>
                <w:rFonts w:hint="eastAsia" w:ascii="宋体" w:hAnsi="宋体" w:eastAsia="宋体" w:cs="宋体"/>
                <w:snapToGrid w:val="0"/>
                <w:color w:val="000000"/>
                <w:sz w:val="24"/>
                <w:szCs w:val="24"/>
                <w:highlight w:val="none"/>
                <w:lang w:val="en-US" w:eastAsia="zh-CN" w:bidi="ar-SA"/>
              </w:rPr>
              <w:t>实现监管企业董事会设立情况、监事会设立情况的数据管理，包括一级、二级企业董事会设立情况，一级、二级企业监事会设立情况。</w:t>
            </w:r>
          </w:p>
        </w:tc>
        <w:tc>
          <w:tcPr>
            <w:tcW w:w="392"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宋体" w:hAnsi="宋体" w:eastAsia="宋体" w:cs="宋体"/>
                <w:snapToGrid w:val="0"/>
                <w:color w:val="000000"/>
                <w:sz w:val="24"/>
                <w:szCs w:val="24"/>
                <w:highlight w:val="none"/>
                <w:lang w:val="en-US" w:eastAsia="zh-CN" w:bidi="ar-SA"/>
              </w:rPr>
            </w:pPr>
            <w:r>
              <w:rPr>
                <w:rFonts w:hint="eastAsia" w:ascii="宋体" w:hAnsi="宋体" w:eastAsia="宋体" w:cs="宋体"/>
                <w:sz w:val="24"/>
                <w:szCs w:val="24"/>
                <w:highlight w:val="none"/>
              </w:rPr>
              <w:t>套</w:t>
            </w:r>
          </w:p>
        </w:tc>
        <w:tc>
          <w:tcPr>
            <w:tcW w:w="374"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宋体" w:hAnsi="宋体" w:eastAsia="宋体" w:cs="宋体"/>
                <w:snapToGrid w:val="0"/>
                <w:color w:val="000000"/>
                <w:sz w:val="24"/>
                <w:szCs w:val="24"/>
                <w:highlight w:val="none"/>
                <w:lang w:val="en-US" w:eastAsia="zh-CN" w:bidi="ar-SA"/>
              </w:rPr>
            </w:pPr>
            <w:r>
              <w:rPr>
                <w:rFonts w:hint="eastAsia" w:ascii="宋体" w:hAnsi="宋体" w:eastAsia="宋体" w:cs="宋体"/>
                <w:sz w:val="24"/>
                <w:szCs w:val="24"/>
                <w:highlight w:val="none"/>
              </w:rPr>
              <w:t>1</w:t>
            </w:r>
          </w:p>
        </w:tc>
      </w:tr>
      <w:tr>
        <w:tblPrEx>
          <w:tblCellMar>
            <w:top w:w="0" w:type="dxa"/>
            <w:left w:w="108" w:type="dxa"/>
            <w:bottom w:w="0" w:type="dxa"/>
            <w:right w:w="108" w:type="dxa"/>
          </w:tblCellMar>
        </w:tblPrEx>
        <w:trPr>
          <w:trHeight w:val="1490" w:hRule="atLeast"/>
        </w:trPr>
        <w:tc>
          <w:tcPr>
            <w:tcW w:w="398"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w:t>
            </w:r>
          </w:p>
        </w:tc>
        <w:tc>
          <w:tcPr>
            <w:tcW w:w="612" w:type="pct"/>
            <w:vMerge w:val="continue"/>
            <w:tcBorders>
              <w:left w:val="single" w:color="auto"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宋体" w:hAnsi="宋体" w:eastAsia="宋体" w:cs="宋体"/>
                <w:sz w:val="24"/>
                <w:szCs w:val="24"/>
                <w:highlight w:val="none"/>
              </w:rPr>
            </w:pPr>
          </w:p>
        </w:tc>
        <w:tc>
          <w:tcPr>
            <w:tcW w:w="87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企干管理</w:t>
            </w:r>
          </w:p>
        </w:tc>
        <w:tc>
          <w:tcPr>
            <w:tcW w:w="235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hint="eastAsia" w:ascii="宋体" w:hAnsi="宋体" w:eastAsia="宋体" w:cs="宋体"/>
                <w:snapToGrid w:val="0"/>
                <w:color w:val="000000"/>
                <w:sz w:val="24"/>
                <w:szCs w:val="24"/>
                <w:highlight w:val="none"/>
                <w:lang w:val="en-US" w:eastAsia="zh-CN" w:bidi="ar-SA"/>
              </w:rPr>
            </w:pPr>
            <w:r>
              <w:rPr>
                <w:rFonts w:hint="eastAsia" w:ascii="宋体" w:hAnsi="宋体" w:eastAsia="宋体" w:cs="宋体"/>
                <w:snapToGrid w:val="0"/>
                <w:color w:val="000000"/>
                <w:sz w:val="24"/>
                <w:szCs w:val="24"/>
                <w:highlight w:val="none"/>
                <w:lang w:val="en-US" w:eastAsia="zh-CN" w:bidi="ar-SA"/>
              </w:rPr>
              <w:t>实现监管企业用工情况的数据管理，包括学历、年龄、薪酬水平、用工形式等多类汇总数据。系统设计应符合陕西省国资委下发的监管指标要求。</w:t>
            </w:r>
          </w:p>
        </w:tc>
        <w:tc>
          <w:tcPr>
            <w:tcW w:w="39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宋体" w:hAnsi="宋体" w:eastAsia="宋体" w:cs="宋体"/>
                <w:snapToGrid w:val="0"/>
                <w:color w:val="000000"/>
                <w:sz w:val="24"/>
                <w:szCs w:val="24"/>
                <w:highlight w:val="none"/>
                <w:lang w:val="en-US" w:eastAsia="zh-CN" w:bidi="ar-SA"/>
              </w:rPr>
            </w:pPr>
            <w:r>
              <w:rPr>
                <w:rFonts w:hint="eastAsia" w:ascii="宋体" w:hAnsi="宋体" w:eastAsia="宋体" w:cs="宋体"/>
                <w:sz w:val="24"/>
                <w:szCs w:val="24"/>
                <w:highlight w:val="none"/>
              </w:rPr>
              <w:t>套</w:t>
            </w:r>
          </w:p>
        </w:tc>
        <w:tc>
          <w:tcPr>
            <w:tcW w:w="37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宋体" w:hAnsi="宋体" w:eastAsia="宋体" w:cs="宋体"/>
                <w:snapToGrid w:val="0"/>
                <w:color w:val="000000"/>
                <w:sz w:val="24"/>
                <w:szCs w:val="24"/>
                <w:highlight w:val="none"/>
                <w:lang w:val="en-US" w:eastAsia="zh-CN" w:bidi="ar-SA"/>
              </w:rPr>
            </w:pPr>
            <w:r>
              <w:rPr>
                <w:rFonts w:hint="eastAsia" w:ascii="宋体" w:hAnsi="宋体" w:eastAsia="宋体" w:cs="宋体"/>
                <w:sz w:val="24"/>
                <w:szCs w:val="24"/>
                <w:highlight w:val="none"/>
              </w:rPr>
              <w:t>1</w:t>
            </w:r>
          </w:p>
        </w:tc>
      </w:tr>
      <w:tr>
        <w:tblPrEx>
          <w:tblCellMar>
            <w:top w:w="0" w:type="dxa"/>
            <w:left w:w="108" w:type="dxa"/>
            <w:bottom w:w="0" w:type="dxa"/>
            <w:right w:w="108" w:type="dxa"/>
          </w:tblCellMar>
        </w:tblPrEx>
        <w:trPr>
          <w:trHeight w:val="1502" w:hRule="atLeast"/>
        </w:trPr>
        <w:tc>
          <w:tcPr>
            <w:tcW w:w="398"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w:t>
            </w:r>
          </w:p>
        </w:tc>
        <w:tc>
          <w:tcPr>
            <w:tcW w:w="612" w:type="pct"/>
            <w:vMerge w:val="continue"/>
            <w:tcBorders>
              <w:left w:val="single" w:color="auto"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宋体" w:hAnsi="宋体" w:eastAsia="宋体" w:cs="宋体"/>
                <w:sz w:val="24"/>
                <w:szCs w:val="24"/>
                <w:highlight w:val="none"/>
              </w:rPr>
            </w:pPr>
          </w:p>
        </w:tc>
        <w:tc>
          <w:tcPr>
            <w:tcW w:w="87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宋体" w:hAnsi="宋体" w:eastAsia="宋体" w:cs="宋体"/>
                <w:snapToGrid w:val="0"/>
                <w:color w:val="000000"/>
                <w:sz w:val="24"/>
                <w:szCs w:val="24"/>
                <w:highlight w:val="none"/>
                <w:lang w:val="en-US" w:eastAsia="zh-CN" w:bidi="ar-SA"/>
              </w:rPr>
            </w:pPr>
            <w:r>
              <w:rPr>
                <w:rFonts w:hint="eastAsia" w:ascii="宋体" w:hAnsi="宋体" w:eastAsia="宋体" w:cs="宋体"/>
                <w:sz w:val="24"/>
                <w:szCs w:val="24"/>
                <w:highlight w:val="none"/>
              </w:rPr>
              <w:t>人事管理</w:t>
            </w:r>
          </w:p>
        </w:tc>
        <w:tc>
          <w:tcPr>
            <w:tcW w:w="235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hint="eastAsia" w:ascii="宋体" w:hAnsi="宋体" w:eastAsia="宋体" w:cs="宋体"/>
                <w:snapToGrid w:val="0"/>
                <w:color w:val="000000"/>
                <w:sz w:val="24"/>
                <w:szCs w:val="24"/>
                <w:highlight w:val="none"/>
                <w:lang w:val="en-US" w:eastAsia="zh-CN" w:bidi="ar-SA"/>
              </w:rPr>
            </w:pPr>
            <w:r>
              <w:rPr>
                <w:rFonts w:hint="eastAsia" w:ascii="宋体" w:hAnsi="宋体" w:eastAsia="宋体" w:cs="宋体"/>
                <w:sz w:val="24"/>
                <w:szCs w:val="24"/>
                <w:highlight w:val="none"/>
              </w:rPr>
              <w:t>人事管理是登记企业所有人员信息，并形成人员库、专业技术人员信息库等信息供企业、国资委查看。包括企业领导人信息、人才库、人员基本信息等功能。</w:t>
            </w:r>
          </w:p>
        </w:tc>
        <w:tc>
          <w:tcPr>
            <w:tcW w:w="39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宋体" w:hAnsi="宋体" w:eastAsia="宋体" w:cs="宋体"/>
                <w:snapToGrid w:val="0"/>
                <w:color w:val="000000"/>
                <w:sz w:val="24"/>
                <w:szCs w:val="24"/>
                <w:highlight w:val="none"/>
                <w:lang w:val="en-US" w:eastAsia="zh-CN" w:bidi="ar-SA"/>
              </w:rPr>
            </w:pPr>
            <w:r>
              <w:rPr>
                <w:rFonts w:hint="eastAsia" w:ascii="宋体" w:hAnsi="宋体" w:eastAsia="宋体" w:cs="宋体"/>
                <w:sz w:val="24"/>
                <w:szCs w:val="24"/>
                <w:highlight w:val="none"/>
              </w:rPr>
              <w:t>套</w:t>
            </w:r>
          </w:p>
        </w:tc>
        <w:tc>
          <w:tcPr>
            <w:tcW w:w="37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宋体" w:hAnsi="宋体" w:eastAsia="宋体" w:cs="宋体"/>
                <w:snapToGrid w:val="0"/>
                <w:color w:val="000000"/>
                <w:sz w:val="24"/>
                <w:szCs w:val="24"/>
                <w:highlight w:val="none"/>
                <w:lang w:val="en-US" w:eastAsia="zh-CN" w:bidi="ar-SA"/>
              </w:rPr>
            </w:pPr>
            <w:r>
              <w:rPr>
                <w:rFonts w:hint="eastAsia" w:ascii="宋体" w:hAnsi="宋体" w:eastAsia="宋体" w:cs="宋体"/>
                <w:sz w:val="24"/>
                <w:szCs w:val="24"/>
                <w:highlight w:val="none"/>
              </w:rPr>
              <w:t>1</w:t>
            </w:r>
          </w:p>
        </w:tc>
      </w:tr>
      <w:tr>
        <w:tblPrEx>
          <w:tblCellMar>
            <w:top w:w="0" w:type="dxa"/>
            <w:left w:w="108" w:type="dxa"/>
            <w:bottom w:w="0" w:type="dxa"/>
            <w:right w:w="108" w:type="dxa"/>
          </w:tblCellMar>
        </w:tblPrEx>
        <w:trPr>
          <w:trHeight w:val="2497" w:hRule="atLeast"/>
        </w:trPr>
        <w:tc>
          <w:tcPr>
            <w:tcW w:w="398"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w:t>
            </w:r>
          </w:p>
        </w:tc>
        <w:tc>
          <w:tcPr>
            <w:tcW w:w="612" w:type="pct"/>
            <w:vMerge w:val="continue"/>
            <w:tcBorders>
              <w:left w:val="single" w:color="auto"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宋体" w:hAnsi="宋体" w:eastAsia="宋体" w:cs="宋体"/>
                <w:sz w:val="24"/>
                <w:szCs w:val="24"/>
                <w:highlight w:val="none"/>
              </w:rPr>
            </w:pPr>
          </w:p>
        </w:tc>
        <w:tc>
          <w:tcPr>
            <w:tcW w:w="87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产权管理</w:t>
            </w:r>
          </w:p>
        </w:tc>
        <w:tc>
          <w:tcPr>
            <w:tcW w:w="2352" w:type="pct"/>
            <w:tcBorders>
              <w:top w:val="nil"/>
              <w:left w:val="nil"/>
              <w:bottom w:val="single" w:color="auto" w:sz="4" w:space="0"/>
              <w:right w:val="single" w:color="auto" w:sz="4" w:space="0"/>
            </w:tcBorders>
            <w:shd w:val="clear" w:color="auto" w:fill="auto"/>
            <w:vAlign w:val="center"/>
          </w:tcPr>
          <w:p>
            <w:pPr>
              <w:pStyle w:val="21"/>
              <w:keepNext w:val="0"/>
              <w:keepLines w:val="0"/>
              <w:pageBreakBefore w:val="0"/>
              <w:widowControl/>
              <w:kinsoku w:val="0"/>
              <w:wordWrap/>
              <w:overflowPunct/>
              <w:topLinePunct w:val="0"/>
              <w:autoSpaceDE w:val="0"/>
              <w:autoSpaceDN w:val="0"/>
              <w:bidi w:val="0"/>
              <w:adjustRightInd w:val="0"/>
              <w:snapToGrid w:val="0"/>
              <w:spacing w:line="340" w:lineRule="exact"/>
              <w:ind w:left="0" w:leftChars="0" w:firstLine="0" w:firstLineChars="0"/>
              <w:textAlignment w:val="baseline"/>
              <w:rPr>
                <w:rFonts w:hint="eastAsia" w:ascii="宋体" w:hAnsi="宋体" w:eastAsia="宋体" w:cs="宋体"/>
                <w:sz w:val="24"/>
                <w:szCs w:val="24"/>
                <w:highlight w:val="none"/>
              </w:rPr>
            </w:pPr>
            <w:r>
              <w:rPr>
                <w:rFonts w:hint="eastAsia" w:ascii="宋体" w:hAnsi="宋体" w:eastAsia="宋体" w:cs="宋体"/>
                <w:snapToGrid w:val="0"/>
                <w:color w:val="000000"/>
                <w:sz w:val="24"/>
                <w:szCs w:val="24"/>
                <w:highlight w:val="none"/>
                <w:lang w:val="en-US" w:eastAsia="zh-CN" w:bidi="ar-SA"/>
              </w:rPr>
              <w:t>实现以《国家出资企业产权登记管理暂行办法》等制度法规为依据，以产权登记为务核心，对监管企主要的经济行为进行了统一流程性管理，主要信息范围包含企业基础信息、经济行为信息、合规性资料目录等。主要功能包括产权登记与变更、注销，产权管理树，综合查询与分析等。</w:t>
            </w:r>
          </w:p>
        </w:tc>
        <w:tc>
          <w:tcPr>
            <w:tcW w:w="39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37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r>
      <w:tr>
        <w:tblPrEx>
          <w:tblCellMar>
            <w:top w:w="0" w:type="dxa"/>
            <w:left w:w="108" w:type="dxa"/>
            <w:bottom w:w="0" w:type="dxa"/>
            <w:right w:w="108" w:type="dxa"/>
          </w:tblCellMar>
        </w:tblPrEx>
        <w:trPr>
          <w:trHeight w:val="2522" w:hRule="atLeast"/>
        </w:trPr>
        <w:tc>
          <w:tcPr>
            <w:tcW w:w="398"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13</w:t>
            </w:r>
          </w:p>
        </w:tc>
        <w:tc>
          <w:tcPr>
            <w:tcW w:w="612" w:type="pct"/>
            <w:vMerge w:val="continue"/>
            <w:tcBorders>
              <w:left w:val="single" w:color="auto"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宋体" w:hAnsi="宋体" w:eastAsia="宋体" w:cs="宋体"/>
                <w:sz w:val="24"/>
                <w:szCs w:val="24"/>
                <w:highlight w:val="none"/>
              </w:rPr>
            </w:pPr>
          </w:p>
        </w:tc>
        <w:tc>
          <w:tcPr>
            <w:tcW w:w="87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党建管理</w:t>
            </w:r>
          </w:p>
        </w:tc>
        <w:tc>
          <w:tcPr>
            <w:tcW w:w="235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实现监管企业党委、党组织、党委工作部门、党员信息以及党员发展情况的数据管理。系统设计应符合陕西省国资委下发的监管指标要求，包括党委基本信息、党组织基本信息、党委工作部门设置情况、党员基本信息、党员发展情况等，为党建体系工作的开展提供高效、便捷的应用。</w:t>
            </w:r>
          </w:p>
        </w:tc>
        <w:tc>
          <w:tcPr>
            <w:tcW w:w="39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37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r>
      <w:tr>
        <w:tblPrEx>
          <w:tblCellMar>
            <w:top w:w="0" w:type="dxa"/>
            <w:left w:w="108" w:type="dxa"/>
            <w:bottom w:w="0" w:type="dxa"/>
            <w:right w:w="108" w:type="dxa"/>
          </w:tblCellMar>
        </w:tblPrEx>
        <w:trPr>
          <w:trHeight w:val="520" w:hRule="atLeast"/>
        </w:trPr>
        <w:tc>
          <w:tcPr>
            <w:tcW w:w="398"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14</w:t>
            </w:r>
          </w:p>
        </w:tc>
        <w:tc>
          <w:tcPr>
            <w:tcW w:w="612"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ascii="宋体" w:hAnsi="宋体" w:eastAsia="宋体" w:cs="宋体"/>
                <w:sz w:val="24"/>
                <w:szCs w:val="24"/>
                <w:highlight w:val="none"/>
              </w:rPr>
            </w:pPr>
          </w:p>
        </w:tc>
        <w:tc>
          <w:tcPr>
            <w:tcW w:w="870"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ascii="宋体" w:hAnsi="宋体" w:eastAsia="宋体" w:cs="宋体"/>
                <w:sz w:val="24"/>
                <w:szCs w:val="24"/>
                <w:highlight w:val="none"/>
              </w:rPr>
            </w:pPr>
            <w:r>
              <w:rPr>
                <w:rFonts w:hint="eastAsia" w:ascii="宋体" w:hAnsi="宋体" w:eastAsia="宋体" w:cs="宋体"/>
                <w:sz w:val="24"/>
                <w:szCs w:val="24"/>
                <w:highlight w:val="none"/>
              </w:rPr>
              <w:t>三重一大</w:t>
            </w:r>
          </w:p>
        </w:tc>
        <w:tc>
          <w:tcPr>
            <w:tcW w:w="2352"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ascii="宋体" w:hAnsi="宋体" w:eastAsia="宋体" w:cs="宋体"/>
                <w:sz w:val="24"/>
                <w:szCs w:val="24"/>
                <w:highlight w:val="none"/>
              </w:rPr>
            </w:pPr>
            <w:r>
              <w:rPr>
                <w:rFonts w:hint="eastAsia" w:ascii="宋体" w:hAnsi="宋体" w:eastAsia="宋体" w:cs="宋体"/>
                <w:sz w:val="24"/>
                <w:szCs w:val="24"/>
                <w:highlight w:val="none"/>
              </w:rPr>
              <w:t>对涉及三重一大相关的监管数据指标进行在线填报。功能为监管概况、信息管理、决策制度管理、事项清单管理、决策会议管理、数据上报</w:t>
            </w:r>
          </w:p>
        </w:tc>
        <w:tc>
          <w:tcPr>
            <w:tcW w:w="392"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ascii="宋体" w:hAnsi="宋体" w:eastAsia="宋体" w:cs="宋体"/>
                <w:sz w:val="24"/>
                <w:szCs w:val="24"/>
                <w:highlight w:val="none"/>
              </w:rPr>
            </w:pPr>
            <w:r>
              <w:rPr>
                <w:rFonts w:hint="eastAsia" w:ascii="宋体" w:hAnsi="宋体" w:eastAsia="宋体" w:cs="宋体"/>
                <w:sz w:val="24"/>
                <w:szCs w:val="24"/>
                <w:highlight w:val="none"/>
              </w:rPr>
              <w:t>套</w:t>
            </w:r>
          </w:p>
        </w:tc>
        <w:tc>
          <w:tcPr>
            <w:tcW w:w="374"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ascii="宋体" w:hAnsi="宋体" w:eastAsia="宋体" w:cs="宋体"/>
                <w:sz w:val="24"/>
                <w:szCs w:val="24"/>
                <w:highlight w:val="none"/>
              </w:rPr>
            </w:pPr>
            <w:r>
              <w:rPr>
                <w:rFonts w:hint="eastAsia" w:ascii="宋体" w:hAnsi="宋体" w:eastAsia="宋体" w:cs="宋体"/>
                <w:sz w:val="24"/>
                <w:szCs w:val="24"/>
                <w:highlight w:val="none"/>
              </w:rPr>
              <w:t>1</w:t>
            </w:r>
          </w:p>
        </w:tc>
      </w:tr>
      <w:tr>
        <w:tblPrEx>
          <w:tblCellMar>
            <w:top w:w="0" w:type="dxa"/>
            <w:left w:w="108" w:type="dxa"/>
            <w:bottom w:w="0" w:type="dxa"/>
            <w:right w:w="108" w:type="dxa"/>
          </w:tblCellMar>
        </w:tblPrEx>
        <w:trPr>
          <w:trHeight w:val="520" w:hRule="atLeast"/>
        </w:trPr>
        <w:tc>
          <w:tcPr>
            <w:tcW w:w="398"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w:t>
            </w:r>
          </w:p>
        </w:tc>
        <w:tc>
          <w:tcPr>
            <w:tcW w:w="612" w:type="pct"/>
            <w:vMerge w:val="restart"/>
            <w:tcBorders>
              <w:top w:val="nil"/>
              <w:left w:val="single" w:color="auto" w:sz="4" w:space="0"/>
              <w:right w:val="single" w:color="auto"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ascii="宋体" w:hAnsi="宋体" w:eastAsia="宋体" w:cs="宋体"/>
                <w:sz w:val="24"/>
                <w:szCs w:val="24"/>
                <w:highlight w:val="none"/>
              </w:rPr>
            </w:pPr>
            <w:r>
              <w:rPr>
                <w:rFonts w:hint="eastAsia" w:ascii="宋体" w:hAnsi="宋体" w:eastAsia="宋体" w:cs="宋体"/>
                <w:sz w:val="24"/>
                <w:szCs w:val="24"/>
                <w:highlight w:val="none"/>
              </w:rPr>
              <w:t>生态资源云脑</w:t>
            </w:r>
          </w:p>
        </w:tc>
        <w:tc>
          <w:tcPr>
            <w:tcW w:w="87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ascii="宋体" w:hAnsi="宋体" w:eastAsia="宋体" w:cs="宋体"/>
                <w:sz w:val="24"/>
                <w:szCs w:val="24"/>
                <w:highlight w:val="none"/>
              </w:rPr>
            </w:pPr>
            <w:r>
              <w:rPr>
                <w:rFonts w:hint="eastAsia" w:ascii="宋体" w:hAnsi="宋体" w:eastAsia="宋体" w:cs="宋体"/>
                <w:sz w:val="24"/>
                <w:szCs w:val="24"/>
                <w:highlight w:val="none"/>
              </w:rPr>
              <w:t>数字驾驶舱</w:t>
            </w:r>
          </w:p>
        </w:tc>
        <w:tc>
          <w:tcPr>
            <w:tcW w:w="235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ascii="宋体" w:hAnsi="宋体" w:eastAsia="宋体" w:cs="宋体"/>
                <w:sz w:val="24"/>
                <w:szCs w:val="24"/>
                <w:highlight w:val="none"/>
              </w:rPr>
            </w:pPr>
            <w:r>
              <w:rPr>
                <w:rFonts w:hint="eastAsia" w:ascii="宋体" w:hAnsi="宋体" w:eastAsia="宋体" w:cs="宋体"/>
                <w:sz w:val="24"/>
                <w:szCs w:val="24"/>
                <w:highlight w:val="none"/>
              </w:rPr>
              <w:t>统一展示生态资源资产情况、资源交易情况、信贷情况、地图板块等数据，进行统计分析与展示。</w:t>
            </w:r>
          </w:p>
        </w:tc>
        <w:tc>
          <w:tcPr>
            <w:tcW w:w="39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ascii="宋体" w:hAnsi="宋体" w:eastAsia="宋体" w:cs="宋体"/>
                <w:sz w:val="24"/>
                <w:szCs w:val="24"/>
                <w:highlight w:val="none"/>
              </w:rPr>
            </w:pPr>
            <w:r>
              <w:rPr>
                <w:rFonts w:hint="eastAsia" w:ascii="宋体" w:hAnsi="宋体" w:eastAsia="宋体" w:cs="宋体"/>
                <w:sz w:val="24"/>
                <w:szCs w:val="24"/>
                <w:highlight w:val="none"/>
              </w:rPr>
              <w:t>套</w:t>
            </w:r>
          </w:p>
        </w:tc>
        <w:tc>
          <w:tcPr>
            <w:tcW w:w="37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ascii="宋体" w:hAnsi="宋体" w:eastAsia="宋体" w:cs="宋体"/>
                <w:sz w:val="24"/>
                <w:szCs w:val="24"/>
                <w:highlight w:val="none"/>
              </w:rPr>
            </w:pPr>
            <w:r>
              <w:rPr>
                <w:rFonts w:hint="eastAsia" w:ascii="宋体" w:hAnsi="宋体" w:eastAsia="宋体" w:cs="宋体"/>
                <w:sz w:val="24"/>
                <w:szCs w:val="24"/>
                <w:highlight w:val="none"/>
              </w:rPr>
              <w:t>1</w:t>
            </w:r>
          </w:p>
        </w:tc>
      </w:tr>
      <w:tr>
        <w:tblPrEx>
          <w:tblCellMar>
            <w:top w:w="0" w:type="dxa"/>
            <w:left w:w="108" w:type="dxa"/>
            <w:bottom w:w="0" w:type="dxa"/>
            <w:right w:w="108" w:type="dxa"/>
          </w:tblCellMar>
        </w:tblPrEx>
        <w:trPr>
          <w:trHeight w:val="520" w:hRule="atLeast"/>
        </w:trPr>
        <w:tc>
          <w:tcPr>
            <w:tcW w:w="398"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16</w:t>
            </w:r>
          </w:p>
        </w:tc>
        <w:tc>
          <w:tcPr>
            <w:tcW w:w="612" w:type="pct"/>
            <w:vMerge w:val="continue"/>
            <w:tcBorders>
              <w:left w:val="single" w:color="auto" w:sz="4" w:space="0"/>
              <w:right w:val="single" w:color="auto"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ascii="宋体" w:hAnsi="宋体" w:eastAsia="宋体" w:cs="宋体"/>
                <w:sz w:val="24"/>
                <w:szCs w:val="24"/>
                <w:highlight w:val="none"/>
              </w:rPr>
            </w:pPr>
          </w:p>
        </w:tc>
        <w:tc>
          <w:tcPr>
            <w:tcW w:w="87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ascii="宋体" w:hAnsi="宋体" w:eastAsia="宋体" w:cs="宋体"/>
                <w:sz w:val="24"/>
                <w:szCs w:val="24"/>
                <w:highlight w:val="none"/>
              </w:rPr>
            </w:pPr>
            <w:r>
              <w:rPr>
                <w:rFonts w:hint="eastAsia" w:ascii="宋体" w:hAnsi="宋体" w:eastAsia="宋体" w:cs="宋体"/>
                <w:sz w:val="24"/>
                <w:szCs w:val="24"/>
                <w:highlight w:val="none"/>
              </w:rPr>
              <w:t>业务管理平台</w:t>
            </w:r>
          </w:p>
        </w:tc>
        <w:tc>
          <w:tcPr>
            <w:tcW w:w="235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ascii="宋体" w:hAnsi="宋体" w:eastAsia="宋体" w:cs="宋体"/>
                <w:sz w:val="24"/>
                <w:szCs w:val="24"/>
                <w:highlight w:val="none"/>
              </w:rPr>
            </w:pPr>
            <w:r>
              <w:rPr>
                <w:rFonts w:hint="eastAsia" w:ascii="宋体" w:hAnsi="宋体" w:eastAsia="宋体" w:cs="宋体"/>
                <w:sz w:val="24"/>
                <w:szCs w:val="24"/>
                <w:highlight w:val="none"/>
              </w:rPr>
              <w:t>建设资源管理中心、资源交易中心、绿色金融中心、小程序中心和系统管理。</w:t>
            </w:r>
          </w:p>
        </w:tc>
        <w:tc>
          <w:tcPr>
            <w:tcW w:w="39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ascii="宋体" w:hAnsi="宋体" w:eastAsia="宋体" w:cs="宋体"/>
                <w:sz w:val="24"/>
                <w:szCs w:val="24"/>
                <w:highlight w:val="none"/>
              </w:rPr>
            </w:pPr>
            <w:r>
              <w:rPr>
                <w:rFonts w:hint="eastAsia" w:ascii="宋体" w:hAnsi="宋体" w:eastAsia="宋体" w:cs="宋体"/>
                <w:sz w:val="24"/>
                <w:szCs w:val="24"/>
                <w:highlight w:val="none"/>
              </w:rPr>
              <w:t>套</w:t>
            </w:r>
          </w:p>
        </w:tc>
        <w:tc>
          <w:tcPr>
            <w:tcW w:w="37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ascii="宋体" w:hAnsi="宋体" w:eastAsia="宋体" w:cs="宋体"/>
                <w:sz w:val="24"/>
                <w:szCs w:val="24"/>
                <w:highlight w:val="none"/>
              </w:rPr>
            </w:pPr>
            <w:r>
              <w:rPr>
                <w:rFonts w:hint="eastAsia" w:ascii="宋体" w:hAnsi="宋体" w:eastAsia="宋体" w:cs="宋体"/>
                <w:sz w:val="24"/>
                <w:szCs w:val="24"/>
                <w:highlight w:val="none"/>
              </w:rPr>
              <w:t>1</w:t>
            </w:r>
          </w:p>
        </w:tc>
      </w:tr>
      <w:tr>
        <w:tblPrEx>
          <w:tblCellMar>
            <w:top w:w="0" w:type="dxa"/>
            <w:left w:w="108" w:type="dxa"/>
            <w:bottom w:w="0" w:type="dxa"/>
            <w:right w:w="108" w:type="dxa"/>
          </w:tblCellMar>
        </w:tblPrEx>
        <w:trPr>
          <w:trHeight w:val="520" w:hRule="atLeast"/>
        </w:trPr>
        <w:tc>
          <w:tcPr>
            <w:tcW w:w="398"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w:t>
            </w:r>
          </w:p>
        </w:tc>
        <w:tc>
          <w:tcPr>
            <w:tcW w:w="612" w:type="pct"/>
            <w:vMerge w:val="continue"/>
            <w:tcBorders>
              <w:left w:val="single" w:color="auto" w:sz="4" w:space="0"/>
              <w:right w:val="single" w:color="auto"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ascii="宋体" w:hAnsi="宋体" w:eastAsia="宋体" w:cs="宋体"/>
                <w:sz w:val="24"/>
                <w:szCs w:val="24"/>
                <w:highlight w:val="none"/>
              </w:rPr>
            </w:pPr>
          </w:p>
        </w:tc>
        <w:tc>
          <w:tcPr>
            <w:tcW w:w="87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ascii="宋体" w:hAnsi="宋体" w:eastAsia="宋体" w:cs="宋体"/>
                <w:sz w:val="24"/>
                <w:szCs w:val="24"/>
                <w:highlight w:val="none"/>
              </w:rPr>
            </w:pPr>
            <w:r>
              <w:rPr>
                <w:rFonts w:hint="eastAsia" w:ascii="宋体" w:hAnsi="宋体" w:eastAsia="宋体" w:cs="宋体"/>
                <w:sz w:val="24"/>
                <w:szCs w:val="24"/>
                <w:highlight w:val="none"/>
              </w:rPr>
              <w:t>微信小程序</w:t>
            </w:r>
          </w:p>
        </w:tc>
        <w:tc>
          <w:tcPr>
            <w:tcW w:w="235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ascii="宋体" w:hAnsi="宋体" w:eastAsia="宋体" w:cs="宋体"/>
                <w:sz w:val="24"/>
                <w:szCs w:val="24"/>
                <w:highlight w:val="none"/>
              </w:rPr>
            </w:pPr>
            <w:r>
              <w:rPr>
                <w:rFonts w:hint="eastAsia" w:ascii="宋体" w:hAnsi="宋体" w:eastAsia="宋体" w:cs="宋体"/>
                <w:sz w:val="24"/>
                <w:szCs w:val="24"/>
                <w:highlight w:val="none"/>
              </w:rPr>
              <w:t>建设资源中心、签约交易以及个人生态账户。</w:t>
            </w:r>
          </w:p>
        </w:tc>
        <w:tc>
          <w:tcPr>
            <w:tcW w:w="39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ascii="宋体" w:hAnsi="宋体" w:eastAsia="宋体" w:cs="宋体"/>
                <w:sz w:val="24"/>
                <w:szCs w:val="24"/>
                <w:highlight w:val="none"/>
              </w:rPr>
            </w:pPr>
            <w:r>
              <w:rPr>
                <w:rFonts w:hint="eastAsia" w:ascii="宋体" w:hAnsi="宋体" w:eastAsia="宋体" w:cs="宋体"/>
                <w:sz w:val="24"/>
                <w:szCs w:val="24"/>
                <w:highlight w:val="none"/>
              </w:rPr>
              <w:t>套</w:t>
            </w:r>
          </w:p>
        </w:tc>
        <w:tc>
          <w:tcPr>
            <w:tcW w:w="37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ascii="宋体" w:hAnsi="宋体" w:eastAsia="宋体" w:cs="宋体"/>
                <w:sz w:val="24"/>
                <w:szCs w:val="24"/>
                <w:highlight w:val="none"/>
              </w:rPr>
            </w:pPr>
            <w:r>
              <w:rPr>
                <w:rFonts w:hint="eastAsia" w:ascii="宋体" w:hAnsi="宋体" w:eastAsia="宋体" w:cs="宋体"/>
                <w:sz w:val="24"/>
                <w:szCs w:val="24"/>
                <w:highlight w:val="none"/>
              </w:rPr>
              <w:t>1</w:t>
            </w:r>
          </w:p>
        </w:tc>
      </w:tr>
      <w:tr>
        <w:tblPrEx>
          <w:tblCellMar>
            <w:top w:w="0" w:type="dxa"/>
            <w:left w:w="108" w:type="dxa"/>
            <w:bottom w:w="0" w:type="dxa"/>
            <w:right w:w="108" w:type="dxa"/>
          </w:tblCellMar>
        </w:tblPrEx>
        <w:trPr>
          <w:trHeight w:val="1207" w:hRule="atLeast"/>
        </w:trPr>
        <w:tc>
          <w:tcPr>
            <w:tcW w:w="398"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18</w:t>
            </w:r>
          </w:p>
        </w:tc>
        <w:tc>
          <w:tcPr>
            <w:tcW w:w="612" w:type="pct"/>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ascii="宋体" w:hAnsi="宋体" w:eastAsia="宋体" w:cs="宋体"/>
                <w:sz w:val="24"/>
                <w:szCs w:val="24"/>
                <w:highlight w:val="none"/>
              </w:rPr>
            </w:pPr>
          </w:p>
        </w:tc>
        <w:tc>
          <w:tcPr>
            <w:tcW w:w="87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ascii="宋体" w:hAnsi="宋体" w:eastAsia="宋体" w:cs="宋体"/>
                <w:sz w:val="24"/>
                <w:szCs w:val="24"/>
                <w:highlight w:val="none"/>
              </w:rPr>
            </w:pPr>
            <w:r>
              <w:rPr>
                <w:rFonts w:hint="eastAsia" w:ascii="宋体" w:hAnsi="宋体" w:eastAsia="宋体" w:cs="宋体"/>
                <w:sz w:val="24"/>
                <w:szCs w:val="24"/>
                <w:highlight w:val="none"/>
              </w:rPr>
              <w:t>数据库</w:t>
            </w:r>
          </w:p>
        </w:tc>
        <w:tc>
          <w:tcPr>
            <w:tcW w:w="235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ascii="宋体" w:hAnsi="宋体" w:eastAsia="宋体" w:cs="宋体"/>
                <w:sz w:val="24"/>
                <w:szCs w:val="24"/>
                <w:highlight w:val="none"/>
              </w:rPr>
            </w:pPr>
            <w:r>
              <w:rPr>
                <w:rFonts w:hint="eastAsia" w:ascii="宋体" w:hAnsi="宋体" w:eastAsia="宋体" w:cs="宋体"/>
                <w:sz w:val="24"/>
                <w:szCs w:val="24"/>
                <w:highlight w:val="none"/>
              </w:rPr>
              <w:t>对生态资源管理、资源交易、绿色金融等数据进行数据归集、数据清洗和数据治理工作，并建设两山生态资源云脑数据库。</w:t>
            </w:r>
          </w:p>
        </w:tc>
        <w:tc>
          <w:tcPr>
            <w:tcW w:w="39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ascii="宋体" w:hAnsi="宋体" w:eastAsia="宋体" w:cs="宋体"/>
                <w:sz w:val="24"/>
                <w:szCs w:val="24"/>
                <w:highlight w:val="none"/>
              </w:rPr>
            </w:pPr>
            <w:r>
              <w:rPr>
                <w:rFonts w:hint="eastAsia" w:ascii="宋体" w:hAnsi="宋体" w:eastAsia="宋体" w:cs="宋体"/>
                <w:sz w:val="24"/>
                <w:szCs w:val="24"/>
                <w:highlight w:val="none"/>
              </w:rPr>
              <w:t>套</w:t>
            </w:r>
          </w:p>
        </w:tc>
        <w:tc>
          <w:tcPr>
            <w:tcW w:w="37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ascii="宋体" w:hAnsi="宋体" w:eastAsia="宋体" w:cs="宋体"/>
                <w:sz w:val="24"/>
                <w:szCs w:val="24"/>
                <w:highlight w:val="none"/>
              </w:rPr>
            </w:pPr>
            <w:r>
              <w:rPr>
                <w:rFonts w:hint="eastAsia" w:ascii="宋体" w:hAnsi="宋体" w:eastAsia="宋体" w:cs="宋体"/>
                <w:sz w:val="24"/>
                <w:szCs w:val="24"/>
                <w:highlight w:val="none"/>
              </w:rPr>
              <w:t>1</w:t>
            </w:r>
          </w:p>
        </w:tc>
      </w:tr>
      <w:tr>
        <w:tblPrEx>
          <w:tblCellMar>
            <w:top w:w="0" w:type="dxa"/>
            <w:left w:w="108" w:type="dxa"/>
            <w:bottom w:w="0" w:type="dxa"/>
            <w:right w:w="108" w:type="dxa"/>
          </w:tblCellMar>
        </w:tblPrEx>
        <w:trPr>
          <w:trHeight w:val="1507" w:hRule="atLeast"/>
        </w:trPr>
        <w:tc>
          <w:tcPr>
            <w:tcW w:w="398"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19</w:t>
            </w:r>
          </w:p>
        </w:tc>
        <w:tc>
          <w:tcPr>
            <w:tcW w:w="1482" w:type="pct"/>
            <w:gridSpan w:val="2"/>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数据监管门户</w:t>
            </w:r>
          </w:p>
        </w:tc>
        <w:tc>
          <w:tcPr>
            <w:tcW w:w="235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hint="eastAsia" w:ascii="宋体" w:hAnsi="宋体" w:eastAsia="宋体" w:cs="宋体"/>
                <w:snapToGrid w:val="0"/>
                <w:color w:val="000000"/>
                <w:sz w:val="24"/>
                <w:szCs w:val="24"/>
                <w:highlight w:val="none"/>
                <w:lang w:val="en-US" w:eastAsia="zh-CN" w:bidi="ar-SA"/>
              </w:rPr>
            </w:pPr>
            <w:r>
              <w:rPr>
                <w:rFonts w:hint="eastAsia" w:ascii="宋体" w:hAnsi="宋体" w:eastAsia="宋体" w:cs="宋体"/>
                <w:sz w:val="24"/>
                <w:szCs w:val="24"/>
                <w:highlight w:val="none"/>
              </w:rPr>
              <w:t>1、统一应用接入管理，统一认证管理，统一服务，工作台。</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2、可视化展示分析（财务快报分析数据、人力资源分析数据、三重一大分析数据）</w:t>
            </w:r>
          </w:p>
        </w:tc>
        <w:tc>
          <w:tcPr>
            <w:tcW w:w="39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宋体" w:hAnsi="宋体" w:eastAsia="宋体" w:cs="宋体"/>
                <w:snapToGrid w:val="0"/>
                <w:color w:val="000000"/>
                <w:sz w:val="24"/>
                <w:szCs w:val="24"/>
                <w:highlight w:val="none"/>
                <w:lang w:val="en-US" w:eastAsia="zh-CN" w:bidi="ar-SA"/>
              </w:rPr>
            </w:pPr>
            <w:r>
              <w:rPr>
                <w:rFonts w:hint="eastAsia" w:ascii="宋体" w:hAnsi="宋体" w:eastAsia="宋体" w:cs="宋体"/>
                <w:sz w:val="24"/>
                <w:szCs w:val="24"/>
                <w:highlight w:val="none"/>
              </w:rPr>
              <w:t>套</w:t>
            </w:r>
          </w:p>
        </w:tc>
        <w:tc>
          <w:tcPr>
            <w:tcW w:w="37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宋体" w:hAnsi="宋体" w:eastAsia="宋体" w:cs="宋体"/>
                <w:snapToGrid w:val="0"/>
                <w:color w:val="000000"/>
                <w:sz w:val="24"/>
                <w:szCs w:val="24"/>
                <w:highlight w:val="none"/>
                <w:lang w:val="en-US" w:eastAsia="zh-CN" w:bidi="ar-SA"/>
              </w:rPr>
            </w:pPr>
            <w:r>
              <w:rPr>
                <w:rFonts w:hint="eastAsia" w:ascii="宋体" w:hAnsi="宋体" w:eastAsia="宋体" w:cs="宋体"/>
                <w:sz w:val="24"/>
                <w:szCs w:val="24"/>
                <w:highlight w:val="none"/>
              </w:rPr>
              <w:t>1</w:t>
            </w:r>
          </w:p>
        </w:tc>
      </w:tr>
      <w:tr>
        <w:tblPrEx>
          <w:tblCellMar>
            <w:top w:w="0" w:type="dxa"/>
            <w:left w:w="108" w:type="dxa"/>
            <w:bottom w:w="0" w:type="dxa"/>
            <w:right w:w="108" w:type="dxa"/>
          </w:tblCellMar>
        </w:tblPrEx>
        <w:trPr>
          <w:trHeight w:val="706" w:hRule="atLeast"/>
        </w:trPr>
        <w:tc>
          <w:tcPr>
            <w:tcW w:w="398"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宋体" w:hAnsi="宋体" w:eastAsia="宋体" w:cs="宋体"/>
                <w:snapToGrid w:val="0"/>
                <w:color w:val="000000"/>
                <w:sz w:val="24"/>
                <w:szCs w:val="24"/>
                <w:highlight w:val="none"/>
                <w:lang w:val="en-US" w:eastAsia="zh-CN" w:bidi="ar-SA"/>
              </w:rPr>
            </w:pPr>
            <w:r>
              <w:rPr>
                <w:rFonts w:hint="eastAsia" w:ascii="宋体" w:hAnsi="宋体" w:eastAsia="宋体" w:cs="宋体"/>
                <w:sz w:val="24"/>
                <w:szCs w:val="24"/>
                <w:highlight w:val="none"/>
                <w:lang w:val="en-US" w:eastAsia="zh-CN"/>
              </w:rPr>
              <w:t>20</w:t>
            </w:r>
          </w:p>
        </w:tc>
        <w:tc>
          <w:tcPr>
            <w:tcW w:w="1482" w:type="pct"/>
            <w:gridSpan w:val="2"/>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宋体" w:hAnsi="宋体" w:eastAsia="宋体" w:cs="宋体"/>
                <w:snapToGrid w:val="0"/>
                <w:color w:val="000000"/>
                <w:sz w:val="24"/>
                <w:szCs w:val="24"/>
                <w:highlight w:val="none"/>
                <w:lang w:val="en-US" w:eastAsia="zh-CN" w:bidi="ar-SA"/>
              </w:rPr>
            </w:pPr>
            <w:r>
              <w:rPr>
                <w:rFonts w:hint="eastAsia" w:ascii="宋体" w:hAnsi="宋体" w:eastAsia="宋体" w:cs="宋体"/>
                <w:sz w:val="24"/>
                <w:szCs w:val="24"/>
                <w:highlight w:val="none"/>
              </w:rPr>
              <w:t>专线电路</w:t>
            </w:r>
          </w:p>
        </w:tc>
        <w:tc>
          <w:tcPr>
            <w:tcW w:w="235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left"/>
              <w:textAlignment w:val="baseline"/>
              <w:rPr>
                <w:rFonts w:hint="eastAsia" w:ascii="宋体" w:hAnsi="宋体" w:eastAsia="宋体" w:cs="宋体"/>
                <w:snapToGrid w:val="0"/>
                <w:color w:val="000000"/>
                <w:sz w:val="24"/>
                <w:szCs w:val="24"/>
                <w:highlight w:val="none"/>
                <w:lang w:val="en-US" w:eastAsia="zh-CN" w:bidi="ar-SA"/>
              </w:rPr>
            </w:pPr>
            <w:r>
              <w:rPr>
                <w:rFonts w:hint="eastAsia" w:ascii="宋体" w:hAnsi="宋体" w:eastAsia="宋体" w:cs="宋体"/>
                <w:sz w:val="24"/>
                <w:szCs w:val="24"/>
                <w:highlight w:val="none"/>
              </w:rPr>
              <w:t>10M专线</w:t>
            </w:r>
          </w:p>
        </w:tc>
        <w:tc>
          <w:tcPr>
            <w:tcW w:w="39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宋体" w:hAnsi="宋体" w:eastAsia="宋体" w:cs="宋体"/>
                <w:snapToGrid w:val="0"/>
                <w:color w:val="000000"/>
                <w:sz w:val="24"/>
                <w:szCs w:val="24"/>
                <w:highlight w:val="none"/>
                <w:lang w:val="en-US" w:eastAsia="zh-CN" w:bidi="ar-SA"/>
              </w:rPr>
            </w:pPr>
            <w:r>
              <w:rPr>
                <w:rFonts w:hint="eastAsia" w:ascii="宋体" w:hAnsi="宋体" w:eastAsia="宋体" w:cs="宋体"/>
                <w:sz w:val="24"/>
                <w:szCs w:val="24"/>
                <w:highlight w:val="none"/>
              </w:rPr>
              <w:t>条</w:t>
            </w:r>
          </w:p>
        </w:tc>
        <w:tc>
          <w:tcPr>
            <w:tcW w:w="37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宋体" w:hAnsi="宋体" w:eastAsia="宋体" w:cs="宋体"/>
                <w:snapToGrid w:val="0"/>
                <w:color w:val="000000"/>
                <w:sz w:val="24"/>
                <w:szCs w:val="24"/>
                <w:highlight w:val="none"/>
                <w:lang w:val="en-US" w:eastAsia="zh-CN" w:bidi="ar-SA"/>
              </w:rPr>
            </w:pPr>
            <w:r>
              <w:rPr>
                <w:rFonts w:hint="eastAsia" w:ascii="宋体" w:hAnsi="宋体" w:eastAsia="宋体" w:cs="宋体"/>
                <w:sz w:val="24"/>
                <w:szCs w:val="24"/>
                <w:highlight w:val="none"/>
              </w:rPr>
              <w:t>1</w:t>
            </w:r>
          </w:p>
        </w:tc>
      </w:tr>
      <w:tr>
        <w:tblPrEx>
          <w:tblCellMar>
            <w:top w:w="0" w:type="dxa"/>
            <w:left w:w="108" w:type="dxa"/>
            <w:bottom w:w="0" w:type="dxa"/>
            <w:right w:w="108" w:type="dxa"/>
          </w:tblCellMar>
        </w:tblPrEx>
        <w:trPr>
          <w:trHeight w:val="4271" w:hRule="atLeast"/>
        </w:trPr>
        <w:tc>
          <w:tcPr>
            <w:tcW w:w="3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21</w:t>
            </w:r>
          </w:p>
        </w:tc>
        <w:tc>
          <w:tcPr>
            <w:tcW w:w="148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台式电脑</w:t>
            </w:r>
          </w:p>
        </w:tc>
        <w:tc>
          <w:tcPr>
            <w:tcW w:w="2352"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left"/>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系统：Windows11家庭中文版</w:t>
            </w:r>
          </w:p>
          <w:p>
            <w:pPr>
              <w:keepNext w:val="0"/>
              <w:keepLines w:val="0"/>
              <w:pageBreakBefore w:val="0"/>
              <w:widowControl/>
              <w:kinsoku w:val="0"/>
              <w:wordWrap/>
              <w:overflowPunct/>
              <w:topLinePunct w:val="0"/>
              <w:autoSpaceDE w:val="0"/>
              <w:autoSpaceDN w:val="0"/>
              <w:bidi w:val="0"/>
              <w:adjustRightInd w:val="0"/>
              <w:snapToGrid w:val="0"/>
              <w:spacing w:line="340" w:lineRule="exact"/>
              <w:jc w:val="left"/>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CPU：英特尔“酷睿”i5-12400处理器</w:t>
            </w:r>
          </w:p>
          <w:p>
            <w:pPr>
              <w:keepNext w:val="0"/>
              <w:keepLines w:val="0"/>
              <w:pageBreakBefore w:val="0"/>
              <w:widowControl/>
              <w:kinsoku w:val="0"/>
              <w:wordWrap/>
              <w:overflowPunct/>
              <w:topLinePunct w:val="0"/>
              <w:autoSpaceDE w:val="0"/>
              <w:autoSpaceDN w:val="0"/>
              <w:bidi w:val="0"/>
              <w:adjustRightInd w:val="0"/>
              <w:snapToGrid w:val="0"/>
              <w:spacing w:line="340" w:lineRule="exact"/>
              <w:jc w:val="left"/>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内存：16GB DDR4 3200MHz内存</w:t>
            </w:r>
          </w:p>
          <w:p>
            <w:pPr>
              <w:keepNext w:val="0"/>
              <w:keepLines w:val="0"/>
              <w:pageBreakBefore w:val="0"/>
              <w:widowControl/>
              <w:kinsoku w:val="0"/>
              <w:wordWrap/>
              <w:overflowPunct/>
              <w:topLinePunct w:val="0"/>
              <w:autoSpaceDE w:val="0"/>
              <w:autoSpaceDN w:val="0"/>
              <w:bidi w:val="0"/>
              <w:adjustRightInd w:val="0"/>
              <w:snapToGrid w:val="0"/>
              <w:spacing w:line="340" w:lineRule="exact"/>
              <w:jc w:val="left"/>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硬盘：512GB NVMe高速固态硬盘</w:t>
            </w:r>
          </w:p>
          <w:p>
            <w:pPr>
              <w:keepNext w:val="0"/>
              <w:keepLines w:val="0"/>
              <w:pageBreakBefore w:val="0"/>
              <w:widowControl/>
              <w:kinsoku w:val="0"/>
              <w:wordWrap/>
              <w:overflowPunct/>
              <w:topLinePunct w:val="0"/>
              <w:autoSpaceDE w:val="0"/>
              <w:autoSpaceDN w:val="0"/>
              <w:bidi w:val="0"/>
              <w:adjustRightInd w:val="0"/>
              <w:snapToGrid w:val="0"/>
              <w:spacing w:line="340" w:lineRule="exact"/>
              <w:jc w:val="left"/>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显卡：集成显卡</w:t>
            </w:r>
          </w:p>
          <w:p>
            <w:pPr>
              <w:keepNext w:val="0"/>
              <w:keepLines w:val="0"/>
              <w:pageBreakBefore w:val="0"/>
              <w:widowControl/>
              <w:kinsoku w:val="0"/>
              <w:wordWrap/>
              <w:overflowPunct/>
              <w:topLinePunct w:val="0"/>
              <w:autoSpaceDE w:val="0"/>
              <w:autoSpaceDN w:val="0"/>
              <w:bidi w:val="0"/>
              <w:adjustRightInd w:val="0"/>
              <w:snapToGrid w:val="0"/>
              <w:spacing w:line="340" w:lineRule="exact"/>
              <w:jc w:val="left"/>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网卡：802.11ax Wi-Fi6+蓝牙无线网卡/千兆有线网卡</w:t>
            </w:r>
          </w:p>
          <w:p>
            <w:pPr>
              <w:keepNext w:val="0"/>
              <w:keepLines w:val="0"/>
              <w:pageBreakBefore w:val="0"/>
              <w:widowControl/>
              <w:kinsoku w:val="0"/>
              <w:wordWrap/>
              <w:overflowPunct/>
              <w:topLinePunct w:val="0"/>
              <w:autoSpaceDE w:val="0"/>
              <w:autoSpaceDN w:val="0"/>
              <w:bidi w:val="0"/>
              <w:adjustRightInd w:val="0"/>
              <w:snapToGrid w:val="0"/>
              <w:spacing w:line="340" w:lineRule="exact"/>
              <w:jc w:val="left"/>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键鼠：标配有线键鼠套装</w:t>
            </w:r>
          </w:p>
          <w:p>
            <w:pPr>
              <w:keepNext w:val="0"/>
              <w:keepLines w:val="0"/>
              <w:pageBreakBefore w:val="0"/>
              <w:widowControl/>
              <w:kinsoku w:val="0"/>
              <w:wordWrap/>
              <w:overflowPunct/>
              <w:topLinePunct w:val="0"/>
              <w:autoSpaceDE w:val="0"/>
              <w:autoSpaceDN w:val="0"/>
              <w:bidi w:val="0"/>
              <w:adjustRightInd w:val="0"/>
              <w:snapToGrid w:val="0"/>
              <w:spacing w:line="340" w:lineRule="exact"/>
              <w:jc w:val="left"/>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软件：预装正版Office家庭和学生版</w:t>
            </w:r>
          </w:p>
          <w:p>
            <w:pPr>
              <w:keepNext w:val="0"/>
              <w:keepLines w:val="0"/>
              <w:pageBreakBefore w:val="0"/>
              <w:widowControl/>
              <w:kinsoku w:val="0"/>
              <w:wordWrap/>
              <w:overflowPunct/>
              <w:topLinePunct w:val="0"/>
              <w:autoSpaceDE w:val="0"/>
              <w:autoSpaceDN w:val="0"/>
              <w:bidi w:val="0"/>
              <w:adjustRightInd w:val="0"/>
              <w:snapToGrid w:val="0"/>
              <w:spacing w:line="340" w:lineRule="exact"/>
              <w:jc w:val="left"/>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显示器：23英寸、1920*1080分辨率、72%NTSC高色域、T</w:t>
            </w:r>
            <w:r>
              <w:rPr>
                <w:rFonts w:hint="eastAsia" w:ascii="宋体" w:hAnsi="宋体" w:eastAsia="宋体" w:cs="宋体"/>
                <w:i w:val="0"/>
                <w:iCs w:val="0"/>
                <w:caps w:val="0"/>
                <w:color w:val="333333"/>
                <w:spacing w:val="0"/>
                <w:sz w:val="24"/>
                <w:szCs w:val="24"/>
                <w:highlight w:val="none"/>
                <w:shd w:val="clear" w:fill="FFFFFF"/>
              </w:rPr>
              <w:t>ü</w:t>
            </w:r>
            <w:r>
              <w:rPr>
                <w:rFonts w:hint="eastAsia" w:ascii="宋体" w:hAnsi="宋体" w:eastAsia="宋体" w:cs="宋体"/>
                <w:i w:val="0"/>
                <w:iCs w:val="0"/>
                <w:caps w:val="0"/>
                <w:color w:val="333333"/>
                <w:spacing w:val="0"/>
                <w:sz w:val="24"/>
                <w:szCs w:val="24"/>
                <w:highlight w:val="none"/>
                <w:shd w:val="clear" w:fill="FFFFFF"/>
                <w:lang w:val="en-US" w:eastAsia="zh-CN"/>
              </w:rPr>
              <w:t>V低蓝光无频闪认证、VGA+DVI输入、</w:t>
            </w:r>
            <w:r>
              <w:rPr>
                <w:rFonts w:hint="eastAsia" w:ascii="宋体" w:hAnsi="宋体" w:eastAsia="宋体" w:cs="宋体"/>
                <w:sz w:val="24"/>
                <w:szCs w:val="24"/>
                <w:highlight w:val="none"/>
                <w:lang w:val="en-US" w:eastAsia="zh-CN"/>
              </w:rPr>
              <w:t>-5°—20°可调节角度</w:t>
            </w:r>
          </w:p>
        </w:tc>
        <w:tc>
          <w:tcPr>
            <w:tcW w:w="392"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台</w:t>
            </w:r>
          </w:p>
        </w:tc>
        <w:tc>
          <w:tcPr>
            <w:tcW w:w="374"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w:t>
            </w:r>
          </w:p>
        </w:tc>
      </w:tr>
      <w:tr>
        <w:tblPrEx>
          <w:tblCellMar>
            <w:top w:w="0" w:type="dxa"/>
            <w:left w:w="108" w:type="dxa"/>
            <w:bottom w:w="0" w:type="dxa"/>
            <w:right w:w="108" w:type="dxa"/>
          </w:tblCellMar>
        </w:tblPrEx>
        <w:trPr>
          <w:trHeight w:val="4000" w:hRule="atLeast"/>
        </w:trPr>
        <w:tc>
          <w:tcPr>
            <w:tcW w:w="398"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w:t>
            </w:r>
          </w:p>
        </w:tc>
        <w:tc>
          <w:tcPr>
            <w:tcW w:w="1482" w:type="pct"/>
            <w:gridSpan w:val="2"/>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笔记本电脑</w:t>
            </w:r>
          </w:p>
        </w:tc>
        <w:tc>
          <w:tcPr>
            <w:tcW w:w="235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left"/>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屏幕尺寸：15.6英寸、物理分辨1920×1080、屏幕类型全高清IPS屏幕</w:t>
            </w:r>
          </w:p>
          <w:p>
            <w:pPr>
              <w:keepNext w:val="0"/>
              <w:keepLines w:val="0"/>
              <w:pageBreakBefore w:val="0"/>
              <w:widowControl/>
              <w:kinsoku w:val="0"/>
              <w:wordWrap/>
              <w:overflowPunct/>
              <w:topLinePunct w:val="0"/>
              <w:autoSpaceDE w:val="0"/>
              <w:autoSpaceDN w:val="0"/>
              <w:bidi w:val="0"/>
              <w:adjustRightInd w:val="0"/>
              <w:snapToGrid w:val="0"/>
              <w:spacing w:line="340" w:lineRule="exact"/>
              <w:jc w:val="left"/>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内存容量：16GB</w:t>
            </w:r>
          </w:p>
          <w:p>
            <w:pPr>
              <w:keepNext w:val="0"/>
              <w:keepLines w:val="0"/>
              <w:pageBreakBefore w:val="0"/>
              <w:widowControl/>
              <w:kinsoku w:val="0"/>
              <w:wordWrap/>
              <w:overflowPunct/>
              <w:topLinePunct w:val="0"/>
              <w:autoSpaceDE w:val="0"/>
              <w:autoSpaceDN w:val="0"/>
              <w:bidi w:val="0"/>
              <w:adjustRightInd w:val="0"/>
              <w:snapToGrid w:val="0"/>
              <w:spacing w:line="340" w:lineRule="exact"/>
              <w:jc w:val="left"/>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内存类型：DDR5</w:t>
            </w:r>
          </w:p>
          <w:p>
            <w:pPr>
              <w:keepNext w:val="0"/>
              <w:keepLines w:val="0"/>
              <w:pageBreakBefore w:val="0"/>
              <w:widowControl/>
              <w:kinsoku w:val="0"/>
              <w:wordWrap/>
              <w:overflowPunct/>
              <w:topLinePunct w:val="0"/>
              <w:autoSpaceDE w:val="0"/>
              <w:autoSpaceDN w:val="0"/>
              <w:bidi w:val="0"/>
              <w:adjustRightInd w:val="0"/>
              <w:snapToGrid w:val="0"/>
              <w:spacing w:line="340" w:lineRule="exact"/>
              <w:jc w:val="left"/>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硬盘容量：512GB</w:t>
            </w:r>
          </w:p>
          <w:p>
            <w:pPr>
              <w:keepNext w:val="0"/>
              <w:keepLines w:val="0"/>
              <w:pageBreakBefore w:val="0"/>
              <w:widowControl/>
              <w:kinsoku w:val="0"/>
              <w:wordWrap/>
              <w:overflowPunct/>
              <w:topLinePunct w:val="0"/>
              <w:autoSpaceDE w:val="0"/>
              <w:autoSpaceDN w:val="0"/>
              <w:bidi w:val="0"/>
              <w:adjustRightInd w:val="0"/>
              <w:snapToGrid w:val="0"/>
              <w:spacing w:line="340" w:lineRule="exact"/>
              <w:jc w:val="left"/>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硬盘类型：SSD固态硬盘</w:t>
            </w:r>
          </w:p>
          <w:p>
            <w:pPr>
              <w:keepNext w:val="0"/>
              <w:keepLines w:val="0"/>
              <w:pageBreakBefore w:val="0"/>
              <w:widowControl/>
              <w:kinsoku w:val="0"/>
              <w:wordWrap/>
              <w:overflowPunct/>
              <w:topLinePunct w:val="0"/>
              <w:autoSpaceDE w:val="0"/>
              <w:autoSpaceDN w:val="0"/>
              <w:bidi w:val="0"/>
              <w:adjustRightInd w:val="0"/>
              <w:snapToGrid w:val="0"/>
              <w:spacing w:line="340" w:lineRule="exact"/>
              <w:jc w:val="left"/>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显卡类型：独立显卡、显示芯片NVIDIA GeForce RTX3050、显示容量4GB</w:t>
            </w:r>
          </w:p>
          <w:p>
            <w:pPr>
              <w:keepNext w:val="0"/>
              <w:keepLines w:val="0"/>
              <w:pageBreakBefore w:val="0"/>
              <w:widowControl/>
              <w:kinsoku w:val="0"/>
              <w:wordWrap/>
              <w:overflowPunct/>
              <w:topLinePunct w:val="0"/>
              <w:autoSpaceDE w:val="0"/>
              <w:autoSpaceDN w:val="0"/>
              <w:bidi w:val="0"/>
              <w:adjustRightInd w:val="0"/>
              <w:snapToGrid w:val="0"/>
              <w:spacing w:line="340" w:lineRule="exact"/>
              <w:jc w:val="left"/>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显存类型：GDDR6</w:t>
            </w:r>
          </w:p>
          <w:p>
            <w:pPr>
              <w:keepNext w:val="0"/>
              <w:keepLines w:val="0"/>
              <w:pageBreakBefore w:val="0"/>
              <w:widowControl/>
              <w:kinsoku w:val="0"/>
              <w:wordWrap/>
              <w:overflowPunct/>
              <w:topLinePunct w:val="0"/>
              <w:autoSpaceDE w:val="0"/>
              <w:autoSpaceDN w:val="0"/>
              <w:bidi w:val="0"/>
              <w:adjustRightInd w:val="0"/>
              <w:snapToGrid w:val="0"/>
              <w:spacing w:line="340" w:lineRule="exact"/>
              <w:jc w:val="left"/>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无线网卡、Wifi6、蓝牙、有电池、80Whr</w:t>
            </w:r>
          </w:p>
          <w:p>
            <w:pPr>
              <w:keepNext w:val="0"/>
              <w:keepLines w:val="0"/>
              <w:pageBreakBefore w:val="0"/>
              <w:widowControl/>
              <w:kinsoku w:val="0"/>
              <w:wordWrap/>
              <w:overflowPunct/>
              <w:topLinePunct w:val="0"/>
              <w:autoSpaceDE w:val="0"/>
              <w:autoSpaceDN w:val="0"/>
              <w:bidi w:val="0"/>
              <w:adjustRightInd w:val="0"/>
              <w:snapToGrid w:val="0"/>
              <w:spacing w:line="340" w:lineRule="exact"/>
              <w:jc w:val="left"/>
              <w:textAlignment w:val="baseline"/>
              <w:rPr>
                <w:rFonts w:hint="default"/>
                <w:highlight w:val="none"/>
                <w:lang w:val="en-US" w:eastAsia="zh-CN"/>
              </w:rPr>
            </w:pPr>
            <w:r>
              <w:rPr>
                <w:rFonts w:hint="eastAsia" w:ascii="宋体" w:hAnsi="宋体" w:eastAsia="宋体" w:cs="宋体"/>
                <w:sz w:val="24"/>
                <w:szCs w:val="24"/>
                <w:highlight w:val="none"/>
                <w:lang w:val="en-US" w:eastAsia="zh-CN"/>
              </w:rPr>
              <w:t>软件：预装正版Office家庭和学生版</w:t>
            </w:r>
          </w:p>
        </w:tc>
        <w:tc>
          <w:tcPr>
            <w:tcW w:w="392"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宋体" w:hAnsi="宋体" w:eastAsia="宋体" w:cs="宋体"/>
                <w:snapToGrid w:val="0"/>
                <w:color w:val="000000"/>
                <w:sz w:val="24"/>
                <w:szCs w:val="24"/>
                <w:highlight w:val="none"/>
                <w:lang w:val="en-US" w:eastAsia="zh-CN" w:bidi="ar-SA"/>
              </w:rPr>
            </w:pPr>
            <w:r>
              <w:rPr>
                <w:rFonts w:hint="eastAsia" w:ascii="宋体" w:hAnsi="宋体" w:eastAsia="宋体" w:cs="宋体"/>
                <w:sz w:val="24"/>
                <w:szCs w:val="24"/>
                <w:highlight w:val="none"/>
                <w:lang w:val="en-US" w:eastAsia="zh-CN"/>
              </w:rPr>
              <w:t>台</w:t>
            </w:r>
          </w:p>
        </w:tc>
        <w:tc>
          <w:tcPr>
            <w:tcW w:w="37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宋体" w:hAnsi="宋体" w:eastAsia="宋体" w:cs="宋体"/>
                <w:snapToGrid w:val="0"/>
                <w:color w:val="000000"/>
                <w:sz w:val="24"/>
                <w:szCs w:val="24"/>
                <w:highlight w:val="none"/>
                <w:lang w:val="en-US" w:eastAsia="zh-CN" w:bidi="ar-SA"/>
              </w:rPr>
            </w:pPr>
            <w:r>
              <w:rPr>
                <w:rFonts w:hint="eastAsia" w:ascii="宋体" w:hAnsi="宋体" w:eastAsia="宋体" w:cs="宋体"/>
                <w:sz w:val="24"/>
                <w:szCs w:val="24"/>
                <w:highlight w:val="none"/>
                <w:lang w:val="en-US" w:eastAsia="zh-CN"/>
              </w:rPr>
              <w:t>2</w:t>
            </w:r>
          </w:p>
        </w:tc>
      </w:tr>
    </w:tbl>
    <w:p>
      <w:pPr>
        <w:spacing w:line="360" w:lineRule="auto"/>
        <w:jc w:val="center"/>
        <w:rPr>
          <w:rFonts w:hint="eastAsia" w:ascii="宋体" w:hAnsi="宋体" w:eastAsia="宋体" w:cs="宋体"/>
          <w:spacing w:val="9"/>
          <w:sz w:val="28"/>
          <w:szCs w:val="28"/>
          <w:highlight w:val="none"/>
          <w14:textOutline w14:w="5448" w14:cap="sq" w14:cmpd="sng" w14:algn="ctr">
            <w14:solidFill>
              <w14:srgbClr w14:val="000000"/>
            </w14:solidFill>
            <w14:prstDash w14:val="solid"/>
            <w14:bevel/>
          </w14:textOutline>
        </w:rPr>
      </w:pPr>
    </w:p>
    <w:p>
      <w:pPr>
        <w:spacing w:line="360" w:lineRule="auto"/>
        <w:jc w:val="center"/>
        <w:rPr>
          <w:rFonts w:hint="eastAsia" w:ascii="宋体" w:hAnsi="宋体" w:eastAsia="宋体" w:cs="宋体"/>
          <w:spacing w:val="9"/>
          <w:sz w:val="28"/>
          <w:szCs w:val="28"/>
          <w:highlight w:val="none"/>
          <w14:textOutline w14:w="5448" w14:cap="sq" w14:cmpd="sng" w14:algn="ctr">
            <w14:solidFill>
              <w14:srgbClr w14:val="000000"/>
            </w14:solidFill>
            <w14:prstDash w14:val="solid"/>
            <w14:bevel/>
          </w14:textOutline>
        </w:rPr>
      </w:pPr>
    </w:p>
    <w:p>
      <w:pPr>
        <w:pStyle w:val="2"/>
        <w:rPr>
          <w:rFonts w:hint="eastAsia" w:ascii="宋体" w:hAnsi="宋体" w:eastAsia="宋体" w:cs="宋体"/>
          <w:spacing w:val="9"/>
          <w:sz w:val="28"/>
          <w:szCs w:val="28"/>
          <w:highlight w:val="none"/>
          <w14:textOutline w14:w="5448" w14:cap="sq" w14:cmpd="sng" w14:algn="ctr">
            <w14:solidFill>
              <w14:srgbClr w14:val="000000"/>
            </w14:solidFill>
            <w14:prstDash w14:val="solid"/>
            <w14:bevel/>
          </w14:textOutline>
        </w:rPr>
      </w:pPr>
    </w:p>
    <w:p>
      <w:pPr>
        <w:rPr>
          <w:rFonts w:hint="eastAsia" w:ascii="宋体" w:hAnsi="宋体" w:eastAsia="宋体" w:cs="宋体"/>
          <w:spacing w:val="9"/>
          <w:sz w:val="28"/>
          <w:szCs w:val="28"/>
          <w:highlight w:val="none"/>
          <w14:textOutline w14:w="5448" w14:cap="sq" w14:cmpd="sng" w14:algn="ctr">
            <w14:solidFill>
              <w14:srgbClr w14:val="000000"/>
            </w14:solidFill>
            <w14:prstDash w14:val="solid"/>
            <w14:bevel/>
          </w14:textOutline>
        </w:rPr>
      </w:pPr>
    </w:p>
    <w:p>
      <w:pPr>
        <w:pStyle w:val="2"/>
        <w:rPr>
          <w:rFonts w:hint="eastAsia" w:ascii="宋体" w:hAnsi="宋体" w:eastAsia="宋体" w:cs="宋体"/>
          <w:spacing w:val="9"/>
          <w:sz w:val="28"/>
          <w:szCs w:val="28"/>
          <w:highlight w:val="none"/>
          <w14:textOutline w14:w="5448" w14:cap="sq" w14:cmpd="sng" w14:algn="ctr">
            <w14:solidFill>
              <w14:srgbClr w14:val="000000"/>
            </w14:solidFill>
            <w14:prstDash w14:val="solid"/>
            <w14:bevel/>
          </w14:textOutline>
        </w:rPr>
      </w:pPr>
    </w:p>
    <w:p>
      <w:pPr>
        <w:rPr>
          <w:rFonts w:hint="eastAsia" w:ascii="宋体" w:hAnsi="宋体" w:eastAsia="宋体" w:cs="宋体"/>
          <w:spacing w:val="9"/>
          <w:sz w:val="28"/>
          <w:szCs w:val="28"/>
          <w:highlight w:val="none"/>
          <w14:textOutline w14:w="5448" w14:cap="sq" w14:cmpd="sng" w14:algn="ctr">
            <w14:solidFill>
              <w14:srgbClr w14:val="000000"/>
            </w14:solidFill>
            <w14:prstDash w14:val="solid"/>
            <w14:bevel/>
          </w14:textOutline>
        </w:rPr>
      </w:pPr>
    </w:p>
    <w:p>
      <w:pPr>
        <w:pStyle w:val="2"/>
        <w:rPr>
          <w:rFonts w:hint="eastAsia" w:ascii="宋体" w:hAnsi="宋体" w:eastAsia="宋体" w:cs="宋体"/>
          <w:spacing w:val="9"/>
          <w:sz w:val="28"/>
          <w:szCs w:val="28"/>
          <w:highlight w:val="none"/>
          <w14:textOutline w14:w="5448" w14:cap="sq" w14:cmpd="sng" w14:algn="ctr">
            <w14:solidFill>
              <w14:srgbClr w14:val="000000"/>
            </w14:solidFill>
            <w14:prstDash w14:val="solid"/>
            <w14:bevel/>
          </w14:textOutline>
        </w:rPr>
      </w:pPr>
    </w:p>
    <w:p>
      <w:pPr>
        <w:rPr>
          <w:rFonts w:hint="eastAsia" w:ascii="宋体" w:hAnsi="宋体" w:eastAsia="宋体" w:cs="宋体"/>
          <w:spacing w:val="9"/>
          <w:sz w:val="28"/>
          <w:szCs w:val="28"/>
          <w:highlight w:val="none"/>
          <w14:textOutline w14:w="5448" w14:cap="sq" w14:cmpd="sng" w14:algn="ctr">
            <w14:solidFill>
              <w14:srgbClr w14:val="000000"/>
            </w14:solidFill>
            <w14:prstDash w14:val="solid"/>
            <w14:bevel/>
          </w14:textOutline>
        </w:rPr>
      </w:pPr>
    </w:p>
    <w:p>
      <w:pPr>
        <w:pStyle w:val="2"/>
        <w:rPr>
          <w:rFonts w:hint="eastAsia" w:ascii="宋体" w:hAnsi="宋体" w:eastAsia="宋体" w:cs="宋体"/>
          <w:spacing w:val="9"/>
          <w:sz w:val="28"/>
          <w:szCs w:val="28"/>
          <w:highlight w:val="none"/>
          <w14:textOutline w14:w="5448" w14:cap="sq" w14:cmpd="sng" w14:algn="ctr">
            <w14:solidFill>
              <w14:srgbClr w14:val="000000"/>
            </w14:solidFill>
            <w14:prstDash w14:val="solid"/>
            <w14:bevel/>
          </w14:textOutline>
        </w:rPr>
      </w:pPr>
    </w:p>
    <w:p>
      <w:pPr>
        <w:rPr>
          <w:rFonts w:hint="eastAsia" w:ascii="宋体" w:hAnsi="宋体" w:eastAsia="宋体" w:cs="宋体"/>
          <w:spacing w:val="9"/>
          <w:sz w:val="28"/>
          <w:szCs w:val="28"/>
          <w:highlight w:val="none"/>
          <w14:textOutline w14:w="5448" w14:cap="sq" w14:cmpd="sng" w14:algn="ctr">
            <w14:solidFill>
              <w14:srgbClr w14:val="000000"/>
            </w14:solidFill>
            <w14:prstDash w14:val="solid"/>
            <w14:bevel/>
          </w14:textOutline>
        </w:rPr>
      </w:pPr>
    </w:p>
    <w:p>
      <w:pPr>
        <w:pStyle w:val="2"/>
        <w:rPr>
          <w:rFonts w:hint="eastAsia" w:ascii="宋体" w:hAnsi="宋体" w:eastAsia="宋体" w:cs="宋体"/>
          <w:spacing w:val="9"/>
          <w:sz w:val="28"/>
          <w:szCs w:val="28"/>
          <w:highlight w:val="none"/>
          <w14:textOutline w14:w="5448" w14:cap="sq" w14:cmpd="sng" w14:algn="ctr">
            <w14:solidFill>
              <w14:srgbClr w14:val="000000"/>
            </w14:solidFill>
            <w14:prstDash w14:val="solid"/>
            <w14:bevel/>
          </w14:textOutline>
        </w:rPr>
      </w:pPr>
    </w:p>
    <w:p>
      <w:pPr>
        <w:rPr>
          <w:rFonts w:hint="eastAsia" w:ascii="宋体" w:hAnsi="宋体" w:eastAsia="宋体" w:cs="宋体"/>
          <w:spacing w:val="9"/>
          <w:sz w:val="28"/>
          <w:szCs w:val="28"/>
          <w:highlight w:val="none"/>
          <w14:textOutline w14:w="5448" w14:cap="sq" w14:cmpd="sng" w14:algn="ctr">
            <w14:solidFill>
              <w14:srgbClr w14:val="000000"/>
            </w14:solidFill>
            <w14:prstDash w14:val="solid"/>
            <w14:bevel/>
          </w14:textOutline>
        </w:rPr>
      </w:pPr>
    </w:p>
    <w:p>
      <w:pPr>
        <w:pStyle w:val="2"/>
        <w:rPr>
          <w:rFonts w:hint="eastAsia" w:ascii="宋体" w:hAnsi="宋体" w:eastAsia="宋体" w:cs="宋体"/>
          <w:spacing w:val="9"/>
          <w:sz w:val="28"/>
          <w:szCs w:val="28"/>
          <w:highlight w:val="none"/>
          <w14:textOutline w14:w="5448" w14:cap="sq" w14:cmpd="sng" w14:algn="ctr">
            <w14:solidFill>
              <w14:srgbClr w14:val="000000"/>
            </w14:solidFill>
            <w14:prstDash w14:val="solid"/>
            <w14:bevel/>
          </w14:textOutline>
        </w:rPr>
      </w:pPr>
    </w:p>
    <w:p>
      <w:pPr>
        <w:rPr>
          <w:rFonts w:hint="eastAsia" w:ascii="宋体" w:hAnsi="宋体" w:eastAsia="宋体" w:cs="宋体"/>
          <w:spacing w:val="9"/>
          <w:sz w:val="28"/>
          <w:szCs w:val="28"/>
          <w:highlight w:val="none"/>
          <w14:textOutline w14:w="5448" w14:cap="sq" w14:cmpd="sng" w14:algn="ctr">
            <w14:solidFill>
              <w14:srgbClr w14:val="000000"/>
            </w14:solidFill>
            <w14:prstDash w14:val="solid"/>
            <w14:bevel/>
          </w14:textOutline>
        </w:rPr>
      </w:pPr>
    </w:p>
    <w:p>
      <w:pPr>
        <w:spacing w:line="360" w:lineRule="auto"/>
        <w:jc w:val="center"/>
        <w:rPr>
          <w:highlight w:val="none"/>
        </w:rPr>
      </w:pPr>
      <w:r>
        <w:rPr>
          <w:rFonts w:hint="eastAsia" w:ascii="宋体" w:hAnsi="宋体" w:eastAsia="宋体" w:cs="宋体"/>
          <w:spacing w:val="9"/>
          <w:sz w:val="28"/>
          <w:szCs w:val="28"/>
          <w:highlight w:val="none"/>
          <w14:textOutline w14:w="5448" w14:cap="sq" w14:cmpd="sng" w14:algn="ctr">
            <w14:solidFill>
              <w14:srgbClr w14:val="000000"/>
            </w14:solidFill>
            <w14:prstDash w14:val="solid"/>
            <w14:bevel/>
          </w14:textOutline>
        </w:rPr>
        <w:t>第</w:t>
      </w:r>
      <w:r>
        <w:rPr>
          <w:rFonts w:hint="eastAsia" w:ascii="宋体" w:hAnsi="宋体" w:eastAsia="宋体" w:cs="宋体"/>
          <w:spacing w:val="8"/>
          <w:sz w:val="28"/>
          <w:szCs w:val="28"/>
          <w:highlight w:val="none"/>
          <w14:textOutline w14:w="5448" w14:cap="sq" w14:cmpd="sng" w14:algn="ctr">
            <w14:solidFill>
              <w14:srgbClr w14:val="000000"/>
            </w14:solidFill>
            <w14:prstDash w14:val="solid"/>
            <w14:bevel/>
          </w14:textOutline>
        </w:rPr>
        <w:t>四部分 评标办法</w:t>
      </w:r>
    </w:p>
    <w:p>
      <w:pPr>
        <w:spacing w:line="360" w:lineRule="auto"/>
        <w:ind w:firstLine="480" w:firstLineChars="200"/>
        <w:rPr>
          <w:rFonts w:ascii="宋体" w:hAnsi="宋体" w:eastAsia="宋体" w:cs="宋体"/>
          <w:color w:val="auto"/>
          <w:kern w:val="2"/>
          <w:szCs w:val="24"/>
          <w:highlight w:val="none"/>
        </w:rPr>
      </w:pPr>
      <w:bookmarkStart w:id="173" w:name="_Toc6962_WPSOffice_Level2"/>
      <w:bookmarkStart w:id="174" w:name="_Toc16917_WPSOffice_Level2"/>
      <w:bookmarkStart w:id="175" w:name="_Toc32549_WPSOffice_Level2"/>
      <w:bookmarkStart w:id="176" w:name="_Toc25101_WPSOffice_Level2"/>
      <w:bookmarkStart w:id="177" w:name="_Toc11067_WPSOffice_Level2"/>
      <w:r>
        <w:rPr>
          <w:rFonts w:hint="eastAsia" w:ascii="宋体" w:hAnsi="宋体" w:eastAsia="宋体" w:cs="宋体"/>
          <w:sz w:val="24"/>
          <w:szCs w:val="24"/>
          <w:highlight w:val="none"/>
        </w:rPr>
        <w:t>根据《中华人民共和国政府采购法》、《中华人民共和国政府采购法实施条例》及</w:t>
      </w:r>
      <w:r>
        <w:rPr>
          <w:rFonts w:hint="eastAsia" w:ascii="宋体" w:hAnsi="宋体" w:eastAsia="宋体" w:cs="宋体"/>
          <w:sz w:val="24"/>
          <w:szCs w:val="24"/>
          <w:highlight w:val="none"/>
          <w:lang w:val="zh-CN"/>
        </w:rPr>
        <w:t>《</w:t>
      </w:r>
      <w:r>
        <w:rPr>
          <w:rFonts w:hint="eastAsia" w:ascii="宋体" w:hAnsi="宋体" w:eastAsia="宋体" w:cs="宋体"/>
          <w:sz w:val="24"/>
          <w:szCs w:val="24"/>
          <w:highlight w:val="none"/>
        </w:rPr>
        <w:t>政府采购货物和服务招标投标管理办法</w:t>
      </w:r>
      <w:r>
        <w:rPr>
          <w:rFonts w:hint="eastAsia" w:ascii="宋体" w:hAnsi="宋体" w:eastAsia="宋体" w:cs="宋体"/>
          <w:sz w:val="24"/>
          <w:szCs w:val="24"/>
          <w:highlight w:val="none"/>
          <w:lang w:val="zh-CN"/>
        </w:rPr>
        <w:t>》</w:t>
      </w:r>
      <w:r>
        <w:rPr>
          <w:rFonts w:hint="eastAsia" w:ascii="宋体" w:hAnsi="宋体" w:eastAsia="宋体" w:cs="宋体"/>
          <w:sz w:val="24"/>
          <w:szCs w:val="24"/>
          <w:highlight w:val="none"/>
        </w:rPr>
        <w:t>（财政部 87 号令）的规定，本次评标采用综合评分法。即在投标文件满足招标文件全部实质性要求前提，按照招标文件中规定的各项因素和相应的权重分值进行综合评审后，以综合得分由高至低依次排序，并推荐前3名为中标候选人。</w:t>
      </w:r>
    </w:p>
    <w:bookmarkEnd w:id="173"/>
    <w:bookmarkEnd w:id="174"/>
    <w:bookmarkEnd w:id="175"/>
    <w:bookmarkEnd w:id="176"/>
    <w:bookmarkEnd w:id="177"/>
    <w:p>
      <w:pPr>
        <w:spacing w:line="360" w:lineRule="auto"/>
        <w:rPr>
          <w:rFonts w:ascii="宋体" w:hAnsi="宋体" w:eastAsia="宋体" w:cs="宋体"/>
          <w:b/>
          <w:bCs/>
          <w:sz w:val="24"/>
          <w:szCs w:val="24"/>
          <w:highlight w:val="none"/>
        </w:rPr>
      </w:pPr>
      <w:bookmarkStart w:id="178" w:name="_Toc460"/>
      <w:r>
        <w:rPr>
          <w:rFonts w:hint="eastAsia" w:ascii="宋体" w:hAnsi="宋体" w:eastAsia="宋体" w:cs="宋体"/>
          <w:b/>
          <w:bCs/>
          <w:sz w:val="24"/>
          <w:szCs w:val="24"/>
          <w:highlight w:val="none"/>
        </w:rPr>
        <w:t>1.投标文件初审</w:t>
      </w:r>
      <w:bookmarkEnd w:id="178"/>
    </w:p>
    <w:p>
      <w:pPr>
        <w:spacing w:line="360" w:lineRule="auto"/>
        <w:rPr>
          <w:rFonts w:ascii="宋体" w:hAnsi="宋体" w:eastAsia="宋体" w:cs="宋体"/>
          <w:b/>
          <w:bCs/>
          <w:sz w:val="24"/>
          <w:szCs w:val="24"/>
          <w:highlight w:val="none"/>
        </w:rPr>
      </w:pPr>
      <w:r>
        <w:rPr>
          <w:rFonts w:hint="eastAsia" w:ascii="宋体" w:hAnsi="宋体" w:eastAsia="宋体" w:cs="宋体"/>
          <w:b/>
          <w:bCs/>
          <w:sz w:val="24"/>
          <w:szCs w:val="24"/>
          <w:highlight w:val="none"/>
        </w:rPr>
        <w:t>（1）资格性审查内容和标准：</w:t>
      </w:r>
    </w:p>
    <w:tbl>
      <w:tblPr>
        <w:tblStyle w:val="18"/>
        <w:tblW w:w="94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2047"/>
        <w:gridCol w:w="6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758" w:type="dxa"/>
            <w:vAlign w:val="center"/>
          </w:tcPr>
          <w:p>
            <w:pPr>
              <w:kinsoku/>
              <w:autoSpaceDE/>
              <w:autoSpaceDN/>
              <w:adjustRightInd/>
              <w:snapToGrid/>
              <w:spacing w:line="360" w:lineRule="exact"/>
              <w:jc w:val="center"/>
              <w:textAlignment w:val="auto"/>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2047" w:type="dxa"/>
            <w:vAlign w:val="center"/>
          </w:tcPr>
          <w:p>
            <w:pPr>
              <w:kinsoku/>
              <w:autoSpaceDE/>
              <w:autoSpaceDN/>
              <w:adjustRightInd/>
              <w:snapToGrid/>
              <w:spacing w:line="360" w:lineRule="exact"/>
              <w:jc w:val="center"/>
              <w:textAlignment w:val="auto"/>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资格审查项</w:t>
            </w:r>
          </w:p>
        </w:tc>
        <w:tc>
          <w:tcPr>
            <w:tcW w:w="6686" w:type="dxa"/>
            <w:vAlign w:val="center"/>
          </w:tcPr>
          <w:p>
            <w:pPr>
              <w:kinsoku/>
              <w:autoSpaceDE/>
              <w:autoSpaceDN/>
              <w:adjustRightInd/>
              <w:snapToGrid/>
              <w:spacing w:line="360" w:lineRule="exact"/>
              <w:jc w:val="center"/>
              <w:textAlignment w:val="auto"/>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jc w:val="center"/>
        </w:trPr>
        <w:tc>
          <w:tcPr>
            <w:tcW w:w="758" w:type="dxa"/>
            <w:vAlign w:val="center"/>
          </w:tcPr>
          <w:p>
            <w:pPr>
              <w:kinsoku/>
              <w:autoSpaceDE/>
              <w:autoSpaceDN/>
              <w:adjustRightInd/>
              <w:snapToGrid/>
              <w:spacing w:line="36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2047" w:type="dxa"/>
            <w:vAlign w:val="center"/>
          </w:tcPr>
          <w:p>
            <w:pPr>
              <w:kinsoku/>
              <w:autoSpaceDE/>
              <w:autoSpaceDN/>
              <w:adjustRightInd/>
              <w:snapToGrid/>
              <w:spacing w:line="36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zh-TW"/>
              </w:rPr>
              <w:t>营业执照等主体资格证明文件</w:t>
            </w:r>
          </w:p>
        </w:tc>
        <w:tc>
          <w:tcPr>
            <w:tcW w:w="6686" w:type="dxa"/>
            <w:vAlign w:val="center"/>
          </w:tcPr>
          <w:p>
            <w:pPr>
              <w:kinsoku/>
              <w:autoSpaceDE/>
              <w:autoSpaceDN/>
              <w:adjustRightInd/>
              <w:snapToGrid/>
              <w:spacing w:line="360" w:lineRule="exact"/>
              <w:textAlignment w:val="auto"/>
              <w:rPr>
                <w:rFonts w:ascii="宋体" w:hAnsi="宋体" w:eastAsia="宋体" w:cs="宋体"/>
                <w:color w:val="auto"/>
                <w:sz w:val="24"/>
                <w:szCs w:val="24"/>
                <w:highlight w:val="none"/>
              </w:rPr>
            </w:pPr>
            <w:r>
              <w:rPr>
                <w:rFonts w:ascii="宋体" w:hAnsi="宋体" w:eastAsia="宋体" w:cs="宋体"/>
                <w:color w:val="auto"/>
                <w:sz w:val="24"/>
                <w:szCs w:val="24"/>
                <w:highlight w:val="none"/>
              </w:rPr>
              <w:t>具有独立承担民事责任能力的法人、其他组织或自然人，并出具合法有效的统一社会信用代码的营业执照或事业单位法人证书等国家规定的相关证明，自然人参与的提供其身份证明</w:t>
            </w:r>
            <w:r>
              <w:rPr>
                <w:rFonts w:hint="eastAsia" w:ascii="宋体" w:hAnsi="宋体" w:eastAsia="宋体" w:cs="宋体"/>
                <w:color w:val="auto"/>
                <w:sz w:val="24"/>
                <w:szCs w:val="24"/>
                <w:highlight w:val="none"/>
              </w:rPr>
              <w:t>；</w:t>
            </w:r>
            <w:r>
              <w:rPr>
                <w:rFonts w:hint="eastAsia" w:ascii="宋体" w:hAnsi="宋体" w:eastAsia="宋体" w:cs="宋体"/>
                <w:b/>
                <w:bCs/>
                <w:color w:val="auto"/>
                <w:sz w:val="24"/>
                <w:szCs w:val="24"/>
                <w:highlight w:val="none"/>
              </w:rPr>
              <w:t>评审依据：证明材料复印件加盖投标供应商公章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2" w:hRule="atLeast"/>
          <w:jc w:val="center"/>
        </w:trPr>
        <w:tc>
          <w:tcPr>
            <w:tcW w:w="758" w:type="dxa"/>
            <w:vAlign w:val="center"/>
          </w:tcPr>
          <w:p>
            <w:pPr>
              <w:kinsoku/>
              <w:autoSpaceDE/>
              <w:autoSpaceDN/>
              <w:adjustRightInd/>
              <w:snapToGrid/>
              <w:spacing w:line="36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2047" w:type="dxa"/>
            <w:vAlign w:val="center"/>
          </w:tcPr>
          <w:p>
            <w:pPr>
              <w:kinsoku/>
              <w:autoSpaceDE/>
              <w:autoSpaceDN/>
              <w:adjustRightInd/>
              <w:snapToGrid/>
              <w:spacing w:line="36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财务状况报告</w:t>
            </w:r>
          </w:p>
        </w:tc>
        <w:tc>
          <w:tcPr>
            <w:tcW w:w="6686" w:type="dxa"/>
            <w:vAlign w:val="center"/>
          </w:tcPr>
          <w:p>
            <w:pPr>
              <w:kinsoku/>
              <w:autoSpaceDE/>
              <w:autoSpaceDN/>
              <w:adjustRightInd/>
              <w:snapToGrid/>
              <w:spacing w:line="360" w:lineRule="exact"/>
              <w:textAlignment w:val="auto"/>
              <w:rPr>
                <w:rFonts w:ascii="宋体" w:hAnsi="宋体" w:eastAsia="宋体" w:cs="宋体"/>
                <w:color w:val="auto"/>
                <w:sz w:val="24"/>
                <w:szCs w:val="24"/>
                <w:highlight w:val="none"/>
              </w:rPr>
            </w:pPr>
            <w:r>
              <w:rPr>
                <w:rFonts w:ascii="宋体" w:hAnsi="宋体" w:eastAsia="宋体" w:cs="宋体"/>
                <w:color w:val="auto"/>
                <w:sz w:val="24"/>
                <w:szCs w:val="24"/>
                <w:highlight w:val="none"/>
              </w:rPr>
              <w:t>提供2021年</w:t>
            </w:r>
            <w:r>
              <w:rPr>
                <w:rFonts w:hint="eastAsia" w:ascii="宋体" w:hAnsi="宋体" w:eastAsia="宋体" w:cs="宋体"/>
                <w:color w:val="auto"/>
                <w:sz w:val="24"/>
                <w:szCs w:val="24"/>
                <w:highlight w:val="none"/>
              </w:rPr>
              <w:t>度</w:t>
            </w:r>
            <w:r>
              <w:rPr>
                <w:rFonts w:ascii="宋体" w:hAnsi="宋体" w:eastAsia="宋体" w:cs="宋体"/>
                <w:color w:val="auto"/>
                <w:sz w:val="24"/>
                <w:szCs w:val="24"/>
                <w:highlight w:val="none"/>
              </w:rPr>
              <w:t>财务审计报告</w:t>
            </w:r>
            <w:r>
              <w:rPr>
                <w:rFonts w:hint="eastAsia" w:ascii="宋体" w:hAnsi="宋体" w:eastAsia="宋体" w:cs="宋体"/>
                <w:color w:val="auto"/>
                <w:sz w:val="24"/>
                <w:szCs w:val="24"/>
                <w:highlight w:val="none"/>
              </w:rPr>
              <w:t>（包括四表一注，即资产负债表、利润表、现金流量表、所有者权益变动表及其附注），</w:t>
            </w:r>
            <w:r>
              <w:rPr>
                <w:rFonts w:ascii="宋体" w:hAnsi="宋体" w:eastAsia="宋体" w:cs="宋体"/>
                <w:color w:val="auto"/>
                <w:sz w:val="24"/>
                <w:szCs w:val="24"/>
                <w:highlight w:val="none"/>
              </w:rPr>
              <w:t>成立时间至提交投标文件截止时间不足1年的可提供成立后任意时段的资产负债表或其基本存款账户开户银行出具的资信证</w:t>
            </w:r>
            <w:r>
              <w:rPr>
                <w:rFonts w:hint="eastAsia" w:ascii="宋体" w:hAnsi="宋体" w:eastAsia="宋体" w:cs="宋体"/>
                <w:color w:val="auto"/>
                <w:sz w:val="24"/>
                <w:szCs w:val="24"/>
                <w:highlight w:val="none"/>
              </w:rPr>
              <w:t>；</w:t>
            </w:r>
          </w:p>
          <w:p>
            <w:pPr>
              <w:kinsoku/>
              <w:autoSpaceDE/>
              <w:autoSpaceDN/>
              <w:adjustRightInd/>
              <w:snapToGrid/>
              <w:spacing w:line="360" w:lineRule="exact"/>
              <w:textAlignment w:val="auto"/>
              <w:rPr>
                <w:rFonts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评审依据：证明材料复印件加盖投标供应商公章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758" w:type="dxa"/>
            <w:vAlign w:val="center"/>
          </w:tcPr>
          <w:p>
            <w:pPr>
              <w:kinsoku/>
              <w:autoSpaceDE/>
              <w:autoSpaceDN/>
              <w:adjustRightInd/>
              <w:snapToGrid/>
              <w:spacing w:line="36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2047" w:type="dxa"/>
            <w:vAlign w:val="center"/>
          </w:tcPr>
          <w:p>
            <w:pPr>
              <w:kinsoku/>
              <w:autoSpaceDE/>
              <w:autoSpaceDN/>
              <w:adjustRightInd/>
              <w:snapToGrid/>
              <w:spacing w:line="36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社会保障资金缴纳证明</w:t>
            </w:r>
          </w:p>
        </w:tc>
        <w:tc>
          <w:tcPr>
            <w:tcW w:w="6686" w:type="dxa"/>
            <w:vAlign w:val="center"/>
          </w:tcPr>
          <w:p>
            <w:pPr>
              <w:kinsoku/>
              <w:autoSpaceDE/>
              <w:autoSpaceDN/>
              <w:adjustRightInd/>
              <w:snapToGrid/>
              <w:spacing w:line="36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提供投标文件递交截止时间前六个月内任意三月已缴存的社会保障资金缴费证明或参保证明，依法不需要缴纳社会保障资金的投标供应商应提供相关证明文件；</w:t>
            </w:r>
          </w:p>
          <w:p>
            <w:pPr>
              <w:kinsoku/>
              <w:autoSpaceDE/>
              <w:autoSpaceDN/>
              <w:adjustRightInd/>
              <w:snapToGrid/>
              <w:spacing w:line="360" w:lineRule="exact"/>
              <w:textAlignment w:val="auto"/>
              <w:rPr>
                <w:rFonts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评审依据：证明材料复印件加盖投标供应商公章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jc w:val="center"/>
        </w:trPr>
        <w:tc>
          <w:tcPr>
            <w:tcW w:w="758" w:type="dxa"/>
            <w:vAlign w:val="center"/>
          </w:tcPr>
          <w:p>
            <w:pPr>
              <w:kinsoku/>
              <w:autoSpaceDE/>
              <w:autoSpaceDN/>
              <w:adjustRightInd/>
              <w:snapToGrid/>
              <w:spacing w:line="36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2047" w:type="dxa"/>
            <w:vAlign w:val="center"/>
          </w:tcPr>
          <w:p>
            <w:pPr>
              <w:kinsoku/>
              <w:autoSpaceDE/>
              <w:autoSpaceDN/>
              <w:adjustRightInd/>
              <w:snapToGrid/>
              <w:spacing w:line="36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税收缴纳证明</w:t>
            </w:r>
          </w:p>
        </w:tc>
        <w:tc>
          <w:tcPr>
            <w:tcW w:w="6686" w:type="dxa"/>
            <w:vAlign w:val="center"/>
          </w:tcPr>
          <w:p>
            <w:pPr>
              <w:kinsoku/>
              <w:autoSpaceDE/>
              <w:autoSpaceDN/>
              <w:adjustRightInd/>
              <w:snapToGrid/>
              <w:spacing w:line="36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提供投标文件递交截止时间前六个月内任意三月已缴纳的纳税证明或完税证明(包含增值税、企业所得税至少一种)，依法免税的供应商应提供相关证明文件；</w:t>
            </w:r>
          </w:p>
          <w:p>
            <w:pPr>
              <w:kinsoku/>
              <w:autoSpaceDE/>
              <w:autoSpaceDN/>
              <w:adjustRightInd/>
              <w:snapToGrid/>
              <w:spacing w:line="360" w:lineRule="exact"/>
              <w:textAlignment w:val="auto"/>
              <w:rPr>
                <w:rFonts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评审依据：证明材料复印件加盖投标供应商公章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758" w:type="dxa"/>
            <w:vAlign w:val="center"/>
          </w:tcPr>
          <w:p>
            <w:pPr>
              <w:kinsoku/>
              <w:autoSpaceDE/>
              <w:autoSpaceDN/>
              <w:adjustRightInd/>
              <w:snapToGrid/>
              <w:spacing w:line="36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2047" w:type="dxa"/>
            <w:vAlign w:val="center"/>
          </w:tcPr>
          <w:p>
            <w:pPr>
              <w:kinsoku/>
              <w:autoSpaceDE/>
              <w:autoSpaceDN/>
              <w:adjustRightInd/>
              <w:snapToGrid/>
              <w:spacing w:line="36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履行合同承诺函</w:t>
            </w:r>
          </w:p>
        </w:tc>
        <w:tc>
          <w:tcPr>
            <w:tcW w:w="6686" w:type="dxa"/>
            <w:vAlign w:val="center"/>
          </w:tcPr>
          <w:p>
            <w:pPr>
              <w:kinsoku/>
              <w:autoSpaceDE/>
              <w:autoSpaceDN/>
              <w:adjustRightInd/>
              <w:snapToGrid/>
              <w:spacing w:line="360" w:lineRule="exact"/>
              <w:textAlignment w:val="auto"/>
              <w:rPr>
                <w:rFonts w:ascii="宋体" w:hAnsi="宋体" w:eastAsia="宋体" w:cs="宋体"/>
                <w:color w:val="auto"/>
                <w:sz w:val="24"/>
                <w:szCs w:val="24"/>
                <w:highlight w:val="none"/>
              </w:rPr>
            </w:pPr>
            <w:r>
              <w:rPr>
                <w:rFonts w:ascii="宋体" w:hAnsi="宋体" w:eastAsia="宋体" w:cs="宋体"/>
                <w:color w:val="auto"/>
                <w:sz w:val="24"/>
                <w:szCs w:val="24"/>
                <w:highlight w:val="none"/>
              </w:rPr>
              <w:t>具有履行合同所必需的设备和专业技术能力的声明</w:t>
            </w:r>
            <w:r>
              <w:rPr>
                <w:rFonts w:hint="eastAsia" w:ascii="宋体" w:hAnsi="宋体" w:eastAsia="宋体" w:cs="宋体"/>
                <w:color w:val="auto"/>
                <w:sz w:val="24"/>
                <w:szCs w:val="24"/>
                <w:highlight w:val="none"/>
              </w:rPr>
              <w:t>；</w:t>
            </w:r>
          </w:p>
          <w:p>
            <w:pPr>
              <w:kinsoku/>
              <w:autoSpaceDE/>
              <w:autoSpaceDN/>
              <w:adjustRightInd/>
              <w:snapToGrid/>
              <w:spacing w:line="360" w:lineRule="exact"/>
              <w:textAlignment w:val="auto"/>
              <w:rPr>
                <w:rFonts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评审依据：提供书面声明加盖投标供应商公章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758" w:type="dxa"/>
            <w:vAlign w:val="center"/>
          </w:tcPr>
          <w:p>
            <w:pPr>
              <w:kinsoku/>
              <w:autoSpaceDE/>
              <w:autoSpaceDN/>
              <w:adjustRightInd/>
              <w:snapToGrid/>
              <w:spacing w:line="360" w:lineRule="exact"/>
              <w:jc w:val="center"/>
              <w:textAlignment w:val="auto"/>
              <w:rPr>
                <w:rFonts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6</w:t>
            </w:r>
          </w:p>
        </w:tc>
        <w:tc>
          <w:tcPr>
            <w:tcW w:w="2047" w:type="dxa"/>
            <w:vAlign w:val="center"/>
          </w:tcPr>
          <w:p>
            <w:pPr>
              <w:kinsoku/>
              <w:autoSpaceDE/>
              <w:autoSpaceDN/>
              <w:adjustRightInd/>
              <w:snapToGrid/>
              <w:spacing w:line="36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无重大违法记录书面声明</w:t>
            </w:r>
          </w:p>
        </w:tc>
        <w:tc>
          <w:tcPr>
            <w:tcW w:w="6686" w:type="dxa"/>
            <w:vAlign w:val="center"/>
          </w:tcPr>
          <w:p>
            <w:pPr>
              <w:kinsoku/>
              <w:autoSpaceDE/>
              <w:autoSpaceDN/>
              <w:adjustRightInd/>
              <w:snapToGrid/>
              <w:spacing w:line="36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参加政府采购活动前三年内在经营活动中没有重大违法记录的书面声明；</w:t>
            </w:r>
          </w:p>
          <w:p>
            <w:pPr>
              <w:kinsoku/>
              <w:autoSpaceDE/>
              <w:autoSpaceDN/>
              <w:adjustRightInd/>
              <w:snapToGrid/>
              <w:spacing w:line="360" w:lineRule="exact"/>
              <w:textAlignment w:val="auto"/>
              <w:rPr>
                <w:rFonts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评审依据：提供书面声明加盖投标供应商公章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2" w:hRule="atLeast"/>
          <w:jc w:val="center"/>
        </w:trPr>
        <w:tc>
          <w:tcPr>
            <w:tcW w:w="758" w:type="dxa"/>
            <w:vAlign w:val="center"/>
          </w:tcPr>
          <w:p>
            <w:pPr>
              <w:kinsoku/>
              <w:autoSpaceDE/>
              <w:autoSpaceDN/>
              <w:adjustRightInd/>
              <w:snapToGrid/>
              <w:spacing w:line="36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2047" w:type="dxa"/>
            <w:vAlign w:val="center"/>
          </w:tcPr>
          <w:p>
            <w:pPr>
              <w:kinsoku/>
              <w:autoSpaceDE/>
              <w:autoSpaceDN/>
              <w:adjustRightInd/>
              <w:snapToGrid/>
              <w:spacing w:line="36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法定代表人身份证明/法定代表人授权委托书</w:t>
            </w:r>
          </w:p>
        </w:tc>
        <w:tc>
          <w:tcPr>
            <w:tcW w:w="6686" w:type="dxa"/>
            <w:vAlign w:val="center"/>
          </w:tcPr>
          <w:p>
            <w:pPr>
              <w:kinsoku/>
              <w:autoSpaceDE/>
              <w:autoSpaceDN/>
              <w:adjustRightInd/>
              <w:snapToGrid/>
              <w:spacing w:line="360" w:lineRule="exact"/>
              <w:textAlignment w:val="auto"/>
              <w:rPr>
                <w:rFonts w:ascii="宋体" w:hAnsi="宋体" w:eastAsia="宋体" w:cs="宋体"/>
                <w:color w:val="auto"/>
                <w:sz w:val="24"/>
                <w:szCs w:val="24"/>
                <w:highlight w:val="none"/>
              </w:rPr>
            </w:pPr>
            <w:r>
              <w:rPr>
                <w:rFonts w:ascii="宋体" w:hAnsi="宋体" w:eastAsia="宋体" w:cs="宋体"/>
                <w:color w:val="auto"/>
                <w:sz w:val="24"/>
                <w:szCs w:val="24"/>
                <w:highlight w:val="none"/>
              </w:rPr>
              <w:t>法定代表人授权委托书（附法定代表人、被授权委托人身份证复印件）及被授权委托人身份证；法定代表人参加投标须提供法定代表人身份证明及法定代表人身份</w:t>
            </w:r>
          </w:p>
          <w:p>
            <w:pPr>
              <w:kinsoku/>
              <w:autoSpaceDE/>
              <w:autoSpaceDN/>
              <w:adjustRightInd/>
              <w:snapToGrid/>
              <w:spacing w:line="360" w:lineRule="exact"/>
              <w:textAlignment w:val="auto"/>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评审依据：提供证明材料盖投标供应商公章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758" w:type="dxa"/>
            <w:vAlign w:val="center"/>
          </w:tcPr>
          <w:p>
            <w:pPr>
              <w:kinsoku/>
              <w:autoSpaceDE/>
              <w:autoSpaceDN/>
              <w:adjustRightInd/>
              <w:snapToGrid/>
              <w:spacing w:line="36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p>
        </w:tc>
        <w:tc>
          <w:tcPr>
            <w:tcW w:w="2047" w:type="dxa"/>
            <w:vAlign w:val="center"/>
          </w:tcPr>
          <w:p>
            <w:pPr>
              <w:kinsoku/>
              <w:autoSpaceDE/>
              <w:autoSpaceDN/>
              <w:adjustRightInd/>
              <w:snapToGrid/>
              <w:spacing w:line="360" w:lineRule="exact"/>
              <w:jc w:val="center"/>
              <w:textAlignment w:val="auto"/>
              <w:rPr>
                <w:rFonts w:ascii="宋体" w:hAnsi="宋体" w:eastAsia="宋体" w:cs="宋体"/>
                <w:color w:val="auto"/>
                <w:kern w:val="2"/>
                <w:sz w:val="24"/>
                <w:szCs w:val="24"/>
                <w:highlight w:val="none"/>
              </w:rPr>
            </w:pPr>
            <w:r>
              <w:rPr>
                <w:rFonts w:hint="eastAsia" w:ascii="宋体" w:hAnsi="宋体" w:eastAsia="宋体" w:cs="宋体"/>
                <w:color w:val="auto"/>
                <w:sz w:val="24"/>
                <w:szCs w:val="24"/>
                <w:highlight w:val="none"/>
              </w:rPr>
              <w:t>信用记录</w:t>
            </w:r>
          </w:p>
        </w:tc>
        <w:tc>
          <w:tcPr>
            <w:tcW w:w="6686" w:type="dxa"/>
            <w:vAlign w:val="center"/>
          </w:tcPr>
          <w:p>
            <w:pPr>
              <w:kinsoku/>
              <w:autoSpaceDE/>
              <w:autoSpaceDN/>
              <w:adjustRightInd/>
              <w:snapToGrid/>
              <w:spacing w:line="360" w:lineRule="exact"/>
              <w:textAlignment w:val="auto"/>
              <w:rPr>
                <w:rFonts w:ascii="宋体" w:hAnsi="宋体" w:eastAsia="宋体" w:cs="宋体"/>
                <w:color w:val="auto"/>
                <w:sz w:val="24"/>
                <w:szCs w:val="24"/>
                <w:highlight w:val="none"/>
              </w:rPr>
            </w:pPr>
            <w:r>
              <w:rPr>
                <w:rFonts w:ascii="宋体" w:hAnsi="宋体" w:eastAsia="宋体" w:cs="宋体"/>
                <w:color w:val="auto"/>
                <w:sz w:val="24"/>
                <w:szCs w:val="24"/>
                <w:highlight w:val="none"/>
              </w:rPr>
              <w:t>通过中国政府采购网和“信用中国”查询相关主体无失信记录，对列入失信被执行人、</w:t>
            </w:r>
            <w:r>
              <w:rPr>
                <w:rFonts w:hint="eastAsia" w:ascii="宋体" w:hAnsi="宋体" w:eastAsia="宋体" w:cs="宋体"/>
                <w:color w:val="auto"/>
                <w:sz w:val="24"/>
                <w:szCs w:val="24"/>
                <w:highlight w:val="none"/>
              </w:rPr>
              <w:t>重大税收违法失信主体</w:t>
            </w:r>
            <w:r>
              <w:rPr>
                <w:rFonts w:ascii="宋体" w:hAnsi="宋体" w:eastAsia="宋体" w:cs="宋体"/>
                <w:color w:val="auto"/>
                <w:sz w:val="24"/>
                <w:szCs w:val="24"/>
                <w:highlight w:val="none"/>
              </w:rPr>
              <w:t>、政府采购严重违法失信行为记录名单的供应商，将拒绝其参与政府采购活动（提供查询结果网页截图并加盖供应商公章，查询日期为从招标文件发售之日起至投标截止日前)</w:t>
            </w:r>
            <w:r>
              <w:rPr>
                <w:rFonts w:hint="eastAsia" w:ascii="宋体" w:hAnsi="宋体" w:eastAsia="宋体" w:cs="宋体"/>
                <w:color w:val="auto"/>
                <w:sz w:val="24"/>
                <w:szCs w:val="24"/>
                <w:highlight w:val="none"/>
              </w:rPr>
              <w:t>。</w:t>
            </w:r>
          </w:p>
          <w:p>
            <w:pPr>
              <w:kinsoku/>
              <w:autoSpaceDE/>
              <w:autoSpaceDN/>
              <w:adjustRightInd/>
              <w:snapToGrid/>
              <w:spacing w:line="360" w:lineRule="exact"/>
              <w:textAlignment w:val="auto"/>
              <w:rPr>
                <w:rFonts w:ascii="宋体" w:hAnsi="宋体" w:eastAsia="宋体" w:cs="宋体"/>
                <w:color w:val="auto"/>
                <w:kern w:val="2"/>
                <w:sz w:val="24"/>
                <w:szCs w:val="24"/>
                <w:highlight w:val="none"/>
              </w:rPr>
            </w:pPr>
            <w:r>
              <w:rPr>
                <w:rFonts w:hint="eastAsia" w:ascii="宋体" w:hAnsi="宋体" w:eastAsia="宋体" w:cs="宋体"/>
                <w:b/>
                <w:bCs/>
                <w:color w:val="auto"/>
                <w:sz w:val="24"/>
                <w:szCs w:val="24"/>
                <w:highlight w:val="none"/>
              </w:rPr>
              <w:t>评审依据：投标文件中所附网页截图材料及网查信息为准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758" w:type="dxa"/>
            <w:vAlign w:val="center"/>
          </w:tcPr>
          <w:p>
            <w:pPr>
              <w:kinsoku/>
              <w:autoSpaceDE/>
              <w:autoSpaceDN/>
              <w:adjustRightInd/>
              <w:snapToGrid/>
              <w:spacing w:line="36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9</w:t>
            </w:r>
          </w:p>
        </w:tc>
        <w:tc>
          <w:tcPr>
            <w:tcW w:w="2047" w:type="dxa"/>
            <w:vAlign w:val="center"/>
          </w:tcPr>
          <w:p>
            <w:pPr>
              <w:kinsoku/>
              <w:autoSpaceDE/>
              <w:autoSpaceDN/>
              <w:adjustRightInd/>
              <w:snapToGrid/>
              <w:spacing w:line="360" w:lineRule="exact"/>
              <w:jc w:val="center"/>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投标保证金</w:t>
            </w:r>
          </w:p>
        </w:tc>
        <w:tc>
          <w:tcPr>
            <w:tcW w:w="6686" w:type="dxa"/>
            <w:vAlign w:val="center"/>
          </w:tcPr>
          <w:p>
            <w:pPr>
              <w:kinsoku/>
              <w:autoSpaceDE/>
              <w:autoSpaceDN/>
              <w:adjustRightInd/>
              <w:snapToGrid/>
              <w:spacing w:line="360" w:lineRule="exac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投标保证金交纳凭证或担保机构出具的保函</w:t>
            </w:r>
          </w:p>
          <w:p>
            <w:pPr>
              <w:pStyle w:val="2"/>
              <w:rPr>
                <w:highlight w:val="none"/>
              </w:rPr>
            </w:pPr>
            <w:r>
              <w:rPr>
                <w:rFonts w:hint="eastAsia" w:ascii="宋体" w:hAnsi="宋体" w:eastAsia="宋体" w:cs="宋体"/>
                <w:b/>
                <w:bCs/>
                <w:color w:val="auto"/>
                <w:szCs w:val="24"/>
                <w:highlight w:val="none"/>
              </w:rPr>
              <w:t>评审依据：证明材料复印件加盖投标供应商公章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91" w:type="dxa"/>
            <w:gridSpan w:val="3"/>
            <w:vAlign w:val="center"/>
          </w:tcPr>
          <w:p>
            <w:pPr>
              <w:kinsoku/>
              <w:autoSpaceDE/>
              <w:autoSpaceDN/>
              <w:adjustRightInd/>
              <w:snapToGrid/>
              <w:spacing w:line="360" w:lineRule="exact"/>
              <w:textAlignment w:val="auto"/>
              <w:rPr>
                <w:rFonts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说明：采购人对投标供应商进行资格</w:t>
            </w:r>
            <w:r>
              <w:rPr>
                <w:rFonts w:hint="eastAsia" w:ascii="宋体" w:hAnsi="宋体" w:cs="宋体"/>
                <w:b/>
                <w:bCs/>
                <w:color w:val="auto"/>
                <w:sz w:val="24"/>
                <w:szCs w:val="24"/>
                <w:highlight w:val="none"/>
              </w:rPr>
              <w:t>评审</w:t>
            </w:r>
            <w:r>
              <w:rPr>
                <w:rFonts w:hint="eastAsia" w:ascii="宋体" w:hAnsi="宋体" w:eastAsia="宋体" w:cs="宋体"/>
                <w:b/>
                <w:bCs/>
                <w:color w:val="auto"/>
                <w:sz w:val="24"/>
                <w:szCs w:val="24"/>
                <w:highlight w:val="none"/>
              </w:rPr>
              <w:t>，即合格/不合格。以上资格证明材料需提供合格有效的证明材料，证明材料提供不全或签字盖章不符合要求的，均属于未按招标文件要求提供证明文件，有任意一项不符合要求的，不得通过资格审查。</w:t>
            </w:r>
          </w:p>
        </w:tc>
      </w:tr>
    </w:tbl>
    <w:p>
      <w:pPr>
        <w:spacing w:line="360" w:lineRule="auto"/>
        <w:rPr>
          <w:rFonts w:ascii="宋体" w:hAnsi="宋体" w:eastAsia="宋体" w:cs="宋体"/>
          <w:b/>
          <w:bCs/>
          <w:sz w:val="24"/>
          <w:szCs w:val="24"/>
          <w:highlight w:val="none"/>
        </w:rPr>
      </w:pPr>
    </w:p>
    <w:p>
      <w:pPr>
        <w:spacing w:line="360" w:lineRule="auto"/>
        <w:rPr>
          <w:rFonts w:ascii="宋体" w:hAnsi="宋体" w:eastAsia="宋体" w:cs="宋体"/>
          <w:b/>
          <w:bCs/>
          <w:sz w:val="24"/>
          <w:szCs w:val="24"/>
          <w:highlight w:val="none"/>
        </w:rPr>
      </w:pPr>
      <w:r>
        <w:rPr>
          <w:rFonts w:hint="eastAsia" w:ascii="宋体" w:hAnsi="宋体" w:eastAsia="宋体" w:cs="宋体"/>
          <w:b/>
          <w:bCs/>
          <w:sz w:val="24"/>
          <w:szCs w:val="24"/>
          <w:highlight w:val="none"/>
        </w:rPr>
        <w:t>（2）符合性审查内容和标准：</w:t>
      </w:r>
    </w:p>
    <w:tbl>
      <w:tblPr>
        <w:tblStyle w:val="18"/>
        <w:tblW w:w="95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864"/>
        <w:gridCol w:w="2880"/>
        <w:gridCol w:w="5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771" w:type="dxa"/>
            <w:vAlign w:val="center"/>
          </w:tcPr>
          <w:p>
            <w:pPr>
              <w:kinsoku/>
              <w:autoSpaceDE/>
              <w:autoSpaceDN/>
              <w:adjustRightInd/>
              <w:snapToGrid/>
              <w:spacing w:line="360" w:lineRule="exact"/>
              <w:jc w:val="center"/>
              <w:textAlignment w:val="auto"/>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3744" w:type="dxa"/>
            <w:gridSpan w:val="2"/>
            <w:vAlign w:val="center"/>
          </w:tcPr>
          <w:p>
            <w:pPr>
              <w:kinsoku/>
              <w:autoSpaceDE/>
              <w:autoSpaceDN/>
              <w:adjustRightInd/>
              <w:snapToGrid/>
              <w:spacing w:line="360" w:lineRule="exact"/>
              <w:jc w:val="center"/>
              <w:textAlignment w:val="auto"/>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评审因素</w:t>
            </w:r>
          </w:p>
        </w:tc>
        <w:tc>
          <w:tcPr>
            <w:tcW w:w="5022" w:type="dxa"/>
            <w:vAlign w:val="center"/>
          </w:tcPr>
          <w:p>
            <w:pPr>
              <w:kinsoku/>
              <w:autoSpaceDE/>
              <w:autoSpaceDN/>
              <w:adjustRightInd/>
              <w:snapToGrid/>
              <w:spacing w:line="360" w:lineRule="exact"/>
              <w:jc w:val="center"/>
              <w:textAlignment w:val="auto"/>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771" w:type="dxa"/>
            <w:vMerge w:val="restart"/>
            <w:vAlign w:val="center"/>
          </w:tcPr>
          <w:p>
            <w:pPr>
              <w:jc w:val="center"/>
              <w:rPr>
                <w:rFonts w:ascii="宋体" w:hAnsi="宋体" w:eastAsia="宋体" w:cs="宋体"/>
                <w:sz w:val="24"/>
                <w:szCs w:val="24"/>
                <w:highlight w:val="none"/>
              </w:rPr>
            </w:pPr>
            <w:r>
              <w:rPr>
                <w:rFonts w:hint="eastAsia" w:ascii="宋体" w:hAnsi="宋体" w:eastAsia="宋体" w:cs="宋体"/>
                <w:sz w:val="24"/>
                <w:szCs w:val="24"/>
                <w:highlight w:val="none"/>
              </w:rPr>
              <w:t>1</w:t>
            </w:r>
          </w:p>
        </w:tc>
        <w:tc>
          <w:tcPr>
            <w:tcW w:w="864" w:type="dxa"/>
            <w:vMerge w:val="restart"/>
            <w:vAlign w:val="center"/>
          </w:tcPr>
          <w:p>
            <w:pPr>
              <w:jc w:val="center"/>
              <w:rPr>
                <w:rFonts w:ascii="宋体" w:hAnsi="宋体" w:eastAsia="宋体" w:cs="宋体"/>
                <w:sz w:val="24"/>
                <w:szCs w:val="24"/>
                <w:highlight w:val="none"/>
              </w:rPr>
            </w:pPr>
            <w:r>
              <w:rPr>
                <w:rFonts w:hint="eastAsia" w:ascii="宋体" w:hAnsi="宋体" w:eastAsia="宋体" w:cs="宋体"/>
                <w:sz w:val="24"/>
                <w:szCs w:val="24"/>
                <w:highlight w:val="none"/>
              </w:rPr>
              <w:t>有效性审查</w:t>
            </w:r>
          </w:p>
        </w:tc>
        <w:tc>
          <w:tcPr>
            <w:tcW w:w="2880" w:type="dxa"/>
            <w:vAlign w:val="center"/>
          </w:tcPr>
          <w:p>
            <w:pPr>
              <w:rPr>
                <w:rFonts w:ascii="宋体" w:hAnsi="宋体" w:eastAsia="宋体" w:cs="宋体"/>
                <w:sz w:val="24"/>
                <w:szCs w:val="24"/>
                <w:highlight w:val="none"/>
              </w:rPr>
            </w:pPr>
            <w:r>
              <w:rPr>
                <w:rFonts w:hint="eastAsia" w:ascii="宋体" w:hAnsi="宋体" w:eastAsia="宋体" w:cs="宋体"/>
                <w:sz w:val="24"/>
                <w:szCs w:val="24"/>
                <w:highlight w:val="none"/>
              </w:rPr>
              <w:t>(1)投标文件的签署盖章</w:t>
            </w:r>
          </w:p>
        </w:tc>
        <w:tc>
          <w:tcPr>
            <w:tcW w:w="5022" w:type="dxa"/>
            <w:vAlign w:val="center"/>
          </w:tcPr>
          <w:p>
            <w:pPr>
              <w:rPr>
                <w:rFonts w:ascii="宋体" w:hAnsi="宋体" w:eastAsia="宋体" w:cs="宋体"/>
                <w:sz w:val="24"/>
                <w:szCs w:val="24"/>
                <w:highlight w:val="none"/>
              </w:rPr>
            </w:pPr>
            <w:r>
              <w:rPr>
                <w:rFonts w:hint="eastAsia" w:ascii="宋体" w:hAnsi="宋体" w:eastAsia="宋体" w:cs="宋体"/>
                <w:sz w:val="24"/>
                <w:szCs w:val="24"/>
                <w:highlight w:val="none"/>
              </w:rPr>
              <w:t>投标文件上法定代表人或其授权代表人的签字齐全并加盖公章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771" w:type="dxa"/>
            <w:vMerge w:val="continue"/>
          </w:tcPr>
          <w:p>
            <w:pPr>
              <w:jc w:val="center"/>
              <w:rPr>
                <w:rFonts w:ascii="宋体" w:hAnsi="宋体" w:eastAsia="宋体" w:cs="宋体"/>
                <w:sz w:val="24"/>
                <w:szCs w:val="24"/>
                <w:highlight w:val="none"/>
              </w:rPr>
            </w:pPr>
          </w:p>
        </w:tc>
        <w:tc>
          <w:tcPr>
            <w:tcW w:w="864" w:type="dxa"/>
            <w:vMerge w:val="continue"/>
          </w:tcPr>
          <w:p>
            <w:pPr>
              <w:jc w:val="center"/>
              <w:rPr>
                <w:rFonts w:ascii="宋体" w:hAnsi="宋体" w:eastAsia="宋体" w:cs="宋体"/>
                <w:sz w:val="24"/>
                <w:szCs w:val="24"/>
                <w:highlight w:val="none"/>
              </w:rPr>
            </w:pPr>
          </w:p>
        </w:tc>
        <w:tc>
          <w:tcPr>
            <w:tcW w:w="2880" w:type="dxa"/>
            <w:vAlign w:val="center"/>
          </w:tcPr>
          <w:p>
            <w:pPr>
              <w:rPr>
                <w:rFonts w:ascii="宋体" w:hAnsi="宋体" w:eastAsia="宋体" w:cs="宋体"/>
                <w:sz w:val="24"/>
                <w:szCs w:val="24"/>
                <w:highlight w:val="none"/>
              </w:rPr>
            </w:pPr>
            <w:r>
              <w:rPr>
                <w:rFonts w:hint="eastAsia" w:ascii="宋体" w:hAnsi="宋体" w:eastAsia="宋体" w:cs="宋体"/>
                <w:sz w:val="24"/>
                <w:szCs w:val="24"/>
                <w:highlight w:val="none"/>
              </w:rPr>
              <w:t>(2)投标文件格式</w:t>
            </w:r>
          </w:p>
        </w:tc>
        <w:tc>
          <w:tcPr>
            <w:tcW w:w="5022" w:type="dxa"/>
            <w:vAlign w:val="center"/>
          </w:tcPr>
          <w:p>
            <w:pPr>
              <w:rPr>
                <w:rFonts w:ascii="宋体" w:hAnsi="宋体" w:eastAsia="宋体" w:cs="宋体"/>
                <w:sz w:val="24"/>
                <w:szCs w:val="24"/>
                <w:highlight w:val="none"/>
              </w:rPr>
            </w:pPr>
            <w:r>
              <w:rPr>
                <w:rFonts w:hint="eastAsia" w:ascii="宋体" w:hAnsi="宋体" w:eastAsia="宋体" w:cs="宋体"/>
                <w:sz w:val="24"/>
                <w:szCs w:val="24"/>
                <w:highlight w:val="none"/>
              </w:rPr>
              <w:t>应符合“投标文件格式”要求，可以扩充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771" w:type="dxa"/>
            <w:vMerge w:val="continue"/>
          </w:tcPr>
          <w:p>
            <w:pPr>
              <w:jc w:val="center"/>
              <w:rPr>
                <w:rFonts w:ascii="宋体" w:hAnsi="宋体" w:eastAsia="宋体" w:cs="宋体"/>
                <w:sz w:val="24"/>
                <w:szCs w:val="24"/>
                <w:highlight w:val="none"/>
              </w:rPr>
            </w:pPr>
          </w:p>
        </w:tc>
        <w:tc>
          <w:tcPr>
            <w:tcW w:w="864" w:type="dxa"/>
            <w:vMerge w:val="continue"/>
          </w:tcPr>
          <w:p>
            <w:pPr>
              <w:jc w:val="center"/>
              <w:rPr>
                <w:rFonts w:ascii="宋体" w:hAnsi="宋体" w:eastAsia="宋体" w:cs="宋体"/>
                <w:sz w:val="24"/>
                <w:szCs w:val="24"/>
                <w:highlight w:val="none"/>
              </w:rPr>
            </w:pPr>
          </w:p>
        </w:tc>
        <w:tc>
          <w:tcPr>
            <w:tcW w:w="2880" w:type="dxa"/>
            <w:vAlign w:val="center"/>
          </w:tcPr>
          <w:p>
            <w:pPr>
              <w:rPr>
                <w:rFonts w:ascii="宋体" w:hAnsi="宋体" w:eastAsia="宋体" w:cs="宋体"/>
                <w:sz w:val="24"/>
                <w:szCs w:val="24"/>
                <w:highlight w:val="none"/>
              </w:rPr>
            </w:pPr>
            <w:r>
              <w:rPr>
                <w:rFonts w:hint="eastAsia" w:ascii="宋体" w:hAnsi="宋体" w:eastAsia="宋体" w:cs="宋体"/>
                <w:sz w:val="24"/>
                <w:szCs w:val="24"/>
                <w:highlight w:val="none"/>
              </w:rPr>
              <w:t>(3)投标文件递交</w:t>
            </w:r>
          </w:p>
        </w:tc>
        <w:tc>
          <w:tcPr>
            <w:tcW w:w="5022" w:type="dxa"/>
            <w:vAlign w:val="center"/>
          </w:tcPr>
          <w:p>
            <w:pPr>
              <w:rPr>
                <w:rFonts w:ascii="宋体" w:hAnsi="宋体" w:eastAsia="宋体" w:cs="宋体"/>
                <w:sz w:val="24"/>
                <w:szCs w:val="24"/>
                <w:highlight w:val="none"/>
              </w:rPr>
            </w:pPr>
            <w:r>
              <w:rPr>
                <w:rFonts w:hint="eastAsia" w:ascii="宋体" w:hAnsi="宋体" w:eastAsia="宋体" w:cs="宋体"/>
                <w:sz w:val="24"/>
                <w:szCs w:val="24"/>
                <w:highlight w:val="none"/>
              </w:rPr>
              <w:t>应符合“供应商须知”规定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771" w:type="dxa"/>
            <w:vMerge w:val="continue"/>
          </w:tcPr>
          <w:p>
            <w:pPr>
              <w:jc w:val="center"/>
              <w:rPr>
                <w:rFonts w:ascii="宋体" w:hAnsi="宋体" w:eastAsia="宋体" w:cs="宋体"/>
                <w:sz w:val="24"/>
                <w:szCs w:val="24"/>
                <w:highlight w:val="none"/>
              </w:rPr>
            </w:pPr>
          </w:p>
        </w:tc>
        <w:tc>
          <w:tcPr>
            <w:tcW w:w="864" w:type="dxa"/>
            <w:vMerge w:val="continue"/>
          </w:tcPr>
          <w:p>
            <w:pPr>
              <w:jc w:val="center"/>
              <w:rPr>
                <w:rFonts w:ascii="宋体" w:hAnsi="宋体" w:eastAsia="宋体" w:cs="宋体"/>
                <w:sz w:val="24"/>
                <w:szCs w:val="24"/>
                <w:highlight w:val="none"/>
              </w:rPr>
            </w:pPr>
          </w:p>
        </w:tc>
        <w:tc>
          <w:tcPr>
            <w:tcW w:w="2880" w:type="dxa"/>
            <w:vAlign w:val="center"/>
          </w:tcPr>
          <w:p>
            <w:pPr>
              <w:rPr>
                <w:rFonts w:ascii="宋体" w:hAnsi="宋体" w:eastAsia="宋体" w:cs="宋体"/>
                <w:sz w:val="24"/>
                <w:szCs w:val="24"/>
                <w:highlight w:val="none"/>
              </w:rPr>
            </w:pPr>
            <w:r>
              <w:rPr>
                <w:rFonts w:hint="eastAsia" w:ascii="宋体" w:hAnsi="宋体" w:eastAsia="宋体" w:cs="宋体"/>
                <w:sz w:val="24"/>
                <w:szCs w:val="24"/>
                <w:highlight w:val="none"/>
              </w:rPr>
              <w:t>(4)报价唯一</w:t>
            </w:r>
          </w:p>
        </w:tc>
        <w:tc>
          <w:tcPr>
            <w:tcW w:w="5022" w:type="dxa"/>
            <w:vAlign w:val="center"/>
          </w:tcPr>
          <w:p>
            <w:pPr>
              <w:rPr>
                <w:rFonts w:ascii="宋体" w:hAnsi="宋体" w:eastAsia="宋体" w:cs="宋体"/>
                <w:sz w:val="24"/>
                <w:szCs w:val="24"/>
                <w:highlight w:val="none"/>
              </w:rPr>
            </w:pPr>
            <w:r>
              <w:rPr>
                <w:rFonts w:hint="eastAsia" w:ascii="宋体" w:hAnsi="宋体" w:eastAsia="宋体" w:cs="宋体"/>
                <w:sz w:val="24"/>
                <w:szCs w:val="24"/>
                <w:highlight w:val="none"/>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771" w:type="dxa"/>
            <w:vMerge w:val="continue"/>
          </w:tcPr>
          <w:p>
            <w:pPr>
              <w:jc w:val="center"/>
              <w:rPr>
                <w:rFonts w:ascii="宋体" w:hAnsi="宋体" w:eastAsia="宋体" w:cs="宋体"/>
                <w:sz w:val="24"/>
                <w:szCs w:val="24"/>
                <w:highlight w:val="none"/>
              </w:rPr>
            </w:pPr>
          </w:p>
        </w:tc>
        <w:tc>
          <w:tcPr>
            <w:tcW w:w="864" w:type="dxa"/>
            <w:vMerge w:val="continue"/>
          </w:tcPr>
          <w:p>
            <w:pPr>
              <w:jc w:val="center"/>
              <w:rPr>
                <w:rFonts w:ascii="宋体" w:hAnsi="宋体" w:eastAsia="宋体" w:cs="宋体"/>
                <w:sz w:val="24"/>
                <w:szCs w:val="24"/>
                <w:highlight w:val="none"/>
              </w:rPr>
            </w:pPr>
          </w:p>
        </w:tc>
        <w:tc>
          <w:tcPr>
            <w:tcW w:w="2880" w:type="dxa"/>
            <w:vAlign w:val="center"/>
          </w:tcPr>
          <w:p>
            <w:pPr>
              <w:rPr>
                <w:rFonts w:ascii="宋体" w:hAnsi="宋体" w:eastAsia="宋体" w:cs="宋体"/>
                <w:sz w:val="24"/>
                <w:szCs w:val="24"/>
                <w:highlight w:val="none"/>
              </w:rPr>
            </w:pPr>
            <w:r>
              <w:rPr>
                <w:rFonts w:hint="eastAsia" w:ascii="宋体" w:hAnsi="宋体" w:eastAsia="宋体" w:cs="宋体"/>
                <w:sz w:val="24"/>
                <w:szCs w:val="24"/>
                <w:highlight w:val="none"/>
              </w:rPr>
              <w:t>(5)投标报价</w:t>
            </w:r>
          </w:p>
        </w:tc>
        <w:tc>
          <w:tcPr>
            <w:tcW w:w="5022" w:type="dxa"/>
            <w:vAlign w:val="center"/>
          </w:tcPr>
          <w:p>
            <w:pPr>
              <w:rPr>
                <w:rFonts w:ascii="宋体" w:hAnsi="宋体" w:eastAsia="宋体" w:cs="宋体"/>
                <w:sz w:val="24"/>
                <w:szCs w:val="24"/>
                <w:highlight w:val="none"/>
              </w:rPr>
            </w:pPr>
            <w:r>
              <w:rPr>
                <w:rFonts w:hint="eastAsia" w:ascii="宋体" w:hAnsi="宋体" w:eastAsia="宋体" w:cs="宋体"/>
                <w:sz w:val="24"/>
                <w:szCs w:val="24"/>
                <w:highlight w:val="none"/>
              </w:rPr>
              <w:t>投标报价不超过采购预算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771" w:type="dxa"/>
            <w:vMerge w:val="restart"/>
            <w:vAlign w:val="center"/>
          </w:tcPr>
          <w:p>
            <w:pPr>
              <w:jc w:val="center"/>
              <w:rPr>
                <w:rFonts w:ascii="宋体" w:hAnsi="宋体" w:eastAsia="宋体" w:cs="宋体"/>
                <w:sz w:val="24"/>
                <w:szCs w:val="24"/>
                <w:highlight w:val="none"/>
              </w:rPr>
            </w:pPr>
            <w:r>
              <w:rPr>
                <w:rFonts w:hint="eastAsia" w:ascii="宋体" w:hAnsi="宋体" w:eastAsia="宋体" w:cs="宋体"/>
                <w:sz w:val="24"/>
                <w:szCs w:val="24"/>
                <w:highlight w:val="none"/>
              </w:rPr>
              <w:t>2</w:t>
            </w:r>
          </w:p>
        </w:tc>
        <w:tc>
          <w:tcPr>
            <w:tcW w:w="864" w:type="dxa"/>
            <w:vMerge w:val="restart"/>
            <w:vAlign w:val="center"/>
          </w:tcPr>
          <w:p>
            <w:pPr>
              <w:jc w:val="center"/>
              <w:rPr>
                <w:rFonts w:ascii="宋体" w:hAnsi="宋体" w:eastAsia="宋体" w:cs="宋体"/>
                <w:sz w:val="24"/>
                <w:szCs w:val="24"/>
                <w:highlight w:val="none"/>
              </w:rPr>
            </w:pPr>
            <w:r>
              <w:rPr>
                <w:rFonts w:hint="eastAsia" w:ascii="宋体" w:hAnsi="宋体" w:eastAsia="宋体" w:cs="宋体"/>
                <w:sz w:val="24"/>
                <w:szCs w:val="24"/>
                <w:highlight w:val="none"/>
              </w:rPr>
              <w:t>完整性审查</w:t>
            </w:r>
          </w:p>
        </w:tc>
        <w:tc>
          <w:tcPr>
            <w:tcW w:w="2880" w:type="dxa"/>
            <w:vAlign w:val="center"/>
          </w:tcPr>
          <w:p>
            <w:pPr>
              <w:rPr>
                <w:rFonts w:ascii="宋体" w:hAnsi="宋体" w:eastAsia="宋体" w:cs="宋体"/>
                <w:sz w:val="24"/>
                <w:szCs w:val="24"/>
                <w:highlight w:val="none"/>
              </w:rPr>
            </w:pPr>
            <w:r>
              <w:rPr>
                <w:rFonts w:hint="eastAsia" w:ascii="宋体" w:hAnsi="宋体" w:eastAsia="宋体" w:cs="宋体"/>
                <w:sz w:val="24"/>
                <w:szCs w:val="24"/>
                <w:highlight w:val="none"/>
              </w:rPr>
              <w:t>(6)投标文件份数</w:t>
            </w:r>
          </w:p>
        </w:tc>
        <w:tc>
          <w:tcPr>
            <w:tcW w:w="5022" w:type="dxa"/>
            <w:vAlign w:val="center"/>
          </w:tcPr>
          <w:p>
            <w:pPr>
              <w:rPr>
                <w:rFonts w:ascii="宋体" w:hAnsi="宋体" w:eastAsia="宋体" w:cs="宋体"/>
                <w:sz w:val="24"/>
                <w:szCs w:val="24"/>
                <w:highlight w:val="none"/>
              </w:rPr>
            </w:pPr>
            <w:r>
              <w:rPr>
                <w:rFonts w:hint="eastAsia" w:ascii="宋体" w:hAnsi="宋体" w:eastAsia="宋体" w:cs="宋体"/>
                <w:sz w:val="24"/>
                <w:szCs w:val="24"/>
                <w:highlight w:val="none"/>
              </w:rPr>
              <w:t>应符合“须知前列表”规定的正本、副本、电子版数量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771" w:type="dxa"/>
            <w:vMerge w:val="continue"/>
          </w:tcPr>
          <w:p>
            <w:pPr>
              <w:jc w:val="center"/>
              <w:rPr>
                <w:rFonts w:ascii="宋体" w:hAnsi="宋体" w:eastAsia="宋体" w:cs="宋体"/>
                <w:sz w:val="24"/>
                <w:szCs w:val="24"/>
                <w:highlight w:val="none"/>
              </w:rPr>
            </w:pPr>
          </w:p>
        </w:tc>
        <w:tc>
          <w:tcPr>
            <w:tcW w:w="864" w:type="dxa"/>
            <w:vMerge w:val="continue"/>
          </w:tcPr>
          <w:p>
            <w:pPr>
              <w:jc w:val="center"/>
              <w:rPr>
                <w:rFonts w:ascii="宋体" w:hAnsi="宋体" w:eastAsia="宋体" w:cs="宋体"/>
                <w:sz w:val="24"/>
                <w:szCs w:val="24"/>
                <w:highlight w:val="none"/>
              </w:rPr>
            </w:pPr>
          </w:p>
        </w:tc>
        <w:tc>
          <w:tcPr>
            <w:tcW w:w="2880" w:type="dxa"/>
            <w:vAlign w:val="center"/>
          </w:tcPr>
          <w:p>
            <w:pPr>
              <w:rPr>
                <w:rFonts w:ascii="宋体" w:hAnsi="宋体" w:eastAsia="宋体" w:cs="宋体"/>
                <w:sz w:val="24"/>
                <w:szCs w:val="24"/>
                <w:highlight w:val="none"/>
              </w:rPr>
            </w:pPr>
            <w:r>
              <w:rPr>
                <w:rFonts w:hint="eastAsia" w:ascii="宋体" w:hAnsi="宋体" w:eastAsia="宋体" w:cs="宋体"/>
                <w:sz w:val="24"/>
                <w:szCs w:val="24"/>
                <w:highlight w:val="none"/>
              </w:rPr>
              <w:t>(7)投标文件内容</w:t>
            </w:r>
          </w:p>
        </w:tc>
        <w:tc>
          <w:tcPr>
            <w:tcW w:w="5022" w:type="dxa"/>
            <w:vAlign w:val="center"/>
          </w:tcPr>
          <w:p>
            <w:pPr>
              <w:rPr>
                <w:rFonts w:ascii="宋体" w:hAnsi="宋体" w:eastAsia="宋体" w:cs="宋体"/>
                <w:sz w:val="24"/>
                <w:szCs w:val="24"/>
                <w:highlight w:val="none"/>
              </w:rPr>
            </w:pPr>
            <w:r>
              <w:rPr>
                <w:rFonts w:hint="eastAsia" w:ascii="宋体" w:hAnsi="宋体" w:eastAsia="宋体" w:cs="宋体"/>
                <w:sz w:val="24"/>
                <w:szCs w:val="24"/>
                <w:highlight w:val="none"/>
              </w:rPr>
              <w:t>响应文件内容齐全、无遗漏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771" w:type="dxa"/>
            <w:vMerge w:val="restart"/>
            <w:vAlign w:val="center"/>
          </w:tcPr>
          <w:p>
            <w:pPr>
              <w:jc w:val="center"/>
              <w:rPr>
                <w:rFonts w:ascii="宋体" w:hAnsi="宋体" w:eastAsia="宋体" w:cs="宋体"/>
                <w:sz w:val="24"/>
                <w:szCs w:val="24"/>
                <w:highlight w:val="none"/>
              </w:rPr>
            </w:pPr>
            <w:r>
              <w:rPr>
                <w:rFonts w:hint="eastAsia" w:ascii="宋体" w:hAnsi="宋体" w:eastAsia="宋体" w:cs="宋体"/>
                <w:sz w:val="24"/>
                <w:szCs w:val="24"/>
                <w:highlight w:val="none"/>
              </w:rPr>
              <w:t>3</w:t>
            </w:r>
          </w:p>
        </w:tc>
        <w:tc>
          <w:tcPr>
            <w:tcW w:w="864" w:type="dxa"/>
            <w:vMerge w:val="restart"/>
            <w:vAlign w:val="center"/>
          </w:tcPr>
          <w:p>
            <w:pPr>
              <w:jc w:val="center"/>
              <w:rPr>
                <w:rFonts w:ascii="宋体" w:hAnsi="宋体" w:eastAsia="宋体" w:cs="宋体"/>
                <w:sz w:val="24"/>
                <w:szCs w:val="24"/>
                <w:highlight w:val="none"/>
              </w:rPr>
            </w:pPr>
            <w:r>
              <w:rPr>
                <w:rFonts w:hint="eastAsia" w:ascii="宋体" w:hAnsi="宋体" w:eastAsia="宋体" w:cs="宋体"/>
                <w:sz w:val="24"/>
                <w:szCs w:val="24"/>
                <w:highlight w:val="none"/>
              </w:rPr>
              <w:t>响应程度审查</w:t>
            </w:r>
          </w:p>
        </w:tc>
        <w:tc>
          <w:tcPr>
            <w:tcW w:w="2880" w:type="dxa"/>
            <w:vAlign w:val="center"/>
          </w:tcPr>
          <w:p>
            <w:pPr>
              <w:rPr>
                <w:rFonts w:ascii="宋体" w:hAnsi="宋体" w:eastAsia="宋体" w:cs="宋体"/>
                <w:sz w:val="24"/>
                <w:szCs w:val="24"/>
                <w:highlight w:val="none"/>
              </w:rPr>
            </w:pPr>
            <w:r>
              <w:rPr>
                <w:rFonts w:hint="eastAsia" w:ascii="宋体" w:hAnsi="宋体" w:eastAsia="宋体" w:cs="宋体"/>
                <w:sz w:val="24"/>
                <w:szCs w:val="24"/>
                <w:highlight w:val="none"/>
              </w:rPr>
              <w:t>(8)服务要求</w:t>
            </w:r>
          </w:p>
        </w:tc>
        <w:tc>
          <w:tcPr>
            <w:tcW w:w="5022" w:type="dxa"/>
            <w:vAlign w:val="center"/>
          </w:tcPr>
          <w:p>
            <w:pPr>
              <w:rPr>
                <w:rFonts w:ascii="宋体" w:hAnsi="宋体" w:eastAsia="宋体" w:cs="宋体"/>
                <w:sz w:val="24"/>
                <w:szCs w:val="24"/>
                <w:highlight w:val="none"/>
              </w:rPr>
            </w:pPr>
            <w:r>
              <w:rPr>
                <w:rFonts w:hint="eastAsia" w:ascii="宋体" w:hAnsi="宋体" w:eastAsia="宋体" w:cs="宋体"/>
                <w:sz w:val="24"/>
                <w:szCs w:val="24"/>
                <w:highlight w:val="none"/>
              </w:rPr>
              <w:t>应符合招标文件的要求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771" w:type="dxa"/>
            <w:vMerge w:val="continue"/>
          </w:tcPr>
          <w:p>
            <w:pPr>
              <w:rPr>
                <w:rFonts w:ascii="宋体" w:hAnsi="宋体" w:eastAsia="宋体" w:cs="宋体"/>
                <w:sz w:val="24"/>
                <w:szCs w:val="24"/>
                <w:highlight w:val="none"/>
              </w:rPr>
            </w:pPr>
          </w:p>
        </w:tc>
        <w:tc>
          <w:tcPr>
            <w:tcW w:w="864" w:type="dxa"/>
            <w:vMerge w:val="continue"/>
          </w:tcPr>
          <w:p>
            <w:pPr>
              <w:rPr>
                <w:rFonts w:ascii="宋体" w:hAnsi="宋体" w:eastAsia="宋体" w:cs="宋体"/>
                <w:sz w:val="24"/>
                <w:szCs w:val="24"/>
                <w:highlight w:val="none"/>
              </w:rPr>
            </w:pPr>
          </w:p>
        </w:tc>
        <w:tc>
          <w:tcPr>
            <w:tcW w:w="2880" w:type="dxa"/>
            <w:vAlign w:val="center"/>
          </w:tcPr>
          <w:p>
            <w:pPr>
              <w:rPr>
                <w:rFonts w:ascii="宋体" w:hAnsi="宋体" w:eastAsia="宋体" w:cs="宋体"/>
                <w:sz w:val="24"/>
                <w:szCs w:val="24"/>
                <w:highlight w:val="none"/>
              </w:rPr>
            </w:pPr>
            <w:r>
              <w:rPr>
                <w:rFonts w:hint="eastAsia" w:ascii="宋体" w:hAnsi="宋体" w:eastAsia="宋体" w:cs="宋体"/>
                <w:sz w:val="24"/>
                <w:szCs w:val="24"/>
                <w:highlight w:val="none"/>
              </w:rPr>
              <w:t>(9)合同履行期限（建设期及服务期）</w:t>
            </w:r>
          </w:p>
        </w:tc>
        <w:tc>
          <w:tcPr>
            <w:tcW w:w="5022" w:type="dxa"/>
            <w:vAlign w:val="center"/>
          </w:tcPr>
          <w:p>
            <w:pPr>
              <w:rPr>
                <w:rFonts w:ascii="宋体" w:hAnsi="宋体" w:eastAsia="宋体" w:cs="宋体"/>
                <w:sz w:val="24"/>
                <w:szCs w:val="24"/>
                <w:highlight w:val="none"/>
              </w:rPr>
            </w:pPr>
            <w:r>
              <w:rPr>
                <w:rFonts w:hint="eastAsia" w:ascii="宋体" w:hAnsi="宋体" w:eastAsia="宋体" w:cs="宋体"/>
                <w:sz w:val="24"/>
                <w:szCs w:val="24"/>
                <w:highlight w:val="none"/>
              </w:rPr>
              <w:t>应符合招标文件的要求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771" w:type="dxa"/>
            <w:vMerge w:val="continue"/>
          </w:tcPr>
          <w:p>
            <w:pPr>
              <w:rPr>
                <w:rFonts w:ascii="宋体" w:hAnsi="宋体" w:eastAsia="宋体" w:cs="宋体"/>
                <w:sz w:val="24"/>
                <w:szCs w:val="24"/>
                <w:highlight w:val="none"/>
              </w:rPr>
            </w:pPr>
          </w:p>
        </w:tc>
        <w:tc>
          <w:tcPr>
            <w:tcW w:w="864" w:type="dxa"/>
            <w:vMerge w:val="continue"/>
          </w:tcPr>
          <w:p>
            <w:pPr>
              <w:rPr>
                <w:rFonts w:ascii="宋体" w:hAnsi="宋体" w:eastAsia="宋体" w:cs="宋体"/>
                <w:sz w:val="24"/>
                <w:szCs w:val="24"/>
                <w:highlight w:val="none"/>
              </w:rPr>
            </w:pPr>
          </w:p>
        </w:tc>
        <w:tc>
          <w:tcPr>
            <w:tcW w:w="2880" w:type="dxa"/>
            <w:vAlign w:val="center"/>
          </w:tcPr>
          <w:p>
            <w:pPr>
              <w:rPr>
                <w:rFonts w:ascii="宋体" w:hAnsi="宋体" w:eastAsia="宋体" w:cs="宋体"/>
                <w:sz w:val="24"/>
                <w:szCs w:val="24"/>
                <w:highlight w:val="none"/>
              </w:rPr>
            </w:pPr>
            <w:r>
              <w:rPr>
                <w:rFonts w:hint="eastAsia" w:ascii="宋体" w:hAnsi="宋体" w:eastAsia="宋体" w:cs="宋体"/>
                <w:sz w:val="24"/>
                <w:szCs w:val="24"/>
                <w:highlight w:val="none"/>
              </w:rPr>
              <w:t>(10)投标有效期</w:t>
            </w:r>
          </w:p>
        </w:tc>
        <w:tc>
          <w:tcPr>
            <w:tcW w:w="5022" w:type="dxa"/>
            <w:vAlign w:val="center"/>
          </w:tcPr>
          <w:p>
            <w:pPr>
              <w:rPr>
                <w:rFonts w:ascii="宋体" w:hAnsi="宋体" w:eastAsia="宋体" w:cs="宋体"/>
                <w:sz w:val="24"/>
                <w:szCs w:val="24"/>
                <w:highlight w:val="none"/>
              </w:rPr>
            </w:pPr>
            <w:r>
              <w:rPr>
                <w:rFonts w:hint="eastAsia" w:ascii="宋体" w:hAnsi="宋体" w:eastAsia="宋体" w:cs="宋体"/>
                <w:sz w:val="24"/>
                <w:szCs w:val="24"/>
                <w:highlight w:val="none"/>
              </w:rPr>
              <w:t>应符合招标文件的规定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771" w:type="dxa"/>
            <w:vMerge w:val="continue"/>
          </w:tcPr>
          <w:p>
            <w:pPr>
              <w:rPr>
                <w:rFonts w:ascii="宋体" w:hAnsi="宋体" w:eastAsia="宋体" w:cs="宋体"/>
                <w:sz w:val="24"/>
                <w:szCs w:val="24"/>
                <w:highlight w:val="none"/>
              </w:rPr>
            </w:pPr>
          </w:p>
        </w:tc>
        <w:tc>
          <w:tcPr>
            <w:tcW w:w="864" w:type="dxa"/>
            <w:vMerge w:val="continue"/>
          </w:tcPr>
          <w:p>
            <w:pPr>
              <w:rPr>
                <w:rFonts w:ascii="宋体" w:hAnsi="宋体" w:eastAsia="宋体" w:cs="宋体"/>
                <w:sz w:val="24"/>
                <w:szCs w:val="24"/>
                <w:highlight w:val="none"/>
              </w:rPr>
            </w:pPr>
          </w:p>
        </w:tc>
        <w:tc>
          <w:tcPr>
            <w:tcW w:w="2880" w:type="dxa"/>
            <w:vAlign w:val="center"/>
          </w:tcPr>
          <w:p>
            <w:pPr>
              <w:rPr>
                <w:rFonts w:ascii="宋体" w:hAnsi="宋体" w:eastAsia="宋体" w:cs="宋体"/>
                <w:sz w:val="24"/>
                <w:szCs w:val="24"/>
                <w:highlight w:val="none"/>
              </w:rPr>
            </w:pPr>
            <w:r>
              <w:rPr>
                <w:rFonts w:hint="eastAsia" w:ascii="宋体" w:hAnsi="宋体" w:eastAsia="宋体" w:cs="宋体"/>
                <w:sz w:val="24"/>
                <w:szCs w:val="24"/>
                <w:highlight w:val="none"/>
              </w:rPr>
              <w:t>(11)其他响应</w:t>
            </w:r>
          </w:p>
        </w:tc>
        <w:tc>
          <w:tcPr>
            <w:tcW w:w="5022" w:type="dxa"/>
            <w:vAlign w:val="center"/>
          </w:tcPr>
          <w:p>
            <w:pPr>
              <w:rPr>
                <w:rFonts w:ascii="宋体" w:hAnsi="宋体" w:eastAsia="宋体" w:cs="宋体"/>
                <w:sz w:val="24"/>
                <w:szCs w:val="24"/>
                <w:highlight w:val="none"/>
              </w:rPr>
            </w:pPr>
            <w:r>
              <w:rPr>
                <w:rFonts w:hint="eastAsia" w:ascii="宋体" w:hAnsi="宋体" w:eastAsia="宋体" w:cs="宋体"/>
                <w:sz w:val="24"/>
                <w:szCs w:val="24"/>
                <w:highlight w:val="none"/>
              </w:rPr>
              <w:t>不能有任何采购人不能接受的附加条件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537" w:type="dxa"/>
            <w:gridSpan w:val="4"/>
            <w:vAlign w:val="center"/>
          </w:tcPr>
          <w:p>
            <w:pPr>
              <w:jc w:val="both"/>
              <w:rPr>
                <w:rFonts w:ascii="宋体" w:hAnsi="宋体" w:eastAsia="宋体" w:cs="宋体"/>
                <w:sz w:val="24"/>
                <w:szCs w:val="24"/>
                <w:highlight w:val="none"/>
              </w:rPr>
            </w:pPr>
            <w:r>
              <w:rPr>
                <w:rFonts w:hint="eastAsia" w:ascii="宋体" w:hAnsi="宋体" w:eastAsia="宋体" w:cs="宋体"/>
                <w:color w:val="auto"/>
                <w:sz w:val="24"/>
                <w:szCs w:val="24"/>
                <w:highlight w:val="none"/>
              </w:rPr>
              <w:t>说明：以上要求，有一项不符合评审标准的，评标委员会应当否决其投标。</w:t>
            </w:r>
          </w:p>
        </w:tc>
      </w:tr>
    </w:tbl>
    <w:p>
      <w:pPr>
        <w:spacing w:line="360" w:lineRule="auto"/>
        <w:rPr>
          <w:rFonts w:ascii="宋体" w:hAnsi="宋体" w:eastAsia="宋体" w:cs="宋体"/>
          <w:b/>
          <w:bCs/>
          <w:sz w:val="24"/>
          <w:szCs w:val="24"/>
          <w:highlight w:val="none"/>
        </w:rPr>
      </w:pPr>
      <w:bookmarkStart w:id="179" w:name="_Toc15823"/>
      <w:r>
        <w:rPr>
          <w:rFonts w:hint="eastAsia" w:ascii="宋体" w:hAnsi="宋体" w:eastAsia="宋体" w:cs="宋体"/>
          <w:b/>
          <w:bCs/>
          <w:sz w:val="24"/>
          <w:szCs w:val="24"/>
          <w:highlight w:val="none"/>
        </w:rPr>
        <w:t>2.投标文件详细评审</w:t>
      </w:r>
      <w:bookmarkEnd w:id="179"/>
    </w:p>
    <w:p>
      <w:pPr>
        <w:spacing w:line="360" w:lineRule="auto"/>
        <w:ind w:firstLine="480" w:firstLineChars="20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（1）本项目采用综合评分法进行评审，总分为100分。</w:t>
      </w:r>
    </w:p>
    <w:p>
      <w:pPr>
        <w:spacing w:line="360" w:lineRule="auto"/>
        <w:ind w:firstLine="480" w:firstLineChars="20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（2）评标委员会将对通过资格性、符合性审查，实质上响应招标文件要求的投标文件，按照招标文件中规定的各项因素进行综合评审，根据评审总得分由高到低的顺序推荐前3名候选供应商。</w:t>
      </w:r>
    </w:p>
    <w:p>
      <w:pPr>
        <w:spacing w:line="360" w:lineRule="auto"/>
        <w:ind w:firstLine="480" w:firstLineChars="200"/>
        <w:rPr>
          <w:highlight w:val="none"/>
        </w:rPr>
      </w:pPr>
      <w:r>
        <w:rPr>
          <w:rFonts w:hint="eastAsia" w:ascii="宋体" w:hAnsi="宋体" w:eastAsia="宋体" w:cs="宋体"/>
          <w:color w:val="auto"/>
          <w:kern w:val="2"/>
          <w:sz w:val="24"/>
          <w:szCs w:val="24"/>
          <w:highlight w:val="none"/>
        </w:rPr>
        <w:t>（3）评审内容和标准：</w:t>
      </w:r>
    </w:p>
    <w:tbl>
      <w:tblPr>
        <w:tblStyle w:val="18"/>
        <w:tblW w:w="5597" w:type="pct"/>
        <w:tblInd w:w="-508" w:type="dxa"/>
        <w:tblLayout w:type="autofit"/>
        <w:tblCellMar>
          <w:top w:w="0" w:type="dxa"/>
          <w:left w:w="108" w:type="dxa"/>
          <w:bottom w:w="0" w:type="dxa"/>
          <w:right w:w="108" w:type="dxa"/>
        </w:tblCellMar>
      </w:tblPr>
      <w:tblGrid>
        <w:gridCol w:w="1187"/>
        <w:gridCol w:w="960"/>
        <w:gridCol w:w="7393"/>
      </w:tblGrid>
      <w:tr>
        <w:tblPrEx>
          <w:tblCellMar>
            <w:top w:w="0" w:type="dxa"/>
            <w:left w:w="108" w:type="dxa"/>
            <w:bottom w:w="0" w:type="dxa"/>
            <w:right w:w="108" w:type="dxa"/>
          </w:tblCellMar>
        </w:tblPrEx>
        <w:trPr>
          <w:trHeight w:val="636" w:hRule="atLeast"/>
        </w:trPr>
        <w:tc>
          <w:tcPr>
            <w:tcW w:w="622" w:type="pct"/>
            <w:tcBorders>
              <w:top w:val="single" w:color="auto" w:sz="4" w:space="0"/>
              <w:left w:val="single" w:color="auto" w:sz="4" w:space="0"/>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评分因素</w:t>
            </w:r>
          </w:p>
        </w:tc>
        <w:tc>
          <w:tcPr>
            <w:tcW w:w="5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分值</w:t>
            </w:r>
          </w:p>
        </w:tc>
        <w:tc>
          <w:tcPr>
            <w:tcW w:w="3874"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评标原则与标准</w:t>
            </w:r>
          </w:p>
        </w:tc>
      </w:tr>
      <w:tr>
        <w:tblPrEx>
          <w:tblCellMar>
            <w:top w:w="0" w:type="dxa"/>
            <w:left w:w="108" w:type="dxa"/>
            <w:bottom w:w="0" w:type="dxa"/>
            <w:right w:w="108" w:type="dxa"/>
          </w:tblCellMar>
        </w:tblPrEx>
        <w:trPr>
          <w:trHeight w:val="1560" w:hRule="atLeast"/>
        </w:trPr>
        <w:tc>
          <w:tcPr>
            <w:tcW w:w="622" w:type="pct"/>
            <w:tcBorders>
              <w:top w:val="nil"/>
              <w:left w:val="single" w:color="auto" w:sz="4" w:space="0"/>
              <w:bottom w:val="single" w:color="auto" w:sz="4" w:space="0"/>
              <w:right w:val="nil"/>
            </w:tcBorders>
            <w:shd w:val="clear" w:color="auto" w:fill="auto"/>
            <w:vAlign w:val="center"/>
          </w:tcPr>
          <w:p>
            <w:pPr>
              <w:keepNext w:val="0"/>
              <w:keepLines w:val="0"/>
              <w:pageBreakBefore w:val="0"/>
              <w:widowControl/>
              <w:wordWrap/>
              <w:overflowPunct/>
              <w:topLinePunct w:val="0"/>
              <w:bidi w:val="0"/>
              <w:spacing w:line="36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投标报价</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（20）</w:t>
            </w:r>
          </w:p>
        </w:tc>
        <w:tc>
          <w:tcPr>
            <w:tcW w:w="503"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wordWrap/>
              <w:overflowPunct/>
              <w:topLinePunct w:val="0"/>
              <w:bidi w:val="0"/>
              <w:spacing w:line="36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20</w:t>
            </w:r>
          </w:p>
        </w:tc>
        <w:tc>
          <w:tcPr>
            <w:tcW w:w="3874" w:type="pct"/>
            <w:tcBorders>
              <w:top w:val="nil"/>
              <w:left w:val="nil"/>
              <w:bottom w:val="single" w:color="auto" w:sz="4" w:space="0"/>
              <w:right w:val="single" w:color="auto" w:sz="4" w:space="0"/>
            </w:tcBorders>
            <w:shd w:val="clear" w:color="auto" w:fill="auto"/>
            <w:vAlign w:val="bottom"/>
          </w:tcPr>
          <w:p>
            <w:pPr>
              <w:keepNext w:val="0"/>
              <w:keepLines w:val="0"/>
              <w:pageBreakBefore w:val="0"/>
              <w:widowControl/>
              <w:wordWrap/>
              <w:overflowPunct/>
              <w:topLinePunct w:val="0"/>
              <w:bidi w:val="0"/>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综合评分法的价格分统一采用低价优先法计算，即满足招标文件要求且投标价格最低的投标报价为评标基准价，其价格分为满分。其他投标人的价格分统一按照下列公式计算：投标报价得分=（评标基准价/投标报价）×价格权值×100。</w:t>
            </w:r>
          </w:p>
        </w:tc>
      </w:tr>
      <w:tr>
        <w:tblPrEx>
          <w:tblCellMar>
            <w:top w:w="0" w:type="dxa"/>
            <w:left w:w="108" w:type="dxa"/>
            <w:bottom w:w="0" w:type="dxa"/>
            <w:right w:w="108" w:type="dxa"/>
          </w:tblCellMar>
        </w:tblPrEx>
        <w:trPr>
          <w:trHeight w:val="2254" w:hRule="atLeast"/>
        </w:trPr>
        <w:tc>
          <w:tcPr>
            <w:tcW w:w="622"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wordWrap/>
              <w:overflowPunct/>
              <w:topLinePunct w:val="0"/>
              <w:bidi w:val="0"/>
              <w:spacing w:line="36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技术部分</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（50）</w:t>
            </w:r>
          </w:p>
        </w:tc>
        <w:tc>
          <w:tcPr>
            <w:tcW w:w="503"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wordWrap/>
              <w:overflowPunct/>
              <w:topLinePunct w:val="0"/>
              <w:bidi w:val="0"/>
              <w:spacing w:line="36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w:t>
            </w:r>
          </w:p>
        </w:tc>
        <w:tc>
          <w:tcPr>
            <w:tcW w:w="387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wordWrap/>
              <w:overflowPunct/>
              <w:topLinePunct w:val="0"/>
              <w:bidi w:val="0"/>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投标人对项目需求理解准确，整体服务方案描述详细、合理，架构清晰，功能模块全面覆盖本期项目建设内容，安全体系设计合理，且充分考虑用户实际需求，确保平台稳定运行，能够实现项目整体建设目标及要求。方案</w:t>
            </w:r>
            <w:r>
              <w:rPr>
                <w:rFonts w:hint="eastAsia" w:ascii="宋体" w:hAnsi="宋体" w:eastAsia="宋体" w:cs="宋体"/>
                <w:sz w:val="24"/>
                <w:szCs w:val="24"/>
                <w:highlight w:val="none"/>
                <w:lang w:val="en-US" w:eastAsia="zh-CN"/>
              </w:rPr>
              <w:t>科学、</w:t>
            </w:r>
            <w:r>
              <w:rPr>
                <w:rFonts w:hint="eastAsia" w:ascii="宋体" w:hAnsi="宋体" w:eastAsia="宋体" w:cs="宋体"/>
                <w:sz w:val="24"/>
                <w:szCs w:val="24"/>
                <w:highlight w:val="none"/>
              </w:rPr>
              <w:t>合理</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可行，能完全满足项目需求得</w:t>
            </w:r>
            <w:r>
              <w:rPr>
                <w:rFonts w:hint="eastAsia" w:ascii="宋体" w:hAnsi="宋体" w:eastAsia="宋体" w:cs="宋体"/>
                <w:sz w:val="24"/>
                <w:szCs w:val="24"/>
                <w:highlight w:val="none"/>
              </w:rPr>
              <w:t>8-10分；方案</w:t>
            </w:r>
            <w:r>
              <w:rPr>
                <w:rFonts w:hint="eastAsia" w:ascii="宋体" w:hAnsi="宋体" w:eastAsia="宋体" w:cs="宋体"/>
                <w:sz w:val="24"/>
                <w:szCs w:val="24"/>
                <w:highlight w:val="none"/>
                <w:lang w:val="en-US" w:eastAsia="zh-CN"/>
              </w:rPr>
              <w:t>比</w:t>
            </w:r>
            <w:r>
              <w:rPr>
                <w:rFonts w:hint="eastAsia" w:ascii="宋体" w:hAnsi="宋体" w:eastAsia="宋体" w:cs="宋体"/>
                <w:sz w:val="24"/>
                <w:szCs w:val="24"/>
                <w:highlight w:val="none"/>
              </w:rPr>
              <w:t>较全面</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能基本满足项目需求得</w:t>
            </w:r>
            <w:r>
              <w:rPr>
                <w:rFonts w:hint="eastAsia" w:ascii="宋体" w:hAnsi="宋体" w:eastAsia="宋体" w:cs="宋体"/>
                <w:sz w:val="24"/>
                <w:szCs w:val="24"/>
                <w:highlight w:val="none"/>
              </w:rPr>
              <w:t>5-7分；方案不全面，可操作性</w:t>
            </w:r>
            <w:r>
              <w:rPr>
                <w:rFonts w:hint="eastAsia" w:ascii="宋体" w:hAnsi="宋体" w:eastAsia="宋体" w:cs="宋体"/>
                <w:sz w:val="24"/>
                <w:szCs w:val="24"/>
                <w:highlight w:val="none"/>
                <w:lang w:val="en-US" w:eastAsia="zh-CN"/>
              </w:rPr>
              <w:t>差得</w:t>
            </w:r>
            <w:r>
              <w:rPr>
                <w:rFonts w:hint="eastAsia" w:ascii="宋体" w:hAnsi="宋体" w:eastAsia="宋体" w:cs="宋体"/>
                <w:sz w:val="24"/>
                <w:szCs w:val="24"/>
                <w:highlight w:val="none"/>
              </w:rPr>
              <w:t>0-4分。</w:t>
            </w:r>
          </w:p>
        </w:tc>
      </w:tr>
      <w:tr>
        <w:tblPrEx>
          <w:tblCellMar>
            <w:top w:w="0" w:type="dxa"/>
            <w:left w:w="108" w:type="dxa"/>
            <w:bottom w:w="0" w:type="dxa"/>
            <w:right w:w="108" w:type="dxa"/>
          </w:tblCellMar>
        </w:tblPrEx>
        <w:trPr>
          <w:trHeight w:val="933" w:hRule="atLeast"/>
        </w:trPr>
        <w:tc>
          <w:tcPr>
            <w:tcW w:w="622"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wordWrap/>
              <w:overflowPunct/>
              <w:topLinePunct w:val="0"/>
              <w:bidi w:val="0"/>
              <w:spacing w:line="360" w:lineRule="exact"/>
              <w:rPr>
                <w:rFonts w:hint="eastAsia" w:ascii="宋体" w:hAnsi="宋体" w:eastAsia="宋体" w:cs="宋体"/>
                <w:sz w:val="24"/>
                <w:szCs w:val="24"/>
                <w:highlight w:val="none"/>
              </w:rPr>
            </w:pPr>
          </w:p>
        </w:tc>
        <w:tc>
          <w:tcPr>
            <w:tcW w:w="503"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wordWrap/>
              <w:overflowPunct/>
              <w:topLinePunct w:val="0"/>
              <w:bidi w:val="0"/>
              <w:spacing w:line="36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7</w:t>
            </w:r>
          </w:p>
        </w:tc>
        <w:tc>
          <w:tcPr>
            <w:tcW w:w="387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wordWrap/>
              <w:overflowPunct/>
              <w:topLinePunct w:val="0"/>
              <w:bidi w:val="0"/>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所投产品的技术、规格、性能等完全满足或优于招标文件要求，根据响应程度计0-7分。</w:t>
            </w:r>
          </w:p>
        </w:tc>
      </w:tr>
      <w:tr>
        <w:tblPrEx>
          <w:tblCellMar>
            <w:top w:w="0" w:type="dxa"/>
            <w:left w:w="108" w:type="dxa"/>
            <w:bottom w:w="0" w:type="dxa"/>
            <w:right w:w="108" w:type="dxa"/>
          </w:tblCellMar>
        </w:tblPrEx>
        <w:trPr>
          <w:trHeight w:val="1546" w:hRule="atLeast"/>
        </w:trPr>
        <w:tc>
          <w:tcPr>
            <w:tcW w:w="622"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wordWrap/>
              <w:overflowPunct/>
              <w:topLinePunct w:val="0"/>
              <w:bidi w:val="0"/>
              <w:spacing w:line="360" w:lineRule="exact"/>
              <w:rPr>
                <w:rFonts w:hint="eastAsia" w:ascii="宋体" w:hAnsi="宋体" w:eastAsia="宋体" w:cs="宋体"/>
                <w:sz w:val="24"/>
                <w:szCs w:val="24"/>
                <w:highlight w:val="none"/>
              </w:rPr>
            </w:pPr>
          </w:p>
        </w:tc>
        <w:tc>
          <w:tcPr>
            <w:tcW w:w="503"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wordWrap/>
              <w:overflowPunct/>
              <w:topLinePunct w:val="0"/>
              <w:bidi w:val="0"/>
              <w:spacing w:line="36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8</w:t>
            </w:r>
          </w:p>
        </w:tc>
        <w:tc>
          <w:tcPr>
            <w:tcW w:w="387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wordWrap/>
              <w:overflowPunct/>
              <w:topLinePunct w:val="0"/>
              <w:bidi w:val="0"/>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投标人针对本项目有具体的项目组织实施方案，方案措施得力，并具有针对性，能够保证本项目的顺利实施。项目进度控制关键环节准确、清晰、合理。软硬件产品配置、到货、运行计划详实。根据响应程度计0-8分。</w:t>
            </w:r>
          </w:p>
        </w:tc>
      </w:tr>
      <w:tr>
        <w:tblPrEx>
          <w:tblCellMar>
            <w:top w:w="0" w:type="dxa"/>
            <w:left w:w="108" w:type="dxa"/>
            <w:bottom w:w="0" w:type="dxa"/>
            <w:right w:w="108" w:type="dxa"/>
          </w:tblCellMar>
        </w:tblPrEx>
        <w:trPr>
          <w:trHeight w:val="374" w:hRule="atLeast"/>
        </w:trPr>
        <w:tc>
          <w:tcPr>
            <w:tcW w:w="622"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wordWrap/>
              <w:overflowPunct/>
              <w:topLinePunct w:val="0"/>
              <w:bidi w:val="0"/>
              <w:spacing w:line="360" w:lineRule="exact"/>
              <w:rPr>
                <w:rFonts w:hint="eastAsia" w:ascii="宋体" w:hAnsi="宋体" w:eastAsia="宋体" w:cs="宋体"/>
                <w:sz w:val="24"/>
                <w:szCs w:val="24"/>
                <w:highlight w:val="none"/>
              </w:rPr>
            </w:pPr>
          </w:p>
        </w:tc>
        <w:tc>
          <w:tcPr>
            <w:tcW w:w="503"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wordWrap/>
              <w:overflowPunct/>
              <w:topLinePunct w:val="0"/>
              <w:bidi w:val="0"/>
              <w:spacing w:line="36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w:t>
            </w:r>
          </w:p>
        </w:tc>
        <w:tc>
          <w:tcPr>
            <w:tcW w:w="387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wordWrap/>
              <w:overflowPunct/>
              <w:topLinePunct w:val="0"/>
              <w:bidi w:val="0"/>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1、投标人应根据项目具体情况提供拟承担本项目的人员名单, 项目实施人员不得少于15人，投标人需在方案中明确主要参与人员的简历证书等材料，提供技术负责人和项目经理的社保缴纳证明，根据响应程度计0-2分。</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2、项目经理须</w:t>
            </w:r>
            <w:r>
              <w:rPr>
                <w:rFonts w:hint="eastAsia" w:ascii="宋体" w:hAnsi="宋体" w:eastAsia="宋体" w:cs="宋体"/>
                <w:sz w:val="24"/>
                <w:szCs w:val="24"/>
                <w:highlight w:val="none"/>
                <w:lang w:val="en-US" w:eastAsia="zh-CN"/>
              </w:rPr>
              <w:t>有</w:t>
            </w:r>
            <w:r>
              <w:rPr>
                <w:rFonts w:hint="eastAsia" w:ascii="宋体" w:hAnsi="宋体" w:eastAsia="宋体" w:cs="宋体"/>
                <w:sz w:val="24"/>
                <w:szCs w:val="24"/>
                <w:highlight w:val="none"/>
              </w:rPr>
              <w:t>从事信息化项目管理</w:t>
            </w:r>
            <w:r>
              <w:rPr>
                <w:rFonts w:hint="eastAsia" w:ascii="宋体" w:hAnsi="宋体" w:eastAsia="宋体" w:cs="宋体"/>
                <w:sz w:val="24"/>
                <w:szCs w:val="24"/>
                <w:highlight w:val="none"/>
                <w:lang w:val="en-US" w:eastAsia="zh-CN"/>
              </w:rPr>
              <w:t>经验</w:t>
            </w:r>
            <w:r>
              <w:rPr>
                <w:rFonts w:hint="eastAsia" w:ascii="宋体" w:hAnsi="宋体" w:eastAsia="宋体" w:cs="宋体"/>
                <w:sz w:val="24"/>
                <w:szCs w:val="24"/>
                <w:highlight w:val="none"/>
              </w:rPr>
              <w:t>，具有IT服务管理证书（ITIL Foundation)、数据库认证专家OCP证书、项目管理专业人士资格认证（PMP)证书和注册信息安全专业人员（CISP)证书，</w:t>
            </w:r>
            <w:r>
              <w:rPr>
                <w:rFonts w:hint="eastAsia" w:ascii="宋体" w:hAnsi="宋体" w:eastAsia="宋体" w:cs="宋体"/>
                <w:sz w:val="24"/>
                <w:szCs w:val="24"/>
                <w:highlight w:val="none"/>
                <w:lang w:val="en-US" w:eastAsia="zh-CN"/>
              </w:rPr>
              <w:t>每提供一项证书得0.5分，满分2分。（</w:t>
            </w:r>
            <w:r>
              <w:rPr>
                <w:rFonts w:hint="eastAsia" w:ascii="宋体" w:hAnsi="宋体" w:eastAsia="宋体" w:cs="宋体"/>
                <w:sz w:val="24"/>
                <w:szCs w:val="24"/>
                <w:highlight w:val="none"/>
              </w:rPr>
              <w:t>须提供社保证明及相关证书材料</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投标人拟派实施团队人员配置齐全，组织架构完备，设置专业工作小组，工作职责明确，根据拟投入人员的专业、数量、职称、工作经验及组织架构的完备性、与项目的匹配性、合理性等方面进行综合评审，评委酌情赋0-6分。（需提供团队人员相关证书复印件并加盖投标人公章，提供2021年7月至开标前至少六个月的社保证明，依法不需要缴纳社会保障资金的应提供相关证明材料）。</w:t>
            </w:r>
          </w:p>
        </w:tc>
      </w:tr>
      <w:tr>
        <w:tblPrEx>
          <w:tblCellMar>
            <w:top w:w="0" w:type="dxa"/>
            <w:left w:w="108" w:type="dxa"/>
            <w:bottom w:w="0" w:type="dxa"/>
            <w:right w:w="108" w:type="dxa"/>
          </w:tblCellMar>
        </w:tblPrEx>
        <w:trPr>
          <w:trHeight w:val="2388" w:hRule="atLeast"/>
        </w:trPr>
        <w:tc>
          <w:tcPr>
            <w:tcW w:w="622"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wordWrap/>
              <w:overflowPunct/>
              <w:topLinePunct w:val="0"/>
              <w:bidi w:val="0"/>
              <w:spacing w:line="360" w:lineRule="exact"/>
              <w:rPr>
                <w:rFonts w:hint="eastAsia" w:ascii="宋体" w:hAnsi="宋体" w:eastAsia="宋体" w:cs="宋体"/>
                <w:sz w:val="24"/>
                <w:szCs w:val="24"/>
                <w:highlight w:val="none"/>
              </w:rPr>
            </w:pPr>
          </w:p>
        </w:tc>
        <w:tc>
          <w:tcPr>
            <w:tcW w:w="503"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wordWrap/>
              <w:overflowPunct/>
              <w:topLinePunct w:val="0"/>
              <w:bidi w:val="0"/>
              <w:spacing w:line="36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15</w:t>
            </w:r>
          </w:p>
        </w:tc>
        <w:tc>
          <w:tcPr>
            <w:tcW w:w="3874"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wordWrap/>
              <w:overflowPunct/>
              <w:topLinePunct w:val="0"/>
              <w:bidi w:val="0"/>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系统演示：</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系统演示必须是真实系统，演示时间不超过20分钟。</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按所演示产品内容与招标要求符合度进行综合评定，演示内容包括：财务快报、人事管理，根据演示响应情况，最高得15分。</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仅用 demo、PPT、动画、静态页面等非真实系统方式演示的，评委根据演示情况得 1-5 分；无演示的不得分。</w:t>
            </w:r>
          </w:p>
        </w:tc>
      </w:tr>
      <w:tr>
        <w:tblPrEx>
          <w:tblCellMar>
            <w:top w:w="0" w:type="dxa"/>
            <w:left w:w="108" w:type="dxa"/>
            <w:bottom w:w="0" w:type="dxa"/>
            <w:right w:w="108" w:type="dxa"/>
          </w:tblCellMar>
        </w:tblPrEx>
        <w:trPr>
          <w:trHeight w:val="1272" w:hRule="atLeast"/>
        </w:trPr>
        <w:tc>
          <w:tcPr>
            <w:tcW w:w="622" w:type="pct"/>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wordWrap/>
              <w:overflowPunct/>
              <w:topLinePunct w:val="0"/>
              <w:bidi w:val="0"/>
              <w:spacing w:line="36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商务部分</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（30）</w:t>
            </w:r>
          </w:p>
        </w:tc>
        <w:tc>
          <w:tcPr>
            <w:tcW w:w="503"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wordWrap/>
              <w:overflowPunct/>
              <w:topLinePunct w:val="0"/>
              <w:bidi w:val="0"/>
              <w:spacing w:line="360" w:lineRule="exact"/>
              <w:jc w:val="center"/>
              <w:rPr>
                <w:rFonts w:hint="eastAsia" w:ascii="宋体" w:hAnsi="宋体" w:eastAsia="宋体" w:cs="宋体"/>
                <w:snapToGrid w:val="0"/>
                <w:color w:val="000000"/>
                <w:sz w:val="24"/>
                <w:szCs w:val="24"/>
                <w:highlight w:val="none"/>
                <w:lang w:val="en-US" w:eastAsia="zh-CN" w:bidi="ar-SA"/>
              </w:rPr>
            </w:pPr>
            <w:r>
              <w:rPr>
                <w:rFonts w:hint="eastAsia" w:ascii="宋体" w:hAnsi="宋体" w:eastAsia="宋体" w:cs="宋体"/>
                <w:sz w:val="24"/>
                <w:szCs w:val="24"/>
                <w:highlight w:val="none"/>
              </w:rPr>
              <w:t>12</w:t>
            </w:r>
          </w:p>
        </w:tc>
        <w:tc>
          <w:tcPr>
            <w:tcW w:w="3874" w:type="pct"/>
            <w:tcBorders>
              <w:top w:val="nil"/>
              <w:left w:val="nil"/>
              <w:bottom w:val="single" w:color="auto" w:sz="4" w:space="0"/>
              <w:right w:val="single" w:color="auto" w:sz="4" w:space="0"/>
            </w:tcBorders>
            <w:shd w:val="clear" w:color="auto" w:fill="auto"/>
            <w:vAlign w:val="top"/>
          </w:tcPr>
          <w:p>
            <w:pPr>
              <w:keepNext w:val="0"/>
              <w:keepLines w:val="0"/>
              <w:pageBreakBefore w:val="0"/>
              <w:widowControl/>
              <w:wordWrap/>
              <w:overflowPunct/>
              <w:topLinePunct w:val="0"/>
              <w:bidi w:val="0"/>
              <w:spacing w:line="360" w:lineRule="exact"/>
              <w:rPr>
                <w:rFonts w:hint="eastAsia" w:ascii="宋体" w:hAnsi="宋体" w:eastAsia="宋体" w:cs="宋体"/>
                <w:snapToGrid w:val="0"/>
                <w:color w:val="000000"/>
                <w:sz w:val="24"/>
                <w:szCs w:val="24"/>
                <w:highlight w:val="none"/>
                <w:lang w:val="en-US" w:eastAsia="zh-CN" w:bidi="ar-SA"/>
              </w:rPr>
            </w:pPr>
            <w:r>
              <w:rPr>
                <w:rFonts w:hint="eastAsia" w:ascii="宋体" w:hAnsi="宋体" w:eastAsia="宋体" w:cs="宋体"/>
                <w:sz w:val="24"/>
                <w:szCs w:val="24"/>
                <w:highlight w:val="none"/>
              </w:rPr>
              <w:t>企业信息服务能力</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（1）投标</w:t>
            </w:r>
            <w:r>
              <w:rPr>
                <w:rFonts w:hint="eastAsia" w:ascii="宋体" w:hAnsi="宋体" w:eastAsia="宋体" w:cs="宋体"/>
                <w:sz w:val="24"/>
                <w:szCs w:val="24"/>
                <w:highlight w:val="none"/>
                <w:lang w:val="en-US" w:eastAsia="zh-CN"/>
              </w:rPr>
              <w:t>供应商</w:t>
            </w:r>
            <w:r>
              <w:rPr>
                <w:rFonts w:hint="eastAsia" w:ascii="宋体" w:hAnsi="宋体" w:eastAsia="宋体" w:cs="宋体"/>
                <w:sz w:val="24"/>
                <w:szCs w:val="24"/>
                <w:highlight w:val="none"/>
              </w:rPr>
              <w:t>具有CMMI5级证书认证得2分，5级以下计1分，没有不得分；</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（2）投标</w:t>
            </w:r>
            <w:r>
              <w:rPr>
                <w:rFonts w:hint="eastAsia" w:ascii="宋体" w:hAnsi="宋体" w:eastAsia="宋体" w:cs="宋体"/>
                <w:sz w:val="24"/>
                <w:szCs w:val="24"/>
                <w:highlight w:val="none"/>
                <w:lang w:val="en-US" w:eastAsia="zh-CN"/>
              </w:rPr>
              <w:t>供应商</w:t>
            </w:r>
            <w:r>
              <w:rPr>
                <w:rFonts w:hint="eastAsia" w:ascii="宋体" w:hAnsi="宋体" w:eastAsia="宋体" w:cs="宋体"/>
                <w:sz w:val="24"/>
                <w:szCs w:val="24"/>
                <w:highlight w:val="none"/>
              </w:rPr>
              <w:t xml:space="preserve">具有 ISO9001、ISO20000、ISO27001、ISO27701、ISO22301 </w:t>
            </w:r>
            <w:r>
              <w:rPr>
                <w:rFonts w:hint="eastAsia" w:ascii="宋体" w:hAnsi="宋体" w:eastAsia="宋体" w:cs="宋体"/>
                <w:sz w:val="24"/>
                <w:szCs w:val="24"/>
                <w:highlight w:val="none"/>
                <w:lang w:val="en-US" w:eastAsia="zh-CN"/>
              </w:rPr>
              <w:t>相关管理体系认证书</w:t>
            </w:r>
            <w:r>
              <w:rPr>
                <w:rFonts w:hint="eastAsia" w:ascii="宋体" w:hAnsi="宋体" w:eastAsia="宋体" w:cs="宋体"/>
                <w:sz w:val="24"/>
                <w:szCs w:val="24"/>
                <w:highlight w:val="none"/>
              </w:rPr>
              <w:t>，以上五个同时具有得 2 分，缺一项扣1分，扣完为止；</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（3）投标</w:t>
            </w:r>
            <w:r>
              <w:rPr>
                <w:rFonts w:hint="eastAsia" w:ascii="宋体" w:hAnsi="宋体" w:eastAsia="宋体" w:cs="宋体"/>
                <w:sz w:val="24"/>
                <w:szCs w:val="24"/>
                <w:highlight w:val="none"/>
                <w:lang w:val="en-US" w:eastAsia="zh-CN"/>
              </w:rPr>
              <w:t>供应商</w:t>
            </w:r>
            <w:r>
              <w:rPr>
                <w:rFonts w:hint="eastAsia" w:ascii="宋体" w:hAnsi="宋体" w:eastAsia="宋体" w:cs="宋体"/>
                <w:sz w:val="24"/>
                <w:szCs w:val="24"/>
                <w:highlight w:val="none"/>
              </w:rPr>
              <w:t>具有信息安全服务资质认证（CCRC）：信息安全风险评估一级、信息安全应急处理一级、信息系统安全集成一级、信息系统灾难备份与恢复一级，</w:t>
            </w:r>
            <w:r>
              <w:rPr>
                <w:rFonts w:hint="eastAsia" w:ascii="宋体" w:hAnsi="宋体" w:eastAsia="宋体" w:cs="宋体"/>
                <w:sz w:val="24"/>
                <w:szCs w:val="24"/>
                <w:highlight w:val="none"/>
                <w:lang w:val="en-US" w:eastAsia="zh-CN"/>
              </w:rPr>
              <w:t>每提供一项的1分，满分4分。</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（4）投标人具有国资监管相关软件著作权证书，提供1个得1分，最高得4分。</w:t>
            </w:r>
          </w:p>
        </w:tc>
      </w:tr>
      <w:tr>
        <w:tblPrEx>
          <w:tblCellMar>
            <w:top w:w="0" w:type="dxa"/>
            <w:left w:w="108" w:type="dxa"/>
            <w:bottom w:w="0" w:type="dxa"/>
            <w:right w:w="108" w:type="dxa"/>
          </w:tblCellMar>
        </w:tblPrEx>
        <w:trPr>
          <w:trHeight w:val="876" w:hRule="atLeast"/>
        </w:trPr>
        <w:tc>
          <w:tcPr>
            <w:tcW w:w="62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wordWrap/>
              <w:overflowPunct/>
              <w:topLinePunct w:val="0"/>
              <w:bidi w:val="0"/>
              <w:spacing w:line="360" w:lineRule="exact"/>
              <w:rPr>
                <w:rFonts w:hint="eastAsia" w:ascii="宋体" w:hAnsi="宋体" w:eastAsia="宋体" w:cs="宋体"/>
                <w:sz w:val="24"/>
                <w:szCs w:val="24"/>
                <w:highlight w:val="none"/>
              </w:rPr>
            </w:pPr>
          </w:p>
        </w:tc>
        <w:tc>
          <w:tcPr>
            <w:tcW w:w="503"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wordWrap/>
              <w:overflowPunct/>
              <w:topLinePunct w:val="0"/>
              <w:bidi w:val="0"/>
              <w:spacing w:line="360" w:lineRule="exact"/>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5</w:t>
            </w:r>
          </w:p>
        </w:tc>
        <w:tc>
          <w:tcPr>
            <w:tcW w:w="387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wordWrap/>
              <w:overflowPunct/>
              <w:topLinePunct w:val="0"/>
              <w:bidi w:val="0"/>
              <w:spacing w:line="360" w:lineRule="exac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业绩：具有2019年1月1日至今类似项目案例，每个计1分，最高得</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分。</w:t>
            </w:r>
            <w:r>
              <w:rPr>
                <w:rFonts w:hint="eastAsia" w:ascii="宋体" w:hAnsi="宋体" w:eastAsia="宋体" w:cs="宋体"/>
                <w:sz w:val="24"/>
                <w:szCs w:val="24"/>
                <w:highlight w:val="none"/>
                <w:lang w:val="en-US" w:eastAsia="zh-CN"/>
              </w:rPr>
              <w:t>(提供中标通知书或业绩合同）</w:t>
            </w:r>
          </w:p>
        </w:tc>
      </w:tr>
      <w:tr>
        <w:tblPrEx>
          <w:tblCellMar>
            <w:top w:w="0" w:type="dxa"/>
            <w:left w:w="108" w:type="dxa"/>
            <w:bottom w:w="0" w:type="dxa"/>
            <w:right w:w="108" w:type="dxa"/>
          </w:tblCellMar>
        </w:tblPrEx>
        <w:trPr>
          <w:trHeight w:val="1584" w:hRule="atLeast"/>
        </w:trPr>
        <w:tc>
          <w:tcPr>
            <w:tcW w:w="62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wordWrap/>
              <w:overflowPunct/>
              <w:topLinePunct w:val="0"/>
              <w:bidi w:val="0"/>
              <w:spacing w:line="360" w:lineRule="exact"/>
              <w:rPr>
                <w:rFonts w:hint="eastAsia" w:ascii="宋体" w:hAnsi="宋体" w:eastAsia="宋体" w:cs="宋体"/>
                <w:sz w:val="24"/>
                <w:szCs w:val="24"/>
                <w:highlight w:val="none"/>
              </w:rPr>
            </w:pPr>
          </w:p>
        </w:tc>
        <w:tc>
          <w:tcPr>
            <w:tcW w:w="503"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wordWrap/>
              <w:overflowPunct/>
              <w:topLinePunct w:val="0"/>
              <w:bidi w:val="0"/>
              <w:spacing w:line="360" w:lineRule="exact"/>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5</w:t>
            </w:r>
          </w:p>
        </w:tc>
        <w:tc>
          <w:tcPr>
            <w:tcW w:w="3874" w:type="pct"/>
            <w:tcBorders>
              <w:top w:val="nil"/>
              <w:left w:val="nil"/>
              <w:bottom w:val="single" w:color="auto" w:sz="4" w:space="0"/>
              <w:right w:val="single" w:color="auto" w:sz="4" w:space="0"/>
            </w:tcBorders>
            <w:shd w:val="clear" w:color="auto" w:fill="auto"/>
            <w:vAlign w:val="bottom"/>
          </w:tcPr>
          <w:p>
            <w:pPr>
              <w:keepNext w:val="0"/>
              <w:keepLines w:val="0"/>
              <w:pageBreakBefore w:val="0"/>
              <w:widowControl/>
              <w:wordWrap/>
              <w:overflowPunct/>
              <w:topLinePunct w:val="0"/>
              <w:bidi w:val="0"/>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培训：</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培训方案完整可行，能够提供相对应详细的时间、人员、内容等实施计划、培训内容有层次，培训方式适用，能够保障使用单位能熟练操作维护和正常使用。根据其响应程度计0-</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分。</w:t>
            </w:r>
          </w:p>
        </w:tc>
      </w:tr>
      <w:tr>
        <w:tblPrEx>
          <w:tblCellMar>
            <w:top w:w="0" w:type="dxa"/>
            <w:left w:w="108" w:type="dxa"/>
            <w:bottom w:w="0" w:type="dxa"/>
            <w:right w:w="108" w:type="dxa"/>
          </w:tblCellMar>
        </w:tblPrEx>
        <w:trPr>
          <w:trHeight w:val="373" w:hRule="atLeast"/>
        </w:trPr>
        <w:tc>
          <w:tcPr>
            <w:tcW w:w="622" w:type="pct"/>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wordWrap/>
              <w:overflowPunct/>
              <w:topLinePunct w:val="0"/>
              <w:bidi w:val="0"/>
              <w:spacing w:line="360" w:lineRule="exact"/>
              <w:rPr>
                <w:rFonts w:hint="eastAsia" w:ascii="宋体" w:hAnsi="宋体" w:eastAsia="宋体" w:cs="宋体"/>
                <w:sz w:val="24"/>
                <w:szCs w:val="24"/>
                <w:highlight w:val="none"/>
              </w:rPr>
            </w:pPr>
          </w:p>
        </w:tc>
        <w:tc>
          <w:tcPr>
            <w:tcW w:w="503"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wordWrap/>
              <w:overflowPunct/>
              <w:topLinePunct w:val="0"/>
              <w:bidi w:val="0"/>
              <w:spacing w:line="360" w:lineRule="exact"/>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8</w:t>
            </w:r>
          </w:p>
        </w:tc>
        <w:tc>
          <w:tcPr>
            <w:tcW w:w="387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wordWrap/>
              <w:overflowPunct/>
              <w:topLinePunct w:val="0"/>
              <w:bidi w:val="0"/>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售后服务：</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提供售后服务方案和应急预案。方案应详细、具体、可行，成立本项目售后服务团队，提供24小时服务热线，售后服务方案和应急预案（响应时间、电话支持、远程服务、现场服务、定期巡查、应急解决方案、服务监督管理机制、质量保障的具体措施等）完善全面。根据其响应程度计0-3分；</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供应商在省内具有售后服务机构或常驻售后服务人员，提供营业执照、人员社保证明等证明材料得3分，或供应商承诺中标后在省内具有售后服务机构或常驻售后服务人员，提供承诺函得1分。</w:t>
            </w:r>
          </w:p>
          <w:p>
            <w:pPr>
              <w:pStyle w:val="17"/>
              <w:keepNext w:val="0"/>
              <w:keepLines w:val="0"/>
              <w:pageBreakBefore w:val="0"/>
              <w:widowControl/>
              <w:wordWrap/>
              <w:overflowPunct/>
              <w:topLinePunct w:val="0"/>
              <w:bidi w:val="0"/>
              <w:spacing w:line="360" w:lineRule="exact"/>
              <w:ind w:left="0" w:leftChars="0" w:firstLine="0" w:firstLine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3.服务期每增加一年的1分，满分2分。</w:t>
            </w:r>
          </w:p>
        </w:tc>
      </w:tr>
    </w:tbl>
    <w:p>
      <w:pPr>
        <w:spacing w:line="360" w:lineRule="auto"/>
        <w:rPr>
          <w:rFonts w:ascii="宋体" w:hAnsi="宋体" w:eastAsia="宋体" w:cs="宋体"/>
          <w:color w:val="auto"/>
          <w:kern w:val="2"/>
          <w:sz w:val="24"/>
          <w:szCs w:val="24"/>
          <w:highlight w:val="none"/>
        </w:rPr>
      </w:pPr>
    </w:p>
    <w:p>
      <w:pPr>
        <w:spacing w:line="360" w:lineRule="auto"/>
        <w:ind w:firstLine="480" w:firstLineChars="20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（4）特殊情况：</w:t>
      </w:r>
    </w:p>
    <w:p>
      <w:pPr>
        <w:spacing w:line="360" w:lineRule="auto"/>
        <w:ind w:firstLine="480" w:firstLineChars="20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①评标委员会三分之二以上人员认为某投标报价有低于成本价嫌疑的， 有可能影响产品质量或者不能诚信履约的，可要求该供应商在规定期限内，提供必要的书面文件予以解释和说明并附带相关证明材料，证明其报价合理性的；否则，评标委员会认定该供应商以低于成本价竞价，其响应文件作无效响应文件处理。</w:t>
      </w:r>
    </w:p>
    <w:p>
      <w:pPr>
        <w:spacing w:line="360" w:lineRule="auto"/>
        <w:ind w:firstLine="480" w:firstLineChars="20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②得分相同的，按投标报价由低到高顺序排列。得分且投标报价相同的，比较技术得分，技术得分高者排在前。</w:t>
      </w:r>
    </w:p>
    <w:p>
      <w:pPr>
        <w:spacing w:line="360" w:lineRule="auto"/>
        <w:ind w:firstLine="480" w:firstLineChars="20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③评委评分超过得分界限或未按照本办法规定时，该评委的该项评分作废，不计入汇总。</w:t>
      </w:r>
    </w:p>
    <w:p>
      <w:pPr>
        <w:spacing w:line="360" w:lineRule="auto"/>
        <w:ind w:firstLine="480" w:firstLineChars="20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（5）数字均保留二位小数，第三位“四舍五入”。</w:t>
      </w:r>
    </w:p>
    <w:p>
      <w:pPr>
        <w:spacing w:line="360" w:lineRule="auto"/>
        <w:ind w:firstLine="482" w:firstLineChars="200"/>
        <w:rPr>
          <w:rFonts w:hint="default" w:ascii="宋体" w:hAnsi="宋体" w:eastAsia="宋体" w:cs="宋体"/>
          <w:b/>
          <w:bCs/>
          <w:color w:val="auto"/>
          <w:kern w:val="2"/>
          <w:sz w:val="24"/>
          <w:szCs w:val="24"/>
          <w:highlight w:val="none"/>
          <w:lang w:val="en-US" w:eastAsia="zh-CN"/>
        </w:rPr>
      </w:pPr>
      <w:r>
        <w:rPr>
          <w:rFonts w:hint="eastAsia" w:ascii="宋体" w:hAnsi="宋体" w:eastAsia="宋体" w:cs="宋体"/>
          <w:b/>
          <w:bCs/>
          <w:color w:val="auto"/>
          <w:kern w:val="2"/>
          <w:sz w:val="24"/>
          <w:szCs w:val="24"/>
          <w:highlight w:val="none"/>
        </w:rPr>
        <w:t>（6）</w:t>
      </w:r>
      <w:r>
        <w:rPr>
          <w:rFonts w:hint="eastAsia" w:ascii="宋体" w:hAnsi="宋体" w:eastAsia="宋体" w:cs="宋体"/>
          <w:b/>
          <w:bCs/>
          <w:color w:val="auto"/>
          <w:kern w:val="2"/>
          <w:sz w:val="24"/>
          <w:szCs w:val="24"/>
          <w:highlight w:val="none"/>
          <w:lang w:val="en-US" w:eastAsia="zh-CN"/>
        </w:rPr>
        <w:t>落实的政府采购政策</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sz w:val="24"/>
          <w:szCs w:val="24"/>
          <w:highlight w:val="none"/>
        </w:rPr>
        <w:t>根据《政府采购促进中小企业发展管理办法》（财库〔2020〕46 号）的有关规定，在货物采购项目中，货物由小微企业制造，即货物由小微企业生产且使用该小微企业商号或者注册商标；在工程采购项目中，工程由小微企业承建，即工程施工单位为小微企业；在服务采购项目中，服务由小微企业承接，即提供服务的人员为小微企业。货物和服务项目对小型和微型企业产品的价格给予10%的价格扣除，用扣除后的价格参与评审。</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color w:val="auto"/>
          <w:sz w:val="24"/>
          <w:szCs w:val="24"/>
          <w:highlight w:val="none"/>
        </w:rPr>
        <w:t>注：</w:t>
      </w:r>
      <w:r>
        <w:rPr>
          <w:rFonts w:hint="eastAsia" w:ascii="宋体" w:hAnsi="宋体" w:eastAsia="宋体" w:cs="宋体"/>
          <w:sz w:val="24"/>
          <w:szCs w:val="24"/>
          <w:highlight w:val="none"/>
        </w:rPr>
        <w:t>在货物采购项目中，供应商提供的货物既有小微企业制造货物，也有大型、中型企业制造货物的，不享受政府采购价格扣除优惠政策。</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 xml:space="preserve">接受大中型企业与小微企业组成联合体或者允许大中型企业向一家或者多家小微企业分包的采购项目，对于联合协议或者分包意向协议约定小微企业的合同份额占到合同总金额30%以上的，货物和服务项目可给予联合体或者大中型企业的报价6%的扣除，用扣除后的价格参与评审。联合体各方均为小型、微型企业的，联合体视同为小型、微型企业。组成联合体或者接受分包的小微企业与联合体内其他企业、分包企业之间存在直接控股、管理关系的，不享受价格扣除优惠政策。 </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 xml:space="preserve">参加政府采购活动的中小企业应提供《中小企业声明函》原件。未提供上述声明函原件的，不能享受招标文件规定的价格扣除，但不影响投标文件的有效性。实际价格扣除比例以本章组织评标中的约定为准。 </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根据《财政部、司法部关于政府采购支持监狱企业发展有关问题的通知》（财库[2014]68号）文件规定，在政府采购活动中，监狱企业视同小型、微型企业，享受预留份额、评审中价格扣除等政府采购促进中小企业发展的政府采购政策。对监狱企业产品价格扣除，用扣除后的价格参与评审。</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注：监狱企业参加政府采购活动时，应当提供由省级以上监狱管理局、戒毒管理局（含新疆生产建设兵团）出具的属于监狱企业的证明文件原件，且须在投标文件中详细列明监狱企业产品价格明细，否则不给予价格扣除。</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根据财政部、民政部、中国残疾人联合会《三部门联合发布关于促进残疾人就业政府采购政策的通知》（财库〔2017〕141号）文件规定，在政府采购活动中，残疾人福利性单位视同小型、微型企业，享受预留份额、评审中价格扣除等促进中小企业发展的政府采购政策。对残疾人福利性单位产品价格扣除，用扣除后的价格参与评审。</w:t>
      </w:r>
    </w:p>
    <w:p>
      <w:pPr>
        <w:spacing w:line="360" w:lineRule="auto"/>
        <w:ind w:firstLine="480" w:firstLineChars="200"/>
        <w:rPr>
          <w:rFonts w:ascii="宋体" w:hAnsi="宋体" w:eastAsia="宋体" w:cs="宋体"/>
          <w:color w:val="auto"/>
          <w:kern w:val="2"/>
          <w:sz w:val="24"/>
          <w:szCs w:val="24"/>
          <w:highlight w:val="none"/>
        </w:rPr>
      </w:pPr>
      <w:r>
        <w:rPr>
          <w:rFonts w:hint="eastAsia" w:ascii="宋体" w:hAnsi="宋体" w:eastAsia="宋体" w:cs="宋体"/>
          <w:color w:val="auto"/>
          <w:sz w:val="24"/>
          <w:szCs w:val="24"/>
          <w:highlight w:val="none"/>
        </w:rPr>
        <w:t>注：1、残疾人福利性单位在参加政府采购活动时，应当提供《残疾人福利性单位声明函》（见附件），且须在投标文件中详细列明残疾人福利性单位产品价格明细，否则不给予价格扣除；2、残疾人福利性单位属于小型、微型企业的，不重复享受政策；3、供应商提供的《残疾人福利性单位声明函》与事实不符的，依照《中华人民共和国政府采购法》第七十七条第一款的规定追究法律责任。</w:t>
      </w:r>
    </w:p>
    <w:p>
      <w:pPr>
        <w:spacing w:line="360" w:lineRule="auto"/>
        <w:rPr>
          <w:rFonts w:ascii="宋体" w:hAnsi="宋体" w:eastAsia="宋体" w:cs="宋体"/>
          <w:b/>
          <w:bCs/>
          <w:sz w:val="24"/>
          <w:szCs w:val="24"/>
          <w:highlight w:val="none"/>
        </w:rPr>
      </w:pPr>
      <w:r>
        <w:rPr>
          <w:rFonts w:hint="eastAsia" w:ascii="宋体" w:hAnsi="宋体" w:eastAsia="宋体" w:cs="宋体"/>
          <w:b/>
          <w:bCs/>
          <w:sz w:val="24"/>
          <w:szCs w:val="24"/>
          <w:highlight w:val="none"/>
        </w:rPr>
        <w:t>3.投标文件的澄清</w:t>
      </w:r>
    </w:p>
    <w:p>
      <w:pPr>
        <w:spacing w:line="46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3.1下述情形为无效投标且不得澄清：</w:t>
      </w:r>
    </w:p>
    <w:p>
      <w:pPr>
        <w:spacing w:line="46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（1）未按招标文件要求签字或盖章；</w:t>
      </w:r>
    </w:p>
    <w:p>
      <w:pPr>
        <w:spacing w:line="46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（2）委托代理人没有合法、有效的授权委托；</w:t>
      </w:r>
    </w:p>
    <w:p>
      <w:pPr>
        <w:spacing w:line="46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（3）未响应交付时限、付款方式；</w:t>
      </w:r>
    </w:p>
    <w:p>
      <w:pPr>
        <w:spacing w:line="46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（4）未提供“符合性检查材料”和“资格性检查材料”；</w:t>
      </w:r>
    </w:p>
    <w:p>
      <w:pPr>
        <w:spacing w:line="46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（5）单位负责人为同一人或者存在控股、管理关系的不同单位，同时参加投标。</w:t>
      </w:r>
    </w:p>
    <w:p>
      <w:pPr>
        <w:spacing w:line="46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3.2除实质性响应和不得澄清内容外，评标委员会对含义不明确、同类问题表述不一致或者有明显文字和计算错误等内容，可以书面形式要求供应商作出书面澄清答复。澄清答复应由其法定代表人或委托代理人签字确认，并作为响应文件的一部分。</w:t>
      </w:r>
    </w:p>
    <w:p>
      <w:pPr>
        <w:spacing w:line="46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3.3如有必要，评标委员会可要求供应商限时提供资格证明文件的原件。供应商拒不提供或不能在规定时限内提供的，响应无效。</w:t>
      </w:r>
    </w:p>
    <w:p>
      <w:pPr>
        <w:spacing w:line="46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4.开标程序与评价比较</w:t>
      </w:r>
    </w:p>
    <w:p>
      <w:pPr>
        <w:spacing w:line="46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（1）采购代理机构组织招标、开标、评标工作，整个过程受政府采购监管机构的监督、管理。</w:t>
      </w:r>
    </w:p>
    <w:p>
      <w:pPr>
        <w:spacing w:line="46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为了确保评标工作的公平、公正，依据政府采购法和政府采购相关法规、规章，成立评标委员会，评标委员会由采购人代表和有关技术、经济等方面的专家组成，成员人数为五人以上单数。其中，技术、经济等方面的专家不少于成员总数的三分之二。</w:t>
      </w:r>
    </w:p>
    <w:p>
      <w:pPr>
        <w:spacing w:line="46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（3）采购代理机构在规定的时间和地点组织公开招标，服务商必须派法定代表人或被授权人参加，并签名报到。</w:t>
      </w:r>
    </w:p>
    <w:p>
      <w:pPr>
        <w:spacing w:line="46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（4）开标时，采购代理机构对经检查的有效投标文件，依据投标顺序，以公开唱标的形式，将投标报价一览表的内容公布。</w:t>
      </w:r>
    </w:p>
    <w:p>
      <w:pPr>
        <w:spacing w:line="46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（5）采购人与中标服务商正式签订政府采购合同前，凡与审查、投标、澄清、评标过程中有关的所有资料和内容，评标委员会成员及集中采购机构工作人员均负有保密责任，不得向外透露。</w:t>
      </w:r>
    </w:p>
    <w:p>
      <w:pPr>
        <w:spacing w:line="46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3.2在投标文件资格性、有效性和完整性检查时，出现下列情况之一的，投标文件视为无效：</w:t>
      </w:r>
    </w:p>
    <w:p>
      <w:pPr>
        <w:spacing w:line="46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（1）未按照招标文件规定要求装订、签署、盖章的；</w:t>
      </w:r>
    </w:p>
    <w:p>
      <w:pPr>
        <w:spacing w:line="46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不具备招标文件中规定的资格要求的。如果评标委员会认为服务商的资格证明文件复印件存在疑点，可以要求其现场提供原件进行核查，两者出现不同或在规定的时间内未能及时提供原件的，投标文件视为无效；</w:t>
      </w:r>
    </w:p>
    <w:p>
      <w:pPr>
        <w:spacing w:line="46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（3）投标文件中无投标有效期或有效期达不到招标文件要求的；</w:t>
      </w:r>
    </w:p>
    <w:p>
      <w:pPr>
        <w:spacing w:line="46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（4）投标文件的构成缺少其中一项或某项达不到招标文件要求的；</w:t>
      </w:r>
    </w:p>
    <w:p>
      <w:pPr>
        <w:spacing w:line="46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（5）服务商单位负责人为同一人或者存在直接控股、管理关系的不同服务商，参加同一合同项下的政府采购活动的；</w:t>
      </w:r>
    </w:p>
    <w:p>
      <w:pPr>
        <w:spacing w:line="46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（6）扰乱评标秩序，澄清时与评委、甲方代表争吵的；</w:t>
      </w:r>
    </w:p>
    <w:p>
      <w:pPr>
        <w:spacing w:line="46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（7）政府采购法律法规规定的其他情形。</w:t>
      </w:r>
    </w:p>
    <w:p>
      <w:pPr>
        <w:spacing w:line="46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3.3在技术、服务及商务响应程度评审中，出现下列情况之一的，投标文件视为无效：</w:t>
      </w:r>
    </w:p>
    <w:p>
      <w:pPr>
        <w:spacing w:line="46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（1）投标报价与市场价偏离较大，低于成本，形成不正当竞争的；</w:t>
      </w:r>
      <w:r>
        <w:rPr>
          <w:rFonts w:hint="eastAsia" w:ascii="宋体" w:hAnsi="宋体" w:eastAsia="宋体" w:cs="宋体"/>
          <w:b/>
          <w:bCs/>
          <w:color w:val="auto"/>
          <w:sz w:val="24"/>
          <w:szCs w:val="24"/>
          <w:highlight w:val="none"/>
        </w:rPr>
        <w:t>评标委员会认为供应商报价存在明显不合理的低于成本的报价，有可能影响服务质量或者不能诚信履约的，可要求该供应商在规定期限内，提供必要的书面文件予以解释和说明并附带相关证明材料，证明其报价合理性的；否则，评标委员会认定该供应商以低于成本价竞价，其响应文件作无效响应文件处理</w:t>
      </w:r>
      <w:r>
        <w:rPr>
          <w:rFonts w:hint="eastAsia" w:ascii="宋体" w:hAnsi="宋体" w:eastAsia="宋体" w:cs="宋体"/>
          <w:color w:val="auto"/>
          <w:sz w:val="24"/>
          <w:szCs w:val="24"/>
          <w:highlight w:val="none"/>
        </w:rPr>
        <w:t>；</w:t>
      </w:r>
    </w:p>
    <w:p>
      <w:pPr>
        <w:spacing w:line="46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（2）投标内容与招标文件要求的采购标的、规格型号、采购数量、技术和服务要求等实质性内容出现重大负偏差的；</w:t>
      </w:r>
    </w:p>
    <w:p>
      <w:pPr>
        <w:spacing w:line="46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（3）提供虚假技术性能指标的（出现技术指标前后矛盾的，以国家职能部门认定的指标为准）；</w:t>
      </w:r>
    </w:p>
    <w:p>
      <w:pPr>
        <w:spacing w:line="46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（4）投标文件在款项结算、质量保证、验收条件等方面的响应与招标文件要求不一致或附加了采购人和评标委员会难以接受的条件的；</w:t>
      </w:r>
    </w:p>
    <w:p>
      <w:pPr>
        <w:spacing w:line="46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（5）未响应招标文件合同主要条款的；</w:t>
      </w:r>
    </w:p>
    <w:p>
      <w:pPr>
        <w:spacing w:line="46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（6）扰乱评标秩序，澄清时与评委、采购人代表争吵的；</w:t>
      </w:r>
    </w:p>
    <w:p>
      <w:pPr>
        <w:spacing w:line="460" w:lineRule="exact"/>
        <w:ind w:firstLine="480" w:firstLineChars="200"/>
        <w:rPr>
          <w:rFonts w:ascii="宋体" w:hAnsi="宋体" w:eastAsia="宋体" w:cs="宋体"/>
          <w:sz w:val="24"/>
          <w:szCs w:val="24"/>
          <w:highlight w:val="none"/>
        </w:rPr>
      </w:pPr>
      <w:r>
        <w:rPr>
          <w:rFonts w:hint="eastAsia" w:ascii="宋体" w:hAnsi="宋体" w:eastAsia="宋体" w:cs="宋体"/>
          <w:color w:val="auto"/>
          <w:sz w:val="24"/>
          <w:szCs w:val="24"/>
          <w:highlight w:val="none"/>
        </w:rPr>
        <w:t>（7）政府采购法律法规规定的其他情形。</w:t>
      </w:r>
    </w:p>
    <w:p>
      <w:pPr>
        <w:rPr>
          <w:highlight w:val="none"/>
        </w:rPr>
      </w:pPr>
    </w:p>
    <w:p>
      <w:pPr>
        <w:rPr>
          <w:highlight w:val="none"/>
        </w:rPr>
      </w:pPr>
    </w:p>
    <w:p>
      <w:pPr>
        <w:rPr>
          <w:highlight w:val="none"/>
        </w:rPr>
      </w:pPr>
    </w:p>
    <w:p>
      <w:pPr>
        <w:rPr>
          <w:highlight w:val="none"/>
        </w:rPr>
      </w:pPr>
    </w:p>
    <w:p>
      <w:pPr>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spacing w:line="360" w:lineRule="auto"/>
        <w:jc w:val="center"/>
        <w:rPr>
          <w:highlight w:val="none"/>
        </w:rPr>
      </w:pPr>
      <w:r>
        <w:rPr>
          <w:rFonts w:hint="eastAsia" w:ascii="宋体" w:hAnsi="宋体" w:eastAsia="宋体" w:cs="宋体"/>
          <w:spacing w:val="9"/>
          <w:sz w:val="28"/>
          <w:szCs w:val="28"/>
          <w:highlight w:val="none"/>
          <w14:textOutline w14:w="5448" w14:cap="sq" w14:cmpd="sng" w14:algn="ctr">
            <w14:solidFill>
              <w14:srgbClr w14:val="000000"/>
            </w14:solidFill>
            <w14:prstDash w14:val="solid"/>
            <w14:bevel/>
          </w14:textOutline>
        </w:rPr>
        <w:t>第五</w:t>
      </w:r>
      <w:r>
        <w:rPr>
          <w:rFonts w:hint="eastAsia" w:ascii="宋体" w:hAnsi="宋体" w:eastAsia="宋体" w:cs="宋体"/>
          <w:spacing w:val="8"/>
          <w:sz w:val="28"/>
          <w:szCs w:val="28"/>
          <w:highlight w:val="none"/>
          <w14:textOutline w14:w="5448" w14:cap="sq" w14:cmpd="sng" w14:algn="ctr">
            <w14:solidFill>
              <w14:srgbClr w14:val="000000"/>
            </w14:solidFill>
            <w14:prstDash w14:val="solid"/>
            <w14:bevel/>
          </w14:textOutline>
        </w:rPr>
        <w:t>部分 采购合同</w:t>
      </w:r>
    </w:p>
    <w:p>
      <w:pPr>
        <w:widowControl w:val="0"/>
        <w:autoSpaceDE/>
        <w:autoSpaceDN/>
        <w:spacing w:line="470" w:lineRule="exact"/>
        <w:ind w:firstLine="480" w:firstLineChars="200"/>
        <w:textAlignment w:val="auto"/>
        <w:rPr>
          <w:rFonts w:ascii="宋体" w:hAnsi="宋体" w:cs="宋体"/>
          <w:b/>
          <w:sz w:val="24"/>
          <w:szCs w:val="24"/>
          <w:highlight w:val="none"/>
        </w:rPr>
      </w:pPr>
      <w:r>
        <w:rPr>
          <w:rFonts w:hint="eastAsia" w:ascii="宋体" w:hAnsi="宋体" w:cs="宋体"/>
          <w:b/>
          <w:sz w:val="24"/>
          <w:szCs w:val="24"/>
          <w:highlight w:val="none"/>
        </w:rPr>
        <w:t>采购人（全称，以下简称甲方）：</w:t>
      </w:r>
      <w:r>
        <w:rPr>
          <w:rFonts w:hint="eastAsia" w:ascii="宋体" w:hAnsi="宋体" w:cs="宋体"/>
          <w:b/>
          <w:sz w:val="24"/>
          <w:szCs w:val="24"/>
          <w:highlight w:val="none"/>
          <w:u w:val="single"/>
        </w:rPr>
        <w:t xml:space="preserve"> 汉中市政府国有资产监督管理委员会 </w:t>
      </w:r>
    </w:p>
    <w:p>
      <w:pPr>
        <w:widowControl w:val="0"/>
        <w:autoSpaceDE/>
        <w:autoSpaceDN/>
        <w:spacing w:line="470" w:lineRule="exact"/>
        <w:ind w:firstLine="480" w:firstLineChars="200"/>
        <w:textAlignment w:val="auto"/>
        <w:rPr>
          <w:rFonts w:ascii="宋体" w:hAnsi="宋体" w:eastAsia="宋体" w:cs="宋体"/>
          <w:sz w:val="24"/>
          <w:szCs w:val="24"/>
          <w:highlight w:val="none"/>
        </w:rPr>
      </w:pPr>
      <w:r>
        <w:rPr>
          <w:rFonts w:hint="eastAsia" w:ascii="宋体" w:hAnsi="宋体" w:cs="宋体"/>
          <w:b/>
          <w:sz w:val="24"/>
          <w:szCs w:val="24"/>
          <w:highlight w:val="none"/>
        </w:rPr>
        <w:t>供应商（全称，以下简称</w:t>
      </w:r>
      <w:r>
        <w:rPr>
          <w:rFonts w:hint="eastAsia" w:ascii="宋体" w:hAnsi="宋体" w:eastAsia="宋体" w:cs="宋体"/>
          <w:b/>
          <w:sz w:val="24"/>
          <w:szCs w:val="24"/>
          <w:highlight w:val="none"/>
        </w:rPr>
        <w:t>乙</w:t>
      </w:r>
      <w:r>
        <w:rPr>
          <w:rFonts w:hint="eastAsia" w:ascii="宋体" w:hAnsi="宋体" w:cs="宋体"/>
          <w:b/>
          <w:sz w:val="24"/>
          <w:szCs w:val="24"/>
          <w:highlight w:val="none"/>
        </w:rPr>
        <w:t>方）：</w:t>
      </w:r>
      <w:r>
        <w:rPr>
          <w:rFonts w:hint="eastAsia" w:ascii="宋体" w:hAnsi="宋体" w:cs="宋体"/>
          <w:b/>
          <w:sz w:val="24"/>
          <w:szCs w:val="24"/>
          <w:highlight w:val="none"/>
          <w:u w:val="single"/>
        </w:rPr>
        <w:t xml:space="preserve">                         </w:t>
      </w:r>
      <w:r>
        <w:rPr>
          <w:rFonts w:hint="eastAsia" w:ascii="宋体" w:hAnsi="宋体" w:cs="宋体"/>
          <w:sz w:val="24"/>
          <w:szCs w:val="24"/>
          <w:highlight w:val="none"/>
          <w:u w:val="single"/>
        </w:rPr>
        <w:t xml:space="preserve">  </w:t>
      </w:r>
      <w:r>
        <w:rPr>
          <w:rFonts w:hint="eastAsia" w:ascii="宋体" w:hAnsi="宋体" w:eastAsia="宋体" w:cs="宋体"/>
          <w:sz w:val="24"/>
          <w:szCs w:val="24"/>
          <w:highlight w:val="none"/>
          <w:u w:val="single"/>
        </w:rPr>
        <w:t xml:space="preserve">       </w:t>
      </w:r>
    </w:p>
    <w:p>
      <w:pPr>
        <w:widowControl w:val="0"/>
        <w:autoSpaceDE/>
        <w:autoSpaceDN/>
        <w:spacing w:line="470" w:lineRule="exact"/>
        <w:ind w:firstLine="480" w:firstLineChars="200"/>
        <w:textAlignment w:val="auto"/>
        <w:rPr>
          <w:rFonts w:ascii="宋体" w:hAnsi="宋体" w:cs="宋体"/>
          <w:sz w:val="24"/>
          <w:szCs w:val="24"/>
          <w:highlight w:val="none"/>
          <w:u w:val="single"/>
        </w:rPr>
      </w:pPr>
      <w:r>
        <w:rPr>
          <w:rFonts w:hint="eastAsia" w:ascii="宋体" w:hAnsi="宋体" w:cs="宋体"/>
          <w:sz w:val="24"/>
          <w:szCs w:val="24"/>
          <w:highlight w:val="none"/>
        </w:rPr>
        <w:t>根据《中华人民共和国民法典》及其他有关法律、法规，遵循平等、自愿、公平和诚信的原则，双方就下述项目范围与相关服务事项协商一致，订立本合同。</w:t>
      </w:r>
    </w:p>
    <w:p>
      <w:pPr>
        <w:widowControl w:val="0"/>
        <w:autoSpaceDE/>
        <w:autoSpaceDN/>
        <w:spacing w:line="470" w:lineRule="exact"/>
        <w:textAlignment w:val="auto"/>
        <w:rPr>
          <w:rFonts w:ascii="宋体" w:hAnsi="宋体" w:cs="宋体"/>
          <w:b/>
          <w:sz w:val="24"/>
          <w:szCs w:val="24"/>
          <w:highlight w:val="none"/>
        </w:rPr>
      </w:pPr>
      <w:r>
        <w:rPr>
          <w:rFonts w:hint="eastAsia" w:ascii="宋体" w:hAnsi="宋体" w:cs="宋体"/>
          <w:b/>
          <w:sz w:val="24"/>
          <w:szCs w:val="24"/>
          <w:highlight w:val="none"/>
        </w:rPr>
        <w:t>一、项目概况</w:t>
      </w:r>
    </w:p>
    <w:p>
      <w:pPr>
        <w:widowControl w:val="0"/>
        <w:autoSpaceDE/>
        <w:autoSpaceDN/>
        <w:spacing w:line="470" w:lineRule="exact"/>
        <w:ind w:firstLine="475" w:firstLineChars="198"/>
        <w:textAlignment w:val="auto"/>
        <w:rPr>
          <w:rFonts w:ascii="宋体" w:hAnsi="宋体" w:cs="宋体"/>
          <w:sz w:val="24"/>
          <w:szCs w:val="24"/>
          <w:highlight w:val="none"/>
        </w:rPr>
      </w:pPr>
      <w:r>
        <w:rPr>
          <w:rFonts w:hint="eastAsia" w:ascii="宋体" w:hAnsi="宋体" w:cs="宋体"/>
          <w:sz w:val="24"/>
          <w:szCs w:val="24"/>
          <w:highlight w:val="none"/>
        </w:rPr>
        <w:t>1.项目名称：</w:t>
      </w:r>
      <w:r>
        <w:rPr>
          <w:rFonts w:hint="eastAsia" w:ascii="宋体" w:hAnsi="宋体" w:cs="宋体"/>
          <w:sz w:val="24"/>
          <w:szCs w:val="24"/>
          <w:highlight w:val="none"/>
          <w:u w:val="single"/>
        </w:rPr>
        <w:t xml:space="preserve">   </w:t>
      </w:r>
      <w:r>
        <w:rPr>
          <w:rFonts w:hint="eastAsia" w:ascii="宋体" w:hAnsi="宋体" w:eastAsia="宋体" w:cs="宋体"/>
          <w:sz w:val="24"/>
          <w:szCs w:val="24"/>
          <w:highlight w:val="none"/>
          <w:u w:val="single"/>
        </w:rPr>
        <w:t xml:space="preserve">                        </w:t>
      </w:r>
      <w:r>
        <w:rPr>
          <w:rFonts w:hint="eastAsia" w:ascii="宋体" w:hAnsi="宋体" w:cs="宋体"/>
          <w:sz w:val="24"/>
          <w:szCs w:val="24"/>
          <w:highlight w:val="none"/>
          <w:u w:val="single"/>
        </w:rPr>
        <w:t xml:space="preserve">   </w:t>
      </w:r>
      <w:r>
        <w:rPr>
          <w:rFonts w:hint="eastAsia" w:ascii="宋体" w:hAnsi="宋体" w:cs="宋体"/>
          <w:sz w:val="24"/>
          <w:szCs w:val="24"/>
          <w:highlight w:val="none"/>
        </w:rPr>
        <w:t>；</w:t>
      </w:r>
    </w:p>
    <w:p>
      <w:pPr>
        <w:widowControl w:val="0"/>
        <w:autoSpaceDE/>
        <w:autoSpaceDN/>
        <w:spacing w:line="470" w:lineRule="exact"/>
        <w:ind w:firstLine="475" w:firstLineChars="198"/>
        <w:textAlignment w:val="auto"/>
        <w:rPr>
          <w:rFonts w:ascii="宋体" w:hAnsi="宋体" w:cs="宋体"/>
          <w:sz w:val="24"/>
          <w:szCs w:val="24"/>
          <w:highlight w:val="none"/>
        </w:rPr>
      </w:pPr>
      <w:r>
        <w:rPr>
          <w:rFonts w:hint="eastAsia" w:ascii="宋体" w:hAnsi="宋体" w:cs="宋体"/>
          <w:sz w:val="24"/>
          <w:szCs w:val="24"/>
          <w:highlight w:val="none"/>
        </w:rPr>
        <w:t>2.项目地点：</w:t>
      </w:r>
      <w:r>
        <w:rPr>
          <w:rFonts w:hint="eastAsia" w:ascii="宋体" w:hAnsi="宋体" w:cs="宋体"/>
          <w:sz w:val="24"/>
          <w:szCs w:val="24"/>
          <w:highlight w:val="none"/>
          <w:u w:val="single"/>
        </w:rPr>
        <w:t xml:space="preserve">                              </w:t>
      </w:r>
      <w:r>
        <w:rPr>
          <w:rFonts w:hint="eastAsia" w:ascii="宋体" w:hAnsi="宋体" w:cs="宋体"/>
          <w:sz w:val="24"/>
          <w:szCs w:val="24"/>
          <w:highlight w:val="none"/>
        </w:rPr>
        <w:t>；</w:t>
      </w:r>
    </w:p>
    <w:p>
      <w:pPr>
        <w:widowControl w:val="0"/>
        <w:autoSpaceDE/>
        <w:autoSpaceDN/>
        <w:spacing w:line="470" w:lineRule="exact"/>
        <w:ind w:firstLine="475" w:firstLineChars="198"/>
        <w:textAlignment w:val="auto"/>
        <w:rPr>
          <w:rFonts w:ascii="宋体" w:hAnsi="宋体" w:cs="宋体"/>
          <w:sz w:val="24"/>
          <w:szCs w:val="24"/>
          <w:highlight w:val="none"/>
        </w:rPr>
      </w:pPr>
      <w:r>
        <w:rPr>
          <w:rFonts w:hint="eastAsia" w:ascii="宋体" w:hAnsi="宋体" w:cs="宋体"/>
          <w:sz w:val="24"/>
          <w:szCs w:val="24"/>
          <w:highlight w:val="none"/>
        </w:rPr>
        <w:t>3.项目内容：</w:t>
      </w:r>
      <w:r>
        <w:rPr>
          <w:rFonts w:hint="eastAsia" w:ascii="宋体" w:hAnsi="宋体" w:cs="宋体"/>
          <w:sz w:val="24"/>
          <w:szCs w:val="24"/>
          <w:highlight w:val="none"/>
          <w:u w:val="single"/>
        </w:rPr>
        <w:t xml:space="preserve">                              </w:t>
      </w:r>
      <w:r>
        <w:rPr>
          <w:rFonts w:hint="eastAsia" w:ascii="宋体" w:hAnsi="宋体" w:cs="宋体"/>
          <w:sz w:val="24"/>
          <w:szCs w:val="24"/>
          <w:highlight w:val="none"/>
        </w:rPr>
        <w:t>。</w:t>
      </w:r>
    </w:p>
    <w:p>
      <w:pPr>
        <w:widowControl w:val="0"/>
        <w:autoSpaceDE/>
        <w:autoSpaceDN/>
        <w:spacing w:line="470" w:lineRule="exact"/>
        <w:textAlignment w:val="auto"/>
        <w:rPr>
          <w:rFonts w:ascii="宋体" w:hAnsi="宋体" w:cs="宋体"/>
          <w:b/>
          <w:sz w:val="24"/>
          <w:szCs w:val="24"/>
          <w:highlight w:val="none"/>
        </w:rPr>
      </w:pPr>
      <w:r>
        <w:rPr>
          <w:rFonts w:hint="eastAsia" w:ascii="宋体" w:hAnsi="宋体" w:cs="宋体"/>
          <w:b/>
          <w:sz w:val="24"/>
          <w:szCs w:val="24"/>
          <w:highlight w:val="none"/>
        </w:rPr>
        <w:t>二、组成本合同的文件</w:t>
      </w:r>
    </w:p>
    <w:p>
      <w:pPr>
        <w:widowControl w:val="0"/>
        <w:autoSpaceDE/>
        <w:autoSpaceDN/>
        <w:spacing w:line="470" w:lineRule="exact"/>
        <w:ind w:firstLine="475" w:firstLineChars="198"/>
        <w:textAlignment w:val="auto"/>
        <w:rPr>
          <w:rFonts w:ascii="宋体" w:hAnsi="宋体" w:cs="宋体"/>
          <w:sz w:val="24"/>
          <w:szCs w:val="24"/>
          <w:highlight w:val="none"/>
        </w:rPr>
      </w:pPr>
      <w:r>
        <w:rPr>
          <w:rFonts w:hint="eastAsia" w:ascii="宋体" w:hAnsi="宋体" w:cs="宋体"/>
          <w:sz w:val="24"/>
          <w:szCs w:val="24"/>
          <w:highlight w:val="none"/>
        </w:rPr>
        <w:t>1.协议书；</w:t>
      </w:r>
    </w:p>
    <w:p>
      <w:pPr>
        <w:widowControl w:val="0"/>
        <w:autoSpaceDE/>
        <w:autoSpaceDN/>
        <w:spacing w:line="470" w:lineRule="exact"/>
        <w:ind w:firstLine="475" w:firstLineChars="198"/>
        <w:textAlignment w:val="auto"/>
        <w:rPr>
          <w:rFonts w:ascii="宋体" w:hAnsi="宋体" w:cs="宋体"/>
          <w:sz w:val="24"/>
          <w:szCs w:val="24"/>
          <w:highlight w:val="none"/>
        </w:rPr>
      </w:pPr>
      <w:r>
        <w:rPr>
          <w:rFonts w:hint="eastAsia" w:ascii="宋体" w:hAnsi="宋体" w:cs="宋体"/>
          <w:sz w:val="24"/>
          <w:szCs w:val="24"/>
          <w:highlight w:val="none"/>
        </w:rPr>
        <w:t>2.</w:t>
      </w:r>
      <w:r>
        <w:rPr>
          <w:rFonts w:hint="eastAsia" w:ascii="宋体" w:hAnsi="宋体" w:eastAsia="宋体" w:cs="宋体"/>
          <w:sz w:val="24"/>
          <w:szCs w:val="24"/>
          <w:highlight w:val="none"/>
        </w:rPr>
        <w:t>中标</w:t>
      </w:r>
      <w:r>
        <w:rPr>
          <w:rFonts w:hint="eastAsia" w:ascii="宋体" w:hAnsi="宋体" w:cs="宋体"/>
          <w:sz w:val="24"/>
          <w:szCs w:val="24"/>
          <w:highlight w:val="none"/>
        </w:rPr>
        <w:t>通知书、</w:t>
      </w:r>
      <w:r>
        <w:rPr>
          <w:rFonts w:hint="eastAsia" w:ascii="宋体" w:hAnsi="宋体" w:eastAsia="宋体" w:cs="宋体"/>
          <w:sz w:val="24"/>
          <w:szCs w:val="24"/>
          <w:highlight w:val="none"/>
        </w:rPr>
        <w:t>投标</w:t>
      </w:r>
      <w:r>
        <w:rPr>
          <w:rFonts w:hint="eastAsia" w:ascii="宋体" w:hAnsi="宋体" w:cs="宋体"/>
          <w:sz w:val="24"/>
          <w:szCs w:val="24"/>
          <w:highlight w:val="none"/>
        </w:rPr>
        <w:t>文件、</w:t>
      </w:r>
      <w:r>
        <w:rPr>
          <w:rFonts w:hint="eastAsia" w:ascii="宋体" w:hAnsi="宋体" w:eastAsia="宋体" w:cs="宋体"/>
          <w:sz w:val="24"/>
          <w:szCs w:val="24"/>
          <w:highlight w:val="none"/>
        </w:rPr>
        <w:t>招标</w:t>
      </w:r>
      <w:r>
        <w:rPr>
          <w:rFonts w:hint="eastAsia" w:ascii="宋体" w:hAnsi="宋体" w:cs="宋体"/>
          <w:sz w:val="24"/>
          <w:szCs w:val="24"/>
          <w:highlight w:val="none"/>
        </w:rPr>
        <w:t>文件、澄清、</w:t>
      </w:r>
      <w:r>
        <w:rPr>
          <w:rFonts w:hint="eastAsia" w:ascii="宋体" w:hAnsi="宋体" w:eastAsia="宋体" w:cs="宋体"/>
          <w:sz w:val="24"/>
          <w:szCs w:val="24"/>
          <w:highlight w:val="none"/>
        </w:rPr>
        <w:t>招标</w:t>
      </w:r>
      <w:r>
        <w:rPr>
          <w:rFonts w:hint="eastAsia" w:ascii="宋体" w:hAnsi="宋体" w:cs="宋体"/>
          <w:sz w:val="24"/>
          <w:szCs w:val="24"/>
          <w:highlight w:val="none"/>
        </w:rPr>
        <w:t>补充文件；</w:t>
      </w:r>
    </w:p>
    <w:p>
      <w:pPr>
        <w:widowControl w:val="0"/>
        <w:autoSpaceDE/>
        <w:autoSpaceDN/>
        <w:spacing w:line="470" w:lineRule="exact"/>
        <w:ind w:firstLine="475" w:firstLineChars="198"/>
        <w:textAlignment w:val="auto"/>
        <w:rPr>
          <w:rFonts w:ascii="宋体" w:hAnsi="宋体" w:cs="宋体"/>
          <w:sz w:val="24"/>
          <w:szCs w:val="24"/>
          <w:highlight w:val="none"/>
        </w:rPr>
      </w:pPr>
      <w:r>
        <w:rPr>
          <w:rFonts w:hint="eastAsia" w:ascii="宋体" w:hAnsi="宋体" w:cs="宋体"/>
          <w:sz w:val="24"/>
          <w:szCs w:val="24"/>
          <w:highlight w:val="none"/>
        </w:rPr>
        <w:t>3.相关服务建议书；</w:t>
      </w:r>
    </w:p>
    <w:p>
      <w:pPr>
        <w:widowControl w:val="0"/>
        <w:autoSpaceDE/>
        <w:autoSpaceDN/>
        <w:spacing w:line="470" w:lineRule="exact"/>
        <w:ind w:firstLine="475" w:firstLineChars="198"/>
        <w:textAlignment w:val="auto"/>
        <w:rPr>
          <w:rFonts w:ascii="宋体" w:hAnsi="宋体" w:cs="宋体"/>
          <w:sz w:val="24"/>
          <w:szCs w:val="24"/>
          <w:highlight w:val="none"/>
        </w:rPr>
      </w:pPr>
      <w:r>
        <w:rPr>
          <w:rFonts w:hint="eastAsia" w:ascii="宋体" w:hAnsi="宋体" w:cs="宋体"/>
          <w:sz w:val="24"/>
          <w:szCs w:val="24"/>
          <w:highlight w:val="none"/>
        </w:rPr>
        <w:t>4.附录，即：附表内相关服务的范围和内容；</w:t>
      </w:r>
    </w:p>
    <w:p>
      <w:pPr>
        <w:widowControl w:val="0"/>
        <w:autoSpaceDE/>
        <w:autoSpaceDN/>
        <w:spacing w:line="470" w:lineRule="exact"/>
        <w:ind w:firstLine="475" w:firstLineChars="198"/>
        <w:textAlignment w:val="auto"/>
        <w:rPr>
          <w:rFonts w:ascii="宋体" w:hAnsi="宋体" w:cs="宋体"/>
          <w:sz w:val="24"/>
          <w:szCs w:val="24"/>
          <w:highlight w:val="none"/>
        </w:rPr>
      </w:pPr>
      <w:r>
        <w:rPr>
          <w:rFonts w:hint="eastAsia" w:ascii="宋体" w:hAnsi="宋体" w:cs="宋体"/>
          <w:sz w:val="24"/>
          <w:szCs w:val="24"/>
          <w:highlight w:val="none"/>
        </w:rPr>
        <w:t>本合同签订后，双方依法签订的补充协议也是本合同文件的组成部分。</w:t>
      </w:r>
    </w:p>
    <w:p>
      <w:pPr>
        <w:spacing w:before="156" w:beforeLines="50"/>
        <w:rPr>
          <w:b/>
          <w:highlight w:val="none"/>
        </w:rPr>
      </w:pPr>
      <w:r>
        <w:rPr>
          <w:rFonts w:hint="eastAsia" w:ascii="宋体" w:hAnsi="宋体" w:cs="宋体"/>
          <w:b/>
          <w:sz w:val="24"/>
          <w:szCs w:val="24"/>
          <w:highlight w:val="none"/>
        </w:rPr>
        <w:t>三、</w:t>
      </w:r>
      <w:r>
        <w:rPr>
          <w:rFonts w:hint="eastAsia"/>
          <w:b/>
          <w:highlight w:val="none"/>
        </w:rPr>
        <w:t>交付条件</w:t>
      </w:r>
    </w:p>
    <w:p>
      <w:pPr>
        <w:widowControl w:val="0"/>
        <w:autoSpaceDE/>
        <w:autoSpaceDN/>
        <w:spacing w:line="470" w:lineRule="exact"/>
        <w:ind w:firstLine="475" w:firstLineChars="198"/>
        <w:textAlignment w:val="auto"/>
        <w:rPr>
          <w:rFonts w:ascii="宋体" w:hAnsi="宋体" w:cs="宋体"/>
          <w:sz w:val="24"/>
          <w:szCs w:val="24"/>
          <w:highlight w:val="none"/>
        </w:rPr>
      </w:pPr>
      <w:r>
        <w:rPr>
          <w:rFonts w:hint="eastAsia" w:ascii="宋体" w:hAnsi="宋体" w:eastAsia="宋体" w:cs="宋体"/>
          <w:sz w:val="24"/>
          <w:szCs w:val="24"/>
          <w:highlight w:val="none"/>
        </w:rPr>
        <w:t>1.</w:t>
      </w:r>
      <w:r>
        <w:rPr>
          <w:rFonts w:hint="eastAsia" w:ascii="宋体" w:hAnsi="宋体" w:cs="宋体"/>
          <w:sz w:val="24"/>
          <w:szCs w:val="24"/>
          <w:highlight w:val="none"/>
        </w:rPr>
        <w:t>交付地点：采购人指定地点。</w:t>
      </w:r>
    </w:p>
    <w:p>
      <w:pPr>
        <w:widowControl w:val="0"/>
        <w:autoSpaceDE/>
        <w:autoSpaceDN/>
        <w:spacing w:line="470" w:lineRule="exact"/>
        <w:ind w:firstLine="475" w:firstLineChars="198"/>
        <w:textAlignment w:val="auto"/>
        <w:rPr>
          <w:rFonts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cs="宋体"/>
          <w:sz w:val="24"/>
          <w:szCs w:val="24"/>
          <w:highlight w:val="none"/>
        </w:rPr>
        <w:t>交付期：自合同签订之日起</w:t>
      </w:r>
      <w:r>
        <w:rPr>
          <w:rFonts w:hint="eastAsia" w:ascii="宋体" w:hAnsi="宋体" w:eastAsia="宋体" w:cs="宋体"/>
          <w:sz w:val="24"/>
          <w:szCs w:val="24"/>
          <w:highlight w:val="none"/>
          <w:u w:val="single"/>
        </w:rPr>
        <w:t xml:space="preserve">       </w:t>
      </w:r>
      <w:r>
        <w:rPr>
          <w:rFonts w:hint="eastAsia" w:ascii="宋体" w:hAnsi="宋体" w:cs="宋体"/>
          <w:sz w:val="24"/>
          <w:szCs w:val="24"/>
          <w:highlight w:val="none"/>
        </w:rPr>
        <w:t>个月内完成项目全部</w:t>
      </w:r>
      <w:r>
        <w:rPr>
          <w:rFonts w:hint="eastAsia" w:ascii="宋体" w:hAnsi="宋体" w:eastAsia="宋体" w:cs="宋体"/>
          <w:sz w:val="24"/>
          <w:szCs w:val="24"/>
          <w:highlight w:val="none"/>
        </w:rPr>
        <w:t>建设</w:t>
      </w:r>
      <w:r>
        <w:rPr>
          <w:rFonts w:hint="eastAsia" w:ascii="宋体" w:hAnsi="宋体" w:cs="宋体"/>
          <w:sz w:val="24"/>
          <w:szCs w:val="24"/>
          <w:highlight w:val="none"/>
        </w:rPr>
        <w:t>内容，并交付采购人验收合格。</w:t>
      </w:r>
      <w:r>
        <w:rPr>
          <w:rFonts w:hint="eastAsia" w:ascii="宋体" w:hAnsi="宋体" w:eastAsia="宋体" w:cs="宋体"/>
          <w:sz w:val="24"/>
          <w:szCs w:val="24"/>
          <w:highlight w:val="none"/>
        </w:rPr>
        <w:t>服务</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w:t>
      </w:r>
    </w:p>
    <w:p>
      <w:pPr>
        <w:spacing w:before="156" w:beforeLines="50"/>
        <w:rPr>
          <w:rFonts w:ascii="宋体" w:hAnsi="宋体" w:cs="宋体"/>
          <w:b/>
          <w:sz w:val="24"/>
          <w:szCs w:val="24"/>
          <w:highlight w:val="none"/>
        </w:rPr>
      </w:pPr>
      <w:r>
        <w:rPr>
          <w:rFonts w:hint="eastAsia" w:ascii="宋体" w:hAnsi="宋体" w:cs="宋体"/>
          <w:b/>
          <w:sz w:val="24"/>
          <w:szCs w:val="24"/>
          <w:highlight w:val="none"/>
        </w:rPr>
        <w:t>四、合同价款</w:t>
      </w:r>
    </w:p>
    <w:p>
      <w:pPr>
        <w:widowControl w:val="0"/>
        <w:autoSpaceDE/>
        <w:autoSpaceDN/>
        <w:spacing w:line="470" w:lineRule="exact"/>
        <w:ind w:firstLine="475" w:firstLineChars="198"/>
        <w:textAlignment w:val="auto"/>
        <w:rPr>
          <w:rFonts w:ascii="宋体" w:hAnsi="宋体" w:cs="宋体"/>
          <w:sz w:val="24"/>
          <w:szCs w:val="24"/>
          <w:highlight w:val="none"/>
        </w:rPr>
      </w:pPr>
      <w:r>
        <w:rPr>
          <w:rFonts w:hint="eastAsia" w:ascii="宋体" w:hAnsi="宋体" w:cs="宋体"/>
          <w:sz w:val="24"/>
          <w:szCs w:val="24"/>
          <w:highlight w:val="none"/>
        </w:rPr>
        <w:t>1.合同</w:t>
      </w:r>
      <w:r>
        <w:rPr>
          <w:rFonts w:hint="eastAsia" w:ascii="宋体" w:hAnsi="宋体" w:eastAsia="宋体" w:cs="宋体"/>
          <w:sz w:val="24"/>
          <w:szCs w:val="24"/>
          <w:highlight w:val="none"/>
        </w:rPr>
        <w:t>总</w:t>
      </w:r>
      <w:r>
        <w:rPr>
          <w:rFonts w:hint="eastAsia" w:ascii="宋体" w:hAnsi="宋体" w:cs="宋体"/>
          <w:sz w:val="24"/>
          <w:szCs w:val="24"/>
          <w:highlight w:val="none"/>
        </w:rPr>
        <w:t>金额（大写）：</w:t>
      </w:r>
      <w:r>
        <w:rPr>
          <w:rFonts w:hint="eastAsia" w:ascii="宋体" w:hAnsi="宋体" w:cs="宋体"/>
          <w:sz w:val="24"/>
          <w:szCs w:val="24"/>
          <w:highlight w:val="none"/>
          <w:u w:val="single"/>
        </w:rPr>
        <w:t xml:space="preserve">             </w:t>
      </w:r>
      <w:r>
        <w:rPr>
          <w:rFonts w:hint="eastAsia" w:ascii="宋体" w:hAnsi="宋体" w:cs="宋体"/>
          <w:sz w:val="24"/>
          <w:szCs w:val="24"/>
          <w:highlight w:val="none"/>
        </w:rPr>
        <w:t>（¥</w:t>
      </w:r>
      <w:r>
        <w:rPr>
          <w:rFonts w:hint="eastAsia" w:ascii="宋体" w:hAnsi="宋体" w:cs="宋体"/>
          <w:sz w:val="24"/>
          <w:szCs w:val="24"/>
          <w:highlight w:val="none"/>
          <w:u w:val="single"/>
        </w:rPr>
        <w:t xml:space="preserve">             </w:t>
      </w:r>
      <w:r>
        <w:rPr>
          <w:rFonts w:hint="eastAsia" w:ascii="宋体" w:hAnsi="宋体" w:cs="宋体"/>
          <w:sz w:val="24"/>
          <w:szCs w:val="24"/>
          <w:highlight w:val="none"/>
        </w:rPr>
        <w:t>）</w:t>
      </w:r>
    </w:p>
    <w:p>
      <w:pPr>
        <w:widowControl w:val="0"/>
        <w:autoSpaceDE/>
        <w:autoSpaceDN/>
        <w:spacing w:line="470" w:lineRule="exact"/>
        <w:ind w:firstLine="475" w:firstLineChars="198"/>
        <w:textAlignment w:val="auto"/>
        <w:rPr>
          <w:rFonts w:ascii="宋体" w:hAnsi="宋体" w:cs="宋体"/>
          <w:sz w:val="24"/>
          <w:szCs w:val="24"/>
          <w:highlight w:val="none"/>
        </w:rPr>
      </w:pPr>
      <w:r>
        <w:rPr>
          <w:rFonts w:hint="eastAsia" w:ascii="宋体" w:hAnsi="宋体" w:eastAsia="宋体" w:cs="宋体"/>
          <w:sz w:val="24"/>
          <w:szCs w:val="24"/>
          <w:highlight w:val="none"/>
        </w:rPr>
        <w:t>2.</w:t>
      </w:r>
      <w:r>
        <w:rPr>
          <w:rFonts w:hint="eastAsia" w:ascii="宋体" w:hAnsi="宋体" w:cs="宋体"/>
          <w:sz w:val="24"/>
          <w:szCs w:val="24"/>
          <w:highlight w:val="none"/>
        </w:rPr>
        <w:t>合同总价包括：</w:t>
      </w:r>
      <w:r>
        <w:rPr>
          <w:rFonts w:hint="eastAsia" w:ascii="宋体" w:hAnsi="宋体" w:eastAsia="宋体" w:cs="宋体"/>
          <w:color w:val="auto"/>
          <w:sz w:val="24"/>
          <w:szCs w:val="24"/>
          <w:highlight w:val="none"/>
        </w:rPr>
        <w:t>交付使用前的全部费用，含硬件设备购置费、软件购置费、软件开发费、系统集成费、安装调试费、人员培训费、验收费、售后服务期内的运行维护费、软件永久升级费、税金、其他费用等一切费用。</w:t>
      </w:r>
    </w:p>
    <w:p>
      <w:pPr>
        <w:widowControl w:val="0"/>
        <w:autoSpaceDE/>
        <w:autoSpaceDN/>
        <w:spacing w:line="470" w:lineRule="exact"/>
        <w:textAlignment w:val="auto"/>
        <w:rPr>
          <w:rFonts w:ascii="宋体" w:hAnsi="宋体" w:cs="宋体"/>
          <w:b/>
          <w:sz w:val="24"/>
          <w:szCs w:val="24"/>
          <w:highlight w:val="none"/>
        </w:rPr>
      </w:pPr>
      <w:r>
        <w:rPr>
          <w:rFonts w:hint="eastAsia" w:ascii="宋体" w:hAnsi="宋体" w:eastAsia="宋体" w:cs="宋体"/>
          <w:b/>
          <w:sz w:val="24"/>
          <w:szCs w:val="24"/>
          <w:highlight w:val="none"/>
        </w:rPr>
        <w:t>五</w:t>
      </w:r>
      <w:r>
        <w:rPr>
          <w:rFonts w:hint="eastAsia" w:ascii="宋体" w:hAnsi="宋体" w:cs="宋体"/>
          <w:b/>
          <w:sz w:val="24"/>
          <w:szCs w:val="24"/>
          <w:highlight w:val="none"/>
        </w:rPr>
        <w:t>、付款方式</w:t>
      </w:r>
    </w:p>
    <w:p>
      <w:pPr>
        <w:widowControl w:val="0"/>
        <w:autoSpaceDE/>
        <w:autoSpaceDN/>
        <w:spacing w:line="470" w:lineRule="exact"/>
        <w:ind w:firstLine="475" w:firstLineChars="198"/>
        <w:textAlignment w:val="auto"/>
        <w:rPr>
          <w:rFonts w:ascii="宋体" w:hAnsi="宋体" w:eastAsia="宋体" w:cs="宋体"/>
          <w:sz w:val="24"/>
          <w:szCs w:val="24"/>
          <w:highlight w:val="none"/>
        </w:rPr>
      </w:pPr>
      <w:r>
        <w:rPr>
          <w:rFonts w:hint="eastAsia" w:ascii="宋体" w:hAnsi="宋体" w:cs="宋体"/>
          <w:sz w:val="24"/>
          <w:szCs w:val="24"/>
          <w:highlight w:val="none"/>
        </w:rPr>
        <w:t>1.</w:t>
      </w:r>
      <w:r>
        <w:rPr>
          <w:rFonts w:hint="eastAsia" w:ascii="宋体" w:hAnsi="宋体" w:eastAsia="宋体" w:cs="宋体"/>
          <w:sz w:val="24"/>
          <w:szCs w:val="24"/>
          <w:highlight w:val="none"/>
        </w:rPr>
        <w:t>合同签订后</w:t>
      </w: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rPr>
        <w:t>个工作日内，甲方向乙方支付合同价款的30%作为项目预付款。</w:t>
      </w:r>
    </w:p>
    <w:p>
      <w:pPr>
        <w:pStyle w:val="17"/>
        <w:ind w:firstLine="480"/>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2.乙方一次性交付系统，甲方验收合格后</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个工作日内，甲方向乙方支付合同价款的</w:t>
      </w:r>
      <w:r>
        <w:rPr>
          <w:rFonts w:hint="eastAsia" w:ascii="宋体" w:hAnsi="宋体" w:eastAsia="宋体" w:cs="宋体"/>
          <w:sz w:val="24"/>
          <w:szCs w:val="24"/>
          <w:highlight w:val="none"/>
          <w:lang w:val="en-US" w:eastAsia="zh-CN"/>
        </w:rPr>
        <w:t>70</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如遇特殊原因，顺延付款期限。</w:t>
      </w:r>
    </w:p>
    <w:p>
      <w:pPr>
        <w:pStyle w:val="17"/>
        <w:ind w:firstLine="480"/>
        <w:rPr>
          <w:rFonts w:ascii="宋体" w:hAnsi="宋体" w:eastAsia="宋体" w:cs="宋体"/>
          <w:sz w:val="24"/>
          <w:szCs w:val="24"/>
          <w:highlight w:val="none"/>
        </w:rPr>
      </w:pPr>
      <w:r>
        <w:rPr>
          <w:rFonts w:hint="eastAsia" w:ascii="宋体" w:hAnsi="宋体" w:eastAsia="宋体" w:cs="宋体"/>
          <w:sz w:val="24"/>
          <w:szCs w:val="24"/>
          <w:highlight w:val="none"/>
        </w:rPr>
        <w:t>3.支付方式：银行转账。</w:t>
      </w:r>
    </w:p>
    <w:p>
      <w:pPr>
        <w:pStyle w:val="17"/>
        <w:ind w:firstLine="480"/>
        <w:rPr>
          <w:b/>
          <w:highlight w:val="none"/>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.结算方式：付款前乙方根据甲方要求开具相应金额的发票。</w:t>
      </w:r>
    </w:p>
    <w:p>
      <w:pPr>
        <w:spacing w:before="156" w:beforeLines="50"/>
        <w:rPr>
          <w:rFonts w:ascii="宋体" w:hAnsi="宋体" w:cs="宋体"/>
          <w:b/>
          <w:sz w:val="24"/>
          <w:szCs w:val="24"/>
          <w:highlight w:val="none"/>
        </w:rPr>
      </w:pPr>
      <w:r>
        <w:rPr>
          <w:rFonts w:hint="eastAsia" w:ascii="宋体" w:hAnsi="宋体" w:cs="宋体"/>
          <w:b/>
          <w:sz w:val="24"/>
          <w:szCs w:val="24"/>
          <w:highlight w:val="none"/>
        </w:rPr>
        <w:t>六、质量保证</w:t>
      </w:r>
    </w:p>
    <w:p>
      <w:pPr>
        <w:widowControl w:val="0"/>
        <w:autoSpaceDE/>
        <w:autoSpaceDN/>
        <w:spacing w:line="470" w:lineRule="exact"/>
        <w:ind w:firstLine="475" w:firstLineChars="198"/>
        <w:textAlignment w:val="auto"/>
        <w:rPr>
          <w:rFonts w:ascii="宋体" w:hAnsi="宋体" w:cs="宋体"/>
          <w:sz w:val="24"/>
          <w:szCs w:val="24"/>
          <w:highlight w:val="none"/>
        </w:rPr>
      </w:pPr>
      <w:r>
        <w:rPr>
          <w:rFonts w:hint="eastAsia" w:ascii="宋体" w:hAnsi="宋体" w:eastAsia="宋体" w:cs="宋体"/>
          <w:sz w:val="24"/>
          <w:szCs w:val="24"/>
          <w:highlight w:val="none"/>
        </w:rPr>
        <w:t>1.</w:t>
      </w:r>
      <w:r>
        <w:rPr>
          <w:rFonts w:hint="eastAsia" w:ascii="宋体" w:hAnsi="宋体" w:cs="宋体"/>
          <w:sz w:val="24"/>
          <w:szCs w:val="24"/>
          <w:highlight w:val="none"/>
        </w:rPr>
        <w:t>保证技术指标先进、质量性能可靠、功能齐全、配置合理，全面满足招标要求。采购人根据检验标准发现系统功能、业务、流程等与合同不符；或者在质量保证期内，系统应用存在缺陷，包括潜在的缺陷或使用不符合实际业务需要等，买方可采取必要的补救措施并有权追究中标供应商责任，由此引发的风险、损失和费用将由中标供应商承担。</w:t>
      </w:r>
    </w:p>
    <w:p>
      <w:pPr>
        <w:widowControl w:val="0"/>
        <w:autoSpaceDE/>
        <w:autoSpaceDN/>
        <w:spacing w:line="470" w:lineRule="exact"/>
        <w:ind w:firstLine="475" w:firstLineChars="198"/>
        <w:textAlignment w:val="auto"/>
        <w:rPr>
          <w:rFonts w:ascii="宋体" w:hAnsi="宋体" w:cs="宋体"/>
          <w:sz w:val="24"/>
          <w:szCs w:val="24"/>
          <w:highlight w:val="none"/>
        </w:rPr>
      </w:pPr>
      <w:r>
        <w:rPr>
          <w:rFonts w:hint="eastAsia" w:ascii="宋体" w:hAnsi="宋体" w:eastAsia="宋体" w:cs="宋体"/>
          <w:sz w:val="24"/>
          <w:szCs w:val="24"/>
          <w:highlight w:val="none"/>
        </w:rPr>
        <w:t>2.</w:t>
      </w:r>
      <w:r>
        <w:rPr>
          <w:rFonts w:hint="eastAsia" w:ascii="宋体" w:hAnsi="宋体" w:cs="宋体"/>
          <w:sz w:val="24"/>
          <w:szCs w:val="24"/>
          <w:highlight w:val="none"/>
        </w:rPr>
        <w:t>符合国家有关规范要求，确保达到最佳运行状态。</w:t>
      </w:r>
    </w:p>
    <w:p>
      <w:pPr>
        <w:widowControl w:val="0"/>
        <w:autoSpaceDE/>
        <w:autoSpaceDN/>
        <w:spacing w:line="470" w:lineRule="exact"/>
        <w:ind w:firstLine="475" w:firstLineChars="198"/>
        <w:textAlignment w:val="auto"/>
        <w:rPr>
          <w:rFonts w:ascii="宋体" w:hAnsi="宋体" w:cs="宋体"/>
          <w:sz w:val="24"/>
          <w:szCs w:val="24"/>
          <w:highlight w:val="none"/>
        </w:rPr>
      </w:pPr>
      <w:r>
        <w:rPr>
          <w:rFonts w:hint="eastAsia" w:ascii="宋体" w:hAnsi="宋体" w:eastAsia="宋体" w:cs="宋体"/>
          <w:sz w:val="24"/>
          <w:szCs w:val="24"/>
          <w:highlight w:val="none"/>
        </w:rPr>
        <w:t>3.</w:t>
      </w:r>
      <w:r>
        <w:rPr>
          <w:rFonts w:hint="eastAsia" w:ascii="宋体" w:hAnsi="宋体" w:cs="宋体"/>
          <w:sz w:val="24"/>
          <w:szCs w:val="24"/>
          <w:highlight w:val="none"/>
        </w:rPr>
        <w:t>中标供应商所开发的系统和提供的硬件设备，若发生侵权而产生的一切后果，由中标供应商负责，采购人保留索赔权力。</w:t>
      </w:r>
    </w:p>
    <w:p>
      <w:pPr>
        <w:widowControl w:val="0"/>
        <w:autoSpaceDE/>
        <w:autoSpaceDN/>
        <w:spacing w:line="470" w:lineRule="exact"/>
        <w:ind w:firstLine="475" w:firstLineChars="198"/>
        <w:textAlignment w:val="auto"/>
        <w:rPr>
          <w:rFonts w:ascii="宋体" w:hAnsi="宋体" w:cs="宋体"/>
          <w:sz w:val="24"/>
          <w:szCs w:val="24"/>
          <w:highlight w:val="none"/>
        </w:rPr>
      </w:pPr>
      <w:r>
        <w:rPr>
          <w:rFonts w:hint="eastAsia" w:ascii="宋体" w:hAnsi="宋体" w:eastAsia="宋体" w:cs="宋体"/>
          <w:sz w:val="24"/>
          <w:szCs w:val="24"/>
          <w:highlight w:val="none"/>
        </w:rPr>
        <w:t>4.</w:t>
      </w:r>
      <w:r>
        <w:rPr>
          <w:rFonts w:hint="eastAsia" w:ascii="宋体" w:hAnsi="宋体" w:cs="宋体"/>
          <w:sz w:val="24"/>
          <w:szCs w:val="24"/>
          <w:highlight w:val="none"/>
        </w:rPr>
        <w:t>有各类突发事件的应急预案，且具有可操作性。</w:t>
      </w:r>
    </w:p>
    <w:p>
      <w:pPr>
        <w:spacing w:before="156" w:beforeLines="50"/>
        <w:rPr>
          <w:rFonts w:ascii="宋体" w:hAnsi="宋体" w:cs="宋体"/>
          <w:b/>
          <w:sz w:val="24"/>
          <w:szCs w:val="24"/>
          <w:highlight w:val="none"/>
        </w:rPr>
      </w:pPr>
      <w:bookmarkStart w:id="180" w:name="_Toc3964"/>
      <w:bookmarkStart w:id="181" w:name="_Toc31284"/>
      <w:bookmarkStart w:id="182" w:name="_Toc75444500"/>
      <w:bookmarkStart w:id="183" w:name="_Toc12199"/>
      <w:bookmarkStart w:id="184" w:name="_Toc15798"/>
      <w:r>
        <w:rPr>
          <w:rFonts w:hint="eastAsia" w:ascii="宋体" w:hAnsi="宋体" w:cs="宋体"/>
          <w:b/>
          <w:sz w:val="24"/>
          <w:szCs w:val="24"/>
          <w:highlight w:val="none"/>
        </w:rPr>
        <w:t>七、验收</w:t>
      </w:r>
      <w:bookmarkEnd w:id="180"/>
      <w:bookmarkEnd w:id="181"/>
      <w:bookmarkEnd w:id="182"/>
      <w:bookmarkEnd w:id="183"/>
      <w:bookmarkEnd w:id="184"/>
    </w:p>
    <w:p>
      <w:pPr>
        <w:widowControl w:val="0"/>
        <w:autoSpaceDE/>
        <w:autoSpaceDN/>
        <w:spacing w:line="470" w:lineRule="exact"/>
        <w:ind w:firstLine="475" w:firstLineChars="198"/>
        <w:textAlignment w:val="auto"/>
        <w:rPr>
          <w:rFonts w:ascii="宋体" w:hAnsi="宋体" w:eastAsia="宋体" w:cs="宋体"/>
          <w:sz w:val="24"/>
          <w:szCs w:val="24"/>
          <w:highlight w:val="none"/>
        </w:rPr>
      </w:pPr>
      <w:r>
        <w:rPr>
          <w:rFonts w:hint="eastAsia" w:ascii="宋体" w:hAnsi="宋体" w:eastAsia="宋体" w:cs="宋体"/>
          <w:sz w:val="24"/>
          <w:szCs w:val="24"/>
          <w:highlight w:val="none"/>
        </w:rPr>
        <w:t>（一）初验：系统上线前，应对系统的各项功能进行详细验证，确保系统功能符合需求，并完成系统压力测试，买卖双方对系统功能、业务流程确认无误，中标供应商向采购人交付需求确认书、系统设计方案、系统数据库设计规范、系统操作手册、使用说明等相关资料。双方共同签署系统检验确认书，确认书将作为申请付款单据的一部分，但有关功能、业务、流程、性能等的检验不应视为最终检验。</w:t>
      </w:r>
    </w:p>
    <w:p>
      <w:pPr>
        <w:widowControl w:val="0"/>
        <w:autoSpaceDE/>
        <w:autoSpaceDN/>
        <w:spacing w:line="470" w:lineRule="exact"/>
        <w:ind w:firstLine="475" w:firstLineChars="198"/>
        <w:textAlignment w:val="auto"/>
        <w:rPr>
          <w:rFonts w:ascii="宋体" w:hAnsi="宋体" w:eastAsia="宋体" w:cs="宋体"/>
          <w:sz w:val="24"/>
          <w:szCs w:val="24"/>
          <w:highlight w:val="none"/>
        </w:rPr>
      </w:pPr>
      <w:r>
        <w:rPr>
          <w:rFonts w:hint="eastAsia" w:ascii="宋体" w:hAnsi="宋体" w:eastAsia="宋体" w:cs="宋体"/>
          <w:sz w:val="24"/>
          <w:szCs w:val="24"/>
          <w:highlight w:val="none"/>
        </w:rPr>
        <w:t>（二）验收：</w:t>
      </w:r>
    </w:p>
    <w:p>
      <w:pPr>
        <w:widowControl w:val="0"/>
        <w:autoSpaceDE/>
        <w:autoSpaceDN/>
        <w:spacing w:line="470" w:lineRule="exact"/>
        <w:ind w:firstLine="475" w:firstLineChars="198"/>
        <w:textAlignment w:val="auto"/>
        <w:rPr>
          <w:rFonts w:ascii="宋体" w:hAnsi="宋体" w:eastAsia="宋体" w:cs="宋体"/>
          <w:sz w:val="24"/>
          <w:szCs w:val="24"/>
          <w:highlight w:val="none"/>
        </w:rPr>
      </w:pPr>
      <w:r>
        <w:rPr>
          <w:rFonts w:hint="eastAsia" w:ascii="宋体" w:hAnsi="宋体" w:eastAsia="宋体" w:cs="宋体"/>
          <w:sz w:val="24"/>
          <w:szCs w:val="24"/>
          <w:highlight w:val="none"/>
        </w:rPr>
        <w:t>1、通过初验后，系统上线试运行，试运行结束后，能够实现招标技术要求，中标供应商准备验收文件并书面通知采购人。</w:t>
      </w:r>
    </w:p>
    <w:p>
      <w:pPr>
        <w:widowControl w:val="0"/>
        <w:autoSpaceDE/>
        <w:autoSpaceDN/>
        <w:spacing w:line="470" w:lineRule="exact"/>
        <w:ind w:firstLine="475" w:firstLineChars="198"/>
        <w:textAlignment w:val="auto"/>
        <w:rPr>
          <w:rFonts w:ascii="宋体" w:hAnsi="宋体" w:eastAsia="宋体" w:cs="宋体"/>
          <w:sz w:val="24"/>
          <w:szCs w:val="24"/>
          <w:highlight w:val="none"/>
        </w:rPr>
      </w:pPr>
      <w:r>
        <w:rPr>
          <w:rFonts w:hint="eastAsia" w:ascii="宋体" w:hAnsi="宋体" w:eastAsia="宋体" w:cs="宋体"/>
          <w:sz w:val="24"/>
          <w:szCs w:val="24"/>
          <w:highlight w:val="none"/>
        </w:rPr>
        <w:t>2、中标供应商在正式验收前应提交符合网络安全法所规定的系统安全等级保护三级证书。</w:t>
      </w:r>
    </w:p>
    <w:p>
      <w:pPr>
        <w:widowControl w:val="0"/>
        <w:autoSpaceDE/>
        <w:autoSpaceDN/>
        <w:spacing w:line="470" w:lineRule="exact"/>
        <w:ind w:firstLine="475" w:firstLineChars="198"/>
        <w:textAlignment w:val="auto"/>
        <w:rPr>
          <w:rFonts w:ascii="宋体" w:hAnsi="宋体" w:eastAsia="宋体" w:cs="宋体"/>
          <w:sz w:val="24"/>
          <w:szCs w:val="24"/>
          <w:highlight w:val="none"/>
        </w:rPr>
      </w:pPr>
      <w:r>
        <w:rPr>
          <w:rFonts w:hint="eastAsia" w:ascii="宋体" w:hAnsi="宋体" w:eastAsia="宋体" w:cs="宋体"/>
          <w:sz w:val="24"/>
          <w:szCs w:val="24"/>
          <w:highlight w:val="none"/>
        </w:rPr>
        <w:t>3、采购人确认中标供应商的自检初验合格后，组织中标供应商（必要时请有关专家）进行系统验收，验收合格后，填写项目验收单作为对项目的最终认可。</w:t>
      </w:r>
    </w:p>
    <w:p>
      <w:pPr>
        <w:widowControl w:val="0"/>
        <w:autoSpaceDE/>
        <w:autoSpaceDN/>
        <w:spacing w:line="470" w:lineRule="exact"/>
        <w:ind w:firstLine="475" w:firstLineChars="198"/>
        <w:textAlignment w:val="auto"/>
        <w:rPr>
          <w:rFonts w:ascii="宋体" w:hAnsi="宋体" w:eastAsia="宋体" w:cs="宋体"/>
          <w:sz w:val="24"/>
          <w:szCs w:val="24"/>
          <w:highlight w:val="none"/>
        </w:rPr>
      </w:pPr>
      <w:r>
        <w:rPr>
          <w:rFonts w:hint="eastAsia" w:ascii="宋体" w:hAnsi="宋体" w:eastAsia="宋体" w:cs="宋体"/>
          <w:sz w:val="24"/>
          <w:szCs w:val="24"/>
          <w:highlight w:val="none"/>
        </w:rPr>
        <w:t>（三）服务商向采购人提供服务过程中的所有资料,以便采购人日后管理和维护。</w:t>
      </w:r>
    </w:p>
    <w:p>
      <w:pPr>
        <w:widowControl w:val="0"/>
        <w:autoSpaceDE/>
        <w:autoSpaceDN/>
        <w:spacing w:line="470" w:lineRule="exact"/>
        <w:ind w:firstLine="475" w:firstLineChars="198"/>
        <w:textAlignment w:val="auto"/>
        <w:rPr>
          <w:rFonts w:ascii="宋体" w:hAnsi="宋体" w:eastAsia="宋体" w:cs="宋体"/>
          <w:sz w:val="24"/>
          <w:szCs w:val="24"/>
          <w:highlight w:val="none"/>
        </w:rPr>
      </w:pPr>
      <w:r>
        <w:rPr>
          <w:rFonts w:hint="eastAsia" w:ascii="宋体" w:hAnsi="宋体" w:eastAsia="宋体" w:cs="宋体"/>
          <w:sz w:val="24"/>
          <w:szCs w:val="24"/>
          <w:highlight w:val="none"/>
        </w:rPr>
        <w:t>（四）验收依据</w:t>
      </w:r>
    </w:p>
    <w:p>
      <w:pPr>
        <w:widowControl w:val="0"/>
        <w:autoSpaceDE/>
        <w:autoSpaceDN/>
        <w:spacing w:line="470" w:lineRule="exact"/>
        <w:ind w:firstLine="475" w:firstLineChars="198"/>
        <w:textAlignment w:val="auto"/>
        <w:rPr>
          <w:rFonts w:ascii="宋体" w:hAnsi="宋体" w:eastAsia="宋体" w:cs="宋体"/>
          <w:sz w:val="24"/>
          <w:szCs w:val="24"/>
          <w:highlight w:val="none"/>
        </w:rPr>
      </w:pPr>
      <w:r>
        <w:rPr>
          <w:rFonts w:hint="eastAsia" w:ascii="宋体" w:hAnsi="宋体" w:eastAsia="宋体" w:cs="宋体"/>
          <w:sz w:val="24"/>
          <w:szCs w:val="24"/>
          <w:highlight w:val="none"/>
        </w:rPr>
        <w:t>1、招标文件、投标文件、澄清表（函）；</w:t>
      </w:r>
    </w:p>
    <w:p>
      <w:pPr>
        <w:widowControl w:val="0"/>
        <w:autoSpaceDE/>
        <w:autoSpaceDN/>
        <w:spacing w:line="470" w:lineRule="exact"/>
        <w:ind w:firstLine="475" w:firstLineChars="198"/>
        <w:textAlignment w:val="auto"/>
        <w:rPr>
          <w:rFonts w:ascii="宋体" w:hAnsi="宋体" w:eastAsia="宋体" w:cs="宋体"/>
          <w:sz w:val="24"/>
          <w:szCs w:val="24"/>
          <w:highlight w:val="none"/>
        </w:rPr>
      </w:pPr>
      <w:r>
        <w:rPr>
          <w:rFonts w:hint="eastAsia" w:ascii="宋体" w:hAnsi="宋体" w:eastAsia="宋体" w:cs="宋体"/>
          <w:sz w:val="24"/>
          <w:szCs w:val="24"/>
          <w:highlight w:val="none"/>
        </w:rPr>
        <w:t>2、本合同及附件文本；</w:t>
      </w:r>
    </w:p>
    <w:p>
      <w:pPr>
        <w:widowControl w:val="0"/>
        <w:autoSpaceDE/>
        <w:autoSpaceDN/>
        <w:spacing w:line="470" w:lineRule="exact"/>
        <w:ind w:firstLine="475" w:firstLineChars="198"/>
        <w:textAlignment w:val="auto"/>
        <w:rPr>
          <w:rFonts w:ascii="宋体" w:hAnsi="宋体" w:eastAsia="宋体" w:cs="宋体"/>
          <w:sz w:val="24"/>
          <w:szCs w:val="24"/>
          <w:highlight w:val="none"/>
        </w:rPr>
      </w:pPr>
      <w:r>
        <w:rPr>
          <w:rFonts w:hint="eastAsia" w:ascii="宋体" w:hAnsi="宋体" w:eastAsia="宋体" w:cs="宋体"/>
          <w:sz w:val="24"/>
          <w:szCs w:val="24"/>
          <w:highlight w:val="none"/>
        </w:rPr>
        <w:t>3、合同签订时国家及行业现行的标准和技术规范。</w:t>
      </w:r>
    </w:p>
    <w:p>
      <w:pPr>
        <w:spacing w:before="156" w:beforeLines="50"/>
        <w:rPr>
          <w:rFonts w:ascii="宋体" w:hAnsi="宋体" w:cs="宋体"/>
          <w:b/>
          <w:sz w:val="24"/>
          <w:szCs w:val="24"/>
          <w:highlight w:val="none"/>
        </w:rPr>
      </w:pPr>
      <w:bookmarkStart w:id="185" w:name="_Toc3410"/>
      <w:bookmarkStart w:id="186" w:name="_Toc3686"/>
      <w:bookmarkStart w:id="187" w:name="_Toc8357"/>
      <w:bookmarkStart w:id="188" w:name="_Toc75444501"/>
      <w:bookmarkStart w:id="189" w:name="_Toc7601"/>
      <w:r>
        <w:rPr>
          <w:rFonts w:hint="eastAsia" w:ascii="宋体" w:hAnsi="宋体" w:cs="宋体"/>
          <w:b/>
          <w:sz w:val="24"/>
          <w:szCs w:val="24"/>
          <w:highlight w:val="none"/>
        </w:rPr>
        <w:t>八、售后服务</w:t>
      </w:r>
      <w:bookmarkEnd w:id="185"/>
      <w:bookmarkEnd w:id="186"/>
      <w:bookmarkEnd w:id="187"/>
      <w:bookmarkEnd w:id="188"/>
      <w:bookmarkEnd w:id="189"/>
    </w:p>
    <w:p>
      <w:pPr>
        <w:widowControl w:val="0"/>
        <w:autoSpaceDE/>
        <w:autoSpaceDN/>
        <w:spacing w:line="470" w:lineRule="exact"/>
        <w:ind w:firstLine="475" w:firstLineChars="198"/>
        <w:textAlignment w:val="auto"/>
        <w:rPr>
          <w:rFonts w:ascii="宋体" w:hAnsi="宋体" w:eastAsia="宋体" w:cs="宋体"/>
          <w:sz w:val="24"/>
          <w:szCs w:val="24"/>
          <w:highlight w:val="none"/>
        </w:rPr>
      </w:pPr>
      <w:r>
        <w:rPr>
          <w:rFonts w:hint="eastAsia" w:ascii="宋体" w:hAnsi="宋体" w:eastAsia="宋体" w:cs="宋体"/>
          <w:sz w:val="24"/>
          <w:szCs w:val="24"/>
          <w:highlight w:val="none"/>
        </w:rPr>
        <w:t>质量保证期：项目建设完成且由采购人验收合格之日起</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年（硬件设备质保期自供货之日起</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年），若该质量保证期小于国家标准，则以国家标准为准。</w:t>
      </w:r>
    </w:p>
    <w:p>
      <w:pPr>
        <w:pStyle w:val="30"/>
        <w:ind w:firstLine="480" w:firstLineChars="200"/>
        <w:rPr>
          <w:rFonts w:ascii="宋体" w:hAnsi="宋体" w:cs="宋体"/>
          <w:b/>
          <w:sz w:val="24"/>
          <w:szCs w:val="24"/>
          <w:highlight w:val="none"/>
        </w:rPr>
      </w:pPr>
      <w:bookmarkStart w:id="190" w:name="_Toc23622"/>
      <w:bookmarkStart w:id="191" w:name="_Toc32287"/>
      <w:r>
        <w:rPr>
          <w:rFonts w:hint="eastAsia" w:ascii="宋体" w:hAnsi="宋体" w:cs="宋体"/>
          <w:b/>
          <w:sz w:val="24"/>
          <w:szCs w:val="24"/>
          <w:highlight w:val="none"/>
        </w:rPr>
        <w:t>（一）质保期内</w:t>
      </w:r>
      <w:bookmarkEnd w:id="190"/>
      <w:bookmarkEnd w:id="191"/>
    </w:p>
    <w:p>
      <w:pPr>
        <w:widowControl w:val="0"/>
        <w:autoSpaceDE/>
        <w:autoSpaceDN/>
        <w:spacing w:line="470" w:lineRule="exact"/>
        <w:ind w:firstLine="475" w:firstLineChars="198"/>
        <w:textAlignment w:val="auto"/>
        <w:rPr>
          <w:rFonts w:ascii="宋体" w:hAnsi="宋体" w:eastAsia="宋体" w:cs="宋体"/>
          <w:sz w:val="24"/>
          <w:szCs w:val="24"/>
          <w:highlight w:val="none"/>
        </w:rPr>
      </w:pPr>
      <w:r>
        <w:rPr>
          <w:rFonts w:hint="eastAsia" w:ascii="宋体" w:hAnsi="宋体" w:eastAsia="宋体" w:cs="宋体"/>
          <w:sz w:val="24"/>
          <w:szCs w:val="24"/>
          <w:highlight w:val="none"/>
        </w:rPr>
        <w:t>供应商应提供详细且易于执行的售后服务保障措施，至少满足如下要求：</w:t>
      </w:r>
    </w:p>
    <w:p>
      <w:pPr>
        <w:widowControl w:val="0"/>
        <w:autoSpaceDE/>
        <w:autoSpaceDN/>
        <w:spacing w:line="470" w:lineRule="exact"/>
        <w:ind w:firstLine="475" w:firstLineChars="198"/>
        <w:textAlignment w:val="auto"/>
        <w:rPr>
          <w:rFonts w:ascii="宋体" w:hAnsi="宋体" w:eastAsia="宋体" w:cs="宋体"/>
          <w:sz w:val="24"/>
          <w:szCs w:val="24"/>
          <w:highlight w:val="none"/>
        </w:rPr>
      </w:pPr>
      <w:r>
        <w:rPr>
          <w:rFonts w:hint="eastAsia" w:ascii="宋体" w:hAnsi="宋体" w:eastAsia="宋体" w:cs="宋体"/>
          <w:sz w:val="24"/>
          <w:szCs w:val="24"/>
          <w:highlight w:val="none"/>
        </w:rPr>
        <w:t>1.售后服务响应</w:t>
      </w:r>
    </w:p>
    <w:p>
      <w:pPr>
        <w:widowControl w:val="0"/>
        <w:autoSpaceDE/>
        <w:autoSpaceDN/>
        <w:spacing w:line="470" w:lineRule="exact"/>
        <w:ind w:firstLine="475" w:firstLineChars="198"/>
        <w:textAlignment w:val="auto"/>
        <w:rPr>
          <w:rFonts w:ascii="宋体" w:hAnsi="宋体" w:eastAsia="宋体" w:cs="宋体"/>
          <w:sz w:val="24"/>
          <w:szCs w:val="24"/>
          <w:highlight w:val="none"/>
        </w:rPr>
      </w:pPr>
      <w:r>
        <w:rPr>
          <w:rFonts w:hint="eastAsia" w:ascii="宋体" w:hAnsi="宋体" w:eastAsia="宋体" w:cs="宋体"/>
          <w:sz w:val="24"/>
          <w:szCs w:val="24"/>
          <w:highlight w:val="none"/>
        </w:rPr>
        <w:t>7*24小时的售后服务响应，同时提供至少两名服务人员长期驻场，服务范围主要包含但不限于故障处理，人员培训，系统维护升级，协调公司内部资源到达现场处理等，要求供应商确保1小时内响应，2小时内必须现场响应，一般故障要在8小时内解决，系统宕机或硬件故障24小时内解决。必要时供应商应提供备件使系统能正常工作，硬件故障维修时应当详细记录故障原因及排除方法，维修完毕将其移交最终用户。</w:t>
      </w:r>
    </w:p>
    <w:p>
      <w:pPr>
        <w:widowControl w:val="0"/>
        <w:autoSpaceDE/>
        <w:autoSpaceDN/>
        <w:spacing w:line="470" w:lineRule="exact"/>
        <w:ind w:firstLine="475" w:firstLineChars="198"/>
        <w:textAlignment w:val="auto"/>
        <w:rPr>
          <w:rFonts w:ascii="宋体" w:hAnsi="宋体" w:eastAsia="宋体" w:cs="宋体"/>
          <w:sz w:val="24"/>
          <w:szCs w:val="24"/>
          <w:highlight w:val="none"/>
        </w:rPr>
      </w:pPr>
      <w:r>
        <w:rPr>
          <w:rFonts w:hint="eastAsia" w:ascii="宋体" w:hAnsi="宋体" w:eastAsia="宋体" w:cs="宋体"/>
          <w:sz w:val="24"/>
          <w:szCs w:val="24"/>
          <w:highlight w:val="none"/>
        </w:rPr>
        <w:t>2.热线服务</w:t>
      </w:r>
    </w:p>
    <w:p>
      <w:pPr>
        <w:widowControl w:val="0"/>
        <w:autoSpaceDE/>
        <w:autoSpaceDN/>
        <w:spacing w:line="470" w:lineRule="exact"/>
        <w:ind w:firstLine="475" w:firstLineChars="198"/>
        <w:textAlignment w:val="auto"/>
        <w:rPr>
          <w:rFonts w:ascii="宋体" w:hAnsi="宋体" w:eastAsia="宋体" w:cs="宋体"/>
          <w:sz w:val="24"/>
          <w:szCs w:val="24"/>
          <w:highlight w:val="none"/>
        </w:rPr>
      </w:pPr>
      <w:r>
        <w:rPr>
          <w:rFonts w:hint="eastAsia" w:ascii="宋体" w:hAnsi="宋体" w:eastAsia="宋体" w:cs="宋体"/>
          <w:sz w:val="24"/>
          <w:szCs w:val="24"/>
          <w:highlight w:val="none"/>
        </w:rPr>
        <w:t>应提供热线电话或E-mail、传真等途径随时回答与工程有关的技术问题并在24小时内提出解决方案。</w:t>
      </w:r>
    </w:p>
    <w:p>
      <w:pPr>
        <w:widowControl w:val="0"/>
        <w:autoSpaceDE/>
        <w:autoSpaceDN/>
        <w:spacing w:line="470" w:lineRule="exact"/>
        <w:ind w:firstLine="475" w:firstLineChars="198"/>
        <w:textAlignment w:val="auto"/>
        <w:rPr>
          <w:rFonts w:ascii="宋体" w:hAnsi="宋体" w:eastAsia="宋体" w:cs="宋体"/>
          <w:sz w:val="24"/>
          <w:szCs w:val="24"/>
          <w:highlight w:val="none"/>
        </w:rPr>
      </w:pPr>
      <w:r>
        <w:rPr>
          <w:rFonts w:hint="eastAsia" w:ascii="宋体" w:hAnsi="宋体" w:eastAsia="宋体" w:cs="宋体"/>
          <w:sz w:val="24"/>
          <w:szCs w:val="24"/>
          <w:highlight w:val="none"/>
        </w:rPr>
        <w:t>3.定期跟踪</w:t>
      </w:r>
    </w:p>
    <w:p>
      <w:pPr>
        <w:widowControl w:val="0"/>
        <w:autoSpaceDE/>
        <w:autoSpaceDN/>
        <w:spacing w:line="470" w:lineRule="exact"/>
        <w:ind w:firstLine="475" w:firstLineChars="198"/>
        <w:textAlignment w:val="auto"/>
        <w:rPr>
          <w:rFonts w:ascii="宋体" w:hAnsi="宋体" w:eastAsia="宋体" w:cs="宋体"/>
          <w:sz w:val="24"/>
          <w:szCs w:val="24"/>
          <w:highlight w:val="none"/>
        </w:rPr>
      </w:pPr>
      <w:r>
        <w:rPr>
          <w:rFonts w:hint="eastAsia" w:ascii="宋体" w:hAnsi="宋体" w:eastAsia="宋体" w:cs="宋体"/>
          <w:sz w:val="24"/>
          <w:szCs w:val="24"/>
          <w:highlight w:val="none"/>
        </w:rPr>
        <w:t>系统验收完毕后，应定期跟踪和回访使用情况（每季度至少一次）。及时了解存在的问题，并随时给予解决。</w:t>
      </w:r>
    </w:p>
    <w:p>
      <w:pPr>
        <w:widowControl w:val="0"/>
        <w:autoSpaceDE/>
        <w:autoSpaceDN/>
        <w:spacing w:line="470" w:lineRule="exact"/>
        <w:ind w:left="481" w:leftChars="228" w:hanging="2" w:hangingChars="1"/>
        <w:textAlignment w:val="auto"/>
        <w:rPr>
          <w:rFonts w:ascii="宋体" w:hAnsi="宋体" w:cs="宋体"/>
          <w:b/>
          <w:sz w:val="24"/>
          <w:szCs w:val="24"/>
          <w:highlight w:val="none"/>
        </w:rPr>
      </w:pPr>
      <w:r>
        <w:rPr>
          <w:rFonts w:hint="eastAsia" w:ascii="宋体" w:hAnsi="宋体" w:eastAsia="宋体" w:cs="宋体"/>
          <w:sz w:val="24"/>
          <w:szCs w:val="24"/>
          <w:highlight w:val="none"/>
        </w:rPr>
        <w:t>4.根据系统需要，中标供应商提供免费软件升级服务以满足系统良好运行。</w:t>
      </w:r>
      <w:bookmarkStart w:id="192" w:name="_Toc28742"/>
      <w:bookmarkStart w:id="193" w:name="_Toc25622"/>
      <w:r>
        <w:rPr>
          <w:rFonts w:hint="eastAsia" w:ascii="宋体" w:hAnsi="宋体" w:cs="宋体"/>
          <w:b/>
          <w:sz w:val="24"/>
          <w:szCs w:val="24"/>
          <w:highlight w:val="none"/>
        </w:rPr>
        <w:t>（二）质保期满后</w:t>
      </w:r>
      <w:bookmarkEnd w:id="192"/>
      <w:bookmarkEnd w:id="193"/>
    </w:p>
    <w:p>
      <w:pPr>
        <w:widowControl w:val="0"/>
        <w:autoSpaceDE/>
        <w:autoSpaceDN/>
        <w:spacing w:line="470" w:lineRule="exact"/>
        <w:ind w:firstLine="475" w:firstLineChars="198"/>
        <w:textAlignment w:val="auto"/>
        <w:rPr>
          <w:rFonts w:ascii="宋体" w:hAnsi="宋体" w:eastAsia="宋体" w:cs="宋体"/>
          <w:sz w:val="24"/>
          <w:szCs w:val="24"/>
          <w:highlight w:val="none"/>
        </w:rPr>
      </w:pPr>
      <w:r>
        <w:rPr>
          <w:rFonts w:hint="eastAsia" w:ascii="宋体" w:hAnsi="宋体" w:eastAsia="宋体" w:cs="宋体"/>
          <w:sz w:val="24"/>
          <w:szCs w:val="24"/>
          <w:highlight w:val="none"/>
        </w:rPr>
        <w:t>中标供应商应保证以合理的价格提供维护和保养服务，当发生故障时，中标供应商应按质保期内相同的服务标准进行维护处理。</w:t>
      </w:r>
      <w:bookmarkStart w:id="194" w:name="_Toc17515"/>
      <w:bookmarkStart w:id="195" w:name="_Toc25036"/>
    </w:p>
    <w:p>
      <w:pPr>
        <w:widowControl w:val="0"/>
        <w:autoSpaceDE/>
        <w:autoSpaceDN/>
        <w:spacing w:line="470" w:lineRule="exact"/>
        <w:ind w:firstLine="475" w:firstLineChars="198"/>
        <w:textAlignment w:val="auto"/>
        <w:rPr>
          <w:rFonts w:ascii="宋体" w:hAnsi="宋体" w:cs="宋体"/>
          <w:b/>
          <w:sz w:val="24"/>
          <w:szCs w:val="24"/>
          <w:highlight w:val="none"/>
        </w:rPr>
      </w:pPr>
      <w:r>
        <w:rPr>
          <w:rFonts w:hint="eastAsia" w:ascii="宋体" w:hAnsi="宋体" w:cs="宋体"/>
          <w:b/>
          <w:sz w:val="24"/>
          <w:szCs w:val="24"/>
          <w:highlight w:val="none"/>
        </w:rPr>
        <w:t>（三）人员培训</w:t>
      </w:r>
      <w:bookmarkEnd w:id="194"/>
      <w:bookmarkEnd w:id="195"/>
    </w:p>
    <w:p>
      <w:pPr>
        <w:widowControl w:val="0"/>
        <w:autoSpaceDE/>
        <w:autoSpaceDN/>
        <w:spacing w:line="470" w:lineRule="exact"/>
        <w:ind w:firstLine="475" w:firstLineChars="198"/>
        <w:textAlignment w:val="auto"/>
        <w:rPr>
          <w:rFonts w:ascii="宋体" w:hAnsi="宋体" w:eastAsia="宋体" w:cs="宋体"/>
          <w:sz w:val="24"/>
          <w:szCs w:val="24"/>
          <w:highlight w:val="none"/>
        </w:rPr>
      </w:pPr>
      <w:r>
        <w:rPr>
          <w:rFonts w:hint="eastAsia" w:ascii="宋体" w:hAnsi="宋体" w:eastAsia="宋体" w:cs="宋体"/>
          <w:sz w:val="24"/>
          <w:szCs w:val="24"/>
          <w:highlight w:val="none"/>
        </w:rPr>
        <w:t>供应商应根据项目实施的计划、进度和需要与采购人的合理要求，及时安排相关人员进行培训。供应商应提供免费培训及培训手册、系统操作手册等培训资料，培训目标为使受训者能够独立、熟练地完成操作，实现依据本合同所规定的系统的目标和功能。</w:t>
      </w:r>
    </w:p>
    <w:p>
      <w:pPr>
        <w:spacing w:before="156" w:beforeLines="50"/>
        <w:rPr>
          <w:rFonts w:ascii="宋体" w:hAnsi="宋体" w:cs="宋体"/>
          <w:b/>
          <w:sz w:val="24"/>
          <w:szCs w:val="24"/>
          <w:highlight w:val="none"/>
        </w:rPr>
      </w:pPr>
      <w:bookmarkStart w:id="196" w:name="_Toc4797"/>
      <w:bookmarkStart w:id="197" w:name="_Toc20860"/>
      <w:bookmarkStart w:id="198" w:name="_Toc25225"/>
      <w:bookmarkStart w:id="199" w:name="_Toc75444502"/>
      <w:bookmarkStart w:id="200" w:name="_Toc13513"/>
      <w:r>
        <w:rPr>
          <w:rFonts w:hint="eastAsia" w:ascii="宋体" w:hAnsi="宋体" w:cs="宋体"/>
          <w:b/>
          <w:sz w:val="24"/>
          <w:szCs w:val="24"/>
          <w:highlight w:val="none"/>
        </w:rPr>
        <w:t>九、知识产权</w:t>
      </w:r>
      <w:bookmarkEnd w:id="196"/>
      <w:bookmarkEnd w:id="197"/>
      <w:bookmarkEnd w:id="198"/>
      <w:bookmarkEnd w:id="199"/>
      <w:bookmarkEnd w:id="200"/>
    </w:p>
    <w:p>
      <w:pPr>
        <w:widowControl w:val="0"/>
        <w:autoSpaceDE/>
        <w:autoSpaceDN/>
        <w:spacing w:line="470" w:lineRule="exact"/>
        <w:ind w:firstLine="475" w:firstLineChars="198"/>
        <w:textAlignment w:val="auto"/>
        <w:rPr>
          <w:rFonts w:ascii="宋体" w:hAnsi="宋体" w:eastAsia="宋体" w:cs="宋体"/>
          <w:sz w:val="24"/>
          <w:szCs w:val="24"/>
          <w:highlight w:val="none"/>
        </w:rPr>
      </w:pPr>
      <w:r>
        <w:rPr>
          <w:rFonts w:hint="eastAsia" w:ascii="宋体" w:hAnsi="宋体" w:eastAsia="宋体" w:cs="宋体"/>
          <w:sz w:val="24"/>
          <w:szCs w:val="24"/>
          <w:highlight w:val="none"/>
        </w:rPr>
        <w:t>（一）版权、使用权和转让权</w:t>
      </w:r>
    </w:p>
    <w:p>
      <w:pPr>
        <w:widowControl w:val="0"/>
        <w:autoSpaceDE/>
        <w:autoSpaceDN/>
        <w:spacing w:line="470" w:lineRule="exact"/>
        <w:ind w:firstLine="475" w:firstLineChars="198"/>
        <w:textAlignment w:val="auto"/>
        <w:rPr>
          <w:rFonts w:ascii="宋体" w:hAnsi="宋体" w:eastAsia="宋体" w:cs="宋体"/>
          <w:sz w:val="24"/>
          <w:szCs w:val="24"/>
          <w:highlight w:val="none"/>
        </w:rPr>
      </w:pPr>
      <w:r>
        <w:rPr>
          <w:rFonts w:hint="eastAsia" w:ascii="宋体" w:hAnsi="宋体" w:eastAsia="宋体" w:cs="宋体"/>
          <w:sz w:val="24"/>
          <w:szCs w:val="24"/>
          <w:highlight w:val="none"/>
        </w:rPr>
        <w:t>本项目开发的应用软件的知识产权和著作权归采购方和供应商双方所有，使用权归采购方所有；未经一方同意，另一方不得进行技术秘密的转让。</w:t>
      </w:r>
    </w:p>
    <w:p>
      <w:pPr>
        <w:widowControl w:val="0"/>
        <w:autoSpaceDE/>
        <w:autoSpaceDN/>
        <w:spacing w:line="470" w:lineRule="exact"/>
        <w:ind w:firstLine="475" w:firstLineChars="198"/>
        <w:textAlignment w:val="auto"/>
        <w:rPr>
          <w:rFonts w:ascii="宋体" w:hAnsi="宋体" w:eastAsia="宋体" w:cs="宋体"/>
          <w:sz w:val="24"/>
          <w:szCs w:val="24"/>
          <w:highlight w:val="none"/>
        </w:rPr>
      </w:pPr>
      <w:r>
        <w:rPr>
          <w:rFonts w:hint="eastAsia" w:ascii="宋体" w:hAnsi="宋体" w:eastAsia="宋体" w:cs="宋体"/>
          <w:sz w:val="24"/>
          <w:szCs w:val="24"/>
          <w:highlight w:val="none"/>
        </w:rPr>
        <w:t>（二）专利权</w:t>
      </w:r>
    </w:p>
    <w:p>
      <w:pPr>
        <w:widowControl w:val="0"/>
        <w:autoSpaceDE/>
        <w:autoSpaceDN/>
        <w:spacing w:line="470" w:lineRule="exact"/>
        <w:ind w:firstLine="475" w:firstLineChars="198"/>
        <w:textAlignment w:val="auto"/>
        <w:rPr>
          <w:rFonts w:ascii="宋体" w:hAnsi="宋体" w:eastAsia="宋体" w:cs="宋体"/>
          <w:sz w:val="24"/>
          <w:szCs w:val="24"/>
          <w:highlight w:val="none"/>
        </w:rPr>
      </w:pPr>
      <w:r>
        <w:rPr>
          <w:rFonts w:hint="eastAsia" w:ascii="宋体" w:hAnsi="宋体" w:eastAsia="宋体" w:cs="宋体"/>
          <w:sz w:val="24"/>
          <w:szCs w:val="24"/>
          <w:highlight w:val="none"/>
        </w:rPr>
        <w:t>在履行本项目完成的研究开发成果的专利权（包括专利申请权）归双方共有。一方不同意申请专利的，另一方不得申请专利。一方放弃专利申请权的，由另一方单独享有；专利授予以后，放弃专利申请权的一方可免费取得该项专利的普通实施许可；一方转让共有专利权的，另一方享有优先受让权。</w:t>
      </w:r>
    </w:p>
    <w:p>
      <w:pPr>
        <w:widowControl w:val="0"/>
        <w:autoSpaceDE/>
        <w:autoSpaceDN/>
        <w:spacing w:line="470" w:lineRule="exact"/>
        <w:ind w:firstLine="475" w:firstLineChars="198"/>
        <w:textAlignment w:val="auto"/>
        <w:rPr>
          <w:rFonts w:ascii="宋体" w:hAnsi="宋体" w:eastAsia="宋体" w:cs="宋体"/>
          <w:sz w:val="24"/>
          <w:szCs w:val="24"/>
          <w:highlight w:val="none"/>
        </w:rPr>
      </w:pPr>
      <w:r>
        <w:rPr>
          <w:rFonts w:hint="eastAsia" w:ascii="宋体" w:hAnsi="宋体" w:eastAsia="宋体" w:cs="宋体"/>
          <w:sz w:val="24"/>
          <w:szCs w:val="24"/>
          <w:highlight w:val="none"/>
        </w:rPr>
        <w:t>（三）其他权利由采购方享有。</w:t>
      </w:r>
    </w:p>
    <w:p>
      <w:pPr>
        <w:widowControl w:val="0"/>
        <w:autoSpaceDE/>
        <w:autoSpaceDN/>
        <w:spacing w:line="470" w:lineRule="exact"/>
        <w:ind w:firstLine="475" w:firstLineChars="198"/>
        <w:textAlignment w:val="auto"/>
        <w:rPr>
          <w:rFonts w:ascii="宋体" w:hAnsi="宋体" w:eastAsia="宋体" w:cs="宋体"/>
          <w:sz w:val="24"/>
          <w:szCs w:val="24"/>
          <w:highlight w:val="none"/>
        </w:rPr>
      </w:pPr>
      <w:r>
        <w:rPr>
          <w:rFonts w:hint="eastAsia" w:ascii="宋体" w:hAnsi="宋体" w:eastAsia="宋体" w:cs="宋体"/>
          <w:sz w:val="24"/>
          <w:szCs w:val="24"/>
          <w:highlight w:val="none"/>
        </w:rPr>
        <w:t>（四）中标供应商应保证采购人在使用服务内容时，不承担任何涉及知识产权法律诉讼的责任。</w:t>
      </w:r>
    </w:p>
    <w:p>
      <w:pPr>
        <w:spacing w:before="156" w:beforeLines="50"/>
        <w:rPr>
          <w:rFonts w:ascii="宋体" w:hAnsi="宋体" w:cs="宋体"/>
          <w:b/>
          <w:sz w:val="24"/>
          <w:szCs w:val="24"/>
          <w:highlight w:val="none"/>
        </w:rPr>
      </w:pPr>
      <w:bookmarkStart w:id="201" w:name="_Toc1417"/>
      <w:bookmarkStart w:id="202" w:name="_Toc75444503"/>
      <w:bookmarkStart w:id="203" w:name="_Toc20328"/>
      <w:bookmarkStart w:id="204" w:name="_Toc8464"/>
      <w:bookmarkStart w:id="205" w:name="_Toc23202"/>
      <w:r>
        <w:rPr>
          <w:rFonts w:hint="eastAsia" w:ascii="宋体" w:hAnsi="宋体" w:cs="宋体"/>
          <w:b/>
          <w:sz w:val="24"/>
          <w:szCs w:val="24"/>
          <w:highlight w:val="none"/>
        </w:rPr>
        <w:t>十、技术与服务</w:t>
      </w:r>
      <w:bookmarkEnd w:id="201"/>
      <w:bookmarkEnd w:id="202"/>
      <w:bookmarkEnd w:id="203"/>
      <w:bookmarkEnd w:id="204"/>
      <w:bookmarkEnd w:id="205"/>
    </w:p>
    <w:p>
      <w:pPr>
        <w:widowControl w:val="0"/>
        <w:autoSpaceDE/>
        <w:autoSpaceDN/>
        <w:spacing w:line="470" w:lineRule="exact"/>
        <w:ind w:firstLine="475" w:firstLineChars="198"/>
        <w:textAlignment w:val="auto"/>
        <w:rPr>
          <w:rFonts w:ascii="宋体" w:hAnsi="宋体" w:eastAsia="宋体" w:cs="宋体"/>
          <w:sz w:val="24"/>
          <w:szCs w:val="24"/>
          <w:highlight w:val="none"/>
        </w:rPr>
      </w:pPr>
      <w:bookmarkStart w:id="206" w:name="_Toc27630"/>
      <w:bookmarkStart w:id="207" w:name="_Toc21531"/>
      <w:r>
        <w:rPr>
          <w:rFonts w:hint="eastAsia" w:ascii="宋体" w:hAnsi="宋体" w:eastAsia="宋体" w:cs="宋体"/>
          <w:sz w:val="24"/>
          <w:szCs w:val="24"/>
          <w:highlight w:val="none"/>
        </w:rPr>
        <w:t>（一）技术资料</w:t>
      </w:r>
      <w:bookmarkEnd w:id="206"/>
      <w:bookmarkEnd w:id="207"/>
    </w:p>
    <w:p>
      <w:pPr>
        <w:widowControl w:val="0"/>
        <w:autoSpaceDE/>
        <w:autoSpaceDN/>
        <w:spacing w:line="470" w:lineRule="exact"/>
        <w:ind w:firstLine="475" w:firstLineChars="198"/>
        <w:textAlignment w:val="auto"/>
        <w:rPr>
          <w:rFonts w:ascii="宋体" w:hAnsi="宋体" w:eastAsia="宋体" w:cs="宋体"/>
          <w:sz w:val="24"/>
          <w:szCs w:val="24"/>
          <w:highlight w:val="none"/>
        </w:rPr>
      </w:pPr>
      <w:r>
        <w:rPr>
          <w:rFonts w:hint="eastAsia" w:ascii="宋体" w:hAnsi="宋体" w:eastAsia="宋体" w:cs="宋体"/>
          <w:sz w:val="24"/>
          <w:szCs w:val="24"/>
          <w:highlight w:val="none"/>
        </w:rPr>
        <w:t>1.文档成果，文档形式提交：包括项目需求调研报告、项目实施方案、系统数据库设计规范、系统操作手册、使用说明、维护手册、服务指南、测试报告、技术总结报告、验收报告以及项目管理中涉及的相关文字材料，需提交相关文档，具体数量项目验收前和采购人协商决定。</w:t>
      </w:r>
    </w:p>
    <w:p>
      <w:pPr>
        <w:widowControl w:val="0"/>
        <w:autoSpaceDE/>
        <w:autoSpaceDN/>
        <w:spacing w:line="470" w:lineRule="exact"/>
        <w:ind w:firstLine="475" w:firstLineChars="198"/>
        <w:textAlignment w:val="auto"/>
        <w:rPr>
          <w:rFonts w:ascii="宋体" w:hAnsi="宋体" w:eastAsia="宋体" w:cs="宋体"/>
          <w:sz w:val="24"/>
          <w:szCs w:val="24"/>
          <w:highlight w:val="none"/>
        </w:rPr>
      </w:pPr>
      <w:r>
        <w:rPr>
          <w:rFonts w:hint="eastAsia" w:ascii="宋体" w:hAnsi="宋体" w:eastAsia="宋体" w:cs="宋体"/>
          <w:sz w:val="24"/>
          <w:szCs w:val="24"/>
          <w:highlight w:val="none"/>
        </w:rPr>
        <w:t>2.软件成果，以电子光盘形式提交。软件及数据成果包括：数据整理、建库各阶段的成果及辅助文件，各系统软件开发的程序源码及辅助文件，还包括各类技术文档、可执行程序、安装程序、有关图件等。</w:t>
      </w:r>
    </w:p>
    <w:p>
      <w:pPr>
        <w:widowControl w:val="0"/>
        <w:autoSpaceDE/>
        <w:autoSpaceDN/>
        <w:spacing w:line="470" w:lineRule="exact"/>
        <w:ind w:firstLine="475" w:firstLineChars="198"/>
        <w:textAlignment w:val="auto"/>
        <w:rPr>
          <w:rFonts w:ascii="宋体" w:hAnsi="宋体" w:eastAsia="宋体" w:cs="宋体"/>
          <w:sz w:val="24"/>
          <w:szCs w:val="24"/>
          <w:highlight w:val="none"/>
        </w:rPr>
      </w:pPr>
      <w:r>
        <w:rPr>
          <w:rFonts w:hint="eastAsia" w:ascii="宋体" w:hAnsi="宋体" w:eastAsia="宋体" w:cs="宋体"/>
          <w:sz w:val="24"/>
          <w:szCs w:val="24"/>
          <w:highlight w:val="none"/>
        </w:rPr>
        <w:t>除数据建库的各阶段成果、源码及备注、可执行程序、安装程序、培训材料为电子文件外，其它所有内容都必须同时提供电子和纸质成果。</w:t>
      </w:r>
    </w:p>
    <w:p>
      <w:pPr>
        <w:widowControl w:val="0"/>
        <w:autoSpaceDE/>
        <w:autoSpaceDN/>
        <w:spacing w:line="470" w:lineRule="exact"/>
        <w:ind w:firstLine="475" w:firstLineChars="198"/>
        <w:textAlignment w:val="auto"/>
        <w:rPr>
          <w:rFonts w:ascii="宋体" w:hAnsi="宋体" w:eastAsia="宋体" w:cs="宋体"/>
          <w:sz w:val="24"/>
          <w:szCs w:val="24"/>
          <w:highlight w:val="none"/>
        </w:rPr>
      </w:pPr>
      <w:bookmarkStart w:id="208" w:name="_Toc13383"/>
      <w:bookmarkStart w:id="209" w:name="_Toc7323"/>
      <w:r>
        <w:rPr>
          <w:rFonts w:hint="eastAsia" w:ascii="宋体" w:hAnsi="宋体" w:eastAsia="宋体" w:cs="宋体"/>
          <w:sz w:val="24"/>
          <w:szCs w:val="24"/>
          <w:highlight w:val="none"/>
        </w:rPr>
        <w:t>（二）服务承诺</w:t>
      </w:r>
      <w:bookmarkEnd w:id="208"/>
      <w:bookmarkEnd w:id="209"/>
    </w:p>
    <w:p>
      <w:pPr>
        <w:widowControl w:val="0"/>
        <w:autoSpaceDE/>
        <w:autoSpaceDN/>
        <w:spacing w:line="470" w:lineRule="exact"/>
        <w:ind w:firstLine="475" w:firstLineChars="198"/>
        <w:textAlignment w:val="auto"/>
        <w:rPr>
          <w:rFonts w:ascii="宋体" w:hAnsi="宋体" w:eastAsia="宋体" w:cs="宋体"/>
          <w:sz w:val="24"/>
          <w:szCs w:val="24"/>
          <w:highlight w:val="none"/>
        </w:rPr>
      </w:pPr>
      <w:r>
        <w:rPr>
          <w:rFonts w:hint="eastAsia" w:ascii="宋体" w:hAnsi="宋体" w:eastAsia="宋体" w:cs="宋体"/>
          <w:sz w:val="24"/>
          <w:szCs w:val="24"/>
          <w:highlight w:val="none"/>
        </w:rPr>
        <w:t>以投标文件、澄清表（函）、合同和随系统的相关文件为准。</w:t>
      </w:r>
    </w:p>
    <w:p>
      <w:pPr>
        <w:widowControl w:val="0"/>
        <w:autoSpaceDE/>
        <w:autoSpaceDN/>
        <w:spacing w:line="470" w:lineRule="exact"/>
        <w:ind w:firstLine="475" w:firstLineChars="198"/>
        <w:textAlignment w:val="auto"/>
        <w:rPr>
          <w:rFonts w:ascii="宋体" w:hAnsi="宋体" w:eastAsia="宋体" w:cs="宋体"/>
          <w:sz w:val="24"/>
          <w:szCs w:val="24"/>
          <w:highlight w:val="none"/>
        </w:rPr>
      </w:pPr>
      <w:bookmarkStart w:id="210" w:name="_Toc2407"/>
      <w:bookmarkStart w:id="211" w:name="_Toc6227"/>
      <w:r>
        <w:rPr>
          <w:rFonts w:hint="eastAsia" w:ascii="宋体" w:hAnsi="宋体" w:eastAsia="宋体" w:cs="宋体"/>
          <w:sz w:val="24"/>
          <w:szCs w:val="24"/>
          <w:highlight w:val="none"/>
        </w:rPr>
        <w:t>（三）团队保障</w:t>
      </w:r>
      <w:bookmarkEnd w:id="210"/>
      <w:bookmarkEnd w:id="211"/>
    </w:p>
    <w:p>
      <w:pPr>
        <w:widowControl w:val="0"/>
        <w:autoSpaceDE/>
        <w:autoSpaceDN/>
        <w:spacing w:line="470" w:lineRule="exact"/>
        <w:ind w:firstLine="475" w:firstLineChars="198"/>
        <w:textAlignment w:val="auto"/>
        <w:rPr>
          <w:rFonts w:ascii="宋体" w:hAnsi="宋体" w:eastAsia="宋体" w:cs="宋体"/>
          <w:sz w:val="24"/>
          <w:szCs w:val="24"/>
          <w:highlight w:val="none"/>
        </w:rPr>
      </w:pPr>
      <w:r>
        <w:rPr>
          <w:rFonts w:hint="eastAsia" w:ascii="宋体" w:hAnsi="宋体" w:eastAsia="宋体" w:cs="宋体"/>
          <w:sz w:val="24"/>
          <w:szCs w:val="24"/>
          <w:highlight w:val="none"/>
        </w:rPr>
        <w:t>中标供应商应按招标要求为本合同下项目设立专门项目实施团队，并以文件形式向采购人提交团队成员情况表及驻场人员情况表。</w:t>
      </w:r>
    </w:p>
    <w:p>
      <w:pPr>
        <w:widowControl w:val="0"/>
        <w:autoSpaceDE/>
        <w:autoSpaceDN/>
        <w:spacing w:line="470" w:lineRule="exact"/>
        <w:ind w:firstLine="475" w:firstLineChars="198"/>
        <w:textAlignment w:val="auto"/>
        <w:rPr>
          <w:rFonts w:ascii="宋体" w:hAnsi="宋体" w:eastAsia="宋体" w:cs="宋体"/>
          <w:sz w:val="24"/>
          <w:szCs w:val="24"/>
          <w:highlight w:val="none"/>
        </w:rPr>
      </w:pPr>
      <w:bookmarkStart w:id="212" w:name="_Toc26072"/>
      <w:bookmarkStart w:id="213" w:name="_Toc28299"/>
      <w:r>
        <w:rPr>
          <w:rFonts w:hint="eastAsia" w:ascii="宋体" w:hAnsi="宋体" w:eastAsia="宋体" w:cs="宋体"/>
          <w:sz w:val="24"/>
          <w:szCs w:val="24"/>
          <w:highlight w:val="none"/>
        </w:rPr>
        <w:t>（四）设计变更</w:t>
      </w:r>
      <w:bookmarkEnd w:id="212"/>
      <w:bookmarkEnd w:id="213"/>
    </w:p>
    <w:p>
      <w:pPr>
        <w:widowControl w:val="0"/>
        <w:autoSpaceDE/>
        <w:autoSpaceDN/>
        <w:spacing w:line="470" w:lineRule="exact"/>
        <w:ind w:firstLine="475" w:firstLineChars="198"/>
        <w:textAlignment w:val="auto"/>
        <w:rPr>
          <w:rFonts w:ascii="宋体" w:hAnsi="宋体" w:eastAsia="宋体" w:cs="宋体"/>
          <w:sz w:val="24"/>
          <w:szCs w:val="24"/>
          <w:highlight w:val="none"/>
        </w:rPr>
      </w:pPr>
      <w:r>
        <w:rPr>
          <w:rFonts w:hint="eastAsia" w:ascii="宋体" w:hAnsi="宋体" w:eastAsia="宋体" w:cs="宋体"/>
          <w:sz w:val="24"/>
          <w:szCs w:val="24"/>
          <w:highlight w:val="none"/>
        </w:rPr>
        <w:t>采购项目执行中，采购人需调整设计内容时，可对相应的原采购内容进行调整，并协商确定价格差额计算方法和负担办法。中标供应商对软件系统的设计、性能需要变更、调整时，应征得采购人同意后，办理相应的变更、调整审批手续，并协商确定设计变更、性能调整后的价款计算方法和工期顺延等事宜。</w:t>
      </w:r>
    </w:p>
    <w:p>
      <w:pPr>
        <w:spacing w:before="156" w:beforeLines="50"/>
        <w:rPr>
          <w:rFonts w:ascii="宋体" w:hAnsi="宋体" w:cs="宋体"/>
          <w:b/>
          <w:sz w:val="24"/>
          <w:szCs w:val="24"/>
          <w:highlight w:val="none"/>
        </w:rPr>
      </w:pPr>
      <w:r>
        <w:rPr>
          <w:rFonts w:hint="eastAsia" w:ascii="宋体" w:hAnsi="宋体" w:cs="宋体"/>
          <w:b/>
          <w:sz w:val="24"/>
          <w:szCs w:val="24"/>
          <w:highlight w:val="none"/>
        </w:rPr>
        <w:t>十一、权利和义务</w:t>
      </w:r>
    </w:p>
    <w:p>
      <w:pPr>
        <w:widowControl w:val="0"/>
        <w:autoSpaceDE/>
        <w:autoSpaceDN/>
        <w:spacing w:line="470" w:lineRule="exact"/>
        <w:ind w:firstLine="475" w:firstLineChars="198"/>
        <w:textAlignment w:val="auto"/>
        <w:rPr>
          <w:rFonts w:ascii="宋体" w:hAnsi="宋体" w:eastAsia="宋体" w:cs="宋体"/>
          <w:sz w:val="24"/>
          <w:szCs w:val="24"/>
          <w:highlight w:val="none"/>
        </w:rPr>
      </w:pPr>
      <w:r>
        <w:rPr>
          <w:rFonts w:hint="eastAsia" w:ascii="宋体" w:hAnsi="宋体" w:eastAsia="宋体" w:cs="宋体"/>
          <w:sz w:val="24"/>
          <w:szCs w:val="24"/>
          <w:highlight w:val="none"/>
        </w:rPr>
        <w:t>（一）甲方权利及义务</w:t>
      </w:r>
    </w:p>
    <w:p>
      <w:pPr>
        <w:widowControl w:val="0"/>
        <w:autoSpaceDE/>
        <w:autoSpaceDN/>
        <w:spacing w:line="470" w:lineRule="exact"/>
        <w:ind w:firstLine="475" w:firstLineChars="198"/>
        <w:textAlignment w:val="auto"/>
        <w:rPr>
          <w:rFonts w:ascii="宋体" w:hAnsi="宋体" w:eastAsia="宋体" w:cs="宋体"/>
          <w:sz w:val="24"/>
          <w:szCs w:val="24"/>
          <w:highlight w:val="none"/>
        </w:rPr>
      </w:pPr>
      <w:r>
        <w:rPr>
          <w:rFonts w:hint="eastAsia" w:ascii="宋体" w:hAnsi="宋体" w:eastAsia="宋体" w:cs="宋体"/>
          <w:sz w:val="24"/>
          <w:szCs w:val="24"/>
          <w:highlight w:val="none"/>
        </w:rPr>
        <w:t>1.甲方根据招标文件的要求对系统进行验收。</w:t>
      </w:r>
    </w:p>
    <w:p>
      <w:pPr>
        <w:widowControl w:val="0"/>
        <w:autoSpaceDE/>
        <w:autoSpaceDN/>
        <w:spacing w:line="470" w:lineRule="exact"/>
        <w:ind w:firstLine="475" w:firstLineChars="198"/>
        <w:textAlignment w:val="auto"/>
        <w:rPr>
          <w:rFonts w:ascii="宋体" w:hAnsi="宋体" w:eastAsia="宋体" w:cs="宋体"/>
          <w:sz w:val="24"/>
          <w:szCs w:val="24"/>
          <w:highlight w:val="none"/>
        </w:rPr>
      </w:pPr>
      <w:r>
        <w:rPr>
          <w:rFonts w:hint="eastAsia" w:ascii="宋体" w:hAnsi="宋体" w:eastAsia="宋体" w:cs="宋体"/>
          <w:sz w:val="24"/>
          <w:szCs w:val="24"/>
          <w:highlight w:val="none"/>
        </w:rPr>
        <w:t>2.甲方应按合同约定及时结付合同费用。</w:t>
      </w:r>
    </w:p>
    <w:p>
      <w:pPr>
        <w:widowControl w:val="0"/>
        <w:autoSpaceDE/>
        <w:autoSpaceDN/>
        <w:spacing w:line="470" w:lineRule="exact"/>
        <w:ind w:firstLine="475" w:firstLineChars="198"/>
        <w:textAlignment w:val="auto"/>
        <w:rPr>
          <w:rFonts w:ascii="宋体" w:hAnsi="宋体" w:eastAsia="宋体" w:cs="宋体"/>
          <w:sz w:val="24"/>
          <w:szCs w:val="24"/>
          <w:highlight w:val="none"/>
        </w:rPr>
      </w:pPr>
      <w:r>
        <w:rPr>
          <w:rFonts w:hint="eastAsia" w:ascii="宋体" w:hAnsi="宋体" w:eastAsia="宋体" w:cs="宋体"/>
          <w:sz w:val="24"/>
          <w:szCs w:val="24"/>
          <w:highlight w:val="none"/>
        </w:rPr>
        <w:t>（二）乙方权利及义务</w:t>
      </w:r>
    </w:p>
    <w:p>
      <w:pPr>
        <w:widowControl w:val="0"/>
        <w:autoSpaceDE/>
        <w:autoSpaceDN/>
        <w:spacing w:line="470" w:lineRule="exact"/>
        <w:ind w:firstLine="475" w:firstLineChars="198"/>
        <w:textAlignment w:val="auto"/>
        <w:rPr>
          <w:rFonts w:ascii="宋体" w:hAnsi="宋体" w:eastAsia="宋体" w:cs="宋体"/>
          <w:sz w:val="24"/>
          <w:szCs w:val="24"/>
          <w:highlight w:val="none"/>
        </w:rPr>
      </w:pPr>
      <w:r>
        <w:rPr>
          <w:rFonts w:hint="eastAsia" w:ascii="宋体" w:hAnsi="宋体" w:eastAsia="宋体" w:cs="宋体"/>
          <w:sz w:val="24"/>
          <w:szCs w:val="24"/>
          <w:highlight w:val="none"/>
        </w:rPr>
        <w:t>1.乙方根据招标要求，确保系统如期保质保量交付。</w:t>
      </w:r>
    </w:p>
    <w:p>
      <w:pPr>
        <w:widowControl w:val="0"/>
        <w:autoSpaceDE/>
        <w:autoSpaceDN/>
        <w:spacing w:line="470" w:lineRule="exact"/>
        <w:ind w:firstLine="475" w:firstLineChars="198"/>
        <w:textAlignment w:val="auto"/>
        <w:rPr>
          <w:rFonts w:ascii="宋体" w:hAnsi="宋体" w:eastAsia="宋体" w:cs="宋体"/>
          <w:sz w:val="24"/>
          <w:szCs w:val="24"/>
          <w:highlight w:val="none"/>
        </w:rPr>
      </w:pPr>
      <w:r>
        <w:rPr>
          <w:rFonts w:hint="eastAsia" w:ascii="宋体" w:hAnsi="宋体" w:eastAsia="宋体" w:cs="宋体"/>
          <w:sz w:val="24"/>
          <w:szCs w:val="24"/>
          <w:highlight w:val="none"/>
        </w:rPr>
        <w:t>2.乙方确保所供系统技术先进，硬件产品供货渠道正规、产地及制造商明确，产品销售记录可追溯，生产厂家授权及售后服务承诺函完整。</w:t>
      </w:r>
    </w:p>
    <w:p>
      <w:pPr>
        <w:widowControl w:val="0"/>
        <w:autoSpaceDE/>
        <w:autoSpaceDN/>
        <w:spacing w:line="470" w:lineRule="exact"/>
        <w:ind w:firstLine="475" w:firstLineChars="198"/>
        <w:textAlignment w:val="auto"/>
        <w:rPr>
          <w:rFonts w:ascii="宋体" w:hAnsi="宋体" w:eastAsia="宋体" w:cs="宋体"/>
          <w:sz w:val="24"/>
          <w:szCs w:val="24"/>
          <w:highlight w:val="none"/>
        </w:rPr>
      </w:pPr>
      <w:r>
        <w:rPr>
          <w:rFonts w:hint="eastAsia" w:ascii="宋体" w:hAnsi="宋体" w:eastAsia="宋体" w:cs="宋体"/>
          <w:sz w:val="24"/>
          <w:szCs w:val="24"/>
          <w:highlight w:val="none"/>
        </w:rPr>
        <w:t>3.乙方应承担系统开发至交付过程中产生的所有风险，并自行承担由此导致的所有法律责任。</w:t>
      </w:r>
    </w:p>
    <w:p>
      <w:pPr>
        <w:spacing w:before="156" w:beforeLines="50"/>
        <w:rPr>
          <w:rFonts w:ascii="宋体" w:hAnsi="宋体" w:cs="宋体"/>
          <w:b/>
          <w:sz w:val="24"/>
          <w:szCs w:val="24"/>
          <w:highlight w:val="none"/>
        </w:rPr>
      </w:pPr>
      <w:r>
        <w:rPr>
          <w:rFonts w:hint="eastAsia" w:ascii="宋体" w:hAnsi="宋体" w:cs="宋体"/>
          <w:b/>
          <w:sz w:val="24"/>
          <w:szCs w:val="24"/>
          <w:highlight w:val="none"/>
        </w:rPr>
        <w:t>十二、违约责任</w:t>
      </w:r>
    </w:p>
    <w:p>
      <w:pPr>
        <w:widowControl w:val="0"/>
        <w:autoSpaceDE/>
        <w:autoSpaceDN/>
        <w:spacing w:line="470" w:lineRule="exact"/>
        <w:ind w:firstLine="475" w:firstLineChars="198"/>
        <w:textAlignment w:val="auto"/>
        <w:rPr>
          <w:rFonts w:ascii="宋体" w:hAnsi="宋体" w:eastAsia="宋体" w:cs="宋体"/>
          <w:sz w:val="24"/>
          <w:szCs w:val="24"/>
          <w:highlight w:val="none"/>
        </w:rPr>
      </w:pPr>
      <w:r>
        <w:rPr>
          <w:rFonts w:hint="eastAsia" w:ascii="宋体" w:hAnsi="宋体" w:eastAsia="宋体" w:cs="宋体"/>
          <w:sz w:val="24"/>
          <w:szCs w:val="24"/>
          <w:highlight w:val="none"/>
        </w:rPr>
        <w:t>1.按《</w:t>
      </w:r>
      <w:r>
        <w:rPr>
          <w:rFonts w:hint="eastAsia" w:ascii="宋体" w:hAnsi="宋体" w:cs="宋体"/>
          <w:sz w:val="24"/>
          <w:szCs w:val="24"/>
          <w:highlight w:val="none"/>
        </w:rPr>
        <w:t>中华人民共和国民法典</w:t>
      </w:r>
      <w:r>
        <w:rPr>
          <w:rFonts w:hint="eastAsia" w:ascii="宋体" w:hAnsi="宋体" w:eastAsia="宋体" w:cs="宋体"/>
          <w:sz w:val="24"/>
          <w:szCs w:val="24"/>
          <w:highlight w:val="none"/>
        </w:rPr>
        <w:t>》中的相关条款执行。</w:t>
      </w:r>
    </w:p>
    <w:p>
      <w:pPr>
        <w:widowControl w:val="0"/>
        <w:autoSpaceDE/>
        <w:autoSpaceDN/>
        <w:spacing w:line="470" w:lineRule="exact"/>
        <w:ind w:firstLine="475" w:firstLineChars="198"/>
        <w:textAlignment w:val="auto"/>
        <w:rPr>
          <w:rFonts w:ascii="宋体" w:hAnsi="宋体" w:eastAsia="宋体" w:cs="宋体"/>
          <w:sz w:val="24"/>
          <w:szCs w:val="24"/>
          <w:highlight w:val="none"/>
        </w:rPr>
      </w:pPr>
      <w:r>
        <w:rPr>
          <w:rFonts w:hint="eastAsia" w:ascii="宋体" w:hAnsi="宋体" w:eastAsia="宋体" w:cs="宋体"/>
          <w:sz w:val="24"/>
          <w:szCs w:val="24"/>
          <w:highlight w:val="none"/>
        </w:rPr>
        <w:t>2.未按合同要求提供服务或服务质量不能满足合同要求，采购人应当将服务商违约的情况以及拟采取的措施以书面形式报政府采购监管部门，根据政府采购监管部门的处理意见，采购人有权依据《</w:t>
      </w:r>
      <w:r>
        <w:rPr>
          <w:rFonts w:hint="eastAsia" w:ascii="宋体" w:hAnsi="宋体" w:cs="宋体"/>
          <w:sz w:val="24"/>
          <w:szCs w:val="24"/>
          <w:highlight w:val="none"/>
        </w:rPr>
        <w:t>中华人民共和国民法典</w:t>
      </w:r>
      <w:r>
        <w:rPr>
          <w:rFonts w:hint="eastAsia" w:ascii="宋体" w:hAnsi="宋体" w:eastAsia="宋体" w:cs="宋体"/>
          <w:sz w:val="24"/>
          <w:szCs w:val="24"/>
          <w:highlight w:val="none"/>
        </w:rPr>
        <w:t>》有关条款及合同约定终止合同，并要求服务商承担违约责任。同时，政府采购监管部门有权依据《</w:t>
      </w:r>
      <w:r>
        <w:rPr>
          <w:rFonts w:hint="eastAsia" w:ascii="宋体" w:hAnsi="宋体" w:cs="宋体"/>
          <w:sz w:val="24"/>
          <w:szCs w:val="24"/>
          <w:highlight w:val="none"/>
        </w:rPr>
        <w:t>中华人民共和国</w:t>
      </w:r>
      <w:r>
        <w:rPr>
          <w:rFonts w:hint="eastAsia" w:ascii="宋体" w:hAnsi="宋体" w:eastAsia="宋体" w:cs="宋体"/>
          <w:sz w:val="24"/>
          <w:szCs w:val="24"/>
          <w:highlight w:val="none"/>
        </w:rPr>
        <w:t>政府采购法》及相关法律法规对服务商的违法行为进行相应的处罚。</w:t>
      </w:r>
    </w:p>
    <w:p>
      <w:pPr>
        <w:widowControl w:val="0"/>
        <w:autoSpaceDE/>
        <w:autoSpaceDN/>
        <w:spacing w:line="470" w:lineRule="exact"/>
        <w:textAlignment w:val="auto"/>
        <w:rPr>
          <w:rFonts w:hint="default" w:ascii="宋体" w:hAnsi="宋体" w:eastAsia="宋体" w:cs="宋体"/>
          <w:b/>
          <w:sz w:val="24"/>
          <w:szCs w:val="24"/>
          <w:highlight w:val="none"/>
          <w:lang w:val="en-US" w:eastAsia="zh-CN"/>
        </w:rPr>
      </w:pPr>
      <w:r>
        <w:rPr>
          <w:rFonts w:hint="eastAsia" w:ascii="宋体" w:hAnsi="宋体" w:cs="宋体"/>
          <w:b/>
          <w:sz w:val="24"/>
          <w:szCs w:val="24"/>
          <w:highlight w:val="none"/>
        </w:rPr>
        <w:t>十三、</w:t>
      </w:r>
      <w:r>
        <w:rPr>
          <w:rFonts w:hint="eastAsia" w:ascii="宋体" w:hAnsi="宋体" w:eastAsia="宋体" w:cs="宋体"/>
          <w:b/>
          <w:sz w:val="24"/>
          <w:szCs w:val="24"/>
          <w:highlight w:val="none"/>
          <w:lang w:val="en-US" w:eastAsia="zh-CN"/>
        </w:rPr>
        <w:t>保密</w:t>
      </w:r>
    </w:p>
    <w:p>
      <w:pPr>
        <w:keepNext w:val="0"/>
        <w:keepLines w:val="0"/>
        <w:pageBreakBefore w:val="0"/>
        <w:widowControl w:val="0"/>
        <w:tabs>
          <w:tab w:val="left" w:pos="1080"/>
        </w:tabs>
        <w:wordWrap/>
        <w:overflowPunct/>
        <w:topLinePunct w:val="0"/>
        <w:autoSpaceDE/>
        <w:autoSpaceDN/>
        <w:bidi w:val="0"/>
        <w:spacing w:line="470" w:lineRule="exact"/>
        <w:ind w:left="0" w:leftChars="0" w:right="0" w:rightChars="0" w:firstLine="360" w:firstLineChars="150"/>
        <w:textAlignment w:val="auto"/>
        <w:outlineLvl w:val="9"/>
        <w:rPr>
          <w:rFonts w:hint="default" w:ascii="宋体" w:hAnsi="宋体" w:eastAsia="宋体" w:cs="宋体"/>
          <w:b/>
          <w:sz w:val="24"/>
          <w:szCs w:val="24"/>
          <w:highlight w:val="none"/>
          <w:lang w:val="en-US" w:eastAsia="zh-CN"/>
        </w:rPr>
      </w:pPr>
      <w:r>
        <w:rPr>
          <w:rFonts w:hint="eastAsia" w:ascii="宋体" w:hAnsi="宋体" w:cs="宋体"/>
          <w:sz w:val="24"/>
          <w:szCs w:val="24"/>
          <w:highlight w:val="none"/>
        </w:rPr>
        <w:t xml:space="preserve"> </w:t>
      </w:r>
      <w:r>
        <w:rPr>
          <w:rFonts w:hint="eastAsia" w:ascii="宋体" w:hAnsi="宋体" w:eastAsia="宋体" w:cs="宋体"/>
          <w:sz w:val="24"/>
          <w:szCs w:val="24"/>
          <w:highlight w:val="none"/>
        </w:rPr>
        <w:t>除甲乙双方另有约定外，保密义务是指在未经对方书面同意前，一方不得将保密信息用于任何与履行本合同无关的情况；或以任何形式向任何第三方泄漏。双方均有义务尽其一切努力防止任何第三方窃取秘密信息</w:t>
      </w:r>
      <w:r>
        <w:rPr>
          <w:rFonts w:hint="eastAsia" w:ascii="宋体" w:hAnsi="宋体" w:eastAsia="宋体" w:cs="宋体"/>
          <w:sz w:val="24"/>
          <w:szCs w:val="24"/>
          <w:highlight w:val="none"/>
          <w:lang w:eastAsia="zh-CN"/>
        </w:rPr>
        <w:t>，乙方的保密义务不因本合同终止而免除</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由于任何一方违反以上保密义务给对方造成损失，违约方对受损失方负有停止侵害、消除影响、赔偿损失的责任。</w:t>
      </w:r>
      <w:r>
        <w:rPr>
          <w:rFonts w:hint="eastAsia" w:ascii="宋体" w:hAnsi="宋体" w:eastAsia="宋体" w:cs="宋体"/>
          <w:sz w:val="24"/>
          <w:szCs w:val="24"/>
          <w:highlight w:val="none"/>
          <w:lang w:val="en-US" w:eastAsia="zh-CN"/>
        </w:rPr>
        <w:t>签订采购合同时双方签订保密协议。</w:t>
      </w:r>
    </w:p>
    <w:p>
      <w:pPr>
        <w:widowControl w:val="0"/>
        <w:autoSpaceDE/>
        <w:autoSpaceDN/>
        <w:spacing w:line="470" w:lineRule="exact"/>
        <w:textAlignment w:val="auto"/>
        <w:rPr>
          <w:rFonts w:ascii="宋体" w:hAnsi="宋体" w:cs="宋体"/>
          <w:b/>
          <w:bCs/>
          <w:sz w:val="24"/>
          <w:szCs w:val="24"/>
          <w:highlight w:val="none"/>
        </w:rPr>
      </w:pPr>
      <w:r>
        <w:rPr>
          <w:rFonts w:hint="eastAsia" w:ascii="宋体" w:hAnsi="宋体" w:eastAsia="宋体" w:cs="宋体"/>
          <w:b/>
          <w:sz w:val="24"/>
          <w:szCs w:val="24"/>
          <w:highlight w:val="none"/>
          <w:lang w:val="en-US" w:eastAsia="zh-CN"/>
        </w:rPr>
        <w:t>十四、</w:t>
      </w:r>
      <w:r>
        <w:rPr>
          <w:rFonts w:hint="eastAsia" w:ascii="宋体" w:hAnsi="宋体" w:cs="宋体"/>
          <w:b/>
          <w:bCs/>
          <w:sz w:val="24"/>
          <w:szCs w:val="24"/>
          <w:highlight w:val="none"/>
        </w:rPr>
        <w:t>不可抗力情况下的免责约定</w:t>
      </w:r>
    </w:p>
    <w:p>
      <w:pPr>
        <w:widowControl w:val="0"/>
        <w:autoSpaceDE/>
        <w:autoSpaceDN/>
        <w:spacing w:line="470" w:lineRule="exact"/>
        <w:textAlignment w:val="auto"/>
        <w:rPr>
          <w:rFonts w:ascii="宋体" w:hAnsi="宋体" w:cs="宋体"/>
          <w:sz w:val="24"/>
          <w:szCs w:val="24"/>
          <w:highlight w:val="none"/>
        </w:rPr>
      </w:pPr>
      <w:r>
        <w:rPr>
          <w:rFonts w:hint="eastAsia" w:ascii="宋体" w:hAnsi="宋体" w:cs="宋体"/>
          <w:sz w:val="24"/>
          <w:szCs w:val="24"/>
          <w:highlight w:val="none"/>
        </w:rPr>
        <w:t xml:space="preserve">    双方约定不可抗力情况指：双方不可预见、不可避免、不可克服的客观情况，但不包括双方的违约或疏忽。这些事件包括但不限于：战争、严重火灾、50年一遇洪水、6级以上地震等。</w:t>
      </w:r>
    </w:p>
    <w:p>
      <w:pPr>
        <w:widowControl w:val="0"/>
        <w:autoSpaceDE/>
        <w:autoSpaceDN/>
        <w:spacing w:line="470" w:lineRule="exact"/>
        <w:textAlignment w:val="auto"/>
        <w:rPr>
          <w:rFonts w:ascii="宋体" w:hAnsi="宋体" w:cs="宋体"/>
          <w:b/>
          <w:sz w:val="24"/>
          <w:szCs w:val="24"/>
          <w:highlight w:val="none"/>
        </w:rPr>
      </w:pPr>
      <w:r>
        <w:rPr>
          <w:rFonts w:hint="eastAsia" w:ascii="宋体" w:hAnsi="宋体" w:cs="宋体"/>
          <w:b/>
          <w:sz w:val="24"/>
          <w:szCs w:val="24"/>
          <w:highlight w:val="none"/>
        </w:rPr>
        <w:t>十</w:t>
      </w:r>
      <w:r>
        <w:rPr>
          <w:rFonts w:hint="eastAsia" w:ascii="宋体" w:hAnsi="宋体" w:eastAsia="宋体" w:cs="宋体"/>
          <w:b/>
          <w:sz w:val="24"/>
          <w:szCs w:val="24"/>
          <w:highlight w:val="none"/>
          <w:lang w:val="en-US" w:eastAsia="zh-CN"/>
        </w:rPr>
        <w:t>五</w:t>
      </w:r>
      <w:r>
        <w:rPr>
          <w:rFonts w:hint="eastAsia" w:ascii="宋体" w:hAnsi="宋体" w:cs="宋体"/>
          <w:b/>
          <w:sz w:val="24"/>
          <w:szCs w:val="24"/>
          <w:highlight w:val="none"/>
        </w:rPr>
        <w:t>、合同争议的解决</w:t>
      </w:r>
    </w:p>
    <w:p>
      <w:pPr>
        <w:widowControl w:val="0"/>
        <w:autoSpaceDE/>
        <w:autoSpaceDN/>
        <w:spacing w:line="470" w:lineRule="exact"/>
        <w:ind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合同执行中发生争议的，当事人双方应协商解决。协商达不成一致时，双方均可提请</w:t>
      </w:r>
      <w:r>
        <w:rPr>
          <w:rFonts w:hint="eastAsia" w:ascii="宋体" w:hAnsi="宋体" w:cs="宋体"/>
          <w:sz w:val="24"/>
          <w:szCs w:val="24"/>
          <w:highlight w:val="none"/>
          <w:lang w:val="en-US" w:eastAsia="zh-CN"/>
        </w:rPr>
        <w:t>项目所在地</w:t>
      </w:r>
      <w:r>
        <w:rPr>
          <w:rFonts w:hint="eastAsia" w:ascii="宋体" w:hAnsi="宋体" w:cs="宋体"/>
          <w:sz w:val="24"/>
          <w:szCs w:val="24"/>
          <w:highlight w:val="none"/>
        </w:rPr>
        <w:t>仲裁委员会按照该会仲裁规则进行仲裁</w:t>
      </w:r>
      <w:r>
        <w:rPr>
          <w:rFonts w:hint="eastAsia" w:ascii="宋体" w:hAnsi="宋体" w:eastAsia="宋体" w:cs="宋体"/>
          <w:sz w:val="24"/>
          <w:szCs w:val="24"/>
          <w:highlight w:val="none"/>
          <w:lang w:val="en-US" w:eastAsia="zh-CN"/>
        </w:rPr>
        <w:t>或</w:t>
      </w:r>
      <w:r>
        <w:rPr>
          <w:rFonts w:hint="eastAsia" w:ascii="宋体" w:hAnsi="宋体" w:cs="宋体"/>
          <w:sz w:val="24"/>
          <w:szCs w:val="24"/>
          <w:highlight w:val="none"/>
        </w:rPr>
        <w:t>项目所在地人民法院诉讼解决。</w:t>
      </w:r>
    </w:p>
    <w:p>
      <w:pPr>
        <w:spacing w:before="156" w:beforeLines="50"/>
        <w:rPr>
          <w:rFonts w:ascii="宋体" w:hAnsi="宋体" w:cs="宋体"/>
          <w:b/>
          <w:sz w:val="24"/>
          <w:szCs w:val="24"/>
          <w:highlight w:val="none"/>
        </w:rPr>
      </w:pPr>
      <w:r>
        <w:rPr>
          <w:rFonts w:hint="eastAsia" w:ascii="宋体" w:hAnsi="宋体" w:cs="宋体"/>
          <w:b/>
          <w:sz w:val="24"/>
          <w:szCs w:val="24"/>
          <w:highlight w:val="none"/>
        </w:rPr>
        <w:t>十</w:t>
      </w:r>
      <w:r>
        <w:rPr>
          <w:rFonts w:hint="eastAsia" w:ascii="宋体" w:hAnsi="宋体" w:eastAsia="宋体" w:cs="宋体"/>
          <w:b/>
          <w:sz w:val="24"/>
          <w:szCs w:val="24"/>
          <w:highlight w:val="none"/>
          <w:lang w:val="en-US" w:eastAsia="zh-CN"/>
        </w:rPr>
        <w:t>六</w:t>
      </w:r>
      <w:r>
        <w:rPr>
          <w:rFonts w:hint="eastAsia" w:ascii="宋体" w:hAnsi="宋体" w:cs="宋体"/>
          <w:b/>
          <w:sz w:val="24"/>
          <w:szCs w:val="24"/>
          <w:highlight w:val="none"/>
        </w:rPr>
        <w:t>、合同生效及其他</w:t>
      </w:r>
    </w:p>
    <w:p>
      <w:pPr>
        <w:widowControl w:val="0"/>
        <w:autoSpaceDE/>
        <w:autoSpaceDN/>
        <w:spacing w:line="470" w:lineRule="exact"/>
        <w:ind w:firstLine="475" w:firstLineChars="198"/>
        <w:textAlignment w:val="auto"/>
        <w:rPr>
          <w:rFonts w:ascii="宋体" w:hAnsi="宋体" w:eastAsia="宋体" w:cs="宋体"/>
          <w:sz w:val="24"/>
          <w:szCs w:val="24"/>
          <w:highlight w:val="none"/>
        </w:rPr>
      </w:pPr>
      <w:r>
        <w:rPr>
          <w:rFonts w:hint="eastAsia" w:ascii="宋体" w:hAnsi="宋体" w:eastAsia="宋体" w:cs="宋体"/>
          <w:sz w:val="24"/>
          <w:szCs w:val="24"/>
          <w:highlight w:val="none"/>
        </w:rPr>
        <w:t>1.本合同自签订之日起生效。</w:t>
      </w:r>
    </w:p>
    <w:p>
      <w:pPr>
        <w:widowControl w:val="0"/>
        <w:autoSpaceDE/>
        <w:autoSpaceDN/>
        <w:spacing w:line="470" w:lineRule="exact"/>
        <w:ind w:firstLine="475" w:firstLineChars="198"/>
        <w:textAlignment w:val="auto"/>
        <w:rPr>
          <w:rFonts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cs="宋体"/>
          <w:sz w:val="24"/>
          <w:szCs w:val="24"/>
          <w:highlight w:val="none"/>
        </w:rPr>
        <w:t>订立时间：</w:t>
      </w:r>
      <w:r>
        <w:rPr>
          <w:rFonts w:hint="eastAsia" w:ascii="宋体" w:hAnsi="宋体" w:cs="宋体"/>
          <w:sz w:val="24"/>
          <w:szCs w:val="24"/>
          <w:highlight w:val="none"/>
          <w:u w:val="single"/>
        </w:rPr>
        <w:t xml:space="preserve">          </w:t>
      </w:r>
      <w:r>
        <w:rPr>
          <w:rFonts w:hint="eastAsia" w:ascii="宋体" w:hAnsi="宋体" w:cs="宋体"/>
          <w:sz w:val="24"/>
          <w:szCs w:val="24"/>
          <w:highlight w:val="none"/>
        </w:rPr>
        <w:t>年</w:t>
      </w:r>
      <w:r>
        <w:rPr>
          <w:rFonts w:hint="eastAsia" w:ascii="宋体" w:hAnsi="宋体" w:cs="宋体"/>
          <w:sz w:val="24"/>
          <w:szCs w:val="24"/>
          <w:highlight w:val="none"/>
          <w:u w:val="single"/>
        </w:rPr>
        <w:t xml:space="preserve">       </w:t>
      </w:r>
      <w:r>
        <w:rPr>
          <w:rFonts w:hint="eastAsia" w:ascii="宋体" w:hAnsi="宋体" w:cs="宋体"/>
          <w:sz w:val="24"/>
          <w:szCs w:val="24"/>
          <w:highlight w:val="none"/>
        </w:rPr>
        <w:t>月</w:t>
      </w:r>
      <w:r>
        <w:rPr>
          <w:rFonts w:hint="eastAsia" w:ascii="宋体" w:hAnsi="宋体" w:cs="宋体"/>
          <w:sz w:val="24"/>
          <w:szCs w:val="24"/>
          <w:highlight w:val="none"/>
          <w:u w:val="single"/>
        </w:rPr>
        <w:t xml:space="preserve">      </w:t>
      </w:r>
      <w:r>
        <w:rPr>
          <w:rFonts w:hint="eastAsia" w:ascii="宋体" w:hAnsi="宋体" w:cs="宋体"/>
          <w:sz w:val="24"/>
          <w:szCs w:val="24"/>
          <w:highlight w:val="none"/>
        </w:rPr>
        <w:t>日。</w:t>
      </w:r>
    </w:p>
    <w:p>
      <w:pPr>
        <w:widowControl w:val="0"/>
        <w:autoSpaceDE/>
        <w:autoSpaceDN/>
        <w:spacing w:line="470" w:lineRule="exact"/>
        <w:ind w:firstLine="475" w:firstLineChars="198"/>
        <w:textAlignment w:val="auto"/>
        <w:rPr>
          <w:rFonts w:ascii="宋体" w:hAnsi="宋体" w:eastAsia="宋体" w:cs="宋体"/>
          <w:sz w:val="24"/>
          <w:szCs w:val="24"/>
          <w:highlight w:val="none"/>
        </w:rPr>
      </w:pPr>
      <w:r>
        <w:rPr>
          <w:rFonts w:hint="eastAsia" w:ascii="宋体" w:hAnsi="宋体" w:eastAsia="宋体" w:cs="宋体"/>
          <w:sz w:val="24"/>
          <w:szCs w:val="24"/>
          <w:highlight w:val="none"/>
        </w:rPr>
        <w:t>3.</w:t>
      </w:r>
      <w:r>
        <w:rPr>
          <w:rFonts w:hint="eastAsia" w:ascii="宋体" w:hAnsi="宋体" w:cs="宋体"/>
          <w:sz w:val="24"/>
          <w:szCs w:val="24"/>
          <w:highlight w:val="none"/>
        </w:rPr>
        <w:t>订立地点：</w:t>
      </w:r>
      <w:r>
        <w:rPr>
          <w:rFonts w:hint="eastAsia" w:ascii="宋体" w:hAnsi="宋体" w:cs="宋体"/>
          <w:sz w:val="24"/>
          <w:szCs w:val="24"/>
          <w:highlight w:val="none"/>
          <w:u w:val="single"/>
        </w:rPr>
        <w:t xml:space="preserve">                             </w:t>
      </w:r>
      <w:r>
        <w:rPr>
          <w:rFonts w:hint="eastAsia" w:ascii="宋体" w:hAnsi="宋体" w:cs="宋体"/>
          <w:sz w:val="24"/>
          <w:szCs w:val="24"/>
          <w:highlight w:val="none"/>
        </w:rPr>
        <w:t>。</w:t>
      </w:r>
    </w:p>
    <w:p>
      <w:pPr>
        <w:widowControl w:val="0"/>
        <w:autoSpaceDE/>
        <w:autoSpaceDN/>
        <w:spacing w:line="470" w:lineRule="exact"/>
        <w:ind w:firstLine="475" w:firstLineChars="198"/>
        <w:textAlignment w:val="auto"/>
        <w:rPr>
          <w:rFonts w:ascii="宋体" w:hAnsi="宋体" w:eastAsia="宋体" w:cs="宋体"/>
          <w:sz w:val="24"/>
          <w:szCs w:val="24"/>
          <w:highlight w:val="none"/>
        </w:rPr>
      </w:pPr>
      <w:r>
        <w:rPr>
          <w:rFonts w:hint="eastAsia" w:ascii="宋体" w:hAnsi="宋体" w:eastAsia="宋体" w:cs="宋体"/>
          <w:sz w:val="24"/>
          <w:szCs w:val="24"/>
          <w:highlight w:val="none"/>
        </w:rPr>
        <w:t>4.</w:t>
      </w:r>
      <w:r>
        <w:rPr>
          <w:rFonts w:hint="eastAsia" w:ascii="宋体" w:hAnsi="宋体" w:cs="宋体"/>
          <w:sz w:val="24"/>
          <w:szCs w:val="24"/>
          <w:highlight w:val="none"/>
        </w:rPr>
        <w:t>本合同一式</w:t>
      </w:r>
      <w:r>
        <w:rPr>
          <w:rFonts w:hint="eastAsia" w:ascii="宋体" w:hAnsi="宋体" w:cs="宋体"/>
          <w:sz w:val="24"/>
          <w:szCs w:val="24"/>
          <w:highlight w:val="none"/>
          <w:u w:val="single"/>
        </w:rPr>
        <w:t xml:space="preserve">    </w:t>
      </w:r>
      <w:r>
        <w:rPr>
          <w:rFonts w:hint="eastAsia" w:ascii="宋体" w:hAnsi="宋体" w:cs="宋体"/>
          <w:sz w:val="24"/>
          <w:szCs w:val="24"/>
          <w:highlight w:val="none"/>
        </w:rPr>
        <w:t>份，具有同等法律效力，双方各执</w:t>
      </w:r>
      <w:r>
        <w:rPr>
          <w:rFonts w:hint="eastAsia" w:ascii="宋体" w:hAnsi="宋体" w:cs="宋体"/>
          <w:sz w:val="24"/>
          <w:szCs w:val="24"/>
          <w:highlight w:val="none"/>
          <w:u w:val="single"/>
        </w:rPr>
        <w:t xml:space="preserve">    </w:t>
      </w:r>
      <w:r>
        <w:rPr>
          <w:rFonts w:hint="eastAsia" w:ascii="宋体" w:hAnsi="宋体" w:cs="宋体"/>
          <w:sz w:val="24"/>
          <w:szCs w:val="24"/>
          <w:highlight w:val="none"/>
        </w:rPr>
        <w:t>份。各方签字盖章后生效。</w:t>
      </w:r>
    </w:p>
    <w:p>
      <w:pPr>
        <w:widowControl w:val="0"/>
        <w:autoSpaceDE/>
        <w:autoSpaceDN/>
        <w:spacing w:line="470" w:lineRule="exact"/>
        <w:ind w:firstLine="475" w:firstLineChars="198"/>
        <w:textAlignment w:val="auto"/>
        <w:rPr>
          <w:rFonts w:ascii="宋体" w:hAnsi="宋体" w:eastAsia="宋体" w:cs="宋体"/>
          <w:sz w:val="24"/>
          <w:szCs w:val="24"/>
          <w:highlight w:val="none"/>
        </w:rPr>
      </w:pPr>
      <w:r>
        <w:rPr>
          <w:rFonts w:hint="eastAsia" w:ascii="宋体" w:hAnsi="宋体" w:eastAsia="宋体" w:cs="宋体"/>
          <w:sz w:val="24"/>
          <w:szCs w:val="24"/>
          <w:highlight w:val="none"/>
        </w:rPr>
        <w:t>5.如本合同有未尽事宜，以招标文件为准，招标文件未做要求的，由双方依法订立补充合同。</w:t>
      </w:r>
    </w:p>
    <w:p>
      <w:pPr>
        <w:widowControl w:val="0"/>
        <w:tabs>
          <w:tab w:val="left" w:pos="980"/>
        </w:tabs>
        <w:autoSpaceDE/>
        <w:autoSpaceDN/>
        <w:spacing w:line="470" w:lineRule="exact"/>
        <w:ind w:firstLine="480" w:firstLineChars="200"/>
        <w:textAlignment w:val="auto"/>
        <w:rPr>
          <w:rFonts w:ascii="宋体" w:hAnsi="宋体" w:cs="宋体"/>
          <w:sz w:val="24"/>
          <w:szCs w:val="24"/>
          <w:highlight w:val="none"/>
        </w:rPr>
      </w:pPr>
    </w:p>
    <w:p>
      <w:pPr>
        <w:widowControl w:val="0"/>
        <w:autoSpaceDE/>
        <w:autoSpaceDN/>
        <w:spacing w:line="470" w:lineRule="exact"/>
        <w:ind w:firstLine="475" w:firstLineChars="198"/>
        <w:textAlignment w:val="auto"/>
        <w:rPr>
          <w:rFonts w:ascii="宋体" w:hAnsi="宋体" w:cs="宋体"/>
          <w:sz w:val="24"/>
          <w:szCs w:val="24"/>
          <w:highlight w:val="none"/>
        </w:rPr>
      </w:pPr>
      <w:r>
        <w:rPr>
          <w:rFonts w:hint="eastAsia" w:ascii="宋体" w:hAnsi="宋体" w:cs="宋体"/>
          <w:sz w:val="24"/>
          <w:szCs w:val="24"/>
          <w:highlight w:val="none"/>
        </w:rPr>
        <w:t>甲方：</w:t>
      </w:r>
      <w:r>
        <w:rPr>
          <w:rFonts w:hint="eastAsia" w:ascii="宋体" w:hAnsi="宋体" w:cs="宋体"/>
          <w:sz w:val="24"/>
          <w:szCs w:val="24"/>
          <w:highlight w:val="none"/>
          <w:u w:val="single"/>
        </w:rPr>
        <w:t xml:space="preserve">   （盖章）      </w:t>
      </w:r>
      <w:r>
        <w:rPr>
          <w:rFonts w:hint="eastAsia" w:ascii="宋体" w:hAnsi="宋体" w:cs="宋体"/>
          <w:sz w:val="24"/>
          <w:szCs w:val="24"/>
          <w:highlight w:val="none"/>
        </w:rPr>
        <w:t xml:space="preserve">              乙方：</w:t>
      </w:r>
      <w:r>
        <w:rPr>
          <w:rFonts w:hint="eastAsia" w:ascii="宋体" w:hAnsi="宋体" w:cs="宋体"/>
          <w:sz w:val="24"/>
          <w:szCs w:val="24"/>
          <w:highlight w:val="none"/>
          <w:u w:val="single"/>
        </w:rPr>
        <w:t xml:space="preserve">   （盖章）         </w:t>
      </w:r>
    </w:p>
    <w:p>
      <w:pPr>
        <w:widowControl w:val="0"/>
        <w:autoSpaceDE/>
        <w:autoSpaceDN/>
        <w:spacing w:line="470" w:lineRule="exact"/>
        <w:ind w:firstLine="475" w:firstLineChars="198"/>
        <w:textAlignment w:val="auto"/>
        <w:rPr>
          <w:rFonts w:ascii="宋体" w:hAnsi="宋体" w:cs="宋体"/>
          <w:sz w:val="24"/>
          <w:szCs w:val="24"/>
          <w:highlight w:val="none"/>
          <w:u w:val="single"/>
        </w:rPr>
      </w:pPr>
      <w:r>
        <w:rPr>
          <w:rFonts w:hint="eastAsia" w:ascii="宋体" w:hAnsi="宋体" w:cs="宋体"/>
          <w:sz w:val="24"/>
          <w:szCs w:val="24"/>
          <w:highlight w:val="none"/>
        </w:rPr>
        <w:t xml:space="preserve">地 址： </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地  址：</w:t>
      </w:r>
      <w:r>
        <w:rPr>
          <w:rFonts w:hint="eastAsia" w:ascii="宋体" w:hAnsi="宋体" w:cs="宋体"/>
          <w:sz w:val="24"/>
          <w:szCs w:val="24"/>
          <w:highlight w:val="none"/>
          <w:u w:val="single"/>
        </w:rPr>
        <w:t xml:space="preserve">                    </w:t>
      </w:r>
    </w:p>
    <w:p>
      <w:pPr>
        <w:widowControl w:val="0"/>
        <w:autoSpaceDE/>
        <w:autoSpaceDN/>
        <w:spacing w:line="470" w:lineRule="exact"/>
        <w:ind w:firstLine="475" w:firstLineChars="198"/>
        <w:textAlignment w:val="auto"/>
        <w:rPr>
          <w:rFonts w:ascii="宋体" w:hAnsi="宋体" w:cs="宋体"/>
          <w:sz w:val="24"/>
          <w:szCs w:val="24"/>
          <w:highlight w:val="none"/>
        </w:rPr>
      </w:pPr>
      <w:r>
        <w:rPr>
          <w:rFonts w:hint="eastAsia" w:ascii="宋体" w:hAnsi="宋体" w:cs="宋体"/>
          <w:sz w:val="24"/>
          <w:szCs w:val="24"/>
          <w:highlight w:val="none"/>
        </w:rPr>
        <w:t>法定代表人或其授权                   法定代表人或其授权</w:t>
      </w:r>
    </w:p>
    <w:p>
      <w:pPr>
        <w:widowControl w:val="0"/>
        <w:autoSpaceDE/>
        <w:autoSpaceDN/>
        <w:spacing w:line="470" w:lineRule="exact"/>
        <w:ind w:firstLine="475" w:firstLineChars="198"/>
        <w:textAlignment w:val="auto"/>
        <w:rPr>
          <w:rFonts w:ascii="宋体" w:hAnsi="宋体" w:cs="宋体"/>
          <w:sz w:val="24"/>
          <w:szCs w:val="24"/>
          <w:highlight w:val="none"/>
        </w:rPr>
      </w:pPr>
      <w:r>
        <w:rPr>
          <w:rFonts w:hint="eastAsia" w:ascii="宋体" w:hAnsi="宋体" w:cs="宋体"/>
          <w:sz w:val="24"/>
          <w:szCs w:val="24"/>
          <w:highlight w:val="none"/>
        </w:rPr>
        <w:t>的代理人：</w:t>
      </w:r>
      <w:r>
        <w:rPr>
          <w:rFonts w:hint="eastAsia" w:ascii="宋体" w:hAnsi="宋体" w:cs="宋体"/>
          <w:sz w:val="24"/>
          <w:szCs w:val="24"/>
          <w:highlight w:val="none"/>
          <w:u w:val="single"/>
        </w:rPr>
        <w:t xml:space="preserve">（签字）      </w:t>
      </w:r>
      <w:r>
        <w:rPr>
          <w:rFonts w:hint="eastAsia" w:ascii="宋体" w:hAnsi="宋体" w:cs="宋体"/>
          <w:sz w:val="24"/>
          <w:szCs w:val="24"/>
          <w:highlight w:val="none"/>
        </w:rPr>
        <w:t xml:space="preserve">             的代理人：</w:t>
      </w:r>
      <w:r>
        <w:rPr>
          <w:rFonts w:hint="eastAsia" w:ascii="宋体" w:hAnsi="宋体" w:cs="宋体"/>
          <w:sz w:val="24"/>
          <w:szCs w:val="24"/>
          <w:highlight w:val="none"/>
          <w:u w:val="single"/>
        </w:rPr>
        <w:t xml:space="preserve">（签字）          </w:t>
      </w:r>
    </w:p>
    <w:p>
      <w:pPr>
        <w:widowControl w:val="0"/>
        <w:autoSpaceDE/>
        <w:autoSpaceDN/>
        <w:spacing w:line="470" w:lineRule="exact"/>
        <w:ind w:firstLine="475" w:firstLineChars="198"/>
        <w:textAlignment w:val="auto"/>
        <w:rPr>
          <w:rFonts w:ascii="宋体" w:hAnsi="宋体" w:cs="宋体"/>
          <w:sz w:val="24"/>
          <w:szCs w:val="24"/>
          <w:highlight w:val="none"/>
        </w:rPr>
      </w:pPr>
      <w:r>
        <w:rPr>
          <w:rFonts w:hint="eastAsia" w:ascii="宋体" w:hAnsi="宋体" w:cs="宋体"/>
          <w:sz w:val="24"/>
          <w:szCs w:val="24"/>
          <w:highlight w:val="none"/>
        </w:rPr>
        <w:t>开户银行：</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开户银行：</w:t>
      </w:r>
      <w:r>
        <w:rPr>
          <w:rFonts w:hint="eastAsia" w:ascii="宋体" w:hAnsi="宋体" w:cs="宋体"/>
          <w:sz w:val="24"/>
          <w:szCs w:val="24"/>
          <w:highlight w:val="none"/>
          <w:u w:val="single"/>
        </w:rPr>
        <w:t xml:space="preserve">                  </w:t>
      </w:r>
    </w:p>
    <w:p>
      <w:pPr>
        <w:widowControl w:val="0"/>
        <w:autoSpaceDE/>
        <w:autoSpaceDN/>
        <w:spacing w:line="470" w:lineRule="exact"/>
        <w:ind w:firstLine="475" w:firstLineChars="198"/>
        <w:textAlignment w:val="auto"/>
        <w:rPr>
          <w:rFonts w:ascii="宋体" w:hAnsi="宋体" w:cs="宋体"/>
          <w:sz w:val="24"/>
          <w:szCs w:val="24"/>
          <w:highlight w:val="none"/>
        </w:rPr>
      </w:pPr>
      <w:r>
        <w:rPr>
          <w:rFonts w:hint="eastAsia" w:ascii="宋体" w:hAnsi="宋体" w:cs="宋体"/>
          <w:sz w:val="24"/>
          <w:szCs w:val="24"/>
          <w:highlight w:val="none"/>
        </w:rPr>
        <w:t>账号：</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账号：</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w:t>
      </w:r>
    </w:p>
    <w:p>
      <w:pPr>
        <w:widowControl w:val="0"/>
        <w:autoSpaceDE/>
        <w:autoSpaceDN/>
        <w:spacing w:line="470" w:lineRule="exact"/>
        <w:ind w:firstLine="475" w:firstLineChars="198"/>
        <w:textAlignment w:val="auto"/>
        <w:rPr>
          <w:rFonts w:ascii="宋体" w:hAnsi="宋体" w:cs="宋体"/>
          <w:sz w:val="24"/>
          <w:szCs w:val="24"/>
          <w:highlight w:val="none"/>
        </w:rPr>
      </w:pPr>
      <w:r>
        <w:rPr>
          <w:rFonts w:hint="eastAsia" w:ascii="宋体" w:hAnsi="宋体" w:cs="宋体"/>
          <w:sz w:val="24"/>
          <w:szCs w:val="24"/>
          <w:highlight w:val="none"/>
        </w:rPr>
        <w:t>电话：</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电话：</w:t>
      </w:r>
      <w:r>
        <w:rPr>
          <w:rFonts w:hint="eastAsia" w:ascii="宋体" w:hAnsi="宋体" w:cs="宋体"/>
          <w:sz w:val="24"/>
          <w:szCs w:val="24"/>
          <w:highlight w:val="none"/>
          <w:u w:val="single"/>
        </w:rPr>
        <w:t xml:space="preserve">                       </w:t>
      </w:r>
    </w:p>
    <w:p>
      <w:pPr>
        <w:widowControl w:val="0"/>
        <w:autoSpaceDE/>
        <w:autoSpaceDN/>
        <w:spacing w:line="470" w:lineRule="exact"/>
        <w:ind w:firstLine="475" w:firstLineChars="198"/>
        <w:textAlignment w:val="auto"/>
        <w:rPr>
          <w:rFonts w:ascii="宋体" w:hAnsi="宋体" w:cs="宋体"/>
          <w:b/>
          <w:bCs/>
          <w:sz w:val="24"/>
          <w:szCs w:val="24"/>
          <w:highlight w:val="none"/>
        </w:rPr>
      </w:pPr>
      <w:r>
        <w:rPr>
          <w:rFonts w:hint="eastAsia" w:ascii="宋体" w:hAnsi="宋体" w:cs="宋体"/>
          <w:sz w:val="24"/>
          <w:szCs w:val="24"/>
          <w:highlight w:val="none"/>
        </w:rPr>
        <w:t>电子邮箱：</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电子邮箱：</w:t>
      </w:r>
      <w:r>
        <w:rPr>
          <w:rFonts w:hint="eastAsia" w:ascii="宋体" w:hAnsi="宋体" w:cs="宋体"/>
          <w:sz w:val="24"/>
          <w:szCs w:val="24"/>
          <w:highlight w:val="none"/>
          <w:u w:val="single"/>
        </w:rPr>
        <w:t xml:space="preserve">                  </w:t>
      </w:r>
    </w:p>
    <w:p>
      <w:pPr>
        <w:widowControl w:val="0"/>
        <w:autoSpaceDE/>
        <w:autoSpaceDN/>
        <w:spacing w:line="470" w:lineRule="exact"/>
        <w:ind w:firstLine="480" w:firstLineChars="200"/>
        <w:textAlignment w:val="auto"/>
        <w:rPr>
          <w:rFonts w:ascii="宋体" w:hAnsi="宋体" w:cs="宋体"/>
          <w:b/>
          <w:bCs/>
          <w:sz w:val="24"/>
          <w:szCs w:val="24"/>
          <w:highlight w:val="none"/>
        </w:rPr>
      </w:pPr>
    </w:p>
    <w:p>
      <w:pPr>
        <w:widowControl w:val="0"/>
        <w:autoSpaceDE/>
        <w:autoSpaceDN/>
        <w:spacing w:line="470" w:lineRule="exact"/>
        <w:ind w:firstLine="480" w:firstLineChars="200"/>
        <w:textAlignment w:val="auto"/>
        <w:rPr>
          <w:rFonts w:ascii="宋体" w:hAnsi="宋体" w:cs="宋体"/>
          <w:b/>
          <w:bCs/>
          <w:sz w:val="24"/>
          <w:szCs w:val="24"/>
          <w:highlight w:val="none"/>
        </w:rPr>
      </w:pPr>
      <w:r>
        <w:rPr>
          <w:rFonts w:hint="eastAsia" w:ascii="宋体" w:hAnsi="宋体" w:cs="宋体"/>
          <w:b/>
          <w:bCs/>
          <w:sz w:val="24"/>
          <w:szCs w:val="24"/>
          <w:highlight w:val="none"/>
        </w:rPr>
        <w:t>说明：最终合同效力以双方实际签署为准，对此处合同文本理解不一致的，以甲方解释为准。</w:t>
      </w:r>
    </w:p>
    <w:p>
      <w:pPr>
        <w:rPr>
          <w:rFonts w:ascii="宋体" w:hAnsi="宋体" w:eastAsia="宋体" w:cs="宋体"/>
          <w:highlight w:val="none"/>
        </w:rPr>
      </w:pPr>
    </w:p>
    <w:p>
      <w:pPr>
        <w:spacing w:line="360" w:lineRule="auto"/>
        <w:jc w:val="center"/>
        <w:rPr>
          <w:rFonts w:ascii="宋体" w:hAnsi="宋体" w:eastAsia="宋体" w:cs="宋体"/>
          <w:highlight w:val="none"/>
        </w:rPr>
      </w:pPr>
      <w:r>
        <w:rPr>
          <w:rFonts w:hint="eastAsia" w:ascii="宋体" w:hAnsi="宋体" w:eastAsia="宋体" w:cs="宋体"/>
          <w:spacing w:val="9"/>
          <w:sz w:val="28"/>
          <w:szCs w:val="28"/>
          <w:highlight w:val="none"/>
          <w14:textOutline w14:w="5448" w14:cap="sq" w14:cmpd="sng" w14:algn="ctr">
            <w14:solidFill>
              <w14:srgbClr w14:val="000000"/>
            </w14:solidFill>
            <w14:prstDash w14:val="solid"/>
            <w14:bevel/>
          </w14:textOutline>
        </w:rPr>
        <w:t>第六</w:t>
      </w:r>
      <w:r>
        <w:rPr>
          <w:rFonts w:hint="eastAsia" w:ascii="宋体" w:hAnsi="宋体" w:eastAsia="宋体" w:cs="宋体"/>
          <w:spacing w:val="8"/>
          <w:sz w:val="28"/>
          <w:szCs w:val="28"/>
          <w:highlight w:val="none"/>
          <w14:textOutline w14:w="5448" w14:cap="sq" w14:cmpd="sng" w14:algn="ctr">
            <w14:solidFill>
              <w14:srgbClr w14:val="000000"/>
            </w14:solidFill>
            <w14:prstDash w14:val="solid"/>
            <w14:bevel/>
          </w14:textOutline>
        </w:rPr>
        <w:t>部分 投标文件格式</w:t>
      </w:r>
    </w:p>
    <w:p>
      <w:pPr>
        <w:spacing w:line="360" w:lineRule="auto"/>
        <w:rPr>
          <w:rFonts w:ascii="宋体" w:hAnsi="宋体" w:eastAsia="宋体" w:cs="宋体"/>
          <w:b/>
          <w:bCs/>
          <w:color w:val="auto"/>
          <w:sz w:val="28"/>
          <w:szCs w:val="28"/>
          <w:highlight w:val="none"/>
        </w:rPr>
      </w:pPr>
      <w:r>
        <w:rPr>
          <w:rFonts w:hint="eastAsia" w:ascii="宋体" w:hAnsi="宋体" w:eastAsia="宋体" w:cs="宋体"/>
          <w:b/>
          <w:color w:val="auto"/>
          <w:sz w:val="28"/>
          <w:szCs w:val="28"/>
          <w:highlight w:val="none"/>
        </w:rPr>
        <w:t>采购项目编号：</w:t>
      </w:r>
      <w:r>
        <w:rPr>
          <w:rFonts w:hint="eastAsia" w:ascii="宋体" w:hAnsi="宋体" w:eastAsia="宋体" w:cs="宋体"/>
          <w:b/>
          <w:bCs/>
          <w:color w:val="auto"/>
          <w:sz w:val="28"/>
          <w:szCs w:val="28"/>
          <w:highlight w:val="none"/>
          <w:lang w:val="zh-CN"/>
        </w:rPr>
        <w:t>HTXMZB2022-0</w:t>
      </w:r>
      <w:r>
        <w:rPr>
          <w:rFonts w:hint="eastAsia" w:ascii="宋体" w:hAnsi="宋体" w:eastAsia="宋体" w:cs="宋体"/>
          <w:b/>
          <w:bCs/>
          <w:color w:val="auto"/>
          <w:sz w:val="28"/>
          <w:szCs w:val="28"/>
          <w:highlight w:val="none"/>
        </w:rPr>
        <w:t>49</w:t>
      </w:r>
    </w:p>
    <w:p>
      <w:pPr>
        <w:spacing w:line="360" w:lineRule="auto"/>
        <w:jc w:val="center"/>
        <w:rPr>
          <w:rFonts w:ascii="宋体" w:hAnsi="宋体" w:eastAsia="宋体" w:cs="宋体"/>
          <w:b/>
          <w:bCs/>
          <w:sz w:val="48"/>
          <w:szCs w:val="48"/>
          <w:highlight w:val="none"/>
        </w:rPr>
      </w:pPr>
    </w:p>
    <w:p>
      <w:pPr>
        <w:spacing w:line="360" w:lineRule="auto"/>
        <w:jc w:val="center"/>
        <w:rPr>
          <w:b/>
          <w:bCs/>
          <w:color w:val="auto"/>
          <w:sz w:val="44"/>
          <w:szCs w:val="44"/>
          <w:highlight w:val="none"/>
        </w:rPr>
      </w:pPr>
      <w:r>
        <w:rPr>
          <w:rFonts w:hint="eastAsia" w:ascii="宋体" w:hAnsi="宋体" w:eastAsia="宋体" w:cs="宋体"/>
          <w:b/>
          <w:bCs/>
          <w:sz w:val="48"/>
          <w:szCs w:val="48"/>
          <w:highlight w:val="none"/>
        </w:rPr>
        <w:t>汉中市国资在线监管系统建设（一期）</w:t>
      </w:r>
    </w:p>
    <w:p>
      <w:pPr>
        <w:pStyle w:val="2"/>
        <w:rPr>
          <w:rFonts w:ascii="宋体" w:hAnsi="宋体" w:cs="宋体"/>
          <w:color w:val="auto"/>
          <w:highlight w:val="none"/>
        </w:rPr>
      </w:pPr>
    </w:p>
    <w:p>
      <w:pPr>
        <w:rPr>
          <w:color w:val="auto"/>
          <w:highlight w:val="none"/>
        </w:rPr>
      </w:pPr>
    </w:p>
    <w:p>
      <w:pPr>
        <w:pStyle w:val="2"/>
        <w:rPr>
          <w:color w:val="auto"/>
          <w:highlight w:val="none"/>
        </w:rPr>
      </w:pPr>
    </w:p>
    <w:p>
      <w:pPr>
        <w:rPr>
          <w:color w:val="auto"/>
          <w:highlight w:val="none"/>
        </w:rPr>
      </w:pPr>
    </w:p>
    <w:p>
      <w:pPr>
        <w:pStyle w:val="2"/>
        <w:rPr>
          <w:highlight w:val="none"/>
        </w:rPr>
      </w:pPr>
    </w:p>
    <w:p>
      <w:pPr>
        <w:rPr>
          <w:highlight w:val="none"/>
        </w:rPr>
      </w:pPr>
    </w:p>
    <w:p>
      <w:pPr>
        <w:rPr>
          <w:highlight w:val="none"/>
        </w:rPr>
      </w:pPr>
    </w:p>
    <w:p>
      <w:pPr>
        <w:rPr>
          <w:color w:val="auto"/>
          <w:highlight w:val="none"/>
        </w:rPr>
      </w:pPr>
    </w:p>
    <w:p>
      <w:pPr>
        <w:rPr>
          <w:rFonts w:ascii="宋体" w:hAnsi="宋体" w:cs="宋体"/>
          <w:color w:val="auto"/>
          <w:highlight w:val="none"/>
        </w:rPr>
      </w:pPr>
    </w:p>
    <w:p>
      <w:pPr>
        <w:pStyle w:val="2"/>
        <w:rPr>
          <w:color w:val="auto"/>
          <w:highlight w:val="none"/>
        </w:rPr>
      </w:pPr>
    </w:p>
    <w:p>
      <w:pPr>
        <w:jc w:val="center"/>
        <w:rPr>
          <w:rFonts w:ascii="宋体" w:hAnsi="宋体" w:cs="宋体"/>
          <w:color w:val="auto"/>
          <w:sz w:val="84"/>
          <w:szCs w:val="84"/>
          <w:highlight w:val="none"/>
        </w:rPr>
      </w:pPr>
      <w:r>
        <w:rPr>
          <w:rFonts w:hint="eastAsia" w:ascii="宋体" w:hAnsi="宋体" w:cs="宋体"/>
          <w:b/>
          <w:bCs/>
          <w:color w:val="auto"/>
          <w:sz w:val="84"/>
          <w:szCs w:val="84"/>
          <w:highlight w:val="none"/>
        </w:rPr>
        <w:t>投 标 文 件</w:t>
      </w:r>
    </w:p>
    <w:p>
      <w:pPr>
        <w:jc w:val="center"/>
        <w:rPr>
          <w:rFonts w:ascii="宋体" w:hAnsi="宋体" w:eastAsia="宋体" w:cs="宋体"/>
          <w:b/>
          <w:bCs/>
          <w:sz w:val="44"/>
          <w:szCs w:val="44"/>
          <w:highlight w:val="none"/>
        </w:rPr>
      </w:pPr>
      <w:r>
        <w:rPr>
          <w:rFonts w:hint="eastAsia" w:ascii="宋体" w:hAnsi="宋体" w:eastAsia="宋体" w:cs="宋体"/>
          <w:b/>
          <w:bCs/>
          <w:sz w:val="44"/>
          <w:szCs w:val="44"/>
          <w:highlight w:val="none"/>
        </w:rPr>
        <w:t>（正/副本）</w:t>
      </w:r>
    </w:p>
    <w:p>
      <w:pPr>
        <w:pStyle w:val="6"/>
        <w:spacing w:before="156" w:beforeLines="50"/>
        <w:ind w:firstLine="1625" w:firstLineChars="580"/>
        <w:rPr>
          <w:rFonts w:ascii="宋体" w:hAnsi="宋体" w:cs="宋体"/>
          <w:b/>
          <w:color w:val="auto"/>
          <w:sz w:val="28"/>
          <w:szCs w:val="28"/>
          <w:highlight w:val="none"/>
        </w:rPr>
      </w:pPr>
    </w:p>
    <w:p>
      <w:pPr>
        <w:pStyle w:val="6"/>
        <w:spacing w:before="156" w:beforeLines="50"/>
        <w:ind w:firstLine="1625" w:firstLineChars="580"/>
        <w:rPr>
          <w:rFonts w:ascii="宋体" w:hAnsi="宋体" w:cs="宋体"/>
          <w:b/>
          <w:color w:val="auto"/>
          <w:sz w:val="28"/>
          <w:szCs w:val="28"/>
          <w:highlight w:val="none"/>
        </w:rPr>
      </w:pPr>
    </w:p>
    <w:p>
      <w:pPr>
        <w:pStyle w:val="6"/>
        <w:spacing w:before="156" w:beforeLines="50"/>
        <w:ind w:firstLine="1625" w:firstLineChars="580"/>
        <w:rPr>
          <w:rFonts w:ascii="宋体" w:hAnsi="宋体" w:cs="宋体"/>
          <w:b/>
          <w:color w:val="auto"/>
          <w:sz w:val="28"/>
          <w:szCs w:val="28"/>
          <w:highlight w:val="none"/>
        </w:rPr>
      </w:pPr>
    </w:p>
    <w:p>
      <w:pPr>
        <w:pStyle w:val="6"/>
        <w:spacing w:before="156" w:beforeLines="50"/>
        <w:ind w:firstLine="1625" w:firstLineChars="580"/>
        <w:rPr>
          <w:rFonts w:ascii="宋体" w:hAnsi="宋体" w:cs="宋体"/>
          <w:b/>
          <w:color w:val="auto"/>
          <w:sz w:val="28"/>
          <w:szCs w:val="28"/>
          <w:highlight w:val="none"/>
        </w:rPr>
      </w:pPr>
    </w:p>
    <w:p>
      <w:pPr>
        <w:pStyle w:val="6"/>
        <w:spacing w:before="156" w:beforeLines="50"/>
        <w:ind w:firstLine="1625" w:firstLineChars="580"/>
        <w:rPr>
          <w:rFonts w:ascii="宋体" w:hAnsi="宋体" w:cs="宋体"/>
          <w:b/>
          <w:color w:val="auto"/>
          <w:sz w:val="28"/>
          <w:szCs w:val="28"/>
          <w:highlight w:val="none"/>
        </w:rPr>
      </w:pPr>
    </w:p>
    <w:p>
      <w:pPr>
        <w:pStyle w:val="6"/>
        <w:spacing w:before="156" w:beforeLines="50"/>
        <w:ind w:firstLine="1625" w:firstLineChars="580"/>
        <w:rPr>
          <w:rFonts w:ascii="宋体" w:hAnsi="宋体" w:cs="宋体"/>
          <w:b/>
          <w:color w:val="auto"/>
          <w:sz w:val="28"/>
          <w:szCs w:val="28"/>
          <w:highlight w:val="none"/>
        </w:rPr>
      </w:pPr>
    </w:p>
    <w:p>
      <w:pPr>
        <w:pStyle w:val="6"/>
        <w:spacing w:before="156" w:beforeLines="50"/>
        <w:ind w:firstLine="1625" w:firstLineChars="580"/>
        <w:rPr>
          <w:rFonts w:ascii="宋体" w:hAnsi="宋体" w:cs="宋体"/>
          <w:b/>
          <w:color w:val="auto"/>
          <w:sz w:val="28"/>
          <w:szCs w:val="28"/>
          <w:highlight w:val="none"/>
        </w:rPr>
      </w:pPr>
    </w:p>
    <w:p>
      <w:pPr>
        <w:pStyle w:val="6"/>
        <w:spacing w:before="156" w:beforeLines="50"/>
        <w:ind w:firstLine="1625" w:firstLineChars="580"/>
        <w:rPr>
          <w:rFonts w:ascii="宋体" w:hAnsi="宋体" w:cs="宋体"/>
          <w:b/>
          <w:color w:val="auto"/>
          <w:sz w:val="28"/>
          <w:szCs w:val="28"/>
          <w:highlight w:val="none"/>
        </w:rPr>
      </w:pPr>
    </w:p>
    <w:p>
      <w:pPr>
        <w:pStyle w:val="6"/>
        <w:spacing w:before="156" w:beforeLines="50" w:line="360" w:lineRule="auto"/>
        <w:ind w:firstLine="843" w:firstLineChars="300"/>
        <w:rPr>
          <w:rFonts w:ascii="宋体" w:hAnsi="宋体" w:eastAsia="宋体" w:cs="宋体"/>
          <w:b/>
          <w:color w:val="auto"/>
          <w:sz w:val="28"/>
          <w:szCs w:val="28"/>
          <w:highlight w:val="none"/>
        </w:rPr>
      </w:pPr>
      <w:r>
        <w:rPr>
          <w:rFonts w:hint="eastAsia" w:ascii="宋体" w:hAnsi="宋体" w:eastAsia="宋体" w:cs="宋体"/>
          <w:b/>
          <w:color w:val="auto"/>
          <w:sz w:val="28"/>
          <w:szCs w:val="28"/>
          <w:highlight w:val="none"/>
        </w:rPr>
        <w:t>投标供应商：</w:t>
      </w:r>
      <w:r>
        <w:rPr>
          <w:rFonts w:hint="eastAsia" w:ascii="宋体" w:hAnsi="宋体" w:eastAsia="宋体" w:cs="宋体"/>
          <w:b/>
          <w:color w:val="auto"/>
          <w:sz w:val="28"/>
          <w:szCs w:val="28"/>
          <w:highlight w:val="none"/>
          <w:u w:val="single"/>
        </w:rPr>
        <w:t xml:space="preserve">                           </w:t>
      </w:r>
      <w:r>
        <w:rPr>
          <w:rFonts w:hint="eastAsia" w:ascii="宋体" w:hAnsi="宋体" w:eastAsia="宋体" w:cs="宋体"/>
          <w:b/>
          <w:color w:val="auto"/>
          <w:sz w:val="28"/>
          <w:szCs w:val="28"/>
          <w:highlight w:val="none"/>
        </w:rPr>
        <w:t>（单位盖章）</w:t>
      </w:r>
    </w:p>
    <w:p>
      <w:pPr>
        <w:pStyle w:val="6"/>
        <w:spacing w:before="156" w:beforeLines="50" w:line="360" w:lineRule="auto"/>
        <w:ind w:firstLine="843" w:firstLineChars="300"/>
        <w:rPr>
          <w:rFonts w:ascii="宋体" w:hAnsi="宋体" w:eastAsia="宋体" w:cs="宋体"/>
          <w:color w:val="auto"/>
          <w:sz w:val="28"/>
          <w:szCs w:val="28"/>
          <w:highlight w:val="none"/>
        </w:rPr>
      </w:pPr>
      <w:r>
        <w:rPr>
          <w:rFonts w:hint="eastAsia" w:ascii="宋体" w:hAnsi="宋体" w:eastAsia="宋体" w:cs="宋体"/>
          <w:b/>
          <w:color w:val="auto"/>
          <w:sz w:val="28"/>
          <w:szCs w:val="28"/>
          <w:highlight w:val="none"/>
        </w:rPr>
        <w:t>法定代表人或其授权代表：</w:t>
      </w:r>
      <w:r>
        <w:rPr>
          <w:rFonts w:hint="eastAsia" w:ascii="宋体" w:hAnsi="宋体" w:eastAsia="宋体" w:cs="宋体"/>
          <w:b/>
          <w:color w:val="auto"/>
          <w:sz w:val="28"/>
          <w:szCs w:val="28"/>
          <w:highlight w:val="none"/>
          <w:u w:val="single"/>
        </w:rPr>
        <w:t xml:space="preserve">           </w:t>
      </w:r>
      <w:r>
        <w:rPr>
          <w:rFonts w:hint="eastAsia" w:ascii="宋体" w:hAnsi="宋体" w:eastAsia="宋体" w:cs="宋体"/>
          <w:b/>
          <w:color w:val="auto"/>
          <w:sz w:val="28"/>
          <w:szCs w:val="28"/>
          <w:highlight w:val="none"/>
        </w:rPr>
        <w:t>（签名或盖章）</w:t>
      </w:r>
    </w:p>
    <w:p>
      <w:pPr>
        <w:pStyle w:val="6"/>
        <w:spacing w:before="156" w:beforeLines="50" w:line="360" w:lineRule="auto"/>
        <w:ind w:firstLine="843" w:firstLineChars="300"/>
        <w:rPr>
          <w:rFonts w:ascii="宋体" w:hAnsi="宋体" w:eastAsia="宋体" w:cs="宋体"/>
          <w:b/>
          <w:color w:val="auto"/>
          <w:sz w:val="28"/>
          <w:szCs w:val="28"/>
          <w:highlight w:val="none"/>
        </w:rPr>
      </w:pPr>
      <w:r>
        <w:rPr>
          <w:rFonts w:hint="eastAsia" w:ascii="宋体" w:hAnsi="宋体" w:eastAsia="宋体" w:cs="宋体"/>
          <w:b/>
          <w:color w:val="auto"/>
          <w:sz w:val="28"/>
          <w:szCs w:val="28"/>
          <w:highlight w:val="none"/>
        </w:rPr>
        <w:t>日  期：     年    月   日</w:t>
      </w:r>
    </w:p>
    <w:p>
      <w:pPr>
        <w:spacing w:line="360" w:lineRule="auto"/>
        <w:rPr>
          <w:rFonts w:ascii="宋体" w:hAnsi="宋体" w:eastAsia="宋体" w:cs="宋体"/>
          <w:highlight w:val="none"/>
        </w:rPr>
      </w:pPr>
    </w:p>
    <w:p>
      <w:pPr>
        <w:jc w:val="center"/>
        <w:rPr>
          <w:rFonts w:ascii="宋体" w:hAnsi="宋体" w:eastAsia="宋体" w:cs="宋体"/>
          <w:spacing w:val="-17"/>
          <w:sz w:val="44"/>
          <w:szCs w:val="44"/>
          <w:highlight w:val="none"/>
          <w14:textOutline w14:w="8712" w14:cap="sq" w14:cmpd="sng" w14:algn="ctr">
            <w14:solidFill>
              <w14:srgbClr w14:val="000000"/>
            </w14:solidFill>
            <w14:prstDash w14:val="solid"/>
            <w14:bevel/>
          </w14:textOutline>
        </w:rPr>
      </w:pPr>
      <w:r>
        <w:rPr>
          <w:rFonts w:ascii="宋体" w:hAnsi="宋体" w:eastAsia="宋体" w:cs="宋体"/>
          <w:spacing w:val="-17"/>
          <w:sz w:val="44"/>
          <w:szCs w:val="44"/>
          <w:highlight w:val="none"/>
          <w14:textOutline w14:w="8712" w14:cap="sq" w14:cmpd="sng" w14:algn="ctr">
            <w14:solidFill>
              <w14:srgbClr w14:val="000000"/>
            </w14:solidFill>
            <w14:prstDash w14:val="solid"/>
            <w14:bevel/>
          </w14:textOutline>
        </w:rPr>
        <w:t>目</w:t>
      </w:r>
      <w:r>
        <w:rPr>
          <w:rFonts w:ascii="宋体" w:hAnsi="宋体" w:eastAsia="宋体" w:cs="宋体"/>
          <w:spacing w:val="-17"/>
          <w:sz w:val="44"/>
          <w:szCs w:val="44"/>
          <w:highlight w:val="none"/>
        </w:rPr>
        <w:t xml:space="preserve">  </w:t>
      </w:r>
      <w:r>
        <w:rPr>
          <w:rFonts w:ascii="宋体" w:hAnsi="宋体" w:eastAsia="宋体" w:cs="宋体"/>
          <w:spacing w:val="-17"/>
          <w:sz w:val="44"/>
          <w:szCs w:val="44"/>
          <w:highlight w:val="none"/>
          <w14:textOutline w14:w="8712" w14:cap="sq" w14:cmpd="sng" w14:algn="ctr">
            <w14:solidFill>
              <w14:srgbClr w14:val="000000"/>
            </w14:solidFill>
            <w14:prstDash w14:val="solid"/>
            <w14:bevel/>
          </w14:textOutline>
        </w:rPr>
        <w:t>录</w:t>
      </w:r>
    </w:p>
    <w:p>
      <w:pPr>
        <w:spacing w:line="720" w:lineRule="exact"/>
        <w:rPr>
          <w:rFonts w:ascii="宋体" w:hAnsi="宋体" w:eastAsia="宋体" w:cs="宋体"/>
          <w:b/>
          <w:bCs/>
          <w:sz w:val="28"/>
          <w:szCs w:val="28"/>
          <w:highlight w:val="none"/>
        </w:rPr>
      </w:pPr>
      <w:r>
        <w:rPr>
          <w:rFonts w:hint="eastAsia" w:ascii="宋体" w:hAnsi="宋体" w:eastAsia="宋体" w:cs="宋体"/>
          <w:b/>
          <w:bCs/>
          <w:sz w:val="28"/>
          <w:szCs w:val="28"/>
          <w:highlight w:val="none"/>
        </w:rPr>
        <w:t>一、投标函</w:t>
      </w:r>
    </w:p>
    <w:p>
      <w:pPr>
        <w:spacing w:line="720" w:lineRule="exact"/>
        <w:rPr>
          <w:rFonts w:ascii="宋体" w:hAnsi="宋体" w:eastAsia="宋体" w:cs="宋体"/>
          <w:b/>
          <w:bCs/>
          <w:sz w:val="28"/>
          <w:szCs w:val="28"/>
          <w:highlight w:val="none"/>
        </w:rPr>
      </w:pPr>
      <w:r>
        <w:rPr>
          <w:rFonts w:hint="eastAsia" w:ascii="宋体" w:hAnsi="宋体" w:eastAsia="宋体" w:cs="宋体"/>
          <w:b/>
          <w:bCs/>
          <w:sz w:val="28"/>
          <w:szCs w:val="28"/>
          <w:highlight w:val="none"/>
        </w:rPr>
        <w:t>二、报价一览表</w:t>
      </w:r>
    </w:p>
    <w:p>
      <w:pPr>
        <w:spacing w:line="720" w:lineRule="exact"/>
        <w:rPr>
          <w:rFonts w:ascii="宋体" w:hAnsi="宋体" w:eastAsia="宋体" w:cs="宋体"/>
          <w:b/>
          <w:bCs/>
          <w:sz w:val="28"/>
          <w:szCs w:val="28"/>
          <w:highlight w:val="none"/>
        </w:rPr>
      </w:pPr>
      <w:r>
        <w:rPr>
          <w:rFonts w:hint="eastAsia" w:ascii="宋体" w:hAnsi="宋体" w:eastAsia="宋体" w:cs="宋体"/>
          <w:b/>
          <w:bCs/>
          <w:sz w:val="28"/>
          <w:szCs w:val="28"/>
          <w:highlight w:val="none"/>
        </w:rPr>
        <w:t>三、商务/技术偏离表</w:t>
      </w:r>
    </w:p>
    <w:p>
      <w:pPr>
        <w:spacing w:line="720" w:lineRule="exact"/>
        <w:rPr>
          <w:rFonts w:ascii="宋体" w:hAnsi="宋体" w:eastAsia="宋体" w:cs="宋体"/>
          <w:b/>
          <w:bCs/>
          <w:sz w:val="28"/>
          <w:szCs w:val="28"/>
          <w:highlight w:val="none"/>
        </w:rPr>
      </w:pPr>
      <w:r>
        <w:rPr>
          <w:rFonts w:hint="eastAsia" w:ascii="宋体" w:hAnsi="宋体" w:eastAsia="宋体" w:cs="宋体"/>
          <w:b/>
          <w:bCs/>
          <w:sz w:val="28"/>
          <w:szCs w:val="28"/>
          <w:highlight w:val="none"/>
        </w:rPr>
        <w:t>四、法定代表人身份证明书及授权委托书</w:t>
      </w:r>
    </w:p>
    <w:p>
      <w:pPr>
        <w:spacing w:line="720" w:lineRule="exact"/>
        <w:rPr>
          <w:rFonts w:ascii="宋体" w:hAnsi="宋体" w:eastAsia="宋体" w:cs="宋体"/>
          <w:b/>
          <w:bCs/>
          <w:sz w:val="28"/>
          <w:szCs w:val="28"/>
          <w:highlight w:val="none"/>
        </w:rPr>
      </w:pPr>
      <w:r>
        <w:rPr>
          <w:rFonts w:hint="eastAsia" w:ascii="宋体" w:hAnsi="宋体" w:eastAsia="宋体" w:cs="宋体"/>
          <w:b/>
          <w:bCs/>
          <w:sz w:val="28"/>
          <w:szCs w:val="28"/>
          <w:highlight w:val="none"/>
        </w:rPr>
        <w:t>五、资格证明文件</w:t>
      </w:r>
    </w:p>
    <w:p>
      <w:pPr>
        <w:spacing w:line="720" w:lineRule="exact"/>
        <w:rPr>
          <w:rFonts w:ascii="宋体" w:hAnsi="宋体" w:eastAsia="宋体" w:cs="宋体"/>
          <w:b/>
          <w:bCs/>
          <w:sz w:val="28"/>
          <w:szCs w:val="28"/>
          <w:highlight w:val="none"/>
        </w:rPr>
      </w:pPr>
      <w:r>
        <w:rPr>
          <w:rFonts w:hint="eastAsia" w:ascii="宋体" w:hAnsi="宋体" w:eastAsia="宋体" w:cs="宋体"/>
          <w:b/>
          <w:bCs/>
          <w:sz w:val="28"/>
          <w:szCs w:val="28"/>
          <w:highlight w:val="none"/>
        </w:rPr>
        <w:t>六、投标保证金缴纳凭证</w:t>
      </w:r>
    </w:p>
    <w:p>
      <w:pPr>
        <w:spacing w:line="720" w:lineRule="exact"/>
        <w:rPr>
          <w:rFonts w:ascii="宋体" w:hAnsi="宋体" w:eastAsia="宋体" w:cs="宋体"/>
          <w:b/>
          <w:bCs/>
          <w:sz w:val="28"/>
          <w:szCs w:val="28"/>
          <w:highlight w:val="none"/>
        </w:rPr>
      </w:pPr>
      <w:r>
        <w:rPr>
          <w:rFonts w:hint="eastAsia" w:ascii="宋体" w:hAnsi="宋体" w:eastAsia="宋体" w:cs="宋体"/>
          <w:b/>
          <w:bCs/>
          <w:sz w:val="28"/>
          <w:szCs w:val="28"/>
          <w:highlight w:val="none"/>
        </w:rPr>
        <w:t>七、投标方案</w:t>
      </w:r>
    </w:p>
    <w:p>
      <w:pPr>
        <w:spacing w:line="720" w:lineRule="exact"/>
        <w:rPr>
          <w:rFonts w:ascii="宋体" w:hAnsi="宋体" w:eastAsia="宋体" w:cs="宋体"/>
          <w:b/>
          <w:bCs/>
          <w:sz w:val="28"/>
          <w:szCs w:val="28"/>
          <w:highlight w:val="none"/>
        </w:rPr>
      </w:pPr>
      <w:r>
        <w:rPr>
          <w:rFonts w:hint="eastAsia" w:ascii="宋体" w:hAnsi="宋体" w:eastAsia="宋体" w:cs="宋体"/>
          <w:b/>
          <w:bCs/>
          <w:sz w:val="28"/>
          <w:szCs w:val="28"/>
          <w:highlight w:val="none"/>
        </w:rPr>
        <w:t>八、投标供应商承诺书</w:t>
      </w:r>
    </w:p>
    <w:p>
      <w:pPr>
        <w:spacing w:line="720" w:lineRule="exact"/>
        <w:rPr>
          <w:rFonts w:ascii="宋体" w:hAnsi="宋体" w:eastAsia="宋体" w:cs="宋体"/>
          <w:b/>
          <w:bCs/>
          <w:sz w:val="28"/>
          <w:szCs w:val="28"/>
          <w:highlight w:val="none"/>
        </w:rPr>
      </w:pPr>
      <w:r>
        <w:rPr>
          <w:rFonts w:hint="eastAsia" w:ascii="宋体" w:hAnsi="宋体" w:eastAsia="宋体" w:cs="宋体"/>
          <w:b/>
          <w:bCs/>
          <w:sz w:val="28"/>
          <w:szCs w:val="28"/>
          <w:highlight w:val="none"/>
        </w:rPr>
        <w:t>九、附件</w:t>
      </w:r>
    </w:p>
    <w:p>
      <w:pPr>
        <w:spacing w:line="720" w:lineRule="exact"/>
        <w:rPr>
          <w:rFonts w:ascii="宋体" w:hAnsi="宋体" w:eastAsia="宋体" w:cs="宋体"/>
          <w:b/>
          <w:bCs/>
          <w:sz w:val="28"/>
          <w:szCs w:val="28"/>
          <w:highlight w:val="none"/>
        </w:rPr>
      </w:pPr>
      <w:r>
        <w:rPr>
          <w:rFonts w:hint="eastAsia" w:ascii="宋体" w:hAnsi="宋体" w:eastAsia="宋体" w:cs="宋体"/>
          <w:b/>
          <w:bCs/>
          <w:sz w:val="28"/>
          <w:szCs w:val="28"/>
          <w:highlight w:val="none"/>
        </w:rPr>
        <w:t>十、其他资料</w:t>
      </w:r>
    </w:p>
    <w:p>
      <w:pPr>
        <w:spacing w:line="720" w:lineRule="exact"/>
        <w:rPr>
          <w:rFonts w:ascii="宋体" w:hAnsi="宋体" w:eastAsia="宋体" w:cs="宋体"/>
          <w:b/>
          <w:bCs/>
          <w:sz w:val="28"/>
          <w:szCs w:val="28"/>
          <w:highlight w:val="none"/>
        </w:rPr>
      </w:pPr>
    </w:p>
    <w:p>
      <w:pPr>
        <w:rPr>
          <w:rFonts w:ascii="宋体" w:hAnsi="宋体" w:eastAsia="宋体" w:cs="宋体"/>
          <w:highlight w:val="none"/>
        </w:rPr>
      </w:pPr>
    </w:p>
    <w:p>
      <w:pPr>
        <w:rPr>
          <w:rFonts w:ascii="宋体" w:hAnsi="宋体" w:eastAsia="宋体" w:cs="宋体"/>
          <w:highlight w:val="none"/>
        </w:rPr>
      </w:pPr>
    </w:p>
    <w:p>
      <w:pPr>
        <w:rPr>
          <w:rFonts w:ascii="宋体" w:hAnsi="宋体" w:eastAsia="宋体" w:cs="宋体"/>
          <w:highlight w:val="none"/>
        </w:rPr>
      </w:pPr>
    </w:p>
    <w:p>
      <w:pPr>
        <w:rPr>
          <w:rFonts w:ascii="宋体" w:hAnsi="宋体" w:eastAsia="宋体" w:cs="宋体"/>
          <w:highlight w:val="none"/>
        </w:rPr>
      </w:pPr>
    </w:p>
    <w:p>
      <w:pPr>
        <w:rPr>
          <w:rFonts w:ascii="宋体" w:hAnsi="宋体" w:eastAsia="宋体" w:cs="宋体"/>
          <w:highlight w:val="none"/>
        </w:rPr>
      </w:pPr>
    </w:p>
    <w:p>
      <w:pPr>
        <w:rPr>
          <w:rFonts w:ascii="宋体" w:hAnsi="宋体" w:eastAsia="宋体" w:cs="宋体"/>
          <w:highlight w:val="none"/>
        </w:rPr>
      </w:pPr>
    </w:p>
    <w:p>
      <w:pPr>
        <w:rPr>
          <w:rFonts w:ascii="宋体" w:hAnsi="宋体" w:eastAsia="宋体" w:cs="宋体"/>
          <w:highlight w:val="none"/>
        </w:rPr>
      </w:pPr>
    </w:p>
    <w:p>
      <w:pPr>
        <w:rPr>
          <w:rFonts w:ascii="宋体" w:hAnsi="宋体" w:eastAsia="宋体" w:cs="宋体"/>
          <w:highlight w:val="none"/>
        </w:rPr>
      </w:pPr>
    </w:p>
    <w:p>
      <w:pPr>
        <w:rPr>
          <w:rFonts w:ascii="宋体" w:hAnsi="宋体" w:eastAsia="宋体" w:cs="宋体"/>
          <w:highlight w:val="none"/>
        </w:rPr>
      </w:pPr>
    </w:p>
    <w:p>
      <w:pPr>
        <w:rPr>
          <w:rFonts w:ascii="宋体" w:hAnsi="宋体" w:eastAsia="宋体" w:cs="宋体"/>
          <w:highlight w:val="none"/>
        </w:rPr>
      </w:pPr>
    </w:p>
    <w:p>
      <w:pPr>
        <w:rPr>
          <w:rFonts w:ascii="宋体" w:hAnsi="宋体" w:eastAsia="宋体" w:cs="宋体"/>
          <w:highlight w:val="none"/>
        </w:rPr>
      </w:pPr>
    </w:p>
    <w:p>
      <w:pPr>
        <w:rPr>
          <w:rFonts w:ascii="宋体" w:hAnsi="宋体" w:eastAsia="宋体" w:cs="宋体"/>
          <w:highlight w:val="none"/>
        </w:rPr>
      </w:pPr>
    </w:p>
    <w:p>
      <w:pPr>
        <w:rPr>
          <w:rFonts w:ascii="宋体" w:hAnsi="宋体" w:eastAsia="宋体" w:cs="宋体"/>
          <w:highlight w:val="none"/>
        </w:rPr>
      </w:pPr>
    </w:p>
    <w:p>
      <w:pPr>
        <w:rPr>
          <w:rFonts w:ascii="宋体" w:hAnsi="宋体" w:eastAsia="宋体" w:cs="宋体"/>
          <w:highlight w:val="none"/>
        </w:rPr>
      </w:pPr>
    </w:p>
    <w:p>
      <w:pPr>
        <w:rPr>
          <w:rFonts w:ascii="宋体" w:hAnsi="宋体" w:eastAsia="宋体" w:cs="宋体"/>
          <w:highlight w:val="none"/>
        </w:rPr>
      </w:pPr>
    </w:p>
    <w:p>
      <w:pPr>
        <w:rPr>
          <w:rFonts w:ascii="宋体" w:hAnsi="宋体" w:eastAsia="宋体" w:cs="宋体"/>
          <w:highlight w:val="none"/>
        </w:rPr>
      </w:pPr>
    </w:p>
    <w:p>
      <w:pPr>
        <w:rPr>
          <w:rFonts w:ascii="宋体" w:hAnsi="宋体" w:eastAsia="宋体" w:cs="宋体"/>
          <w:highlight w:val="none"/>
        </w:rPr>
      </w:pPr>
    </w:p>
    <w:p>
      <w:pPr>
        <w:rPr>
          <w:rFonts w:ascii="宋体" w:hAnsi="宋体" w:eastAsia="宋体" w:cs="宋体"/>
          <w:highlight w:val="none"/>
        </w:rPr>
      </w:pPr>
    </w:p>
    <w:p>
      <w:pPr>
        <w:rPr>
          <w:rFonts w:ascii="宋体" w:hAnsi="宋体" w:eastAsia="宋体" w:cs="宋体"/>
          <w:highlight w:val="none"/>
        </w:rPr>
      </w:pPr>
    </w:p>
    <w:p>
      <w:pPr>
        <w:pStyle w:val="3"/>
        <w:numPr>
          <w:ilvl w:val="0"/>
          <w:numId w:val="0"/>
        </w:numPr>
        <w:rPr>
          <w:rFonts w:ascii="宋体" w:hAnsi="宋体" w:eastAsia="宋体" w:cs="宋体"/>
          <w:b/>
          <w:bCs/>
          <w:color w:val="auto"/>
          <w:highlight w:val="none"/>
        </w:rPr>
      </w:pPr>
      <w:bookmarkStart w:id="214" w:name="_Toc70"/>
      <w:bookmarkStart w:id="215" w:name="_Toc23593"/>
      <w:r>
        <w:rPr>
          <w:rFonts w:hint="eastAsia" w:ascii="宋体" w:hAnsi="宋体" w:eastAsia="宋体" w:cs="宋体"/>
          <w:b/>
          <w:bCs/>
          <w:color w:val="auto"/>
          <w:highlight w:val="none"/>
        </w:rPr>
        <w:t>一、投标</w:t>
      </w:r>
      <w:bookmarkEnd w:id="214"/>
      <w:r>
        <w:rPr>
          <w:rFonts w:hint="eastAsia" w:ascii="宋体" w:hAnsi="宋体" w:eastAsia="宋体" w:cs="宋体"/>
          <w:b/>
          <w:bCs/>
          <w:color w:val="auto"/>
          <w:highlight w:val="none"/>
        </w:rPr>
        <w:t>函</w:t>
      </w:r>
      <w:bookmarkEnd w:id="215"/>
    </w:p>
    <w:p>
      <w:pPr>
        <w:rPr>
          <w:highlight w:val="none"/>
        </w:rPr>
      </w:pPr>
    </w:p>
    <w:tbl>
      <w:tblPr>
        <w:tblStyle w:val="18"/>
        <w:tblW w:w="8816" w:type="dxa"/>
        <w:jc w:val="center"/>
        <w:tblLayout w:type="fixed"/>
        <w:tblCellMar>
          <w:top w:w="0" w:type="dxa"/>
          <w:left w:w="108" w:type="dxa"/>
          <w:bottom w:w="0" w:type="dxa"/>
          <w:right w:w="108" w:type="dxa"/>
        </w:tblCellMar>
      </w:tblPr>
      <w:tblGrid>
        <w:gridCol w:w="779"/>
        <w:gridCol w:w="577"/>
        <w:gridCol w:w="1385"/>
        <w:gridCol w:w="411"/>
        <w:gridCol w:w="1580"/>
        <w:gridCol w:w="381"/>
        <w:gridCol w:w="925"/>
        <w:gridCol w:w="214"/>
        <w:gridCol w:w="2564"/>
      </w:tblGrid>
      <w:tr>
        <w:tblPrEx>
          <w:tblCellMar>
            <w:top w:w="0" w:type="dxa"/>
            <w:left w:w="108" w:type="dxa"/>
            <w:bottom w:w="0" w:type="dxa"/>
            <w:right w:w="108" w:type="dxa"/>
          </w:tblCellMar>
        </w:tblPrEx>
        <w:trPr>
          <w:trHeight w:val="340" w:hRule="atLeast"/>
          <w:jc w:val="center"/>
        </w:trPr>
        <w:tc>
          <w:tcPr>
            <w:tcW w:w="8816" w:type="dxa"/>
            <w:gridSpan w:val="9"/>
            <w:tcBorders>
              <w:top w:val="single" w:color="auto" w:sz="4" w:space="0"/>
              <w:left w:val="single" w:color="auto" w:sz="4" w:space="0"/>
              <w:bottom w:val="single" w:color="auto" w:sz="4" w:space="0"/>
              <w:right w:val="single" w:color="auto" w:sz="4" w:space="0"/>
            </w:tcBorders>
            <w:vAlign w:val="center"/>
          </w:tcPr>
          <w:p>
            <w:pPr>
              <w:tabs>
                <w:tab w:val="left" w:pos="1260"/>
              </w:tabs>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致：汉中市政府国有资产监督管理委员会</w:t>
            </w:r>
          </w:p>
        </w:tc>
      </w:tr>
      <w:tr>
        <w:tblPrEx>
          <w:tblCellMar>
            <w:top w:w="0" w:type="dxa"/>
            <w:left w:w="108" w:type="dxa"/>
            <w:bottom w:w="0" w:type="dxa"/>
            <w:right w:w="108" w:type="dxa"/>
          </w:tblCellMar>
        </w:tblPrEx>
        <w:trPr>
          <w:trHeight w:val="510" w:hRule="atLeast"/>
          <w:jc w:val="center"/>
        </w:trPr>
        <w:tc>
          <w:tcPr>
            <w:tcW w:w="779" w:type="dxa"/>
            <w:vMerge w:val="restart"/>
            <w:tcBorders>
              <w:top w:val="single" w:color="auto" w:sz="4" w:space="0"/>
              <w:left w:val="single" w:color="auto" w:sz="4" w:space="0"/>
              <w:bottom w:val="single" w:color="auto" w:sz="4" w:space="0"/>
              <w:right w:val="single" w:color="auto" w:sz="4" w:space="0"/>
            </w:tcBorders>
            <w:vAlign w:val="center"/>
          </w:tcPr>
          <w:p>
            <w:pPr>
              <w:tabs>
                <w:tab w:val="left" w:pos="1260"/>
              </w:tabs>
              <w:spacing w:line="30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企业法人</w:t>
            </w:r>
          </w:p>
        </w:tc>
        <w:tc>
          <w:tcPr>
            <w:tcW w:w="1962" w:type="dxa"/>
            <w:gridSpan w:val="2"/>
            <w:tcBorders>
              <w:top w:val="single" w:color="auto" w:sz="4" w:space="0"/>
              <w:left w:val="single" w:color="auto" w:sz="4" w:space="0"/>
              <w:bottom w:val="single" w:color="auto" w:sz="4" w:space="0"/>
              <w:right w:val="single" w:color="auto" w:sz="4" w:space="0"/>
            </w:tcBorders>
            <w:vAlign w:val="center"/>
          </w:tcPr>
          <w:p>
            <w:pPr>
              <w:tabs>
                <w:tab w:val="left" w:pos="1260"/>
              </w:tabs>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企业名称</w:t>
            </w:r>
          </w:p>
        </w:tc>
        <w:tc>
          <w:tcPr>
            <w:tcW w:w="6075" w:type="dxa"/>
            <w:gridSpan w:val="6"/>
            <w:tcBorders>
              <w:top w:val="single" w:color="auto" w:sz="4" w:space="0"/>
              <w:left w:val="single" w:color="auto" w:sz="4" w:space="0"/>
              <w:bottom w:val="single" w:color="auto" w:sz="4" w:space="0"/>
              <w:right w:val="single" w:color="auto" w:sz="4" w:space="0"/>
            </w:tcBorders>
          </w:tcPr>
          <w:p>
            <w:pPr>
              <w:tabs>
                <w:tab w:val="left" w:pos="1260"/>
              </w:tabs>
              <w:rPr>
                <w:rFonts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510" w:hRule="atLeast"/>
          <w:jc w:val="center"/>
        </w:trPr>
        <w:tc>
          <w:tcPr>
            <w:tcW w:w="7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highlight w:val="none"/>
              </w:rPr>
            </w:pPr>
          </w:p>
        </w:tc>
        <w:tc>
          <w:tcPr>
            <w:tcW w:w="1962" w:type="dxa"/>
            <w:gridSpan w:val="2"/>
            <w:tcBorders>
              <w:top w:val="single" w:color="auto" w:sz="4" w:space="0"/>
              <w:left w:val="single" w:color="auto" w:sz="4" w:space="0"/>
              <w:bottom w:val="single" w:color="auto" w:sz="4" w:space="0"/>
              <w:right w:val="single" w:color="auto" w:sz="4" w:space="0"/>
            </w:tcBorders>
            <w:vAlign w:val="center"/>
          </w:tcPr>
          <w:p>
            <w:pPr>
              <w:tabs>
                <w:tab w:val="left" w:pos="1260"/>
              </w:tabs>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法定地址</w:t>
            </w:r>
          </w:p>
        </w:tc>
        <w:tc>
          <w:tcPr>
            <w:tcW w:w="6075" w:type="dxa"/>
            <w:gridSpan w:val="6"/>
            <w:tcBorders>
              <w:top w:val="single" w:color="auto" w:sz="4" w:space="0"/>
              <w:left w:val="single" w:color="auto" w:sz="4" w:space="0"/>
              <w:bottom w:val="single" w:color="auto" w:sz="4" w:space="0"/>
              <w:right w:val="single" w:color="auto" w:sz="4" w:space="0"/>
            </w:tcBorders>
          </w:tcPr>
          <w:p>
            <w:pPr>
              <w:tabs>
                <w:tab w:val="left" w:pos="1260"/>
              </w:tabs>
              <w:rPr>
                <w:rFonts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510" w:hRule="atLeast"/>
          <w:jc w:val="center"/>
        </w:trPr>
        <w:tc>
          <w:tcPr>
            <w:tcW w:w="7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highlight w:val="none"/>
              </w:rPr>
            </w:pPr>
          </w:p>
        </w:tc>
        <w:tc>
          <w:tcPr>
            <w:tcW w:w="1962" w:type="dxa"/>
            <w:gridSpan w:val="2"/>
            <w:tcBorders>
              <w:top w:val="single" w:color="auto" w:sz="4" w:space="0"/>
              <w:left w:val="single" w:color="auto" w:sz="4" w:space="0"/>
              <w:bottom w:val="single" w:color="auto" w:sz="4" w:space="0"/>
              <w:right w:val="single" w:color="auto" w:sz="4" w:space="0"/>
            </w:tcBorders>
            <w:vAlign w:val="center"/>
          </w:tcPr>
          <w:p>
            <w:pPr>
              <w:tabs>
                <w:tab w:val="left" w:pos="1260"/>
              </w:tabs>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w:t>
            </w:r>
          </w:p>
        </w:tc>
        <w:tc>
          <w:tcPr>
            <w:tcW w:w="2372" w:type="dxa"/>
            <w:gridSpan w:val="3"/>
            <w:tcBorders>
              <w:top w:val="single" w:color="auto" w:sz="4" w:space="0"/>
              <w:left w:val="single" w:color="auto" w:sz="4" w:space="0"/>
              <w:bottom w:val="single" w:color="auto" w:sz="4" w:space="0"/>
              <w:right w:val="single" w:color="auto" w:sz="4" w:space="0"/>
            </w:tcBorders>
          </w:tcPr>
          <w:p>
            <w:pPr>
              <w:tabs>
                <w:tab w:val="left" w:pos="1260"/>
              </w:tabs>
              <w:rPr>
                <w:rFonts w:ascii="宋体" w:hAnsi="宋体" w:eastAsia="宋体" w:cs="宋体"/>
                <w:color w:val="auto"/>
                <w:sz w:val="24"/>
                <w:szCs w:val="24"/>
                <w:highlight w:val="none"/>
              </w:rPr>
            </w:pPr>
          </w:p>
        </w:tc>
        <w:tc>
          <w:tcPr>
            <w:tcW w:w="925" w:type="dxa"/>
            <w:tcBorders>
              <w:top w:val="single" w:color="auto" w:sz="4" w:space="0"/>
              <w:left w:val="single" w:color="auto" w:sz="4" w:space="0"/>
              <w:bottom w:val="single" w:color="auto" w:sz="4" w:space="0"/>
              <w:right w:val="single" w:color="auto" w:sz="4" w:space="0"/>
            </w:tcBorders>
            <w:vAlign w:val="center"/>
          </w:tcPr>
          <w:p>
            <w:pPr>
              <w:tabs>
                <w:tab w:val="left" w:pos="1260"/>
              </w:tabs>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职务</w:t>
            </w:r>
          </w:p>
        </w:tc>
        <w:tc>
          <w:tcPr>
            <w:tcW w:w="2778" w:type="dxa"/>
            <w:gridSpan w:val="2"/>
            <w:tcBorders>
              <w:top w:val="single" w:color="auto" w:sz="4" w:space="0"/>
              <w:left w:val="single" w:color="auto" w:sz="4" w:space="0"/>
              <w:bottom w:val="single" w:color="auto" w:sz="4" w:space="0"/>
              <w:right w:val="single" w:color="auto" w:sz="4" w:space="0"/>
            </w:tcBorders>
          </w:tcPr>
          <w:p>
            <w:pPr>
              <w:tabs>
                <w:tab w:val="left" w:pos="1260"/>
              </w:tabs>
              <w:rPr>
                <w:rFonts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510" w:hRule="atLeast"/>
          <w:jc w:val="center"/>
        </w:trPr>
        <w:tc>
          <w:tcPr>
            <w:tcW w:w="779" w:type="dxa"/>
            <w:vMerge w:val="restart"/>
            <w:tcBorders>
              <w:top w:val="single" w:color="auto" w:sz="4" w:space="0"/>
              <w:left w:val="single" w:color="auto" w:sz="4" w:space="0"/>
              <w:bottom w:val="single" w:color="auto" w:sz="4" w:space="0"/>
              <w:right w:val="single" w:color="auto" w:sz="4" w:space="0"/>
            </w:tcBorders>
            <w:vAlign w:val="center"/>
          </w:tcPr>
          <w:p>
            <w:pPr>
              <w:tabs>
                <w:tab w:val="left" w:pos="1260"/>
              </w:tabs>
              <w:spacing w:line="360" w:lineRule="exact"/>
              <w:jc w:val="center"/>
              <w:rPr>
                <w:rFonts w:ascii="宋体" w:hAnsi="宋体" w:eastAsia="宋体" w:cs="宋体"/>
                <w:color w:val="auto"/>
                <w:sz w:val="24"/>
                <w:szCs w:val="24"/>
                <w:highlight w:val="none"/>
              </w:rPr>
            </w:pPr>
          </w:p>
        </w:tc>
        <w:tc>
          <w:tcPr>
            <w:tcW w:w="1962" w:type="dxa"/>
            <w:gridSpan w:val="2"/>
            <w:tcBorders>
              <w:top w:val="single" w:color="auto" w:sz="4" w:space="0"/>
              <w:left w:val="single" w:color="auto" w:sz="4" w:space="0"/>
              <w:bottom w:val="single" w:color="auto" w:sz="4" w:space="0"/>
              <w:right w:val="single" w:color="auto" w:sz="4" w:space="0"/>
            </w:tcBorders>
            <w:vAlign w:val="center"/>
          </w:tcPr>
          <w:p>
            <w:pPr>
              <w:tabs>
                <w:tab w:val="left" w:pos="1260"/>
              </w:tabs>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tc>
        <w:tc>
          <w:tcPr>
            <w:tcW w:w="6075" w:type="dxa"/>
            <w:gridSpan w:val="6"/>
            <w:tcBorders>
              <w:top w:val="single" w:color="auto" w:sz="4" w:space="0"/>
              <w:left w:val="single" w:color="auto" w:sz="4" w:space="0"/>
              <w:bottom w:val="single" w:color="auto" w:sz="4" w:space="0"/>
              <w:right w:val="single" w:color="auto" w:sz="4" w:space="0"/>
            </w:tcBorders>
          </w:tcPr>
          <w:p>
            <w:pPr>
              <w:tabs>
                <w:tab w:val="left" w:pos="1260"/>
              </w:tabs>
              <w:rPr>
                <w:rFonts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510" w:hRule="atLeast"/>
          <w:jc w:val="center"/>
        </w:trPr>
        <w:tc>
          <w:tcPr>
            <w:tcW w:w="7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highlight w:val="none"/>
              </w:rPr>
            </w:pPr>
          </w:p>
        </w:tc>
        <w:tc>
          <w:tcPr>
            <w:tcW w:w="1962" w:type="dxa"/>
            <w:gridSpan w:val="2"/>
            <w:tcBorders>
              <w:top w:val="single" w:color="auto" w:sz="4" w:space="0"/>
              <w:left w:val="single" w:color="auto" w:sz="4" w:space="0"/>
              <w:bottom w:val="single" w:color="auto" w:sz="4" w:space="0"/>
              <w:right w:val="single" w:color="auto" w:sz="4" w:space="0"/>
            </w:tcBorders>
            <w:vAlign w:val="center"/>
          </w:tcPr>
          <w:p>
            <w:pPr>
              <w:tabs>
                <w:tab w:val="left" w:pos="1260"/>
              </w:tabs>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文件编号</w:t>
            </w:r>
          </w:p>
        </w:tc>
        <w:tc>
          <w:tcPr>
            <w:tcW w:w="6075" w:type="dxa"/>
            <w:gridSpan w:val="6"/>
            <w:tcBorders>
              <w:top w:val="single" w:color="auto" w:sz="4" w:space="0"/>
              <w:left w:val="single" w:color="auto" w:sz="4" w:space="0"/>
              <w:bottom w:val="single" w:color="auto" w:sz="4" w:space="0"/>
              <w:right w:val="single" w:color="auto" w:sz="4" w:space="0"/>
            </w:tcBorders>
          </w:tcPr>
          <w:p>
            <w:pPr>
              <w:tabs>
                <w:tab w:val="left" w:pos="1260"/>
              </w:tabs>
              <w:rPr>
                <w:rFonts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510" w:hRule="atLeast"/>
          <w:jc w:val="center"/>
        </w:trPr>
        <w:tc>
          <w:tcPr>
            <w:tcW w:w="7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highlight w:val="none"/>
              </w:rPr>
            </w:pPr>
          </w:p>
        </w:tc>
        <w:tc>
          <w:tcPr>
            <w:tcW w:w="1962" w:type="dxa"/>
            <w:gridSpan w:val="2"/>
            <w:tcBorders>
              <w:top w:val="single" w:color="auto" w:sz="4" w:space="0"/>
              <w:left w:val="single" w:color="auto" w:sz="4" w:space="0"/>
              <w:bottom w:val="single" w:color="auto" w:sz="4" w:space="0"/>
              <w:right w:val="single" w:color="auto" w:sz="4" w:space="0"/>
            </w:tcBorders>
            <w:vAlign w:val="center"/>
          </w:tcPr>
          <w:p>
            <w:pPr>
              <w:tabs>
                <w:tab w:val="left" w:pos="1260"/>
              </w:tabs>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被授权人</w:t>
            </w:r>
          </w:p>
        </w:tc>
        <w:tc>
          <w:tcPr>
            <w:tcW w:w="2372" w:type="dxa"/>
            <w:gridSpan w:val="3"/>
            <w:tcBorders>
              <w:top w:val="single" w:color="auto" w:sz="4" w:space="0"/>
              <w:left w:val="single" w:color="auto" w:sz="4" w:space="0"/>
              <w:bottom w:val="single" w:color="auto" w:sz="4" w:space="0"/>
              <w:right w:val="single" w:color="auto" w:sz="4" w:space="0"/>
            </w:tcBorders>
          </w:tcPr>
          <w:p>
            <w:pPr>
              <w:tabs>
                <w:tab w:val="left" w:pos="1260"/>
              </w:tabs>
              <w:rPr>
                <w:rFonts w:ascii="宋体" w:hAnsi="宋体" w:eastAsia="宋体" w:cs="宋体"/>
                <w:color w:val="auto"/>
                <w:sz w:val="24"/>
                <w:szCs w:val="24"/>
                <w:highlight w:val="none"/>
              </w:rPr>
            </w:pPr>
          </w:p>
        </w:tc>
        <w:tc>
          <w:tcPr>
            <w:tcW w:w="925" w:type="dxa"/>
            <w:tcBorders>
              <w:top w:val="single" w:color="auto" w:sz="4" w:space="0"/>
              <w:left w:val="single" w:color="auto" w:sz="4" w:space="0"/>
              <w:bottom w:val="single" w:color="auto" w:sz="4" w:space="0"/>
              <w:right w:val="single" w:color="auto" w:sz="4" w:space="0"/>
            </w:tcBorders>
            <w:vAlign w:val="center"/>
          </w:tcPr>
          <w:p>
            <w:pPr>
              <w:tabs>
                <w:tab w:val="left" w:pos="1260"/>
              </w:tabs>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职务</w:t>
            </w:r>
          </w:p>
        </w:tc>
        <w:tc>
          <w:tcPr>
            <w:tcW w:w="2778" w:type="dxa"/>
            <w:gridSpan w:val="2"/>
            <w:tcBorders>
              <w:top w:val="single" w:color="auto" w:sz="4" w:space="0"/>
              <w:left w:val="single" w:color="auto" w:sz="4" w:space="0"/>
              <w:bottom w:val="single" w:color="auto" w:sz="4" w:space="0"/>
              <w:right w:val="single" w:color="auto" w:sz="4" w:space="0"/>
            </w:tcBorders>
          </w:tcPr>
          <w:p>
            <w:pPr>
              <w:tabs>
                <w:tab w:val="left" w:pos="1260"/>
              </w:tabs>
              <w:rPr>
                <w:rFonts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510" w:hRule="atLeast"/>
          <w:jc w:val="center"/>
        </w:trPr>
        <w:tc>
          <w:tcPr>
            <w:tcW w:w="7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highlight w:val="none"/>
              </w:rPr>
            </w:pPr>
          </w:p>
        </w:tc>
        <w:tc>
          <w:tcPr>
            <w:tcW w:w="1962" w:type="dxa"/>
            <w:gridSpan w:val="2"/>
            <w:tcBorders>
              <w:top w:val="single" w:color="auto" w:sz="4" w:space="0"/>
              <w:left w:val="single" w:color="auto" w:sz="4" w:space="0"/>
              <w:bottom w:val="single" w:color="auto" w:sz="4" w:space="0"/>
              <w:right w:val="single" w:color="auto" w:sz="4" w:space="0"/>
            </w:tcBorders>
            <w:vAlign w:val="center"/>
          </w:tcPr>
          <w:p>
            <w:pPr>
              <w:tabs>
                <w:tab w:val="left" w:pos="1260"/>
              </w:tabs>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递交响应文件</w:t>
            </w:r>
          </w:p>
        </w:tc>
        <w:tc>
          <w:tcPr>
            <w:tcW w:w="6075" w:type="dxa"/>
            <w:gridSpan w:val="6"/>
            <w:tcBorders>
              <w:top w:val="single" w:color="auto" w:sz="4" w:space="0"/>
              <w:left w:val="single" w:color="auto" w:sz="4" w:space="0"/>
              <w:bottom w:val="single" w:color="auto" w:sz="4" w:space="0"/>
              <w:right w:val="single" w:color="auto" w:sz="4" w:space="0"/>
            </w:tcBorders>
            <w:vAlign w:val="center"/>
          </w:tcPr>
          <w:p>
            <w:pPr>
              <w:tabs>
                <w:tab w:val="left" w:pos="1260"/>
              </w:tabs>
              <w:spacing w:line="36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正本  份、副本  份、电子版   份。</w:t>
            </w:r>
          </w:p>
        </w:tc>
      </w:tr>
      <w:tr>
        <w:tblPrEx>
          <w:tblCellMar>
            <w:top w:w="0" w:type="dxa"/>
            <w:left w:w="108" w:type="dxa"/>
            <w:bottom w:w="0" w:type="dxa"/>
            <w:right w:w="108" w:type="dxa"/>
          </w:tblCellMar>
        </w:tblPrEx>
        <w:trPr>
          <w:trHeight w:val="510" w:hRule="atLeast"/>
          <w:jc w:val="center"/>
        </w:trPr>
        <w:tc>
          <w:tcPr>
            <w:tcW w:w="7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highlight w:val="none"/>
              </w:rPr>
            </w:pPr>
          </w:p>
        </w:tc>
        <w:tc>
          <w:tcPr>
            <w:tcW w:w="1962" w:type="dxa"/>
            <w:gridSpan w:val="2"/>
            <w:tcBorders>
              <w:top w:val="single" w:color="auto" w:sz="4" w:space="0"/>
              <w:left w:val="single" w:color="auto" w:sz="4" w:space="0"/>
              <w:bottom w:val="single" w:color="auto" w:sz="4" w:space="0"/>
              <w:right w:val="single" w:color="auto" w:sz="4" w:space="0"/>
            </w:tcBorders>
            <w:vAlign w:val="center"/>
          </w:tcPr>
          <w:p>
            <w:pPr>
              <w:tabs>
                <w:tab w:val="left" w:pos="1260"/>
              </w:tabs>
              <w:spacing w:line="30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交纳保证金</w:t>
            </w:r>
          </w:p>
        </w:tc>
        <w:tc>
          <w:tcPr>
            <w:tcW w:w="6075"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人民币：（大写金额）</w:t>
            </w:r>
          </w:p>
        </w:tc>
      </w:tr>
      <w:tr>
        <w:tblPrEx>
          <w:tblCellMar>
            <w:top w:w="0" w:type="dxa"/>
            <w:left w:w="108" w:type="dxa"/>
            <w:bottom w:w="0" w:type="dxa"/>
            <w:right w:w="108" w:type="dxa"/>
          </w:tblCellMar>
        </w:tblPrEx>
        <w:trPr>
          <w:trHeight w:val="340" w:hRule="atLeast"/>
          <w:jc w:val="center"/>
        </w:trPr>
        <w:tc>
          <w:tcPr>
            <w:tcW w:w="7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highlight w:val="none"/>
              </w:rPr>
            </w:pPr>
          </w:p>
        </w:tc>
        <w:tc>
          <w:tcPr>
            <w:tcW w:w="8037" w:type="dxa"/>
            <w:gridSpan w:val="8"/>
            <w:tcBorders>
              <w:top w:val="single" w:color="auto" w:sz="4" w:space="0"/>
              <w:left w:val="single" w:color="auto" w:sz="4" w:space="0"/>
              <w:bottom w:val="single" w:color="auto" w:sz="4" w:space="0"/>
              <w:right w:val="single" w:color="auto" w:sz="4" w:space="0"/>
            </w:tcBorders>
            <w:vAlign w:val="center"/>
          </w:tcPr>
          <w:p>
            <w:pPr>
              <w:tabs>
                <w:tab w:val="left" w:pos="1260"/>
              </w:tabs>
              <w:spacing w:line="36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作为投标人郑重声明：</w:t>
            </w:r>
          </w:p>
        </w:tc>
      </w:tr>
      <w:tr>
        <w:tblPrEx>
          <w:tblCellMar>
            <w:top w:w="0" w:type="dxa"/>
            <w:left w:w="108" w:type="dxa"/>
            <w:bottom w:w="0" w:type="dxa"/>
            <w:right w:w="108" w:type="dxa"/>
          </w:tblCellMar>
        </w:tblPrEx>
        <w:trPr>
          <w:trHeight w:val="257" w:hRule="atLeast"/>
          <w:jc w:val="center"/>
        </w:trPr>
        <w:tc>
          <w:tcPr>
            <w:tcW w:w="7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highlight w:val="none"/>
              </w:rPr>
            </w:pPr>
          </w:p>
        </w:tc>
        <w:tc>
          <w:tcPr>
            <w:tcW w:w="577" w:type="dxa"/>
            <w:tcBorders>
              <w:top w:val="single" w:color="auto" w:sz="4" w:space="0"/>
              <w:left w:val="single" w:color="auto" w:sz="4" w:space="0"/>
              <w:bottom w:val="single" w:color="auto" w:sz="4" w:space="0"/>
              <w:right w:val="single" w:color="auto" w:sz="4" w:space="0"/>
            </w:tcBorders>
            <w:vAlign w:val="center"/>
          </w:tcPr>
          <w:p>
            <w:pPr>
              <w:tabs>
                <w:tab w:val="left" w:pos="1260"/>
              </w:tabs>
              <w:spacing w:line="36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A</w:t>
            </w:r>
          </w:p>
        </w:tc>
        <w:tc>
          <w:tcPr>
            <w:tcW w:w="7460" w:type="dxa"/>
            <w:gridSpan w:val="7"/>
            <w:tcBorders>
              <w:top w:val="single" w:color="auto" w:sz="4" w:space="0"/>
              <w:left w:val="single" w:color="auto" w:sz="4" w:space="0"/>
              <w:bottom w:val="single" w:color="auto" w:sz="4" w:space="0"/>
              <w:right w:val="single" w:color="auto" w:sz="4" w:space="0"/>
            </w:tcBorders>
            <w:vAlign w:val="center"/>
          </w:tcPr>
          <w:p>
            <w:pPr>
              <w:tabs>
                <w:tab w:val="left" w:pos="1260"/>
              </w:tabs>
              <w:spacing w:line="30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依据招标文件的内容要求，提供完全满足采购需求的合格产品和全面技术、售后服务保障。</w:t>
            </w:r>
          </w:p>
        </w:tc>
      </w:tr>
      <w:tr>
        <w:tblPrEx>
          <w:tblCellMar>
            <w:top w:w="0" w:type="dxa"/>
            <w:left w:w="108" w:type="dxa"/>
            <w:bottom w:w="0" w:type="dxa"/>
            <w:right w:w="108" w:type="dxa"/>
          </w:tblCellMar>
        </w:tblPrEx>
        <w:trPr>
          <w:trHeight w:val="257" w:hRule="atLeast"/>
          <w:jc w:val="center"/>
        </w:trPr>
        <w:tc>
          <w:tcPr>
            <w:tcW w:w="7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highlight w:val="none"/>
              </w:rPr>
            </w:pPr>
          </w:p>
        </w:tc>
        <w:tc>
          <w:tcPr>
            <w:tcW w:w="577" w:type="dxa"/>
            <w:tcBorders>
              <w:top w:val="single" w:color="auto" w:sz="4" w:space="0"/>
              <w:left w:val="single" w:color="auto" w:sz="4" w:space="0"/>
              <w:bottom w:val="single" w:color="auto" w:sz="4" w:space="0"/>
              <w:right w:val="single" w:color="auto" w:sz="4" w:space="0"/>
            </w:tcBorders>
            <w:vAlign w:val="center"/>
          </w:tcPr>
          <w:p>
            <w:pPr>
              <w:tabs>
                <w:tab w:val="left" w:pos="1260"/>
              </w:tabs>
              <w:spacing w:line="36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B</w:t>
            </w:r>
          </w:p>
        </w:tc>
        <w:tc>
          <w:tcPr>
            <w:tcW w:w="7460" w:type="dxa"/>
            <w:gridSpan w:val="7"/>
            <w:tcBorders>
              <w:top w:val="single" w:color="auto" w:sz="4" w:space="0"/>
              <w:left w:val="single" w:color="auto" w:sz="4" w:space="0"/>
              <w:bottom w:val="single" w:color="auto" w:sz="4" w:space="0"/>
              <w:right w:val="single" w:color="auto" w:sz="4" w:space="0"/>
            </w:tcBorders>
            <w:vAlign w:val="center"/>
          </w:tcPr>
          <w:p>
            <w:pPr>
              <w:tabs>
                <w:tab w:val="left" w:pos="1260"/>
              </w:tabs>
              <w:spacing w:line="30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已详细审查全部招标文件包括修改文件（如有）以及全部参考资料和有关附件，我们完全理解并同意放弃对这方面有不明及误解的权利。</w:t>
            </w:r>
          </w:p>
        </w:tc>
      </w:tr>
      <w:tr>
        <w:tblPrEx>
          <w:tblCellMar>
            <w:top w:w="0" w:type="dxa"/>
            <w:left w:w="108" w:type="dxa"/>
            <w:bottom w:w="0" w:type="dxa"/>
            <w:right w:w="108" w:type="dxa"/>
          </w:tblCellMar>
        </w:tblPrEx>
        <w:trPr>
          <w:trHeight w:val="257" w:hRule="atLeast"/>
          <w:jc w:val="center"/>
        </w:trPr>
        <w:tc>
          <w:tcPr>
            <w:tcW w:w="7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highlight w:val="none"/>
              </w:rPr>
            </w:pPr>
          </w:p>
        </w:tc>
        <w:tc>
          <w:tcPr>
            <w:tcW w:w="577" w:type="dxa"/>
            <w:tcBorders>
              <w:top w:val="single" w:color="auto" w:sz="4" w:space="0"/>
              <w:left w:val="single" w:color="auto" w:sz="4" w:space="0"/>
              <w:bottom w:val="single" w:color="auto" w:sz="4" w:space="0"/>
              <w:right w:val="single" w:color="auto" w:sz="4" w:space="0"/>
            </w:tcBorders>
            <w:vAlign w:val="center"/>
          </w:tcPr>
          <w:p>
            <w:pPr>
              <w:tabs>
                <w:tab w:val="left" w:pos="1260"/>
              </w:tabs>
              <w:spacing w:line="36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C</w:t>
            </w:r>
          </w:p>
        </w:tc>
        <w:tc>
          <w:tcPr>
            <w:tcW w:w="7460" w:type="dxa"/>
            <w:gridSpan w:val="7"/>
            <w:tcBorders>
              <w:top w:val="single" w:color="auto" w:sz="4" w:space="0"/>
              <w:left w:val="single" w:color="auto" w:sz="4" w:space="0"/>
              <w:bottom w:val="single" w:color="auto" w:sz="4" w:space="0"/>
              <w:right w:val="single" w:color="auto" w:sz="4" w:space="0"/>
            </w:tcBorders>
            <w:vAlign w:val="center"/>
          </w:tcPr>
          <w:p>
            <w:pPr>
              <w:tabs>
                <w:tab w:val="left" w:pos="1260"/>
              </w:tabs>
              <w:spacing w:line="30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同意提供与本次招标采购活动相关的其他任何证据和资料。</w:t>
            </w:r>
          </w:p>
        </w:tc>
      </w:tr>
      <w:tr>
        <w:tblPrEx>
          <w:tblCellMar>
            <w:top w:w="0" w:type="dxa"/>
            <w:left w:w="108" w:type="dxa"/>
            <w:bottom w:w="0" w:type="dxa"/>
            <w:right w:w="108" w:type="dxa"/>
          </w:tblCellMar>
        </w:tblPrEx>
        <w:trPr>
          <w:trHeight w:val="257" w:hRule="atLeast"/>
          <w:jc w:val="center"/>
        </w:trPr>
        <w:tc>
          <w:tcPr>
            <w:tcW w:w="7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highlight w:val="none"/>
              </w:rPr>
            </w:pPr>
          </w:p>
        </w:tc>
        <w:tc>
          <w:tcPr>
            <w:tcW w:w="577" w:type="dxa"/>
            <w:tcBorders>
              <w:top w:val="single" w:color="auto" w:sz="4" w:space="0"/>
              <w:left w:val="single" w:color="auto" w:sz="4" w:space="0"/>
              <w:bottom w:val="single" w:color="auto" w:sz="4" w:space="0"/>
              <w:right w:val="single" w:color="auto" w:sz="4" w:space="0"/>
            </w:tcBorders>
            <w:vAlign w:val="center"/>
          </w:tcPr>
          <w:p>
            <w:pPr>
              <w:tabs>
                <w:tab w:val="left" w:pos="1260"/>
              </w:tabs>
              <w:spacing w:line="36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D</w:t>
            </w:r>
          </w:p>
        </w:tc>
        <w:tc>
          <w:tcPr>
            <w:tcW w:w="7460" w:type="dxa"/>
            <w:gridSpan w:val="7"/>
            <w:tcBorders>
              <w:top w:val="single" w:color="auto" w:sz="4" w:space="0"/>
              <w:left w:val="single" w:color="auto" w:sz="4" w:space="0"/>
              <w:bottom w:val="single" w:color="auto" w:sz="4" w:space="0"/>
              <w:right w:val="single" w:color="auto" w:sz="4" w:space="0"/>
            </w:tcBorders>
            <w:vAlign w:val="center"/>
          </w:tcPr>
          <w:p>
            <w:pPr>
              <w:tabs>
                <w:tab w:val="left" w:pos="1260"/>
              </w:tabs>
              <w:spacing w:line="30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完全理解最低投标报价不作为中标的唯一条件，且尊重评标委员会的评审结论及中标结果。</w:t>
            </w:r>
          </w:p>
        </w:tc>
      </w:tr>
      <w:tr>
        <w:tblPrEx>
          <w:tblCellMar>
            <w:top w:w="0" w:type="dxa"/>
            <w:left w:w="108" w:type="dxa"/>
            <w:bottom w:w="0" w:type="dxa"/>
            <w:right w:w="108" w:type="dxa"/>
          </w:tblCellMar>
        </w:tblPrEx>
        <w:trPr>
          <w:trHeight w:val="257" w:hRule="atLeast"/>
          <w:jc w:val="center"/>
        </w:trPr>
        <w:tc>
          <w:tcPr>
            <w:tcW w:w="7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highlight w:val="none"/>
              </w:rPr>
            </w:pPr>
          </w:p>
        </w:tc>
        <w:tc>
          <w:tcPr>
            <w:tcW w:w="577" w:type="dxa"/>
            <w:tcBorders>
              <w:top w:val="single" w:color="auto" w:sz="4" w:space="0"/>
              <w:left w:val="single" w:color="auto" w:sz="4" w:space="0"/>
              <w:bottom w:val="single" w:color="auto" w:sz="4" w:space="0"/>
              <w:right w:val="single" w:color="auto" w:sz="4" w:space="0"/>
            </w:tcBorders>
            <w:vAlign w:val="center"/>
          </w:tcPr>
          <w:p>
            <w:pPr>
              <w:tabs>
                <w:tab w:val="left" w:pos="1260"/>
              </w:tabs>
              <w:spacing w:line="36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E</w:t>
            </w:r>
          </w:p>
        </w:tc>
        <w:tc>
          <w:tcPr>
            <w:tcW w:w="7460" w:type="dxa"/>
            <w:gridSpan w:val="7"/>
            <w:tcBorders>
              <w:top w:val="single" w:color="auto" w:sz="4" w:space="0"/>
              <w:left w:val="single" w:color="auto" w:sz="4" w:space="0"/>
              <w:bottom w:val="single" w:color="auto" w:sz="4" w:space="0"/>
              <w:right w:val="single" w:color="auto" w:sz="4" w:space="0"/>
            </w:tcBorders>
            <w:vAlign w:val="center"/>
          </w:tcPr>
          <w:p>
            <w:pPr>
              <w:tabs>
                <w:tab w:val="left" w:pos="1260"/>
              </w:tabs>
              <w:spacing w:line="300" w:lineRule="exact"/>
              <w:rPr>
                <w:rFonts w:ascii="宋体" w:hAnsi="宋体" w:eastAsia="宋体" w:cs="宋体"/>
                <w:color w:val="auto"/>
                <w:sz w:val="24"/>
                <w:szCs w:val="24"/>
                <w:highlight w:val="none"/>
              </w:rPr>
            </w:pPr>
            <w:r>
              <w:rPr>
                <w:rFonts w:hint="eastAsia" w:ascii="宋体" w:hAnsi="宋体" w:eastAsia="宋体" w:cs="宋体"/>
                <w:bCs/>
                <w:color w:val="auto"/>
                <w:sz w:val="24"/>
                <w:szCs w:val="24"/>
                <w:highlight w:val="none"/>
              </w:rPr>
              <w:t>如果在规定的宣读报价时间后，供应商在投标有效期内撤回投标，其投标保证金将被贵方没收。</w:t>
            </w:r>
          </w:p>
        </w:tc>
      </w:tr>
      <w:tr>
        <w:tblPrEx>
          <w:tblCellMar>
            <w:top w:w="0" w:type="dxa"/>
            <w:left w:w="108" w:type="dxa"/>
            <w:bottom w:w="0" w:type="dxa"/>
            <w:right w:w="108" w:type="dxa"/>
          </w:tblCellMar>
        </w:tblPrEx>
        <w:trPr>
          <w:trHeight w:val="506" w:hRule="atLeast"/>
          <w:jc w:val="center"/>
        </w:trPr>
        <w:tc>
          <w:tcPr>
            <w:tcW w:w="7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highlight w:val="none"/>
              </w:rPr>
            </w:pPr>
          </w:p>
        </w:tc>
        <w:tc>
          <w:tcPr>
            <w:tcW w:w="577" w:type="dxa"/>
            <w:tcBorders>
              <w:top w:val="single" w:color="auto" w:sz="4" w:space="0"/>
              <w:left w:val="single" w:color="auto" w:sz="4" w:space="0"/>
              <w:bottom w:val="single" w:color="auto" w:sz="4" w:space="0"/>
              <w:right w:val="single" w:color="auto" w:sz="4" w:space="0"/>
            </w:tcBorders>
            <w:vAlign w:val="center"/>
          </w:tcPr>
          <w:p>
            <w:pPr>
              <w:tabs>
                <w:tab w:val="left" w:pos="1260"/>
              </w:tabs>
              <w:spacing w:line="36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F</w:t>
            </w:r>
          </w:p>
        </w:tc>
        <w:tc>
          <w:tcPr>
            <w:tcW w:w="7460" w:type="dxa"/>
            <w:gridSpan w:val="7"/>
            <w:tcBorders>
              <w:top w:val="single" w:color="auto" w:sz="4" w:space="0"/>
              <w:left w:val="single" w:color="auto" w:sz="4" w:space="0"/>
              <w:bottom w:val="single" w:color="auto" w:sz="4" w:space="0"/>
              <w:right w:val="single" w:color="auto" w:sz="4" w:space="0"/>
            </w:tcBorders>
            <w:vAlign w:val="center"/>
          </w:tcPr>
          <w:p>
            <w:pPr>
              <w:tabs>
                <w:tab w:val="left" w:pos="1260"/>
              </w:tabs>
              <w:spacing w:line="300" w:lineRule="exact"/>
              <w:rPr>
                <w:rFonts w:ascii="宋体" w:hAnsi="宋体" w:eastAsia="宋体" w:cs="宋体"/>
                <w:color w:val="auto"/>
                <w:sz w:val="24"/>
                <w:szCs w:val="24"/>
                <w:highlight w:val="none"/>
                <w:u w:val="single"/>
              </w:rPr>
            </w:pPr>
            <w:r>
              <w:rPr>
                <w:rFonts w:hint="eastAsia" w:ascii="宋体" w:hAnsi="宋体" w:eastAsia="宋体" w:cs="宋体"/>
                <w:bCs/>
                <w:color w:val="auto"/>
                <w:sz w:val="24"/>
                <w:szCs w:val="24"/>
                <w:highlight w:val="none"/>
              </w:rPr>
              <w:t>本投标函有效期：</w:t>
            </w:r>
            <w:r>
              <w:rPr>
                <w:rFonts w:hint="eastAsia" w:ascii="宋体" w:hAnsi="宋体" w:eastAsia="宋体" w:cs="宋体"/>
                <w:bCs/>
                <w:color w:val="auto"/>
                <w:sz w:val="24"/>
                <w:szCs w:val="24"/>
                <w:highlight w:val="none"/>
                <w:u w:val="single"/>
              </w:rPr>
              <w:t>自投标截止之日起90日历天</w:t>
            </w:r>
          </w:p>
        </w:tc>
      </w:tr>
      <w:tr>
        <w:tblPrEx>
          <w:tblCellMar>
            <w:top w:w="0" w:type="dxa"/>
            <w:left w:w="108" w:type="dxa"/>
            <w:bottom w:w="0" w:type="dxa"/>
            <w:right w:w="108" w:type="dxa"/>
          </w:tblCellMar>
        </w:tblPrEx>
        <w:trPr>
          <w:trHeight w:val="358" w:hRule="atLeast"/>
          <w:jc w:val="center"/>
        </w:trPr>
        <w:tc>
          <w:tcPr>
            <w:tcW w:w="8816" w:type="dxa"/>
            <w:gridSpan w:val="9"/>
            <w:tcBorders>
              <w:top w:val="single" w:color="auto" w:sz="4" w:space="0"/>
              <w:left w:val="single" w:color="auto" w:sz="4" w:space="0"/>
              <w:bottom w:val="single" w:color="auto" w:sz="4" w:space="0"/>
              <w:right w:val="single" w:color="auto" w:sz="4" w:space="0"/>
            </w:tcBorders>
            <w:vAlign w:val="center"/>
          </w:tcPr>
          <w:p>
            <w:pPr>
              <w:tabs>
                <w:tab w:val="left" w:pos="1260"/>
              </w:tabs>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有关本次招标的所有联络函电，请按下列方式联系：</w:t>
            </w:r>
          </w:p>
        </w:tc>
      </w:tr>
      <w:tr>
        <w:tblPrEx>
          <w:tblCellMar>
            <w:top w:w="0" w:type="dxa"/>
            <w:left w:w="108" w:type="dxa"/>
            <w:bottom w:w="0" w:type="dxa"/>
            <w:right w:w="108" w:type="dxa"/>
          </w:tblCellMar>
        </w:tblPrEx>
        <w:trPr>
          <w:trHeight w:val="510" w:hRule="atLeast"/>
          <w:jc w:val="center"/>
        </w:trPr>
        <w:tc>
          <w:tcPr>
            <w:tcW w:w="1356" w:type="dxa"/>
            <w:gridSpan w:val="2"/>
            <w:tcBorders>
              <w:top w:val="single" w:color="auto" w:sz="4" w:space="0"/>
              <w:left w:val="single" w:color="auto" w:sz="4" w:space="0"/>
              <w:bottom w:val="single" w:color="auto" w:sz="4" w:space="0"/>
              <w:right w:val="single" w:color="auto" w:sz="4" w:space="0"/>
            </w:tcBorders>
            <w:vAlign w:val="center"/>
          </w:tcPr>
          <w:p>
            <w:pPr>
              <w:tabs>
                <w:tab w:val="left" w:pos="1260"/>
              </w:tabs>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p>
        </w:tc>
        <w:tc>
          <w:tcPr>
            <w:tcW w:w="3376" w:type="dxa"/>
            <w:gridSpan w:val="3"/>
            <w:tcBorders>
              <w:top w:val="single" w:color="auto" w:sz="4" w:space="0"/>
              <w:left w:val="single" w:color="auto" w:sz="4" w:space="0"/>
              <w:bottom w:val="single" w:color="auto" w:sz="4" w:space="0"/>
              <w:right w:val="single" w:color="auto" w:sz="4" w:space="0"/>
            </w:tcBorders>
            <w:vAlign w:val="center"/>
          </w:tcPr>
          <w:p>
            <w:pPr>
              <w:tabs>
                <w:tab w:val="left" w:pos="1260"/>
              </w:tabs>
              <w:jc w:val="center"/>
              <w:rPr>
                <w:rFonts w:ascii="宋体" w:hAnsi="宋体" w:eastAsia="宋体" w:cs="宋体"/>
                <w:color w:val="auto"/>
                <w:sz w:val="24"/>
                <w:szCs w:val="24"/>
                <w:highlight w:val="none"/>
              </w:rPr>
            </w:pPr>
          </w:p>
        </w:tc>
        <w:tc>
          <w:tcPr>
            <w:tcW w:w="1520" w:type="dxa"/>
            <w:gridSpan w:val="3"/>
            <w:tcBorders>
              <w:top w:val="single" w:color="auto" w:sz="4" w:space="0"/>
              <w:left w:val="single" w:color="auto" w:sz="4" w:space="0"/>
              <w:bottom w:val="single" w:color="auto" w:sz="4" w:space="0"/>
              <w:right w:val="single" w:color="auto" w:sz="4" w:space="0"/>
            </w:tcBorders>
            <w:vAlign w:val="center"/>
          </w:tcPr>
          <w:p>
            <w:pPr>
              <w:tabs>
                <w:tab w:val="left" w:pos="1260"/>
              </w:tabs>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邮政编码</w:t>
            </w:r>
          </w:p>
        </w:tc>
        <w:tc>
          <w:tcPr>
            <w:tcW w:w="2564" w:type="dxa"/>
            <w:tcBorders>
              <w:top w:val="single" w:color="auto" w:sz="4" w:space="0"/>
              <w:left w:val="single" w:color="auto" w:sz="4" w:space="0"/>
              <w:bottom w:val="single" w:color="auto" w:sz="4" w:space="0"/>
              <w:right w:val="single" w:color="auto" w:sz="4" w:space="0"/>
            </w:tcBorders>
            <w:vAlign w:val="center"/>
          </w:tcPr>
          <w:p>
            <w:pPr>
              <w:tabs>
                <w:tab w:val="left" w:pos="1260"/>
              </w:tabs>
              <w:rPr>
                <w:rFonts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510" w:hRule="atLeast"/>
          <w:jc w:val="center"/>
        </w:trPr>
        <w:tc>
          <w:tcPr>
            <w:tcW w:w="1356" w:type="dxa"/>
            <w:gridSpan w:val="2"/>
            <w:tcBorders>
              <w:top w:val="single" w:color="auto" w:sz="4" w:space="0"/>
              <w:left w:val="single" w:color="auto" w:sz="4" w:space="0"/>
              <w:bottom w:val="single" w:color="auto" w:sz="4" w:space="0"/>
              <w:right w:val="single" w:color="auto" w:sz="4" w:space="0"/>
            </w:tcBorders>
            <w:vAlign w:val="center"/>
          </w:tcPr>
          <w:p>
            <w:pPr>
              <w:tabs>
                <w:tab w:val="left" w:pos="1260"/>
              </w:tabs>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电话/传真</w:t>
            </w:r>
          </w:p>
        </w:tc>
        <w:tc>
          <w:tcPr>
            <w:tcW w:w="3376" w:type="dxa"/>
            <w:gridSpan w:val="3"/>
            <w:tcBorders>
              <w:top w:val="single" w:color="auto" w:sz="4" w:space="0"/>
              <w:left w:val="single" w:color="auto" w:sz="4" w:space="0"/>
              <w:bottom w:val="single" w:color="auto" w:sz="4" w:space="0"/>
              <w:right w:val="single" w:color="auto" w:sz="4" w:space="0"/>
            </w:tcBorders>
            <w:vAlign w:val="center"/>
          </w:tcPr>
          <w:p>
            <w:pPr>
              <w:tabs>
                <w:tab w:val="left" w:pos="1260"/>
              </w:tabs>
              <w:jc w:val="center"/>
              <w:rPr>
                <w:rFonts w:ascii="宋体" w:hAnsi="宋体" w:eastAsia="宋体" w:cs="宋体"/>
                <w:color w:val="auto"/>
                <w:sz w:val="24"/>
                <w:szCs w:val="24"/>
                <w:highlight w:val="none"/>
              </w:rPr>
            </w:pPr>
          </w:p>
        </w:tc>
        <w:tc>
          <w:tcPr>
            <w:tcW w:w="1520" w:type="dxa"/>
            <w:gridSpan w:val="3"/>
            <w:tcBorders>
              <w:top w:val="single" w:color="auto" w:sz="4" w:space="0"/>
              <w:left w:val="single" w:color="auto" w:sz="4" w:space="0"/>
              <w:bottom w:val="single" w:color="auto" w:sz="4" w:space="0"/>
              <w:right w:val="single" w:color="auto" w:sz="4" w:space="0"/>
            </w:tcBorders>
            <w:vAlign w:val="center"/>
          </w:tcPr>
          <w:p>
            <w:pPr>
              <w:tabs>
                <w:tab w:val="left" w:pos="1260"/>
              </w:tabs>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电子邮件</w:t>
            </w:r>
          </w:p>
        </w:tc>
        <w:tc>
          <w:tcPr>
            <w:tcW w:w="2564" w:type="dxa"/>
            <w:tcBorders>
              <w:top w:val="single" w:color="auto" w:sz="4" w:space="0"/>
              <w:left w:val="single" w:color="auto" w:sz="4" w:space="0"/>
              <w:bottom w:val="single" w:color="auto" w:sz="4" w:space="0"/>
              <w:right w:val="single" w:color="auto" w:sz="4" w:space="0"/>
            </w:tcBorders>
            <w:vAlign w:val="center"/>
          </w:tcPr>
          <w:p>
            <w:pPr>
              <w:tabs>
                <w:tab w:val="left" w:pos="1260"/>
              </w:tabs>
              <w:rPr>
                <w:rFonts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510" w:hRule="atLeast"/>
          <w:jc w:val="center"/>
        </w:trPr>
        <w:tc>
          <w:tcPr>
            <w:tcW w:w="1356" w:type="dxa"/>
            <w:gridSpan w:val="2"/>
            <w:tcBorders>
              <w:top w:val="single" w:color="auto" w:sz="4" w:space="0"/>
              <w:left w:val="single" w:color="auto" w:sz="4" w:space="0"/>
              <w:bottom w:val="single" w:color="auto" w:sz="4" w:space="0"/>
              <w:right w:val="single" w:color="auto" w:sz="4" w:space="0"/>
            </w:tcBorders>
            <w:vAlign w:val="center"/>
          </w:tcPr>
          <w:p>
            <w:pPr>
              <w:tabs>
                <w:tab w:val="left" w:pos="1260"/>
              </w:tabs>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网址</w:t>
            </w:r>
          </w:p>
        </w:tc>
        <w:tc>
          <w:tcPr>
            <w:tcW w:w="3376" w:type="dxa"/>
            <w:gridSpan w:val="3"/>
            <w:tcBorders>
              <w:top w:val="single" w:color="auto" w:sz="4" w:space="0"/>
              <w:left w:val="single" w:color="auto" w:sz="4" w:space="0"/>
              <w:bottom w:val="single" w:color="auto" w:sz="4" w:space="0"/>
              <w:right w:val="single" w:color="auto" w:sz="4" w:space="0"/>
            </w:tcBorders>
            <w:vAlign w:val="center"/>
          </w:tcPr>
          <w:p>
            <w:pPr>
              <w:tabs>
                <w:tab w:val="left" w:pos="1260"/>
              </w:tabs>
              <w:jc w:val="center"/>
              <w:rPr>
                <w:rFonts w:ascii="宋体" w:hAnsi="宋体" w:eastAsia="宋体" w:cs="宋体"/>
                <w:color w:val="auto"/>
                <w:sz w:val="24"/>
                <w:szCs w:val="24"/>
                <w:highlight w:val="none"/>
              </w:rPr>
            </w:pPr>
          </w:p>
        </w:tc>
        <w:tc>
          <w:tcPr>
            <w:tcW w:w="1520" w:type="dxa"/>
            <w:gridSpan w:val="3"/>
            <w:tcBorders>
              <w:top w:val="single" w:color="auto" w:sz="4" w:space="0"/>
              <w:left w:val="single" w:color="auto" w:sz="4" w:space="0"/>
              <w:bottom w:val="single" w:color="auto" w:sz="4" w:space="0"/>
              <w:right w:val="single" w:color="auto" w:sz="4" w:space="0"/>
            </w:tcBorders>
            <w:vAlign w:val="center"/>
          </w:tcPr>
          <w:p>
            <w:pPr>
              <w:tabs>
                <w:tab w:val="left" w:pos="1260"/>
              </w:tabs>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手机号码</w:t>
            </w:r>
          </w:p>
        </w:tc>
        <w:tc>
          <w:tcPr>
            <w:tcW w:w="2564" w:type="dxa"/>
            <w:tcBorders>
              <w:top w:val="single" w:color="auto" w:sz="4" w:space="0"/>
              <w:left w:val="single" w:color="auto" w:sz="4" w:space="0"/>
              <w:bottom w:val="single" w:color="auto" w:sz="4" w:space="0"/>
              <w:right w:val="single" w:color="auto" w:sz="4" w:space="0"/>
            </w:tcBorders>
            <w:vAlign w:val="center"/>
          </w:tcPr>
          <w:p>
            <w:pPr>
              <w:tabs>
                <w:tab w:val="left" w:pos="1260"/>
              </w:tabs>
              <w:rPr>
                <w:rFonts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340" w:hRule="atLeast"/>
          <w:jc w:val="center"/>
        </w:trPr>
        <w:tc>
          <w:tcPr>
            <w:tcW w:w="3152" w:type="dxa"/>
            <w:gridSpan w:val="4"/>
            <w:tcBorders>
              <w:top w:val="single" w:color="auto" w:sz="4" w:space="0"/>
              <w:left w:val="single" w:color="auto" w:sz="4" w:space="0"/>
              <w:bottom w:val="single" w:color="auto" w:sz="4" w:space="0"/>
              <w:right w:val="nil"/>
            </w:tcBorders>
            <w:vAlign w:val="center"/>
          </w:tcPr>
          <w:p>
            <w:pPr>
              <w:tabs>
                <w:tab w:val="left" w:pos="1260"/>
              </w:tabs>
              <w:jc w:val="center"/>
              <w:rPr>
                <w:rFonts w:ascii="宋体" w:hAnsi="宋体" w:eastAsia="宋体" w:cs="宋体"/>
                <w:color w:val="auto"/>
                <w:sz w:val="24"/>
                <w:szCs w:val="24"/>
                <w:highlight w:val="none"/>
              </w:rPr>
            </w:pPr>
            <w:r>
              <w:rPr>
                <w:rFonts w:hint="eastAsia" w:ascii="宋体" w:hAnsi="宋体" w:eastAsia="宋体" w:cs="宋体"/>
                <w:bCs/>
                <w:color w:val="auto"/>
                <w:sz w:val="24"/>
                <w:szCs w:val="24"/>
                <w:highlight w:val="none"/>
              </w:rPr>
              <w:t>投标人</w:t>
            </w:r>
          </w:p>
        </w:tc>
        <w:tc>
          <w:tcPr>
            <w:tcW w:w="3100" w:type="dxa"/>
            <w:gridSpan w:val="4"/>
            <w:tcBorders>
              <w:top w:val="single" w:color="auto" w:sz="4" w:space="0"/>
              <w:left w:val="single" w:color="auto" w:sz="4" w:space="0"/>
              <w:bottom w:val="single" w:color="auto" w:sz="4" w:space="0"/>
              <w:right w:val="nil"/>
            </w:tcBorders>
            <w:vAlign w:val="center"/>
          </w:tcPr>
          <w:p>
            <w:pPr>
              <w:tabs>
                <w:tab w:val="left" w:pos="1260"/>
              </w:tabs>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法定代表人或被授权人</w:t>
            </w:r>
          </w:p>
        </w:tc>
        <w:tc>
          <w:tcPr>
            <w:tcW w:w="2564" w:type="dxa"/>
            <w:tcBorders>
              <w:top w:val="single" w:color="auto" w:sz="4" w:space="0"/>
              <w:left w:val="single" w:color="auto" w:sz="4" w:space="0"/>
              <w:bottom w:val="single" w:color="auto" w:sz="4" w:space="0"/>
              <w:right w:val="single" w:color="auto" w:sz="4" w:space="0"/>
            </w:tcBorders>
            <w:vAlign w:val="center"/>
          </w:tcPr>
          <w:p>
            <w:pPr>
              <w:tabs>
                <w:tab w:val="left" w:pos="1260"/>
              </w:tabs>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签署日期</w:t>
            </w:r>
          </w:p>
        </w:tc>
      </w:tr>
      <w:tr>
        <w:tblPrEx>
          <w:tblCellMar>
            <w:top w:w="0" w:type="dxa"/>
            <w:left w:w="108" w:type="dxa"/>
            <w:bottom w:w="0" w:type="dxa"/>
            <w:right w:w="108" w:type="dxa"/>
          </w:tblCellMar>
        </w:tblPrEx>
        <w:trPr>
          <w:trHeight w:val="2244" w:hRule="atLeast"/>
          <w:jc w:val="center"/>
        </w:trPr>
        <w:tc>
          <w:tcPr>
            <w:tcW w:w="3152" w:type="dxa"/>
            <w:gridSpan w:val="4"/>
            <w:tcBorders>
              <w:top w:val="single" w:color="auto" w:sz="4" w:space="0"/>
              <w:left w:val="single" w:color="auto" w:sz="4" w:space="0"/>
              <w:bottom w:val="single" w:color="auto" w:sz="4" w:space="0"/>
              <w:right w:val="nil"/>
            </w:tcBorders>
            <w:vAlign w:val="center"/>
          </w:tcPr>
          <w:p>
            <w:pPr>
              <w:tabs>
                <w:tab w:val="left" w:pos="1260"/>
              </w:tabs>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（单位公章）</w:t>
            </w:r>
          </w:p>
        </w:tc>
        <w:tc>
          <w:tcPr>
            <w:tcW w:w="3100" w:type="dxa"/>
            <w:gridSpan w:val="4"/>
            <w:tcBorders>
              <w:top w:val="single" w:color="auto" w:sz="4" w:space="0"/>
              <w:left w:val="single" w:color="auto" w:sz="4" w:space="0"/>
              <w:bottom w:val="single" w:color="auto" w:sz="4" w:space="0"/>
              <w:right w:val="single" w:color="auto" w:sz="4" w:space="0"/>
            </w:tcBorders>
            <w:vAlign w:val="center"/>
          </w:tcPr>
          <w:p>
            <w:pPr>
              <w:tabs>
                <w:tab w:val="left" w:pos="1260"/>
              </w:tabs>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（签字或盖章）</w:t>
            </w:r>
          </w:p>
        </w:tc>
        <w:tc>
          <w:tcPr>
            <w:tcW w:w="2564" w:type="dxa"/>
            <w:tcBorders>
              <w:top w:val="single" w:color="auto" w:sz="4" w:space="0"/>
              <w:left w:val="single" w:color="auto" w:sz="4" w:space="0"/>
              <w:bottom w:val="single" w:color="auto" w:sz="4" w:space="0"/>
              <w:right w:val="single" w:color="auto" w:sz="4" w:space="0"/>
            </w:tcBorders>
            <w:vAlign w:val="center"/>
          </w:tcPr>
          <w:p>
            <w:pPr>
              <w:tabs>
                <w:tab w:val="left" w:pos="1260"/>
              </w:tabs>
              <w:jc w:val="center"/>
              <w:rPr>
                <w:rFonts w:ascii="宋体" w:hAnsi="宋体" w:eastAsia="宋体" w:cs="宋体"/>
                <w:bCs/>
                <w:color w:val="auto"/>
                <w:sz w:val="24"/>
                <w:szCs w:val="24"/>
                <w:highlight w:val="none"/>
              </w:rPr>
            </w:pPr>
            <w:r>
              <w:rPr>
                <w:rFonts w:hint="eastAsia" w:ascii="宋体" w:hAnsi="宋体" w:eastAsia="宋体" w:cs="宋体"/>
                <w:color w:val="auto"/>
                <w:sz w:val="24"/>
                <w:szCs w:val="24"/>
                <w:highlight w:val="none"/>
              </w:rPr>
              <w:t>年  月  日</w:t>
            </w:r>
          </w:p>
        </w:tc>
      </w:tr>
    </w:tbl>
    <w:p>
      <w:pPr>
        <w:rPr>
          <w:rFonts w:ascii="宋体" w:hAnsi="宋体" w:eastAsia="宋体" w:cs="宋体"/>
          <w:highlight w:val="none"/>
        </w:rPr>
      </w:pPr>
    </w:p>
    <w:p>
      <w:pPr>
        <w:pStyle w:val="3"/>
        <w:numPr>
          <w:ilvl w:val="0"/>
          <w:numId w:val="0"/>
        </w:numPr>
        <w:rPr>
          <w:rFonts w:ascii="宋体" w:hAnsi="宋体" w:eastAsia="宋体" w:cs="宋体"/>
          <w:b/>
          <w:bCs/>
          <w:color w:val="auto"/>
          <w:szCs w:val="30"/>
          <w:highlight w:val="none"/>
        </w:rPr>
      </w:pPr>
      <w:bookmarkStart w:id="216" w:name="_Toc22959"/>
      <w:r>
        <w:rPr>
          <w:rFonts w:hint="eastAsia" w:ascii="宋体" w:hAnsi="宋体" w:eastAsia="宋体" w:cs="宋体"/>
          <w:b/>
          <w:bCs/>
          <w:color w:val="auto"/>
          <w:szCs w:val="30"/>
          <w:highlight w:val="none"/>
        </w:rPr>
        <w:t>二、报价一览表</w:t>
      </w:r>
      <w:bookmarkEnd w:id="216"/>
    </w:p>
    <w:p>
      <w:pPr>
        <w:rPr>
          <w:highlight w:val="none"/>
        </w:rPr>
      </w:pPr>
    </w:p>
    <w:tbl>
      <w:tblPr>
        <w:tblStyle w:val="18"/>
        <w:tblW w:w="90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65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08" w:hRule="atLeast"/>
          <w:jc w:val="center"/>
        </w:trPr>
        <w:tc>
          <w:tcPr>
            <w:tcW w:w="2466" w:type="dxa"/>
            <w:vAlign w:val="center"/>
          </w:tcPr>
          <w:p>
            <w:pPr>
              <w:spacing w:line="48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采购项目名称</w:t>
            </w:r>
          </w:p>
        </w:tc>
        <w:tc>
          <w:tcPr>
            <w:tcW w:w="6573" w:type="dxa"/>
            <w:vAlign w:val="center"/>
          </w:tcPr>
          <w:p>
            <w:pPr>
              <w:spacing w:line="480" w:lineRule="exact"/>
              <w:jc w:val="center"/>
              <w:rPr>
                <w:rFonts w:ascii="宋体" w:hAnsi="宋体" w:eastAsia="宋体" w:cs="宋体"/>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04" w:hRule="atLeast"/>
          <w:jc w:val="center"/>
        </w:trPr>
        <w:tc>
          <w:tcPr>
            <w:tcW w:w="2466" w:type="dxa"/>
            <w:vAlign w:val="center"/>
          </w:tcPr>
          <w:p>
            <w:pPr>
              <w:spacing w:line="48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项目编号</w:t>
            </w:r>
          </w:p>
        </w:tc>
        <w:tc>
          <w:tcPr>
            <w:tcW w:w="6573" w:type="dxa"/>
            <w:vAlign w:val="center"/>
          </w:tcPr>
          <w:p>
            <w:pPr>
              <w:spacing w:line="480" w:lineRule="exact"/>
              <w:jc w:val="center"/>
              <w:rPr>
                <w:rFonts w:ascii="宋体" w:hAnsi="宋体" w:eastAsia="宋体" w:cs="宋体"/>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42" w:hRule="atLeast"/>
          <w:jc w:val="center"/>
        </w:trPr>
        <w:tc>
          <w:tcPr>
            <w:tcW w:w="2466" w:type="dxa"/>
            <w:vAlign w:val="center"/>
          </w:tcPr>
          <w:p>
            <w:pPr>
              <w:spacing w:line="48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供应商名称</w:t>
            </w:r>
          </w:p>
        </w:tc>
        <w:tc>
          <w:tcPr>
            <w:tcW w:w="6573" w:type="dxa"/>
            <w:vAlign w:val="center"/>
          </w:tcPr>
          <w:p>
            <w:pPr>
              <w:spacing w:line="480" w:lineRule="exact"/>
              <w:jc w:val="center"/>
              <w:rPr>
                <w:rFonts w:ascii="宋体" w:hAnsi="宋体" w:eastAsia="宋体" w:cs="宋体"/>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04" w:hRule="atLeast"/>
          <w:jc w:val="center"/>
        </w:trPr>
        <w:tc>
          <w:tcPr>
            <w:tcW w:w="2466" w:type="dxa"/>
            <w:vAlign w:val="center"/>
          </w:tcPr>
          <w:p>
            <w:pPr>
              <w:ind w:firstLine="480" w:firstLineChars="200"/>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w:t>
            </w:r>
          </w:p>
          <w:p>
            <w:pPr>
              <w:ind w:firstLine="480" w:firstLineChars="200"/>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（含税价）</w:t>
            </w:r>
          </w:p>
          <w:p>
            <w:pPr>
              <w:ind w:firstLine="480" w:firstLineChars="200"/>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（人民币）</w:t>
            </w:r>
          </w:p>
          <w:p>
            <w:pPr>
              <w:ind w:firstLine="480" w:firstLineChars="200"/>
              <w:jc w:val="center"/>
              <w:rPr>
                <w:rFonts w:ascii="宋体" w:hAnsi="宋体" w:eastAsia="宋体" w:cs="宋体"/>
                <w:color w:val="auto"/>
                <w:sz w:val="24"/>
                <w:szCs w:val="24"/>
                <w:highlight w:val="none"/>
              </w:rPr>
            </w:pPr>
          </w:p>
        </w:tc>
        <w:tc>
          <w:tcPr>
            <w:tcW w:w="6573" w:type="dxa"/>
            <w:vAlign w:val="center"/>
          </w:tcPr>
          <w:p>
            <w:pPr>
              <w:spacing w:line="48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大写：</w:t>
            </w:r>
          </w:p>
          <w:p>
            <w:pPr>
              <w:pStyle w:val="11"/>
              <w:ind w:firstLine="480" w:firstLineChars="200"/>
              <w:rPr>
                <w:rFonts w:ascii="宋体" w:hAnsi="宋体" w:eastAsia="宋体" w:cs="宋体"/>
                <w:color w:val="auto"/>
                <w:sz w:val="24"/>
                <w:szCs w:val="24"/>
                <w:highlight w:val="none"/>
              </w:rPr>
            </w:pPr>
            <w:r>
              <w:rPr>
                <w:rFonts w:hint="eastAsia" w:ascii="宋体" w:hAnsi="宋体" w:eastAsia="宋体" w:cs="宋体"/>
                <w:color w:val="auto"/>
                <w:kern w:val="2"/>
                <w:sz w:val="24"/>
                <w:szCs w:val="24"/>
                <w:highlight w:val="none"/>
              </w:rPr>
              <w:t>小写：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65" w:hRule="atLeast"/>
          <w:jc w:val="center"/>
        </w:trPr>
        <w:tc>
          <w:tcPr>
            <w:tcW w:w="2466" w:type="dxa"/>
            <w:vAlign w:val="center"/>
          </w:tcPr>
          <w:p>
            <w:pPr>
              <w:spacing w:line="48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建设期</w:t>
            </w:r>
          </w:p>
        </w:tc>
        <w:tc>
          <w:tcPr>
            <w:tcW w:w="6573" w:type="dxa"/>
            <w:vAlign w:val="center"/>
          </w:tcPr>
          <w:p>
            <w:pPr>
              <w:spacing w:line="480" w:lineRule="exact"/>
              <w:rPr>
                <w:rFonts w:ascii="宋体" w:hAnsi="宋体" w:eastAsia="宋体" w:cs="宋体"/>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65" w:hRule="atLeast"/>
          <w:jc w:val="center"/>
        </w:trPr>
        <w:tc>
          <w:tcPr>
            <w:tcW w:w="2466" w:type="dxa"/>
            <w:vAlign w:val="center"/>
          </w:tcPr>
          <w:p>
            <w:pPr>
              <w:spacing w:line="48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服务期</w:t>
            </w:r>
          </w:p>
        </w:tc>
        <w:tc>
          <w:tcPr>
            <w:tcW w:w="6573" w:type="dxa"/>
            <w:vAlign w:val="center"/>
          </w:tcPr>
          <w:p>
            <w:pPr>
              <w:spacing w:line="480" w:lineRule="exact"/>
              <w:rPr>
                <w:rFonts w:ascii="宋体" w:hAnsi="宋体" w:eastAsia="宋体" w:cs="宋体"/>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32" w:hRule="atLeast"/>
          <w:jc w:val="center"/>
        </w:trPr>
        <w:tc>
          <w:tcPr>
            <w:tcW w:w="2466" w:type="dxa"/>
            <w:vAlign w:val="center"/>
          </w:tcPr>
          <w:p>
            <w:pPr>
              <w:spacing w:line="48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承诺</w:t>
            </w:r>
          </w:p>
        </w:tc>
        <w:tc>
          <w:tcPr>
            <w:tcW w:w="6573" w:type="dxa"/>
            <w:vAlign w:val="center"/>
          </w:tcPr>
          <w:p>
            <w:pPr>
              <w:spacing w:line="48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承诺：我单位承诺本项目投标提供的所有证明材料全部真实有效，如查实出现虚假材料的，自动退出投标或取消我单位中标资格。</w:t>
            </w:r>
          </w:p>
        </w:tc>
      </w:tr>
    </w:tbl>
    <w:p>
      <w:pPr>
        <w:spacing w:line="480" w:lineRule="exact"/>
        <w:ind w:right="-161"/>
        <w:rPr>
          <w:rFonts w:ascii="宋体" w:hAnsi="宋体" w:eastAsia="宋体" w:cs="宋体"/>
          <w:color w:val="auto"/>
          <w:sz w:val="24"/>
          <w:szCs w:val="24"/>
          <w:highlight w:val="none"/>
        </w:rPr>
      </w:pPr>
    </w:p>
    <w:p>
      <w:pPr>
        <w:spacing w:line="560" w:lineRule="exact"/>
        <w:rPr>
          <w:rFonts w:ascii="宋体" w:hAnsi="宋体" w:cs="宋体"/>
          <w:sz w:val="24"/>
          <w:szCs w:val="24"/>
          <w:highlight w:val="none"/>
        </w:rPr>
      </w:pPr>
      <w:r>
        <w:rPr>
          <w:rFonts w:hint="eastAsia" w:ascii="宋体" w:hAnsi="宋体" w:eastAsia="宋体" w:cs="宋体"/>
          <w:sz w:val="24"/>
          <w:szCs w:val="24"/>
          <w:highlight w:val="none"/>
        </w:rPr>
        <w:t>投标</w:t>
      </w:r>
      <w:r>
        <w:rPr>
          <w:rFonts w:hint="eastAsia" w:ascii="宋体" w:hAnsi="宋体" w:cs="宋体"/>
          <w:sz w:val="24"/>
          <w:szCs w:val="24"/>
          <w:highlight w:val="none"/>
        </w:rPr>
        <w:t>供应商（盖章）：</w:t>
      </w:r>
      <w:r>
        <w:rPr>
          <w:rFonts w:hint="eastAsia" w:ascii="宋体" w:hAnsi="宋体" w:cs="宋体"/>
          <w:sz w:val="24"/>
          <w:szCs w:val="24"/>
          <w:highlight w:val="none"/>
          <w:u w:val="single"/>
        </w:rPr>
        <w:t xml:space="preserve">                      </w:t>
      </w:r>
    </w:p>
    <w:p>
      <w:pPr>
        <w:spacing w:line="560" w:lineRule="exact"/>
        <w:rPr>
          <w:rFonts w:ascii="宋体" w:hAnsi="宋体" w:cs="宋体"/>
          <w:sz w:val="24"/>
          <w:szCs w:val="24"/>
          <w:highlight w:val="none"/>
          <w:u w:val="single"/>
        </w:rPr>
      </w:pPr>
      <w:r>
        <w:rPr>
          <w:rFonts w:hint="eastAsia" w:ascii="宋体" w:hAnsi="宋体" w:cs="宋体"/>
          <w:sz w:val="24"/>
          <w:szCs w:val="24"/>
          <w:highlight w:val="none"/>
        </w:rPr>
        <w:t>法定代表人或授权代表（签字）：</w:t>
      </w:r>
      <w:r>
        <w:rPr>
          <w:rFonts w:hint="eastAsia" w:ascii="宋体" w:hAnsi="宋体" w:cs="宋体"/>
          <w:sz w:val="24"/>
          <w:szCs w:val="24"/>
          <w:highlight w:val="none"/>
          <w:u w:val="single"/>
        </w:rPr>
        <w:t xml:space="preserve">            </w:t>
      </w:r>
    </w:p>
    <w:p>
      <w:pPr>
        <w:spacing w:line="560" w:lineRule="exact"/>
        <w:rPr>
          <w:rFonts w:ascii="宋体" w:hAnsi="宋体" w:cs="宋体"/>
          <w:sz w:val="24"/>
          <w:szCs w:val="24"/>
          <w:highlight w:val="none"/>
          <w:u w:val="single"/>
        </w:rPr>
      </w:pPr>
      <w:r>
        <w:rPr>
          <w:rFonts w:hint="eastAsia" w:ascii="宋体" w:hAnsi="宋体" w:cs="宋体"/>
          <w:sz w:val="24"/>
          <w:szCs w:val="24"/>
          <w:highlight w:val="none"/>
        </w:rPr>
        <w:t>日    期：</w:t>
      </w:r>
      <w:r>
        <w:rPr>
          <w:rFonts w:hint="eastAsia" w:ascii="宋体" w:hAnsi="宋体" w:cs="宋体"/>
          <w:sz w:val="24"/>
          <w:szCs w:val="24"/>
          <w:highlight w:val="none"/>
          <w:u w:val="single"/>
        </w:rPr>
        <w:t xml:space="preserve">                                </w:t>
      </w:r>
    </w:p>
    <w:p>
      <w:pPr>
        <w:spacing w:line="480" w:lineRule="exact"/>
        <w:rPr>
          <w:color w:val="auto"/>
          <w:highlight w:val="none"/>
        </w:rPr>
      </w:pPr>
    </w:p>
    <w:p>
      <w:pPr>
        <w:rPr>
          <w:rFonts w:ascii="宋体" w:hAnsi="宋体" w:eastAsia="宋体" w:cs="宋体"/>
          <w:highlight w:val="none"/>
        </w:rPr>
      </w:pPr>
    </w:p>
    <w:p>
      <w:pPr>
        <w:rPr>
          <w:rFonts w:ascii="宋体" w:hAnsi="宋体" w:eastAsia="宋体" w:cs="宋体"/>
          <w:highlight w:val="none"/>
        </w:rPr>
      </w:pPr>
    </w:p>
    <w:p>
      <w:pPr>
        <w:rPr>
          <w:rFonts w:ascii="宋体" w:hAnsi="宋体" w:eastAsia="宋体" w:cs="宋体"/>
          <w:highlight w:val="none"/>
        </w:rPr>
      </w:pPr>
    </w:p>
    <w:p>
      <w:pPr>
        <w:rPr>
          <w:rFonts w:ascii="宋体" w:hAnsi="宋体" w:eastAsia="宋体" w:cs="宋体"/>
          <w:highlight w:val="none"/>
        </w:rPr>
      </w:pPr>
    </w:p>
    <w:p>
      <w:pPr>
        <w:pStyle w:val="2"/>
        <w:rPr>
          <w:highlight w:val="none"/>
        </w:rPr>
      </w:pPr>
    </w:p>
    <w:p>
      <w:pPr>
        <w:pStyle w:val="14"/>
        <w:ind w:firstLine="602" w:firstLineChars="200"/>
        <w:jc w:val="center"/>
        <w:rPr>
          <w:rFonts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分项报价表</w:t>
      </w:r>
    </w:p>
    <w:p>
      <w:pPr>
        <w:pStyle w:val="14"/>
        <w:ind w:firstLine="361" w:firstLineChars="200"/>
        <w:rPr>
          <w:b/>
          <w:bCs/>
          <w:color w:val="auto"/>
          <w:sz w:val="18"/>
          <w:szCs w:val="18"/>
          <w:highlight w:val="none"/>
        </w:rPr>
      </w:pPr>
    </w:p>
    <w:p>
      <w:pPr>
        <w:pStyle w:val="14"/>
        <w:ind w:firstLine="361" w:firstLineChars="200"/>
        <w:rPr>
          <w:b/>
          <w:bCs/>
          <w:color w:val="auto"/>
          <w:sz w:val="18"/>
          <w:szCs w:val="18"/>
          <w:highlight w:val="none"/>
        </w:rPr>
      </w:pPr>
    </w:p>
    <w:p>
      <w:pPr>
        <w:rPr>
          <w:rFonts w:ascii="宋体" w:hAnsi="宋体" w:eastAsia="宋体" w:cs="宋体"/>
          <w:highlight w:val="none"/>
        </w:rPr>
      </w:pPr>
      <w:r>
        <w:rPr>
          <w:rFonts w:hint="eastAsia"/>
          <w:b/>
          <w:bCs/>
          <w:color w:val="auto"/>
          <w:szCs w:val="24"/>
          <w:highlight w:val="none"/>
        </w:rPr>
        <w:t>注：</w:t>
      </w:r>
      <w:r>
        <w:rPr>
          <w:rFonts w:hint="eastAsia" w:eastAsia="宋体"/>
          <w:b/>
          <w:bCs/>
          <w:color w:val="auto"/>
          <w:szCs w:val="24"/>
          <w:highlight w:val="none"/>
        </w:rPr>
        <w:t>投标</w:t>
      </w:r>
      <w:r>
        <w:rPr>
          <w:rFonts w:hint="eastAsia"/>
          <w:b/>
          <w:bCs/>
          <w:color w:val="auto"/>
          <w:szCs w:val="24"/>
          <w:highlight w:val="none"/>
        </w:rPr>
        <w:t>供应商根据采购清单进行分项报价格式自拟</w:t>
      </w:r>
    </w:p>
    <w:p>
      <w:pPr>
        <w:rPr>
          <w:rFonts w:ascii="宋体" w:hAnsi="宋体" w:eastAsia="宋体" w:cs="宋体"/>
          <w:highlight w:val="none"/>
        </w:rPr>
      </w:pPr>
    </w:p>
    <w:p>
      <w:pPr>
        <w:rPr>
          <w:rFonts w:ascii="宋体" w:hAnsi="宋体" w:eastAsia="宋体" w:cs="宋体"/>
          <w:highlight w:val="none"/>
        </w:rPr>
      </w:pPr>
    </w:p>
    <w:p>
      <w:pPr>
        <w:rPr>
          <w:rFonts w:ascii="宋体" w:hAnsi="宋体" w:eastAsia="宋体" w:cs="宋体"/>
          <w:highlight w:val="none"/>
        </w:rPr>
      </w:pPr>
    </w:p>
    <w:p>
      <w:pPr>
        <w:rPr>
          <w:rFonts w:ascii="宋体" w:hAnsi="宋体" w:eastAsia="宋体" w:cs="宋体"/>
          <w:sz w:val="24"/>
          <w:szCs w:val="24"/>
          <w:highlight w:val="none"/>
        </w:rPr>
      </w:pPr>
    </w:p>
    <w:p>
      <w:pPr>
        <w:rPr>
          <w:rFonts w:ascii="宋体" w:hAnsi="宋体" w:eastAsia="宋体" w:cs="宋体"/>
          <w:sz w:val="24"/>
          <w:szCs w:val="24"/>
          <w:highlight w:val="none"/>
        </w:rPr>
      </w:pPr>
    </w:p>
    <w:p>
      <w:pPr>
        <w:rPr>
          <w:rFonts w:ascii="宋体" w:hAnsi="宋体" w:eastAsia="宋体" w:cs="宋体"/>
          <w:sz w:val="24"/>
          <w:szCs w:val="24"/>
          <w:highlight w:val="none"/>
        </w:rPr>
      </w:pPr>
    </w:p>
    <w:p>
      <w:pPr>
        <w:rPr>
          <w:rFonts w:ascii="宋体" w:hAnsi="宋体" w:eastAsia="宋体" w:cs="宋体"/>
          <w:sz w:val="24"/>
          <w:szCs w:val="24"/>
          <w:highlight w:val="none"/>
        </w:rPr>
      </w:pPr>
    </w:p>
    <w:p>
      <w:pPr>
        <w:rPr>
          <w:rFonts w:ascii="宋体" w:hAnsi="宋体" w:eastAsia="宋体" w:cs="宋体"/>
          <w:sz w:val="24"/>
          <w:szCs w:val="24"/>
          <w:highlight w:val="none"/>
        </w:rPr>
      </w:pPr>
    </w:p>
    <w:p>
      <w:pPr>
        <w:rPr>
          <w:rFonts w:ascii="宋体" w:hAnsi="宋体" w:eastAsia="宋体" w:cs="宋体"/>
          <w:sz w:val="24"/>
          <w:szCs w:val="24"/>
          <w:highlight w:val="none"/>
        </w:rPr>
      </w:pPr>
    </w:p>
    <w:p>
      <w:pPr>
        <w:rPr>
          <w:rFonts w:ascii="宋体" w:hAnsi="宋体" w:eastAsia="宋体" w:cs="宋体"/>
          <w:sz w:val="24"/>
          <w:szCs w:val="24"/>
          <w:highlight w:val="none"/>
        </w:rPr>
      </w:pPr>
    </w:p>
    <w:p>
      <w:pPr>
        <w:rPr>
          <w:rFonts w:ascii="宋体" w:hAnsi="宋体" w:eastAsia="宋体" w:cs="宋体"/>
          <w:sz w:val="24"/>
          <w:szCs w:val="24"/>
          <w:highlight w:val="none"/>
        </w:rPr>
      </w:pPr>
    </w:p>
    <w:p>
      <w:pPr>
        <w:rPr>
          <w:rFonts w:ascii="宋体" w:hAnsi="宋体" w:eastAsia="宋体" w:cs="宋体"/>
          <w:sz w:val="24"/>
          <w:szCs w:val="24"/>
          <w:highlight w:val="none"/>
        </w:rPr>
      </w:pPr>
    </w:p>
    <w:p>
      <w:pPr>
        <w:rPr>
          <w:rFonts w:ascii="宋体" w:hAnsi="宋体" w:eastAsia="宋体" w:cs="宋体"/>
          <w:sz w:val="24"/>
          <w:szCs w:val="24"/>
          <w:highlight w:val="none"/>
        </w:rPr>
      </w:pPr>
    </w:p>
    <w:p>
      <w:pPr>
        <w:rPr>
          <w:rFonts w:ascii="宋体" w:hAnsi="宋体" w:eastAsia="宋体" w:cs="宋体"/>
          <w:sz w:val="24"/>
          <w:szCs w:val="24"/>
          <w:highlight w:val="none"/>
        </w:rPr>
      </w:pPr>
    </w:p>
    <w:p>
      <w:pPr>
        <w:rPr>
          <w:rFonts w:ascii="宋体" w:hAnsi="宋体" w:eastAsia="宋体" w:cs="宋体"/>
          <w:sz w:val="24"/>
          <w:szCs w:val="24"/>
          <w:highlight w:val="none"/>
        </w:rPr>
      </w:pPr>
    </w:p>
    <w:p>
      <w:pPr>
        <w:rPr>
          <w:rFonts w:ascii="宋体" w:hAnsi="宋体" w:eastAsia="宋体" w:cs="宋体"/>
          <w:sz w:val="24"/>
          <w:szCs w:val="24"/>
          <w:highlight w:val="none"/>
        </w:rPr>
      </w:pPr>
    </w:p>
    <w:p>
      <w:pPr>
        <w:rPr>
          <w:rFonts w:ascii="宋体" w:hAnsi="宋体" w:eastAsia="宋体" w:cs="宋体"/>
          <w:sz w:val="24"/>
          <w:szCs w:val="24"/>
          <w:highlight w:val="none"/>
        </w:rPr>
      </w:pPr>
    </w:p>
    <w:p>
      <w:pPr>
        <w:rPr>
          <w:rFonts w:ascii="宋体" w:hAnsi="宋体" w:eastAsia="宋体" w:cs="宋体"/>
          <w:sz w:val="24"/>
          <w:szCs w:val="24"/>
          <w:highlight w:val="none"/>
        </w:rPr>
      </w:pPr>
    </w:p>
    <w:p>
      <w:pPr>
        <w:rPr>
          <w:rFonts w:ascii="宋体" w:hAnsi="宋体" w:eastAsia="宋体" w:cs="宋体"/>
          <w:sz w:val="24"/>
          <w:szCs w:val="24"/>
          <w:highlight w:val="none"/>
        </w:rPr>
      </w:pPr>
    </w:p>
    <w:p>
      <w:pPr>
        <w:rPr>
          <w:rFonts w:ascii="宋体" w:hAnsi="宋体" w:eastAsia="宋体" w:cs="宋体"/>
          <w:sz w:val="24"/>
          <w:szCs w:val="24"/>
          <w:highlight w:val="none"/>
        </w:rPr>
      </w:pPr>
    </w:p>
    <w:p>
      <w:pPr>
        <w:rPr>
          <w:rFonts w:ascii="宋体" w:hAnsi="宋体" w:eastAsia="宋体" w:cs="宋体"/>
          <w:sz w:val="24"/>
          <w:szCs w:val="24"/>
          <w:highlight w:val="none"/>
        </w:rPr>
      </w:pPr>
    </w:p>
    <w:p>
      <w:pPr>
        <w:rPr>
          <w:rFonts w:ascii="宋体" w:hAnsi="宋体" w:eastAsia="宋体" w:cs="宋体"/>
          <w:sz w:val="24"/>
          <w:szCs w:val="24"/>
          <w:highlight w:val="none"/>
        </w:rPr>
      </w:pPr>
    </w:p>
    <w:p>
      <w:pPr>
        <w:rPr>
          <w:rFonts w:ascii="宋体" w:hAnsi="宋体" w:eastAsia="宋体" w:cs="宋体"/>
          <w:sz w:val="24"/>
          <w:szCs w:val="24"/>
          <w:highlight w:val="none"/>
        </w:rPr>
      </w:pPr>
    </w:p>
    <w:p>
      <w:pPr>
        <w:rPr>
          <w:rFonts w:ascii="宋体" w:hAnsi="宋体" w:eastAsia="宋体" w:cs="宋体"/>
          <w:sz w:val="24"/>
          <w:szCs w:val="24"/>
          <w:highlight w:val="none"/>
        </w:rPr>
      </w:pPr>
    </w:p>
    <w:p>
      <w:pPr>
        <w:rPr>
          <w:rFonts w:ascii="宋体" w:hAnsi="宋体" w:eastAsia="宋体" w:cs="宋体"/>
          <w:sz w:val="24"/>
          <w:szCs w:val="24"/>
          <w:highlight w:val="none"/>
        </w:rPr>
      </w:pPr>
    </w:p>
    <w:p>
      <w:pPr>
        <w:rPr>
          <w:rFonts w:ascii="宋体" w:hAnsi="宋体" w:eastAsia="宋体" w:cs="宋体"/>
          <w:sz w:val="24"/>
          <w:szCs w:val="24"/>
          <w:highlight w:val="none"/>
        </w:rPr>
      </w:pPr>
    </w:p>
    <w:p>
      <w:pPr>
        <w:rPr>
          <w:rFonts w:ascii="宋体" w:hAnsi="宋体" w:eastAsia="宋体" w:cs="宋体"/>
          <w:sz w:val="24"/>
          <w:szCs w:val="24"/>
          <w:highlight w:val="none"/>
        </w:rPr>
      </w:pPr>
    </w:p>
    <w:p>
      <w:pPr>
        <w:rPr>
          <w:rFonts w:ascii="宋体" w:hAnsi="宋体" w:eastAsia="宋体" w:cs="宋体"/>
          <w:sz w:val="24"/>
          <w:szCs w:val="24"/>
          <w:highlight w:val="none"/>
        </w:rPr>
      </w:pPr>
    </w:p>
    <w:p>
      <w:pPr>
        <w:rPr>
          <w:rFonts w:ascii="宋体" w:hAnsi="宋体" w:eastAsia="宋体" w:cs="宋体"/>
          <w:sz w:val="24"/>
          <w:szCs w:val="24"/>
          <w:highlight w:val="none"/>
        </w:rPr>
      </w:pPr>
    </w:p>
    <w:p>
      <w:pPr>
        <w:rPr>
          <w:rFonts w:ascii="宋体" w:hAnsi="宋体" w:eastAsia="宋体" w:cs="宋体"/>
          <w:sz w:val="24"/>
          <w:szCs w:val="24"/>
          <w:highlight w:val="none"/>
        </w:rPr>
      </w:pPr>
    </w:p>
    <w:p>
      <w:pPr>
        <w:rPr>
          <w:rFonts w:ascii="宋体" w:hAnsi="宋体" w:eastAsia="宋体" w:cs="宋体"/>
          <w:sz w:val="24"/>
          <w:szCs w:val="24"/>
          <w:highlight w:val="none"/>
        </w:rPr>
      </w:pPr>
    </w:p>
    <w:p>
      <w:pPr>
        <w:rPr>
          <w:rFonts w:ascii="宋体" w:hAnsi="宋体" w:eastAsia="宋体" w:cs="宋体"/>
          <w:sz w:val="24"/>
          <w:szCs w:val="24"/>
          <w:highlight w:val="none"/>
        </w:rPr>
      </w:pPr>
    </w:p>
    <w:p>
      <w:pPr>
        <w:rPr>
          <w:rFonts w:ascii="宋体" w:hAnsi="宋体" w:eastAsia="宋体" w:cs="宋体"/>
          <w:sz w:val="24"/>
          <w:szCs w:val="24"/>
          <w:highlight w:val="none"/>
        </w:rPr>
      </w:pPr>
    </w:p>
    <w:p>
      <w:pPr>
        <w:rPr>
          <w:rFonts w:ascii="宋体" w:hAnsi="宋体" w:eastAsia="宋体" w:cs="宋体"/>
          <w:sz w:val="24"/>
          <w:szCs w:val="24"/>
          <w:highlight w:val="none"/>
        </w:rPr>
      </w:pPr>
    </w:p>
    <w:p>
      <w:pPr>
        <w:rPr>
          <w:rFonts w:ascii="宋体" w:hAnsi="宋体" w:eastAsia="宋体" w:cs="宋体"/>
          <w:sz w:val="24"/>
          <w:szCs w:val="24"/>
          <w:highlight w:val="none"/>
        </w:rPr>
      </w:pPr>
    </w:p>
    <w:p>
      <w:pPr>
        <w:rPr>
          <w:rFonts w:ascii="宋体" w:hAnsi="宋体" w:eastAsia="宋体" w:cs="宋体"/>
          <w:sz w:val="24"/>
          <w:szCs w:val="24"/>
          <w:highlight w:val="none"/>
        </w:rPr>
      </w:pPr>
    </w:p>
    <w:p>
      <w:pPr>
        <w:rPr>
          <w:rFonts w:ascii="宋体" w:hAnsi="宋体" w:eastAsia="宋体" w:cs="宋体"/>
          <w:sz w:val="24"/>
          <w:szCs w:val="24"/>
          <w:highlight w:val="none"/>
        </w:rPr>
      </w:pPr>
    </w:p>
    <w:p>
      <w:pPr>
        <w:rPr>
          <w:rFonts w:ascii="宋体" w:hAnsi="宋体" w:eastAsia="宋体" w:cs="宋体"/>
          <w:sz w:val="24"/>
          <w:szCs w:val="24"/>
          <w:highlight w:val="none"/>
        </w:rPr>
      </w:pPr>
    </w:p>
    <w:p>
      <w:pPr>
        <w:rPr>
          <w:rFonts w:ascii="宋体" w:hAnsi="宋体" w:eastAsia="宋体" w:cs="宋体"/>
          <w:sz w:val="24"/>
          <w:szCs w:val="24"/>
          <w:highlight w:val="none"/>
        </w:rPr>
      </w:pPr>
    </w:p>
    <w:p>
      <w:pPr>
        <w:rPr>
          <w:rFonts w:ascii="宋体" w:hAnsi="宋体" w:eastAsia="宋体" w:cs="宋体"/>
          <w:sz w:val="24"/>
          <w:szCs w:val="24"/>
          <w:highlight w:val="none"/>
        </w:rPr>
      </w:pPr>
    </w:p>
    <w:p>
      <w:pPr>
        <w:rPr>
          <w:rFonts w:ascii="宋体" w:hAnsi="宋体" w:eastAsia="宋体" w:cs="宋体"/>
          <w:sz w:val="24"/>
          <w:szCs w:val="24"/>
          <w:highlight w:val="none"/>
        </w:rPr>
      </w:pPr>
    </w:p>
    <w:p>
      <w:pPr>
        <w:pStyle w:val="3"/>
        <w:numPr>
          <w:ilvl w:val="0"/>
          <w:numId w:val="0"/>
        </w:numPr>
        <w:rPr>
          <w:rFonts w:ascii="宋体" w:hAnsi="宋体" w:eastAsia="宋体" w:cs="宋体"/>
          <w:b/>
          <w:bCs/>
          <w:color w:val="auto"/>
          <w:szCs w:val="30"/>
          <w:highlight w:val="none"/>
        </w:rPr>
      </w:pPr>
      <w:r>
        <w:rPr>
          <w:rFonts w:hint="eastAsia" w:ascii="宋体" w:hAnsi="宋体" w:eastAsia="宋体" w:cs="宋体"/>
          <w:b/>
          <w:bCs/>
          <w:color w:val="auto"/>
          <w:szCs w:val="30"/>
          <w:highlight w:val="none"/>
        </w:rPr>
        <w:t>三、商务/技术偏离表</w:t>
      </w:r>
    </w:p>
    <w:p>
      <w:pPr>
        <w:spacing w:line="480" w:lineRule="exact"/>
        <w:jc w:val="center"/>
        <w:rPr>
          <w:rFonts w:hint="default" w:ascii="宋体" w:hAnsi="宋体" w:eastAsia="宋体" w:cs="宋体"/>
          <w:b/>
          <w:bCs/>
          <w:snapToGrid w:val="0"/>
          <w:color w:val="auto"/>
          <w:sz w:val="24"/>
          <w:szCs w:val="24"/>
          <w:highlight w:val="none"/>
          <w:lang w:val="en-US" w:eastAsia="zh-CN" w:bidi="ar-SA"/>
        </w:rPr>
      </w:pPr>
      <w:r>
        <w:rPr>
          <w:rFonts w:hint="eastAsia" w:ascii="宋体" w:hAnsi="宋体" w:eastAsia="宋体" w:cs="宋体"/>
          <w:b/>
          <w:bCs/>
          <w:snapToGrid w:val="0"/>
          <w:color w:val="auto"/>
          <w:sz w:val="24"/>
          <w:szCs w:val="24"/>
          <w:highlight w:val="none"/>
          <w:lang w:val="en-US" w:eastAsia="zh-CN" w:bidi="ar-SA"/>
        </w:rPr>
        <w:t>商务偏离表</w:t>
      </w:r>
    </w:p>
    <w:p>
      <w:pPr>
        <w:spacing w:line="48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采购项目名称：</w:t>
      </w:r>
    </w:p>
    <w:p>
      <w:pPr>
        <w:pStyle w:val="2"/>
        <w:rPr>
          <w:highlight w:val="none"/>
        </w:rPr>
      </w:pPr>
    </w:p>
    <w:tbl>
      <w:tblPr>
        <w:tblStyle w:val="18"/>
        <w:tblW w:w="839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680"/>
        <w:gridCol w:w="2847"/>
        <w:gridCol w:w="2056"/>
        <w:gridCol w:w="1204"/>
        <w:gridCol w:w="16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0" w:hRule="atLeast"/>
          <w:jc w:val="center"/>
        </w:trPr>
        <w:tc>
          <w:tcPr>
            <w:tcW w:w="680" w:type="dxa"/>
            <w:vAlign w:val="center"/>
          </w:tcPr>
          <w:p>
            <w:pPr>
              <w:spacing w:line="48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847" w:type="dxa"/>
            <w:vAlign w:val="center"/>
          </w:tcPr>
          <w:p>
            <w:pPr>
              <w:spacing w:line="48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招标文件要求</w:t>
            </w:r>
          </w:p>
        </w:tc>
        <w:tc>
          <w:tcPr>
            <w:tcW w:w="2056" w:type="dxa"/>
            <w:vAlign w:val="center"/>
          </w:tcPr>
          <w:p>
            <w:pPr>
              <w:spacing w:line="48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投标文件响应</w:t>
            </w:r>
          </w:p>
        </w:tc>
        <w:tc>
          <w:tcPr>
            <w:tcW w:w="1204" w:type="dxa"/>
            <w:vAlign w:val="center"/>
          </w:tcPr>
          <w:p>
            <w:pPr>
              <w:spacing w:line="48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偏离</w:t>
            </w:r>
          </w:p>
        </w:tc>
        <w:tc>
          <w:tcPr>
            <w:tcW w:w="1603" w:type="dxa"/>
            <w:vAlign w:val="center"/>
          </w:tcPr>
          <w:p>
            <w:pPr>
              <w:spacing w:line="48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680" w:type="dxa"/>
            <w:vAlign w:val="center"/>
          </w:tcPr>
          <w:p>
            <w:pPr>
              <w:spacing w:line="480" w:lineRule="exact"/>
              <w:jc w:val="center"/>
              <w:rPr>
                <w:rFonts w:ascii="宋体" w:hAnsi="宋体" w:eastAsia="宋体" w:cs="宋体"/>
                <w:color w:val="auto"/>
                <w:sz w:val="24"/>
                <w:szCs w:val="24"/>
                <w:highlight w:val="none"/>
              </w:rPr>
            </w:pPr>
          </w:p>
        </w:tc>
        <w:tc>
          <w:tcPr>
            <w:tcW w:w="2847" w:type="dxa"/>
            <w:vAlign w:val="center"/>
          </w:tcPr>
          <w:p>
            <w:pPr>
              <w:spacing w:line="480" w:lineRule="exact"/>
              <w:jc w:val="center"/>
              <w:rPr>
                <w:rFonts w:ascii="宋体" w:hAnsi="宋体" w:eastAsia="宋体" w:cs="宋体"/>
                <w:color w:val="auto"/>
                <w:sz w:val="24"/>
                <w:szCs w:val="24"/>
                <w:highlight w:val="none"/>
              </w:rPr>
            </w:pPr>
          </w:p>
        </w:tc>
        <w:tc>
          <w:tcPr>
            <w:tcW w:w="2056" w:type="dxa"/>
            <w:vAlign w:val="center"/>
          </w:tcPr>
          <w:p>
            <w:pPr>
              <w:spacing w:line="480" w:lineRule="exact"/>
              <w:jc w:val="center"/>
              <w:rPr>
                <w:rFonts w:ascii="宋体" w:hAnsi="宋体" w:eastAsia="宋体" w:cs="宋体"/>
                <w:color w:val="auto"/>
                <w:sz w:val="24"/>
                <w:szCs w:val="24"/>
                <w:highlight w:val="none"/>
              </w:rPr>
            </w:pPr>
          </w:p>
        </w:tc>
        <w:tc>
          <w:tcPr>
            <w:tcW w:w="1204" w:type="dxa"/>
            <w:vAlign w:val="center"/>
          </w:tcPr>
          <w:p>
            <w:pPr>
              <w:spacing w:line="480" w:lineRule="exact"/>
              <w:jc w:val="center"/>
              <w:rPr>
                <w:rFonts w:ascii="宋体" w:hAnsi="宋体" w:eastAsia="宋体" w:cs="宋体"/>
                <w:color w:val="auto"/>
                <w:sz w:val="24"/>
                <w:szCs w:val="24"/>
                <w:highlight w:val="none"/>
              </w:rPr>
            </w:pPr>
          </w:p>
        </w:tc>
        <w:tc>
          <w:tcPr>
            <w:tcW w:w="1603" w:type="dxa"/>
            <w:vAlign w:val="center"/>
          </w:tcPr>
          <w:p>
            <w:pPr>
              <w:spacing w:line="480" w:lineRule="exact"/>
              <w:jc w:val="center"/>
              <w:rPr>
                <w:rFonts w:ascii="宋体" w:hAnsi="宋体" w:eastAsia="宋体" w:cs="宋体"/>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680" w:type="dxa"/>
            <w:vAlign w:val="center"/>
          </w:tcPr>
          <w:p>
            <w:pPr>
              <w:spacing w:line="480" w:lineRule="exact"/>
              <w:jc w:val="center"/>
              <w:rPr>
                <w:rFonts w:ascii="宋体" w:hAnsi="宋体" w:eastAsia="宋体" w:cs="宋体"/>
                <w:color w:val="auto"/>
                <w:sz w:val="24"/>
                <w:szCs w:val="24"/>
                <w:highlight w:val="none"/>
              </w:rPr>
            </w:pPr>
          </w:p>
        </w:tc>
        <w:tc>
          <w:tcPr>
            <w:tcW w:w="2847" w:type="dxa"/>
            <w:vAlign w:val="center"/>
          </w:tcPr>
          <w:p>
            <w:pPr>
              <w:spacing w:line="480" w:lineRule="exact"/>
              <w:jc w:val="center"/>
              <w:rPr>
                <w:rFonts w:ascii="宋体" w:hAnsi="宋体" w:eastAsia="宋体" w:cs="宋体"/>
                <w:color w:val="auto"/>
                <w:sz w:val="24"/>
                <w:szCs w:val="24"/>
                <w:highlight w:val="none"/>
              </w:rPr>
            </w:pPr>
          </w:p>
        </w:tc>
        <w:tc>
          <w:tcPr>
            <w:tcW w:w="2056" w:type="dxa"/>
            <w:vAlign w:val="center"/>
          </w:tcPr>
          <w:p>
            <w:pPr>
              <w:spacing w:line="480" w:lineRule="exact"/>
              <w:jc w:val="center"/>
              <w:rPr>
                <w:rFonts w:ascii="宋体" w:hAnsi="宋体" w:eastAsia="宋体" w:cs="宋体"/>
                <w:color w:val="auto"/>
                <w:sz w:val="24"/>
                <w:szCs w:val="24"/>
                <w:highlight w:val="none"/>
              </w:rPr>
            </w:pPr>
          </w:p>
        </w:tc>
        <w:tc>
          <w:tcPr>
            <w:tcW w:w="1204" w:type="dxa"/>
            <w:vAlign w:val="center"/>
          </w:tcPr>
          <w:p>
            <w:pPr>
              <w:spacing w:line="480" w:lineRule="exact"/>
              <w:jc w:val="center"/>
              <w:rPr>
                <w:rFonts w:ascii="宋体" w:hAnsi="宋体" w:eastAsia="宋体" w:cs="宋体"/>
                <w:color w:val="auto"/>
                <w:sz w:val="24"/>
                <w:szCs w:val="24"/>
                <w:highlight w:val="none"/>
              </w:rPr>
            </w:pPr>
          </w:p>
        </w:tc>
        <w:tc>
          <w:tcPr>
            <w:tcW w:w="1603" w:type="dxa"/>
            <w:vAlign w:val="center"/>
          </w:tcPr>
          <w:p>
            <w:pPr>
              <w:spacing w:line="480" w:lineRule="exact"/>
              <w:jc w:val="center"/>
              <w:rPr>
                <w:rFonts w:ascii="宋体" w:hAnsi="宋体" w:eastAsia="宋体" w:cs="宋体"/>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680" w:type="dxa"/>
            <w:vAlign w:val="center"/>
          </w:tcPr>
          <w:p>
            <w:pPr>
              <w:spacing w:line="480" w:lineRule="exact"/>
              <w:jc w:val="center"/>
              <w:rPr>
                <w:rFonts w:ascii="宋体" w:hAnsi="宋体" w:eastAsia="宋体" w:cs="宋体"/>
                <w:color w:val="auto"/>
                <w:sz w:val="24"/>
                <w:szCs w:val="24"/>
                <w:highlight w:val="none"/>
              </w:rPr>
            </w:pPr>
          </w:p>
        </w:tc>
        <w:tc>
          <w:tcPr>
            <w:tcW w:w="2847" w:type="dxa"/>
            <w:vAlign w:val="center"/>
          </w:tcPr>
          <w:p>
            <w:pPr>
              <w:spacing w:line="480" w:lineRule="exact"/>
              <w:jc w:val="center"/>
              <w:rPr>
                <w:rFonts w:ascii="宋体" w:hAnsi="宋体" w:eastAsia="宋体" w:cs="宋体"/>
                <w:color w:val="auto"/>
                <w:sz w:val="24"/>
                <w:szCs w:val="24"/>
                <w:highlight w:val="none"/>
              </w:rPr>
            </w:pPr>
          </w:p>
        </w:tc>
        <w:tc>
          <w:tcPr>
            <w:tcW w:w="2056" w:type="dxa"/>
            <w:vAlign w:val="center"/>
          </w:tcPr>
          <w:p>
            <w:pPr>
              <w:spacing w:line="480" w:lineRule="exact"/>
              <w:jc w:val="center"/>
              <w:rPr>
                <w:rFonts w:ascii="宋体" w:hAnsi="宋体" w:eastAsia="宋体" w:cs="宋体"/>
                <w:color w:val="auto"/>
                <w:sz w:val="24"/>
                <w:szCs w:val="24"/>
                <w:highlight w:val="none"/>
              </w:rPr>
            </w:pPr>
          </w:p>
        </w:tc>
        <w:tc>
          <w:tcPr>
            <w:tcW w:w="1204" w:type="dxa"/>
            <w:vAlign w:val="center"/>
          </w:tcPr>
          <w:p>
            <w:pPr>
              <w:spacing w:line="480" w:lineRule="exact"/>
              <w:jc w:val="center"/>
              <w:rPr>
                <w:rFonts w:ascii="宋体" w:hAnsi="宋体" w:eastAsia="宋体" w:cs="宋体"/>
                <w:color w:val="auto"/>
                <w:sz w:val="24"/>
                <w:szCs w:val="24"/>
                <w:highlight w:val="none"/>
              </w:rPr>
            </w:pPr>
          </w:p>
        </w:tc>
        <w:tc>
          <w:tcPr>
            <w:tcW w:w="1603" w:type="dxa"/>
            <w:vAlign w:val="center"/>
          </w:tcPr>
          <w:p>
            <w:pPr>
              <w:spacing w:line="480" w:lineRule="exact"/>
              <w:jc w:val="center"/>
              <w:rPr>
                <w:rFonts w:ascii="宋体" w:hAnsi="宋体" w:eastAsia="宋体" w:cs="宋体"/>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680" w:type="dxa"/>
            <w:vAlign w:val="center"/>
          </w:tcPr>
          <w:p>
            <w:pPr>
              <w:spacing w:line="480" w:lineRule="exact"/>
              <w:jc w:val="center"/>
              <w:rPr>
                <w:rFonts w:ascii="宋体" w:hAnsi="宋体" w:eastAsia="宋体" w:cs="宋体"/>
                <w:color w:val="auto"/>
                <w:sz w:val="24"/>
                <w:szCs w:val="24"/>
                <w:highlight w:val="none"/>
              </w:rPr>
            </w:pPr>
          </w:p>
        </w:tc>
        <w:tc>
          <w:tcPr>
            <w:tcW w:w="2847" w:type="dxa"/>
            <w:vAlign w:val="center"/>
          </w:tcPr>
          <w:p>
            <w:pPr>
              <w:spacing w:line="480" w:lineRule="exact"/>
              <w:jc w:val="center"/>
              <w:rPr>
                <w:rFonts w:ascii="宋体" w:hAnsi="宋体" w:eastAsia="宋体" w:cs="宋体"/>
                <w:color w:val="auto"/>
                <w:sz w:val="24"/>
                <w:szCs w:val="24"/>
                <w:highlight w:val="none"/>
              </w:rPr>
            </w:pPr>
          </w:p>
        </w:tc>
        <w:tc>
          <w:tcPr>
            <w:tcW w:w="2056" w:type="dxa"/>
            <w:vAlign w:val="center"/>
          </w:tcPr>
          <w:p>
            <w:pPr>
              <w:spacing w:line="480" w:lineRule="exact"/>
              <w:jc w:val="center"/>
              <w:rPr>
                <w:rFonts w:ascii="宋体" w:hAnsi="宋体" w:eastAsia="宋体" w:cs="宋体"/>
                <w:color w:val="auto"/>
                <w:sz w:val="24"/>
                <w:szCs w:val="24"/>
                <w:highlight w:val="none"/>
              </w:rPr>
            </w:pPr>
          </w:p>
        </w:tc>
        <w:tc>
          <w:tcPr>
            <w:tcW w:w="1204" w:type="dxa"/>
            <w:vAlign w:val="center"/>
          </w:tcPr>
          <w:p>
            <w:pPr>
              <w:spacing w:line="480" w:lineRule="exact"/>
              <w:jc w:val="center"/>
              <w:rPr>
                <w:rFonts w:ascii="宋体" w:hAnsi="宋体" w:eastAsia="宋体" w:cs="宋体"/>
                <w:color w:val="auto"/>
                <w:sz w:val="24"/>
                <w:szCs w:val="24"/>
                <w:highlight w:val="none"/>
              </w:rPr>
            </w:pPr>
          </w:p>
        </w:tc>
        <w:tc>
          <w:tcPr>
            <w:tcW w:w="1603" w:type="dxa"/>
            <w:vAlign w:val="center"/>
          </w:tcPr>
          <w:p>
            <w:pPr>
              <w:spacing w:line="480" w:lineRule="exact"/>
              <w:jc w:val="center"/>
              <w:rPr>
                <w:rFonts w:ascii="宋体" w:hAnsi="宋体" w:eastAsia="宋体" w:cs="宋体"/>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680" w:type="dxa"/>
            <w:vAlign w:val="center"/>
          </w:tcPr>
          <w:p>
            <w:pPr>
              <w:spacing w:line="480" w:lineRule="exact"/>
              <w:jc w:val="center"/>
              <w:rPr>
                <w:rFonts w:ascii="宋体" w:hAnsi="宋体" w:eastAsia="宋体" w:cs="宋体"/>
                <w:color w:val="auto"/>
                <w:sz w:val="24"/>
                <w:szCs w:val="24"/>
                <w:highlight w:val="none"/>
              </w:rPr>
            </w:pPr>
          </w:p>
        </w:tc>
        <w:tc>
          <w:tcPr>
            <w:tcW w:w="2847" w:type="dxa"/>
            <w:vAlign w:val="center"/>
          </w:tcPr>
          <w:p>
            <w:pPr>
              <w:spacing w:line="480" w:lineRule="exact"/>
              <w:jc w:val="center"/>
              <w:rPr>
                <w:rFonts w:ascii="宋体" w:hAnsi="宋体" w:eastAsia="宋体" w:cs="宋体"/>
                <w:color w:val="auto"/>
                <w:sz w:val="24"/>
                <w:szCs w:val="24"/>
                <w:highlight w:val="none"/>
              </w:rPr>
            </w:pPr>
          </w:p>
        </w:tc>
        <w:tc>
          <w:tcPr>
            <w:tcW w:w="2056" w:type="dxa"/>
            <w:vAlign w:val="center"/>
          </w:tcPr>
          <w:p>
            <w:pPr>
              <w:spacing w:line="480" w:lineRule="exact"/>
              <w:jc w:val="center"/>
              <w:rPr>
                <w:rFonts w:ascii="宋体" w:hAnsi="宋体" w:eastAsia="宋体" w:cs="宋体"/>
                <w:color w:val="auto"/>
                <w:sz w:val="24"/>
                <w:szCs w:val="24"/>
                <w:highlight w:val="none"/>
              </w:rPr>
            </w:pPr>
          </w:p>
        </w:tc>
        <w:tc>
          <w:tcPr>
            <w:tcW w:w="1204" w:type="dxa"/>
            <w:vAlign w:val="center"/>
          </w:tcPr>
          <w:p>
            <w:pPr>
              <w:spacing w:line="480" w:lineRule="exact"/>
              <w:jc w:val="center"/>
              <w:rPr>
                <w:rFonts w:ascii="宋体" w:hAnsi="宋体" w:eastAsia="宋体" w:cs="宋体"/>
                <w:color w:val="auto"/>
                <w:sz w:val="24"/>
                <w:szCs w:val="24"/>
                <w:highlight w:val="none"/>
              </w:rPr>
            </w:pPr>
          </w:p>
        </w:tc>
        <w:tc>
          <w:tcPr>
            <w:tcW w:w="1603" w:type="dxa"/>
            <w:vAlign w:val="center"/>
          </w:tcPr>
          <w:p>
            <w:pPr>
              <w:spacing w:line="480" w:lineRule="exact"/>
              <w:jc w:val="center"/>
              <w:rPr>
                <w:rFonts w:ascii="宋体" w:hAnsi="宋体" w:eastAsia="宋体" w:cs="宋体"/>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680" w:type="dxa"/>
            <w:vAlign w:val="center"/>
          </w:tcPr>
          <w:p>
            <w:pPr>
              <w:spacing w:line="480" w:lineRule="exact"/>
              <w:jc w:val="center"/>
              <w:rPr>
                <w:rFonts w:ascii="宋体" w:hAnsi="宋体" w:eastAsia="宋体" w:cs="宋体"/>
                <w:color w:val="auto"/>
                <w:sz w:val="24"/>
                <w:szCs w:val="24"/>
                <w:highlight w:val="none"/>
              </w:rPr>
            </w:pPr>
          </w:p>
        </w:tc>
        <w:tc>
          <w:tcPr>
            <w:tcW w:w="2847" w:type="dxa"/>
            <w:vAlign w:val="center"/>
          </w:tcPr>
          <w:p>
            <w:pPr>
              <w:spacing w:line="480" w:lineRule="exact"/>
              <w:jc w:val="center"/>
              <w:rPr>
                <w:rFonts w:ascii="宋体" w:hAnsi="宋体" w:eastAsia="宋体" w:cs="宋体"/>
                <w:color w:val="auto"/>
                <w:sz w:val="24"/>
                <w:szCs w:val="24"/>
                <w:highlight w:val="none"/>
              </w:rPr>
            </w:pPr>
          </w:p>
        </w:tc>
        <w:tc>
          <w:tcPr>
            <w:tcW w:w="2056" w:type="dxa"/>
            <w:vAlign w:val="center"/>
          </w:tcPr>
          <w:p>
            <w:pPr>
              <w:spacing w:line="480" w:lineRule="exact"/>
              <w:jc w:val="center"/>
              <w:rPr>
                <w:rFonts w:ascii="宋体" w:hAnsi="宋体" w:eastAsia="宋体" w:cs="宋体"/>
                <w:color w:val="auto"/>
                <w:sz w:val="24"/>
                <w:szCs w:val="24"/>
                <w:highlight w:val="none"/>
              </w:rPr>
            </w:pPr>
          </w:p>
        </w:tc>
        <w:tc>
          <w:tcPr>
            <w:tcW w:w="1204" w:type="dxa"/>
            <w:vAlign w:val="center"/>
          </w:tcPr>
          <w:p>
            <w:pPr>
              <w:spacing w:line="480" w:lineRule="exact"/>
              <w:jc w:val="center"/>
              <w:rPr>
                <w:rFonts w:ascii="宋体" w:hAnsi="宋体" w:eastAsia="宋体" w:cs="宋体"/>
                <w:color w:val="auto"/>
                <w:sz w:val="24"/>
                <w:szCs w:val="24"/>
                <w:highlight w:val="none"/>
              </w:rPr>
            </w:pPr>
          </w:p>
        </w:tc>
        <w:tc>
          <w:tcPr>
            <w:tcW w:w="1603" w:type="dxa"/>
            <w:vAlign w:val="center"/>
          </w:tcPr>
          <w:p>
            <w:pPr>
              <w:spacing w:line="480" w:lineRule="exact"/>
              <w:jc w:val="center"/>
              <w:rPr>
                <w:rFonts w:ascii="宋体" w:hAnsi="宋体" w:eastAsia="宋体" w:cs="宋体"/>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680" w:type="dxa"/>
            <w:vAlign w:val="center"/>
          </w:tcPr>
          <w:p>
            <w:pPr>
              <w:spacing w:line="480" w:lineRule="exact"/>
              <w:jc w:val="center"/>
              <w:rPr>
                <w:rFonts w:ascii="宋体" w:hAnsi="宋体" w:eastAsia="宋体" w:cs="宋体"/>
                <w:color w:val="auto"/>
                <w:sz w:val="24"/>
                <w:szCs w:val="24"/>
                <w:highlight w:val="none"/>
              </w:rPr>
            </w:pPr>
          </w:p>
        </w:tc>
        <w:tc>
          <w:tcPr>
            <w:tcW w:w="2847" w:type="dxa"/>
            <w:vAlign w:val="center"/>
          </w:tcPr>
          <w:p>
            <w:pPr>
              <w:spacing w:line="480" w:lineRule="exact"/>
              <w:jc w:val="center"/>
              <w:rPr>
                <w:rFonts w:ascii="宋体" w:hAnsi="宋体" w:eastAsia="宋体" w:cs="宋体"/>
                <w:color w:val="auto"/>
                <w:sz w:val="24"/>
                <w:szCs w:val="24"/>
                <w:highlight w:val="none"/>
              </w:rPr>
            </w:pPr>
          </w:p>
        </w:tc>
        <w:tc>
          <w:tcPr>
            <w:tcW w:w="2056" w:type="dxa"/>
            <w:vAlign w:val="center"/>
          </w:tcPr>
          <w:p>
            <w:pPr>
              <w:spacing w:line="480" w:lineRule="exact"/>
              <w:jc w:val="center"/>
              <w:rPr>
                <w:rFonts w:ascii="宋体" w:hAnsi="宋体" w:eastAsia="宋体" w:cs="宋体"/>
                <w:color w:val="auto"/>
                <w:sz w:val="24"/>
                <w:szCs w:val="24"/>
                <w:highlight w:val="none"/>
              </w:rPr>
            </w:pPr>
          </w:p>
        </w:tc>
        <w:tc>
          <w:tcPr>
            <w:tcW w:w="1204" w:type="dxa"/>
            <w:vAlign w:val="center"/>
          </w:tcPr>
          <w:p>
            <w:pPr>
              <w:spacing w:line="480" w:lineRule="exact"/>
              <w:jc w:val="center"/>
              <w:rPr>
                <w:rFonts w:ascii="宋体" w:hAnsi="宋体" w:eastAsia="宋体" w:cs="宋体"/>
                <w:color w:val="auto"/>
                <w:sz w:val="24"/>
                <w:szCs w:val="24"/>
                <w:highlight w:val="none"/>
              </w:rPr>
            </w:pPr>
          </w:p>
        </w:tc>
        <w:tc>
          <w:tcPr>
            <w:tcW w:w="1603" w:type="dxa"/>
            <w:vAlign w:val="center"/>
          </w:tcPr>
          <w:p>
            <w:pPr>
              <w:spacing w:line="480" w:lineRule="exact"/>
              <w:jc w:val="center"/>
              <w:rPr>
                <w:rFonts w:ascii="宋体" w:hAnsi="宋体" w:eastAsia="宋体" w:cs="宋体"/>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680" w:type="dxa"/>
            <w:vAlign w:val="center"/>
          </w:tcPr>
          <w:p>
            <w:pPr>
              <w:spacing w:line="480" w:lineRule="exact"/>
              <w:jc w:val="center"/>
              <w:rPr>
                <w:rFonts w:ascii="宋体" w:hAnsi="宋体" w:eastAsia="宋体" w:cs="宋体"/>
                <w:color w:val="auto"/>
                <w:sz w:val="24"/>
                <w:szCs w:val="24"/>
                <w:highlight w:val="none"/>
              </w:rPr>
            </w:pPr>
          </w:p>
        </w:tc>
        <w:tc>
          <w:tcPr>
            <w:tcW w:w="2847" w:type="dxa"/>
            <w:vAlign w:val="center"/>
          </w:tcPr>
          <w:p>
            <w:pPr>
              <w:spacing w:line="480" w:lineRule="exact"/>
              <w:jc w:val="center"/>
              <w:rPr>
                <w:rFonts w:ascii="宋体" w:hAnsi="宋体" w:eastAsia="宋体" w:cs="宋体"/>
                <w:color w:val="auto"/>
                <w:sz w:val="24"/>
                <w:szCs w:val="24"/>
                <w:highlight w:val="none"/>
              </w:rPr>
            </w:pPr>
          </w:p>
        </w:tc>
        <w:tc>
          <w:tcPr>
            <w:tcW w:w="2056" w:type="dxa"/>
            <w:vAlign w:val="center"/>
          </w:tcPr>
          <w:p>
            <w:pPr>
              <w:spacing w:line="480" w:lineRule="exact"/>
              <w:jc w:val="center"/>
              <w:rPr>
                <w:rFonts w:ascii="宋体" w:hAnsi="宋体" w:eastAsia="宋体" w:cs="宋体"/>
                <w:color w:val="auto"/>
                <w:sz w:val="24"/>
                <w:szCs w:val="24"/>
                <w:highlight w:val="none"/>
              </w:rPr>
            </w:pPr>
          </w:p>
        </w:tc>
        <w:tc>
          <w:tcPr>
            <w:tcW w:w="1204" w:type="dxa"/>
            <w:vAlign w:val="center"/>
          </w:tcPr>
          <w:p>
            <w:pPr>
              <w:spacing w:line="480" w:lineRule="exact"/>
              <w:jc w:val="center"/>
              <w:rPr>
                <w:rFonts w:ascii="宋体" w:hAnsi="宋体" w:eastAsia="宋体" w:cs="宋体"/>
                <w:color w:val="auto"/>
                <w:sz w:val="24"/>
                <w:szCs w:val="24"/>
                <w:highlight w:val="none"/>
              </w:rPr>
            </w:pPr>
          </w:p>
        </w:tc>
        <w:tc>
          <w:tcPr>
            <w:tcW w:w="1603" w:type="dxa"/>
            <w:vAlign w:val="center"/>
          </w:tcPr>
          <w:p>
            <w:pPr>
              <w:spacing w:line="480" w:lineRule="exact"/>
              <w:jc w:val="center"/>
              <w:rPr>
                <w:rFonts w:ascii="宋体" w:hAnsi="宋体" w:eastAsia="宋体" w:cs="宋体"/>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680" w:type="dxa"/>
            <w:vAlign w:val="center"/>
          </w:tcPr>
          <w:p>
            <w:pPr>
              <w:spacing w:line="480" w:lineRule="exact"/>
              <w:jc w:val="center"/>
              <w:rPr>
                <w:rFonts w:ascii="宋体" w:hAnsi="宋体" w:eastAsia="宋体" w:cs="宋体"/>
                <w:color w:val="auto"/>
                <w:sz w:val="24"/>
                <w:szCs w:val="24"/>
                <w:highlight w:val="none"/>
              </w:rPr>
            </w:pPr>
          </w:p>
        </w:tc>
        <w:tc>
          <w:tcPr>
            <w:tcW w:w="2847" w:type="dxa"/>
            <w:vAlign w:val="center"/>
          </w:tcPr>
          <w:p>
            <w:pPr>
              <w:spacing w:line="480" w:lineRule="exact"/>
              <w:jc w:val="center"/>
              <w:rPr>
                <w:rFonts w:ascii="宋体" w:hAnsi="宋体" w:eastAsia="宋体" w:cs="宋体"/>
                <w:color w:val="auto"/>
                <w:sz w:val="24"/>
                <w:szCs w:val="24"/>
                <w:highlight w:val="none"/>
              </w:rPr>
            </w:pPr>
          </w:p>
        </w:tc>
        <w:tc>
          <w:tcPr>
            <w:tcW w:w="2056" w:type="dxa"/>
            <w:vAlign w:val="center"/>
          </w:tcPr>
          <w:p>
            <w:pPr>
              <w:spacing w:line="480" w:lineRule="exact"/>
              <w:jc w:val="center"/>
              <w:rPr>
                <w:rFonts w:ascii="宋体" w:hAnsi="宋体" w:eastAsia="宋体" w:cs="宋体"/>
                <w:color w:val="auto"/>
                <w:sz w:val="24"/>
                <w:szCs w:val="24"/>
                <w:highlight w:val="none"/>
              </w:rPr>
            </w:pPr>
          </w:p>
        </w:tc>
        <w:tc>
          <w:tcPr>
            <w:tcW w:w="1204" w:type="dxa"/>
            <w:vAlign w:val="center"/>
          </w:tcPr>
          <w:p>
            <w:pPr>
              <w:spacing w:line="480" w:lineRule="exact"/>
              <w:jc w:val="center"/>
              <w:rPr>
                <w:rFonts w:ascii="宋体" w:hAnsi="宋体" w:eastAsia="宋体" w:cs="宋体"/>
                <w:color w:val="auto"/>
                <w:sz w:val="24"/>
                <w:szCs w:val="24"/>
                <w:highlight w:val="none"/>
              </w:rPr>
            </w:pPr>
          </w:p>
        </w:tc>
        <w:tc>
          <w:tcPr>
            <w:tcW w:w="1603" w:type="dxa"/>
            <w:vAlign w:val="center"/>
          </w:tcPr>
          <w:p>
            <w:pPr>
              <w:spacing w:line="480" w:lineRule="exact"/>
              <w:jc w:val="center"/>
              <w:rPr>
                <w:rFonts w:ascii="宋体" w:hAnsi="宋体" w:eastAsia="宋体" w:cs="宋体"/>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680" w:type="dxa"/>
            <w:vAlign w:val="center"/>
          </w:tcPr>
          <w:p>
            <w:pPr>
              <w:spacing w:line="480" w:lineRule="exact"/>
              <w:jc w:val="center"/>
              <w:rPr>
                <w:rFonts w:ascii="宋体" w:hAnsi="宋体" w:eastAsia="宋体" w:cs="宋体"/>
                <w:color w:val="auto"/>
                <w:sz w:val="24"/>
                <w:szCs w:val="24"/>
                <w:highlight w:val="none"/>
              </w:rPr>
            </w:pPr>
          </w:p>
        </w:tc>
        <w:tc>
          <w:tcPr>
            <w:tcW w:w="2847" w:type="dxa"/>
            <w:vAlign w:val="center"/>
          </w:tcPr>
          <w:p>
            <w:pPr>
              <w:spacing w:line="480" w:lineRule="exact"/>
              <w:jc w:val="center"/>
              <w:rPr>
                <w:rFonts w:ascii="宋体" w:hAnsi="宋体" w:eastAsia="宋体" w:cs="宋体"/>
                <w:color w:val="auto"/>
                <w:sz w:val="24"/>
                <w:szCs w:val="24"/>
                <w:highlight w:val="none"/>
              </w:rPr>
            </w:pPr>
          </w:p>
        </w:tc>
        <w:tc>
          <w:tcPr>
            <w:tcW w:w="2056" w:type="dxa"/>
            <w:vAlign w:val="center"/>
          </w:tcPr>
          <w:p>
            <w:pPr>
              <w:spacing w:line="480" w:lineRule="exact"/>
              <w:jc w:val="center"/>
              <w:rPr>
                <w:rFonts w:ascii="宋体" w:hAnsi="宋体" w:eastAsia="宋体" w:cs="宋体"/>
                <w:color w:val="auto"/>
                <w:sz w:val="24"/>
                <w:szCs w:val="24"/>
                <w:highlight w:val="none"/>
              </w:rPr>
            </w:pPr>
          </w:p>
        </w:tc>
        <w:tc>
          <w:tcPr>
            <w:tcW w:w="1204" w:type="dxa"/>
            <w:vAlign w:val="center"/>
          </w:tcPr>
          <w:p>
            <w:pPr>
              <w:spacing w:line="480" w:lineRule="exact"/>
              <w:jc w:val="center"/>
              <w:rPr>
                <w:rFonts w:ascii="宋体" w:hAnsi="宋体" w:eastAsia="宋体" w:cs="宋体"/>
                <w:color w:val="auto"/>
                <w:sz w:val="24"/>
                <w:szCs w:val="24"/>
                <w:highlight w:val="none"/>
              </w:rPr>
            </w:pPr>
          </w:p>
        </w:tc>
        <w:tc>
          <w:tcPr>
            <w:tcW w:w="1603" w:type="dxa"/>
            <w:vAlign w:val="center"/>
          </w:tcPr>
          <w:p>
            <w:pPr>
              <w:spacing w:line="480" w:lineRule="exact"/>
              <w:jc w:val="center"/>
              <w:rPr>
                <w:rFonts w:ascii="宋体" w:hAnsi="宋体" w:eastAsia="宋体" w:cs="宋体"/>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680" w:type="dxa"/>
            <w:vAlign w:val="center"/>
          </w:tcPr>
          <w:p>
            <w:pPr>
              <w:spacing w:line="480" w:lineRule="exact"/>
              <w:jc w:val="center"/>
              <w:rPr>
                <w:rFonts w:ascii="宋体" w:hAnsi="宋体" w:eastAsia="宋体" w:cs="宋体"/>
                <w:color w:val="auto"/>
                <w:sz w:val="24"/>
                <w:szCs w:val="24"/>
                <w:highlight w:val="none"/>
              </w:rPr>
            </w:pPr>
          </w:p>
        </w:tc>
        <w:tc>
          <w:tcPr>
            <w:tcW w:w="2847" w:type="dxa"/>
            <w:vAlign w:val="center"/>
          </w:tcPr>
          <w:p>
            <w:pPr>
              <w:spacing w:line="480" w:lineRule="exact"/>
              <w:jc w:val="center"/>
              <w:rPr>
                <w:rFonts w:ascii="宋体" w:hAnsi="宋体" w:eastAsia="宋体" w:cs="宋体"/>
                <w:color w:val="auto"/>
                <w:sz w:val="24"/>
                <w:szCs w:val="24"/>
                <w:highlight w:val="none"/>
              </w:rPr>
            </w:pPr>
          </w:p>
        </w:tc>
        <w:tc>
          <w:tcPr>
            <w:tcW w:w="2056" w:type="dxa"/>
            <w:vAlign w:val="center"/>
          </w:tcPr>
          <w:p>
            <w:pPr>
              <w:spacing w:line="480" w:lineRule="exact"/>
              <w:jc w:val="center"/>
              <w:rPr>
                <w:rFonts w:ascii="宋体" w:hAnsi="宋体" w:eastAsia="宋体" w:cs="宋体"/>
                <w:color w:val="auto"/>
                <w:sz w:val="24"/>
                <w:szCs w:val="24"/>
                <w:highlight w:val="none"/>
              </w:rPr>
            </w:pPr>
          </w:p>
        </w:tc>
        <w:tc>
          <w:tcPr>
            <w:tcW w:w="1204" w:type="dxa"/>
            <w:vAlign w:val="center"/>
          </w:tcPr>
          <w:p>
            <w:pPr>
              <w:spacing w:line="480" w:lineRule="exact"/>
              <w:jc w:val="center"/>
              <w:rPr>
                <w:rFonts w:ascii="宋体" w:hAnsi="宋体" w:eastAsia="宋体" w:cs="宋体"/>
                <w:color w:val="auto"/>
                <w:sz w:val="24"/>
                <w:szCs w:val="24"/>
                <w:highlight w:val="none"/>
              </w:rPr>
            </w:pPr>
          </w:p>
        </w:tc>
        <w:tc>
          <w:tcPr>
            <w:tcW w:w="1603" w:type="dxa"/>
            <w:vAlign w:val="center"/>
          </w:tcPr>
          <w:p>
            <w:pPr>
              <w:spacing w:line="480" w:lineRule="exact"/>
              <w:jc w:val="center"/>
              <w:rPr>
                <w:rFonts w:ascii="宋体" w:hAnsi="宋体" w:eastAsia="宋体" w:cs="宋体"/>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680" w:type="dxa"/>
            <w:vAlign w:val="center"/>
          </w:tcPr>
          <w:p>
            <w:pPr>
              <w:spacing w:line="480" w:lineRule="exact"/>
              <w:jc w:val="center"/>
              <w:rPr>
                <w:rFonts w:ascii="宋体" w:hAnsi="宋体" w:eastAsia="宋体" w:cs="宋体"/>
                <w:color w:val="auto"/>
                <w:sz w:val="24"/>
                <w:szCs w:val="24"/>
                <w:highlight w:val="none"/>
              </w:rPr>
            </w:pPr>
          </w:p>
        </w:tc>
        <w:tc>
          <w:tcPr>
            <w:tcW w:w="2847" w:type="dxa"/>
            <w:vAlign w:val="center"/>
          </w:tcPr>
          <w:p>
            <w:pPr>
              <w:spacing w:line="480" w:lineRule="exact"/>
              <w:jc w:val="center"/>
              <w:rPr>
                <w:rFonts w:ascii="宋体" w:hAnsi="宋体" w:eastAsia="宋体" w:cs="宋体"/>
                <w:color w:val="auto"/>
                <w:sz w:val="24"/>
                <w:szCs w:val="24"/>
                <w:highlight w:val="none"/>
              </w:rPr>
            </w:pPr>
          </w:p>
        </w:tc>
        <w:tc>
          <w:tcPr>
            <w:tcW w:w="2056" w:type="dxa"/>
            <w:vAlign w:val="center"/>
          </w:tcPr>
          <w:p>
            <w:pPr>
              <w:spacing w:line="480" w:lineRule="exact"/>
              <w:jc w:val="center"/>
              <w:rPr>
                <w:rFonts w:ascii="宋体" w:hAnsi="宋体" w:eastAsia="宋体" w:cs="宋体"/>
                <w:color w:val="auto"/>
                <w:sz w:val="24"/>
                <w:szCs w:val="24"/>
                <w:highlight w:val="none"/>
              </w:rPr>
            </w:pPr>
          </w:p>
        </w:tc>
        <w:tc>
          <w:tcPr>
            <w:tcW w:w="1204" w:type="dxa"/>
            <w:vAlign w:val="center"/>
          </w:tcPr>
          <w:p>
            <w:pPr>
              <w:spacing w:line="480" w:lineRule="exact"/>
              <w:jc w:val="center"/>
              <w:rPr>
                <w:rFonts w:ascii="宋体" w:hAnsi="宋体" w:eastAsia="宋体" w:cs="宋体"/>
                <w:color w:val="auto"/>
                <w:sz w:val="24"/>
                <w:szCs w:val="24"/>
                <w:highlight w:val="none"/>
              </w:rPr>
            </w:pPr>
          </w:p>
        </w:tc>
        <w:tc>
          <w:tcPr>
            <w:tcW w:w="1603" w:type="dxa"/>
            <w:vAlign w:val="center"/>
          </w:tcPr>
          <w:p>
            <w:pPr>
              <w:spacing w:line="480" w:lineRule="exact"/>
              <w:jc w:val="center"/>
              <w:rPr>
                <w:rFonts w:ascii="宋体" w:hAnsi="宋体" w:eastAsia="宋体" w:cs="宋体"/>
                <w:color w:val="auto"/>
                <w:sz w:val="24"/>
                <w:szCs w:val="24"/>
                <w:highlight w:val="none"/>
              </w:rPr>
            </w:pPr>
          </w:p>
        </w:tc>
      </w:tr>
    </w:tbl>
    <w:p>
      <w:pPr>
        <w:spacing w:line="480" w:lineRule="exac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注：</w:t>
      </w:r>
      <w:r>
        <w:rPr>
          <w:rFonts w:hint="eastAsia" w:ascii="宋体" w:hAnsi="宋体" w:eastAsia="宋体" w:cs="宋体"/>
          <w:color w:val="auto"/>
          <w:sz w:val="24"/>
          <w:szCs w:val="24"/>
          <w:highlight w:val="none"/>
          <w:lang w:val="en-US" w:eastAsia="zh-CN"/>
        </w:rPr>
        <w:t>投标供应商对建设期、投标有效期、付款方式等实质性条款进行响应。</w:t>
      </w:r>
    </w:p>
    <w:p>
      <w:pPr>
        <w:spacing w:line="48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负偏离填写“负偏离”；正偏离填写“正偏离”；若不偏离，则填写“无。</w:t>
      </w:r>
    </w:p>
    <w:p>
      <w:pPr>
        <w:spacing w:line="480" w:lineRule="exact"/>
        <w:ind w:right="-161"/>
        <w:rPr>
          <w:rFonts w:ascii="宋体" w:hAnsi="宋体" w:eastAsia="宋体" w:cs="宋体"/>
          <w:color w:val="auto"/>
          <w:sz w:val="24"/>
          <w:szCs w:val="24"/>
          <w:highlight w:val="none"/>
        </w:rPr>
      </w:pPr>
    </w:p>
    <w:p>
      <w:pPr>
        <w:spacing w:line="560" w:lineRule="exact"/>
        <w:rPr>
          <w:rFonts w:ascii="宋体" w:hAnsi="宋体" w:cs="宋体"/>
          <w:sz w:val="24"/>
          <w:szCs w:val="24"/>
          <w:highlight w:val="none"/>
        </w:rPr>
      </w:pPr>
      <w:r>
        <w:rPr>
          <w:rFonts w:hint="eastAsia" w:ascii="宋体" w:hAnsi="宋体" w:eastAsia="宋体" w:cs="宋体"/>
          <w:sz w:val="24"/>
          <w:szCs w:val="24"/>
          <w:highlight w:val="none"/>
        </w:rPr>
        <w:t>投标</w:t>
      </w:r>
      <w:r>
        <w:rPr>
          <w:rFonts w:hint="eastAsia" w:ascii="宋体" w:hAnsi="宋体" w:cs="宋体"/>
          <w:sz w:val="24"/>
          <w:szCs w:val="24"/>
          <w:highlight w:val="none"/>
        </w:rPr>
        <w:t>供应商（盖章）：</w:t>
      </w:r>
      <w:r>
        <w:rPr>
          <w:rFonts w:hint="eastAsia" w:ascii="宋体" w:hAnsi="宋体" w:cs="宋体"/>
          <w:sz w:val="24"/>
          <w:szCs w:val="24"/>
          <w:highlight w:val="none"/>
          <w:u w:val="single"/>
        </w:rPr>
        <w:t xml:space="preserve">                      </w:t>
      </w:r>
    </w:p>
    <w:p>
      <w:pPr>
        <w:spacing w:line="560" w:lineRule="exact"/>
        <w:rPr>
          <w:rFonts w:ascii="宋体" w:hAnsi="宋体" w:cs="宋体"/>
          <w:sz w:val="24"/>
          <w:szCs w:val="24"/>
          <w:highlight w:val="none"/>
          <w:u w:val="single"/>
        </w:rPr>
      </w:pPr>
      <w:r>
        <w:rPr>
          <w:rFonts w:hint="eastAsia" w:ascii="宋体" w:hAnsi="宋体" w:cs="宋体"/>
          <w:sz w:val="24"/>
          <w:szCs w:val="24"/>
          <w:highlight w:val="none"/>
        </w:rPr>
        <w:t>法定代表人或授权代表（签字）：</w:t>
      </w:r>
      <w:r>
        <w:rPr>
          <w:rFonts w:hint="eastAsia" w:ascii="宋体" w:hAnsi="宋体" w:cs="宋体"/>
          <w:sz w:val="24"/>
          <w:szCs w:val="24"/>
          <w:highlight w:val="none"/>
          <w:u w:val="single"/>
        </w:rPr>
        <w:t xml:space="preserve">            </w:t>
      </w:r>
    </w:p>
    <w:p>
      <w:pPr>
        <w:spacing w:line="560" w:lineRule="exact"/>
        <w:rPr>
          <w:rFonts w:ascii="宋体" w:hAnsi="宋体" w:cs="宋体"/>
          <w:sz w:val="24"/>
          <w:szCs w:val="24"/>
          <w:highlight w:val="none"/>
          <w:u w:val="single"/>
        </w:rPr>
      </w:pPr>
      <w:r>
        <w:rPr>
          <w:rFonts w:hint="eastAsia" w:ascii="宋体" w:hAnsi="宋体" w:cs="宋体"/>
          <w:sz w:val="24"/>
          <w:szCs w:val="24"/>
          <w:highlight w:val="none"/>
        </w:rPr>
        <w:t>日    期：</w:t>
      </w:r>
      <w:r>
        <w:rPr>
          <w:rFonts w:hint="eastAsia" w:ascii="宋体" w:hAnsi="宋体" w:cs="宋体"/>
          <w:sz w:val="24"/>
          <w:szCs w:val="24"/>
          <w:highlight w:val="none"/>
          <w:u w:val="single"/>
        </w:rPr>
        <w:t xml:space="preserve">                                </w:t>
      </w:r>
    </w:p>
    <w:p>
      <w:pPr>
        <w:rPr>
          <w:rFonts w:ascii="宋体" w:hAnsi="宋体" w:eastAsia="宋体" w:cs="宋体"/>
          <w:sz w:val="24"/>
          <w:szCs w:val="24"/>
          <w:highlight w:val="none"/>
        </w:rPr>
      </w:pPr>
    </w:p>
    <w:p>
      <w:pPr>
        <w:rPr>
          <w:rFonts w:ascii="宋体" w:hAnsi="宋体" w:eastAsia="宋体" w:cs="宋体"/>
          <w:sz w:val="24"/>
          <w:szCs w:val="24"/>
          <w:highlight w:val="none"/>
        </w:rPr>
      </w:pPr>
    </w:p>
    <w:p>
      <w:pPr>
        <w:rPr>
          <w:rFonts w:ascii="宋体" w:hAnsi="宋体" w:eastAsia="宋体" w:cs="宋体"/>
          <w:sz w:val="24"/>
          <w:szCs w:val="24"/>
          <w:highlight w:val="none"/>
        </w:rPr>
      </w:pPr>
    </w:p>
    <w:p>
      <w:pPr>
        <w:spacing w:line="480" w:lineRule="exact"/>
        <w:jc w:val="center"/>
        <w:rPr>
          <w:rFonts w:hint="default" w:ascii="宋体" w:hAnsi="宋体" w:eastAsia="宋体" w:cs="宋体"/>
          <w:b/>
          <w:bCs/>
          <w:snapToGrid w:val="0"/>
          <w:color w:val="auto"/>
          <w:sz w:val="24"/>
          <w:szCs w:val="24"/>
          <w:highlight w:val="none"/>
          <w:lang w:val="en-US" w:eastAsia="zh-CN" w:bidi="ar-SA"/>
        </w:rPr>
      </w:pPr>
      <w:r>
        <w:rPr>
          <w:rFonts w:hint="eastAsia" w:ascii="宋体" w:hAnsi="宋体" w:eastAsia="宋体" w:cs="宋体"/>
          <w:b/>
          <w:bCs/>
          <w:snapToGrid w:val="0"/>
          <w:color w:val="auto"/>
          <w:sz w:val="24"/>
          <w:szCs w:val="24"/>
          <w:highlight w:val="none"/>
          <w:lang w:val="en-US" w:eastAsia="zh-CN" w:bidi="ar-SA"/>
        </w:rPr>
        <w:t>技术偏离表</w:t>
      </w:r>
    </w:p>
    <w:p>
      <w:pPr>
        <w:spacing w:line="48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采购项目名称：</w:t>
      </w:r>
    </w:p>
    <w:p>
      <w:pPr>
        <w:pStyle w:val="2"/>
        <w:rPr>
          <w:highlight w:val="none"/>
        </w:rPr>
      </w:pPr>
    </w:p>
    <w:tbl>
      <w:tblPr>
        <w:tblStyle w:val="18"/>
        <w:tblW w:w="839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680"/>
        <w:gridCol w:w="2847"/>
        <w:gridCol w:w="2056"/>
        <w:gridCol w:w="1204"/>
        <w:gridCol w:w="16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0" w:hRule="atLeast"/>
          <w:jc w:val="center"/>
        </w:trPr>
        <w:tc>
          <w:tcPr>
            <w:tcW w:w="680" w:type="dxa"/>
            <w:vAlign w:val="center"/>
          </w:tcPr>
          <w:p>
            <w:pPr>
              <w:spacing w:line="48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847" w:type="dxa"/>
            <w:vAlign w:val="center"/>
          </w:tcPr>
          <w:p>
            <w:pPr>
              <w:spacing w:line="48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招标文件要求</w:t>
            </w:r>
          </w:p>
        </w:tc>
        <w:tc>
          <w:tcPr>
            <w:tcW w:w="2056" w:type="dxa"/>
            <w:vAlign w:val="center"/>
          </w:tcPr>
          <w:p>
            <w:pPr>
              <w:spacing w:line="48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投标文件响应</w:t>
            </w:r>
          </w:p>
        </w:tc>
        <w:tc>
          <w:tcPr>
            <w:tcW w:w="1204" w:type="dxa"/>
            <w:vAlign w:val="center"/>
          </w:tcPr>
          <w:p>
            <w:pPr>
              <w:spacing w:line="48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偏离</w:t>
            </w:r>
          </w:p>
        </w:tc>
        <w:tc>
          <w:tcPr>
            <w:tcW w:w="1603" w:type="dxa"/>
            <w:vAlign w:val="center"/>
          </w:tcPr>
          <w:p>
            <w:pPr>
              <w:spacing w:line="480" w:lineRule="exact"/>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680" w:type="dxa"/>
            <w:vAlign w:val="center"/>
          </w:tcPr>
          <w:p>
            <w:pPr>
              <w:spacing w:line="480" w:lineRule="exact"/>
              <w:jc w:val="center"/>
              <w:rPr>
                <w:rFonts w:ascii="宋体" w:hAnsi="宋体" w:eastAsia="宋体" w:cs="宋体"/>
                <w:color w:val="auto"/>
                <w:sz w:val="24"/>
                <w:szCs w:val="24"/>
                <w:highlight w:val="none"/>
              </w:rPr>
            </w:pPr>
          </w:p>
        </w:tc>
        <w:tc>
          <w:tcPr>
            <w:tcW w:w="2847" w:type="dxa"/>
            <w:vAlign w:val="center"/>
          </w:tcPr>
          <w:p>
            <w:pPr>
              <w:spacing w:line="480" w:lineRule="exact"/>
              <w:jc w:val="center"/>
              <w:rPr>
                <w:rFonts w:ascii="宋体" w:hAnsi="宋体" w:eastAsia="宋体" w:cs="宋体"/>
                <w:color w:val="auto"/>
                <w:sz w:val="24"/>
                <w:szCs w:val="24"/>
                <w:highlight w:val="none"/>
              </w:rPr>
            </w:pPr>
          </w:p>
        </w:tc>
        <w:tc>
          <w:tcPr>
            <w:tcW w:w="2056" w:type="dxa"/>
            <w:vAlign w:val="center"/>
          </w:tcPr>
          <w:p>
            <w:pPr>
              <w:spacing w:line="480" w:lineRule="exact"/>
              <w:jc w:val="center"/>
              <w:rPr>
                <w:rFonts w:ascii="宋体" w:hAnsi="宋体" w:eastAsia="宋体" w:cs="宋体"/>
                <w:color w:val="auto"/>
                <w:sz w:val="24"/>
                <w:szCs w:val="24"/>
                <w:highlight w:val="none"/>
              </w:rPr>
            </w:pPr>
          </w:p>
        </w:tc>
        <w:tc>
          <w:tcPr>
            <w:tcW w:w="1204" w:type="dxa"/>
            <w:vAlign w:val="center"/>
          </w:tcPr>
          <w:p>
            <w:pPr>
              <w:spacing w:line="480" w:lineRule="exact"/>
              <w:jc w:val="center"/>
              <w:rPr>
                <w:rFonts w:ascii="宋体" w:hAnsi="宋体" w:eastAsia="宋体" w:cs="宋体"/>
                <w:color w:val="auto"/>
                <w:sz w:val="24"/>
                <w:szCs w:val="24"/>
                <w:highlight w:val="none"/>
              </w:rPr>
            </w:pPr>
          </w:p>
        </w:tc>
        <w:tc>
          <w:tcPr>
            <w:tcW w:w="1603" w:type="dxa"/>
            <w:vAlign w:val="center"/>
          </w:tcPr>
          <w:p>
            <w:pPr>
              <w:spacing w:line="480" w:lineRule="exact"/>
              <w:jc w:val="center"/>
              <w:rPr>
                <w:rFonts w:ascii="宋体" w:hAnsi="宋体" w:eastAsia="宋体" w:cs="宋体"/>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680" w:type="dxa"/>
            <w:vAlign w:val="center"/>
          </w:tcPr>
          <w:p>
            <w:pPr>
              <w:spacing w:line="480" w:lineRule="exact"/>
              <w:jc w:val="center"/>
              <w:rPr>
                <w:rFonts w:ascii="宋体" w:hAnsi="宋体" w:eastAsia="宋体" w:cs="宋体"/>
                <w:color w:val="auto"/>
                <w:sz w:val="24"/>
                <w:szCs w:val="24"/>
                <w:highlight w:val="none"/>
              </w:rPr>
            </w:pPr>
          </w:p>
        </w:tc>
        <w:tc>
          <w:tcPr>
            <w:tcW w:w="2847" w:type="dxa"/>
            <w:vAlign w:val="center"/>
          </w:tcPr>
          <w:p>
            <w:pPr>
              <w:spacing w:line="480" w:lineRule="exact"/>
              <w:jc w:val="center"/>
              <w:rPr>
                <w:rFonts w:ascii="宋体" w:hAnsi="宋体" w:eastAsia="宋体" w:cs="宋体"/>
                <w:color w:val="auto"/>
                <w:sz w:val="24"/>
                <w:szCs w:val="24"/>
                <w:highlight w:val="none"/>
              </w:rPr>
            </w:pPr>
          </w:p>
        </w:tc>
        <w:tc>
          <w:tcPr>
            <w:tcW w:w="2056" w:type="dxa"/>
            <w:vAlign w:val="center"/>
          </w:tcPr>
          <w:p>
            <w:pPr>
              <w:spacing w:line="480" w:lineRule="exact"/>
              <w:jc w:val="center"/>
              <w:rPr>
                <w:rFonts w:ascii="宋体" w:hAnsi="宋体" w:eastAsia="宋体" w:cs="宋体"/>
                <w:color w:val="auto"/>
                <w:sz w:val="24"/>
                <w:szCs w:val="24"/>
                <w:highlight w:val="none"/>
              </w:rPr>
            </w:pPr>
          </w:p>
        </w:tc>
        <w:tc>
          <w:tcPr>
            <w:tcW w:w="1204" w:type="dxa"/>
            <w:vAlign w:val="center"/>
          </w:tcPr>
          <w:p>
            <w:pPr>
              <w:spacing w:line="480" w:lineRule="exact"/>
              <w:jc w:val="center"/>
              <w:rPr>
                <w:rFonts w:ascii="宋体" w:hAnsi="宋体" w:eastAsia="宋体" w:cs="宋体"/>
                <w:color w:val="auto"/>
                <w:sz w:val="24"/>
                <w:szCs w:val="24"/>
                <w:highlight w:val="none"/>
              </w:rPr>
            </w:pPr>
          </w:p>
        </w:tc>
        <w:tc>
          <w:tcPr>
            <w:tcW w:w="1603" w:type="dxa"/>
            <w:vAlign w:val="center"/>
          </w:tcPr>
          <w:p>
            <w:pPr>
              <w:spacing w:line="480" w:lineRule="exact"/>
              <w:jc w:val="center"/>
              <w:rPr>
                <w:rFonts w:ascii="宋体" w:hAnsi="宋体" w:eastAsia="宋体" w:cs="宋体"/>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680" w:type="dxa"/>
            <w:vAlign w:val="center"/>
          </w:tcPr>
          <w:p>
            <w:pPr>
              <w:spacing w:line="480" w:lineRule="exact"/>
              <w:jc w:val="center"/>
              <w:rPr>
                <w:rFonts w:ascii="宋体" w:hAnsi="宋体" w:eastAsia="宋体" w:cs="宋体"/>
                <w:color w:val="auto"/>
                <w:sz w:val="24"/>
                <w:szCs w:val="24"/>
                <w:highlight w:val="none"/>
              </w:rPr>
            </w:pPr>
          </w:p>
        </w:tc>
        <w:tc>
          <w:tcPr>
            <w:tcW w:w="2847" w:type="dxa"/>
            <w:vAlign w:val="center"/>
          </w:tcPr>
          <w:p>
            <w:pPr>
              <w:spacing w:line="480" w:lineRule="exact"/>
              <w:jc w:val="center"/>
              <w:rPr>
                <w:rFonts w:ascii="宋体" w:hAnsi="宋体" w:eastAsia="宋体" w:cs="宋体"/>
                <w:color w:val="auto"/>
                <w:sz w:val="24"/>
                <w:szCs w:val="24"/>
                <w:highlight w:val="none"/>
              </w:rPr>
            </w:pPr>
          </w:p>
        </w:tc>
        <w:tc>
          <w:tcPr>
            <w:tcW w:w="2056" w:type="dxa"/>
            <w:vAlign w:val="center"/>
          </w:tcPr>
          <w:p>
            <w:pPr>
              <w:spacing w:line="480" w:lineRule="exact"/>
              <w:jc w:val="center"/>
              <w:rPr>
                <w:rFonts w:ascii="宋体" w:hAnsi="宋体" w:eastAsia="宋体" w:cs="宋体"/>
                <w:color w:val="auto"/>
                <w:sz w:val="24"/>
                <w:szCs w:val="24"/>
                <w:highlight w:val="none"/>
              </w:rPr>
            </w:pPr>
          </w:p>
        </w:tc>
        <w:tc>
          <w:tcPr>
            <w:tcW w:w="1204" w:type="dxa"/>
            <w:vAlign w:val="center"/>
          </w:tcPr>
          <w:p>
            <w:pPr>
              <w:spacing w:line="480" w:lineRule="exact"/>
              <w:jc w:val="center"/>
              <w:rPr>
                <w:rFonts w:ascii="宋体" w:hAnsi="宋体" w:eastAsia="宋体" w:cs="宋体"/>
                <w:color w:val="auto"/>
                <w:sz w:val="24"/>
                <w:szCs w:val="24"/>
                <w:highlight w:val="none"/>
              </w:rPr>
            </w:pPr>
          </w:p>
        </w:tc>
        <w:tc>
          <w:tcPr>
            <w:tcW w:w="1603" w:type="dxa"/>
            <w:vAlign w:val="center"/>
          </w:tcPr>
          <w:p>
            <w:pPr>
              <w:spacing w:line="480" w:lineRule="exact"/>
              <w:jc w:val="center"/>
              <w:rPr>
                <w:rFonts w:ascii="宋体" w:hAnsi="宋体" w:eastAsia="宋体" w:cs="宋体"/>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680" w:type="dxa"/>
            <w:vAlign w:val="center"/>
          </w:tcPr>
          <w:p>
            <w:pPr>
              <w:spacing w:line="480" w:lineRule="exact"/>
              <w:jc w:val="center"/>
              <w:rPr>
                <w:rFonts w:ascii="宋体" w:hAnsi="宋体" w:eastAsia="宋体" w:cs="宋体"/>
                <w:color w:val="auto"/>
                <w:sz w:val="24"/>
                <w:szCs w:val="24"/>
                <w:highlight w:val="none"/>
              </w:rPr>
            </w:pPr>
          </w:p>
        </w:tc>
        <w:tc>
          <w:tcPr>
            <w:tcW w:w="2847" w:type="dxa"/>
            <w:vAlign w:val="center"/>
          </w:tcPr>
          <w:p>
            <w:pPr>
              <w:spacing w:line="480" w:lineRule="exact"/>
              <w:jc w:val="center"/>
              <w:rPr>
                <w:rFonts w:ascii="宋体" w:hAnsi="宋体" w:eastAsia="宋体" w:cs="宋体"/>
                <w:color w:val="auto"/>
                <w:sz w:val="24"/>
                <w:szCs w:val="24"/>
                <w:highlight w:val="none"/>
              </w:rPr>
            </w:pPr>
          </w:p>
        </w:tc>
        <w:tc>
          <w:tcPr>
            <w:tcW w:w="2056" w:type="dxa"/>
            <w:vAlign w:val="center"/>
          </w:tcPr>
          <w:p>
            <w:pPr>
              <w:spacing w:line="480" w:lineRule="exact"/>
              <w:jc w:val="center"/>
              <w:rPr>
                <w:rFonts w:ascii="宋体" w:hAnsi="宋体" w:eastAsia="宋体" w:cs="宋体"/>
                <w:color w:val="auto"/>
                <w:sz w:val="24"/>
                <w:szCs w:val="24"/>
                <w:highlight w:val="none"/>
              </w:rPr>
            </w:pPr>
          </w:p>
        </w:tc>
        <w:tc>
          <w:tcPr>
            <w:tcW w:w="1204" w:type="dxa"/>
            <w:vAlign w:val="center"/>
          </w:tcPr>
          <w:p>
            <w:pPr>
              <w:spacing w:line="480" w:lineRule="exact"/>
              <w:jc w:val="center"/>
              <w:rPr>
                <w:rFonts w:ascii="宋体" w:hAnsi="宋体" w:eastAsia="宋体" w:cs="宋体"/>
                <w:color w:val="auto"/>
                <w:sz w:val="24"/>
                <w:szCs w:val="24"/>
                <w:highlight w:val="none"/>
              </w:rPr>
            </w:pPr>
          </w:p>
        </w:tc>
        <w:tc>
          <w:tcPr>
            <w:tcW w:w="1603" w:type="dxa"/>
            <w:vAlign w:val="center"/>
          </w:tcPr>
          <w:p>
            <w:pPr>
              <w:spacing w:line="480" w:lineRule="exact"/>
              <w:jc w:val="center"/>
              <w:rPr>
                <w:rFonts w:ascii="宋体" w:hAnsi="宋体" w:eastAsia="宋体" w:cs="宋体"/>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680" w:type="dxa"/>
            <w:vAlign w:val="center"/>
          </w:tcPr>
          <w:p>
            <w:pPr>
              <w:spacing w:line="480" w:lineRule="exact"/>
              <w:jc w:val="center"/>
              <w:rPr>
                <w:rFonts w:ascii="宋体" w:hAnsi="宋体" w:eastAsia="宋体" w:cs="宋体"/>
                <w:color w:val="auto"/>
                <w:sz w:val="24"/>
                <w:szCs w:val="24"/>
                <w:highlight w:val="none"/>
              </w:rPr>
            </w:pPr>
          </w:p>
        </w:tc>
        <w:tc>
          <w:tcPr>
            <w:tcW w:w="2847" w:type="dxa"/>
            <w:vAlign w:val="center"/>
          </w:tcPr>
          <w:p>
            <w:pPr>
              <w:spacing w:line="480" w:lineRule="exact"/>
              <w:jc w:val="center"/>
              <w:rPr>
                <w:rFonts w:ascii="宋体" w:hAnsi="宋体" w:eastAsia="宋体" w:cs="宋体"/>
                <w:color w:val="auto"/>
                <w:sz w:val="24"/>
                <w:szCs w:val="24"/>
                <w:highlight w:val="none"/>
              </w:rPr>
            </w:pPr>
          </w:p>
        </w:tc>
        <w:tc>
          <w:tcPr>
            <w:tcW w:w="2056" w:type="dxa"/>
            <w:vAlign w:val="center"/>
          </w:tcPr>
          <w:p>
            <w:pPr>
              <w:spacing w:line="480" w:lineRule="exact"/>
              <w:jc w:val="center"/>
              <w:rPr>
                <w:rFonts w:ascii="宋体" w:hAnsi="宋体" w:eastAsia="宋体" w:cs="宋体"/>
                <w:color w:val="auto"/>
                <w:sz w:val="24"/>
                <w:szCs w:val="24"/>
                <w:highlight w:val="none"/>
              </w:rPr>
            </w:pPr>
          </w:p>
        </w:tc>
        <w:tc>
          <w:tcPr>
            <w:tcW w:w="1204" w:type="dxa"/>
            <w:vAlign w:val="center"/>
          </w:tcPr>
          <w:p>
            <w:pPr>
              <w:spacing w:line="480" w:lineRule="exact"/>
              <w:jc w:val="center"/>
              <w:rPr>
                <w:rFonts w:ascii="宋体" w:hAnsi="宋体" w:eastAsia="宋体" w:cs="宋体"/>
                <w:color w:val="auto"/>
                <w:sz w:val="24"/>
                <w:szCs w:val="24"/>
                <w:highlight w:val="none"/>
              </w:rPr>
            </w:pPr>
          </w:p>
        </w:tc>
        <w:tc>
          <w:tcPr>
            <w:tcW w:w="1603" w:type="dxa"/>
            <w:vAlign w:val="center"/>
          </w:tcPr>
          <w:p>
            <w:pPr>
              <w:spacing w:line="480" w:lineRule="exact"/>
              <w:jc w:val="center"/>
              <w:rPr>
                <w:rFonts w:ascii="宋体" w:hAnsi="宋体" w:eastAsia="宋体" w:cs="宋体"/>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680" w:type="dxa"/>
            <w:vAlign w:val="center"/>
          </w:tcPr>
          <w:p>
            <w:pPr>
              <w:spacing w:line="480" w:lineRule="exact"/>
              <w:jc w:val="center"/>
              <w:rPr>
                <w:rFonts w:ascii="宋体" w:hAnsi="宋体" w:eastAsia="宋体" w:cs="宋体"/>
                <w:color w:val="auto"/>
                <w:sz w:val="24"/>
                <w:szCs w:val="24"/>
                <w:highlight w:val="none"/>
              </w:rPr>
            </w:pPr>
          </w:p>
        </w:tc>
        <w:tc>
          <w:tcPr>
            <w:tcW w:w="2847" w:type="dxa"/>
            <w:vAlign w:val="center"/>
          </w:tcPr>
          <w:p>
            <w:pPr>
              <w:spacing w:line="480" w:lineRule="exact"/>
              <w:jc w:val="center"/>
              <w:rPr>
                <w:rFonts w:ascii="宋体" w:hAnsi="宋体" w:eastAsia="宋体" w:cs="宋体"/>
                <w:color w:val="auto"/>
                <w:sz w:val="24"/>
                <w:szCs w:val="24"/>
                <w:highlight w:val="none"/>
              </w:rPr>
            </w:pPr>
          </w:p>
        </w:tc>
        <w:tc>
          <w:tcPr>
            <w:tcW w:w="2056" w:type="dxa"/>
            <w:vAlign w:val="center"/>
          </w:tcPr>
          <w:p>
            <w:pPr>
              <w:spacing w:line="480" w:lineRule="exact"/>
              <w:jc w:val="center"/>
              <w:rPr>
                <w:rFonts w:ascii="宋体" w:hAnsi="宋体" w:eastAsia="宋体" w:cs="宋体"/>
                <w:color w:val="auto"/>
                <w:sz w:val="24"/>
                <w:szCs w:val="24"/>
                <w:highlight w:val="none"/>
              </w:rPr>
            </w:pPr>
          </w:p>
        </w:tc>
        <w:tc>
          <w:tcPr>
            <w:tcW w:w="1204" w:type="dxa"/>
            <w:vAlign w:val="center"/>
          </w:tcPr>
          <w:p>
            <w:pPr>
              <w:spacing w:line="480" w:lineRule="exact"/>
              <w:jc w:val="center"/>
              <w:rPr>
                <w:rFonts w:ascii="宋体" w:hAnsi="宋体" w:eastAsia="宋体" w:cs="宋体"/>
                <w:color w:val="auto"/>
                <w:sz w:val="24"/>
                <w:szCs w:val="24"/>
                <w:highlight w:val="none"/>
              </w:rPr>
            </w:pPr>
          </w:p>
        </w:tc>
        <w:tc>
          <w:tcPr>
            <w:tcW w:w="1603" w:type="dxa"/>
            <w:vAlign w:val="center"/>
          </w:tcPr>
          <w:p>
            <w:pPr>
              <w:spacing w:line="480" w:lineRule="exact"/>
              <w:jc w:val="center"/>
              <w:rPr>
                <w:rFonts w:ascii="宋体" w:hAnsi="宋体" w:eastAsia="宋体" w:cs="宋体"/>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680" w:type="dxa"/>
            <w:vAlign w:val="center"/>
          </w:tcPr>
          <w:p>
            <w:pPr>
              <w:spacing w:line="480" w:lineRule="exact"/>
              <w:jc w:val="center"/>
              <w:rPr>
                <w:rFonts w:ascii="宋体" w:hAnsi="宋体" w:eastAsia="宋体" w:cs="宋体"/>
                <w:color w:val="auto"/>
                <w:sz w:val="24"/>
                <w:szCs w:val="24"/>
                <w:highlight w:val="none"/>
              </w:rPr>
            </w:pPr>
          </w:p>
        </w:tc>
        <w:tc>
          <w:tcPr>
            <w:tcW w:w="2847" w:type="dxa"/>
            <w:vAlign w:val="center"/>
          </w:tcPr>
          <w:p>
            <w:pPr>
              <w:spacing w:line="480" w:lineRule="exact"/>
              <w:jc w:val="center"/>
              <w:rPr>
                <w:rFonts w:ascii="宋体" w:hAnsi="宋体" w:eastAsia="宋体" w:cs="宋体"/>
                <w:color w:val="auto"/>
                <w:sz w:val="24"/>
                <w:szCs w:val="24"/>
                <w:highlight w:val="none"/>
              </w:rPr>
            </w:pPr>
          </w:p>
        </w:tc>
        <w:tc>
          <w:tcPr>
            <w:tcW w:w="2056" w:type="dxa"/>
            <w:vAlign w:val="center"/>
          </w:tcPr>
          <w:p>
            <w:pPr>
              <w:spacing w:line="480" w:lineRule="exact"/>
              <w:jc w:val="center"/>
              <w:rPr>
                <w:rFonts w:ascii="宋体" w:hAnsi="宋体" w:eastAsia="宋体" w:cs="宋体"/>
                <w:color w:val="auto"/>
                <w:sz w:val="24"/>
                <w:szCs w:val="24"/>
                <w:highlight w:val="none"/>
              </w:rPr>
            </w:pPr>
          </w:p>
        </w:tc>
        <w:tc>
          <w:tcPr>
            <w:tcW w:w="1204" w:type="dxa"/>
            <w:vAlign w:val="center"/>
          </w:tcPr>
          <w:p>
            <w:pPr>
              <w:spacing w:line="480" w:lineRule="exact"/>
              <w:jc w:val="center"/>
              <w:rPr>
                <w:rFonts w:ascii="宋体" w:hAnsi="宋体" w:eastAsia="宋体" w:cs="宋体"/>
                <w:color w:val="auto"/>
                <w:sz w:val="24"/>
                <w:szCs w:val="24"/>
                <w:highlight w:val="none"/>
              </w:rPr>
            </w:pPr>
          </w:p>
        </w:tc>
        <w:tc>
          <w:tcPr>
            <w:tcW w:w="1603" w:type="dxa"/>
            <w:vAlign w:val="center"/>
          </w:tcPr>
          <w:p>
            <w:pPr>
              <w:spacing w:line="480" w:lineRule="exact"/>
              <w:jc w:val="center"/>
              <w:rPr>
                <w:rFonts w:ascii="宋体" w:hAnsi="宋体" w:eastAsia="宋体" w:cs="宋体"/>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680" w:type="dxa"/>
            <w:vAlign w:val="center"/>
          </w:tcPr>
          <w:p>
            <w:pPr>
              <w:spacing w:line="480" w:lineRule="exact"/>
              <w:jc w:val="center"/>
              <w:rPr>
                <w:rFonts w:ascii="宋体" w:hAnsi="宋体" w:eastAsia="宋体" w:cs="宋体"/>
                <w:color w:val="auto"/>
                <w:sz w:val="24"/>
                <w:szCs w:val="24"/>
                <w:highlight w:val="none"/>
              </w:rPr>
            </w:pPr>
          </w:p>
        </w:tc>
        <w:tc>
          <w:tcPr>
            <w:tcW w:w="2847" w:type="dxa"/>
            <w:vAlign w:val="center"/>
          </w:tcPr>
          <w:p>
            <w:pPr>
              <w:spacing w:line="480" w:lineRule="exact"/>
              <w:jc w:val="center"/>
              <w:rPr>
                <w:rFonts w:ascii="宋体" w:hAnsi="宋体" w:eastAsia="宋体" w:cs="宋体"/>
                <w:color w:val="auto"/>
                <w:sz w:val="24"/>
                <w:szCs w:val="24"/>
                <w:highlight w:val="none"/>
              </w:rPr>
            </w:pPr>
          </w:p>
        </w:tc>
        <w:tc>
          <w:tcPr>
            <w:tcW w:w="2056" w:type="dxa"/>
            <w:vAlign w:val="center"/>
          </w:tcPr>
          <w:p>
            <w:pPr>
              <w:spacing w:line="480" w:lineRule="exact"/>
              <w:jc w:val="center"/>
              <w:rPr>
                <w:rFonts w:ascii="宋体" w:hAnsi="宋体" w:eastAsia="宋体" w:cs="宋体"/>
                <w:color w:val="auto"/>
                <w:sz w:val="24"/>
                <w:szCs w:val="24"/>
                <w:highlight w:val="none"/>
              </w:rPr>
            </w:pPr>
          </w:p>
        </w:tc>
        <w:tc>
          <w:tcPr>
            <w:tcW w:w="1204" w:type="dxa"/>
            <w:vAlign w:val="center"/>
          </w:tcPr>
          <w:p>
            <w:pPr>
              <w:spacing w:line="480" w:lineRule="exact"/>
              <w:jc w:val="center"/>
              <w:rPr>
                <w:rFonts w:ascii="宋体" w:hAnsi="宋体" w:eastAsia="宋体" w:cs="宋体"/>
                <w:color w:val="auto"/>
                <w:sz w:val="24"/>
                <w:szCs w:val="24"/>
                <w:highlight w:val="none"/>
              </w:rPr>
            </w:pPr>
          </w:p>
        </w:tc>
        <w:tc>
          <w:tcPr>
            <w:tcW w:w="1603" w:type="dxa"/>
            <w:vAlign w:val="center"/>
          </w:tcPr>
          <w:p>
            <w:pPr>
              <w:spacing w:line="480" w:lineRule="exact"/>
              <w:jc w:val="center"/>
              <w:rPr>
                <w:rFonts w:ascii="宋体" w:hAnsi="宋体" w:eastAsia="宋体" w:cs="宋体"/>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680" w:type="dxa"/>
            <w:vAlign w:val="center"/>
          </w:tcPr>
          <w:p>
            <w:pPr>
              <w:spacing w:line="480" w:lineRule="exact"/>
              <w:jc w:val="center"/>
              <w:rPr>
                <w:rFonts w:ascii="宋体" w:hAnsi="宋体" w:eastAsia="宋体" w:cs="宋体"/>
                <w:color w:val="auto"/>
                <w:sz w:val="24"/>
                <w:szCs w:val="24"/>
                <w:highlight w:val="none"/>
              </w:rPr>
            </w:pPr>
          </w:p>
        </w:tc>
        <w:tc>
          <w:tcPr>
            <w:tcW w:w="2847" w:type="dxa"/>
            <w:vAlign w:val="center"/>
          </w:tcPr>
          <w:p>
            <w:pPr>
              <w:spacing w:line="480" w:lineRule="exact"/>
              <w:jc w:val="center"/>
              <w:rPr>
                <w:rFonts w:ascii="宋体" w:hAnsi="宋体" w:eastAsia="宋体" w:cs="宋体"/>
                <w:color w:val="auto"/>
                <w:sz w:val="24"/>
                <w:szCs w:val="24"/>
                <w:highlight w:val="none"/>
              </w:rPr>
            </w:pPr>
          </w:p>
        </w:tc>
        <w:tc>
          <w:tcPr>
            <w:tcW w:w="2056" w:type="dxa"/>
            <w:vAlign w:val="center"/>
          </w:tcPr>
          <w:p>
            <w:pPr>
              <w:spacing w:line="480" w:lineRule="exact"/>
              <w:jc w:val="center"/>
              <w:rPr>
                <w:rFonts w:ascii="宋体" w:hAnsi="宋体" w:eastAsia="宋体" w:cs="宋体"/>
                <w:color w:val="auto"/>
                <w:sz w:val="24"/>
                <w:szCs w:val="24"/>
                <w:highlight w:val="none"/>
              </w:rPr>
            </w:pPr>
          </w:p>
        </w:tc>
        <w:tc>
          <w:tcPr>
            <w:tcW w:w="1204" w:type="dxa"/>
            <w:vAlign w:val="center"/>
          </w:tcPr>
          <w:p>
            <w:pPr>
              <w:spacing w:line="480" w:lineRule="exact"/>
              <w:jc w:val="center"/>
              <w:rPr>
                <w:rFonts w:ascii="宋体" w:hAnsi="宋体" w:eastAsia="宋体" w:cs="宋体"/>
                <w:color w:val="auto"/>
                <w:sz w:val="24"/>
                <w:szCs w:val="24"/>
                <w:highlight w:val="none"/>
              </w:rPr>
            </w:pPr>
          </w:p>
        </w:tc>
        <w:tc>
          <w:tcPr>
            <w:tcW w:w="1603" w:type="dxa"/>
            <w:vAlign w:val="center"/>
          </w:tcPr>
          <w:p>
            <w:pPr>
              <w:spacing w:line="480" w:lineRule="exact"/>
              <w:jc w:val="center"/>
              <w:rPr>
                <w:rFonts w:ascii="宋体" w:hAnsi="宋体" w:eastAsia="宋体" w:cs="宋体"/>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680" w:type="dxa"/>
            <w:vAlign w:val="center"/>
          </w:tcPr>
          <w:p>
            <w:pPr>
              <w:spacing w:line="480" w:lineRule="exact"/>
              <w:jc w:val="center"/>
              <w:rPr>
                <w:rFonts w:ascii="宋体" w:hAnsi="宋体" w:eastAsia="宋体" w:cs="宋体"/>
                <w:color w:val="auto"/>
                <w:sz w:val="24"/>
                <w:szCs w:val="24"/>
                <w:highlight w:val="none"/>
              </w:rPr>
            </w:pPr>
          </w:p>
        </w:tc>
        <w:tc>
          <w:tcPr>
            <w:tcW w:w="2847" w:type="dxa"/>
            <w:vAlign w:val="center"/>
          </w:tcPr>
          <w:p>
            <w:pPr>
              <w:spacing w:line="480" w:lineRule="exact"/>
              <w:jc w:val="center"/>
              <w:rPr>
                <w:rFonts w:ascii="宋体" w:hAnsi="宋体" w:eastAsia="宋体" w:cs="宋体"/>
                <w:color w:val="auto"/>
                <w:sz w:val="24"/>
                <w:szCs w:val="24"/>
                <w:highlight w:val="none"/>
              </w:rPr>
            </w:pPr>
          </w:p>
        </w:tc>
        <w:tc>
          <w:tcPr>
            <w:tcW w:w="2056" w:type="dxa"/>
            <w:vAlign w:val="center"/>
          </w:tcPr>
          <w:p>
            <w:pPr>
              <w:spacing w:line="480" w:lineRule="exact"/>
              <w:jc w:val="center"/>
              <w:rPr>
                <w:rFonts w:ascii="宋体" w:hAnsi="宋体" w:eastAsia="宋体" w:cs="宋体"/>
                <w:color w:val="auto"/>
                <w:sz w:val="24"/>
                <w:szCs w:val="24"/>
                <w:highlight w:val="none"/>
              </w:rPr>
            </w:pPr>
          </w:p>
        </w:tc>
        <w:tc>
          <w:tcPr>
            <w:tcW w:w="1204" w:type="dxa"/>
            <w:vAlign w:val="center"/>
          </w:tcPr>
          <w:p>
            <w:pPr>
              <w:spacing w:line="480" w:lineRule="exact"/>
              <w:jc w:val="center"/>
              <w:rPr>
                <w:rFonts w:ascii="宋体" w:hAnsi="宋体" w:eastAsia="宋体" w:cs="宋体"/>
                <w:color w:val="auto"/>
                <w:sz w:val="24"/>
                <w:szCs w:val="24"/>
                <w:highlight w:val="none"/>
              </w:rPr>
            </w:pPr>
          </w:p>
        </w:tc>
        <w:tc>
          <w:tcPr>
            <w:tcW w:w="1603" w:type="dxa"/>
            <w:vAlign w:val="center"/>
          </w:tcPr>
          <w:p>
            <w:pPr>
              <w:spacing w:line="480" w:lineRule="exact"/>
              <w:jc w:val="center"/>
              <w:rPr>
                <w:rFonts w:ascii="宋体" w:hAnsi="宋体" w:eastAsia="宋体" w:cs="宋体"/>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680" w:type="dxa"/>
            <w:vAlign w:val="center"/>
          </w:tcPr>
          <w:p>
            <w:pPr>
              <w:spacing w:line="480" w:lineRule="exact"/>
              <w:jc w:val="center"/>
              <w:rPr>
                <w:rFonts w:ascii="宋体" w:hAnsi="宋体" w:eastAsia="宋体" w:cs="宋体"/>
                <w:color w:val="auto"/>
                <w:sz w:val="24"/>
                <w:szCs w:val="24"/>
                <w:highlight w:val="none"/>
              </w:rPr>
            </w:pPr>
          </w:p>
        </w:tc>
        <w:tc>
          <w:tcPr>
            <w:tcW w:w="2847" w:type="dxa"/>
            <w:vAlign w:val="center"/>
          </w:tcPr>
          <w:p>
            <w:pPr>
              <w:spacing w:line="480" w:lineRule="exact"/>
              <w:jc w:val="center"/>
              <w:rPr>
                <w:rFonts w:ascii="宋体" w:hAnsi="宋体" w:eastAsia="宋体" w:cs="宋体"/>
                <w:color w:val="auto"/>
                <w:sz w:val="24"/>
                <w:szCs w:val="24"/>
                <w:highlight w:val="none"/>
              </w:rPr>
            </w:pPr>
          </w:p>
        </w:tc>
        <w:tc>
          <w:tcPr>
            <w:tcW w:w="2056" w:type="dxa"/>
            <w:vAlign w:val="center"/>
          </w:tcPr>
          <w:p>
            <w:pPr>
              <w:spacing w:line="480" w:lineRule="exact"/>
              <w:jc w:val="center"/>
              <w:rPr>
                <w:rFonts w:ascii="宋体" w:hAnsi="宋体" w:eastAsia="宋体" w:cs="宋体"/>
                <w:color w:val="auto"/>
                <w:sz w:val="24"/>
                <w:szCs w:val="24"/>
                <w:highlight w:val="none"/>
              </w:rPr>
            </w:pPr>
          </w:p>
        </w:tc>
        <w:tc>
          <w:tcPr>
            <w:tcW w:w="1204" w:type="dxa"/>
            <w:vAlign w:val="center"/>
          </w:tcPr>
          <w:p>
            <w:pPr>
              <w:spacing w:line="480" w:lineRule="exact"/>
              <w:jc w:val="center"/>
              <w:rPr>
                <w:rFonts w:ascii="宋体" w:hAnsi="宋体" w:eastAsia="宋体" w:cs="宋体"/>
                <w:color w:val="auto"/>
                <w:sz w:val="24"/>
                <w:szCs w:val="24"/>
                <w:highlight w:val="none"/>
              </w:rPr>
            </w:pPr>
          </w:p>
        </w:tc>
        <w:tc>
          <w:tcPr>
            <w:tcW w:w="1603" w:type="dxa"/>
            <w:vAlign w:val="center"/>
          </w:tcPr>
          <w:p>
            <w:pPr>
              <w:spacing w:line="480" w:lineRule="exact"/>
              <w:jc w:val="center"/>
              <w:rPr>
                <w:rFonts w:ascii="宋体" w:hAnsi="宋体" w:eastAsia="宋体" w:cs="宋体"/>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680" w:type="dxa"/>
            <w:vAlign w:val="center"/>
          </w:tcPr>
          <w:p>
            <w:pPr>
              <w:spacing w:line="480" w:lineRule="exact"/>
              <w:jc w:val="center"/>
              <w:rPr>
                <w:rFonts w:ascii="宋体" w:hAnsi="宋体" w:eastAsia="宋体" w:cs="宋体"/>
                <w:color w:val="auto"/>
                <w:sz w:val="24"/>
                <w:szCs w:val="24"/>
                <w:highlight w:val="none"/>
              </w:rPr>
            </w:pPr>
          </w:p>
        </w:tc>
        <w:tc>
          <w:tcPr>
            <w:tcW w:w="2847" w:type="dxa"/>
            <w:vAlign w:val="center"/>
          </w:tcPr>
          <w:p>
            <w:pPr>
              <w:spacing w:line="480" w:lineRule="exact"/>
              <w:jc w:val="center"/>
              <w:rPr>
                <w:rFonts w:ascii="宋体" w:hAnsi="宋体" w:eastAsia="宋体" w:cs="宋体"/>
                <w:color w:val="auto"/>
                <w:sz w:val="24"/>
                <w:szCs w:val="24"/>
                <w:highlight w:val="none"/>
              </w:rPr>
            </w:pPr>
          </w:p>
        </w:tc>
        <w:tc>
          <w:tcPr>
            <w:tcW w:w="2056" w:type="dxa"/>
            <w:vAlign w:val="center"/>
          </w:tcPr>
          <w:p>
            <w:pPr>
              <w:spacing w:line="480" w:lineRule="exact"/>
              <w:jc w:val="center"/>
              <w:rPr>
                <w:rFonts w:ascii="宋体" w:hAnsi="宋体" w:eastAsia="宋体" w:cs="宋体"/>
                <w:color w:val="auto"/>
                <w:sz w:val="24"/>
                <w:szCs w:val="24"/>
                <w:highlight w:val="none"/>
              </w:rPr>
            </w:pPr>
          </w:p>
        </w:tc>
        <w:tc>
          <w:tcPr>
            <w:tcW w:w="1204" w:type="dxa"/>
            <w:vAlign w:val="center"/>
          </w:tcPr>
          <w:p>
            <w:pPr>
              <w:spacing w:line="480" w:lineRule="exact"/>
              <w:jc w:val="center"/>
              <w:rPr>
                <w:rFonts w:ascii="宋体" w:hAnsi="宋体" w:eastAsia="宋体" w:cs="宋体"/>
                <w:color w:val="auto"/>
                <w:sz w:val="24"/>
                <w:szCs w:val="24"/>
                <w:highlight w:val="none"/>
              </w:rPr>
            </w:pPr>
          </w:p>
        </w:tc>
        <w:tc>
          <w:tcPr>
            <w:tcW w:w="1603" w:type="dxa"/>
            <w:vAlign w:val="center"/>
          </w:tcPr>
          <w:p>
            <w:pPr>
              <w:spacing w:line="480" w:lineRule="exact"/>
              <w:jc w:val="center"/>
              <w:rPr>
                <w:rFonts w:ascii="宋体" w:hAnsi="宋体" w:eastAsia="宋体" w:cs="宋体"/>
                <w:color w:val="auto"/>
                <w:sz w:val="24"/>
                <w:szCs w:val="24"/>
                <w:highlight w:val="none"/>
              </w:rPr>
            </w:pPr>
          </w:p>
        </w:tc>
      </w:tr>
    </w:tbl>
    <w:p>
      <w:pPr>
        <w:spacing w:line="48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注：负偏离填写“负偏离”；正偏离填写“正偏离”；若不偏离，则填写“无。</w:t>
      </w:r>
    </w:p>
    <w:p>
      <w:pPr>
        <w:spacing w:line="480" w:lineRule="exact"/>
        <w:ind w:right="-161"/>
        <w:rPr>
          <w:rFonts w:ascii="宋体" w:hAnsi="宋体" w:eastAsia="宋体" w:cs="宋体"/>
          <w:color w:val="auto"/>
          <w:sz w:val="24"/>
          <w:szCs w:val="24"/>
          <w:highlight w:val="none"/>
        </w:rPr>
      </w:pPr>
    </w:p>
    <w:p>
      <w:pPr>
        <w:spacing w:line="560" w:lineRule="exact"/>
        <w:rPr>
          <w:rFonts w:ascii="宋体" w:hAnsi="宋体" w:cs="宋体"/>
          <w:sz w:val="24"/>
          <w:szCs w:val="24"/>
          <w:highlight w:val="none"/>
        </w:rPr>
      </w:pPr>
      <w:r>
        <w:rPr>
          <w:rFonts w:hint="eastAsia" w:ascii="宋体" w:hAnsi="宋体" w:eastAsia="宋体" w:cs="宋体"/>
          <w:sz w:val="24"/>
          <w:szCs w:val="24"/>
          <w:highlight w:val="none"/>
        </w:rPr>
        <w:t>投标</w:t>
      </w:r>
      <w:r>
        <w:rPr>
          <w:rFonts w:hint="eastAsia" w:ascii="宋体" w:hAnsi="宋体" w:cs="宋体"/>
          <w:sz w:val="24"/>
          <w:szCs w:val="24"/>
          <w:highlight w:val="none"/>
        </w:rPr>
        <w:t>供应商（盖章）：</w:t>
      </w:r>
      <w:r>
        <w:rPr>
          <w:rFonts w:hint="eastAsia" w:ascii="宋体" w:hAnsi="宋体" w:cs="宋体"/>
          <w:sz w:val="24"/>
          <w:szCs w:val="24"/>
          <w:highlight w:val="none"/>
          <w:u w:val="single"/>
        </w:rPr>
        <w:t xml:space="preserve">                      </w:t>
      </w:r>
    </w:p>
    <w:p>
      <w:pPr>
        <w:spacing w:line="560" w:lineRule="exact"/>
        <w:rPr>
          <w:rFonts w:ascii="宋体" w:hAnsi="宋体" w:cs="宋体"/>
          <w:sz w:val="24"/>
          <w:szCs w:val="24"/>
          <w:highlight w:val="none"/>
          <w:u w:val="single"/>
        </w:rPr>
      </w:pPr>
      <w:r>
        <w:rPr>
          <w:rFonts w:hint="eastAsia" w:ascii="宋体" w:hAnsi="宋体" w:cs="宋体"/>
          <w:sz w:val="24"/>
          <w:szCs w:val="24"/>
          <w:highlight w:val="none"/>
        </w:rPr>
        <w:t>法定代表人或授权代表（签字）：</w:t>
      </w:r>
      <w:r>
        <w:rPr>
          <w:rFonts w:hint="eastAsia" w:ascii="宋体" w:hAnsi="宋体" w:cs="宋体"/>
          <w:sz w:val="24"/>
          <w:szCs w:val="24"/>
          <w:highlight w:val="none"/>
          <w:u w:val="single"/>
        </w:rPr>
        <w:t xml:space="preserve">            </w:t>
      </w:r>
    </w:p>
    <w:p>
      <w:pPr>
        <w:spacing w:line="560" w:lineRule="exact"/>
        <w:rPr>
          <w:rFonts w:ascii="宋体" w:hAnsi="宋体" w:cs="宋体"/>
          <w:sz w:val="24"/>
          <w:szCs w:val="24"/>
          <w:highlight w:val="none"/>
          <w:u w:val="single"/>
        </w:rPr>
      </w:pPr>
      <w:r>
        <w:rPr>
          <w:rFonts w:hint="eastAsia" w:ascii="宋体" w:hAnsi="宋体" w:cs="宋体"/>
          <w:sz w:val="24"/>
          <w:szCs w:val="24"/>
          <w:highlight w:val="none"/>
        </w:rPr>
        <w:t>日    期：</w:t>
      </w:r>
      <w:r>
        <w:rPr>
          <w:rFonts w:hint="eastAsia" w:ascii="宋体" w:hAnsi="宋体" w:cs="宋体"/>
          <w:sz w:val="24"/>
          <w:szCs w:val="24"/>
          <w:highlight w:val="none"/>
          <w:u w:val="single"/>
        </w:rPr>
        <w:t xml:space="preserve">                                </w:t>
      </w:r>
    </w:p>
    <w:p>
      <w:pPr>
        <w:rPr>
          <w:rFonts w:ascii="宋体" w:hAnsi="宋体" w:eastAsia="宋体" w:cs="宋体"/>
          <w:sz w:val="24"/>
          <w:szCs w:val="24"/>
          <w:highlight w:val="none"/>
        </w:rPr>
      </w:pPr>
    </w:p>
    <w:p>
      <w:pPr>
        <w:pStyle w:val="17"/>
        <w:rPr>
          <w:rFonts w:ascii="宋体" w:hAnsi="宋体" w:eastAsia="宋体" w:cs="宋体"/>
          <w:sz w:val="24"/>
          <w:szCs w:val="24"/>
          <w:highlight w:val="none"/>
        </w:rPr>
      </w:pPr>
    </w:p>
    <w:p>
      <w:pPr>
        <w:pStyle w:val="17"/>
        <w:rPr>
          <w:rFonts w:ascii="宋体" w:hAnsi="宋体" w:eastAsia="宋体" w:cs="宋体"/>
          <w:sz w:val="24"/>
          <w:szCs w:val="24"/>
          <w:highlight w:val="none"/>
        </w:rPr>
      </w:pPr>
    </w:p>
    <w:p>
      <w:pPr>
        <w:spacing w:line="600" w:lineRule="exact"/>
        <w:jc w:val="center"/>
        <w:rPr>
          <w:rFonts w:ascii="宋体" w:hAnsi="宋体" w:eastAsia="宋体" w:cs="宋体"/>
          <w:b/>
          <w:bCs/>
          <w:color w:val="auto"/>
          <w:sz w:val="28"/>
          <w:szCs w:val="30"/>
          <w:highlight w:val="none"/>
        </w:rPr>
      </w:pPr>
      <w:r>
        <w:rPr>
          <w:rFonts w:hint="eastAsia" w:ascii="宋体" w:hAnsi="宋体" w:eastAsia="宋体" w:cs="宋体"/>
          <w:b/>
          <w:bCs/>
          <w:color w:val="auto"/>
          <w:sz w:val="28"/>
          <w:szCs w:val="30"/>
          <w:highlight w:val="none"/>
        </w:rPr>
        <w:t>四、法定代表人身份证明书及授权委托书</w:t>
      </w:r>
    </w:p>
    <w:p>
      <w:pPr>
        <w:spacing w:line="600" w:lineRule="exact"/>
        <w:jc w:val="center"/>
        <w:rPr>
          <w:rFonts w:ascii="宋体" w:hAnsi="宋体" w:eastAsia="宋体" w:cs="宋体"/>
          <w:sz w:val="24"/>
          <w:szCs w:val="24"/>
        </w:rPr>
      </w:pPr>
      <w:r>
        <w:rPr>
          <w:rFonts w:hint="eastAsia" w:ascii="宋体" w:hAnsi="宋体" w:eastAsia="宋体" w:cs="宋体"/>
          <w:b/>
          <w:color w:val="auto"/>
          <w:sz w:val="28"/>
          <w:szCs w:val="28"/>
        </w:rPr>
        <w:t>（一）法定代表人身份证明书</w:t>
      </w:r>
    </w:p>
    <w:p>
      <w:pPr>
        <w:spacing w:line="600" w:lineRule="exact"/>
        <w:rPr>
          <w:rFonts w:ascii="宋体" w:hAnsi="宋体" w:eastAsia="宋体" w:cs="宋体"/>
          <w:color w:val="auto"/>
          <w:sz w:val="24"/>
          <w:szCs w:val="24"/>
        </w:rPr>
      </w:pPr>
      <w:r>
        <w:rPr>
          <w:rFonts w:hint="eastAsia" w:ascii="宋体" w:hAnsi="宋体" w:eastAsia="宋体" w:cs="宋体"/>
          <w:color w:val="auto"/>
          <w:sz w:val="24"/>
          <w:szCs w:val="24"/>
        </w:rPr>
        <w:t>投 标 人：</w:t>
      </w:r>
      <w:r>
        <w:rPr>
          <w:rFonts w:hint="eastAsia" w:ascii="宋体" w:hAnsi="宋体" w:eastAsia="宋体" w:cs="宋体"/>
          <w:color w:val="auto"/>
          <w:sz w:val="24"/>
          <w:szCs w:val="24"/>
          <w:u w:val="single"/>
        </w:rPr>
        <w:t xml:space="preserve">                                                       </w:t>
      </w:r>
    </w:p>
    <w:p>
      <w:pPr>
        <w:spacing w:line="600" w:lineRule="exact"/>
        <w:rPr>
          <w:rFonts w:ascii="宋体" w:hAnsi="宋体" w:eastAsia="宋体" w:cs="宋体"/>
          <w:color w:val="auto"/>
          <w:sz w:val="24"/>
          <w:szCs w:val="24"/>
          <w:u w:val="single"/>
        </w:rPr>
      </w:pPr>
      <w:r>
        <w:rPr>
          <w:rFonts w:hint="eastAsia" w:ascii="宋体" w:hAnsi="宋体" w:eastAsia="宋体" w:cs="宋体"/>
          <w:color w:val="auto"/>
          <w:sz w:val="24"/>
          <w:szCs w:val="24"/>
        </w:rPr>
        <w:t>单位性质：</w:t>
      </w:r>
      <w:r>
        <w:rPr>
          <w:rFonts w:hint="eastAsia" w:ascii="宋体" w:hAnsi="宋体" w:eastAsia="宋体" w:cs="宋体"/>
          <w:color w:val="auto"/>
          <w:sz w:val="24"/>
          <w:szCs w:val="24"/>
          <w:u w:val="single"/>
        </w:rPr>
        <w:t xml:space="preserve">                                                       </w:t>
      </w:r>
    </w:p>
    <w:p>
      <w:pPr>
        <w:spacing w:line="600" w:lineRule="exact"/>
        <w:rPr>
          <w:rFonts w:ascii="宋体" w:hAnsi="宋体" w:eastAsia="宋体" w:cs="宋体"/>
          <w:color w:val="auto"/>
          <w:sz w:val="24"/>
          <w:szCs w:val="24"/>
        </w:rPr>
      </w:pPr>
      <w:r>
        <w:rPr>
          <w:rFonts w:hint="eastAsia" w:ascii="宋体" w:hAnsi="宋体" w:eastAsia="宋体" w:cs="宋体"/>
          <w:color w:val="auto"/>
          <w:sz w:val="24"/>
          <w:szCs w:val="24"/>
        </w:rPr>
        <w:t>地    址：</w:t>
      </w:r>
      <w:r>
        <w:rPr>
          <w:rFonts w:hint="eastAsia" w:ascii="宋体" w:hAnsi="宋体" w:eastAsia="宋体" w:cs="宋体"/>
          <w:color w:val="auto"/>
          <w:sz w:val="24"/>
          <w:szCs w:val="24"/>
          <w:u w:val="single"/>
        </w:rPr>
        <w:t xml:space="preserve">                                                       </w:t>
      </w:r>
    </w:p>
    <w:p>
      <w:pPr>
        <w:spacing w:line="600" w:lineRule="exact"/>
        <w:rPr>
          <w:rFonts w:ascii="宋体" w:hAnsi="宋体" w:eastAsia="宋体" w:cs="宋体"/>
          <w:color w:val="auto"/>
          <w:sz w:val="24"/>
          <w:szCs w:val="24"/>
        </w:rPr>
      </w:pPr>
      <w:r>
        <w:rPr>
          <w:rFonts w:hint="eastAsia" w:ascii="宋体" w:hAnsi="宋体" w:eastAsia="宋体" w:cs="宋体"/>
          <w:color w:val="auto"/>
          <w:sz w:val="24"/>
          <w:szCs w:val="24"/>
        </w:rPr>
        <w:t>成立时间：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spacing w:line="600" w:lineRule="exact"/>
        <w:rPr>
          <w:rFonts w:ascii="宋体" w:hAnsi="宋体" w:eastAsia="宋体" w:cs="宋体"/>
          <w:color w:val="auto"/>
          <w:sz w:val="24"/>
          <w:szCs w:val="24"/>
        </w:rPr>
      </w:pPr>
      <w:r>
        <w:rPr>
          <w:rFonts w:hint="eastAsia" w:ascii="宋体" w:hAnsi="宋体" w:eastAsia="宋体" w:cs="宋体"/>
          <w:color w:val="auto"/>
          <w:sz w:val="24"/>
          <w:szCs w:val="24"/>
        </w:rPr>
        <w:t>经营期限：</w:t>
      </w:r>
      <w:r>
        <w:rPr>
          <w:rFonts w:hint="eastAsia" w:ascii="宋体" w:hAnsi="宋体" w:eastAsia="宋体" w:cs="宋体"/>
          <w:color w:val="auto"/>
          <w:sz w:val="24"/>
          <w:szCs w:val="24"/>
          <w:u w:val="single"/>
        </w:rPr>
        <w:t xml:space="preserve">                                                       </w:t>
      </w:r>
    </w:p>
    <w:p>
      <w:pPr>
        <w:spacing w:line="600" w:lineRule="exact"/>
        <w:rPr>
          <w:rFonts w:ascii="宋体" w:hAnsi="宋体" w:eastAsia="宋体" w:cs="宋体"/>
          <w:color w:val="auto"/>
          <w:sz w:val="24"/>
          <w:szCs w:val="24"/>
        </w:rPr>
      </w:pPr>
      <w:r>
        <w:rPr>
          <w:rFonts w:hint="eastAsia" w:ascii="宋体" w:hAnsi="宋体" w:eastAsia="宋体" w:cs="宋体"/>
          <w:color w:val="auto"/>
          <w:sz w:val="24"/>
          <w:szCs w:val="24"/>
        </w:rPr>
        <w:t>姓    名：</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性    别：</w:t>
      </w:r>
      <w:r>
        <w:rPr>
          <w:rFonts w:hint="eastAsia" w:ascii="宋体" w:hAnsi="宋体" w:eastAsia="宋体" w:cs="宋体"/>
          <w:color w:val="auto"/>
          <w:sz w:val="24"/>
          <w:szCs w:val="24"/>
          <w:u w:val="single"/>
        </w:rPr>
        <w:t xml:space="preserve">               </w:t>
      </w:r>
    </w:p>
    <w:p>
      <w:pPr>
        <w:spacing w:line="600" w:lineRule="exact"/>
        <w:rPr>
          <w:rFonts w:ascii="宋体" w:hAnsi="宋体" w:eastAsia="宋体" w:cs="宋体"/>
          <w:color w:val="auto"/>
          <w:sz w:val="24"/>
          <w:szCs w:val="24"/>
        </w:rPr>
      </w:pPr>
      <w:r>
        <w:rPr>
          <w:rFonts w:hint="eastAsia" w:ascii="宋体" w:hAnsi="宋体" w:eastAsia="宋体" w:cs="宋体"/>
          <w:color w:val="auto"/>
          <w:sz w:val="24"/>
          <w:szCs w:val="24"/>
        </w:rPr>
        <w:t>年    龄：</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职    务：</w:t>
      </w:r>
      <w:r>
        <w:rPr>
          <w:rFonts w:hint="eastAsia" w:ascii="宋体" w:hAnsi="宋体" w:eastAsia="宋体" w:cs="宋体"/>
          <w:color w:val="auto"/>
          <w:sz w:val="24"/>
          <w:szCs w:val="24"/>
          <w:u w:val="single"/>
        </w:rPr>
        <w:t xml:space="preserve">               </w:t>
      </w:r>
    </w:p>
    <w:p>
      <w:pPr>
        <w:spacing w:line="600" w:lineRule="exact"/>
        <w:rPr>
          <w:rFonts w:ascii="宋体" w:hAnsi="宋体" w:eastAsia="宋体" w:cs="宋体"/>
          <w:color w:val="auto"/>
          <w:sz w:val="24"/>
          <w:szCs w:val="24"/>
        </w:rPr>
      </w:pPr>
      <w:r>
        <w:rPr>
          <w:rFonts w:hint="eastAsia" w:ascii="宋体" w:hAnsi="宋体" w:eastAsia="宋体" w:cs="宋体"/>
          <w:color w:val="auto"/>
          <w:sz w:val="24"/>
          <w:szCs w:val="24"/>
        </w:rPr>
        <w:t>系</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（投标人名称）的法定代表人。</w:t>
      </w:r>
    </w:p>
    <w:p>
      <w:pPr>
        <w:spacing w:line="600" w:lineRule="exact"/>
        <w:rPr>
          <w:rFonts w:ascii="宋体" w:hAnsi="宋体" w:eastAsia="宋体" w:cs="宋体"/>
          <w:color w:val="auto"/>
          <w:sz w:val="24"/>
          <w:szCs w:val="24"/>
        </w:rPr>
      </w:pPr>
      <w:r>
        <w:rPr>
          <w:rFonts w:hint="eastAsia" w:ascii="宋体" w:hAnsi="宋体" w:eastAsia="宋体" w:cs="宋体"/>
          <w:color w:val="auto"/>
          <w:sz w:val="24"/>
          <w:szCs w:val="24"/>
        </w:rPr>
        <w:t>特此证明。</w:t>
      </w:r>
    </w:p>
    <w:p>
      <w:pPr>
        <w:spacing w:line="600" w:lineRule="exact"/>
        <w:rPr>
          <w:rFonts w:ascii="宋体" w:hAnsi="宋体" w:eastAsia="宋体" w:cs="宋体"/>
          <w:color w:val="auto"/>
          <w:sz w:val="24"/>
          <w:szCs w:val="24"/>
        </w:rPr>
      </w:pPr>
      <w:r>
        <w:rPr>
          <w:rFonts w:hint="eastAsia" w:ascii="宋体" w:hAnsi="宋体" w:eastAsia="宋体" w:cs="宋体"/>
          <w:color w:val="auto"/>
          <w:sz w:val="24"/>
          <w:szCs w:val="24"/>
        </w:rPr>
        <w:t>（附法定代表人身份证）</w:t>
      </w:r>
    </w:p>
    <w:p>
      <w:pPr>
        <w:spacing w:line="600" w:lineRule="exact"/>
        <w:rPr>
          <w:rFonts w:ascii="宋体"/>
          <w:color w:val="auto"/>
        </w:rPr>
      </w:pPr>
    </w:p>
    <w:p>
      <w:pPr>
        <w:spacing w:line="600" w:lineRule="exact"/>
        <w:jc w:val="right"/>
        <w:rPr>
          <w:rFonts w:ascii="宋体" w:hAnsi="宋体" w:eastAsia="宋体" w:cs="宋体"/>
          <w:color w:val="auto"/>
          <w:sz w:val="24"/>
          <w:szCs w:val="24"/>
        </w:rPr>
      </w:pPr>
      <w:r>
        <w:rPr>
          <w:rFonts w:hint="eastAsia" w:ascii="宋体" w:hAnsi="宋体" w:eastAsia="宋体" w:cs="宋体"/>
          <w:color w:val="auto"/>
          <w:sz w:val="24"/>
          <w:szCs w:val="24"/>
        </w:rPr>
        <w:t>投标供应商：</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（盖单位章）</w:t>
      </w:r>
    </w:p>
    <w:p>
      <w:pPr>
        <w:spacing w:line="600" w:lineRule="exact"/>
        <w:rPr>
          <w:rFonts w:ascii="宋体" w:hAnsi="宋体" w:eastAsia="宋体" w:cs="宋体"/>
          <w:sz w:val="24"/>
          <w:szCs w:val="24"/>
        </w:rPr>
      </w:pPr>
      <w:r>
        <w:rPr>
          <w:rFonts w:hint="eastAsia" w:ascii="宋体" w:hAnsi="宋体" w:eastAsia="宋体" w:cs="宋体"/>
          <w:color w:val="auto"/>
          <w:sz w:val="24"/>
          <w:szCs w:val="24"/>
        </w:rPr>
        <w:t xml:space="preserve">                        日   期：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spacing w:line="600" w:lineRule="exact"/>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pStyle w:val="25"/>
        <w:spacing w:before="0" w:after="0" w:line="360" w:lineRule="auto"/>
        <w:jc w:val="center"/>
        <w:rPr>
          <w:b/>
          <w:sz w:val="28"/>
          <w:szCs w:val="28"/>
          <w:lang w:eastAsia="zh-CN"/>
        </w:rPr>
      </w:pPr>
      <w:r>
        <w:rPr>
          <w:rFonts w:hint="eastAsia"/>
          <w:b/>
          <w:sz w:val="28"/>
          <w:szCs w:val="28"/>
          <w:lang w:eastAsia="zh-CN"/>
        </w:rPr>
        <w:t>（二）法定代表人授权委托书</w:t>
      </w:r>
    </w:p>
    <w:p>
      <w:pPr>
        <w:spacing w:line="480" w:lineRule="exact"/>
        <w:ind w:firstLine="720" w:firstLineChars="300"/>
        <w:rPr>
          <w:rFonts w:ascii="宋体" w:hAnsi="宋体" w:eastAsia="宋体" w:cs="宋体"/>
          <w:sz w:val="24"/>
          <w:szCs w:val="24"/>
        </w:rPr>
      </w:pPr>
      <w:r>
        <w:rPr>
          <w:rFonts w:hint="eastAsia" w:ascii="宋体" w:hAnsi="宋体" w:eastAsia="宋体" w:cs="宋体"/>
          <w:sz w:val="24"/>
          <w:szCs w:val="24"/>
        </w:rPr>
        <w:t>本人</w:t>
      </w:r>
      <w:r>
        <w:rPr>
          <w:rFonts w:hint="eastAsia" w:ascii="宋体" w:hAnsi="宋体" w:eastAsia="宋体" w:cs="宋体"/>
          <w:sz w:val="24"/>
          <w:szCs w:val="24"/>
          <w:u w:val="single"/>
        </w:rPr>
        <w:t xml:space="preserve"> （姓名） </w:t>
      </w:r>
      <w:r>
        <w:rPr>
          <w:rFonts w:hint="eastAsia" w:ascii="宋体" w:hAnsi="宋体" w:eastAsia="宋体" w:cs="宋体"/>
          <w:sz w:val="24"/>
          <w:szCs w:val="24"/>
        </w:rPr>
        <w:t>系</w:t>
      </w:r>
      <w:r>
        <w:rPr>
          <w:rFonts w:hint="eastAsia" w:ascii="宋体" w:hAnsi="宋体" w:eastAsia="宋体" w:cs="宋体"/>
          <w:sz w:val="24"/>
          <w:szCs w:val="24"/>
          <w:u w:val="single"/>
        </w:rPr>
        <w:t xml:space="preserve"> （供应商名称） </w:t>
      </w:r>
      <w:r>
        <w:rPr>
          <w:rFonts w:hint="eastAsia" w:ascii="宋体" w:hAnsi="宋体" w:eastAsia="宋体" w:cs="宋体"/>
          <w:sz w:val="24"/>
          <w:szCs w:val="24"/>
        </w:rPr>
        <w:t xml:space="preserve">的法定代表人（单位负责人），现委托 </w:t>
      </w:r>
      <w:r>
        <w:rPr>
          <w:rFonts w:hint="eastAsia" w:ascii="宋体" w:hAnsi="宋体" w:eastAsia="宋体" w:cs="宋体"/>
          <w:sz w:val="24"/>
          <w:szCs w:val="24"/>
          <w:u w:val="single"/>
        </w:rPr>
        <w:t>（姓名）</w:t>
      </w:r>
      <w:r>
        <w:rPr>
          <w:rFonts w:hint="eastAsia" w:ascii="宋体" w:hAnsi="宋体" w:eastAsia="宋体" w:cs="宋体"/>
          <w:sz w:val="24"/>
          <w:szCs w:val="24"/>
        </w:rPr>
        <w:t>为我方代理人。代理人根据授权，以我方名义签署、澄清确认、递交、撤回、修改</w:t>
      </w:r>
      <w:r>
        <w:rPr>
          <w:rFonts w:hint="eastAsia" w:ascii="宋体" w:hAnsi="宋体" w:eastAsia="宋体" w:cs="宋体"/>
          <w:sz w:val="24"/>
          <w:szCs w:val="24"/>
          <w:u w:val="single"/>
        </w:rPr>
        <w:t xml:space="preserve">       （项目名称、项目编号）    </w:t>
      </w:r>
      <w:r>
        <w:rPr>
          <w:rFonts w:hint="eastAsia" w:ascii="宋体" w:hAnsi="宋体" w:eastAsia="宋体" w:cs="宋体"/>
          <w:sz w:val="24"/>
          <w:szCs w:val="24"/>
        </w:rPr>
        <w:t>投标文件、签订合同和处理有关事宜，其法律后果由我方承担。</w:t>
      </w:r>
    </w:p>
    <w:p>
      <w:pPr>
        <w:spacing w:line="480" w:lineRule="exact"/>
        <w:ind w:firstLine="720" w:firstLineChars="300"/>
        <w:rPr>
          <w:rFonts w:ascii="宋体" w:hAnsi="宋体" w:eastAsia="宋体" w:cs="宋体"/>
          <w:sz w:val="24"/>
          <w:szCs w:val="24"/>
        </w:rPr>
      </w:pPr>
      <w:r>
        <w:rPr>
          <w:rFonts w:hint="eastAsia" w:ascii="宋体" w:hAnsi="宋体" w:eastAsia="宋体" w:cs="宋体"/>
          <w:sz w:val="24"/>
          <w:szCs w:val="24"/>
        </w:rPr>
        <w:t>该代理人无转委托权，本授权书自提交投标文件截止之日起</w:t>
      </w:r>
      <w:r>
        <w:rPr>
          <w:rFonts w:hint="eastAsia" w:ascii="宋体" w:hAnsi="宋体" w:eastAsia="宋体" w:cs="宋体"/>
          <w:sz w:val="24"/>
          <w:szCs w:val="24"/>
          <w:u w:val="single"/>
        </w:rPr>
        <w:t xml:space="preserve">    </w:t>
      </w:r>
      <w:r>
        <w:rPr>
          <w:rFonts w:hint="eastAsia" w:ascii="宋体" w:hAnsi="宋体" w:eastAsia="宋体" w:cs="宋体"/>
          <w:sz w:val="24"/>
          <w:szCs w:val="24"/>
        </w:rPr>
        <w:t>天。特此声明。</w:t>
      </w:r>
    </w:p>
    <w:p>
      <w:pPr>
        <w:rPr>
          <w:rFonts w:ascii="宋体" w:hAnsi="宋体" w:eastAsia="宋体" w:cs="宋体"/>
          <w:sz w:val="24"/>
          <w:szCs w:val="24"/>
        </w:rPr>
      </w:pPr>
    </w:p>
    <w:p>
      <w:pPr>
        <w:rPr>
          <w:rFonts w:ascii="宋体" w:hAnsi="宋体" w:eastAsia="宋体" w:cs="宋体"/>
          <w:sz w:val="24"/>
          <w:szCs w:val="24"/>
        </w:rPr>
      </w:pPr>
    </w:p>
    <w:p>
      <w:pPr>
        <w:ind w:firstLine="480" w:firstLineChars="200"/>
        <w:rPr>
          <w:rFonts w:ascii="宋体" w:hAnsi="宋体" w:eastAsia="宋体" w:cs="宋体"/>
          <w:sz w:val="24"/>
          <w:szCs w:val="24"/>
        </w:rPr>
      </w:pPr>
      <w:r>
        <w:rPr>
          <w:rFonts w:hint="eastAsia" w:ascii="宋体" w:hAnsi="宋体" w:eastAsia="宋体" w:cs="宋体"/>
          <w:sz w:val="24"/>
          <w:szCs w:val="24"/>
        </w:rPr>
        <w:t>附：法定代表人（单位负责人）身份证复印件及委托代理人身份证复印件</w:t>
      </w: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ind w:firstLine="480" w:firstLineChars="200"/>
        <w:rPr>
          <w:rFonts w:ascii="宋体" w:hAnsi="宋体" w:eastAsia="宋体" w:cs="宋体"/>
          <w:sz w:val="24"/>
          <w:szCs w:val="24"/>
        </w:rPr>
      </w:pPr>
      <w:r>
        <w:rPr>
          <w:rFonts w:hint="eastAsia" w:ascii="宋体" w:hAnsi="宋体" w:eastAsia="宋体" w:cs="宋体"/>
          <w:sz w:val="24"/>
          <w:szCs w:val="24"/>
        </w:rPr>
        <w:t>说明：如法定代表人参加投标，法定代表人授权委托书无需提供。</w:t>
      </w:r>
    </w:p>
    <w:p>
      <w:pPr>
        <w:spacing w:line="600" w:lineRule="exact"/>
        <w:rPr>
          <w:rFonts w:ascii="宋体" w:hAnsi="宋体" w:eastAsia="宋体" w:cs="宋体"/>
          <w:color w:val="auto"/>
          <w:sz w:val="24"/>
          <w:szCs w:val="24"/>
        </w:rPr>
      </w:pPr>
    </w:p>
    <w:p>
      <w:pPr>
        <w:pStyle w:val="2"/>
        <w:spacing w:line="600" w:lineRule="exact"/>
        <w:rPr>
          <w:rFonts w:ascii="宋体" w:hAnsi="宋体" w:eastAsia="宋体" w:cs="宋体"/>
          <w:color w:val="auto"/>
          <w:szCs w:val="24"/>
        </w:rPr>
      </w:pPr>
    </w:p>
    <w:p>
      <w:pPr>
        <w:spacing w:line="600" w:lineRule="exact"/>
        <w:rPr>
          <w:rFonts w:ascii="宋体" w:hAnsi="宋体" w:eastAsia="宋体" w:cs="宋体"/>
          <w:color w:val="auto"/>
          <w:sz w:val="24"/>
          <w:szCs w:val="24"/>
        </w:rPr>
      </w:pPr>
    </w:p>
    <w:p>
      <w:pPr>
        <w:pStyle w:val="2"/>
        <w:rPr>
          <w:rFonts w:ascii="宋体" w:hAnsi="宋体" w:eastAsia="宋体" w:cs="宋体"/>
          <w:color w:val="auto"/>
          <w:szCs w:val="24"/>
        </w:rPr>
      </w:pPr>
    </w:p>
    <w:p>
      <w:pPr>
        <w:rPr>
          <w:rFonts w:ascii="宋体" w:hAnsi="宋体" w:eastAsia="宋体" w:cs="宋体"/>
          <w:color w:val="auto"/>
          <w:sz w:val="24"/>
          <w:szCs w:val="24"/>
        </w:rPr>
      </w:pPr>
    </w:p>
    <w:p>
      <w:pPr>
        <w:pStyle w:val="2"/>
        <w:rPr>
          <w:rFonts w:ascii="宋体" w:hAnsi="宋体" w:eastAsia="宋体" w:cs="宋体"/>
          <w:color w:val="auto"/>
          <w:szCs w:val="24"/>
        </w:rPr>
      </w:pPr>
    </w:p>
    <w:p>
      <w:pPr>
        <w:rPr>
          <w:rFonts w:ascii="宋体" w:hAnsi="宋体" w:eastAsia="宋体" w:cs="宋体"/>
          <w:color w:val="auto"/>
          <w:sz w:val="24"/>
          <w:szCs w:val="24"/>
        </w:rPr>
      </w:pPr>
    </w:p>
    <w:p>
      <w:pPr>
        <w:pStyle w:val="2"/>
      </w:pPr>
    </w:p>
    <w:p>
      <w:pPr>
        <w:spacing w:line="600" w:lineRule="exact"/>
        <w:ind w:firstLine="1920" w:firstLineChars="800"/>
        <w:rPr>
          <w:rFonts w:ascii="宋体" w:hAnsi="宋体" w:eastAsia="宋体" w:cs="宋体"/>
          <w:color w:val="auto"/>
          <w:sz w:val="24"/>
          <w:szCs w:val="24"/>
        </w:rPr>
      </w:pPr>
      <w:r>
        <w:rPr>
          <w:rFonts w:hint="eastAsia" w:ascii="宋体" w:hAnsi="宋体" w:eastAsia="宋体" w:cs="宋体"/>
          <w:color w:val="auto"/>
          <w:sz w:val="24"/>
          <w:szCs w:val="24"/>
        </w:rPr>
        <w:t>投标供应商：</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（盖章）</w:t>
      </w:r>
    </w:p>
    <w:p>
      <w:pPr>
        <w:pStyle w:val="26"/>
        <w:spacing w:before="0" w:after="0" w:line="600" w:lineRule="exact"/>
        <w:ind w:firstLine="1920" w:firstLineChars="800"/>
        <w:jc w:val="left"/>
        <w:rPr>
          <w:rFonts w:ascii="宋体" w:hAnsi="宋体" w:cs="宋体"/>
          <w:sz w:val="24"/>
          <w:szCs w:val="24"/>
          <w:lang w:eastAsia="zh-CN"/>
        </w:rPr>
      </w:pPr>
      <w:r>
        <w:rPr>
          <w:rFonts w:hint="eastAsia" w:ascii="宋体" w:hAnsi="宋体" w:cs="宋体"/>
          <w:sz w:val="24"/>
          <w:szCs w:val="24"/>
          <w:lang w:eastAsia="zh-CN"/>
        </w:rPr>
        <w:t>法定代表人（单位负责人）：</w:t>
      </w:r>
      <w:r>
        <w:rPr>
          <w:rFonts w:hint="eastAsia" w:ascii="宋体" w:hAnsi="宋体" w:cs="宋体"/>
          <w:sz w:val="24"/>
          <w:szCs w:val="24"/>
          <w:u w:val="single"/>
          <w:lang w:eastAsia="zh-CN"/>
        </w:rPr>
        <w:t xml:space="preserve">           </w:t>
      </w:r>
      <w:r>
        <w:rPr>
          <w:rFonts w:hint="eastAsia" w:ascii="宋体" w:hAnsi="宋体" w:cs="宋体"/>
          <w:sz w:val="24"/>
          <w:szCs w:val="24"/>
          <w:lang w:eastAsia="zh-CN"/>
        </w:rPr>
        <w:t>（签字或盖章）</w:t>
      </w:r>
    </w:p>
    <w:p>
      <w:pPr>
        <w:pStyle w:val="26"/>
        <w:spacing w:before="0" w:after="0" w:line="600" w:lineRule="exact"/>
        <w:ind w:firstLine="1920" w:firstLineChars="800"/>
        <w:jc w:val="left"/>
        <w:rPr>
          <w:rFonts w:ascii="宋体" w:hAnsi="宋体" w:cs="宋体"/>
          <w:sz w:val="24"/>
          <w:szCs w:val="24"/>
          <w:lang w:eastAsia="zh-CN"/>
        </w:rPr>
      </w:pPr>
      <w:r>
        <w:rPr>
          <w:rFonts w:hint="eastAsia" w:ascii="宋体" w:hAnsi="宋体" w:cs="宋体"/>
          <w:snapToGrid w:val="0"/>
          <w:sz w:val="24"/>
          <w:szCs w:val="24"/>
          <w:lang w:eastAsia="zh-CN"/>
        </w:rPr>
        <w:t xml:space="preserve">被授权人： </w:t>
      </w:r>
      <w:r>
        <w:rPr>
          <w:rFonts w:hint="eastAsia" w:ascii="宋体" w:hAnsi="宋体" w:cs="宋体"/>
          <w:sz w:val="24"/>
          <w:szCs w:val="24"/>
          <w:u w:val="single"/>
          <w:lang w:eastAsia="zh-CN"/>
        </w:rPr>
        <w:t xml:space="preserve">                     </w:t>
      </w:r>
      <w:r>
        <w:rPr>
          <w:rFonts w:hint="eastAsia" w:ascii="宋体" w:hAnsi="宋体" w:cs="宋体"/>
          <w:sz w:val="24"/>
          <w:szCs w:val="24"/>
          <w:lang w:eastAsia="zh-CN"/>
        </w:rPr>
        <w:t>（签字）</w:t>
      </w:r>
    </w:p>
    <w:p>
      <w:pPr>
        <w:pStyle w:val="25"/>
        <w:spacing w:before="0" w:after="0" w:line="600" w:lineRule="exact"/>
        <w:ind w:firstLine="1920" w:firstLineChars="800"/>
        <w:rPr>
          <w:rFonts w:ascii="宋体" w:hAnsi="宋体" w:cs="宋体"/>
          <w:sz w:val="24"/>
          <w:szCs w:val="24"/>
          <w:lang w:eastAsia="zh-CN"/>
        </w:rPr>
      </w:pPr>
      <w:r>
        <w:rPr>
          <w:rFonts w:hint="eastAsia" w:ascii="宋体" w:hAnsi="宋体" w:cs="宋体"/>
          <w:sz w:val="24"/>
          <w:szCs w:val="24"/>
          <w:lang w:eastAsia="zh-CN"/>
        </w:rPr>
        <w:t>日   期：</w:t>
      </w:r>
      <w:r>
        <w:rPr>
          <w:rFonts w:hint="eastAsia" w:ascii="宋体" w:hAnsi="宋体" w:cs="宋体"/>
          <w:sz w:val="24"/>
          <w:szCs w:val="24"/>
          <w:u w:val="single"/>
          <w:lang w:eastAsia="zh-CN"/>
        </w:rPr>
        <w:t xml:space="preserve">      </w:t>
      </w:r>
      <w:r>
        <w:rPr>
          <w:rFonts w:hint="eastAsia" w:ascii="宋体" w:hAnsi="宋体" w:cs="宋体"/>
          <w:sz w:val="24"/>
          <w:szCs w:val="24"/>
          <w:lang w:eastAsia="zh-CN"/>
        </w:rPr>
        <w:t>年</w:t>
      </w:r>
      <w:r>
        <w:rPr>
          <w:rFonts w:hint="eastAsia" w:ascii="宋体" w:hAnsi="宋体" w:cs="宋体"/>
          <w:sz w:val="24"/>
          <w:szCs w:val="24"/>
          <w:u w:val="single"/>
          <w:lang w:eastAsia="zh-CN"/>
        </w:rPr>
        <w:t xml:space="preserve">     </w:t>
      </w:r>
      <w:r>
        <w:rPr>
          <w:rFonts w:hint="eastAsia" w:ascii="宋体" w:hAnsi="宋体" w:cs="宋体"/>
          <w:sz w:val="24"/>
          <w:szCs w:val="24"/>
          <w:lang w:eastAsia="zh-CN"/>
        </w:rPr>
        <w:t>月</w:t>
      </w:r>
      <w:r>
        <w:rPr>
          <w:rFonts w:hint="eastAsia" w:ascii="宋体" w:hAnsi="宋体" w:cs="宋体"/>
          <w:sz w:val="24"/>
          <w:szCs w:val="24"/>
          <w:u w:val="single"/>
          <w:lang w:eastAsia="zh-CN"/>
        </w:rPr>
        <w:t xml:space="preserve">     </w:t>
      </w:r>
      <w:r>
        <w:rPr>
          <w:rFonts w:hint="eastAsia" w:ascii="宋体" w:hAnsi="宋体" w:cs="宋体"/>
          <w:sz w:val="24"/>
          <w:szCs w:val="24"/>
          <w:lang w:eastAsia="zh-CN"/>
        </w:rPr>
        <w:t>日</w:t>
      </w:r>
    </w:p>
    <w:p>
      <w:pPr>
        <w:pStyle w:val="25"/>
        <w:spacing w:before="0" w:after="0" w:line="600" w:lineRule="exact"/>
        <w:rPr>
          <w:rFonts w:ascii="宋体" w:hAnsi="宋体" w:cs="宋体"/>
          <w:sz w:val="24"/>
          <w:szCs w:val="24"/>
          <w:lang w:eastAsia="zh-CN"/>
        </w:rPr>
      </w:pPr>
    </w:p>
    <w:p>
      <w:pPr>
        <w:rPr>
          <w:rFonts w:ascii="宋体" w:hAnsi="宋体" w:eastAsia="宋体" w:cs="宋体"/>
          <w:b/>
          <w:bCs/>
          <w:sz w:val="28"/>
          <w:szCs w:val="28"/>
        </w:rPr>
      </w:pPr>
    </w:p>
    <w:p>
      <w:pPr>
        <w:spacing w:line="360" w:lineRule="auto"/>
        <w:jc w:val="center"/>
        <w:rPr>
          <w:rFonts w:ascii="宋体" w:hAnsi="宋体" w:eastAsia="宋体" w:cs="宋体"/>
          <w:b/>
          <w:bCs/>
          <w:sz w:val="28"/>
          <w:szCs w:val="28"/>
        </w:rPr>
      </w:pPr>
      <w:r>
        <w:rPr>
          <w:rFonts w:hint="eastAsia" w:ascii="宋体" w:hAnsi="宋体" w:eastAsia="宋体" w:cs="宋体"/>
          <w:b/>
          <w:bCs/>
          <w:sz w:val="28"/>
          <w:szCs w:val="28"/>
        </w:rPr>
        <w:t>五、资格证明文件</w:t>
      </w:r>
    </w:p>
    <w:p>
      <w:pPr>
        <w:widowControl w:val="0"/>
        <w:kinsoku/>
        <w:autoSpaceDE/>
        <w:autoSpaceDN/>
        <w:spacing w:line="360" w:lineRule="auto"/>
        <w:textAlignment w:val="auto"/>
        <w:rPr>
          <w:rFonts w:ascii="宋体" w:hAnsi="宋体" w:eastAsia="宋体" w:cs="宋体"/>
          <w:color w:val="auto"/>
          <w:sz w:val="24"/>
          <w:szCs w:val="24"/>
        </w:rPr>
      </w:pPr>
      <w:r>
        <w:rPr>
          <w:rFonts w:hint="eastAsia" w:ascii="宋体" w:hAnsi="宋体" w:eastAsia="宋体" w:cs="宋体"/>
          <w:color w:val="auto"/>
          <w:sz w:val="24"/>
          <w:szCs w:val="24"/>
        </w:rPr>
        <w:t>符合《中华人民共和国政府采购法》第二十二条的规定，并提供下列材料：</w:t>
      </w:r>
    </w:p>
    <w:p>
      <w:pPr>
        <w:spacing w:line="360" w:lineRule="auto"/>
        <w:ind w:firstLine="480" w:firstLineChars="200"/>
        <w:rPr>
          <w:rFonts w:ascii="宋体" w:hAnsi="宋体" w:eastAsia="宋体" w:cs="宋体"/>
          <w:sz w:val="24"/>
          <w:szCs w:val="24"/>
        </w:rPr>
      </w:pPr>
      <w:r>
        <w:rPr>
          <w:rFonts w:hint="eastAsia" w:ascii="宋体" w:hAnsi="宋体" w:eastAsia="宋体" w:cs="宋体"/>
          <w:color w:val="auto"/>
          <w:sz w:val="24"/>
          <w:szCs w:val="24"/>
          <w:lang w:val="zh-CN"/>
        </w:rPr>
        <w:t>（1）</w:t>
      </w:r>
      <w:r>
        <w:rPr>
          <w:rFonts w:hint="eastAsia" w:ascii="宋体" w:hAnsi="宋体" w:eastAsia="宋体" w:cs="宋体"/>
          <w:sz w:val="24"/>
          <w:szCs w:val="24"/>
        </w:rPr>
        <w:t>具有独立承担民事责任的法人、其他组织或自然人，提供有效的营业执照等相应证明文件，非法人单位参照执行；</w:t>
      </w:r>
    </w:p>
    <w:p>
      <w:pPr>
        <w:spacing w:line="360" w:lineRule="auto"/>
        <w:ind w:firstLine="480" w:firstLineChars="200"/>
        <w:rPr>
          <w:rFonts w:ascii="宋体" w:hAnsi="宋体" w:eastAsia="宋体" w:cs="宋体"/>
          <w:sz w:val="24"/>
          <w:szCs w:val="24"/>
        </w:rPr>
      </w:pPr>
      <w:r>
        <w:rPr>
          <w:rFonts w:hint="eastAsia" w:ascii="宋体" w:hAnsi="宋体" w:eastAsia="宋体" w:cs="宋体"/>
          <w:color w:val="auto"/>
          <w:sz w:val="24"/>
          <w:szCs w:val="24"/>
          <w:lang w:val="zh-CN"/>
        </w:rPr>
        <w:t>（2）财务状况报告：</w:t>
      </w:r>
      <w:r>
        <w:rPr>
          <w:rFonts w:hint="eastAsia" w:ascii="宋体" w:hAnsi="宋体" w:eastAsia="宋体" w:cs="宋体"/>
          <w:sz w:val="24"/>
          <w:szCs w:val="24"/>
        </w:rPr>
        <w:t>提供2021年度审计报告(至少包括有资产负债表、利润表、现金流量表)，成立时间至提交响应文件截止时间不足一年的可提供成立后任意时段的资产负债表，或提供响应文件递交截止前三个月内基本存款账户开户银行出具的资信证明(以上两种形式的资料提供任何一种即可)；</w:t>
      </w:r>
    </w:p>
    <w:p>
      <w:pPr>
        <w:pStyle w:val="15"/>
        <w:widowControl w:val="0"/>
        <w:kinsoku/>
        <w:autoSpaceDE/>
        <w:autoSpaceDN/>
        <w:spacing w:before="0" w:beforeAutospacing="0" w:after="0" w:afterAutospacing="0" w:line="360" w:lineRule="auto"/>
        <w:ind w:firstLine="480" w:firstLineChars="200"/>
        <w:textAlignment w:val="auto"/>
        <w:rPr>
          <w:rFonts w:eastAsia="宋体" w:cs="宋体"/>
          <w:szCs w:val="24"/>
        </w:rPr>
      </w:pPr>
      <w:r>
        <w:rPr>
          <w:rFonts w:hint="eastAsia" w:eastAsia="宋体" w:cs="宋体"/>
          <w:color w:val="auto"/>
          <w:szCs w:val="24"/>
          <w:lang w:val="zh-CN"/>
        </w:rPr>
        <w:t>（3）</w:t>
      </w:r>
      <w:r>
        <w:rPr>
          <w:rFonts w:hint="eastAsia" w:eastAsia="宋体" w:cs="宋体"/>
          <w:szCs w:val="24"/>
        </w:rPr>
        <w:t>具有履行合同所必需的设备和专业技术能力，提供承诺书；</w:t>
      </w:r>
    </w:p>
    <w:p>
      <w:pPr>
        <w:spacing w:line="360" w:lineRule="auto"/>
        <w:ind w:firstLine="480" w:firstLineChars="200"/>
        <w:rPr>
          <w:rFonts w:ascii="宋体" w:hAnsi="宋体" w:eastAsia="宋体" w:cs="宋体"/>
          <w:sz w:val="24"/>
          <w:szCs w:val="24"/>
        </w:rPr>
      </w:pPr>
      <w:r>
        <w:rPr>
          <w:rFonts w:hint="eastAsia" w:ascii="宋体" w:hAnsi="宋体" w:eastAsia="宋体" w:cs="宋体"/>
          <w:color w:val="auto"/>
          <w:sz w:val="24"/>
          <w:szCs w:val="24"/>
          <w:lang w:val="zh-CN"/>
        </w:rPr>
        <w:t>（4）税收缴纳证明：</w:t>
      </w:r>
      <w:r>
        <w:rPr>
          <w:rFonts w:hint="eastAsia" w:ascii="宋体" w:hAnsi="宋体" w:eastAsia="宋体" w:cs="宋体"/>
          <w:sz w:val="24"/>
          <w:szCs w:val="24"/>
        </w:rPr>
        <w:t>提供投标文件递交截止时间前六个月内任意三月已缴纳的纳税证明或完税证明(包含增值税、企业所得税至少一种)，依法免税的供应商应提供相关证明文件；</w:t>
      </w:r>
    </w:p>
    <w:p>
      <w:pPr>
        <w:spacing w:line="360" w:lineRule="auto"/>
        <w:ind w:firstLine="480" w:firstLineChars="200"/>
        <w:rPr>
          <w:rFonts w:ascii="宋体" w:hAnsi="宋体" w:eastAsia="宋体" w:cs="宋体"/>
          <w:sz w:val="24"/>
          <w:szCs w:val="24"/>
        </w:rPr>
      </w:pPr>
      <w:r>
        <w:rPr>
          <w:rFonts w:hint="eastAsia" w:ascii="宋体" w:hAnsi="宋体" w:eastAsia="宋体" w:cs="宋体"/>
          <w:color w:val="auto"/>
          <w:sz w:val="24"/>
          <w:szCs w:val="24"/>
          <w:lang w:val="zh-CN"/>
        </w:rPr>
        <w:t>（5）社会保障资金</w:t>
      </w:r>
      <w:r>
        <w:rPr>
          <w:rFonts w:hint="eastAsia" w:ascii="宋体" w:hAnsi="宋体" w:eastAsia="宋体" w:cs="宋体"/>
          <w:color w:val="auto"/>
          <w:sz w:val="24"/>
          <w:szCs w:val="24"/>
        </w:rPr>
        <w:t>缴纳</w:t>
      </w:r>
      <w:r>
        <w:rPr>
          <w:rFonts w:hint="eastAsia" w:ascii="宋体" w:hAnsi="宋体" w:eastAsia="宋体" w:cs="宋体"/>
          <w:color w:val="auto"/>
          <w:sz w:val="24"/>
          <w:szCs w:val="24"/>
          <w:lang w:val="zh-CN"/>
        </w:rPr>
        <w:t>证明：</w:t>
      </w:r>
      <w:r>
        <w:rPr>
          <w:rFonts w:hint="eastAsia" w:ascii="宋体" w:hAnsi="宋体" w:eastAsia="宋体" w:cs="宋体"/>
          <w:sz w:val="24"/>
          <w:szCs w:val="24"/>
        </w:rPr>
        <w:t>提供投标文件递交截止时间前六个月内任意三月已缴存的社会保障资金缴费证明或参保证明，依法不需要缴纳社会保障资金的供应商应提供相关证明文件；</w:t>
      </w:r>
    </w:p>
    <w:p>
      <w:pPr>
        <w:spacing w:line="360" w:lineRule="auto"/>
        <w:ind w:firstLine="480" w:firstLineChars="200"/>
        <w:rPr>
          <w:rFonts w:ascii="宋体" w:hAnsi="宋体" w:eastAsia="宋体" w:cs="宋体"/>
          <w:sz w:val="24"/>
          <w:szCs w:val="24"/>
        </w:rPr>
      </w:pPr>
      <w:r>
        <w:rPr>
          <w:rFonts w:hint="eastAsia" w:ascii="宋体" w:hAnsi="宋体" w:eastAsia="宋体" w:cs="宋体"/>
          <w:color w:val="auto"/>
          <w:sz w:val="24"/>
          <w:szCs w:val="24"/>
          <w:lang w:val="zh-CN"/>
        </w:rPr>
        <w:t>（6）</w:t>
      </w:r>
      <w:r>
        <w:rPr>
          <w:rFonts w:hint="eastAsia" w:ascii="宋体" w:hAnsi="宋体" w:eastAsia="宋体" w:cs="宋体"/>
          <w:sz w:val="24"/>
          <w:szCs w:val="24"/>
        </w:rPr>
        <w:t>参加政府采购活动前三年内，在经营活动中没有重大违法记录，提供书面声明；</w:t>
      </w:r>
    </w:p>
    <w:p>
      <w:pPr>
        <w:pStyle w:val="15"/>
        <w:widowControl w:val="0"/>
        <w:kinsoku/>
        <w:autoSpaceDE/>
        <w:autoSpaceDN/>
        <w:spacing w:before="0" w:beforeAutospacing="0" w:after="0" w:afterAutospacing="0" w:line="360" w:lineRule="auto"/>
        <w:ind w:firstLine="480" w:firstLineChars="200"/>
        <w:textAlignment w:val="auto"/>
        <w:rPr>
          <w:rFonts w:eastAsia="宋体" w:cs="宋体"/>
          <w:color w:val="auto"/>
          <w:szCs w:val="24"/>
          <w:lang w:val="zh-CN"/>
        </w:rPr>
      </w:pPr>
      <w:r>
        <w:rPr>
          <w:rFonts w:hint="eastAsia" w:eastAsia="宋体" w:cs="宋体"/>
          <w:color w:val="auto"/>
          <w:szCs w:val="24"/>
          <w:lang w:val="zh-CN"/>
        </w:rPr>
        <w:t>（</w:t>
      </w:r>
      <w:r>
        <w:rPr>
          <w:rFonts w:hint="eastAsia" w:eastAsia="宋体" w:cs="宋体"/>
          <w:color w:val="auto"/>
          <w:szCs w:val="24"/>
        </w:rPr>
        <w:t>7</w:t>
      </w:r>
      <w:r>
        <w:rPr>
          <w:rFonts w:hint="eastAsia" w:eastAsia="宋体" w:cs="宋体"/>
          <w:color w:val="auto"/>
          <w:szCs w:val="24"/>
          <w:lang w:val="zh-CN"/>
        </w:rPr>
        <w:t>）通过中国政府采购网 和“信用中国”查询相关主体无失信记录，对列入失信被执行人、重大税收违法失信主体、政府采购严重违法失信行为记录名单的供应商，将拒绝其参与政府采购活动（提供查询结果网页截图并加盖供应商公章，查询日期为从招标文件发售之日起至投标截止日前)。</w:t>
      </w:r>
    </w:p>
    <w:p>
      <w:pPr>
        <w:pStyle w:val="15"/>
        <w:widowControl w:val="0"/>
        <w:kinsoku/>
        <w:autoSpaceDE/>
        <w:autoSpaceDN/>
        <w:spacing w:before="0" w:beforeAutospacing="0" w:after="0" w:afterAutospacing="0" w:line="360" w:lineRule="auto"/>
        <w:ind w:firstLine="480" w:firstLineChars="200"/>
        <w:textAlignment w:val="auto"/>
        <w:rPr>
          <w:rFonts w:eastAsia="宋体" w:cs="宋体"/>
          <w:color w:val="auto"/>
          <w:szCs w:val="24"/>
          <w:lang w:val="zh-CN"/>
        </w:rPr>
      </w:pPr>
      <w:r>
        <w:rPr>
          <w:rFonts w:hint="eastAsia" w:eastAsia="宋体" w:cs="宋体"/>
          <w:color w:val="auto"/>
          <w:szCs w:val="24"/>
          <w:lang w:val="zh-CN"/>
        </w:rPr>
        <w:t>（</w:t>
      </w:r>
      <w:r>
        <w:rPr>
          <w:rFonts w:hint="eastAsia" w:eastAsia="宋体" w:cs="宋体"/>
          <w:color w:val="auto"/>
          <w:szCs w:val="24"/>
        </w:rPr>
        <w:t>8</w:t>
      </w:r>
      <w:r>
        <w:rPr>
          <w:rFonts w:hint="eastAsia" w:eastAsia="宋体" w:cs="宋体"/>
          <w:color w:val="auto"/>
          <w:szCs w:val="24"/>
          <w:lang w:val="zh-CN"/>
        </w:rPr>
        <w:t>）法定代表人授权委托书（附法定代表人、被授权委托人身份证复印件）及被授权委托人身份证；法定代表人参加投标须提供法定代表人身份证明及法定代表人身份证；</w:t>
      </w:r>
    </w:p>
    <w:p>
      <w:pPr>
        <w:pStyle w:val="15"/>
        <w:widowControl w:val="0"/>
        <w:kinsoku/>
        <w:autoSpaceDE/>
        <w:autoSpaceDN/>
        <w:spacing w:before="0" w:beforeAutospacing="0" w:after="0" w:afterAutospacing="0" w:line="360" w:lineRule="auto"/>
        <w:ind w:firstLine="480" w:firstLineChars="200"/>
        <w:textAlignment w:val="auto"/>
        <w:rPr>
          <w:rFonts w:eastAsia="宋体" w:cs="宋体"/>
          <w:szCs w:val="24"/>
        </w:rPr>
      </w:pPr>
    </w:p>
    <w:p>
      <w:pPr>
        <w:widowControl w:val="0"/>
        <w:kinsoku/>
        <w:autoSpaceDE/>
        <w:autoSpaceDN/>
        <w:spacing w:line="360" w:lineRule="auto"/>
        <w:jc w:val="both"/>
        <w:textAlignment w:val="auto"/>
        <w:rPr>
          <w:rFonts w:ascii="宋体" w:hAnsi="宋体" w:cs="宋体"/>
          <w:b/>
          <w:bCs/>
          <w:color w:val="auto"/>
        </w:rPr>
      </w:pPr>
      <w:r>
        <w:rPr>
          <w:rFonts w:hint="eastAsia" w:ascii="宋体" w:hAnsi="宋体" w:eastAsia="宋体" w:cs="宋体"/>
          <w:b/>
          <w:bCs/>
          <w:color w:val="auto"/>
          <w:sz w:val="22"/>
          <w:szCs w:val="22"/>
        </w:rPr>
        <w:t>注：</w:t>
      </w:r>
      <w:r>
        <w:rPr>
          <w:rFonts w:hint="eastAsia" w:ascii="宋体" w:hAnsi="宋体" w:cs="宋体"/>
          <w:b/>
          <w:bCs/>
          <w:color w:val="auto"/>
        </w:rPr>
        <w:t>以上资料，复印件或扫描件加盖公章。</w:t>
      </w: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rPr>
          <w:rFonts w:ascii="宋体" w:hAnsi="宋体" w:eastAsia="宋体" w:cs="宋体"/>
          <w:sz w:val="24"/>
          <w:szCs w:val="24"/>
        </w:rPr>
      </w:pPr>
    </w:p>
    <w:p>
      <w:pPr>
        <w:spacing w:line="560" w:lineRule="exact"/>
        <w:jc w:val="center"/>
        <w:rPr>
          <w:rFonts w:ascii="宋体" w:hAnsi="宋体" w:eastAsia="宋体" w:cs="宋体"/>
          <w:b/>
          <w:sz w:val="28"/>
          <w:szCs w:val="28"/>
        </w:rPr>
      </w:pPr>
      <w:bookmarkStart w:id="217" w:name="_Toc16356"/>
      <w:r>
        <w:rPr>
          <w:rFonts w:hint="eastAsia" w:ascii="宋体" w:hAnsi="宋体" w:eastAsia="宋体" w:cs="宋体"/>
          <w:b/>
          <w:sz w:val="28"/>
          <w:szCs w:val="28"/>
        </w:rPr>
        <w:t>履行合同所必需的设备和专业技术能力的书面声明</w:t>
      </w:r>
    </w:p>
    <w:p>
      <w:pPr>
        <w:spacing w:line="560" w:lineRule="exact"/>
        <w:rPr>
          <w:rFonts w:ascii="宋体" w:hAnsi="宋体" w:cs="宋体"/>
          <w:spacing w:val="4"/>
          <w:u w:val="single"/>
        </w:rPr>
      </w:pPr>
    </w:p>
    <w:p>
      <w:pPr>
        <w:spacing w:line="560" w:lineRule="exact"/>
        <w:ind w:firstLine="480" w:firstLineChars="200"/>
        <w:rPr>
          <w:rFonts w:ascii="宋体" w:hAnsi="宋体" w:cs="宋体"/>
          <w:sz w:val="24"/>
          <w:szCs w:val="24"/>
          <w:u w:val="single"/>
        </w:rPr>
      </w:pPr>
      <w:r>
        <w:rPr>
          <w:rFonts w:hint="eastAsia" w:ascii="宋体" w:hAnsi="宋体" w:cs="宋体"/>
          <w:sz w:val="24"/>
          <w:szCs w:val="24"/>
          <w:u w:val="single"/>
        </w:rPr>
        <w:t>（采购人名称）：</w:t>
      </w:r>
    </w:p>
    <w:p>
      <w:pPr>
        <w:spacing w:line="560" w:lineRule="exact"/>
        <w:ind w:firstLine="480" w:firstLineChars="200"/>
        <w:rPr>
          <w:rFonts w:ascii="宋体" w:hAnsi="宋体" w:cs="宋体"/>
          <w:sz w:val="24"/>
          <w:szCs w:val="24"/>
        </w:rPr>
      </w:pPr>
      <w:r>
        <w:rPr>
          <w:rFonts w:hint="eastAsia" w:ascii="宋体" w:hAnsi="宋体" w:cs="宋体"/>
          <w:sz w:val="24"/>
          <w:szCs w:val="24"/>
          <w:u w:val="single"/>
        </w:rPr>
        <w:t xml:space="preserve">  （</w:t>
      </w:r>
      <w:r>
        <w:rPr>
          <w:rFonts w:hint="eastAsia" w:ascii="宋体" w:hAnsi="宋体" w:eastAsia="宋体" w:cs="宋体"/>
          <w:sz w:val="24"/>
          <w:szCs w:val="24"/>
          <w:u w:val="single"/>
        </w:rPr>
        <w:t>投标</w:t>
      </w:r>
      <w:r>
        <w:rPr>
          <w:rFonts w:hint="eastAsia" w:ascii="宋体" w:hAnsi="宋体" w:cs="宋体"/>
          <w:sz w:val="24"/>
          <w:szCs w:val="24"/>
          <w:u w:val="single"/>
        </w:rPr>
        <w:t xml:space="preserve">供应商名称）  </w:t>
      </w:r>
      <w:r>
        <w:rPr>
          <w:rFonts w:hint="eastAsia" w:ascii="宋体" w:hAnsi="宋体" w:cs="宋体"/>
          <w:sz w:val="24"/>
          <w:szCs w:val="24"/>
        </w:rPr>
        <w:t>于</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日在中华人民共和国境内</w:t>
      </w:r>
      <w:r>
        <w:rPr>
          <w:rFonts w:hint="eastAsia" w:ascii="宋体" w:hAnsi="宋体" w:cs="宋体"/>
          <w:sz w:val="24"/>
          <w:szCs w:val="24"/>
          <w:u w:val="single"/>
        </w:rPr>
        <w:t xml:space="preserve">    （详细注册地址） </w:t>
      </w:r>
      <w:r>
        <w:rPr>
          <w:rFonts w:hint="eastAsia" w:ascii="宋体" w:hAnsi="宋体" w:cs="宋体"/>
          <w:sz w:val="24"/>
          <w:szCs w:val="24"/>
        </w:rPr>
        <w:t>合法注册并经营，公司主营业务为</w:t>
      </w:r>
      <w:r>
        <w:rPr>
          <w:rFonts w:hint="eastAsia" w:ascii="宋体" w:hAnsi="宋体" w:cs="宋体"/>
          <w:sz w:val="24"/>
          <w:szCs w:val="24"/>
          <w:u w:val="single"/>
        </w:rPr>
        <w:t xml:space="preserve">           </w:t>
      </w:r>
      <w:r>
        <w:rPr>
          <w:rFonts w:hint="eastAsia" w:ascii="宋体" w:hAnsi="宋体" w:cs="宋体"/>
          <w:sz w:val="24"/>
          <w:szCs w:val="24"/>
        </w:rPr>
        <w:t>，营业（生产经营）面积为</w:t>
      </w:r>
      <w:r>
        <w:rPr>
          <w:rFonts w:hint="eastAsia" w:ascii="宋体" w:hAnsi="宋体" w:cs="宋体"/>
          <w:sz w:val="24"/>
          <w:szCs w:val="24"/>
          <w:u w:val="single"/>
        </w:rPr>
        <w:t xml:space="preserve">       </w:t>
      </w:r>
      <w:r>
        <w:rPr>
          <w:rFonts w:hint="eastAsia" w:ascii="宋体" w:hAnsi="宋体" w:cs="宋体"/>
          <w:sz w:val="24"/>
          <w:szCs w:val="24"/>
        </w:rPr>
        <w:t>，现有员工数量为</w:t>
      </w:r>
      <w:r>
        <w:rPr>
          <w:rFonts w:hint="eastAsia" w:ascii="宋体" w:hAnsi="宋体" w:cs="宋体"/>
          <w:sz w:val="24"/>
          <w:szCs w:val="24"/>
          <w:u w:val="single"/>
        </w:rPr>
        <w:t xml:space="preserve">         </w:t>
      </w:r>
      <w:r>
        <w:rPr>
          <w:rFonts w:hint="eastAsia" w:ascii="宋体" w:hAnsi="宋体" w:cs="宋体"/>
          <w:sz w:val="24"/>
          <w:szCs w:val="24"/>
        </w:rPr>
        <w:t>，本公司郑重承诺，具有履行本合同所必需的设备和专业技术能力。如有不实，我方将无条件地退出本项目的采购活动，并遵照《中华人民共和国政府采购法》有关"提供虚假材料的规定"接受处罚。</w:t>
      </w:r>
      <w:r>
        <w:rPr>
          <w:rFonts w:hint="eastAsia" w:ascii="宋体" w:hAnsi="宋体" w:cs="宋体"/>
          <w:sz w:val="24"/>
          <w:szCs w:val="24"/>
        </w:rPr>
        <w:br w:type="textWrapping"/>
      </w:r>
    </w:p>
    <w:p>
      <w:pPr>
        <w:pStyle w:val="2"/>
        <w:rPr>
          <w:szCs w:val="22"/>
        </w:rPr>
      </w:pPr>
    </w:p>
    <w:p>
      <w:pPr>
        <w:spacing w:line="560" w:lineRule="exact"/>
        <w:ind w:firstLine="480" w:firstLineChars="200"/>
        <w:rPr>
          <w:rFonts w:ascii="宋体" w:hAnsi="宋体" w:cs="宋体"/>
          <w:sz w:val="24"/>
          <w:szCs w:val="24"/>
        </w:rPr>
      </w:pPr>
      <w:r>
        <w:rPr>
          <w:rFonts w:hint="eastAsia" w:ascii="宋体" w:hAnsi="宋体" w:eastAsia="宋体" w:cs="宋体"/>
          <w:sz w:val="24"/>
          <w:szCs w:val="24"/>
        </w:rPr>
        <w:t>投标</w:t>
      </w:r>
      <w:r>
        <w:rPr>
          <w:rFonts w:hint="eastAsia" w:ascii="宋体" w:hAnsi="宋体" w:cs="宋体"/>
          <w:sz w:val="24"/>
          <w:szCs w:val="24"/>
        </w:rPr>
        <w:t>供应商（盖章）：</w:t>
      </w:r>
      <w:r>
        <w:rPr>
          <w:rFonts w:hint="eastAsia" w:ascii="宋体" w:hAnsi="宋体" w:cs="宋体"/>
          <w:sz w:val="24"/>
          <w:szCs w:val="24"/>
          <w:u w:val="single"/>
        </w:rPr>
        <w:t xml:space="preserve">                      </w:t>
      </w:r>
    </w:p>
    <w:p>
      <w:pPr>
        <w:spacing w:line="560" w:lineRule="exact"/>
        <w:ind w:firstLine="480" w:firstLineChars="200"/>
        <w:rPr>
          <w:rFonts w:ascii="宋体" w:hAnsi="宋体" w:cs="宋体"/>
          <w:sz w:val="24"/>
          <w:szCs w:val="24"/>
          <w:u w:val="single"/>
        </w:rPr>
      </w:pPr>
      <w:r>
        <w:rPr>
          <w:rFonts w:hint="eastAsia" w:ascii="宋体" w:hAnsi="宋体" w:cs="宋体"/>
          <w:sz w:val="24"/>
          <w:szCs w:val="24"/>
        </w:rPr>
        <w:t>法定代表人或授权代表（签字）：</w:t>
      </w:r>
      <w:r>
        <w:rPr>
          <w:rFonts w:hint="eastAsia" w:ascii="宋体" w:hAnsi="宋体" w:cs="宋体"/>
          <w:sz w:val="24"/>
          <w:szCs w:val="24"/>
          <w:u w:val="single"/>
        </w:rPr>
        <w:t xml:space="preserve">            </w:t>
      </w:r>
    </w:p>
    <w:p>
      <w:pPr>
        <w:spacing w:line="560" w:lineRule="exact"/>
        <w:ind w:firstLine="480" w:firstLineChars="200"/>
        <w:rPr>
          <w:rFonts w:ascii="宋体" w:hAnsi="宋体" w:cs="宋体"/>
          <w:sz w:val="24"/>
          <w:szCs w:val="24"/>
          <w:u w:val="single"/>
        </w:rPr>
      </w:pPr>
      <w:r>
        <w:rPr>
          <w:rFonts w:hint="eastAsia" w:ascii="宋体" w:hAnsi="宋体" w:cs="宋体"/>
          <w:sz w:val="24"/>
          <w:szCs w:val="24"/>
        </w:rPr>
        <w:t>日    期：</w:t>
      </w:r>
      <w:r>
        <w:rPr>
          <w:rFonts w:hint="eastAsia" w:ascii="宋体" w:hAnsi="宋体" w:cs="宋体"/>
          <w:sz w:val="24"/>
          <w:szCs w:val="24"/>
          <w:u w:val="single"/>
        </w:rPr>
        <w:t xml:space="preserve">                                </w:t>
      </w:r>
    </w:p>
    <w:p>
      <w:pPr>
        <w:spacing w:line="560" w:lineRule="exact"/>
        <w:jc w:val="center"/>
        <w:rPr>
          <w:rFonts w:ascii="宋体" w:hAnsi="宋体" w:cs="宋体"/>
          <w:b/>
        </w:rPr>
      </w:pPr>
      <w:r>
        <w:rPr>
          <w:rFonts w:hint="eastAsia" w:ascii="宋体" w:hAnsi="宋体" w:cs="宋体"/>
          <w:sz w:val="24"/>
          <w:szCs w:val="24"/>
          <w:u w:val="single"/>
        </w:rPr>
        <w:br w:type="page"/>
      </w:r>
      <w:r>
        <w:rPr>
          <w:rFonts w:hint="eastAsia" w:ascii="宋体" w:hAnsi="宋体" w:cs="宋体"/>
          <w:b/>
          <w:spacing w:val="-6"/>
          <w:sz w:val="28"/>
          <w:szCs w:val="28"/>
        </w:rPr>
        <w:t>参加政府采购活动前3年内无重大违法记录的书面声明</w:t>
      </w:r>
    </w:p>
    <w:p>
      <w:pPr>
        <w:spacing w:line="560" w:lineRule="exact"/>
        <w:ind w:firstLine="420" w:firstLineChars="200"/>
        <w:rPr>
          <w:rFonts w:ascii="宋体" w:hAnsi="宋体" w:cs="宋体"/>
        </w:rPr>
      </w:pPr>
    </w:p>
    <w:p>
      <w:pPr>
        <w:spacing w:line="560" w:lineRule="exact"/>
        <w:ind w:firstLine="480" w:firstLineChars="200"/>
        <w:rPr>
          <w:rFonts w:ascii="宋体" w:hAnsi="宋体" w:cs="宋体"/>
          <w:sz w:val="24"/>
          <w:szCs w:val="24"/>
          <w:u w:val="single"/>
        </w:rPr>
      </w:pPr>
      <w:r>
        <w:rPr>
          <w:rFonts w:hint="eastAsia" w:ascii="宋体" w:hAnsi="宋体" w:cs="宋体"/>
          <w:sz w:val="24"/>
          <w:szCs w:val="24"/>
          <w:u w:val="single"/>
        </w:rPr>
        <w:t xml:space="preserve">     （采购人名称）    ：</w:t>
      </w:r>
    </w:p>
    <w:p>
      <w:pPr>
        <w:spacing w:line="560" w:lineRule="exact"/>
        <w:ind w:firstLine="480" w:firstLineChars="200"/>
        <w:rPr>
          <w:rFonts w:ascii="宋体" w:hAnsi="宋体" w:cs="宋体"/>
          <w:sz w:val="24"/>
          <w:szCs w:val="24"/>
        </w:rPr>
      </w:pPr>
      <w:r>
        <w:rPr>
          <w:rFonts w:hint="eastAsia" w:ascii="宋体" w:hAnsi="宋体" w:cs="宋体"/>
          <w:sz w:val="24"/>
          <w:szCs w:val="24"/>
        </w:rPr>
        <w:t xml:space="preserve"> 我方_______________（</w:t>
      </w:r>
      <w:r>
        <w:rPr>
          <w:rFonts w:hint="eastAsia" w:ascii="宋体" w:hAnsi="宋体" w:eastAsia="宋体" w:cs="宋体"/>
          <w:sz w:val="24"/>
          <w:szCs w:val="24"/>
        </w:rPr>
        <w:t>投标</w:t>
      </w:r>
      <w:r>
        <w:rPr>
          <w:rFonts w:hint="eastAsia" w:ascii="宋体" w:hAnsi="宋体" w:cs="宋体"/>
          <w:sz w:val="24"/>
          <w:szCs w:val="24"/>
        </w:rPr>
        <w:t>供应商名称）郑重声明在参加本次政府采购活动前3年内的经营活动没有重大违法记录。如有不实，我方将无条件地退出本项目的采购活动，并遵照《中华人民共和国政府采购法》有关"提供虚假材料的规定"接受处罚。</w:t>
      </w:r>
      <w:r>
        <w:rPr>
          <w:rFonts w:hint="eastAsia" w:ascii="宋体" w:hAnsi="宋体" w:cs="宋体"/>
          <w:sz w:val="24"/>
          <w:szCs w:val="24"/>
        </w:rPr>
        <w:br w:type="textWrapping"/>
      </w:r>
      <w:r>
        <w:rPr>
          <w:rFonts w:hint="eastAsia" w:ascii="宋体" w:hAnsi="宋体" w:cs="宋体"/>
          <w:sz w:val="24"/>
          <w:szCs w:val="24"/>
        </w:rPr>
        <w:t xml:space="preserve">     特此声明。</w:t>
      </w:r>
    </w:p>
    <w:p>
      <w:pPr>
        <w:pStyle w:val="2"/>
        <w:spacing w:line="560" w:lineRule="exact"/>
        <w:rPr>
          <w:rFonts w:ascii="宋体" w:hAnsi="宋体" w:cs="宋体"/>
          <w:szCs w:val="24"/>
        </w:rPr>
      </w:pPr>
    </w:p>
    <w:p>
      <w:pPr>
        <w:pStyle w:val="2"/>
        <w:spacing w:line="560" w:lineRule="exact"/>
        <w:rPr>
          <w:rFonts w:ascii="宋体" w:hAnsi="宋体" w:cs="宋体"/>
          <w:szCs w:val="24"/>
        </w:rPr>
      </w:pPr>
    </w:p>
    <w:p>
      <w:pPr>
        <w:spacing w:line="560" w:lineRule="exact"/>
        <w:rPr>
          <w:rFonts w:ascii="宋体" w:hAnsi="宋体" w:cs="宋体"/>
          <w:sz w:val="24"/>
          <w:szCs w:val="24"/>
        </w:rPr>
      </w:pPr>
    </w:p>
    <w:p>
      <w:pPr>
        <w:spacing w:line="560" w:lineRule="exact"/>
        <w:ind w:firstLine="480" w:firstLineChars="200"/>
        <w:rPr>
          <w:rFonts w:ascii="宋体" w:hAnsi="宋体" w:cs="宋体"/>
          <w:sz w:val="24"/>
          <w:szCs w:val="24"/>
        </w:rPr>
      </w:pPr>
    </w:p>
    <w:p>
      <w:pPr>
        <w:spacing w:line="560" w:lineRule="exact"/>
        <w:ind w:firstLine="480" w:firstLineChars="200"/>
        <w:rPr>
          <w:rFonts w:ascii="宋体" w:hAnsi="宋体" w:cs="宋体"/>
          <w:sz w:val="24"/>
          <w:szCs w:val="24"/>
        </w:rPr>
      </w:pPr>
      <w:r>
        <w:rPr>
          <w:rFonts w:hint="eastAsia" w:ascii="宋体" w:hAnsi="宋体" w:eastAsia="宋体" w:cs="宋体"/>
          <w:sz w:val="24"/>
          <w:szCs w:val="24"/>
        </w:rPr>
        <w:t>投标</w:t>
      </w:r>
      <w:r>
        <w:rPr>
          <w:rFonts w:hint="eastAsia" w:ascii="宋体" w:hAnsi="宋体" w:cs="宋体"/>
          <w:sz w:val="24"/>
          <w:szCs w:val="24"/>
        </w:rPr>
        <w:t>供应商（盖章）：</w:t>
      </w:r>
      <w:r>
        <w:rPr>
          <w:rFonts w:hint="eastAsia" w:ascii="宋体" w:hAnsi="宋体" w:cs="宋体"/>
          <w:sz w:val="24"/>
          <w:szCs w:val="24"/>
          <w:u w:val="single"/>
        </w:rPr>
        <w:t xml:space="preserve">                   </w:t>
      </w:r>
    </w:p>
    <w:p>
      <w:pPr>
        <w:spacing w:line="560" w:lineRule="exact"/>
        <w:ind w:firstLine="480" w:firstLineChars="200"/>
        <w:rPr>
          <w:rFonts w:ascii="宋体" w:hAnsi="宋体" w:cs="宋体"/>
          <w:sz w:val="24"/>
          <w:szCs w:val="24"/>
          <w:u w:val="single"/>
        </w:rPr>
      </w:pPr>
      <w:r>
        <w:rPr>
          <w:rFonts w:hint="eastAsia" w:ascii="宋体" w:hAnsi="宋体" w:cs="宋体"/>
          <w:sz w:val="24"/>
          <w:szCs w:val="24"/>
        </w:rPr>
        <w:t>法定代表人或授权代表（签字）：</w:t>
      </w:r>
      <w:r>
        <w:rPr>
          <w:rFonts w:hint="eastAsia" w:ascii="宋体" w:hAnsi="宋体" w:cs="宋体"/>
          <w:sz w:val="24"/>
          <w:szCs w:val="24"/>
          <w:u w:val="single"/>
        </w:rPr>
        <w:t xml:space="preserve">         </w:t>
      </w:r>
    </w:p>
    <w:p>
      <w:pPr>
        <w:spacing w:line="560" w:lineRule="exact"/>
        <w:ind w:firstLine="480" w:firstLineChars="200"/>
        <w:rPr>
          <w:rFonts w:ascii="宋体" w:hAnsi="宋体" w:cs="宋体"/>
          <w:u w:val="single"/>
        </w:rPr>
      </w:pPr>
      <w:r>
        <w:rPr>
          <w:rFonts w:hint="eastAsia" w:ascii="宋体" w:hAnsi="宋体" w:cs="宋体"/>
          <w:sz w:val="24"/>
          <w:szCs w:val="24"/>
        </w:rPr>
        <w:t>日    期：</w:t>
      </w:r>
      <w:r>
        <w:rPr>
          <w:rFonts w:hint="eastAsia" w:ascii="宋体" w:hAnsi="宋体" w:cs="宋体"/>
          <w:sz w:val="24"/>
          <w:szCs w:val="24"/>
          <w:u w:val="single"/>
        </w:rPr>
        <w:t xml:space="preserve">                             </w:t>
      </w:r>
    </w:p>
    <w:p>
      <w:pPr>
        <w:widowControl w:val="0"/>
        <w:kinsoku/>
        <w:snapToGrid/>
        <w:spacing w:line="380" w:lineRule="exact"/>
        <w:jc w:val="center"/>
        <w:textAlignment w:val="auto"/>
        <w:rPr>
          <w:rFonts w:ascii="宋体" w:hAnsi="宋体" w:eastAsia="宋体" w:cs="宋体"/>
          <w:sz w:val="24"/>
          <w:szCs w:val="24"/>
        </w:rPr>
      </w:pPr>
      <w:r>
        <w:rPr>
          <w:rFonts w:hint="eastAsia" w:ascii="宋体" w:hAnsi="宋体" w:eastAsia="宋体" w:cs="宋体"/>
          <w:sz w:val="24"/>
          <w:szCs w:val="24"/>
        </w:rPr>
        <w:t xml:space="preserve">  </w:t>
      </w:r>
    </w:p>
    <w:p>
      <w:pPr>
        <w:spacing w:line="360" w:lineRule="auto"/>
        <w:jc w:val="center"/>
        <w:rPr>
          <w:rFonts w:ascii="宋体" w:hAnsi="宋体" w:eastAsia="宋体" w:cs="宋体"/>
          <w:b/>
          <w:bCs/>
          <w:sz w:val="28"/>
          <w:szCs w:val="28"/>
        </w:rPr>
      </w:pPr>
      <w:r>
        <w:rPr>
          <w:rFonts w:hint="eastAsia" w:ascii="宋体" w:hAnsi="宋体" w:eastAsia="宋体" w:cs="宋体"/>
          <w:sz w:val="24"/>
          <w:szCs w:val="24"/>
        </w:rPr>
        <w:br w:type="page"/>
      </w:r>
      <w:r>
        <w:rPr>
          <w:rFonts w:hint="eastAsia" w:ascii="宋体" w:hAnsi="宋体" w:eastAsia="宋体" w:cs="宋体"/>
          <w:b/>
          <w:bCs/>
          <w:sz w:val="28"/>
          <w:szCs w:val="28"/>
        </w:rPr>
        <w:t>六、投标保证金缴纳凭证</w:t>
      </w:r>
      <w:bookmarkEnd w:id="217"/>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注：需附开户许可证或基本户开户信息、保证金交纳凭证</w:t>
      </w: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pStyle w:val="3"/>
        <w:numPr>
          <w:ilvl w:val="0"/>
          <w:numId w:val="0"/>
        </w:numPr>
        <w:spacing w:line="360" w:lineRule="auto"/>
        <w:rPr>
          <w:rFonts w:ascii="宋体" w:hAnsi="宋体" w:eastAsia="宋体" w:cs="宋体"/>
          <w:b/>
          <w:bCs/>
          <w:szCs w:val="28"/>
        </w:rPr>
      </w:pPr>
      <w:r>
        <w:rPr>
          <w:rFonts w:hint="eastAsia" w:ascii="宋体" w:hAnsi="宋体" w:eastAsia="宋体" w:cs="宋体"/>
          <w:b/>
          <w:bCs/>
          <w:szCs w:val="28"/>
        </w:rPr>
        <w:t>七、投标方案</w:t>
      </w:r>
    </w:p>
    <w:p>
      <w:pPr>
        <w:spacing w:line="360" w:lineRule="auto"/>
        <w:ind w:firstLine="480" w:firstLineChars="200"/>
        <w:rPr>
          <w:rFonts w:ascii="宋体" w:hAnsi="宋体" w:eastAsia="宋体" w:cs="宋体"/>
          <w:bCs/>
          <w:color w:val="auto"/>
          <w:sz w:val="24"/>
          <w:szCs w:val="24"/>
        </w:rPr>
      </w:pPr>
      <w:r>
        <w:rPr>
          <w:rFonts w:hint="eastAsia" w:ascii="宋体" w:hAnsi="宋体" w:eastAsia="宋体" w:cs="宋体"/>
          <w:bCs/>
          <w:color w:val="auto"/>
          <w:sz w:val="24"/>
          <w:szCs w:val="24"/>
        </w:rPr>
        <w:t>格式自拟，各投标供应商根据《第四部分 评标办法》详细评审及《第三部分 采购需求》进行编制投标方案且提供相应证明材料。</w:t>
      </w: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pStyle w:val="3"/>
        <w:numPr>
          <w:ilvl w:val="0"/>
          <w:numId w:val="0"/>
        </w:numPr>
        <w:spacing w:line="360" w:lineRule="auto"/>
        <w:rPr>
          <w:rFonts w:ascii="宋体" w:hAnsi="宋体" w:eastAsia="宋体" w:cs="宋体"/>
          <w:b/>
          <w:bCs/>
          <w:szCs w:val="28"/>
        </w:rPr>
      </w:pPr>
      <w:r>
        <w:rPr>
          <w:rFonts w:hint="eastAsia" w:ascii="宋体" w:hAnsi="宋体" w:eastAsia="宋体" w:cs="宋体"/>
          <w:b/>
          <w:bCs/>
          <w:szCs w:val="28"/>
        </w:rPr>
        <w:t>八、投标供应商承诺书</w:t>
      </w:r>
    </w:p>
    <w:p>
      <w:pPr>
        <w:spacing w:line="560" w:lineRule="exact"/>
        <w:jc w:val="center"/>
        <w:rPr>
          <w:rFonts w:ascii="宋体" w:hAnsi="宋体" w:eastAsia="宋体" w:cs="宋体"/>
          <w:b/>
          <w:bCs/>
          <w:color w:val="auto"/>
          <w:sz w:val="28"/>
          <w:szCs w:val="28"/>
        </w:rPr>
      </w:pPr>
      <w:r>
        <w:rPr>
          <w:rFonts w:hint="eastAsia" w:ascii="宋体" w:hAnsi="宋体" w:eastAsia="宋体" w:cs="宋体"/>
          <w:b/>
          <w:bCs/>
          <w:color w:val="auto"/>
          <w:sz w:val="28"/>
          <w:szCs w:val="28"/>
        </w:rPr>
        <w:t>供应商企业关系关联承诺书</w:t>
      </w:r>
    </w:p>
    <w:p>
      <w:pPr>
        <w:spacing w:line="56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一、我单位本项目投标中</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填“存在”或“不存在”）与其它供应商负责人为同一人，或有控股、管理等关联关系。</w:t>
      </w:r>
    </w:p>
    <w:p>
      <w:pPr>
        <w:spacing w:line="56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（一）管理关系说明：</w:t>
      </w:r>
    </w:p>
    <w:p>
      <w:pPr>
        <w:spacing w:line="560" w:lineRule="exact"/>
        <w:ind w:firstLine="480" w:firstLineChars="200"/>
        <w:rPr>
          <w:rFonts w:ascii="宋体" w:hAnsi="宋体" w:eastAsia="宋体" w:cs="宋体"/>
          <w:color w:val="auto"/>
          <w:sz w:val="24"/>
          <w:szCs w:val="24"/>
          <w:u w:val="single"/>
        </w:rPr>
      </w:pPr>
      <w:r>
        <w:rPr>
          <w:rFonts w:hint="eastAsia" w:ascii="宋体" w:hAnsi="宋体" w:eastAsia="宋体" w:cs="宋体"/>
          <w:color w:val="auto"/>
          <w:sz w:val="24"/>
          <w:szCs w:val="24"/>
        </w:rPr>
        <w:t>我单位管理的具有独立法人的下属单位：</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(没有填“无”)。</w:t>
      </w:r>
    </w:p>
    <w:p>
      <w:pPr>
        <w:spacing w:line="56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 xml:space="preserve">我单位的上级管理单位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(没有填“无”)。</w:t>
      </w:r>
    </w:p>
    <w:p>
      <w:pPr>
        <w:spacing w:line="56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（二）股权关系说明：</w:t>
      </w:r>
    </w:p>
    <w:p>
      <w:pPr>
        <w:spacing w:line="56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我单位控股的单位</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(没有填“无”) 。</w:t>
      </w:r>
    </w:p>
    <w:p>
      <w:pPr>
        <w:spacing w:line="56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我单位</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(填“有”或“没有”)被</w:t>
      </w:r>
      <w:r>
        <w:rPr>
          <w:rFonts w:hint="eastAsia" w:ascii="宋体" w:hAnsi="宋体" w:eastAsia="宋体" w:cs="宋体"/>
          <w:color w:val="auto"/>
          <w:sz w:val="24"/>
          <w:szCs w:val="24"/>
          <w:u w:val="single"/>
        </w:rPr>
        <w:t xml:space="preserve">   （有填写控股单位全称，没有填“/”）  </w:t>
      </w:r>
      <w:r>
        <w:rPr>
          <w:rFonts w:hint="eastAsia" w:ascii="宋体" w:hAnsi="宋体" w:eastAsia="宋体" w:cs="宋体"/>
          <w:color w:val="auto"/>
          <w:sz w:val="24"/>
          <w:szCs w:val="24"/>
        </w:rPr>
        <w:t>单位控股。</w:t>
      </w:r>
    </w:p>
    <w:p>
      <w:pPr>
        <w:spacing w:line="56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二、我单位</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（填“有”或“没有”） 为本采购项目提供过整体设计、规范编制或者项目管理、监理、检测等服务的供应商。</w:t>
      </w:r>
    </w:p>
    <w:p>
      <w:pPr>
        <w:spacing w:line="56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三、其他与本项目有关的利害关系说明</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(没有填“无”) 。</w:t>
      </w:r>
    </w:p>
    <w:p>
      <w:pPr>
        <w:spacing w:line="560" w:lineRule="exact"/>
        <w:ind w:firstLine="480" w:firstLineChars="200"/>
        <w:rPr>
          <w:rFonts w:ascii="宋体" w:hAnsi="宋体" w:eastAsia="宋体" w:cs="宋体"/>
          <w:b/>
          <w:color w:val="auto"/>
          <w:sz w:val="24"/>
          <w:szCs w:val="24"/>
        </w:rPr>
      </w:pPr>
      <w:r>
        <w:rPr>
          <w:rFonts w:hint="eastAsia" w:ascii="宋体" w:hAnsi="宋体" w:eastAsia="宋体" w:cs="宋体"/>
          <w:color w:val="auto"/>
          <w:sz w:val="24"/>
          <w:szCs w:val="24"/>
        </w:rPr>
        <w:t>我单位承诺以上说明真实有效，无虚假内容或隐瞒。</w:t>
      </w:r>
    </w:p>
    <w:p>
      <w:pPr>
        <w:spacing w:line="560" w:lineRule="exact"/>
        <w:ind w:firstLine="1920" w:firstLineChars="800"/>
        <w:rPr>
          <w:rFonts w:ascii="宋体" w:hAnsi="宋体" w:eastAsia="宋体" w:cs="宋体"/>
          <w:color w:val="auto"/>
          <w:sz w:val="24"/>
          <w:szCs w:val="24"/>
        </w:rPr>
      </w:pPr>
    </w:p>
    <w:p>
      <w:pPr>
        <w:spacing w:line="560" w:lineRule="exact"/>
        <w:ind w:firstLine="1920" w:firstLineChars="800"/>
        <w:rPr>
          <w:rFonts w:ascii="宋体" w:hAnsi="宋体" w:eastAsia="宋体" w:cs="宋体"/>
          <w:color w:val="auto"/>
          <w:sz w:val="24"/>
          <w:szCs w:val="24"/>
        </w:rPr>
      </w:pPr>
      <w:r>
        <w:rPr>
          <w:rFonts w:hint="eastAsia" w:ascii="宋体" w:hAnsi="宋体" w:eastAsia="宋体" w:cs="宋体"/>
          <w:color w:val="auto"/>
          <w:sz w:val="24"/>
          <w:szCs w:val="24"/>
        </w:rPr>
        <w:t>投标供应商（盖章）：</w:t>
      </w:r>
      <w:r>
        <w:rPr>
          <w:rFonts w:hint="eastAsia" w:ascii="宋体" w:hAnsi="宋体" w:eastAsia="宋体" w:cs="宋体"/>
          <w:color w:val="auto"/>
          <w:sz w:val="24"/>
          <w:szCs w:val="24"/>
          <w:u w:val="single"/>
        </w:rPr>
        <w:t xml:space="preserve">                   </w:t>
      </w:r>
    </w:p>
    <w:p>
      <w:pPr>
        <w:spacing w:line="560" w:lineRule="exact"/>
        <w:ind w:firstLine="1920" w:firstLineChars="800"/>
        <w:rPr>
          <w:rFonts w:ascii="宋体" w:hAnsi="宋体" w:eastAsia="宋体" w:cs="宋体"/>
          <w:color w:val="auto"/>
          <w:sz w:val="24"/>
          <w:szCs w:val="24"/>
          <w:u w:val="single"/>
        </w:rPr>
      </w:pPr>
      <w:r>
        <w:rPr>
          <w:rFonts w:hint="eastAsia" w:ascii="宋体" w:hAnsi="宋体" w:eastAsia="宋体" w:cs="宋体"/>
          <w:color w:val="auto"/>
          <w:sz w:val="24"/>
          <w:szCs w:val="24"/>
        </w:rPr>
        <w:t>法定代表人或授权代表（签字）：</w:t>
      </w:r>
      <w:r>
        <w:rPr>
          <w:rFonts w:hint="eastAsia" w:ascii="宋体" w:hAnsi="宋体" w:eastAsia="宋体" w:cs="宋体"/>
          <w:color w:val="auto"/>
          <w:sz w:val="24"/>
          <w:szCs w:val="24"/>
          <w:u w:val="single"/>
        </w:rPr>
        <w:t xml:space="preserve">         </w:t>
      </w:r>
    </w:p>
    <w:p>
      <w:pPr>
        <w:spacing w:line="560" w:lineRule="exact"/>
        <w:ind w:firstLine="1920" w:firstLineChars="800"/>
        <w:rPr>
          <w:rFonts w:ascii="宋体" w:hAnsi="宋体" w:eastAsia="宋体" w:cs="宋体"/>
          <w:color w:val="auto"/>
          <w:sz w:val="24"/>
          <w:szCs w:val="24"/>
          <w:u w:val="single"/>
        </w:rPr>
      </w:pPr>
      <w:r>
        <w:rPr>
          <w:rFonts w:hint="eastAsia" w:ascii="宋体" w:hAnsi="宋体" w:eastAsia="宋体" w:cs="宋体"/>
          <w:color w:val="auto"/>
          <w:sz w:val="24"/>
          <w:szCs w:val="24"/>
        </w:rPr>
        <w:t>日    期：</w:t>
      </w:r>
      <w:r>
        <w:rPr>
          <w:rFonts w:hint="eastAsia" w:ascii="宋体" w:hAnsi="宋体" w:eastAsia="宋体" w:cs="宋体"/>
          <w:color w:val="auto"/>
          <w:sz w:val="24"/>
          <w:szCs w:val="24"/>
          <w:u w:val="single"/>
        </w:rPr>
        <w:t xml:space="preserve">                             </w:t>
      </w: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spacing w:line="360" w:lineRule="auto"/>
        <w:jc w:val="center"/>
        <w:rPr>
          <w:rFonts w:ascii="宋体" w:hAnsi="宋体" w:eastAsia="宋体" w:cs="宋体"/>
          <w:color w:val="auto"/>
          <w:sz w:val="24"/>
          <w:szCs w:val="24"/>
        </w:rPr>
      </w:pPr>
      <w:r>
        <w:rPr>
          <w:rFonts w:hint="eastAsia" w:ascii="宋体" w:hAnsi="宋体" w:eastAsia="宋体" w:cs="宋体"/>
          <w:b/>
          <w:bCs/>
          <w:color w:val="auto"/>
          <w:sz w:val="28"/>
          <w:szCs w:val="28"/>
        </w:rPr>
        <w:t>陕西省政府采购供应商拒绝政府采购领域商业贿赂承诺书</w:t>
      </w:r>
    </w:p>
    <w:p>
      <w:pPr>
        <w:spacing w:line="360" w:lineRule="auto"/>
        <w:ind w:firstLine="480" w:firstLineChars="200"/>
        <w:rPr>
          <w:rFonts w:ascii="宋体" w:hAnsi="宋体" w:eastAsia="宋体" w:cs="宋体"/>
          <w:color w:val="auto"/>
          <w:sz w:val="24"/>
          <w:szCs w:val="24"/>
        </w:rPr>
      </w:pP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为响应党中央、国务院关于治理政府采购领域商业贿赂行为的号召，我公司在此庄严承诺：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 xml:space="preserve">    1.在参与政府采购活动中遵纪守法、诚信经营、公平竞标。</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2.不向政府采购人、招标代理机构和政府采购评审专家进行任何形式的商业贿赂以谋取交易机会。</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3.不向政府招标代理机构和采购人提供虚假资格文件或采用虚假应标方式参与政府采购市场竞争并谋取中标、成交。</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4.不采取“围标、陪标”等商业欺诈手段获得政府采购定单。</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5.不采取不正当手段诋毁、排挤其他供应商。</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6.不在提供商品和服务时“偷梁换柱、以次充好”损害采购人的合法权益。</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7.不与采购人、招标代理机构政府采购评审专家或其它供应商恶意串通，进行质疑和投诉，维护政府采购市场秩序。</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8.尊重和接受政府采购监督管理部门的监督和政府招标代理机构招标采购要求，承担因违约行为给采购人造成的损失。</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9.不发生其他有悖于政府采购公开、公平、公正和诚信原则的行为。</w:t>
      </w:r>
      <w:r>
        <w:rPr>
          <w:rFonts w:hint="eastAsia" w:ascii="宋体" w:hAnsi="宋体" w:eastAsia="宋体" w:cs="宋体"/>
          <w:color w:val="auto"/>
          <w:sz w:val="24"/>
          <w:szCs w:val="24"/>
        </w:rPr>
        <w:br w:type="textWrapping"/>
      </w:r>
    </w:p>
    <w:p>
      <w:pPr>
        <w:pStyle w:val="27"/>
        <w:ind w:firstLine="480"/>
        <w:rPr>
          <w:rFonts w:ascii="宋体" w:hAnsi="宋体" w:eastAsia="宋体" w:cs="宋体"/>
          <w:color w:val="auto"/>
          <w:sz w:val="24"/>
          <w:szCs w:val="24"/>
        </w:rPr>
      </w:pP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 xml:space="preserve">承诺人（公章）：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 xml:space="preserve">    法定代表人（签字或盖章）：</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 xml:space="preserve">    地    址：       </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 xml:space="preserve">邮    编：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 xml:space="preserve">    电    话：                    </w:t>
      </w:r>
    </w:p>
    <w:p>
      <w:pPr>
        <w:rPr>
          <w:rFonts w:ascii="宋体" w:hAnsi="宋体" w:eastAsia="宋体" w:cs="宋体"/>
          <w:sz w:val="24"/>
          <w:szCs w:val="24"/>
        </w:rPr>
      </w:pPr>
      <w:r>
        <w:rPr>
          <w:rFonts w:hint="eastAsia" w:ascii="宋体" w:hAnsi="宋体" w:eastAsia="宋体" w:cs="宋体"/>
          <w:color w:val="auto"/>
          <w:sz w:val="24"/>
          <w:szCs w:val="24"/>
        </w:rPr>
        <w:t xml:space="preserve">    日    期：</w:t>
      </w: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kinsoku/>
        <w:autoSpaceDE/>
        <w:autoSpaceDN/>
        <w:spacing w:line="560" w:lineRule="exact"/>
        <w:ind w:right="480"/>
        <w:jc w:val="center"/>
        <w:textAlignment w:val="auto"/>
        <w:rPr>
          <w:rFonts w:ascii="宋体" w:hAnsi="宋体" w:eastAsia="宋体" w:cs="宋体"/>
          <w:b/>
          <w:bCs/>
          <w:color w:val="auto"/>
          <w:sz w:val="28"/>
          <w:szCs w:val="28"/>
        </w:rPr>
      </w:pPr>
      <w:r>
        <w:rPr>
          <w:rFonts w:hint="eastAsia" w:ascii="宋体" w:hAnsi="宋体" w:eastAsia="宋体" w:cs="宋体"/>
          <w:b/>
          <w:color w:val="auto"/>
          <w:spacing w:val="2"/>
          <w:sz w:val="28"/>
          <w:szCs w:val="28"/>
        </w:rPr>
        <w:t>九、附件</w:t>
      </w:r>
    </w:p>
    <w:p>
      <w:pPr>
        <w:spacing w:line="360" w:lineRule="auto"/>
        <w:ind w:right="480"/>
        <w:rPr>
          <w:rFonts w:ascii="宋体" w:hAnsi="宋体" w:eastAsia="宋体" w:cs="宋体"/>
          <w:b/>
          <w:bCs/>
          <w:color w:val="auto"/>
          <w:sz w:val="24"/>
          <w:szCs w:val="24"/>
        </w:rPr>
      </w:pPr>
      <w:r>
        <w:rPr>
          <w:rFonts w:hint="eastAsia" w:ascii="宋体" w:hAnsi="宋体" w:eastAsia="宋体" w:cs="宋体"/>
          <w:b/>
          <w:bCs/>
          <w:color w:val="auto"/>
          <w:sz w:val="24"/>
          <w:szCs w:val="24"/>
        </w:rPr>
        <w:t>附表1：企业经营情况表                                  单位：万元</w:t>
      </w:r>
    </w:p>
    <w:tbl>
      <w:tblPr>
        <w:tblStyle w:val="18"/>
        <w:tblW w:w="8779" w:type="dxa"/>
        <w:tblInd w:w="0" w:type="dxa"/>
        <w:tblLayout w:type="fixed"/>
        <w:tblCellMar>
          <w:top w:w="0" w:type="dxa"/>
          <w:left w:w="0" w:type="dxa"/>
          <w:bottom w:w="0" w:type="dxa"/>
          <w:right w:w="0" w:type="dxa"/>
        </w:tblCellMar>
      </w:tblPr>
      <w:tblGrid>
        <w:gridCol w:w="1374"/>
        <w:gridCol w:w="1085"/>
        <w:gridCol w:w="757"/>
        <w:gridCol w:w="1245"/>
        <w:gridCol w:w="701"/>
        <w:gridCol w:w="691"/>
        <w:gridCol w:w="1263"/>
        <w:gridCol w:w="1663"/>
      </w:tblGrid>
      <w:tr>
        <w:tblPrEx>
          <w:tblCellMar>
            <w:top w:w="0" w:type="dxa"/>
            <w:left w:w="0" w:type="dxa"/>
            <w:bottom w:w="0" w:type="dxa"/>
            <w:right w:w="0" w:type="dxa"/>
          </w:tblCellMar>
        </w:tblPrEx>
        <w:trPr>
          <w:trHeight w:val="411" w:hRule="atLeast"/>
        </w:trPr>
        <w:tc>
          <w:tcPr>
            <w:tcW w:w="13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宋体" w:hAnsi="宋体" w:eastAsia="宋体" w:cs="宋体"/>
                <w:color w:val="auto"/>
                <w:sz w:val="24"/>
                <w:szCs w:val="24"/>
              </w:rPr>
            </w:pPr>
            <w:r>
              <w:rPr>
                <w:rFonts w:hint="eastAsia" w:ascii="宋体" w:hAnsi="宋体" w:eastAsia="宋体" w:cs="宋体"/>
                <w:color w:val="auto"/>
                <w:sz w:val="24"/>
                <w:szCs w:val="24"/>
              </w:rPr>
              <w:t>企业名称</w:t>
            </w:r>
          </w:p>
        </w:tc>
        <w:tc>
          <w:tcPr>
            <w:tcW w:w="7405" w:type="dxa"/>
            <w:gridSpan w:val="7"/>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宋体" w:hAnsi="宋体" w:eastAsia="宋体" w:cs="宋体"/>
                <w:color w:val="auto"/>
                <w:sz w:val="24"/>
                <w:szCs w:val="24"/>
              </w:rPr>
            </w:pPr>
          </w:p>
        </w:tc>
      </w:tr>
      <w:tr>
        <w:tblPrEx>
          <w:tblCellMar>
            <w:top w:w="0" w:type="dxa"/>
            <w:left w:w="0" w:type="dxa"/>
            <w:bottom w:w="0" w:type="dxa"/>
            <w:right w:w="0" w:type="dxa"/>
          </w:tblCellMar>
        </w:tblPrEx>
        <w:trPr>
          <w:trHeight w:val="481" w:hRule="atLeast"/>
        </w:trPr>
        <w:tc>
          <w:tcPr>
            <w:tcW w:w="1374"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pStyle w:val="7"/>
              <w:spacing w:line="320" w:lineRule="exact"/>
              <w:jc w:val="center"/>
              <w:rPr>
                <w:rFonts w:ascii="宋体" w:hAnsi="宋体" w:eastAsia="宋体" w:cs="宋体"/>
                <w:color w:val="auto"/>
                <w:sz w:val="24"/>
                <w:szCs w:val="24"/>
              </w:rPr>
            </w:pPr>
            <w:r>
              <w:rPr>
                <w:rFonts w:hint="eastAsia" w:ascii="宋体" w:hAnsi="宋体" w:eastAsia="宋体" w:cs="宋体"/>
                <w:color w:val="auto"/>
                <w:sz w:val="24"/>
                <w:szCs w:val="24"/>
              </w:rPr>
              <w:t>详细地址</w:t>
            </w:r>
          </w:p>
        </w:tc>
        <w:tc>
          <w:tcPr>
            <w:tcW w:w="1842"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宋体" w:hAnsi="宋体" w:eastAsia="宋体" w:cs="宋体"/>
                <w:color w:val="auto"/>
                <w:sz w:val="24"/>
                <w:szCs w:val="24"/>
              </w:rPr>
            </w:pPr>
          </w:p>
        </w:tc>
        <w:tc>
          <w:tcPr>
            <w:tcW w:w="124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宋体" w:hAnsi="宋体" w:eastAsia="宋体" w:cs="宋体"/>
                <w:color w:val="auto"/>
                <w:sz w:val="24"/>
                <w:szCs w:val="24"/>
              </w:rPr>
            </w:pPr>
          </w:p>
        </w:tc>
        <w:tc>
          <w:tcPr>
            <w:tcW w:w="1392"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宋体" w:hAnsi="宋体" w:eastAsia="宋体" w:cs="宋体"/>
                <w:color w:val="auto"/>
                <w:sz w:val="24"/>
                <w:szCs w:val="24"/>
              </w:rPr>
            </w:pPr>
          </w:p>
        </w:tc>
        <w:tc>
          <w:tcPr>
            <w:tcW w:w="126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宋体" w:hAnsi="宋体" w:eastAsia="宋体" w:cs="宋体"/>
                <w:color w:val="auto"/>
                <w:sz w:val="24"/>
                <w:szCs w:val="24"/>
              </w:rPr>
            </w:pPr>
            <w:r>
              <w:rPr>
                <w:rFonts w:hint="eastAsia" w:ascii="宋体" w:hAnsi="宋体" w:eastAsia="宋体" w:cs="宋体"/>
                <w:color w:val="auto"/>
                <w:sz w:val="24"/>
                <w:szCs w:val="24"/>
              </w:rPr>
              <w:t>邮政编码</w:t>
            </w:r>
          </w:p>
        </w:tc>
        <w:tc>
          <w:tcPr>
            <w:tcW w:w="166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宋体" w:hAnsi="宋体" w:eastAsia="宋体" w:cs="宋体"/>
                <w:color w:val="auto"/>
                <w:sz w:val="24"/>
                <w:szCs w:val="24"/>
              </w:rPr>
            </w:pPr>
          </w:p>
        </w:tc>
      </w:tr>
      <w:tr>
        <w:tblPrEx>
          <w:tblCellMar>
            <w:top w:w="0" w:type="dxa"/>
            <w:left w:w="0" w:type="dxa"/>
            <w:bottom w:w="0" w:type="dxa"/>
            <w:right w:w="0" w:type="dxa"/>
          </w:tblCellMar>
        </w:tblPrEx>
        <w:trPr>
          <w:trHeight w:val="481" w:hRule="atLeast"/>
        </w:trPr>
        <w:tc>
          <w:tcPr>
            <w:tcW w:w="1374"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pStyle w:val="7"/>
              <w:spacing w:line="320" w:lineRule="exact"/>
              <w:jc w:val="center"/>
              <w:rPr>
                <w:rFonts w:ascii="宋体" w:hAnsi="宋体" w:eastAsia="宋体" w:cs="宋体"/>
                <w:color w:val="auto"/>
                <w:sz w:val="24"/>
                <w:szCs w:val="24"/>
              </w:rPr>
            </w:pPr>
            <w:r>
              <w:rPr>
                <w:rFonts w:hint="eastAsia" w:ascii="宋体" w:hAnsi="宋体" w:eastAsia="宋体" w:cs="宋体"/>
                <w:color w:val="auto"/>
                <w:sz w:val="24"/>
                <w:szCs w:val="24"/>
              </w:rPr>
              <w:t>经济类型</w:t>
            </w:r>
          </w:p>
        </w:tc>
        <w:tc>
          <w:tcPr>
            <w:tcW w:w="1842"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宋体" w:hAnsi="宋体" w:eastAsia="宋体" w:cs="宋体"/>
                <w:color w:val="auto"/>
                <w:sz w:val="24"/>
                <w:szCs w:val="24"/>
              </w:rPr>
            </w:pPr>
          </w:p>
        </w:tc>
        <w:tc>
          <w:tcPr>
            <w:tcW w:w="124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宋体" w:hAnsi="宋体" w:eastAsia="宋体" w:cs="宋体"/>
                <w:color w:val="auto"/>
                <w:sz w:val="24"/>
                <w:szCs w:val="24"/>
              </w:rPr>
            </w:pPr>
            <w:r>
              <w:rPr>
                <w:rFonts w:hint="eastAsia" w:ascii="宋体" w:hAnsi="宋体" w:eastAsia="宋体" w:cs="宋体"/>
                <w:color w:val="auto"/>
                <w:sz w:val="24"/>
                <w:szCs w:val="24"/>
              </w:rPr>
              <w:t>注册资本</w:t>
            </w:r>
          </w:p>
        </w:tc>
        <w:tc>
          <w:tcPr>
            <w:tcW w:w="1392"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宋体" w:hAnsi="宋体" w:eastAsia="宋体" w:cs="宋体"/>
                <w:color w:val="auto"/>
                <w:sz w:val="24"/>
                <w:szCs w:val="24"/>
              </w:rPr>
            </w:pPr>
          </w:p>
        </w:tc>
        <w:tc>
          <w:tcPr>
            <w:tcW w:w="126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宋体" w:hAnsi="宋体" w:eastAsia="宋体" w:cs="宋体"/>
                <w:color w:val="auto"/>
                <w:sz w:val="24"/>
                <w:szCs w:val="24"/>
              </w:rPr>
            </w:pPr>
            <w:r>
              <w:rPr>
                <w:rFonts w:hint="eastAsia" w:ascii="宋体" w:hAnsi="宋体" w:eastAsia="宋体" w:cs="宋体"/>
                <w:color w:val="auto"/>
                <w:sz w:val="24"/>
                <w:szCs w:val="24"/>
              </w:rPr>
              <w:t>成立时间</w:t>
            </w:r>
          </w:p>
        </w:tc>
        <w:tc>
          <w:tcPr>
            <w:tcW w:w="166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宋体" w:hAnsi="宋体" w:eastAsia="宋体" w:cs="宋体"/>
                <w:color w:val="auto"/>
                <w:sz w:val="24"/>
                <w:szCs w:val="24"/>
              </w:rPr>
            </w:pPr>
          </w:p>
        </w:tc>
      </w:tr>
      <w:tr>
        <w:tblPrEx>
          <w:tblCellMar>
            <w:top w:w="0" w:type="dxa"/>
            <w:left w:w="0" w:type="dxa"/>
            <w:bottom w:w="0" w:type="dxa"/>
            <w:right w:w="0" w:type="dxa"/>
          </w:tblCellMar>
        </w:tblPrEx>
        <w:trPr>
          <w:trHeight w:val="652" w:hRule="atLeast"/>
        </w:trPr>
        <w:tc>
          <w:tcPr>
            <w:tcW w:w="1374"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宋体" w:hAnsi="宋体" w:eastAsia="宋体" w:cs="宋体"/>
                <w:color w:val="auto"/>
                <w:sz w:val="24"/>
                <w:szCs w:val="24"/>
              </w:rPr>
            </w:pPr>
            <w:r>
              <w:rPr>
                <w:rFonts w:hint="eastAsia" w:ascii="宋体" w:hAnsi="宋体" w:eastAsia="宋体" w:cs="宋体"/>
                <w:color w:val="auto"/>
                <w:sz w:val="24"/>
                <w:szCs w:val="24"/>
              </w:rPr>
              <w:t>法定代表人</w:t>
            </w:r>
          </w:p>
        </w:tc>
        <w:tc>
          <w:tcPr>
            <w:tcW w:w="1842"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宋体" w:hAnsi="宋体" w:eastAsia="宋体" w:cs="宋体"/>
                <w:color w:val="auto"/>
                <w:sz w:val="24"/>
                <w:szCs w:val="24"/>
              </w:rPr>
            </w:pPr>
          </w:p>
        </w:tc>
        <w:tc>
          <w:tcPr>
            <w:tcW w:w="124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宋体" w:hAnsi="宋体" w:eastAsia="宋体" w:cs="宋体"/>
                <w:color w:val="auto"/>
                <w:sz w:val="24"/>
                <w:szCs w:val="24"/>
              </w:rPr>
            </w:pPr>
            <w:r>
              <w:rPr>
                <w:rFonts w:hint="eastAsia" w:ascii="宋体" w:hAnsi="宋体" w:eastAsia="宋体" w:cs="宋体"/>
                <w:color w:val="auto"/>
                <w:sz w:val="24"/>
                <w:szCs w:val="24"/>
              </w:rPr>
              <w:t>职    务</w:t>
            </w:r>
          </w:p>
        </w:tc>
        <w:tc>
          <w:tcPr>
            <w:tcW w:w="1392"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宋体" w:hAnsi="宋体" w:eastAsia="宋体" w:cs="宋体"/>
                <w:color w:val="auto"/>
                <w:sz w:val="24"/>
                <w:szCs w:val="24"/>
              </w:rPr>
            </w:pPr>
          </w:p>
        </w:tc>
        <w:tc>
          <w:tcPr>
            <w:tcW w:w="126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宋体" w:hAnsi="宋体" w:eastAsia="宋体" w:cs="宋体"/>
                <w:color w:val="auto"/>
                <w:sz w:val="24"/>
                <w:szCs w:val="24"/>
              </w:rPr>
            </w:pPr>
            <w:r>
              <w:rPr>
                <w:rFonts w:hint="eastAsia" w:ascii="宋体" w:hAnsi="宋体" w:eastAsia="宋体" w:cs="宋体"/>
                <w:color w:val="auto"/>
                <w:sz w:val="24"/>
                <w:szCs w:val="24"/>
              </w:rPr>
              <w:t>电    话</w:t>
            </w:r>
          </w:p>
        </w:tc>
        <w:tc>
          <w:tcPr>
            <w:tcW w:w="1663"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宋体" w:hAnsi="宋体" w:eastAsia="宋体" w:cs="宋体"/>
                <w:color w:val="auto"/>
                <w:sz w:val="24"/>
                <w:szCs w:val="24"/>
              </w:rPr>
            </w:pPr>
          </w:p>
        </w:tc>
      </w:tr>
      <w:tr>
        <w:tblPrEx>
          <w:tblCellMar>
            <w:top w:w="0" w:type="dxa"/>
            <w:left w:w="0" w:type="dxa"/>
            <w:bottom w:w="0" w:type="dxa"/>
            <w:right w:w="0" w:type="dxa"/>
          </w:tblCellMar>
        </w:tblPrEx>
        <w:trPr>
          <w:trHeight w:val="577" w:hRule="atLeast"/>
        </w:trPr>
        <w:tc>
          <w:tcPr>
            <w:tcW w:w="1374"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宋体" w:hAnsi="宋体" w:eastAsia="宋体" w:cs="宋体"/>
                <w:color w:val="auto"/>
                <w:sz w:val="24"/>
                <w:szCs w:val="24"/>
              </w:rPr>
            </w:pPr>
            <w:r>
              <w:rPr>
                <w:rFonts w:hint="eastAsia" w:ascii="宋体" w:hAnsi="宋体" w:eastAsia="宋体" w:cs="宋体"/>
                <w:color w:val="auto"/>
                <w:sz w:val="24"/>
                <w:szCs w:val="24"/>
              </w:rPr>
              <w:t>公司网址</w:t>
            </w:r>
          </w:p>
        </w:tc>
        <w:tc>
          <w:tcPr>
            <w:tcW w:w="4479" w:type="dxa"/>
            <w:gridSpan w:val="5"/>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宋体" w:hAnsi="宋体" w:eastAsia="宋体" w:cs="宋体"/>
                <w:color w:val="auto"/>
                <w:sz w:val="24"/>
                <w:szCs w:val="24"/>
              </w:rPr>
            </w:pPr>
          </w:p>
        </w:tc>
        <w:tc>
          <w:tcPr>
            <w:tcW w:w="126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宋体" w:hAnsi="宋体" w:eastAsia="宋体" w:cs="宋体"/>
                <w:color w:val="auto"/>
                <w:sz w:val="24"/>
                <w:szCs w:val="24"/>
              </w:rPr>
            </w:pPr>
            <w:r>
              <w:rPr>
                <w:rFonts w:hint="eastAsia" w:ascii="宋体" w:hAnsi="宋体" w:eastAsia="宋体" w:cs="宋体"/>
                <w:color w:val="auto"/>
                <w:sz w:val="24"/>
                <w:szCs w:val="24"/>
              </w:rPr>
              <w:t>传    真</w:t>
            </w:r>
          </w:p>
        </w:tc>
        <w:tc>
          <w:tcPr>
            <w:tcW w:w="1663"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宋体" w:hAnsi="宋体" w:eastAsia="宋体" w:cs="宋体"/>
                <w:color w:val="auto"/>
                <w:sz w:val="24"/>
                <w:szCs w:val="24"/>
              </w:rPr>
            </w:pPr>
          </w:p>
        </w:tc>
      </w:tr>
      <w:tr>
        <w:tblPrEx>
          <w:tblCellMar>
            <w:top w:w="0" w:type="dxa"/>
            <w:left w:w="0" w:type="dxa"/>
            <w:bottom w:w="0" w:type="dxa"/>
            <w:right w:w="0" w:type="dxa"/>
          </w:tblCellMar>
        </w:tblPrEx>
        <w:trPr>
          <w:cantSplit/>
          <w:trHeight w:val="485" w:hRule="atLeast"/>
        </w:trPr>
        <w:tc>
          <w:tcPr>
            <w:tcW w:w="1374"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宋体" w:hAnsi="宋体" w:eastAsia="宋体" w:cs="宋体"/>
                <w:color w:val="auto"/>
                <w:sz w:val="24"/>
                <w:szCs w:val="24"/>
              </w:rPr>
            </w:pPr>
            <w:r>
              <w:rPr>
                <w:rFonts w:hint="eastAsia" w:ascii="宋体" w:hAnsi="宋体" w:eastAsia="宋体" w:cs="宋体"/>
                <w:color w:val="auto"/>
                <w:sz w:val="24"/>
                <w:szCs w:val="24"/>
              </w:rPr>
              <w:t>营业范围</w:t>
            </w:r>
          </w:p>
        </w:tc>
        <w:tc>
          <w:tcPr>
            <w:tcW w:w="1842"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宋体" w:hAnsi="宋体" w:eastAsia="宋体" w:cs="宋体"/>
                <w:color w:val="auto"/>
                <w:sz w:val="24"/>
                <w:szCs w:val="24"/>
              </w:rPr>
            </w:pPr>
            <w:r>
              <w:rPr>
                <w:rFonts w:hint="eastAsia" w:ascii="宋体" w:hAnsi="宋体" w:eastAsia="宋体" w:cs="宋体"/>
                <w:color w:val="auto"/>
                <w:sz w:val="24"/>
                <w:szCs w:val="24"/>
              </w:rPr>
              <w:t>主  营</w:t>
            </w:r>
          </w:p>
        </w:tc>
        <w:tc>
          <w:tcPr>
            <w:tcW w:w="5563" w:type="dxa"/>
            <w:gridSpan w:val="5"/>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eastAsia="宋体" w:cs="宋体"/>
                <w:color w:val="auto"/>
                <w:sz w:val="24"/>
                <w:szCs w:val="24"/>
              </w:rPr>
            </w:pPr>
          </w:p>
        </w:tc>
      </w:tr>
      <w:tr>
        <w:tblPrEx>
          <w:tblCellMar>
            <w:top w:w="0" w:type="dxa"/>
            <w:left w:w="0" w:type="dxa"/>
            <w:bottom w:w="0" w:type="dxa"/>
            <w:right w:w="0" w:type="dxa"/>
          </w:tblCellMar>
        </w:tblPrEx>
        <w:trPr>
          <w:cantSplit/>
          <w:trHeight w:val="504" w:hRule="atLeast"/>
        </w:trPr>
        <w:tc>
          <w:tcPr>
            <w:tcW w:w="1374" w:type="dxa"/>
            <w:vMerge w:val="continue"/>
            <w:tcBorders>
              <w:top w:val="nil"/>
              <w:left w:val="single" w:color="auto" w:sz="4" w:space="0"/>
              <w:bottom w:val="single" w:color="auto" w:sz="4" w:space="0"/>
              <w:right w:val="single" w:color="auto" w:sz="4" w:space="0"/>
            </w:tcBorders>
            <w:vAlign w:val="center"/>
          </w:tcPr>
          <w:p>
            <w:pPr>
              <w:spacing w:line="320" w:lineRule="exact"/>
              <w:rPr>
                <w:rFonts w:ascii="宋体" w:hAnsi="宋体" w:eastAsia="宋体" w:cs="宋体"/>
                <w:color w:val="auto"/>
                <w:sz w:val="24"/>
                <w:szCs w:val="24"/>
              </w:rPr>
            </w:pPr>
          </w:p>
        </w:tc>
        <w:tc>
          <w:tcPr>
            <w:tcW w:w="1842"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宋体" w:hAnsi="宋体" w:eastAsia="宋体" w:cs="宋体"/>
                <w:color w:val="auto"/>
                <w:sz w:val="24"/>
                <w:szCs w:val="24"/>
              </w:rPr>
            </w:pPr>
            <w:r>
              <w:rPr>
                <w:rFonts w:hint="eastAsia" w:ascii="宋体" w:hAnsi="宋体" w:eastAsia="宋体" w:cs="宋体"/>
                <w:color w:val="auto"/>
                <w:sz w:val="24"/>
                <w:szCs w:val="24"/>
              </w:rPr>
              <w:t>兼  营</w:t>
            </w:r>
          </w:p>
        </w:tc>
        <w:tc>
          <w:tcPr>
            <w:tcW w:w="5563" w:type="dxa"/>
            <w:gridSpan w:val="5"/>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eastAsia="宋体" w:cs="宋体"/>
                <w:color w:val="auto"/>
                <w:sz w:val="24"/>
                <w:szCs w:val="24"/>
              </w:rPr>
            </w:pPr>
          </w:p>
        </w:tc>
      </w:tr>
      <w:tr>
        <w:tblPrEx>
          <w:tblCellMar>
            <w:top w:w="0" w:type="dxa"/>
            <w:left w:w="0" w:type="dxa"/>
            <w:bottom w:w="0" w:type="dxa"/>
            <w:right w:w="0" w:type="dxa"/>
          </w:tblCellMar>
        </w:tblPrEx>
        <w:trPr>
          <w:cantSplit/>
          <w:trHeight w:val="522" w:hRule="atLeast"/>
        </w:trPr>
        <w:tc>
          <w:tcPr>
            <w:tcW w:w="1374" w:type="dxa"/>
            <w:vMerge w:val="continue"/>
            <w:tcBorders>
              <w:top w:val="nil"/>
              <w:left w:val="single" w:color="auto" w:sz="4" w:space="0"/>
              <w:bottom w:val="single" w:color="auto" w:sz="4" w:space="0"/>
              <w:right w:val="single" w:color="auto" w:sz="4" w:space="0"/>
            </w:tcBorders>
            <w:vAlign w:val="center"/>
          </w:tcPr>
          <w:p>
            <w:pPr>
              <w:spacing w:line="320" w:lineRule="exact"/>
              <w:rPr>
                <w:rFonts w:ascii="宋体" w:hAnsi="宋体" w:eastAsia="宋体" w:cs="宋体"/>
                <w:color w:val="auto"/>
                <w:sz w:val="24"/>
                <w:szCs w:val="24"/>
              </w:rPr>
            </w:pPr>
          </w:p>
        </w:tc>
        <w:tc>
          <w:tcPr>
            <w:tcW w:w="1842"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宋体" w:hAnsi="宋体" w:eastAsia="宋体" w:cs="宋体"/>
                <w:color w:val="auto"/>
                <w:w w:val="90"/>
                <w:sz w:val="24"/>
                <w:szCs w:val="24"/>
              </w:rPr>
            </w:pPr>
            <w:r>
              <w:rPr>
                <w:rFonts w:hint="eastAsia" w:ascii="宋体" w:hAnsi="宋体" w:eastAsia="宋体" w:cs="宋体"/>
                <w:color w:val="auto"/>
                <w:sz w:val="24"/>
                <w:szCs w:val="24"/>
              </w:rPr>
              <w:t>经营优势和特长</w:t>
            </w:r>
          </w:p>
        </w:tc>
        <w:tc>
          <w:tcPr>
            <w:tcW w:w="5563" w:type="dxa"/>
            <w:gridSpan w:val="5"/>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eastAsia="宋体" w:cs="宋体"/>
                <w:color w:val="auto"/>
                <w:sz w:val="24"/>
                <w:szCs w:val="24"/>
              </w:rPr>
            </w:pPr>
          </w:p>
        </w:tc>
      </w:tr>
      <w:tr>
        <w:tblPrEx>
          <w:tblCellMar>
            <w:top w:w="0" w:type="dxa"/>
            <w:left w:w="0" w:type="dxa"/>
            <w:bottom w:w="0" w:type="dxa"/>
            <w:right w:w="0" w:type="dxa"/>
          </w:tblCellMar>
        </w:tblPrEx>
        <w:trPr>
          <w:cantSplit/>
          <w:trHeight w:val="711" w:hRule="atLeast"/>
        </w:trPr>
        <w:tc>
          <w:tcPr>
            <w:tcW w:w="1374"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宋体" w:hAnsi="宋体" w:eastAsia="宋体" w:cs="宋体"/>
                <w:color w:val="auto"/>
                <w:sz w:val="24"/>
                <w:szCs w:val="24"/>
              </w:rPr>
            </w:pPr>
            <w:r>
              <w:rPr>
                <w:rFonts w:hint="eastAsia" w:ascii="宋体" w:hAnsi="宋体" w:eastAsia="宋体" w:cs="宋体"/>
                <w:color w:val="auto"/>
                <w:sz w:val="24"/>
                <w:szCs w:val="24"/>
              </w:rPr>
              <w:t>财务经</w:t>
            </w:r>
          </w:p>
          <w:p>
            <w:pPr>
              <w:spacing w:line="320" w:lineRule="exact"/>
              <w:jc w:val="center"/>
              <w:rPr>
                <w:rFonts w:ascii="宋体" w:hAnsi="宋体" w:eastAsia="宋体" w:cs="宋体"/>
                <w:color w:val="auto"/>
                <w:sz w:val="24"/>
                <w:szCs w:val="24"/>
              </w:rPr>
            </w:pPr>
            <w:r>
              <w:rPr>
                <w:rFonts w:hint="eastAsia" w:ascii="宋体" w:hAnsi="宋体" w:eastAsia="宋体" w:cs="宋体"/>
                <w:color w:val="auto"/>
                <w:sz w:val="24"/>
                <w:szCs w:val="24"/>
              </w:rPr>
              <w:t>营状况</w:t>
            </w:r>
          </w:p>
        </w:tc>
        <w:tc>
          <w:tcPr>
            <w:tcW w:w="1842"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宋体" w:hAnsi="宋体" w:eastAsia="宋体" w:cs="宋体"/>
                <w:color w:val="auto"/>
                <w:sz w:val="24"/>
                <w:szCs w:val="24"/>
              </w:rPr>
            </w:pPr>
            <w:r>
              <w:rPr>
                <w:rFonts w:hint="eastAsia" w:ascii="宋体" w:hAnsi="宋体" w:eastAsia="宋体" w:cs="宋体"/>
                <w:color w:val="auto"/>
                <w:sz w:val="24"/>
                <w:szCs w:val="24"/>
              </w:rPr>
              <w:t>年   度</w:t>
            </w:r>
          </w:p>
        </w:tc>
        <w:tc>
          <w:tcPr>
            <w:tcW w:w="124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宋体" w:hAnsi="宋体" w:eastAsia="宋体" w:cs="宋体"/>
                <w:color w:val="auto"/>
                <w:sz w:val="24"/>
                <w:szCs w:val="24"/>
              </w:rPr>
            </w:pPr>
            <w:r>
              <w:rPr>
                <w:rFonts w:hint="eastAsia" w:ascii="宋体" w:hAnsi="宋体" w:eastAsia="宋体" w:cs="宋体"/>
                <w:color w:val="auto"/>
                <w:sz w:val="24"/>
                <w:szCs w:val="24"/>
              </w:rPr>
              <w:t>营业总收入</w:t>
            </w:r>
          </w:p>
        </w:tc>
        <w:tc>
          <w:tcPr>
            <w:tcW w:w="1392"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宋体" w:hAnsi="宋体" w:eastAsia="宋体" w:cs="宋体"/>
                <w:color w:val="auto"/>
                <w:sz w:val="24"/>
                <w:szCs w:val="24"/>
              </w:rPr>
            </w:pPr>
            <w:r>
              <w:rPr>
                <w:rFonts w:hint="eastAsia" w:ascii="宋体" w:hAnsi="宋体" w:eastAsia="宋体" w:cs="宋体"/>
                <w:color w:val="auto"/>
                <w:sz w:val="24"/>
                <w:szCs w:val="24"/>
              </w:rPr>
              <w:t>交纳营业税</w:t>
            </w:r>
          </w:p>
          <w:p>
            <w:pPr>
              <w:spacing w:line="320" w:lineRule="exact"/>
              <w:jc w:val="center"/>
              <w:rPr>
                <w:rFonts w:ascii="宋体" w:hAnsi="宋体" w:eastAsia="宋体" w:cs="宋体"/>
                <w:color w:val="auto"/>
                <w:sz w:val="24"/>
                <w:szCs w:val="24"/>
              </w:rPr>
            </w:pPr>
            <w:r>
              <w:rPr>
                <w:rFonts w:hint="eastAsia" w:ascii="宋体" w:hAnsi="宋体" w:eastAsia="宋体" w:cs="宋体"/>
                <w:color w:val="auto"/>
                <w:sz w:val="24"/>
                <w:szCs w:val="24"/>
              </w:rPr>
              <w:t>总额</w:t>
            </w:r>
          </w:p>
        </w:tc>
        <w:tc>
          <w:tcPr>
            <w:tcW w:w="126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宋体" w:hAnsi="宋体" w:eastAsia="宋体" w:cs="宋体"/>
                <w:color w:val="auto"/>
                <w:sz w:val="24"/>
                <w:szCs w:val="24"/>
              </w:rPr>
            </w:pPr>
            <w:r>
              <w:rPr>
                <w:rFonts w:hint="eastAsia" w:ascii="宋体" w:hAnsi="宋体" w:eastAsia="宋体" w:cs="宋体"/>
                <w:color w:val="auto"/>
                <w:sz w:val="24"/>
                <w:szCs w:val="24"/>
              </w:rPr>
              <w:t>交纳所得税</w:t>
            </w:r>
          </w:p>
          <w:p>
            <w:pPr>
              <w:spacing w:line="320" w:lineRule="exact"/>
              <w:jc w:val="center"/>
              <w:rPr>
                <w:rFonts w:ascii="宋体" w:hAnsi="宋体" w:eastAsia="宋体" w:cs="宋体"/>
                <w:color w:val="auto"/>
                <w:sz w:val="24"/>
                <w:szCs w:val="24"/>
              </w:rPr>
            </w:pPr>
            <w:r>
              <w:rPr>
                <w:rFonts w:hint="eastAsia" w:ascii="宋体" w:hAnsi="宋体" w:eastAsia="宋体" w:cs="宋体"/>
                <w:color w:val="auto"/>
                <w:sz w:val="24"/>
                <w:szCs w:val="24"/>
              </w:rPr>
              <w:t>总额</w:t>
            </w:r>
          </w:p>
        </w:tc>
        <w:tc>
          <w:tcPr>
            <w:tcW w:w="166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宋体" w:hAnsi="宋体" w:eastAsia="宋体" w:cs="宋体"/>
                <w:color w:val="auto"/>
                <w:sz w:val="24"/>
                <w:szCs w:val="24"/>
              </w:rPr>
            </w:pPr>
            <w:r>
              <w:rPr>
                <w:rFonts w:hint="eastAsia" w:ascii="宋体" w:hAnsi="宋体" w:eastAsia="宋体" w:cs="宋体"/>
                <w:color w:val="auto"/>
                <w:sz w:val="24"/>
                <w:szCs w:val="24"/>
              </w:rPr>
              <w:t>负债总额</w:t>
            </w:r>
          </w:p>
        </w:tc>
      </w:tr>
      <w:tr>
        <w:tblPrEx>
          <w:tblCellMar>
            <w:top w:w="0" w:type="dxa"/>
            <w:left w:w="0" w:type="dxa"/>
            <w:bottom w:w="0" w:type="dxa"/>
            <w:right w:w="0" w:type="dxa"/>
          </w:tblCellMar>
        </w:tblPrEx>
        <w:trPr>
          <w:cantSplit/>
          <w:trHeight w:val="509" w:hRule="atLeast"/>
        </w:trPr>
        <w:tc>
          <w:tcPr>
            <w:tcW w:w="1374" w:type="dxa"/>
            <w:vMerge w:val="continue"/>
            <w:tcBorders>
              <w:top w:val="nil"/>
              <w:left w:val="single" w:color="auto" w:sz="4" w:space="0"/>
              <w:bottom w:val="single" w:color="auto" w:sz="4" w:space="0"/>
              <w:right w:val="single" w:color="auto" w:sz="4" w:space="0"/>
            </w:tcBorders>
            <w:vAlign w:val="center"/>
          </w:tcPr>
          <w:p>
            <w:pPr>
              <w:spacing w:line="320" w:lineRule="exact"/>
              <w:rPr>
                <w:rFonts w:ascii="宋体" w:hAnsi="宋体" w:eastAsia="宋体" w:cs="宋体"/>
                <w:color w:val="auto"/>
                <w:sz w:val="24"/>
                <w:szCs w:val="24"/>
              </w:rPr>
            </w:pPr>
          </w:p>
        </w:tc>
        <w:tc>
          <w:tcPr>
            <w:tcW w:w="1842"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宋体" w:hAnsi="宋体" w:eastAsia="宋体" w:cs="宋体"/>
                <w:color w:val="auto"/>
                <w:sz w:val="24"/>
                <w:szCs w:val="24"/>
              </w:rPr>
            </w:pPr>
            <w:r>
              <w:rPr>
                <w:rFonts w:hint="eastAsia" w:ascii="宋体" w:hAnsi="宋体" w:eastAsia="宋体" w:cs="宋体"/>
                <w:color w:val="auto"/>
                <w:sz w:val="24"/>
                <w:szCs w:val="24"/>
              </w:rPr>
              <w:t>2019年</w:t>
            </w:r>
          </w:p>
        </w:tc>
        <w:tc>
          <w:tcPr>
            <w:tcW w:w="124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宋体" w:hAnsi="宋体" w:eastAsia="宋体" w:cs="宋体"/>
                <w:color w:val="auto"/>
                <w:sz w:val="24"/>
                <w:szCs w:val="24"/>
              </w:rPr>
            </w:pPr>
          </w:p>
        </w:tc>
        <w:tc>
          <w:tcPr>
            <w:tcW w:w="1392"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宋体" w:hAnsi="宋体" w:eastAsia="宋体" w:cs="宋体"/>
                <w:color w:val="auto"/>
                <w:sz w:val="24"/>
                <w:szCs w:val="24"/>
              </w:rPr>
            </w:pPr>
          </w:p>
        </w:tc>
        <w:tc>
          <w:tcPr>
            <w:tcW w:w="126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宋体" w:hAnsi="宋体" w:eastAsia="宋体" w:cs="宋体"/>
                <w:color w:val="auto"/>
                <w:sz w:val="24"/>
                <w:szCs w:val="24"/>
              </w:rPr>
            </w:pPr>
          </w:p>
        </w:tc>
        <w:tc>
          <w:tcPr>
            <w:tcW w:w="166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宋体" w:hAnsi="宋体" w:eastAsia="宋体" w:cs="宋体"/>
                <w:color w:val="auto"/>
                <w:sz w:val="24"/>
                <w:szCs w:val="24"/>
              </w:rPr>
            </w:pPr>
          </w:p>
        </w:tc>
      </w:tr>
      <w:tr>
        <w:tblPrEx>
          <w:tblCellMar>
            <w:top w:w="0" w:type="dxa"/>
            <w:left w:w="0" w:type="dxa"/>
            <w:bottom w:w="0" w:type="dxa"/>
            <w:right w:w="0" w:type="dxa"/>
          </w:tblCellMar>
        </w:tblPrEx>
        <w:trPr>
          <w:cantSplit/>
          <w:trHeight w:val="484" w:hRule="atLeast"/>
        </w:trPr>
        <w:tc>
          <w:tcPr>
            <w:tcW w:w="1374" w:type="dxa"/>
            <w:vMerge w:val="continue"/>
            <w:tcBorders>
              <w:top w:val="nil"/>
              <w:left w:val="single" w:color="auto" w:sz="4" w:space="0"/>
              <w:bottom w:val="single" w:color="auto" w:sz="4" w:space="0"/>
              <w:right w:val="single" w:color="auto" w:sz="4" w:space="0"/>
            </w:tcBorders>
            <w:vAlign w:val="center"/>
          </w:tcPr>
          <w:p>
            <w:pPr>
              <w:spacing w:line="320" w:lineRule="exact"/>
              <w:rPr>
                <w:rFonts w:ascii="宋体" w:hAnsi="宋体" w:eastAsia="宋体" w:cs="宋体"/>
                <w:color w:val="auto"/>
                <w:sz w:val="24"/>
                <w:szCs w:val="24"/>
              </w:rPr>
            </w:pPr>
          </w:p>
        </w:tc>
        <w:tc>
          <w:tcPr>
            <w:tcW w:w="1842"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宋体" w:hAnsi="宋体" w:eastAsia="宋体" w:cs="宋体"/>
                <w:color w:val="auto"/>
                <w:sz w:val="24"/>
                <w:szCs w:val="24"/>
              </w:rPr>
            </w:pPr>
            <w:r>
              <w:rPr>
                <w:rFonts w:hint="eastAsia" w:ascii="宋体" w:hAnsi="宋体" w:eastAsia="宋体" w:cs="宋体"/>
                <w:color w:val="auto"/>
                <w:sz w:val="24"/>
                <w:szCs w:val="24"/>
              </w:rPr>
              <w:t>2020年</w:t>
            </w:r>
          </w:p>
        </w:tc>
        <w:tc>
          <w:tcPr>
            <w:tcW w:w="124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宋体" w:hAnsi="宋体" w:eastAsia="宋体" w:cs="宋体"/>
                <w:color w:val="auto"/>
                <w:sz w:val="24"/>
                <w:szCs w:val="24"/>
              </w:rPr>
            </w:pPr>
          </w:p>
        </w:tc>
        <w:tc>
          <w:tcPr>
            <w:tcW w:w="1392"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宋体" w:hAnsi="宋体" w:eastAsia="宋体" w:cs="宋体"/>
                <w:color w:val="auto"/>
                <w:sz w:val="24"/>
                <w:szCs w:val="24"/>
              </w:rPr>
            </w:pPr>
          </w:p>
        </w:tc>
        <w:tc>
          <w:tcPr>
            <w:tcW w:w="126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宋体" w:hAnsi="宋体" w:eastAsia="宋体" w:cs="宋体"/>
                <w:color w:val="auto"/>
                <w:sz w:val="24"/>
                <w:szCs w:val="24"/>
              </w:rPr>
            </w:pPr>
          </w:p>
        </w:tc>
        <w:tc>
          <w:tcPr>
            <w:tcW w:w="166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宋体" w:hAnsi="宋体" w:eastAsia="宋体" w:cs="宋体"/>
                <w:color w:val="auto"/>
                <w:sz w:val="24"/>
                <w:szCs w:val="24"/>
              </w:rPr>
            </w:pPr>
          </w:p>
        </w:tc>
      </w:tr>
      <w:tr>
        <w:tblPrEx>
          <w:tblCellMar>
            <w:top w:w="0" w:type="dxa"/>
            <w:left w:w="0" w:type="dxa"/>
            <w:bottom w:w="0" w:type="dxa"/>
            <w:right w:w="0" w:type="dxa"/>
          </w:tblCellMar>
        </w:tblPrEx>
        <w:trPr>
          <w:cantSplit/>
          <w:trHeight w:val="411" w:hRule="atLeast"/>
        </w:trPr>
        <w:tc>
          <w:tcPr>
            <w:tcW w:w="1374" w:type="dxa"/>
            <w:vMerge w:val="continue"/>
            <w:tcBorders>
              <w:top w:val="nil"/>
              <w:left w:val="single" w:color="auto" w:sz="4" w:space="0"/>
              <w:bottom w:val="single" w:color="auto" w:sz="4" w:space="0"/>
              <w:right w:val="single" w:color="auto" w:sz="4" w:space="0"/>
            </w:tcBorders>
            <w:vAlign w:val="center"/>
          </w:tcPr>
          <w:p>
            <w:pPr>
              <w:spacing w:line="320" w:lineRule="exact"/>
              <w:rPr>
                <w:rFonts w:ascii="宋体" w:hAnsi="宋体" w:eastAsia="宋体" w:cs="宋体"/>
                <w:color w:val="auto"/>
                <w:sz w:val="24"/>
                <w:szCs w:val="24"/>
              </w:rPr>
            </w:pPr>
          </w:p>
        </w:tc>
        <w:tc>
          <w:tcPr>
            <w:tcW w:w="1842"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宋体" w:hAnsi="宋体" w:eastAsia="宋体" w:cs="宋体"/>
                <w:color w:val="auto"/>
                <w:sz w:val="24"/>
                <w:szCs w:val="24"/>
              </w:rPr>
            </w:pPr>
            <w:r>
              <w:rPr>
                <w:rFonts w:hint="eastAsia" w:ascii="宋体" w:hAnsi="宋体" w:eastAsia="宋体" w:cs="宋体"/>
                <w:color w:val="auto"/>
                <w:sz w:val="24"/>
                <w:szCs w:val="24"/>
              </w:rPr>
              <w:t>2021年</w:t>
            </w:r>
          </w:p>
        </w:tc>
        <w:tc>
          <w:tcPr>
            <w:tcW w:w="124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宋体" w:hAnsi="宋体" w:eastAsia="宋体" w:cs="宋体"/>
                <w:color w:val="auto"/>
                <w:sz w:val="24"/>
                <w:szCs w:val="24"/>
              </w:rPr>
            </w:pPr>
          </w:p>
        </w:tc>
        <w:tc>
          <w:tcPr>
            <w:tcW w:w="1392"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宋体" w:hAnsi="宋体" w:eastAsia="宋体" w:cs="宋体"/>
                <w:color w:val="auto"/>
                <w:sz w:val="24"/>
                <w:szCs w:val="24"/>
              </w:rPr>
            </w:pPr>
          </w:p>
        </w:tc>
        <w:tc>
          <w:tcPr>
            <w:tcW w:w="126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宋体" w:hAnsi="宋体" w:eastAsia="宋体" w:cs="宋体"/>
                <w:color w:val="auto"/>
                <w:sz w:val="24"/>
                <w:szCs w:val="24"/>
              </w:rPr>
            </w:pPr>
          </w:p>
        </w:tc>
        <w:tc>
          <w:tcPr>
            <w:tcW w:w="166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宋体" w:hAnsi="宋体" w:eastAsia="宋体" w:cs="宋体"/>
                <w:color w:val="auto"/>
                <w:sz w:val="24"/>
                <w:szCs w:val="24"/>
              </w:rPr>
            </w:pPr>
          </w:p>
        </w:tc>
      </w:tr>
      <w:tr>
        <w:tblPrEx>
          <w:tblCellMar>
            <w:top w:w="0" w:type="dxa"/>
            <w:left w:w="0" w:type="dxa"/>
            <w:bottom w:w="0" w:type="dxa"/>
            <w:right w:w="0" w:type="dxa"/>
          </w:tblCellMar>
        </w:tblPrEx>
        <w:trPr>
          <w:cantSplit/>
          <w:trHeight w:val="521" w:hRule="atLeast"/>
        </w:trPr>
        <w:tc>
          <w:tcPr>
            <w:tcW w:w="1374"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宋体" w:hAnsi="宋体" w:eastAsia="宋体" w:cs="宋体"/>
                <w:color w:val="auto"/>
                <w:sz w:val="24"/>
                <w:szCs w:val="24"/>
              </w:rPr>
            </w:pPr>
            <w:r>
              <w:rPr>
                <w:rFonts w:hint="eastAsia" w:ascii="宋体" w:hAnsi="宋体" w:eastAsia="宋体" w:cs="宋体"/>
                <w:color w:val="auto"/>
                <w:sz w:val="24"/>
                <w:szCs w:val="24"/>
              </w:rPr>
              <w:t>开户银行</w:t>
            </w:r>
          </w:p>
        </w:tc>
        <w:tc>
          <w:tcPr>
            <w:tcW w:w="1842"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宋体" w:hAnsi="宋体" w:eastAsia="宋体" w:cs="宋体"/>
                <w:color w:val="auto"/>
                <w:sz w:val="24"/>
                <w:szCs w:val="24"/>
              </w:rPr>
            </w:pPr>
            <w:r>
              <w:rPr>
                <w:rFonts w:hint="eastAsia" w:ascii="宋体" w:hAnsi="宋体" w:eastAsia="宋体" w:cs="宋体"/>
                <w:color w:val="auto"/>
                <w:sz w:val="24"/>
                <w:szCs w:val="24"/>
              </w:rPr>
              <w:t>开户行名称</w:t>
            </w:r>
          </w:p>
        </w:tc>
        <w:tc>
          <w:tcPr>
            <w:tcW w:w="2637"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宋体" w:hAnsi="宋体" w:eastAsia="宋体" w:cs="宋体"/>
                <w:color w:val="auto"/>
                <w:sz w:val="24"/>
                <w:szCs w:val="24"/>
              </w:rPr>
            </w:pPr>
          </w:p>
        </w:tc>
        <w:tc>
          <w:tcPr>
            <w:tcW w:w="126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宋体" w:hAnsi="宋体" w:eastAsia="宋体" w:cs="宋体"/>
                <w:color w:val="auto"/>
                <w:sz w:val="24"/>
                <w:szCs w:val="24"/>
              </w:rPr>
            </w:pPr>
            <w:r>
              <w:rPr>
                <w:rFonts w:hint="eastAsia" w:ascii="宋体" w:hAnsi="宋体" w:eastAsia="宋体" w:cs="宋体"/>
                <w:color w:val="auto"/>
                <w:sz w:val="24"/>
                <w:szCs w:val="24"/>
              </w:rPr>
              <w:t>联系电话</w:t>
            </w:r>
          </w:p>
        </w:tc>
        <w:tc>
          <w:tcPr>
            <w:tcW w:w="166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宋体" w:hAnsi="宋体" w:eastAsia="宋体" w:cs="宋体"/>
                <w:color w:val="auto"/>
                <w:sz w:val="24"/>
                <w:szCs w:val="24"/>
              </w:rPr>
            </w:pPr>
          </w:p>
        </w:tc>
      </w:tr>
      <w:tr>
        <w:tblPrEx>
          <w:tblCellMar>
            <w:top w:w="0" w:type="dxa"/>
            <w:left w:w="0" w:type="dxa"/>
            <w:bottom w:w="0" w:type="dxa"/>
            <w:right w:w="0" w:type="dxa"/>
          </w:tblCellMar>
        </w:tblPrEx>
        <w:trPr>
          <w:cantSplit/>
          <w:trHeight w:val="500" w:hRule="atLeast"/>
        </w:trPr>
        <w:tc>
          <w:tcPr>
            <w:tcW w:w="1374" w:type="dxa"/>
            <w:vMerge w:val="continue"/>
            <w:tcBorders>
              <w:top w:val="nil"/>
              <w:left w:val="single" w:color="auto" w:sz="4" w:space="0"/>
              <w:bottom w:val="single" w:color="auto" w:sz="4" w:space="0"/>
              <w:right w:val="single" w:color="auto" w:sz="4" w:space="0"/>
            </w:tcBorders>
            <w:vAlign w:val="center"/>
          </w:tcPr>
          <w:p>
            <w:pPr>
              <w:spacing w:line="320" w:lineRule="exact"/>
              <w:rPr>
                <w:rFonts w:ascii="宋体" w:hAnsi="宋体" w:eastAsia="宋体" w:cs="宋体"/>
                <w:color w:val="auto"/>
                <w:sz w:val="24"/>
                <w:szCs w:val="24"/>
              </w:rPr>
            </w:pPr>
          </w:p>
        </w:tc>
        <w:tc>
          <w:tcPr>
            <w:tcW w:w="1842"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宋体" w:hAnsi="宋体" w:eastAsia="宋体" w:cs="宋体"/>
                <w:color w:val="auto"/>
                <w:sz w:val="24"/>
                <w:szCs w:val="24"/>
              </w:rPr>
            </w:pPr>
            <w:r>
              <w:rPr>
                <w:rFonts w:hint="eastAsia" w:ascii="宋体" w:hAnsi="宋体" w:eastAsia="宋体" w:cs="宋体"/>
                <w:color w:val="auto"/>
                <w:sz w:val="24"/>
                <w:szCs w:val="24"/>
              </w:rPr>
              <w:t>开户行地址</w:t>
            </w:r>
          </w:p>
        </w:tc>
        <w:tc>
          <w:tcPr>
            <w:tcW w:w="2637"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宋体" w:hAnsi="宋体" w:eastAsia="宋体" w:cs="宋体"/>
                <w:color w:val="auto"/>
                <w:sz w:val="24"/>
                <w:szCs w:val="24"/>
              </w:rPr>
            </w:pPr>
          </w:p>
        </w:tc>
        <w:tc>
          <w:tcPr>
            <w:tcW w:w="126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宋体" w:hAnsi="宋体" w:eastAsia="宋体" w:cs="宋体"/>
                <w:color w:val="auto"/>
                <w:sz w:val="24"/>
                <w:szCs w:val="24"/>
              </w:rPr>
            </w:pPr>
            <w:r>
              <w:rPr>
                <w:rFonts w:hint="eastAsia" w:ascii="宋体" w:hAnsi="宋体" w:eastAsia="宋体" w:cs="宋体"/>
                <w:color w:val="auto"/>
                <w:sz w:val="24"/>
                <w:szCs w:val="24"/>
              </w:rPr>
              <w:t>联 系 人</w:t>
            </w:r>
          </w:p>
        </w:tc>
        <w:tc>
          <w:tcPr>
            <w:tcW w:w="166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宋体" w:hAnsi="宋体" w:eastAsia="宋体" w:cs="宋体"/>
                <w:color w:val="auto"/>
                <w:sz w:val="24"/>
                <w:szCs w:val="24"/>
              </w:rPr>
            </w:pPr>
          </w:p>
        </w:tc>
      </w:tr>
      <w:tr>
        <w:tblPrEx>
          <w:tblCellMar>
            <w:top w:w="0" w:type="dxa"/>
            <w:left w:w="0" w:type="dxa"/>
            <w:bottom w:w="0" w:type="dxa"/>
            <w:right w:w="0" w:type="dxa"/>
          </w:tblCellMar>
        </w:tblPrEx>
        <w:trPr>
          <w:cantSplit/>
          <w:trHeight w:val="519" w:hRule="atLeast"/>
        </w:trPr>
        <w:tc>
          <w:tcPr>
            <w:tcW w:w="1374"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宋体" w:hAnsi="宋体" w:eastAsia="宋体" w:cs="宋体"/>
                <w:color w:val="auto"/>
                <w:sz w:val="24"/>
                <w:szCs w:val="24"/>
              </w:rPr>
            </w:pPr>
            <w:r>
              <w:rPr>
                <w:rFonts w:hint="eastAsia" w:ascii="宋体" w:hAnsi="宋体" w:eastAsia="宋体" w:cs="宋体"/>
                <w:color w:val="auto"/>
                <w:sz w:val="24"/>
                <w:szCs w:val="24"/>
              </w:rPr>
              <w:t>主营业</w:t>
            </w:r>
          </w:p>
          <w:p>
            <w:pPr>
              <w:spacing w:line="320" w:lineRule="exact"/>
              <w:jc w:val="center"/>
              <w:rPr>
                <w:rFonts w:ascii="宋体" w:hAnsi="宋体" w:eastAsia="宋体" w:cs="宋体"/>
                <w:color w:val="auto"/>
                <w:sz w:val="24"/>
                <w:szCs w:val="24"/>
              </w:rPr>
            </w:pPr>
            <w:r>
              <w:rPr>
                <w:rFonts w:hint="eastAsia" w:ascii="宋体" w:hAnsi="宋体" w:eastAsia="宋体" w:cs="宋体"/>
                <w:color w:val="auto"/>
                <w:sz w:val="24"/>
                <w:szCs w:val="24"/>
              </w:rPr>
              <w:t>务情况</w:t>
            </w:r>
          </w:p>
        </w:tc>
        <w:tc>
          <w:tcPr>
            <w:tcW w:w="1842"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宋体" w:hAnsi="宋体" w:eastAsia="宋体" w:cs="宋体"/>
                <w:color w:val="auto"/>
                <w:sz w:val="24"/>
                <w:szCs w:val="24"/>
              </w:rPr>
            </w:pPr>
            <w:r>
              <w:rPr>
                <w:rFonts w:hint="eastAsia" w:ascii="宋体" w:hAnsi="宋体" w:eastAsia="宋体" w:cs="宋体"/>
                <w:color w:val="auto"/>
                <w:sz w:val="24"/>
                <w:szCs w:val="24"/>
              </w:rPr>
              <w:t>主营业务名称</w:t>
            </w:r>
          </w:p>
        </w:tc>
        <w:tc>
          <w:tcPr>
            <w:tcW w:w="5563" w:type="dxa"/>
            <w:gridSpan w:val="5"/>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宋体" w:hAnsi="宋体" w:eastAsia="宋体" w:cs="宋体"/>
                <w:color w:val="auto"/>
                <w:sz w:val="24"/>
                <w:szCs w:val="24"/>
              </w:rPr>
            </w:pPr>
            <w:r>
              <w:rPr>
                <w:rFonts w:hint="eastAsia" w:ascii="宋体" w:hAnsi="宋体" w:eastAsia="宋体" w:cs="宋体"/>
                <w:color w:val="auto"/>
                <w:sz w:val="24"/>
                <w:szCs w:val="24"/>
              </w:rPr>
              <w:t>上年经营额</w:t>
            </w:r>
          </w:p>
        </w:tc>
      </w:tr>
      <w:tr>
        <w:tblPrEx>
          <w:tblCellMar>
            <w:top w:w="0" w:type="dxa"/>
            <w:left w:w="0" w:type="dxa"/>
            <w:bottom w:w="0" w:type="dxa"/>
            <w:right w:w="0" w:type="dxa"/>
          </w:tblCellMar>
        </w:tblPrEx>
        <w:trPr>
          <w:cantSplit/>
          <w:trHeight w:val="511" w:hRule="atLeast"/>
        </w:trPr>
        <w:tc>
          <w:tcPr>
            <w:tcW w:w="1374" w:type="dxa"/>
            <w:vMerge w:val="continue"/>
            <w:tcBorders>
              <w:top w:val="nil"/>
              <w:left w:val="single" w:color="auto" w:sz="4" w:space="0"/>
              <w:bottom w:val="single" w:color="auto" w:sz="4" w:space="0"/>
              <w:right w:val="single" w:color="auto" w:sz="4" w:space="0"/>
            </w:tcBorders>
            <w:vAlign w:val="center"/>
          </w:tcPr>
          <w:p>
            <w:pPr>
              <w:spacing w:line="320" w:lineRule="exact"/>
              <w:rPr>
                <w:rFonts w:ascii="宋体" w:hAnsi="宋体" w:eastAsia="宋体" w:cs="宋体"/>
                <w:color w:val="auto"/>
                <w:sz w:val="24"/>
                <w:szCs w:val="24"/>
              </w:rPr>
            </w:pPr>
          </w:p>
        </w:tc>
        <w:tc>
          <w:tcPr>
            <w:tcW w:w="1842"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7"/>
              <w:spacing w:line="320" w:lineRule="exact"/>
              <w:jc w:val="center"/>
              <w:rPr>
                <w:rFonts w:ascii="宋体" w:hAnsi="宋体" w:eastAsia="宋体" w:cs="宋体"/>
                <w:color w:val="auto"/>
                <w:sz w:val="24"/>
                <w:szCs w:val="24"/>
              </w:rPr>
            </w:pPr>
          </w:p>
        </w:tc>
        <w:tc>
          <w:tcPr>
            <w:tcW w:w="5563" w:type="dxa"/>
            <w:gridSpan w:val="5"/>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宋体" w:hAnsi="宋体" w:eastAsia="宋体" w:cs="宋体"/>
                <w:color w:val="auto"/>
                <w:sz w:val="24"/>
                <w:szCs w:val="24"/>
              </w:rPr>
            </w:pPr>
          </w:p>
        </w:tc>
      </w:tr>
      <w:tr>
        <w:tblPrEx>
          <w:tblCellMar>
            <w:top w:w="0" w:type="dxa"/>
            <w:left w:w="0" w:type="dxa"/>
            <w:bottom w:w="0" w:type="dxa"/>
            <w:right w:w="0" w:type="dxa"/>
          </w:tblCellMar>
        </w:tblPrEx>
        <w:trPr>
          <w:cantSplit/>
          <w:trHeight w:val="859" w:hRule="atLeast"/>
        </w:trPr>
        <w:tc>
          <w:tcPr>
            <w:tcW w:w="1374"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宋体" w:hAnsi="宋体" w:eastAsia="宋体" w:cs="宋体"/>
                <w:color w:val="auto"/>
                <w:sz w:val="24"/>
                <w:szCs w:val="24"/>
              </w:rPr>
            </w:pPr>
            <w:r>
              <w:rPr>
                <w:rFonts w:hint="eastAsia" w:ascii="宋体" w:hAnsi="宋体" w:eastAsia="宋体" w:cs="宋体"/>
                <w:color w:val="auto"/>
                <w:sz w:val="24"/>
                <w:szCs w:val="24"/>
              </w:rPr>
              <w:t>企业</w:t>
            </w:r>
          </w:p>
          <w:p>
            <w:pPr>
              <w:spacing w:line="320" w:lineRule="exact"/>
              <w:jc w:val="center"/>
              <w:rPr>
                <w:rFonts w:ascii="宋体" w:hAnsi="宋体" w:eastAsia="宋体" w:cs="宋体"/>
                <w:color w:val="auto"/>
                <w:sz w:val="24"/>
                <w:szCs w:val="24"/>
              </w:rPr>
            </w:pPr>
            <w:r>
              <w:rPr>
                <w:rFonts w:hint="eastAsia" w:ascii="宋体" w:hAnsi="宋体" w:eastAsia="宋体" w:cs="宋体"/>
                <w:color w:val="auto"/>
                <w:sz w:val="24"/>
                <w:szCs w:val="24"/>
              </w:rPr>
              <w:t>总人数</w:t>
            </w:r>
          </w:p>
        </w:tc>
        <w:tc>
          <w:tcPr>
            <w:tcW w:w="1842"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7"/>
              <w:spacing w:line="320" w:lineRule="exact"/>
              <w:jc w:val="center"/>
              <w:rPr>
                <w:rFonts w:ascii="宋体" w:hAnsi="宋体" w:eastAsia="宋体" w:cs="宋体"/>
                <w:color w:val="auto"/>
                <w:sz w:val="24"/>
                <w:szCs w:val="24"/>
              </w:rPr>
            </w:pPr>
            <w:r>
              <w:rPr>
                <w:rFonts w:hint="eastAsia" w:ascii="宋体" w:hAnsi="宋体" w:eastAsia="宋体" w:cs="宋体"/>
                <w:color w:val="auto"/>
                <w:sz w:val="24"/>
                <w:szCs w:val="24"/>
              </w:rPr>
              <w:t>其中：</w:t>
            </w:r>
          </w:p>
        </w:tc>
        <w:tc>
          <w:tcPr>
            <w:tcW w:w="5563" w:type="dxa"/>
            <w:gridSpan w:val="5"/>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宋体" w:hAnsi="宋体" w:eastAsia="宋体" w:cs="宋体"/>
                <w:color w:val="auto"/>
                <w:sz w:val="24"/>
                <w:szCs w:val="24"/>
              </w:rPr>
            </w:pPr>
            <w:r>
              <w:rPr>
                <w:rFonts w:hint="eastAsia" w:ascii="宋体" w:hAnsi="宋体" w:eastAsia="宋体" w:cs="宋体"/>
                <w:color w:val="auto"/>
                <w:sz w:val="24"/>
                <w:szCs w:val="24"/>
              </w:rPr>
              <w:t>获得各类专业技术职称人数</w:t>
            </w:r>
          </w:p>
        </w:tc>
      </w:tr>
      <w:tr>
        <w:tblPrEx>
          <w:tblCellMar>
            <w:top w:w="0" w:type="dxa"/>
            <w:left w:w="0" w:type="dxa"/>
            <w:bottom w:w="0" w:type="dxa"/>
            <w:right w:w="0" w:type="dxa"/>
          </w:tblCellMar>
        </w:tblPrEx>
        <w:trPr>
          <w:cantSplit/>
          <w:trHeight w:val="720" w:hRule="atLeast"/>
        </w:trPr>
        <w:tc>
          <w:tcPr>
            <w:tcW w:w="1374" w:type="dxa"/>
            <w:vMerge w:val="continue"/>
            <w:tcBorders>
              <w:top w:val="nil"/>
              <w:left w:val="single" w:color="auto" w:sz="4" w:space="0"/>
              <w:bottom w:val="single" w:color="auto" w:sz="4" w:space="0"/>
              <w:right w:val="single" w:color="auto" w:sz="4" w:space="0"/>
            </w:tcBorders>
            <w:vAlign w:val="center"/>
          </w:tcPr>
          <w:p>
            <w:pPr>
              <w:spacing w:line="320" w:lineRule="exact"/>
              <w:rPr>
                <w:rFonts w:ascii="宋体" w:hAnsi="宋体" w:eastAsia="宋体" w:cs="宋体"/>
                <w:color w:val="auto"/>
                <w:sz w:val="24"/>
                <w:szCs w:val="24"/>
              </w:rPr>
            </w:pPr>
          </w:p>
        </w:tc>
        <w:tc>
          <w:tcPr>
            <w:tcW w:w="108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7"/>
              <w:spacing w:line="320" w:lineRule="exact"/>
              <w:jc w:val="center"/>
              <w:rPr>
                <w:rFonts w:ascii="宋体" w:hAnsi="宋体" w:eastAsia="宋体" w:cs="宋体"/>
                <w:color w:val="auto"/>
                <w:sz w:val="24"/>
                <w:szCs w:val="24"/>
              </w:rPr>
            </w:pPr>
            <w:r>
              <w:rPr>
                <w:rFonts w:hint="eastAsia" w:ascii="宋体" w:hAnsi="宋体" w:eastAsia="宋体" w:cs="宋体"/>
                <w:color w:val="auto"/>
                <w:sz w:val="24"/>
                <w:szCs w:val="24"/>
              </w:rPr>
              <w:t>管理人员</w:t>
            </w:r>
          </w:p>
        </w:tc>
        <w:tc>
          <w:tcPr>
            <w:tcW w:w="757" w:type="dxa"/>
            <w:tcBorders>
              <w:top w:val="single" w:color="auto" w:sz="4" w:space="0"/>
              <w:left w:val="nil"/>
              <w:bottom w:val="single" w:color="auto" w:sz="4" w:space="0"/>
              <w:right w:val="single" w:color="auto" w:sz="4" w:space="0"/>
            </w:tcBorders>
            <w:vAlign w:val="center"/>
          </w:tcPr>
          <w:p>
            <w:pPr>
              <w:pStyle w:val="7"/>
              <w:spacing w:line="320" w:lineRule="exact"/>
              <w:jc w:val="center"/>
              <w:rPr>
                <w:rFonts w:ascii="宋体" w:hAnsi="宋体" w:eastAsia="宋体" w:cs="宋体"/>
                <w:color w:val="auto"/>
                <w:sz w:val="24"/>
                <w:szCs w:val="24"/>
              </w:rPr>
            </w:pPr>
            <w:r>
              <w:rPr>
                <w:rFonts w:hint="eastAsia" w:ascii="宋体" w:hAnsi="宋体" w:eastAsia="宋体" w:cs="宋体"/>
                <w:color w:val="auto"/>
                <w:sz w:val="24"/>
                <w:szCs w:val="24"/>
              </w:rPr>
              <w:t>技术</w:t>
            </w:r>
          </w:p>
          <w:p>
            <w:pPr>
              <w:pStyle w:val="7"/>
              <w:spacing w:line="320" w:lineRule="exact"/>
              <w:jc w:val="center"/>
              <w:rPr>
                <w:rFonts w:ascii="宋体" w:hAnsi="宋体" w:eastAsia="宋体" w:cs="宋体"/>
                <w:color w:val="auto"/>
                <w:sz w:val="24"/>
                <w:szCs w:val="24"/>
              </w:rPr>
            </w:pPr>
            <w:r>
              <w:rPr>
                <w:rFonts w:hint="eastAsia" w:ascii="宋体" w:hAnsi="宋体" w:eastAsia="宋体" w:cs="宋体"/>
                <w:color w:val="auto"/>
                <w:sz w:val="24"/>
                <w:szCs w:val="24"/>
              </w:rPr>
              <w:t>人员</w:t>
            </w:r>
          </w:p>
        </w:tc>
        <w:tc>
          <w:tcPr>
            <w:tcW w:w="1946" w:type="dxa"/>
            <w:gridSpan w:val="2"/>
            <w:tcBorders>
              <w:top w:val="single" w:color="auto" w:sz="4" w:space="0"/>
              <w:left w:val="nil"/>
              <w:bottom w:val="single" w:color="auto" w:sz="4" w:space="0"/>
              <w:right w:val="single" w:color="auto" w:sz="4" w:space="0"/>
            </w:tcBorders>
            <w:vAlign w:val="center"/>
          </w:tcPr>
          <w:p>
            <w:pPr>
              <w:pStyle w:val="7"/>
              <w:spacing w:line="320" w:lineRule="exact"/>
              <w:jc w:val="center"/>
              <w:rPr>
                <w:rFonts w:ascii="宋体" w:hAnsi="宋体" w:eastAsia="宋体" w:cs="宋体"/>
                <w:color w:val="auto"/>
                <w:sz w:val="24"/>
                <w:szCs w:val="24"/>
              </w:rPr>
            </w:pPr>
            <w:r>
              <w:rPr>
                <w:rFonts w:hint="eastAsia" w:ascii="宋体" w:hAnsi="宋体" w:eastAsia="宋体" w:cs="宋体"/>
                <w:color w:val="auto"/>
                <w:sz w:val="24"/>
                <w:szCs w:val="24"/>
              </w:rPr>
              <w:t>其他人员</w:t>
            </w:r>
          </w:p>
        </w:tc>
        <w:tc>
          <w:tcPr>
            <w:tcW w:w="69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7"/>
              <w:spacing w:line="320" w:lineRule="exact"/>
              <w:jc w:val="center"/>
              <w:rPr>
                <w:rFonts w:ascii="宋体" w:hAnsi="宋体" w:eastAsia="宋体" w:cs="宋体"/>
                <w:color w:val="auto"/>
                <w:sz w:val="24"/>
                <w:szCs w:val="24"/>
              </w:rPr>
            </w:pPr>
            <w:r>
              <w:rPr>
                <w:rFonts w:hint="eastAsia" w:ascii="宋体" w:hAnsi="宋体" w:eastAsia="宋体" w:cs="宋体"/>
                <w:color w:val="auto"/>
                <w:sz w:val="24"/>
                <w:szCs w:val="24"/>
              </w:rPr>
              <w:t>高级职称</w:t>
            </w:r>
          </w:p>
        </w:tc>
        <w:tc>
          <w:tcPr>
            <w:tcW w:w="1263" w:type="dxa"/>
            <w:tcBorders>
              <w:top w:val="single" w:color="auto" w:sz="4" w:space="0"/>
              <w:left w:val="nil"/>
              <w:bottom w:val="single" w:color="auto" w:sz="4" w:space="0"/>
              <w:right w:val="single" w:color="auto" w:sz="4" w:space="0"/>
            </w:tcBorders>
            <w:vAlign w:val="center"/>
          </w:tcPr>
          <w:p>
            <w:pPr>
              <w:pStyle w:val="7"/>
              <w:spacing w:line="320" w:lineRule="exact"/>
              <w:jc w:val="center"/>
              <w:rPr>
                <w:rFonts w:ascii="宋体" w:hAnsi="宋体" w:eastAsia="宋体" w:cs="宋体"/>
                <w:color w:val="auto"/>
                <w:sz w:val="24"/>
                <w:szCs w:val="24"/>
              </w:rPr>
            </w:pPr>
            <w:r>
              <w:rPr>
                <w:rFonts w:hint="eastAsia" w:ascii="宋体" w:hAnsi="宋体" w:eastAsia="宋体" w:cs="宋体"/>
                <w:color w:val="auto"/>
                <w:sz w:val="24"/>
                <w:szCs w:val="24"/>
              </w:rPr>
              <w:t>中级职称</w:t>
            </w:r>
          </w:p>
        </w:tc>
        <w:tc>
          <w:tcPr>
            <w:tcW w:w="1663" w:type="dxa"/>
            <w:tcBorders>
              <w:top w:val="single" w:color="auto" w:sz="4" w:space="0"/>
              <w:left w:val="nil"/>
              <w:bottom w:val="single" w:color="auto" w:sz="4" w:space="0"/>
              <w:right w:val="single" w:color="auto" w:sz="4" w:space="0"/>
            </w:tcBorders>
            <w:vAlign w:val="center"/>
          </w:tcPr>
          <w:p>
            <w:pPr>
              <w:pStyle w:val="7"/>
              <w:spacing w:line="320" w:lineRule="exact"/>
              <w:jc w:val="center"/>
              <w:rPr>
                <w:rFonts w:ascii="宋体" w:hAnsi="宋体" w:eastAsia="宋体" w:cs="宋体"/>
                <w:color w:val="auto"/>
                <w:sz w:val="24"/>
                <w:szCs w:val="24"/>
              </w:rPr>
            </w:pPr>
            <w:r>
              <w:rPr>
                <w:rFonts w:hint="eastAsia" w:ascii="宋体" w:hAnsi="宋体" w:eastAsia="宋体" w:cs="宋体"/>
                <w:color w:val="auto"/>
                <w:sz w:val="24"/>
                <w:szCs w:val="24"/>
              </w:rPr>
              <w:t>初级职称</w:t>
            </w:r>
          </w:p>
        </w:tc>
      </w:tr>
      <w:tr>
        <w:tblPrEx>
          <w:tblCellMar>
            <w:top w:w="0" w:type="dxa"/>
            <w:left w:w="0" w:type="dxa"/>
            <w:bottom w:w="0" w:type="dxa"/>
            <w:right w:w="0" w:type="dxa"/>
          </w:tblCellMar>
        </w:tblPrEx>
        <w:trPr>
          <w:cantSplit/>
          <w:trHeight w:val="798" w:hRule="atLeast"/>
        </w:trPr>
        <w:tc>
          <w:tcPr>
            <w:tcW w:w="13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宋体" w:hAnsi="宋体" w:eastAsia="宋体" w:cs="宋体"/>
                <w:color w:val="auto"/>
                <w:sz w:val="24"/>
                <w:szCs w:val="24"/>
              </w:rPr>
            </w:pPr>
          </w:p>
        </w:tc>
        <w:tc>
          <w:tcPr>
            <w:tcW w:w="108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7"/>
              <w:spacing w:line="320" w:lineRule="exact"/>
              <w:jc w:val="center"/>
              <w:rPr>
                <w:rFonts w:ascii="宋体" w:hAnsi="宋体" w:eastAsia="宋体" w:cs="宋体"/>
                <w:color w:val="auto"/>
                <w:sz w:val="24"/>
                <w:szCs w:val="24"/>
              </w:rPr>
            </w:pPr>
          </w:p>
        </w:tc>
        <w:tc>
          <w:tcPr>
            <w:tcW w:w="757" w:type="dxa"/>
            <w:tcBorders>
              <w:top w:val="single" w:color="auto" w:sz="4" w:space="0"/>
              <w:left w:val="nil"/>
              <w:bottom w:val="single" w:color="auto" w:sz="4" w:space="0"/>
              <w:right w:val="single" w:color="auto" w:sz="4" w:space="0"/>
            </w:tcBorders>
            <w:vAlign w:val="center"/>
          </w:tcPr>
          <w:p>
            <w:pPr>
              <w:pStyle w:val="7"/>
              <w:spacing w:line="320" w:lineRule="exact"/>
              <w:jc w:val="center"/>
              <w:rPr>
                <w:rFonts w:ascii="宋体" w:hAnsi="宋体" w:eastAsia="宋体" w:cs="宋体"/>
                <w:color w:val="auto"/>
                <w:sz w:val="24"/>
                <w:szCs w:val="24"/>
              </w:rPr>
            </w:pPr>
          </w:p>
        </w:tc>
        <w:tc>
          <w:tcPr>
            <w:tcW w:w="1946" w:type="dxa"/>
            <w:gridSpan w:val="2"/>
            <w:tcBorders>
              <w:top w:val="single" w:color="auto" w:sz="4" w:space="0"/>
              <w:left w:val="nil"/>
              <w:bottom w:val="single" w:color="auto" w:sz="4" w:space="0"/>
              <w:right w:val="single" w:color="auto" w:sz="4" w:space="0"/>
            </w:tcBorders>
            <w:vAlign w:val="center"/>
          </w:tcPr>
          <w:p>
            <w:pPr>
              <w:pStyle w:val="7"/>
              <w:spacing w:line="320" w:lineRule="exact"/>
              <w:jc w:val="center"/>
              <w:rPr>
                <w:rFonts w:ascii="宋体" w:hAnsi="宋体" w:eastAsia="宋体" w:cs="宋体"/>
                <w:color w:val="auto"/>
                <w:sz w:val="24"/>
                <w:szCs w:val="24"/>
              </w:rPr>
            </w:pPr>
          </w:p>
        </w:tc>
        <w:tc>
          <w:tcPr>
            <w:tcW w:w="69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7"/>
              <w:spacing w:line="320" w:lineRule="exact"/>
              <w:rPr>
                <w:rFonts w:ascii="宋体" w:hAnsi="宋体" w:eastAsia="宋体" w:cs="宋体"/>
                <w:color w:val="auto"/>
                <w:sz w:val="24"/>
                <w:szCs w:val="24"/>
              </w:rPr>
            </w:pPr>
          </w:p>
        </w:tc>
        <w:tc>
          <w:tcPr>
            <w:tcW w:w="1263" w:type="dxa"/>
            <w:tcBorders>
              <w:top w:val="single" w:color="auto" w:sz="4" w:space="0"/>
              <w:left w:val="nil"/>
              <w:bottom w:val="single" w:color="auto" w:sz="4" w:space="0"/>
              <w:right w:val="single" w:color="auto" w:sz="4" w:space="0"/>
            </w:tcBorders>
            <w:vAlign w:val="center"/>
          </w:tcPr>
          <w:p>
            <w:pPr>
              <w:pStyle w:val="7"/>
              <w:spacing w:line="320" w:lineRule="exact"/>
              <w:rPr>
                <w:rFonts w:ascii="宋体" w:hAnsi="宋体" w:eastAsia="宋体" w:cs="宋体"/>
                <w:color w:val="auto"/>
                <w:sz w:val="24"/>
                <w:szCs w:val="24"/>
              </w:rPr>
            </w:pPr>
          </w:p>
        </w:tc>
        <w:tc>
          <w:tcPr>
            <w:tcW w:w="1663" w:type="dxa"/>
            <w:tcBorders>
              <w:top w:val="single" w:color="auto" w:sz="4" w:space="0"/>
              <w:left w:val="nil"/>
              <w:bottom w:val="single" w:color="auto" w:sz="4" w:space="0"/>
              <w:right w:val="single" w:color="auto" w:sz="4" w:space="0"/>
            </w:tcBorders>
            <w:vAlign w:val="center"/>
          </w:tcPr>
          <w:p>
            <w:pPr>
              <w:pStyle w:val="7"/>
              <w:spacing w:line="320" w:lineRule="exact"/>
              <w:rPr>
                <w:rFonts w:ascii="宋体" w:hAnsi="宋体" w:eastAsia="宋体" w:cs="宋体"/>
                <w:color w:val="auto"/>
                <w:sz w:val="24"/>
                <w:szCs w:val="24"/>
              </w:rPr>
            </w:pPr>
          </w:p>
        </w:tc>
      </w:tr>
    </w:tbl>
    <w:p>
      <w:pPr>
        <w:spacing w:line="500" w:lineRule="exact"/>
        <w:rPr>
          <w:rFonts w:ascii="宋体" w:hAnsi="宋体" w:eastAsia="宋体" w:cs="宋体"/>
          <w:color w:val="auto"/>
          <w:sz w:val="24"/>
          <w:szCs w:val="24"/>
        </w:rPr>
      </w:pPr>
      <w:r>
        <w:rPr>
          <w:rFonts w:hint="eastAsia" w:ascii="宋体" w:hAnsi="宋体" w:eastAsia="宋体" w:cs="宋体"/>
          <w:color w:val="auto"/>
          <w:sz w:val="24"/>
          <w:szCs w:val="24"/>
        </w:rPr>
        <w:t>投标供应商（盖章）：</w:t>
      </w:r>
      <w:r>
        <w:rPr>
          <w:rFonts w:hint="eastAsia" w:ascii="宋体" w:hAnsi="宋体" w:eastAsia="宋体" w:cs="宋体"/>
          <w:color w:val="auto"/>
          <w:sz w:val="24"/>
          <w:szCs w:val="24"/>
          <w:u w:val="single"/>
        </w:rPr>
        <w:t xml:space="preserve">                   </w:t>
      </w:r>
    </w:p>
    <w:p>
      <w:pPr>
        <w:spacing w:line="500" w:lineRule="exact"/>
        <w:rPr>
          <w:rFonts w:ascii="宋体" w:hAnsi="宋体" w:eastAsia="宋体" w:cs="宋体"/>
          <w:color w:val="auto"/>
          <w:sz w:val="24"/>
          <w:szCs w:val="24"/>
          <w:u w:val="single"/>
        </w:rPr>
      </w:pPr>
      <w:r>
        <w:rPr>
          <w:rFonts w:hint="eastAsia" w:ascii="宋体" w:hAnsi="宋体" w:eastAsia="宋体" w:cs="宋体"/>
          <w:color w:val="auto"/>
          <w:sz w:val="24"/>
          <w:szCs w:val="24"/>
        </w:rPr>
        <w:t>法定代表人或授权代表（签字）：</w:t>
      </w:r>
      <w:r>
        <w:rPr>
          <w:rFonts w:hint="eastAsia" w:ascii="宋体" w:hAnsi="宋体" w:eastAsia="宋体" w:cs="宋体"/>
          <w:color w:val="auto"/>
          <w:sz w:val="24"/>
          <w:szCs w:val="24"/>
          <w:u w:val="single"/>
        </w:rPr>
        <w:t xml:space="preserve">         </w:t>
      </w:r>
    </w:p>
    <w:p>
      <w:pPr>
        <w:spacing w:line="500" w:lineRule="exact"/>
        <w:rPr>
          <w:rFonts w:ascii="宋体" w:hAnsi="宋体" w:eastAsia="宋体" w:cs="宋体"/>
          <w:color w:val="auto"/>
          <w:sz w:val="24"/>
          <w:szCs w:val="24"/>
          <w:u w:val="single"/>
        </w:rPr>
      </w:pPr>
      <w:r>
        <w:rPr>
          <w:rFonts w:hint="eastAsia" w:ascii="宋体" w:hAnsi="宋体" w:eastAsia="宋体" w:cs="宋体"/>
          <w:color w:val="auto"/>
          <w:sz w:val="24"/>
          <w:szCs w:val="24"/>
        </w:rPr>
        <w:t>日    期：</w:t>
      </w:r>
      <w:r>
        <w:rPr>
          <w:rFonts w:hint="eastAsia" w:ascii="宋体" w:hAnsi="宋体" w:eastAsia="宋体" w:cs="宋体"/>
          <w:color w:val="auto"/>
          <w:sz w:val="24"/>
          <w:szCs w:val="24"/>
          <w:u w:val="single"/>
        </w:rPr>
        <w:t xml:space="preserve">                             </w:t>
      </w:r>
    </w:p>
    <w:p>
      <w:pPr>
        <w:spacing w:line="360" w:lineRule="auto"/>
        <w:rPr>
          <w:rFonts w:ascii="宋体" w:hAnsi="宋体" w:cs="宋体"/>
          <w:b/>
          <w:bCs/>
          <w:color w:val="auto"/>
        </w:rPr>
      </w:pPr>
    </w:p>
    <w:p>
      <w:pPr>
        <w:spacing w:line="360" w:lineRule="auto"/>
        <w:ind w:right="480"/>
        <w:rPr>
          <w:rFonts w:ascii="宋体" w:hAnsi="宋体" w:eastAsia="宋体" w:cs="宋体"/>
          <w:b/>
          <w:bCs/>
          <w:color w:val="auto"/>
          <w:sz w:val="24"/>
          <w:szCs w:val="24"/>
        </w:rPr>
      </w:pPr>
      <w:r>
        <w:rPr>
          <w:rFonts w:hint="eastAsia" w:ascii="宋体" w:hAnsi="宋体" w:eastAsia="宋体" w:cs="宋体"/>
          <w:b/>
          <w:bCs/>
          <w:color w:val="auto"/>
          <w:sz w:val="24"/>
          <w:szCs w:val="24"/>
        </w:rPr>
        <w:t xml:space="preserve">附表2：业绩情况 </w:t>
      </w:r>
    </w:p>
    <w:tbl>
      <w:tblPr>
        <w:tblStyle w:val="1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83"/>
        <w:gridCol w:w="62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1" w:hRule="atLeast"/>
          <w:jc w:val="center"/>
        </w:trPr>
        <w:tc>
          <w:tcPr>
            <w:tcW w:w="228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szCs w:val="24"/>
              </w:rPr>
            </w:pPr>
            <w:r>
              <w:rPr>
                <w:rFonts w:hint="eastAsia" w:hAnsi="宋体"/>
                <w:sz w:val="24"/>
                <w:szCs w:val="24"/>
              </w:rPr>
              <w:t>项目名称</w:t>
            </w:r>
          </w:p>
        </w:tc>
        <w:tc>
          <w:tcPr>
            <w:tcW w:w="62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6" w:hRule="atLeast"/>
          <w:jc w:val="center"/>
        </w:trPr>
        <w:tc>
          <w:tcPr>
            <w:tcW w:w="228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szCs w:val="24"/>
              </w:rPr>
            </w:pPr>
            <w:r>
              <w:rPr>
                <w:rFonts w:hint="eastAsia" w:hAnsi="宋体"/>
                <w:sz w:val="24"/>
                <w:szCs w:val="24"/>
              </w:rPr>
              <w:t>采购人名称</w:t>
            </w:r>
          </w:p>
        </w:tc>
        <w:tc>
          <w:tcPr>
            <w:tcW w:w="62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1" w:hRule="atLeast"/>
          <w:jc w:val="center"/>
        </w:trPr>
        <w:tc>
          <w:tcPr>
            <w:tcW w:w="228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szCs w:val="24"/>
              </w:rPr>
            </w:pPr>
            <w:r>
              <w:rPr>
                <w:rFonts w:hint="eastAsia" w:hAnsi="宋体"/>
                <w:sz w:val="24"/>
                <w:szCs w:val="24"/>
              </w:rPr>
              <w:t>项目所在地</w:t>
            </w:r>
          </w:p>
        </w:tc>
        <w:tc>
          <w:tcPr>
            <w:tcW w:w="62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96" w:hRule="atLeast"/>
          <w:jc w:val="center"/>
        </w:trPr>
        <w:tc>
          <w:tcPr>
            <w:tcW w:w="228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eastAsia="宋体"/>
                <w:sz w:val="24"/>
                <w:szCs w:val="24"/>
              </w:rPr>
            </w:pPr>
            <w:r>
              <w:rPr>
                <w:rFonts w:hint="eastAsia" w:hAnsi="宋体" w:eastAsia="宋体"/>
                <w:sz w:val="24"/>
                <w:szCs w:val="24"/>
              </w:rPr>
              <w:t>完成时间</w:t>
            </w:r>
          </w:p>
        </w:tc>
        <w:tc>
          <w:tcPr>
            <w:tcW w:w="62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1" w:hRule="atLeast"/>
          <w:jc w:val="center"/>
        </w:trPr>
        <w:tc>
          <w:tcPr>
            <w:tcW w:w="228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eastAsia="宋体"/>
                <w:sz w:val="24"/>
                <w:szCs w:val="24"/>
              </w:rPr>
            </w:pPr>
            <w:r>
              <w:rPr>
                <w:rFonts w:hint="eastAsia" w:hAnsi="宋体" w:eastAsia="宋体"/>
                <w:sz w:val="24"/>
                <w:szCs w:val="24"/>
              </w:rPr>
              <w:t>合同金额</w:t>
            </w:r>
          </w:p>
        </w:tc>
        <w:tc>
          <w:tcPr>
            <w:tcW w:w="62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88" w:hRule="atLeast"/>
          <w:jc w:val="center"/>
        </w:trPr>
        <w:tc>
          <w:tcPr>
            <w:tcW w:w="228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szCs w:val="24"/>
              </w:rPr>
            </w:pPr>
            <w:r>
              <w:rPr>
                <w:rFonts w:hint="eastAsia" w:hAnsi="宋体"/>
                <w:sz w:val="24"/>
                <w:szCs w:val="24"/>
              </w:rPr>
              <w:t>项目描述</w:t>
            </w:r>
          </w:p>
        </w:tc>
        <w:tc>
          <w:tcPr>
            <w:tcW w:w="62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6" w:hRule="atLeast"/>
          <w:jc w:val="center"/>
        </w:trPr>
        <w:tc>
          <w:tcPr>
            <w:tcW w:w="228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szCs w:val="24"/>
              </w:rPr>
            </w:pPr>
            <w:r>
              <w:rPr>
                <w:rFonts w:hint="eastAsia" w:hAnsi="宋体"/>
                <w:sz w:val="24"/>
                <w:szCs w:val="24"/>
              </w:rPr>
              <w:t>备注</w:t>
            </w:r>
          </w:p>
        </w:tc>
        <w:tc>
          <w:tcPr>
            <w:tcW w:w="62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szCs w:val="24"/>
              </w:rPr>
            </w:pPr>
          </w:p>
        </w:tc>
      </w:tr>
    </w:tbl>
    <w:p>
      <w:pPr>
        <w:spacing w:line="460" w:lineRule="exact"/>
        <w:rPr>
          <w:rFonts w:ascii="宋体" w:hAnsi="宋体" w:eastAsia="宋体" w:cs="宋体"/>
          <w:bCs/>
        </w:rPr>
      </w:pPr>
      <w:r>
        <w:rPr>
          <w:rFonts w:hint="eastAsia" w:ascii="宋体" w:hAnsi="宋体" w:eastAsia="宋体" w:cs="宋体"/>
          <w:bCs/>
          <w:color w:val="auto"/>
        </w:rPr>
        <w:t>注：1、投标</w:t>
      </w:r>
      <w:r>
        <w:rPr>
          <w:rFonts w:hint="eastAsia" w:ascii="宋体" w:hAnsi="宋体" w:eastAsia="宋体" w:cs="宋体"/>
          <w:bCs/>
        </w:rPr>
        <w:t>供应商随此表附上近三年（2019年1月1日至今）承接过类似项目业绩（中标通知或合同复印件并加盖单位公章）。</w:t>
      </w:r>
    </w:p>
    <w:p>
      <w:pPr>
        <w:spacing w:line="460" w:lineRule="exact"/>
        <w:rPr>
          <w:rFonts w:ascii="宋体" w:hAnsi="宋体" w:eastAsia="宋体" w:cs="宋体"/>
          <w:bCs/>
          <w:color w:val="auto"/>
        </w:rPr>
      </w:pPr>
      <w:r>
        <w:rPr>
          <w:rFonts w:hint="eastAsia" w:ascii="宋体" w:hAnsi="宋体" w:eastAsia="宋体" w:cs="宋体"/>
          <w:bCs/>
        </w:rPr>
        <w:t>2、如有多个项目，每个项目填一张此表，附后。</w:t>
      </w:r>
    </w:p>
    <w:p>
      <w:pPr>
        <w:spacing w:line="500" w:lineRule="exact"/>
        <w:rPr>
          <w:rFonts w:ascii="宋体" w:hAnsi="宋体" w:eastAsia="宋体" w:cs="宋体"/>
          <w:color w:val="auto"/>
          <w:sz w:val="24"/>
          <w:szCs w:val="24"/>
        </w:rPr>
      </w:pPr>
    </w:p>
    <w:p>
      <w:pPr>
        <w:spacing w:line="500" w:lineRule="exact"/>
        <w:rPr>
          <w:rFonts w:ascii="宋体" w:hAnsi="宋体" w:eastAsia="宋体" w:cs="宋体"/>
          <w:color w:val="auto"/>
          <w:sz w:val="24"/>
          <w:szCs w:val="24"/>
        </w:rPr>
      </w:pPr>
      <w:r>
        <w:rPr>
          <w:rFonts w:hint="eastAsia" w:ascii="宋体" w:hAnsi="宋体" w:eastAsia="宋体" w:cs="宋体"/>
          <w:color w:val="auto"/>
          <w:sz w:val="24"/>
          <w:szCs w:val="24"/>
        </w:rPr>
        <w:t>投标供应商（盖章）：</w:t>
      </w:r>
      <w:r>
        <w:rPr>
          <w:rFonts w:hint="eastAsia" w:ascii="宋体" w:hAnsi="宋体" w:eastAsia="宋体" w:cs="宋体"/>
          <w:color w:val="auto"/>
          <w:sz w:val="24"/>
          <w:szCs w:val="24"/>
          <w:u w:val="single"/>
        </w:rPr>
        <w:t xml:space="preserve">                   </w:t>
      </w:r>
    </w:p>
    <w:p>
      <w:pPr>
        <w:spacing w:line="500" w:lineRule="exact"/>
        <w:rPr>
          <w:rFonts w:ascii="宋体" w:hAnsi="宋体" w:eastAsia="宋体" w:cs="宋体"/>
          <w:color w:val="auto"/>
          <w:sz w:val="24"/>
          <w:szCs w:val="24"/>
          <w:u w:val="single"/>
        </w:rPr>
      </w:pPr>
      <w:r>
        <w:rPr>
          <w:rFonts w:hint="eastAsia" w:ascii="宋体" w:hAnsi="宋体" w:eastAsia="宋体" w:cs="宋体"/>
          <w:color w:val="auto"/>
          <w:sz w:val="24"/>
          <w:szCs w:val="24"/>
        </w:rPr>
        <w:t>法定代表人或授权代表（签字）：</w:t>
      </w:r>
      <w:r>
        <w:rPr>
          <w:rFonts w:hint="eastAsia" w:ascii="宋体" w:hAnsi="宋体" w:eastAsia="宋体" w:cs="宋体"/>
          <w:color w:val="auto"/>
          <w:sz w:val="24"/>
          <w:szCs w:val="24"/>
          <w:u w:val="single"/>
        </w:rPr>
        <w:t xml:space="preserve">         </w:t>
      </w:r>
    </w:p>
    <w:p>
      <w:pPr>
        <w:spacing w:line="500" w:lineRule="exact"/>
        <w:rPr>
          <w:rFonts w:ascii="宋体" w:hAnsi="宋体" w:eastAsia="宋体" w:cs="宋体"/>
          <w:color w:val="auto"/>
          <w:sz w:val="24"/>
          <w:szCs w:val="24"/>
          <w:u w:val="single"/>
        </w:rPr>
      </w:pPr>
      <w:r>
        <w:rPr>
          <w:rFonts w:hint="eastAsia" w:ascii="宋体" w:hAnsi="宋体" w:eastAsia="宋体" w:cs="宋体"/>
          <w:color w:val="auto"/>
          <w:sz w:val="24"/>
          <w:szCs w:val="24"/>
        </w:rPr>
        <w:t>日    期：</w:t>
      </w:r>
      <w:r>
        <w:rPr>
          <w:rFonts w:hint="eastAsia" w:ascii="宋体" w:hAnsi="宋体" w:eastAsia="宋体" w:cs="宋体"/>
          <w:color w:val="auto"/>
          <w:sz w:val="24"/>
          <w:szCs w:val="24"/>
          <w:u w:val="single"/>
        </w:rPr>
        <w:t xml:space="preserve">                             </w:t>
      </w: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pStyle w:val="28"/>
        <w:spacing w:line="360" w:lineRule="auto"/>
        <w:rPr>
          <w:rFonts w:hAnsi="宋体" w:eastAsia="宋体" w:cs="宋体"/>
          <w:b/>
          <w:color w:val="auto"/>
          <w:sz w:val="24"/>
          <w:szCs w:val="24"/>
        </w:rPr>
      </w:pPr>
      <w:r>
        <w:rPr>
          <w:rFonts w:hint="eastAsia" w:hAnsi="宋体" w:eastAsia="宋体" w:cs="宋体"/>
          <w:b/>
          <w:color w:val="auto"/>
          <w:sz w:val="24"/>
          <w:szCs w:val="24"/>
        </w:rPr>
        <w:t>附件3：提供符合政府采购政策的证明材料</w:t>
      </w:r>
    </w:p>
    <w:p>
      <w:pPr>
        <w:jc w:val="center"/>
        <w:rPr>
          <w:rFonts w:ascii="宋体" w:hAnsi="宋体" w:eastAsia="宋体" w:cs="宋体"/>
          <w:b/>
          <w:bCs/>
          <w:color w:val="auto"/>
          <w:sz w:val="28"/>
          <w:szCs w:val="28"/>
          <w:lang w:bidi="ar"/>
        </w:rPr>
      </w:pPr>
    </w:p>
    <w:p>
      <w:pPr>
        <w:jc w:val="center"/>
        <w:rPr>
          <w:rFonts w:ascii="宋体" w:hAnsi="宋体" w:eastAsia="宋体" w:cs="宋体"/>
          <w:color w:val="auto"/>
          <w:sz w:val="28"/>
          <w:szCs w:val="28"/>
        </w:rPr>
      </w:pPr>
      <w:r>
        <w:rPr>
          <w:rFonts w:hint="eastAsia" w:ascii="宋体" w:hAnsi="宋体" w:eastAsia="宋体" w:cs="宋体"/>
          <w:b/>
          <w:bCs/>
          <w:color w:val="auto"/>
          <w:sz w:val="28"/>
          <w:szCs w:val="28"/>
          <w:lang w:bidi="ar"/>
        </w:rPr>
        <w:t>3.1中小企业声明函（工程、服务）</w:t>
      </w:r>
    </w:p>
    <w:p>
      <w:pPr>
        <w:spacing w:line="540" w:lineRule="exact"/>
        <w:ind w:firstLine="480" w:firstLineChars="200"/>
        <w:rPr>
          <w:rFonts w:ascii="宋体" w:hAnsi="宋体" w:cs="宋体"/>
          <w:color w:val="auto"/>
          <w:sz w:val="24"/>
        </w:rPr>
      </w:pPr>
    </w:p>
    <w:p>
      <w:pPr>
        <w:spacing w:line="540" w:lineRule="exact"/>
        <w:ind w:firstLine="480" w:firstLineChars="200"/>
        <w:rPr>
          <w:rFonts w:ascii="宋体" w:hAnsi="宋体" w:cs="宋体"/>
          <w:color w:val="auto"/>
          <w:sz w:val="24"/>
        </w:rPr>
      </w:pPr>
      <w:r>
        <w:rPr>
          <w:rFonts w:hint="eastAsia" w:ascii="宋体" w:hAnsi="宋体" w:cs="宋体"/>
          <w:color w:val="auto"/>
          <w:sz w:val="24"/>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spacing w:line="540" w:lineRule="exact"/>
        <w:ind w:firstLine="480" w:firstLineChars="200"/>
        <w:rPr>
          <w:rFonts w:ascii="宋体" w:hAnsi="宋体" w:cs="宋体"/>
          <w:color w:val="auto"/>
          <w:sz w:val="24"/>
        </w:rPr>
      </w:pPr>
      <w:r>
        <w:rPr>
          <w:rFonts w:hint="eastAsia" w:ascii="宋体" w:hAnsi="宋体" w:cs="宋体"/>
          <w:color w:val="auto"/>
          <w:sz w:val="24"/>
        </w:rPr>
        <w:t xml:space="preserve">1. </w:t>
      </w:r>
      <w:r>
        <w:rPr>
          <w:rFonts w:hint="eastAsia" w:ascii="宋体" w:hAnsi="宋体" w:cs="宋体"/>
          <w:color w:val="auto"/>
          <w:sz w:val="24"/>
          <w:u w:val="single"/>
        </w:rPr>
        <w:t>（标的名称）</w:t>
      </w:r>
      <w:r>
        <w:rPr>
          <w:rFonts w:hint="eastAsia" w:ascii="宋体" w:hAnsi="宋体" w:cs="宋体"/>
          <w:color w:val="auto"/>
          <w:sz w:val="24"/>
        </w:rPr>
        <w:t>，属于</w:t>
      </w:r>
      <w:r>
        <w:rPr>
          <w:rFonts w:hint="eastAsia" w:ascii="宋体" w:hAnsi="宋体" w:cs="宋体"/>
          <w:color w:val="auto"/>
          <w:sz w:val="24"/>
          <w:u w:val="single"/>
        </w:rPr>
        <w:t>（采购文件中明确的所属行业）</w:t>
      </w:r>
      <w:r>
        <w:rPr>
          <w:rFonts w:hint="eastAsia" w:ascii="宋体" w:hAnsi="宋体" w:cs="宋体"/>
          <w:color w:val="auto"/>
          <w:sz w:val="24"/>
        </w:rPr>
        <w:t>；承建（承接）企业为</w:t>
      </w:r>
      <w:r>
        <w:rPr>
          <w:rFonts w:hint="eastAsia" w:ascii="宋体" w:hAnsi="宋体" w:cs="宋体"/>
          <w:color w:val="auto"/>
          <w:sz w:val="24"/>
          <w:u w:val="single"/>
        </w:rPr>
        <w:t>（企业名称）</w:t>
      </w:r>
      <w:r>
        <w:rPr>
          <w:rFonts w:hint="eastAsia" w:ascii="宋体" w:hAnsi="宋体" w:cs="宋体"/>
          <w:color w:val="auto"/>
          <w:sz w:val="24"/>
        </w:rPr>
        <w:t>，从业人员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w:t>
      </w:r>
      <w:r>
        <w:rPr>
          <w:rFonts w:hint="eastAsia" w:ascii="宋体" w:hAnsi="宋体" w:cs="宋体"/>
          <w:color w:val="auto"/>
          <w:sz w:val="24"/>
        </w:rPr>
        <w:t xml:space="preserve">； </w:t>
      </w:r>
    </w:p>
    <w:p>
      <w:pPr>
        <w:spacing w:line="540" w:lineRule="exact"/>
        <w:ind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u w:val="single"/>
        </w:rPr>
        <w:t xml:space="preserve"> （标的名称） </w:t>
      </w:r>
      <w:r>
        <w:rPr>
          <w:rFonts w:hint="eastAsia" w:ascii="宋体" w:hAnsi="宋体" w:cs="宋体"/>
          <w:color w:val="auto"/>
          <w:sz w:val="24"/>
        </w:rPr>
        <w:t>，属于</w:t>
      </w:r>
      <w:r>
        <w:rPr>
          <w:rFonts w:hint="eastAsia" w:ascii="宋体" w:hAnsi="宋体" w:cs="宋体"/>
          <w:color w:val="auto"/>
          <w:sz w:val="24"/>
          <w:u w:val="single"/>
        </w:rPr>
        <w:t>（采购文件中明确的所属行业）</w:t>
      </w:r>
      <w:r>
        <w:rPr>
          <w:rFonts w:hint="eastAsia" w:ascii="宋体" w:hAnsi="宋体" w:cs="宋体"/>
          <w:color w:val="auto"/>
          <w:sz w:val="24"/>
        </w:rPr>
        <w:t>；承建（承接）企业为</w:t>
      </w:r>
      <w:r>
        <w:rPr>
          <w:rFonts w:hint="eastAsia" w:ascii="宋体" w:hAnsi="宋体" w:cs="宋体"/>
          <w:color w:val="auto"/>
          <w:sz w:val="24"/>
          <w:u w:val="single"/>
        </w:rPr>
        <w:t>（企业名称）</w:t>
      </w:r>
      <w:r>
        <w:rPr>
          <w:rFonts w:hint="eastAsia" w:ascii="宋体" w:hAnsi="宋体" w:cs="宋体"/>
          <w:color w:val="auto"/>
          <w:sz w:val="24"/>
        </w:rPr>
        <w:t>，从业人员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（中型企业、小型企业、微型企业）</w:t>
      </w:r>
      <w:r>
        <w:rPr>
          <w:rFonts w:hint="eastAsia" w:ascii="宋体" w:hAnsi="宋体" w:cs="宋体"/>
          <w:color w:val="auto"/>
          <w:sz w:val="24"/>
        </w:rPr>
        <w:t xml:space="preserve">； </w:t>
      </w:r>
    </w:p>
    <w:p>
      <w:pPr>
        <w:spacing w:line="540" w:lineRule="exact"/>
        <w:ind w:firstLine="480" w:firstLineChars="200"/>
        <w:rPr>
          <w:rFonts w:ascii="宋体" w:hAnsi="宋体" w:cs="宋体"/>
          <w:color w:val="auto"/>
          <w:sz w:val="24"/>
        </w:rPr>
      </w:pPr>
      <w:r>
        <w:rPr>
          <w:rFonts w:hint="eastAsia" w:ascii="宋体" w:hAnsi="宋体" w:cs="宋体"/>
          <w:color w:val="auto"/>
          <w:sz w:val="24"/>
        </w:rPr>
        <w:t>……</w:t>
      </w:r>
    </w:p>
    <w:p>
      <w:pPr>
        <w:spacing w:line="540" w:lineRule="exact"/>
        <w:ind w:firstLine="480" w:firstLineChars="200"/>
        <w:rPr>
          <w:rFonts w:ascii="宋体" w:hAnsi="宋体" w:cs="宋体"/>
          <w:color w:val="auto"/>
          <w:sz w:val="24"/>
        </w:rPr>
      </w:pPr>
      <w:r>
        <w:rPr>
          <w:rFonts w:hint="eastAsia" w:ascii="宋体" w:hAnsi="宋体" w:cs="宋体"/>
          <w:color w:val="auto"/>
          <w:sz w:val="24"/>
        </w:rPr>
        <w:t>以上企业，不属于大企业的分支机构，不存在控股股东为大企业的情形，也不存在与大企业的负责人为同一人的情形。</w:t>
      </w:r>
    </w:p>
    <w:p>
      <w:pPr>
        <w:spacing w:line="540" w:lineRule="exact"/>
        <w:ind w:firstLine="480" w:firstLineChars="200"/>
        <w:rPr>
          <w:rFonts w:ascii="宋体" w:hAnsi="宋体" w:cs="宋体"/>
          <w:color w:val="auto"/>
          <w:sz w:val="24"/>
        </w:rPr>
      </w:pPr>
      <w:r>
        <w:rPr>
          <w:rFonts w:hint="eastAsia" w:ascii="宋体" w:hAnsi="宋体" w:cs="宋体"/>
          <w:color w:val="auto"/>
          <w:sz w:val="24"/>
        </w:rPr>
        <w:t xml:space="preserve">本企业对上述声明内容的真实性负责。如有虚假，将依法承担相应责任。 </w:t>
      </w:r>
    </w:p>
    <w:p>
      <w:pPr>
        <w:spacing w:line="540" w:lineRule="exact"/>
        <w:ind w:firstLine="3840" w:firstLineChars="1600"/>
        <w:rPr>
          <w:rFonts w:ascii="宋体" w:hAnsi="宋体" w:cs="宋体"/>
          <w:color w:val="auto"/>
          <w:sz w:val="24"/>
        </w:rPr>
      </w:pPr>
    </w:p>
    <w:p>
      <w:pPr>
        <w:spacing w:line="540" w:lineRule="exact"/>
        <w:ind w:firstLine="3840" w:firstLineChars="1600"/>
        <w:rPr>
          <w:rFonts w:ascii="宋体" w:hAnsi="宋体" w:cs="宋体"/>
          <w:color w:val="auto"/>
          <w:sz w:val="24"/>
        </w:rPr>
      </w:pPr>
      <w:r>
        <w:rPr>
          <w:rFonts w:hint="eastAsia" w:ascii="宋体" w:hAnsi="宋体" w:cs="宋体"/>
          <w:color w:val="auto"/>
          <w:sz w:val="24"/>
        </w:rPr>
        <w:t xml:space="preserve">企业名称（盖章）： </w:t>
      </w:r>
    </w:p>
    <w:p>
      <w:pPr>
        <w:spacing w:line="540" w:lineRule="exact"/>
        <w:ind w:firstLine="3840" w:firstLineChars="1600"/>
        <w:rPr>
          <w:rFonts w:ascii="宋体" w:hAnsi="宋体" w:cs="宋体"/>
          <w:color w:val="auto"/>
          <w:sz w:val="24"/>
        </w:rPr>
      </w:pPr>
      <w:r>
        <w:rPr>
          <w:rFonts w:hint="eastAsia" w:ascii="宋体" w:hAnsi="宋体" w:cs="宋体"/>
          <w:color w:val="auto"/>
          <w:sz w:val="24"/>
        </w:rPr>
        <w:t xml:space="preserve">日 期： </w:t>
      </w:r>
    </w:p>
    <w:p>
      <w:pPr>
        <w:spacing w:line="360" w:lineRule="auto"/>
        <w:rPr>
          <w:rFonts w:ascii="宋体" w:hAnsi="宋体" w:cs="宋体"/>
          <w:color w:val="auto"/>
          <w:spacing w:val="6"/>
          <w:u w:val="single"/>
        </w:rPr>
      </w:pPr>
    </w:p>
    <w:p>
      <w:pPr>
        <w:spacing w:line="360" w:lineRule="auto"/>
        <w:rPr>
          <w:rFonts w:ascii="宋体" w:hAnsi="宋体" w:cs="宋体"/>
          <w:color w:val="auto"/>
          <w:spacing w:val="6"/>
          <w:u w:val="single"/>
        </w:rPr>
      </w:pPr>
      <w:r>
        <w:rPr>
          <w:rFonts w:hint="eastAsia" w:ascii="宋体" w:hAnsi="宋体" w:cs="宋体"/>
          <w:color w:val="auto"/>
          <w:spacing w:val="6"/>
          <w:u w:val="single"/>
        </w:rPr>
        <w:t xml:space="preserve">                                                                          </w:t>
      </w:r>
    </w:p>
    <w:p>
      <w:pPr>
        <w:spacing w:line="360" w:lineRule="auto"/>
        <w:rPr>
          <w:rFonts w:ascii="宋体" w:hAnsi="宋体" w:cs="宋体"/>
          <w:color w:val="auto"/>
          <w:spacing w:val="6"/>
          <w:sz w:val="18"/>
          <w:szCs w:val="18"/>
        </w:rPr>
      </w:pPr>
      <w:r>
        <w:rPr>
          <w:rFonts w:ascii="宋体" w:hAnsi="宋体" w:cs="宋体"/>
          <w:color w:val="auto"/>
          <w:spacing w:val="6"/>
          <w:sz w:val="18"/>
          <w:szCs w:val="18"/>
        </w:rPr>
        <w:t xml:space="preserve">1 </w:t>
      </w:r>
      <w:r>
        <w:rPr>
          <w:rFonts w:hint="eastAsia" w:ascii="宋体" w:hAnsi="宋体" w:cs="宋体"/>
          <w:color w:val="auto"/>
          <w:spacing w:val="6"/>
          <w:sz w:val="18"/>
          <w:szCs w:val="18"/>
        </w:rPr>
        <w:t>从业人员、营业收入、资产总额填报上一年度数据，无上一年度数据的新成立企业可不填报。</w:t>
      </w:r>
    </w:p>
    <w:p>
      <w:pPr>
        <w:spacing w:line="360" w:lineRule="auto"/>
        <w:rPr>
          <w:rFonts w:ascii="宋体" w:hAnsi="宋体" w:cs="宋体"/>
          <w:b/>
          <w:bCs/>
          <w:color w:val="auto"/>
        </w:rPr>
      </w:pPr>
    </w:p>
    <w:p>
      <w:pPr>
        <w:spacing w:line="360" w:lineRule="auto"/>
        <w:jc w:val="center"/>
        <w:rPr>
          <w:rFonts w:ascii="宋体" w:hAnsi="宋体" w:eastAsia="宋体" w:cs="宋体"/>
          <w:b/>
          <w:bCs/>
          <w:color w:val="auto"/>
          <w:sz w:val="28"/>
          <w:szCs w:val="28"/>
        </w:rPr>
      </w:pPr>
      <w:r>
        <w:rPr>
          <w:rFonts w:hint="eastAsia" w:ascii="宋体" w:hAnsi="宋体" w:cs="宋体"/>
          <w:b/>
          <w:bCs/>
          <w:color w:val="auto"/>
        </w:rPr>
        <w:br w:type="page"/>
      </w:r>
      <w:r>
        <w:rPr>
          <w:rFonts w:hint="eastAsia" w:ascii="宋体" w:hAnsi="宋体" w:eastAsia="宋体" w:cs="宋体"/>
          <w:b/>
          <w:bCs/>
          <w:color w:val="auto"/>
          <w:sz w:val="28"/>
          <w:szCs w:val="28"/>
        </w:rPr>
        <w:t>3.2残疾人福利性单位声明函</w:t>
      </w:r>
    </w:p>
    <w:p>
      <w:pPr>
        <w:jc w:val="center"/>
        <w:rPr>
          <w:rFonts w:ascii="宋体" w:hAnsi="宋体" w:eastAsia="宋体" w:cs="宋体"/>
          <w:color w:val="auto"/>
        </w:rPr>
      </w:pPr>
    </w:p>
    <w:p>
      <w:pPr>
        <w:jc w:val="center"/>
        <w:rPr>
          <w:rFonts w:ascii="宋体" w:hAnsi="宋体" w:eastAsia="宋体" w:cs="宋体"/>
          <w:color w:val="auto"/>
          <w:sz w:val="24"/>
          <w:szCs w:val="24"/>
        </w:rPr>
      </w:pPr>
      <w:r>
        <w:rPr>
          <w:rFonts w:hint="eastAsia" w:ascii="宋体" w:hAnsi="宋体" w:eastAsia="宋体" w:cs="宋体"/>
          <w:color w:val="auto"/>
          <w:sz w:val="24"/>
          <w:szCs w:val="24"/>
        </w:rPr>
        <w:t>（注：残疾人福利性单位须提供本函）</w:t>
      </w:r>
    </w:p>
    <w:p>
      <w:pPr>
        <w:spacing w:line="360" w:lineRule="auto"/>
        <w:rPr>
          <w:rFonts w:ascii="宋体" w:hAnsi="宋体" w:eastAsia="宋体" w:cs="宋体"/>
          <w:b/>
          <w:color w:val="auto"/>
          <w:spacing w:val="6"/>
          <w:sz w:val="24"/>
          <w:szCs w:val="24"/>
        </w:rPr>
      </w:pPr>
    </w:p>
    <w:p>
      <w:pPr>
        <w:spacing w:line="360" w:lineRule="auto"/>
        <w:ind w:firstLine="504" w:firstLineChars="200"/>
        <w:rPr>
          <w:rFonts w:ascii="宋体" w:hAnsi="宋体" w:eastAsia="宋体" w:cs="宋体"/>
          <w:color w:val="auto"/>
          <w:spacing w:val="6"/>
          <w:sz w:val="24"/>
          <w:szCs w:val="24"/>
        </w:rPr>
      </w:pPr>
      <w:r>
        <w:rPr>
          <w:rFonts w:hint="eastAsia" w:ascii="宋体" w:hAnsi="宋体" w:eastAsia="宋体" w:cs="宋体"/>
          <w:color w:val="auto"/>
          <w:spacing w:val="6"/>
          <w:sz w:val="24"/>
          <w:szCs w:val="24"/>
        </w:rPr>
        <w:t>本单位郑重声明，根据《财政部 民政部 中国残疾人联合会关于促进残疾人就业政府采购政策的通知》（财库</w:t>
      </w:r>
      <w:r>
        <w:rPr>
          <w:rFonts w:hint="eastAsia" w:ascii="宋体" w:hAnsi="宋体" w:eastAsia="宋体" w:cs="宋体"/>
          <w:color w:val="auto"/>
          <w:sz w:val="24"/>
          <w:szCs w:val="24"/>
        </w:rPr>
        <w:t>〔2017〕 141</w:t>
      </w:r>
      <w:r>
        <w:rPr>
          <w:rFonts w:hint="eastAsia" w:ascii="宋体" w:hAnsi="宋体" w:eastAsia="宋体" w:cs="宋体"/>
          <w:color w:val="auto"/>
          <w:spacing w:val="6"/>
          <w:sz w:val="24"/>
          <w:szCs w:val="24"/>
        </w:rPr>
        <w:t>号）的规定，本单位为符合条件的残疾人福利性单位，且本单位参加</w:t>
      </w:r>
      <w:r>
        <w:rPr>
          <w:rFonts w:hint="eastAsia" w:ascii="宋体" w:hAnsi="宋体" w:eastAsia="宋体" w:cs="宋体"/>
          <w:color w:val="auto"/>
          <w:spacing w:val="6"/>
          <w:sz w:val="24"/>
          <w:szCs w:val="24"/>
          <w:u w:val="single"/>
        </w:rPr>
        <w:t xml:space="preserve">        </w:t>
      </w:r>
      <w:r>
        <w:rPr>
          <w:rFonts w:hint="eastAsia" w:ascii="宋体" w:hAnsi="宋体" w:eastAsia="宋体" w:cs="宋体"/>
          <w:color w:val="auto"/>
          <w:spacing w:val="6"/>
          <w:sz w:val="24"/>
          <w:szCs w:val="24"/>
        </w:rPr>
        <w:t>单位的</w:t>
      </w:r>
      <w:r>
        <w:rPr>
          <w:rFonts w:hint="eastAsia" w:ascii="宋体" w:hAnsi="宋体" w:eastAsia="宋体" w:cs="宋体"/>
          <w:color w:val="auto"/>
          <w:spacing w:val="6"/>
          <w:sz w:val="24"/>
          <w:szCs w:val="24"/>
          <w:u w:val="single"/>
        </w:rPr>
        <w:t xml:space="preserve">          </w:t>
      </w:r>
      <w:r>
        <w:rPr>
          <w:rFonts w:hint="eastAsia" w:ascii="宋体" w:hAnsi="宋体" w:eastAsia="宋体" w:cs="宋体"/>
          <w:color w:val="auto"/>
          <w:spacing w:val="6"/>
          <w:sz w:val="24"/>
          <w:szCs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ascii="宋体" w:hAnsi="宋体" w:eastAsia="宋体" w:cs="宋体"/>
          <w:color w:val="auto"/>
          <w:spacing w:val="6"/>
          <w:sz w:val="24"/>
          <w:szCs w:val="24"/>
        </w:rPr>
      </w:pPr>
      <w:r>
        <w:rPr>
          <w:rFonts w:hint="eastAsia" w:ascii="宋体" w:hAnsi="宋体" w:eastAsia="宋体" w:cs="宋体"/>
          <w:color w:val="auto"/>
          <w:spacing w:val="6"/>
          <w:sz w:val="24"/>
          <w:szCs w:val="24"/>
        </w:rPr>
        <w:t>本单位对上述声明的真实性负责。如有虚假，将依法承担相应责任。</w:t>
      </w:r>
    </w:p>
    <w:p>
      <w:pPr>
        <w:spacing w:line="360" w:lineRule="auto"/>
        <w:ind w:firstLine="504" w:firstLineChars="200"/>
        <w:rPr>
          <w:rFonts w:ascii="宋体" w:hAnsi="宋体" w:eastAsia="宋体" w:cs="宋体"/>
          <w:color w:val="auto"/>
          <w:spacing w:val="6"/>
          <w:sz w:val="24"/>
          <w:szCs w:val="24"/>
        </w:rPr>
      </w:pPr>
    </w:p>
    <w:p>
      <w:pPr>
        <w:spacing w:line="360" w:lineRule="auto"/>
        <w:ind w:firstLine="504" w:firstLineChars="200"/>
        <w:rPr>
          <w:rFonts w:ascii="宋体" w:hAnsi="宋体" w:eastAsia="宋体" w:cs="宋体"/>
          <w:color w:val="auto"/>
          <w:spacing w:val="6"/>
          <w:sz w:val="24"/>
          <w:szCs w:val="24"/>
        </w:rPr>
      </w:pPr>
    </w:p>
    <w:p>
      <w:pPr>
        <w:pStyle w:val="2"/>
        <w:rPr>
          <w:rFonts w:ascii="宋体" w:hAnsi="宋体" w:eastAsia="宋体" w:cs="宋体"/>
          <w:color w:val="auto"/>
          <w:szCs w:val="24"/>
        </w:rPr>
      </w:pPr>
    </w:p>
    <w:p>
      <w:pPr>
        <w:tabs>
          <w:tab w:val="left" w:pos="4860"/>
        </w:tabs>
        <w:spacing w:line="360" w:lineRule="auto"/>
        <w:ind w:right="1560" w:firstLine="504" w:firstLineChars="200"/>
        <w:jc w:val="center"/>
        <w:rPr>
          <w:rFonts w:ascii="宋体" w:hAnsi="宋体" w:eastAsia="宋体" w:cs="宋体"/>
          <w:color w:val="auto"/>
          <w:spacing w:val="6"/>
          <w:sz w:val="24"/>
          <w:szCs w:val="24"/>
        </w:rPr>
      </w:pPr>
      <w:r>
        <w:rPr>
          <w:rFonts w:hint="eastAsia" w:ascii="宋体" w:hAnsi="宋体" w:eastAsia="宋体" w:cs="宋体"/>
          <w:color w:val="auto"/>
          <w:spacing w:val="6"/>
          <w:sz w:val="24"/>
          <w:szCs w:val="24"/>
        </w:rPr>
        <w:t xml:space="preserve">                单位名称（盖章）：</w:t>
      </w:r>
    </w:p>
    <w:p>
      <w:pPr>
        <w:tabs>
          <w:tab w:val="left" w:pos="4860"/>
        </w:tabs>
        <w:spacing w:line="360" w:lineRule="auto"/>
        <w:ind w:right="1560" w:firstLine="504" w:firstLineChars="200"/>
        <w:jc w:val="center"/>
        <w:rPr>
          <w:rFonts w:ascii="宋体" w:hAnsi="宋体" w:eastAsia="宋体" w:cs="宋体"/>
          <w:color w:val="auto"/>
          <w:sz w:val="24"/>
          <w:szCs w:val="24"/>
        </w:rPr>
      </w:pPr>
      <w:r>
        <w:rPr>
          <w:rFonts w:hint="eastAsia" w:ascii="宋体" w:hAnsi="宋体" w:eastAsia="宋体" w:cs="宋体"/>
          <w:color w:val="auto"/>
          <w:spacing w:val="6"/>
          <w:sz w:val="24"/>
          <w:szCs w:val="24"/>
        </w:rPr>
        <w:t xml:space="preserve">                  日  期：  年  月  日</w:t>
      </w:r>
    </w:p>
    <w:p>
      <w:pPr>
        <w:spacing w:before="50" w:line="360" w:lineRule="auto"/>
        <w:jc w:val="center"/>
        <w:rPr>
          <w:rFonts w:ascii="宋体" w:hAnsi="宋体" w:eastAsia="宋体" w:cs="宋体"/>
          <w:b/>
          <w:color w:val="auto"/>
          <w:sz w:val="22"/>
          <w:szCs w:val="22"/>
        </w:rPr>
      </w:pPr>
    </w:p>
    <w:p>
      <w:pPr>
        <w:pStyle w:val="2"/>
        <w:rPr>
          <w:rFonts w:ascii="宋体" w:hAnsi="宋体" w:eastAsia="宋体" w:cs="宋体"/>
          <w:b/>
          <w:color w:val="auto"/>
          <w:sz w:val="20"/>
          <w:szCs w:val="20"/>
        </w:rPr>
      </w:pPr>
    </w:p>
    <w:p>
      <w:pPr>
        <w:rPr>
          <w:rFonts w:ascii="宋体" w:hAnsi="宋体" w:eastAsia="宋体" w:cs="宋体"/>
          <w:b/>
          <w:color w:val="auto"/>
          <w:sz w:val="20"/>
          <w:szCs w:val="20"/>
        </w:rPr>
      </w:pPr>
    </w:p>
    <w:p>
      <w:pPr>
        <w:pStyle w:val="2"/>
        <w:rPr>
          <w:rFonts w:ascii="宋体" w:hAnsi="宋体" w:cs="宋体"/>
          <w:b/>
          <w:color w:val="auto"/>
          <w:sz w:val="36"/>
          <w:szCs w:val="36"/>
        </w:rPr>
      </w:pPr>
    </w:p>
    <w:p>
      <w:pPr>
        <w:rPr>
          <w:rFonts w:ascii="宋体" w:hAnsi="宋体" w:cs="宋体"/>
          <w:b/>
          <w:color w:val="auto"/>
          <w:sz w:val="36"/>
          <w:szCs w:val="36"/>
        </w:rPr>
      </w:pPr>
    </w:p>
    <w:p>
      <w:pPr>
        <w:pStyle w:val="2"/>
        <w:rPr>
          <w:rFonts w:ascii="宋体" w:hAnsi="宋体" w:cs="宋体"/>
          <w:b/>
          <w:color w:val="auto"/>
          <w:sz w:val="36"/>
          <w:szCs w:val="36"/>
        </w:rPr>
      </w:pPr>
    </w:p>
    <w:p>
      <w:pPr>
        <w:rPr>
          <w:rFonts w:ascii="宋体" w:hAnsi="宋体" w:cs="宋体"/>
          <w:b/>
          <w:color w:val="auto"/>
          <w:sz w:val="36"/>
          <w:szCs w:val="36"/>
        </w:rPr>
      </w:pPr>
    </w:p>
    <w:p>
      <w:pPr>
        <w:pStyle w:val="2"/>
        <w:rPr>
          <w:rFonts w:ascii="宋体" w:hAnsi="宋体" w:cs="宋体"/>
          <w:b/>
          <w:color w:val="auto"/>
          <w:sz w:val="36"/>
          <w:szCs w:val="36"/>
        </w:rPr>
      </w:pPr>
    </w:p>
    <w:p>
      <w:pPr>
        <w:rPr>
          <w:rFonts w:ascii="宋体" w:hAnsi="宋体" w:cs="宋体"/>
          <w:b/>
          <w:color w:val="auto"/>
          <w:sz w:val="36"/>
          <w:szCs w:val="36"/>
        </w:rPr>
      </w:pPr>
    </w:p>
    <w:p>
      <w:pPr>
        <w:pStyle w:val="2"/>
        <w:rPr>
          <w:rFonts w:ascii="宋体" w:hAnsi="宋体" w:cs="宋体"/>
          <w:b/>
          <w:color w:val="auto"/>
          <w:sz w:val="36"/>
          <w:szCs w:val="36"/>
        </w:rPr>
      </w:pPr>
    </w:p>
    <w:p>
      <w:pPr>
        <w:rPr>
          <w:rFonts w:ascii="宋体" w:hAnsi="宋体" w:cs="宋体"/>
          <w:b/>
          <w:color w:val="auto"/>
          <w:sz w:val="36"/>
          <w:szCs w:val="36"/>
        </w:rPr>
      </w:pPr>
    </w:p>
    <w:p>
      <w:pPr>
        <w:pStyle w:val="27"/>
        <w:ind w:firstLine="723"/>
        <w:rPr>
          <w:rFonts w:ascii="宋体" w:hAnsi="宋体" w:cs="宋体"/>
          <w:b/>
          <w:color w:val="auto"/>
          <w:sz w:val="36"/>
          <w:szCs w:val="36"/>
        </w:rPr>
      </w:pPr>
    </w:p>
    <w:p>
      <w:pPr>
        <w:pStyle w:val="27"/>
        <w:ind w:firstLine="723"/>
        <w:rPr>
          <w:rFonts w:ascii="宋体" w:hAnsi="宋体" w:cs="宋体"/>
          <w:b/>
          <w:color w:val="auto"/>
          <w:sz w:val="36"/>
          <w:szCs w:val="36"/>
        </w:rPr>
      </w:pPr>
    </w:p>
    <w:p>
      <w:pPr>
        <w:pStyle w:val="27"/>
        <w:ind w:firstLine="723"/>
        <w:rPr>
          <w:rFonts w:ascii="宋体" w:hAnsi="宋体" w:cs="宋体"/>
          <w:b/>
          <w:color w:val="auto"/>
          <w:sz w:val="36"/>
          <w:szCs w:val="36"/>
        </w:rPr>
      </w:pPr>
    </w:p>
    <w:p>
      <w:pPr>
        <w:spacing w:line="360" w:lineRule="auto"/>
        <w:rPr>
          <w:rFonts w:ascii="宋体" w:hAnsi="宋体" w:cs="宋体"/>
          <w:b/>
          <w:bCs/>
          <w:color w:val="auto"/>
        </w:rPr>
      </w:pPr>
    </w:p>
    <w:p>
      <w:pPr>
        <w:pStyle w:val="4"/>
        <w:spacing w:before="0" w:after="0" w:line="415" w:lineRule="auto"/>
        <w:jc w:val="center"/>
        <w:rPr>
          <w:rFonts w:ascii="宋体" w:hAnsi="宋体" w:eastAsia="宋体" w:cs="宋体"/>
          <w:color w:val="auto"/>
          <w:sz w:val="28"/>
          <w:szCs w:val="28"/>
        </w:rPr>
      </w:pPr>
      <w:r>
        <w:rPr>
          <w:rFonts w:hint="eastAsia" w:ascii="宋体" w:hAnsi="宋体" w:eastAsia="宋体" w:cs="宋体"/>
          <w:color w:val="auto"/>
          <w:sz w:val="28"/>
          <w:szCs w:val="28"/>
        </w:rPr>
        <w:t>3.3监狱企业证明文件</w:t>
      </w:r>
    </w:p>
    <w:p>
      <w:pPr>
        <w:jc w:val="center"/>
        <w:rPr>
          <w:rFonts w:ascii="宋体" w:hAnsi="宋体" w:eastAsia="宋体" w:cs="宋体"/>
          <w:color w:val="auto"/>
          <w:sz w:val="24"/>
          <w:szCs w:val="24"/>
        </w:rPr>
      </w:pPr>
    </w:p>
    <w:p>
      <w:pPr>
        <w:jc w:val="center"/>
        <w:rPr>
          <w:rFonts w:ascii="宋体" w:hAnsi="宋体" w:eastAsia="宋体" w:cs="宋体"/>
          <w:color w:val="auto"/>
          <w:sz w:val="24"/>
          <w:szCs w:val="24"/>
        </w:rPr>
      </w:pPr>
      <w:r>
        <w:rPr>
          <w:rFonts w:hint="eastAsia" w:ascii="宋体" w:hAnsi="宋体" w:eastAsia="宋体" w:cs="宋体"/>
          <w:color w:val="auto"/>
          <w:sz w:val="24"/>
          <w:szCs w:val="24"/>
        </w:rPr>
        <w:t>（注：监狱企业须提供本函）</w:t>
      </w:r>
    </w:p>
    <w:p>
      <w:pPr>
        <w:pStyle w:val="27"/>
        <w:ind w:firstLine="0" w:firstLineChars="0"/>
        <w:rPr>
          <w:rFonts w:ascii="宋体" w:hAnsi="宋体" w:eastAsia="宋体" w:cs="宋体"/>
          <w:color w:val="auto"/>
          <w:spacing w:val="6"/>
          <w:sz w:val="24"/>
          <w:szCs w:val="24"/>
        </w:rPr>
      </w:pPr>
    </w:p>
    <w:p>
      <w:pPr>
        <w:pStyle w:val="27"/>
        <w:widowControl w:val="0"/>
        <w:kinsoku/>
        <w:autoSpaceDE/>
        <w:autoSpaceDN/>
        <w:adjustRightInd/>
        <w:snapToGrid/>
        <w:spacing w:line="360" w:lineRule="auto"/>
        <w:ind w:firstLine="504"/>
        <w:textAlignment w:val="auto"/>
        <w:rPr>
          <w:rFonts w:ascii="宋体" w:hAnsi="宋体" w:eastAsia="宋体" w:cs="宋体"/>
          <w:color w:val="auto"/>
          <w:spacing w:val="6"/>
          <w:sz w:val="24"/>
          <w:szCs w:val="24"/>
        </w:rPr>
      </w:pPr>
      <w:r>
        <w:rPr>
          <w:rFonts w:hint="eastAsia" w:ascii="宋体" w:hAnsi="宋体" w:eastAsia="宋体" w:cs="宋体"/>
          <w:color w:val="auto"/>
          <w:spacing w:val="6"/>
          <w:sz w:val="24"/>
          <w:szCs w:val="24"/>
        </w:rPr>
        <w:t>说明：根据《关于政府采购支持监狱企业发展有关问题的通知》（财库〔2014〕68号）的规定，监狱企业参加政府采购活动时，应当提供由省级以上监狱管理局、戒毒管理局（含新疆生产建设兵团）出具的属于监狱企业的证明文件。</w:t>
      </w:r>
    </w:p>
    <w:p>
      <w:pPr>
        <w:pStyle w:val="27"/>
        <w:widowControl w:val="0"/>
        <w:kinsoku/>
        <w:autoSpaceDE/>
        <w:autoSpaceDN/>
        <w:adjustRightInd/>
        <w:snapToGrid/>
        <w:spacing w:line="360" w:lineRule="auto"/>
        <w:ind w:firstLine="504"/>
        <w:textAlignment w:val="auto"/>
        <w:rPr>
          <w:rFonts w:ascii="宋体" w:hAnsi="宋体" w:eastAsia="宋体" w:cs="宋体"/>
          <w:color w:val="auto"/>
          <w:spacing w:val="6"/>
          <w:sz w:val="24"/>
          <w:szCs w:val="24"/>
        </w:rPr>
      </w:pPr>
    </w:p>
    <w:p>
      <w:pPr>
        <w:pStyle w:val="27"/>
        <w:widowControl w:val="0"/>
        <w:kinsoku/>
        <w:autoSpaceDE/>
        <w:autoSpaceDN/>
        <w:adjustRightInd/>
        <w:snapToGrid/>
        <w:spacing w:line="360" w:lineRule="auto"/>
        <w:ind w:firstLine="464"/>
        <w:textAlignment w:val="auto"/>
        <w:rPr>
          <w:rFonts w:ascii="宋体" w:hAnsi="宋体" w:eastAsia="宋体" w:cs="宋体"/>
          <w:color w:val="auto"/>
          <w:spacing w:val="6"/>
          <w:sz w:val="22"/>
          <w:szCs w:val="22"/>
        </w:rPr>
      </w:pPr>
    </w:p>
    <w:p>
      <w:pPr>
        <w:pStyle w:val="27"/>
        <w:widowControl w:val="0"/>
        <w:kinsoku/>
        <w:autoSpaceDE/>
        <w:autoSpaceDN/>
        <w:adjustRightInd/>
        <w:snapToGrid/>
        <w:spacing w:line="360" w:lineRule="auto"/>
        <w:ind w:firstLine="464"/>
        <w:textAlignment w:val="auto"/>
        <w:rPr>
          <w:rFonts w:ascii="宋体" w:hAnsi="宋体" w:eastAsia="宋体" w:cs="宋体"/>
          <w:color w:val="auto"/>
          <w:spacing w:val="6"/>
          <w:sz w:val="22"/>
          <w:szCs w:val="22"/>
        </w:rPr>
      </w:pPr>
    </w:p>
    <w:p>
      <w:pPr>
        <w:pStyle w:val="27"/>
        <w:widowControl w:val="0"/>
        <w:kinsoku/>
        <w:autoSpaceDE/>
        <w:autoSpaceDN/>
        <w:adjustRightInd/>
        <w:snapToGrid/>
        <w:spacing w:line="360" w:lineRule="auto"/>
        <w:ind w:firstLine="464"/>
        <w:textAlignment w:val="auto"/>
        <w:rPr>
          <w:rFonts w:ascii="宋体" w:hAnsi="宋体" w:eastAsia="宋体" w:cs="宋体"/>
          <w:color w:val="auto"/>
          <w:spacing w:val="6"/>
          <w:sz w:val="22"/>
          <w:szCs w:val="22"/>
        </w:rPr>
      </w:pPr>
    </w:p>
    <w:p>
      <w:pPr>
        <w:pStyle w:val="27"/>
        <w:widowControl w:val="0"/>
        <w:kinsoku/>
        <w:autoSpaceDE/>
        <w:autoSpaceDN/>
        <w:adjustRightInd/>
        <w:snapToGrid/>
        <w:spacing w:line="360" w:lineRule="auto"/>
        <w:ind w:firstLine="464"/>
        <w:textAlignment w:val="auto"/>
        <w:rPr>
          <w:rFonts w:ascii="宋体" w:hAnsi="宋体" w:eastAsia="宋体" w:cs="宋体"/>
          <w:color w:val="auto"/>
          <w:spacing w:val="6"/>
          <w:sz w:val="22"/>
          <w:szCs w:val="22"/>
        </w:rPr>
      </w:pPr>
    </w:p>
    <w:p>
      <w:pPr>
        <w:pStyle w:val="27"/>
        <w:widowControl w:val="0"/>
        <w:kinsoku/>
        <w:autoSpaceDE/>
        <w:autoSpaceDN/>
        <w:adjustRightInd/>
        <w:snapToGrid/>
        <w:spacing w:line="360" w:lineRule="auto"/>
        <w:ind w:firstLine="464"/>
        <w:textAlignment w:val="auto"/>
        <w:rPr>
          <w:rFonts w:ascii="宋体" w:hAnsi="宋体" w:eastAsia="宋体" w:cs="宋体"/>
          <w:color w:val="auto"/>
          <w:spacing w:val="6"/>
          <w:sz w:val="22"/>
          <w:szCs w:val="22"/>
        </w:rPr>
      </w:pPr>
    </w:p>
    <w:p>
      <w:pPr>
        <w:pStyle w:val="27"/>
        <w:widowControl w:val="0"/>
        <w:kinsoku/>
        <w:autoSpaceDE/>
        <w:autoSpaceDN/>
        <w:adjustRightInd/>
        <w:snapToGrid/>
        <w:spacing w:line="360" w:lineRule="auto"/>
        <w:ind w:firstLine="464"/>
        <w:textAlignment w:val="auto"/>
        <w:rPr>
          <w:rFonts w:ascii="宋体" w:hAnsi="宋体" w:eastAsia="宋体" w:cs="宋体"/>
          <w:color w:val="auto"/>
          <w:spacing w:val="6"/>
          <w:sz w:val="22"/>
          <w:szCs w:val="22"/>
        </w:rPr>
      </w:pPr>
    </w:p>
    <w:p>
      <w:pPr>
        <w:pStyle w:val="27"/>
        <w:widowControl w:val="0"/>
        <w:kinsoku/>
        <w:autoSpaceDE/>
        <w:autoSpaceDN/>
        <w:adjustRightInd/>
        <w:snapToGrid/>
        <w:spacing w:line="360" w:lineRule="auto"/>
        <w:ind w:firstLine="464"/>
        <w:textAlignment w:val="auto"/>
        <w:rPr>
          <w:rFonts w:ascii="宋体" w:hAnsi="宋体" w:eastAsia="宋体" w:cs="宋体"/>
          <w:color w:val="auto"/>
          <w:spacing w:val="6"/>
          <w:sz w:val="22"/>
          <w:szCs w:val="22"/>
        </w:rPr>
      </w:pPr>
    </w:p>
    <w:p>
      <w:pPr>
        <w:pStyle w:val="27"/>
        <w:widowControl w:val="0"/>
        <w:kinsoku/>
        <w:autoSpaceDE/>
        <w:autoSpaceDN/>
        <w:adjustRightInd/>
        <w:snapToGrid/>
        <w:spacing w:line="360" w:lineRule="auto"/>
        <w:ind w:firstLine="464"/>
        <w:textAlignment w:val="auto"/>
        <w:rPr>
          <w:rFonts w:ascii="宋体" w:hAnsi="宋体" w:eastAsia="宋体" w:cs="宋体"/>
          <w:color w:val="auto"/>
          <w:spacing w:val="6"/>
          <w:sz w:val="22"/>
          <w:szCs w:val="22"/>
        </w:rPr>
      </w:pPr>
    </w:p>
    <w:p>
      <w:pPr>
        <w:pStyle w:val="27"/>
        <w:widowControl w:val="0"/>
        <w:kinsoku/>
        <w:autoSpaceDE/>
        <w:autoSpaceDN/>
        <w:adjustRightInd/>
        <w:snapToGrid/>
        <w:spacing w:line="360" w:lineRule="auto"/>
        <w:ind w:firstLine="464"/>
        <w:textAlignment w:val="auto"/>
        <w:rPr>
          <w:rFonts w:ascii="宋体" w:hAnsi="宋体" w:eastAsia="宋体" w:cs="宋体"/>
          <w:color w:val="auto"/>
          <w:spacing w:val="6"/>
          <w:sz w:val="22"/>
          <w:szCs w:val="22"/>
        </w:rPr>
      </w:pPr>
    </w:p>
    <w:p>
      <w:pPr>
        <w:pStyle w:val="27"/>
        <w:widowControl w:val="0"/>
        <w:kinsoku/>
        <w:autoSpaceDE/>
        <w:autoSpaceDN/>
        <w:adjustRightInd/>
        <w:snapToGrid/>
        <w:spacing w:line="360" w:lineRule="auto"/>
        <w:ind w:firstLine="464"/>
        <w:textAlignment w:val="auto"/>
        <w:rPr>
          <w:rFonts w:ascii="宋体" w:hAnsi="宋体" w:eastAsia="宋体" w:cs="宋体"/>
          <w:color w:val="auto"/>
          <w:spacing w:val="6"/>
          <w:sz w:val="22"/>
          <w:szCs w:val="22"/>
        </w:rPr>
      </w:pPr>
    </w:p>
    <w:p>
      <w:pPr>
        <w:pStyle w:val="27"/>
        <w:widowControl w:val="0"/>
        <w:kinsoku/>
        <w:autoSpaceDE/>
        <w:autoSpaceDN/>
        <w:adjustRightInd/>
        <w:snapToGrid/>
        <w:spacing w:line="360" w:lineRule="auto"/>
        <w:ind w:firstLine="464"/>
        <w:textAlignment w:val="auto"/>
        <w:rPr>
          <w:rFonts w:ascii="宋体" w:hAnsi="宋体" w:eastAsia="宋体" w:cs="宋体"/>
          <w:color w:val="auto"/>
          <w:spacing w:val="6"/>
          <w:sz w:val="22"/>
          <w:szCs w:val="22"/>
        </w:rPr>
      </w:pPr>
    </w:p>
    <w:p>
      <w:pPr>
        <w:pStyle w:val="27"/>
        <w:widowControl w:val="0"/>
        <w:kinsoku/>
        <w:autoSpaceDE/>
        <w:autoSpaceDN/>
        <w:adjustRightInd/>
        <w:snapToGrid/>
        <w:spacing w:line="360" w:lineRule="auto"/>
        <w:ind w:firstLine="464"/>
        <w:textAlignment w:val="auto"/>
        <w:rPr>
          <w:rFonts w:ascii="宋体" w:hAnsi="宋体" w:eastAsia="宋体" w:cs="宋体"/>
          <w:color w:val="auto"/>
          <w:spacing w:val="6"/>
          <w:sz w:val="22"/>
          <w:szCs w:val="22"/>
        </w:rPr>
      </w:pPr>
    </w:p>
    <w:p>
      <w:pPr>
        <w:pStyle w:val="27"/>
        <w:widowControl w:val="0"/>
        <w:kinsoku/>
        <w:autoSpaceDE/>
        <w:autoSpaceDN/>
        <w:adjustRightInd/>
        <w:snapToGrid/>
        <w:spacing w:line="360" w:lineRule="auto"/>
        <w:ind w:firstLine="464"/>
        <w:textAlignment w:val="auto"/>
        <w:rPr>
          <w:rFonts w:ascii="宋体" w:hAnsi="宋体" w:eastAsia="宋体" w:cs="宋体"/>
          <w:color w:val="auto"/>
          <w:spacing w:val="6"/>
          <w:sz w:val="22"/>
          <w:szCs w:val="22"/>
        </w:rPr>
      </w:pPr>
    </w:p>
    <w:p>
      <w:pPr>
        <w:pStyle w:val="27"/>
        <w:widowControl w:val="0"/>
        <w:kinsoku/>
        <w:autoSpaceDE/>
        <w:autoSpaceDN/>
        <w:adjustRightInd/>
        <w:snapToGrid/>
        <w:spacing w:line="360" w:lineRule="auto"/>
        <w:ind w:firstLine="464"/>
        <w:textAlignment w:val="auto"/>
        <w:rPr>
          <w:rFonts w:ascii="宋体" w:hAnsi="宋体" w:eastAsia="宋体" w:cs="宋体"/>
          <w:color w:val="auto"/>
          <w:spacing w:val="6"/>
          <w:sz w:val="22"/>
          <w:szCs w:val="22"/>
        </w:rPr>
      </w:pPr>
    </w:p>
    <w:p>
      <w:pPr>
        <w:pStyle w:val="27"/>
        <w:widowControl w:val="0"/>
        <w:kinsoku/>
        <w:autoSpaceDE/>
        <w:autoSpaceDN/>
        <w:adjustRightInd/>
        <w:snapToGrid/>
        <w:spacing w:line="360" w:lineRule="auto"/>
        <w:ind w:firstLine="464"/>
        <w:textAlignment w:val="auto"/>
        <w:rPr>
          <w:rFonts w:ascii="宋体" w:hAnsi="宋体" w:eastAsia="宋体" w:cs="宋体"/>
          <w:color w:val="auto"/>
          <w:spacing w:val="6"/>
          <w:sz w:val="22"/>
          <w:szCs w:val="22"/>
        </w:rPr>
      </w:pPr>
    </w:p>
    <w:p>
      <w:pPr>
        <w:pStyle w:val="27"/>
        <w:widowControl w:val="0"/>
        <w:kinsoku/>
        <w:autoSpaceDE/>
        <w:autoSpaceDN/>
        <w:adjustRightInd/>
        <w:snapToGrid/>
        <w:spacing w:line="360" w:lineRule="auto"/>
        <w:ind w:firstLine="464"/>
        <w:textAlignment w:val="auto"/>
        <w:rPr>
          <w:rFonts w:ascii="宋体" w:hAnsi="宋体" w:eastAsia="宋体" w:cs="宋体"/>
          <w:color w:val="auto"/>
          <w:spacing w:val="6"/>
          <w:sz w:val="22"/>
          <w:szCs w:val="22"/>
        </w:rPr>
      </w:pPr>
    </w:p>
    <w:p>
      <w:pPr>
        <w:pStyle w:val="27"/>
        <w:widowControl w:val="0"/>
        <w:kinsoku/>
        <w:autoSpaceDE/>
        <w:autoSpaceDN/>
        <w:adjustRightInd/>
        <w:snapToGrid/>
        <w:spacing w:line="360" w:lineRule="auto"/>
        <w:ind w:firstLine="464"/>
        <w:textAlignment w:val="auto"/>
        <w:rPr>
          <w:rFonts w:ascii="宋体" w:hAnsi="宋体" w:eastAsia="宋体" w:cs="宋体"/>
          <w:color w:val="auto"/>
          <w:spacing w:val="6"/>
          <w:sz w:val="22"/>
          <w:szCs w:val="22"/>
        </w:rPr>
      </w:pPr>
    </w:p>
    <w:p>
      <w:pPr>
        <w:pStyle w:val="27"/>
        <w:widowControl w:val="0"/>
        <w:kinsoku/>
        <w:autoSpaceDE/>
        <w:autoSpaceDN/>
        <w:adjustRightInd/>
        <w:snapToGrid/>
        <w:spacing w:line="360" w:lineRule="auto"/>
        <w:ind w:firstLine="464"/>
        <w:textAlignment w:val="auto"/>
        <w:rPr>
          <w:rFonts w:ascii="宋体" w:hAnsi="宋体" w:eastAsia="宋体" w:cs="宋体"/>
          <w:color w:val="auto"/>
          <w:spacing w:val="6"/>
          <w:sz w:val="22"/>
          <w:szCs w:val="22"/>
        </w:rPr>
      </w:pPr>
    </w:p>
    <w:p>
      <w:pPr>
        <w:pStyle w:val="27"/>
        <w:widowControl w:val="0"/>
        <w:kinsoku/>
        <w:autoSpaceDE/>
        <w:autoSpaceDN/>
        <w:adjustRightInd/>
        <w:snapToGrid/>
        <w:spacing w:line="360" w:lineRule="auto"/>
        <w:ind w:firstLine="464"/>
        <w:textAlignment w:val="auto"/>
        <w:rPr>
          <w:rFonts w:ascii="宋体" w:hAnsi="宋体" w:eastAsia="宋体" w:cs="宋体"/>
          <w:color w:val="auto"/>
          <w:spacing w:val="6"/>
          <w:sz w:val="22"/>
          <w:szCs w:val="22"/>
        </w:rPr>
      </w:pPr>
    </w:p>
    <w:p>
      <w:pPr>
        <w:pStyle w:val="27"/>
        <w:widowControl w:val="0"/>
        <w:kinsoku/>
        <w:autoSpaceDE/>
        <w:autoSpaceDN/>
        <w:adjustRightInd/>
        <w:snapToGrid/>
        <w:spacing w:line="360" w:lineRule="auto"/>
        <w:ind w:firstLine="464"/>
        <w:textAlignment w:val="auto"/>
        <w:rPr>
          <w:rFonts w:ascii="宋体" w:hAnsi="宋体" w:eastAsia="宋体" w:cs="宋体"/>
          <w:color w:val="auto"/>
          <w:spacing w:val="6"/>
          <w:sz w:val="22"/>
          <w:szCs w:val="22"/>
        </w:rPr>
      </w:pPr>
    </w:p>
    <w:p>
      <w:pPr>
        <w:pStyle w:val="27"/>
        <w:widowControl w:val="0"/>
        <w:kinsoku/>
        <w:autoSpaceDE/>
        <w:autoSpaceDN/>
        <w:adjustRightInd/>
        <w:snapToGrid/>
        <w:spacing w:line="360" w:lineRule="auto"/>
        <w:ind w:firstLine="464"/>
        <w:textAlignment w:val="auto"/>
        <w:rPr>
          <w:rFonts w:ascii="宋体" w:hAnsi="宋体" w:eastAsia="宋体" w:cs="宋体"/>
          <w:color w:val="auto"/>
          <w:spacing w:val="6"/>
          <w:sz w:val="22"/>
          <w:szCs w:val="22"/>
        </w:rPr>
      </w:pPr>
    </w:p>
    <w:p>
      <w:pPr>
        <w:spacing w:line="360" w:lineRule="auto"/>
        <w:jc w:val="center"/>
        <w:rPr>
          <w:rFonts w:ascii="宋体" w:hAnsi="宋体" w:eastAsia="宋体" w:cs="宋体"/>
          <w:b/>
          <w:bCs/>
          <w:color w:val="auto"/>
          <w:sz w:val="28"/>
          <w:szCs w:val="28"/>
        </w:rPr>
      </w:pPr>
      <w:r>
        <w:rPr>
          <w:rFonts w:hint="eastAsia" w:ascii="宋体" w:hAnsi="宋体" w:eastAsia="宋体" w:cs="宋体"/>
          <w:b/>
          <w:color w:val="auto"/>
          <w:sz w:val="28"/>
          <w:szCs w:val="28"/>
        </w:rPr>
        <w:t>3.4“节能</w:t>
      </w:r>
      <w:r>
        <w:rPr>
          <w:rFonts w:hint="eastAsia" w:ascii="宋体" w:hAnsi="宋体" w:eastAsia="宋体" w:cs="宋体"/>
          <w:b/>
          <w:bCs/>
          <w:color w:val="auto"/>
          <w:sz w:val="28"/>
          <w:szCs w:val="28"/>
        </w:rPr>
        <w:t>产品</w:t>
      </w:r>
      <w:r>
        <w:rPr>
          <w:rFonts w:hint="eastAsia" w:ascii="宋体" w:hAnsi="宋体" w:eastAsia="宋体" w:cs="宋体"/>
          <w:b/>
          <w:color w:val="auto"/>
          <w:sz w:val="28"/>
          <w:szCs w:val="28"/>
        </w:rPr>
        <w:t>”、“环境标志</w:t>
      </w:r>
      <w:r>
        <w:rPr>
          <w:rFonts w:hint="eastAsia" w:ascii="宋体" w:hAnsi="宋体" w:eastAsia="宋体" w:cs="宋体"/>
          <w:b/>
          <w:bCs/>
          <w:color w:val="auto"/>
          <w:sz w:val="28"/>
          <w:szCs w:val="28"/>
        </w:rPr>
        <w:t>产品</w:t>
      </w:r>
      <w:r>
        <w:rPr>
          <w:rFonts w:hint="eastAsia" w:ascii="宋体" w:hAnsi="宋体" w:eastAsia="宋体" w:cs="宋体"/>
          <w:b/>
          <w:color w:val="auto"/>
          <w:sz w:val="28"/>
          <w:szCs w:val="28"/>
        </w:rPr>
        <w:t>”证明材料</w:t>
      </w:r>
    </w:p>
    <w:p>
      <w:pPr>
        <w:spacing w:line="360" w:lineRule="auto"/>
        <w:rPr>
          <w:rFonts w:ascii="宋体" w:hAnsi="宋体" w:eastAsia="宋体" w:cs="宋体"/>
          <w:color w:val="auto"/>
          <w:sz w:val="24"/>
          <w:szCs w:val="24"/>
        </w:rPr>
      </w:pP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说明：</w:t>
      </w:r>
    </w:p>
    <w:p>
      <w:pPr>
        <w:spacing w:line="360" w:lineRule="auto"/>
        <w:ind w:firstLine="600" w:firstLineChars="250"/>
        <w:rPr>
          <w:rFonts w:ascii="宋体" w:hAnsi="宋体" w:eastAsia="宋体" w:cs="宋体"/>
          <w:color w:val="auto"/>
          <w:sz w:val="24"/>
          <w:szCs w:val="24"/>
        </w:rPr>
      </w:pPr>
      <w:r>
        <w:rPr>
          <w:rFonts w:hint="eastAsia" w:ascii="宋体" w:hAnsi="宋体" w:eastAsia="宋体" w:cs="宋体"/>
          <w:bCs/>
          <w:color w:val="auto"/>
          <w:sz w:val="24"/>
          <w:szCs w:val="24"/>
        </w:rPr>
        <w:t>1、</w:t>
      </w:r>
      <w:r>
        <w:rPr>
          <w:rFonts w:hint="eastAsia" w:ascii="宋体" w:hAnsi="宋体" w:eastAsia="宋体" w:cs="宋体"/>
          <w:color w:val="auto"/>
          <w:sz w:val="24"/>
          <w:szCs w:val="24"/>
        </w:rPr>
        <w:t>投标人提供的产品</w:t>
      </w:r>
      <w:r>
        <w:rPr>
          <w:rFonts w:hint="eastAsia" w:ascii="宋体" w:hAnsi="宋体" w:eastAsia="宋体" w:cs="宋体"/>
          <w:bCs/>
          <w:color w:val="auto"/>
          <w:sz w:val="24"/>
          <w:szCs w:val="24"/>
        </w:rPr>
        <w:t>属于</w:t>
      </w:r>
      <w:r>
        <w:rPr>
          <w:rFonts w:hint="eastAsia" w:ascii="宋体" w:hAnsi="宋体" w:eastAsia="宋体" w:cs="宋体"/>
          <w:color w:val="auto"/>
          <w:sz w:val="24"/>
          <w:szCs w:val="24"/>
        </w:rPr>
        <w:t>下列情形，应按第二章第2.8款、第14.3</w:t>
      </w:r>
      <w:r>
        <w:rPr>
          <w:rFonts w:hint="eastAsia" w:ascii="宋体" w:hAnsi="宋体" w:eastAsia="宋体" w:cs="宋体"/>
          <w:color w:val="auto"/>
          <w:sz w:val="24"/>
          <w:szCs w:val="24"/>
          <w:lang w:val="zh-CN"/>
        </w:rPr>
        <w:t>款</w:t>
      </w:r>
      <w:r>
        <w:rPr>
          <w:rFonts w:hint="eastAsia" w:ascii="宋体" w:hAnsi="宋体" w:eastAsia="宋体" w:cs="宋体"/>
          <w:color w:val="auto"/>
          <w:sz w:val="24"/>
          <w:szCs w:val="24"/>
        </w:rPr>
        <w:t>规定提供相关证明材料(</w:t>
      </w:r>
      <w:r>
        <w:rPr>
          <w:rFonts w:hint="eastAsia" w:ascii="宋体" w:hAnsi="宋体" w:eastAsia="宋体" w:cs="宋体"/>
          <w:bCs/>
          <w:color w:val="auto"/>
          <w:sz w:val="24"/>
          <w:szCs w:val="24"/>
        </w:rPr>
        <w:t>清单或目录所在页复印件</w:t>
      </w:r>
      <w:r>
        <w:rPr>
          <w:rFonts w:hint="eastAsia" w:ascii="宋体" w:hAnsi="宋体" w:eastAsia="宋体" w:cs="宋体"/>
          <w:color w:val="auto"/>
          <w:sz w:val="24"/>
          <w:szCs w:val="24"/>
        </w:rPr>
        <w:t>)，并在《货物分项报价表》中提供相应数据。</w:t>
      </w:r>
    </w:p>
    <w:p>
      <w:pPr>
        <w:spacing w:line="360" w:lineRule="auto"/>
        <w:ind w:firstLine="600" w:firstLineChars="250"/>
        <w:rPr>
          <w:rFonts w:ascii="宋体" w:hAnsi="宋体" w:eastAsia="宋体" w:cs="宋体"/>
          <w:bCs/>
          <w:color w:val="auto"/>
          <w:sz w:val="24"/>
          <w:szCs w:val="24"/>
        </w:rPr>
      </w:pPr>
      <w:r>
        <w:rPr>
          <w:rFonts w:hint="eastAsia" w:ascii="宋体" w:hAnsi="宋体" w:eastAsia="宋体" w:cs="宋体"/>
          <w:bCs/>
          <w:color w:val="auto"/>
          <w:sz w:val="24"/>
          <w:szCs w:val="24"/>
        </w:rPr>
        <w:t>(1)符合</w:t>
      </w:r>
      <w:r>
        <w:rPr>
          <w:rFonts w:hint="eastAsia" w:ascii="宋体" w:hAnsi="宋体" w:eastAsia="宋体" w:cs="宋体"/>
          <w:color w:val="auto"/>
          <w:sz w:val="24"/>
          <w:szCs w:val="24"/>
        </w:rPr>
        <w:t>政府采购强制采购政策的(《节能产品政府采购清单》中标记★符号节能产品及其他强制采购产品)；</w:t>
      </w:r>
    </w:p>
    <w:p>
      <w:pPr>
        <w:spacing w:line="360" w:lineRule="auto"/>
        <w:ind w:firstLine="600" w:firstLineChars="250"/>
        <w:rPr>
          <w:rFonts w:ascii="宋体" w:hAnsi="宋体" w:eastAsia="宋体" w:cs="宋体"/>
          <w:bCs/>
          <w:color w:val="auto"/>
          <w:sz w:val="24"/>
          <w:szCs w:val="24"/>
        </w:rPr>
      </w:pPr>
      <w:r>
        <w:rPr>
          <w:rFonts w:hint="eastAsia" w:ascii="宋体" w:hAnsi="宋体" w:eastAsia="宋体" w:cs="宋体"/>
          <w:bCs/>
          <w:color w:val="auto"/>
          <w:sz w:val="24"/>
          <w:szCs w:val="24"/>
        </w:rPr>
        <w:t>(2)符合</w:t>
      </w:r>
      <w:r>
        <w:rPr>
          <w:rFonts w:hint="eastAsia" w:ascii="宋体" w:hAnsi="宋体" w:eastAsia="宋体" w:cs="宋体"/>
          <w:color w:val="auto"/>
          <w:sz w:val="24"/>
          <w:szCs w:val="24"/>
        </w:rPr>
        <w:t>政府采购优先采购政策的(《节能产品政府采购清单》中非标记★符号节能产品，《环境标志产品政府采购清单》中环境标志</w:t>
      </w:r>
      <w:r>
        <w:rPr>
          <w:rFonts w:hint="eastAsia" w:ascii="宋体" w:hAnsi="宋体" w:eastAsia="宋体" w:cs="宋体"/>
          <w:bCs/>
          <w:color w:val="auto"/>
          <w:sz w:val="24"/>
          <w:szCs w:val="24"/>
        </w:rPr>
        <w:t>产品</w:t>
      </w:r>
      <w:r>
        <w:rPr>
          <w:rFonts w:hint="eastAsia" w:ascii="宋体" w:hAnsi="宋体" w:eastAsia="宋体" w:cs="宋体"/>
          <w:color w:val="auto"/>
          <w:sz w:val="24"/>
          <w:szCs w:val="24"/>
        </w:rPr>
        <w:t>。</w:t>
      </w:r>
    </w:p>
    <w:p>
      <w:pPr>
        <w:spacing w:line="360" w:lineRule="auto"/>
        <w:ind w:firstLine="600" w:firstLineChars="250"/>
        <w:rPr>
          <w:rFonts w:ascii="宋体" w:hAnsi="宋体" w:eastAsia="宋体" w:cs="宋体"/>
          <w:bCs/>
          <w:color w:val="auto"/>
          <w:sz w:val="24"/>
          <w:szCs w:val="24"/>
        </w:rPr>
      </w:pPr>
      <w:r>
        <w:rPr>
          <w:rFonts w:hint="eastAsia" w:ascii="宋体" w:hAnsi="宋体" w:eastAsia="宋体" w:cs="宋体"/>
          <w:bCs/>
          <w:color w:val="auto"/>
          <w:sz w:val="24"/>
          <w:szCs w:val="24"/>
        </w:rPr>
        <w:t>2、未按上述要求提供、</w:t>
      </w:r>
      <w:r>
        <w:rPr>
          <w:rFonts w:hint="eastAsia" w:ascii="宋体" w:hAnsi="宋体" w:eastAsia="宋体" w:cs="宋体"/>
          <w:color w:val="auto"/>
          <w:sz w:val="24"/>
          <w:szCs w:val="24"/>
        </w:rPr>
        <w:t>填写</w:t>
      </w:r>
      <w:r>
        <w:rPr>
          <w:rFonts w:hint="eastAsia" w:ascii="宋体" w:hAnsi="宋体" w:eastAsia="宋体" w:cs="宋体"/>
          <w:bCs/>
          <w:color w:val="auto"/>
          <w:sz w:val="24"/>
          <w:szCs w:val="24"/>
        </w:rPr>
        <w:t>的，评审时不予以考虑。</w:t>
      </w:r>
    </w:p>
    <w:p>
      <w:pPr>
        <w:spacing w:line="360" w:lineRule="auto"/>
        <w:ind w:firstLine="550" w:firstLineChars="250"/>
        <w:rPr>
          <w:rFonts w:ascii="宋体" w:hAnsi="宋体" w:cs="宋体"/>
          <w:bCs/>
          <w:color w:val="auto"/>
          <w:sz w:val="22"/>
          <w:szCs w:val="22"/>
        </w:rPr>
      </w:pPr>
    </w:p>
    <w:p>
      <w:pPr>
        <w:spacing w:line="360" w:lineRule="auto"/>
        <w:ind w:firstLine="550" w:firstLineChars="250"/>
        <w:rPr>
          <w:rFonts w:ascii="宋体" w:hAnsi="宋体" w:cs="宋体"/>
          <w:bCs/>
          <w:color w:val="auto"/>
          <w:sz w:val="22"/>
          <w:szCs w:val="22"/>
        </w:rPr>
      </w:pPr>
    </w:p>
    <w:p>
      <w:pPr>
        <w:spacing w:line="360" w:lineRule="auto"/>
        <w:rPr>
          <w:rFonts w:ascii="宋体" w:hAnsi="宋体" w:cs="宋体"/>
          <w:color w:val="auto"/>
        </w:rPr>
      </w:pPr>
    </w:p>
    <w:p>
      <w:pPr>
        <w:spacing w:line="360" w:lineRule="auto"/>
        <w:rPr>
          <w:rFonts w:ascii="宋体" w:hAnsi="宋体" w:cs="宋体"/>
          <w:color w:val="auto"/>
        </w:rPr>
      </w:pPr>
    </w:p>
    <w:p>
      <w:pPr>
        <w:spacing w:line="360" w:lineRule="auto"/>
        <w:rPr>
          <w:rFonts w:ascii="宋体" w:hAnsi="宋体" w:cs="宋体"/>
          <w:color w:val="auto"/>
        </w:rPr>
      </w:pPr>
    </w:p>
    <w:p>
      <w:pPr>
        <w:spacing w:line="360" w:lineRule="auto"/>
        <w:rPr>
          <w:rFonts w:ascii="宋体" w:hAnsi="宋体" w:cs="宋体"/>
          <w:color w:val="auto"/>
        </w:rPr>
      </w:pPr>
    </w:p>
    <w:p>
      <w:pPr>
        <w:spacing w:line="360" w:lineRule="auto"/>
        <w:rPr>
          <w:rFonts w:ascii="宋体" w:hAnsi="宋体" w:cs="宋体"/>
          <w:color w:val="auto"/>
        </w:rPr>
      </w:pPr>
    </w:p>
    <w:p>
      <w:pPr>
        <w:pStyle w:val="27"/>
        <w:widowControl w:val="0"/>
        <w:kinsoku/>
        <w:autoSpaceDE/>
        <w:autoSpaceDN/>
        <w:adjustRightInd/>
        <w:snapToGrid/>
        <w:spacing w:line="360" w:lineRule="auto"/>
        <w:ind w:firstLine="0" w:firstLineChars="0"/>
        <w:textAlignment w:val="auto"/>
        <w:rPr>
          <w:rFonts w:ascii="宋体" w:hAnsi="宋体" w:cs="宋体"/>
          <w:color w:val="auto"/>
        </w:rPr>
      </w:pPr>
      <w:r>
        <w:rPr>
          <w:rFonts w:hint="eastAsia" w:ascii="宋体" w:hAnsi="宋体" w:cs="宋体"/>
          <w:color w:val="auto"/>
        </w:rPr>
        <w:tab/>
      </w:r>
    </w:p>
    <w:p>
      <w:pPr>
        <w:pStyle w:val="27"/>
        <w:widowControl w:val="0"/>
        <w:kinsoku/>
        <w:autoSpaceDE/>
        <w:autoSpaceDN/>
        <w:adjustRightInd/>
        <w:snapToGrid/>
        <w:spacing w:line="360" w:lineRule="auto"/>
        <w:ind w:firstLine="0" w:firstLineChars="0"/>
        <w:textAlignment w:val="auto"/>
        <w:rPr>
          <w:rFonts w:ascii="宋体" w:hAnsi="宋体" w:cs="宋体"/>
          <w:color w:val="auto"/>
        </w:rPr>
      </w:pPr>
    </w:p>
    <w:p>
      <w:pPr>
        <w:pStyle w:val="27"/>
        <w:widowControl w:val="0"/>
        <w:kinsoku/>
        <w:autoSpaceDE/>
        <w:autoSpaceDN/>
        <w:adjustRightInd/>
        <w:snapToGrid/>
        <w:spacing w:line="360" w:lineRule="auto"/>
        <w:ind w:firstLine="0" w:firstLineChars="0"/>
        <w:textAlignment w:val="auto"/>
        <w:rPr>
          <w:rFonts w:ascii="宋体" w:hAnsi="宋体" w:cs="宋体"/>
          <w:color w:val="auto"/>
        </w:rPr>
      </w:pPr>
    </w:p>
    <w:p>
      <w:pPr>
        <w:pStyle w:val="27"/>
        <w:widowControl w:val="0"/>
        <w:kinsoku/>
        <w:autoSpaceDE/>
        <w:autoSpaceDN/>
        <w:adjustRightInd/>
        <w:snapToGrid/>
        <w:spacing w:line="360" w:lineRule="auto"/>
        <w:ind w:firstLine="0" w:firstLineChars="0"/>
        <w:textAlignment w:val="auto"/>
        <w:rPr>
          <w:rFonts w:ascii="宋体" w:hAnsi="宋体" w:cs="宋体"/>
          <w:color w:val="auto"/>
        </w:rPr>
      </w:pPr>
    </w:p>
    <w:p>
      <w:pPr>
        <w:pStyle w:val="27"/>
        <w:widowControl w:val="0"/>
        <w:kinsoku/>
        <w:autoSpaceDE/>
        <w:autoSpaceDN/>
        <w:adjustRightInd/>
        <w:snapToGrid/>
        <w:spacing w:line="360" w:lineRule="auto"/>
        <w:ind w:firstLine="0" w:firstLineChars="0"/>
        <w:textAlignment w:val="auto"/>
        <w:rPr>
          <w:rFonts w:ascii="宋体" w:hAnsi="宋体" w:cs="宋体"/>
          <w:color w:val="auto"/>
        </w:rPr>
      </w:pPr>
    </w:p>
    <w:p>
      <w:pPr>
        <w:pStyle w:val="27"/>
        <w:widowControl w:val="0"/>
        <w:kinsoku/>
        <w:autoSpaceDE/>
        <w:autoSpaceDN/>
        <w:adjustRightInd/>
        <w:snapToGrid/>
        <w:spacing w:line="360" w:lineRule="auto"/>
        <w:ind w:firstLine="0" w:firstLineChars="0"/>
        <w:textAlignment w:val="auto"/>
        <w:rPr>
          <w:rFonts w:ascii="宋体" w:hAnsi="宋体" w:cs="宋体"/>
          <w:color w:val="auto"/>
        </w:rPr>
      </w:pPr>
    </w:p>
    <w:p>
      <w:pPr>
        <w:pStyle w:val="27"/>
        <w:widowControl w:val="0"/>
        <w:kinsoku/>
        <w:autoSpaceDE/>
        <w:autoSpaceDN/>
        <w:adjustRightInd/>
        <w:snapToGrid/>
        <w:spacing w:line="360" w:lineRule="auto"/>
        <w:ind w:firstLine="0" w:firstLineChars="0"/>
        <w:textAlignment w:val="auto"/>
        <w:rPr>
          <w:rFonts w:ascii="宋体" w:hAnsi="宋体" w:cs="宋体"/>
          <w:color w:val="auto"/>
        </w:rPr>
      </w:pPr>
    </w:p>
    <w:p>
      <w:pPr>
        <w:pStyle w:val="27"/>
        <w:widowControl w:val="0"/>
        <w:kinsoku/>
        <w:autoSpaceDE/>
        <w:autoSpaceDN/>
        <w:adjustRightInd/>
        <w:snapToGrid/>
        <w:spacing w:line="360" w:lineRule="auto"/>
        <w:ind w:firstLine="0" w:firstLineChars="0"/>
        <w:textAlignment w:val="auto"/>
        <w:rPr>
          <w:rFonts w:ascii="宋体" w:hAnsi="宋体" w:cs="宋体"/>
          <w:color w:val="auto"/>
        </w:rPr>
      </w:pPr>
    </w:p>
    <w:p>
      <w:pPr>
        <w:pStyle w:val="27"/>
        <w:widowControl w:val="0"/>
        <w:kinsoku/>
        <w:autoSpaceDE/>
        <w:autoSpaceDN/>
        <w:adjustRightInd/>
        <w:snapToGrid/>
        <w:spacing w:line="360" w:lineRule="auto"/>
        <w:ind w:firstLine="0" w:firstLineChars="0"/>
        <w:textAlignment w:val="auto"/>
        <w:rPr>
          <w:rFonts w:ascii="宋体" w:hAnsi="宋体" w:cs="宋体"/>
          <w:color w:val="auto"/>
        </w:rPr>
      </w:pPr>
    </w:p>
    <w:p>
      <w:pPr>
        <w:pStyle w:val="27"/>
        <w:widowControl w:val="0"/>
        <w:kinsoku/>
        <w:autoSpaceDE/>
        <w:autoSpaceDN/>
        <w:adjustRightInd/>
        <w:snapToGrid/>
        <w:spacing w:line="360" w:lineRule="auto"/>
        <w:ind w:firstLine="0" w:firstLineChars="0"/>
        <w:textAlignment w:val="auto"/>
        <w:rPr>
          <w:rFonts w:ascii="宋体" w:hAnsi="宋体" w:cs="宋体"/>
          <w:color w:val="auto"/>
        </w:rPr>
      </w:pPr>
    </w:p>
    <w:p>
      <w:pPr>
        <w:pStyle w:val="27"/>
        <w:widowControl w:val="0"/>
        <w:kinsoku/>
        <w:autoSpaceDE/>
        <w:autoSpaceDN/>
        <w:adjustRightInd/>
        <w:snapToGrid/>
        <w:spacing w:line="360" w:lineRule="auto"/>
        <w:ind w:firstLine="0" w:firstLineChars="0"/>
        <w:textAlignment w:val="auto"/>
        <w:rPr>
          <w:rFonts w:ascii="宋体" w:hAnsi="宋体" w:cs="宋体"/>
          <w:color w:val="auto"/>
        </w:rPr>
      </w:pPr>
    </w:p>
    <w:p>
      <w:pPr>
        <w:pStyle w:val="27"/>
        <w:widowControl w:val="0"/>
        <w:kinsoku/>
        <w:autoSpaceDE/>
        <w:autoSpaceDN/>
        <w:adjustRightInd/>
        <w:snapToGrid/>
        <w:spacing w:line="360" w:lineRule="auto"/>
        <w:ind w:firstLine="0" w:firstLineChars="0"/>
        <w:textAlignment w:val="auto"/>
        <w:rPr>
          <w:rFonts w:ascii="宋体" w:hAnsi="宋体" w:cs="宋体"/>
          <w:color w:val="auto"/>
        </w:rPr>
      </w:pPr>
    </w:p>
    <w:p>
      <w:pPr>
        <w:pStyle w:val="28"/>
        <w:spacing w:line="360" w:lineRule="auto"/>
        <w:rPr>
          <w:rFonts w:hAnsi="宋体" w:eastAsia="宋体" w:cs="宋体"/>
          <w:b/>
          <w:color w:val="auto"/>
          <w:sz w:val="24"/>
          <w:szCs w:val="24"/>
        </w:rPr>
      </w:pPr>
      <w:r>
        <w:rPr>
          <w:rFonts w:hint="eastAsia" w:hAnsi="宋体" w:eastAsia="宋体" w:cs="宋体"/>
          <w:b/>
          <w:color w:val="auto"/>
          <w:sz w:val="24"/>
          <w:szCs w:val="24"/>
        </w:rPr>
        <w:t>附件4</w:t>
      </w:r>
    </w:p>
    <w:tbl>
      <w:tblPr>
        <w:tblStyle w:val="18"/>
        <w:tblW w:w="8762" w:type="dxa"/>
        <w:tblInd w:w="0" w:type="dxa"/>
        <w:tblLayout w:type="fixed"/>
        <w:tblCellMar>
          <w:top w:w="15" w:type="dxa"/>
          <w:left w:w="15" w:type="dxa"/>
          <w:bottom w:w="15" w:type="dxa"/>
          <w:right w:w="15" w:type="dxa"/>
        </w:tblCellMar>
      </w:tblPr>
      <w:tblGrid>
        <w:gridCol w:w="2013"/>
        <w:gridCol w:w="6749"/>
      </w:tblGrid>
      <w:tr>
        <w:tblPrEx>
          <w:tblCellMar>
            <w:top w:w="15" w:type="dxa"/>
            <w:left w:w="15" w:type="dxa"/>
            <w:bottom w:w="15" w:type="dxa"/>
            <w:right w:w="15" w:type="dxa"/>
          </w:tblCellMar>
        </w:tblPrEx>
        <w:trPr>
          <w:trHeight w:val="1150" w:hRule="atLeast"/>
        </w:trPr>
        <w:tc>
          <w:tcPr>
            <w:tcW w:w="8762" w:type="dxa"/>
            <w:gridSpan w:val="2"/>
            <w:tcBorders>
              <w:bottom w:val="single" w:color="000000" w:sz="4" w:space="0"/>
            </w:tcBorders>
            <w:vAlign w:val="center"/>
          </w:tcPr>
          <w:p>
            <w:pPr>
              <w:spacing w:line="560" w:lineRule="exact"/>
              <w:jc w:val="center"/>
              <w:textAlignment w:val="top"/>
              <w:rPr>
                <w:rFonts w:ascii="宋体" w:hAnsi="宋体" w:eastAsia="宋体" w:cs="宋体"/>
                <w:color w:val="auto"/>
                <w:sz w:val="28"/>
                <w:szCs w:val="28"/>
              </w:rPr>
            </w:pPr>
            <w:r>
              <w:rPr>
                <w:rFonts w:hint="eastAsia" w:ascii="宋体" w:hAnsi="宋体" w:eastAsia="宋体" w:cs="宋体"/>
                <w:b/>
                <w:bCs/>
                <w:color w:val="auto"/>
                <w:sz w:val="28"/>
                <w:szCs w:val="28"/>
              </w:rPr>
              <w:t>投标供应商退付投标保证金账户信息</w:t>
            </w:r>
          </w:p>
        </w:tc>
      </w:tr>
      <w:tr>
        <w:tblPrEx>
          <w:tblCellMar>
            <w:top w:w="15" w:type="dxa"/>
            <w:left w:w="15" w:type="dxa"/>
            <w:bottom w:w="15" w:type="dxa"/>
            <w:right w:w="15" w:type="dxa"/>
          </w:tblCellMar>
        </w:tblPrEx>
        <w:trPr>
          <w:trHeight w:val="930" w:hRule="atLeast"/>
        </w:trPr>
        <w:tc>
          <w:tcPr>
            <w:tcW w:w="201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b/>
                <w:color w:val="auto"/>
                <w:sz w:val="24"/>
                <w:szCs w:val="24"/>
              </w:rPr>
            </w:pPr>
            <w:r>
              <w:rPr>
                <w:rFonts w:hint="eastAsia" w:ascii="宋体" w:hAnsi="宋体" w:eastAsia="宋体" w:cs="宋体"/>
                <w:b/>
                <w:color w:val="auto"/>
                <w:sz w:val="24"/>
                <w:szCs w:val="24"/>
              </w:rPr>
              <w:t>供应商名称</w:t>
            </w:r>
          </w:p>
        </w:tc>
        <w:tc>
          <w:tcPr>
            <w:tcW w:w="6749"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eastAsia="宋体" w:cs="宋体"/>
                <w:color w:val="auto"/>
                <w:sz w:val="24"/>
                <w:szCs w:val="24"/>
              </w:rPr>
            </w:pPr>
          </w:p>
        </w:tc>
      </w:tr>
      <w:tr>
        <w:tblPrEx>
          <w:tblCellMar>
            <w:top w:w="15" w:type="dxa"/>
            <w:left w:w="15" w:type="dxa"/>
            <w:bottom w:w="15" w:type="dxa"/>
            <w:right w:w="15" w:type="dxa"/>
          </w:tblCellMar>
        </w:tblPrEx>
        <w:trPr>
          <w:trHeight w:val="930" w:hRule="atLeast"/>
        </w:trPr>
        <w:tc>
          <w:tcPr>
            <w:tcW w:w="201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b/>
                <w:color w:val="auto"/>
                <w:sz w:val="24"/>
                <w:szCs w:val="24"/>
              </w:rPr>
            </w:pPr>
            <w:r>
              <w:rPr>
                <w:rFonts w:hint="eastAsia" w:ascii="宋体" w:hAnsi="宋体" w:eastAsia="宋体" w:cs="宋体"/>
                <w:b/>
                <w:color w:val="auto"/>
                <w:sz w:val="24"/>
                <w:szCs w:val="24"/>
              </w:rPr>
              <w:t>项目名称</w:t>
            </w:r>
          </w:p>
        </w:tc>
        <w:tc>
          <w:tcPr>
            <w:tcW w:w="6749"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eastAsia="宋体" w:cs="宋体"/>
                <w:color w:val="auto"/>
                <w:sz w:val="24"/>
                <w:szCs w:val="24"/>
              </w:rPr>
            </w:pPr>
          </w:p>
        </w:tc>
      </w:tr>
      <w:tr>
        <w:tblPrEx>
          <w:tblCellMar>
            <w:top w:w="15" w:type="dxa"/>
            <w:left w:w="15" w:type="dxa"/>
            <w:bottom w:w="15" w:type="dxa"/>
            <w:right w:w="15" w:type="dxa"/>
          </w:tblCellMar>
        </w:tblPrEx>
        <w:trPr>
          <w:trHeight w:val="930" w:hRule="atLeast"/>
        </w:trPr>
        <w:tc>
          <w:tcPr>
            <w:tcW w:w="201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b/>
                <w:color w:val="auto"/>
                <w:sz w:val="24"/>
                <w:szCs w:val="24"/>
              </w:rPr>
            </w:pPr>
            <w:r>
              <w:rPr>
                <w:rFonts w:hint="eastAsia" w:ascii="宋体" w:hAnsi="宋体" w:eastAsia="宋体" w:cs="宋体"/>
                <w:b/>
                <w:color w:val="auto"/>
                <w:sz w:val="24"/>
                <w:szCs w:val="24"/>
              </w:rPr>
              <w:t>缴款金额</w:t>
            </w:r>
          </w:p>
        </w:tc>
        <w:tc>
          <w:tcPr>
            <w:tcW w:w="6749"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eastAsia="宋体" w:cs="宋体"/>
                <w:color w:val="auto"/>
                <w:sz w:val="24"/>
                <w:szCs w:val="24"/>
              </w:rPr>
            </w:pPr>
          </w:p>
        </w:tc>
      </w:tr>
      <w:tr>
        <w:tblPrEx>
          <w:tblCellMar>
            <w:top w:w="15" w:type="dxa"/>
            <w:left w:w="15" w:type="dxa"/>
            <w:bottom w:w="15" w:type="dxa"/>
            <w:right w:w="15" w:type="dxa"/>
          </w:tblCellMar>
        </w:tblPrEx>
        <w:trPr>
          <w:trHeight w:val="930" w:hRule="atLeast"/>
        </w:trPr>
        <w:tc>
          <w:tcPr>
            <w:tcW w:w="2013" w:type="dxa"/>
            <w:tcBorders>
              <w:top w:val="single" w:color="000000" w:sz="4" w:space="0"/>
              <w:left w:val="single" w:color="000000" w:sz="4" w:space="0"/>
              <w:bottom w:val="single" w:color="000000" w:sz="4" w:space="0"/>
              <w:right w:val="single" w:color="000000" w:sz="4" w:space="0"/>
            </w:tcBorders>
            <w:vAlign w:val="center"/>
          </w:tcPr>
          <w:p>
            <w:pPr>
              <w:ind w:firstLine="482" w:firstLineChars="200"/>
              <w:jc w:val="center"/>
              <w:textAlignment w:val="center"/>
              <w:rPr>
                <w:rFonts w:ascii="宋体" w:hAnsi="宋体" w:eastAsia="宋体" w:cs="宋体"/>
                <w:b/>
                <w:color w:val="auto"/>
                <w:sz w:val="24"/>
                <w:szCs w:val="24"/>
              </w:rPr>
            </w:pPr>
            <w:r>
              <w:rPr>
                <w:rFonts w:hint="eastAsia" w:ascii="宋体" w:hAnsi="宋体" w:eastAsia="宋体" w:cs="宋体"/>
                <w:b/>
                <w:color w:val="auto"/>
                <w:sz w:val="24"/>
                <w:szCs w:val="24"/>
              </w:rPr>
              <w:t>账户名称</w:t>
            </w:r>
          </w:p>
          <w:p>
            <w:pPr>
              <w:ind w:firstLine="482" w:firstLineChars="200"/>
              <w:jc w:val="center"/>
              <w:textAlignment w:val="center"/>
              <w:rPr>
                <w:rFonts w:ascii="宋体" w:hAnsi="宋体" w:eastAsia="宋体" w:cs="宋体"/>
                <w:b/>
                <w:color w:val="auto"/>
                <w:sz w:val="24"/>
                <w:szCs w:val="24"/>
              </w:rPr>
            </w:pPr>
            <w:r>
              <w:rPr>
                <w:rFonts w:hint="eastAsia" w:ascii="宋体" w:hAnsi="宋体" w:eastAsia="宋体" w:cs="宋体"/>
                <w:b/>
                <w:color w:val="auto"/>
                <w:sz w:val="24"/>
                <w:szCs w:val="24"/>
              </w:rPr>
              <w:t>（单位公户）</w:t>
            </w:r>
          </w:p>
        </w:tc>
        <w:tc>
          <w:tcPr>
            <w:tcW w:w="6749"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eastAsia="宋体" w:cs="宋体"/>
                <w:color w:val="auto"/>
                <w:sz w:val="24"/>
                <w:szCs w:val="24"/>
              </w:rPr>
            </w:pPr>
          </w:p>
        </w:tc>
      </w:tr>
      <w:tr>
        <w:tblPrEx>
          <w:tblCellMar>
            <w:top w:w="15" w:type="dxa"/>
            <w:left w:w="15" w:type="dxa"/>
            <w:bottom w:w="15" w:type="dxa"/>
            <w:right w:w="15" w:type="dxa"/>
          </w:tblCellMar>
        </w:tblPrEx>
        <w:trPr>
          <w:trHeight w:val="930" w:hRule="atLeast"/>
        </w:trPr>
        <w:tc>
          <w:tcPr>
            <w:tcW w:w="201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b/>
                <w:color w:val="auto"/>
                <w:sz w:val="24"/>
                <w:szCs w:val="24"/>
              </w:rPr>
            </w:pPr>
            <w:r>
              <w:rPr>
                <w:rFonts w:hint="eastAsia" w:ascii="宋体" w:hAnsi="宋体" w:eastAsia="宋体" w:cs="宋体"/>
                <w:b/>
                <w:color w:val="auto"/>
                <w:sz w:val="24"/>
                <w:szCs w:val="24"/>
              </w:rPr>
              <w:t>账号</w:t>
            </w:r>
          </w:p>
        </w:tc>
        <w:tc>
          <w:tcPr>
            <w:tcW w:w="6749"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eastAsia="宋体" w:cs="宋体"/>
                <w:color w:val="auto"/>
                <w:sz w:val="24"/>
                <w:szCs w:val="24"/>
              </w:rPr>
            </w:pPr>
          </w:p>
        </w:tc>
      </w:tr>
      <w:tr>
        <w:tblPrEx>
          <w:tblCellMar>
            <w:top w:w="15" w:type="dxa"/>
            <w:left w:w="15" w:type="dxa"/>
            <w:bottom w:w="15" w:type="dxa"/>
            <w:right w:w="15" w:type="dxa"/>
          </w:tblCellMar>
        </w:tblPrEx>
        <w:trPr>
          <w:trHeight w:val="930" w:hRule="atLeast"/>
        </w:trPr>
        <w:tc>
          <w:tcPr>
            <w:tcW w:w="201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b/>
                <w:color w:val="auto"/>
                <w:sz w:val="24"/>
                <w:szCs w:val="24"/>
              </w:rPr>
            </w:pPr>
            <w:r>
              <w:rPr>
                <w:rFonts w:hint="eastAsia" w:ascii="宋体" w:hAnsi="宋体" w:eastAsia="宋体" w:cs="宋体"/>
                <w:b/>
                <w:color w:val="auto"/>
                <w:sz w:val="24"/>
                <w:szCs w:val="24"/>
              </w:rPr>
              <w:t>开户行</w:t>
            </w:r>
          </w:p>
        </w:tc>
        <w:tc>
          <w:tcPr>
            <w:tcW w:w="6749"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eastAsia="宋体" w:cs="宋体"/>
                <w:color w:val="auto"/>
                <w:sz w:val="24"/>
                <w:szCs w:val="24"/>
              </w:rPr>
            </w:pPr>
          </w:p>
        </w:tc>
      </w:tr>
      <w:tr>
        <w:tblPrEx>
          <w:tblCellMar>
            <w:top w:w="15" w:type="dxa"/>
            <w:left w:w="15" w:type="dxa"/>
            <w:bottom w:w="15" w:type="dxa"/>
            <w:right w:w="15" w:type="dxa"/>
          </w:tblCellMar>
        </w:tblPrEx>
        <w:trPr>
          <w:trHeight w:val="930" w:hRule="atLeast"/>
        </w:trPr>
        <w:tc>
          <w:tcPr>
            <w:tcW w:w="201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b/>
                <w:color w:val="auto"/>
                <w:sz w:val="24"/>
                <w:szCs w:val="24"/>
              </w:rPr>
            </w:pPr>
            <w:r>
              <w:rPr>
                <w:rFonts w:hint="eastAsia" w:ascii="宋体" w:hAnsi="宋体" w:eastAsia="宋体" w:cs="宋体"/>
                <w:b/>
                <w:color w:val="auto"/>
                <w:sz w:val="24"/>
                <w:szCs w:val="24"/>
              </w:rPr>
              <w:t>联系人及电话</w:t>
            </w:r>
          </w:p>
        </w:tc>
        <w:tc>
          <w:tcPr>
            <w:tcW w:w="674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auto"/>
                <w:sz w:val="24"/>
                <w:szCs w:val="24"/>
              </w:rPr>
            </w:pPr>
          </w:p>
        </w:tc>
      </w:tr>
      <w:tr>
        <w:tblPrEx>
          <w:tblCellMar>
            <w:top w:w="15" w:type="dxa"/>
            <w:left w:w="15" w:type="dxa"/>
            <w:bottom w:w="15" w:type="dxa"/>
            <w:right w:w="15" w:type="dxa"/>
          </w:tblCellMar>
        </w:tblPrEx>
        <w:trPr>
          <w:trHeight w:val="1350" w:hRule="atLeast"/>
        </w:trPr>
        <w:tc>
          <w:tcPr>
            <w:tcW w:w="8762" w:type="dxa"/>
            <w:gridSpan w:val="2"/>
            <w:tcBorders>
              <w:top w:val="single" w:color="000000" w:sz="4" w:space="0"/>
            </w:tcBorders>
            <w:vAlign w:val="center"/>
          </w:tcPr>
          <w:p>
            <w:pPr>
              <w:textAlignment w:val="center"/>
              <w:rPr>
                <w:rFonts w:ascii="宋体" w:hAnsi="宋体" w:eastAsia="宋体" w:cs="宋体"/>
                <w:color w:val="auto"/>
                <w:sz w:val="24"/>
                <w:szCs w:val="24"/>
              </w:rPr>
            </w:pPr>
            <w:r>
              <w:rPr>
                <w:rStyle w:val="29"/>
                <w:rFonts w:hint="eastAsia"/>
                <w:color w:val="auto"/>
                <w:sz w:val="24"/>
                <w:szCs w:val="24"/>
              </w:rPr>
              <w:t>注：各供应商请将此表与投标文件在开标当日一并交回（请不要将此表装进投标文件中）</w:t>
            </w:r>
          </w:p>
        </w:tc>
      </w:tr>
    </w:tbl>
    <w:p>
      <w:pPr>
        <w:pStyle w:val="27"/>
        <w:widowControl w:val="0"/>
        <w:kinsoku/>
        <w:autoSpaceDE/>
        <w:autoSpaceDN/>
        <w:adjustRightInd/>
        <w:snapToGrid/>
        <w:spacing w:line="360" w:lineRule="auto"/>
        <w:ind w:firstLine="0" w:firstLineChars="0"/>
        <w:textAlignment w:val="auto"/>
        <w:rPr>
          <w:rFonts w:ascii="宋体" w:hAnsi="宋体" w:eastAsia="宋体" w:cs="宋体"/>
          <w:color w:val="auto"/>
          <w:sz w:val="28"/>
          <w:szCs w:val="28"/>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pStyle w:val="6"/>
        <w:ind w:firstLine="480"/>
        <w:rPr>
          <w:rFonts w:ascii="宋体" w:hAnsi="宋体" w:eastAsia="宋体" w:cs="宋体"/>
          <w:sz w:val="24"/>
          <w:szCs w:val="24"/>
        </w:rPr>
      </w:pPr>
    </w:p>
    <w:p>
      <w:pPr>
        <w:pStyle w:val="6"/>
        <w:ind w:firstLine="480"/>
        <w:rPr>
          <w:rFonts w:ascii="宋体" w:hAnsi="宋体" w:eastAsia="宋体" w:cs="宋体"/>
          <w:sz w:val="24"/>
          <w:szCs w:val="24"/>
        </w:rPr>
      </w:pPr>
    </w:p>
    <w:p>
      <w:pPr>
        <w:pStyle w:val="6"/>
        <w:ind w:firstLine="0" w:firstLineChars="0"/>
        <w:jc w:val="center"/>
        <w:rPr>
          <w:rFonts w:ascii="宋体" w:hAnsi="宋体" w:eastAsia="宋体" w:cs="宋体"/>
          <w:b/>
          <w:bCs/>
          <w:sz w:val="28"/>
          <w:szCs w:val="28"/>
        </w:rPr>
      </w:pPr>
      <w:r>
        <w:rPr>
          <w:rFonts w:hint="eastAsia" w:ascii="宋体" w:hAnsi="宋体" w:eastAsia="宋体" w:cs="宋体"/>
          <w:b/>
          <w:bCs/>
          <w:sz w:val="28"/>
          <w:szCs w:val="28"/>
        </w:rPr>
        <w:t>十、其他资料</w:t>
      </w:r>
    </w:p>
    <w:p>
      <w:pPr>
        <w:rPr>
          <w:rFonts w:ascii="宋体" w:hAnsi="宋体" w:eastAsia="宋体" w:cs="宋体"/>
          <w:b/>
          <w:bCs/>
          <w:sz w:val="28"/>
          <w:szCs w:val="28"/>
        </w:rPr>
      </w:pPr>
    </w:p>
    <w:p>
      <w:pPr>
        <w:rPr>
          <w:rFonts w:ascii="宋体" w:hAnsi="宋体" w:eastAsia="宋体" w:cs="宋体"/>
          <w:sz w:val="24"/>
          <w:szCs w:val="24"/>
        </w:rPr>
      </w:pPr>
      <w:r>
        <w:rPr>
          <w:rFonts w:hint="eastAsia" w:ascii="宋体" w:hAnsi="宋体"/>
          <w:bCs/>
          <w:sz w:val="24"/>
          <w:szCs w:val="24"/>
        </w:rPr>
        <w:t>其他资料：招标文件要求的其他资料。</w:t>
      </w:r>
    </w:p>
    <w:p>
      <w:pPr>
        <w:pStyle w:val="6"/>
        <w:ind w:firstLine="480"/>
        <w:rPr>
          <w:rFonts w:ascii="宋体" w:hAnsi="宋体" w:eastAsia="宋体" w:cs="宋体"/>
          <w:sz w:val="24"/>
          <w:szCs w:val="24"/>
        </w:rPr>
      </w:pPr>
    </w:p>
    <w:p>
      <w:pPr>
        <w:pStyle w:val="6"/>
        <w:ind w:firstLine="480"/>
        <w:rPr>
          <w:rFonts w:ascii="宋体" w:hAnsi="宋体" w:eastAsia="宋体" w:cs="宋体"/>
          <w:sz w:val="24"/>
          <w:szCs w:val="24"/>
        </w:rPr>
      </w:pPr>
    </w:p>
    <w:p>
      <w:pPr>
        <w:pStyle w:val="6"/>
        <w:ind w:firstLine="480"/>
        <w:rPr>
          <w:rFonts w:ascii="宋体" w:hAnsi="宋体" w:eastAsia="宋体" w:cs="宋体"/>
          <w:sz w:val="24"/>
          <w:szCs w:val="24"/>
        </w:rPr>
      </w:pPr>
    </w:p>
    <w:p>
      <w:pPr>
        <w:pStyle w:val="6"/>
        <w:ind w:firstLine="480"/>
        <w:rPr>
          <w:rFonts w:ascii="宋体" w:hAnsi="宋体" w:eastAsia="宋体" w:cs="宋体"/>
          <w:sz w:val="24"/>
          <w:szCs w:val="24"/>
        </w:rPr>
      </w:pPr>
    </w:p>
    <w:p>
      <w:pPr>
        <w:pStyle w:val="6"/>
        <w:ind w:firstLine="480"/>
        <w:rPr>
          <w:rFonts w:ascii="宋体" w:hAnsi="宋体" w:eastAsia="宋体" w:cs="宋体"/>
          <w:sz w:val="24"/>
          <w:szCs w:val="24"/>
        </w:rPr>
      </w:pPr>
    </w:p>
    <w:p>
      <w:pPr>
        <w:pStyle w:val="6"/>
        <w:ind w:firstLine="480"/>
        <w:rPr>
          <w:rFonts w:ascii="宋体" w:hAnsi="宋体" w:eastAsia="宋体" w:cs="宋体"/>
          <w:sz w:val="24"/>
          <w:szCs w:val="24"/>
        </w:rPr>
      </w:pPr>
    </w:p>
    <w:p>
      <w:pPr>
        <w:pStyle w:val="6"/>
        <w:ind w:firstLine="480"/>
        <w:rPr>
          <w:rFonts w:ascii="宋体" w:hAnsi="宋体" w:eastAsia="宋体" w:cs="宋体"/>
          <w:sz w:val="24"/>
          <w:szCs w:val="24"/>
        </w:rPr>
      </w:pPr>
    </w:p>
    <w:p>
      <w:pPr>
        <w:pStyle w:val="6"/>
        <w:ind w:firstLine="480"/>
        <w:rPr>
          <w:rFonts w:ascii="宋体" w:hAnsi="宋体" w:eastAsia="宋体" w:cs="宋体"/>
          <w:sz w:val="24"/>
          <w:szCs w:val="24"/>
        </w:rPr>
      </w:pPr>
    </w:p>
    <w:p>
      <w:pPr>
        <w:pStyle w:val="6"/>
        <w:ind w:firstLine="480"/>
        <w:rPr>
          <w:rFonts w:ascii="宋体" w:hAnsi="宋体" w:eastAsia="宋体" w:cs="宋体"/>
          <w:sz w:val="24"/>
          <w:szCs w:val="24"/>
        </w:rPr>
      </w:pPr>
    </w:p>
    <w:p>
      <w:pPr>
        <w:pStyle w:val="6"/>
        <w:ind w:firstLine="480"/>
        <w:rPr>
          <w:rFonts w:ascii="宋体" w:hAnsi="宋体" w:eastAsia="宋体" w:cs="宋体"/>
          <w:sz w:val="24"/>
          <w:szCs w:val="24"/>
        </w:rPr>
      </w:pPr>
    </w:p>
    <w:p>
      <w:pPr>
        <w:pStyle w:val="6"/>
        <w:ind w:firstLine="480"/>
        <w:rPr>
          <w:rFonts w:ascii="宋体" w:hAnsi="宋体" w:eastAsia="宋体" w:cs="宋体"/>
          <w:sz w:val="24"/>
          <w:szCs w:val="24"/>
        </w:rPr>
      </w:pPr>
    </w:p>
    <w:p>
      <w:pPr>
        <w:pStyle w:val="6"/>
        <w:ind w:firstLine="480"/>
        <w:rPr>
          <w:rFonts w:ascii="宋体" w:hAnsi="宋体" w:eastAsia="宋体" w:cs="宋体"/>
          <w:sz w:val="24"/>
          <w:szCs w:val="24"/>
        </w:rPr>
      </w:pPr>
    </w:p>
    <w:p>
      <w:pPr>
        <w:pStyle w:val="6"/>
        <w:ind w:firstLine="480"/>
        <w:rPr>
          <w:rFonts w:ascii="宋体" w:hAnsi="宋体" w:eastAsia="宋体" w:cs="宋体"/>
          <w:sz w:val="24"/>
          <w:szCs w:val="24"/>
        </w:rPr>
      </w:pPr>
    </w:p>
    <w:p>
      <w:pPr>
        <w:pStyle w:val="6"/>
        <w:ind w:firstLine="480"/>
        <w:rPr>
          <w:rFonts w:ascii="宋体" w:hAnsi="宋体" w:eastAsia="宋体" w:cs="宋体"/>
          <w:sz w:val="24"/>
          <w:szCs w:val="24"/>
        </w:rPr>
      </w:pPr>
    </w:p>
    <w:p>
      <w:pPr>
        <w:pStyle w:val="6"/>
        <w:ind w:firstLine="480"/>
        <w:rPr>
          <w:rFonts w:ascii="宋体" w:hAnsi="宋体" w:eastAsia="宋体" w:cs="宋体"/>
          <w:sz w:val="24"/>
          <w:szCs w:val="24"/>
        </w:rPr>
      </w:pPr>
    </w:p>
    <w:p>
      <w:pPr>
        <w:pStyle w:val="6"/>
        <w:ind w:firstLine="480"/>
        <w:rPr>
          <w:rFonts w:ascii="宋体" w:hAnsi="宋体" w:eastAsia="宋体" w:cs="宋体"/>
          <w:sz w:val="24"/>
          <w:szCs w:val="24"/>
        </w:rPr>
      </w:pPr>
    </w:p>
    <w:p>
      <w:pPr>
        <w:pStyle w:val="6"/>
        <w:ind w:firstLine="480"/>
        <w:rPr>
          <w:rFonts w:ascii="宋体" w:hAnsi="宋体" w:eastAsia="宋体" w:cs="宋体"/>
          <w:sz w:val="24"/>
          <w:szCs w:val="24"/>
        </w:rPr>
      </w:pPr>
    </w:p>
    <w:p>
      <w:pPr>
        <w:pStyle w:val="6"/>
        <w:ind w:firstLine="480"/>
        <w:rPr>
          <w:rFonts w:ascii="宋体" w:hAnsi="宋体" w:eastAsia="宋体" w:cs="宋体"/>
          <w:sz w:val="24"/>
          <w:szCs w:val="24"/>
        </w:rPr>
      </w:pPr>
    </w:p>
    <w:p>
      <w:pPr>
        <w:pStyle w:val="6"/>
        <w:ind w:firstLine="480"/>
        <w:rPr>
          <w:rFonts w:ascii="宋体" w:hAnsi="宋体" w:eastAsia="宋体" w:cs="宋体"/>
          <w:sz w:val="24"/>
          <w:szCs w:val="24"/>
        </w:rPr>
      </w:pPr>
    </w:p>
    <w:p>
      <w:pPr>
        <w:pStyle w:val="6"/>
        <w:ind w:firstLine="480"/>
        <w:rPr>
          <w:rFonts w:ascii="宋体" w:hAnsi="宋体" w:eastAsia="宋体" w:cs="宋体"/>
          <w:sz w:val="24"/>
          <w:szCs w:val="24"/>
        </w:rPr>
      </w:pPr>
    </w:p>
    <w:p>
      <w:pPr>
        <w:pStyle w:val="6"/>
        <w:ind w:firstLine="480"/>
        <w:rPr>
          <w:rFonts w:ascii="宋体" w:hAnsi="宋体" w:eastAsia="宋体" w:cs="宋体"/>
          <w:sz w:val="24"/>
          <w:szCs w:val="24"/>
        </w:rPr>
      </w:pPr>
    </w:p>
    <w:p>
      <w:pPr>
        <w:pStyle w:val="6"/>
        <w:ind w:firstLine="480"/>
        <w:rPr>
          <w:rFonts w:ascii="宋体" w:hAnsi="宋体" w:eastAsia="宋体" w:cs="宋体"/>
          <w:sz w:val="24"/>
          <w:szCs w:val="24"/>
        </w:rPr>
      </w:pPr>
    </w:p>
    <w:p>
      <w:pPr>
        <w:pStyle w:val="6"/>
        <w:ind w:firstLine="480"/>
        <w:rPr>
          <w:rFonts w:ascii="宋体" w:hAnsi="宋体" w:eastAsia="宋体" w:cs="宋体"/>
          <w:sz w:val="24"/>
          <w:szCs w:val="24"/>
        </w:rPr>
      </w:pPr>
    </w:p>
    <w:p>
      <w:pPr>
        <w:pStyle w:val="6"/>
        <w:ind w:firstLine="480"/>
        <w:rPr>
          <w:rFonts w:ascii="宋体" w:hAnsi="宋体" w:eastAsia="宋体" w:cs="宋体"/>
          <w:sz w:val="24"/>
          <w:szCs w:val="24"/>
        </w:rPr>
      </w:pPr>
    </w:p>
    <w:p>
      <w:pPr>
        <w:pStyle w:val="6"/>
        <w:ind w:firstLine="480"/>
        <w:rPr>
          <w:rFonts w:ascii="宋体" w:hAnsi="宋体" w:eastAsia="宋体" w:cs="宋体"/>
          <w:sz w:val="24"/>
          <w:szCs w:val="24"/>
        </w:rPr>
      </w:pPr>
    </w:p>
    <w:p>
      <w:pPr>
        <w:pStyle w:val="6"/>
        <w:ind w:firstLine="480"/>
        <w:rPr>
          <w:rFonts w:ascii="宋体" w:hAnsi="宋体" w:eastAsia="宋体" w:cs="宋体"/>
          <w:sz w:val="24"/>
          <w:szCs w:val="24"/>
        </w:rPr>
      </w:pPr>
    </w:p>
    <w:p>
      <w:pPr>
        <w:pStyle w:val="6"/>
        <w:ind w:firstLine="480"/>
        <w:rPr>
          <w:rFonts w:ascii="宋体" w:hAnsi="宋体" w:eastAsia="宋体" w:cs="宋体"/>
          <w:sz w:val="24"/>
          <w:szCs w:val="24"/>
        </w:rPr>
      </w:pPr>
    </w:p>
    <w:p>
      <w:pPr>
        <w:pStyle w:val="6"/>
        <w:ind w:firstLine="480"/>
        <w:rPr>
          <w:rFonts w:ascii="宋体" w:hAnsi="宋体" w:eastAsia="宋体" w:cs="宋体"/>
          <w:sz w:val="24"/>
          <w:szCs w:val="24"/>
        </w:rPr>
      </w:pPr>
    </w:p>
    <w:p>
      <w:pPr>
        <w:pStyle w:val="6"/>
        <w:ind w:firstLine="480"/>
        <w:rPr>
          <w:rFonts w:ascii="宋体" w:hAnsi="宋体" w:eastAsia="宋体" w:cs="宋体"/>
          <w:sz w:val="24"/>
          <w:szCs w:val="24"/>
        </w:rPr>
      </w:pPr>
    </w:p>
    <w:p>
      <w:pPr>
        <w:pStyle w:val="6"/>
        <w:ind w:firstLine="480"/>
        <w:rPr>
          <w:rFonts w:ascii="宋体" w:hAnsi="宋体" w:eastAsia="宋体" w:cs="宋体"/>
          <w:sz w:val="24"/>
          <w:szCs w:val="24"/>
        </w:rPr>
      </w:pPr>
    </w:p>
    <w:p>
      <w:pPr>
        <w:pStyle w:val="6"/>
        <w:ind w:firstLine="480"/>
        <w:rPr>
          <w:rFonts w:ascii="宋体" w:hAnsi="宋体" w:eastAsia="宋体" w:cs="宋体"/>
          <w:sz w:val="24"/>
          <w:szCs w:val="24"/>
        </w:rPr>
      </w:pPr>
    </w:p>
    <w:p>
      <w:pPr>
        <w:pStyle w:val="6"/>
        <w:ind w:firstLine="480"/>
        <w:rPr>
          <w:rFonts w:ascii="宋体" w:hAnsi="宋体" w:eastAsia="宋体" w:cs="宋体"/>
          <w:sz w:val="24"/>
          <w:szCs w:val="24"/>
        </w:rPr>
      </w:pPr>
    </w:p>
    <w:p>
      <w:pPr>
        <w:pStyle w:val="6"/>
        <w:ind w:firstLine="480"/>
        <w:rPr>
          <w:rFonts w:ascii="宋体" w:hAnsi="宋体" w:eastAsia="宋体" w:cs="宋体"/>
          <w:sz w:val="24"/>
          <w:szCs w:val="24"/>
        </w:rPr>
      </w:pPr>
    </w:p>
    <w:p>
      <w:pPr>
        <w:pStyle w:val="6"/>
        <w:ind w:firstLine="480"/>
        <w:rPr>
          <w:rFonts w:ascii="宋体" w:hAnsi="宋体" w:eastAsia="宋体" w:cs="宋体"/>
          <w:sz w:val="24"/>
          <w:szCs w:val="24"/>
        </w:rPr>
      </w:pPr>
    </w:p>
    <w:p>
      <w:pPr>
        <w:pStyle w:val="6"/>
        <w:ind w:firstLine="480"/>
        <w:rPr>
          <w:rFonts w:ascii="宋体" w:hAnsi="宋体" w:eastAsia="宋体" w:cs="宋体"/>
          <w:sz w:val="24"/>
          <w:szCs w:val="24"/>
        </w:rPr>
      </w:pPr>
    </w:p>
    <w:p>
      <w:pPr>
        <w:pStyle w:val="6"/>
        <w:ind w:firstLine="480"/>
        <w:rPr>
          <w:rFonts w:ascii="宋体" w:hAnsi="宋体" w:eastAsia="宋体" w:cs="宋体"/>
          <w:sz w:val="24"/>
          <w:szCs w:val="24"/>
        </w:rPr>
      </w:pPr>
    </w:p>
    <w:p>
      <w:pPr>
        <w:pStyle w:val="6"/>
        <w:ind w:firstLine="480"/>
        <w:rPr>
          <w:rFonts w:ascii="宋体" w:hAnsi="宋体" w:eastAsia="宋体" w:cs="宋体"/>
          <w:sz w:val="24"/>
          <w:szCs w:val="24"/>
        </w:rPr>
      </w:pPr>
    </w:p>
    <w:p>
      <w:pPr>
        <w:pStyle w:val="6"/>
        <w:ind w:firstLine="480"/>
        <w:rPr>
          <w:rFonts w:ascii="宋体" w:hAnsi="宋体" w:eastAsia="宋体" w:cs="宋体"/>
          <w:sz w:val="24"/>
          <w:szCs w:val="24"/>
        </w:rPr>
      </w:pPr>
    </w:p>
    <w:p>
      <w:pPr>
        <w:pStyle w:val="6"/>
        <w:ind w:firstLine="480"/>
        <w:rPr>
          <w:rFonts w:ascii="宋体" w:hAnsi="宋体" w:eastAsia="宋体" w:cs="宋体"/>
          <w:sz w:val="24"/>
          <w:szCs w:val="24"/>
        </w:rPr>
      </w:pPr>
    </w:p>
    <w:p>
      <w:pPr>
        <w:pStyle w:val="6"/>
        <w:ind w:firstLine="480"/>
        <w:rPr>
          <w:rFonts w:ascii="宋体" w:hAnsi="宋体" w:eastAsia="宋体" w:cs="宋体"/>
          <w:sz w:val="24"/>
          <w:szCs w:val="24"/>
        </w:rPr>
      </w:pPr>
    </w:p>
    <w:p>
      <w:pPr>
        <w:pStyle w:val="6"/>
        <w:ind w:firstLine="480"/>
        <w:rPr>
          <w:rFonts w:ascii="宋体" w:hAnsi="宋体" w:eastAsia="宋体" w:cs="宋体"/>
          <w:sz w:val="24"/>
          <w:szCs w:val="24"/>
        </w:rPr>
      </w:pPr>
    </w:p>
    <w:sectPr>
      <w:footerReference r:id="rId5"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- 80 -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- 80 -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C45358"/>
    <w:multiLevelType w:val="multilevel"/>
    <w:tmpl w:val="70C45358"/>
    <w:lvl w:ilvl="0" w:tentative="0">
      <w:start w:val="1"/>
      <w:numFmt w:val="decimal"/>
      <w:lvlText w:val="%1."/>
      <w:lvlJc w:val="left"/>
      <w:pPr>
        <w:tabs>
          <w:tab w:val="left" w:pos="1206"/>
        </w:tabs>
        <w:ind w:left="639" w:firstLine="0"/>
      </w:pPr>
      <w:rPr>
        <w:rFonts w:hint="eastAsia"/>
      </w:rPr>
    </w:lvl>
    <w:lvl w:ilvl="1" w:tentative="0">
      <w:start w:val="1"/>
      <w:numFmt w:val="decimal"/>
      <w:pStyle w:val="23"/>
      <w:lvlText w:val="%1.%2"/>
      <w:lvlJc w:val="left"/>
      <w:pPr>
        <w:tabs>
          <w:tab w:val="left" w:pos="567"/>
        </w:tabs>
        <w:ind w:left="0" w:firstLine="0"/>
      </w:pPr>
      <w:rPr>
        <w:rFonts w:hint="eastAsia"/>
      </w:rPr>
    </w:lvl>
    <w:lvl w:ilvl="2" w:tentative="0">
      <w:start w:val="1"/>
      <w:numFmt w:val="decimal"/>
      <w:lvlText w:val="%1.%2.%3"/>
      <w:lvlJc w:val="left"/>
      <w:pPr>
        <w:tabs>
          <w:tab w:val="left" w:pos="567"/>
        </w:tabs>
        <w:ind w:left="0" w:firstLine="0"/>
      </w:pPr>
      <w:rPr>
        <w:rFonts w:hint="eastAsia"/>
      </w:rPr>
    </w:lvl>
    <w:lvl w:ilvl="3" w:tentative="0">
      <w:start w:val="1"/>
      <w:numFmt w:val="decimal"/>
      <w:lvlText w:val="%1.%2.%3.%4"/>
      <w:lvlJc w:val="left"/>
      <w:pPr>
        <w:tabs>
          <w:tab w:val="left" w:pos="567"/>
        </w:tabs>
        <w:ind w:left="0" w:firstLine="0"/>
      </w:pPr>
      <w:rPr>
        <w:rFonts w:hint="eastAsia"/>
      </w:rPr>
    </w:lvl>
    <w:lvl w:ilvl="4" w:tentative="0">
      <w:start w:val="1"/>
      <w:numFmt w:val="decimal"/>
      <w:lvlText w:val="%1.%2.%3.%4.%5"/>
      <w:lvlJc w:val="left"/>
      <w:pPr>
        <w:tabs>
          <w:tab w:val="left" w:pos="567"/>
        </w:tabs>
        <w:ind w:left="0" w:firstLine="0"/>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7C22096D"/>
    <w:multiLevelType w:val="multilevel"/>
    <w:tmpl w:val="7C22096D"/>
    <w:lvl w:ilvl="0" w:tentative="0">
      <w:start w:val="1"/>
      <w:numFmt w:val="decimal"/>
      <w:pStyle w:val="3"/>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4.4.%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kMWYzM2RjZTM0MmE5MGUzN2Y4YWQ4N2NhMGIyY2IifQ=="/>
  </w:docVars>
  <w:rsids>
    <w:rsidRoot w:val="5F416DF4"/>
    <w:rsid w:val="000044A2"/>
    <w:rsid w:val="00177D87"/>
    <w:rsid w:val="00410CD8"/>
    <w:rsid w:val="00443175"/>
    <w:rsid w:val="00535E7A"/>
    <w:rsid w:val="005B3BBD"/>
    <w:rsid w:val="008E4604"/>
    <w:rsid w:val="00975C97"/>
    <w:rsid w:val="00A976E9"/>
    <w:rsid w:val="00B10DF2"/>
    <w:rsid w:val="00EA11B3"/>
    <w:rsid w:val="01CF7CF2"/>
    <w:rsid w:val="01F52D22"/>
    <w:rsid w:val="030B3033"/>
    <w:rsid w:val="042E253E"/>
    <w:rsid w:val="0687062B"/>
    <w:rsid w:val="06F26247"/>
    <w:rsid w:val="084A10C2"/>
    <w:rsid w:val="087150EF"/>
    <w:rsid w:val="0885336C"/>
    <w:rsid w:val="08857706"/>
    <w:rsid w:val="08A440A9"/>
    <w:rsid w:val="08C8198B"/>
    <w:rsid w:val="093D1475"/>
    <w:rsid w:val="0A975809"/>
    <w:rsid w:val="0A9F23E7"/>
    <w:rsid w:val="0AAF1EFF"/>
    <w:rsid w:val="0B5331D2"/>
    <w:rsid w:val="0C9C01F4"/>
    <w:rsid w:val="0CDC1C03"/>
    <w:rsid w:val="0D0B5B12"/>
    <w:rsid w:val="0EC17849"/>
    <w:rsid w:val="0EEA1757"/>
    <w:rsid w:val="0EFF16A6"/>
    <w:rsid w:val="0F6C4208"/>
    <w:rsid w:val="131E5F56"/>
    <w:rsid w:val="13C04D1D"/>
    <w:rsid w:val="14423DE3"/>
    <w:rsid w:val="149A777C"/>
    <w:rsid w:val="152C604A"/>
    <w:rsid w:val="157144B0"/>
    <w:rsid w:val="16FC2FC0"/>
    <w:rsid w:val="185E7DDD"/>
    <w:rsid w:val="18A8690B"/>
    <w:rsid w:val="1948161C"/>
    <w:rsid w:val="19BD264C"/>
    <w:rsid w:val="1D48246B"/>
    <w:rsid w:val="1DC37D43"/>
    <w:rsid w:val="1DE303E5"/>
    <w:rsid w:val="1E636E30"/>
    <w:rsid w:val="215D400B"/>
    <w:rsid w:val="21A64334"/>
    <w:rsid w:val="22FF5CB4"/>
    <w:rsid w:val="232B5C53"/>
    <w:rsid w:val="23424B0A"/>
    <w:rsid w:val="235A5A7A"/>
    <w:rsid w:val="23855DD9"/>
    <w:rsid w:val="27697E51"/>
    <w:rsid w:val="287F6E98"/>
    <w:rsid w:val="289D6BF8"/>
    <w:rsid w:val="292D03E7"/>
    <w:rsid w:val="2ADD7FFD"/>
    <w:rsid w:val="2B163D1C"/>
    <w:rsid w:val="2B1C4F36"/>
    <w:rsid w:val="2C6646BB"/>
    <w:rsid w:val="2C8965FC"/>
    <w:rsid w:val="2D445A50"/>
    <w:rsid w:val="2D9E7E85"/>
    <w:rsid w:val="2DC5511A"/>
    <w:rsid w:val="2E36630F"/>
    <w:rsid w:val="2EB359CC"/>
    <w:rsid w:val="2F7F3D7E"/>
    <w:rsid w:val="2FAE299B"/>
    <w:rsid w:val="303074BA"/>
    <w:rsid w:val="30F21551"/>
    <w:rsid w:val="32397C99"/>
    <w:rsid w:val="334B460B"/>
    <w:rsid w:val="339A1B52"/>
    <w:rsid w:val="33C97EFF"/>
    <w:rsid w:val="33D705F7"/>
    <w:rsid w:val="37017B46"/>
    <w:rsid w:val="371315A4"/>
    <w:rsid w:val="385B52F0"/>
    <w:rsid w:val="3C882D7E"/>
    <w:rsid w:val="3CC853D1"/>
    <w:rsid w:val="3CDC76AA"/>
    <w:rsid w:val="3CE27D8E"/>
    <w:rsid w:val="3D4C3459"/>
    <w:rsid w:val="3DAB3754"/>
    <w:rsid w:val="3F696545"/>
    <w:rsid w:val="3F6D69D9"/>
    <w:rsid w:val="3F8F762D"/>
    <w:rsid w:val="402709BC"/>
    <w:rsid w:val="41634BA3"/>
    <w:rsid w:val="41711C4E"/>
    <w:rsid w:val="460E39A2"/>
    <w:rsid w:val="464253F9"/>
    <w:rsid w:val="46BB013F"/>
    <w:rsid w:val="46C40504"/>
    <w:rsid w:val="47936E8A"/>
    <w:rsid w:val="48A05DC4"/>
    <w:rsid w:val="498A3324"/>
    <w:rsid w:val="4A4613F1"/>
    <w:rsid w:val="4AA46FDF"/>
    <w:rsid w:val="4B0A753C"/>
    <w:rsid w:val="4C52169A"/>
    <w:rsid w:val="4CAD0A4B"/>
    <w:rsid w:val="4D151ABA"/>
    <w:rsid w:val="4EDF7720"/>
    <w:rsid w:val="4F256492"/>
    <w:rsid w:val="52B86D65"/>
    <w:rsid w:val="53634C01"/>
    <w:rsid w:val="55311011"/>
    <w:rsid w:val="5588102D"/>
    <w:rsid w:val="56247F35"/>
    <w:rsid w:val="5633598F"/>
    <w:rsid w:val="566B7D21"/>
    <w:rsid w:val="569A494A"/>
    <w:rsid w:val="573316EB"/>
    <w:rsid w:val="578B4A58"/>
    <w:rsid w:val="581667A5"/>
    <w:rsid w:val="583D66CE"/>
    <w:rsid w:val="58557C07"/>
    <w:rsid w:val="5B0C0BE6"/>
    <w:rsid w:val="5D5556D2"/>
    <w:rsid w:val="5DB76275"/>
    <w:rsid w:val="5E371164"/>
    <w:rsid w:val="5EBB43C7"/>
    <w:rsid w:val="5F416DF4"/>
    <w:rsid w:val="5FD924D3"/>
    <w:rsid w:val="614222FA"/>
    <w:rsid w:val="617862D8"/>
    <w:rsid w:val="61CE7FC7"/>
    <w:rsid w:val="61DC6C34"/>
    <w:rsid w:val="620F48D2"/>
    <w:rsid w:val="62617D83"/>
    <w:rsid w:val="63B3701E"/>
    <w:rsid w:val="65873DF8"/>
    <w:rsid w:val="67FF33DC"/>
    <w:rsid w:val="681A3FD0"/>
    <w:rsid w:val="689C7722"/>
    <w:rsid w:val="69702632"/>
    <w:rsid w:val="69BD3957"/>
    <w:rsid w:val="6A4C054D"/>
    <w:rsid w:val="6B6E6CA7"/>
    <w:rsid w:val="6BC524A5"/>
    <w:rsid w:val="6C2D70F8"/>
    <w:rsid w:val="6D156B14"/>
    <w:rsid w:val="6DA4384C"/>
    <w:rsid w:val="6E041063"/>
    <w:rsid w:val="70F829D5"/>
    <w:rsid w:val="718E73C9"/>
    <w:rsid w:val="723F6573"/>
    <w:rsid w:val="73972979"/>
    <w:rsid w:val="752F50E4"/>
    <w:rsid w:val="75552850"/>
    <w:rsid w:val="75764D82"/>
    <w:rsid w:val="75E874BC"/>
    <w:rsid w:val="76744178"/>
    <w:rsid w:val="77DF669D"/>
    <w:rsid w:val="790A599B"/>
    <w:rsid w:val="79FD4660"/>
    <w:rsid w:val="7A8401A0"/>
    <w:rsid w:val="7B4A207F"/>
    <w:rsid w:val="7BF1074D"/>
    <w:rsid w:val="7CAA1027"/>
    <w:rsid w:val="7EC37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3">
    <w:name w:val="heading 1"/>
    <w:basedOn w:val="1"/>
    <w:next w:val="1"/>
    <w:qFormat/>
    <w:uiPriority w:val="0"/>
    <w:pPr>
      <w:keepNext/>
      <w:numPr>
        <w:ilvl w:val="0"/>
        <w:numId w:val="1"/>
      </w:numPr>
      <w:jc w:val="center"/>
      <w:outlineLvl w:val="0"/>
    </w:pPr>
    <w:rPr>
      <w:sz w:val="28"/>
    </w:rPr>
  </w:style>
  <w:style w:type="paragraph" w:styleId="4">
    <w:name w:val="heading 2"/>
    <w:basedOn w:val="1"/>
    <w:next w:val="1"/>
    <w:qFormat/>
    <w:uiPriority w:val="9"/>
    <w:pPr>
      <w:keepNext/>
      <w:keepLines/>
      <w:spacing w:before="260" w:after="260" w:line="416" w:lineRule="auto"/>
      <w:outlineLvl w:val="1"/>
    </w:pPr>
    <w:rPr>
      <w:rFonts w:eastAsia="黑体"/>
      <w:b/>
      <w:bCs/>
      <w:sz w:val="32"/>
      <w:szCs w:val="32"/>
    </w:rPr>
  </w:style>
  <w:style w:type="paragraph" w:styleId="5">
    <w:name w:val="heading 3"/>
    <w:basedOn w:val="1"/>
    <w:next w:val="1"/>
    <w:qFormat/>
    <w:uiPriority w:val="9"/>
    <w:pPr>
      <w:keepNext/>
      <w:keepLines/>
      <w:spacing w:line="413" w:lineRule="auto"/>
      <w:ind w:left="200" w:leftChars="200"/>
      <w:outlineLvl w:val="2"/>
    </w:pPr>
    <w:rPr>
      <w:rFonts w:ascii="仿宋_GB2312" w:hAnsi="仿宋_GB2312" w:eastAsia="仿宋_GB2312" w:cs="Times New Roman"/>
      <w:b/>
      <w:sz w:val="24"/>
      <w:szCs w:val="20"/>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sz w:val="24"/>
    </w:rPr>
  </w:style>
  <w:style w:type="paragraph" w:styleId="6">
    <w:name w:val="Normal Indent"/>
    <w:basedOn w:val="1"/>
    <w:qFormat/>
    <w:uiPriority w:val="0"/>
    <w:pPr>
      <w:ind w:firstLine="420" w:firstLineChars="200"/>
    </w:pPr>
  </w:style>
  <w:style w:type="paragraph" w:styleId="7">
    <w:name w:val="Salutation"/>
    <w:basedOn w:val="1"/>
    <w:next w:val="1"/>
    <w:qFormat/>
    <w:uiPriority w:val="0"/>
    <w:rPr>
      <w:rFonts w:ascii="楷体_GB2312" w:eastAsia="楷体_GB2312"/>
      <w:sz w:val="32"/>
    </w:rPr>
  </w:style>
  <w:style w:type="paragraph" w:styleId="8">
    <w:name w:val="Body Text 3"/>
    <w:basedOn w:val="1"/>
    <w:qFormat/>
    <w:uiPriority w:val="99"/>
    <w:pPr>
      <w:spacing w:after="120"/>
    </w:pPr>
    <w:rPr>
      <w:rFonts w:ascii="Times New Roman" w:hAnsi="Times New Roman" w:eastAsia="华文宋体" w:cs="Times New Roman"/>
      <w:sz w:val="16"/>
      <w:szCs w:val="16"/>
    </w:rPr>
  </w:style>
  <w:style w:type="paragraph" w:styleId="9">
    <w:name w:val="Body Text Indent"/>
    <w:basedOn w:val="1"/>
    <w:next w:val="1"/>
    <w:qFormat/>
    <w:uiPriority w:val="0"/>
    <w:pPr>
      <w:spacing w:line="460" w:lineRule="exact"/>
      <w:ind w:right="-215" w:firstLine="425"/>
    </w:pPr>
    <w:rPr>
      <w:sz w:val="28"/>
    </w:rPr>
  </w:style>
  <w:style w:type="paragraph" w:styleId="10">
    <w:name w:val="Plain Text"/>
    <w:basedOn w:val="1"/>
    <w:next w:val="1"/>
    <w:qFormat/>
    <w:uiPriority w:val="0"/>
    <w:rPr>
      <w:rFonts w:ascii="宋体" w:hAnsi="Courier New"/>
    </w:rPr>
  </w:style>
  <w:style w:type="paragraph" w:styleId="11">
    <w:name w:val="Body Text Indent 2"/>
    <w:basedOn w:val="1"/>
    <w:next w:val="1"/>
    <w:qFormat/>
    <w:uiPriority w:val="99"/>
    <w:pPr>
      <w:spacing w:line="640" w:lineRule="exact"/>
      <w:ind w:firstLine="645"/>
    </w:pPr>
    <w:rPr>
      <w:rFonts w:ascii="楷体_GB2312" w:eastAsia="楷体_GB2312"/>
      <w:sz w:val="32"/>
      <w:szCs w:val="32"/>
    </w:rPr>
  </w:style>
  <w:style w:type="paragraph" w:styleId="12">
    <w:name w:val="footer"/>
    <w:basedOn w:val="1"/>
    <w:qFormat/>
    <w:uiPriority w:val="99"/>
    <w:pPr>
      <w:tabs>
        <w:tab w:val="center" w:pos="4153"/>
        <w:tab w:val="right" w:pos="8306"/>
      </w:tabs>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14">
    <w:name w:val="toc 1"/>
    <w:basedOn w:val="1"/>
    <w:next w:val="1"/>
    <w:qFormat/>
    <w:uiPriority w:val="99"/>
    <w:rPr>
      <w:rFonts w:ascii="Times New Roman" w:hAnsi="Times New Roman" w:eastAsia="仿宋_GB2312" w:cs="Times New Roman"/>
      <w:caps/>
      <w:sz w:val="24"/>
      <w:szCs w:val="20"/>
    </w:rPr>
  </w:style>
  <w:style w:type="paragraph" w:styleId="15">
    <w:name w:val="Normal (Web)"/>
    <w:basedOn w:val="1"/>
    <w:qFormat/>
    <w:uiPriority w:val="0"/>
    <w:pPr>
      <w:spacing w:before="100" w:beforeAutospacing="1" w:after="100" w:afterAutospacing="1"/>
    </w:pPr>
    <w:rPr>
      <w:rFonts w:ascii="宋体" w:hAnsi="宋体"/>
      <w:sz w:val="24"/>
    </w:rPr>
  </w:style>
  <w:style w:type="paragraph" w:styleId="16">
    <w:name w:val="Body Text First Indent"/>
    <w:basedOn w:val="2"/>
    <w:next w:val="2"/>
    <w:qFormat/>
    <w:uiPriority w:val="0"/>
    <w:pPr>
      <w:spacing w:after="120"/>
      <w:ind w:firstLine="420" w:firstLineChars="100"/>
    </w:pPr>
    <w:rPr>
      <w:sz w:val="21"/>
    </w:rPr>
  </w:style>
  <w:style w:type="paragraph" w:styleId="17">
    <w:name w:val="Body Text First Indent 2"/>
    <w:basedOn w:val="9"/>
    <w:qFormat/>
    <w:uiPriority w:val="0"/>
    <w:pPr>
      <w:ind w:firstLine="420" w:firstLineChars="200"/>
    </w:pPr>
  </w:style>
  <w:style w:type="table" w:customStyle="1" w:styleId="20">
    <w:name w:val="Table Normal"/>
    <w:unhideWhenUsed/>
    <w:qFormat/>
    <w:uiPriority w:val="0"/>
    <w:tblPr>
      <w:tblCellMar>
        <w:top w:w="0" w:type="dxa"/>
        <w:left w:w="0" w:type="dxa"/>
        <w:bottom w:w="0" w:type="dxa"/>
        <w:right w:w="0" w:type="dxa"/>
      </w:tblCellMar>
    </w:tblPr>
  </w:style>
  <w:style w:type="paragraph" w:customStyle="1" w:styleId="21">
    <w:name w:val="my正文"/>
    <w:basedOn w:val="1"/>
    <w:link w:val="31"/>
    <w:qFormat/>
    <w:uiPriority w:val="0"/>
    <w:pPr>
      <w:spacing w:line="360" w:lineRule="auto"/>
      <w:ind w:firstLine="480" w:firstLineChars="200"/>
    </w:pPr>
    <w:rPr>
      <w:rFonts w:ascii="Calibri" w:hAnsi="Calibri"/>
      <w:szCs w:val="22"/>
    </w:rPr>
  </w:style>
  <w:style w:type="paragraph" w:customStyle="1" w:styleId="22">
    <w:name w:val="S_标题1"/>
    <w:basedOn w:val="3"/>
    <w:next w:val="1"/>
    <w:qFormat/>
    <w:uiPriority w:val="0"/>
    <w:pPr>
      <w:tabs>
        <w:tab w:val="left" w:pos="900"/>
        <w:tab w:val="left" w:pos="1206"/>
      </w:tabs>
      <w:spacing w:before="150" w:beforeLines="150" w:after="50" w:afterLines="50"/>
      <w:jc w:val="left"/>
    </w:pPr>
    <w:rPr>
      <w:sz w:val="32"/>
      <w:szCs w:val="32"/>
    </w:rPr>
  </w:style>
  <w:style w:type="paragraph" w:customStyle="1" w:styleId="23">
    <w:name w:val="S_标题2"/>
    <w:basedOn w:val="4"/>
    <w:next w:val="1"/>
    <w:qFormat/>
    <w:uiPriority w:val="0"/>
    <w:pPr>
      <w:numPr>
        <w:ilvl w:val="1"/>
        <w:numId w:val="2"/>
      </w:numPr>
      <w:spacing w:before="50" w:beforeLines="50" w:after="50" w:afterLines="50" w:line="240" w:lineRule="auto"/>
    </w:pPr>
    <w:rPr>
      <w:rFonts w:ascii="Times New Roman" w:hAnsi="Times New Roman" w:eastAsia="宋体"/>
      <w:b w:val="0"/>
      <w:bCs w:val="0"/>
      <w:sz w:val="30"/>
      <w:szCs w:val="30"/>
    </w:rPr>
  </w:style>
  <w:style w:type="paragraph" w:customStyle="1" w:styleId="24">
    <w:name w:val="aaa正文"/>
    <w:basedOn w:val="1"/>
    <w:qFormat/>
    <w:uiPriority w:val="0"/>
    <w:pPr>
      <w:spacing w:line="360" w:lineRule="auto"/>
      <w:ind w:firstLine="480" w:firstLineChars="200"/>
    </w:pPr>
    <w:rPr>
      <w:rFonts w:ascii="宋体" w:hAnsi="宋体"/>
      <w:sz w:val="24"/>
      <w:szCs w:val="24"/>
    </w:rPr>
  </w:style>
  <w:style w:type="paragraph" w:customStyle="1" w:styleId="25">
    <w:name w:val="Normal_28_0"/>
    <w:qFormat/>
    <w:uiPriority w:val="99"/>
    <w:pPr>
      <w:spacing w:before="120" w:after="240"/>
      <w:jc w:val="both"/>
    </w:pPr>
    <w:rPr>
      <w:rFonts w:ascii="Times New Roman" w:hAnsi="Times New Roman" w:eastAsia="宋体" w:cs="Times New Roman"/>
      <w:sz w:val="22"/>
      <w:szCs w:val="22"/>
      <w:lang w:val="en-US" w:eastAsia="en-US" w:bidi="ar-SA"/>
    </w:rPr>
  </w:style>
  <w:style w:type="paragraph" w:customStyle="1" w:styleId="26">
    <w:name w:val="Normal_31_0"/>
    <w:qFormat/>
    <w:uiPriority w:val="99"/>
    <w:pPr>
      <w:spacing w:before="120" w:after="240"/>
      <w:jc w:val="both"/>
    </w:pPr>
    <w:rPr>
      <w:rFonts w:ascii="Times New Roman" w:hAnsi="Times New Roman" w:eastAsia="宋体" w:cs="Times New Roman"/>
      <w:sz w:val="22"/>
      <w:szCs w:val="22"/>
      <w:lang w:val="en-US" w:eastAsia="en-US" w:bidi="ar-SA"/>
    </w:rPr>
  </w:style>
  <w:style w:type="paragraph" w:customStyle="1" w:styleId="27">
    <w:name w:val="正文缩进1"/>
    <w:basedOn w:val="1"/>
    <w:qFormat/>
    <w:uiPriority w:val="0"/>
    <w:pPr>
      <w:ind w:firstLine="420" w:firstLineChars="200"/>
    </w:pPr>
  </w:style>
  <w:style w:type="paragraph" w:customStyle="1" w:styleId="28">
    <w:name w:val="Char1"/>
    <w:basedOn w:val="1"/>
    <w:qFormat/>
    <w:uiPriority w:val="0"/>
    <w:rPr>
      <w:rFonts w:ascii="宋体" w:hAnsi="Calibri" w:eastAsia="微软雅黑"/>
      <w:sz w:val="34"/>
    </w:rPr>
  </w:style>
  <w:style w:type="character" w:customStyle="1" w:styleId="29">
    <w:name w:val="font11"/>
    <w:basedOn w:val="19"/>
    <w:qFormat/>
    <w:uiPriority w:val="99"/>
    <w:rPr>
      <w:rFonts w:ascii="宋体" w:hAnsi="宋体" w:eastAsia="宋体" w:cs="宋体"/>
      <w:color w:val="000000"/>
      <w:sz w:val="22"/>
      <w:szCs w:val="22"/>
      <w:u w:val="none"/>
    </w:rPr>
  </w:style>
  <w:style w:type="paragraph" w:customStyle="1" w:styleId="30">
    <w:name w:val="※正文"/>
    <w:basedOn w:val="1"/>
    <w:next w:val="1"/>
    <w:qFormat/>
    <w:uiPriority w:val="0"/>
    <w:pPr>
      <w:wordWrap w:val="0"/>
    </w:pPr>
    <w:rPr>
      <w:rFonts w:cs="Times New Roman"/>
    </w:rPr>
  </w:style>
  <w:style w:type="character" w:customStyle="1" w:styleId="31">
    <w:name w:val="my正文 Char"/>
    <w:link w:val="21"/>
    <w:qFormat/>
    <w:uiPriority w:val="0"/>
    <w:rPr>
      <w:rFonts w:ascii="Calibri" w:hAnsi="Calibri" w:eastAsia="Arial" w:cs="Arial"/>
      <w:snapToGrid w:val="0"/>
      <w:color w:val="000000"/>
      <w:sz w:val="21"/>
      <w:szCs w:val="22"/>
    </w:rPr>
  </w:style>
  <w:style w:type="character" w:customStyle="1" w:styleId="32">
    <w:name w:val="glyphicon4"/>
    <w:basedOn w:val="19"/>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84</Pages>
  <Words>45490</Words>
  <Characters>47632</Characters>
  <Lines>358</Lines>
  <Paragraphs>100</Paragraphs>
  <TotalTime>348</TotalTime>
  <ScaleCrop>false</ScaleCrop>
  <LinksUpToDate>false</LinksUpToDate>
  <CharactersWithSpaces>50056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2022-11-01T01:14:00Z</dcterms:created>
  <dc:creator>WPS_1602488906</dc:creator>
  <cp:lastModifiedBy>WPS_1602488906</cp:lastModifiedBy>
  <cp:lastPrinted>2022-11-28T01:03:08Z</cp:lastPrinted>
  <dcterms:modified xsi:type="dcterms:W3CDTF">2022-11-28T01:05:41Z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326885755C1743F49D06BDA7E1F6BC91</vt:lpwstr>
  </property>
</Properties>
</file>