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rPr>
          <w:rFonts w:hint="eastAsia" w:ascii="仿宋" w:hAnsi="仿宋" w:eastAsia="仿宋" w:cs="仿宋"/>
          <w:kern w:val="0"/>
          <w:sz w:val="30"/>
          <w:szCs w:val="30"/>
        </w:rPr>
      </w:pPr>
      <w:r>
        <w:rPr>
          <w:rFonts w:hint="eastAsia" w:ascii="仿宋" w:hAnsi="仿宋" w:eastAsia="仿宋" w:cs="仿宋"/>
          <w:kern w:val="0"/>
          <w:sz w:val="30"/>
          <w:szCs w:val="30"/>
        </w:rPr>
        <w:t>项目编号：</w:t>
      </w:r>
      <w:r>
        <w:rPr>
          <w:rFonts w:hint="eastAsia" w:ascii="仿宋" w:hAnsi="仿宋" w:eastAsia="仿宋" w:cs="仿宋"/>
          <w:sz w:val="28"/>
          <w:szCs w:val="28"/>
        </w:rPr>
        <w:t>JRZC-2022071</w:t>
      </w:r>
    </w:p>
    <w:p>
      <w:pPr>
        <w:jc w:val="center"/>
        <w:rPr>
          <w:rFonts w:hint="eastAsia" w:ascii="仿宋" w:hAnsi="仿宋" w:eastAsia="仿宋" w:cs="仿宋"/>
          <w:b/>
          <w:bCs/>
          <w:sz w:val="40"/>
          <w:szCs w:val="40"/>
        </w:rPr>
      </w:pPr>
    </w:p>
    <w:p>
      <w:pPr>
        <w:pStyle w:val="24"/>
        <w:ind w:firstLine="0" w:firstLineChars="0"/>
        <w:jc w:val="center"/>
        <w:rPr>
          <w:rFonts w:hint="eastAsia" w:ascii="仿宋" w:hAnsi="仿宋" w:eastAsia="仿宋" w:cs="仿宋"/>
          <w:b/>
          <w:bCs/>
          <w:sz w:val="52"/>
          <w:szCs w:val="52"/>
        </w:rPr>
      </w:pPr>
      <w:r>
        <w:rPr>
          <w:rFonts w:hint="eastAsia" w:ascii="仿宋" w:hAnsi="仿宋" w:eastAsia="仿宋" w:cs="仿宋"/>
          <w:b/>
          <w:bCs/>
          <w:sz w:val="48"/>
          <w:szCs w:val="48"/>
        </w:rPr>
        <w:t>甘泉县自然资源局2022年地质灾害普适型监测预警建设项目</w:t>
      </w:r>
    </w:p>
    <w:p>
      <w:pPr>
        <w:pStyle w:val="24"/>
        <w:ind w:firstLine="964"/>
        <w:rPr>
          <w:rFonts w:hint="eastAsia" w:ascii="仿宋" w:hAnsi="仿宋" w:eastAsia="仿宋" w:cs="仿宋"/>
          <w:b/>
          <w:bCs/>
          <w:sz w:val="48"/>
          <w:szCs w:val="48"/>
        </w:rPr>
      </w:pPr>
    </w:p>
    <w:p>
      <w:pPr>
        <w:jc w:val="center"/>
        <w:rPr>
          <w:rFonts w:hint="eastAsia" w:ascii="仿宋" w:hAnsi="仿宋" w:eastAsia="仿宋" w:cs="仿宋"/>
          <w:sz w:val="52"/>
          <w:szCs w:val="52"/>
        </w:rPr>
      </w:pPr>
    </w:p>
    <w:p>
      <w:pPr>
        <w:jc w:val="center"/>
        <w:rPr>
          <w:rFonts w:hint="eastAsia" w:ascii="仿宋" w:hAnsi="仿宋" w:eastAsia="仿宋" w:cs="仿宋"/>
          <w:sz w:val="72"/>
          <w:szCs w:val="72"/>
        </w:rPr>
      </w:pPr>
    </w:p>
    <w:p>
      <w:pPr>
        <w:jc w:val="center"/>
        <w:rPr>
          <w:rFonts w:hint="eastAsia" w:ascii="仿宋" w:hAnsi="仿宋" w:eastAsia="仿宋" w:cs="仿宋"/>
          <w:b/>
          <w:bCs/>
          <w:sz w:val="72"/>
          <w:szCs w:val="72"/>
        </w:rPr>
      </w:pPr>
      <w:r>
        <w:rPr>
          <w:rFonts w:hint="eastAsia" w:ascii="仿宋" w:hAnsi="仿宋" w:eastAsia="仿宋" w:cs="仿宋"/>
          <w:b/>
          <w:bCs/>
          <w:sz w:val="72"/>
          <w:szCs w:val="72"/>
        </w:rPr>
        <w:t>竞争性磋商文件</w:t>
      </w: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rPr>
          <w:rFonts w:hint="eastAsia" w:ascii="仿宋" w:hAnsi="仿宋" w:eastAsia="仿宋" w:cs="仿宋"/>
          <w:b/>
          <w:bCs/>
          <w:sz w:val="36"/>
          <w:szCs w:val="44"/>
        </w:rPr>
      </w:pPr>
    </w:p>
    <w:p>
      <w:pPr>
        <w:ind w:firstLine="1285" w:firstLineChars="400"/>
        <w:rPr>
          <w:rFonts w:hint="eastAsia" w:ascii="仿宋" w:hAnsi="仿宋" w:eastAsia="仿宋" w:cs="仿宋"/>
          <w:b/>
          <w:bCs/>
          <w:sz w:val="32"/>
          <w:szCs w:val="44"/>
        </w:rPr>
      </w:pPr>
      <w:r>
        <w:rPr>
          <w:rFonts w:hint="eastAsia" w:ascii="仿宋" w:hAnsi="仿宋" w:eastAsia="仿宋" w:cs="仿宋"/>
          <w:b/>
          <w:bCs/>
          <w:sz w:val="32"/>
          <w:szCs w:val="44"/>
        </w:rPr>
        <w:t>采购人：甘泉县自然资源局</w:t>
      </w:r>
    </w:p>
    <w:p>
      <w:pPr>
        <w:spacing w:line="360" w:lineRule="auto"/>
        <w:ind w:firstLine="1285" w:firstLineChars="400"/>
        <w:rPr>
          <w:rFonts w:hint="eastAsia" w:ascii="仿宋" w:hAnsi="仿宋" w:eastAsia="仿宋" w:cs="仿宋"/>
          <w:b/>
          <w:bCs/>
          <w:sz w:val="32"/>
          <w:szCs w:val="44"/>
        </w:rPr>
      </w:pPr>
    </w:p>
    <w:p>
      <w:pPr>
        <w:spacing w:line="360" w:lineRule="auto"/>
        <w:ind w:firstLine="1285" w:firstLineChars="400"/>
        <w:rPr>
          <w:rFonts w:hint="eastAsia" w:ascii="仿宋" w:hAnsi="仿宋" w:eastAsia="仿宋" w:cs="仿宋"/>
          <w:b/>
          <w:bCs/>
          <w:sz w:val="32"/>
          <w:szCs w:val="44"/>
        </w:rPr>
      </w:pPr>
      <w:r>
        <w:rPr>
          <w:rFonts w:hint="eastAsia" w:ascii="仿宋" w:hAnsi="仿宋" w:eastAsia="仿宋" w:cs="仿宋"/>
          <w:b/>
          <w:bCs/>
          <w:sz w:val="32"/>
          <w:szCs w:val="44"/>
        </w:rPr>
        <w:t>采购代理机构：陕西炬荣招标代理有限公司</w:t>
      </w:r>
    </w:p>
    <w:p>
      <w:pPr>
        <w:pStyle w:val="12"/>
        <w:spacing w:line="360" w:lineRule="auto"/>
        <w:jc w:val="center"/>
        <w:rPr>
          <w:rFonts w:hint="eastAsia" w:ascii="仿宋" w:hAnsi="仿宋" w:eastAsia="仿宋" w:cs="仿宋"/>
          <w:b/>
          <w:bCs/>
          <w:sz w:val="32"/>
          <w:szCs w:val="44"/>
        </w:rPr>
      </w:pPr>
    </w:p>
    <w:p>
      <w:pPr>
        <w:pStyle w:val="12"/>
        <w:spacing w:line="360" w:lineRule="auto"/>
        <w:jc w:val="center"/>
        <w:rPr>
          <w:rFonts w:hint="eastAsia" w:ascii="仿宋" w:hAnsi="仿宋" w:eastAsia="仿宋" w:cs="仿宋"/>
          <w:b/>
          <w:bCs/>
          <w:sz w:val="32"/>
          <w:szCs w:val="44"/>
        </w:rPr>
      </w:pPr>
      <w:r>
        <w:rPr>
          <w:rFonts w:hint="eastAsia" w:ascii="仿宋" w:hAnsi="仿宋" w:eastAsia="仿宋" w:cs="仿宋"/>
          <w:b/>
          <w:bCs/>
          <w:sz w:val="32"/>
          <w:szCs w:val="44"/>
        </w:rPr>
        <w:t>二〇二二年八月</w:t>
      </w:r>
    </w:p>
    <w:p>
      <w:pPr>
        <w:rPr>
          <w:rFonts w:hint="eastAsia" w:ascii="仿宋" w:hAnsi="仿宋" w:eastAsia="仿宋" w:cs="仿宋"/>
          <w:b/>
          <w:sz w:val="28"/>
        </w:rPr>
      </w:pPr>
    </w:p>
    <w:p>
      <w:pPr>
        <w:pStyle w:val="3"/>
        <w:ind w:firstLine="964" w:firstLineChars="300"/>
        <w:rPr>
          <w:rFonts w:hint="eastAsia" w:ascii="仿宋" w:hAnsi="仿宋" w:eastAsia="仿宋" w:cs="仿宋"/>
          <w:sz w:val="32"/>
          <w:szCs w:val="32"/>
        </w:rPr>
      </w:pPr>
      <w:r>
        <w:rPr>
          <w:rFonts w:hint="eastAsia" w:ascii="仿宋" w:hAnsi="仿宋" w:eastAsia="仿宋" w:cs="仿宋"/>
          <w:sz w:val="32"/>
          <w:szCs w:val="32"/>
        </w:rPr>
        <w:t>目  录</w:t>
      </w: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spacing w:line="48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 xml:space="preserve">第一部分  磋商公告 </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第二部分  供应商须知</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color w:val="FF0000"/>
          <w:sz w:val="32"/>
          <w:szCs w:val="32"/>
        </w:rPr>
      </w:pPr>
      <w:r>
        <w:rPr>
          <w:rFonts w:hint="eastAsia" w:ascii="仿宋" w:hAnsi="仿宋" w:eastAsia="仿宋" w:cs="仿宋"/>
          <w:b/>
          <w:sz w:val="32"/>
          <w:szCs w:val="32"/>
        </w:rPr>
        <w:t xml:space="preserve">第三部分  磋商内容及要求 </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第四部分  商务及合同主要条款</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sz w:val="30"/>
          <w:szCs w:val="30"/>
        </w:rPr>
      </w:pPr>
      <w:r>
        <w:rPr>
          <w:rFonts w:hint="eastAsia" w:ascii="仿宋" w:hAnsi="仿宋" w:eastAsia="仿宋" w:cs="仿宋"/>
          <w:b/>
          <w:sz w:val="32"/>
          <w:szCs w:val="32"/>
        </w:rPr>
        <w:t xml:space="preserve">第五部分  响应文件格式 </w:t>
      </w:r>
      <w:r>
        <w:rPr>
          <w:rFonts w:hint="eastAsia" w:ascii="仿宋" w:hAnsi="仿宋" w:eastAsia="仿宋" w:cs="仿宋"/>
          <w:b/>
          <w:sz w:val="30"/>
          <w:szCs w:val="30"/>
        </w:rPr>
        <w:t xml:space="preserve">   </w:t>
      </w:r>
    </w:p>
    <w:p>
      <w:pPr>
        <w:spacing w:line="480" w:lineRule="auto"/>
        <w:ind w:firstLine="602" w:firstLineChars="200"/>
        <w:rPr>
          <w:rFonts w:hint="eastAsia" w:ascii="仿宋" w:hAnsi="仿宋" w:eastAsia="仿宋" w:cs="仿宋"/>
          <w:b/>
          <w:sz w:val="30"/>
          <w:szCs w:val="30"/>
        </w:rPr>
      </w:pPr>
    </w:p>
    <w:p>
      <w:pPr>
        <w:spacing w:line="480" w:lineRule="auto"/>
        <w:ind w:firstLine="602" w:firstLineChars="200"/>
        <w:rPr>
          <w:rFonts w:hint="eastAsia" w:ascii="仿宋" w:hAnsi="仿宋" w:eastAsia="仿宋" w:cs="仿宋"/>
          <w:b/>
          <w:sz w:val="32"/>
          <w:szCs w:val="32"/>
        </w:rPr>
        <w:sectPr>
          <w:footerReference r:id="rId6" w:type="first"/>
          <w:footerReference r:id="rId5" w:type="default"/>
          <w:pgSz w:w="11906" w:h="16838"/>
          <w:pgMar w:top="1418" w:right="986" w:bottom="1418" w:left="1440" w:header="851" w:footer="992" w:gutter="0"/>
          <w:pgNumType w:start="1"/>
          <w:cols w:space="720" w:num="1"/>
          <w:docGrid w:linePitch="326" w:charSpace="0"/>
        </w:sectPr>
      </w:pPr>
      <w:r>
        <w:rPr>
          <w:rFonts w:hint="eastAsia" w:ascii="仿宋" w:hAnsi="仿宋" w:eastAsia="仿宋" w:cs="仿宋"/>
          <w:b/>
          <w:sz w:val="30"/>
          <w:szCs w:val="30"/>
        </w:rPr>
        <w:t xml:space="preserve"> </w:t>
      </w:r>
    </w:p>
    <w:p>
      <w:pPr>
        <w:pStyle w:val="3"/>
        <w:spacing w:line="400" w:lineRule="exact"/>
        <w:rPr>
          <w:rFonts w:hint="eastAsia" w:ascii="仿宋" w:hAnsi="仿宋" w:eastAsia="仿宋" w:cs="仿宋"/>
          <w:sz w:val="32"/>
          <w:szCs w:val="32"/>
        </w:rPr>
      </w:pPr>
      <w:r>
        <w:rPr>
          <w:rFonts w:hint="eastAsia" w:ascii="仿宋" w:hAnsi="仿宋" w:eastAsia="仿宋" w:cs="仿宋"/>
          <w:sz w:val="32"/>
          <w:szCs w:val="32"/>
        </w:rPr>
        <w:t>第一部分  磋商公告</w:t>
      </w:r>
    </w:p>
    <w:p>
      <w:pPr>
        <w:pStyle w:val="6"/>
        <w:keepNext w:val="0"/>
        <w:keepLines w:val="0"/>
        <w:widowControl/>
        <w:spacing w:before="150" w:after="150" w:line="30" w:lineRule="atLeast"/>
        <w:textAlignment w:val="baseline"/>
        <w:rPr>
          <w:rFonts w:hint="eastAsia" w:ascii="仿宋" w:hAnsi="仿宋" w:eastAsia="仿宋" w:cs="仿宋"/>
          <w:sz w:val="21"/>
          <w:szCs w:val="21"/>
        </w:rPr>
      </w:pPr>
      <w:r>
        <w:rPr>
          <w:rStyle w:val="21"/>
          <w:rFonts w:hint="eastAsia" w:ascii="仿宋" w:hAnsi="仿宋" w:eastAsia="仿宋" w:cs="仿宋"/>
          <w:color w:val="333333"/>
          <w:sz w:val="21"/>
          <w:szCs w:val="21"/>
          <w:shd w:val="clear" w:color="auto" w:fill="FFFFFF"/>
        </w:rPr>
        <w:t>项目概况</w:t>
      </w:r>
    </w:p>
    <w:p>
      <w:pPr>
        <w:pStyle w:val="15"/>
        <w:spacing w:before="150" w:beforeAutospacing="0" w:after="15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甘泉县自然资源局2022年地质灾害普适型监测预警建设项目采购项目的潜在供应商应在延安市新区坤岗国家七号楼一单元602室获取采购文件，并于 2022年09月05日 14时30分 （北京时间）前提交响应文件。</w:t>
      </w:r>
    </w:p>
    <w:p>
      <w:pPr>
        <w:pStyle w:val="4"/>
        <w:ind w:firstLine="482"/>
        <w:rPr>
          <w:rFonts w:hint="eastAsia" w:ascii="仿宋" w:hAnsi="仿宋" w:eastAsia="仿宋" w:cs="仿宋"/>
          <w:sz w:val="24"/>
          <w:szCs w:val="24"/>
        </w:rPr>
      </w:pPr>
      <w:r>
        <w:rPr>
          <w:rFonts w:hint="eastAsia" w:ascii="仿宋" w:hAnsi="仿宋" w:eastAsia="仿宋" w:cs="仿宋"/>
          <w:sz w:val="24"/>
          <w:szCs w:val="24"/>
        </w:rPr>
        <w:t>一、项目基本情况</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项目编号：JRZC-2022071</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项目名称：甘泉县自然资源局2022年地质灾害普适型监测预警建设项目</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采购方式：竞争性磋商</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预算金额：640,000.00元</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采购需求：</w:t>
      </w:r>
    </w:p>
    <w:p>
      <w:pPr>
        <w:pStyle w:val="15"/>
        <w:adjustRightInd w:val="0"/>
        <w:snapToGrid w:val="0"/>
        <w:spacing w:before="0" w:beforeAutospacing="0" w:after="0" w:afterAutospacing="0" w:line="360" w:lineRule="auto"/>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合同包1(甘泉县自然资源局2022年地质灾害普适型监测预警建设项目):</w:t>
      </w:r>
    </w:p>
    <w:p>
      <w:pPr>
        <w:pStyle w:val="15"/>
        <w:adjustRightInd w:val="0"/>
        <w:snapToGrid w:val="0"/>
        <w:spacing w:before="0" w:beforeAutospacing="0" w:after="0" w:afterAutospacing="0" w:line="360" w:lineRule="auto"/>
        <w:ind w:firstLine="63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合同包预算金额：640,000.00元</w:t>
      </w:r>
    </w:p>
    <w:p>
      <w:pPr>
        <w:pStyle w:val="15"/>
        <w:adjustRightInd w:val="0"/>
        <w:snapToGrid w:val="0"/>
        <w:spacing w:before="0" w:beforeAutospacing="0" w:after="0" w:afterAutospacing="0" w:line="360" w:lineRule="auto"/>
        <w:ind w:firstLine="63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合同包最高限价：640,000.00元</w:t>
      </w:r>
    </w:p>
    <w:tbl>
      <w:tblPr>
        <w:tblStyle w:val="18"/>
        <w:tblW w:w="4996" w:type="pct"/>
        <w:tblInd w:w="0" w:type="dxa"/>
        <w:tblLayout w:type="autofit"/>
        <w:tblCellMar>
          <w:top w:w="0" w:type="dxa"/>
          <w:left w:w="0" w:type="dxa"/>
          <w:bottom w:w="0" w:type="dxa"/>
          <w:right w:w="0" w:type="dxa"/>
        </w:tblCellMar>
      </w:tblPr>
      <w:tblGrid>
        <w:gridCol w:w="590"/>
        <w:gridCol w:w="2128"/>
        <w:gridCol w:w="1157"/>
        <w:gridCol w:w="1751"/>
        <w:gridCol w:w="1477"/>
        <w:gridCol w:w="1290"/>
        <w:gridCol w:w="1290"/>
      </w:tblGrid>
      <w:tr>
        <w:tblPrEx>
          <w:tblCellMar>
            <w:top w:w="0" w:type="dxa"/>
            <w:left w:w="0" w:type="dxa"/>
            <w:bottom w:w="0" w:type="dxa"/>
            <w:right w:w="0" w:type="dxa"/>
          </w:tblCellMar>
        </w:tblPrEx>
        <w:trPr>
          <w:trHeight w:val="728" w:hRule="atLeast"/>
          <w:tblHeader/>
        </w:trPr>
        <w:tc>
          <w:tcPr>
            <w:tcW w:w="3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品目号</w:t>
            </w:r>
          </w:p>
        </w:tc>
        <w:tc>
          <w:tcPr>
            <w:tcW w:w="10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品目名称</w:t>
            </w:r>
          </w:p>
        </w:tc>
        <w:tc>
          <w:tcPr>
            <w:tcW w:w="5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采购标的</w:t>
            </w:r>
          </w:p>
        </w:tc>
        <w:tc>
          <w:tcPr>
            <w:tcW w:w="9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数量（单位）</w:t>
            </w:r>
          </w:p>
        </w:tc>
        <w:tc>
          <w:tcPr>
            <w:tcW w:w="7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技术规格、参数及要求</w:t>
            </w:r>
          </w:p>
        </w:tc>
        <w:tc>
          <w:tcPr>
            <w:tcW w:w="6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品目预算(元)</w:t>
            </w:r>
          </w:p>
        </w:tc>
        <w:tc>
          <w:tcPr>
            <w:tcW w:w="6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最高限价(元)</w:t>
            </w:r>
          </w:p>
        </w:tc>
      </w:tr>
      <w:tr>
        <w:tblPrEx>
          <w:tblCellMar>
            <w:top w:w="0" w:type="dxa"/>
            <w:left w:w="0" w:type="dxa"/>
            <w:bottom w:w="0" w:type="dxa"/>
            <w:right w:w="0" w:type="dxa"/>
          </w:tblCellMar>
        </w:tblPrEx>
        <w:trPr>
          <w:trHeight w:val="480" w:hRule="atLeast"/>
        </w:trPr>
        <w:tc>
          <w:tcPr>
            <w:tcW w:w="3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szCs w:val="21"/>
              </w:rPr>
            </w:pPr>
            <w:r>
              <w:rPr>
                <w:rFonts w:hint="eastAsia" w:ascii="仿宋" w:hAnsi="仿宋" w:eastAsia="仿宋" w:cs="仿宋"/>
                <w:kern w:val="0"/>
                <w:szCs w:val="21"/>
                <w:lang w:bidi="ar"/>
              </w:rPr>
              <w:t>1-1</w:t>
            </w:r>
          </w:p>
        </w:tc>
        <w:tc>
          <w:tcPr>
            <w:tcW w:w="10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szCs w:val="21"/>
              </w:rPr>
            </w:pPr>
            <w:r>
              <w:rPr>
                <w:rFonts w:hint="eastAsia" w:ascii="仿宋" w:hAnsi="仿宋" w:eastAsia="仿宋" w:cs="仿宋"/>
                <w:kern w:val="0"/>
                <w:szCs w:val="21"/>
                <w:lang w:bidi="ar"/>
              </w:rPr>
              <w:t>其他专业技术服务</w:t>
            </w:r>
          </w:p>
        </w:tc>
        <w:tc>
          <w:tcPr>
            <w:tcW w:w="5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szCs w:val="21"/>
              </w:rPr>
            </w:pPr>
            <w:r>
              <w:rPr>
                <w:rFonts w:hint="eastAsia" w:ascii="仿宋" w:hAnsi="仿宋" w:eastAsia="仿宋" w:cs="仿宋"/>
                <w:kern w:val="0"/>
                <w:szCs w:val="21"/>
                <w:lang w:bidi="ar"/>
              </w:rPr>
              <w:t>服务</w:t>
            </w:r>
          </w:p>
        </w:tc>
        <w:tc>
          <w:tcPr>
            <w:tcW w:w="9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szCs w:val="21"/>
              </w:rPr>
            </w:pPr>
            <w:r>
              <w:rPr>
                <w:rFonts w:hint="eastAsia" w:ascii="仿宋" w:hAnsi="仿宋" w:eastAsia="仿宋" w:cs="仿宋"/>
                <w:kern w:val="0"/>
                <w:szCs w:val="21"/>
                <w:lang w:bidi="ar"/>
              </w:rPr>
              <w:t>1(项)</w:t>
            </w:r>
          </w:p>
        </w:tc>
        <w:tc>
          <w:tcPr>
            <w:tcW w:w="7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hint="eastAsia" w:ascii="仿宋" w:hAnsi="仿宋" w:eastAsia="仿宋" w:cs="仿宋"/>
                <w:szCs w:val="21"/>
              </w:rPr>
            </w:pPr>
            <w:r>
              <w:rPr>
                <w:rFonts w:hint="eastAsia" w:ascii="仿宋" w:hAnsi="仿宋" w:eastAsia="仿宋" w:cs="仿宋"/>
                <w:kern w:val="0"/>
                <w:szCs w:val="21"/>
                <w:lang w:bidi="ar"/>
              </w:rPr>
              <w:t>详见采购文件</w:t>
            </w:r>
          </w:p>
        </w:tc>
        <w:tc>
          <w:tcPr>
            <w:tcW w:w="6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rFonts w:hint="eastAsia" w:ascii="仿宋" w:hAnsi="仿宋" w:eastAsia="仿宋" w:cs="仿宋"/>
                <w:szCs w:val="21"/>
              </w:rPr>
            </w:pPr>
            <w:r>
              <w:rPr>
                <w:rFonts w:hint="eastAsia" w:ascii="仿宋" w:hAnsi="仿宋" w:eastAsia="仿宋" w:cs="仿宋"/>
                <w:kern w:val="0"/>
                <w:szCs w:val="21"/>
                <w:lang w:bidi="ar"/>
              </w:rPr>
              <w:t>640,000.00</w:t>
            </w:r>
          </w:p>
        </w:tc>
        <w:tc>
          <w:tcPr>
            <w:tcW w:w="6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rFonts w:hint="eastAsia" w:ascii="仿宋" w:hAnsi="仿宋" w:eastAsia="仿宋" w:cs="仿宋"/>
                <w:szCs w:val="21"/>
              </w:rPr>
            </w:pPr>
            <w:r>
              <w:rPr>
                <w:rFonts w:hint="eastAsia" w:ascii="仿宋" w:hAnsi="仿宋" w:eastAsia="仿宋" w:cs="仿宋"/>
                <w:kern w:val="0"/>
                <w:szCs w:val="21"/>
                <w:lang w:bidi="ar"/>
              </w:rPr>
              <w:t>640,000.00</w:t>
            </w:r>
          </w:p>
        </w:tc>
      </w:tr>
    </w:tbl>
    <w:p>
      <w:pPr>
        <w:pStyle w:val="15"/>
        <w:spacing w:before="0" w:beforeAutospacing="0" w:after="0" w:afterAutospacing="0" w:line="480" w:lineRule="atLeast"/>
        <w:ind w:firstLine="63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本合同包不接受联合体投标</w:t>
      </w:r>
    </w:p>
    <w:p>
      <w:pPr>
        <w:pStyle w:val="15"/>
        <w:spacing w:before="0" w:beforeAutospacing="0" w:after="0" w:afterAutospacing="0" w:line="480" w:lineRule="atLeast"/>
        <w:ind w:firstLine="63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合同履行期限：无</w:t>
      </w:r>
    </w:p>
    <w:p>
      <w:pPr>
        <w:pStyle w:val="4"/>
        <w:ind w:firstLine="482"/>
        <w:rPr>
          <w:rFonts w:hint="eastAsia" w:ascii="仿宋" w:hAnsi="仿宋" w:eastAsia="仿宋" w:cs="仿宋"/>
          <w:sz w:val="24"/>
          <w:szCs w:val="24"/>
        </w:rPr>
      </w:pPr>
      <w:r>
        <w:rPr>
          <w:rFonts w:hint="eastAsia" w:ascii="仿宋" w:hAnsi="仿宋" w:eastAsia="仿宋" w:cs="仿宋"/>
          <w:sz w:val="24"/>
          <w:szCs w:val="24"/>
        </w:rPr>
        <w:t>二、申请人的资格要求：</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1.满足《中华人民共和国政府采购法》第二十二条规定;</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2.落实政府采购政策需满足的资格要求：</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合同包1(甘泉县自然资源局2022年地质灾害普适型监测预警建设项目)落实政府采购政策需满足的资格要求如下:</w:t>
      </w:r>
    </w:p>
    <w:p>
      <w:pPr>
        <w:pStyle w:val="15"/>
        <w:shd w:val="clear" w:color="auto" w:fill="FFFFFF"/>
        <w:adjustRightInd w:val="0"/>
        <w:snapToGrid w:val="0"/>
        <w:spacing w:before="0" w:beforeAutospacing="0" w:after="0" w:afterAutospacing="0" w:line="360" w:lineRule="auto"/>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（1）《财政部 工业和信息化部关于印发〈政府采购促进中小企业发展管理办法〉的通知》（财库〔2020〕46号）；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（2）《财政部司法部关于政府采购支持监狱企业发展有关问题的通知》（财库〔2014〕68号）；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（3）《国务院办公厅关于建立政府强制采购节能产品制度的通知》（国办发〔2007〕51号）；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（4）《节能产品政府采购实施意见》（财库[2004]185号）；</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（5）《环境标志产品政府采购实施的意见》（财库[2006]90号）；</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（6）《三部门联合发布关于促进残疾人就业政府采购政策的通知》（财库〔2017〕141号）。</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（7）《财政部 工业和信息化部关于印发〈政府采购促进中小企业发展管理办法〉的通知》（财库〔2021〕46号）。</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（8）陕西省财政厅关于印发《陕西省中小企业政府采购信用融资办法》（陕财办采〔2018〕23号）；</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（9）其他需要落实的政府采购政策。</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3.本项目的特定资格要求：</w:t>
      </w:r>
    </w:p>
    <w:p>
      <w:pPr>
        <w:pStyle w:val="15"/>
        <w:shd w:val="clear" w:color="auto" w:fill="FFFFFF"/>
        <w:adjustRightInd w:val="0"/>
        <w:snapToGrid w:val="0"/>
        <w:spacing w:before="0" w:beforeAutospacing="0" w:after="0" w:afterAutospacing="0" w:line="360" w:lineRule="auto"/>
        <w:ind w:firstLine="480"/>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合同包1(甘泉县自然资源局2022年地质灾害普适型监测预警建设项目)特定资格要求如下:</w:t>
      </w:r>
    </w:p>
    <w:p>
      <w:pPr>
        <w:pStyle w:val="15"/>
        <w:shd w:val="clear" w:color="auto" w:fill="FFFFFF"/>
        <w:adjustRightInd w:val="0"/>
        <w:snapToGrid w:val="0"/>
        <w:spacing w:before="0" w:beforeAutospacing="0" w:after="0" w:afterAutospacing="0" w:line="360" w:lineRule="auto"/>
        <w:jc w:val="both"/>
        <w:textAlignment w:val="baseline"/>
        <w:rPr>
          <w:rFonts w:hint="eastAsia" w:ascii="仿宋" w:hAnsi="仿宋" w:eastAsia="仿宋" w:cs="仿宋"/>
          <w:color w:val="333333"/>
          <w:sz w:val="21"/>
          <w:szCs w:val="21"/>
          <w:shd w:val="clear" w:color="auto" w:fill="FFFFFF"/>
        </w:rPr>
      </w:pPr>
      <w:r>
        <w:rPr>
          <w:rFonts w:hint="eastAsia" w:ascii="仿宋" w:hAnsi="仿宋" w:eastAsia="仿宋" w:cs="仿宋"/>
          <w:color w:val="333333"/>
          <w:sz w:val="21"/>
          <w:szCs w:val="21"/>
          <w:shd w:val="clear" w:color="auto" w:fill="FFFFFF"/>
        </w:rPr>
        <w:t>（1）具有独立承担民事责任能力的法人或其他组织，提供合法有效的统一社会信用代码的营业执照（含年度报告书）或事业单位法人证书等国家规定的相关证明，自然人参与的提供其身份证明；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（2）法定代表人授权书（附法定代表人身份证复印件）及被授权人身份证（法定代表人直接参加投标只须提供法定代表人身份证）；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（3）税收缴纳证明：提供已缴纳的本年度或上年度任一月份的缴税凭证或依法免税的供应商应提供相关文件证明；</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（4）供应商须具备地质灾害防治勘查甲级资质；拟派项目负责人须具有地质相关专业中级或以上技术职称；</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5）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6）财务状况报告：提供2020年度或2021年度的财务审计报告（至少包括资产负债表和利润表，成立时间至提交响应文件截止时间不足一年的可提供成立后任意时段的资产负债表），或其基本存款账户开户银行出具的资信证明及基本户证明材料；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（7）供应商应出具参加政府采购活动前3年内在经营活动中没有重大违法记录的书面声明； </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仿宋" w:hAnsi="仿宋" w:eastAsia="仿宋" w:cs="仿宋"/>
          <w:color w:val="333333"/>
          <w:sz w:val="21"/>
          <w:szCs w:val="21"/>
          <w:shd w:val="clear" w:color="auto" w:fill="FFFFFF"/>
        </w:rPr>
        <w:br w:type="textWrapping"/>
      </w:r>
      <w:r>
        <w:rPr>
          <w:rFonts w:hint="eastAsia" w:ascii="仿宋" w:hAnsi="仿宋" w:eastAsia="仿宋" w:cs="仿宋"/>
          <w:color w:val="333333"/>
          <w:sz w:val="21"/>
          <w:szCs w:val="21"/>
          <w:shd w:val="clear" w:color="auto" w:fill="FFFFFF"/>
        </w:rPr>
        <w:t>（9）本项目不接受联合体磋商。</w:t>
      </w:r>
    </w:p>
    <w:p>
      <w:pPr>
        <w:pStyle w:val="4"/>
        <w:ind w:firstLine="482"/>
        <w:rPr>
          <w:rFonts w:hint="eastAsia" w:ascii="仿宋" w:hAnsi="仿宋" w:eastAsia="仿宋" w:cs="仿宋"/>
          <w:sz w:val="24"/>
          <w:szCs w:val="24"/>
        </w:rPr>
      </w:pPr>
      <w:r>
        <w:rPr>
          <w:rFonts w:hint="eastAsia" w:ascii="仿宋" w:hAnsi="仿宋" w:eastAsia="仿宋" w:cs="仿宋"/>
          <w:sz w:val="24"/>
          <w:szCs w:val="24"/>
        </w:rPr>
        <w:t>三、获取采购文件</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时间： 2022年08月22日 至 2022年08月26日 ，每天上午 09:00:00 至 12:00:00 ，下午 14:00:00 至 17:00:00 （北京时间,法定节假日除外）</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地点：延安市新区坤岗国家七号楼一单元602室</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方式：现场获取</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售价： 500元</w:t>
      </w:r>
    </w:p>
    <w:p>
      <w:pPr>
        <w:pStyle w:val="4"/>
        <w:ind w:firstLine="482"/>
        <w:rPr>
          <w:rFonts w:hint="eastAsia" w:ascii="仿宋" w:hAnsi="仿宋" w:eastAsia="仿宋" w:cs="仿宋"/>
          <w:sz w:val="24"/>
          <w:szCs w:val="24"/>
        </w:rPr>
      </w:pPr>
      <w:r>
        <w:rPr>
          <w:rFonts w:hint="eastAsia" w:ascii="仿宋" w:hAnsi="仿宋" w:eastAsia="仿宋" w:cs="仿宋"/>
          <w:sz w:val="24"/>
          <w:szCs w:val="24"/>
        </w:rPr>
        <w:t>四、响应文件提交</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截止时间： 2022年09月05日 14时30分00秒 （北京时间）</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地点：延安市新区坤岗国际七号楼一单元602会议室</w:t>
      </w:r>
    </w:p>
    <w:p>
      <w:pPr>
        <w:pStyle w:val="4"/>
        <w:ind w:firstLine="482"/>
        <w:rPr>
          <w:rFonts w:hint="eastAsia" w:ascii="仿宋" w:hAnsi="仿宋" w:eastAsia="仿宋" w:cs="仿宋"/>
          <w:sz w:val="24"/>
          <w:szCs w:val="24"/>
        </w:rPr>
      </w:pPr>
      <w:r>
        <w:rPr>
          <w:rFonts w:hint="eastAsia" w:ascii="仿宋" w:hAnsi="仿宋" w:eastAsia="仿宋" w:cs="仿宋"/>
          <w:sz w:val="24"/>
          <w:szCs w:val="24"/>
        </w:rPr>
        <w:t>五、开启</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时间： 2022年09月05日 14时30分00秒 （北京时间）</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地点：延安市新区坤岗国际七号楼一单元602会议室</w:t>
      </w:r>
    </w:p>
    <w:p>
      <w:pPr>
        <w:pStyle w:val="4"/>
        <w:ind w:firstLine="482"/>
        <w:rPr>
          <w:rFonts w:hint="eastAsia" w:ascii="仿宋" w:hAnsi="仿宋" w:eastAsia="仿宋" w:cs="仿宋"/>
          <w:sz w:val="24"/>
          <w:szCs w:val="24"/>
        </w:rPr>
      </w:pPr>
      <w:r>
        <w:rPr>
          <w:rFonts w:hint="eastAsia" w:ascii="仿宋" w:hAnsi="仿宋" w:eastAsia="仿宋" w:cs="仿宋"/>
          <w:sz w:val="24"/>
          <w:szCs w:val="24"/>
        </w:rPr>
        <w:t>六、公告期限</w:t>
      </w:r>
    </w:p>
    <w:p>
      <w:pPr>
        <w:pStyle w:val="15"/>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333333"/>
          <w:sz w:val="21"/>
          <w:szCs w:val="21"/>
        </w:rPr>
      </w:pPr>
      <w:r>
        <w:rPr>
          <w:rFonts w:hint="eastAsia" w:ascii="仿宋" w:hAnsi="仿宋" w:eastAsia="仿宋" w:cs="仿宋"/>
          <w:color w:val="333333"/>
          <w:sz w:val="21"/>
          <w:szCs w:val="21"/>
          <w:shd w:val="clear" w:color="auto" w:fill="FFFFFF"/>
        </w:rPr>
        <w:t>自本公告发布之日起3个工作日。</w:t>
      </w:r>
    </w:p>
    <w:p>
      <w:pPr>
        <w:pStyle w:val="4"/>
        <w:ind w:firstLine="482"/>
        <w:rPr>
          <w:rFonts w:hint="eastAsia" w:ascii="仿宋" w:hAnsi="仿宋" w:eastAsia="仿宋" w:cs="仿宋"/>
          <w:sz w:val="24"/>
          <w:szCs w:val="24"/>
        </w:rPr>
      </w:pPr>
      <w:r>
        <w:rPr>
          <w:rFonts w:hint="eastAsia" w:ascii="仿宋" w:hAnsi="仿宋" w:eastAsia="仿宋" w:cs="仿宋"/>
          <w:sz w:val="24"/>
          <w:szCs w:val="24"/>
        </w:rPr>
        <w:t>七、其他补充事宜</w:t>
      </w:r>
    </w:p>
    <w:p>
      <w:pPr>
        <w:pStyle w:val="15"/>
        <w:spacing w:before="105" w:beforeAutospacing="0" w:after="105" w:afterAutospacing="0" w:line="480" w:lineRule="atLeast"/>
        <w:ind w:firstLine="480"/>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lang w:bidi="ar"/>
        </w:rPr>
        <w:t>1.购买竞争性磋商文件时，请携带介绍信及本人有效身份证原件（加盖公章复印件一份）(现场购买，谢绝邮寄，售后不退）。</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lang w:bidi="ar"/>
        </w:rPr>
        <w:t>2.请供应商按照陕西省财政厅关于政府采购供应商注册登记有关事项的通知中的要求，通过陕西省政府采购网注册登记加入陕西省政府采购供应商库。</w:t>
      </w:r>
    </w:p>
    <w:p>
      <w:pPr>
        <w:pStyle w:val="4"/>
        <w:ind w:firstLine="482"/>
        <w:rPr>
          <w:rFonts w:hint="eastAsia" w:ascii="仿宋" w:hAnsi="仿宋" w:eastAsia="仿宋" w:cs="仿宋"/>
          <w:sz w:val="24"/>
          <w:szCs w:val="24"/>
        </w:rPr>
      </w:pPr>
      <w:r>
        <w:rPr>
          <w:rFonts w:hint="eastAsia" w:ascii="仿宋" w:hAnsi="仿宋" w:eastAsia="仿宋" w:cs="仿宋"/>
          <w:sz w:val="24"/>
          <w:szCs w:val="24"/>
        </w:rPr>
        <w:t>八、凡对本次采购提出询问，请按以下方式联系。</w:t>
      </w:r>
    </w:p>
    <w:p>
      <w:pPr>
        <w:pStyle w:val="6"/>
        <w:keepNext w:val="0"/>
        <w:keepLines w:val="0"/>
        <w:widowControl/>
        <w:spacing w:before="0" w:after="0" w:line="30" w:lineRule="atLeast"/>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1.采购人信息</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名称：甘泉县自然资源局</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地址：甘泉县迎宾路019号</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联系方式：0911-4228634</w:t>
      </w:r>
    </w:p>
    <w:p>
      <w:pPr>
        <w:pStyle w:val="6"/>
        <w:keepNext w:val="0"/>
        <w:keepLines w:val="0"/>
        <w:widowControl/>
        <w:spacing w:before="0" w:after="0" w:line="30" w:lineRule="atLeast"/>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2.采购代理机构信息</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名称：陕西炬荣招标代理有限公司</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地址：延安市新区坤岗国际七号楼一单元602室</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联系方式：0911-8887276</w:t>
      </w:r>
    </w:p>
    <w:p>
      <w:pPr>
        <w:pStyle w:val="6"/>
        <w:keepNext w:val="0"/>
        <w:keepLines w:val="0"/>
        <w:widowControl/>
        <w:spacing w:before="0" w:after="0" w:line="30" w:lineRule="atLeast"/>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3.项目联系方式</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项目联系人：黄工</w:t>
      </w:r>
    </w:p>
    <w:p>
      <w:pPr>
        <w:pStyle w:val="15"/>
        <w:spacing w:before="0" w:beforeAutospacing="0" w:after="0" w:afterAutospacing="0" w:line="480" w:lineRule="atLeast"/>
        <w:ind w:firstLine="480"/>
        <w:jc w:val="both"/>
        <w:textAlignment w:val="baseline"/>
        <w:rPr>
          <w:rFonts w:hint="eastAsia" w:ascii="仿宋" w:hAnsi="仿宋" w:eastAsia="仿宋" w:cs="仿宋"/>
          <w:sz w:val="21"/>
          <w:szCs w:val="21"/>
        </w:rPr>
      </w:pPr>
      <w:r>
        <w:rPr>
          <w:rFonts w:hint="eastAsia" w:ascii="仿宋" w:hAnsi="仿宋" w:eastAsia="仿宋" w:cs="仿宋"/>
          <w:color w:val="333333"/>
          <w:sz w:val="21"/>
          <w:szCs w:val="21"/>
          <w:shd w:val="clear" w:color="auto" w:fill="FFFFFF"/>
        </w:rPr>
        <w:t>电话：0911-8887276</w:t>
      </w:r>
    </w:p>
    <w:p>
      <w:pPr>
        <w:spacing w:line="360" w:lineRule="auto"/>
        <w:ind w:left="1078" w:leftChars="172" w:hanging="717" w:hangingChars="299"/>
        <w:rPr>
          <w:rFonts w:hint="eastAsia" w:ascii="仿宋" w:hAnsi="仿宋" w:eastAsia="仿宋" w:cs="仿宋"/>
          <w:color w:val="000000"/>
          <w:sz w:val="24"/>
        </w:rPr>
      </w:pPr>
    </w:p>
    <w:p>
      <w:pPr>
        <w:pStyle w:val="3"/>
        <w:spacing w:line="400" w:lineRule="exact"/>
        <w:rPr>
          <w:rFonts w:hint="eastAsia" w:ascii="仿宋" w:hAnsi="仿宋" w:eastAsia="仿宋" w:cs="仿宋"/>
          <w:sz w:val="32"/>
          <w:szCs w:val="32"/>
        </w:rPr>
      </w:pPr>
      <w:r>
        <w:rPr>
          <w:rFonts w:hint="eastAsia" w:ascii="仿宋" w:hAnsi="仿宋" w:eastAsia="仿宋" w:cs="仿宋"/>
          <w:sz w:val="32"/>
          <w:szCs w:val="32"/>
        </w:rPr>
        <w:t>第二部分 供应商须知</w:t>
      </w:r>
    </w:p>
    <w:p>
      <w:pPr>
        <w:pStyle w:val="2"/>
        <w:ind w:firstLine="3635" w:firstLineChars="1207"/>
        <w:jc w:val="both"/>
        <w:rPr>
          <w:rFonts w:hint="eastAsia" w:ascii="仿宋" w:hAnsi="仿宋" w:eastAsia="仿宋" w:cs="仿宋"/>
          <w:sz w:val="30"/>
          <w:szCs w:val="30"/>
        </w:rPr>
      </w:pPr>
      <w:r>
        <w:rPr>
          <w:rFonts w:hint="eastAsia" w:ascii="仿宋" w:hAnsi="仿宋" w:eastAsia="仿宋" w:cs="仿宋"/>
          <w:sz w:val="30"/>
          <w:szCs w:val="30"/>
        </w:rPr>
        <w:t>一．名词解释</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采购人：</w:t>
      </w:r>
      <w:r>
        <w:rPr>
          <w:rFonts w:hint="eastAsia" w:ascii="仿宋" w:hAnsi="仿宋" w:eastAsia="仿宋" w:cs="仿宋"/>
          <w:bCs/>
          <w:sz w:val="24"/>
        </w:rPr>
        <w:t>甘泉县自然资源局</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采购代理机构</w:t>
      </w:r>
      <w:r>
        <w:rPr>
          <w:rFonts w:hint="eastAsia" w:ascii="仿宋" w:hAnsi="仿宋" w:eastAsia="仿宋" w:cs="仿宋"/>
          <w:bCs/>
          <w:sz w:val="24"/>
        </w:rPr>
        <w:t>：陕西炬荣招标代理有限公司</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供应商</w:t>
      </w:r>
      <w:r>
        <w:rPr>
          <w:rFonts w:hint="eastAsia" w:ascii="仿宋" w:hAnsi="仿宋" w:eastAsia="仿宋" w:cs="仿宋"/>
          <w:bCs/>
          <w:sz w:val="24"/>
        </w:rPr>
        <w:t>：满足本次磋商要求、具有相应资质和完成项目能力的供应商</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标书</w:t>
      </w:r>
      <w:r>
        <w:rPr>
          <w:rFonts w:hint="eastAsia" w:ascii="仿宋" w:hAnsi="仿宋" w:eastAsia="仿宋" w:cs="仿宋"/>
          <w:bCs/>
          <w:sz w:val="24"/>
        </w:rPr>
        <w:t>：磋商文件与响应文件的统称</w:t>
      </w:r>
    </w:p>
    <w:p>
      <w:pPr>
        <w:numPr>
          <w:ilvl w:val="0"/>
          <w:numId w:val="1"/>
        </w:numPr>
        <w:tabs>
          <w:tab w:val="left" w:pos="600"/>
        </w:tabs>
        <w:spacing w:line="360" w:lineRule="auto"/>
        <w:ind w:left="239" w:leftChars="114" w:firstLine="0"/>
        <w:rPr>
          <w:rFonts w:hint="eastAsia" w:ascii="仿宋" w:hAnsi="仿宋" w:eastAsia="仿宋" w:cs="仿宋"/>
          <w:b/>
          <w:bCs/>
          <w:sz w:val="24"/>
        </w:rPr>
      </w:pPr>
      <w:r>
        <w:rPr>
          <w:rFonts w:hint="eastAsia" w:ascii="仿宋" w:hAnsi="仿宋" w:eastAsia="仿宋" w:cs="仿宋"/>
          <w:b/>
          <w:bCs/>
          <w:sz w:val="24"/>
        </w:rPr>
        <w:t>成交供应商</w:t>
      </w:r>
      <w:r>
        <w:rPr>
          <w:rFonts w:hint="eastAsia" w:ascii="仿宋" w:hAnsi="仿宋" w:eastAsia="仿宋" w:cs="仿宋"/>
          <w:bCs/>
          <w:sz w:val="24"/>
        </w:rPr>
        <w:t>：磋商小组推荐的供应商</w:t>
      </w:r>
    </w:p>
    <w:p>
      <w:pPr>
        <w:pStyle w:val="2"/>
        <w:ind w:firstLine="3635" w:firstLineChars="1207"/>
        <w:jc w:val="both"/>
        <w:rPr>
          <w:rFonts w:hint="eastAsia" w:ascii="仿宋" w:hAnsi="仿宋" w:eastAsia="仿宋" w:cs="仿宋"/>
          <w:sz w:val="30"/>
          <w:szCs w:val="30"/>
        </w:rPr>
      </w:pPr>
      <w:r>
        <w:rPr>
          <w:rFonts w:hint="eastAsia" w:ascii="仿宋" w:hAnsi="仿宋" w:eastAsia="仿宋" w:cs="仿宋"/>
          <w:sz w:val="30"/>
          <w:szCs w:val="30"/>
        </w:rPr>
        <w:t>二．供应商</w:t>
      </w:r>
    </w:p>
    <w:p>
      <w:pPr>
        <w:pStyle w:val="4"/>
        <w:ind w:firstLine="482"/>
        <w:rPr>
          <w:rFonts w:hint="eastAsia" w:ascii="仿宋" w:hAnsi="仿宋" w:eastAsia="仿宋" w:cs="仿宋"/>
          <w:sz w:val="24"/>
          <w:szCs w:val="24"/>
        </w:rPr>
      </w:pPr>
      <w:r>
        <w:rPr>
          <w:rFonts w:hint="eastAsia" w:ascii="仿宋" w:hAnsi="仿宋" w:eastAsia="仿宋" w:cs="仿宋"/>
          <w:sz w:val="24"/>
          <w:szCs w:val="24"/>
        </w:rPr>
        <w:t>1、合格供应商</w:t>
      </w:r>
    </w:p>
    <w:p>
      <w:pPr>
        <w:spacing w:line="360" w:lineRule="auto"/>
        <w:ind w:left="-122" w:leftChars="-58" w:firstLine="480" w:firstLineChars="200"/>
        <w:rPr>
          <w:rFonts w:hint="eastAsia" w:ascii="仿宋" w:hAnsi="仿宋" w:eastAsia="仿宋" w:cs="仿宋"/>
          <w:color w:val="000000"/>
          <w:sz w:val="24"/>
        </w:rPr>
      </w:pPr>
      <w:r>
        <w:rPr>
          <w:rFonts w:hint="eastAsia" w:ascii="仿宋" w:hAnsi="仿宋" w:eastAsia="仿宋" w:cs="仿宋"/>
          <w:color w:val="000000"/>
          <w:sz w:val="24"/>
        </w:rPr>
        <w:t>（1）凡具有法人资格，在国内注册的经营采购人所需服务的商家且具较大的经营规模，具备承担磋商项目的能力；</w:t>
      </w:r>
    </w:p>
    <w:p>
      <w:pPr>
        <w:spacing w:line="360" w:lineRule="auto"/>
        <w:ind w:left="-122" w:leftChars="-58" w:firstLine="480" w:firstLineChars="200"/>
        <w:rPr>
          <w:rFonts w:hint="eastAsia" w:ascii="仿宋" w:hAnsi="仿宋" w:eastAsia="仿宋" w:cs="仿宋"/>
          <w:color w:val="000000"/>
          <w:sz w:val="24"/>
        </w:rPr>
      </w:pPr>
      <w:r>
        <w:rPr>
          <w:rFonts w:hint="eastAsia" w:ascii="仿宋" w:hAnsi="仿宋" w:eastAsia="仿宋" w:cs="仿宋"/>
          <w:color w:val="000000"/>
          <w:sz w:val="24"/>
        </w:rPr>
        <w:t>（2）具有独立承担民事责任能力和履行合同所必需的专业技术能力；具有可靠的质量保障和售后服务；</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（3）具有良好的商业信誉和健全的财务会计制度；</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（4）有依法缴纳税收和社会保障资金的良好记录；</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（5）参加政府采购活动前三年内，在经营活动中没有重大违法记录；</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（6）没有重大经济纠纷；</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（7）法律、行政法规规定的其他条件；</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（8）完全同意并愿意自觉遵守本磋商文件中的所有规定和要求；</w:t>
      </w:r>
    </w:p>
    <w:p>
      <w:pPr>
        <w:spacing w:line="312" w:lineRule="auto"/>
        <w:ind w:firstLine="360" w:firstLineChars="150"/>
        <w:rPr>
          <w:rFonts w:hint="eastAsia" w:ascii="仿宋" w:hAnsi="仿宋" w:eastAsia="仿宋" w:cs="仿宋"/>
          <w:sz w:val="24"/>
        </w:rPr>
      </w:pPr>
      <w:r>
        <w:rPr>
          <w:rFonts w:hint="eastAsia" w:ascii="仿宋" w:hAnsi="仿宋" w:eastAsia="仿宋" w:cs="仿宋"/>
          <w:sz w:val="24"/>
        </w:rPr>
        <w:t>（9）单位负责人为同一人或者存在直接控股、管理关系的不同供应商，不得参加同一合同项下的政府采购活动。</w:t>
      </w:r>
    </w:p>
    <w:p>
      <w:pPr>
        <w:spacing w:line="312" w:lineRule="auto"/>
        <w:ind w:firstLine="480" w:firstLineChars="200"/>
        <w:rPr>
          <w:rFonts w:hint="eastAsia" w:ascii="仿宋" w:hAnsi="仿宋" w:eastAsia="仿宋" w:cs="仿宋"/>
          <w:sz w:val="24"/>
        </w:rPr>
      </w:pPr>
      <w:r>
        <w:rPr>
          <w:rFonts w:hint="eastAsia" w:ascii="仿宋" w:hAnsi="仿宋" w:eastAsia="仿宋" w:cs="仿宋"/>
          <w:sz w:val="24"/>
        </w:rPr>
        <w:t>除单一来源采购项目外，为磋商项目提供整体设计、规范编制或者项目管理、监理、检测等服务的供应商，不得再参加该采购项目的其他活动。</w:t>
      </w:r>
    </w:p>
    <w:p>
      <w:pPr>
        <w:pStyle w:val="4"/>
        <w:ind w:firstLine="482"/>
        <w:rPr>
          <w:rFonts w:hint="eastAsia" w:ascii="仿宋" w:hAnsi="仿宋" w:eastAsia="仿宋" w:cs="仿宋"/>
          <w:sz w:val="24"/>
          <w:szCs w:val="24"/>
        </w:rPr>
      </w:pPr>
      <w:r>
        <w:rPr>
          <w:rFonts w:hint="eastAsia" w:ascii="仿宋" w:hAnsi="仿宋" w:eastAsia="仿宋" w:cs="仿宋"/>
          <w:sz w:val="24"/>
          <w:szCs w:val="24"/>
        </w:rPr>
        <w:t>2、磋商委托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如供应商代表不是法定代表人，须持有《法定代表人授权书》（原件）。</w:t>
      </w:r>
    </w:p>
    <w:p>
      <w:pPr>
        <w:pStyle w:val="4"/>
        <w:ind w:firstLine="482"/>
        <w:rPr>
          <w:rFonts w:hint="eastAsia" w:ascii="仿宋" w:hAnsi="仿宋" w:eastAsia="仿宋" w:cs="仿宋"/>
          <w:sz w:val="24"/>
          <w:szCs w:val="24"/>
        </w:rPr>
      </w:pPr>
      <w:r>
        <w:rPr>
          <w:rFonts w:hint="eastAsia" w:ascii="仿宋" w:hAnsi="仿宋" w:eastAsia="仿宋" w:cs="仿宋"/>
          <w:sz w:val="24"/>
          <w:szCs w:val="24"/>
        </w:rPr>
        <w:t>3、投标费用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供应商自行承担参加磋商相关的全部费用，无论磋商的结果如何。</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三．磋商文件</w:t>
      </w:r>
    </w:p>
    <w:p>
      <w:pPr>
        <w:pStyle w:val="4"/>
        <w:ind w:firstLine="482"/>
        <w:rPr>
          <w:rFonts w:hint="eastAsia" w:ascii="仿宋" w:hAnsi="仿宋" w:eastAsia="仿宋" w:cs="仿宋"/>
          <w:sz w:val="24"/>
          <w:szCs w:val="24"/>
        </w:rPr>
      </w:pPr>
      <w:r>
        <w:rPr>
          <w:rFonts w:hint="eastAsia" w:ascii="仿宋" w:hAnsi="仿宋" w:eastAsia="仿宋" w:cs="仿宋"/>
          <w:sz w:val="24"/>
          <w:szCs w:val="24"/>
        </w:rPr>
        <w:t>1、磋商文件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 磋商文件由磋商文件总目录所列内容组成；供应商应详细阅读磋商文件中所有的事项、格式、条款和规范要求,在响应文件中对磋商文件的各方面都应做出实质性的响应，按照磋商文件的要求提交全部资料。</w:t>
      </w:r>
    </w:p>
    <w:p>
      <w:pPr>
        <w:pStyle w:val="4"/>
        <w:ind w:firstLine="482"/>
        <w:rPr>
          <w:rFonts w:hint="eastAsia" w:ascii="仿宋" w:hAnsi="仿宋" w:eastAsia="仿宋" w:cs="仿宋"/>
          <w:sz w:val="24"/>
          <w:szCs w:val="24"/>
        </w:rPr>
      </w:pPr>
      <w:r>
        <w:rPr>
          <w:rFonts w:hint="eastAsia" w:ascii="仿宋" w:hAnsi="仿宋" w:eastAsia="仿宋" w:cs="仿宋"/>
          <w:sz w:val="24"/>
          <w:szCs w:val="24"/>
        </w:rPr>
        <w:t>2、磋商文件的澄清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任何要求对磋商文件进行澄清的供应商，均应在磋商截止期十日前按磋商文件中的通讯地址以书面形式通知采购代理机构，采购代理机构对收到的书面澄清将以书面形式在磋商截止期五日前予以答复，并通知其它领取标书的投标人。对文件中有关表述不准确或难以理解或有疑义的内容，各供应商应及时与有关部门人员联系；否则，因此带来的一切不利后果由各供应商自负。</w:t>
      </w:r>
    </w:p>
    <w:p>
      <w:pPr>
        <w:pStyle w:val="4"/>
        <w:ind w:firstLine="482"/>
        <w:rPr>
          <w:rFonts w:hint="eastAsia" w:ascii="仿宋" w:hAnsi="仿宋" w:eastAsia="仿宋" w:cs="仿宋"/>
          <w:sz w:val="24"/>
          <w:szCs w:val="24"/>
        </w:rPr>
      </w:pPr>
      <w:r>
        <w:rPr>
          <w:rFonts w:hint="eastAsia" w:ascii="仿宋" w:hAnsi="仿宋" w:eastAsia="仿宋" w:cs="仿宋"/>
          <w:sz w:val="24"/>
          <w:szCs w:val="24"/>
        </w:rPr>
        <w:t>3、磋商文件的修改</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代理机构对已发出的磋商文件进行必要澄清或者修改的，在磋商文件要求提交响应文件截止时间五日前，以书面形式通知所有领取标书的供应商，该澄清或者修改的内容作为磋商文件的组成部分，与其具有同等法律效力；</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为方便供应商对磋商文件修改或澄清内容有充分的时间进行补充修改，采购代理机构可延长磋商截止时间和开标时间，采购代理机构应在磋商文件要求提交响应文件的截止时间五日前，将变更时间书面通知所有领取标书的供应商。</w:t>
      </w:r>
    </w:p>
    <w:p>
      <w:pPr>
        <w:pStyle w:val="4"/>
        <w:ind w:firstLine="482"/>
        <w:rPr>
          <w:rFonts w:hint="eastAsia" w:ascii="仿宋" w:hAnsi="仿宋" w:eastAsia="仿宋" w:cs="仿宋"/>
          <w:sz w:val="24"/>
          <w:szCs w:val="24"/>
        </w:rPr>
      </w:pPr>
      <w:r>
        <w:rPr>
          <w:rFonts w:hint="eastAsia" w:ascii="仿宋" w:hAnsi="仿宋" w:eastAsia="仿宋" w:cs="仿宋"/>
          <w:sz w:val="24"/>
          <w:szCs w:val="24"/>
        </w:rPr>
        <w:t>4、磋商文件的领取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供应商必须从采购代理机构领取磋商文件，供应商自行转让或复制的磋商文件视为无效文件；磋商文件一经发放，一律不退，仅作为本次磋商使用。</w:t>
      </w:r>
    </w:p>
    <w:p>
      <w:pPr>
        <w:pStyle w:val="4"/>
        <w:ind w:firstLine="482"/>
        <w:rPr>
          <w:rFonts w:hint="eastAsia" w:ascii="仿宋" w:hAnsi="仿宋" w:eastAsia="仿宋" w:cs="仿宋"/>
          <w:sz w:val="24"/>
          <w:szCs w:val="24"/>
        </w:rPr>
      </w:pPr>
      <w:r>
        <w:rPr>
          <w:rFonts w:hint="eastAsia" w:ascii="仿宋" w:hAnsi="仿宋" w:eastAsia="仿宋" w:cs="仿宋"/>
          <w:sz w:val="24"/>
          <w:szCs w:val="24"/>
        </w:rPr>
        <w:t>5、磋商的处理依据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磋商小组有权对在磋商过程中出现的一切问题，根据《中华人民共和国政府采购法》、《政府采购竞争性磋商采购方式管理暂行办法》、《中华人民共和国政府采购法实施条例》和陕财办采资[2014]143号《关于进一步规范政府采购活动的通知》有关规定，本着公开、公平、公正的原则进行处理。</w:t>
      </w:r>
    </w:p>
    <w:p>
      <w:pPr>
        <w:pStyle w:val="4"/>
        <w:ind w:firstLine="482"/>
        <w:rPr>
          <w:rFonts w:hint="eastAsia" w:ascii="仿宋" w:hAnsi="仿宋" w:eastAsia="仿宋" w:cs="仿宋"/>
          <w:sz w:val="24"/>
          <w:szCs w:val="24"/>
        </w:rPr>
      </w:pPr>
      <w:r>
        <w:rPr>
          <w:rFonts w:hint="eastAsia" w:ascii="仿宋" w:hAnsi="仿宋" w:eastAsia="仿宋" w:cs="仿宋"/>
          <w:sz w:val="24"/>
          <w:szCs w:val="24"/>
        </w:rPr>
        <w:t>6、解释权归属</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本磋商文件的解释权归采购代理机构。</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四．磋商要求</w:t>
      </w:r>
    </w:p>
    <w:p>
      <w:pPr>
        <w:pStyle w:val="4"/>
        <w:ind w:firstLine="482"/>
        <w:rPr>
          <w:rFonts w:hint="eastAsia" w:ascii="仿宋" w:hAnsi="仿宋" w:eastAsia="仿宋" w:cs="仿宋"/>
          <w:sz w:val="24"/>
          <w:szCs w:val="24"/>
        </w:rPr>
      </w:pPr>
      <w:r>
        <w:rPr>
          <w:rFonts w:hint="eastAsia" w:ascii="仿宋" w:hAnsi="仿宋" w:eastAsia="仿宋" w:cs="仿宋"/>
          <w:sz w:val="24"/>
          <w:szCs w:val="24"/>
        </w:rPr>
        <w:t>1、磋商文件内容</w:t>
      </w:r>
    </w:p>
    <w:p>
      <w:pPr>
        <w:kinsoku w:val="0"/>
        <w:spacing w:line="360" w:lineRule="auto"/>
        <w:ind w:firstLine="480" w:firstLineChars="200"/>
        <w:rPr>
          <w:rFonts w:hint="eastAsia" w:ascii="仿宋" w:hAnsi="仿宋" w:eastAsia="仿宋" w:cs="仿宋"/>
          <w:spacing w:val="-6"/>
          <w:sz w:val="24"/>
        </w:rPr>
      </w:pPr>
      <w:r>
        <w:rPr>
          <w:rFonts w:hint="eastAsia" w:ascii="仿宋" w:hAnsi="仿宋" w:eastAsia="仿宋" w:cs="仿宋"/>
          <w:sz w:val="24"/>
        </w:rPr>
        <w:t>本次竞争性磋商项目共一个标段：供应商不得将其子目再行分解或只投其中的一部分内容，否则响应无效；磋商、定标、签订合同均以标段为单位进行。</w:t>
      </w:r>
    </w:p>
    <w:p>
      <w:pPr>
        <w:pStyle w:val="4"/>
        <w:ind w:firstLine="482"/>
        <w:rPr>
          <w:rFonts w:hint="eastAsia" w:ascii="仿宋" w:hAnsi="仿宋" w:eastAsia="仿宋" w:cs="仿宋"/>
          <w:sz w:val="24"/>
          <w:szCs w:val="24"/>
        </w:rPr>
      </w:pPr>
      <w:r>
        <w:rPr>
          <w:rFonts w:hint="eastAsia" w:ascii="仿宋" w:hAnsi="仿宋" w:eastAsia="仿宋" w:cs="仿宋"/>
          <w:sz w:val="24"/>
          <w:szCs w:val="24"/>
        </w:rPr>
        <w:t>2、供应商须提交以下资质文件：</w:t>
      </w:r>
    </w:p>
    <w:p>
      <w:pPr>
        <w:kinsoku w:val="0"/>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符合《中华人民共和国政府采购法》第二十二条规定；</w:t>
      </w:r>
    </w:p>
    <w:p>
      <w:pPr>
        <w:pStyle w:val="15"/>
        <w:numPr>
          <w:ilvl w:val="0"/>
          <w:numId w:val="2"/>
        </w:numPr>
        <w:spacing w:before="0" w:beforeAutospacing="0" w:after="0" w:afterAutospacing="0" w:line="360" w:lineRule="auto"/>
        <w:ind w:firstLine="480" w:firstLineChars="200"/>
        <w:rPr>
          <w:rFonts w:hint="eastAsia" w:ascii="仿宋" w:hAnsi="仿宋" w:eastAsia="仿宋" w:cs="仿宋"/>
          <w:kern w:val="2"/>
        </w:rPr>
      </w:pPr>
      <w:r>
        <w:rPr>
          <w:rFonts w:hint="eastAsia" w:ascii="仿宋" w:hAnsi="仿宋" w:eastAsia="仿宋" w:cs="仿宋"/>
          <w:kern w:val="2"/>
        </w:rPr>
        <w:t>具有独立承担民事责任能力的法人或其他组织，提供合法有效的统一社会信用代码的营业执照（含年度报告书）或事业单位法人证书等国家规定的相关证明，自然人参与的提供其身份证明； </w:t>
      </w:r>
      <w:r>
        <w:rPr>
          <w:rFonts w:hint="eastAsia" w:ascii="仿宋" w:hAnsi="仿宋" w:eastAsia="仿宋" w:cs="仿宋"/>
          <w:kern w:val="2"/>
        </w:rPr>
        <w:br w:type="textWrapping"/>
      </w:r>
      <w:r>
        <w:rPr>
          <w:rFonts w:hint="eastAsia" w:ascii="仿宋" w:hAnsi="仿宋" w:eastAsia="仿宋" w:cs="仿宋"/>
          <w:kern w:val="2"/>
        </w:rPr>
        <w:t xml:space="preserve">   （2）法定代表人授权书（附法定代表人身份证复印件）及被授权人身份证（法定代表人直接参加投标只须提供法定代表人身份证）； </w:t>
      </w:r>
      <w:r>
        <w:rPr>
          <w:rFonts w:hint="eastAsia" w:ascii="仿宋" w:hAnsi="仿宋" w:eastAsia="仿宋" w:cs="仿宋"/>
          <w:kern w:val="2"/>
        </w:rPr>
        <w:br w:type="textWrapping"/>
      </w:r>
      <w:r>
        <w:rPr>
          <w:rFonts w:hint="eastAsia" w:ascii="仿宋" w:hAnsi="仿宋" w:eastAsia="仿宋" w:cs="仿宋"/>
          <w:kern w:val="2"/>
        </w:rPr>
        <w:t xml:space="preserve">   （3）税收缴纳证明：提供已缴纳的本年度或上年度任一月份的缴税凭证或依法免税的供应商应提供相关文件证明；</w:t>
      </w:r>
      <w:r>
        <w:rPr>
          <w:rFonts w:hint="eastAsia" w:ascii="仿宋" w:hAnsi="仿宋" w:eastAsia="仿宋" w:cs="仿宋"/>
          <w:kern w:val="2"/>
        </w:rPr>
        <w:br w:type="textWrapping"/>
      </w:r>
      <w:r>
        <w:rPr>
          <w:rFonts w:hint="eastAsia" w:ascii="仿宋" w:hAnsi="仿宋" w:eastAsia="仿宋" w:cs="仿宋"/>
          <w:kern w:val="2"/>
        </w:rPr>
        <w:t xml:space="preserve">   （4）供应商须具备地质灾害防治勘查甲级资质；拟派项目负责人须具有地质相关专业中级或以上技术职称；</w:t>
      </w:r>
      <w:r>
        <w:rPr>
          <w:rFonts w:hint="eastAsia" w:ascii="仿宋" w:hAnsi="仿宋" w:eastAsia="仿宋" w:cs="仿宋"/>
          <w:kern w:val="2"/>
        </w:rPr>
        <w:br w:type="textWrapping"/>
      </w:r>
      <w:r>
        <w:rPr>
          <w:rFonts w:hint="eastAsia" w:ascii="仿宋" w:hAnsi="仿宋" w:eastAsia="仿宋" w:cs="仿宋"/>
          <w:kern w:val="2"/>
        </w:rPr>
        <w:t xml:space="preserve">   （5）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 </w:t>
      </w:r>
      <w:r>
        <w:rPr>
          <w:rFonts w:hint="eastAsia" w:ascii="仿宋" w:hAnsi="仿宋" w:eastAsia="仿宋" w:cs="仿宋"/>
          <w:kern w:val="2"/>
        </w:rPr>
        <w:br w:type="textWrapping"/>
      </w:r>
      <w:r>
        <w:rPr>
          <w:rFonts w:hint="eastAsia" w:ascii="仿宋" w:hAnsi="仿宋" w:eastAsia="仿宋" w:cs="仿宋"/>
          <w:kern w:val="2"/>
        </w:rPr>
        <w:t xml:space="preserve">   （6）财务状况报告：提供2020年度或2021年度的财务审计报告（至少包括资产负债表和利润表，成立时间至提交响应文件截止时间不足一年的可提供成立后任意时段的资产负债表），或其基本存款账户开户银行出具的资信证明及基本户证明材料； </w:t>
      </w:r>
      <w:r>
        <w:rPr>
          <w:rFonts w:hint="eastAsia" w:ascii="仿宋" w:hAnsi="仿宋" w:eastAsia="仿宋" w:cs="仿宋"/>
          <w:kern w:val="2"/>
        </w:rPr>
        <w:br w:type="textWrapping"/>
      </w:r>
      <w:r>
        <w:rPr>
          <w:rFonts w:hint="eastAsia" w:ascii="仿宋" w:hAnsi="仿宋" w:eastAsia="仿宋" w:cs="仿宋"/>
          <w:kern w:val="2"/>
        </w:rPr>
        <w:t xml:space="preserve">   （7）供应商应出具参加政府采购活动前3年内在经营活动中没有重大违法记录的书面声明； </w:t>
      </w:r>
      <w:r>
        <w:rPr>
          <w:rFonts w:hint="eastAsia" w:ascii="仿宋" w:hAnsi="仿宋" w:eastAsia="仿宋" w:cs="仿宋"/>
          <w:kern w:val="2"/>
        </w:rPr>
        <w:br w:type="textWrapping"/>
      </w:r>
      <w:r>
        <w:rPr>
          <w:rFonts w:hint="eastAsia" w:ascii="仿宋" w:hAnsi="仿宋" w:eastAsia="仿宋" w:cs="仿宋"/>
          <w:kern w:val="2"/>
        </w:rPr>
        <w:t xml:space="preserve">   （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pStyle w:val="15"/>
        <w:spacing w:before="0" w:beforeAutospacing="0" w:after="0" w:afterAutospacing="0" w:line="360" w:lineRule="auto"/>
        <w:rPr>
          <w:rFonts w:hint="eastAsia" w:ascii="仿宋" w:hAnsi="仿宋" w:eastAsia="仿宋" w:cs="仿宋"/>
          <w:bCs/>
        </w:rPr>
      </w:pPr>
      <w:r>
        <w:rPr>
          <w:rFonts w:hint="eastAsia" w:ascii="仿宋" w:hAnsi="仿宋" w:eastAsia="仿宋" w:cs="仿宋"/>
          <w:bCs/>
        </w:rPr>
        <w:t>以上资格证明文件中</w:t>
      </w:r>
      <w:r>
        <w:rPr>
          <w:rFonts w:hint="eastAsia" w:ascii="仿宋" w:hAnsi="仿宋" w:eastAsia="仿宋" w:cs="仿宋"/>
          <w:bCs/>
          <w:szCs w:val="22"/>
        </w:rPr>
        <w:t>（1）-（8）</w:t>
      </w:r>
      <w:r>
        <w:rPr>
          <w:rFonts w:hint="eastAsia" w:ascii="仿宋" w:hAnsi="仿宋" w:eastAsia="仿宋" w:cs="仿宋"/>
          <w:bCs/>
        </w:rPr>
        <w:t>项为必备资质，缺少一项或某项达不到要求（包括证件的有效性、是否进行年检、是否在有效期内等），其磋商均无效。若证件的有效期已过，且发证机关未统一换证，须提供发证主管机关的证明文件，否则按无效证明对待。</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3、响应文件的编制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响应文件必须根据磋商文件提供的内容及格式编制，并对磋商文件做出实质性响应；具体内容包括：</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（1）按照格式要求填写的投标函；</w:t>
      </w:r>
    </w:p>
    <w:p>
      <w:pPr>
        <w:spacing w:line="4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（2）磋商一览表、分项报价表；</w:t>
      </w:r>
    </w:p>
    <w:p>
      <w:pPr>
        <w:spacing w:line="460" w:lineRule="exact"/>
        <w:ind w:firstLine="360" w:firstLineChars="150"/>
        <w:rPr>
          <w:rFonts w:hint="eastAsia" w:ascii="仿宋" w:hAnsi="仿宋" w:eastAsia="仿宋" w:cs="仿宋"/>
          <w:sz w:val="24"/>
        </w:rPr>
      </w:pPr>
      <w:r>
        <w:rPr>
          <w:rFonts w:hint="eastAsia" w:ascii="仿宋" w:hAnsi="仿宋" w:eastAsia="仿宋" w:cs="仿宋"/>
          <w:sz w:val="24"/>
        </w:rPr>
        <w:t>（3）法定代表人证明及法定代表人授权委托书；</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（4）按要求出具的资质文件；</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color w:val="000000"/>
          <w:sz w:val="24"/>
        </w:rPr>
        <w:t xml:space="preserve">供应商的技术响应方案： </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color w:val="000000"/>
          <w:sz w:val="24"/>
        </w:rPr>
        <w:t>商务响应方案；</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（7）供应商承诺书。</w:t>
      </w:r>
    </w:p>
    <w:p>
      <w:pPr>
        <w:pStyle w:val="4"/>
        <w:ind w:firstLine="482"/>
        <w:rPr>
          <w:rFonts w:hint="eastAsia" w:ascii="仿宋" w:hAnsi="仿宋" w:eastAsia="仿宋" w:cs="仿宋"/>
          <w:sz w:val="24"/>
          <w:szCs w:val="24"/>
        </w:rPr>
      </w:pPr>
      <w:r>
        <w:rPr>
          <w:rFonts w:hint="eastAsia" w:ascii="仿宋" w:hAnsi="仿宋" w:eastAsia="仿宋" w:cs="仿宋"/>
          <w:sz w:val="24"/>
          <w:szCs w:val="24"/>
        </w:rPr>
        <w:t>4磋商报价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（1）响应报价是指全面完成本次磋商的服务项目的价格，以磋商文件的内容和要求作为响应依据；</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（2）供应商应在响应文件中的响应一览表（响应报告）上，</w:t>
      </w:r>
      <w:r>
        <w:rPr>
          <w:rFonts w:hint="eastAsia" w:ascii="仿宋" w:hAnsi="仿宋" w:eastAsia="仿宋" w:cs="仿宋"/>
          <w:color w:val="000000"/>
          <w:sz w:val="24"/>
        </w:rPr>
        <w:t>标明所投服务的报价、其它费用</w:t>
      </w:r>
      <w:r>
        <w:rPr>
          <w:rFonts w:hint="eastAsia" w:ascii="仿宋" w:hAnsi="仿宋" w:eastAsia="仿宋" w:cs="仿宋"/>
          <w:sz w:val="24"/>
        </w:rPr>
        <w:t>；任何有选择的报价不予接受；</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（3）投标货币：人民币；单位：元；</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（4）响应一览表应有供应商公章及法定代表人或被授权人的签字；</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（5）响应报价表中标明的价格，在合同执行过程中，不得以任何理由变更；</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（6）凡因供应商对磋商文件阅读不深、理解不透、误解、疏漏、或因市场行情了解不清造成的后果和风险均由供应商自负；</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（7）最低报价不是中标的唯一依据。</w:t>
      </w:r>
    </w:p>
    <w:p>
      <w:pPr>
        <w:pStyle w:val="4"/>
        <w:ind w:firstLine="482"/>
        <w:rPr>
          <w:rFonts w:hint="eastAsia" w:ascii="仿宋" w:hAnsi="仿宋" w:eastAsia="仿宋" w:cs="仿宋"/>
          <w:sz w:val="24"/>
          <w:szCs w:val="24"/>
        </w:rPr>
      </w:pPr>
      <w:r>
        <w:rPr>
          <w:rFonts w:hint="eastAsia" w:ascii="仿宋" w:hAnsi="仿宋" w:eastAsia="仿宋" w:cs="仿宋"/>
          <w:sz w:val="24"/>
          <w:szCs w:val="24"/>
        </w:rPr>
        <w:t>5、磋商保证金：本项目不收取磋商保证金。</w:t>
      </w:r>
    </w:p>
    <w:p>
      <w:pPr>
        <w:pStyle w:val="4"/>
        <w:ind w:firstLine="482"/>
        <w:rPr>
          <w:rFonts w:hint="eastAsia" w:ascii="仿宋" w:hAnsi="仿宋" w:eastAsia="仿宋" w:cs="仿宋"/>
          <w:sz w:val="24"/>
          <w:szCs w:val="24"/>
        </w:rPr>
      </w:pPr>
      <w:r>
        <w:rPr>
          <w:rFonts w:hint="eastAsia" w:ascii="仿宋" w:hAnsi="仿宋" w:eastAsia="仿宋" w:cs="仿宋"/>
          <w:sz w:val="24"/>
          <w:szCs w:val="24"/>
        </w:rPr>
        <w:t>6、投标文件的有效期</w:t>
      </w:r>
    </w:p>
    <w:p>
      <w:pPr>
        <w:pStyle w:val="26"/>
        <w:spacing w:line="360" w:lineRule="auto"/>
        <w:ind w:firstLine="480"/>
        <w:rPr>
          <w:rFonts w:hint="eastAsia" w:ascii="仿宋" w:hAnsi="仿宋" w:eastAsia="仿宋" w:cs="仿宋"/>
          <w:kern w:val="2"/>
          <w:sz w:val="24"/>
          <w:szCs w:val="24"/>
        </w:rPr>
      </w:pPr>
      <w:r>
        <w:rPr>
          <w:rFonts w:hint="eastAsia" w:ascii="仿宋" w:hAnsi="仿宋" w:eastAsia="仿宋" w:cs="仿宋"/>
          <w:sz w:val="24"/>
          <w:szCs w:val="24"/>
        </w:rPr>
        <w:t>响应文件有效期为</w:t>
      </w:r>
      <w:r>
        <w:rPr>
          <w:rFonts w:hint="eastAsia" w:ascii="仿宋" w:hAnsi="仿宋" w:eastAsia="仿宋" w:cs="仿宋"/>
          <w:kern w:val="2"/>
          <w:sz w:val="24"/>
          <w:szCs w:val="24"/>
        </w:rPr>
        <w:t>自开标之日起算九十（90）个日历日；</w:t>
      </w:r>
      <w:r>
        <w:rPr>
          <w:rFonts w:hint="eastAsia" w:ascii="仿宋" w:hAnsi="仿宋" w:eastAsia="仿宋" w:cs="仿宋"/>
          <w:color w:val="000000"/>
          <w:kern w:val="2"/>
          <w:sz w:val="24"/>
          <w:szCs w:val="24"/>
        </w:rPr>
        <w:t>响应文件</w:t>
      </w:r>
      <w:r>
        <w:rPr>
          <w:rFonts w:hint="eastAsia" w:ascii="仿宋" w:hAnsi="仿宋" w:eastAsia="仿宋" w:cs="仿宋"/>
          <w:kern w:val="2"/>
          <w:sz w:val="24"/>
          <w:szCs w:val="24"/>
        </w:rPr>
        <w:t>有效期短于规定的响应有效期，</w:t>
      </w:r>
      <w:r>
        <w:rPr>
          <w:rFonts w:hint="eastAsia" w:ascii="仿宋" w:hAnsi="仿宋" w:eastAsia="仿宋" w:cs="仿宋"/>
          <w:color w:val="000000"/>
          <w:kern w:val="2"/>
          <w:sz w:val="24"/>
          <w:szCs w:val="24"/>
        </w:rPr>
        <w:t>按无效文件处理。</w:t>
      </w:r>
      <w:r>
        <w:rPr>
          <w:rFonts w:hint="eastAsia" w:ascii="仿宋" w:hAnsi="仿宋" w:eastAsia="仿宋" w:cs="仿宋"/>
          <w:kern w:val="2"/>
          <w:sz w:val="24"/>
          <w:szCs w:val="24"/>
        </w:rPr>
        <w:t>成交供应商的响应文件有效期延长至合同执行完毕。</w:t>
      </w:r>
    </w:p>
    <w:p>
      <w:pPr>
        <w:pStyle w:val="4"/>
        <w:ind w:firstLine="482"/>
        <w:rPr>
          <w:rFonts w:hint="eastAsia" w:ascii="仿宋" w:hAnsi="仿宋" w:eastAsia="仿宋" w:cs="仿宋"/>
          <w:sz w:val="24"/>
          <w:szCs w:val="24"/>
        </w:rPr>
      </w:pPr>
      <w:r>
        <w:rPr>
          <w:rFonts w:hint="eastAsia" w:ascii="仿宋" w:hAnsi="仿宋" w:eastAsia="仿宋" w:cs="仿宋"/>
          <w:sz w:val="24"/>
          <w:szCs w:val="24"/>
        </w:rPr>
        <w:t>7、响应文件的签署及规定资质证明文件一份</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（1）供应商须依据磋商文件内容和响应文件格式的要求编制响应文件；</w:t>
      </w:r>
    </w:p>
    <w:p>
      <w:pPr>
        <w:spacing w:line="360" w:lineRule="auto"/>
        <w:rPr>
          <w:rFonts w:hint="eastAsia" w:ascii="仿宋" w:hAnsi="仿宋" w:eastAsia="仿宋" w:cs="仿宋"/>
          <w:sz w:val="24"/>
        </w:rPr>
      </w:pPr>
      <w:r>
        <w:rPr>
          <w:rFonts w:hint="eastAsia" w:ascii="仿宋" w:hAnsi="仿宋" w:eastAsia="仿宋" w:cs="仿宋"/>
          <w:sz w:val="24"/>
        </w:rPr>
        <w:t xml:space="preserve">   （2）响应文件的正本和所有的副本均需打印或用不褪色的蓝（黑）墨水填写，注明“正本”、“副本”字样。统一装订、有序编制页码；</w:t>
      </w:r>
    </w:p>
    <w:p>
      <w:pPr>
        <w:pStyle w:val="26"/>
        <w:spacing w:line="360" w:lineRule="auto"/>
        <w:ind w:firstLine="0" w:firstLineChars="0"/>
        <w:rPr>
          <w:rFonts w:hint="eastAsia" w:ascii="仿宋" w:hAnsi="仿宋" w:eastAsia="仿宋" w:cs="仿宋"/>
          <w:kern w:val="2"/>
          <w:sz w:val="24"/>
          <w:szCs w:val="24"/>
          <w:highlight w:val="yellow"/>
        </w:rPr>
      </w:pPr>
      <w:r>
        <w:rPr>
          <w:rFonts w:hint="eastAsia" w:ascii="仿宋" w:hAnsi="仿宋" w:eastAsia="仿宋" w:cs="仿宋"/>
          <w:kern w:val="2"/>
          <w:sz w:val="24"/>
          <w:szCs w:val="24"/>
        </w:rPr>
        <w:t xml:space="preserve">   （3）响应文件份数，本次磋商需提交响应文件三份（其中正本一份，副本二份，电子版二份（U盘））、注明“正本”、“副本”、“资质证明文件”字样；</w:t>
      </w:r>
    </w:p>
    <w:p>
      <w:pPr>
        <w:spacing w:line="360" w:lineRule="auto"/>
        <w:ind w:left="476" w:leftChars="172" w:hanging="115" w:hangingChars="48"/>
        <w:rPr>
          <w:rFonts w:hint="eastAsia" w:ascii="仿宋" w:hAnsi="仿宋" w:eastAsia="仿宋" w:cs="仿宋"/>
          <w:color w:val="000000"/>
          <w:sz w:val="24"/>
        </w:rPr>
      </w:pPr>
      <w:r>
        <w:rPr>
          <w:rFonts w:hint="eastAsia" w:ascii="仿宋" w:hAnsi="仿宋" w:eastAsia="仿宋" w:cs="仿宋"/>
          <w:sz w:val="24"/>
        </w:rPr>
        <w:t>（4）供应商在响应文件需逐页加盖公章（鲜章）并在指定页面的落款处，</w:t>
      </w:r>
      <w:r>
        <w:rPr>
          <w:rFonts w:hint="eastAsia" w:ascii="仿宋" w:hAnsi="仿宋" w:eastAsia="仿宋" w:cs="仿宋"/>
          <w:color w:val="000000"/>
          <w:sz w:val="24"/>
        </w:rPr>
        <w:t>按磋商文件要求加盖公章或签字；</w:t>
      </w:r>
    </w:p>
    <w:p>
      <w:pPr>
        <w:spacing w:line="360" w:lineRule="auto"/>
        <w:ind w:left="476" w:leftChars="172" w:hanging="115" w:hangingChars="48"/>
        <w:rPr>
          <w:rFonts w:hint="eastAsia" w:ascii="仿宋" w:hAnsi="仿宋" w:eastAsia="仿宋" w:cs="仿宋"/>
          <w:sz w:val="24"/>
        </w:rPr>
      </w:pPr>
      <w:r>
        <w:rPr>
          <w:rFonts w:hint="eastAsia" w:ascii="仿宋" w:hAnsi="仿宋" w:eastAsia="仿宋" w:cs="仿宋"/>
          <w:sz w:val="24"/>
        </w:rPr>
        <w:t>（5）供应商名称应填写全称，同时加盖公章；</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（6）响应文件的任何行间插字、涂改和增删，必须由法定代表人或被授权人在改动处旁签字方为有效；</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（7）响应文件因字迹潦草或表达不清所引起的后果由供应商负责。</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8、文字要求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本次磋商只接受简体中文文字的响应文件。</w:t>
      </w:r>
    </w:p>
    <w:p>
      <w:pPr>
        <w:pStyle w:val="2"/>
        <w:rPr>
          <w:rFonts w:hint="eastAsia" w:ascii="仿宋" w:hAnsi="仿宋" w:eastAsia="仿宋" w:cs="仿宋"/>
          <w:sz w:val="30"/>
          <w:szCs w:val="30"/>
        </w:rPr>
      </w:pPr>
      <w:r>
        <w:rPr>
          <w:rFonts w:hint="eastAsia" w:ascii="仿宋" w:hAnsi="仿宋" w:eastAsia="仿宋" w:cs="仿宋"/>
          <w:sz w:val="30"/>
          <w:szCs w:val="30"/>
        </w:rPr>
        <w:t>五．响应文件密封、递交</w:t>
      </w:r>
    </w:p>
    <w:p>
      <w:pPr>
        <w:pStyle w:val="4"/>
        <w:ind w:firstLine="482"/>
        <w:rPr>
          <w:rFonts w:hint="eastAsia" w:ascii="仿宋" w:hAnsi="仿宋" w:eastAsia="仿宋" w:cs="仿宋"/>
          <w:sz w:val="24"/>
          <w:szCs w:val="24"/>
        </w:rPr>
      </w:pPr>
      <w:r>
        <w:rPr>
          <w:rFonts w:hint="eastAsia" w:ascii="仿宋" w:hAnsi="仿宋" w:eastAsia="仿宋" w:cs="仿宋"/>
          <w:sz w:val="24"/>
          <w:szCs w:val="24"/>
        </w:rPr>
        <w:t>1、响应文件的密封及标记</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6"/>
          <w:sz w:val="24"/>
        </w:rPr>
        <w:t>响应文件</w:t>
      </w:r>
      <w:r>
        <w:rPr>
          <w:rFonts w:hint="eastAsia" w:ascii="仿宋" w:hAnsi="仿宋" w:eastAsia="仿宋" w:cs="仿宋"/>
          <w:sz w:val="24"/>
        </w:rPr>
        <w:t>的封装：</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响应供应商应将响应文件的正本、副本、资质证明、电子版文件分别用单独的封袋密封（封袋不得有破损），在封袋上标明“正本”、“副本”或“资质证明文件”“电子版”字样，封袋应加贴封条，并在封线处加盖供应商公章及法人章，封袋正面要粘贴标识；</w:t>
      </w:r>
    </w:p>
    <w:p>
      <w:pPr>
        <w:spacing w:line="360" w:lineRule="auto"/>
        <w:ind w:firstLine="361" w:firstLineChars="150"/>
        <w:rPr>
          <w:rFonts w:hint="eastAsia" w:ascii="仿宋" w:hAnsi="仿宋" w:eastAsia="仿宋" w:cs="仿宋"/>
          <w:b/>
          <w:bCs/>
          <w:sz w:val="24"/>
        </w:rPr>
      </w:pPr>
      <w:r>
        <w:rPr>
          <w:rFonts w:hint="eastAsia" w:ascii="仿宋" w:hAnsi="仿宋" w:eastAsia="仿宋" w:cs="仿宋"/>
          <w:b/>
          <w:bCs/>
          <w:sz w:val="24"/>
        </w:rPr>
        <w:t>B.封袋正面标识包含：</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1.采购人名称、项目名称、项目编号；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2.供应商名称；</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3.正本或副本或电子版或资质证明文件；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4.响应文件在2022年  月  日  时  分前不得开启。</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（2）如果供应商未按上述要求密封及加写标记，误投或过早启封的投标文件，出现此类情况的响应文件，采购代理机构将拒绝接收，并退回供应商。采购代理机构对响应文件的误投和提前启封概不负责。</w:t>
      </w:r>
    </w:p>
    <w:p>
      <w:pPr>
        <w:pStyle w:val="4"/>
        <w:ind w:firstLine="482"/>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val="0"/>
          <w:spacing w:val="6"/>
          <w:sz w:val="24"/>
          <w:szCs w:val="24"/>
        </w:rPr>
        <w:t>响应文件递交</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（1）供应商必须在磋商文件规定的开标时间和地点，将全部响应文件递交至采购代理机构项目承办人；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（2）采购代理机构项目承办人在磋商文件规定的响应文件递交截止时间前，只负责响应文件的接收、清点、造册登记工作，并请递交人签字确认，对其有效性不负任何责任；</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（3）采购代理机构在宣布递交响应文件时间截止之后，拒绝接收任何人送达、递交的响应文件；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（4）采购代理机构对响应文件在邮寄过程中的遗失或损坏不负责任；</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（5）无论供应商中标与否，其响应文件恕不退还。响应文件的正本由陕西炬荣招标代理有限公司 负责保管，响应文件的副本由采购人负责妥善保管。</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3、响应截止时间</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（1）供应商必须在磋商文件规定的递交截止时间之前递交响应文件，采购代理机构在截止时间后拒绝接收任何响应文件；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（2）因采购人推迟响应截止时间时，采购代理机构应以书面（或传真、电话）的形式,通知所有供应商；在这种情况下，采购代理机构和供应商的权利和义务将受到新的截止期的约束。</w:t>
      </w:r>
    </w:p>
    <w:p>
      <w:pPr>
        <w:pStyle w:val="4"/>
        <w:ind w:firstLine="482"/>
        <w:rPr>
          <w:rFonts w:hint="eastAsia" w:ascii="仿宋" w:hAnsi="仿宋" w:eastAsia="仿宋" w:cs="仿宋"/>
          <w:sz w:val="24"/>
          <w:szCs w:val="24"/>
        </w:rPr>
      </w:pPr>
      <w:r>
        <w:rPr>
          <w:rFonts w:hint="eastAsia" w:ascii="仿宋" w:hAnsi="仿宋" w:eastAsia="仿宋" w:cs="仿宋"/>
          <w:sz w:val="24"/>
          <w:szCs w:val="24"/>
        </w:rPr>
        <w:t>4、响应文件的修改和撤回</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（1）响应文件递交后，如果供应商提出书面修改和撤回响应文件要求，在响应截止时间前以书面形式送达采购代理机构，采购代理机构可以予以接受，但不退还响应文件；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（2）供应商修改响应文件的书面材料，须密封送达采购代理机构，修改或补充的内容应按磋商文件要求签署、盖章、密封、标记，并作为响应文件的组成部分；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（3）撤回响应文件应以书面的形式通知采购代理机构；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（4）在响应截止时间后到磋商文件规定的响应有效期满之间的这段时间内，供应商不得撤回其响应文件，如有发生，其保证金将被没收；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（5）供应商在响应文件递交截止时间后，不得对其响应文件做任何修改。</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六．磋商、定标</w:t>
      </w:r>
    </w:p>
    <w:p>
      <w:pPr>
        <w:pStyle w:val="4"/>
        <w:ind w:firstLine="482"/>
        <w:rPr>
          <w:rFonts w:hint="eastAsia" w:ascii="仿宋" w:hAnsi="仿宋" w:eastAsia="仿宋" w:cs="仿宋"/>
          <w:sz w:val="24"/>
          <w:szCs w:val="24"/>
        </w:rPr>
      </w:pPr>
      <w:r>
        <w:rPr>
          <w:rFonts w:hint="eastAsia" w:ascii="仿宋" w:hAnsi="仿宋" w:eastAsia="仿宋" w:cs="仿宋"/>
          <w:sz w:val="24"/>
          <w:szCs w:val="24"/>
        </w:rPr>
        <w:t>1、磋商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（1）采购代理机构按磋商文件规定的时间、地点主持磋商；磋商由采购代理机构主持，采购人代表、监督机构及有关工作人员参加，参加磋商的代表应签名报到以证明其出席；供应商派代表参加开标大会；</w:t>
      </w:r>
    </w:p>
    <w:p>
      <w:pPr>
        <w:widowControl/>
        <w:ind w:firstLine="240" w:firstLineChars="100"/>
        <w:jc w:val="left"/>
        <w:rPr>
          <w:rFonts w:hint="eastAsia" w:ascii="仿宋" w:hAnsi="仿宋" w:eastAsia="仿宋" w:cs="仿宋"/>
        </w:rPr>
      </w:pPr>
      <w:r>
        <w:rPr>
          <w:rFonts w:hint="eastAsia" w:ascii="仿宋" w:hAnsi="仿宋" w:eastAsia="仿宋" w:cs="仿宋"/>
          <w:kern w:val="0"/>
          <w:sz w:val="24"/>
          <w:lang w:bidi="ar"/>
        </w:rPr>
        <w:t xml:space="preserve">（2）依据《政府采购法》和《政府采购非磋商采购方式管理办法》（财政部令第74号）等规定(陕财办采资[2016]53号)，竞争性磋商采用两次报价，主持人在磋商大会不当众宣布磋商报价总表内容，并将响应文件中磋商一览表（报价表）的报价作为第一次报价。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为确保磋商工作公开、公平、公正，依法成立磋商小组。磋商小组由采购人及有关专家组成，其中技术、经济等方面的专家不少于评委总数的三分之二，专家名单由有关人员在延安市政府采购专家库中随机抽取，磋商小组成员应当遵守并履行下列责任和义务：</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A、遵纪守法，客观、公正、认真负责地履行职责，审查响应文件是否符合磋商文件的要求，并做出评价；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B、要求供应商对响应文件有关事项作出解释或澄清；</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C、按照磋商文件的要求和磋商标准进行评标，推荐中标候选单位名单，对评审意见承担个人责任；</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D、对磋商过程和结果以及供应商的商业秘密保密；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（3）本次磋商磋商小组成员共3人；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（4）磋商时查验响应文件密封情况，确认无误后拆封，磋商过程中采购代理机构指定专人负责将供应商的名称、响应项目名称、响应价格等需记录，并存档备案；</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（5）响应时，响应文件中出现下列情况，修正原则为：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A、响应报价的大写金额和小写金额不一致的，以大写金额为准；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B、总价金额与按单价汇总金额不一致的，以单价金额计算结果为准；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C、单价金额小数点有明显错位的，以总价为准，并修改单价；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D、响应文件正本与副本不一致的，以正本为准；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E、多处内容交叉不符时，以评标委员会评审结果为准；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F、文字与图表不符时以文字为准；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按上述修正错误的原则及方法调整或修正响应文件的报价，投标人同意后，调整后的报价对供应商起约束作用。如果供应商不接受修正后的报价，则其响应将被拒绝并且其响应保证金也将被没收。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（6）磋商时，直到向中标的供应商授予合同为止，凡审查、澄清、评价和比较响应的有关资料及被授标意见等内容，磋商小组成员均不得向供应商及与磋商无关的其他人透露。 </w:t>
      </w:r>
    </w:p>
    <w:p>
      <w:pPr>
        <w:pStyle w:val="4"/>
        <w:ind w:firstLine="482"/>
        <w:rPr>
          <w:rFonts w:hint="eastAsia" w:ascii="仿宋" w:hAnsi="仿宋" w:eastAsia="仿宋" w:cs="仿宋"/>
          <w:sz w:val="24"/>
          <w:szCs w:val="24"/>
        </w:rPr>
      </w:pPr>
      <w:r>
        <w:rPr>
          <w:rFonts w:hint="eastAsia" w:ascii="仿宋" w:hAnsi="仿宋" w:eastAsia="仿宋" w:cs="仿宋"/>
          <w:sz w:val="24"/>
          <w:szCs w:val="24"/>
        </w:rPr>
        <w:t>2、响应文件的初审</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初审内容为响应文件是否符合磋商文件的要求，对各供应商文件中的资格证明、保证金等进行审查，以确定供应商是否具备响应资格；资质证明文件（1）-（8）项为必备资质，缺其一项或某项达不到标书要求，均按无效处理；</w:t>
      </w:r>
    </w:p>
    <w:p>
      <w:pPr>
        <w:overflowPunct w:val="0"/>
        <w:adjustRightInd w:val="0"/>
        <w:snapToGrid w:val="0"/>
        <w:spacing w:line="500" w:lineRule="exact"/>
        <w:ind w:left="420"/>
        <w:rPr>
          <w:rFonts w:hint="eastAsia" w:ascii="仿宋" w:hAnsi="仿宋" w:eastAsia="仿宋" w:cs="仿宋"/>
          <w:b/>
          <w:bCs/>
          <w:kern w:val="0"/>
          <w:sz w:val="24"/>
        </w:rPr>
      </w:pPr>
      <w:r>
        <w:rPr>
          <w:rFonts w:hint="eastAsia" w:ascii="仿宋" w:hAnsi="仿宋" w:eastAsia="仿宋" w:cs="仿宋"/>
          <w:b/>
          <w:bCs/>
          <w:kern w:val="0"/>
          <w:sz w:val="24"/>
        </w:rPr>
        <w:t>（2）供应商的资格性审查</w:t>
      </w:r>
    </w:p>
    <w:p>
      <w:pPr>
        <w:overflowPunct w:val="0"/>
        <w:adjustRightInd w:val="0"/>
        <w:snapToGrid w:val="0"/>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依据法律法规和磋商文件的规定，由采购人或代理机构对</w:t>
      </w:r>
      <w:r>
        <w:rPr>
          <w:rFonts w:hint="eastAsia" w:ascii="仿宋" w:hAnsi="仿宋" w:eastAsia="仿宋" w:cs="仿宋"/>
          <w:sz w:val="24"/>
        </w:rPr>
        <w:t>供应商</w:t>
      </w:r>
      <w:r>
        <w:rPr>
          <w:rFonts w:hint="eastAsia" w:ascii="仿宋" w:hAnsi="仿宋" w:eastAsia="仿宋" w:cs="仿宋"/>
          <w:kern w:val="0"/>
          <w:sz w:val="24"/>
        </w:rPr>
        <w:t>的资格证明文件进行审查，以确保</w:t>
      </w:r>
      <w:r>
        <w:rPr>
          <w:rFonts w:hint="eastAsia" w:ascii="仿宋" w:hAnsi="仿宋" w:eastAsia="仿宋" w:cs="仿宋"/>
          <w:sz w:val="24"/>
        </w:rPr>
        <w:t>供应商</w:t>
      </w:r>
      <w:r>
        <w:rPr>
          <w:rFonts w:hint="eastAsia" w:ascii="仿宋" w:hAnsi="仿宋" w:eastAsia="仿宋" w:cs="仿宋"/>
          <w:kern w:val="0"/>
          <w:sz w:val="24"/>
        </w:rPr>
        <w:t>是否具备相应资格。</w:t>
      </w:r>
    </w:p>
    <w:p>
      <w:pPr>
        <w:overflowPunct w:val="0"/>
        <w:adjustRightInd w:val="0"/>
        <w:snapToGrid w:val="0"/>
        <w:spacing w:line="500" w:lineRule="exact"/>
        <w:ind w:left="420"/>
        <w:rPr>
          <w:rFonts w:hint="eastAsia" w:ascii="仿宋" w:hAnsi="仿宋" w:eastAsia="仿宋" w:cs="仿宋"/>
          <w:b/>
          <w:bCs/>
          <w:kern w:val="0"/>
          <w:sz w:val="24"/>
        </w:rPr>
      </w:pPr>
      <w:r>
        <w:rPr>
          <w:rFonts w:hint="eastAsia" w:ascii="仿宋" w:hAnsi="仿宋" w:eastAsia="仿宋" w:cs="仿宋"/>
          <w:b/>
          <w:bCs/>
          <w:kern w:val="0"/>
          <w:sz w:val="24"/>
        </w:rPr>
        <w:t>（3）响应文件符合性审查</w:t>
      </w:r>
    </w:p>
    <w:p>
      <w:pPr>
        <w:pStyle w:val="10"/>
        <w:snapToGrid w:val="0"/>
        <w:spacing w:line="360" w:lineRule="auto"/>
        <w:ind w:firstLine="480"/>
        <w:rPr>
          <w:rFonts w:hint="eastAsia" w:ascii="仿宋" w:hAnsi="仿宋" w:eastAsia="仿宋" w:cs="仿宋"/>
          <w:sz w:val="24"/>
          <w:szCs w:val="24"/>
        </w:rPr>
      </w:pPr>
      <w:r>
        <w:rPr>
          <w:rFonts w:hint="eastAsia" w:ascii="仿宋" w:hAnsi="仿宋" w:eastAsia="仿宋" w:cs="仿宋"/>
          <w:kern w:val="0"/>
          <w:sz w:val="24"/>
          <w:szCs w:val="24"/>
        </w:rPr>
        <w:t>依据法律法规和磋商文件的规定，由磋商小组对符合资格要求的</w:t>
      </w:r>
      <w:r>
        <w:rPr>
          <w:rFonts w:hint="eastAsia" w:ascii="仿宋" w:hAnsi="仿宋" w:eastAsia="仿宋" w:cs="仿宋"/>
          <w:sz w:val="24"/>
          <w:szCs w:val="24"/>
        </w:rPr>
        <w:t>供应商</w:t>
      </w:r>
      <w:r>
        <w:rPr>
          <w:rFonts w:hint="eastAsia" w:ascii="仿宋" w:hAnsi="仿宋" w:eastAsia="仿宋" w:cs="仿宋"/>
          <w:kern w:val="0"/>
          <w:sz w:val="24"/>
          <w:szCs w:val="24"/>
        </w:rPr>
        <w:t>的响应文件有效性、完整性和对磋商文件的响应程度进行符合性审查，以确定是否对磋商文件的实质性内容作出响应。响应文件</w:t>
      </w:r>
      <w:r>
        <w:rPr>
          <w:rFonts w:hint="eastAsia" w:ascii="仿宋" w:hAnsi="仿宋" w:eastAsia="仿宋" w:cs="仿宋"/>
          <w:sz w:val="24"/>
          <w:szCs w:val="24"/>
        </w:rPr>
        <w:t>的符合性评审（合格性、完整性、有效性），具体审查：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67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序号</w:t>
            </w:r>
          </w:p>
        </w:tc>
        <w:tc>
          <w:tcPr>
            <w:tcW w:w="6778"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符合性审查内容</w:t>
            </w:r>
          </w:p>
        </w:tc>
        <w:tc>
          <w:tcPr>
            <w:tcW w:w="1906"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A</w:t>
            </w:r>
          </w:p>
        </w:tc>
        <w:tc>
          <w:tcPr>
            <w:tcW w:w="6778" w:type="dxa"/>
          </w:tcPr>
          <w:p>
            <w:pPr>
              <w:overflowPunct w:val="0"/>
              <w:adjustRightInd w:val="0"/>
              <w:snapToGrid w:val="0"/>
              <w:spacing w:line="500" w:lineRule="exact"/>
              <w:rPr>
                <w:rFonts w:hint="eastAsia" w:ascii="仿宋" w:hAnsi="仿宋" w:eastAsia="仿宋" w:cs="仿宋"/>
                <w:sz w:val="24"/>
              </w:rPr>
            </w:pPr>
            <w:r>
              <w:rPr>
                <w:rFonts w:hint="eastAsia" w:ascii="仿宋" w:hAnsi="仿宋" w:eastAsia="仿宋" w:cs="仿宋"/>
                <w:sz w:val="24"/>
              </w:rPr>
              <w:t>磋商报价是否唯一且未超过采购预算；</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B</w:t>
            </w:r>
          </w:p>
        </w:tc>
        <w:tc>
          <w:tcPr>
            <w:tcW w:w="6778"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szCs w:val="24"/>
              </w:rPr>
              <w:t>服务期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工期</w:t>
            </w:r>
            <w:r>
              <w:rPr>
                <w:rFonts w:hint="eastAsia" w:ascii="仿宋" w:hAnsi="仿宋" w:eastAsia="仿宋" w:cs="仿宋"/>
                <w:sz w:val="24"/>
                <w:szCs w:val="24"/>
              </w:rPr>
              <w:t>是否满足磋商文件最低要求；</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C</w:t>
            </w:r>
          </w:p>
        </w:tc>
        <w:tc>
          <w:tcPr>
            <w:tcW w:w="6778"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szCs w:val="24"/>
              </w:rPr>
              <w:t>服务质量是否满足磋商文件最低要求</w:t>
            </w:r>
            <w:r>
              <w:rPr>
                <w:rFonts w:hint="eastAsia" w:ascii="仿宋" w:hAnsi="仿宋" w:eastAsia="仿宋" w:cs="仿宋"/>
                <w:sz w:val="24"/>
              </w:rPr>
              <w:t>；</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D</w:t>
            </w:r>
          </w:p>
        </w:tc>
        <w:tc>
          <w:tcPr>
            <w:tcW w:w="6778"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磋商有效期是否满足</w:t>
            </w:r>
            <w:r>
              <w:rPr>
                <w:rFonts w:hint="eastAsia" w:ascii="仿宋" w:hAnsi="仿宋" w:eastAsia="仿宋" w:cs="仿宋"/>
                <w:sz w:val="24"/>
                <w:szCs w:val="24"/>
              </w:rPr>
              <w:t>磋商</w:t>
            </w:r>
            <w:r>
              <w:rPr>
                <w:rFonts w:hint="eastAsia" w:ascii="仿宋" w:hAnsi="仿宋" w:eastAsia="仿宋" w:cs="仿宋"/>
                <w:sz w:val="24"/>
              </w:rPr>
              <w:t>文件最低要求；</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E</w:t>
            </w:r>
          </w:p>
        </w:tc>
        <w:tc>
          <w:tcPr>
            <w:tcW w:w="6778"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响应文件的签署盖章是否符合</w:t>
            </w:r>
            <w:r>
              <w:rPr>
                <w:rFonts w:hint="eastAsia" w:ascii="仿宋" w:hAnsi="仿宋" w:eastAsia="仿宋" w:cs="仿宋"/>
                <w:sz w:val="24"/>
                <w:szCs w:val="24"/>
              </w:rPr>
              <w:t>磋商</w:t>
            </w:r>
            <w:r>
              <w:rPr>
                <w:rFonts w:hint="eastAsia" w:ascii="仿宋" w:hAnsi="仿宋" w:eastAsia="仿宋" w:cs="仿宋"/>
                <w:sz w:val="24"/>
              </w:rPr>
              <w:t>文件要求；</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F</w:t>
            </w:r>
          </w:p>
        </w:tc>
        <w:tc>
          <w:tcPr>
            <w:tcW w:w="6778"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响应文件的正副本数量是否符合</w:t>
            </w:r>
            <w:r>
              <w:rPr>
                <w:rFonts w:hint="eastAsia" w:ascii="仿宋" w:hAnsi="仿宋" w:eastAsia="仿宋" w:cs="仿宋"/>
                <w:sz w:val="24"/>
                <w:szCs w:val="24"/>
              </w:rPr>
              <w:t>磋商</w:t>
            </w:r>
            <w:r>
              <w:rPr>
                <w:rFonts w:hint="eastAsia" w:ascii="仿宋" w:hAnsi="仿宋" w:eastAsia="仿宋" w:cs="仿宋"/>
                <w:sz w:val="24"/>
              </w:rPr>
              <w:t>文件要求；</w:t>
            </w:r>
          </w:p>
        </w:tc>
        <w:tc>
          <w:tcPr>
            <w:tcW w:w="1906"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bl>
    <w:p>
      <w:pPr>
        <w:spacing w:line="360" w:lineRule="auto"/>
        <w:ind w:firstLine="360" w:firstLineChars="150"/>
        <w:rPr>
          <w:rFonts w:hint="eastAsia" w:ascii="仿宋" w:hAnsi="仿宋" w:eastAsia="仿宋" w:cs="仿宋"/>
          <w:sz w:val="24"/>
        </w:rPr>
      </w:pPr>
      <w:r>
        <w:rPr>
          <w:rFonts w:hint="eastAsia" w:ascii="仿宋" w:hAnsi="仿宋" w:eastAsia="仿宋" w:cs="仿宋"/>
          <w:sz w:val="24"/>
        </w:rPr>
        <w:t>对通过审查的，被认为其响应文件完整、合格，投标有效，可进入下阶段的评标。</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（3）供应商及响应文件有效性和符合性审查，出现下列情况之一者（但不限于），按无效标处理：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A、供应商未经过正常渠道领取磋商文件，或供应商名称与领取磋商文件时登记的磋商人名称不符的；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B、必备资质的有效性和符合性不符合要求的；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C、响应文件未按磋商文件要求密封、签署、盖章的；无响应有效期或有效期达不到磋商文件要求的；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D、供应商未按照磋商文件格式及内容要求填写的；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E、投标人针对同一项目递交两份或多份内容不同的响应文件，未书面声明哪一份是有效的或出现选择性报价的；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F、供应商未按磋商文件要求提供服务的资料及服务供货渠道不明确的；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G、提供虚假资质、虚假证明（包括第三方提供的虚假证明）、出现虚假应答的，除按无效文件处理外，还将按照政府采购的有关规定进行处罚；</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H、响应文件在商务响应方面（付款方式、服务质量、服务期、</w:t>
      </w:r>
      <w:r>
        <w:rPr>
          <w:rFonts w:hint="eastAsia" w:ascii="仿宋" w:hAnsi="仿宋" w:eastAsia="仿宋" w:cs="仿宋"/>
          <w:sz w:val="24"/>
          <w:lang w:val="en-US" w:eastAsia="zh-CN"/>
        </w:rPr>
        <w:t>工期、</w:t>
      </w:r>
      <w:r>
        <w:rPr>
          <w:rFonts w:hint="eastAsia" w:ascii="仿宋" w:hAnsi="仿宋" w:eastAsia="仿宋" w:cs="仿宋"/>
          <w:sz w:val="24"/>
        </w:rPr>
        <w:t>服务地点、验收条件）与磋商文件要求不一致或附加了采购人难以接受的条件或条款的；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I、供应商前期参与了本次磋商项目方案设计的、技术参数制定的；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J、在政府采购或其它重大项目履约过程中有不良记录，不能按期履约的；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K、响应报价与市场价偏离较大，低于成本，形成不正当竞争的；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L、响应报价子目出现漏项或报价数量与要求不符的；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M、响应服务的技术要求、性能指标与磋商文件要求出现重大负偏差的；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N、提供虚假技术性能指标；</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O、违反本磋商文件第二部分供应商须知中合格供应商之第9条规定的。</w:t>
      </w:r>
    </w:p>
    <w:p>
      <w:pPr>
        <w:pStyle w:val="4"/>
        <w:ind w:firstLine="482"/>
        <w:rPr>
          <w:rFonts w:hint="eastAsia" w:ascii="仿宋" w:hAnsi="仿宋" w:eastAsia="仿宋" w:cs="仿宋"/>
          <w:sz w:val="24"/>
          <w:szCs w:val="24"/>
        </w:rPr>
      </w:pPr>
      <w:r>
        <w:rPr>
          <w:rFonts w:hint="eastAsia" w:ascii="仿宋" w:hAnsi="仿宋" w:eastAsia="仿宋" w:cs="仿宋"/>
          <w:sz w:val="24"/>
          <w:szCs w:val="24"/>
        </w:rPr>
        <w:t>3．磋商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（1）磋商小组有权就响应文件中含混之处向上述步骤评审合格的供应商提出询问或澄清要求；供应商将有关磋商澄清、补正、说明的内容应以书面形式提交；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磋商文件、响应文件作为磋商的依据，澄清、补正、说明的内容只作为磋商参考。磋商澄清时供应商只作说明和解释，不得借此对响应报价、服务期、实质性内容做任何修改；如澄清、补正、说明的内容与响应文件内容有重大相悖或矛盾，将被认定为无效响应；</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（3）供应商对响应文件的澄清不得改变响应价格及实质内容；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采用综合评分法：磋商小组按照磋商文件中规定的各项因素与供应商分别进行磋商确定合格供应商，合格供应商第二次报价后，磋商小组以磋商总得分最高的供应商作为中标候选单位或者中标供应商的磋商方法。若有两个或两个以上最高得分相同，推荐其中报价最低的磋商人为中标候选人。</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4、评定内容及打分标准</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（1）磋商小组根据以下内容进行综合比较，自主打分，按最后得分由高到低汇总排序，以标段为单位分别推荐一至三名中标候选单位；磋商小组根据磋商结果写出磋商报告；</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（2）评定内容及打分标准：总分100分，共5项评分因素，每个供应商每项评分因素得分汇总即为最后得分，各项评分因素具体内容及打分标准如下：</w:t>
      </w:r>
    </w:p>
    <w:p>
      <w:pPr>
        <w:rPr>
          <w:rFonts w:hint="eastAsia" w:ascii="仿宋" w:hAnsi="仿宋" w:eastAsia="仿宋" w:cs="仿宋"/>
          <w:kern w:val="0"/>
          <w:sz w:val="24"/>
        </w:rPr>
      </w:pPr>
      <w:r>
        <w:rPr>
          <w:rFonts w:hint="eastAsia" w:ascii="仿宋" w:hAnsi="仿宋" w:eastAsia="仿宋" w:cs="仿宋"/>
          <w:kern w:val="0"/>
          <w:sz w:val="24"/>
        </w:rPr>
        <w:br w:type="page"/>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84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02" w:type="dxa"/>
            <w:vAlign w:val="center"/>
          </w:tcPr>
          <w:p>
            <w:pPr>
              <w:tabs>
                <w:tab w:val="left" w:pos="0"/>
              </w:tabs>
              <w:adjustRightInd w:val="0"/>
              <w:snapToGrid w:val="0"/>
              <w:spacing w:line="360" w:lineRule="auto"/>
              <w:jc w:val="center"/>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评审内容及权重分值（100分）</w:t>
            </w:r>
          </w:p>
        </w:tc>
        <w:tc>
          <w:tcPr>
            <w:tcW w:w="7229" w:type="dxa"/>
            <w:gridSpan w:val="2"/>
            <w:vAlign w:val="center"/>
          </w:tcPr>
          <w:p>
            <w:pPr>
              <w:tabs>
                <w:tab w:val="left" w:pos="0"/>
              </w:tabs>
              <w:adjustRightInd w:val="0"/>
              <w:snapToGrid w:val="0"/>
              <w:spacing w:line="360" w:lineRule="auto"/>
              <w:jc w:val="center"/>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02" w:type="dxa"/>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磋商报价</w:t>
            </w:r>
          </w:p>
          <w:p>
            <w:pPr>
              <w:spacing w:after="156" w:afterLines="50" w:line="240" w:lineRule="auto"/>
              <w:jc w:val="center"/>
              <w:rPr>
                <w:rFonts w:hint="eastAsia" w:ascii="仿宋" w:hAnsi="仿宋" w:eastAsia="仿宋" w:cs="仿宋"/>
                <w:bCs/>
                <w:sz w:val="24"/>
              </w:rPr>
            </w:pPr>
            <w:r>
              <w:rPr>
                <w:rFonts w:hint="eastAsia" w:ascii="仿宋" w:hAnsi="仿宋" w:eastAsia="仿宋" w:cs="仿宋"/>
                <w:szCs w:val="21"/>
              </w:rPr>
              <w:t>（10分）</w:t>
            </w:r>
          </w:p>
        </w:tc>
        <w:tc>
          <w:tcPr>
            <w:tcW w:w="7229" w:type="dxa"/>
            <w:gridSpan w:val="2"/>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 xml:space="preserve">价格分统一采用低价优先法计算，即满足招标文件要求且投标价格最低的投标报价为投标基准价，其价格分为满分。其他投标人的价格分统一按照下列公式计算： </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 xml:space="preserve">磋商报价得分=(投标基准价／投标报价)×价格权值×100%               </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计算分数时四舍五入取小数点后两位</w:t>
            </w:r>
          </w:p>
          <w:p>
            <w:pPr>
              <w:tabs>
                <w:tab w:val="left" w:pos="0"/>
              </w:tabs>
              <w:adjustRightInd w:val="0"/>
              <w:snapToGrid w:val="0"/>
              <w:spacing w:line="360" w:lineRule="auto"/>
              <w:jc w:val="left"/>
              <w:rPr>
                <w:rFonts w:hint="eastAsia" w:ascii="仿宋" w:hAnsi="仿宋" w:eastAsia="仿宋" w:cs="仿宋"/>
                <w:szCs w:val="21"/>
              </w:rPr>
            </w:pPr>
            <w:r>
              <w:rPr>
                <w:rFonts w:hint="eastAsia" w:ascii="仿宋" w:hAnsi="仿宋" w:eastAsia="仿宋" w:cs="仿宋"/>
                <w:b/>
                <w:bCs/>
                <w:szCs w:val="21"/>
              </w:rPr>
              <w:t>注：</w:t>
            </w:r>
            <w:r>
              <w:rPr>
                <w:rFonts w:hint="eastAsia" w:ascii="仿宋" w:hAnsi="仿宋" w:eastAsia="仿宋" w:cs="仿宋"/>
                <w:b/>
                <w:bCs/>
                <w:szCs w:val="21"/>
                <w:lang w:val="en-US" w:eastAsia="zh-CN"/>
              </w:rPr>
              <w:t>本项目专门面向中小企业采购，磋商报价不再享受价格优惠后参与评审。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02" w:type="dxa"/>
            <w:vMerge w:val="restart"/>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综合能力</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（25分）</w:t>
            </w:r>
          </w:p>
        </w:tc>
        <w:tc>
          <w:tcPr>
            <w:tcW w:w="1843" w:type="dxa"/>
            <w:vAlign w:val="center"/>
          </w:tcPr>
          <w:p>
            <w:pPr>
              <w:spacing w:after="156" w:afterLines="50" w:line="240" w:lineRule="auto"/>
              <w:jc w:val="center"/>
              <w:rPr>
                <w:rFonts w:hint="eastAsia" w:ascii="仿宋" w:hAnsi="仿宋" w:eastAsia="仿宋" w:cs="仿宋"/>
                <w:szCs w:val="21"/>
                <w:highlight w:val="none"/>
              </w:rPr>
            </w:pPr>
            <w:r>
              <w:rPr>
                <w:rFonts w:hint="eastAsia" w:ascii="仿宋" w:hAnsi="仿宋" w:eastAsia="仿宋" w:cs="仿宋"/>
                <w:szCs w:val="21"/>
                <w:highlight w:val="none"/>
              </w:rPr>
              <w:t>技术能力</w:t>
            </w:r>
          </w:p>
          <w:p>
            <w:pPr>
              <w:spacing w:after="156" w:afterLines="50" w:line="240" w:lineRule="auto"/>
              <w:jc w:val="center"/>
              <w:rPr>
                <w:rFonts w:hint="eastAsia" w:ascii="仿宋" w:hAnsi="仿宋" w:eastAsia="仿宋" w:cs="仿宋"/>
                <w:szCs w:val="21"/>
                <w:highlight w:val="none"/>
              </w:rPr>
            </w:pPr>
            <w:r>
              <w:rPr>
                <w:rFonts w:hint="eastAsia" w:ascii="仿宋" w:hAnsi="仿宋" w:eastAsia="仿宋" w:cs="仿宋"/>
                <w:szCs w:val="21"/>
                <w:highlight w:val="none"/>
              </w:rPr>
              <w:t>（5分）</w:t>
            </w:r>
          </w:p>
        </w:tc>
        <w:tc>
          <w:tcPr>
            <w:tcW w:w="5386" w:type="dxa"/>
            <w:vAlign w:val="center"/>
          </w:tcPr>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具有完成项目实施所需专业技术能力，配置科学合理、技术先进、适用性强，综合评审赋分（0-5分）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Merge w:val="restart"/>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专业人员配备</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（15分）</w:t>
            </w:r>
          </w:p>
        </w:tc>
        <w:tc>
          <w:tcPr>
            <w:tcW w:w="5386" w:type="dxa"/>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项目负责人具有类似工程专业的高级职称得5分；中级职称得3分。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Merge w:val="continue"/>
            <w:vAlign w:val="center"/>
          </w:tcPr>
          <w:p>
            <w:pPr>
              <w:spacing w:after="156" w:afterLines="50" w:line="240" w:lineRule="auto"/>
              <w:jc w:val="left"/>
              <w:rPr>
                <w:rFonts w:hint="eastAsia" w:ascii="仿宋" w:hAnsi="仿宋" w:eastAsia="仿宋" w:cs="仿宋"/>
                <w:szCs w:val="21"/>
                <w:highlight w:val="none"/>
              </w:rPr>
            </w:pPr>
          </w:p>
        </w:tc>
        <w:tc>
          <w:tcPr>
            <w:tcW w:w="5386" w:type="dxa"/>
            <w:vAlign w:val="center"/>
          </w:tcPr>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项目成员数量满足工作需要，专业配备合理，技术支持完善，得8-10分；</w:t>
            </w:r>
          </w:p>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项目成员数量基本满足工程需要，专业配备较合理，技术支持较完善，得5-7分；</w:t>
            </w:r>
          </w:p>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项目成员数量不能满足工程需要，技术支持不够完善，得2-4分。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Align w:val="center"/>
          </w:tcPr>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业绩（5分）</w:t>
            </w:r>
          </w:p>
        </w:tc>
        <w:tc>
          <w:tcPr>
            <w:tcW w:w="5386" w:type="dxa"/>
            <w:vAlign w:val="center"/>
          </w:tcPr>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提供近三年（2019年至今）地质灾害监测、勘察或设计类似项目业绩；每提供一份得1分，最高不超过5分；(以合同或中标（成交）通知书为准)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702" w:type="dxa"/>
            <w:vMerge w:val="restart"/>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实施方案</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（45分）</w:t>
            </w:r>
          </w:p>
        </w:tc>
        <w:tc>
          <w:tcPr>
            <w:tcW w:w="1843" w:type="dxa"/>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目标任务（10分）</w:t>
            </w:r>
          </w:p>
        </w:tc>
        <w:tc>
          <w:tcPr>
            <w:tcW w:w="5386" w:type="dxa"/>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根据供应商对本项目任务要求的理解及概述：</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目标明确，任务分解清楚，赋7 -10分；</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目标较明确，任务分解较清楚，赋4-6分；</w:t>
            </w:r>
          </w:p>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目标不明确，无任务分解，赋0-3分。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Align w:val="center"/>
          </w:tcPr>
          <w:p>
            <w:pPr>
              <w:spacing w:after="156" w:afterLines="50" w:line="240" w:lineRule="auto"/>
              <w:jc w:val="center"/>
              <w:rPr>
                <w:rFonts w:hint="eastAsia" w:ascii="仿宋" w:hAnsi="仿宋" w:eastAsia="仿宋" w:cs="仿宋"/>
                <w:szCs w:val="21"/>
                <w:highlight w:val="none"/>
              </w:rPr>
            </w:pPr>
            <w:r>
              <w:rPr>
                <w:rFonts w:hint="eastAsia" w:ascii="仿宋" w:hAnsi="仿宋" w:eastAsia="仿宋" w:cs="仿宋"/>
                <w:szCs w:val="21"/>
                <w:highlight w:val="none"/>
              </w:rPr>
              <w:t>技术方案（15分）</w:t>
            </w:r>
          </w:p>
        </w:tc>
        <w:tc>
          <w:tcPr>
            <w:tcW w:w="5386" w:type="dxa"/>
            <w:vAlign w:val="center"/>
          </w:tcPr>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总体路线清晰、针对地质灾害点的监测预警等有详细的实施方案，全面、清楚、设计合理1-15分；</w:t>
            </w:r>
          </w:p>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较全面、较清楚、设计较合理得7-10分；</w:t>
            </w:r>
          </w:p>
          <w:p>
            <w:pPr>
              <w:spacing w:after="156" w:afterLines="50" w:line="240" w:lineRule="auto"/>
              <w:jc w:val="left"/>
              <w:rPr>
                <w:rFonts w:hint="eastAsia" w:ascii="仿宋" w:hAnsi="仿宋" w:eastAsia="仿宋" w:cs="仿宋"/>
                <w:szCs w:val="21"/>
                <w:highlight w:val="none"/>
              </w:rPr>
            </w:pPr>
            <w:r>
              <w:rPr>
                <w:rFonts w:hint="eastAsia" w:ascii="仿宋" w:hAnsi="仿宋" w:eastAsia="仿宋" w:cs="仿宋"/>
                <w:szCs w:val="21"/>
                <w:highlight w:val="none"/>
              </w:rPr>
              <w:t>不全面、不清楚、设计不合理得赋</w:t>
            </w:r>
            <w:r>
              <w:rPr>
                <w:rFonts w:hint="eastAsia" w:ascii="仿宋" w:hAnsi="仿宋" w:eastAsia="仿宋" w:cs="仿宋"/>
                <w:szCs w:val="21"/>
                <w:highlight w:val="none"/>
                <w:lang w:val="en-US" w:eastAsia="zh-CN"/>
              </w:rPr>
              <w:t>0</w:t>
            </w:r>
            <w:r>
              <w:rPr>
                <w:rFonts w:hint="eastAsia" w:ascii="仿宋" w:hAnsi="仿宋" w:eastAsia="仿宋" w:cs="仿宋"/>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实施进度控制</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（10分）</w:t>
            </w:r>
          </w:p>
        </w:tc>
        <w:tc>
          <w:tcPr>
            <w:tcW w:w="5386" w:type="dxa"/>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根据供应商针对本项目的实施进度计划，及实施进度管控措施，综合评审赋分（0-10分）；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702" w:type="dxa"/>
            <w:vMerge w:val="continue"/>
            <w:vAlign w:val="center"/>
          </w:tcPr>
          <w:p>
            <w:pPr>
              <w:spacing w:after="156" w:afterLines="50" w:line="240" w:lineRule="auto"/>
              <w:jc w:val="left"/>
              <w:rPr>
                <w:rFonts w:hint="eastAsia" w:ascii="仿宋" w:hAnsi="仿宋" w:eastAsia="仿宋" w:cs="仿宋"/>
                <w:szCs w:val="21"/>
              </w:rPr>
            </w:pPr>
          </w:p>
        </w:tc>
        <w:tc>
          <w:tcPr>
            <w:tcW w:w="1843" w:type="dxa"/>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预期成果控制</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（10分）</w:t>
            </w:r>
          </w:p>
        </w:tc>
        <w:tc>
          <w:tcPr>
            <w:tcW w:w="5386" w:type="dxa"/>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根据供应商预期成果说明，是否逐一明确，是否考核等因素，综合评审赋分（0-10分）；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质量保证</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（10分）</w:t>
            </w:r>
          </w:p>
        </w:tc>
        <w:tc>
          <w:tcPr>
            <w:tcW w:w="7229" w:type="dxa"/>
            <w:gridSpan w:val="2"/>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根据供应商提供的项目实施质量控制措施、针对质量问题的解决措施、应急预案等内容综合评审赋分（0-10分）；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售后服务</w:t>
            </w:r>
          </w:p>
          <w:p>
            <w:pPr>
              <w:spacing w:after="156" w:afterLines="50" w:line="240" w:lineRule="auto"/>
              <w:jc w:val="center"/>
              <w:rPr>
                <w:rFonts w:hint="eastAsia" w:ascii="仿宋" w:hAnsi="仿宋" w:eastAsia="仿宋" w:cs="仿宋"/>
                <w:szCs w:val="21"/>
              </w:rPr>
            </w:pPr>
            <w:r>
              <w:rPr>
                <w:rFonts w:hint="eastAsia" w:ascii="仿宋" w:hAnsi="仿宋" w:eastAsia="仿宋" w:cs="仿宋"/>
                <w:szCs w:val="21"/>
              </w:rPr>
              <w:t>（10分）</w:t>
            </w:r>
          </w:p>
        </w:tc>
        <w:tc>
          <w:tcPr>
            <w:tcW w:w="7229" w:type="dxa"/>
            <w:gridSpan w:val="2"/>
            <w:vAlign w:val="center"/>
          </w:tcPr>
          <w:p>
            <w:pPr>
              <w:spacing w:after="156" w:afterLines="50" w:line="240" w:lineRule="auto"/>
              <w:jc w:val="left"/>
              <w:rPr>
                <w:rFonts w:hint="eastAsia" w:ascii="仿宋" w:hAnsi="仿宋" w:eastAsia="仿宋" w:cs="仿宋"/>
                <w:szCs w:val="21"/>
              </w:rPr>
            </w:pPr>
            <w:r>
              <w:rPr>
                <w:rFonts w:hint="eastAsia" w:ascii="仿宋" w:hAnsi="仿宋" w:eastAsia="仿宋" w:cs="仿宋"/>
                <w:szCs w:val="21"/>
              </w:rPr>
              <w:t>供应商具有完善的售后服务，根据供应商提供的售后服务体系及保障措施、售后服务承诺、服务响应时间等内容，综合评审赋分（0-10分）</w:t>
            </w:r>
          </w:p>
        </w:tc>
      </w:tr>
    </w:tbl>
    <w:p>
      <w:pPr>
        <w:pStyle w:val="23"/>
        <w:rPr>
          <w:rFonts w:hint="eastAsia" w:ascii="仿宋" w:hAnsi="仿宋" w:eastAsia="仿宋" w:cs="仿宋"/>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5．定标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采购代理机构应当在磋商结束后2个工作日内将磋商报告送采购人。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采购人应当在收到磋商报告后5个工作日内，按照磋商报告中推荐的中标候选供应商顺序确定成交供应商；也可以事先授权磋商小组直接确定成交供应商（具体确定方式以采购人在《政府采购项目委托代理协议书》中选择的确定成交供应商的方式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由采购代理机构向成交供应商发送“成交通知书”，成交供应商按“成交通知书”规定的时间、地点和要求与采购人签订采购合同。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6、履约保证金</w:t>
      </w:r>
      <w:r>
        <w:rPr>
          <w:rFonts w:hint="eastAsia" w:ascii="仿宋" w:hAnsi="仿宋" w:eastAsia="仿宋" w:cs="仿宋"/>
          <w:sz w:val="24"/>
        </w:rPr>
        <w:br w:type="textWrapping"/>
      </w:r>
      <w:r>
        <w:rPr>
          <w:rFonts w:hint="eastAsia" w:ascii="仿宋" w:hAnsi="仿宋" w:eastAsia="仿宋" w:cs="仿宋"/>
          <w:sz w:val="24"/>
        </w:rPr>
        <w:t xml:space="preserve">       1.本项目不缴纳履约保证金，如采购人另行要求，履约保证金执行以下要求：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签订合同前，成交人应按投标人须知前附表规定的形式、金额和磋商文件第四章“合同条款及格式”规定的或者事先经过采购人书面认可的履约保证金格式向磋商人提交履约保证金。除投标人须知前附表另有规定外，履约保证金为中标合同金额的5%。</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2.成交人不能按本章第6.1 项要求提交履约保证金的，视为放弃中标，其磋商保证金不予退还，给磋商人造成的损失超过投标保证金数额的，中标人还应当对超过部分予以赔偿。</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七．签订合同</w:t>
      </w:r>
    </w:p>
    <w:p>
      <w:pPr>
        <w:widowControl/>
        <w:spacing w:line="560" w:lineRule="atLeast"/>
        <w:ind w:firstLine="461"/>
        <w:rPr>
          <w:rFonts w:hint="eastAsia" w:ascii="仿宋" w:hAnsi="仿宋" w:eastAsia="仿宋" w:cs="仿宋"/>
          <w:kern w:val="0"/>
          <w:sz w:val="24"/>
        </w:rPr>
      </w:pPr>
      <w:r>
        <w:rPr>
          <w:rFonts w:hint="eastAsia" w:ascii="仿宋" w:hAnsi="仿宋" w:eastAsia="仿宋" w:cs="仿宋"/>
          <w:kern w:val="0"/>
          <w:sz w:val="24"/>
        </w:rPr>
        <w:t>定标后，采购代理机构将立即组织成交供应商和采购人洽谈并签订中标合同。签订的合同需经 陕西炬荣招标代理有限公司 确认，否则无效。磋商文件及成交供应商的响应文件和澄清答复均作为签订合同的依据。</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八．质疑与投诉</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1. 质疑函应当包括以下内容：被质疑项目名称、项目编号、包号、磋商公告、成交公告发布时间、质疑事项、证据材料、法律依据（具体条款）、质疑人有效联系方式等。</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2.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3.采购代理机构或采购人将在收到书面质疑后7个工作日内做出答复，并以书面形式通知质疑人。</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4.质疑人对采购代理机构或采购人的答复不满意，以及采购代理机构或采购人未在规定时间内做出答复的，可以在答复期满后15个工作日内向政府采购监管机构提出投诉。</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5.供应商投诉的事项不得超出已质疑事项的范围。</w:t>
      </w:r>
    </w:p>
    <w:p>
      <w:pPr>
        <w:adjustRightInd w:val="0"/>
        <w:snapToGrid w:val="0"/>
        <w:spacing w:before="156" w:beforeLines="50" w:after="156" w:afterLines="50" w:line="360" w:lineRule="auto"/>
        <w:ind w:firstLine="352" w:firstLineChars="147"/>
        <w:rPr>
          <w:rFonts w:hint="eastAsia" w:ascii="仿宋" w:hAnsi="仿宋" w:eastAsia="仿宋" w:cs="仿宋"/>
          <w:sz w:val="24"/>
        </w:rPr>
      </w:pPr>
      <w:r>
        <w:rPr>
          <w:rFonts w:hint="eastAsia" w:ascii="仿宋" w:hAnsi="仿宋" w:eastAsia="仿宋" w:cs="仿宋"/>
          <w:sz w:val="24"/>
        </w:rPr>
        <w:t>6.对于捏造事实、提供虚假材料进行质疑、投诉的行为将予以上报财政部门，由财政部门按照相关法律法规进行处理。</w:t>
      </w:r>
    </w:p>
    <w:p>
      <w:pPr>
        <w:pStyle w:val="2"/>
        <w:ind w:firstLine="602" w:firstLineChars="200"/>
        <w:rPr>
          <w:rFonts w:hint="eastAsia" w:ascii="仿宋" w:hAnsi="仿宋" w:eastAsia="仿宋" w:cs="仿宋"/>
          <w:sz w:val="30"/>
          <w:szCs w:val="30"/>
        </w:rPr>
      </w:pPr>
      <w:r>
        <w:rPr>
          <w:rFonts w:hint="eastAsia" w:ascii="仿宋" w:hAnsi="仿宋" w:eastAsia="仿宋" w:cs="仿宋"/>
          <w:sz w:val="30"/>
          <w:szCs w:val="30"/>
        </w:rPr>
        <w:t>九．其它事项</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1、供应商的响应报价超过采购预算，根据《中华人民共和国政府采购法》和《政府采购竞争性磋商采购方式管理暂行办法》的有关规定报延安市政府采购管理部门批准后，进行重新磋商或变更为竞争性谈判的方式组织采购；</w:t>
      </w:r>
    </w:p>
    <w:p>
      <w:pPr>
        <w:spacing w:line="360" w:lineRule="auto"/>
        <w:ind w:firstLine="600" w:firstLineChars="250"/>
        <w:jc w:val="left"/>
        <w:rPr>
          <w:rFonts w:hint="eastAsia" w:ascii="仿宋" w:hAnsi="仿宋" w:eastAsia="仿宋" w:cs="仿宋"/>
          <w:sz w:val="24"/>
        </w:rPr>
      </w:pPr>
      <w:r>
        <w:rPr>
          <w:rFonts w:hint="eastAsia" w:ascii="仿宋" w:hAnsi="仿宋" w:eastAsia="仿宋" w:cs="仿宋"/>
          <w:sz w:val="24"/>
        </w:rPr>
        <w:t>2、中华人民共和国财政部令第18号《政府采购货物和服务磋商投标管理办法》第四十三条 投标截止时间结束后参加投标的供应商不足三家的，除采购任务取消情形外，磋商采购单位应当报告设区的市、自治州以上人民政府财政部门，由财政部门按照以下原则处理：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(一)磋商文件没有不合理条款、磋商公告时间及程序符合规定的，同意采取竞争性谈判、询价或者单一来源方式采购；</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(二)磋商文件存在不合理条款的，磋商公告时间及程序不符合规定的，应予废标，并责成磋商采购单位依法重新磋商。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在评标期间，出现符合专业条件的供应商或者对磋商文件作出实质响应的供应商不足三家情形的，可以比照前款规定执行。</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转为</w:t>
      </w:r>
      <w:r>
        <w:rPr>
          <w:rFonts w:hint="eastAsia" w:ascii="仿宋" w:hAnsi="仿宋" w:eastAsia="仿宋" w:cs="仿宋"/>
          <w:sz w:val="24"/>
        </w:rPr>
        <w:t>采取竞争性谈判方式，磋商小组自行转为竞争性谈判小组，谈判文件以响应文件为基础，若有重大变动，以书面形式通知参加谈判的全体谈判响应单位；</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kern w:val="0"/>
          <w:sz w:val="24"/>
        </w:rPr>
        <w:t>转为</w:t>
      </w:r>
      <w:r>
        <w:rPr>
          <w:rFonts w:hint="eastAsia" w:ascii="仿宋" w:hAnsi="仿宋" w:eastAsia="仿宋" w:cs="仿宋"/>
          <w:sz w:val="24"/>
        </w:rPr>
        <w:t>竞争性谈判方式的，在谈判过程中采取二次报价的形式，即各投标人的开标报价为第一次报价，谈判后参与竞争性谈判的各单位进行第二次报价；</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kern w:val="0"/>
          <w:sz w:val="24"/>
        </w:rPr>
        <w:t>转为</w:t>
      </w:r>
      <w:r>
        <w:rPr>
          <w:rFonts w:hint="eastAsia" w:ascii="仿宋" w:hAnsi="仿宋" w:eastAsia="仿宋" w:cs="仿宋"/>
          <w:sz w:val="24"/>
        </w:rPr>
        <w:t>竞争性谈判方式的，当第二次报价全部超过财政预算限额或均低于公认的制作成本时，谈判小组有权决定是否谈判失败或进行第三次报价。当第三次报价若超出财政预算，且采购人又无力支付，谈判小组有权决定谈判失败；</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6、成交供应商确定后，成交供应商无正当理由拖延或拒签合同的，采购人有权取消其成交资格，并按评审顺序重新确定成交单位。同时报请监督机构予以通报，禁止其进入政府采购市场，并没收其保证金。</w:t>
      </w:r>
    </w:p>
    <w:p>
      <w:pPr>
        <w:pStyle w:val="23"/>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第三部分  磋商内容及参数要求</w:t>
      </w:r>
    </w:p>
    <w:p>
      <w:pPr>
        <w:numPr>
          <w:ilvl w:val="0"/>
          <w:numId w:val="3"/>
        </w:numPr>
        <w:spacing w:line="360" w:lineRule="auto"/>
        <w:rPr>
          <w:rFonts w:hint="eastAsia" w:ascii="仿宋" w:hAnsi="仿宋" w:eastAsia="仿宋" w:cs="仿宋"/>
          <w:b/>
          <w:bCs/>
          <w:sz w:val="24"/>
        </w:rPr>
      </w:pPr>
      <w:r>
        <w:rPr>
          <w:rFonts w:hint="eastAsia" w:ascii="仿宋" w:hAnsi="仿宋" w:eastAsia="仿宋" w:cs="仿宋"/>
          <w:b/>
          <w:bCs/>
          <w:sz w:val="24"/>
        </w:rPr>
        <w:t>磋商内容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1.项目名称：甘泉县自然资源局2022年地质灾害普适型监测预警建设项目</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2.采购预算：640000.00元</w:t>
      </w:r>
    </w:p>
    <w:p>
      <w:pPr>
        <w:adjustRightInd w:val="0"/>
        <w:snapToGrid w:val="0"/>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3.工期：合同签订之日起30个日历日内完成</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3.服务期：三年</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4.实施地点：采购单位指定地点</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5.</w:t>
      </w:r>
      <w:bookmarkStart w:id="0" w:name="_Toc1768725359"/>
      <w:r>
        <w:rPr>
          <w:rFonts w:hint="eastAsia" w:ascii="仿宋" w:hAnsi="仿宋" w:eastAsia="仿宋" w:cs="仿宋"/>
          <w:sz w:val="28"/>
          <w:szCs w:val="28"/>
        </w:rPr>
        <w:t>服务</w:t>
      </w:r>
      <w:r>
        <w:rPr>
          <w:rFonts w:hint="eastAsia" w:ascii="仿宋" w:hAnsi="仿宋" w:eastAsia="仿宋" w:cs="仿宋"/>
          <w:sz w:val="28"/>
          <w:szCs w:val="28"/>
          <w:lang w:eastAsia="zh-Hans"/>
        </w:rPr>
        <w:t>内容：</w:t>
      </w:r>
      <w:r>
        <w:rPr>
          <w:rFonts w:hint="eastAsia" w:ascii="仿宋" w:hAnsi="仿宋" w:eastAsia="仿宋" w:cs="仿宋"/>
          <w:sz w:val="28"/>
          <w:szCs w:val="28"/>
        </w:rPr>
        <w:t>后附</w:t>
      </w:r>
      <w:bookmarkEnd w:id="0"/>
    </w:p>
    <w:p>
      <w:pPr>
        <w:adjustRightInd w:val="0"/>
        <w:snapToGrid w:val="0"/>
        <w:spacing w:line="360" w:lineRule="auto"/>
        <w:ind w:firstLine="883" w:firstLineChars="200"/>
        <w:jc w:val="left"/>
        <w:rPr>
          <w:rFonts w:hint="eastAsia" w:ascii="仿宋" w:hAnsi="仿宋" w:eastAsia="仿宋" w:cs="仿宋"/>
          <w:b/>
          <w:sz w:val="44"/>
          <w:szCs w:val="44"/>
        </w:rPr>
        <w:sectPr>
          <w:pgSz w:w="11906" w:h="16838"/>
          <w:pgMar w:top="1559" w:right="1134" w:bottom="1020" w:left="1321" w:header="851" w:footer="992" w:gutter="0"/>
          <w:cols w:space="720" w:num="1"/>
          <w:docGrid w:type="lines" w:linePitch="312" w:charSpace="0"/>
        </w:sectPr>
      </w:pPr>
    </w:p>
    <w:p>
      <w:pPr>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服务内容及要求</w:t>
      </w:r>
    </w:p>
    <w:p>
      <w:pPr>
        <w:pStyle w:val="7"/>
        <w:ind w:firstLine="0"/>
        <w:jc w:val="center"/>
        <w:rPr>
          <w:rFonts w:hint="eastAsia" w:ascii="仿宋" w:hAnsi="仿宋" w:eastAsia="仿宋" w:cs="仿宋"/>
          <w:b/>
          <w:bCs/>
          <w:kern w:val="0"/>
          <w:sz w:val="24"/>
        </w:rPr>
      </w:pPr>
      <w:r>
        <w:rPr>
          <w:rFonts w:hint="eastAsia" w:ascii="仿宋" w:hAnsi="仿宋" w:eastAsia="仿宋" w:cs="仿宋"/>
          <w:b/>
          <w:bCs/>
          <w:kern w:val="0"/>
          <w:sz w:val="24"/>
        </w:rPr>
        <w:t>甘泉县专群结合监测预警项目服务内容及要求</w:t>
      </w:r>
    </w:p>
    <w:p>
      <w:pPr>
        <w:pStyle w:val="7"/>
        <w:ind w:firstLine="0"/>
        <w:jc w:val="center"/>
        <w:rPr>
          <w:rFonts w:hint="eastAsia" w:ascii="仿宋" w:hAnsi="仿宋" w:eastAsia="仿宋" w:cs="仿宋"/>
          <w:b/>
          <w:bCs/>
          <w:sz w:val="24"/>
        </w:rPr>
      </w:pPr>
      <w:r>
        <w:rPr>
          <w:rFonts w:hint="eastAsia" w:ascii="仿宋" w:hAnsi="仿宋" w:eastAsia="仿宋" w:cs="仿宋"/>
          <w:b/>
          <w:bCs/>
          <w:sz w:val="24"/>
        </w:rPr>
        <w:t xml:space="preserve"> 甘泉县监测点一览表</w:t>
      </w:r>
    </w:p>
    <w:tbl>
      <w:tblPr>
        <w:tblStyle w:val="18"/>
        <w:tblW w:w="14327" w:type="dxa"/>
        <w:jc w:val="center"/>
        <w:tblLayout w:type="autofit"/>
        <w:tblCellMar>
          <w:top w:w="0" w:type="dxa"/>
          <w:left w:w="108" w:type="dxa"/>
          <w:bottom w:w="0" w:type="dxa"/>
          <w:right w:w="108" w:type="dxa"/>
        </w:tblCellMar>
      </w:tblPr>
      <w:tblGrid>
        <w:gridCol w:w="423"/>
        <w:gridCol w:w="1656"/>
        <w:gridCol w:w="1656"/>
        <w:gridCol w:w="1930"/>
        <w:gridCol w:w="1843"/>
        <w:gridCol w:w="1701"/>
        <w:gridCol w:w="992"/>
        <w:gridCol w:w="1134"/>
        <w:gridCol w:w="567"/>
        <w:gridCol w:w="567"/>
        <w:gridCol w:w="567"/>
        <w:gridCol w:w="1291"/>
      </w:tblGrid>
      <w:tr>
        <w:tblPrEx>
          <w:tblCellMar>
            <w:top w:w="0" w:type="dxa"/>
            <w:left w:w="108" w:type="dxa"/>
            <w:bottom w:w="0" w:type="dxa"/>
            <w:right w:w="108" w:type="dxa"/>
          </w:tblCellMar>
        </w:tblPrEx>
        <w:trPr>
          <w:trHeight w:val="383" w:hRule="atLeast"/>
          <w:jc w:val="center"/>
        </w:trPr>
        <w:tc>
          <w:tcPr>
            <w:tcW w:w="423"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序号</w:t>
            </w:r>
          </w:p>
        </w:tc>
        <w:tc>
          <w:tcPr>
            <w:tcW w:w="1656"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编号</w:t>
            </w:r>
          </w:p>
        </w:tc>
        <w:tc>
          <w:tcPr>
            <w:tcW w:w="1656"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名称</w:t>
            </w:r>
          </w:p>
        </w:tc>
        <w:tc>
          <w:tcPr>
            <w:tcW w:w="1930" w:type="dxa"/>
            <w:vMerge w:val="restart"/>
            <w:tcBorders>
              <w:top w:val="single" w:color="auto" w:sz="4" w:space="0"/>
              <w:left w:val="nil"/>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地理位置</w:t>
            </w:r>
          </w:p>
        </w:tc>
        <w:tc>
          <w:tcPr>
            <w:tcW w:w="18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经度</w:t>
            </w:r>
          </w:p>
        </w:tc>
        <w:tc>
          <w:tcPr>
            <w:tcW w:w="1701" w:type="dxa"/>
            <w:vMerge w:val="restart"/>
            <w:tcBorders>
              <w:top w:val="single" w:color="auto" w:sz="4" w:space="0"/>
              <w:left w:val="nil"/>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纬度</w:t>
            </w:r>
          </w:p>
        </w:tc>
        <w:tc>
          <w:tcPr>
            <w:tcW w:w="992"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规模</w:t>
            </w:r>
          </w:p>
        </w:tc>
        <w:tc>
          <w:tcPr>
            <w:tcW w:w="28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威胁对象</w:t>
            </w:r>
          </w:p>
        </w:tc>
        <w:tc>
          <w:tcPr>
            <w:tcW w:w="1291" w:type="dxa"/>
            <w:vMerge w:val="restart"/>
            <w:tcBorders>
              <w:top w:val="single" w:color="auto" w:sz="4" w:space="0"/>
              <w:left w:val="nil"/>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稳定性</w:t>
            </w:r>
          </w:p>
        </w:tc>
      </w:tr>
      <w:tr>
        <w:tblPrEx>
          <w:tblCellMar>
            <w:top w:w="0" w:type="dxa"/>
            <w:left w:w="108" w:type="dxa"/>
            <w:bottom w:w="0" w:type="dxa"/>
            <w:right w:w="108" w:type="dxa"/>
          </w:tblCellMar>
        </w:tblPrEx>
        <w:trPr>
          <w:trHeight w:val="615" w:hRule="atLeast"/>
          <w:jc w:val="center"/>
        </w:trPr>
        <w:tc>
          <w:tcPr>
            <w:tcW w:w="423" w:type="dxa"/>
            <w:vMerge w:val="continue"/>
            <w:tcBorders>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highlight w:val="yellow"/>
              </w:rPr>
            </w:pPr>
          </w:p>
        </w:tc>
        <w:tc>
          <w:tcPr>
            <w:tcW w:w="1656" w:type="dxa"/>
            <w:vMerge w:val="continue"/>
            <w:tcBorders>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highlight w:val="yellow"/>
              </w:rPr>
            </w:pPr>
          </w:p>
        </w:tc>
        <w:tc>
          <w:tcPr>
            <w:tcW w:w="1656"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highlight w:val="yellow"/>
              </w:rPr>
            </w:pPr>
          </w:p>
        </w:tc>
        <w:tc>
          <w:tcPr>
            <w:tcW w:w="1930" w:type="dxa"/>
            <w:vMerge w:val="continue"/>
            <w:tcBorders>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highlight w:val="yellow"/>
              </w:rPr>
            </w:pPr>
          </w:p>
        </w:tc>
        <w:tc>
          <w:tcPr>
            <w:tcW w:w="184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highlight w:val="yellow"/>
              </w:rPr>
            </w:pPr>
          </w:p>
        </w:tc>
        <w:tc>
          <w:tcPr>
            <w:tcW w:w="1701" w:type="dxa"/>
            <w:vMerge w:val="continue"/>
            <w:tcBorders>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highlight w:val="yellow"/>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highlight w:val="yellow"/>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财产</w:t>
            </w:r>
          </w:p>
          <w:p>
            <w:pPr>
              <w:widowControl/>
              <w:adjustRightInd w:val="0"/>
              <w:snapToGrid w:val="0"/>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（万元）</w:t>
            </w:r>
          </w:p>
        </w:tc>
        <w:tc>
          <w:tcPr>
            <w:tcW w:w="567" w:type="dxa"/>
            <w:tcBorders>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户</w:t>
            </w:r>
          </w:p>
        </w:tc>
        <w:tc>
          <w:tcPr>
            <w:tcW w:w="567" w:type="dxa"/>
            <w:tcBorders>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人</w:t>
            </w:r>
          </w:p>
        </w:tc>
        <w:tc>
          <w:tcPr>
            <w:tcW w:w="567" w:type="dxa"/>
            <w:tcBorders>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间</w:t>
            </w:r>
          </w:p>
        </w:tc>
        <w:tc>
          <w:tcPr>
            <w:tcW w:w="1291" w:type="dxa"/>
            <w:vMerge w:val="continue"/>
            <w:tcBorders>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highlight w:val="yellow"/>
              </w:rPr>
            </w:pP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6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610627020008</w:t>
            </w:r>
          </w:p>
        </w:tc>
        <w:tc>
          <w:tcPr>
            <w:tcW w:w="1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拓家院子崩塌</w:t>
            </w:r>
          </w:p>
        </w:tc>
        <w:tc>
          <w:tcPr>
            <w:tcW w:w="193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18"/>
                <w:szCs w:val="18"/>
              </w:rPr>
              <w:t>城关镇红旗村五组</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109°20′55″</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36°16′30″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小型</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color w:val="000000"/>
                <w:kern w:val="0"/>
                <w:sz w:val="18"/>
                <w:szCs w:val="18"/>
              </w:rPr>
            </w:pPr>
            <w:r>
              <w:rPr>
                <w:rFonts w:hint="eastAsia" w:ascii="仿宋" w:hAnsi="仿宋" w:eastAsia="仿宋" w:cs="仿宋"/>
                <w:sz w:val="20"/>
                <w:szCs w:val="20"/>
              </w:rPr>
              <w:t>216</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7</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31</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27</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稳定性差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610627010007</w:t>
            </w: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瓦窑沟滑坡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18"/>
                <w:szCs w:val="18"/>
              </w:rPr>
              <w:t>城关镇红旗村五组</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109°20′59″</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36°16′31″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中型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192</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6</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23</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24</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稳定性差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highlight w:val="yellow"/>
              </w:rPr>
            </w:pP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黑龙沟滑坡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highlight w:val="yellow"/>
                <w:lang w:bidi="ar"/>
              </w:rPr>
            </w:pPr>
            <w:r>
              <w:rPr>
                <w:rFonts w:hint="eastAsia" w:ascii="仿宋" w:hAnsi="仿宋" w:eastAsia="仿宋" w:cs="仿宋"/>
                <w:sz w:val="18"/>
                <w:szCs w:val="18"/>
              </w:rPr>
              <w:t>美水街道办北关社区黑龙沟</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109°21′14.07″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36°17′10.86″</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中型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696</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29</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91</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87</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highlight w:val="yellow"/>
                <w:lang w:bidi="ar"/>
              </w:rPr>
            </w:pPr>
            <w:r>
              <w:rPr>
                <w:rFonts w:hint="eastAsia" w:ascii="仿宋" w:hAnsi="仿宋" w:eastAsia="仿宋" w:cs="仿宋"/>
                <w:kern w:val="0"/>
                <w:sz w:val="18"/>
                <w:szCs w:val="18"/>
              </w:rPr>
              <w:t>稳定性较差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highlight w:val="yellow"/>
              </w:rPr>
            </w:pP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劳山村滑坡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highlight w:val="yellow"/>
                <w:lang w:bidi="ar"/>
              </w:rPr>
            </w:pPr>
            <w:r>
              <w:rPr>
                <w:rFonts w:hint="eastAsia" w:ascii="仿宋" w:hAnsi="仿宋" w:eastAsia="仿宋" w:cs="仿宋"/>
                <w:sz w:val="18"/>
                <w:szCs w:val="18"/>
              </w:rPr>
              <w:t>劳山乡劳山村</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109°23′14.97″</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36°21′7.53″</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highlight w:val="yellow"/>
              </w:rPr>
            </w:pPr>
            <w:r>
              <w:rPr>
                <w:rFonts w:hint="eastAsia" w:ascii="仿宋" w:hAnsi="仿宋" w:eastAsia="仿宋" w:cs="仿宋"/>
                <w:sz w:val="20"/>
                <w:szCs w:val="20"/>
              </w:rPr>
              <w:t>中型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300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8</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32</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32</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kern w:val="0"/>
                <w:sz w:val="18"/>
                <w:szCs w:val="18"/>
              </w:rPr>
              <w:t>稳定性较差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highlight w:val="yellow"/>
              </w:rPr>
            </w:pP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向阳沟组滑坡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石门镇雷家沟村向阳沟组</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109°19′56″</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36°21′04″</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小型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400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7</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40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24</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kern w:val="0"/>
                <w:sz w:val="18"/>
                <w:szCs w:val="18"/>
              </w:rPr>
              <w:t>稳定性差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610627010010</w:t>
            </w: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胶泥砭滑坡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18"/>
                <w:szCs w:val="18"/>
              </w:rPr>
              <w:t>城关镇关家沟村</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109°20′25″</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36°17′33″</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中型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2520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22</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78</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168</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kern w:val="0"/>
                <w:sz w:val="18"/>
                <w:szCs w:val="18"/>
              </w:rPr>
              <w:t>稳定性较差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1656" w:type="dxa"/>
            <w:tcBorders>
              <w:top w:val="nil"/>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610627010003</w:t>
            </w:r>
          </w:p>
        </w:tc>
        <w:tc>
          <w:tcPr>
            <w:tcW w:w="165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三里桥滑坡</w:t>
            </w:r>
          </w:p>
        </w:tc>
        <w:tc>
          <w:tcPr>
            <w:tcW w:w="1930"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sz w:val="18"/>
                <w:szCs w:val="18"/>
              </w:rPr>
              <w:t>城关镇金庄村三里桥</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109°21′12″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36°15′40″</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中型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170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9</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28</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34</w:t>
            </w:r>
          </w:p>
        </w:tc>
        <w:tc>
          <w:tcPr>
            <w:tcW w:w="1291"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kern w:val="0"/>
                <w:sz w:val="18"/>
                <w:szCs w:val="18"/>
              </w:rPr>
              <w:t>稳定性较差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highlight w:val="yellow"/>
              </w:rPr>
            </w:pPr>
            <w:r>
              <w:rPr>
                <w:rFonts w:hint="eastAsia" w:ascii="仿宋" w:hAnsi="仿宋" w:eastAsia="仿宋" w:cs="仿宋"/>
                <w:kern w:val="0"/>
                <w:sz w:val="18"/>
                <w:szCs w:val="18"/>
              </w:rPr>
              <w:t>8</w:t>
            </w:r>
          </w:p>
        </w:tc>
        <w:tc>
          <w:tcPr>
            <w:tcW w:w="16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highlight w:val="yellow"/>
              </w:rPr>
            </w:pPr>
          </w:p>
        </w:tc>
        <w:tc>
          <w:tcPr>
            <w:tcW w:w="1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象鼻子湾组滑坡</w:t>
            </w:r>
          </w:p>
        </w:tc>
        <w:tc>
          <w:tcPr>
            <w:tcW w:w="193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highlight w:val="yellow"/>
                <w:lang w:bidi="ar"/>
              </w:rPr>
            </w:pPr>
            <w:r>
              <w:rPr>
                <w:rFonts w:hint="eastAsia" w:ascii="仿宋" w:hAnsi="仿宋" w:eastAsia="仿宋" w:cs="仿宋"/>
                <w:sz w:val="18"/>
                <w:szCs w:val="18"/>
              </w:rPr>
              <w:t>道镇纸坊村象鼻子湾组</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109°20′42.65″</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36°9′46.19″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小型</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500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6</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23</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sz w:val="20"/>
                <w:szCs w:val="20"/>
              </w:rPr>
              <w:t>25</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kern w:val="0"/>
                <w:sz w:val="18"/>
                <w:szCs w:val="18"/>
              </w:rPr>
              <w:t>稳定性差</w:t>
            </w:r>
          </w:p>
        </w:tc>
      </w:tr>
      <w:tr>
        <w:tblPrEx>
          <w:tblCellMar>
            <w:top w:w="0" w:type="dxa"/>
            <w:left w:w="108" w:type="dxa"/>
            <w:bottom w:w="0" w:type="dxa"/>
            <w:right w:w="108" w:type="dxa"/>
          </w:tblCellMar>
        </w:tblPrEx>
        <w:trPr>
          <w:trHeight w:val="522" w:hRule="atLeast"/>
          <w:jc w:val="center"/>
        </w:trPr>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kern w:val="0"/>
                <w:sz w:val="18"/>
                <w:szCs w:val="18"/>
              </w:rPr>
            </w:pPr>
            <w:r>
              <w:rPr>
                <w:rFonts w:hint="eastAsia" w:ascii="仿宋" w:hAnsi="仿宋" w:eastAsia="仿宋" w:cs="仿宋"/>
                <w:kern w:val="0"/>
                <w:sz w:val="18"/>
                <w:szCs w:val="18"/>
              </w:rPr>
              <w:t>9</w:t>
            </w:r>
          </w:p>
        </w:tc>
        <w:tc>
          <w:tcPr>
            <w:tcW w:w="16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highlight w:val="yellow"/>
              </w:rPr>
            </w:pPr>
          </w:p>
        </w:tc>
        <w:tc>
          <w:tcPr>
            <w:tcW w:w="1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王庄村滑坡</w:t>
            </w:r>
          </w:p>
        </w:tc>
        <w:tc>
          <w:tcPr>
            <w:tcW w:w="193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美水街道办东台社区王庄村</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109°22′18.41″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36°16′23.79″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小型</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100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6</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10</w:t>
            </w:r>
          </w:p>
        </w:tc>
        <w:tc>
          <w:tcPr>
            <w:tcW w:w="1291"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稳定性较差</w:t>
            </w:r>
          </w:p>
        </w:tc>
      </w:tr>
    </w:tbl>
    <w:p>
      <w:pPr>
        <w:rPr>
          <w:rFonts w:hint="eastAsia" w:ascii="仿宋" w:hAnsi="仿宋" w:eastAsia="仿宋" w:cs="仿宋"/>
        </w:rPr>
        <w:sectPr>
          <w:pgSz w:w="16838" w:h="11906" w:orient="landscape"/>
          <w:pgMar w:top="1321" w:right="1559" w:bottom="1134" w:left="1020" w:header="851" w:footer="992" w:gutter="0"/>
          <w:cols w:space="720" w:num="1"/>
          <w:docGrid w:type="lines" w:linePitch="312" w:charSpace="0"/>
        </w:sectPr>
      </w:pPr>
    </w:p>
    <w:p>
      <w:pPr>
        <w:pStyle w:val="23"/>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bCs/>
          <w:sz w:val="24"/>
        </w:rPr>
      </w:pPr>
      <w:r>
        <w:rPr>
          <w:rFonts w:hint="eastAsia" w:ascii="仿宋" w:hAnsi="仿宋" w:eastAsia="仿宋" w:cs="仿宋"/>
          <w:b/>
          <w:bCs/>
          <w:sz w:val="24"/>
        </w:rPr>
        <w:t>监测设备技术要求</w:t>
      </w:r>
      <w:bookmarkStart w:id="1" w:name="_Toc38233169"/>
      <w:bookmarkStart w:id="2" w:name="_Toc61337544"/>
      <w:bookmarkStart w:id="3" w:name="_Toc4213"/>
      <w:r>
        <w:rPr>
          <w:rFonts w:hint="eastAsia" w:ascii="仿宋" w:hAnsi="仿宋" w:eastAsia="仿宋" w:cs="仿宋"/>
          <w:b/>
          <w:bCs/>
          <w:sz w:val="24"/>
        </w:rPr>
        <w:t>监测设备技术指标</w:t>
      </w:r>
      <w:bookmarkEnd w:id="1"/>
      <w:bookmarkEnd w:id="2"/>
      <w:bookmarkEnd w:id="3"/>
    </w:p>
    <w:p>
      <w:pPr>
        <w:pStyle w:val="12"/>
        <w:spacing w:line="360" w:lineRule="auto"/>
        <w:jc w:val="center"/>
        <w:rPr>
          <w:rFonts w:hint="eastAsia" w:ascii="仿宋" w:hAnsi="仿宋" w:eastAsia="仿宋" w:cs="仿宋"/>
          <w:sz w:val="24"/>
        </w:rPr>
      </w:pPr>
      <w:r>
        <w:rPr>
          <w:rFonts w:hint="eastAsia" w:ascii="仿宋" w:hAnsi="仿宋" w:eastAsia="仿宋" w:cs="仿宋"/>
          <w:sz w:val="24"/>
        </w:rPr>
        <w:t xml:space="preserve"> 雨量计（压电式）主要技术参数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38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413" w:type="dxa"/>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参数类型</w:t>
            </w:r>
          </w:p>
        </w:tc>
        <w:tc>
          <w:tcPr>
            <w:tcW w:w="5386" w:type="dxa"/>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技术指标</w:t>
            </w:r>
          </w:p>
        </w:tc>
        <w:tc>
          <w:tcPr>
            <w:tcW w:w="1723" w:type="dxa"/>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测量范围</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0～8mm/min（毫米/分）</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测量精度</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分辨率</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0.2mm</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采样间隔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0s～24h</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上传间隔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0s～72h</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输出信号</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RS485/NB-IOT/LoRa/α/2/4/5G</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有NB-IoT覆盖地区优先采用NB-IOT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工作温度</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0℃～+65℃</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防护等级</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IP65以上</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安装方式</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立杆胀杆固定、一体化基座安装箱、浇筑基础等</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供电方式</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按需供电方式，满足连续30个阴雨日正常工作</w:t>
            </w:r>
          </w:p>
        </w:tc>
        <w:tc>
          <w:tcPr>
            <w:tcW w:w="172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 xml:space="preserve"> GNSS主要技术参数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2835"/>
        <w:gridCol w:w="2513"/>
        <w:gridCol w:w="17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413" w:type="dxa"/>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参数类型</w:t>
            </w:r>
          </w:p>
        </w:tc>
        <w:tc>
          <w:tcPr>
            <w:tcW w:w="5348" w:type="dxa"/>
            <w:gridSpan w:val="2"/>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技术指标</w:t>
            </w:r>
          </w:p>
        </w:tc>
        <w:tc>
          <w:tcPr>
            <w:tcW w:w="1761" w:type="dxa"/>
            <w:tcBorders>
              <w:tl2br w:val="nil"/>
              <w:tr2bl w:val="nil"/>
            </w:tcBorders>
            <w:shd w:val="clear" w:color="auto" w:fill="auto"/>
            <w:vAlign w:val="center"/>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vMerge w:val="restart"/>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测量精度</w:t>
            </w:r>
          </w:p>
        </w:tc>
        <w:tc>
          <w:tcPr>
            <w:tcW w:w="2835" w:type="dxa"/>
            <w:vMerge w:val="restart"/>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静态相对定位精度</w:t>
            </w:r>
          </w:p>
        </w:tc>
        <w:tc>
          <w:tcPr>
            <w:tcW w:w="25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水平：5mm+1ppm RMS</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vMerge w:val="continue"/>
            <w:tcBorders>
              <w:tl2br w:val="nil"/>
              <w:tr2bl w:val="nil"/>
            </w:tcBorders>
            <w:shd w:val="clear" w:color="auto" w:fill="auto"/>
            <w:vAlign w:val="center"/>
          </w:tcPr>
          <w:p>
            <w:pPr>
              <w:jc w:val="center"/>
              <w:rPr>
                <w:rFonts w:hint="eastAsia" w:ascii="仿宋" w:hAnsi="仿宋" w:eastAsia="仿宋" w:cs="仿宋"/>
                <w:sz w:val="24"/>
              </w:rPr>
            </w:pPr>
          </w:p>
        </w:tc>
        <w:tc>
          <w:tcPr>
            <w:tcW w:w="2835" w:type="dxa"/>
            <w:vMerge w:val="continue"/>
            <w:tcBorders>
              <w:tl2br w:val="nil"/>
              <w:tr2bl w:val="nil"/>
            </w:tcBorders>
            <w:shd w:val="clear" w:color="auto" w:fill="auto"/>
            <w:vAlign w:val="center"/>
          </w:tcPr>
          <w:p>
            <w:pPr>
              <w:jc w:val="center"/>
              <w:rPr>
                <w:rFonts w:hint="eastAsia" w:ascii="仿宋" w:hAnsi="仿宋" w:eastAsia="仿宋" w:cs="仿宋"/>
                <w:sz w:val="24"/>
              </w:rPr>
            </w:pPr>
          </w:p>
        </w:tc>
        <w:tc>
          <w:tcPr>
            <w:tcW w:w="25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垂直：10mm+1ppm RMS</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vMerge w:val="continue"/>
            <w:tcBorders>
              <w:tl2br w:val="nil"/>
              <w:tr2bl w:val="nil"/>
            </w:tcBorders>
            <w:shd w:val="clear" w:color="auto" w:fill="auto"/>
            <w:vAlign w:val="center"/>
          </w:tcPr>
          <w:p>
            <w:pPr>
              <w:jc w:val="center"/>
              <w:rPr>
                <w:rFonts w:hint="eastAsia" w:ascii="仿宋" w:hAnsi="仿宋" w:eastAsia="仿宋" w:cs="仿宋"/>
                <w:sz w:val="24"/>
              </w:rPr>
            </w:pPr>
          </w:p>
        </w:tc>
        <w:tc>
          <w:tcPr>
            <w:tcW w:w="2835" w:type="dxa"/>
            <w:vMerge w:val="restart"/>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动态相对定位精度</w:t>
            </w:r>
          </w:p>
        </w:tc>
        <w:tc>
          <w:tcPr>
            <w:tcW w:w="25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水平：10mm+1ppm RMS</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vMerge w:val="continue"/>
            <w:tcBorders>
              <w:tl2br w:val="nil"/>
              <w:tr2bl w:val="nil"/>
            </w:tcBorders>
            <w:shd w:val="clear" w:color="auto" w:fill="auto"/>
            <w:vAlign w:val="center"/>
          </w:tcPr>
          <w:p>
            <w:pPr>
              <w:jc w:val="center"/>
              <w:rPr>
                <w:rFonts w:hint="eastAsia" w:ascii="仿宋" w:hAnsi="仿宋" w:eastAsia="仿宋" w:cs="仿宋"/>
                <w:sz w:val="24"/>
              </w:rPr>
            </w:pPr>
          </w:p>
        </w:tc>
        <w:tc>
          <w:tcPr>
            <w:tcW w:w="2835" w:type="dxa"/>
            <w:vMerge w:val="continue"/>
            <w:tcBorders>
              <w:tl2br w:val="nil"/>
              <w:tr2bl w:val="nil"/>
            </w:tcBorders>
            <w:shd w:val="clear" w:color="auto" w:fill="auto"/>
            <w:vAlign w:val="center"/>
          </w:tcPr>
          <w:p>
            <w:pPr>
              <w:jc w:val="center"/>
              <w:rPr>
                <w:rFonts w:hint="eastAsia" w:ascii="仿宋" w:hAnsi="仿宋" w:eastAsia="仿宋" w:cs="仿宋"/>
                <w:sz w:val="24"/>
              </w:rPr>
            </w:pPr>
          </w:p>
        </w:tc>
        <w:tc>
          <w:tcPr>
            <w:tcW w:w="25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垂直：20mm+1ppm RMS</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采样间隔</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0s～24h</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上传间隔</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0s～72h</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输出信号</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NB-IOT/ LoRa/α/4/5G</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有NB-IoT覆盖地区优先采用NB-IOT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工作模式</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BDS+GPS/双星四频以上</w:t>
            </w:r>
          </w:p>
        </w:tc>
        <w:tc>
          <w:tcPr>
            <w:tcW w:w="1761" w:type="dxa"/>
            <w:tcBorders>
              <w:tl2br w:val="nil"/>
              <w:tr2bl w:val="nil"/>
            </w:tcBorders>
            <w:shd w:val="clear" w:color="auto" w:fill="auto"/>
            <w:vAlign w:val="center"/>
          </w:tcPr>
          <w:p>
            <w:pPr>
              <w:rPr>
                <w:rFonts w:hint="eastAsia" w:ascii="仿宋" w:hAnsi="仿宋" w:eastAsia="仿宋" w:cs="仿宋"/>
                <w:sz w:val="24"/>
              </w:rPr>
            </w:pPr>
            <w:r>
              <w:rPr>
                <w:rFonts w:hint="eastAsia" w:ascii="仿宋" w:hAnsi="仿宋" w:eastAsia="仿宋" w:cs="仿宋"/>
                <w:sz w:val="24"/>
              </w:rPr>
              <w:t>支持动态调整监测频率，MEMS传感器触发功能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数据格式</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支持RTCM32原始数据及实时动态结果数据上传</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功耗</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在采样间隔不低于15s且上传间隔不低于15s情况下，接收机正常工作的平均功耗≤2W</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工作温度</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-20～+65℃</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防护等级</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IP67以上</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安装方式</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标准观测墩、现浇混凝土墩、钢结构等</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供电方式</w:t>
            </w:r>
          </w:p>
        </w:tc>
        <w:tc>
          <w:tcPr>
            <w:tcW w:w="5348" w:type="dxa"/>
            <w:gridSpan w:val="2"/>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按需供电方式，满足连续30个阴雨日正常工作</w:t>
            </w:r>
          </w:p>
        </w:tc>
        <w:tc>
          <w:tcPr>
            <w:tcW w:w="1761"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入户报警器主要技术参数</w:t>
      </w:r>
    </w:p>
    <w:tbl>
      <w:tblPr>
        <w:tblStyle w:val="27"/>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38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
                <w:kern w:val="0"/>
                <w:sz w:val="24"/>
              </w:rPr>
            </w:pPr>
            <w:r>
              <w:rPr>
                <w:rFonts w:hint="eastAsia" w:ascii="仿宋" w:hAnsi="仿宋" w:eastAsia="仿宋" w:cs="仿宋"/>
                <w:b/>
                <w:kern w:val="0"/>
                <w:sz w:val="24"/>
              </w:rPr>
              <w:t>参数类型</w:t>
            </w:r>
          </w:p>
        </w:tc>
        <w:tc>
          <w:tcPr>
            <w:tcW w:w="5386" w:type="dxa"/>
            <w:tcBorders>
              <w:tl2br w:val="nil"/>
              <w:tr2bl w:val="nil"/>
            </w:tcBorders>
            <w:vAlign w:val="center"/>
          </w:tcPr>
          <w:p>
            <w:pPr>
              <w:jc w:val="center"/>
              <w:rPr>
                <w:rFonts w:hint="eastAsia" w:ascii="仿宋" w:hAnsi="仿宋" w:eastAsia="仿宋" w:cs="仿宋"/>
                <w:b/>
                <w:kern w:val="0"/>
                <w:sz w:val="24"/>
              </w:rPr>
            </w:pPr>
            <w:r>
              <w:rPr>
                <w:rFonts w:hint="eastAsia" w:ascii="仿宋" w:hAnsi="仿宋" w:eastAsia="仿宋" w:cs="仿宋"/>
                <w:b/>
                <w:kern w:val="0"/>
                <w:sz w:val="24"/>
              </w:rPr>
              <w:t>技术指标</w:t>
            </w:r>
          </w:p>
        </w:tc>
        <w:tc>
          <w:tcPr>
            <w:tcW w:w="1723" w:type="dxa"/>
            <w:tcBorders>
              <w:tl2br w:val="nil"/>
              <w:tr2bl w:val="nil"/>
            </w:tcBorders>
            <w:vAlign w:val="center"/>
          </w:tcPr>
          <w:p>
            <w:pPr>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报警功率</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2W</w:t>
            </w:r>
          </w:p>
        </w:tc>
        <w:tc>
          <w:tcPr>
            <w:tcW w:w="1723" w:type="dxa"/>
            <w:tcBorders>
              <w:tl2br w:val="nil"/>
              <w:tr2bl w:val="nil"/>
            </w:tcBorders>
            <w:vAlign w:val="center"/>
          </w:tcPr>
          <w:p>
            <w:pPr>
              <w:jc w:val="center"/>
              <w:rPr>
                <w:rFonts w:hint="eastAsia" w:ascii="仿宋" w:hAnsi="仿宋" w:eastAsia="仿宋" w:cs="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通信方式</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NB-IoT/LoRa自组网/α/2/4/5G</w:t>
            </w:r>
          </w:p>
        </w:tc>
        <w:tc>
          <w:tcPr>
            <w:tcW w:w="1723" w:type="dxa"/>
            <w:tcBorders>
              <w:tl2br w:val="nil"/>
              <w:tr2bl w:val="nil"/>
            </w:tcBorders>
            <w:vAlign w:val="center"/>
          </w:tcPr>
          <w:p>
            <w:pPr>
              <w:jc w:val="center"/>
              <w:rPr>
                <w:rFonts w:hint="eastAsia" w:ascii="仿宋" w:hAnsi="仿宋" w:eastAsia="仿宋" w:cs="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显示信息</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万年历、降雨量、温度、报警标识</w:t>
            </w:r>
          </w:p>
        </w:tc>
        <w:tc>
          <w:tcPr>
            <w:tcW w:w="1723" w:type="dxa"/>
            <w:tcBorders>
              <w:tl2br w:val="nil"/>
              <w:tr2bl w:val="nil"/>
            </w:tcBorders>
            <w:vAlign w:val="center"/>
          </w:tcPr>
          <w:p>
            <w:pPr>
              <w:jc w:val="center"/>
              <w:rPr>
                <w:rFonts w:hint="eastAsia" w:ascii="仿宋" w:hAnsi="仿宋" w:eastAsia="仿宋" w:cs="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报警信号源</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本地报警、对讲机喊话、一键报警、平台报警</w:t>
            </w:r>
          </w:p>
        </w:tc>
        <w:tc>
          <w:tcPr>
            <w:tcW w:w="172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报警方式</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警笛、语音、闪光</w:t>
            </w:r>
          </w:p>
        </w:tc>
        <w:tc>
          <w:tcPr>
            <w:tcW w:w="1723" w:type="dxa"/>
            <w:tcBorders>
              <w:tl2br w:val="nil"/>
              <w:tr2bl w:val="nil"/>
            </w:tcBorders>
            <w:vAlign w:val="center"/>
          </w:tcPr>
          <w:p>
            <w:pPr>
              <w:jc w:val="center"/>
              <w:rPr>
                <w:rFonts w:hint="eastAsia" w:ascii="仿宋" w:hAnsi="仿宋" w:eastAsia="仿宋" w:cs="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工作温度</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-10℃～+65℃</w:t>
            </w:r>
          </w:p>
        </w:tc>
        <w:tc>
          <w:tcPr>
            <w:tcW w:w="172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安装方式</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壁挂安装，安装离地高度大于1.8m</w:t>
            </w:r>
          </w:p>
        </w:tc>
        <w:tc>
          <w:tcPr>
            <w:tcW w:w="1723" w:type="dxa"/>
            <w:tcBorders>
              <w:tl2br w:val="nil"/>
              <w:tr2bl w:val="nil"/>
            </w:tcBorders>
            <w:vAlign w:val="center"/>
          </w:tcPr>
          <w:p>
            <w:pPr>
              <w:jc w:val="center"/>
              <w:rPr>
                <w:rFonts w:hint="eastAsia" w:ascii="仿宋" w:hAnsi="仿宋" w:eastAsia="仿宋" w:cs="仿宋"/>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供电方式</w:t>
            </w:r>
          </w:p>
        </w:tc>
        <w:tc>
          <w:tcPr>
            <w:tcW w:w="5386"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按需供电方式，满足连续24小时正常工作</w:t>
            </w:r>
          </w:p>
        </w:tc>
        <w:tc>
          <w:tcPr>
            <w:tcW w:w="1723" w:type="dxa"/>
            <w:tcBorders>
              <w:tl2br w:val="nil"/>
              <w:tr2bl w:val="nil"/>
            </w:tcBorders>
            <w:vAlign w:val="center"/>
          </w:tcPr>
          <w:p>
            <w:pPr>
              <w:jc w:val="center"/>
              <w:rPr>
                <w:rFonts w:hint="eastAsia" w:ascii="仿宋" w:hAnsi="仿宋" w:eastAsia="仿宋" w:cs="仿宋"/>
                <w:bCs/>
                <w:kern w:val="0"/>
                <w:sz w:val="24"/>
              </w:rPr>
            </w:pPr>
            <w:r>
              <w:rPr>
                <w:rFonts w:hint="eastAsia" w:ascii="仿宋" w:hAnsi="仿宋" w:eastAsia="仿宋" w:cs="仿宋"/>
                <w:bCs/>
                <w:kern w:val="0"/>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 xml:space="preserve"> 含水率仪（管式）主要技术参数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207"/>
        <w:gridCol w:w="19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参数类型</w:t>
            </w:r>
          </w:p>
        </w:tc>
        <w:tc>
          <w:tcPr>
            <w:tcW w:w="5207"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技术指标</w:t>
            </w:r>
          </w:p>
        </w:tc>
        <w:tc>
          <w:tcPr>
            <w:tcW w:w="1902"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测量范围</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干土～饱和土</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测量精度</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±4%</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采样间隔</w:t>
            </w:r>
          </w:p>
        </w:tc>
        <w:tc>
          <w:tcPr>
            <w:tcW w:w="5207" w:type="dxa"/>
            <w:tcBorders>
              <w:tl2br w:val="nil"/>
              <w:tr2bl w:val="nil"/>
            </w:tcBorders>
            <w:shd w:val="clear" w:color="auto" w:fill="auto"/>
            <w:vAlign w:val="center"/>
          </w:tcPr>
          <w:p>
            <w:pPr>
              <w:jc w:val="center"/>
              <w:rPr>
                <w:rFonts w:hint="eastAsia" w:ascii="仿宋" w:hAnsi="仿宋" w:eastAsia="仿宋" w:cs="仿宋"/>
                <w:bCs/>
                <w:sz w:val="24"/>
              </w:rPr>
            </w:pPr>
            <w:r>
              <w:rPr>
                <w:rFonts w:hint="eastAsia" w:ascii="仿宋" w:hAnsi="仿宋" w:eastAsia="仿宋" w:cs="仿宋"/>
                <w:bCs/>
                <w:sz w:val="24"/>
              </w:rPr>
              <w:t>0s～24h</w:t>
            </w:r>
          </w:p>
        </w:tc>
        <w:tc>
          <w:tcPr>
            <w:tcW w:w="1902"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上传间隔</w:t>
            </w:r>
          </w:p>
        </w:tc>
        <w:tc>
          <w:tcPr>
            <w:tcW w:w="5207" w:type="dxa"/>
            <w:tcBorders>
              <w:tl2br w:val="nil"/>
              <w:tr2bl w:val="nil"/>
            </w:tcBorders>
            <w:shd w:val="clear" w:color="auto" w:fill="auto"/>
            <w:vAlign w:val="center"/>
          </w:tcPr>
          <w:p>
            <w:pPr>
              <w:jc w:val="center"/>
              <w:rPr>
                <w:rFonts w:hint="eastAsia" w:ascii="仿宋" w:hAnsi="仿宋" w:eastAsia="仿宋" w:cs="仿宋"/>
                <w:bCs/>
                <w:sz w:val="24"/>
              </w:rPr>
            </w:pPr>
            <w:r>
              <w:rPr>
                <w:rFonts w:hint="eastAsia" w:ascii="仿宋" w:hAnsi="仿宋" w:eastAsia="仿宋" w:cs="仿宋"/>
                <w:bCs/>
                <w:sz w:val="24"/>
              </w:rPr>
              <w:t>0s～72h</w:t>
            </w:r>
          </w:p>
        </w:tc>
        <w:tc>
          <w:tcPr>
            <w:tcW w:w="1902"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输出信号</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RS485/NB-IOT/ LoRa/α/2/4/5G</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输出参数</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分层含水率、温度、振动加速度、倾角等</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工作温度</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-20℃～+65℃</w:t>
            </w:r>
          </w:p>
        </w:tc>
        <w:tc>
          <w:tcPr>
            <w:tcW w:w="1902"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防护等级</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IP68</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安装方式</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原状土回灌泥浆等</w:t>
            </w:r>
          </w:p>
        </w:tc>
        <w:tc>
          <w:tcPr>
            <w:tcW w:w="1902" w:type="dxa"/>
            <w:tcBorders>
              <w:tl2br w:val="nil"/>
              <w:tr2bl w:val="nil"/>
            </w:tcBorders>
            <w:shd w:val="clear" w:color="auto" w:fill="auto"/>
          </w:tcPr>
          <w:p>
            <w:pPr>
              <w:jc w:val="center"/>
              <w:rPr>
                <w:rFonts w:hint="eastAsia" w:ascii="仿宋" w:hAnsi="仿宋" w:eastAsia="仿宋" w:cs="仿宋"/>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供电方式</w:t>
            </w:r>
          </w:p>
        </w:tc>
        <w:tc>
          <w:tcPr>
            <w:tcW w:w="5207"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按需供电方式，满足连续30个阴雨日正常工作</w:t>
            </w:r>
          </w:p>
        </w:tc>
        <w:tc>
          <w:tcPr>
            <w:tcW w:w="1902" w:type="dxa"/>
            <w:tcBorders>
              <w:tl2br w:val="nil"/>
              <w:tr2bl w:val="nil"/>
            </w:tcBorders>
            <w:shd w:val="clear" w:color="auto" w:fill="auto"/>
          </w:tcPr>
          <w:p>
            <w:pPr>
              <w:jc w:val="center"/>
              <w:rPr>
                <w:rFonts w:hint="eastAsia" w:ascii="仿宋" w:hAnsi="仿宋" w:eastAsia="仿宋" w:cs="仿宋"/>
                <w:bCs/>
                <w:sz w:val="24"/>
              </w:rPr>
            </w:pPr>
            <w:r>
              <w:rPr>
                <w:rFonts w:hint="eastAsia" w:ascii="仿宋" w:hAnsi="仿宋" w:eastAsia="仿宋" w:cs="仿宋"/>
                <w:bCs/>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 xml:space="preserve"> 裂缝计主要技术参数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38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参数类型</w:t>
            </w:r>
          </w:p>
        </w:tc>
        <w:tc>
          <w:tcPr>
            <w:tcW w:w="5386"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技术指标</w:t>
            </w:r>
          </w:p>
        </w:tc>
        <w:tc>
          <w:tcPr>
            <w:tcW w:w="172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测量范围</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0～50/100//200/500cm</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测量精度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±0.1%F·S</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采样间隔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0s～24h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上传间隔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0s～72h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输出信号</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RS485/NB-IOT/ LoRa/α/2/4/5G</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输出参数</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裂缝宽度、振动加速度、倾角等</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工作温度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-20℃～+65℃</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防护等级</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IP66</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安装方式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标准观测墩、现浇混凝土墩、钢结构等</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供电方式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按需供电方式，满足连续30个阴雨日正常工作</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倾角计主要技术参数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38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参数类型</w:t>
            </w:r>
          </w:p>
        </w:tc>
        <w:tc>
          <w:tcPr>
            <w:tcW w:w="5386"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技术指标</w:t>
            </w:r>
          </w:p>
        </w:tc>
        <w:tc>
          <w:tcPr>
            <w:tcW w:w="172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测量范围</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±30°</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测量精度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±0.1°</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采样间隔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0s～24h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上传间隔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0s～72h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输出信号</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RS485/NB-IOT/ LoRa/α/2/4/5G</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工作温度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-20℃～+65℃</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防护等级</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IP67</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安装方式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标准观测墩、现浇混凝土墩、钢结构等</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供电方式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按需供电方式，满足连续30个阴雨日正常工作</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过压及欠压保护</w:t>
            </w:r>
          </w:p>
        </w:tc>
      </w:tr>
    </w:tbl>
    <w:p>
      <w:pPr>
        <w:pStyle w:val="12"/>
        <w:spacing w:line="360" w:lineRule="auto"/>
        <w:jc w:val="center"/>
        <w:rPr>
          <w:rFonts w:hint="eastAsia" w:ascii="仿宋" w:hAnsi="仿宋" w:eastAsia="仿宋" w:cs="仿宋"/>
          <w:sz w:val="24"/>
        </w:rPr>
      </w:pPr>
      <w:r>
        <w:rPr>
          <w:rFonts w:hint="eastAsia" w:ascii="仿宋" w:hAnsi="仿宋" w:eastAsia="仿宋" w:cs="仿宋"/>
          <w:sz w:val="24"/>
        </w:rPr>
        <w:t>加速度计主要技术参数</w:t>
      </w:r>
    </w:p>
    <w:tbl>
      <w:tblPr>
        <w:tblStyle w:val="18"/>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38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参数类型</w:t>
            </w:r>
          </w:p>
        </w:tc>
        <w:tc>
          <w:tcPr>
            <w:tcW w:w="5386"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技术指标</w:t>
            </w:r>
          </w:p>
        </w:tc>
        <w:tc>
          <w:tcPr>
            <w:tcW w:w="1723" w:type="dxa"/>
            <w:tcBorders>
              <w:tl2br w:val="nil"/>
              <w:tr2bl w:val="nil"/>
            </w:tcBorders>
            <w:shd w:val="clear" w:color="auto" w:fill="auto"/>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测量范围</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±2g</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测量精度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±1mg</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采样间隔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0s～24h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上传间隔</w:t>
            </w:r>
          </w:p>
        </w:tc>
        <w:tc>
          <w:tcPr>
            <w:tcW w:w="5386" w:type="dxa"/>
            <w:tcBorders>
              <w:tl2br w:val="nil"/>
              <w:tr2bl w:val="nil"/>
            </w:tcBorders>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0s～72h</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按需求设定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输出信号</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RS485/NB-IOT/ LoRa/α/2/4/5G</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输出参数</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振动加速度、倾角自振频率、最大振幅等</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工作温度</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-20℃～+65℃</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高寒地区定制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防护等级</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IP67</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安装方式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标准观测墩、现浇混凝土墩、钢结构、粘接、铆接等</w:t>
            </w:r>
          </w:p>
        </w:tc>
        <w:tc>
          <w:tcPr>
            <w:tcW w:w="1723" w:type="dxa"/>
            <w:tcBorders>
              <w:tl2br w:val="nil"/>
              <w:tr2bl w:val="nil"/>
            </w:tcBorders>
            <w:shd w:val="clear" w:color="auto" w:fill="auto"/>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供电方式</w:t>
            </w:r>
          </w:p>
        </w:tc>
        <w:tc>
          <w:tcPr>
            <w:tcW w:w="5386"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按需供电方式，满足连续30个阴雨日正常工作</w:t>
            </w:r>
          </w:p>
        </w:tc>
        <w:tc>
          <w:tcPr>
            <w:tcW w:w="1723" w:type="dxa"/>
            <w:tcBorders>
              <w:tl2br w:val="nil"/>
              <w:tr2bl w:val="nil"/>
            </w:tcBorders>
            <w:shd w:val="clear" w:color="auto" w:fill="auto"/>
          </w:tcPr>
          <w:p>
            <w:pPr>
              <w:jc w:val="center"/>
              <w:rPr>
                <w:rFonts w:hint="eastAsia" w:ascii="仿宋" w:hAnsi="仿宋" w:eastAsia="仿宋" w:cs="仿宋"/>
                <w:sz w:val="24"/>
              </w:rPr>
            </w:pPr>
            <w:r>
              <w:rPr>
                <w:rFonts w:hint="eastAsia" w:ascii="仿宋" w:hAnsi="仿宋" w:eastAsia="仿宋" w:cs="仿宋"/>
                <w:sz w:val="24"/>
              </w:rPr>
              <w:t>过压及欠压保护</w:t>
            </w:r>
          </w:p>
        </w:tc>
      </w:tr>
    </w:tbl>
    <w:p>
      <w:pPr>
        <w:pStyle w:val="2"/>
        <w:jc w:val="left"/>
        <w:rPr>
          <w:rStyle w:val="28"/>
          <w:rFonts w:hint="eastAsia" w:ascii="仿宋" w:hAnsi="仿宋" w:eastAsia="仿宋" w:cs="仿宋"/>
          <w:b/>
          <w:bCs/>
          <w:sz w:val="24"/>
          <w:szCs w:val="24"/>
        </w:rPr>
      </w:pPr>
      <w:bookmarkStart w:id="4" w:name="_Toc61337545"/>
      <w:bookmarkStart w:id="5" w:name="_Toc25449"/>
      <w:bookmarkStart w:id="6" w:name="_Toc38233170"/>
      <w:r>
        <w:rPr>
          <w:rStyle w:val="28"/>
          <w:rFonts w:hint="eastAsia" w:ascii="仿宋" w:hAnsi="仿宋" w:eastAsia="仿宋" w:cs="仿宋"/>
          <w:b w:val="0"/>
          <w:bCs w:val="0"/>
          <w:sz w:val="24"/>
          <w:szCs w:val="24"/>
        </w:rPr>
        <w:t xml:space="preserve"> 数据采集与传输</w:t>
      </w:r>
      <w:bookmarkEnd w:id="4"/>
      <w:bookmarkEnd w:id="5"/>
      <w:bookmarkEnd w:id="6"/>
    </w:p>
    <w:p>
      <w:pPr>
        <w:pStyle w:val="12"/>
        <w:spacing w:line="360" w:lineRule="auto"/>
        <w:rPr>
          <w:rFonts w:hint="eastAsia" w:ascii="仿宋" w:hAnsi="仿宋" w:eastAsia="仿宋" w:cs="仿宋"/>
          <w:b/>
          <w:bCs/>
          <w:sz w:val="24"/>
        </w:rPr>
      </w:pPr>
      <w:r>
        <w:rPr>
          <w:rFonts w:hint="eastAsia" w:ascii="仿宋" w:hAnsi="仿宋" w:eastAsia="仿宋" w:cs="仿宋"/>
          <w:b/>
          <w:bCs/>
          <w:sz w:val="24"/>
        </w:rPr>
        <w:t>1．数据采集</w:t>
      </w:r>
    </w:p>
    <w:p>
      <w:pPr>
        <w:ind w:firstLine="480"/>
        <w:rPr>
          <w:rFonts w:hint="eastAsia" w:ascii="仿宋" w:hAnsi="仿宋" w:eastAsia="仿宋" w:cs="仿宋"/>
          <w:sz w:val="24"/>
        </w:rPr>
      </w:pPr>
      <w:r>
        <w:rPr>
          <w:rFonts w:hint="eastAsia" w:ascii="仿宋" w:hAnsi="仿宋" w:eastAsia="仿宋" w:cs="仿宋"/>
          <w:sz w:val="24"/>
        </w:rPr>
        <w:t>本次监测站均能够自动实时采集、存储和发送雨量、土壤含水率、表面位移、倾角、加速度以及次声等监测数据，可现场显示与读取，并能分别按要求传给监控中心及其他用户，支持区域内监测站之间的相互联动；监测站可同时向多中心发送数据，支持自报、定时-应答和应答三种工作体制混合组网，各采集参数具有独立的工作模式；监测站设备支持远程唤醒、管理、数据召测；监测站可以根据需要设定的采集周期处理传感器数据，每个采集参数的采集周期都可以现场或远程设定，可定点、定间隔、增量设置；监测站采集设备、发送接收设备、电源设备均可靠接地，并具有防雷措施；监测站支持掉电、节电、工作三种电源管理模式。</w:t>
      </w:r>
    </w:p>
    <w:p>
      <w:pPr>
        <w:pStyle w:val="12"/>
        <w:spacing w:line="360" w:lineRule="auto"/>
        <w:rPr>
          <w:rFonts w:hint="eastAsia" w:ascii="仿宋" w:hAnsi="仿宋" w:eastAsia="仿宋" w:cs="仿宋"/>
          <w:b/>
          <w:bCs/>
          <w:sz w:val="24"/>
        </w:rPr>
      </w:pPr>
      <w:r>
        <w:rPr>
          <w:rFonts w:hint="eastAsia" w:ascii="仿宋" w:hAnsi="仿宋" w:eastAsia="仿宋" w:cs="仿宋"/>
          <w:b/>
          <w:bCs/>
          <w:sz w:val="24"/>
        </w:rPr>
        <w:t>2．数据传输</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本次所有监测站通信系统提供监控中心与前端地质灾害监测设备信息采集系统的双向数据传输；系统通讯方式为GPRS/SMS/北斗卫星；监控中心能对监测站数据采集终端通过GPRS/SMS/北斗卫星通讯方式进行校时；并能及时了解各遥测站的设备工作状态（如电压告警、自计内存状况等）；监控中心或其他用户能够通过GPRS/SMS/北斗卫星通讯方式对监测站自记数据进行块读取操作。</w:t>
      </w:r>
    </w:p>
    <w:p>
      <w:pPr>
        <w:pStyle w:val="2"/>
        <w:jc w:val="left"/>
        <w:rPr>
          <w:rStyle w:val="28"/>
          <w:rFonts w:hint="eastAsia" w:ascii="仿宋" w:hAnsi="仿宋" w:eastAsia="仿宋" w:cs="仿宋"/>
          <w:b/>
          <w:bCs/>
          <w:sz w:val="24"/>
          <w:szCs w:val="24"/>
        </w:rPr>
      </w:pPr>
      <w:bookmarkStart w:id="7" w:name="_Toc38233171"/>
      <w:bookmarkStart w:id="8" w:name="_Toc61337546"/>
      <w:bookmarkStart w:id="9" w:name="_Toc5302"/>
      <w:r>
        <w:rPr>
          <w:rStyle w:val="28"/>
          <w:rFonts w:hint="eastAsia" w:ascii="仿宋" w:hAnsi="仿宋" w:eastAsia="仿宋" w:cs="仿宋"/>
          <w:b w:val="0"/>
          <w:bCs w:val="0"/>
          <w:sz w:val="24"/>
          <w:szCs w:val="24"/>
        </w:rPr>
        <w:t>设备安全防护及维护</w:t>
      </w:r>
      <w:bookmarkEnd w:id="7"/>
      <w:bookmarkEnd w:id="8"/>
      <w:bookmarkEnd w:id="9"/>
    </w:p>
    <w:p>
      <w:pPr>
        <w:pStyle w:val="12"/>
        <w:spacing w:line="360" w:lineRule="auto"/>
        <w:rPr>
          <w:rFonts w:hint="eastAsia" w:ascii="仿宋" w:hAnsi="仿宋" w:eastAsia="仿宋" w:cs="仿宋"/>
          <w:b/>
          <w:bCs/>
          <w:sz w:val="24"/>
        </w:rPr>
      </w:pPr>
      <w:bookmarkStart w:id="10" w:name="_Toc234390429"/>
      <w:r>
        <w:rPr>
          <w:rFonts w:hint="eastAsia" w:ascii="仿宋" w:hAnsi="仿宋" w:eastAsia="仿宋" w:cs="仿宋"/>
          <w:b/>
          <w:bCs/>
          <w:sz w:val="24"/>
        </w:rPr>
        <w:t>1．设备安全防护</w:t>
      </w:r>
    </w:p>
    <w:p>
      <w:pPr>
        <w:pStyle w:val="12"/>
        <w:spacing w:line="360" w:lineRule="auto"/>
        <w:ind w:firstLine="480"/>
        <w:rPr>
          <w:rFonts w:hint="eastAsia" w:ascii="仿宋" w:hAnsi="仿宋" w:eastAsia="仿宋" w:cs="仿宋"/>
          <w:sz w:val="24"/>
        </w:rPr>
      </w:pPr>
      <w:bookmarkStart w:id="11" w:name="_Toc359854472"/>
      <w:bookmarkStart w:id="12" w:name="_Toc35090406"/>
      <w:r>
        <w:rPr>
          <w:rFonts w:hint="eastAsia" w:ascii="仿宋" w:hAnsi="仿宋" w:eastAsia="仿宋" w:cs="仿宋"/>
          <w:sz w:val="24"/>
        </w:rPr>
        <w:t>设备防雷接地</w:t>
      </w:r>
      <w:bookmarkEnd w:id="11"/>
      <w:bookmarkEnd w:id="12"/>
      <w:r>
        <w:rPr>
          <w:rFonts w:hint="eastAsia" w:ascii="仿宋" w:hAnsi="仿宋" w:eastAsia="仿宋" w:cs="仿宋"/>
          <w:sz w:val="24"/>
        </w:rPr>
        <w:t>，一体化设备可利用法拉第原理，其所有电子设备与地保持“悬空”，电子设备在雷电影响下均保持等电位，不会产生任何感应电流，从而有效保护设备免收雷击。对于测站来说，除须采取统一的接地措施以外，还必须针对供电电源、通信线路等进行具体的保护。</w:t>
      </w:r>
    </w:p>
    <w:p>
      <w:pPr>
        <w:pStyle w:val="12"/>
        <w:spacing w:line="360" w:lineRule="auto"/>
        <w:ind w:firstLine="480"/>
        <w:rPr>
          <w:rFonts w:hint="eastAsia" w:ascii="仿宋" w:hAnsi="仿宋" w:eastAsia="仿宋" w:cs="仿宋"/>
          <w:sz w:val="24"/>
        </w:rPr>
      </w:pPr>
      <w:bookmarkStart w:id="13" w:name="_Toc35090407"/>
      <w:r>
        <w:rPr>
          <w:rFonts w:hint="eastAsia" w:ascii="仿宋" w:hAnsi="仿宋" w:eastAsia="仿宋" w:cs="仿宋"/>
          <w:sz w:val="24"/>
        </w:rPr>
        <w:t>电源保护</w:t>
      </w:r>
      <w:bookmarkEnd w:id="13"/>
      <w:r>
        <w:rPr>
          <w:rFonts w:hint="eastAsia" w:ascii="仿宋" w:hAnsi="仿宋" w:eastAsia="仿宋" w:cs="仿宋"/>
          <w:sz w:val="24"/>
        </w:rPr>
        <w:t>，由于本系统测站的供电电源采用带有充电控制的直流蓄电装置进行供电，因此、雷击电磁脉冲由电源线耦合产生过电压，对测站造成严重损害的概率很小。其次，本系统充电控制器的供电模块已经采用可靠的防雷电设计，可有效避免从电源回路引入雷击信号。</w:t>
      </w:r>
    </w:p>
    <w:p>
      <w:pPr>
        <w:pStyle w:val="12"/>
        <w:spacing w:line="360" w:lineRule="auto"/>
        <w:ind w:firstLine="480"/>
        <w:rPr>
          <w:rFonts w:hint="eastAsia" w:ascii="仿宋" w:hAnsi="仿宋" w:eastAsia="仿宋" w:cs="仿宋"/>
          <w:sz w:val="24"/>
        </w:rPr>
      </w:pPr>
      <w:bookmarkStart w:id="14" w:name="_Toc35090408"/>
      <w:r>
        <w:rPr>
          <w:rFonts w:hint="eastAsia" w:ascii="仿宋" w:hAnsi="仿宋" w:eastAsia="仿宋" w:cs="仿宋"/>
          <w:sz w:val="24"/>
        </w:rPr>
        <w:t>传感采集通道及通信通道的保护</w:t>
      </w:r>
      <w:bookmarkEnd w:id="14"/>
      <w:r>
        <w:rPr>
          <w:rFonts w:hint="eastAsia" w:ascii="仿宋" w:hAnsi="仿宋" w:eastAsia="仿宋" w:cs="仿宋"/>
          <w:sz w:val="24"/>
        </w:rPr>
        <w:t>，对于户外的传感器和RTU之间的传输电缆，采用全屏蔽线，传感器采集电缆线的屏蔽层就近接到所连设备的设备接地线。过长的电缆线在接地的金属管中穿过。钢管外层要有良好的接地，或将钢管埋于地下。由于本系统通信通道采用GPRS无线通信方式进行通信。故可完全避免经过有线通信线引入雷击电磁脉冲的现象。同时，本系统RTU各采集及通信端口均采用内置防雷措施，也可有效防雷。</w:t>
      </w:r>
    </w:p>
    <w:p>
      <w:pPr>
        <w:pStyle w:val="12"/>
        <w:spacing w:line="360" w:lineRule="auto"/>
        <w:ind w:firstLine="480"/>
        <w:rPr>
          <w:rFonts w:hint="eastAsia" w:ascii="仿宋" w:hAnsi="仿宋" w:eastAsia="仿宋" w:cs="仿宋"/>
          <w:sz w:val="24"/>
        </w:rPr>
      </w:pPr>
      <w:bookmarkStart w:id="15" w:name="_Toc35090409"/>
      <w:r>
        <w:rPr>
          <w:rFonts w:hint="eastAsia" w:ascii="仿宋" w:hAnsi="仿宋" w:eastAsia="仿宋" w:cs="仿宋"/>
          <w:sz w:val="24"/>
        </w:rPr>
        <w:t>地电位反击通过接地体入侵的保护</w:t>
      </w:r>
      <w:bookmarkEnd w:id="15"/>
      <w:r>
        <w:rPr>
          <w:rFonts w:hint="eastAsia" w:ascii="仿宋" w:hAnsi="仿宋" w:eastAsia="仿宋" w:cs="仿宋"/>
          <w:sz w:val="24"/>
        </w:rPr>
        <w:t>，此种入侵主要原因是当避雷针接闪，测站与引下线绝缘距离不够时，强大的雷电流泄放大，会对测站产生反击。主要采用如下措施。在设备进行安装时测站与引下线绝缘距离一定按照要求应严格保证；引下线的数量不少于两根，各引下线的间距不大于12米；引下线布置连接在环型地网的四周，这样有利于雷电流的散流和内部电位的均衡；引下线接长必须采用焊接，引下线采用10毫米的圆钢或相同面积的扁钢。视频监控站需加装避雷针设备，塔杆顶端安装避雷针，其接地电阻要求符合国家防雷与接地设计规范标准，要求&lt;10Ω。</w:t>
      </w:r>
    </w:p>
    <w:p>
      <w:pPr>
        <w:pStyle w:val="12"/>
        <w:spacing w:line="360" w:lineRule="auto"/>
        <w:ind w:firstLine="480"/>
        <w:rPr>
          <w:rFonts w:hint="eastAsia" w:ascii="仿宋" w:hAnsi="仿宋" w:eastAsia="仿宋" w:cs="仿宋"/>
          <w:sz w:val="24"/>
        </w:rPr>
      </w:pPr>
      <w:bookmarkStart w:id="16" w:name="_Toc359854473"/>
      <w:bookmarkStart w:id="17" w:name="_Toc35090410"/>
      <w:r>
        <w:rPr>
          <w:rFonts w:hint="eastAsia" w:ascii="仿宋" w:hAnsi="仿宋" w:eastAsia="仿宋" w:cs="仿宋"/>
          <w:sz w:val="24"/>
        </w:rPr>
        <w:t>设备安全防护</w:t>
      </w:r>
      <w:bookmarkEnd w:id="16"/>
      <w:bookmarkEnd w:id="17"/>
      <w:r>
        <w:rPr>
          <w:rFonts w:hint="eastAsia" w:ascii="仿宋" w:hAnsi="仿宋" w:eastAsia="仿宋" w:cs="仿宋"/>
          <w:sz w:val="24"/>
        </w:rPr>
        <w:t>，根据经验，监测站设备容易受到人员和动物活动的影响（如：偷盗、放牧等），为防范此类事件的发生，建议未来考虑在监测站设备本身和周边采取以下措施：</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镀锌管监测设备立柱：根据测站安装方式和地形条件，将监测设备立柱加高；</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雨量、泥位、土壤含水率、地声、次声、视频等立柱采用混凝土桩加3米镀锌钢管，以及一体化4G视频监控站采用混凝土桩加5米不锈钢镀锌钢管。</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设置警示标识，仪器上油漆喷字：在监测基座及立柱上刷红白相间防锈漆底漆和面漆，并在仪器喷涂醒目字样“地质灾害监测站，禁止盗取破坏；保护仪器，保护生命；单位及联系电话”，防止设备遭受人为破坏。</w:t>
      </w:r>
    </w:p>
    <w:bookmarkEnd w:id="10"/>
    <w:p>
      <w:pPr>
        <w:pStyle w:val="12"/>
        <w:spacing w:line="360" w:lineRule="auto"/>
        <w:rPr>
          <w:rFonts w:hint="eastAsia" w:ascii="仿宋" w:hAnsi="仿宋" w:eastAsia="仿宋" w:cs="仿宋"/>
          <w:b/>
          <w:bCs/>
          <w:sz w:val="24"/>
        </w:rPr>
      </w:pPr>
      <w:r>
        <w:rPr>
          <w:rFonts w:hint="eastAsia" w:ascii="仿宋" w:hAnsi="仿宋" w:eastAsia="仿宋" w:cs="仿宋"/>
          <w:b/>
          <w:bCs/>
          <w:sz w:val="24"/>
        </w:rPr>
        <w:t>2．设备维护</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充分利用信息平台进行设备故障统计，及时发现问题并进行维护。汛期内每月对监测点进行巡检，检查有无破坏迹象，对已被破坏的监测点进行记录，及时填表上报并快速解决。非汛期每两月巡检一次。</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每季度检查太阳能充电面板，对有灰尘、积雪覆盖的太阳能电池板进行清理；对树木生长导致太阳能电池板被遮挡的监测点，应及时修剪树枝。</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具备电量自动测量功能的仪器设备，应定期观察仪器电池电量；无电量自动测量功能的仪器设备，应每月进行人工检查。对电量不足的仪器设备，应及时进行人工充电或更换电池。</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雨量计应保持传感器探头无异物遮挡，避免影响仪器测量精度。</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每季度检查拉线式裂缝计出线口，避免灰尘堵塞，影响钢丝绳收放；检查钢丝绳绷紧程度，对过松的拉线式裂缝计采取紧固措施。</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每季度检查仪器机箱内部状态，对有异物的机箱进行清理；对锈蚀的接线端子进行更换。</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工作期内出现数据异常的监测仪器设备，须在发现异常后48小时内响应，并采取相应措施及时排除异常。</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加强地质灾害监测设施保护。根据《地质灾害防治条例》第四十六条规定，对侵占、损毁、损坏地质灾害监测设施的，应当限期恢复原状或者采取其他补救措施。</w:t>
      </w:r>
    </w:p>
    <w:p>
      <w:pPr>
        <w:pStyle w:val="3"/>
        <w:ind w:firstLine="883"/>
        <w:rPr>
          <w:rFonts w:hint="eastAsia" w:ascii="仿宋" w:hAnsi="仿宋" w:eastAsia="仿宋" w:cs="仿宋"/>
          <w:sz w:val="24"/>
          <w:szCs w:val="24"/>
        </w:rPr>
      </w:pPr>
      <w:r>
        <w:rPr>
          <w:rFonts w:hint="eastAsia" w:ascii="仿宋" w:hAnsi="仿宋" w:eastAsia="仿宋" w:cs="仿宋"/>
          <w:sz w:val="24"/>
          <w:szCs w:val="24"/>
        </w:rPr>
        <w:t>成果</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地质灾害监测预警成果包括经监测预警报告、数据附表、监测专题图件及相关数据和文件，所有资料成果应提供数字化成果。</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1．报告表述简明扼要、层次分明、逻辑严谨、用语规范、重点突出，突出实用性和可操作性。</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2．附图完整清晰、简明易懂、突出监测内容，淡化背景条件，主要附图包括监测部署图、地质灾害监测分析图、地质灾害预警成果图等。</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3．附表：报告附表一般包括地质灾害调查表、地质灾害监测分析报表等。</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4．其他相关数据与文件。</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每年度汛期结束后，于当年10月31日前提交地质灾害监测预警年度成果报告，主要包括如下几方面内容：</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 xml:space="preserve">1.前言（包括所在省份监测预警现状、区域地质环境等基本信息） </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 xml:space="preserve">2.总体情况（包括仪器设备使用情况、运行模式情况、管理机制情况、经费投入与保障情况） </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 xml:space="preserve">3.监测实施（包括监测对象选择、设备选型、功能精度、安装位置、数据传输、设备调试、运行维护等） </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 xml:space="preserve">4.预警实施（包括预警指标＼阂值设定、预警响应等） </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 xml:space="preserve">5.设备运行与成效分析（包括设备试用运行维护、设备参数及性能评价、设备稳定性及可靠性分析、预警成功案例分析、监测方案评述及优化等） </w:t>
      </w:r>
    </w:p>
    <w:p>
      <w:pPr>
        <w:pStyle w:val="12"/>
        <w:spacing w:line="360" w:lineRule="auto"/>
        <w:ind w:firstLine="480"/>
        <w:rPr>
          <w:rFonts w:hint="eastAsia" w:ascii="仿宋" w:hAnsi="仿宋" w:eastAsia="仿宋" w:cs="仿宋"/>
          <w:sz w:val="24"/>
        </w:rPr>
      </w:pPr>
      <w:r>
        <w:rPr>
          <w:rFonts w:hint="eastAsia" w:ascii="仿宋" w:hAnsi="仿宋" w:eastAsia="仿宋" w:cs="仿宋"/>
          <w:sz w:val="24"/>
        </w:rPr>
        <w:t>6.结论与建议（地质灾害监测预警实验有关结论、问题与建议）</w:t>
      </w:r>
    </w:p>
    <w:p>
      <w:pPr>
        <w:pStyle w:val="2"/>
        <w:rPr>
          <w:rFonts w:hint="eastAsia" w:ascii="仿宋" w:hAnsi="仿宋" w:eastAsia="仿宋" w:cs="仿宋"/>
          <w:sz w:val="24"/>
          <w:szCs w:val="24"/>
        </w:rPr>
      </w:pPr>
      <w:r>
        <w:rPr>
          <w:rFonts w:hint="eastAsia" w:ascii="仿宋" w:hAnsi="仿宋" w:eastAsia="仿宋" w:cs="仿宋"/>
          <w:sz w:val="24"/>
          <w:szCs w:val="24"/>
        </w:rPr>
        <w:t>监测系统维护期组织管理</w:t>
      </w:r>
    </w:p>
    <w:p>
      <w:pPr>
        <w:pStyle w:val="4"/>
        <w:ind w:firstLine="0" w:firstLineChars="0"/>
        <w:rPr>
          <w:rFonts w:hint="eastAsia" w:ascii="仿宋" w:hAnsi="仿宋" w:eastAsia="仿宋" w:cs="仿宋"/>
          <w:sz w:val="24"/>
          <w:szCs w:val="24"/>
        </w:rPr>
      </w:pPr>
      <w:bookmarkStart w:id="18" w:name="5.2.1试运行期的管理"/>
      <w:bookmarkEnd w:id="18"/>
      <w:bookmarkStart w:id="19" w:name="_Toc14878"/>
      <w:r>
        <w:rPr>
          <w:rFonts w:hint="eastAsia" w:ascii="仿宋" w:hAnsi="仿宋" w:eastAsia="仿宋" w:cs="仿宋"/>
          <w:sz w:val="24"/>
          <w:szCs w:val="24"/>
        </w:rPr>
        <w:t>试运行期的管理</w:t>
      </w:r>
      <w:bookmarkEnd w:id="19"/>
    </w:p>
    <w:p>
      <w:pPr>
        <w:spacing w:line="360" w:lineRule="auto"/>
        <w:ind w:firstLine="480"/>
        <w:rPr>
          <w:rFonts w:hint="eastAsia" w:ascii="仿宋" w:hAnsi="仿宋" w:eastAsia="仿宋" w:cs="仿宋"/>
          <w:sz w:val="24"/>
        </w:rPr>
      </w:pPr>
      <w:r>
        <w:rPr>
          <w:rFonts w:hint="eastAsia" w:ascii="仿宋" w:hAnsi="仿宋" w:eastAsia="仿宋" w:cs="仿宋"/>
          <w:sz w:val="24"/>
        </w:rPr>
        <w:t>1、试运行期间，以施工方为责任主体进行运营维护，运维内容包括：</w:t>
      </w:r>
    </w:p>
    <w:p>
      <w:pPr>
        <w:spacing w:line="360" w:lineRule="auto"/>
        <w:ind w:firstLine="480"/>
        <w:rPr>
          <w:rFonts w:hint="eastAsia" w:ascii="仿宋" w:hAnsi="仿宋" w:eastAsia="仿宋" w:cs="仿宋"/>
          <w:sz w:val="24"/>
        </w:rPr>
      </w:pPr>
      <w:r>
        <w:rPr>
          <w:rFonts w:hint="eastAsia" w:ascii="仿宋" w:hAnsi="仿宋" w:eastAsia="仿宋" w:cs="仿宋"/>
          <w:sz w:val="24"/>
        </w:rPr>
        <w:t>（1）现场设备的巡检、调试、诊断、维修等。</w:t>
      </w:r>
    </w:p>
    <w:p>
      <w:pPr>
        <w:spacing w:line="360" w:lineRule="auto"/>
        <w:ind w:firstLine="480"/>
        <w:rPr>
          <w:rFonts w:hint="eastAsia" w:ascii="仿宋" w:hAnsi="仿宋" w:eastAsia="仿宋" w:cs="仿宋"/>
          <w:sz w:val="24"/>
        </w:rPr>
      </w:pPr>
      <w:r>
        <w:rPr>
          <w:rFonts w:hint="eastAsia" w:ascii="仿宋" w:hAnsi="仿宋" w:eastAsia="仿宋" w:cs="仿宋"/>
          <w:sz w:val="24"/>
        </w:rPr>
        <w:t>（2）通讯链路的巡检、调试、诊断、维修等。</w:t>
      </w:r>
    </w:p>
    <w:p>
      <w:pPr>
        <w:spacing w:line="360" w:lineRule="auto"/>
        <w:ind w:firstLine="480"/>
        <w:rPr>
          <w:rFonts w:hint="eastAsia" w:ascii="仿宋" w:hAnsi="仿宋" w:eastAsia="仿宋" w:cs="仿宋"/>
          <w:sz w:val="24"/>
        </w:rPr>
      </w:pPr>
      <w:r>
        <w:rPr>
          <w:rFonts w:hint="eastAsia" w:ascii="仿宋" w:hAnsi="仿宋" w:eastAsia="仿宋" w:cs="仿宋"/>
          <w:sz w:val="24"/>
        </w:rPr>
        <w:t>（3）后台软件调试、改进、升级、操作使用等。</w:t>
      </w:r>
    </w:p>
    <w:p>
      <w:pPr>
        <w:spacing w:line="360" w:lineRule="auto"/>
        <w:ind w:firstLine="480"/>
        <w:rPr>
          <w:rFonts w:hint="eastAsia" w:ascii="仿宋" w:hAnsi="仿宋" w:eastAsia="仿宋" w:cs="仿宋"/>
          <w:sz w:val="24"/>
        </w:rPr>
      </w:pPr>
      <w:r>
        <w:rPr>
          <w:rFonts w:hint="eastAsia" w:ascii="仿宋" w:hAnsi="仿宋" w:eastAsia="仿宋" w:cs="仿宋"/>
          <w:sz w:val="24"/>
        </w:rPr>
        <w:t>2、施工方要为业主方制定详细的培训计划，培训内容包括系统原理、设备 安装操作、调试操作、软件运行管理、故障排除及设备维修等内容。安装完成全 部设备设施后，设备供应方负责委派技术专家到业主方进行现场集中培训。达到 被培训人员了解和掌握项目设备的运行、操作、检修和维护等技术的目标，培训 期间向业主方提供培训所需要的教材、技术资料、图纸等，并提供相关设备设施 的产品手册、使用手册和操作说明等文档；</w:t>
      </w:r>
    </w:p>
    <w:p>
      <w:pPr>
        <w:spacing w:line="360" w:lineRule="auto"/>
        <w:ind w:firstLine="480"/>
        <w:rPr>
          <w:rFonts w:hint="eastAsia" w:ascii="仿宋" w:hAnsi="仿宋" w:eastAsia="仿宋" w:cs="仿宋"/>
          <w:sz w:val="24"/>
        </w:rPr>
      </w:pPr>
      <w:r>
        <w:rPr>
          <w:rFonts w:hint="eastAsia" w:ascii="仿宋" w:hAnsi="仿宋" w:eastAsia="仿宋" w:cs="仿宋"/>
          <w:sz w:val="24"/>
        </w:rPr>
        <w:t>3、施工方在试运行期结束前完成对业主方的专业工程师、管理人员的技术培训，保证项目验收移交后，业主方能够胜任系统的全部运行、操作等工作。</w:t>
      </w:r>
    </w:p>
    <w:p>
      <w:pPr>
        <w:spacing w:line="360" w:lineRule="auto"/>
        <w:ind w:firstLine="480"/>
        <w:rPr>
          <w:rFonts w:hint="eastAsia" w:ascii="仿宋" w:hAnsi="仿宋" w:eastAsia="仿宋" w:cs="仿宋"/>
          <w:sz w:val="24"/>
        </w:rPr>
      </w:pPr>
      <w:r>
        <w:rPr>
          <w:rFonts w:hint="eastAsia" w:ascii="仿宋" w:hAnsi="仿宋" w:eastAsia="仿宋" w:cs="仿宋"/>
          <w:sz w:val="24"/>
        </w:rPr>
        <w:t>4、故障响应：对于系统软、硬件问题导致系统无法正常获取和解算监测数 据的情况，设备供应方在接到故障通知两小时内给予解答，如无法解决，将在 3 个工作日内派技术人员到达现场解决问题；</w:t>
      </w:r>
    </w:p>
    <w:p>
      <w:pPr>
        <w:spacing w:line="360" w:lineRule="auto"/>
        <w:ind w:firstLine="480"/>
        <w:rPr>
          <w:rFonts w:hint="eastAsia" w:ascii="仿宋" w:hAnsi="仿宋" w:eastAsia="仿宋" w:cs="仿宋"/>
          <w:sz w:val="24"/>
        </w:rPr>
      </w:pPr>
      <w:r>
        <w:rPr>
          <w:rFonts w:hint="eastAsia" w:ascii="仿宋" w:hAnsi="仿宋" w:eastAsia="仿宋" w:cs="仿宋"/>
          <w:sz w:val="24"/>
        </w:rPr>
        <w:t>5、用户回访：设备供应方应积极与业主方研讨并解答在实践中提出的深层 次技术问题，解决业主方各种问题；</w:t>
      </w:r>
    </w:p>
    <w:p>
      <w:pPr>
        <w:spacing w:line="360" w:lineRule="auto"/>
        <w:ind w:firstLine="480"/>
        <w:rPr>
          <w:rFonts w:hint="eastAsia" w:ascii="仿宋" w:hAnsi="仿宋" w:eastAsia="仿宋" w:cs="仿宋"/>
          <w:sz w:val="24"/>
        </w:rPr>
      </w:pPr>
      <w:r>
        <w:rPr>
          <w:rFonts w:hint="eastAsia" w:ascii="仿宋" w:hAnsi="仿宋" w:eastAsia="仿宋" w:cs="仿宋"/>
          <w:sz w:val="24"/>
        </w:rPr>
        <w:t>6、技术咨询服务：设备供应方应长期免费通过电话、网络等方式解答与服 务系统相关的各种技术问题。</w:t>
      </w:r>
    </w:p>
    <w:p>
      <w:pPr>
        <w:pStyle w:val="2"/>
        <w:tabs>
          <w:tab w:val="left" w:pos="440"/>
          <w:tab w:val="left" w:pos="880"/>
        </w:tabs>
        <w:spacing w:before="50"/>
        <w:ind w:left="210" w:leftChars="100" w:right="254" w:rightChars="121" w:firstLine="480" w:firstLineChars="200"/>
        <w:jc w:val="left"/>
        <w:rPr>
          <w:rFonts w:hint="eastAsia" w:ascii="仿宋" w:hAnsi="仿宋" w:eastAsia="仿宋" w:cs="仿宋"/>
          <w:b w:val="0"/>
          <w:bCs w:val="0"/>
          <w:sz w:val="24"/>
          <w:szCs w:val="24"/>
        </w:rPr>
      </w:pPr>
      <w:bookmarkStart w:id="20" w:name="5.2.2质量保证期内的管理"/>
      <w:bookmarkEnd w:id="20"/>
      <w:r>
        <w:rPr>
          <w:rFonts w:hint="eastAsia" w:ascii="仿宋" w:hAnsi="仿宋" w:eastAsia="仿宋" w:cs="仿宋"/>
          <w:b w:val="0"/>
          <w:bCs w:val="0"/>
          <w:sz w:val="24"/>
          <w:szCs w:val="24"/>
        </w:rPr>
        <w:t>地质灾害监测设施保持正常有效运行状态，地质灾害监测网络建设具备数据浏览、数据存储、数据分析功能，监测网络建设保证3年日常运行维护，每年提供监测报告。</w:t>
      </w:r>
    </w:p>
    <w:p>
      <w:pPr>
        <w:adjustRightInd w:val="0"/>
        <w:snapToGrid w:val="0"/>
        <w:spacing w:line="360" w:lineRule="auto"/>
        <w:ind w:firstLine="883" w:firstLineChars="200"/>
        <w:jc w:val="left"/>
        <w:rPr>
          <w:rFonts w:hint="eastAsia" w:ascii="仿宋" w:hAnsi="仿宋" w:eastAsia="仿宋" w:cs="仿宋"/>
          <w:b/>
          <w:sz w:val="44"/>
          <w:szCs w:val="44"/>
        </w:rPr>
        <w:sectPr>
          <w:pgSz w:w="11906" w:h="16838"/>
          <w:pgMar w:top="1559" w:right="1134" w:bottom="1020" w:left="1321" w:header="851" w:footer="992" w:gutter="0"/>
          <w:cols w:space="720" w:num="1"/>
          <w:docGrid w:type="lines" w:linePitch="312" w:charSpace="0"/>
        </w:sectPr>
      </w:pPr>
    </w:p>
    <w:p>
      <w:pPr>
        <w:adjustRightInd w:val="0"/>
        <w:snapToGrid w:val="0"/>
        <w:spacing w:line="360" w:lineRule="auto"/>
        <w:ind w:firstLine="883" w:firstLineChars="200"/>
        <w:jc w:val="left"/>
        <w:rPr>
          <w:rFonts w:hint="eastAsia" w:ascii="仿宋" w:hAnsi="仿宋" w:eastAsia="仿宋" w:cs="仿宋"/>
        </w:rPr>
      </w:pPr>
      <w:r>
        <w:rPr>
          <w:rFonts w:hint="eastAsia" w:ascii="仿宋" w:hAnsi="仿宋" w:eastAsia="仿宋" w:cs="仿宋"/>
          <w:b/>
          <w:sz w:val="44"/>
          <w:szCs w:val="44"/>
        </w:rPr>
        <w:t xml:space="preserve">      </w:t>
      </w:r>
      <w:r>
        <w:rPr>
          <w:rFonts w:hint="eastAsia" w:ascii="仿宋" w:hAnsi="仿宋" w:eastAsia="仿宋" w:cs="仿宋"/>
          <w:b/>
          <w:sz w:val="32"/>
          <w:szCs w:val="32"/>
        </w:rPr>
        <w:t xml:space="preserve">      第四部分  商务及合同主要条款</w:t>
      </w:r>
    </w:p>
    <w:p>
      <w:pPr>
        <w:spacing w:line="360" w:lineRule="auto"/>
        <w:jc w:val="center"/>
        <w:rPr>
          <w:rFonts w:hint="eastAsia" w:ascii="仿宋" w:hAnsi="仿宋" w:eastAsia="仿宋" w:cs="仿宋"/>
          <w:sz w:val="84"/>
        </w:rPr>
      </w:pPr>
      <w:bookmarkStart w:id="21" w:name="_Toc457826145"/>
      <w:r>
        <w:rPr>
          <w:rFonts w:hint="eastAsia" w:ascii="仿宋" w:hAnsi="仿宋" w:eastAsia="仿宋" w:cs="仿宋"/>
          <w:sz w:val="36"/>
          <w:szCs w:val="44"/>
        </w:rPr>
        <w:t>（</w:t>
      </w:r>
      <w:r>
        <w:rPr>
          <w:rFonts w:hint="eastAsia" w:ascii="仿宋" w:hAnsi="仿宋" w:eastAsia="仿宋" w:cs="仿宋"/>
          <w:b/>
          <w:sz w:val="28"/>
          <w:szCs w:val="28"/>
        </w:rPr>
        <w:t>仅供参考，最终以甲乙双方实际协商签定协议为准)</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甲方：甘泉县自然资源局</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乙方：</w:t>
      </w:r>
    </w:p>
    <w:p>
      <w:pPr>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甘泉县自然资源局（（以下简称甲方）甘泉县自然资源局2022年地质灾害普适型监测预警建设项目，按照政府采购程序，采用竞争性磋商的招标方式，选定</w:t>
      </w:r>
      <w:r>
        <w:rPr>
          <w:rFonts w:hint="eastAsia" w:ascii="仿宋" w:hAnsi="仿宋" w:eastAsia="仿宋" w:cs="仿宋"/>
          <w:sz w:val="28"/>
          <w:szCs w:val="28"/>
          <w:u w:val="single"/>
        </w:rPr>
        <w:t xml:space="preserve">        </w:t>
      </w:r>
      <w:r>
        <w:rPr>
          <w:rFonts w:hint="eastAsia" w:ascii="仿宋" w:hAnsi="仿宋" w:eastAsia="仿宋" w:cs="仿宋"/>
          <w:sz w:val="28"/>
          <w:szCs w:val="28"/>
        </w:rPr>
        <w:t>公司（以下简称乙方）为成交供应商。依据国家《民法典》、《政府采购法》及竞争性磋商文件和乙方的响应文件，经甲、乙双方协商，达成如下合同条款。</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rPr>
      </w:pPr>
      <w:r>
        <w:rPr>
          <w:rFonts w:hint="eastAsia" w:ascii="仿宋" w:hAnsi="仿宋" w:eastAsia="仿宋" w:cs="仿宋"/>
          <w:b/>
          <w:kern w:val="0"/>
          <w:sz w:val="28"/>
          <w:szCs w:val="28"/>
        </w:rPr>
        <w:t>一、项目概况</w:t>
      </w:r>
    </w:p>
    <w:p>
      <w:pPr>
        <w:adjustRightInd w:val="0"/>
        <w:snapToGrid w:val="0"/>
        <w:spacing w:line="560" w:lineRule="exact"/>
        <w:ind w:firstLine="560" w:firstLineChars="200"/>
        <w:jc w:val="left"/>
        <w:rPr>
          <w:rFonts w:hint="eastAsia" w:ascii="仿宋" w:hAnsi="仿宋" w:eastAsia="仿宋" w:cs="仿宋"/>
          <w:bCs/>
          <w:color w:val="000000"/>
          <w:spacing w:val="-6"/>
          <w:sz w:val="28"/>
          <w:szCs w:val="28"/>
          <w:u w:val="single"/>
        </w:rPr>
      </w:pPr>
      <w:r>
        <w:rPr>
          <w:rFonts w:hint="eastAsia" w:ascii="仿宋" w:hAnsi="仿宋" w:eastAsia="仿宋" w:cs="仿宋"/>
          <w:kern w:val="0"/>
          <w:sz w:val="28"/>
          <w:szCs w:val="28"/>
        </w:rPr>
        <w:t>1.项目名称：</w:t>
      </w:r>
      <w:r>
        <w:rPr>
          <w:rFonts w:hint="eastAsia" w:ascii="仿宋" w:hAnsi="仿宋" w:eastAsia="仿宋" w:cs="仿宋"/>
          <w:kern w:val="0"/>
          <w:sz w:val="28"/>
          <w:szCs w:val="28"/>
          <w:u w:val="single"/>
        </w:rPr>
        <w:t>甘泉县自然资源局2022年地质灾害普适型监测预警建设项目</w:t>
      </w:r>
    </w:p>
    <w:p>
      <w:pPr>
        <w:adjustRightInd w:val="0"/>
        <w:snapToGrid w:val="0"/>
        <w:spacing w:line="560" w:lineRule="exact"/>
        <w:ind w:firstLine="560" w:firstLineChars="200"/>
        <w:jc w:val="left"/>
        <w:rPr>
          <w:rFonts w:hint="eastAsia" w:ascii="仿宋" w:hAnsi="仿宋" w:eastAsia="仿宋" w:cs="仿宋"/>
          <w:kern w:val="0"/>
          <w:sz w:val="28"/>
          <w:szCs w:val="28"/>
          <w:u w:val="single"/>
        </w:rPr>
      </w:pPr>
      <w:r>
        <w:rPr>
          <w:rFonts w:hint="eastAsia" w:ascii="仿宋" w:hAnsi="仿宋" w:eastAsia="仿宋" w:cs="仿宋"/>
          <w:kern w:val="0"/>
          <w:sz w:val="28"/>
          <w:szCs w:val="28"/>
        </w:rPr>
        <w:t>2.项目地点：</w:t>
      </w:r>
      <w:r>
        <w:rPr>
          <w:rFonts w:hint="eastAsia" w:ascii="仿宋" w:hAnsi="仿宋" w:eastAsia="仿宋" w:cs="仿宋"/>
          <w:kern w:val="0"/>
          <w:sz w:val="28"/>
          <w:szCs w:val="28"/>
          <w:u w:val="single"/>
        </w:rPr>
        <w:t xml:space="preserve">甘泉县自然资源局指定地点   </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rPr>
      </w:pPr>
      <w:bookmarkStart w:id="22" w:name="_Toc406150412"/>
      <w:bookmarkStart w:id="23" w:name="_Toc457826141"/>
      <w:r>
        <w:rPr>
          <w:rFonts w:hint="eastAsia" w:ascii="仿宋" w:hAnsi="仿宋" w:eastAsia="仿宋" w:cs="仿宋"/>
          <w:b/>
          <w:kern w:val="0"/>
          <w:sz w:val="28"/>
          <w:szCs w:val="28"/>
        </w:rPr>
        <w:t>二、</w:t>
      </w:r>
      <w:bookmarkEnd w:id="22"/>
      <w:bookmarkEnd w:id="23"/>
      <w:r>
        <w:rPr>
          <w:rFonts w:hint="eastAsia" w:ascii="仿宋" w:hAnsi="仿宋" w:eastAsia="仿宋" w:cs="仿宋"/>
          <w:b/>
          <w:kern w:val="0"/>
          <w:sz w:val="28"/>
          <w:szCs w:val="28"/>
          <w:lang w:val="en-US" w:eastAsia="zh-CN"/>
        </w:rPr>
        <w:t>工期、</w:t>
      </w:r>
      <w:r>
        <w:rPr>
          <w:rFonts w:hint="eastAsia" w:ascii="仿宋" w:hAnsi="仿宋" w:eastAsia="仿宋" w:cs="仿宋"/>
          <w:b/>
          <w:kern w:val="0"/>
          <w:sz w:val="28"/>
          <w:szCs w:val="28"/>
        </w:rPr>
        <w:t>服务期</w:t>
      </w:r>
    </w:p>
    <w:p>
      <w:pPr>
        <w:adjustRightInd w:val="0"/>
        <w:snapToGrid w:val="0"/>
        <w:spacing w:line="56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1.工期：</w:t>
      </w:r>
      <w:r>
        <w:rPr>
          <w:rFonts w:hint="eastAsia" w:ascii="仿宋" w:hAnsi="仿宋" w:eastAsia="仿宋" w:cs="仿宋"/>
          <w:sz w:val="28"/>
          <w:szCs w:val="28"/>
          <w:highlight w:val="none"/>
        </w:rPr>
        <w:t>合同签订之日起30个日历日内完成</w:t>
      </w:r>
    </w:p>
    <w:p>
      <w:pPr>
        <w:adjustRightInd w:val="0"/>
        <w:snapToGrid w:val="0"/>
        <w:spacing w:line="560" w:lineRule="exact"/>
        <w:ind w:firstLine="560" w:firstLineChars="200"/>
        <w:jc w:val="left"/>
        <w:rPr>
          <w:rFonts w:hint="eastAsia" w:ascii="仿宋" w:hAnsi="仿宋" w:eastAsia="仿宋" w:cs="仿宋"/>
          <w:kern w:val="0"/>
          <w:sz w:val="28"/>
          <w:szCs w:val="28"/>
          <w:u w:val="single"/>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服务期：</w:t>
      </w:r>
      <w:r>
        <w:rPr>
          <w:rFonts w:hint="eastAsia" w:ascii="仿宋" w:hAnsi="仿宋" w:eastAsia="仿宋" w:cs="仿宋"/>
          <w:sz w:val="28"/>
          <w:szCs w:val="28"/>
        </w:rPr>
        <w:t>三年</w:t>
      </w:r>
      <w:r>
        <w:rPr>
          <w:rFonts w:hint="eastAsia" w:ascii="仿宋" w:hAnsi="仿宋" w:eastAsia="仿宋" w:cs="仿宋"/>
          <w:kern w:val="0"/>
          <w:sz w:val="28"/>
          <w:szCs w:val="28"/>
        </w:rPr>
        <w:t>；</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rPr>
      </w:pPr>
      <w:bookmarkStart w:id="24" w:name="_Toc406150413"/>
      <w:bookmarkStart w:id="25" w:name="_Toc457826142"/>
      <w:r>
        <w:rPr>
          <w:rFonts w:hint="eastAsia" w:ascii="仿宋" w:hAnsi="仿宋" w:eastAsia="仿宋" w:cs="仿宋"/>
          <w:b/>
          <w:kern w:val="0"/>
          <w:sz w:val="28"/>
          <w:szCs w:val="28"/>
        </w:rPr>
        <w:t>三、质量标准</w:t>
      </w:r>
      <w:bookmarkEnd w:id="24"/>
      <w:bookmarkEnd w:id="25"/>
    </w:p>
    <w:p>
      <w:pPr>
        <w:adjustRightInd w:val="0"/>
        <w:snapToGrid w:val="0"/>
        <w:spacing w:line="360" w:lineRule="auto"/>
        <w:ind w:firstLine="560" w:firstLineChars="200"/>
        <w:jc w:val="left"/>
        <w:rPr>
          <w:rFonts w:hint="eastAsia" w:ascii="仿宋" w:hAnsi="仿宋" w:eastAsia="仿宋" w:cs="仿宋"/>
          <w:kern w:val="0"/>
          <w:sz w:val="28"/>
          <w:szCs w:val="28"/>
          <w:u w:val="single"/>
        </w:rPr>
      </w:pPr>
      <w:r>
        <w:rPr>
          <w:rFonts w:hint="eastAsia" w:ascii="仿宋" w:hAnsi="仿宋" w:eastAsia="仿宋" w:cs="仿宋"/>
          <w:kern w:val="0"/>
          <w:sz w:val="28"/>
          <w:szCs w:val="28"/>
        </w:rPr>
        <w:t>质量标准：</w:t>
      </w:r>
      <w:r>
        <w:rPr>
          <w:rFonts w:hint="eastAsia" w:ascii="仿宋" w:hAnsi="仿宋" w:eastAsia="仿宋" w:cs="仿宋"/>
          <w:kern w:val="0"/>
          <w:sz w:val="28"/>
          <w:szCs w:val="28"/>
          <w:u w:val="single"/>
        </w:rPr>
        <w:t xml:space="preserve">满足采购方服务要求及现行国家标准    </w:t>
      </w:r>
    </w:p>
    <w:p>
      <w:pPr>
        <w:tabs>
          <w:tab w:val="left" w:pos="540"/>
        </w:tabs>
        <w:adjustRightInd w:val="0"/>
        <w:snapToGrid w:val="0"/>
        <w:spacing w:line="360" w:lineRule="auto"/>
        <w:ind w:firstLine="562" w:firstLineChars="200"/>
        <w:jc w:val="left"/>
        <w:outlineLvl w:val="1"/>
        <w:rPr>
          <w:rFonts w:hint="eastAsia" w:ascii="仿宋" w:hAnsi="仿宋" w:eastAsia="仿宋" w:cs="仿宋"/>
          <w:b/>
          <w:kern w:val="0"/>
          <w:sz w:val="28"/>
          <w:szCs w:val="28"/>
        </w:rPr>
      </w:pPr>
      <w:bookmarkStart w:id="26" w:name="_Toc457826143"/>
      <w:bookmarkStart w:id="27" w:name="_Toc406150414"/>
      <w:r>
        <w:rPr>
          <w:rFonts w:hint="eastAsia" w:ascii="仿宋" w:hAnsi="仿宋" w:eastAsia="仿宋" w:cs="仿宋"/>
          <w:b/>
          <w:kern w:val="0"/>
          <w:sz w:val="28"/>
          <w:szCs w:val="28"/>
        </w:rPr>
        <w:t>四、合同价款</w:t>
      </w:r>
      <w:bookmarkEnd w:id="26"/>
      <w:bookmarkEnd w:id="27"/>
    </w:p>
    <w:p>
      <w:pPr>
        <w:tabs>
          <w:tab w:val="left" w:pos="720"/>
        </w:tabs>
        <w:adjustRightInd w:val="0"/>
        <w:snapToGrid w:val="0"/>
        <w:spacing w:line="360" w:lineRule="auto"/>
        <w:ind w:left="479" w:leftChars="228"/>
        <w:jc w:val="left"/>
        <w:rPr>
          <w:rFonts w:hint="eastAsia" w:ascii="仿宋" w:hAnsi="仿宋" w:eastAsia="仿宋" w:cs="仿宋"/>
          <w:kern w:val="0"/>
          <w:sz w:val="28"/>
          <w:szCs w:val="28"/>
        </w:rPr>
      </w:pPr>
      <w:r>
        <w:rPr>
          <w:rFonts w:hint="eastAsia" w:ascii="仿宋" w:hAnsi="仿宋" w:eastAsia="仿宋" w:cs="仿宋"/>
          <w:kern w:val="0"/>
          <w:sz w:val="28"/>
          <w:szCs w:val="28"/>
        </w:rPr>
        <w:t>1.合同价款金额：人民币（大写）_________ (¥______元)</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2.合同价不受市场价格变化因素的影响。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3.付款方式：具体付款方式与甲方协商。</w:t>
      </w:r>
    </w:p>
    <w:bookmarkEnd w:id="21"/>
    <w:p>
      <w:pPr>
        <w:pStyle w:val="26"/>
        <w:spacing w:line="360" w:lineRule="auto"/>
        <w:ind w:firstLine="560"/>
        <w:rPr>
          <w:rFonts w:hint="eastAsia" w:ascii="仿宋" w:hAnsi="仿宋" w:eastAsia="仿宋" w:cs="仿宋"/>
          <w:szCs w:val="28"/>
        </w:rPr>
      </w:pPr>
      <w:r>
        <w:rPr>
          <w:rFonts w:hint="eastAsia" w:ascii="仿宋" w:hAnsi="仿宋" w:eastAsia="仿宋" w:cs="仿宋"/>
          <w:szCs w:val="28"/>
        </w:rPr>
        <w:t>五、服务内容和要求：详见采购内容</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六、质保措施</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供应商应根据磋商内容保质保量完成任务，因供应商原因造成的服务质量问题，给采购人造成损失的，供应商承担全部责任，如严重违反质保措施的将取消成本资格。</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七、违约责任：</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7.1按照《民法典》中的相关条款执行；</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7.2未按合同要求提供服务或服务服务质量不能满足技术要求的，采购单位会同有关单位，有权终止合同和对供货方违约进行追究。</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八、验收：验收须以竞争性磋商文件、响应文件、合同、国家相应的标准、规范等为依据。</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九、合同争议的解决：合同执行中发生争议的，当事人双方应协商解决，协商达不成一致时，可向延安仲裁委员会申请仲裁或者向采购人所在地的人民法院提请诉讼。</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十、合同一经签订，不得擅自变更、中止或者终止合同。对确需变更、调整或者中止、终止合同的，应按规定履行相应的手续。</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十一、本合同从签订之日起生效，合同规定的全部事宜和程序结束后终止。本合同一式肆份，甲、乙双方各二份。</w:t>
      </w:r>
    </w:p>
    <w:p>
      <w:pPr>
        <w:pStyle w:val="26"/>
        <w:spacing w:line="360" w:lineRule="auto"/>
        <w:ind w:firstLine="560"/>
        <w:rPr>
          <w:rFonts w:hint="eastAsia" w:ascii="仿宋" w:hAnsi="仿宋" w:eastAsia="仿宋" w:cs="仿宋"/>
          <w:szCs w:val="28"/>
        </w:rPr>
      </w:pPr>
      <w:r>
        <w:rPr>
          <w:rFonts w:hint="eastAsia" w:ascii="仿宋" w:hAnsi="仿宋" w:eastAsia="仿宋" w:cs="仿宋"/>
          <w:szCs w:val="28"/>
        </w:rPr>
        <w:t>十二、合同期内，未尽事宜，双方可根据服务需要，另立补充协议，补充协议是本合同的重要组成部分，具有同等法律效力。</w:t>
      </w:r>
    </w:p>
    <w:p>
      <w:pPr>
        <w:autoSpaceDE w:val="0"/>
        <w:autoSpaceDN w:val="0"/>
        <w:adjustRightInd w:val="0"/>
        <w:spacing w:line="336" w:lineRule="auto"/>
        <w:ind w:firstLine="645"/>
        <w:rPr>
          <w:rFonts w:hint="eastAsia" w:ascii="仿宋" w:hAnsi="仿宋" w:eastAsia="仿宋" w:cs="仿宋"/>
          <w:bCs/>
          <w:sz w:val="24"/>
        </w:rPr>
      </w:pPr>
    </w:p>
    <w:p>
      <w:pPr>
        <w:pStyle w:val="12"/>
        <w:rPr>
          <w:rFonts w:hint="eastAsia"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br w:type="page"/>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5"/>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jc w:val="center"/>
              <w:rPr>
                <w:rFonts w:hint="eastAsia" w:ascii="仿宋" w:hAnsi="仿宋" w:eastAsia="仿宋" w:cs="仿宋"/>
                <w:bCs/>
                <w:color w:val="000000"/>
                <w:sz w:val="24"/>
              </w:rPr>
            </w:pPr>
            <w:r>
              <w:rPr>
                <w:rFonts w:hint="eastAsia" w:ascii="仿宋" w:hAnsi="仿宋" w:eastAsia="仿宋" w:cs="仿宋"/>
                <w:bCs/>
                <w:color w:val="000000"/>
                <w:sz w:val="24"/>
              </w:rPr>
              <w:t>甲  方</w:t>
            </w:r>
          </w:p>
        </w:tc>
        <w:tc>
          <w:tcPr>
            <w:tcW w:w="2498" w:type="pct"/>
          </w:tcPr>
          <w:p>
            <w:pPr>
              <w:spacing w:line="420" w:lineRule="exact"/>
              <w:jc w:val="center"/>
              <w:rPr>
                <w:rFonts w:hint="eastAsia" w:ascii="仿宋" w:hAnsi="仿宋" w:eastAsia="仿宋" w:cs="仿宋"/>
                <w:bCs/>
                <w:color w:val="000000"/>
                <w:sz w:val="24"/>
              </w:rPr>
            </w:pPr>
            <w:r>
              <w:rPr>
                <w:rFonts w:hint="eastAsia" w:ascii="仿宋" w:hAnsi="仿宋" w:eastAsia="仿宋" w:cs="仿宋"/>
                <w:bCs/>
                <w:color w:val="000000"/>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trPr>
        <w:tc>
          <w:tcPr>
            <w:tcW w:w="2501" w:type="pct"/>
            <w:vAlign w:val="center"/>
          </w:tcPr>
          <w:p>
            <w:pPr>
              <w:spacing w:line="420" w:lineRule="exact"/>
              <w:jc w:val="center"/>
              <w:rPr>
                <w:rFonts w:hint="eastAsia" w:ascii="仿宋" w:hAnsi="仿宋" w:eastAsia="仿宋" w:cs="仿宋"/>
                <w:bCs/>
                <w:color w:val="000000"/>
                <w:sz w:val="24"/>
              </w:rPr>
            </w:pPr>
          </w:p>
          <w:p>
            <w:pPr>
              <w:spacing w:line="420" w:lineRule="exact"/>
              <w:jc w:val="center"/>
              <w:rPr>
                <w:rFonts w:hint="eastAsia" w:ascii="仿宋" w:hAnsi="仿宋" w:eastAsia="仿宋" w:cs="仿宋"/>
                <w:bCs/>
                <w:color w:val="000000"/>
                <w:sz w:val="24"/>
              </w:rPr>
            </w:pPr>
          </w:p>
          <w:p>
            <w:pPr>
              <w:spacing w:line="420" w:lineRule="exact"/>
              <w:rPr>
                <w:rFonts w:hint="eastAsia" w:ascii="仿宋" w:hAnsi="仿宋" w:eastAsia="仿宋" w:cs="仿宋"/>
                <w:bCs/>
                <w:color w:val="000000"/>
                <w:sz w:val="24"/>
              </w:rPr>
            </w:pPr>
          </w:p>
          <w:p>
            <w:pPr>
              <w:pStyle w:val="12"/>
              <w:rPr>
                <w:rFonts w:hint="eastAsia" w:ascii="仿宋" w:hAnsi="仿宋" w:eastAsia="仿宋" w:cs="仿宋"/>
              </w:rPr>
            </w:pPr>
          </w:p>
          <w:p>
            <w:pPr>
              <w:spacing w:line="420" w:lineRule="exact"/>
              <w:jc w:val="center"/>
              <w:rPr>
                <w:rFonts w:hint="eastAsia" w:ascii="仿宋" w:hAnsi="仿宋" w:eastAsia="仿宋" w:cs="仿宋"/>
                <w:bCs/>
                <w:color w:val="000000"/>
                <w:sz w:val="24"/>
              </w:rPr>
            </w:pPr>
            <w:r>
              <w:rPr>
                <w:rFonts w:hint="eastAsia" w:ascii="仿宋" w:hAnsi="仿宋" w:eastAsia="仿宋" w:cs="仿宋"/>
                <w:bCs/>
                <w:color w:val="000000"/>
                <w:sz w:val="24"/>
              </w:rPr>
              <w:t>（盖章）</w:t>
            </w:r>
          </w:p>
        </w:tc>
        <w:tc>
          <w:tcPr>
            <w:tcW w:w="2498" w:type="pct"/>
            <w:vAlign w:val="center"/>
          </w:tcPr>
          <w:p>
            <w:pPr>
              <w:spacing w:line="420" w:lineRule="exact"/>
              <w:jc w:val="center"/>
              <w:rPr>
                <w:rFonts w:hint="eastAsia" w:ascii="仿宋" w:hAnsi="仿宋" w:eastAsia="仿宋" w:cs="仿宋"/>
                <w:bCs/>
                <w:color w:val="000000"/>
                <w:sz w:val="24"/>
              </w:rPr>
            </w:pPr>
          </w:p>
          <w:p>
            <w:pPr>
              <w:spacing w:line="420" w:lineRule="exact"/>
              <w:jc w:val="center"/>
              <w:rPr>
                <w:rFonts w:hint="eastAsia" w:ascii="仿宋" w:hAnsi="仿宋" w:eastAsia="仿宋" w:cs="仿宋"/>
                <w:bCs/>
                <w:color w:val="000000"/>
                <w:sz w:val="24"/>
              </w:rPr>
            </w:pPr>
          </w:p>
          <w:p>
            <w:pPr>
              <w:spacing w:line="420" w:lineRule="exact"/>
              <w:jc w:val="center"/>
              <w:rPr>
                <w:rFonts w:hint="eastAsia" w:ascii="仿宋" w:hAnsi="仿宋" w:eastAsia="仿宋" w:cs="仿宋"/>
                <w:bCs/>
                <w:color w:val="000000"/>
                <w:sz w:val="24"/>
              </w:rPr>
            </w:pPr>
          </w:p>
          <w:p>
            <w:pPr>
              <w:spacing w:line="420" w:lineRule="exact"/>
              <w:jc w:val="center"/>
              <w:rPr>
                <w:rFonts w:hint="eastAsia" w:ascii="仿宋" w:hAnsi="仿宋" w:eastAsia="仿宋" w:cs="仿宋"/>
                <w:bCs/>
                <w:color w:val="000000"/>
                <w:sz w:val="24"/>
              </w:rPr>
            </w:pPr>
          </w:p>
          <w:p>
            <w:pPr>
              <w:spacing w:line="420" w:lineRule="exact"/>
              <w:jc w:val="center"/>
              <w:rPr>
                <w:rFonts w:hint="eastAsia" w:ascii="仿宋" w:hAnsi="仿宋" w:eastAsia="仿宋" w:cs="仿宋"/>
                <w:bCs/>
                <w:color w:val="000000"/>
                <w:sz w:val="24"/>
              </w:rPr>
            </w:pPr>
            <w:r>
              <w:rPr>
                <w:rFonts w:hint="eastAsia" w:ascii="仿宋" w:hAnsi="仿宋" w:eastAsia="仿宋" w:cs="仿宋"/>
                <w:bCs/>
                <w:color w:val="00000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2501" w:type="pct"/>
          </w:tcPr>
          <w:p>
            <w:pPr>
              <w:spacing w:line="420" w:lineRule="exact"/>
              <w:rPr>
                <w:rFonts w:hint="eastAsia" w:ascii="仿宋" w:hAnsi="仿宋" w:eastAsia="仿宋" w:cs="仿宋"/>
              </w:rPr>
            </w:pPr>
            <w:r>
              <w:rPr>
                <w:rFonts w:hint="eastAsia" w:ascii="仿宋" w:hAnsi="仿宋" w:eastAsia="仿宋" w:cs="仿宋"/>
              </w:rPr>
              <w:t>地址：</w:t>
            </w:r>
          </w:p>
          <w:p>
            <w:pPr>
              <w:pStyle w:val="16"/>
              <w:rPr>
                <w:rFonts w:hint="eastAsia" w:ascii="仿宋" w:hAnsi="仿宋" w:eastAsia="仿宋" w:cs="仿宋"/>
                <w:bCs/>
                <w:color w:val="000000"/>
              </w:rPr>
            </w:pPr>
          </w:p>
          <w:p>
            <w:pPr>
              <w:pStyle w:val="16"/>
              <w:rPr>
                <w:rFonts w:hint="eastAsia" w:ascii="仿宋" w:hAnsi="仿宋" w:eastAsia="仿宋" w:cs="仿宋"/>
                <w:bCs/>
                <w:color w:val="000000"/>
              </w:rPr>
            </w:pPr>
          </w:p>
          <w:p>
            <w:pPr>
              <w:pStyle w:val="16"/>
              <w:rPr>
                <w:rFonts w:hint="eastAsia" w:ascii="仿宋" w:hAnsi="仿宋" w:eastAsia="仿宋" w:cs="仿宋"/>
                <w:bCs/>
                <w:color w:val="000000"/>
              </w:rPr>
            </w:pPr>
          </w:p>
          <w:p>
            <w:pPr>
              <w:pStyle w:val="16"/>
              <w:rPr>
                <w:rFonts w:hint="eastAsia" w:ascii="仿宋" w:hAnsi="仿宋" w:eastAsia="仿宋" w:cs="仿宋"/>
                <w:bCs/>
                <w:color w:val="000000"/>
              </w:rPr>
            </w:pP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邮编：</w:t>
            </w: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2501"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 xml:space="preserve">法定代表人： </w:t>
            </w: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501"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被授权代表：</w:t>
            </w: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被授权代表：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电话：</w:t>
            </w: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2" w:hRule="atLeast"/>
        </w:trPr>
        <w:tc>
          <w:tcPr>
            <w:tcW w:w="2501" w:type="pct"/>
          </w:tcPr>
          <w:p>
            <w:pPr>
              <w:spacing w:line="420" w:lineRule="exact"/>
              <w:rPr>
                <w:rFonts w:hint="eastAsia" w:ascii="仿宋" w:hAnsi="仿宋" w:eastAsia="仿宋" w:cs="仿宋"/>
              </w:rPr>
            </w:pPr>
          </w:p>
          <w:p>
            <w:pPr>
              <w:pStyle w:val="16"/>
              <w:rPr>
                <w:rFonts w:hint="eastAsia" w:ascii="仿宋" w:hAnsi="仿宋" w:eastAsia="仿宋" w:cs="仿宋"/>
                <w:bCs/>
                <w:color w:val="000000"/>
              </w:rPr>
            </w:pPr>
          </w:p>
          <w:p>
            <w:pPr>
              <w:pStyle w:val="16"/>
              <w:rPr>
                <w:rFonts w:hint="eastAsia" w:ascii="仿宋" w:hAnsi="仿宋" w:eastAsia="仿宋" w:cs="仿宋"/>
                <w:bCs/>
                <w:color w:val="000000"/>
              </w:rPr>
            </w:pP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2501"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日期：     年   月   日</w:t>
            </w:r>
          </w:p>
        </w:tc>
        <w:tc>
          <w:tcPr>
            <w:tcW w:w="2498" w:type="pct"/>
          </w:tcPr>
          <w:p>
            <w:pPr>
              <w:spacing w:line="420" w:lineRule="exact"/>
              <w:rPr>
                <w:rFonts w:hint="eastAsia" w:ascii="仿宋" w:hAnsi="仿宋" w:eastAsia="仿宋" w:cs="仿宋"/>
                <w:bCs/>
                <w:color w:val="000000"/>
                <w:sz w:val="24"/>
              </w:rPr>
            </w:pPr>
            <w:r>
              <w:rPr>
                <w:rFonts w:hint="eastAsia" w:ascii="仿宋" w:hAnsi="仿宋" w:eastAsia="仿宋" w:cs="仿宋"/>
                <w:bCs/>
                <w:color w:val="000000"/>
                <w:sz w:val="24"/>
              </w:rPr>
              <w:t>日期：     年   月   日</w:t>
            </w:r>
          </w:p>
        </w:tc>
      </w:tr>
    </w:tbl>
    <w:p>
      <w:pPr>
        <w:tabs>
          <w:tab w:val="left" w:pos="840"/>
        </w:tabs>
        <w:kinsoku w:val="0"/>
        <w:spacing w:line="360" w:lineRule="auto"/>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第 五 部 分  响应文件格式</w:t>
      </w:r>
    </w:p>
    <w:p>
      <w:pPr>
        <w:spacing w:line="360" w:lineRule="auto"/>
        <w:rPr>
          <w:rFonts w:hint="eastAsia" w:ascii="仿宋" w:hAnsi="仿宋" w:eastAsia="仿宋" w:cs="仿宋"/>
          <w:b/>
          <w:sz w:val="28"/>
          <w:szCs w:val="28"/>
        </w:rPr>
      </w:pPr>
      <w:r>
        <w:rPr>
          <w:rFonts w:hint="eastAsia" w:ascii="仿宋" w:hAnsi="仿宋" w:eastAsia="仿宋" w:cs="仿宋"/>
          <w:szCs w:val="21"/>
        </w:rPr>
        <w:t xml:space="preserve">                                                                      </w:t>
      </w:r>
      <w:r>
        <w:rPr>
          <w:rFonts w:hint="eastAsia" w:ascii="仿宋" w:hAnsi="仿宋" w:eastAsia="仿宋" w:cs="仿宋"/>
          <w:b/>
          <w:sz w:val="28"/>
          <w:szCs w:val="28"/>
        </w:rPr>
        <w:t>（正本或副本）</w:t>
      </w:r>
    </w:p>
    <w:p>
      <w:pPr>
        <w:pStyle w:val="24"/>
        <w:rPr>
          <w:rFonts w:hint="eastAsia" w:ascii="仿宋" w:hAnsi="仿宋" w:eastAsia="仿宋" w:cs="仿宋"/>
        </w:rPr>
      </w:pPr>
    </w:p>
    <w:p>
      <w:pPr>
        <w:spacing w:line="720" w:lineRule="auto"/>
        <w:jc w:val="center"/>
        <w:rPr>
          <w:rFonts w:hint="eastAsia" w:ascii="仿宋" w:hAnsi="仿宋" w:eastAsia="仿宋" w:cs="仿宋"/>
          <w:b/>
          <w:bCs/>
          <w:sz w:val="52"/>
          <w:szCs w:val="52"/>
        </w:rPr>
      </w:pPr>
      <w:r>
        <w:rPr>
          <w:rFonts w:hint="eastAsia" w:ascii="仿宋" w:hAnsi="仿宋" w:eastAsia="仿宋" w:cs="仿宋"/>
          <w:b/>
          <w:bCs/>
          <w:sz w:val="48"/>
          <w:szCs w:val="48"/>
        </w:rPr>
        <w:t>甘泉县自然资源局2022年地质灾害普适型监测预警建设项目</w:t>
      </w:r>
    </w:p>
    <w:p>
      <w:pPr>
        <w:spacing w:line="360" w:lineRule="atLeast"/>
        <w:rPr>
          <w:rFonts w:hint="eastAsia" w:ascii="仿宋" w:hAnsi="仿宋" w:eastAsia="仿宋" w:cs="仿宋"/>
          <w:b/>
          <w:bCs/>
          <w:sz w:val="24"/>
        </w:rPr>
      </w:pPr>
    </w:p>
    <w:p>
      <w:pPr>
        <w:rPr>
          <w:rFonts w:hint="eastAsia" w:ascii="仿宋" w:hAnsi="仿宋" w:eastAsia="仿宋" w:cs="仿宋"/>
          <w:sz w:val="52"/>
          <w:szCs w:val="52"/>
        </w:rPr>
      </w:pPr>
    </w:p>
    <w:p>
      <w:pPr>
        <w:rPr>
          <w:rFonts w:hint="eastAsia" w:ascii="仿宋" w:hAnsi="仿宋" w:eastAsia="仿宋" w:cs="仿宋"/>
          <w:sz w:val="52"/>
          <w:szCs w:val="52"/>
        </w:rPr>
      </w:pPr>
    </w:p>
    <w:p>
      <w:pPr>
        <w:pStyle w:val="23"/>
        <w:rPr>
          <w:rFonts w:hint="eastAsia" w:ascii="仿宋" w:hAnsi="仿宋" w:eastAsia="仿宋" w:cs="仿宋"/>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竞争性磋商响应文件</w:t>
      </w:r>
    </w:p>
    <w:p>
      <w:pPr>
        <w:spacing w:line="570" w:lineRule="exact"/>
        <w:ind w:firstLine="2811" w:firstLineChars="1000"/>
        <w:rPr>
          <w:rFonts w:hint="eastAsia" w:ascii="仿宋" w:hAnsi="仿宋" w:eastAsia="仿宋" w:cs="仿宋"/>
          <w:b/>
          <w:bCs/>
          <w:sz w:val="28"/>
          <w:szCs w:val="28"/>
        </w:rPr>
      </w:pPr>
      <w:r>
        <w:rPr>
          <w:rFonts w:hint="eastAsia" w:ascii="仿宋" w:hAnsi="仿宋" w:eastAsia="仿宋" w:cs="仿宋"/>
          <w:b/>
          <w:bCs/>
          <w:sz w:val="28"/>
          <w:szCs w:val="28"/>
        </w:rPr>
        <w:t>采购项目编号:JRZC-2022071</w:t>
      </w:r>
    </w:p>
    <w:p>
      <w:pPr>
        <w:spacing w:line="360" w:lineRule="atLeast"/>
        <w:rPr>
          <w:rFonts w:hint="eastAsia" w:ascii="仿宋" w:hAnsi="仿宋" w:eastAsia="仿宋" w:cs="仿宋"/>
          <w:sz w:val="52"/>
          <w:szCs w:val="52"/>
        </w:rPr>
      </w:pPr>
    </w:p>
    <w:p>
      <w:pPr>
        <w:pStyle w:val="23"/>
        <w:rPr>
          <w:rFonts w:hint="eastAsia" w:ascii="仿宋" w:hAnsi="仿宋" w:eastAsia="仿宋" w:cs="仿宋"/>
        </w:rPr>
      </w:pP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供   应  商：</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（盖单位公章）</w:t>
      </w: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法定代表人或</w:t>
      </w: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其委托代理人：</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（签字或盖章）</w:t>
      </w:r>
    </w:p>
    <w:p>
      <w:pPr>
        <w:spacing w:line="720" w:lineRule="auto"/>
        <w:rPr>
          <w:rFonts w:hint="eastAsia" w:ascii="仿宋" w:hAnsi="仿宋" w:eastAsia="仿宋" w:cs="仿宋"/>
        </w:rPr>
      </w:pPr>
      <w:r>
        <w:rPr>
          <w:rFonts w:hint="eastAsia" w:ascii="仿宋" w:hAnsi="仿宋" w:eastAsia="仿宋" w:cs="仿宋"/>
          <w:b/>
          <w:bCs/>
          <w:spacing w:val="20"/>
          <w:sz w:val="30"/>
          <w:szCs w:val="30"/>
        </w:rPr>
        <w:t>日       期：</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年</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月</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 xml:space="preserve">日 </w:t>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目     录</w:t>
      </w:r>
    </w:p>
    <w:p>
      <w:pPr>
        <w:spacing w:line="360" w:lineRule="atLeast"/>
        <w:ind w:firstLine="3698" w:firstLineChars="1151"/>
        <w:rPr>
          <w:rFonts w:hint="eastAsia" w:ascii="仿宋" w:hAnsi="仿宋" w:eastAsia="仿宋" w:cs="仿宋"/>
          <w:b/>
          <w:sz w:val="32"/>
          <w:szCs w:val="32"/>
        </w:rPr>
      </w:pPr>
    </w:p>
    <w:p>
      <w:pPr>
        <w:spacing w:line="360" w:lineRule="atLeast"/>
        <w:rPr>
          <w:rFonts w:hint="eastAsia" w:ascii="仿宋" w:hAnsi="仿宋" w:eastAsia="仿宋" w:cs="仿宋"/>
        </w:rPr>
      </w:pPr>
    </w:p>
    <w:p>
      <w:pPr>
        <w:pStyle w:val="10"/>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第一部分   响应函</w:t>
      </w:r>
    </w:p>
    <w:p>
      <w:pPr>
        <w:pStyle w:val="10"/>
        <w:spacing w:line="500" w:lineRule="exact"/>
        <w:rPr>
          <w:rFonts w:hint="eastAsia" w:ascii="仿宋" w:hAnsi="仿宋" w:eastAsia="仿宋" w:cs="仿宋"/>
          <w:b/>
          <w:bCs/>
          <w:color w:val="000000"/>
          <w:sz w:val="30"/>
          <w:szCs w:val="30"/>
        </w:rPr>
      </w:pPr>
    </w:p>
    <w:p>
      <w:pPr>
        <w:spacing w:line="360" w:lineRule="atLeast"/>
        <w:ind w:firstLine="2259" w:firstLineChars="750"/>
        <w:rPr>
          <w:rFonts w:hint="eastAsia" w:ascii="仿宋" w:hAnsi="仿宋" w:eastAsia="仿宋" w:cs="仿宋"/>
          <w:b/>
          <w:sz w:val="30"/>
          <w:szCs w:val="30"/>
        </w:rPr>
      </w:pPr>
      <w:r>
        <w:rPr>
          <w:rFonts w:hint="eastAsia" w:ascii="仿宋" w:hAnsi="仿宋" w:eastAsia="仿宋" w:cs="仿宋"/>
          <w:b/>
          <w:sz w:val="30"/>
          <w:szCs w:val="30"/>
        </w:rPr>
        <w:t>第二部分   响应一览表</w:t>
      </w:r>
    </w:p>
    <w:p>
      <w:pPr>
        <w:pStyle w:val="10"/>
        <w:spacing w:line="500" w:lineRule="exact"/>
        <w:rPr>
          <w:rFonts w:hint="eastAsia" w:ascii="仿宋" w:hAnsi="仿宋" w:eastAsia="仿宋" w:cs="仿宋"/>
          <w:b/>
          <w:sz w:val="30"/>
          <w:szCs w:val="30"/>
        </w:rPr>
      </w:pPr>
    </w:p>
    <w:p>
      <w:pPr>
        <w:pStyle w:val="10"/>
        <w:spacing w:line="500" w:lineRule="exact"/>
        <w:ind w:firstLine="3927" w:firstLineChars="1304"/>
        <w:rPr>
          <w:rFonts w:hint="eastAsia" w:ascii="仿宋" w:hAnsi="仿宋" w:eastAsia="仿宋" w:cs="仿宋"/>
          <w:b/>
          <w:sz w:val="30"/>
          <w:szCs w:val="30"/>
        </w:rPr>
      </w:pPr>
      <w:r>
        <w:rPr>
          <w:rFonts w:hint="eastAsia" w:ascii="仿宋" w:hAnsi="仿宋" w:eastAsia="仿宋" w:cs="仿宋"/>
          <w:b/>
          <w:sz w:val="30"/>
          <w:szCs w:val="30"/>
        </w:rPr>
        <w:t>分项报价表</w:t>
      </w:r>
    </w:p>
    <w:p>
      <w:pPr>
        <w:pStyle w:val="10"/>
        <w:spacing w:line="500" w:lineRule="exact"/>
        <w:rPr>
          <w:rFonts w:hint="eastAsia" w:ascii="仿宋" w:hAnsi="仿宋" w:eastAsia="仿宋" w:cs="仿宋"/>
          <w:b/>
          <w:sz w:val="30"/>
          <w:szCs w:val="30"/>
        </w:rPr>
      </w:pPr>
    </w:p>
    <w:p>
      <w:pPr>
        <w:pStyle w:val="10"/>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 xml:space="preserve">第三部分   </w:t>
      </w:r>
      <w:r>
        <w:rPr>
          <w:rFonts w:hint="eastAsia" w:ascii="仿宋" w:hAnsi="仿宋" w:eastAsia="仿宋" w:cs="仿宋"/>
          <w:b/>
          <w:color w:val="000000"/>
          <w:kern w:val="0"/>
          <w:sz w:val="30"/>
          <w:szCs w:val="30"/>
        </w:rPr>
        <w:t>法定代表人证明书与授权书</w:t>
      </w:r>
    </w:p>
    <w:p>
      <w:pPr>
        <w:pStyle w:val="10"/>
        <w:spacing w:line="500" w:lineRule="exact"/>
        <w:rPr>
          <w:rFonts w:hint="eastAsia" w:ascii="仿宋" w:hAnsi="仿宋" w:eastAsia="仿宋" w:cs="仿宋"/>
          <w:b/>
          <w:bCs/>
          <w:color w:val="000000"/>
          <w:sz w:val="30"/>
          <w:szCs w:val="30"/>
        </w:rPr>
      </w:pPr>
    </w:p>
    <w:p>
      <w:pPr>
        <w:pStyle w:val="10"/>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第四部分   供应商资质证明文件</w:t>
      </w:r>
    </w:p>
    <w:p>
      <w:pPr>
        <w:pStyle w:val="10"/>
        <w:spacing w:line="500" w:lineRule="exact"/>
        <w:rPr>
          <w:rFonts w:hint="eastAsia" w:ascii="仿宋" w:hAnsi="仿宋" w:eastAsia="仿宋" w:cs="仿宋"/>
          <w:b/>
          <w:bCs/>
          <w:color w:val="000000"/>
          <w:sz w:val="30"/>
          <w:szCs w:val="30"/>
        </w:rPr>
      </w:pPr>
    </w:p>
    <w:p>
      <w:pPr>
        <w:pStyle w:val="10"/>
        <w:spacing w:line="500" w:lineRule="exact"/>
        <w:ind w:firstLine="2259" w:firstLineChars="750"/>
        <w:rPr>
          <w:rFonts w:hint="eastAsia" w:ascii="仿宋" w:hAnsi="仿宋" w:eastAsia="仿宋" w:cs="仿宋"/>
          <w:b/>
          <w:sz w:val="30"/>
          <w:szCs w:val="30"/>
        </w:rPr>
      </w:pPr>
      <w:r>
        <w:rPr>
          <w:rFonts w:hint="eastAsia" w:ascii="仿宋" w:hAnsi="仿宋" w:eastAsia="仿宋" w:cs="仿宋"/>
          <w:b/>
          <w:sz w:val="30"/>
          <w:szCs w:val="30"/>
        </w:rPr>
        <w:t>第五部分   磋商技术响应方案</w:t>
      </w:r>
    </w:p>
    <w:p>
      <w:pPr>
        <w:pStyle w:val="10"/>
        <w:spacing w:line="500" w:lineRule="exact"/>
        <w:ind w:firstLine="2244" w:firstLineChars="745"/>
        <w:rPr>
          <w:rFonts w:hint="eastAsia" w:ascii="仿宋" w:hAnsi="仿宋" w:eastAsia="仿宋" w:cs="仿宋"/>
          <w:b/>
          <w:bCs/>
          <w:color w:val="000000"/>
          <w:sz w:val="30"/>
          <w:szCs w:val="30"/>
        </w:rPr>
      </w:pPr>
    </w:p>
    <w:p>
      <w:pPr>
        <w:pStyle w:val="10"/>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第六部分   商务响应方案</w:t>
      </w:r>
    </w:p>
    <w:p>
      <w:pPr>
        <w:pStyle w:val="10"/>
        <w:spacing w:line="500" w:lineRule="exact"/>
        <w:ind w:firstLine="2244" w:firstLineChars="745"/>
        <w:rPr>
          <w:rFonts w:hint="eastAsia" w:ascii="仿宋" w:hAnsi="仿宋" w:eastAsia="仿宋" w:cs="仿宋"/>
          <w:b/>
          <w:bCs/>
          <w:color w:val="000000"/>
          <w:sz w:val="30"/>
          <w:szCs w:val="30"/>
        </w:rPr>
      </w:pPr>
    </w:p>
    <w:p>
      <w:pPr>
        <w:pStyle w:val="10"/>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第七部分   供应商承诺书</w:t>
      </w:r>
    </w:p>
    <w:p>
      <w:pPr>
        <w:pStyle w:val="10"/>
        <w:spacing w:line="500" w:lineRule="exact"/>
        <w:rPr>
          <w:rFonts w:hint="eastAsia" w:ascii="仿宋" w:hAnsi="仿宋" w:eastAsia="仿宋" w:cs="仿宋"/>
          <w:b/>
          <w:bCs/>
          <w:color w:val="000000"/>
          <w:sz w:val="30"/>
          <w:szCs w:val="30"/>
        </w:rPr>
      </w:pPr>
    </w:p>
    <w:p>
      <w:pPr>
        <w:spacing w:line="360" w:lineRule="atLeast"/>
        <w:rPr>
          <w:rFonts w:hint="eastAsia" w:ascii="仿宋" w:hAnsi="仿宋" w:eastAsia="仿宋" w:cs="仿宋"/>
          <w:b/>
          <w:sz w:val="32"/>
        </w:rPr>
      </w:pPr>
    </w:p>
    <w:p>
      <w:pPr>
        <w:pStyle w:val="12"/>
        <w:ind w:left="0" w:leftChars="0"/>
        <w:rPr>
          <w:rFonts w:hint="eastAsia" w:ascii="仿宋" w:hAnsi="仿宋" w:eastAsia="仿宋" w:cs="仿宋"/>
          <w:b/>
          <w:sz w:val="32"/>
          <w:szCs w:val="32"/>
        </w:rPr>
      </w:pPr>
    </w:p>
    <w:p>
      <w:pPr>
        <w:pStyle w:val="12"/>
        <w:ind w:left="0" w:leftChars="0"/>
        <w:rPr>
          <w:rFonts w:hint="eastAsia" w:ascii="仿宋" w:hAnsi="仿宋" w:eastAsia="仿宋" w:cs="仿宋"/>
          <w:b/>
          <w:sz w:val="32"/>
          <w:szCs w:val="32"/>
        </w:rPr>
      </w:pPr>
    </w:p>
    <w:p>
      <w:pPr>
        <w:pStyle w:val="12"/>
        <w:ind w:left="0" w:leftChars="0"/>
        <w:rPr>
          <w:rFonts w:hint="eastAsia" w:ascii="仿宋" w:hAnsi="仿宋" w:eastAsia="仿宋" w:cs="仿宋"/>
          <w:b/>
          <w:sz w:val="32"/>
          <w:szCs w:val="32"/>
        </w:rPr>
      </w:pPr>
    </w:p>
    <w:p>
      <w:pPr>
        <w:pStyle w:val="12"/>
        <w:ind w:left="0" w:leftChars="0"/>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 xml:space="preserve">第一部分   响应函 </w:t>
      </w:r>
    </w:p>
    <w:p>
      <w:pPr>
        <w:kinsoku w:val="0"/>
        <w:spacing w:line="500" w:lineRule="exact"/>
        <w:rPr>
          <w:rFonts w:hint="eastAsia" w:ascii="仿宋" w:hAnsi="仿宋" w:eastAsia="仿宋" w:cs="仿宋"/>
          <w:sz w:val="24"/>
        </w:rPr>
      </w:pPr>
      <w:r>
        <w:rPr>
          <w:rFonts w:hint="eastAsia" w:ascii="仿宋" w:hAnsi="仿宋" w:eastAsia="仿宋" w:cs="仿宋"/>
          <w:spacing w:val="-6"/>
          <w:sz w:val="24"/>
        </w:rPr>
        <w:t>陕西炬荣招标代理有限公司</w:t>
      </w:r>
      <w:r>
        <w:rPr>
          <w:rFonts w:hint="eastAsia" w:ascii="仿宋" w:hAnsi="仿宋" w:eastAsia="仿宋" w:cs="仿宋"/>
          <w:sz w:val="24"/>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我公司收到贵单</w:t>
      </w:r>
      <w:r>
        <w:rPr>
          <w:rFonts w:hint="eastAsia" w:ascii="仿宋" w:hAnsi="仿宋" w:eastAsia="仿宋" w:cs="仿宋"/>
          <w:spacing w:val="-6"/>
          <w:sz w:val="24"/>
        </w:rPr>
        <w:t>位</w:t>
      </w:r>
      <w:r>
        <w:rPr>
          <w:rFonts w:hint="eastAsia" w:ascii="仿宋" w:hAnsi="仿宋" w:eastAsia="仿宋" w:cs="仿宋"/>
          <w:spacing w:val="-6"/>
          <w:sz w:val="24"/>
          <w:u w:val="single"/>
        </w:rPr>
        <w:t xml:space="preserve">       </w:t>
      </w:r>
      <w:r>
        <w:rPr>
          <w:rFonts w:hint="eastAsia" w:ascii="仿宋" w:hAnsi="仿宋" w:eastAsia="仿宋" w:cs="仿宋"/>
          <w:sz w:val="24"/>
        </w:rPr>
        <w:t>号磋商文件，经详细研究，决定参加本次磋商活动。为此，我方郑重声明以下几点，并愿负法律责任。</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1、按照磋商文件中的一切要求，提供完全满足采购需求的合格服务和全面技术保障；</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2、如若成交，将根据磋商文件的要求、响应文件及承诺条件，全面签约并履行合同规定的责任和义务；</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3、我方提交的响应文件</w:t>
      </w:r>
      <w:r>
        <w:rPr>
          <w:rFonts w:hint="eastAsia" w:ascii="仿宋" w:hAnsi="仿宋" w:eastAsia="仿宋" w:cs="仿宋"/>
          <w:color w:val="000000"/>
          <w:sz w:val="24"/>
        </w:rPr>
        <w:t>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份，其中正本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份，副本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份，资质证明文件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4、我方按磋商文件要求交纳保证金为（人民币）：</w:t>
      </w:r>
      <w:r>
        <w:rPr>
          <w:rFonts w:hint="eastAsia" w:ascii="仿宋" w:hAnsi="仿宋" w:eastAsia="仿宋" w:cs="仿宋"/>
          <w:sz w:val="24"/>
          <w:u w:val="single"/>
        </w:rPr>
        <w:t xml:space="preserve">   </w:t>
      </w:r>
      <w:r>
        <w:rPr>
          <w:rFonts w:hint="eastAsia" w:ascii="仿宋" w:hAnsi="仿宋" w:eastAsia="仿宋" w:cs="仿宋"/>
          <w:sz w:val="24"/>
        </w:rPr>
        <w:t>元；</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5、我方已详细阅读和核实全部磋商文件内容，完全理解并同意放弃提出含糊不清和误解问题的权力；</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6、同意提供贵方要求的与本次磋商有关的任何证明资料；</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7、我方的响应文件在磋商之日计算有效为九十（90）个日历日；</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8、所有关于本次磋商的函电，请按下列地址、方式联系：</w:t>
      </w:r>
    </w:p>
    <w:p>
      <w:pPr>
        <w:kinsoku w:val="0"/>
        <w:snapToGrid w:val="0"/>
        <w:spacing w:line="360" w:lineRule="auto"/>
        <w:ind w:firstLine="425"/>
        <w:rPr>
          <w:rFonts w:hint="eastAsia" w:ascii="仿宋" w:hAnsi="仿宋" w:eastAsia="仿宋" w:cs="仿宋"/>
          <w:sz w:val="24"/>
        </w:rPr>
      </w:pPr>
    </w:p>
    <w:p>
      <w:pPr>
        <w:kinsoku w:val="0"/>
        <w:snapToGrid w:val="0"/>
        <w:spacing w:line="360" w:lineRule="auto"/>
        <w:ind w:firstLine="425"/>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p>
    <w:p>
      <w:pPr>
        <w:kinsoku w:val="0"/>
        <w:snapToGrid w:val="0"/>
        <w:spacing w:line="360" w:lineRule="auto"/>
        <w:ind w:firstLine="425"/>
        <w:rPr>
          <w:rFonts w:hint="eastAsia" w:ascii="仿宋" w:hAnsi="仿宋" w:eastAsia="仿宋" w:cs="仿宋"/>
          <w:sz w:val="24"/>
          <w:u w:val="single"/>
        </w:rPr>
      </w:pPr>
      <w:r>
        <w:rPr>
          <w:rFonts w:hint="eastAsia" w:ascii="仿宋" w:hAnsi="仿宋" w:eastAsia="仿宋" w:cs="仿宋"/>
          <w:sz w:val="24"/>
        </w:rPr>
        <w:t>电    话：</w:t>
      </w:r>
      <w:r>
        <w:rPr>
          <w:rFonts w:hint="eastAsia" w:ascii="仿宋" w:hAnsi="仿宋" w:eastAsia="仿宋" w:cs="仿宋"/>
          <w:sz w:val="24"/>
          <w:u w:val="single"/>
        </w:rPr>
        <w:t xml:space="preserve">                           </w:t>
      </w:r>
    </w:p>
    <w:p>
      <w:pPr>
        <w:kinsoku w:val="0"/>
        <w:snapToGrid w:val="0"/>
        <w:spacing w:line="360" w:lineRule="auto"/>
        <w:ind w:firstLine="425"/>
        <w:rPr>
          <w:rFonts w:hint="eastAsia" w:ascii="仿宋" w:hAnsi="仿宋" w:eastAsia="仿宋" w:cs="仿宋"/>
          <w:sz w:val="24"/>
          <w:u w:val="single"/>
        </w:rPr>
      </w:pPr>
      <w:r>
        <w:rPr>
          <w:rFonts w:hint="eastAsia" w:ascii="仿宋" w:hAnsi="仿宋" w:eastAsia="仿宋" w:cs="仿宋"/>
          <w:sz w:val="24"/>
        </w:rPr>
        <w:t>传    真：</w:t>
      </w:r>
      <w:r>
        <w:rPr>
          <w:rFonts w:hint="eastAsia" w:ascii="仿宋" w:hAnsi="仿宋" w:eastAsia="仿宋" w:cs="仿宋"/>
          <w:sz w:val="24"/>
          <w:u w:val="single"/>
        </w:rPr>
        <w:t xml:space="preserve">                            </w:t>
      </w:r>
    </w:p>
    <w:p>
      <w:pPr>
        <w:kinsoku w:val="0"/>
        <w:snapToGrid w:val="0"/>
        <w:spacing w:line="360" w:lineRule="auto"/>
        <w:ind w:firstLine="425"/>
        <w:rPr>
          <w:rFonts w:hint="eastAsia"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p>
    <w:p>
      <w:pPr>
        <w:kinsoku w:val="0"/>
        <w:spacing w:line="440" w:lineRule="exact"/>
        <w:ind w:firstLine="425"/>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（公章）</w:t>
      </w:r>
    </w:p>
    <w:p>
      <w:pPr>
        <w:kinsoku w:val="0"/>
        <w:spacing w:line="440" w:lineRule="exact"/>
        <w:ind w:firstLine="425"/>
        <w:rPr>
          <w:rFonts w:hint="eastAsia" w:ascii="仿宋" w:hAnsi="仿宋" w:eastAsia="仿宋" w:cs="仿宋"/>
          <w:sz w:val="24"/>
          <w:u w:val="single"/>
        </w:rPr>
      </w:pPr>
      <w:r>
        <w:rPr>
          <w:rFonts w:hint="eastAsia" w:ascii="仿宋" w:hAnsi="仿宋" w:eastAsia="仿宋" w:cs="仿宋"/>
          <w:sz w:val="24"/>
        </w:rPr>
        <w:t>法定代表人/被授权人（签字或盖章）：</w:t>
      </w:r>
      <w:r>
        <w:rPr>
          <w:rFonts w:hint="eastAsia" w:ascii="仿宋" w:hAnsi="仿宋" w:eastAsia="仿宋" w:cs="仿宋"/>
          <w:sz w:val="24"/>
          <w:u w:val="single"/>
        </w:rPr>
        <w:t xml:space="preserve">                </w:t>
      </w:r>
    </w:p>
    <w:p>
      <w:pPr>
        <w:kinsoku w:val="0"/>
        <w:spacing w:line="440" w:lineRule="exact"/>
        <w:rPr>
          <w:rFonts w:hint="eastAsia" w:ascii="仿宋" w:hAnsi="仿宋" w:eastAsia="仿宋" w:cs="仿宋"/>
          <w:sz w:val="24"/>
          <w:u w:val="single"/>
        </w:rPr>
      </w:pPr>
    </w:p>
    <w:p>
      <w:pPr>
        <w:kinsoku w:val="0"/>
        <w:spacing w:line="440" w:lineRule="exact"/>
        <w:ind w:firstLine="57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tLeast"/>
        <w:rPr>
          <w:rFonts w:hint="eastAsia" w:ascii="仿宋" w:hAnsi="仿宋" w:eastAsia="仿宋" w:cs="仿宋"/>
          <w:sz w:val="24"/>
        </w:rPr>
        <w:sectPr>
          <w:pgSz w:w="11906" w:h="16838"/>
          <w:pgMar w:top="1559" w:right="1134" w:bottom="1020" w:left="1321" w:header="851" w:footer="992" w:gutter="0"/>
          <w:cols w:space="720" w:num="1"/>
          <w:docGrid w:type="lines" w:linePitch="312" w:charSpace="0"/>
        </w:sect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第二部分 响应一览表</w:t>
      </w:r>
    </w:p>
    <w:tbl>
      <w:tblPr>
        <w:tblStyle w:val="18"/>
        <w:tblpPr w:leftFromText="181" w:rightFromText="181" w:vertAnchor="text" w:horzAnchor="page" w:tblpXSpec="center" w:tblpY="46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935" w:type="dxa"/>
            <w:vAlign w:val="center"/>
          </w:tcPr>
          <w:p>
            <w:pPr>
              <w:ind w:left="1320" w:hanging="1320" w:hangingChars="500"/>
              <w:jc w:val="center"/>
              <w:rPr>
                <w:rFonts w:hint="eastAsia" w:ascii="仿宋" w:hAnsi="仿宋" w:eastAsia="仿宋" w:cs="仿宋"/>
                <w:spacing w:val="12"/>
                <w:sz w:val="24"/>
              </w:rPr>
            </w:pPr>
            <w:r>
              <w:rPr>
                <w:rFonts w:hint="eastAsia" w:ascii="仿宋" w:hAnsi="仿宋" w:eastAsia="仿宋" w:cs="仿宋"/>
                <w:spacing w:val="12"/>
                <w:sz w:val="24"/>
              </w:rPr>
              <w:t>项目名称</w:t>
            </w:r>
          </w:p>
        </w:tc>
        <w:tc>
          <w:tcPr>
            <w:tcW w:w="7065"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35" w:type="dxa"/>
            <w:vAlign w:val="center"/>
          </w:tcPr>
          <w:p>
            <w:pPr>
              <w:jc w:val="center"/>
              <w:rPr>
                <w:rFonts w:hint="eastAsia" w:ascii="仿宋" w:hAnsi="仿宋" w:eastAsia="仿宋" w:cs="仿宋"/>
                <w:spacing w:val="12"/>
                <w:sz w:val="24"/>
              </w:rPr>
            </w:pPr>
            <w:r>
              <w:rPr>
                <w:rFonts w:hint="eastAsia" w:ascii="仿宋" w:hAnsi="仿宋" w:eastAsia="仿宋" w:cs="仿宋"/>
                <w:spacing w:val="12"/>
                <w:sz w:val="24"/>
              </w:rPr>
              <w:t>供应商名称</w:t>
            </w:r>
          </w:p>
        </w:tc>
        <w:tc>
          <w:tcPr>
            <w:tcW w:w="7065" w:type="dxa"/>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vAlign w:val="center"/>
          </w:tcPr>
          <w:p>
            <w:pPr>
              <w:jc w:val="center"/>
              <w:rPr>
                <w:rFonts w:hint="eastAsia" w:ascii="仿宋" w:hAnsi="仿宋" w:eastAsia="仿宋" w:cs="仿宋"/>
                <w:spacing w:val="12"/>
                <w:sz w:val="24"/>
              </w:rPr>
            </w:pPr>
            <w:r>
              <w:rPr>
                <w:rFonts w:hint="eastAsia" w:ascii="仿宋" w:hAnsi="仿宋" w:eastAsia="仿宋" w:cs="仿宋"/>
                <w:spacing w:val="12"/>
                <w:sz w:val="24"/>
              </w:rPr>
              <w:t>报价(小写元)</w:t>
            </w:r>
          </w:p>
        </w:tc>
        <w:tc>
          <w:tcPr>
            <w:tcW w:w="7065" w:type="dxa"/>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vAlign w:val="center"/>
          </w:tcPr>
          <w:p>
            <w:pPr>
              <w:jc w:val="center"/>
              <w:rPr>
                <w:rFonts w:hint="eastAsia" w:ascii="仿宋" w:hAnsi="仿宋" w:eastAsia="仿宋" w:cs="仿宋"/>
                <w:spacing w:val="12"/>
                <w:sz w:val="24"/>
              </w:rPr>
            </w:pPr>
            <w:r>
              <w:rPr>
                <w:rFonts w:hint="eastAsia" w:ascii="仿宋" w:hAnsi="仿宋" w:eastAsia="仿宋" w:cs="仿宋"/>
                <w:spacing w:val="12"/>
                <w:sz w:val="24"/>
              </w:rPr>
              <w:t>报价(大写元)</w:t>
            </w:r>
          </w:p>
        </w:tc>
        <w:tc>
          <w:tcPr>
            <w:tcW w:w="7065" w:type="dxa"/>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vAlign w:val="center"/>
          </w:tcPr>
          <w:p>
            <w:pPr>
              <w:jc w:val="center"/>
              <w:rPr>
                <w:rFonts w:hint="eastAsia" w:ascii="仿宋" w:hAnsi="仿宋" w:eastAsia="仿宋" w:cs="仿宋"/>
                <w:spacing w:val="12"/>
                <w:sz w:val="24"/>
                <w:lang w:eastAsia="zh-CN"/>
              </w:rPr>
            </w:pPr>
            <w:r>
              <w:rPr>
                <w:rFonts w:hint="eastAsia" w:ascii="仿宋" w:hAnsi="仿宋" w:eastAsia="仿宋" w:cs="仿宋"/>
                <w:spacing w:val="12"/>
                <w:sz w:val="24"/>
                <w:highlight w:val="none"/>
              </w:rPr>
              <w:t>工期</w:t>
            </w:r>
            <w:r>
              <w:rPr>
                <w:rFonts w:hint="eastAsia" w:ascii="仿宋" w:hAnsi="仿宋" w:eastAsia="仿宋" w:cs="仿宋"/>
                <w:spacing w:val="12"/>
                <w:sz w:val="24"/>
                <w:highlight w:val="none"/>
                <w:lang w:eastAsia="zh-CN"/>
              </w:rPr>
              <w:t>（</w:t>
            </w:r>
            <w:r>
              <w:rPr>
                <w:rFonts w:hint="eastAsia" w:ascii="仿宋" w:hAnsi="仿宋" w:eastAsia="仿宋" w:cs="仿宋"/>
                <w:spacing w:val="12"/>
                <w:sz w:val="24"/>
                <w:highlight w:val="none"/>
                <w:lang w:val="en-US" w:eastAsia="zh-CN"/>
              </w:rPr>
              <w:t>天</w:t>
            </w:r>
            <w:r>
              <w:rPr>
                <w:rFonts w:hint="eastAsia" w:ascii="仿宋" w:hAnsi="仿宋" w:eastAsia="仿宋" w:cs="仿宋"/>
                <w:spacing w:val="12"/>
                <w:sz w:val="24"/>
                <w:highlight w:val="none"/>
                <w:lang w:eastAsia="zh-CN"/>
              </w:rPr>
              <w:t>）</w:t>
            </w:r>
          </w:p>
        </w:tc>
        <w:tc>
          <w:tcPr>
            <w:tcW w:w="7065" w:type="dxa"/>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5" w:type="dxa"/>
            <w:vAlign w:val="center"/>
          </w:tcPr>
          <w:p>
            <w:pPr>
              <w:jc w:val="center"/>
              <w:rPr>
                <w:rFonts w:hint="eastAsia" w:ascii="仿宋" w:hAnsi="仿宋" w:eastAsia="仿宋" w:cs="仿宋"/>
                <w:spacing w:val="12"/>
                <w:sz w:val="24"/>
                <w:lang w:eastAsia="zh-CN"/>
              </w:rPr>
            </w:pPr>
            <w:r>
              <w:rPr>
                <w:rFonts w:hint="eastAsia" w:ascii="仿宋" w:hAnsi="仿宋" w:eastAsia="仿宋" w:cs="仿宋"/>
                <w:spacing w:val="12"/>
                <w:sz w:val="24"/>
              </w:rPr>
              <w:t>服务期</w:t>
            </w:r>
            <w:r>
              <w:rPr>
                <w:rFonts w:hint="eastAsia" w:ascii="仿宋" w:hAnsi="仿宋" w:eastAsia="仿宋" w:cs="仿宋"/>
                <w:spacing w:val="12"/>
                <w:sz w:val="24"/>
                <w:lang w:eastAsia="zh-CN"/>
              </w:rPr>
              <w:t>（</w:t>
            </w:r>
            <w:r>
              <w:rPr>
                <w:rFonts w:hint="eastAsia" w:ascii="仿宋" w:hAnsi="仿宋" w:eastAsia="仿宋" w:cs="仿宋"/>
                <w:spacing w:val="12"/>
                <w:sz w:val="24"/>
                <w:lang w:val="en-US" w:eastAsia="zh-CN"/>
              </w:rPr>
              <w:t>年</w:t>
            </w:r>
            <w:r>
              <w:rPr>
                <w:rFonts w:hint="eastAsia" w:ascii="仿宋" w:hAnsi="仿宋" w:eastAsia="仿宋" w:cs="仿宋"/>
                <w:spacing w:val="12"/>
                <w:sz w:val="24"/>
                <w:lang w:eastAsia="zh-CN"/>
              </w:rPr>
              <w:t>）</w:t>
            </w:r>
          </w:p>
        </w:tc>
        <w:tc>
          <w:tcPr>
            <w:tcW w:w="7065" w:type="dxa"/>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jc w:val="center"/>
        </w:trPr>
        <w:tc>
          <w:tcPr>
            <w:tcW w:w="1935" w:type="dxa"/>
            <w:textDirection w:val="tbRlV"/>
            <w:vAlign w:val="center"/>
          </w:tcPr>
          <w:p>
            <w:pPr>
              <w:spacing w:before="558" w:beforeLines="179" w:after="517" w:afterLines="166"/>
              <w:ind w:right="113"/>
              <w:jc w:val="center"/>
              <w:rPr>
                <w:rFonts w:hint="eastAsia" w:ascii="仿宋" w:hAnsi="仿宋" w:eastAsia="仿宋" w:cs="仿宋"/>
                <w:spacing w:val="12"/>
                <w:sz w:val="24"/>
              </w:rPr>
            </w:pPr>
            <w:r>
              <w:rPr>
                <w:rFonts w:hint="eastAsia" w:ascii="仿宋" w:hAnsi="仿宋" w:eastAsia="仿宋" w:cs="仿宋"/>
                <w:spacing w:val="12"/>
                <w:sz w:val="24"/>
              </w:rPr>
              <w:t>说   明</w:t>
            </w:r>
          </w:p>
        </w:tc>
        <w:tc>
          <w:tcPr>
            <w:tcW w:w="7065" w:type="dxa"/>
          </w:tcPr>
          <w:p>
            <w:pPr>
              <w:pStyle w:val="11"/>
              <w:ind w:left="5250"/>
              <w:rPr>
                <w:rFonts w:hint="eastAsia" w:ascii="仿宋" w:hAnsi="仿宋" w:eastAsia="仿宋" w:cs="仿宋"/>
                <w:bCs/>
                <w:spacing w:val="12"/>
              </w:rPr>
            </w:pPr>
          </w:p>
          <w:p>
            <w:pPr>
              <w:rPr>
                <w:rFonts w:hint="eastAsia" w:ascii="仿宋" w:hAnsi="仿宋" w:eastAsia="仿宋" w:cs="仿宋"/>
                <w:spacing w:val="12"/>
                <w:sz w:val="24"/>
              </w:rPr>
            </w:pPr>
          </w:p>
          <w:p>
            <w:pPr>
              <w:rPr>
                <w:rFonts w:hint="eastAsia" w:ascii="仿宋" w:hAnsi="仿宋" w:eastAsia="仿宋" w:cs="仿宋"/>
                <w:spacing w:val="12"/>
                <w:sz w:val="24"/>
              </w:rPr>
            </w:pPr>
          </w:p>
        </w:tc>
      </w:tr>
    </w:tbl>
    <w:p>
      <w:pPr>
        <w:kinsoku w:val="0"/>
        <w:spacing w:line="500" w:lineRule="exact"/>
        <w:rPr>
          <w:rFonts w:hint="eastAsia" w:ascii="仿宋" w:hAnsi="仿宋" w:eastAsia="仿宋" w:cs="仿宋"/>
          <w:sz w:val="24"/>
        </w:rPr>
      </w:pPr>
      <w:r>
        <w:rPr>
          <w:rFonts w:hint="eastAsia" w:ascii="仿宋" w:hAnsi="仿宋" w:eastAsia="仿宋" w:cs="仿宋"/>
          <w:sz w:val="24"/>
        </w:rPr>
        <w:t>供应商（公章）：                         法定代表人/被授权人（签字或盖章）：</w:t>
      </w:r>
    </w:p>
    <w:p>
      <w:pPr>
        <w:snapToGrid w:val="0"/>
        <w:spacing w:line="500" w:lineRule="exact"/>
        <w:ind w:left="241" w:hanging="241" w:hangingChars="100"/>
        <w:rPr>
          <w:rFonts w:hint="eastAsia" w:ascii="仿宋" w:hAnsi="仿宋" w:eastAsia="仿宋" w:cs="仿宋"/>
          <w:b/>
          <w:bCs/>
          <w:sz w:val="24"/>
        </w:rPr>
      </w:pPr>
      <w:r>
        <w:rPr>
          <w:rFonts w:hint="eastAsia" w:ascii="仿宋" w:hAnsi="仿宋" w:eastAsia="仿宋" w:cs="仿宋"/>
          <w:b/>
          <w:bCs/>
          <w:sz w:val="24"/>
        </w:rPr>
        <w:t>注：</w:t>
      </w:r>
    </w:p>
    <w:p>
      <w:pPr>
        <w:numPr>
          <w:ilvl w:val="0"/>
          <w:numId w:val="4"/>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本表价应保证磋商响应文件的正、副本中仍有此表，且一致。</w:t>
      </w:r>
    </w:p>
    <w:p>
      <w:pPr>
        <w:numPr>
          <w:ilvl w:val="0"/>
          <w:numId w:val="4"/>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此表中任何信息与响应文件其他处不一致时以此表为准。</w:t>
      </w:r>
    </w:p>
    <w:p>
      <w:pPr>
        <w:numPr>
          <w:ilvl w:val="0"/>
          <w:numId w:val="4"/>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此表为规范格式，严格按此表格填列，不填列或不按此表格填列，按无效标对待。</w:t>
      </w:r>
    </w:p>
    <w:p>
      <w:pPr>
        <w:numPr>
          <w:ilvl w:val="0"/>
          <w:numId w:val="4"/>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分项报价表附后</w:t>
      </w:r>
    </w:p>
    <w:p>
      <w:pPr>
        <w:pStyle w:val="10"/>
        <w:snapToGrid w:val="0"/>
        <w:spacing w:line="500" w:lineRule="exact"/>
        <w:rPr>
          <w:rFonts w:hint="eastAsia" w:ascii="仿宋" w:hAnsi="仿宋" w:eastAsia="仿宋" w:cs="仿宋"/>
          <w:szCs w:val="24"/>
        </w:rPr>
      </w:pPr>
      <w:r>
        <w:rPr>
          <w:rFonts w:hint="eastAsia" w:ascii="仿宋" w:hAnsi="仿宋" w:eastAsia="仿宋" w:cs="仿宋"/>
        </w:rPr>
        <w:br w:type="page"/>
      </w:r>
      <w:r>
        <w:rPr>
          <w:rFonts w:hint="eastAsia" w:ascii="仿宋" w:hAnsi="仿宋" w:eastAsia="仿宋" w:cs="仿宋"/>
          <w:szCs w:val="24"/>
        </w:rPr>
        <w:t>附表1</w:t>
      </w:r>
    </w:p>
    <w:p>
      <w:pPr>
        <w:pStyle w:val="10"/>
        <w:snapToGrid w:val="0"/>
        <w:spacing w:line="500" w:lineRule="exact"/>
        <w:jc w:val="center"/>
        <w:rPr>
          <w:rFonts w:hint="eastAsia" w:ascii="仿宋" w:hAnsi="仿宋" w:eastAsia="仿宋" w:cs="仿宋"/>
          <w:b/>
          <w:sz w:val="32"/>
        </w:rPr>
      </w:pPr>
      <w:r>
        <w:rPr>
          <w:rFonts w:hint="eastAsia" w:ascii="仿宋" w:hAnsi="仿宋" w:eastAsia="仿宋" w:cs="仿宋"/>
          <w:b/>
          <w:sz w:val="32"/>
        </w:rPr>
        <w:t>分项报价表</w:t>
      </w:r>
    </w:p>
    <w:p>
      <w:pPr>
        <w:snapToGrid w:val="0"/>
        <w:spacing w:line="500" w:lineRule="exact"/>
        <w:rPr>
          <w:rFonts w:hint="eastAsia" w:ascii="仿宋" w:hAnsi="仿宋" w:eastAsia="仿宋" w:cs="仿宋"/>
          <w:u w:val="single"/>
        </w:rPr>
      </w:pPr>
    </w:p>
    <w:p>
      <w:pPr>
        <w:kinsoku w:val="0"/>
        <w:spacing w:line="500" w:lineRule="exact"/>
        <w:rPr>
          <w:rFonts w:hint="eastAsia" w:ascii="仿宋" w:hAnsi="仿宋" w:eastAsia="仿宋" w:cs="仿宋"/>
          <w:color w:val="FF0000"/>
          <w:sz w:val="24"/>
        </w:rPr>
      </w:pPr>
      <w:r>
        <w:rPr>
          <w:rFonts w:hint="eastAsia" w:ascii="仿宋" w:hAnsi="仿宋" w:eastAsia="仿宋" w:cs="仿宋"/>
          <w:sz w:val="24"/>
        </w:rPr>
        <w:t xml:space="preserve">项目名称：                                               </w:t>
      </w:r>
      <w:r>
        <w:rPr>
          <w:rFonts w:hint="eastAsia" w:ascii="仿宋" w:hAnsi="仿宋" w:eastAsia="仿宋" w:cs="仿宋"/>
          <w:color w:val="FF0000"/>
          <w:sz w:val="24"/>
        </w:rPr>
        <w:t xml:space="preserve"> </w:t>
      </w:r>
    </w:p>
    <w:p>
      <w:pPr>
        <w:ind w:right="420"/>
        <w:rPr>
          <w:rFonts w:hint="eastAsia" w:ascii="仿宋" w:hAnsi="仿宋" w:eastAsia="仿宋" w:cs="仿宋"/>
          <w:sz w:val="24"/>
        </w:rPr>
      </w:pPr>
      <w:r>
        <w:rPr>
          <w:rFonts w:hint="eastAsia" w:ascii="仿宋" w:hAnsi="仿宋" w:eastAsia="仿宋" w:cs="仿宋"/>
          <w:sz w:val="24"/>
        </w:rPr>
        <w:t xml:space="preserve">供应商: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380"/>
        <w:gridCol w:w="1381"/>
        <w:gridCol w:w="1381"/>
        <w:gridCol w:w="1381"/>
        <w:gridCol w:w="138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序号</w:t>
            </w:r>
          </w:p>
        </w:tc>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名称</w:t>
            </w:r>
          </w:p>
        </w:tc>
        <w:tc>
          <w:tcPr>
            <w:tcW w:w="1381" w:type="dxa"/>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品牌型号</w:t>
            </w:r>
          </w:p>
        </w:tc>
        <w:tc>
          <w:tcPr>
            <w:tcW w:w="1381" w:type="dxa"/>
          </w:tcPr>
          <w:p>
            <w:pPr>
              <w:spacing w:line="460" w:lineRule="exact"/>
              <w:jc w:val="center"/>
              <w:rPr>
                <w:rFonts w:hint="eastAsia" w:ascii="仿宋" w:hAnsi="仿宋" w:eastAsia="仿宋" w:cs="仿宋"/>
                <w:sz w:val="24"/>
              </w:rPr>
            </w:pPr>
            <w:r>
              <w:rPr>
                <w:rFonts w:hint="eastAsia" w:ascii="仿宋" w:hAnsi="仿宋" w:eastAsia="仿宋" w:cs="仿宋"/>
                <w:sz w:val="24"/>
              </w:rPr>
              <w:t>数量/单位</w:t>
            </w:r>
          </w:p>
        </w:tc>
        <w:tc>
          <w:tcPr>
            <w:tcW w:w="1381" w:type="dxa"/>
          </w:tcPr>
          <w:p>
            <w:pPr>
              <w:spacing w:line="460" w:lineRule="exact"/>
              <w:jc w:val="center"/>
              <w:rPr>
                <w:rFonts w:hint="eastAsia" w:ascii="仿宋" w:hAnsi="仿宋" w:eastAsia="仿宋" w:cs="仿宋"/>
                <w:sz w:val="24"/>
              </w:rPr>
            </w:pPr>
            <w:r>
              <w:rPr>
                <w:rFonts w:hint="eastAsia" w:ascii="仿宋" w:hAnsi="仿宋" w:eastAsia="仿宋" w:cs="仿宋"/>
                <w:sz w:val="24"/>
              </w:rPr>
              <w:t>单价（元）</w:t>
            </w:r>
          </w:p>
        </w:tc>
        <w:tc>
          <w:tcPr>
            <w:tcW w:w="1381" w:type="dxa"/>
          </w:tcPr>
          <w:p>
            <w:pPr>
              <w:spacing w:line="460" w:lineRule="exact"/>
              <w:jc w:val="center"/>
              <w:rPr>
                <w:rFonts w:hint="eastAsia" w:ascii="仿宋" w:hAnsi="仿宋" w:eastAsia="仿宋" w:cs="仿宋"/>
                <w:sz w:val="24"/>
              </w:rPr>
            </w:pPr>
            <w:r>
              <w:rPr>
                <w:rFonts w:hint="eastAsia" w:ascii="仿宋" w:hAnsi="仿宋" w:eastAsia="仿宋" w:cs="仿宋"/>
                <w:sz w:val="24"/>
              </w:rPr>
              <w:t>总价（元）</w:t>
            </w:r>
          </w:p>
        </w:tc>
        <w:tc>
          <w:tcPr>
            <w:tcW w:w="1381" w:type="dxa"/>
          </w:tcPr>
          <w:p>
            <w:pPr>
              <w:spacing w:line="460" w:lineRule="exact"/>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1</w:t>
            </w:r>
          </w:p>
        </w:tc>
        <w:tc>
          <w:tcPr>
            <w:tcW w:w="1380" w:type="dxa"/>
          </w:tcPr>
          <w:p>
            <w:pPr>
              <w:spacing w:line="460" w:lineRule="exact"/>
              <w:jc w:val="center"/>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2</w:t>
            </w:r>
          </w:p>
        </w:tc>
        <w:tc>
          <w:tcPr>
            <w:tcW w:w="1380" w:type="dxa"/>
          </w:tcPr>
          <w:p>
            <w:pPr>
              <w:spacing w:line="460" w:lineRule="exact"/>
              <w:jc w:val="center"/>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3</w:t>
            </w:r>
          </w:p>
        </w:tc>
        <w:tc>
          <w:tcPr>
            <w:tcW w:w="1380" w:type="dxa"/>
          </w:tcPr>
          <w:p>
            <w:pPr>
              <w:spacing w:line="460" w:lineRule="exact"/>
              <w:jc w:val="center"/>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4</w:t>
            </w:r>
          </w:p>
        </w:tc>
        <w:tc>
          <w:tcPr>
            <w:tcW w:w="1380" w:type="dxa"/>
          </w:tcPr>
          <w:p>
            <w:pPr>
              <w:spacing w:line="460" w:lineRule="exact"/>
              <w:jc w:val="center"/>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spacing w:line="460" w:lineRule="exact"/>
              <w:jc w:val="center"/>
              <w:rPr>
                <w:rFonts w:hint="eastAsia" w:ascii="仿宋" w:hAnsi="仿宋" w:eastAsia="仿宋" w:cs="仿宋"/>
                <w:sz w:val="24"/>
              </w:rPr>
            </w:pPr>
            <w:r>
              <w:rPr>
                <w:rFonts w:hint="eastAsia" w:ascii="仿宋" w:hAnsi="仿宋" w:eastAsia="仿宋" w:cs="仿宋"/>
                <w:sz w:val="24"/>
              </w:rPr>
              <w:t>...</w:t>
            </w:r>
          </w:p>
        </w:tc>
        <w:tc>
          <w:tcPr>
            <w:tcW w:w="1380"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c>
          <w:tcPr>
            <w:tcW w:w="1381" w:type="dxa"/>
          </w:tcPr>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Pr>
          <w:p>
            <w:pPr>
              <w:spacing w:line="460" w:lineRule="exact"/>
              <w:rPr>
                <w:rFonts w:hint="eastAsia" w:ascii="仿宋" w:hAnsi="仿宋" w:eastAsia="仿宋" w:cs="仿宋"/>
                <w:sz w:val="24"/>
              </w:rPr>
            </w:pPr>
          </w:p>
        </w:tc>
        <w:tc>
          <w:tcPr>
            <w:tcW w:w="8284" w:type="dxa"/>
            <w:gridSpan w:val="6"/>
          </w:tcPr>
          <w:p>
            <w:pPr>
              <w:spacing w:line="460" w:lineRule="exact"/>
              <w:rPr>
                <w:rFonts w:hint="eastAsia" w:ascii="仿宋" w:hAnsi="仿宋" w:eastAsia="仿宋" w:cs="仿宋"/>
                <w:sz w:val="24"/>
              </w:rPr>
            </w:pPr>
            <w:r>
              <w:rPr>
                <w:rFonts w:hint="eastAsia" w:ascii="仿宋" w:hAnsi="仿宋" w:eastAsia="仿宋" w:cs="仿宋"/>
                <w:sz w:val="24"/>
              </w:rPr>
              <w:t>合计：（大写）         （小写）</w:t>
            </w:r>
          </w:p>
        </w:tc>
      </w:tr>
    </w:tbl>
    <w:p>
      <w:pPr>
        <w:spacing w:line="460" w:lineRule="exact"/>
        <w:ind w:left="1260" w:hanging="1260" w:hangingChars="450"/>
        <w:rPr>
          <w:rFonts w:hint="eastAsia" w:ascii="仿宋" w:hAnsi="仿宋" w:eastAsia="仿宋" w:cs="仿宋"/>
          <w:sz w:val="24"/>
        </w:rPr>
      </w:pPr>
      <w:r>
        <w:rPr>
          <w:rFonts w:hint="eastAsia" w:ascii="仿宋" w:hAnsi="仿宋" w:eastAsia="仿宋" w:cs="仿宋"/>
          <w:sz w:val="28"/>
          <w:szCs w:val="28"/>
        </w:rPr>
        <w:t>说明：</w:t>
      </w:r>
      <w:r>
        <w:rPr>
          <w:rFonts w:hint="eastAsia" w:ascii="仿宋" w:hAnsi="仿宋" w:eastAsia="仿宋" w:cs="仿宋"/>
          <w:sz w:val="24"/>
        </w:rPr>
        <w:t>表格由供应商根据磋商文件第三部分计算报价</w:t>
      </w:r>
    </w:p>
    <w:p>
      <w:pPr>
        <w:spacing w:line="400" w:lineRule="exact"/>
        <w:rPr>
          <w:rFonts w:hint="eastAsia" w:ascii="仿宋" w:hAnsi="仿宋" w:eastAsia="仿宋" w:cs="仿宋"/>
          <w:iCs/>
          <w:szCs w:val="21"/>
        </w:rPr>
      </w:pPr>
    </w:p>
    <w:p>
      <w:pPr>
        <w:spacing w:line="400" w:lineRule="exact"/>
        <w:rPr>
          <w:rFonts w:hint="eastAsia" w:ascii="仿宋" w:hAnsi="仿宋" w:eastAsia="仿宋" w:cs="仿宋"/>
          <w:iCs/>
          <w:szCs w:val="21"/>
        </w:rPr>
      </w:pPr>
      <w:r>
        <w:rPr>
          <w:rFonts w:hint="eastAsia" w:ascii="仿宋" w:hAnsi="仿宋" w:eastAsia="仿宋" w:cs="仿宋"/>
          <w:iCs/>
          <w:szCs w:val="21"/>
        </w:rPr>
        <w:t>注:</w:t>
      </w:r>
    </w:p>
    <w:p>
      <w:pPr>
        <w:spacing w:line="400" w:lineRule="exact"/>
        <w:ind w:firstLine="420" w:firstLineChars="200"/>
        <w:rPr>
          <w:rFonts w:hint="eastAsia" w:ascii="仿宋" w:hAnsi="仿宋" w:eastAsia="仿宋" w:cs="仿宋"/>
          <w:szCs w:val="21"/>
          <w:u w:val="single"/>
        </w:rPr>
      </w:pPr>
      <w:r>
        <w:rPr>
          <w:rFonts w:hint="eastAsia" w:ascii="仿宋" w:hAnsi="仿宋" w:eastAsia="仿宋" w:cs="仿宋"/>
          <w:szCs w:val="21"/>
        </w:rPr>
        <w:t xml:space="preserve">    1. 如果按单价计算的结果与总价不一致，以单价为准修正总价；</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    2. 如果不提供详细分项报价，视为其响应文件没有实质性响应竞争性磋商文件；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    3. 报价精确到元；</w:t>
      </w:r>
    </w:p>
    <w:p>
      <w:pPr>
        <w:snapToGrid w:val="0"/>
        <w:spacing w:line="500" w:lineRule="exact"/>
        <w:rPr>
          <w:rFonts w:hint="eastAsia" w:ascii="仿宋" w:hAnsi="仿宋" w:eastAsia="仿宋" w:cs="仿宋"/>
          <w:szCs w:val="21"/>
        </w:rPr>
      </w:pPr>
      <w:r>
        <w:rPr>
          <w:rFonts w:hint="eastAsia" w:ascii="仿宋" w:hAnsi="仿宋" w:eastAsia="仿宋" w:cs="仿宋"/>
          <w:szCs w:val="21"/>
        </w:rPr>
        <w:t xml:space="preserve">        4．根据实际情况对具体项目进行说明。</w:t>
      </w:r>
    </w:p>
    <w:p>
      <w:pPr>
        <w:kinsoku w:val="0"/>
        <w:spacing w:line="500" w:lineRule="exact"/>
        <w:ind w:left="420" w:leftChars="200" w:firstLine="105" w:firstLineChars="50"/>
        <w:rPr>
          <w:rFonts w:hint="eastAsia" w:ascii="仿宋" w:hAnsi="仿宋" w:eastAsia="仿宋" w:cs="仿宋"/>
        </w:rPr>
      </w:pPr>
    </w:p>
    <w:p>
      <w:pPr>
        <w:spacing w:before="312" w:beforeLines="100" w:after="156" w:afterLines="50"/>
        <w:rPr>
          <w:rFonts w:hint="eastAsia" w:ascii="仿宋" w:hAnsi="仿宋" w:eastAsia="仿宋" w:cs="仿宋"/>
          <w:b/>
          <w:bCs/>
          <w:sz w:val="32"/>
          <w:szCs w:val="32"/>
        </w:rPr>
      </w:pPr>
    </w:p>
    <w:p>
      <w:pPr>
        <w:spacing w:before="312" w:beforeLines="100" w:after="156" w:afterLines="50"/>
        <w:rPr>
          <w:rFonts w:hint="eastAsia" w:ascii="仿宋" w:hAnsi="仿宋" w:eastAsia="仿宋" w:cs="仿宋"/>
          <w:b/>
          <w:bCs/>
          <w:sz w:val="32"/>
          <w:szCs w:val="32"/>
        </w:rPr>
      </w:pPr>
    </w:p>
    <w:p>
      <w:pPr>
        <w:pStyle w:val="12"/>
        <w:rPr>
          <w:rFonts w:hint="eastAsia" w:ascii="仿宋" w:hAnsi="仿宋" w:eastAsia="仿宋" w:cs="仿宋"/>
        </w:rPr>
      </w:pPr>
    </w:p>
    <w:p>
      <w:pPr>
        <w:pStyle w:val="12"/>
        <w:rPr>
          <w:rFonts w:hint="eastAsia" w:ascii="仿宋" w:hAnsi="仿宋" w:eastAsia="仿宋" w:cs="仿宋"/>
        </w:rPr>
      </w:pPr>
    </w:p>
    <w:p>
      <w:pPr>
        <w:rPr>
          <w:rFonts w:hint="eastAsia" w:ascii="仿宋" w:hAnsi="仿宋" w:eastAsia="仿宋" w:cs="仿宋"/>
          <w:lang w:val="en-US" w:eastAsia="zh-CN"/>
        </w:rPr>
      </w:pPr>
      <w:r>
        <w:rPr>
          <w:rFonts w:hint="eastAsia" w:ascii="仿宋" w:hAnsi="仿宋" w:eastAsia="仿宋" w:cs="仿宋"/>
        </w:rPr>
        <w:br w:type="page"/>
      </w:r>
      <w:r>
        <w:rPr>
          <w:rFonts w:hint="eastAsia" w:ascii="仿宋" w:hAnsi="仿宋" w:eastAsia="仿宋" w:cs="仿宋"/>
          <w:lang w:val="en-US" w:eastAsia="zh-CN"/>
        </w:rPr>
        <w:t>附表2</w:t>
      </w:r>
    </w:p>
    <w:p>
      <w:pPr>
        <w:pStyle w:val="1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技术规格响应偏离表</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bl>
      <w:tblPr>
        <w:tblStyle w:val="18"/>
        <w:tblW w:w="919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6"/>
        <w:gridCol w:w="1897"/>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986"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名称</w:t>
            </w:r>
          </w:p>
        </w:tc>
        <w:tc>
          <w:tcPr>
            <w:tcW w:w="1897" w:type="dxa"/>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招标文件</w:t>
            </w:r>
          </w:p>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技术需求</w:t>
            </w:r>
          </w:p>
        </w:tc>
        <w:tc>
          <w:tcPr>
            <w:tcW w:w="265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投标文件响应技术指标</w:t>
            </w:r>
          </w:p>
        </w:tc>
        <w:tc>
          <w:tcPr>
            <w:tcW w:w="168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偏离情况</w:t>
            </w:r>
          </w:p>
        </w:tc>
        <w:tc>
          <w:tcPr>
            <w:tcW w:w="131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4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tcBorders>
              <w:bottom w:val="single" w:color="auto" w:sz="4" w:space="0"/>
            </w:tcBorders>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bl>
    <w:p>
      <w:pPr>
        <w:autoSpaceDE w:val="0"/>
        <w:autoSpaceDN w:val="0"/>
        <w:adjustRightInd w:val="0"/>
        <w:spacing w:line="360" w:lineRule="auto"/>
        <w:ind w:firstLine="420" w:firstLineChars="200"/>
        <w:rPr>
          <w:rFonts w:hint="eastAsia" w:ascii="仿宋" w:hAnsi="仿宋" w:eastAsia="仿宋" w:cs="仿宋"/>
          <w:color w:val="auto"/>
          <w:sz w:val="24"/>
          <w:highlight w:val="none"/>
        </w:rPr>
      </w:pPr>
      <w:r>
        <w:rPr>
          <w:rFonts w:hint="eastAsia" w:ascii="仿宋" w:hAnsi="仿宋" w:eastAsia="仿宋" w:cs="仿宋"/>
          <w:color w:val="auto"/>
          <w:szCs w:val="21"/>
          <w:highlight w:val="none"/>
        </w:rPr>
        <w:t>注：</w:t>
      </w:r>
      <w:r>
        <w:rPr>
          <w:rFonts w:hint="eastAsia" w:ascii="仿宋" w:hAnsi="仿宋" w:eastAsia="仿宋" w:cs="仿宋"/>
          <w:color w:val="auto"/>
          <w:sz w:val="24"/>
          <w:highlight w:val="none"/>
        </w:rPr>
        <w:t>请按项目的实际技术参数，逐条对应</w:t>
      </w:r>
      <w:r>
        <w:rPr>
          <w:rFonts w:hint="eastAsia" w:ascii="仿宋" w:hAnsi="仿宋" w:eastAsia="仿宋" w:cs="仿宋"/>
          <w:color w:val="auto"/>
          <w:sz w:val="24"/>
          <w:highlight w:val="none"/>
          <w:lang w:val="en-US" w:eastAsia="zh-CN"/>
        </w:rPr>
        <w:t>磋商</w:t>
      </w:r>
      <w:r>
        <w:rPr>
          <w:rFonts w:hint="eastAsia" w:ascii="仿宋" w:hAnsi="仿宋" w:eastAsia="仿宋" w:cs="仿宋"/>
          <w:color w:val="auto"/>
          <w:sz w:val="24"/>
          <w:highlight w:val="none"/>
        </w:rPr>
        <w:t>文件的“</w:t>
      </w:r>
      <w:r>
        <w:rPr>
          <w:rFonts w:hint="eastAsia" w:ascii="仿宋" w:hAnsi="仿宋" w:eastAsia="仿宋" w:cs="仿宋"/>
          <w:color w:val="auto"/>
          <w:sz w:val="24"/>
          <w:highlight w:val="none"/>
          <w:lang w:val="en-US" w:eastAsia="zh-CN"/>
        </w:rPr>
        <w:t>采购</w:t>
      </w:r>
      <w:bookmarkStart w:id="32" w:name="_GoBack"/>
      <w:bookmarkEnd w:id="32"/>
      <w:r>
        <w:rPr>
          <w:rFonts w:hint="eastAsia" w:ascii="仿宋" w:hAnsi="仿宋" w:eastAsia="仿宋" w:cs="仿宋"/>
          <w:color w:val="auto"/>
          <w:sz w:val="24"/>
          <w:highlight w:val="none"/>
        </w:rPr>
        <w:t>内容及技术要求”，认真填写本表。偏离情况填写：优于、等于，偏离说明对偏离情况做出详细说明。</w:t>
      </w:r>
    </w:p>
    <w:p>
      <w:pPr>
        <w:spacing w:line="480" w:lineRule="exact"/>
        <w:rPr>
          <w:rFonts w:hint="eastAsia" w:ascii="仿宋" w:hAnsi="仿宋" w:eastAsia="仿宋" w:cs="仿宋"/>
          <w:color w:val="auto"/>
          <w:szCs w:val="21"/>
          <w:highlight w:val="none"/>
        </w:rPr>
      </w:pPr>
    </w:p>
    <w:p>
      <w:pPr>
        <w:spacing w:line="480" w:lineRule="exact"/>
        <w:rPr>
          <w:rFonts w:hint="eastAsia" w:ascii="仿宋" w:hAnsi="仿宋" w:eastAsia="仿宋" w:cs="仿宋"/>
          <w:color w:val="auto"/>
          <w:szCs w:val="21"/>
          <w:highlight w:val="none"/>
        </w:rPr>
      </w:pPr>
    </w:p>
    <w:p>
      <w:pPr>
        <w:spacing w:line="360" w:lineRule="atLeast"/>
        <w:rPr>
          <w:rFonts w:hint="eastAsia" w:ascii="仿宋" w:hAnsi="仿宋" w:eastAsia="仿宋" w:cs="仿宋"/>
          <w:b/>
          <w:color w:val="auto"/>
          <w:sz w:val="32"/>
          <w:szCs w:val="32"/>
          <w:highlight w:val="none"/>
        </w:rPr>
      </w:pPr>
      <w:r>
        <w:rPr>
          <w:rFonts w:hint="eastAsia" w:ascii="仿宋" w:hAnsi="仿宋" w:eastAsia="仿宋" w:cs="仿宋"/>
          <w:sz w:val="24"/>
        </w:rPr>
        <w:t>供应商（公章）：</w:t>
      </w:r>
      <w:r>
        <w:rPr>
          <w:rFonts w:hint="eastAsia" w:ascii="仿宋" w:hAnsi="仿宋" w:eastAsia="仿宋" w:cs="仿宋"/>
          <w:color w:val="auto"/>
          <w:sz w:val="24"/>
          <w:highlight w:val="none"/>
        </w:rPr>
        <w:t xml:space="preserve">              法定代表人/被授权人（签字或盖章）：</w:t>
      </w:r>
    </w:p>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rPr>
      </w:pPr>
      <w:r>
        <w:rPr>
          <w:rFonts w:hint="eastAsia" w:ascii="仿宋" w:hAnsi="仿宋" w:eastAsia="仿宋" w:cs="仿宋"/>
        </w:rPr>
        <w:br w:type="page"/>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第三部分   法定代表人证明书与授权书</w:t>
      </w:r>
    </w:p>
    <w:p>
      <w:pPr>
        <w:tabs>
          <w:tab w:val="left" w:pos="210"/>
        </w:tabs>
        <w:spacing w:line="320" w:lineRule="exact"/>
        <w:jc w:val="center"/>
        <w:rPr>
          <w:rFonts w:hint="eastAsia" w:ascii="仿宋" w:hAnsi="仿宋" w:eastAsia="仿宋" w:cs="仿宋"/>
          <w:b/>
          <w:color w:val="000000"/>
          <w:kern w:val="0"/>
          <w:sz w:val="32"/>
          <w:szCs w:val="32"/>
        </w:rPr>
      </w:pPr>
    </w:p>
    <w:p>
      <w:pPr>
        <w:tabs>
          <w:tab w:val="left" w:pos="210"/>
        </w:tabs>
        <w:spacing w:line="32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法定代表人证明书</w:t>
      </w:r>
    </w:p>
    <w:p>
      <w:pPr>
        <w:tabs>
          <w:tab w:val="left" w:pos="210"/>
        </w:tabs>
        <w:spacing w:line="320" w:lineRule="exact"/>
        <w:jc w:val="center"/>
        <w:rPr>
          <w:rFonts w:hint="eastAsia" w:ascii="仿宋" w:hAnsi="仿宋" w:eastAsia="仿宋" w:cs="仿宋"/>
          <w:b/>
          <w:color w:val="000000"/>
          <w:kern w:val="0"/>
          <w:sz w:val="32"/>
          <w:szCs w:val="32"/>
        </w:rPr>
      </w:pPr>
    </w:p>
    <w:p>
      <w:pPr>
        <w:pStyle w:val="16"/>
        <w:rPr>
          <w:rFonts w:hint="eastAsia" w:ascii="仿宋" w:hAnsi="仿宋" w:eastAsia="仿宋" w:cs="仿宋"/>
        </w:rPr>
      </w:pPr>
    </w:p>
    <w:p>
      <w:pPr>
        <w:pStyle w:val="16"/>
        <w:rPr>
          <w:rFonts w:hint="eastAsia" w:ascii="仿宋" w:hAnsi="仿宋" w:eastAsia="仿宋" w:cs="仿宋"/>
        </w:rPr>
      </w:pP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单位名称：</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单位性质：</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thick"/>
        </w:rPr>
        <w:t>.</w:t>
      </w: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地    址：</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thick"/>
        </w:rPr>
        <w:t>.</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成立时间：</w:t>
      </w:r>
      <w:r>
        <w:rPr>
          <w:rFonts w:hint="eastAsia" w:ascii="仿宋" w:hAnsi="仿宋" w:eastAsia="仿宋" w:cs="仿宋"/>
          <w:color w:val="000000"/>
          <w:sz w:val="24"/>
          <w:u w:val="single"/>
        </w:rPr>
        <w:t xml:space="preserve">               </w:t>
      </w:r>
      <w:r>
        <w:rPr>
          <w:rFonts w:hint="eastAsia" w:ascii="仿宋" w:hAnsi="仿宋" w:eastAsia="仿宋" w:cs="仿宋"/>
          <w:sz w:val="24"/>
        </w:rPr>
        <w:t>年</w:t>
      </w:r>
      <w:r>
        <w:rPr>
          <w:rFonts w:hint="eastAsia" w:ascii="仿宋" w:hAnsi="仿宋" w:eastAsia="仿宋" w:cs="仿宋"/>
          <w:color w:val="000000"/>
          <w:sz w:val="24"/>
          <w:u w:val="single"/>
        </w:rPr>
        <w:t xml:space="preserve">              </w:t>
      </w:r>
      <w:r>
        <w:rPr>
          <w:rFonts w:hint="eastAsia" w:ascii="仿宋" w:hAnsi="仿宋" w:eastAsia="仿宋" w:cs="仿宋"/>
          <w:sz w:val="24"/>
        </w:rPr>
        <w:t>月</w:t>
      </w:r>
      <w:r>
        <w:rPr>
          <w:rFonts w:hint="eastAsia" w:ascii="仿宋" w:hAnsi="仿宋" w:eastAsia="仿宋" w:cs="仿宋"/>
          <w:color w:val="000000"/>
          <w:sz w:val="24"/>
          <w:u w:val="single"/>
        </w:rPr>
        <w:t xml:space="preserve">                 </w:t>
      </w:r>
      <w:r>
        <w:rPr>
          <w:rFonts w:hint="eastAsia" w:ascii="仿宋" w:hAnsi="仿宋" w:eastAsia="仿宋" w:cs="仿宋"/>
          <w:sz w:val="24"/>
        </w:rPr>
        <w:t>日</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经营期限：</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姓    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sz w:val="24"/>
        </w:rPr>
        <w:t>性别：</w:t>
      </w:r>
      <w:r>
        <w:rPr>
          <w:rFonts w:hint="eastAsia" w:ascii="仿宋" w:hAnsi="仿宋" w:eastAsia="仿宋" w:cs="仿宋"/>
          <w:color w:val="000000"/>
          <w:sz w:val="24"/>
          <w:u w:val="single"/>
        </w:rPr>
        <w:t xml:space="preserve">        </w:t>
      </w:r>
      <w:r>
        <w:rPr>
          <w:rFonts w:hint="eastAsia" w:ascii="仿宋" w:hAnsi="仿宋" w:eastAsia="仿宋" w:cs="仿宋"/>
          <w:sz w:val="24"/>
        </w:rPr>
        <w:t>年龄：</w:t>
      </w:r>
      <w:r>
        <w:rPr>
          <w:rFonts w:hint="eastAsia" w:ascii="仿宋" w:hAnsi="仿宋" w:eastAsia="仿宋" w:cs="仿宋"/>
          <w:color w:val="000000"/>
          <w:sz w:val="24"/>
          <w:u w:val="single"/>
        </w:rPr>
        <w:t xml:space="preserve">        </w:t>
      </w:r>
      <w:r>
        <w:rPr>
          <w:rFonts w:hint="eastAsia" w:ascii="仿宋" w:hAnsi="仿宋" w:eastAsia="仿宋" w:cs="仿宋"/>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rPr>
          <w:rFonts w:hint="eastAsia" w:ascii="仿宋" w:hAnsi="仿宋" w:eastAsia="仿宋" w:cs="仿宋"/>
          <w:color w:val="000000"/>
          <w:sz w:val="24"/>
          <w:u w:val="thick"/>
        </w:rPr>
      </w:pPr>
      <w:r>
        <w:rPr>
          <w:rFonts w:hint="eastAsia" w:ascii="仿宋" w:hAnsi="仿宋" w:eastAsia="仿宋" w:cs="仿宋"/>
          <w:sz w:val="24"/>
        </w:rPr>
        <w:t>系</w:t>
      </w:r>
      <w:r>
        <w:rPr>
          <w:rFonts w:hint="eastAsia" w:ascii="仿宋" w:hAnsi="仿宋" w:eastAsia="仿宋" w:cs="仿宋"/>
          <w:color w:val="000000"/>
          <w:sz w:val="24"/>
          <w:u w:val="single"/>
        </w:rPr>
        <w:t xml:space="preserve">                            </w:t>
      </w:r>
      <w:r>
        <w:rPr>
          <w:rFonts w:hint="eastAsia" w:ascii="仿宋" w:hAnsi="仿宋" w:eastAsia="仿宋" w:cs="仿宋"/>
          <w:sz w:val="24"/>
        </w:rPr>
        <w:t>的法定代表人。</w:t>
      </w:r>
    </w:p>
    <w:p>
      <w:pPr>
        <w:spacing w:line="560" w:lineRule="exact"/>
        <w:ind w:firstLine="307" w:firstLineChars="128"/>
        <w:rPr>
          <w:rFonts w:hint="eastAsia" w:ascii="仿宋" w:hAnsi="仿宋" w:eastAsia="仿宋" w:cs="仿宋"/>
          <w:color w:val="000000"/>
          <w:sz w:val="24"/>
        </w:rPr>
      </w:pPr>
    </w:p>
    <w:p>
      <w:pPr>
        <w:spacing w:line="560" w:lineRule="exact"/>
        <w:ind w:firstLine="307" w:firstLineChars="128"/>
        <w:rPr>
          <w:rFonts w:hint="eastAsia" w:ascii="仿宋" w:hAnsi="仿宋" w:eastAsia="仿宋" w:cs="仿宋"/>
          <w:sz w:val="24"/>
        </w:rPr>
      </w:pPr>
      <w:r>
        <w:rPr>
          <w:rFonts w:hint="eastAsia" w:ascii="仿宋" w:hAnsi="仿宋" w:eastAsia="仿宋" w:cs="仿宋"/>
          <w:sz w:val="24"/>
        </w:rPr>
        <w:t>特此证明。</w:t>
      </w:r>
    </w:p>
    <w:p>
      <w:pPr>
        <w:spacing w:line="560" w:lineRule="exact"/>
        <w:rPr>
          <w:rFonts w:hint="eastAsia" w:ascii="仿宋" w:hAnsi="仿宋" w:eastAsia="仿宋" w:cs="仿宋"/>
          <w:color w:val="000000"/>
          <w:sz w:val="24"/>
        </w:rPr>
      </w:pPr>
    </w:p>
    <w:p>
      <w:pPr>
        <w:pStyle w:val="16"/>
        <w:rPr>
          <w:rFonts w:hint="eastAsia" w:ascii="仿宋" w:hAnsi="仿宋" w:eastAsia="仿宋" w:cs="仿宋"/>
        </w:rPr>
      </w:pPr>
    </w:p>
    <w:p>
      <w:pPr>
        <w:spacing w:line="560" w:lineRule="exact"/>
        <w:rPr>
          <w:rFonts w:hint="eastAsia" w:ascii="仿宋" w:hAnsi="仿宋" w:eastAsia="仿宋" w:cs="仿宋"/>
          <w:color w:val="000000"/>
          <w:sz w:val="24"/>
        </w:rPr>
      </w:pPr>
    </w:p>
    <w:p>
      <w:pPr>
        <w:autoSpaceDE w:val="0"/>
        <w:autoSpaceDN w:val="0"/>
        <w:adjustRightInd w:val="0"/>
        <w:jc w:val="center"/>
        <w:rPr>
          <w:rFonts w:hint="eastAsia" w:ascii="仿宋" w:hAnsi="仿宋" w:eastAsia="仿宋" w:cs="仿宋"/>
          <w:sz w:val="24"/>
          <w:u w:val="single"/>
          <w:lang w:val="zh-CN"/>
        </w:rPr>
      </w:pPr>
      <w:r>
        <w:rPr>
          <w:rFonts w:hint="eastAsia" w:ascii="仿宋" w:hAnsi="仿宋" w:eastAsia="仿宋" w:cs="仿宋"/>
          <w:sz w:val="24"/>
        </w:rPr>
        <w:t xml:space="preserve">                  </w:t>
      </w:r>
      <w:r>
        <w:rPr>
          <w:rFonts w:hint="eastAsia" w:ascii="仿宋" w:hAnsi="仿宋" w:eastAsia="仿宋" w:cs="仿宋"/>
          <w:sz w:val="24"/>
          <w:lang w:val="zh-CN"/>
        </w:rPr>
        <w:t>供</w:t>
      </w:r>
      <w:r>
        <w:rPr>
          <w:rFonts w:hint="eastAsia" w:ascii="仿宋" w:hAnsi="仿宋" w:eastAsia="仿宋" w:cs="仿宋"/>
          <w:sz w:val="24"/>
        </w:rPr>
        <w:t xml:space="preserve">   </w:t>
      </w:r>
      <w:r>
        <w:rPr>
          <w:rFonts w:hint="eastAsia" w:ascii="仿宋" w:hAnsi="仿宋" w:eastAsia="仿宋" w:cs="仿宋"/>
          <w:sz w:val="24"/>
          <w:lang w:val="zh-CN"/>
        </w:rPr>
        <w:t>应</w:t>
      </w:r>
      <w:r>
        <w:rPr>
          <w:rFonts w:hint="eastAsia" w:ascii="仿宋" w:hAnsi="仿宋" w:eastAsia="仿宋" w:cs="仿宋"/>
          <w:sz w:val="24"/>
        </w:rPr>
        <w:t xml:space="preserve">   </w:t>
      </w:r>
      <w:r>
        <w:rPr>
          <w:rFonts w:hint="eastAsia" w:ascii="仿宋" w:hAnsi="仿宋" w:eastAsia="仿宋" w:cs="仿宋"/>
          <w:sz w:val="24"/>
          <w:lang w:val="zh-CN"/>
        </w:rPr>
        <w:t>商：</w:t>
      </w:r>
      <w:r>
        <w:rPr>
          <w:rFonts w:hint="eastAsia" w:ascii="仿宋" w:hAnsi="仿宋" w:eastAsia="仿宋" w:cs="仿宋"/>
          <w:color w:val="000000"/>
          <w:sz w:val="24"/>
          <w:u w:val="single"/>
        </w:rPr>
        <w:t xml:space="preserve">                             </w:t>
      </w:r>
      <w:r>
        <w:rPr>
          <w:rFonts w:hint="eastAsia" w:ascii="仿宋" w:hAnsi="仿宋" w:eastAsia="仿宋" w:cs="仿宋"/>
          <w:sz w:val="24"/>
          <w:lang w:val="zh-CN"/>
        </w:rPr>
        <w:t>（盖单位公章）</w:t>
      </w:r>
    </w:p>
    <w:p>
      <w:pPr>
        <w:autoSpaceDE w:val="0"/>
        <w:autoSpaceDN w:val="0"/>
        <w:adjustRightInd w:val="0"/>
        <w:rPr>
          <w:rFonts w:hint="eastAsia" w:ascii="仿宋" w:hAnsi="仿宋" w:eastAsia="仿宋" w:cs="仿宋"/>
          <w:sz w:val="24"/>
          <w:lang w:val="zh-CN"/>
        </w:rPr>
      </w:pPr>
    </w:p>
    <w:p>
      <w:pPr>
        <w:autoSpaceDE w:val="0"/>
        <w:autoSpaceDN w:val="0"/>
        <w:adjustRightInd w:val="0"/>
        <w:ind w:firstLine="2160" w:firstLineChars="900"/>
        <w:rPr>
          <w:rFonts w:hint="eastAsia" w:ascii="仿宋" w:hAnsi="仿宋" w:eastAsia="仿宋" w:cs="仿宋"/>
          <w:sz w:val="24"/>
          <w:u w:val="single"/>
          <w:lang w:val="zh-CN"/>
        </w:rPr>
      </w:pPr>
      <w:r>
        <w:rPr>
          <w:rFonts w:hint="eastAsia" w:ascii="仿宋" w:hAnsi="仿宋" w:eastAsia="仿宋" w:cs="仿宋"/>
          <w:sz w:val="24"/>
          <w:lang w:val="zh-CN"/>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sz w:val="24"/>
          <w:lang w:val="zh-CN"/>
        </w:rPr>
        <w:t>（签字</w:t>
      </w:r>
      <w:r>
        <w:rPr>
          <w:rFonts w:hint="eastAsia" w:ascii="仿宋" w:hAnsi="仿宋" w:eastAsia="仿宋" w:cs="仿宋"/>
          <w:sz w:val="24"/>
        </w:rPr>
        <w:t>或盖章</w:t>
      </w:r>
      <w:r>
        <w:rPr>
          <w:rFonts w:hint="eastAsia" w:ascii="仿宋" w:hAnsi="仿宋" w:eastAsia="仿宋" w:cs="仿宋"/>
          <w:sz w:val="24"/>
          <w:lang w:val="zh-CN"/>
        </w:rPr>
        <w:t>）</w:t>
      </w:r>
    </w:p>
    <w:p>
      <w:pPr>
        <w:autoSpaceDE w:val="0"/>
        <w:autoSpaceDN w:val="0"/>
        <w:adjustRightInd w:val="0"/>
        <w:jc w:val="right"/>
        <w:rPr>
          <w:rFonts w:hint="eastAsia" w:ascii="仿宋" w:hAnsi="仿宋" w:eastAsia="仿宋" w:cs="仿宋"/>
          <w:sz w:val="24"/>
        </w:rPr>
      </w:pPr>
    </w:p>
    <w:p>
      <w:pPr>
        <w:jc w:val="center"/>
        <w:rPr>
          <w:rFonts w:hint="eastAsia"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4"/>
          <w:lang w:val="zh-CN"/>
        </w:rPr>
        <w:t xml:space="preserve">日      </w:t>
      </w:r>
      <w:r>
        <w:rPr>
          <w:rFonts w:hint="eastAsia" w:ascii="仿宋" w:hAnsi="仿宋" w:eastAsia="仿宋" w:cs="仿宋"/>
          <w:sz w:val="24"/>
        </w:rPr>
        <w:t xml:space="preserve"> </w:t>
      </w:r>
      <w:r>
        <w:rPr>
          <w:rFonts w:hint="eastAsia" w:ascii="仿宋" w:hAnsi="仿宋" w:eastAsia="仿宋" w:cs="仿宋"/>
          <w:sz w:val="24"/>
          <w:lang w:val="zh-CN"/>
        </w:rPr>
        <w:t xml:space="preserve"> 期：</w:t>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color w:val="000000"/>
          <w:kern w:val="0"/>
          <w:sz w:val="32"/>
          <w:szCs w:val="32"/>
        </w:rPr>
      </w:pPr>
    </w:p>
    <w:p>
      <w:pPr>
        <w:pStyle w:val="16"/>
        <w:rPr>
          <w:rFonts w:hint="eastAsia" w:ascii="仿宋" w:hAnsi="仿宋" w:eastAsia="仿宋" w:cs="仿宋"/>
          <w:b/>
          <w:color w:val="000000"/>
          <w:sz w:val="32"/>
          <w:szCs w:val="32"/>
        </w:rPr>
      </w:pPr>
    </w:p>
    <w:p>
      <w:pPr>
        <w:tabs>
          <w:tab w:val="left" w:pos="210"/>
        </w:tabs>
        <w:spacing w:line="320" w:lineRule="exact"/>
        <w:jc w:val="left"/>
        <w:rPr>
          <w:rFonts w:hint="eastAsia" w:ascii="仿宋" w:hAnsi="仿宋" w:eastAsia="仿宋" w:cs="仿宋"/>
          <w:b/>
          <w:color w:val="000000"/>
          <w:kern w:val="0"/>
          <w:sz w:val="24"/>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spacing w:val="-6"/>
          <w:sz w:val="24"/>
        </w:rPr>
      </w:pPr>
      <w:r>
        <w:rPr>
          <w:rFonts w:hint="eastAsia" w:ascii="仿宋" w:hAnsi="仿宋" w:eastAsia="仿宋" w:cs="仿宋"/>
          <w:b/>
          <w:kern w:val="0"/>
          <w:sz w:val="32"/>
          <w:szCs w:val="32"/>
        </w:rPr>
        <w:t>法定代表人授权委托书</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 xml:space="preserve"> 本授权委托书声明：本人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（供应商名称）的法定代表人，现授权委托</w:t>
      </w:r>
      <w:r>
        <w:rPr>
          <w:rFonts w:hint="eastAsia" w:ascii="仿宋" w:hAnsi="仿宋" w:eastAsia="仿宋" w:cs="仿宋"/>
          <w:color w:val="000000"/>
          <w:sz w:val="24"/>
          <w:u w:val="single"/>
        </w:rPr>
        <w:t xml:space="preserve">           </w:t>
      </w:r>
      <w:r>
        <w:rPr>
          <w:rFonts w:hint="eastAsia" w:ascii="仿宋" w:hAnsi="仿宋" w:eastAsia="仿宋" w:cs="仿宋"/>
          <w:spacing w:val="4"/>
          <w:sz w:val="24"/>
        </w:rPr>
        <w:t>代表我公司全权办理</w:t>
      </w:r>
      <w:r>
        <w:rPr>
          <w:rFonts w:hint="eastAsia" w:ascii="仿宋" w:hAnsi="仿宋" w:eastAsia="仿宋" w:cs="仿宋"/>
          <w:color w:val="000000"/>
          <w:sz w:val="24"/>
          <w:u w:val="single"/>
        </w:rPr>
        <w:t xml:space="preserve">   （项目名称）（采购项目编号）   </w:t>
      </w:r>
      <w:r>
        <w:rPr>
          <w:rFonts w:hint="eastAsia" w:ascii="仿宋" w:hAnsi="仿宋" w:eastAsia="仿宋" w:cs="仿宋"/>
          <w:color w:val="000000"/>
          <w:sz w:val="24"/>
        </w:rPr>
        <w:t>的</w:t>
      </w:r>
      <w:r>
        <w:rPr>
          <w:rFonts w:hint="eastAsia" w:ascii="仿宋" w:hAnsi="仿宋" w:eastAsia="仿宋" w:cs="仿宋"/>
          <w:color w:val="000000"/>
          <w:sz w:val="24"/>
          <w:lang w:val="zh-CN"/>
        </w:rPr>
        <w:t>投标，以本公司名义处理一切与之有关的事务</w:t>
      </w:r>
      <w:r>
        <w:rPr>
          <w:rFonts w:hint="eastAsia" w:ascii="仿宋" w:hAnsi="仿宋" w:eastAsia="仿宋" w:cs="仿宋"/>
          <w:color w:val="000000"/>
          <w:sz w:val="24"/>
        </w:rPr>
        <w:t>。</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代理人无转委托权，特此委托。</w:t>
      </w:r>
    </w:p>
    <w:p>
      <w:pPr>
        <w:spacing w:line="560" w:lineRule="exact"/>
        <w:ind w:firstLine="360" w:firstLineChars="150"/>
        <w:rPr>
          <w:rFonts w:hint="eastAsia" w:ascii="仿宋" w:hAnsi="仿宋" w:eastAsia="仿宋" w:cs="仿宋"/>
          <w:color w:val="000000"/>
          <w:sz w:val="24"/>
          <w:u w:val="single"/>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日签字生效，有效期自递交响应文件截止之日起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日历天。</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特此证明。</w:t>
      </w:r>
    </w:p>
    <w:p>
      <w:pPr>
        <w:spacing w:line="560" w:lineRule="exact"/>
        <w:ind w:firstLine="360" w:firstLineChars="150"/>
        <w:jc w:val="center"/>
        <w:rPr>
          <w:rFonts w:hint="eastAsia" w:ascii="仿宋" w:hAnsi="仿宋" w:eastAsia="仿宋" w:cs="仿宋"/>
          <w:color w:val="000000"/>
          <w:sz w:val="24"/>
        </w:rPr>
      </w:pPr>
      <w:r>
        <w:rPr>
          <w:rFonts w:hint="eastAsia" w:ascii="仿宋" w:hAnsi="仿宋" w:eastAsia="仿宋" w:cs="仿宋"/>
          <w:color w:val="000000"/>
          <w:sz w:val="24"/>
        </w:rPr>
        <w:t>身份证复印件粘贴处</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629" w:type="dxa"/>
          </w:tcPr>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法人代表身份证复印件（正面）</w:t>
            </w:r>
          </w:p>
        </w:tc>
        <w:tc>
          <w:tcPr>
            <w:tcW w:w="4657" w:type="dxa"/>
          </w:tcPr>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r>
              <w:rPr>
                <w:rFonts w:hint="eastAsia" w:ascii="仿宋" w:hAnsi="仿宋" w:eastAsia="仿宋" w:cs="仿宋"/>
                <w:szCs w:val="21"/>
              </w:rPr>
              <w:t>法人代表身份证复印件（反面）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629" w:type="dxa"/>
          </w:tcPr>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p>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授权委托人身份证复印件（正面）</w:t>
            </w:r>
          </w:p>
        </w:tc>
        <w:tc>
          <w:tcPr>
            <w:tcW w:w="4657" w:type="dxa"/>
          </w:tcPr>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p>
          <w:p>
            <w:pPr>
              <w:widowControl/>
              <w:spacing w:line="360" w:lineRule="auto"/>
              <w:jc w:val="center"/>
              <w:rPr>
                <w:rFonts w:hint="eastAsia" w:ascii="仿宋" w:hAnsi="仿宋" w:eastAsia="仿宋" w:cs="仿宋"/>
                <w:szCs w:val="21"/>
              </w:rPr>
            </w:pPr>
            <w:r>
              <w:rPr>
                <w:rFonts w:hint="eastAsia" w:ascii="仿宋" w:hAnsi="仿宋" w:eastAsia="仿宋" w:cs="仿宋"/>
                <w:szCs w:val="21"/>
              </w:rPr>
              <w:t>授权委托人身份证复印件（反面）</w:t>
            </w:r>
          </w:p>
        </w:tc>
      </w:tr>
    </w:tbl>
    <w:p>
      <w:pPr>
        <w:spacing w:line="560" w:lineRule="exact"/>
        <w:ind w:firstLine="1233" w:firstLineChars="514"/>
        <w:rPr>
          <w:rFonts w:hint="eastAsia" w:ascii="仿宋" w:hAnsi="仿宋" w:eastAsia="仿宋" w:cs="仿宋"/>
          <w:color w:val="000000"/>
          <w:sz w:val="24"/>
          <w:u w:val="single"/>
        </w:rPr>
      </w:pPr>
    </w:p>
    <w:p>
      <w:pPr>
        <w:spacing w:line="560" w:lineRule="exact"/>
        <w:ind w:right="120"/>
        <w:rPr>
          <w:rFonts w:hint="eastAsia" w:ascii="仿宋" w:hAnsi="仿宋" w:eastAsia="仿宋" w:cs="仿宋"/>
          <w:color w:val="000000"/>
          <w:sz w:val="24"/>
        </w:rPr>
      </w:pPr>
      <w:r>
        <w:rPr>
          <w:rFonts w:hint="eastAsia" w:ascii="仿宋" w:hAnsi="仿宋" w:eastAsia="仿宋" w:cs="仿宋"/>
          <w:color w:val="000000"/>
          <w:sz w:val="24"/>
        </w:rPr>
        <w:t>供  应  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（盖单位公章）     </w:t>
      </w:r>
      <w:r>
        <w:rPr>
          <w:rFonts w:hint="eastAsia" w:ascii="仿宋" w:hAnsi="仿宋" w:eastAsia="仿宋" w:cs="仿宋"/>
          <w:color w:val="FFFFFF"/>
          <w:sz w:val="24"/>
        </w:rPr>
        <w:t>.</w:t>
      </w:r>
    </w:p>
    <w:p>
      <w:pPr>
        <w:spacing w:line="560" w:lineRule="exact"/>
        <w:ind w:firstLine="1233" w:firstLineChars="514"/>
        <w:rPr>
          <w:rFonts w:hint="eastAsia" w:ascii="仿宋" w:hAnsi="仿宋" w:eastAsia="仿宋" w:cs="仿宋"/>
          <w:color w:val="000000"/>
          <w:sz w:val="24"/>
        </w:rPr>
      </w:pPr>
    </w:p>
    <w:p>
      <w:pPr>
        <w:spacing w:line="560" w:lineRule="exact"/>
        <w:ind w:right="120"/>
        <w:rPr>
          <w:rFonts w:hint="eastAsia" w:ascii="仿宋" w:hAnsi="仿宋" w:eastAsia="仿宋" w:cs="仿宋"/>
          <w:color w:val="000000"/>
          <w:sz w:val="24"/>
        </w:rPr>
      </w:pP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（签字或盖章）      </w:t>
      </w:r>
      <w:r>
        <w:rPr>
          <w:rFonts w:hint="eastAsia" w:ascii="仿宋" w:hAnsi="仿宋" w:eastAsia="仿宋" w:cs="仿宋"/>
          <w:color w:val="FFFFFF"/>
          <w:sz w:val="24"/>
        </w:rPr>
        <w:t>.</w:t>
      </w:r>
    </w:p>
    <w:p>
      <w:pPr>
        <w:spacing w:line="560" w:lineRule="exact"/>
        <w:ind w:firstLine="1233" w:firstLineChars="514"/>
        <w:rPr>
          <w:rFonts w:hint="eastAsia" w:ascii="仿宋" w:hAnsi="仿宋" w:eastAsia="仿宋" w:cs="仿宋"/>
          <w:color w:val="000000"/>
          <w:sz w:val="24"/>
        </w:rPr>
      </w:pPr>
    </w:p>
    <w:p>
      <w:pPr>
        <w:spacing w:line="560" w:lineRule="exact"/>
        <w:rPr>
          <w:rFonts w:hint="eastAsia" w:ascii="仿宋" w:hAnsi="仿宋" w:eastAsia="仿宋" w:cs="仿宋"/>
          <w:b/>
          <w:sz w:val="32"/>
          <w:szCs w:val="32"/>
        </w:rPr>
      </w:pPr>
      <w:r>
        <w:rPr>
          <w:rFonts w:hint="eastAsia" w:ascii="仿宋" w:hAnsi="仿宋" w:eastAsia="仿宋" w:cs="仿宋"/>
          <w:color w:val="000000"/>
          <w:sz w:val="24"/>
        </w:rPr>
        <w:t>日      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第四部分  供应商资质证明文件</w:t>
      </w:r>
    </w:p>
    <w:p>
      <w:pPr>
        <w:pStyle w:val="15"/>
        <w:numPr>
          <w:ilvl w:val="0"/>
          <w:numId w:val="2"/>
        </w:numPr>
        <w:spacing w:before="0" w:beforeAutospacing="0" w:after="0" w:afterAutospacing="0" w:line="360" w:lineRule="auto"/>
        <w:ind w:firstLine="480" w:firstLineChars="200"/>
        <w:rPr>
          <w:rFonts w:hint="eastAsia" w:ascii="仿宋" w:hAnsi="仿宋" w:eastAsia="仿宋" w:cs="仿宋"/>
          <w:kern w:val="2"/>
        </w:rPr>
      </w:pPr>
      <w:r>
        <w:rPr>
          <w:rFonts w:hint="eastAsia" w:ascii="仿宋" w:hAnsi="仿宋" w:eastAsia="仿宋" w:cs="仿宋"/>
          <w:kern w:val="2"/>
        </w:rPr>
        <w:t>具有独立承担民事责任能力的法人或其他组织，提供合法有效的统一社会信用代码的营业执照（含年度报告书）或事业单位法人证书等国家规定的相关证明，自然人参与的提供其身份证明； </w:t>
      </w:r>
      <w:r>
        <w:rPr>
          <w:rFonts w:hint="eastAsia" w:ascii="仿宋" w:hAnsi="仿宋" w:eastAsia="仿宋" w:cs="仿宋"/>
          <w:kern w:val="2"/>
        </w:rPr>
        <w:br w:type="textWrapping"/>
      </w:r>
      <w:r>
        <w:rPr>
          <w:rFonts w:hint="eastAsia" w:ascii="仿宋" w:hAnsi="仿宋" w:eastAsia="仿宋" w:cs="仿宋"/>
          <w:kern w:val="2"/>
        </w:rPr>
        <w:t xml:space="preserve">   （2）法定代表人授权书（附法定代表人身份证复印件）及被授权人身份证（法定代表人直接参加投标只须提供法定代表人身份证）； </w:t>
      </w:r>
      <w:r>
        <w:rPr>
          <w:rFonts w:hint="eastAsia" w:ascii="仿宋" w:hAnsi="仿宋" w:eastAsia="仿宋" w:cs="仿宋"/>
          <w:kern w:val="2"/>
        </w:rPr>
        <w:br w:type="textWrapping"/>
      </w:r>
      <w:r>
        <w:rPr>
          <w:rFonts w:hint="eastAsia" w:ascii="仿宋" w:hAnsi="仿宋" w:eastAsia="仿宋" w:cs="仿宋"/>
          <w:kern w:val="2"/>
        </w:rPr>
        <w:t xml:space="preserve">   （3）税收缴纳证明：提供已缴纳的本年度或上年度任一月份的缴税凭证或依法免税的供应商应提供相关文件证明；</w:t>
      </w:r>
      <w:r>
        <w:rPr>
          <w:rFonts w:hint="eastAsia" w:ascii="仿宋" w:hAnsi="仿宋" w:eastAsia="仿宋" w:cs="仿宋"/>
          <w:kern w:val="2"/>
        </w:rPr>
        <w:br w:type="textWrapping"/>
      </w:r>
      <w:r>
        <w:rPr>
          <w:rFonts w:hint="eastAsia" w:ascii="仿宋" w:hAnsi="仿宋" w:eastAsia="仿宋" w:cs="仿宋"/>
          <w:kern w:val="2"/>
        </w:rPr>
        <w:t xml:space="preserve">   （4）供应商须具备地质灾害防治勘查甲级资质；拟派项目负责人须具有地质相关专业中级或以上技术职称；</w:t>
      </w:r>
      <w:r>
        <w:rPr>
          <w:rFonts w:hint="eastAsia" w:ascii="仿宋" w:hAnsi="仿宋" w:eastAsia="仿宋" w:cs="仿宋"/>
          <w:kern w:val="2"/>
        </w:rPr>
        <w:br w:type="textWrapping"/>
      </w:r>
      <w:r>
        <w:rPr>
          <w:rFonts w:hint="eastAsia" w:ascii="仿宋" w:hAnsi="仿宋" w:eastAsia="仿宋" w:cs="仿宋"/>
          <w:kern w:val="2"/>
        </w:rPr>
        <w:t xml:space="preserve">   （5）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 </w:t>
      </w:r>
      <w:r>
        <w:rPr>
          <w:rFonts w:hint="eastAsia" w:ascii="仿宋" w:hAnsi="仿宋" w:eastAsia="仿宋" w:cs="仿宋"/>
          <w:kern w:val="2"/>
        </w:rPr>
        <w:br w:type="textWrapping"/>
      </w:r>
      <w:r>
        <w:rPr>
          <w:rFonts w:hint="eastAsia" w:ascii="仿宋" w:hAnsi="仿宋" w:eastAsia="仿宋" w:cs="仿宋"/>
          <w:kern w:val="2"/>
        </w:rPr>
        <w:t xml:space="preserve">   （6）财务状况报告：提供2020年度或2021年度的财务审计报告（至少包括资产负债表和利润表，成立时间至提交响应文件截止时间不足一年的可提供成立后任意时段的资产负债表），或其基本存款账户开户银行出具的资信证明及基本户证明材料； </w:t>
      </w:r>
      <w:r>
        <w:rPr>
          <w:rFonts w:hint="eastAsia" w:ascii="仿宋" w:hAnsi="仿宋" w:eastAsia="仿宋" w:cs="仿宋"/>
          <w:kern w:val="2"/>
        </w:rPr>
        <w:br w:type="textWrapping"/>
      </w:r>
      <w:r>
        <w:rPr>
          <w:rFonts w:hint="eastAsia" w:ascii="仿宋" w:hAnsi="仿宋" w:eastAsia="仿宋" w:cs="仿宋"/>
          <w:kern w:val="2"/>
        </w:rPr>
        <w:t xml:space="preserve">   （7）供应商应出具参加政府采购活动前3年内在经营活动中没有重大违法记录的书面声明； </w:t>
      </w:r>
      <w:r>
        <w:rPr>
          <w:rFonts w:hint="eastAsia" w:ascii="仿宋" w:hAnsi="仿宋" w:eastAsia="仿宋" w:cs="仿宋"/>
          <w:kern w:val="2"/>
        </w:rPr>
        <w:br w:type="textWrapping"/>
      </w:r>
      <w:r>
        <w:rPr>
          <w:rFonts w:hint="eastAsia" w:ascii="仿宋" w:hAnsi="仿宋" w:eastAsia="仿宋" w:cs="仿宋"/>
          <w:kern w:val="2"/>
        </w:rPr>
        <w:t xml:space="preserve">   （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autoSpaceDE w:val="0"/>
        <w:autoSpaceDN w:val="0"/>
        <w:adjustRightInd w:val="0"/>
        <w:spacing w:line="560" w:lineRule="exact"/>
        <w:jc w:val="center"/>
        <w:rPr>
          <w:rFonts w:hint="eastAsia" w:ascii="仿宋" w:hAnsi="仿宋" w:eastAsia="仿宋" w:cs="仿宋"/>
          <w:sz w:val="44"/>
        </w:rPr>
      </w:pPr>
      <w:r>
        <w:rPr>
          <w:rFonts w:hint="eastAsia" w:ascii="仿宋" w:hAnsi="仿宋" w:eastAsia="仿宋" w:cs="仿宋"/>
          <w:color w:val="222222"/>
          <w:sz w:val="28"/>
          <w:szCs w:val="28"/>
        </w:rPr>
        <w:br w:type="page"/>
      </w:r>
      <w:r>
        <w:rPr>
          <w:rFonts w:hint="eastAsia" w:ascii="仿宋" w:hAnsi="仿宋" w:eastAsia="仿宋" w:cs="仿宋"/>
          <w:b/>
          <w:sz w:val="32"/>
          <w:szCs w:val="32"/>
        </w:rPr>
        <w:t>第五部分</w:t>
      </w:r>
      <w:r>
        <w:rPr>
          <w:rFonts w:hint="eastAsia" w:ascii="仿宋" w:hAnsi="仿宋" w:eastAsia="仿宋" w:cs="仿宋"/>
          <w:b/>
          <w:color w:val="000000"/>
        </w:rPr>
        <w:t xml:space="preserve">  </w:t>
      </w:r>
      <w:r>
        <w:rPr>
          <w:rFonts w:hint="eastAsia" w:ascii="仿宋" w:hAnsi="仿宋" w:eastAsia="仿宋" w:cs="仿宋"/>
          <w:b/>
          <w:sz w:val="32"/>
          <w:szCs w:val="32"/>
        </w:rPr>
        <w:t>技术响应方案</w:t>
      </w:r>
    </w:p>
    <w:p>
      <w:pPr>
        <w:autoSpaceDE w:val="0"/>
        <w:autoSpaceDN w:val="0"/>
        <w:adjustRightInd w:val="0"/>
        <w:spacing w:line="360" w:lineRule="auto"/>
        <w:jc w:val="left"/>
        <w:rPr>
          <w:rFonts w:hint="eastAsia" w:ascii="仿宋" w:hAnsi="仿宋" w:eastAsia="仿宋" w:cs="仿宋"/>
          <w:sz w:val="24"/>
        </w:rPr>
      </w:pP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1、综合能力</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2、实施方案</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3、质量保证</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4、服务承诺</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5、其他；</w:t>
      </w:r>
    </w:p>
    <w:p>
      <w:pPr>
        <w:autoSpaceDE w:val="0"/>
        <w:autoSpaceDN w:val="0"/>
        <w:adjustRightInd w:val="0"/>
        <w:spacing w:line="560" w:lineRule="exact"/>
        <w:jc w:val="left"/>
        <w:rPr>
          <w:rFonts w:hint="eastAsia" w:ascii="仿宋" w:hAnsi="仿宋" w:eastAsia="仿宋" w:cs="仿宋"/>
          <w:b/>
          <w:bCs/>
          <w:color w:val="FF0000"/>
          <w:sz w:val="24"/>
        </w:rPr>
      </w:pPr>
      <w:r>
        <w:rPr>
          <w:rFonts w:hint="eastAsia" w:ascii="仿宋" w:hAnsi="仿宋" w:eastAsia="仿宋" w:cs="仿宋"/>
          <w:b/>
          <w:bCs/>
          <w:color w:val="FF0000"/>
          <w:sz w:val="24"/>
        </w:rPr>
        <w:t>注：详细方案编制参见评分办法相关内容。</w:t>
      </w:r>
    </w:p>
    <w:p>
      <w:pPr>
        <w:autoSpaceDE w:val="0"/>
        <w:autoSpaceDN w:val="0"/>
        <w:adjustRightInd w:val="0"/>
        <w:spacing w:line="560" w:lineRule="exact"/>
        <w:ind w:firstLine="480" w:firstLineChars="200"/>
        <w:jc w:val="left"/>
        <w:rPr>
          <w:rFonts w:hint="eastAsia" w:ascii="仿宋" w:hAnsi="仿宋" w:eastAsia="仿宋" w:cs="仿宋"/>
          <w:sz w:val="24"/>
        </w:rPr>
      </w:pPr>
    </w:p>
    <w:p>
      <w:pPr>
        <w:kinsoku w:val="0"/>
        <w:spacing w:line="500" w:lineRule="exact"/>
        <w:ind w:firstLine="480" w:firstLineChars="200"/>
        <w:rPr>
          <w:rFonts w:hint="eastAsia" w:ascii="仿宋" w:hAnsi="仿宋" w:eastAsia="仿宋" w:cs="仿宋"/>
          <w:color w:val="000000"/>
          <w:sz w:val="24"/>
        </w:rPr>
      </w:pPr>
    </w:p>
    <w:p>
      <w:pPr>
        <w:kinsoku w:val="0"/>
        <w:spacing w:line="500" w:lineRule="exact"/>
        <w:ind w:firstLine="480" w:firstLineChars="200"/>
        <w:rPr>
          <w:rFonts w:hint="eastAsia" w:ascii="仿宋" w:hAnsi="仿宋" w:eastAsia="仿宋" w:cs="仿宋"/>
          <w:sz w:val="24"/>
        </w:rPr>
      </w:pPr>
    </w:p>
    <w:p>
      <w:pPr>
        <w:kinsoku w:val="0"/>
        <w:spacing w:line="500" w:lineRule="exact"/>
        <w:ind w:firstLine="480" w:firstLineChars="200"/>
        <w:rPr>
          <w:rFonts w:hint="eastAsia" w:ascii="仿宋" w:hAnsi="仿宋" w:eastAsia="仿宋" w:cs="仿宋"/>
          <w:sz w:val="24"/>
        </w:rPr>
      </w:pPr>
    </w:p>
    <w:p>
      <w:pPr>
        <w:wordWrap w:val="0"/>
        <w:spacing w:line="360" w:lineRule="auto"/>
        <w:ind w:right="456"/>
        <w:rPr>
          <w:rFonts w:hint="eastAsia" w:ascii="仿宋" w:hAnsi="仿宋" w:eastAsia="仿宋" w:cs="仿宋"/>
        </w:rPr>
      </w:pPr>
    </w:p>
    <w:p>
      <w:pPr>
        <w:pStyle w:val="12"/>
        <w:rPr>
          <w:rFonts w:hint="eastAsia" w:ascii="仿宋" w:hAnsi="仿宋" w:eastAsia="仿宋" w:cs="仿宋"/>
        </w:rPr>
      </w:pPr>
    </w:p>
    <w:p>
      <w:pPr>
        <w:pStyle w:val="12"/>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pStyle w:val="12"/>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pStyle w:val="12"/>
        <w:rPr>
          <w:rFonts w:hint="eastAsia" w:ascii="仿宋" w:hAnsi="仿宋" w:eastAsia="仿宋" w:cs="仿宋"/>
        </w:rPr>
      </w:pPr>
    </w:p>
    <w:p>
      <w:pPr>
        <w:spacing w:line="600" w:lineRule="exact"/>
        <w:jc w:val="center"/>
        <w:rPr>
          <w:rFonts w:hint="eastAsia" w:ascii="仿宋" w:hAnsi="仿宋" w:eastAsia="仿宋" w:cs="仿宋"/>
          <w:sz w:val="28"/>
        </w:rPr>
      </w:pPr>
      <w:r>
        <w:rPr>
          <w:rFonts w:hint="eastAsia" w:ascii="仿宋" w:hAnsi="仿宋" w:eastAsia="仿宋" w:cs="仿宋"/>
          <w:b/>
          <w:color w:val="000000"/>
        </w:rPr>
        <w:t xml:space="preserve">  </w:t>
      </w:r>
      <w:r>
        <w:rPr>
          <w:rFonts w:hint="eastAsia" w:ascii="仿宋" w:hAnsi="仿宋" w:eastAsia="仿宋" w:cs="仿宋"/>
          <w:b/>
          <w:sz w:val="32"/>
          <w:szCs w:val="32"/>
        </w:rPr>
        <w:t>第六部分</w:t>
      </w:r>
      <w:r>
        <w:rPr>
          <w:rFonts w:hint="eastAsia" w:ascii="仿宋" w:hAnsi="仿宋" w:eastAsia="仿宋" w:cs="仿宋"/>
          <w:b/>
          <w:color w:val="000000"/>
        </w:rPr>
        <w:t xml:space="preserve"> </w:t>
      </w:r>
      <w:r>
        <w:rPr>
          <w:rFonts w:hint="eastAsia" w:ascii="仿宋" w:hAnsi="仿宋" w:eastAsia="仿宋" w:cs="仿宋"/>
          <w:b/>
          <w:sz w:val="32"/>
          <w:szCs w:val="32"/>
        </w:rPr>
        <w:t xml:space="preserve"> 商务响应方案</w:t>
      </w:r>
    </w:p>
    <w:p>
      <w:pPr>
        <w:spacing w:line="760" w:lineRule="exact"/>
        <w:rPr>
          <w:rFonts w:hint="eastAsia" w:ascii="仿宋" w:hAnsi="仿宋" w:eastAsia="仿宋" w:cs="仿宋"/>
          <w:sz w:val="24"/>
        </w:rPr>
      </w:pPr>
      <w:r>
        <w:rPr>
          <w:rFonts w:hint="eastAsia" w:ascii="仿宋" w:hAnsi="仿宋" w:eastAsia="仿宋" w:cs="仿宋"/>
          <w:sz w:val="24"/>
        </w:rPr>
        <w:t>商务响应方案的主要内容：</w:t>
      </w:r>
    </w:p>
    <w:p>
      <w:pPr>
        <w:spacing w:line="360" w:lineRule="auto"/>
        <w:ind w:firstLine="420"/>
        <w:outlineLvl w:val="2"/>
        <w:rPr>
          <w:rFonts w:hint="eastAsia" w:ascii="仿宋" w:hAnsi="仿宋" w:eastAsia="仿宋" w:cs="仿宋"/>
          <w:color w:val="222222"/>
          <w:sz w:val="24"/>
        </w:rPr>
      </w:pPr>
      <w:r>
        <w:rPr>
          <w:rFonts w:hint="eastAsia" w:ascii="仿宋" w:hAnsi="仿宋" w:eastAsia="仿宋" w:cs="仿宋"/>
          <w:color w:val="222222"/>
          <w:sz w:val="24"/>
        </w:rPr>
        <w:t>1）企业简介；</w:t>
      </w:r>
    </w:p>
    <w:p>
      <w:pPr>
        <w:spacing w:line="360" w:lineRule="auto"/>
        <w:ind w:firstLine="420"/>
        <w:outlineLvl w:val="2"/>
        <w:rPr>
          <w:rFonts w:hint="eastAsia" w:ascii="仿宋" w:hAnsi="仿宋" w:eastAsia="仿宋" w:cs="仿宋"/>
          <w:color w:val="222222"/>
          <w:sz w:val="24"/>
        </w:rPr>
      </w:pPr>
      <w:r>
        <w:rPr>
          <w:rFonts w:hint="eastAsia" w:ascii="仿宋" w:hAnsi="仿宋" w:eastAsia="仿宋" w:cs="仿宋"/>
          <w:color w:val="222222"/>
          <w:sz w:val="24"/>
        </w:rPr>
        <w:t>2）商务响应（服务期、付款方式、价款结算、违约责任等）与合同条款说明；</w:t>
      </w:r>
    </w:p>
    <w:p>
      <w:pPr>
        <w:spacing w:line="360" w:lineRule="auto"/>
        <w:ind w:firstLine="420"/>
        <w:outlineLvl w:val="2"/>
        <w:rPr>
          <w:rFonts w:hint="eastAsia" w:ascii="仿宋" w:hAnsi="仿宋" w:eastAsia="仿宋" w:cs="仿宋"/>
          <w:color w:val="222222"/>
          <w:sz w:val="24"/>
        </w:rPr>
      </w:pPr>
      <w:r>
        <w:rPr>
          <w:rFonts w:hint="eastAsia" w:ascii="仿宋" w:hAnsi="仿宋" w:eastAsia="仿宋" w:cs="仿宋"/>
          <w:color w:val="222222"/>
          <w:sz w:val="24"/>
        </w:rPr>
        <w:t>3）业绩；</w:t>
      </w:r>
    </w:p>
    <w:p>
      <w:pPr>
        <w:spacing w:line="360" w:lineRule="auto"/>
        <w:ind w:firstLine="420"/>
        <w:outlineLvl w:val="2"/>
        <w:rPr>
          <w:rFonts w:hint="eastAsia" w:ascii="仿宋" w:hAnsi="仿宋" w:eastAsia="仿宋" w:cs="仿宋"/>
          <w:color w:val="222222"/>
          <w:sz w:val="24"/>
        </w:rPr>
      </w:pPr>
      <w:r>
        <w:rPr>
          <w:rFonts w:hint="eastAsia" w:ascii="仿宋" w:hAnsi="仿宋" w:eastAsia="仿宋" w:cs="仿宋"/>
          <w:color w:val="222222"/>
          <w:sz w:val="24"/>
        </w:rPr>
        <w:t>4）有必要说明的商务事宜。</w:t>
      </w:r>
    </w:p>
    <w:p>
      <w:pPr>
        <w:pStyle w:val="12"/>
        <w:rPr>
          <w:rFonts w:hint="eastAsia" w:ascii="仿宋" w:hAnsi="仿宋" w:eastAsia="仿宋" w:cs="仿宋"/>
        </w:rPr>
      </w:pPr>
    </w:p>
    <w:p>
      <w:pPr>
        <w:jc w:val="center"/>
        <w:rPr>
          <w:rFonts w:hint="eastAsia" w:ascii="仿宋" w:hAnsi="仿宋" w:eastAsia="仿宋" w:cs="仿宋"/>
          <w:sz w:val="24"/>
        </w:rPr>
      </w:pPr>
    </w:p>
    <w:p>
      <w:pPr>
        <w:jc w:val="center"/>
        <w:rPr>
          <w:rFonts w:hint="eastAsia" w:ascii="仿宋" w:hAnsi="仿宋" w:eastAsia="仿宋" w:cs="仿宋"/>
          <w:sz w:val="44"/>
        </w:rPr>
      </w:pPr>
    </w:p>
    <w:p>
      <w:pPr>
        <w:jc w:val="center"/>
        <w:rPr>
          <w:rFonts w:hint="eastAsia" w:ascii="仿宋" w:hAnsi="仿宋" w:eastAsia="仿宋" w:cs="仿宋"/>
          <w:sz w:val="44"/>
        </w:rPr>
      </w:pPr>
    </w:p>
    <w:p>
      <w:pPr>
        <w:jc w:val="center"/>
        <w:rPr>
          <w:rFonts w:hint="eastAsia" w:ascii="仿宋" w:hAnsi="仿宋" w:eastAsia="仿宋" w:cs="仿宋"/>
          <w:sz w:val="44"/>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spacing w:line="360" w:lineRule="atLeast"/>
        <w:rPr>
          <w:rFonts w:hint="eastAsia" w:ascii="仿宋" w:hAnsi="仿宋" w:eastAsia="仿宋" w:cs="仿宋"/>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pStyle w:val="12"/>
        <w:rPr>
          <w:rFonts w:hint="eastAsia" w:ascii="仿宋" w:hAnsi="仿宋" w:eastAsia="仿宋" w:cs="仿宋"/>
        </w:rPr>
      </w:pPr>
    </w:p>
    <w:p>
      <w:pPr>
        <w:pStyle w:val="12"/>
        <w:ind w:left="0" w:leftChars="0"/>
        <w:rPr>
          <w:rFonts w:hint="eastAsia" w:ascii="仿宋" w:hAnsi="仿宋" w:eastAsia="仿宋" w:cs="仿宋"/>
        </w:rPr>
      </w:pPr>
    </w:p>
    <w:p>
      <w:pPr>
        <w:pStyle w:val="12"/>
        <w:ind w:left="0" w:leftChars="0"/>
        <w:rPr>
          <w:rFonts w:hint="eastAsia" w:ascii="仿宋" w:hAnsi="仿宋" w:eastAsia="仿宋" w:cs="仿宋"/>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第七部分  供应商承诺书</w:t>
      </w:r>
    </w:p>
    <w:p>
      <w:pPr>
        <w:pStyle w:val="10"/>
        <w:jc w:val="center"/>
        <w:rPr>
          <w:rFonts w:hint="eastAsia" w:ascii="仿宋" w:hAnsi="仿宋" w:eastAsia="仿宋" w:cs="仿宋"/>
          <w:b/>
          <w:sz w:val="32"/>
        </w:rPr>
      </w:pPr>
    </w:p>
    <w:p>
      <w:pPr>
        <w:pStyle w:val="10"/>
        <w:jc w:val="center"/>
        <w:rPr>
          <w:rFonts w:hint="eastAsia" w:ascii="仿宋" w:hAnsi="仿宋" w:eastAsia="仿宋" w:cs="仿宋"/>
          <w:b/>
          <w:sz w:val="32"/>
        </w:rPr>
      </w:pPr>
      <w:r>
        <w:rPr>
          <w:rFonts w:hint="eastAsia" w:ascii="仿宋" w:hAnsi="仿宋" w:eastAsia="仿宋" w:cs="仿宋"/>
          <w:b/>
          <w:sz w:val="32"/>
        </w:rPr>
        <w:t>陕西省政府采购供应商拒绝政府采购领域商业贿赂承诺书</w:t>
      </w:r>
      <w:r>
        <w:rPr>
          <w:rFonts w:hint="eastAsia" w:ascii="仿宋" w:hAnsi="仿宋" w:eastAsia="仿宋" w:cs="仿宋"/>
          <w:b/>
          <w:sz w:val="32"/>
          <w:szCs w:val="32"/>
        </w:rPr>
        <w:t>Ⅰ</w:t>
      </w:r>
    </w:p>
    <w:p>
      <w:pPr>
        <w:rPr>
          <w:rFonts w:hint="eastAsia" w:ascii="仿宋" w:hAnsi="仿宋" w:eastAsia="仿宋" w:cs="仿宋"/>
        </w:rPr>
      </w:pPr>
    </w:p>
    <w:p>
      <w:pPr>
        <w:spacing w:line="360" w:lineRule="auto"/>
        <w:ind w:firstLine="360" w:firstLineChars="150"/>
        <w:rPr>
          <w:rFonts w:hint="eastAsia" w:ascii="仿宋" w:hAnsi="仿宋" w:eastAsia="仿宋" w:cs="仿宋"/>
          <w:sz w:val="24"/>
          <w:szCs w:val="28"/>
        </w:rPr>
      </w:pPr>
      <w:r>
        <w:rPr>
          <w:rFonts w:hint="eastAsia" w:ascii="仿宋" w:hAnsi="仿宋" w:eastAsia="仿宋" w:cs="仿宋"/>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1、在参与政府采购活动中遵纪守法、诚信经营、公平竞标；</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2、不向政府采购人、采购代理机构和政府采购评审专家进行任何形式的商业贿赂以谋取交易机会；</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3、不向政府采购代理机构和采购人提供虚假资质文件或采用虚假应标方式参与政府采购市场竞争并谋取中标；</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4、不采取“围标、陪标”等商业欺诈手段获得政府采购订单；</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5、不采取不正当手段诋毁、排挤其他供应商；</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6、不在提服务时“偷梁换柱、以次充好”损害采购人的合法权益；</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7、不与采购人、采购代理机构政府采购评审专家或其它供应商恶意串通，进行质疑和投诉，维护政府采购市场秩序；</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8、尊重和接受政府采购监督管理部门的监督和政府采购代理机构磋商采购要求，承担因违约行为给采购人造成的损失；</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9、不发生其他有悖于政府采购公开、公平、公正和诚信原则的行为。</w:t>
      </w:r>
    </w:p>
    <w:p>
      <w:pPr>
        <w:spacing w:line="360" w:lineRule="auto"/>
        <w:ind w:firstLine="480" w:firstLineChars="200"/>
        <w:rPr>
          <w:rFonts w:hint="eastAsia" w:ascii="仿宋" w:hAnsi="仿宋" w:eastAsia="仿宋" w:cs="仿宋"/>
          <w:sz w:val="24"/>
          <w:szCs w:val="28"/>
        </w:rPr>
      </w:pPr>
    </w:p>
    <w:p>
      <w:pPr>
        <w:spacing w:line="48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承诺单位：</w:t>
      </w:r>
      <w:r>
        <w:rPr>
          <w:rFonts w:hint="eastAsia" w:ascii="仿宋" w:hAnsi="仿宋" w:eastAsia="仿宋" w:cs="仿宋"/>
          <w:sz w:val="24"/>
          <w:szCs w:val="28"/>
          <w:u w:val="single"/>
        </w:rPr>
        <w:t xml:space="preserve">                    </w:t>
      </w:r>
      <w:r>
        <w:rPr>
          <w:rFonts w:hint="eastAsia" w:ascii="仿宋" w:hAnsi="仿宋" w:eastAsia="仿宋" w:cs="仿宋"/>
          <w:sz w:val="24"/>
          <w:szCs w:val="28"/>
        </w:rPr>
        <w:t>（盖章）</w:t>
      </w:r>
    </w:p>
    <w:p>
      <w:pPr>
        <w:spacing w:line="48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全权代表：</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（签字）</w:t>
      </w:r>
    </w:p>
    <w:p>
      <w:pPr>
        <w:spacing w:line="48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 xml:space="preserve">地址： </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line="480" w:lineRule="auto"/>
        <w:ind w:firstLine="480" w:firstLineChars="200"/>
        <w:rPr>
          <w:rFonts w:hint="eastAsia" w:ascii="仿宋" w:hAnsi="仿宋" w:eastAsia="仿宋" w:cs="仿宋"/>
          <w:sz w:val="24"/>
          <w:szCs w:val="28"/>
          <w:u w:val="single"/>
        </w:rPr>
      </w:pPr>
      <w:r>
        <w:rPr>
          <w:rFonts w:hint="eastAsia" w:ascii="仿宋" w:hAnsi="仿宋" w:eastAsia="仿宋" w:cs="仿宋"/>
          <w:sz w:val="24"/>
          <w:szCs w:val="28"/>
        </w:rPr>
        <w:t>邮编：</w:t>
      </w:r>
      <w:r>
        <w:rPr>
          <w:rFonts w:hint="eastAsia" w:ascii="仿宋" w:hAnsi="仿宋" w:eastAsia="仿宋" w:cs="仿宋"/>
          <w:sz w:val="24"/>
          <w:szCs w:val="28"/>
          <w:u w:val="single"/>
        </w:rPr>
        <w:t xml:space="preserve">                  </w:t>
      </w:r>
    </w:p>
    <w:p>
      <w:pPr>
        <w:spacing w:line="480" w:lineRule="auto"/>
        <w:ind w:firstLine="480" w:firstLineChars="200"/>
        <w:rPr>
          <w:rFonts w:hint="eastAsia" w:ascii="仿宋" w:hAnsi="仿宋" w:eastAsia="仿宋" w:cs="仿宋"/>
          <w:sz w:val="24"/>
          <w:szCs w:val="28"/>
          <w:u w:val="single"/>
        </w:rPr>
      </w:pPr>
      <w:r>
        <w:rPr>
          <w:rFonts w:hint="eastAsia" w:ascii="仿宋" w:hAnsi="仿宋" w:eastAsia="仿宋" w:cs="仿宋"/>
          <w:sz w:val="24"/>
          <w:szCs w:val="28"/>
        </w:rPr>
        <w:t>电话：</w:t>
      </w:r>
      <w:r>
        <w:rPr>
          <w:rFonts w:hint="eastAsia" w:ascii="仿宋" w:hAnsi="仿宋" w:eastAsia="仿宋" w:cs="仿宋"/>
          <w:sz w:val="24"/>
          <w:szCs w:val="28"/>
          <w:u w:val="single"/>
        </w:rPr>
        <w:t xml:space="preserve">                   </w:t>
      </w:r>
    </w:p>
    <w:p>
      <w:pPr>
        <w:spacing w:line="440" w:lineRule="exact"/>
        <w:ind w:firstLine="480" w:firstLineChars="200"/>
        <w:rPr>
          <w:rFonts w:hint="eastAsia" w:ascii="仿宋" w:hAnsi="仿宋" w:eastAsia="仿宋" w:cs="仿宋"/>
          <w:sz w:val="24"/>
          <w:szCs w:val="28"/>
        </w:rPr>
      </w:pPr>
    </w:p>
    <w:p>
      <w:pPr>
        <w:wordWrap w:val="0"/>
        <w:spacing w:line="360" w:lineRule="auto"/>
        <w:ind w:right="480" w:firstLine="360" w:firstLineChars="150"/>
        <w:jc w:val="center"/>
        <w:rPr>
          <w:rFonts w:hint="eastAsia" w:ascii="仿宋" w:hAnsi="仿宋" w:eastAsia="仿宋" w:cs="仿宋"/>
          <w:sz w:val="24"/>
          <w:szCs w:val="28"/>
        </w:rPr>
      </w:pPr>
      <w:r>
        <w:rPr>
          <w:rFonts w:hint="eastAsia" w:ascii="仿宋" w:hAnsi="仿宋" w:eastAsia="仿宋" w:cs="仿宋"/>
          <w:sz w:val="24"/>
          <w:szCs w:val="28"/>
        </w:rPr>
        <w:t xml:space="preserve">                                                 年  月  日</w:t>
      </w:r>
    </w:p>
    <w:p>
      <w:pPr>
        <w:spacing w:line="360" w:lineRule="atLeast"/>
        <w:ind w:firstLine="4189" w:firstLineChars="1304"/>
        <w:rPr>
          <w:rFonts w:hint="eastAsia" w:ascii="仿宋" w:hAnsi="仿宋" w:eastAsia="仿宋" w:cs="仿宋"/>
          <w:b/>
          <w:sz w:val="32"/>
          <w:szCs w:val="32"/>
        </w:rPr>
      </w:pPr>
      <w:r>
        <w:rPr>
          <w:rFonts w:hint="eastAsia" w:ascii="仿宋" w:hAnsi="仿宋" w:eastAsia="仿宋" w:cs="仿宋"/>
          <w:b/>
          <w:sz w:val="32"/>
          <w:szCs w:val="32"/>
        </w:rPr>
        <w:t>承诺书Ⅱ</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pacing w:val="-6"/>
                <w:sz w:val="24"/>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供应商</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tLeast"/>
        <w:rPr>
          <w:rFonts w:hint="eastAsia" w:ascii="仿宋" w:hAnsi="仿宋" w:eastAsia="仿宋" w:cs="仿宋"/>
          <w:b/>
          <w:sz w:val="42"/>
          <w:szCs w:val="4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承诺书Ⅲ</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pacing w:val="-6"/>
                <w:sz w:val="24"/>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作为参加贵单位组织的磋商采购项目的供应商，本公司郑重申告并承诺：近三年受到有关行政主管部门的行政处理、不良行为记录为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供应商</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tLeast"/>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承诺书Ⅳ</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pacing w:val="-6"/>
                <w:sz w:val="24"/>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作为参加贵单位组织的磋商采购项目的投标人，本公司郑重申告：近三年因服务供货问题（水货、替代品、次品、翻新品等）的不法行为记录为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供应商</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uto"/>
        <w:ind w:right="480"/>
        <w:rPr>
          <w:rFonts w:hint="eastAsia" w:ascii="仿宋" w:hAnsi="仿宋" w:eastAsia="仿宋" w:cs="仿宋"/>
          <w:sz w:val="24"/>
          <w:szCs w:val="28"/>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w:t>
      </w:r>
      <w:r>
        <w:rPr>
          <w:rFonts w:hint="eastAsia" w:ascii="仿宋" w:hAnsi="仿宋" w:eastAsia="仿宋" w:cs="仿宋"/>
          <w:b/>
          <w:sz w:val="36"/>
          <w:szCs w:val="36"/>
        </w:rPr>
        <w:fldChar w:fldCharType="begin"/>
      </w:r>
      <w:r>
        <w:rPr>
          <w:rFonts w:hint="eastAsia" w:ascii="仿宋" w:hAnsi="仿宋" w:eastAsia="仿宋" w:cs="仿宋"/>
          <w:b/>
          <w:sz w:val="36"/>
          <w:szCs w:val="36"/>
        </w:rPr>
        <w:instrText xml:space="preserve"> = 5 \* ROMAN </w:instrText>
      </w:r>
      <w:r>
        <w:rPr>
          <w:rFonts w:hint="eastAsia" w:ascii="仿宋" w:hAnsi="仿宋" w:eastAsia="仿宋" w:cs="仿宋"/>
          <w:b/>
          <w:sz w:val="36"/>
          <w:szCs w:val="36"/>
        </w:rPr>
        <w:fldChar w:fldCharType="separate"/>
      </w:r>
      <w:r>
        <w:rPr>
          <w:rFonts w:hint="eastAsia" w:ascii="仿宋" w:hAnsi="仿宋" w:eastAsia="仿宋" w:cs="仿宋"/>
          <w:b/>
          <w:sz w:val="36"/>
          <w:szCs w:val="36"/>
        </w:rPr>
        <w:t>V</w:t>
      </w:r>
      <w:r>
        <w:rPr>
          <w:rFonts w:hint="eastAsia" w:ascii="仿宋" w:hAnsi="仿宋" w:eastAsia="仿宋" w:cs="仿宋"/>
          <w:b/>
          <w:sz w:val="36"/>
          <w:szCs w:val="36"/>
        </w:rPr>
        <w:fldChar w:fldCharType="end"/>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pacing w:val="-6"/>
                <w:sz w:val="24"/>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投标人</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（签字或盖章）</w:t>
            </w:r>
          </w:p>
        </w:tc>
        <w:tc>
          <w:tcPr>
            <w:tcW w:w="2340" w:type="dxa"/>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rPr>
          <w:rFonts w:hint="eastAsia" w:ascii="仿宋" w:hAnsi="仿宋" w:eastAsia="仿宋" w:cs="仿宋"/>
          <w:b/>
          <w:bCs/>
          <w:color w:val="000000"/>
          <w:sz w:val="32"/>
        </w:rPr>
      </w:pPr>
      <w:r>
        <w:rPr>
          <w:rFonts w:hint="eastAsia" w:ascii="仿宋" w:hAnsi="仿宋" w:eastAsia="仿宋" w:cs="仿宋"/>
          <w:b/>
          <w:bCs/>
          <w:color w:val="000000"/>
          <w:sz w:val="32"/>
        </w:rPr>
        <w:br w:type="page"/>
      </w:r>
    </w:p>
    <w:p>
      <w:pPr>
        <w:pStyle w:val="8"/>
        <w:rPr>
          <w:rFonts w:hint="eastAsia" w:ascii="仿宋" w:hAnsi="仿宋" w:eastAsia="仿宋" w:cs="仿宋"/>
          <w:b/>
          <w:color w:val="000000"/>
          <w:spacing w:val="4"/>
          <w:sz w:val="28"/>
          <w:szCs w:val="28"/>
        </w:rPr>
      </w:pPr>
      <w:bookmarkStart w:id="28" w:name="_Toc14910_WPSOffice_Level1"/>
      <w:bookmarkStart w:id="29" w:name="_Toc8575_WPSOffice_Level1"/>
      <w:r>
        <w:rPr>
          <w:rFonts w:hint="eastAsia" w:ascii="仿宋" w:hAnsi="仿宋" w:eastAsia="仿宋" w:cs="仿宋"/>
          <w:b/>
          <w:color w:val="000000"/>
          <w:spacing w:val="4"/>
          <w:sz w:val="28"/>
          <w:szCs w:val="28"/>
        </w:rPr>
        <w:t>附件：</w:t>
      </w:r>
      <w:bookmarkEnd w:id="28"/>
      <w:bookmarkEnd w:id="29"/>
    </w:p>
    <w:p>
      <w:pPr>
        <w:spacing w:line="360" w:lineRule="auto"/>
        <w:ind w:firstLine="557" w:firstLineChars="198"/>
        <w:jc w:val="center"/>
        <w:rPr>
          <w:rFonts w:hint="eastAsia" w:ascii="仿宋" w:hAnsi="仿宋" w:eastAsia="仿宋" w:cs="仿宋"/>
          <w:b/>
          <w:bCs/>
          <w:sz w:val="28"/>
          <w:szCs w:val="28"/>
        </w:rPr>
      </w:pPr>
      <w:r>
        <w:rPr>
          <w:rFonts w:hint="eastAsia" w:ascii="仿宋" w:hAnsi="仿宋" w:eastAsia="仿宋" w:cs="仿宋"/>
          <w:b/>
          <w:bCs/>
          <w:sz w:val="28"/>
          <w:szCs w:val="28"/>
        </w:rPr>
        <w:t>一、中小企业声明函</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本公司（联合体）郑重声明，根据《政府采购促进中小企业发展管理办法》（财库﹝2020﹞46 号）的规定，本公司 （联合体）参加</w:t>
      </w:r>
      <w:r>
        <w:rPr>
          <w:rFonts w:hint="eastAsia" w:ascii="仿宋" w:hAnsi="仿宋" w:eastAsia="仿宋" w:cs="仿宋"/>
          <w:bCs/>
          <w:sz w:val="24"/>
          <w:u w:val="single"/>
        </w:rPr>
        <w:t>（）</w:t>
      </w:r>
      <w:r>
        <w:rPr>
          <w:rFonts w:hint="eastAsia" w:ascii="仿宋" w:hAnsi="仿宋" w:eastAsia="仿宋" w:cs="仿宋"/>
          <w:bCs/>
          <w:sz w:val="24"/>
        </w:rPr>
        <w:t>的</w:t>
      </w:r>
      <w:r>
        <w:rPr>
          <w:rFonts w:hint="eastAsia" w:ascii="仿宋" w:hAnsi="仿宋" w:eastAsia="仿宋" w:cs="仿宋"/>
          <w:bCs/>
          <w:sz w:val="24"/>
          <w:u w:val="single"/>
        </w:rPr>
        <w:t>（）</w:t>
      </w:r>
      <w:r>
        <w:rPr>
          <w:rFonts w:hint="eastAsia" w:ascii="仿宋" w:hAnsi="仿宋" w:eastAsia="仿宋" w:cs="仿宋"/>
          <w:bCs/>
          <w:sz w:val="24"/>
        </w:rPr>
        <w:t>采购活动，服务的单位全部由符合政策要求的中小企业承接。相关企业（含联合体中的中小企业、签订分包意向协议的中小企业）的具体情况如下：</w:t>
      </w:r>
    </w:p>
    <w:p>
      <w:pPr>
        <w:numPr>
          <w:ilvl w:val="0"/>
          <w:numId w:val="5"/>
        </w:numPr>
        <w:spacing w:line="360" w:lineRule="auto"/>
        <w:ind w:firstLine="475" w:firstLineChars="198"/>
        <w:rPr>
          <w:rFonts w:hint="eastAsia" w:ascii="仿宋" w:hAnsi="仿宋" w:eastAsia="仿宋" w:cs="仿宋"/>
          <w:bCs/>
          <w:sz w:val="24"/>
        </w:rPr>
      </w:pPr>
      <w:r>
        <w:rPr>
          <w:rFonts w:hint="eastAsia" w:ascii="仿宋" w:hAnsi="仿宋" w:eastAsia="仿宋" w:cs="仿宋"/>
          <w:bCs/>
          <w:sz w:val="24"/>
          <w:u w:val="single"/>
        </w:rPr>
        <w:t xml:space="preserve">（标的名称） </w:t>
      </w:r>
      <w:r>
        <w:rPr>
          <w:rFonts w:hint="eastAsia" w:ascii="仿宋" w:hAnsi="仿宋" w:eastAsia="仿宋" w:cs="仿宋"/>
          <w:bCs/>
          <w:sz w:val="24"/>
        </w:rPr>
        <w:t>，属于</w:t>
      </w:r>
      <w:r>
        <w:rPr>
          <w:rFonts w:hint="eastAsia" w:ascii="仿宋" w:hAnsi="仿宋" w:eastAsia="仿宋" w:cs="仿宋"/>
          <w:bCs/>
          <w:sz w:val="24"/>
          <w:u w:val="single"/>
        </w:rPr>
        <w:t>（采购文件中明确的所属行业）</w:t>
      </w:r>
      <w:r>
        <w:rPr>
          <w:rFonts w:hint="eastAsia" w:ascii="仿宋" w:hAnsi="仿宋" w:eastAsia="仿宋" w:cs="仿宋"/>
          <w:bCs/>
          <w:sz w:val="24"/>
        </w:rPr>
        <w:t>； 承建（承接）企业为</w:t>
      </w:r>
      <w:r>
        <w:rPr>
          <w:rFonts w:hint="eastAsia" w:ascii="仿宋" w:hAnsi="仿宋" w:eastAsia="仿宋" w:cs="仿宋"/>
          <w:b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p>
    <w:p>
      <w:pPr>
        <w:spacing w:line="360" w:lineRule="auto"/>
        <w:rPr>
          <w:rFonts w:hint="eastAsia"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万元¹，属于【（  ）</w:t>
      </w:r>
      <w:r>
        <w:rPr>
          <w:rFonts w:hint="eastAsia" w:ascii="仿宋" w:hAnsi="仿宋" w:eastAsia="仿宋" w:cs="仿宋"/>
          <w:bCs/>
          <w:sz w:val="24"/>
          <w:u w:val="single"/>
        </w:rPr>
        <w:t>中型企业</w:t>
      </w:r>
      <w:r>
        <w:rPr>
          <w:rFonts w:hint="eastAsia" w:ascii="仿宋" w:hAnsi="仿宋" w:eastAsia="仿宋" w:cs="仿宋"/>
          <w:bCs/>
          <w:sz w:val="24"/>
        </w:rPr>
        <w:t>、（  ）</w:t>
      </w:r>
      <w:r>
        <w:rPr>
          <w:rFonts w:hint="eastAsia" w:ascii="仿宋" w:hAnsi="仿宋" w:eastAsia="仿宋" w:cs="仿宋"/>
          <w:bCs/>
          <w:sz w:val="24"/>
          <w:u w:val="single"/>
        </w:rPr>
        <w:t>小型企业</w:t>
      </w:r>
      <w:r>
        <w:rPr>
          <w:rFonts w:hint="eastAsia" w:ascii="仿宋" w:hAnsi="仿宋" w:eastAsia="仿宋" w:cs="仿宋"/>
          <w:bCs/>
          <w:sz w:val="24"/>
        </w:rPr>
        <w:t>、（  ）</w:t>
      </w:r>
      <w:r>
        <w:rPr>
          <w:rFonts w:hint="eastAsia" w:ascii="仿宋" w:hAnsi="仿宋" w:eastAsia="仿宋" w:cs="仿宋"/>
          <w:bCs/>
          <w:sz w:val="24"/>
          <w:u w:val="single"/>
        </w:rPr>
        <w:t>微型企业</w:t>
      </w:r>
      <w:r>
        <w:rPr>
          <w:rFonts w:hint="eastAsia" w:ascii="仿宋" w:hAnsi="仿宋" w:eastAsia="仿宋" w:cs="仿宋"/>
          <w:bCs/>
          <w:sz w:val="24"/>
        </w:rPr>
        <w:t xml:space="preserve">】； </w:t>
      </w:r>
    </w:p>
    <w:p>
      <w:pPr>
        <w:numPr>
          <w:ilvl w:val="0"/>
          <w:numId w:val="5"/>
        </w:numPr>
        <w:spacing w:line="360" w:lineRule="auto"/>
        <w:ind w:firstLine="475" w:firstLineChars="198"/>
        <w:rPr>
          <w:rFonts w:hint="eastAsia" w:ascii="仿宋" w:hAnsi="仿宋" w:eastAsia="仿宋" w:cs="仿宋"/>
          <w:bCs/>
          <w:sz w:val="24"/>
        </w:rPr>
      </w:pPr>
      <w:r>
        <w:rPr>
          <w:rFonts w:hint="eastAsia" w:ascii="仿宋" w:hAnsi="仿宋" w:eastAsia="仿宋" w:cs="仿宋"/>
          <w:bCs/>
          <w:sz w:val="24"/>
          <w:u w:val="single"/>
        </w:rPr>
        <w:t xml:space="preserve">（标的名称） </w:t>
      </w:r>
      <w:r>
        <w:rPr>
          <w:rFonts w:hint="eastAsia" w:ascii="仿宋" w:hAnsi="仿宋" w:eastAsia="仿宋" w:cs="仿宋"/>
          <w:bCs/>
          <w:sz w:val="24"/>
        </w:rPr>
        <w:t>，属于</w:t>
      </w:r>
      <w:r>
        <w:rPr>
          <w:rFonts w:hint="eastAsia" w:ascii="仿宋" w:hAnsi="仿宋" w:eastAsia="仿宋" w:cs="仿宋"/>
          <w:bCs/>
          <w:sz w:val="24"/>
          <w:u w:val="single"/>
        </w:rPr>
        <w:t>（采购文件中明确的所属行业）</w:t>
      </w:r>
      <w:r>
        <w:rPr>
          <w:rFonts w:hint="eastAsia" w:ascii="仿宋" w:hAnsi="仿宋" w:eastAsia="仿宋" w:cs="仿宋"/>
          <w:bCs/>
          <w:sz w:val="24"/>
        </w:rPr>
        <w:t>； 承建（承接）企业为</w:t>
      </w:r>
      <w:r>
        <w:rPr>
          <w:rFonts w:hint="eastAsia" w:ascii="仿宋" w:hAnsi="仿宋" w:eastAsia="仿宋" w:cs="仿宋"/>
          <w:b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p>
    <w:p>
      <w:pPr>
        <w:spacing w:line="360" w:lineRule="auto"/>
        <w:rPr>
          <w:rFonts w:hint="eastAsia"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万元，属于【（  ）</w:t>
      </w:r>
      <w:r>
        <w:rPr>
          <w:rFonts w:hint="eastAsia" w:ascii="仿宋" w:hAnsi="仿宋" w:eastAsia="仿宋" w:cs="仿宋"/>
          <w:bCs/>
          <w:sz w:val="24"/>
          <w:u w:val="single"/>
        </w:rPr>
        <w:t>中型企业</w:t>
      </w:r>
      <w:r>
        <w:rPr>
          <w:rFonts w:hint="eastAsia" w:ascii="仿宋" w:hAnsi="仿宋" w:eastAsia="仿宋" w:cs="仿宋"/>
          <w:bCs/>
          <w:sz w:val="24"/>
        </w:rPr>
        <w:t>、（ ）</w:t>
      </w:r>
      <w:r>
        <w:rPr>
          <w:rFonts w:hint="eastAsia" w:ascii="仿宋" w:hAnsi="仿宋" w:eastAsia="仿宋" w:cs="仿宋"/>
          <w:bCs/>
          <w:sz w:val="24"/>
          <w:u w:val="single"/>
        </w:rPr>
        <w:t>小型企业</w:t>
      </w:r>
      <w:r>
        <w:rPr>
          <w:rFonts w:hint="eastAsia" w:ascii="仿宋" w:hAnsi="仿宋" w:eastAsia="仿宋" w:cs="仿宋"/>
          <w:bCs/>
          <w:sz w:val="24"/>
        </w:rPr>
        <w:t>、（  ）</w:t>
      </w:r>
      <w:r>
        <w:rPr>
          <w:rFonts w:hint="eastAsia" w:ascii="仿宋" w:hAnsi="仿宋" w:eastAsia="仿宋" w:cs="仿宋"/>
          <w:bCs/>
          <w:sz w:val="24"/>
          <w:u w:val="single"/>
        </w:rPr>
        <w:t>微型企业</w:t>
      </w:r>
      <w:r>
        <w:rPr>
          <w:rFonts w:hint="eastAsia" w:ascii="仿宋" w:hAnsi="仿宋" w:eastAsia="仿宋" w:cs="仿宋"/>
          <w:bCs/>
          <w:sz w:val="24"/>
        </w:rPr>
        <w:t>】；</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以上企业，不属于大企业的分支机构，不存在控股股东为大企业的情形，也不存在与大企业的负责人为同一人的情形。</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本企业对上述声明内容的真实性负责。如有虚假，将依法承担相应责任。</w:t>
      </w:r>
    </w:p>
    <w:p>
      <w:pPr>
        <w:spacing w:line="480" w:lineRule="exact"/>
        <w:ind w:firstLine="480" w:firstLineChars="200"/>
        <w:jc w:val="right"/>
        <w:rPr>
          <w:rFonts w:hint="eastAsia" w:ascii="仿宋" w:hAnsi="仿宋" w:eastAsia="仿宋" w:cs="仿宋"/>
          <w:bCs/>
          <w:sz w:val="24"/>
        </w:rPr>
      </w:pPr>
    </w:p>
    <w:p>
      <w:pPr>
        <w:spacing w:line="48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 xml:space="preserve">企业名称（盖章）：            </w:t>
      </w:r>
    </w:p>
    <w:p>
      <w:pPr>
        <w:spacing w:line="48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日期：</w:t>
      </w:r>
    </w:p>
    <w:p>
      <w:pPr>
        <w:spacing w:line="480" w:lineRule="exact"/>
        <w:ind w:firstLine="480" w:firstLineChars="200"/>
        <w:jc w:val="left"/>
        <w:rPr>
          <w:rFonts w:hint="eastAsia" w:ascii="仿宋" w:hAnsi="仿宋" w:eastAsia="仿宋" w:cs="仿宋"/>
          <w:bCs/>
          <w:sz w:val="24"/>
        </w:rPr>
      </w:pPr>
      <w:r>
        <w:rPr>
          <w:rFonts w:hint="eastAsia" w:ascii="仿宋" w:hAnsi="仿宋" w:eastAsia="仿宋" w:cs="仿宋"/>
          <w:bCs/>
          <w:sz w:val="24"/>
        </w:rPr>
        <w:t>注：¹从业人员、营业收入、资产总额填报上一年度数据，无上一年度数据的新成立企业可不填报。</w:t>
      </w:r>
    </w:p>
    <w:p>
      <w:pPr>
        <w:jc w:val="left"/>
        <w:rPr>
          <w:rFonts w:hint="eastAsia" w:ascii="仿宋" w:hAnsi="仿宋" w:eastAsia="仿宋" w:cs="仿宋"/>
          <w:b/>
          <w:sz w:val="24"/>
        </w:rPr>
      </w:pPr>
      <w:r>
        <w:rPr>
          <w:rFonts w:hint="eastAsia" w:ascii="仿宋" w:hAnsi="仿宋" w:eastAsia="仿宋" w:cs="仿宋"/>
          <w:b/>
          <w:bCs/>
          <w:sz w:val="32"/>
          <w:szCs w:val="32"/>
        </w:rPr>
        <w:t xml:space="preserve">   </w:t>
      </w:r>
      <w:r>
        <w:rPr>
          <w:rFonts w:hint="eastAsia" w:ascii="仿宋" w:hAnsi="仿宋" w:eastAsia="仿宋" w:cs="仿宋"/>
          <w:b/>
          <w:sz w:val="24"/>
        </w:rPr>
        <w:t>备注：</w:t>
      </w:r>
    </w:p>
    <w:p>
      <w:pPr>
        <w:spacing w:line="440" w:lineRule="exact"/>
        <w:ind w:firstLine="482"/>
        <w:rPr>
          <w:rFonts w:hint="eastAsia" w:ascii="仿宋" w:hAnsi="仿宋" w:eastAsia="仿宋" w:cs="仿宋"/>
          <w:b/>
          <w:sz w:val="24"/>
        </w:rPr>
      </w:pPr>
      <w:r>
        <w:rPr>
          <w:rFonts w:hint="eastAsia" w:ascii="仿宋" w:hAnsi="仿宋" w:eastAsia="仿宋" w:cs="仿宋"/>
          <w:b/>
          <w:sz w:val="24"/>
        </w:rPr>
        <w:t>1.非小、微企业无需在响应文件中提供。如为小、微企业应在响应文件的封面右上角明确注明相关信息以便方便认可。</w:t>
      </w:r>
    </w:p>
    <w:p>
      <w:pPr>
        <w:autoSpaceDE w:val="0"/>
        <w:autoSpaceDN w:val="0"/>
        <w:adjustRightInd w:val="0"/>
        <w:spacing w:line="360" w:lineRule="auto"/>
        <w:ind w:firstLine="482" w:firstLineChars="200"/>
        <w:jc w:val="left"/>
        <w:rPr>
          <w:rFonts w:hint="eastAsia" w:ascii="仿宋" w:hAnsi="仿宋" w:eastAsia="仿宋" w:cs="仿宋"/>
        </w:rPr>
      </w:pPr>
      <w:r>
        <w:rPr>
          <w:rFonts w:hint="eastAsia" w:ascii="仿宋" w:hAnsi="仿宋" w:eastAsia="仿宋" w:cs="仿宋"/>
          <w:b/>
          <w:sz w:val="24"/>
          <w:szCs w:val="22"/>
        </w:rPr>
        <w:t>2.供应商提供《中小企业声明函》的需保证其真实性，如经查实存在虚假证明的情况，由供应商承担相应责任。由供应商承担相应责任。</w:t>
      </w:r>
    </w:p>
    <w:p>
      <w:pPr>
        <w:spacing w:line="480" w:lineRule="exact"/>
        <w:ind w:firstLine="480" w:firstLineChars="200"/>
        <w:rPr>
          <w:rFonts w:hint="eastAsia" w:ascii="仿宋" w:hAnsi="仿宋" w:eastAsia="仿宋" w:cs="仿宋"/>
          <w:bCs/>
          <w:sz w:val="24"/>
        </w:rPr>
      </w:pPr>
      <w:r>
        <w:rPr>
          <w:rFonts w:hint="eastAsia" w:ascii="仿宋" w:hAnsi="仿宋" w:eastAsia="仿宋" w:cs="仿宋"/>
          <w:bCs/>
          <w:sz w:val="24"/>
        </w:rPr>
        <w:br w:type="page"/>
      </w:r>
    </w:p>
    <w:p>
      <w:pPr>
        <w:tabs>
          <w:tab w:val="left" w:pos="1755"/>
        </w:tabs>
        <w:spacing w:line="360" w:lineRule="auto"/>
        <w:jc w:val="center"/>
        <w:outlineLvl w:val="2"/>
        <w:rPr>
          <w:rFonts w:hint="eastAsia" w:ascii="仿宋" w:hAnsi="仿宋" w:eastAsia="仿宋" w:cs="仿宋"/>
          <w:b/>
          <w:bCs/>
          <w:sz w:val="28"/>
          <w:szCs w:val="28"/>
        </w:rPr>
      </w:pPr>
      <w:bookmarkStart w:id="30" w:name="_Toc32499"/>
      <w:bookmarkStart w:id="31" w:name="_Toc26990"/>
      <w:r>
        <w:rPr>
          <w:rFonts w:hint="eastAsia" w:ascii="仿宋" w:hAnsi="仿宋" w:eastAsia="仿宋" w:cs="仿宋"/>
          <w:b/>
          <w:bCs/>
          <w:sz w:val="28"/>
          <w:szCs w:val="28"/>
        </w:rPr>
        <w:t>二、</w:t>
      </w:r>
      <w:bookmarkEnd w:id="30"/>
      <w:bookmarkEnd w:id="31"/>
      <w:r>
        <w:rPr>
          <w:rFonts w:hint="eastAsia" w:ascii="仿宋" w:hAnsi="仿宋" w:eastAsia="仿宋" w:cs="仿宋"/>
          <w:b/>
          <w:kern w:val="0"/>
          <w:sz w:val="28"/>
          <w:szCs w:val="28"/>
          <w:lang w:val="zh-CN"/>
        </w:rPr>
        <w:t>残疾人福利性单位声明函（非</w:t>
      </w:r>
      <w:r>
        <w:rPr>
          <w:rFonts w:hint="eastAsia" w:ascii="仿宋" w:hAnsi="仿宋" w:eastAsia="仿宋" w:cs="仿宋"/>
          <w:b/>
          <w:bCs/>
          <w:sz w:val="28"/>
          <w:szCs w:val="28"/>
        </w:rPr>
        <w:t>残疾人福利企业</w:t>
      </w:r>
      <w:r>
        <w:rPr>
          <w:rFonts w:hint="eastAsia" w:ascii="仿宋" w:hAnsi="仿宋" w:eastAsia="仿宋" w:cs="仿宋"/>
          <w:b/>
          <w:kern w:val="0"/>
          <w:sz w:val="28"/>
          <w:szCs w:val="28"/>
          <w:lang w:val="zh-CN"/>
        </w:rPr>
        <w:t>不</w:t>
      </w:r>
      <w:r>
        <w:rPr>
          <w:rFonts w:hint="eastAsia" w:ascii="仿宋" w:hAnsi="仿宋" w:eastAsia="仿宋" w:cs="仿宋"/>
          <w:b/>
          <w:bCs/>
          <w:kern w:val="0"/>
          <w:sz w:val="28"/>
          <w:szCs w:val="28"/>
        </w:rPr>
        <w:t>填写</w:t>
      </w:r>
      <w:r>
        <w:rPr>
          <w:rFonts w:hint="eastAsia" w:ascii="仿宋" w:hAnsi="仿宋" w:eastAsia="仿宋" w:cs="仿宋"/>
          <w:b/>
          <w:kern w:val="0"/>
          <w:sz w:val="28"/>
          <w:szCs w:val="28"/>
          <w:lang w:val="zh-CN"/>
        </w:rPr>
        <w:t>）</w:t>
      </w:r>
    </w:p>
    <w:p>
      <w:pPr>
        <w:spacing w:line="360" w:lineRule="auto"/>
        <w:rPr>
          <w:rFonts w:hint="eastAsia" w:ascii="仿宋" w:hAnsi="仿宋" w:eastAsia="仿宋" w:cs="仿宋"/>
          <w:b/>
          <w:spacing w:val="6"/>
          <w:sz w:val="32"/>
          <w:szCs w:val="32"/>
          <w:shd w:val="pct10" w:color="auto" w:fill="FFFFFF"/>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sz w:val="24"/>
          <w:u w:val="single"/>
        </w:rPr>
        <w:t xml:space="preserve">          </w:t>
      </w:r>
      <w:r>
        <w:rPr>
          <w:rFonts w:hint="eastAsia" w:ascii="仿宋" w:hAnsi="仿宋" w:eastAsia="仿宋" w:cs="仿宋"/>
          <w:sz w:val="24"/>
        </w:rPr>
        <w:t>项目采购活动提供本单位制造的服务（由本单位承担工程/提供服务），或者提供其他残疾人福利性单位制造的服务（不包括使用非残疾人福利性单位注册商标的服务）。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 w:val="left" w:pos="8040"/>
          <w:tab w:val="left" w:pos="8160"/>
        </w:tabs>
        <w:spacing w:line="360" w:lineRule="auto"/>
        <w:ind w:right="862" w:firstLine="480" w:firstLineChars="200"/>
        <w:jc w:val="center"/>
        <w:rPr>
          <w:rFonts w:hint="eastAsia" w:ascii="仿宋" w:hAnsi="仿宋" w:eastAsia="仿宋" w:cs="仿宋"/>
          <w:sz w:val="24"/>
          <w:u w:val="single"/>
        </w:rPr>
      </w:pPr>
      <w:r>
        <w:rPr>
          <w:rFonts w:hint="eastAsia" w:ascii="仿宋" w:hAnsi="仿宋" w:eastAsia="仿宋" w:cs="仿宋"/>
          <w:sz w:val="24"/>
        </w:rPr>
        <w:t xml:space="preserve">               单位名称（盖章）：</w:t>
      </w:r>
      <w:r>
        <w:rPr>
          <w:rFonts w:hint="eastAsia" w:ascii="仿宋" w:hAnsi="仿宋" w:eastAsia="仿宋" w:cs="仿宋"/>
          <w:sz w:val="24"/>
          <w:u w:val="single"/>
        </w:rPr>
        <w:t xml:space="preserve">                   </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p>
    <w:p>
      <w:pPr>
        <w:tabs>
          <w:tab w:val="left" w:pos="4860"/>
        </w:tabs>
        <w:spacing w:line="360" w:lineRule="auto"/>
        <w:ind w:right="67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tabs>
          <w:tab w:val="left" w:pos="4860"/>
        </w:tabs>
        <w:spacing w:line="360" w:lineRule="auto"/>
        <w:ind w:right="1560" w:firstLine="480" w:firstLineChars="200"/>
        <w:jc w:val="center"/>
        <w:rPr>
          <w:rFonts w:hint="eastAsia" w:ascii="仿宋" w:hAnsi="仿宋" w:eastAsia="仿宋" w:cs="仿宋"/>
          <w:sz w:val="24"/>
        </w:rPr>
      </w:pPr>
    </w:p>
    <w:p>
      <w:pPr>
        <w:spacing w:line="360" w:lineRule="auto"/>
        <w:ind w:firstLine="506" w:firstLineChars="200"/>
        <w:rPr>
          <w:rFonts w:hint="eastAsia" w:ascii="仿宋" w:hAnsi="仿宋" w:eastAsia="仿宋" w:cs="仿宋"/>
          <w:b/>
          <w:spacing w:val="6"/>
          <w:sz w:val="24"/>
          <w:shd w:val="pct10" w:color="auto" w:fill="FFFFFF"/>
        </w:rPr>
      </w:pPr>
    </w:p>
    <w:p>
      <w:pPr>
        <w:spacing w:line="360" w:lineRule="auto"/>
        <w:ind w:firstLine="506" w:firstLineChars="200"/>
        <w:rPr>
          <w:rFonts w:hint="eastAsia" w:ascii="仿宋" w:hAnsi="仿宋" w:eastAsia="仿宋" w:cs="仿宋"/>
          <w:b/>
          <w:spacing w:val="6"/>
          <w:sz w:val="24"/>
          <w:shd w:val="pct10" w:color="auto" w:fill="FFFFFF"/>
        </w:rPr>
      </w:pPr>
    </w:p>
    <w:p>
      <w:pPr>
        <w:kinsoku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备注：投标单位提供的《残疾人福利性单位声明函》必须真实有效，如果被举报经查实出具虚假声明函的，将被取消投标资格，并按有关规定予以处理。</w:t>
      </w:r>
    </w:p>
    <w:p>
      <w:pPr>
        <w:tabs>
          <w:tab w:val="left" w:pos="1620"/>
          <w:tab w:val="left" w:pos="1800"/>
        </w:tabs>
        <w:spacing w:line="440" w:lineRule="exact"/>
        <w:ind w:right="540" w:rightChars="257"/>
        <w:rPr>
          <w:rFonts w:hint="eastAsia" w:ascii="仿宋" w:hAnsi="仿宋" w:eastAsia="仿宋" w:cs="仿宋"/>
        </w:rPr>
      </w:pPr>
    </w:p>
    <w:p>
      <w:pPr>
        <w:tabs>
          <w:tab w:val="left" w:pos="1620"/>
          <w:tab w:val="left" w:pos="1800"/>
        </w:tabs>
        <w:spacing w:line="440" w:lineRule="exact"/>
        <w:ind w:right="540" w:rightChars="257"/>
        <w:rPr>
          <w:rFonts w:hint="eastAsia" w:ascii="仿宋" w:hAnsi="仿宋" w:eastAsia="仿宋" w:cs="仿宋"/>
        </w:rPr>
      </w:pPr>
    </w:p>
    <w:p>
      <w:pPr>
        <w:spacing w:line="520" w:lineRule="exact"/>
        <w:ind w:right="620"/>
        <w:jc w:val="right"/>
        <w:rPr>
          <w:rFonts w:hint="eastAsia" w:ascii="仿宋" w:hAnsi="仿宋" w:eastAsia="仿宋" w:cs="仿宋"/>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pStyle w:val="8"/>
        <w:rPr>
          <w:rFonts w:hint="eastAsia" w:ascii="仿宋" w:hAnsi="仿宋" w:eastAsia="仿宋" w:cs="仿宋"/>
          <w:color w:val="auto"/>
        </w:rPr>
      </w:pPr>
    </w:p>
    <w:p>
      <w:pPr>
        <w:rPr>
          <w:rFonts w:hint="eastAsia" w:ascii="仿宋" w:hAnsi="仿宋" w:eastAsia="仿宋" w:cs="仿宋"/>
        </w:rPr>
      </w:pPr>
    </w:p>
    <w:p>
      <w:pPr>
        <w:pStyle w:val="12"/>
        <w:rPr>
          <w:rFonts w:hint="eastAsia" w:ascii="仿宋" w:hAnsi="仿宋" w:eastAsia="仿宋" w:cs="仿宋"/>
        </w:rPr>
      </w:pPr>
    </w:p>
    <w:p>
      <w:pPr>
        <w:pStyle w:val="12"/>
        <w:rPr>
          <w:rFonts w:hint="eastAsia" w:ascii="仿宋" w:hAnsi="仿宋" w:eastAsia="仿宋" w:cs="仿宋"/>
        </w:rPr>
      </w:pPr>
    </w:p>
    <w:p>
      <w:pPr>
        <w:pStyle w:val="8"/>
        <w:rPr>
          <w:rFonts w:hint="eastAsia" w:ascii="仿宋" w:hAnsi="仿宋" w:eastAsia="仿宋" w:cs="仿宋"/>
          <w:color w:val="auto"/>
        </w:rPr>
      </w:pPr>
    </w:p>
    <w:p>
      <w:pPr>
        <w:rPr>
          <w:rFonts w:hint="eastAsia" w:ascii="仿宋" w:hAnsi="仿宋" w:eastAsia="仿宋" w:cs="仿宋"/>
          <w:b/>
          <w:kern w:val="0"/>
          <w:sz w:val="28"/>
          <w:szCs w:val="28"/>
        </w:rPr>
      </w:pPr>
      <w:r>
        <w:rPr>
          <w:rFonts w:hint="eastAsia" w:ascii="仿宋" w:hAnsi="仿宋" w:eastAsia="仿宋" w:cs="仿宋"/>
          <w:b/>
          <w:kern w:val="0"/>
          <w:sz w:val="28"/>
          <w:szCs w:val="28"/>
        </w:rPr>
        <w:br w:type="page"/>
      </w:r>
    </w:p>
    <w:p>
      <w:pPr>
        <w:tabs>
          <w:tab w:val="left" w:pos="1755"/>
        </w:tabs>
        <w:spacing w:line="360" w:lineRule="auto"/>
        <w:jc w:val="center"/>
        <w:outlineLvl w:val="2"/>
        <w:rPr>
          <w:rFonts w:hint="eastAsia" w:ascii="仿宋" w:hAnsi="仿宋" w:eastAsia="仿宋" w:cs="仿宋"/>
          <w:b/>
          <w:kern w:val="0"/>
          <w:sz w:val="28"/>
          <w:szCs w:val="28"/>
          <w:lang w:val="zh-CN"/>
        </w:rPr>
      </w:pPr>
      <w:r>
        <w:rPr>
          <w:rFonts w:hint="eastAsia" w:ascii="仿宋" w:hAnsi="仿宋" w:eastAsia="仿宋" w:cs="仿宋"/>
          <w:b/>
          <w:kern w:val="0"/>
          <w:sz w:val="28"/>
          <w:szCs w:val="28"/>
        </w:rPr>
        <w:t>三、</w:t>
      </w:r>
      <w:r>
        <w:rPr>
          <w:rFonts w:hint="eastAsia" w:ascii="仿宋" w:hAnsi="仿宋" w:eastAsia="仿宋" w:cs="仿宋"/>
          <w:b/>
          <w:kern w:val="0"/>
          <w:sz w:val="28"/>
          <w:szCs w:val="28"/>
          <w:lang w:val="zh-CN"/>
        </w:rPr>
        <w:t>监狱企业声明函</w:t>
      </w:r>
    </w:p>
    <w:p>
      <w:pPr>
        <w:tabs>
          <w:tab w:val="left" w:pos="1755"/>
        </w:tabs>
        <w:spacing w:line="360" w:lineRule="auto"/>
        <w:jc w:val="center"/>
        <w:outlineLvl w:val="2"/>
        <w:rPr>
          <w:rFonts w:hint="eastAsia" w:ascii="仿宋" w:hAnsi="仿宋" w:eastAsia="仿宋" w:cs="仿宋"/>
          <w:b/>
          <w:bCs/>
          <w:sz w:val="28"/>
          <w:szCs w:val="28"/>
        </w:rPr>
      </w:pPr>
      <w:r>
        <w:rPr>
          <w:rFonts w:hint="eastAsia" w:ascii="仿宋" w:hAnsi="仿宋" w:eastAsia="仿宋" w:cs="仿宋"/>
          <w:b/>
          <w:kern w:val="0"/>
          <w:sz w:val="28"/>
          <w:szCs w:val="28"/>
          <w:lang w:val="zh-CN"/>
        </w:rPr>
        <w:t>（非监狱企业不</w:t>
      </w:r>
      <w:r>
        <w:rPr>
          <w:rFonts w:hint="eastAsia" w:ascii="仿宋" w:hAnsi="仿宋" w:eastAsia="仿宋" w:cs="仿宋"/>
          <w:b/>
          <w:bCs/>
          <w:kern w:val="0"/>
          <w:sz w:val="28"/>
          <w:szCs w:val="28"/>
        </w:rPr>
        <w:t>填写，但必须提交空表</w:t>
      </w:r>
      <w:r>
        <w:rPr>
          <w:rFonts w:hint="eastAsia" w:ascii="仿宋" w:hAnsi="仿宋" w:eastAsia="仿宋" w:cs="仿宋"/>
          <w:b/>
          <w:kern w:val="0"/>
          <w:sz w:val="28"/>
          <w:szCs w:val="28"/>
          <w:lang w:val="zh-CN"/>
        </w:rPr>
        <w:t>）</w:t>
      </w:r>
    </w:p>
    <w:p>
      <w:pPr>
        <w:spacing w:line="360" w:lineRule="atLeast"/>
        <w:rPr>
          <w:rFonts w:hint="eastAsia" w:ascii="仿宋" w:hAnsi="仿宋" w:eastAsia="仿宋" w:cs="仿宋"/>
          <w:sz w:val="32"/>
          <w:szCs w:val="32"/>
        </w:rPr>
      </w:pPr>
    </w:p>
    <w:p>
      <w:pPr>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符合《关于政府采购支持监狱企业发展有关问题的通知》（财库〔2014〕68号）条件的监狱企业参加政府采购活动时，应当提供由省级以上监狱管理局、戒毒管理局（含新疆生产建设兵团）出具的属于监狱企业的证明文件。</w:t>
      </w:r>
    </w:p>
    <w:p>
      <w:pPr>
        <w:spacing w:line="360" w:lineRule="atLeast"/>
        <w:rPr>
          <w:rFonts w:hint="eastAsia" w:ascii="仿宋" w:hAnsi="仿宋" w:eastAsia="仿宋" w:cs="仿宋"/>
          <w:sz w:val="32"/>
          <w:szCs w:val="32"/>
        </w:rPr>
      </w:pPr>
    </w:p>
    <w:p>
      <w:pPr>
        <w:pStyle w:val="17"/>
        <w:rPr>
          <w:rFonts w:hint="eastAsia" w:ascii="仿宋" w:hAnsi="仿宋" w:eastAsia="仿宋" w:cs="仿宋"/>
        </w:rPr>
      </w:pPr>
    </w:p>
    <w:p>
      <w:pPr>
        <w:tabs>
          <w:tab w:val="left" w:pos="4860"/>
          <w:tab w:val="left" w:pos="8040"/>
          <w:tab w:val="left" w:pos="8160"/>
        </w:tabs>
        <w:spacing w:line="360" w:lineRule="auto"/>
        <w:ind w:right="862" w:firstLine="480" w:firstLineChars="200"/>
        <w:jc w:val="center"/>
        <w:rPr>
          <w:rFonts w:hint="eastAsia" w:ascii="仿宋" w:hAnsi="仿宋" w:eastAsia="仿宋" w:cs="仿宋"/>
          <w:sz w:val="24"/>
          <w:u w:val="single"/>
        </w:rPr>
      </w:pPr>
      <w:r>
        <w:rPr>
          <w:rFonts w:hint="eastAsia" w:ascii="仿宋" w:hAnsi="仿宋" w:eastAsia="仿宋" w:cs="仿宋"/>
          <w:sz w:val="24"/>
        </w:rPr>
        <w:t xml:space="preserve">        单位名称（盖章）：</w:t>
      </w:r>
      <w:r>
        <w:rPr>
          <w:rFonts w:hint="eastAsia" w:ascii="仿宋" w:hAnsi="仿宋" w:eastAsia="仿宋" w:cs="仿宋"/>
          <w:sz w:val="24"/>
          <w:u w:val="single"/>
        </w:rPr>
        <w:t xml:space="preserve">                   </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p>
    <w:p>
      <w:pPr>
        <w:tabs>
          <w:tab w:val="left" w:pos="4860"/>
        </w:tabs>
        <w:spacing w:line="360" w:lineRule="auto"/>
        <w:ind w:right="67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rPr>
      </w:pPr>
    </w:p>
    <w:p>
      <w:pPr>
        <w:rPr>
          <w:rFonts w:hint="eastAsia" w:ascii="仿宋" w:hAnsi="仿宋" w:eastAsia="仿宋" w:cs="仿宋"/>
        </w:rPr>
      </w:pPr>
    </w:p>
    <w:sectPr>
      <w:footerReference r:id="rId7" w:type="default"/>
      <w:pgSz w:w="11906" w:h="16838"/>
      <w:pgMar w:top="1418" w:right="1134" w:bottom="1418" w:left="132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w:t>
    </w:r>
  </w:p>
  <w:p>
    <w:pPr>
      <w:pStyle w:val="13"/>
      <w:jc w:val="center"/>
    </w:pPr>
    <w:r>
      <w:fldChar w:fldCharType="begin"/>
    </w:r>
    <w:r>
      <w:rPr>
        <w:rStyle w:val="22"/>
      </w:rPr>
      <w:instrText xml:space="preserve"> PAGE </w:instrText>
    </w:r>
    <w:r>
      <w:fldChar w:fldCharType="separate"/>
    </w:r>
    <w:r>
      <w:rPr>
        <w:rStyle w:val="22"/>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r>
      <w:rPr>
        <w:rFonts w:hint="eastAsia"/>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0DB03"/>
    <w:multiLevelType w:val="singleLevel"/>
    <w:tmpl w:val="F8D0DB03"/>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2">
    <w:nsid w:val="466CF962"/>
    <w:multiLevelType w:val="singleLevel"/>
    <w:tmpl w:val="466CF962"/>
    <w:lvl w:ilvl="0" w:tentative="0">
      <w:start w:val="1"/>
      <w:numFmt w:val="decimal"/>
      <w:suff w:val="nothing"/>
      <w:lvlText w:val="（%1）"/>
      <w:lvlJc w:val="left"/>
    </w:lvl>
  </w:abstractNum>
  <w:abstractNum w:abstractNumId="3">
    <w:nsid w:val="5694B7E5"/>
    <w:multiLevelType w:val="singleLevel"/>
    <w:tmpl w:val="5694B7E5"/>
    <w:lvl w:ilvl="0" w:tentative="0">
      <w:start w:val="1"/>
      <w:numFmt w:val="decimal"/>
      <w:suff w:val="nothing"/>
      <w:lvlText w:val="%1、"/>
      <w:lvlJc w:val="left"/>
    </w:lvl>
  </w:abstractNum>
  <w:abstractNum w:abstractNumId="4">
    <w:nsid w:val="6EC771C0"/>
    <w:multiLevelType w:val="singleLevel"/>
    <w:tmpl w:val="6EC771C0"/>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03BC0CC1"/>
    <w:rsid w:val="003F473A"/>
    <w:rsid w:val="005048F8"/>
    <w:rsid w:val="00AA7B0F"/>
    <w:rsid w:val="00B56873"/>
    <w:rsid w:val="00C778D0"/>
    <w:rsid w:val="03BC0CC1"/>
    <w:rsid w:val="10D97208"/>
    <w:rsid w:val="36544D64"/>
    <w:rsid w:val="3BC97CBC"/>
    <w:rsid w:val="4B105F5B"/>
    <w:rsid w:val="5ED40250"/>
    <w:rsid w:val="67C6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2">
    <w:name w:val="heading 2"/>
    <w:basedOn w:val="1"/>
    <w:next w:val="1"/>
    <w:link w:val="28"/>
    <w:qFormat/>
    <w:uiPriority w:val="0"/>
    <w:pPr>
      <w:keepNext/>
      <w:keepLines/>
      <w:spacing w:before="120" w:after="120" w:line="360" w:lineRule="auto"/>
      <w:jc w:val="center"/>
      <w:outlineLvl w:val="1"/>
    </w:pPr>
    <w:rPr>
      <w:rFonts w:ascii="Arial" w:hAnsi="Arial"/>
      <w:b/>
      <w:bCs/>
      <w:sz w:val="28"/>
      <w:szCs w:val="32"/>
    </w:rPr>
  </w:style>
  <w:style w:type="paragraph" w:styleId="4">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16" w:lineRule="auto"/>
      <w:jc w:val="left"/>
      <w:outlineLvl w:val="5"/>
    </w:pPr>
    <w:rPr>
      <w:rFonts w:ascii="宋体" w:hAnsi="宋体" w:eastAsia="PMingLiU"/>
      <w:color w:val="663399"/>
      <w:sz w:val="16"/>
      <w:szCs w:val="16"/>
      <w:lang w:eastAsia="zh-TW"/>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7">
    <w:name w:val="Normal Indent"/>
    <w:basedOn w:val="1"/>
    <w:next w:val="1"/>
    <w:qFormat/>
    <w:uiPriority w:val="0"/>
    <w:pPr>
      <w:autoSpaceDE w:val="0"/>
      <w:autoSpaceDN w:val="0"/>
      <w:adjustRightInd w:val="0"/>
      <w:spacing w:line="640" w:lineRule="exact"/>
      <w:ind w:firstLine="585"/>
    </w:pPr>
    <w:rPr>
      <w:rFonts w:ascii="楷体_GB2312" w:eastAsia="楷体_GB2312"/>
      <w:sz w:val="32"/>
      <w:szCs w:val="32"/>
    </w:rPr>
  </w:style>
  <w:style w:type="paragraph" w:styleId="8">
    <w:name w:val="Body Text"/>
    <w:basedOn w:val="1"/>
    <w:next w:val="1"/>
    <w:qFormat/>
    <w:uiPriority w:val="0"/>
    <w:rPr>
      <w:color w:val="993300"/>
      <w:sz w:val="24"/>
    </w:rPr>
  </w:style>
  <w:style w:type="paragraph" w:styleId="9">
    <w:name w:val="Body Text Indent"/>
    <w:basedOn w:val="1"/>
    <w:qFormat/>
    <w:uiPriority w:val="0"/>
    <w:pPr>
      <w:ind w:firstLine="480"/>
    </w:pPr>
    <w:rPr>
      <w:rFonts w:ascii="宋体" w:hAnsi="宋体"/>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spacing w:line="360" w:lineRule="auto"/>
    </w:pPr>
    <w:rPr>
      <w:rFonts w:ascii="宋体"/>
      <w:sz w:val="24"/>
      <w:szCs w:val="20"/>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9"/>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Normal (Web)"/>
    <w:basedOn w:val="1"/>
    <w:qFormat/>
    <w:uiPriority w:val="0"/>
    <w:pPr>
      <w:widowControl/>
      <w:spacing w:before="100" w:beforeAutospacing="1" w:after="100" w:afterAutospacing="1" w:line="240" w:lineRule="auto"/>
      <w:jc w:val="left"/>
    </w:pPr>
    <w:rPr>
      <w:rFonts w:ascii="宋体" w:hAnsi="宋体" w:cs="宋体"/>
      <w:kern w:val="0"/>
      <w:sz w:val="24"/>
    </w:rPr>
  </w:style>
  <w:style w:type="paragraph" w:styleId="16">
    <w:name w:val="Body Text First Indent"/>
    <w:basedOn w:val="8"/>
    <w:next w:val="17"/>
    <w:qFormat/>
    <w:uiPriority w:val="0"/>
    <w:pPr>
      <w:adjustRightInd w:val="0"/>
      <w:spacing w:after="120" w:line="312" w:lineRule="atLeast"/>
      <w:ind w:firstLine="420"/>
      <w:textAlignment w:val="baseline"/>
    </w:pPr>
    <w:rPr>
      <w:color w:val="auto"/>
      <w:kern w:val="0"/>
      <w:sz w:val="21"/>
      <w:szCs w:val="20"/>
    </w:rPr>
  </w:style>
  <w:style w:type="paragraph" w:styleId="17">
    <w:name w:val="Body Text First Indent 2"/>
    <w:basedOn w:val="9"/>
    <w:qFormat/>
    <w:uiPriority w:val="0"/>
    <w:pPr>
      <w:spacing w:after="120"/>
      <w:ind w:left="420" w:leftChars="200" w:firstLine="420" w:firstLineChars="200"/>
    </w:pPr>
    <w:rPr>
      <w:rFonts w:ascii="Times New Roman" w:hAnsi="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paragraph" w:customStyle="1" w:styleId="2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缩进1"/>
    <w:basedOn w:val="1"/>
    <w:qFormat/>
    <w:uiPriority w:val="0"/>
    <w:pPr>
      <w:ind w:firstLine="420" w:firstLineChars="200"/>
    </w:pPr>
  </w:style>
  <w:style w:type="paragraph" w:styleId="25">
    <w:name w:val="List Paragraph"/>
    <w:basedOn w:val="1"/>
    <w:unhideWhenUsed/>
    <w:qFormat/>
    <w:uiPriority w:val="99"/>
    <w:pPr>
      <w:ind w:firstLine="420" w:firstLineChars="200"/>
    </w:pPr>
  </w:style>
  <w:style w:type="paragraph" w:customStyle="1" w:styleId="26">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table" w:customStyle="1" w:styleId="27">
    <w:name w:val="网格型21"/>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标题 2 Char"/>
    <w:basedOn w:val="20"/>
    <w:link w:val="2"/>
    <w:qFormat/>
    <w:uiPriority w:val="0"/>
    <w:rPr>
      <w:rFonts w:ascii="Arial" w:hAnsi="Arial"/>
      <w:b/>
      <w:bCs/>
      <w:sz w:val="28"/>
      <w:szCs w:val="32"/>
    </w:rPr>
  </w:style>
  <w:style w:type="character" w:customStyle="1" w:styleId="29">
    <w:name w:val="页眉 Char"/>
    <w:basedOn w:val="20"/>
    <w:link w:val="14"/>
    <w:uiPriority w:val="0"/>
    <w:rPr>
      <w:kern w:val="2"/>
      <w:sz w:val="18"/>
      <w:szCs w:val="18"/>
    </w:rPr>
  </w:style>
  <w:style w:type="character" w:customStyle="1" w:styleId="30">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20695</Words>
  <Characters>21737</Characters>
  <Lines>36</Lines>
  <Paragraphs>49</Paragraphs>
  <TotalTime>0</TotalTime>
  <ScaleCrop>false</ScaleCrop>
  <LinksUpToDate>false</LinksUpToDate>
  <CharactersWithSpaces>23567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2022-08-25T14:52:00Z</dcterms:created>
  <dc:creator>烟花散静、</dc:creator>
  <cp:lastModifiedBy>烟花散静、</cp:lastModifiedBy>
  <dcterms:modified xsi:type="dcterms:W3CDTF">2022-09-05T09:04:43Z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427D4BFDD6334FD089B05CA131DB6E2E</vt:lpwstr>
  </property>
</Properties>
</file>