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9"/>
        <w:rPr>
          <w:rFonts w:hint="eastAsia" w:ascii="宋体" w:hAnsi="宋体" w:eastAsia="宋体"/>
          <w:b/>
          <w:sz w:val="28"/>
          <w:szCs w:val="28"/>
          <w:lang w:eastAsia="zh-CN"/>
        </w:rPr>
      </w:pPr>
      <w:r>
        <w:rPr>
          <w:rFonts w:hint="eastAsia" w:ascii="宋体" w:hAnsi="宋体" w:cs="宋体"/>
          <w:b/>
          <w:bCs/>
          <w:sz w:val="28"/>
          <w:szCs w:val="28"/>
        </w:rPr>
        <w:t>项目编号：</w:t>
      </w:r>
      <w:r>
        <w:rPr>
          <w:rFonts w:hint="eastAsia" w:ascii="宋体" w:hAnsi="宋体" w:cs="宋体"/>
          <w:b/>
          <w:bCs/>
          <w:sz w:val="28"/>
          <w:szCs w:val="28"/>
          <w:lang w:eastAsia="zh-CN"/>
        </w:rPr>
        <w:t>ZZTT-CG-2022-25</w:t>
      </w:r>
    </w:p>
    <w:p>
      <w:pPr>
        <w:pStyle w:val="17"/>
        <w:jc w:val="left"/>
        <w:rPr>
          <w:rFonts w:ascii="宋体" w:hAnsi="宋体"/>
        </w:rPr>
      </w:pPr>
    </w:p>
    <w:p>
      <w:pPr>
        <w:spacing w:line="360" w:lineRule="auto"/>
        <w:jc w:val="left"/>
        <w:rPr>
          <w:rFonts w:ascii="宋体" w:hAnsi="宋体"/>
        </w:rPr>
      </w:pPr>
    </w:p>
    <w:p>
      <w:pPr>
        <w:spacing w:line="276" w:lineRule="auto"/>
        <w:jc w:val="center"/>
        <w:rPr>
          <w:rFonts w:hint="eastAsia" w:ascii="宋体" w:hAnsi="宋体" w:eastAsia="宋体"/>
          <w:b/>
          <w:sz w:val="48"/>
          <w:szCs w:val="48"/>
          <w:lang w:eastAsia="zh-CN"/>
        </w:rPr>
      </w:pPr>
      <w:r>
        <w:rPr>
          <w:rFonts w:hint="eastAsia" w:ascii="宋体" w:hAnsi="宋体"/>
          <w:b/>
          <w:sz w:val="48"/>
          <w:szCs w:val="48"/>
          <w:lang w:eastAsia="zh-CN"/>
        </w:rPr>
        <w:t>白水县医疗服务与保障能力提升（疾控机构能力建设）项目</w:t>
      </w:r>
    </w:p>
    <w:p>
      <w:pPr>
        <w:rPr>
          <w:rFonts w:ascii="宋体" w:hAnsi="宋体"/>
        </w:rPr>
      </w:pPr>
    </w:p>
    <w:p>
      <w:pPr>
        <w:pStyle w:val="17"/>
        <w:rPr>
          <w:rFonts w:ascii="宋体" w:hAnsi="宋体"/>
        </w:rPr>
      </w:pPr>
    </w:p>
    <w:p/>
    <w:p>
      <w:pPr>
        <w:rPr>
          <w:rFonts w:ascii="宋体" w:hAnsi="宋体"/>
        </w:rPr>
      </w:pPr>
    </w:p>
    <w:p>
      <w:pPr>
        <w:pStyle w:val="17"/>
      </w:pPr>
    </w:p>
    <w:p>
      <w:pPr>
        <w:pStyle w:val="17"/>
        <w:spacing w:line="360" w:lineRule="auto"/>
        <w:jc w:val="left"/>
        <w:rPr>
          <w:rFonts w:ascii="宋体" w:hAnsi="宋体"/>
        </w:rPr>
      </w:pPr>
    </w:p>
    <w:p/>
    <w:p/>
    <w:p>
      <w:pPr>
        <w:jc w:val="left"/>
        <w:rPr>
          <w:rFonts w:ascii="宋体" w:hAnsi="宋体"/>
        </w:rPr>
      </w:pPr>
    </w:p>
    <w:p>
      <w:pPr>
        <w:widowControl/>
        <w:tabs>
          <w:tab w:val="left" w:pos="3828"/>
        </w:tabs>
        <w:autoSpaceDE w:val="0"/>
        <w:autoSpaceDN w:val="0"/>
        <w:spacing w:line="360" w:lineRule="auto"/>
        <w:jc w:val="center"/>
        <w:textAlignment w:val="bottom"/>
        <w:rPr>
          <w:rFonts w:ascii="宋体" w:hAnsi="宋体"/>
          <w:b/>
          <w:color w:val="000000"/>
          <w:spacing w:val="66"/>
          <w:kern w:val="0"/>
          <w:sz w:val="90"/>
          <w:szCs w:val="90"/>
        </w:rPr>
      </w:pPr>
      <w:r>
        <w:rPr>
          <w:rFonts w:hint="eastAsia" w:ascii="宋体" w:hAnsi="宋体"/>
          <w:b/>
          <w:color w:val="000000"/>
          <w:spacing w:val="66"/>
          <w:kern w:val="0"/>
          <w:sz w:val="90"/>
          <w:szCs w:val="90"/>
        </w:rPr>
        <w:t>招 标 文 件</w:t>
      </w:r>
    </w:p>
    <w:p>
      <w:pPr>
        <w:spacing w:line="360" w:lineRule="auto"/>
        <w:jc w:val="center"/>
        <w:rPr>
          <w:rFonts w:ascii="宋体" w:hAnsi="宋体"/>
          <w:lang w:val="es-ES"/>
        </w:rPr>
      </w:pPr>
    </w:p>
    <w:p>
      <w:pPr>
        <w:spacing w:line="360" w:lineRule="auto"/>
        <w:jc w:val="left"/>
        <w:rPr>
          <w:rFonts w:ascii="宋体" w:hAnsi="宋体"/>
          <w:lang w:val="es-ES"/>
        </w:rPr>
      </w:pPr>
    </w:p>
    <w:p>
      <w:pPr>
        <w:pStyle w:val="17"/>
        <w:spacing w:line="360" w:lineRule="auto"/>
        <w:jc w:val="left"/>
        <w:rPr>
          <w:rFonts w:ascii="宋体" w:hAnsi="宋体"/>
          <w:lang w:val="es-ES"/>
        </w:rPr>
      </w:pPr>
    </w:p>
    <w:p>
      <w:pPr>
        <w:rPr>
          <w:rFonts w:ascii="宋体" w:hAnsi="宋体"/>
          <w:lang w:val="es-ES"/>
        </w:rPr>
      </w:pPr>
    </w:p>
    <w:p>
      <w:pPr>
        <w:pStyle w:val="17"/>
        <w:rPr>
          <w:rFonts w:ascii="宋体" w:hAnsi="宋体"/>
          <w:lang w:val="es-ES"/>
        </w:rPr>
      </w:pPr>
    </w:p>
    <w:p>
      <w:pPr>
        <w:rPr>
          <w:rFonts w:ascii="宋体" w:hAnsi="宋体"/>
          <w:lang w:val="es-ES"/>
        </w:rPr>
      </w:pPr>
    </w:p>
    <w:p>
      <w:pPr>
        <w:pStyle w:val="17"/>
        <w:rPr>
          <w:lang w:val="es-ES"/>
        </w:rPr>
      </w:pPr>
    </w:p>
    <w:p>
      <w:pPr>
        <w:rPr>
          <w:lang w:val="es-ES"/>
        </w:rPr>
      </w:pPr>
    </w:p>
    <w:p>
      <w:pPr>
        <w:pStyle w:val="17"/>
        <w:rPr>
          <w:lang w:val="es-ES"/>
        </w:rPr>
      </w:pPr>
    </w:p>
    <w:p>
      <w:pPr>
        <w:rPr>
          <w:lang w:val="es-ES"/>
        </w:rPr>
      </w:pPr>
    </w:p>
    <w:p>
      <w:pPr>
        <w:pStyle w:val="17"/>
        <w:rPr>
          <w:lang w:val="es-ES"/>
        </w:rPr>
      </w:pPr>
    </w:p>
    <w:p>
      <w:pPr>
        <w:pStyle w:val="17"/>
        <w:rPr>
          <w:rFonts w:ascii="宋体" w:hAnsi="宋体"/>
          <w:lang w:val="es-ES"/>
        </w:rPr>
      </w:pPr>
    </w:p>
    <w:p>
      <w:pPr>
        <w:rPr>
          <w:rFonts w:ascii="宋体" w:hAnsi="宋体"/>
          <w:lang w:val="es-ES"/>
        </w:rPr>
      </w:pPr>
    </w:p>
    <w:p>
      <w:pPr>
        <w:pStyle w:val="17"/>
        <w:rPr>
          <w:lang w:val="es-ES"/>
        </w:rPr>
      </w:pPr>
    </w:p>
    <w:p>
      <w:pPr>
        <w:rPr>
          <w:rFonts w:ascii="宋体" w:hAnsi="宋体"/>
          <w:lang w:val="es-ES"/>
        </w:rPr>
      </w:pPr>
    </w:p>
    <w:p>
      <w:pPr>
        <w:pStyle w:val="17"/>
        <w:rPr>
          <w:rFonts w:ascii="宋体" w:hAnsi="宋体"/>
          <w:lang w:val="es-ES"/>
        </w:rPr>
      </w:pPr>
    </w:p>
    <w:p>
      <w:pPr>
        <w:rPr>
          <w:lang w:val="es-ES"/>
        </w:rPr>
      </w:pPr>
    </w:p>
    <w:p>
      <w:pPr>
        <w:spacing w:before="120" w:beforeLines="50" w:after="120" w:afterLines="50" w:line="360" w:lineRule="auto"/>
        <w:jc w:val="center"/>
        <w:rPr>
          <w:rFonts w:hint="eastAsia" w:ascii="宋体" w:hAnsi="宋体" w:eastAsia="宋体"/>
          <w:b/>
          <w:bCs/>
          <w:color w:val="000000"/>
          <w:sz w:val="32"/>
          <w:szCs w:val="32"/>
          <w:lang w:val="es-ES" w:eastAsia="zh-CN"/>
        </w:rPr>
      </w:pPr>
      <w:r>
        <w:rPr>
          <w:rFonts w:hint="eastAsia" w:ascii="宋体" w:hAnsi="宋体"/>
          <w:b/>
          <w:bCs/>
          <w:color w:val="000000"/>
          <w:sz w:val="32"/>
          <w:szCs w:val="32"/>
          <w:lang w:val="es-ES"/>
        </w:rPr>
        <w:t>采购代理机构：</w:t>
      </w:r>
      <w:r>
        <w:rPr>
          <w:rFonts w:hint="eastAsia" w:ascii="宋体" w:hAnsi="宋体"/>
          <w:b/>
          <w:bCs/>
          <w:color w:val="000000"/>
          <w:sz w:val="32"/>
          <w:szCs w:val="32"/>
          <w:lang w:val="es-ES" w:eastAsia="zh-CN"/>
        </w:rPr>
        <w:t>陕西中正天投项目管理有限公司</w:t>
      </w:r>
    </w:p>
    <w:p>
      <w:pPr>
        <w:tabs>
          <w:tab w:val="left" w:pos="7690"/>
        </w:tabs>
        <w:spacing w:before="120" w:beforeLines="50" w:after="120" w:afterLines="50" w:line="360" w:lineRule="auto"/>
        <w:ind w:firstLine="2570" w:firstLineChars="800"/>
        <w:rPr>
          <w:rFonts w:ascii="宋体" w:hAnsi="宋体"/>
          <w:b/>
          <w:bCs/>
          <w:color w:val="000000"/>
          <w:sz w:val="32"/>
          <w:szCs w:val="32"/>
          <w:lang w:val="es-ES"/>
        </w:rPr>
      </w:pPr>
      <w:r>
        <w:rPr>
          <w:rFonts w:hint="eastAsia" w:ascii="宋体" w:hAnsi="宋体"/>
          <w:b/>
          <w:bCs/>
          <w:color w:val="000000"/>
          <w:sz w:val="32"/>
          <w:szCs w:val="32"/>
          <w:lang w:val="es-ES"/>
        </w:rPr>
        <w:t>日   期：二〇二二年十一月</w:t>
      </w:r>
      <w:r>
        <w:rPr>
          <w:rFonts w:ascii="宋体" w:hAnsi="宋体"/>
          <w:b/>
          <w:bCs/>
          <w:color w:val="000000"/>
          <w:sz w:val="32"/>
          <w:szCs w:val="32"/>
          <w:lang w:val="es-ES"/>
        </w:rPr>
        <w:tab/>
      </w:r>
    </w:p>
    <w:p>
      <w:pPr>
        <w:spacing w:before="120" w:beforeLines="50" w:after="120" w:afterLines="50" w:line="360" w:lineRule="auto"/>
        <w:jc w:val="center"/>
        <w:rPr>
          <w:rFonts w:hint="eastAsia" w:ascii="宋体" w:hAnsi="宋体" w:cs="宋体"/>
          <w:b/>
          <w:bCs/>
          <w:sz w:val="44"/>
          <w:szCs w:val="44"/>
          <w:lang w:val="zh-CN"/>
        </w:rPr>
      </w:pPr>
    </w:p>
    <w:p>
      <w:pPr>
        <w:spacing w:before="120" w:beforeLines="50" w:after="120" w:afterLines="50" w:line="360" w:lineRule="auto"/>
        <w:jc w:val="center"/>
        <w:rPr>
          <w:rFonts w:ascii="宋体" w:hAnsi="宋体" w:cs="宋体"/>
          <w:b/>
          <w:bCs/>
          <w:sz w:val="44"/>
          <w:szCs w:val="44"/>
          <w:lang w:val="zh-CN"/>
        </w:rPr>
      </w:pPr>
      <w:r>
        <w:rPr>
          <w:rFonts w:hint="eastAsia" w:ascii="宋体" w:hAnsi="宋体" w:cs="宋体"/>
          <w:b/>
          <w:bCs/>
          <w:sz w:val="44"/>
          <w:szCs w:val="44"/>
          <w:lang w:val="zh-CN"/>
        </w:rPr>
        <w:t>目   录</w:t>
      </w:r>
    </w:p>
    <w:sdt>
      <w:sdtPr>
        <w:rPr>
          <w:rFonts w:ascii="宋体" w:hAnsi="宋体" w:eastAsia="宋体" w:cs="Times New Roman"/>
          <w:kern w:val="2"/>
          <w:sz w:val="21"/>
          <w:szCs w:val="24"/>
          <w:lang w:val="en-US" w:eastAsia="zh-CN" w:bidi="ar-SA"/>
        </w:rPr>
        <w:id w:val="14746002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28"/>
            <w:tabs>
              <w:tab w:val="right" w:leader="dot" w:pos="9185"/>
              <w:tab w:val="clear" w:pos="8280"/>
              <w:tab w:val="clear" w:pos="9360"/>
            </w:tabs>
          </w:pPr>
          <w:r>
            <w:fldChar w:fldCharType="begin"/>
          </w:r>
          <w:r>
            <w:instrText xml:space="preserve">TOC \o "1-1" \h \u </w:instrText>
          </w:r>
          <w:r>
            <w:fldChar w:fldCharType="separate"/>
          </w:r>
          <w:r>
            <w:fldChar w:fldCharType="begin"/>
          </w:r>
          <w:r>
            <w:instrText xml:space="preserve"> HYPERLINK \l _Toc27256 </w:instrText>
          </w:r>
          <w:r>
            <w:fldChar w:fldCharType="separate"/>
          </w:r>
          <w:r>
            <w:rPr>
              <w:rFonts w:hint="eastAsia" w:ascii="宋体" w:hAnsi="宋体"/>
              <w:szCs w:val="32"/>
            </w:rPr>
            <w:t>第一章  招标公告</w:t>
          </w:r>
          <w:r>
            <w:tab/>
          </w:r>
          <w:r>
            <w:fldChar w:fldCharType="begin"/>
          </w:r>
          <w:r>
            <w:instrText xml:space="preserve"> PAGEREF _Toc27256 \h </w:instrText>
          </w:r>
          <w:r>
            <w:fldChar w:fldCharType="separate"/>
          </w:r>
          <w:r>
            <w:t>4</w:t>
          </w:r>
          <w:r>
            <w:fldChar w:fldCharType="end"/>
          </w:r>
          <w:r>
            <w:fldChar w:fldCharType="end"/>
          </w:r>
        </w:p>
        <w:p>
          <w:pPr>
            <w:pStyle w:val="28"/>
            <w:tabs>
              <w:tab w:val="right" w:leader="dot" w:pos="9185"/>
              <w:tab w:val="clear" w:pos="8280"/>
              <w:tab w:val="clear" w:pos="9360"/>
            </w:tabs>
          </w:pPr>
          <w:r>
            <w:fldChar w:fldCharType="begin"/>
          </w:r>
          <w:r>
            <w:instrText xml:space="preserve"> HYPERLINK \l _Toc19128 </w:instrText>
          </w:r>
          <w:r>
            <w:fldChar w:fldCharType="separate"/>
          </w:r>
          <w:r>
            <w:rPr>
              <w:rFonts w:hint="eastAsia" w:ascii="宋体" w:hAnsi="宋体" w:cs="宋体"/>
              <w:bCs/>
              <w:szCs w:val="32"/>
            </w:rPr>
            <w:t>第二章  投标供应商须知</w:t>
          </w:r>
          <w:r>
            <w:tab/>
          </w:r>
          <w:r>
            <w:fldChar w:fldCharType="begin"/>
          </w:r>
          <w:r>
            <w:instrText xml:space="preserve"> PAGEREF _Toc19128 \h </w:instrText>
          </w:r>
          <w:r>
            <w:fldChar w:fldCharType="separate"/>
          </w:r>
          <w:r>
            <w:t>8</w:t>
          </w:r>
          <w:r>
            <w:fldChar w:fldCharType="end"/>
          </w:r>
          <w:r>
            <w:fldChar w:fldCharType="end"/>
          </w:r>
        </w:p>
        <w:p>
          <w:pPr>
            <w:pStyle w:val="28"/>
            <w:tabs>
              <w:tab w:val="right" w:leader="dot" w:pos="9185"/>
              <w:tab w:val="clear" w:pos="8280"/>
              <w:tab w:val="clear" w:pos="9360"/>
            </w:tabs>
          </w:pPr>
          <w:r>
            <w:fldChar w:fldCharType="begin"/>
          </w:r>
          <w:r>
            <w:instrText xml:space="preserve"> HYPERLINK \l _Toc850 </w:instrText>
          </w:r>
          <w:r>
            <w:fldChar w:fldCharType="separate"/>
          </w:r>
          <w:r>
            <w:rPr>
              <w:rFonts w:hint="eastAsia" w:ascii="宋体" w:hAnsi="宋体"/>
              <w:szCs w:val="32"/>
            </w:rPr>
            <w:t>第三章  评标办法</w:t>
          </w:r>
          <w:r>
            <w:tab/>
          </w:r>
          <w:r>
            <w:fldChar w:fldCharType="begin"/>
          </w:r>
          <w:r>
            <w:instrText xml:space="preserve"> PAGEREF _Toc850 \h </w:instrText>
          </w:r>
          <w:r>
            <w:fldChar w:fldCharType="separate"/>
          </w:r>
          <w:r>
            <w:t>26</w:t>
          </w:r>
          <w:r>
            <w:fldChar w:fldCharType="end"/>
          </w:r>
          <w:r>
            <w:fldChar w:fldCharType="end"/>
          </w:r>
        </w:p>
        <w:p>
          <w:pPr>
            <w:pStyle w:val="28"/>
            <w:tabs>
              <w:tab w:val="right" w:leader="dot" w:pos="9185"/>
              <w:tab w:val="clear" w:pos="8280"/>
              <w:tab w:val="clear" w:pos="9360"/>
            </w:tabs>
          </w:pPr>
          <w:r>
            <w:fldChar w:fldCharType="begin"/>
          </w:r>
          <w:r>
            <w:instrText xml:space="preserve"> HYPERLINK \l _Toc27747 </w:instrText>
          </w:r>
          <w:r>
            <w:fldChar w:fldCharType="separate"/>
          </w:r>
          <w:r>
            <w:rPr>
              <w:rFonts w:hint="eastAsia" w:ascii="宋体" w:hAnsi="宋体" w:cs="宋体"/>
              <w:szCs w:val="32"/>
            </w:rPr>
            <w:t xml:space="preserve">第四章 </w:t>
          </w:r>
          <w:r>
            <w:rPr>
              <w:rFonts w:hint="eastAsia" w:ascii="宋体" w:hAnsi="宋体" w:cs="宋体"/>
              <w:bCs/>
              <w:szCs w:val="32"/>
            </w:rPr>
            <w:t>招标内容及技术要求</w:t>
          </w:r>
          <w:r>
            <w:tab/>
          </w:r>
          <w:r>
            <w:fldChar w:fldCharType="begin"/>
          </w:r>
          <w:r>
            <w:instrText xml:space="preserve"> PAGEREF _Toc27747 \h </w:instrText>
          </w:r>
          <w:r>
            <w:fldChar w:fldCharType="separate"/>
          </w:r>
          <w:r>
            <w:t>36</w:t>
          </w:r>
          <w:r>
            <w:fldChar w:fldCharType="end"/>
          </w:r>
          <w:r>
            <w:fldChar w:fldCharType="end"/>
          </w:r>
        </w:p>
        <w:p>
          <w:pPr>
            <w:pStyle w:val="28"/>
            <w:tabs>
              <w:tab w:val="right" w:leader="dot" w:pos="9185"/>
              <w:tab w:val="clear" w:pos="8280"/>
              <w:tab w:val="clear" w:pos="9360"/>
            </w:tabs>
          </w:pPr>
          <w:r>
            <w:fldChar w:fldCharType="begin"/>
          </w:r>
          <w:r>
            <w:instrText xml:space="preserve"> HYPERLINK \l _Toc23492 </w:instrText>
          </w:r>
          <w:r>
            <w:fldChar w:fldCharType="separate"/>
          </w:r>
          <w:r>
            <w:rPr>
              <w:rFonts w:hint="eastAsia" w:ascii="宋体" w:hAnsi="宋体" w:cs="宋体"/>
              <w:szCs w:val="32"/>
            </w:rPr>
            <w:t xml:space="preserve">第五章 </w:t>
          </w:r>
          <w:r>
            <w:rPr>
              <w:rFonts w:hint="eastAsia" w:ascii="宋体" w:hAnsi="宋体"/>
              <w:szCs w:val="32"/>
            </w:rPr>
            <w:t>合同格式及主要条款</w:t>
          </w:r>
          <w:r>
            <w:tab/>
          </w:r>
          <w:r>
            <w:fldChar w:fldCharType="begin"/>
          </w:r>
          <w:r>
            <w:instrText xml:space="preserve"> PAGEREF _Toc23492 \h </w:instrText>
          </w:r>
          <w:r>
            <w:fldChar w:fldCharType="separate"/>
          </w:r>
          <w:r>
            <w:t>51</w:t>
          </w:r>
          <w:r>
            <w:fldChar w:fldCharType="end"/>
          </w:r>
          <w:r>
            <w:fldChar w:fldCharType="end"/>
          </w:r>
        </w:p>
        <w:p>
          <w:pPr>
            <w:pStyle w:val="28"/>
            <w:tabs>
              <w:tab w:val="right" w:leader="dot" w:pos="9185"/>
              <w:tab w:val="clear" w:pos="8280"/>
              <w:tab w:val="clear" w:pos="9360"/>
            </w:tabs>
          </w:pPr>
          <w:r>
            <w:fldChar w:fldCharType="begin"/>
          </w:r>
          <w:r>
            <w:instrText xml:space="preserve"> HYPERLINK \l _Toc9303 </w:instrText>
          </w:r>
          <w:r>
            <w:fldChar w:fldCharType="separate"/>
          </w:r>
          <w:r>
            <w:rPr>
              <w:rFonts w:hint="eastAsia" w:ascii="宋体" w:hAnsi="宋体"/>
              <w:szCs w:val="32"/>
            </w:rPr>
            <w:t>第六章  投标文件构成及格式</w:t>
          </w:r>
          <w:r>
            <w:tab/>
          </w:r>
          <w:r>
            <w:fldChar w:fldCharType="begin"/>
          </w:r>
          <w:r>
            <w:instrText xml:space="preserve"> PAGEREF _Toc9303 \h </w:instrText>
          </w:r>
          <w:r>
            <w:fldChar w:fldCharType="separate"/>
          </w:r>
          <w:r>
            <w:t>59</w:t>
          </w:r>
          <w:r>
            <w:fldChar w:fldCharType="end"/>
          </w:r>
          <w:r>
            <w:fldChar w:fldCharType="end"/>
          </w:r>
        </w:p>
        <w:p>
          <w:pPr>
            <w:rPr>
              <w:rFonts w:ascii="宋体" w:hAnsi="宋体" w:cs="宋体"/>
              <w:bCs/>
              <w:sz w:val="24"/>
            </w:rPr>
          </w:pPr>
          <w:r>
            <w:fldChar w:fldCharType="end"/>
          </w:r>
        </w:p>
      </w:sdtContent>
    </w:sdt>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pStyle w:val="17"/>
        <w:rPr>
          <w:rFonts w:ascii="宋体" w:hAnsi="宋体" w:cs="宋体"/>
          <w:b/>
          <w:sz w:val="22"/>
          <w:szCs w:val="28"/>
        </w:rPr>
      </w:pPr>
    </w:p>
    <w:p>
      <w:pPr>
        <w:rPr>
          <w:rFonts w:ascii="宋体" w:hAnsi="宋体" w:cs="宋体"/>
          <w:b/>
          <w:sz w:val="22"/>
          <w:szCs w:val="28"/>
        </w:rPr>
      </w:pPr>
    </w:p>
    <w:p>
      <w:pPr>
        <w:pStyle w:val="17"/>
        <w:rPr>
          <w:rFonts w:ascii="宋体" w:hAnsi="宋体" w:cs="宋体"/>
          <w:b/>
          <w:sz w:val="22"/>
          <w:szCs w:val="28"/>
        </w:rPr>
      </w:pPr>
    </w:p>
    <w:p>
      <w:pPr>
        <w:spacing w:line="600" w:lineRule="auto"/>
        <w:jc w:val="center"/>
        <w:outlineLvl w:val="9"/>
        <w:rPr>
          <w:rFonts w:hint="eastAsia" w:ascii="宋体" w:hAnsi="宋体" w:cs="宋体"/>
          <w:b/>
          <w:sz w:val="28"/>
          <w:szCs w:val="36"/>
        </w:rPr>
      </w:pPr>
    </w:p>
    <w:p>
      <w:pPr>
        <w:spacing w:line="600" w:lineRule="auto"/>
        <w:jc w:val="center"/>
        <w:outlineLvl w:val="9"/>
        <w:rPr>
          <w:rFonts w:hint="eastAsia" w:ascii="宋体" w:hAnsi="宋体" w:cs="宋体"/>
          <w:b/>
          <w:sz w:val="28"/>
          <w:szCs w:val="36"/>
        </w:rPr>
      </w:pPr>
    </w:p>
    <w:p>
      <w:pPr>
        <w:spacing w:line="600" w:lineRule="auto"/>
        <w:jc w:val="center"/>
        <w:outlineLvl w:val="9"/>
        <w:rPr>
          <w:rFonts w:hint="eastAsia" w:ascii="宋体" w:hAnsi="宋体" w:cs="宋体"/>
          <w:b/>
          <w:sz w:val="28"/>
          <w:szCs w:val="36"/>
        </w:rPr>
      </w:pPr>
    </w:p>
    <w:p>
      <w:pPr>
        <w:spacing w:line="600" w:lineRule="auto"/>
        <w:jc w:val="center"/>
        <w:outlineLvl w:val="9"/>
        <w:rPr>
          <w:rFonts w:ascii="宋体" w:hAnsi="宋体" w:cs="宋体"/>
          <w:b/>
          <w:sz w:val="28"/>
          <w:szCs w:val="36"/>
        </w:rPr>
      </w:pPr>
      <w:r>
        <w:rPr>
          <w:rFonts w:hint="eastAsia" w:ascii="宋体" w:hAnsi="宋体" w:cs="宋体"/>
          <w:b/>
          <w:sz w:val="28"/>
          <w:szCs w:val="36"/>
        </w:rPr>
        <w:t>※温馨提示※</w:t>
      </w:r>
    </w:p>
    <w:p>
      <w:pPr>
        <w:spacing w:line="460" w:lineRule="exact"/>
        <w:rPr>
          <w:rFonts w:ascii="宋体" w:hAnsi="宋体" w:cs="宋体"/>
          <w:szCs w:val="21"/>
        </w:rPr>
      </w:pPr>
      <w:r>
        <w:rPr>
          <w:rFonts w:hint="eastAsia" w:ascii="宋体" w:hAnsi="宋体" w:cs="宋体"/>
          <w:bCs/>
          <w:szCs w:val="21"/>
        </w:rPr>
        <w:t>各投标供应商：</w:t>
      </w:r>
      <w:r>
        <w:rPr>
          <w:rFonts w:ascii="宋体" w:hAnsi="宋体" w:cs="宋体"/>
          <w:szCs w:val="21"/>
        </w:rPr>
        <w:t xml:space="preserve"> </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1、请仔细阅读招标文件并正确理解招标文件中各项具体要求。如您对招标文件有疑问，请在招标文件规定的时间内以书面形式提出，逾期将被拒绝受理。</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2、请严格按照招标文件载明的投标文件的格式要求编制投标文件，投标文件须胶装成册。</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3、请仔细核对投标文件是否已按照招标文件的要求签字、签章和加盖单位公章，投标文件中所附资格证明等资料是否齐全、有效且是否满足招标文件要求。</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4、请按照招标文件要求密封投标文件，并正确标记。</w:t>
      </w:r>
    </w:p>
    <w:p>
      <w:pPr>
        <w:tabs>
          <w:tab w:val="left" w:pos="1064"/>
        </w:tabs>
        <w:spacing w:line="460" w:lineRule="exact"/>
        <w:ind w:firstLine="420" w:firstLineChars="200"/>
        <w:rPr>
          <w:rFonts w:ascii="宋体" w:hAnsi="宋体" w:cs="宋体"/>
          <w:szCs w:val="21"/>
        </w:rPr>
      </w:pPr>
      <w:r>
        <w:rPr>
          <w:rFonts w:hint="eastAsia" w:ascii="宋体" w:hAnsi="宋体" w:cs="宋体"/>
          <w:szCs w:val="21"/>
        </w:rPr>
        <w:t>5、请您按招标公告规定的截止时间、地点，准时递交投标文件并参加开标大会，避免迟误。</w:t>
      </w:r>
    </w:p>
    <w:p>
      <w:pPr>
        <w:spacing w:line="460" w:lineRule="exact"/>
        <w:ind w:firstLine="420" w:firstLineChars="200"/>
        <w:rPr>
          <w:rFonts w:ascii="宋体" w:hAnsi="宋体" w:cs="宋体"/>
          <w:color w:val="000000"/>
          <w:szCs w:val="21"/>
        </w:rPr>
      </w:pPr>
      <w:r>
        <w:rPr>
          <w:rFonts w:hint="eastAsia" w:ascii="宋体" w:hAnsi="宋体" w:cs="宋体"/>
          <w:color w:val="000000"/>
          <w:szCs w:val="21"/>
        </w:rPr>
        <w:t>6、</w:t>
      </w:r>
      <w:r>
        <w:rPr>
          <w:rFonts w:hint="eastAsia" w:ascii="宋体" w:hAnsi="宋体" w:cs="宋体"/>
          <w:szCs w:val="21"/>
        </w:rPr>
        <w:t>投标供应商须在陕西省政府采购网（http://www.ccgp-shaanxi.gov.cn/）注册登记加入陕西省政府采购投标人库，否则由此引发的一切后果由投标供应商自行承担。</w:t>
      </w:r>
    </w:p>
    <w:p>
      <w:pPr>
        <w:spacing w:line="460" w:lineRule="exact"/>
        <w:rPr>
          <w:rFonts w:ascii="宋体" w:hAnsi="宋体" w:cs="宋体"/>
          <w:szCs w:val="21"/>
        </w:rPr>
      </w:pPr>
      <w:r>
        <w:rPr>
          <w:rFonts w:hint="eastAsia" w:ascii="宋体" w:hAnsi="宋体" w:cs="宋体"/>
          <w:szCs w:val="21"/>
        </w:rPr>
        <w:tab/>
      </w:r>
      <w:r>
        <w:rPr>
          <w:rFonts w:hint="eastAsia" w:ascii="宋体" w:hAnsi="宋体" w:cs="宋体"/>
          <w:szCs w:val="21"/>
        </w:rPr>
        <w:t>7、投标供应商登记领取招标文件的，如不参与投标，</w:t>
      </w:r>
      <w:r>
        <w:rPr>
          <w:rFonts w:hint="eastAsia" w:ascii="宋体" w:hAnsi="宋体" w:cs="宋体"/>
          <w:szCs w:val="21"/>
          <w:lang w:val="en-US" w:eastAsia="zh-CN"/>
        </w:rPr>
        <w:t>最晚</w:t>
      </w:r>
      <w:r>
        <w:rPr>
          <w:rFonts w:hint="eastAsia" w:ascii="宋体" w:hAnsi="宋体" w:cs="宋体"/>
          <w:szCs w:val="21"/>
        </w:rPr>
        <w:t>应在递交投标文件截止时间前一日以书面形式</w:t>
      </w:r>
      <w:r>
        <w:rPr>
          <w:rFonts w:hint="eastAsia" w:ascii="宋体" w:hAnsi="宋体" w:cs="宋体"/>
          <w:color w:val="000000"/>
          <w:szCs w:val="21"/>
        </w:rPr>
        <w:t>发出弃标函</w:t>
      </w:r>
      <w:r>
        <w:rPr>
          <w:rFonts w:hint="eastAsia" w:ascii="宋体" w:hAnsi="宋体" w:cs="宋体"/>
          <w:szCs w:val="21"/>
        </w:rPr>
        <w:t>告知采购代理机构。</w:t>
      </w:r>
    </w:p>
    <w:p>
      <w:pPr>
        <w:spacing w:line="460" w:lineRule="exact"/>
        <w:ind w:firstLine="420" w:firstLineChars="200"/>
        <w:rPr>
          <w:rFonts w:ascii="宋体" w:hAnsi="宋体" w:cs="宋体"/>
          <w:szCs w:val="21"/>
        </w:rPr>
      </w:pPr>
      <w:r>
        <w:rPr>
          <w:rFonts w:hint="eastAsia" w:ascii="宋体" w:hAnsi="宋体" w:cs="宋体"/>
          <w:szCs w:val="21"/>
        </w:rPr>
        <w:t>8、开标会议疫情防控措施：</w:t>
      </w:r>
    </w:p>
    <w:p>
      <w:pPr>
        <w:spacing w:line="460" w:lineRule="exact"/>
        <w:ind w:firstLine="630" w:firstLineChars="300"/>
        <w:rPr>
          <w:rFonts w:ascii="宋体" w:hAnsi="宋体" w:cs="宋体"/>
          <w:szCs w:val="21"/>
        </w:rPr>
      </w:pPr>
      <w:r>
        <w:rPr>
          <w:rFonts w:hint="eastAsia" w:ascii="宋体" w:hAnsi="宋体" w:cs="宋体"/>
          <w:szCs w:val="21"/>
        </w:rPr>
        <w:t>1）投标供应商只需拟派1人参与本项目开标会议；</w:t>
      </w:r>
    </w:p>
    <w:p>
      <w:pPr>
        <w:spacing w:line="460" w:lineRule="exact"/>
        <w:ind w:firstLine="630" w:firstLineChars="300"/>
        <w:rPr>
          <w:rFonts w:ascii="宋体" w:hAnsi="宋体" w:cs="宋体"/>
          <w:szCs w:val="21"/>
        </w:rPr>
      </w:pPr>
      <w:r>
        <w:rPr>
          <w:rFonts w:hint="eastAsia" w:ascii="宋体" w:hAnsi="宋体" w:cs="宋体"/>
          <w:szCs w:val="21"/>
        </w:rPr>
        <w:t>2）投标供应商拟派人员必须 “一码通”且为绿码；</w:t>
      </w:r>
    </w:p>
    <w:p>
      <w:pPr>
        <w:spacing w:line="460" w:lineRule="exact"/>
        <w:ind w:firstLine="630" w:firstLineChars="300"/>
        <w:rPr>
          <w:rFonts w:ascii="宋体" w:hAnsi="宋体" w:cs="宋体"/>
          <w:szCs w:val="21"/>
        </w:rPr>
      </w:pPr>
      <w:r>
        <w:rPr>
          <w:rFonts w:hint="eastAsia" w:ascii="宋体" w:hAnsi="宋体" w:cs="宋体"/>
          <w:szCs w:val="21"/>
        </w:rPr>
        <w:t>3）参与开标会议的人员均需携带口罩等防护措施。</w:t>
      </w:r>
    </w:p>
    <w:p>
      <w:pPr>
        <w:adjustRightInd w:val="0"/>
        <w:snapToGrid w:val="0"/>
        <w:spacing w:line="460" w:lineRule="exact"/>
        <w:ind w:firstLine="420" w:firstLineChars="200"/>
        <w:jc w:val="left"/>
        <w:outlineLvl w:val="9"/>
        <w:rPr>
          <w:rFonts w:ascii="宋体" w:hAnsi="宋体"/>
          <w:szCs w:val="21"/>
        </w:rPr>
      </w:pPr>
    </w:p>
    <w:p>
      <w:pPr>
        <w:pStyle w:val="17"/>
        <w:rPr>
          <w:rFonts w:ascii="宋体" w:hAnsi="宋体"/>
        </w:rPr>
      </w:pPr>
    </w:p>
    <w:p>
      <w:pPr>
        <w:pStyle w:val="17"/>
        <w:rPr>
          <w:rFonts w:ascii="宋体" w:hAnsi="宋体"/>
        </w:rPr>
      </w:pPr>
    </w:p>
    <w:p>
      <w:pPr>
        <w:rPr>
          <w:rFonts w:ascii="宋体" w:hAnsi="宋体"/>
        </w:rPr>
      </w:pPr>
    </w:p>
    <w:p>
      <w:pPr>
        <w:pStyle w:val="17"/>
        <w:rPr>
          <w:rFonts w:ascii="宋体" w:hAnsi="宋体"/>
        </w:rPr>
      </w:pPr>
    </w:p>
    <w:p>
      <w:pPr>
        <w:rPr>
          <w:rFonts w:ascii="宋体" w:hAnsi="宋体"/>
        </w:rPr>
      </w:pPr>
    </w:p>
    <w:p>
      <w:pPr>
        <w:spacing w:line="276" w:lineRule="auto"/>
        <w:jc w:val="center"/>
        <w:rPr>
          <w:rFonts w:hint="eastAsia" w:ascii="宋体" w:hAnsi="宋体"/>
          <w:b/>
          <w:sz w:val="32"/>
          <w:szCs w:val="32"/>
        </w:rPr>
      </w:pPr>
    </w:p>
    <w:p>
      <w:pPr>
        <w:spacing w:line="276" w:lineRule="auto"/>
        <w:jc w:val="center"/>
        <w:rPr>
          <w:rFonts w:hint="eastAsia" w:ascii="宋体" w:hAnsi="宋体"/>
          <w:b/>
          <w:sz w:val="32"/>
          <w:szCs w:val="32"/>
        </w:rPr>
      </w:pPr>
    </w:p>
    <w:p>
      <w:pPr>
        <w:spacing w:line="276" w:lineRule="auto"/>
        <w:jc w:val="center"/>
        <w:rPr>
          <w:rFonts w:hint="eastAsia" w:ascii="宋体" w:hAnsi="宋体"/>
          <w:b/>
          <w:sz w:val="32"/>
          <w:szCs w:val="32"/>
        </w:rPr>
      </w:pPr>
    </w:p>
    <w:p>
      <w:pPr>
        <w:spacing w:line="276" w:lineRule="auto"/>
        <w:jc w:val="center"/>
        <w:rPr>
          <w:rFonts w:hint="eastAsia" w:ascii="宋体" w:hAnsi="宋体"/>
          <w:b/>
          <w:sz w:val="32"/>
          <w:szCs w:val="32"/>
        </w:rPr>
      </w:pPr>
    </w:p>
    <w:p>
      <w:pPr>
        <w:spacing w:line="276" w:lineRule="auto"/>
        <w:jc w:val="center"/>
        <w:rPr>
          <w:rFonts w:hint="eastAsia" w:ascii="宋体" w:hAnsi="宋体"/>
          <w:b/>
          <w:sz w:val="32"/>
          <w:szCs w:val="32"/>
        </w:rPr>
      </w:pPr>
    </w:p>
    <w:p>
      <w:pPr>
        <w:spacing w:line="276" w:lineRule="auto"/>
        <w:jc w:val="center"/>
        <w:rPr>
          <w:rFonts w:hint="eastAsia" w:ascii="宋体" w:hAnsi="宋体"/>
          <w:b/>
          <w:sz w:val="32"/>
          <w:szCs w:val="32"/>
        </w:rPr>
      </w:pPr>
    </w:p>
    <w:p>
      <w:pPr>
        <w:spacing w:line="276" w:lineRule="auto"/>
        <w:jc w:val="center"/>
        <w:rPr>
          <w:rFonts w:hint="eastAsia" w:ascii="宋体" w:hAnsi="宋体"/>
          <w:b/>
          <w:sz w:val="32"/>
          <w:szCs w:val="32"/>
        </w:rPr>
      </w:pPr>
    </w:p>
    <w:p>
      <w:pPr>
        <w:spacing w:line="276" w:lineRule="auto"/>
        <w:jc w:val="center"/>
        <w:rPr>
          <w:rFonts w:hint="eastAsia" w:ascii="宋体" w:hAnsi="宋体"/>
          <w:b/>
          <w:sz w:val="32"/>
          <w:szCs w:val="32"/>
        </w:rPr>
      </w:pPr>
    </w:p>
    <w:p>
      <w:pPr>
        <w:spacing w:line="276" w:lineRule="auto"/>
        <w:jc w:val="center"/>
        <w:outlineLvl w:val="0"/>
        <w:rPr>
          <w:rFonts w:ascii="宋体" w:hAnsi="宋体"/>
          <w:b/>
          <w:sz w:val="32"/>
          <w:szCs w:val="32"/>
        </w:rPr>
      </w:pPr>
      <w:bookmarkStart w:id="0" w:name="_Toc27256"/>
      <w:bookmarkStart w:id="1" w:name="_Toc808"/>
      <w:r>
        <w:rPr>
          <w:rFonts w:hint="eastAsia" w:ascii="宋体" w:hAnsi="宋体"/>
          <w:b/>
          <w:sz w:val="32"/>
          <w:szCs w:val="32"/>
        </w:rPr>
        <w:t>第一章  招标公告</w:t>
      </w:r>
      <w:bookmarkEnd w:id="0"/>
      <w:bookmarkEnd w:id="1"/>
    </w:p>
    <w:p>
      <w:pPr>
        <w:spacing w:line="276" w:lineRule="auto"/>
        <w:jc w:val="center"/>
        <w:rPr>
          <w:rFonts w:ascii="宋体" w:hAnsi="宋体"/>
          <w:b/>
          <w:bCs/>
          <w:sz w:val="24"/>
        </w:rPr>
      </w:pPr>
      <w:r>
        <w:rPr>
          <w:rFonts w:hint="eastAsia" w:ascii="宋体" w:hAnsi="宋体"/>
          <w:b/>
          <w:bCs/>
          <w:sz w:val="24"/>
          <w:lang w:eastAsia="zh-CN"/>
        </w:rPr>
        <w:t>白水县医疗服务与保障能力提升（疾控机构能力建设）项目</w:t>
      </w:r>
      <w:r>
        <w:rPr>
          <w:rFonts w:ascii="宋体" w:hAnsi="宋体"/>
          <w:b/>
          <w:bCs/>
          <w:sz w:val="24"/>
        </w:rPr>
        <w:t>招标公告</w:t>
      </w:r>
    </w:p>
    <w:tbl>
      <w:tblPr>
        <w:tblStyle w:val="41"/>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68" w:type="dxa"/>
          </w:tcPr>
          <w:p>
            <w:pPr>
              <w:spacing w:line="360" w:lineRule="auto"/>
              <w:rPr>
                <w:rFonts w:ascii="宋体" w:hAnsi="宋体"/>
                <w:b/>
                <w:bCs/>
                <w:szCs w:val="21"/>
              </w:rPr>
            </w:pPr>
            <w:r>
              <w:rPr>
                <w:rFonts w:ascii="宋体" w:hAnsi="宋体"/>
                <w:b/>
                <w:bCs/>
                <w:szCs w:val="21"/>
              </w:rPr>
              <w:t>项目概况</w:t>
            </w:r>
          </w:p>
          <w:p>
            <w:pPr>
              <w:spacing w:line="360" w:lineRule="auto"/>
              <w:ind w:firstLine="420" w:firstLineChars="200"/>
              <w:rPr>
                <w:rFonts w:ascii="宋体" w:hAnsi="宋体"/>
                <w:szCs w:val="21"/>
              </w:rPr>
            </w:pPr>
            <w:r>
              <w:rPr>
                <w:rFonts w:ascii="宋体" w:hAnsi="宋体"/>
                <w:szCs w:val="21"/>
              </w:rPr>
              <w:t>白水县医疗服务与保障能力提升（疾控机构能力建设）项目</w:t>
            </w:r>
            <w:r>
              <w:rPr>
                <w:rFonts w:hint="eastAsia" w:ascii="宋体" w:hAnsi="宋体"/>
                <w:szCs w:val="21"/>
              </w:rPr>
              <w:t>招标项目的潜在投标人应在陕西省西安市高新区锦业路32号锦业时代B3座1701。需携带单位介绍信原件和经办人身份证原件及复印件。以上资料需加盖鲜章。获取招标文件，并于 2022年12月01日 14时30分 （北京时间）前递交投标文件。</w:t>
            </w:r>
          </w:p>
        </w:tc>
      </w:tr>
    </w:tbl>
    <w:p>
      <w:pPr>
        <w:spacing w:line="460" w:lineRule="exact"/>
        <w:rPr>
          <w:rFonts w:ascii="宋体" w:hAnsi="宋体"/>
          <w:b/>
          <w:bCs/>
          <w:szCs w:val="21"/>
        </w:rPr>
      </w:pPr>
      <w:r>
        <w:rPr>
          <w:rFonts w:ascii="宋体" w:hAnsi="宋体"/>
          <w:b/>
          <w:bCs/>
          <w:szCs w:val="21"/>
        </w:rPr>
        <w:t>一、项目基本情况</w:t>
      </w:r>
    </w:p>
    <w:p>
      <w:pPr>
        <w:spacing w:line="460" w:lineRule="exact"/>
        <w:ind w:firstLine="420" w:firstLineChars="200"/>
        <w:rPr>
          <w:rFonts w:hint="eastAsia" w:ascii="宋体" w:hAnsi="宋体" w:eastAsia="宋体"/>
          <w:szCs w:val="21"/>
          <w:lang w:eastAsia="zh-CN"/>
        </w:rPr>
      </w:pPr>
      <w:r>
        <w:rPr>
          <w:rFonts w:ascii="宋体" w:hAnsi="宋体"/>
          <w:szCs w:val="21"/>
        </w:rPr>
        <w:t>项目编号：ZZTT-CG-2022-25</w:t>
      </w:r>
    </w:p>
    <w:p>
      <w:pPr>
        <w:spacing w:line="460" w:lineRule="exact"/>
        <w:ind w:firstLine="420" w:firstLineChars="200"/>
        <w:rPr>
          <w:rFonts w:hint="eastAsia" w:ascii="宋体" w:hAnsi="宋体" w:eastAsia="宋体"/>
          <w:szCs w:val="21"/>
          <w:lang w:eastAsia="zh-CN"/>
        </w:rPr>
      </w:pPr>
      <w:r>
        <w:rPr>
          <w:rFonts w:ascii="宋体" w:hAnsi="宋体"/>
          <w:szCs w:val="21"/>
        </w:rPr>
        <w:t>项目名称：</w:t>
      </w:r>
      <w:r>
        <w:rPr>
          <w:rFonts w:hint="eastAsia" w:ascii="宋体" w:hAnsi="宋体"/>
          <w:szCs w:val="21"/>
          <w:lang w:eastAsia="zh-CN"/>
        </w:rPr>
        <w:t>白水县医疗服务与保障能力提升（疾控机构能力建设）项目</w:t>
      </w:r>
    </w:p>
    <w:p>
      <w:pPr>
        <w:spacing w:line="460" w:lineRule="exact"/>
        <w:ind w:firstLine="420" w:firstLineChars="200"/>
        <w:rPr>
          <w:rFonts w:ascii="宋体" w:hAnsi="宋体"/>
          <w:szCs w:val="21"/>
        </w:rPr>
      </w:pPr>
      <w:r>
        <w:rPr>
          <w:rFonts w:ascii="宋体" w:hAnsi="宋体"/>
          <w:szCs w:val="21"/>
        </w:rPr>
        <w:t>采购方式：公开招标</w:t>
      </w:r>
    </w:p>
    <w:p>
      <w:pPr>
        <w:spacing w:line="460" w:lineRule="exact"/>
        <w:ind w:firstLine="420" w:firstLineChars="200"/>
        <w:rPr>
          <w:rFonts w:ascii="宋体" w:hAnsi="宋体"/>
          <w:szCs w:val="21"/>
        </w:rPr>
      </w:pPr>
      <w:r>
        <w:rPr>
          <w:rFonts w:ascii="宋体" w:hAnsi="宋体"/>
          <w:szCs w:val="21"/>
        </w:rPr>
        <w:t>预算金额：1,760,320.00元</w:t>
      </w:r>
    </w:p>
    <w:p>
      <w:pPr>
        <w:spacing w:line="460" w:lineRule="exact"/>
        <w:ind w:firstLine="420" w:firstLineChars="200"/>
        <w:rPr>
          <w:rFonts w:ascii="宋体" w:hAnsi="宋体"/>
          <w:szCs w:val="21"/>
        </w:rPr>
      </w:pPr>
      <w:r>
        <w:rPr>
          <w:rFonts w:ascii="宋体" w:hAnsi="宋体"/>
          <w:szCs w:val="21"/>
        </w:rPr>
        <w:t>采购需求：</w:t>
      </w:r>
    </w:p>
    <w:p>
      <w:pPr>
        <w:spacing w:line="460" w:lineRule="exact"/>
        <w:ind w:firstLine="630" w:firstLineChars="300"/>
        <w:rPr>
          <w:rFonts w:ascii="宋体" w:hAnsi="宋体"/>
          <w:szCs w:val="21"/>
        </w:rPr>
      </w:pPr>
      <w:r>
        <w:rPr>
          <w:rFonts w:ascii="宋体" w:hAnsi="宋体"/>
          <w:szCs w:val="21"/>
        </w:rPr>
        <w:t>合同包1(</w:t>
      </w:r>
      <w:r>
        <w:rPr>
          <w:rFonts w:hint="eastAsia" w:ascii="宋体" w:hAnsi="宋体"/>
          <w:szCs w:val="21"/>
          <w:lang w:eastAsia="zh-CN"/>
        </w:rPr>
        <w:t>白水县医疗服务与保障能力提升（疾控机构能力建设）项目</w:t>
      </w:r>
      <w:r>
        <w:rPr>
          <w:rFonts w:hint="eastAsia" w:ascii="宋体" w:hAnsi="宋体"/>
          <w:szCs w:val="21"/>
        </w:rPr>
        <w:t>)</w:t>
      </w:r>
      <w:r>
        <w:rPr>
          <w:rFonts w:ascii="宋体" w:hAnsi="宋体"/>
          <w:szCs w:val="21"/>
        </w:rPr>
        <w:t>:</w:t>
      </w:r>
    </w:p>
    <w:p>
      <w:pPr>
        <w:spacing w:line="460" w:lineRule="exact"/>
        <w:ind w:firstLine="630" w:firstLineChars="300"/>
        <w:rPr>
          <w:rFonts w:ascii="宋体" w:hAnsi="宋体"/>
          <w:szCs w:val="21"/>
        </w:rPr>
      </w:pPr>
      <w:r>
        <w:rPr>
          <w:rFonts w:ascii="宋体" w:hAnsi="宋体"/>
          <w:szCs w:val="21"/>
        </w:rPr>
        <w:t>合同包预算金额：1,760,320.00元</w:t>
      </w:r>
    </w:p>
    <w:p>
      <w:pPr>
        <w:spacing w:line="460" w:lineRule="exact"/>
        <w:ind w:firstLine="630" w:firstLineChars="300"/>
        <w:rPr>
          <w:rFonts w:ascii="宋体" w:hAnsi="宋体"/>
          <w:szCs w:val="21"/>
        </w:rPr>
      </w:pPr>
      <w:r>
        <w:rPr>
          <w:rFonts w:hint="eastAsia" w:ascii="宋体" w:hAnsi="宋体"/>
          <w:szCs w:val="21"/>
        </w:rPr>
        <w:t xml:space="preserve">合同包最高限价：1,760,320.00元 </w:t>
      </w:r>
    </w:p>
    <w:tbl>
      <w:tblPr>
        <w:tblStyle w:val="40"/>
        <w:tblW w:w="4926" w:type="pct"/>
        <w:jc w:val="center"/>
        <w:tblLayout w:type="autofit"/>
        <w:tblCellMar>
          <w:top w:w="0" w:type="dxa"/>
          <w:left w:w="0" w:type="dxa"/>
          <w:bottom w:w="0" w:type="dxa"/>
          <w:right w:w="0" w:type="dxa"/>
        </w:tblCellMar>
      </w:tblPr>
      <w:tblGrid>
        <w:gridCol w:w="863"/>
        <w:gridCol w:w="1116"/>
        <w:gridCol w:w="1232"/>
        <w:gridCol w:w="1170"/>
        <w:gridCol w:w="1740"/>
        <w:gridCol w:w="1545"/>
        <w:gridCol w:w="1620"/>
      </w:tblGrid>
      <w:tr>
        <w:tblPrEx>
          <w:tblCellMar>
            <w:top w:w="0" w:type="dxa"/>
            <w:left w:w="0" w:type="dxa"/>
            <w:bottom w:w="0" w:type="dxa"/>
            <w:right w:w="0" w:type="dxa"/>
          </w:tblCellMar>
        </w:tblPrEx>
        <w:trPr>
          <w:trHeight w:val="550" w:hRule="atLeast"/>
          <w:tblHeader/>
          <w:jc w:val="center"/>
        </w:trPr>
        <w:tc>
          <w:tcPr>
            <w:tcW w:w="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b/>
                <w:bCs/>
                <w:szCs w:val="21"/>
              </w:rPr>
            </w:pPr>
            <w:r>
              <w:rPr>
                <w:rFonts w:ascii="宋体" w:hAnsi="宋体"/>
                <w:b/>
                <w:bCs/>
                <w:szCs w:val="21"/>
              </w:rPr>
              <w:t>品目号</w:t>
            </w:r>
          </w:p>
        </w:tc>
        <w:tc>
          <w:tcPr>
            <w:tcW w:w="11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b/>
                <w:bCs/>
                <w:szCs w:val="21"/>
              </w:rPr>
            </w:pPr>
            <w:r>
              <w:rPr>
                <w:rFonts w:ascii="宋体" w:hAnsi="宋体"/>
                <w:b/>
                <w:bCs/>
                <w:szCs w:val="21"/>
              </w:rPr>
              <w:t>品目名称</w:t>
            </w:r>
          </w:p>
        </w:tc>
        <w:tc>
          <w:tcPr>
            <w:tcW w:w="12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b/>
                <w:bCs/>
                <w:szCs w:val="21"/>
              </w:rPr>
            </w:pPr>
            <w:r>
              <w:rPr>
                <w:rFonts w:ascii="宋体" w:hAnsi="宋体"/>
                <w:b/>
                <w:bCs/>
                <w:szCs w:val="21"/>
              </w:rPr>
              <w:t>采购标的</w:t>
            </w:r>
          </w:p>
        </w:tc>
        <w:tc>
          <w:tcPr>
            <w:tcW w:w="1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b/>
                <w:bCs/>
                <w:szCs w:val="21"/>
              </w:rPr>
            </w:pPr>
            <w:r>
              <w:rPr>
                <w:rFonts w:ascii="宋体" w:hAnsi="宋体"/>
                <w:b/>
                <w:bCs/>
                <w:szCs w:val="21"/>
              </w:rPr>
              <w:t>数量</w:t>
            </w:r>
          </w:p>
          <w:p>
            <w:pPr>
              <w:jc w:val="center"/>
              <w:rPr>
                <w:rFonts w:ascii="宋体" w:hAnsi="宋体"/>
                <w:b/>
                <w:bCs/>
                <w:szCs w:val="21"/>
              </w:rPr>
            </w:pPr>
            <w:r>
              <w:rPr>
                <w:rFonts w:ascii="宋体" w:hAnsi="宋体"/>
                <w:b/>
                <w:bCs/>
                <w:szCs w:val="21"/>
              </w:rPr>
              <w:t>（单位）</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b/>
                <w:bCs/>
                <w:szCs w:val="21"/>
              </w:rPr>
            </w:pPr>
            <w:r>
              <w:rPr>
                <w:rFonts w:ascii="宋体" w:hAnsi="宋体"/>
                <w:b/>
                <w:bCs/>
                <w:szCs w:val="21"/>
              </w:rPr>
              <w:t>技术规格、参数及要求</w:t>
            </w:r>
          </w:p>
        </w:tc>
        <w:tc>
          <w:tcPr>
            <w:tcW w:w="15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b/>
                <w:bCs/>
                <w:szCs w:val="21"/>
              </w:rPr>
            </w:pPr>
            <w:r>
              <w:rPr>
                <w:rFonts w:ascii="宋体" w:hAnsi="宋体"/>
                <w:b/>
                <w:bCs/>
                <w:szCs w:val="21"/>
              </w:rPr>
              <w:t>品目预算</w:t>
            </w:r>
          </w:p>
          <w:p>
            <w:pPr>
              <w:jc w:val="center"/>
              <w:rPr>
                <w:rFonts w:ascii="宋体" w:hAnsi="宋体"/>
                <w:b/>
                <w:bCs/>
                <w:szCs w:val="21"/>
              </w:rPr>
            </w:pPr>
            <w:r>
              <w:rPr>
                <w:rFonts w:ascii="宋体" w:hAnsi="宋体"/>
                <w:b/>
                <w:bCs/>
                <w:szCs w:val="21"/>
              </w:rPr>
              <w:t>(元)</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b/>
                <w:bCs/>
                <w:szCs w:val="21"/>
              </w:rPr>
            </w:pPr>
            <w:bookmarkStart w:id="2" w:name="_Hlk108009534"/>
            <w:r>
              <w:rPr>
                <w:rFonts w:ascii="宋体" w:hAnsi="宋体"/>
                <w:b/>
                <w:bCs/>
                <w:szCs w:val="21"/>
              </w:rPr>
              <w:t>最高限价</w:t>
            </w:r>
            <w:bookmarkEnd w:id="2"/>
          </w:p>
          <w:p>
            <w:pPr>
              <w:jc w:val="center"/>
              <w:rPr>
                <w:rFonts w:ascii="宋体" w:hAnsi="宋体"/>
                <w:b/>
                <w:bCs/>
                <w:szCs w:val="21"/>
              </w:rPr>
            </w:pPr>
            <w:r>
              <w:rPr>
                <w:rFonts w:ascii="宋体" w:hAnsi="宋体"/>
                <w:b/>
                <w:bCs/>
                <w:szCs w:val="21"/>
              </w:rPr>
              <w:t>(元)</w:t>
            </w:r>
          </w:p>
        </w:tc>
      </w:tr>
      <w:tr>
        <w:tblPrEx>
          <w:tblCellMar>
            <w:top w:w="0" w:type="dxa"/>
            <w:left w:w="0" w:type="dxa"/>
            <w:bottom w:w="0" w:type="dxa"/>
            <w:right w:w="0" w:type="dxa"/>
          </w:tblCellMar>
        </w:tblPrEx>
        <w:trPr>
          <w:trHeight w:val="780" w:hRule="atLeast"/>
          <w:jc w:val="center"/>
        </w:trPr>
        <w:tc>
          <w:tcPr>
            <w:tcW w:w="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szCs w:val="21"/>
              </w:rPr>
            </w:pPr>
            <w:r>
              <w:rPr>
                <w:rFonts w:ascii="宋体" w:hAnsi="宋体"/>
                <w:szCs w:val="21"/>
              </w:rPr>
              <w:t>1-1</w:t>
            </w:r>
          </w:p>
        </w:tc>
        <w:tc>
          <w:tcPr>
            <w:tcW w:w="11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szCs w:val="21"/>
              </w:rPr>
            </w:pPr>
            <w:r>
              <w:rPr>
                <w:rFonts w:ascii="宋体" w:hAnsi="宋体"/>
                <w:szCs w:val="21"/>
              </w:rPr>
              <w:t>其他医疗设备</w:t>
            </w:r>
          </w:p>
        </w:tc>
        <w:tc>
          <w:tcPr>
            <w:tcW w:w="12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szCs w:val="21"/>
              </w:rPr>
            </w:pPr>
            <w:r>
              <w:rPr>
                <w:rFonts w:ascii="宋体" w:hAnsi="宋体"/>
                <w:szCs w:val="21"/>
              </w:rPr>
              <w:t>货物</w:t>
            </w:r>
          </w:p>
        </w:tc>
        <w:tc>
          <w:tcPr>
            <w:tcW w:w="1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szCs w:val="21"/>
              </w:rPr>
            </w:pPr>
            <w:r>
              <w:rPr>
                <w:rFonts w:ascii="宋体" w:hAnsi="宋体"/>
                <w:szCs w:val="21"/>
              </w:rPr>
              <w:t>1(批)</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szCs w:val="21"/>
              </w:rPr>
            </w:pPr>
            <w:r>
              <w:rPr>
                <w:rFonts w:ascii="宋体" w:hAnsi="宋体"/>
                <w:szCs w:val="21"/>
              </w:rPr>
              <w:t>详见采购文件</w:t>
            </w:r>
          </w:p>
        </w:tc>
        <w:tc>
          <w:tcPr>
            <w:tcW w:w="15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szCs w:val="21"/>
              </w:rPr>
            </w:pPr>
            <w:r>
              <w:rPr>
                <w:rFonts w:ascii="宋体" w:hAnsi="宋体"/>
                <w:szCs w:val="21"/>
              </w:rPr>
              <w:t>1,760,320.00</w:t>
            </w:r>
          </w:p>
        </w:tc>
        <w:tc>
          <w:tcPr>
            <w:tcW w:w="16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rFonts w:ascii="宋体" w:hAnsi="宋体"/>
                <w:szCs w:val="21"/>
              </w:rPr>
            </w:pPr>
            <w:r>
              <w:rPr>
                <w:rFonts w:ascii="宋体" w:hAnsi="宋体"/>
                <w:szCs w:val="21"/>
              </w:rPr>
              <w:t>1,760,320.00</w:t>
            </w:r>
          </w:p>
        </w:tc>
      </w:tr>
    </w:tbl>
    <w:p>
      <w:pPr>
        <w:spacing w:line="460" w:lineRule="exact"/>
        <w:ind w:firstLine="630" w:firstLineChars="300"/>
        <w:rPr>
          <w:rFonts w:asciiTheme="minorEastAsia" w:hAnsiTheme="minorEastAsia" w:eastAsiaTheme="minorEastAsia"/>
          <w:szCs w:val="21"/>
        </w:rPr>
      </w:pPr>
      <w:r>
        <w:rPr>
          <w:rFonts w:asciiTheme="minorEastAsia" w:hAnsiTheme="minorEastAsia" w:eastAsiaTheme="minorEastAsia"/>
          <w:szCs w:val="21"/>
        </w:rPr>
        <w:t>本合同包不接受联合体投标</w:t>
      </w:r>
    </w:p>
    <w:p>
      <w:pPr>
        <w:spacing w:line="460" w:lineRule="exact"/>
        <w:ind w:firstLine="630" w:firstLineChars="300"/>
        <w:rPr>
          <w:rFonts w:asciiTheme="minorEastAsia" w:hAnsiTheme="minorEastAsia" w:eastAsiaTheme="minorEastAsia"/>
          <w:szCs w:val="21"/>
        </w:rPr>
      </w:pPr>
      <w:r>
        <w:rPr>
          <w:rFonts w:asciiTheme="minorEastAsia" w:hAnsiTheme="minorEastAsia" w:eastAsiaTheme="minorEastAsia"/>
          <w:szCs w:val="21"/>
        </w:rPr>
        <w:t>合同履行期限：合同签订后30日历天内交货、安装调试完成</w:t>
      </w:r>
    </w:p>
    <w:p>
      <w:pPr>
        <w:spacing w:line="460" w:lineRule="exact"/>
        <w:rPr>
          <w:rFonts w:asciiTheme="minorEastAsia" w:hAnsiTheme="minorEastAsia" w:eastAsiaTheme="minorEastAsia"/>
          <w:b/>
          <w:bCs/>
          <w:szCs w:val="21"/>
        </w:rPr>
      </w:pPr>
      <w:r>
        <w:rPr>
          <w:rFonts w:asciiTheme="minorEastAsia" w:hAnsiTheme="minorEastAsia" w:eastAsiaTheme="minorEastAsia"/>
          <w:b/>
          <w:bCs/>
          <w:szCs w:val="21"/>
        </w:rPr>
        <w:t>二、申请人的资格要求：</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1.满足《中华人民共和国政府采购法》第二十二条规定;</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2.落实政府采购政策需满足的资格要求：</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合同包1(</w:t>
      </w:r>
      <w:r>
        <w:rPr>
          <w:rFonts w:hint="eastAsia" w:asciiTheme="minorEastAsia" w:hAnsiTheme="minorEastAsia" w:eastAsiaTheme="minorEastAsia"/>
          <w:szCs w:val="21"/>
          <w:lang w:eastAsia="zh-CN"/>
        </w:rPr>
        <w:t>白水县医疗服务与保障能力提升（疾控机构能力建设）项目</w:t>
      </w:r>
      <w:r>
        <w:rPr>
          <w:rFonts w:hint="eastAsia" w:asciiTheme="minorEastAsia" w:hAnsiTheme="minorEastAsia" w:eastAsiaTheme="minorEastAsia"/>
          <w:szCs w:val="21"/>
        </w:rPr>
        <w:t>)</w:t>
      </w:r>
      <w:r>
        <w:rPr>
          <w:rFonts w:asciiTheme="minorEastAsia" w:hAnsiTheme="minorEastAsia" w:eastAsiaTheme="minorEastAsia"/>
          <w:szCs w:val="21"/>
        </w:rPr>
        <w:t>落实政府采购政策需满足的资格要求如下:</w:t>
      </w:r>
    </w:p>
    <w:p>
      <w:pPr>
        <w:pStyle w:val="17"/>
        <w:jc w:val="both"/>
      </w:pP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rPr>
      </w:pPr>
      <w:r>
        <w:rPr>
          <w:rFonts w:hint="eastAsia" w:ascii="宋体" w:hAnsi="宋体" w:eastAsia="宋体" w:cs="宋体"/>
        </w:rPr>
        <w:t>《政府采购促进中小企业发展管理办法》（财库〔2020〕46号）； </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《关于进一步加大政府采购支持中小企业力度的通知》（财库〔2022〕19号）；</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《财政部司法部关于政府采购支持监狱企业发展有关问题的通知》（财库〔2014〕68号）；</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《国务院办公厅关于建立政府强制采购节能产品制度的通知》（国办发〔2007〕51号）； </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《关于印发环境标志产品政府采购品目清单的通知》（财库〔2019〕18号）； </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《关于印发节能产品政府采购品目清单的通知》（财库〔2019〕19号）；</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《关于促进残疾人就业政府采购政策的通知》财库〔2017〕141号；</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《关于调整优化节能产品、环境标志产品政府采购执行机制的通知》（财库〔2019〕9号）；</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《财政部农业农村部国家乡村振兴局关于运用政府采购政策支持乡村产业振兴的通知》（财库〔2021〕19号）；</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《陕西省中小企业政府采购信用融资办法》（陕财办采〔2018〕23号）；</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《陕西省财政厅关于加快推进我省中小企业政府采购信用融资工作的通知》（陕财办采〔2020〕15号）；</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其他需要落实的政府采购政策。</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宋体" w:hAnsi="宋体" w:eastAsia="宋体" w:cs="宋体"/>
        </w:rPr>
        <w:t>本项目非专门面向中小企业采购项目。</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3.本项目的特定资格要求：</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合同包1(</w:t>
      </w:r>
      <w:r>
        <w:rPr>
          <w:rFonts w:hint="eastAsia" w:asciiTheme="minorEastAsia" w:hAnsiTheme="minorEastAsia" w:eastAsiaTheme="minorEastAsia"/>
          <w:szCs w:val="21"/>
          <w:lang w:eastAsia="zh-CN"/>
        </w:rPr>
        <w:t>白水县医疗服务与保障能力提升（疾控机构能力建设）项目</w:t>
      </w:r>
      <w:r>
        <w:rPr>
          <w:rFonts w:asciiTheme="minorEastAsia" w:hAnsiTheme="minorEastAsia" w:eastAsiaTheme="minorEastAsia"/>
          <w:szCs w:val="21"/>
        </w:rPr>
        <w:t>)特定资格要求如下:</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提供统一社会信用代码的营业执照或其他组织经营的合法凭证或自然人的提供身份证明文件； </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财务状况报告：提供2021年财务审计报告（成立时间至开标时间不足一年的可提供成立后任意时段的资产负债表）或提供基本存款账户信息及截标日期前三个月内其基本存款账户开户银行出具的资信证明；</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税收缴纳证明：提供截标日期前六个月内任意一个月的纳税证明或完税证明（注：依法免税或零申报的投标人须提供相关文件证明）；</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社会保障资金缴纳证明：提供截标日期前六个月内任意一个月的社会保障资金缴存单据或社保机构开具的社会保险参保缴费情况证明（注：依法不需要缴纳社会保障资金的投标人应提供相关文件证明；若为新成立企业可提供相应月度的社会保险缴纳证明）；</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投标人为代理商的应出具医疗器械经营许可证（或医疗器械经营备案凭证）和制造厂商的医疗器械生产许可证（或医疗器械生产备案凭证）；投标人为制造厂商的应出具医疗器械生产许可证（或医疗器械生产备案凭证）；</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所投产品属于医疗器械分类的须提供《医疗器械产品注册证》；</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投标人应具备良好的商业信誉，提供参加政府采购活动前3年内在经营活动中没有重大违法记录的书面声明；</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投标人须提供具有履行合同所必需的设备和专业技术能力的承诺函；</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法定代表人参加投标的，须出具法定代表人身份证原件。法定代表人授权委托代理人参加投标的，须出具法定代表人授权委托书及被授权人身份证复印件；</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供应商不得被“信用中国”（www.creditchina.gov.cn）列入重大税收违法失信主体；不得被“中国执行信息公开网”（zxgk.court.gov.cn）列入失信被执行人名单；不得被“中国政府采购网”（www.ccgp.gov.cn）列入政府采购严重违法失信行为记录名单。</w:t>
      </w:r>
    </w:p>
    <w:p>
      <w:pPr>
        <w:spacing w:line="460" w:lineRule="exact"/>
        <w:rPr>
          <w:rFonts w:asciiTheme="minorEastAsia" w:hAnsiTheme="minorEastAsia" w:eastAsiaTheme="minorEastAsia"/>
          <w:b/>
          <w:bCs/>
          <w:szCs w:val="21"/>
        </w:rPr>
      </w:pPr>
      <w:r>
        <w:rPr>
          <w:rFonts w:asciiTheme="minorEastAsia" w:hAnsiTheme="minorEastAsia" w:eastAsiaTheme="minorEastAsia"/>
          <w:b/>
          <w:bCs/>
          <w:szCs w:val="21"/>
        </w:rPr>
        <w:t>三、获取招标文件</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时间：2022年11月11日</w:t>
      </w:r>
      <w:r>
        <w:rPr>
          <w:rFonts w:hint="eastAsia" w:asciiTheme="minorEastAsia" w:hAnsiTheme="minorEastAsia" w:eastAsiaTheme="minorEastAsia"/>
          <w:szCs w:val="21"/>
        </w:rPr>
        <w:t> 至 2022年11月17日 ，每天上午 08:30:00 至 12:00:00 ，下午 13:30:00 至 17:30:00 （北京时间）</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途径</w:t>
      </w:r>
      <w:r>
        <w:rPr>
          <w:rFonts w:asciiTheme="minorEastAsia" w:hAnsiTheme="minorEastAsia" w:eastAsiaTheme="minorEastAsia"/>
          <w:szCs w:val="21"/>
        </w:rPr>
        <w:t>：陕西省西安市高新区锦业路32号锦业时代B3座1701。需携带单位介绍信原件和经办人身份证原件及复印件。以上资料需加盖鲜章。</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方式：现场获取</w:t>
      </w:r>
    </w:p>
    <w:p>
      <w:pPr>
        <w:spacing w:line="460" w:lineRule="exact"/>
        <w:ind w:firstLine="420" w:firstLineChars="200"/>
        <w:rPr>
          <w:rFonts w:hint="default" w:asciiTheme="minorEastAsia" w:hAnsiTheme="minorEastAsia" w:eastAsiaTheme="minorEastAsia"/>
          <w:szCs w:val="21"/>
          <w:lang w:val="en-US" w:eastAsia="zh-CN"/>
        </w:rPr>
      </w:pPr>
      <w:r>
        <w:rPr>
          <w:rFonts w:asciiTheme="minorEastAsia" w:hAnsiTheme="minorEastAsia" w:eastAsiaTheme="minorEastAsia"/>
          <w:szCs w:val="21"/>
        </w:rPr>
        <w:t>售价：</w:t>
      </w:r>
      <w:r>
        <w:rPr>
          <w:rFonts w:hint="eastAsia" w:asciiTheme="minorEastAsia" w:hAnsiTheme="minorEastAsia" w:eastAsiaTheme="minorEastAsia"/>
          <w:szCs w:val="21"/>
          <w:lang w:val="en-US" w:eastAsia="zh-CN"/>
        </w:rPr>
        <w:t>500元</w:t>
      </w:r>
    </w:p>
    <w:p>
      <w:pPr>
        <w:spacing w:line="460" w:lineRule="exact"/>
        <w:rPr>
          <w:rFonts w:asciiTheme="minorEastAsia" w:hAnsiTheme="minorEastAsia" w:eastAsiaTheme="minorEastAsia"/>
          <w:b/>
          <w:bCs/>
          <w:szCs w:val="21"/>
        </w:rPr>
      </w:pPr>
      <w:r>
        <w:rPr>
          <w:rFonts w:asciiTheme="minorEastAsia" w:hAnsiTheme="minorEastAsia" w:eastAsiaTheme="minorEastAsia"/>
          <w:b/>
          <w:bCs/>
          <w:szCs w:val="21"/>
        </w:rPr>
        <w:t>四、提交投标文件截止时间、开标时间和地点</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2022年12月01日 14时30分00秒</w:t>
      </w:r>
      <w:r>
        <w:rPr>
          <w:rFonts w:hint="eastAsia" w:asciiTheme="minorEastAsia" w:hAnsiTheme="minorEastAsia" w:eastAsiaTheme="minorEastAsia"/>
          <w:szCs w:val="21"/>
        </w:rPr>
        <w:t> （北京时间）</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提交投标文件地点：陕西省西安市高新区锦业路32号锦业时代B3座1701会议室</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开标地点：陕西省西安市高新区锦业路32号锦业时代B3座1701会议室</w:t>
      </w:r>
    </w:p>
    <w:p>
      <w:pPr>
        <w:spacing w:line="460" w:lineRule="exact"/>
        <w:rPr>
          <w:rFonts w:asciiTheme="minorEastAsia" w:hAnsiTheme="minorEastAsia" w:eastAsiaTheme="minorEastAsia"/>
          <w:b/>
          <w:bCs/>
          <w:szCs w:val="21"/>
        </w:rPr>
      </w:pPr>
      <w:r>
        <w:rPr>
          <w:rFonts w:asciiTheme="minorEastAsia" w:hAnsiTheme="minorEastAsia" w:eastAsiaTheme="minorEastAsia"/>
          <w:b/>
          <w:bCs/>
          <w:szCs w:val="21"/>
        </w:rPr>
        <w:t>五、公告期限</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自本公告发布之日起5个工作日。</w:t>
      </w:r>
    </w:p>
    <w:p>
      <w:pPr>
        <w:spacing w:line="460" w:lineRule="exact"/>
        <w:rPr>
          <w:rFonts w:asciiTheme="minorEastAsia" w:hAnsiTheme="minorEastAsia" w:eastAsiaTheme="minorEastAsia"/>
          <w:b/>
          <w:bCs/>
          <w:szCs w:val="21"/>
        </w:rPr>
      </w:pPr>
      <w:r>
        <w:rPr>
          <w:rFonts w:asciiTheme="minorEastAsia" w:hAnsiTheme="minorEastAsia" w:eastAsiaTheme="minorEastAsia"/>
          <w:b/>
          <w:bCs/>
          <w:szCs w:val="21"/>
        </w:rPr>
        <w:t>六、其他补充事宜</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供应商须在陕西省政府采购网（http://www.ccgp-shaanxi.gov.cn/）注册登记加入陕西省政府采购供应商库，否则由此引发的一切后果由供应商自行承担。</w:t>
      </w:r>
    </w:p>
    <w:p>
      <w:pPr>
        <w:spacing w:line="460" w:lineRule="exact"/>
        <w:rPr>
          <w:rFonts w:asciiTheme="minorEastAsia" w:hAnsiTheme="minorEastAsia" w:eastAsiaTheme="minorEastAsia"/>
          <w:b/>
          <w:bCs/>
          <w:szCs w:val="21"/>
        </w:rPr>
      </w:pPr>
      <w:r>
        <w:rPr>
          <w:rFonts w:asciiTheme="minorEastAsia" w:hAnsiTheme="minorEastAsia" w:eastAsiaTheme="minorEastAsia"/>
          <w:b/>
          <w:bCs/>
          <w:szCs w:val="21"/>
        </w:rPr>
        <w:t>七、对本次招标提出询问，请按以下方式联系。</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采购人</w:t>
      </w:r>
      <w:r>
        <w:rPr>
          <w:rFonts w:asciiTheme="minorEastAsia" w:hAnsiTheme="minorEastAsia" w:eastAsiaTheme="minorEastAsia"/>
          <w:szCs w:val="21"/>
        </w:rPr>
        <w:t>信息</w:t>
      </w:r>
    </w:p>
    <w:p>
      <w:pPr>
        <w:spacing w:line="460" w:lineRule="exact"/>
        <w:ind w:firstLine="630" w:firstLineChars="300"/>
        <w:rPr>
          <w:rFonts w:asciiTheme="minorEastAsia" w:hAnsiTheme="minorEastAsia" w:eastAsiaTheme="minorEastAsia"/>
          <w:szCs w:val="21"/>
        </w:rPr>
      </w:pPr>
      <w:r>
        <w:rPr>
          <w:rFonts w:asciiTheme="minorEastAsia" w:hAnsiTheme="minorEastAsia" w:eastAsiaTheme="minorEastAsia"/>
          <w:szCs w:val="21"/>
        </w:rPr>
        <w:t>名称：白水县疾病预防控制中心</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地址：白水县蔡伦路东段</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联系方式：13379442527</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2.采购代理机构信息</w:t>
      </w:r>
    </w:p>
    <w:p>
      <w:pPr>
        <w:spacing w:line="460" w:lineRule="exact"/>
        <w:ind w:firstLine="630" w:firstLineChars="300"/>
        <w:rPr>
          <w:rFonts w:hint="eastAsia" w:asciiTheme="minorEastAsia" w:hAnsiTheme="minorEastAsia" w:eastAsiaTheme="minorEastAsia"/>
          <w:szCs w:val="21"/>
          <w:lang w:eastAsia="zh-CN"/>
        </w:rPr>
      </w:pPr>
      <w:r>
        <w:rPr>
          <w:rFonts w:asciiTheme="minorEastAsia" w:hAnsiTheme="minorEastAsia" w:eastAsiaTheme="minorEastAsia"/>
          <w:szCs w:val="21"/>
        </w:rPr>
        <w:t>名称：</w:t>
      </w:r>
      <w:r>
        <w:rPr>
          <w:rFonts w:hint="eastAsia" w:asciiTheme="minorEastAsia" w:hAnsiTheme="minorEastAsia" w:eastAsiaTheme="minorEastAsia"/>
          <w:szCs w:val="21"/>
          <w:lang w:eastAsia="zh-CN"/>
        </w:rPr>
        <w:t>陕西中正天投项目管理有限公司</w:t>
      </w:r>
    </w:p>
    <w:p>
      <w:pPr>
        <w:spacing w:line="460" w:lineRule="exact"/>
        <w:ind w:firstLine="630" w:firstLineChars="300"/>
        <w:rPr>
          <w:rFonts w:asciiTheme="minorEastAsia" w:hAnsiTheme="minorEastAsia" w:eastAsiaTheme="minorEastAsia"/>
          <w:szCs w:val="21"/>
        </w:rPr>
      </w:pPr>
      <w:r>
        <w:rPr>
          <w:rFonts w:asciiTheme="minorEastAsia" w:hAnsiTheme="minorEastAsia" w:eastAsiaTheme="minorEastAsia"/>
          <w:szCs w:val="21"/>
        </w:rPr>
        <w:t>地址：陕西省西安市高新区锦业路32号锦业时代B3座1701</w:t>
      </w:r>
    </w:p>
    <w:p>
      <w:pPr>
        <w:spacing w:line="460" w:lineRule="exact"/>
        <w:ind w:firstLine="630" w:firstLineChars="300"/>
        <w:rPr>
          <w:rFonts w:asciiTheme="minorEastAsia" w:hAnsiTheme="minorEastAsia" w:eastAsiaTheme="minorEastAsia"/>
          <w:szCs w:val="21"/>
        </w:rPr>
      </w:pPr>
      <w:r>
        <w:rPr>
          <w:rFonts w:asciiTheme="minorEastAsia" w:hAnsiTheme="minorEastAsia" w:eastAsiaTheme="minorEastAsia"/>
          <w:szCs w:val="21"/>
        </w:rPr>
        <w:t>联系方式：15091193851</w:t>
      </w:r>
    </w:p>
    <w:p>
      <w:pPr>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3.项目联系方式</w:t>
      </w:r>
    </w:p>
    <w:p>
      <w:pPr>
        <w:spacing w:line="460" w:lineRule="exact"/>
        <w:ind w:firstLine="630" w:firstLineChars="300"/>
        <w:rPr>
          <w:rFonts w:asciiTheme="minorEastAsia" w:hAnsiTheme="minorEastAsia" w:eastAsiaTheme="minorEastAsia"/>
          <w:szCs w:val="21"/>
        </w:rPr>
      </w:pPr>
      <w:r>
        <w:rPr>
          <w:rFonts w:asciiTheme="minorEastAsia" w:hAnsiTheme="minorEastAsia" w:eastAsiaTheme="minorEastAsia"/>
          <w:szCs w:val="21"/>
        </w:rPr>
        <w:t>项目联系人：陕西中正天投项目管理有限公司</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p>
    <w:p>
      <w:pPr>
        <w:spacing w:line="460" w:lineRule="exact"/>
        <w:ind w:firstLine="630" w:firstLineChars="300"/>
        <w:rPr>
          <w:rFonts w:asciiTheme="minorEastAsia" w:hAnsiTheme="minorEastAsia" w:eastAsiaTheme="minorEastAsia"/>
          <w:szCs w:val="21"/>
        </w:rPr>
      </w:pPr>
      <w:r>
        <w:rPr>
          <w:rFonts w:asciiTheme="minorEastAsia" w:hAnsiTheme="minorEastAsia" w:eastAsiaTheme="minorEastAsia"/>
          <w:szCs w:val="21"/>
        </w:rPr>
        <w:t>电话：029-89538211</w:t>
      </w:r>
    </w:p>
    <w:p>
      <w:pPr>
        <w:spacing w:line="360" w:lineRule="auto"/>
        <w:jc w:val="center"/>
        <w:rPr>
          <w:rFonts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rPr>
          <w:rFonts w:hint="eastAsia" w:ascii="宋体" w:hAnsi="宋体" w:cs="宋体"/>
          <w:b/>
          <w:bCs/>
          <w:sz w:val="32"/>
          <w:szCs w:val="32"/>
        </w:rPr>
      </w:pPr>
    </w:p>
    <w:p>
      <w:pPr>
        <w:spacing w:line="276" w:lineRule="auto"/>
        <w:jc w:val="center"/>
        <w:outlineLvl w:val="0"/>
        <w:rPr>
          <w:rFonts w:ascii="宋体" w:hAnsi="宋体"/>
          <w:sz w:val="32"/>
          <w:szCs w:val="32"/>
        </w:rPr>
      </w:pPr>
      <w:bookmarkStart w:id="3" w:name="_Toc1799"/>
      <w:bookmarkStart w:id="4" w:name="_Toc19128"/>
      <w:r>
        <w:rPr>
          <w:rFonts w:hint="eastAsia" w:ascii="宋体" w:hAnsi="宋体" w:cs="宋体"/>
          <w:b/>
          <w:bCs/>
          <w:sz w:val="32"/>
          <w:szCs w:val="32"/>
        </w:rPr>
        <w:t>第二章  投标供应商须知</w:t>
      </w:r>
      <w:bookmarkEnd w:id="3"/>
      <w:bookmarkEnd w:id="4"/>
    </w:p>
    <w:p>
      <w:pPr>
        <w:spacing w:line="276" w:lineRule="auto"/>
        <w:jc w:val="center"/>
        <w:rPr>
          <w:rFonts w:ascii="宋体" w:hAnsi="宋体"/>
          <w:b/>
          <w:sz w:val="28"/>
          <w:szCs w:val="28"/>
        </w:rPr>
      </w:pPr>
      <w:bookmarkStart w:id="5" w:name="_Toc222740109"/>
      <w:r>
        <w:rPr>
          <w:rFonts w:hint="eastAsia" w:ascii="宋体" w:hAnsi="宋体"/>
          <w:b/>
          <w:sz w:val="28"/>
          <w:szCs w:val="28"/>
        </w:rPr>
        <w:t>投标供应商须知前附表</w:t>
      </w:r>
      <w:bookmarkEnd w:id="5"/>
    </w:p>
    <w:tbl>
      <w:tblPr>
        <w:tblStyle w:val="40"/>
        <w:tblW w:w="989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41"/>
        <w:gridCol w:w="1984"/>
        <w:gridCol w:w="727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641"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序号</w:t>
            </w:r>
          </w:p>
        </w:tc>
        <w:tc>
          <w:tcPr>
            <w:tcW w:w="1984" w:type="dxa"/>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条款名称</w:t>
            </w:r>
          </w:p>
        </w:tc>
        <w:tc>
          <w:tcPr>
            <w:tcW w:w="7273"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编列内容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64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1984" w:type="dxa"/>
            <w:vAlign w:val="center"/>
          </w:tcPr>
          <w:p>
            <w:pPr>
              <w:jc w:val="center"/>
              <w:rPr>
                <w:rFonts w:asciiTheme="minorEastAsia" w:hAnsiTheme="minorEastAsia" w:eastAsiaTheme="minorEastAsia"/>
                <w:b/>
                <w:szCs w:val="21"/>
              </w:rPr>
            </w:pPr>
            <w:r>
              <w:rPr>
                <w:rFonts w:asciiTheme="minorEastAsia" w:hAnsiTheme="minorEastAsia" w:eastAsiaTheme="minorEastAsia"/>
                <w:szCs w:val="21"/>
              </w:rPr>
              <w:t>采购人</w:t>
            </w:r>
          </w:p>
        </w:tc>
        <w:tc>
          <w:tcPr>
            <w:tcW w:w="7273" w:type="dxa"/>
            <w:vAlign w:val="center"/>
          </w:tcPr>
          <w:p>
            <w:pPr>
              <w:jc w:val="left"/>
              <w:rPr>
                <w:rFonts w:hint="eastAsia" w:asciiTheme="minorEastAsia" w:hAnsiTheme="minorEastAsia" w:eastAsiaTheme="minorEastAsia"/>
                <w:szCs w:val="21"/>
                <w:lang w:eastAsia="zh-CN"/>
              </w:rPr>
            </w:pPr>
            <w:r>
              <w:rPr>
                <w:rFonts w:hint="eastAsia" w:ascii="宋体" w:hAnsi="宋体" w:eastAsiaTheme="minorEastAsia"/>
                <w:szCs w:val="21"/>
                <w:lang w:eastAsia="zh-CN"/>
              </w:rPr>
              <w:t>白水县疾病预防控制中心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64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198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采购代理机构</w:t>
            </w:r>
          </w:p>
        </w:tc>
        <w:tc>
          <w:tcPr>
            <w:tcW w:w="7273" w:type="dxa"/>
            <w:vAlign w:val="center"/>
          </w:tcPr>
          <w:p>
            <w:pPr>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陕西中正天投项目管理有限公司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8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资金来源</w:t>
            </w:r>
          </w:p>
        </w:tc>
        <w:tc>
          <w:tcPr>
            <w:tcW w:w="7273"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财政资金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641" w:type="dxa"/>
            <w:vMerge w:val="restart"/>
            <w:tcBorders>
              <w:top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98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采购预算</w:t>
            </w:r>
          </w:p>
        </w:tc>
        <w:tc>
          <w:tcPr>
            <w:tcW w:w="7273" w:type="dxa"/>
            <w:vAlign w:val="center"/>
          </w:tcPr>
          <w:p>
            <w:pPr>
              <w:jc w:val="left"/>
              <w:rPr>
                <w:rFonts w:asciiTheme="minorEastAsia" w:hAnsiTheme="minorEastAsia" w:eastAsiaTheme="minorEastAsia"/>
                <w:szCs w:val="21"/>
              </w:rPr>
            </w:pPr>
            <w:r>
              <w:rPr>
                <w:rFonts w:hint="eastAsia" w:ascii="宋体" w:hAnsi="宋体"/>
                <w:szCs w:val="21"/>
              </w:rPr>
              <w:t>￥1,760,320.00元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9" w:hRule="atLeast"/>
          <w:jc w:val="center"/>
        </w:trPr>
        <w:tc>
          <w:tcPr>
            <w:tcW w:w="641" w:type="dxa"/>
            <w:vMerge w:val="continue"/>
            <w:tcBorders>
              <w:bottom w:val="single" w:color="auto" w:sz="4" w:space="0"/>
            </w:tcBorders>
            <w:vAlign w:val="center"/>
          </w:tcPr>
          <w:p>
            <w:pPr>
              <w:jc w:val="center"/>
              <w:rPr>
                <w:rFonts w:asciiTheme="minorEastAsia" w:hAnsiTheme="minorEastAsia" w:eastAsiaTheme="minorEastAsia"/>
                <w:szCs w:val="21"/>
              </w:rPr>
            </w:pPr>
          </w:p>
        </w:tc>
        <w:tc>
          <w:tcPr>
            <w:tcW w:w="198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最高限价</w:t>
            </w:r>
          </w:p>
        </w:tc>
        <w:tc>
          <w:tcPr>
            <w:tcW w:w="7273" w:type="dxa"/>
            <w:tcBorders>
              <w:bottom w:val="single" w:color="auto" w:sz="4" w:space="0"/>
            </w:tcBorders>
            <w:vAlign w:val="center"/>
          </w:tcPr>
          <w:p>
            <w:pPr>
              <w:pStyle w:val="17"/>
              <w:spacing w:line="276" w:lineRule="auto"/>
              <w:jc w:val="left"/>
              <w:rPr>
                <w:rFonts w:ascii="宋体" w:hAnsi="宋体"/>
                <w:szCs w:val="21"/>
              </w:rPr>
            </w:pPr>
            <w:r>
              <w:rPr>
                <w:rFonts w:hint="eastAsia" w:ascii="宋体" w:hAnsi="宋体"/>
                <w:szCs w:val="21"/>
              </w:rPr>
              <w:t>￥1,760,320.00元</w:t>
            </w:r>
          </w:p>
          <w:p>
            <w:pPr>
              <w:pStyle w:val="17"/>
              <w:spacing w:line="276" w:lineRule="auto"/>
              <w:jc w:val="left"/>
              <w:rPr>
                <w:rFonts w:asciiTheme="minorEastAsia" w:hAnsiTheme="minorEastAsia" w:eastAsiaTheme="minorEastAsia"/>
                <w:szCs w:val="21"/>
              </w:rPr>
            </w:pPr>
            <w:r>
              <w:rPr>
                <w:rFonts w:hint="eastAsia" w:asciiTheme="minorEastAsia" w:hAnsiTheme="minorEastAsia" w:eastAsiaTheme="minorEastAsia"/>
                <w:bCs/>
                <w:szCs w:val="21"/>
              </w:rPr>
              <w:t>投标报价超出采购预算或招标最高限价情形的，该投标按无效投标处理。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641" w:type="dxa"/>
            <w:vMerge w:val="restart"/>
            <w:tcBorders>
              <w:top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98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交付期</w:t>
            </w:r>
          </w:p>
        </w:tc>
        <w:tc>
          <w:tcPr>
            <w:tcW w:w="7273" w:type="dxa"/>
            <w:vAlign w:val="center"/>
          </w:tcPr>
          <w:p>
            <w:pPr>
              <w:jc w:val="left"/>
              <w:rPr>
                <w:rFonts w:cs="宋体" w:asciiTheme="minorEastAsia" w:hAnsiTheme="minorEastAsia" w:eastAsiaTheme="minorEastAsia"/>
                <w:kern w:val="0"/>
                <w:szCs w:val="21"/>
                <w:highlight w:val="yellow"/>
              </w:rPr>
            </w:pPr>
            <w:r>
              <w:rPr>
                <w:rFonts w:cs="宋体" w:asciiTheme="minorEastAsia" w:hAnsiTheme="minorEastAsia" w:eastAsiaTheme="minorEastAsia"/>
                <w:kern w:val="0"/>
                <w:szCs w:val="21"/>
                <w:highlight w:val="none"/>
              </w:rPr>
              <w:t>合同签订后30日历天内交货、安装调试完成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8" w:hRule="atLeast"/>
          <w:jc w:val="center"/>
        </w:trPr>
        <w:tc>
          <w:tcPr>
            <w:tcW w:w="641" w:type="dxa"/>
            <w:vMerge w:val="continue"/>
            <w:vAlign w:val="center"/>
          </w:tcPr>
          <w:p>
            <w:pPr>
              <w:jc w:val="center"/>
              <w:rPr>
                <w:rFonts w:asciiTheme="minorEastAsia" w:hAnsiTheme="minorEastAsia" w:eastAsiaTheme="minorEastAsia"/>
                <w:szCs w:val="21"/>
              </w:rPr>
            </w:pPr>
          </w:p>
        </w:tc>
        <w:tc>
          <w:tcPr>
            <w:tcW w:w="1984" w:type="dxa"/>
            <w:vAlign w:val="center"/>
          </w:tcPr>
          <w:p>
            <w:pPr>
              <w:jc w:val="center"/>
              <w:rPr>
                <w:rFonts w:cs="新宋体" w:asciiTheme="minorEastAsia" w:hAnsiTheme="minorEastAsia" w:eastAsiaTheme="minorEastAsia"/>
                <w:szCs w:val="21"/>
              </w:rPr>
            </w:pPr>
            <w:r>
              <w:rPr>
                <w:rFonts w:asciiTheme="minorEastAsia" w:hAnsiTheme="minorEastAsia" w:eastAsiaTheme="minorEastAsia"/>
                <w:szCs w:val="21"/>
              </w:rPr>
              <w:t>地</w:t>
            </w:r>
            <w:r>
              <w:rPr>
                <w:rFonts w:hint="eastAsia" w:asciiTheme="minorEastAsia" w:hAnsiTheme="minorEastAsia" w:eastAsiaTheme="minorEastAsia"/>
                <w:szCs w:val="21"/>
              </w:rPr>
              <w:t xml:space="preserve"> </w:t>
            </w:r>
            <w:r>
              <w:rPr>
                <w:rFonts w:asciiTheme="minorEastAsia" w:hAnsiTheme="minorEastAsia" w:eastAsiaTheme="minorEastAsia"/>
                <w:szCs w:val="21"/>
              </w:rPr>
              <w:t>点</w:t>
            </w:r>
          </w:p>
        </w:tc>
        <w:tc>
          <w:tcPr>
            <w:tcW w:w="7273" w:type="dxa"/>
            <w:vAlign w:val="center"/>
          </w:tcPr>
          <w:p>
            <w:pPr>
              <w:jc w:val="left"/>
              <w:rPr>
                <w:rFonts w:cs="新宋体" w:asciiTheme="minorEastAsia" w:hAnsiTheme="minorEastAsia" w:eastAsiaTheme="minorEastAsia"/>
                <w:szCs w:val="21"/>
              </w:rPr>
            </w:pPr>
            <w:r>
              <w:rPr>
                <w:rFonts w:hint="eastAsia"/>
                <w:szCs w:val="21"/>
              </w:rPr>
              <w:t>采购人指定地点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8" w:hRule="atLeast"/>
          <w:jc w:val="center"/>
        </w:trPr>
        <w:tc>
          <w:tcPr>
            <w:tcW w:w="641" w:type="dxa"/>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szCs w:val="21"/>
              </w:rPr>
              <w:t>6</w:t>
            </w:r>
          </w:p>
        </w:tc>
        <w:tc>
          <w:tcPr>
            <w:tcW w:w="1984" w:type="dxa"/>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szCs w:val="21"/>
              </w:rPr>
              <w:t>采购内容</w:t>
            </w:r>
          </w:p>
        </w:tc>
        <w:tc>
          <w:tcPr>
            <w:tcW w:w="7273" w:type="dxa"/>
            <w:vAlign w:val="center"/>
          </w:tcPr>
          <w:p>
            <w:pPr>
              <w:spacing w:line="276" w:lineRule="auto"/>
              <w:rPr>
                <w:rFonts w:cs="仿宋" w:asciiTheme="minorEastAsia" w:hAnsiTheme="minorEastAsia" w:eastAsiaTheme="minorEastAsia"/>
                <w:szCs w:val="21"/>
              </w:rPr>
            </w:pPr>
            <w:r>
              <w:rPr>
                <w:rFonts w:hint="eastAsia" w:cs="仿宋" w:asciiTheme="minorEastAsia" w:hAnsiTheme="minorEastAsia" w:eastAsiaTheme="minorEastAsia"/>
                <w:szCs w:val="21"/>
              </w:rPr>
              <w:t>1.采购货物名称、数量具体情况详见招标文件第四章采购内容及要求。</w:t>
            </w:r>
          </w:p>
          <w:p>
            <w:pPr>
              <w:jc w:val="left"/>
              <w:rPr>
                <w:szCs w:val="21"/>
              </w:rPr>
            </w:pPr>
            <w:r>
              <w:rPr>
                <w:rFonts w:hint="eastAsia" w:cs="仿宋" w:asciiTheme="minorEastAsia" w:hAnsiTheme="minorEastAsia" w:eastAsiaTheme="minorEastAsia"/>
                <w:szCs w:val="21"/>
              </w:rPr>
              <w:t>2.本次采购、投标报价、评审和合同授予均以合同包为单位，投标供应商必须就一个完整合同包进行响应。</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77" w:hRule="atLeast"/>
          <w:jc w:val="center"/>
        </w:trPr>
        <w:tc>
          <w:tcPr>
            <w:tcW w:w="641"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984"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资格证明文件</w:t>
            </w:r>
          </w:p>
        </w:tc>
        <w:tc>
          <w:tcPr>
            <w:tcW w:w="7273" w:type="dxa"/>
            <w:vAlign w:val="center"/>
          </w:tcPr>
          <w:p>
            <w:pPr>
              <w:snapToGrid w:val="0"/>
              <w:spacing w:line="276" w:lineRule="auto"/>
              <w:jc w:val="left"/>
              <w:rPr>
                <w:rFonts w:hint="eastAsia" w:ascii="宋体" w:hAnsi="宋体" w:eastAsia="宋体"/>
                <w:szCs w:val="21"/>
                <w:lang w:eastAsia="zh-CN"/>
              </w:rPr>
            </w:pPr>
            <w:r>
              <w:rPr>
                <w:rFonts w:hint="eastAsia" w:ascii="宋体" w:hAnsi="宋体"/>
                <w:szCs w:val="21"/>
              </w:rPr>
              <w:t>满足《中华人民共和国政府采购法》第二十二条规定</w:t>
            </w:r>
            <w:r>
              <w:rPr>
                <w:rFonts w:hint="eastAsia" w:ascii="宋体" w:hAnsi="宋体"/>
                <w:szCs w:val="21"/>
                <w:lang w:eastAsia="zh-CN"/>
              </w:rPr>
              <w:t>：</w:t>
            </w:r>
          </w:p>
          <w:p>
            <w:pPr>
              <w:numPr>
                <w:ilvl w:val="0"/>
                <w:numId w:val="5"/>
              </w:numPr>
              <w:spacing w:line="276" w:lineRule="auto"/>
              <w:rPr>
                <w:rFonts w:hint="eastAsia"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提供统一社会信用代码的营业执照或其他组织经营的合法凭证或自然人的提供身份证明文件；</w:t>
            </w:r>
          </w:p>
          <w:p>
            <w:pPr>
              <w:numPr>
                <w:ilvl w:val="0"/>
                <w:numId w:val="5"/>
              </w:numPr>
              <w:spacing w:line="276" w:lineRule="auto"/>
              <w:rPr>
                <w:rFonts w:hint="eastAsia"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财务状况报告：提供2021年财务审计报告（成立时间至开标时间不足一年的可提供成立后任意时段的资产负债表）或提供基本存款账户信息及截标日期前三个月内其基本存款账户开户银行出具的资信证明；</w:t>
            </w:r>
          </w:p>
          <w:p>
            <w:pPr>
              <w:numPr>
                <w:ilvl w:val="0"/>
                <w:numId w:val="5"/>
              </w:numPr>
              <w:spacing w:line="276" w:lineRule="auto"/>
              <w:rPr>
                <w:rFonts w:hint="eastAsia"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税收缴纳证明：提供截标日期前六个月内任意一个月的纳税证明或完税证明（注：依法免税或零申报的投标人须提供相关文件证明）；</w:t>
            </w:r>
          </w:p>
          <w:p>
            <w:pPr>
              <w:numPr>
                <w:ilvl w:val="0"/>
                <w:numId w:val="5"/>
              </w:numPr>
              <w:spacing w:line="276" w:lineRule="auto"/>
              <w:rPr>
                <w:rFonts w:hint="eastAsia"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社会保障资金缴纳证明：提供截标日期前六个月内任意一个月的社会保障资金缴存单据或社保机构开具的社会保险参保缴费情况证明（注：依法不需要缴纳社会保障资金的投标人应提供相关文件证明；若为新成立企业可提供相应月度的社会保险缴纳证明）；</w:t>
            </w:r>
          </w:p>
          <w:p>
            <w:pPr>
              <w:numPr>
                <w:ilvl w:val="0"/>
                <w:numId w:val="5"/>
              </w:numPr>
              <w:spacing w:line="276" w:lineRule="auto"/>
              <w:rPr>
                <w:rFonts w:hint="eastAsia"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投标人为代理商的应出具医疗器械经营许可证（或医疗器械经营备案凭证）和制造厂商的医疗器械生产许可证（或医疗器械生产备案凭证）；投标人为制造厂商的应出具医疗器械生产许可证（或医疗器械生产备案凭证）；</w:t>
            </w:r>
          </w:p>
          <w:p>
            <w:pPr>
              <w:numPr>
                <w:ilvl w:val="0"/>
                <w:numId w:val="5"/>
              </w:numPr>
              <w:spacing w:line="276" w:lineRule="auto"/>
              <w:rPr>
                <w:rFonts w:hint="eastAsia"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所投产品属于医疗器械分类的须提供《医疗器械产品注册证》；</w:t>
            </w:r>
          </w:p>
          <w:p>
            <w:pPr>
              <w:numPr>
                <w:ilvl w:val="0"/>
                <w:numId w:val="5"/>
              </w:numPr>
              <w:spacing w:line="276" w:lineRule="auto"/>
              <w:rPr>
                <w:rFonts w:hint="eastAsia"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投标人应具备良好的商业信誉，提供参加政府采购活动前3年内在经营活动中没有重大违法记录的书面声明；</w:t>
            </w:r>
          </w:p>
          <w:p>
            <w:pPr>
              <w:numPr>
                <w:ilvl w:val="0"/>
                <w:numId w:val="5"/>
              </w:numPr>
              <w:spacing w:line="276" w:lineRule="auto"/>
              <w:rPr>
                <w:rFonts w:hint="eastAsia"/>
                <w:lang w:eastAsia="zh-CN"/>
              </w:rPr>
            </w:pPr>
            <w:r>
              <w:rPr>
                <w:rFonts w:hint="eastAsia" w:cs="仿宋_GB2312" w:asciiTheme="minorEastAsia" w:hAnsiTheme="minorEastAsia" w:eastAsiaTheme="minorEastAsia"/>
                <w:color w:val="000000"/>
                <w:szCs w:val="21"/>
              </w:rPr>
              <w:t>投标人须提供具有履行合同所必需的设备和专业技术能力的承诺函；</w:t>
            </w:r>
          </w:p>
          <w:p>
            <w:pPr>
              <w:numPr>
                <w:ilvl w:val="0"/>
                <w:numId w:val="5"/>
              </w:numPr>
              <w:spacing w:line="276" w:lineRule="auto"/>
              <w:rPr>
                <w:rFonts w:hint="eastAsia"/>
                <w:lang w:eastAsia="zh-CN"/>
              </w:rPr>
            </w:pPr>
            <w:r>
              <w:rPr>
                <w:rFonts w:hint="eastAsia"/>
              </w:rPr>
              <w:t>提供了投标供应商未为本项目提供整体设计、规范编制或者项目管理、监理、检测等服务的书面声明函</w:t>
            </w:r>
            <w:r>
              <w:rPr>
                <w:rFonts w:hint="eastAsia"/>
                <w:lang w:eastAsia="zh-CN"/>
              </w:rPr>
              <w:t>；</w:t>
            </w:r>
          </w:p>
          <w:p>
            <w:pPr>
              <w:numPr>
                <w:ilvl w:val="0"/>
                <w:numId w:val="5"/>
              </w:numPr>
              <w:spacing w:line="276" w:lineRule="auto"/>
              <w:rPr>
                <w:rFonts w:hint="eastAsia" w:cs="仿宋_GB2312" w:asciiTheme="minorEastAsia" w:hAnsiTheme="minorEastAsia" w:eastAsiaTheme="minorEastAsia"/>
                <w:color w:val="000000"/>
                <w:szCs w:val="21"/>
              </w:rPr>
            </w:pPr>
            <w:r>
              <w:rPr>
                <w:rFonts w:hint="eastAsia"/>
                <w:lang w:eastAsia="zh-CN"/>
              </w:rPr>
              <w:t>提供了法人代表、控股股东、控股企业及管理、被管理单位情况声明且各投标供应商之间不存在单位负责人为同一人或者存在控股、管理关系情形的书面声明；</w:t>
            </w:r>
          </w:p>
          <w:p>
            <w:pPr>
              <w:numPr>
                <w:ilvl w:val="0"/>
                <w:numId w:val="5"/>
              </w:numPr>
              <w:spacing w:line="276" w:lineRule="auto"/>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法定代表人参加投标的，须出具法定代表人身份证原件。法定代表人授权委托代理人参加投标的，须出具法定代表人授权委托书及被授权人身份证复印件；</w:t>
            </w:r>
          </w:p>
          <w:p>
            <w:pPr>
              <w:numPr>
                <w:ilvl w:val="0"/>
                <w:numId w:val="5"/>
              </w:numPr>
              <w:spacing w:line="276" w:lineRule="auto"/>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供应商不得被“信用中国”（www.creditchina.gov.cn）列入重大税收违法失信主体；不得被“中国执行信息公开网”（zxgk.court.gov.cn）列入失信被执行人名单；不得被“中国政府采购网”（www.ccgp.gov.cn）列入政府采购严重违法失信行为记录名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77" w:hRule="atLeast"/>
          <w:jc w:val="center"/>
        </w:trPr>
        <w:tc>
          <w:tcPr>
            <w:tcW w:w="641" w:type="dxa"/>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szCs w:val="21"/>
              </w:rPr>
              <w:t>8</w:t>
            </w:r>
          </w:p>
        </w:tc>
        <w:tc>
          <w:tcPr>
            <w:tcW w:w="1984"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是否专门面向</w:t>
            </w:r>
          </w:p>
          <w:p>
            <w:pPr>
              <w:jc w:val="center"/>
              <w:rPr>
                <w:rFonts w:asciiTheme="minorEastAsia" w:hAnsiTheme="minorEastAsia" w:eastAsiaTheme="minorEastAsia"/>
                <w:szCs w:val="21"/>
              </w:rPr>
            </w:pPr>
            <w:r>
              <w:rPr>
                <w:rFonts w:hint="eastAsia" w:cs="宋体" w:asciiTheme="minorEastAsia" w:hAnsiTheme="minorEastAsia" w:eastAsiaTheme="minorEastAsia"/>
                <w:szCs w:val="21"/>
              </w:rPr>
              <w:t>中小企业采购</w:t>
            </w:r>
          </w:p>
        </w:tc>
        <w:tc>
          <w:tcPr>
            <w:tcW w:w="7273" w:type="dxa"/>
            <w:vAlign w:val="center"/>
          </w:tcPr>
          <w:p>
            <w:pPr>
              <w:rPr>
                <w:rFonts w:asciiTheme="minorEastAsia" w:hAnsiTheme="minorEastAsia" w:eastAsiaTheme="minorEastAsia"/>
                <w:szCs w:val="21"/>
              </w:rPr>
            </w:pPr>
            <w:r>
              <w:rPr>
                <w:rFonts w:hint="eastAsia" w:cs="Segoe UI Emoji" w:asciiTheme="minorEastAsia" w:hAnsiTheme="minorEastAsia" w:eastAsiaTheme="minorEastAsia"/>
                <w:szCs w:val="21"/>
              </w:rPr>
              <w:t>本项目为非专门面向中小企业采购</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1"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98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行业划型标准</w:t>
            </w:r>
          </w:p>
        </w:tc>
        <w:tc>
          <w:tcPr>
            <w:tcW w:w="7273" w:type="dxa"/>
            <w:vAlign w:val="center"/>
          </w:tcPr>
          <w:p>
            <w:pPr>
              <w:snapToGrid w:val="0"/>
              <w:jc w:val="left"/>
              <w:rPr>
                <w:rFonts w:asciiTheme="minorEastAsia" w:hAnsiTheme="minorEastAsia" w:eastAsiaTheme="minorEastAsia" w:cstheme="minorHAnsi"/>
                <w:color w:val="000000" w:themeColor="text1"/>
                <w:szCs w:val="21"/>
              </w:rPr>
            </w:pPr>
            <w:r>
              <w:rPr>
                <w:rFonts w:hint="eastAsia" w:cs="Segoe UI Emoji" w:asciiTheme="minorEastAsia" w:hAnsiTheme="minorEastAsia" w:eastAsiaTheme="minorEastAsia"/>
                <w:color w:val="000000" w:themeColor="text1"/>
                <w:szCs w:val="21"/>
              </w:rPr>
              <w:t>本项目属于“</w:t>
            </w:r>
            <w:r>
              <w:rPr>
                <w:rFonts w:hint="eastAsia" w:ascii="宋体" w:hAnsi="宋体"/>
              </w:rPr>
              <w:t>工</w:t>
            </w:r>
            <w:r>
              <w:rPr>
                <w:rFonts w:ascii="宋体" w:hAnsi="宋体"/>
              </w:rPr>
              <w:t>业</w:t>
            </w:r>
            <w:r>
              <w:rPr>
                <w:rFonts w:hint="eastAsia" w:cs="Segoe UI Emoji" w:asciiTheme="minorEastAsia" w:hAnsiTheme="minorEastAsia" w:eastAsiaTheme="minorEastAsia"/>
                <w:color w:val="000000" w:themeColor="text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1984"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是否接受</w:t>
            </w: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联合体投标</w:t>
            </w:r>
          </w:p>
        </w:tc>
        <w:tc>
          <w:tcPr>
            <w:tcW w:w="7273" w:type="dxa"/>
            <w:vAlign w:val="center"/>
          </w:tcPr>
          <w:p>
            <w:pPr>
              <w:snapToGrid w:val="0"/>
              <w:ind w:firstLine="210" w:firstLineChars="100"/>
              <w:jc w:val="left"/>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cstheme="minorHAnsi"/>
                <w:szCs w:val="21"/>
              </w:rPr>
              <w:t xml:space="preserve">是    </w:t>
            </w:r>
            <w:r>
              <w:rPr>
                <w:rFonts w:hint="eastAsia" w:ascii="MS Gothic" w:hAnsi="MS Gothic" w:eastAsia="MS Gothic" w:cs="MS Gothic"/>
                <w:szCs w:val="21"/>
              </w:rPr>
              <w:t>☑</w:t>
            </w:r>
            <w:r>
              <w:rPr>
                <w:rFonts w:hint="eastAsia" w:asciiTheme="minorEastAsia" w:hAnsiTheme="minorEastAsia" w:eastAsiaTheme="minorEastAsia" w:cstheme="minorHAnsi"/>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641"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1984" w:type="dxa"/>
            <w:vAlign w:val="center"/>
          </w:tcPr>
          <w:p>
            <w:pPr>
              <w:spacing w:line="276"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是否允许大中企业向小微企业分包</w:t>
            </w:r>
          </w:p>
        </w:tc>
        <w:tc>
          <w:tcPr>
            <w:tcW w:w="7273" w:type="dxa"/>
            <w:vAlign w:val="center"/>
          </w:tcPr>
          <w:p>
            <w:pPr>
              <w:snapToGrid w:val="0"/>
              <w:ind w:firstLine="210" w:firstLineChars="100"/>
              <w:jc w:val="left"/>
              <w:rPr>
                <w:rFonts w:cs="Segoe UI Emoji"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cstheme="minorHAnsi"/>
                <w:szCs w:val="21"/>
              </w:rPr>
              <w:t xml:space="preserve">是    </w:t>
            </w:r>
            <w:r>
              <w:rPr>
                <w:rFonts w:hint="eastAsia" w:ascii="MS Gothic" w:hAnsi="MS Gothic" w:eastAsia="MS Gothic" w:cs="MS Gothic"/>
                <w:szCs w:val="21"/>
              </w:rPr>
              <w:t>☑</w:t>
            </w:r>
            <w:r>
              <w:rPr>
                <w:rFonts w:hint="eastAsia" w:asciiTheme="minorEastAsia" w:hAnsiTheme="minorEastAsia" w:eastAsiaTheme="minorEastAsia" w:cstheme="minorHAnsi"/>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07"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98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答疑会或现场考察</w:t>
            </w:r>
          </w:p>
        </w:tc>
        <w:tc>
          <w:tcPr>
            <w:tcW w:w="7273" w:type="dxa"/>
            <w:vAlign w:val="center"/>
          </w:tcPr>
          <w:p>
            <w:pPr>
              <w:spacing w:line="276" w:lineRule="auto"/>
              <w:ind w:firstLine="210" w:firstLineChars="100"/>
              <w:rPr>
                <w:rFonts w:asciiTheme="minorEastAsia" w:hAnsiTheme="minorEastAsia" w:eastAsiaTheme="minorEastAsia" w:cstheme="minorHAnsi"/>
                <w:szCs w:val="21"/>
              </w:rPr>
            </w:pPr>
            <w:r>
              <w:rPr>
                <w:rFonts w:hint="eastAsia" w:ascii="MS Gothic" w:hAnsi="MS Gothic" w:eastAsia="MS Gothic" w:cs="MS Gothic"/>
                <w:szCs w:val="21"/>
              </w:rPr>
              <w:t>☐</w:t>
            </w:r>
            <w:r>
              <w:rPr>
                <w:rFonts w:hint="eastAsia" w:asciiTheme="minorEastAsia" w:hAnsiTheme="minorEastAsia" w:eastAsiaTheme="minorEastAsia" w:cstheme="minorHAnsi"/>
                <w:szCs w:val="21"/>
              </w:rPr>
              <w:t xml:space="preserve">是    </w:t>
            </w:r>
            <w:r>
              <w:rPr>
                <w:rFonts w:hint="eastAsia" w:ascii="MS Gothic" w:hAnsi="MS Gothic" w:eastAsia="MS Gothic" w:cs="MS Gothic"/>
                <w:szCs w:val="21"/>
              </w:rPr>
              <w:t>☑</w:t>
            </w:r>
            <w:r>
              <w:rPr>
                <w:rFonts w:hint="eastAsia" w:asciiTheme="minorEastAsia" w:hAnsiTheme="minorEastAsia" w:eastAsiaTheme="minorEastAsia" w:cstheme="minorHAnsi"/>
                <w:szCs w:val="21"/>
              </w:rPr>
              <w:t>否</w:t>
            </w:r>
          </w:p>
          <w:p>
            <w:pPr>
              <w:pStyle w:val="17"/>
              <w:spacing w:line="276" w:lineRule="auto"/>
              <w:jc w:val="both"/>
              <w:rPr>
                <w:rFonts w:asciiTheme="minorEastAsia" w:hAnsiTheme="minorEastAsia" w:eastAsiaTheme="minorEastAsia"/>
                <w:szCs w:val="21"/>
              </w:rPr>
            </w:pPr>
            <w:r>
              <w:rPr>
                <w:rFonts w:hint="eastAsia" w:asciiTheme="minorEastAsia" w:hAnsiTheme="minorEastAsia" w:eastAsiaTheme="minorEastAsia"/>
                <w:szCs w:val="21"/>
              </w:rPr>
              <w:t>1.时间：/</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2.地点：/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1984"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构成招标文件</w:t>
            </w: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的其他文件</w:t>
            </w:r>
          </w:p>
        </w:tc>
        <w:tc>
          <w:tcPr>
            <w:tcW w:w="7273" w:type="dxa"/>
            <w:vAlign w:val="center"/>
          </w:tcPr>
          <w:p>
            <w:pPr>
              <w:rPr>
                <w:rFonts w:asciiTheme="minorEastAsia" w:hAnsiTheme="minorEastAsia" w:eastAsiaTheme="minorEastAsia"/>
                <w:szCs w:val="21"/>
              </w:rPr>
            </w:pPr>
            <w:r>
              <w:rPr>
                <w:rFonts w:asciiTheme="minorEastAsia" w:hAnsiTheme="minorEastAsia" w:eastAsiaTheme="minorEastAsia"/>
                <w:szCs w:val="21"/>
              </w:rPr>
              <w:t>招标文件的澄清、修改书及有关补充通知为招标文件的有效组成部分</w:t>
            </w:r>
            <w:r>
              <w:rPr>
                <w:rFonts w:hint="eastAsia" w:asciiTheme="minorEastAsia" w:hAnsiTheme="minorEastAsia" w:eastAsiaTheme="minorEastAsia"/>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198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投标有效期</w:t>
            </w:r>
          </w:p>
        </w:tc>
        <w:tc>
          <w:tcPr>
            <w:tcW w:w="7273" w:type="dxa"/>
            <w:vAlign w:val="center"/>
          </w:tcPr>
          <w:p>
            <w:pPr>
              <w:snapToGrid w:val="0"/>
              <w:jc w:val="left"/>
              <w:rPr>
                <w:rFonts w:asciiTheme="minorEastAsia" w:hAnsiTheme="minorEastAsia" w:eastAsiaTheme="minorEastAsia" w:cstheme="minorHAnsi"/>
                <w:szCs w:val="21"/>
              </w:rPr>
            </w:pPr>
            <w:r>
              <w:rPr>
                <w:rFonts w:asciiTheme="minorEastAsia" w:hAnsiTheme="minorEastAsia" w:eastAsiaTheme="minorEastAsia"/>
                <w:szCs w:val="21"/>
              </w:rPr>
              <w:t>90个日历天（从</w:t>
            </w:r>
            <w:r>
              <w:rPr>
                <w:rFonts w:hint="eastAsia" w:asciiTheme="minorEastAsia" w:hAnsiTheme="minorEastAsia" w:eastAsiaTheme="minorEastAsia"/>
                <w:szCs w:val="21"/>
              </w:rPr>
              <w:t>提交</w:t>
            </w:r>
            <w:r>
              <w:rPr>
                <w:rFonts w:asciiTheme="minorEastAsia" w:hAnsiTheme="minorEastAsia" w:eastAsiaTheme="minorEastAsia"/>
                <w:szCs w:val="21"/>
              </w:rPr>
              <w:t>投标</w:t>
            </w:r>
            <w:r>
              <w:rPr>
                <w:rFonts w:hint="eastAsia" w:asciiTheme="minorEastAsia" w:hAnsiTheme="minorEastAsia" w:eastAsiaTheme="minorEastAsia"/>
                <w:szCs w:val="21"/>
              </w:rPr>
              <w:t>文件</w:t>
            </w:r>
            <w:r>
              <w:rPr>
                <w:rFonts w:asciiTheme="minorEastAsia" w:hAnsiTheme="minorEastAsia" w:eastAsiaTheme="minorEastAsia"/>
                <w:szCs w:val="21"/>
              </w:rPr>
              <w:t>截止之日算起）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81"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198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投标报价</w:t>
            </w:r>
          </w:p>
        </w:tc>
        <w:tc>
          <w:tcPr>
            <w:tcW w:w="7273" w:type="dxa"/>
            <w:vAlign w:val="center"/>
          </w:tcPr>
          <w:p>
            <w:pPr>
              <w:pStyle w:val="250"/>
              <w:spacing w:line="276" w:lineRule="auto"/>
              <w:rPr>
                <w:rFonts w:cs="Times New Roman" w:asciiTheme="minorEastAsia" w:hAnsiTheme="minorEastAsia"/>
              </w:rPr>
            </w:pPr>
            <w:r>
              <w:rPr>
                <w:rFonts w:hint="eastAsia" w:cs="仿宋" w:asciiTheme="minorEastAsia" w:hAnsiTheme="minorEastAsia"/>
                <w:kern w:val="0"/>
              </w:rPr>
              <w:t>投标报价=</w:t>
            </w:r>
            <w:r>
              <w:rPr>
                <w:rFonts w:hint="eastAsia" w:cs="仿宋" w:asciiTheme="minorEastAsia" w:hAnsiTheme="minorEastAsia"/>
              </w:rPr>
              <w:t>产品价格+运输费用+所有税费+安装调试费用+培训费+验收费用等构成，中标价一次性包死，后期不做调整。投标供应商应在充分了解该包全部情况,保障整个设备系统的完整性和正常运转。</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98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投标保证金</w:t>
            </w:r>
          </w:p>
        </w:tc>
        <w:tc>
          <w:tcPr>
            <w:tcW w:w="7273" w:type="dxa"/>
            <w:vAlign w:val="center"/>
          </w:tcPr>
          <w:p>
            <w:pPr>
              <w:jc w:val="left"/>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投标保证金金额：人民币</w:t>
            </w:r>
            <w:r>
              <w:rPr>
                <w:rFonts w:hint="eastAsia" w:asciiTheme="minorEastAsia" w:hAnsiTheme="minorEastAsia" w:eastAsiaTheme="minorEastAsia"/>
                <w:szCs w:val="21"/>
                <w:lang w:val="en-US" w:eastAsia="zh-CN"/>
              </w:rPr>
              <w:t>叁</w:t>
            </w:r>
            <w:r>
              <w:rPr>
                <w:rFonts w:hint="default" w:asciiTheme="minorEastAsia" w:hAnsiTheme="minorEastAsia" w:eastAsiaTheme="minorEastAsia"/>
                <w:szCs w:val="21"/>
                <w:lang w:val="en-US" w:eastAsia="zh-CN"/>
              </w:rPr>
              <w:t>万元整，¥</w:t>
            </w:r>
            <w:r>
              <w:rPr>
                <w:rFonts w:hint="eastAsia" w:asciiTheme="minorEastAsia" w:hAnsiTheme="minorEastAsia" w:eastAsiaTheme="minorEastAsia"/>
                <w:szCs w:val="21"/>
                <w:lang w:val="en-US" w:eastAsia="zh-CN"/>
              </w:rPr>
              <w:t>3</w:t>
            </w:r>
            <w:r>
              <w:rPr>
                <w:rFonts w:hint="default" w:asciiTheme="minorEastAsia" w:hAnsiTheme="minorEastAsia" w:eastAsiaTheme="minorEastAsia"/>
                <w:szCs w:val="21"/>
                <w:lang w:val="en-US" w:eastAsia="zh-CN"/>
              </w:rPr>
              <w:t>0000.00元；</w:t>
            </w:r>
          </w:p>
          <w:p>
            <w:pPr>
              <w:jc w:val="left"/>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投标保证金形式：支票、汇票、本票或者金融机构、担保机构出具的保函等非现金形式提交。除保函外，其他形式提交的投标保证金应从供应商</w:t>
            </w:r>
            <w:r>
              <w:rPr>
                <w:rFonts w:hint="eastAsia" w:asciiTheme="minorEastAsia" w:hAnsiTheme="minorEastAsia" w:eastAsiaTheme="minorEastAsia"/>
                <w:szCs w:val="21"/>
                <w:lang w:val="en-US" w:eastAsia="zh-CN"/>
              </w:rPr>
              <w:t>基本</w:t>
            </w:r>
            <w:r>
              <w:rPr>
                <w:rFonts w:hint="default" w:asciiTheme="minorEastAsia" w:hAnsiTheme="minorEastAsia" w:eastAsiaTheme="minorEastAsia"/>
                <w:szCs w:val="21"/>
                <w:lang w:val="en-US" w:eastAsia="zh-CN"/>
              </w:rPr>
              <w:t>账户转出。</w:t>
            </w:r>
          </w:p>
          <w:p>
            <w:pPr>
              <w:jc w:val="left"/>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收款单位：陕西中正天投项目管理有限公司</w:t>
            </w:r>
          </w:p>
          <w:p>
            <w:pPr>
              <w:jc w:val="left"/>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 xml:space="preserve">开 户 行：交通银行西安东二环支行 </w:t>
            </w:r>
          </w:p>
          <w:p>
            <w:pPr>
              <w:jc w:val="left"/>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账    号：611301014013000111177</w:t>
            </w:r>
          </w:p>
          <w:p>
            <w:pPr>
              <w:jc w:val="left"/>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 xml:space="preserve">转账事由： </w:t>
            </w:r>
            <w:r>
              <w:rPr>
                <w:rFonts w:hint="eastAsia" w:asciiTheme="minorEastAsia" w:hAnsiTheme="minorEastAsia" w:eastAsiaTheme="minorEastAsia"/>
                <w:szCs w:val="21"/>
                <w:u w:val="single"/>
                <w:lang w:val="en-US" w:eastAsia="zh-CN"/>
              </w:rPr>
              <w:t xml:space="preserve">             </w:t>
            </w:r>
            <w:r>
              <w:rPr>
                <w:rFonts w:hint="default" w:asciiTheme="minorEastAsia" w:hAnsiTheme="minorEastAsia" w:eastAsiaTheme="minorEastAsia"/>
                <w:szCs w:val="21"/>
                <w:lang w:val="en-US" w:eastAsia="zh-CN"/>
              </w:rPr>
              <w:t>项目投标保证金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641"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1984" w:type="dxa"/>
            <w:vMerge w:val="restart"/>
            <w:vAlign w:val="center"/>
          </w:tcPr>
          <w:p>
            <w:pPr>
              <w:jc w:val="center"/>
              <w:rPr>
                <w:rFonts w:ascii="宋体" w:hAnsi="宋体"/>
                <w:szCs w:val="21"/>
              </w:rPr>
            </w:pPr>
            <w:r>
              <w:rPr>
                <w:rFonts w:ascii="宋体" w:hAnsi="宋体"/>
                <w:szCs w:val="21"/>
              </w:rPr>
              <w:t>投标文件份数</w:t>
            </w:r>
          </w:p>
          <w:p>
            <w:pPr>
              <w:jc w:val="center"/>
              <w:rPr>
                <w:rFonts w:asciiTheme="minorEastAsia" w:hAnsiTheme="minorEastAsia" w:eastAsiaTheme="minorEastAsia"/>
                <w:szCs w:val="21"/>
              </w:rPr>
            </w:pPr>
            <w:r>
              <w:rPr>
                <w:rFonts w:hint="eastAsia" w:ascii="宋体" w:hAnsi="宋体"/>
                <w:szCs w:val="21"/>
              </w:rPr>
              <w:t>及要求</w:t>
            </w:r>
          </w:p>
        </w:tc>
        <w:tc>
          <w:tcPr>
            <w:tcW w:w="7273" w:type="dxa"/>
            <w:tcBorders>
              <w:bottom w:val="single" w:color="auto" w:sz="4" w:space="0"/>
            </w:tcBorders>
            <w:vAlign w:val="center"/>
          </w:tcPr>
          <w:p>
            <w:pPr>
              <w:spacing w:line="276" w:lineRule="auto"/>
              <w:rPr>
                <w:rFonts w:asciiTheme="minorEastAsia" w:hAnsiTheme="minorEastAsia" w:eastAsiaTheme="minorEastAsia"/>
                <w:szCs w:val="21"/>
              </w:rPr>
            </w:pPr>
            <w:r>
              <w:rPr>
                <w:rFonts w:hint="eastAsia" w:ascii="宋体" w:hAnsi="宋体"/>
                <w:b/>
                <w:szCs w:val="21"/>
              </w:rPr>
              <w:t>纸质版</w:t>
            </w:r>
            <w:r>
              <w:rPr>
                <w:rFonts w:hint="eastAsia" w:ascii="宋体" w:hAnsi="宋体"/>
                <w:szCs w:val="21"/>
              </w:rPr>
              <w:t>：正本</w:t>
            </w:r>
            <w:r>
              <w:rPr>
                <w:rFonts w:ascii="宋体" w:hAnsi="宋体"/>
                <w:szCs w:val="21"/>
              </w:rPr>
              <w:t>1</w:t>
            </w:r>
            <w:r>
              <w:rPr>
                <w:rFonts w:hint="eastAsia" w:ascii="宋体" w:hAnsi="宋体"/>
                <w:szCs w:val="21"/>
              </w:rPr>
              <w:t>份；副本</w:t>
            </w:r>
            <w:r>
              <w:rPr>
                <w:rFonts w:ascii="宋体" w:hAnsi="宋体"/>
                <w:szCs w:val="21"/>
              </w:rPr>
              <w:t>2</w:t>
            </w:r>
            <w:r>
              <w:rPr>
                <w:rFonts w:hint="eastAsia" w:ascii="宋体" w:hAnsi="宋体"/>
                <w:szCs w:val="21"/>
              </w:rPr>
              <w:t>份</w:t>
            </w:r>
            <w:r>
              <w:rPr>
                <w:rFonts w:hint="eastAsia" w:ascii="宋体" w:hAnsi="宋体"/>
                <w:color w:val="00000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75" w:hRule="atLeast"/>
          <w:jc w:val="center"/>
        </w:trPr>
        <w:tc>
          <w:tcPr>
            <w:tcW w:w="641" w:type="dxa"/>
            <w:vMerge w:val="continue"/>
            <w:vAlign w:val="center"/>
          </w:tcPr>
          <w:p>
            <w:pPr>
              <w:jc w:val="center"/>
              <w:rPr>
                <w:rFonts w:asciiTheme="minorEastAsia" w:hAnsiTheme="minorEastAsia" w:eastAsiaTheme="minorEastAsia"/>
                <w:szCs w:val="21"/>
              </w:rPr>
            </w:pPr>
          </w:p>
        </w:tc>
        <w:tc>
          <w:tcPr>
            <w:tcW w:w="1984" w:type="dxa"/>
            <w:vMerge w:val="continue"/>
            <w:vAlign w:val="center"/>
          </w:tcPr>
          <w:p>
            <w:pPr>
              <w:jc w:val="center"/>
              <w:rPr>
                <w:rFonts w:ascii="宋体" w:hAnsi="宋体"/>
                <w:szCs w:val="21"/>
              </w:rPr>
            </w:pPr>
          </w:p>
        </w:tc>
        <w:tc>
          <w:tcPr>
            <w:tcW w:w="7273" w:type="dxa"/>
            <w:tcBorders>
              <w:top w:val="single" w:color="auto" w:sz="4" w:space="0"/>
            </w:tcBorders>
            <w:vAlign w:val="center"/>
          </w:tcPr>
          <w:p>
            <w:pPr>
              <w:spacing w:line="276" w:lineRule="auto"/>
              <w:rPr>
                <w:rFonts w:ascii="宋体" w:hAnsi="宋体"/>
                <w:color w:val="000000"/>
                <w:szCs w:val="21"/>
              </w:rPr>
            </w:pPr>
            <w:r>
              <w:rPr>
                <w:rFonts w:ascii="宋体" w:hAnsi="宋体"/>
                <w:b/>
                <w:color w:val="000000"/>
                <w:szCs w:val="21"/>
              </w:rPr>
              <w:t>电子版</w:t>
            </w:r>
            <w:r>
              <w:rPr>
                <w:rFonts w:ascii="宋体" w:hAnsi="宋体"/>
                <w:color w:val="000000"/>
                <w:szCs w:val="21"/>
              </w:rPr>
              <w:t>：1</w:t>
            </w:r>
            <w:r>
              <w:rPr>
                <w:rFonts w:hint="eastAsia" w:ascii="宋体" w:hAnsi="宋体"/>
                <w:color w:val="000000"/>
                <w:szCs w:val="21"/>
              </w:rPr>
              <w:t>份</w:t>
            </w:r>
          </w:p>
          <w:p>
            <w:pPr>
              <w:spacing w:line="276" w:lineRule="auto"/>
              <w:rPr>
                <w:rFonts w:ascii="宋体" w:hAnsi="宋体" w:cs="新宋体"/>
                <w:szCs w:val="21"/>
              </w:rPr>
            </w:pPr>
            <w:r>
              <w:rPr>
                <w:rFonts w:hint="eastAsia" w:ascii="宋体" w:hAnsi="宋体" w:cs="新宋体"/>
                <w:szCs w:val="21"/>
              </w:rPr>
              <w:t>1）格式要求：</w:t>
            </w:r>
            <w:r>
              <w:rPr>
                <w:rFonts w:ascii="宋体" w:hAnsi="宋体" w:cs="新宋体"/>
                <w:szCs w:val="21"/>
              </w:rPr>
              <w:fldChar w:fldCharType="begin"/>
            </w:r>
            <w:r>
              <w:rPr>
                <w:rFonts w:ascii="宋体" w:hAnsi="宋体" w:cs="新宋体"/>
                <w:szCs w:val="21"/>
              </w:rPr>
              <w:instrText xml:space="preserve"> </w:instrText>
            </w:r>
            <w:r>
              <w:rPr>
                <w:rFonts w:hint="eastAsia" w:ascii="宋体" w:hAnsi="宋体" w:cs="新宋体"/>
                <w:szCs w:val="21"/>
              </w:rPr>
              <w:instrText xml:space="preserve">eq \o\ac(○,1)</w:instrText>
            </w:r>
            <w:r>
              <w:rPr>
                <w:rFonts w:ascii="宋体" w:hAnsi="宋体" w:cs="新宋体"/>
                <w:szCs w:val="21"/>
              </w:rPr>
              <w:fldChar w:fldCharType="end"/>
            </w:r>
            <w:r>
              <w:rPr>
                <w:rFonts w:hint="eastAsia" w:ascii="宋体" w:hAnsi="宋体" w:cs="新宋体"/>
                <w:szCs w:val="21"/>
              </w:rPr>
              <w:t>提供与纸质投标文件正本一致的PDF格式文件，且盖章、签字处必须清晰可辨；</w:t>
            </w:r>
            <w:r>
              <w:rPr>
                <w:rFonts w:ascii="宋体" w:hAnsi="宋体" w:cs="新宋体"/>
                <w:szCs w:val="21"/>
              </w:rPr>
              <w:fldChar w:fldCharType="begin"/>
            </w:r>
            <w:r>
              <w:rPr>
                <w:rFonts w:ascii="宋体" w:hAnsi="宋体" w:cs="新宋体"/>
                <w:szCs w:val="21"/>
              </w:rPr>
              <w:instrText xml:space="preserve"> </w:instrText>
            </w:r>
            <w:r>
              <w:rPr>
                <w:rFonts w:hint="eastAsia" w:ascii="宋体" w:hAnsi="宋体" w:cs="新宋体"/>
                <w:szCs w:val="21"/>
              </w:rPr>
              <w:instrText xml:space="preserve">eq \o\ac(○,2)</w:instrText>
            </w:r>
            <w:r>
              <w:rPr>
                <w:rFonts w:ascii="宋体" w:hAnsi="宋体" w:cs="新宋体"/>
                <w:szCs w:val="21"/>
              </w:rPr>
              <w:fldChar w:fldCharType="end"/>
            </w:r>
            <w:r>
              <w:rPr>
                <w:rFonts w:hint="eastAsia" w:ascii="宋体" w:hAnsi="宋体" w:cs="新宋体"/>
                <w:szCs w:val="21"/>
              </w:rPr>
              <w:t>word版投标文件；</w:t>
            </w:r>
          </w:p>
          <w:p>
            <w:pPr>
              <w:spacing w:line="276" w:lineRule="auto"/>
              <w:rPr>
                <w:rFonts w:ascii="宋体" w:hAnsi="宋体" w:cs="新宋体"/>
                <w:szCs w:val="21"/>
              </w:rPr>
            </w:pPr>
            <w:r>
              <w:rPr>
                <w:rFonts w:hint="eastAsia" w:ascii="宋体" w:hAnsi="宋体" w:cs="新宋体"/>
                <w:szCs w:val="21"/>
              </w:rPr>
              <w:t xml:space="preserve">2）电子版表面需标明投标供应商名称信息； </w:t>
            </w:r>
          </w:p>
          <w:p>
            <w:pPr>
              <w:spacing w:line="276" w:lineRule="auto"/>
              <w:rPr>
                <w:rFonts w:ascii="宋体" w:hAnsi="宋体"/>
                <w:color w:val="000000"/>
                <w:szCs w:val="21"/>
              </w:rPr>
            </w:pPr>
            <w:r>
              <w:rPr>
                <w:rFonts w:ascii="宋体" w:hAnsi="宋体"/>
                <w:szCs w:val="21"/>
              </w:rPr>
              <w:t>3</w:t>
            </w:r>
            <w:r>
              <w:rPr>
                <w:rFonts w:hint="eastAsia" w:ascii="宋体" w:hAnsi="宋体"/>
                <w:szCs w:val="21"/>
              </w:rPr>
              <w:t>）载体要求：</w:t>
            </w:r>
            <w:r>
              <w:rPr>
                <w:rFonts w:ascii="宋体" w:hAnsi="宋体"/>
                <w:color w:val="000000"/>
                <w:szCs w:val="21"/>
              </w:rPr>
              <w:t>U</w:t>
            </w:r>
            <w:r>
              <w:rPr>
                <w:rFonts w:hint="eastAsia" w:ascii="宋体" w:hAnsi="宋体"/>
                <w:color w:val="000000"/>
                <w:szCs w:val="21"/>
              </w:rPr>
              <w:t>盘；</w:t>
            </w:r>
          </w:p>
          <w:p>
            <w:pPr>
              <w:spacing w:line="276" w:lineRule="auto"/>
              <w:rPr>
                <w:rFonts w:asciiTheme="minorEastAsia" w:hAnsiTheme="minorEastAsia" w:eastAsiaTheme="minorEastAsia"/>
                <w:szCs w:val="21"/>
              </w:rPr>
            </w:pPr>
            <w:r>
              <w:rPr>
                <w:rFonts w:ascii="宋体" w:hAnsi="宋体"/>
                <w:szCs w:val="21"/>
              </w:rPr>
              <w:t>4</w:t>
            </w:r>
            <w:r>
              <w:rPr>
                <w:rFonts w:hint="eastAsia" w:ascii="宋体" w:hAnsi="宋体"/>
                <w:szCs w:val="21"/>
              </w:rPr>
              <w:t>）随投标文件一起密封或单独密封。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07"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1984" w:type="dxa"/>
            <w:vAlign w:val="center"/>
          </w:tcPr>
          <w:p>
            <w:pPr>
              <w:jc w:val="center"/>
              <w:rPr>
                <w:rFonts w:ascii="宋体" w:hAnsi="宋体" w:cs="新宋体"/>
                <w:szCs w:val="21"/>
              </w:rPr>
            </w:pPr>
            <w:r>
              <w:rPr>
                <w:rFonts w:hint="eastAsia" w:ascii="宋体" w:hAnsi="宋体" w:cs="新宋体"/>
                <w:szCs w:val="21"/>
              </w:rPr>
              <w:t>签字、盖章的</w:t>
            </w:r>
          </w:p>
          <w:p>
            <w:pPr>
              <w:jc w:val="center"/>
              <w:rPr>
                <w:rFonts w:asciiTheme="minorEastAsia" w:hAnsiTheme="minorEastAsia" w:eastAsiaTheme="minorEastAsia"/>
                <w:szCs w:val="21"/>
              </w:rPr>
            </w:pPr>
            <w:r>
              <w:rPr>
                <w:rFonts w:hint="eastAsia" w:ascii="宋体" w:hAnsi="宋体" w:cs="新宋体"/>
                <w:szCs w:val="21"/>
              </w:rPr>
              <w:t>具体要求</w:t>
            </w:r>
          </w:p>
        </w:tc>
        <w:tc>
          <w:tcPr>
            <w:tcW w:w="7273" w:type="dxa"/>
            <w:vAlign w:val="center"/>
          </w:tcPr>
          <w:p>
            <w:pPr>
              <w:spacing w:line="276" w:lineRule="auto"/>
              <w:rPr>
                <w:rFonts w:ascii="宋体" w:hAnsi="宋体" w:cs="新宋体"/>
                <w:szCs w:val="21"/>
              </w:rPr>
            </w:pPr>
            <w:r>
              <w:rPr>
                <w:rFonts w:hint="eastAsia" w:ascii="宋体" w:hAnsi="宋体" w:cs="新宋体"/>
                <w:szCs w:val="21"/>
              </w:rPr>
              <w:t>1.投标供应商按招标文件格式要求在封面、文本中和封袋上签字和加盖公章。</w:t>
            </w:r>
          </w:p>
          <w:p>
            <w:pPr>
              <w:spacing w:line="276" w:lineRule="auto"/>
              <w:jc w:val="left"/>
              <w:rPr>
                <w:rFonts w:asciiTheme="minorEastAsia" w:hAnsiTheme="minorEastAsia" w:eastAsiaTheme="minorEastAsia"/>
                <w:szCs w:val="21"/>
              </w:rPr>
            </w:pPr>
            <w:r>
              <w:rPr>
                <w:rFonts w:hint="eastAsia" w:ascii="宋体" w:hAnsi="宋体"/>
                <w:szCs w:val="21"/>
              </w:rPr>
              <w:t>2.</w:t>
            </w:r>
            <w:r>
              <w:rPr>
                <w:rFonts w:hint="eastAsia" w:ascii="宋体" w:hAnsi="宋体" w:cs="仿宋_GB2312"/>
                <w:kern w:val="0"/>
                <w:szCs w:val="21"/>
              </w:rPr>
              <w:t>如未按照</w:t>
            </w:r>
            <w:r>
              <w:rPr>
                <w:rFonts w:hint="eastAsia" w:ascii="宋体" w:hAnsi="宋体" w:cs="新宋体"/>
                <w:szCs w:val="21"/>
              </w:rPr>
              <w:t>招标文件</w:t>
            </w:r>
            <w:r>
              <w:rPr>
                <w:rFonts w:hint="eastAsia" w:ascii="宋体" w:hAnsi="宋体" w:cs="仿宋_GB2312"/>
                <w:kern w:val="0"/>
                <w:szCs w:val="21"/>
              </w:rPr>
              <w:t>要求编制、盖章的投标文件，将可能导致其投标被否决，其后果由投标供应商自负。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78"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19</w:t>
            </w:r>
          </w:p>
        </w:tc>
        <w:tc>
          <w:tcPr>
            <w:tcW w:w="1984" w:type="dxa"/>
            <w:vAlign w:val="center"/>
          </w:tcPr>
          <w:p>
            <w:pPr>
              <w:jc w:val="center"/>
              <w:rPr>
                <w:rFonts w:ascii="宋体" w:hAnsi="宋体"/>
                <w:szCs w:val="21"/>
              </w:rPr>
            </w:pPr>
            <w:r>
              <w:rPr>
                <w:rFonts w:hint="eastAsia" w:ascii="宋体" w:hAnsi="宋体"/>
                <w:szCs w:val="21"/>
              </w:rPr>
              <w:t>是否退还投标文件</w:t>
            </w:r>
          </w:p>
        </w:tc>
        <w:tc>
          <w:tcPr>
            <w:tcW w:w="7273" w:type="dxa"/>
            <w:vAlign w:val="center"/>
          </w:tcPr>
          <w:p>
            <w:pPr>
              <w:rPr>
                <w:rFonts w:ascii="宋体" w:hAnsi="宋体"/>
                <w:szCs w:val="21"/>
              </w:rPr>
            </w:pPr>
            <w:r>
              <w:rPr>
                <w:rFonts w:hint="eastAsia" w:ascii="宋体" w:hAnsi="宋体"/>
                <w:szCs w:val="21"/>
              </w:rPr>
              <w:t>不退还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78"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1984" w:type="dxa"/>
            <w:vAlign w:val="center"/>
          </w:tcPr>
          <w:p>
            <w:pPr>
              <w:jc w:val="center"/>
              <w:rPr>
                <w:rFonts w:asciiTheme="minorEastAsia" w:hAnsiTheme="minorEastAsia" w:eastAsiaTheme="minorEastAsia"/>
                <w:szCs w:val="21"/>
              </w:rPr>
            </w:pPr>
            <w:r>
              <w:rPr>
                <w:rFonts w:hint="eastAsia" w:ascii="宋体" w:hAnsi="宋体"/>
                <w:szCs w:val="21"/>
              </w:rPr>
              <w:t>提交投标文件截止时间和地点</w:t>
            </w:r>
          </w:p>
        </w:tc>
        <w:tc>
          <w:tcPr>
            <w:tcW w:w="7273" w:type="dxa"/>
            <w:vAlign w:val="center"/>
          </w:tcPr>
          <w:p>
            <w:pPr>
              <w:spacing w:line="276" w:lineRule="auto"/>
              <w:rPr>
                <w:rFonts w:ascii="宋体" w:hAnsi="宋体"/>
                <w:szCs w:val="21"/>
              </w:rPr>
            </w:pPr>
            <w:r>
              <w:rPr>
                <w:rFonts w:hint="eastAsia" w:ascii="宋体" w:hAnsi="宋体"/>
                <w:szCs w:val="21"/>
              </w:rPr>
              <w:t>时间：2022年12月01日 14时30分00秒（北京时间）</w:t>
            </w:r>
          </w:p>
          <w:p>
            <w:pPr>
              <w:spacing w:line="276" w:lineRule="auto"/>
              <w:rPr>
                <w:rFonts w:asciiTheme="minorEastAsia" w:hAnsiTheme="minorEastAsia" w:eastAsiaTheme="minorEastAsia"/>
                <w:szCs w:val="21"/>
              </w:rPr>
            </w:pPr>
            <w:r>
              <w:rPr>
                <w:rFonts w:hint="eastAsia" w:ascii="宋体" w:hAnsi="宋体"/>
                <w:szCs w:val="21"/>
              </w:rPr>
              <w:t>地点：陕西省西安市高新区锦业路32号锦业时代B3座1701会议室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2" w:hRule="atLeast"/>
          <w:jc w:val="center"/>
        </w:trPr>
        <w:tc>
          <w:tcPr>
            <w:tcW w:w="641" w:type="dxa"/>
            <w:vAlign w:val="center"/>
          </w:tcPr>
          <w:p>
            <w:pPr>
              <w:jc w:val="center"/>
              <w:rPr>
                <w:rFonts w:ascii="宋体" w:hAnsi="宋体"/>
                <w:szCs w:val="21"/>
              </w:rPr>
            </w:pPr>
            <w:r>
              <w:rPr>
                <w:rFonts w:hint="eastAsia" w:ascii="宋体" w:hAnsi="宋体"/>
                <w:szCs w:val="21"/>
              </w:rPr>
              <w:t>21</w:t>
            </w:r>
          </w:p>
        </w:tc>
        <w:tc>
          <w:tcPr>
            <w:tcW w:w="1984" w:type="dxa"/>
            <w:vAlign w:val="center"/>
          </w:tcPr>
          <w:p>
            <w:pPr>
              <w:spacing w:line="276" w:lineRule="auto"/>
              <w:jc w:val="center"/>
              <w:rPr>
                <w:rFonts w:ascii="宋体" w:hAnsi="宋体"/>
                <w:szCs w:val="21"/>
              </w:rPr>
            </w:pPr>
            <w:r>
              <w:rPr>
                <w:rFonts w:hint="eastAsia" w:ascii="宋体" w:hAnsi="宋体"/>
                <w:szCs w:val="21"/>
              </w:rPr>
              <w:t>开标时间和地点</w:t>
            </w:r>
          </w:p>
        </w:tc>
        <w:tc>
          <w:tcPr>
            <w:tcW w:w="7273"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时间：</w:t>
            </w:r>
            <w:r>
              <w:rPr>
                <w:rFonts w:hint="eastAsia" w:ascii="宋体" w:hAnsi="宋体"/>
              </w:rPr>
              <w:t>同投标文件递交截止时间</w:t>
            </w:r>
          </w:p>
          <w:p>
            <w:pPr>
              <w:spacing w:line="276" w:lineRule="auto"/>
              <w:rPr>
                <w:rFonts w:ascii="宋体" w:hAnsi="宋体"/>
                <w:szCs w:val="21"/>
              </w:rPr>
            </w:pPr>
            <w:r>
              <w:rPr>
                <w:rFonts w:hint="eastAsia" w:asciiTheme="minorEastAsia" w:hAnsiTheme="minorEastAsia" w:eastAsiaTheme="minorEastAsia"/>
                <w:szCs w:val="21"/>
              </w:rPr>
              <w:t>地点：陕西省西安市高新区锦业路32号锦业时代B3座1701会议室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9" w:hRule="atLeast"/>
          <w:jc w:val="center"/>
        </w:trPr>
        <w:tc>
          <w:tcPr>
            <w:tcW w:w="64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22</w:t>
            </w:r>
          </w:p>
        </w:tc>
        <w:tc>
          <w:tcPr>
            <w:tcW w:w="1984" w:type="dxa"/>
            <w:vAlign w:val="center"/>
          </w:tcPr>
          <w:p>
            <w:pPr>
              <w:jc w:val="center"/>
              <w:rPr>
                <w:rFonts w:ascii="宋体" w:hAnsi="宋体"/>
                <w:szCs w:val="21"/>
              </w:rPr>
            </w:pPr>
            <w:r>
              <w:rPr>
                <w:rFonts w:hint="eastAsia" w:asciiTheme="minorEastAsia" w:hAnsiTheme="minorEastAsia" w:eastAsiaTheme="minorEastAsia" w:cstheme="minorHAnsi"/>
              </w:rPr>
              <w:t>开标形式</w:t>
            </w:r>
          </w:p>
        </w:tc>
        <w:tc>
          <w:tcPr>
            <w:tcW w:w="7273" w:type="dxa"/>
            <w:vAlign w:val="center"/>
          </w:tcPr>
          <w:p>
            <w:pPr>
              <w:spacing w:line="276" w:lineRule="auto"/>
              <w:rPr>
                <w:rFonts w:asciiTheme="minorEastAsia" w:hAnsiTheme="minorEastAsia" w:eastAsiaTheme="minorEastAsia" w:cstheme="minorHAnsi"/>
              </w:rPr>
            </w:pPr>
            <w:r>
              <w:rPr>
                <w:rFonts w:hint="eastAsia" w:ascii="MS Gothic" w:hAnsi="MS Gothic" w:eastAsia="MS Gothic" w:cs="MS Gothic"/>
              </w:rPr>
              <w:t>☐</w:t>
            </w:r>
            <w:r>
              <w:rPr>
                <w:rFonts w:hint="eastAsia" w:asciiTheme="minorEastAsia" w:hAnsiTheme="minorEastAsia" w:eastAsiaTheme="minorEastAsia" w:cstheme="minorHAnsi"/>
              </w:rPr>
              <w:t xml:space="preserve">不见面开标  </w:t>
            </w:r>
            <w:r>
              <w:rPr>
                <w:rFonts w:hint="eastAsia" w:ascii="MS Gothic" w:hAnsi="MS Gothic" w:eastAsia="MS Gothic" w:cs="MS Gothic"/>
              </w:rPr>
              <w:t>☑</w:t>
            </w:r>
            <w:r>
              <w:rPr>
                <w:rFonts w:hint="eastAsia" w:asciiTheme="minorEastAsia" w:hAnsiTheme="minorEastAsia" w:eastAsiaTheme="minorEastAsia" w:cstheme="minorHAnsi"/>
              </w:rPr>
              <w:t>见面开标</w:t>
            </w:r>
          </w:p>
          <w:p>
            <w:pPr>
              <w:rPr>
                <w:rFonts w:ascii="宋体" w:hAnsi="宋体"/>
                <w:szCs w:val="21"/>
              </w:rPr>
            </w:pPr>
            <w:r>
              <w:rPr>
                <w:rFonts w:asciiTheme="minorEastAsia" w:hAnsiTheme="minorEastAsia" w:eastAsiaTheme="minorEastAsia" w:cstheme="minorHAnsi"/>
              </w:rPr>
              <w:t>详见本章“开标程序”有关内容。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9" w:hRule="atLeast"/>
          <w:jc w:val="center"/>
        </w:trPr>
        <w:tc>
          <w:tcPr>
            <w:tcW w:w="641" w:type="dxa"/>
            <w:vAlign w:val="center"/>
          </w:tcPr>
          <w:p>
            <w:pPr>
              <w:jc w:val="center"/>
              <w:rPr>
                <w:rFonts w:ascii="宋体" w:hAnsi="宋体"/>
                <w:szCs w:val="21"/>
              </w:rPr>
            </w:pPr>
            <w:r>
              <w:rPr>
                <w:rFonts w:hint="eastAsia" w:asciiTheme="minorEastAsia" w:hAnsiTheme="minorEastAsia" w:eastAsiaTheme="minorEastAsia"/>
                <w:szCs w:val="21"/>
              </w:rPr>
              <w:t>23</w:t>
            </w:r>
          </w:p>
        </w:tc>
        <w:tc>
          <w:tcPr>
            <w:tcW w:w="1984" w:type="dxa"/>
            <w:vAlign w:val="center"/>
          </w:tcPr>
          <w:p>
            <w:pPr>
              <w:spacing w:line="276" w:lineRule="auto"/>
              <w:jc w:val="center"/>
              <w:rPr>
                <w:rFonts w:ascii="宋体" w:hAnsi="宋体"/>
                <w:szCs w:val="21"/>
              </w:rPr>
            </w:pPr>
            <w:r>
              <w:rPr>
                <w:rFonts w:hint="eastAsia" w:ascii="宋体" w:hAnsi="宋体"/>
                <w:szCs w:val="21"/>
              </w:rPr>
              <w:t>评标委员会</w:t>
            </w:r>
            <w:r>
              <w:rPr>
                <w:rFonts w:ascii="宋体" w:hAnsi="宋体"/>
                <w:szCs w:val="21"/>
              </w:rPr>
              <w:t>的组建</w:t>
            </w:r>
          </w:p>
        </w:tc>
        <w:tc>
          <w:tcPr>
            <w:tcW w:w="7273" w:type="dxa"/>
            <w:vAlign w:val="center"/>
          </w:tcPr>
          <w:p>
            <w:pPr>
              <w:spacing w:line="276" w:lineRule="auto"/>
              <w:rPr>
                <w:rFonts w:ascii="宋体" w:hAnsi="宋体"/>
                <w:szCs w:val="21"/>
              </w:rPr>
            </w:pPr>
            <w:r>
              <w:rPr>
                <w:rFonts w:ascii="宋体" w:hAnsi="宋体"/>
                <w:szCs w:val="21"/>
              </w:rPr>
              <w:t>本项目按</w:t>
            </w:r>
            <w:r>
              <w:rPr>
                <w:rFonts w:hint="eastAsia" w:ascii="宋体" w:hAnsi="宋体"/>
                <w:szCs w:val="21"/>
              </w:rPr>
              <w:t>《中华人民共和国政府采购法》规定由采购人代表和</w:t>
            </w:r>
            <w:r>
              <w:rPr>
                <w:rFonts w:ascii="宋体" w:hAnsi="宋体"/>
                <w:szCs w:val="21"/>
              </w:rPr>
              <w:t>技术、经济方面的专家组成。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641" w:type="dxa"/>
            <w:vAlign w:val="center"/>
          </w:tcPr>
          <w:p>
            <w:pPr>
              <w:jc w:val="center"/>
              <w:rPr>
                <w:rFonts w:ascii="宋体" w:hAnsi="宋体"/>
                <w:szCs w:val="21"/>
              </w:rPr>
            </w:pPr>
            <w:r>
              <w:rPr>
                <w:rFonts w:hint="eastAsia" w:ascii="宋体" w:hAnsi="宋体"/>
                <w:szCs w:val="21"/>
              </w:rPr>
              <w:t>24</w:t>
            </w:r>
          </w:p>
        </w:tc>
        <w:tc>
          <w:tcPr>
            <w:tcW w:w="1984" w:type="dxa"/>
            <w:vAlign w:val="center"/>
          </w:tcPr>
          <w:p>
            <w:pPr>
              <w:jc w:val="center"/>
              <w:rPr>
                <w:rFonts w:ascii="宋体" w:hAnsi="宋体"/>
                <w:szCs w:val="21"/>
              </w:rPr>
            </w:pPr>
            <w:r>
              <w:rPr>
                <w:rFonts w:hint="eastAsia" w:ascii="Calibri" w:hAnsi="宋体" w:cstheme="minorHAnsi"/>
              </w:rPr>
              <w:t>信用信息查询截至时点</w:t>
            </w:r>
          </w:p>
        </w:tc>
        <w:tc>
          <w:tcPr>
            <w:tcW w:w="7273" w:type="dxa"/>
            <w:vAlign w:val="center"/>
          </w:tcPr>
          <w:p>
            <w:pPr>
              <w:rPr>
                <w:rFonts w:ascii="宋体" w:hAnsi="宋体"/>
                <w:szCs w:val="21"/>
              </w:rPr>
            </w:pPr>
            <w:r>
              <w:rPr>
                <w:rFonts w:ascii="Calibri" w:hAnsi="宋体" w:cstheme="minorHAnsi"/>
              </w:rPr>
              <w:t>同提交投标文件截止时间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641" w:type="dxa"/>
            <w:vAlign w:val="center"/>
          </w:tcPr>
          <w:p>
            <w:pPr>
              <w:jc w:val="center"/>
              <w:rPr>
                <w:rFonts w:ascii="宋体" w:hAnsi="宋体"/>
                <w:szCs w:val="21"/>
              </w:rPr>
            </w:pPr>
            <w:r>
              <w:rPr>
                <w:rFonts w:hint="eastAsia" w:ascii="宋体" w:hAnsi="宋体"/>
                <w:szCs w:val="21"/>
              </w:rPr>
              <w:t>25</w:t>
            </w:r>
          </w:p>
        </w:tc>
        <w:tc>
          <w:tcPr>
            <w:tcW w:w="1984" w:type="dxa"/>
            <w:vAlign w:val="center"/>
          </w:tcPr>
          <w:p>
            <w:pPr>
              <w:jc w:val="center"/>
              <w:rPr>
                <w:rFonts w:ascii="宋体" w:hAnsi="宋体"/>
                <w:szCs w:val="21"/>
              </w:rPr>
            </w:pPr>
            <w:r>
              <w:rPr>
                <w:rFonts w:hint="eastAsia" w:ascii="Calibri" w:hAnsi="宋体" w:cstheme="minorHAnsi"/>
              </w:rPr>
              <w:t>是否允许递交多个备选投标方案</w:t>
            </w:r>
          </w:p>
        </w:tc>
        <w:tc>
          <w:tcPr>
            <w:tcW w:w="7273" w:type="dxa"/>
            <w:vAlign w:val="center"/>
          </w:tcPr>
          <w:p>
            <w:pPr>
              <w:rPr>
                <w:rFonts w:cs="仿宋" w:asciiTheme="minorEastAsia" w:hAnsiTheme="minorEastAsia" w:eastAsiaTheme="minorEastAsia"/>
                <w:szCs w:val="21"/>
              </w:rPr>
            </w:pPr>
            <w:r>
              <w:rPr>
                <w:rFonts w:hint="eastAsia" w:ascii="MS Gothic" w:hAnsi="MS Gothic" w:eastAsia="MS Gothic" w:cstheme="minorHAnsi"/>
              </w:rPr>
              <w:t>☐</w:t>
            </w:r>
            <w:r>
              <w:rPr>
                <w:rFonts w:hint="eastAsia" w:ascii="Calibri" w:hAnsi="宋体" w:cstheme="minorHAnsi"/>
              </w:rPr>
              <w:t xml:space="preserve">是  </w:t>
            </w:r>
            <w:r>
              <w:rPr>
                <w:rFonts w:hint="eastAsia" w:ascii="MS Gothic" w:hAnsi="MS Gothic" w:eastAsia="MS Gothic" w:cstheme="minorHAnsi"/>
              </w:rPr>
              <w:t>☑</w:t>
            </w:r>
            <w:r>
              <w:rPr>
                <w:rFonts w:hint="eastAsia" w:ascii="Calibri" w:hAnsi="宋体" w:cstheme="minorHAnsi"/>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641" w:type="dxa"/>
            <w:vAlign w:val="center"/>
          </w:tcPr>
          <w:p>
            <w:pPr>
              <w:jc w:val="center"/>
              <w:rPr>
                <w:rFonts w:ascii="宋体" w:hAnsi="宋体"/>
                <w:szCs w:val="21"/>
              </w:rPr>
            </w:pPr>
            <w:r>
              <w:rPr>
                <w:rFonts w:hint="eastAsia" w:ascii="宋体" w:hAnsi="宋体"/>
                <w:szCs w:val="21"/>
              </w:rPr>
              <w:t>26</w:t>
            </w:r>
          </w:p>
        </w:tc>
        <w:tc>
          <w:tcPr>
            <w:tcW w:w="1984" w:type="dxa"/>
            <w:vAlign w:val="center"/>
          </w:tcPr>
          <w:p>
            <w:pPr>
              <w:spacing w:line="276" w:lineRule="auto"/>
              <w:jc w:val="center"/>
              <w:rPr>
                <w:rFonts w:ascii="宋体" w:hAnsi="宋体"/>
                <w:szCs w:val="21"/>
              </w:rPr>
            </w:pPr>
            <w:r>
              <w:rPr>
                <w:rFonts w:hint="eastAsia" w:ascii="宋体" w:hAnsi="宋体"/>
                <w:szCs w:val="21"/>
              </w:rPr>
              <w:t>是否授权评标委员会确定中标供应商</w:t>
            </w:r>
          </w:p>
        </w:tc>
        <w:tc>
          <w:tcPr>
            <w:tcW w:w="7273" w:type="dxa"/>
            <w:vAlign w:val="center"/>
          </w:tcPr>
          <w:p>
            <w:pPr>
              <w:spacing w:line="276" w:lineRule="auto"/>
              <w:rPr>
                <w:rFonts w:ascii="宋体" w:hAnsi="宋体"/>
                <w:szCs w:val="21"/>
              </w:rPr>
            </w:pPr>
            <w:r>
              <w:rPr>
                <w:rFonts w:hint="eastAsia" w:ascii="宋体" w:hAnsi="宋体"/>
                <w:szCs w:val="21"/>
              </w:rPr>
              <w:t>否，评标委员会推荐1～3中标候选人。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1" w:hRule="atLeast"/>
          <w:jc w:val="center"/>
        </w:trPr>
        <w:tc>
          <w:tcPr>
            <w:tcW w:w="641" w:type="dxa"/>
            <w:vAlign w:val="center"/>
          </w:tcPr>
          <w:p>
            <w:pPr>
              <w:jc w:val="center"/>
              <w:rPr>
                <w:rFonts w:ascii="宋体" w:hAnsi="宋体"/>
                <w:szCs w:val="21"/>
              </w:rPr>
            </w:pPr>
            <w:r>
              <w:rPr>
                <w:rFonts w:hint="eastAsia" w:ascii="宋体" w:hAnsi="宋体"/>
                <w:szCs w:val="21"/>
              </w:rPr>
              <w:t>27</w:t>
            </w:r>
          </w:p>
        </w:tc>
        <w:tc>
          <w:tcPr>
            <w:tcW w:w="1984" w:type="dxa"/>
            <w:vAlign w:val="center"/>
          </w:tcPr>
          <w:p>
            <w:pPr>
              <w:jc w:val="center"/>
              <w:rPr>
                <w:rFonts w:ascii="宋体" w:hAnsi="宋体"/>
                <w:szCs w:val="21"/>
              </w:rPr>
            </w:pPr>
            <w:r>
              <w:rPr>
                <w:rFonts w:hint="eastAsia" w:asciiTheme="minorEastAsia" w:hAnsiTheme="minorEastAsia" w:eastAsiaTheme="minorEastAsia"/>
                <w:szCs w:val="21"/>
              </w:rPr>
              <w:t>采购结果公告</w:t>
            </w:r>
          </w:p>
        </w:tc>
        <w:tc>
          <w:tcPr>
            <w:tcW w:w="7273"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公示媒介：陕西省政府采购网</w:t>
            </w:r>
          </w:p>
          <w:p>
            <w:pPr>
              <w:spacing w:line="276" w:lineRule="auto"/>
              <w:rPr>
                <w:rFonts w:ascii="宋体" w:hAnsi="宋体"/>
                <w:szCs w:val="21"/>
              </w:rPr>
            </w:pPr>
            <w:r>
              <w:rPr>
                <w:rFonts w:hint="eastAsia" w:asciiTheme="minorEastAsia" w:hAnsiTheme="minorEastAsia" w:eastAsiaTheme="minorEastAsia"/>
                <w:szCs w:val="21"/>
              </w:rPr>
              <w:t>公示期限：</w:t>
            </w:r>
            <w:r>
              <w:rPr>
                <w:rFonts w:asciiTheme="minorEastAsia" w:hAnsiTheme="minorEastAsia" w:eastAsiaTheme="minorEastAsia"/>
                <w:szCs w:val="21"/>
              </w:rPr>
              <w:t>1</w:t>
            </w:r>
            <w:r>
              <w:rPr>
                <w:rFonts w:hint="eastAsia" w:asciiTheme="minorEastAsia" w:hAnsiTheme="minorEastAsia" w:eastAsiaTheme="minorEastAsia"/>
                <w:szCs w:val="21"/>
              </w:rPr>
              <w:t>个工作日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5" w:hRule="atLeast"/>
          <w:jc w:val="center"/>
        </w:trPr>
        <w:tc>
          <w:tcPr>
            <w:tcW w:w="641" w:type="dxa"/>
            <w:vAlign w:val="center"/>
          </w:tcPr>
          <w:p>
            <w:pPr>
              <w:jc w:val="center"/>
              <w:rPr>
                <w:rFonts w:ascii="宋体" w:hAnsi="宋体"/>
                <w:szCs w:val="21"/>
              </w:rPr>
            </w:pPr>
            <w:r>
              <w:rPr>
                <w:rFonts w:hint="eastAsia" w:ascii="宋体" w:hAnsi="宋体"/>
                <w:szCs w:val="21"/>
              </w:rPr>
              <w:t>28</w:t>
            </w:r>
          </w:p>
        </w:tc>
        <w:tc>
          <w:tcPr>
            <w:tcW w:w="1984" w:type="dxa"/>
            <w:vAlign w:val="center"/>
          </w:tcPr>
          <w:p>
            <w:pPr>
              <w:jc w:val="center"/>
              <w:rPr>
                <w:rFonts w:asciiTheme="minorEastAsia" w:hAnsiTheme="minorEastAsia" w:eastAsiaTheme="minorEastAsia" w:cstheme="minorHAnsi"/>
              </w:rPr>
            </w:pPr>
            <w:r>
              <w:rPr>
                <w:rFonts w:asciiTheme="minorEastAsia" w:hAnsiTheme="minorEastAsia" w:eastAsiaTheme="minorEastAsia" w:cstheme="minorHAnsi"/>
              </w:rPr>
              <w:t>中标通知书办理</w:t>
            </w:r>
          </w:p>
        </w:tc>
        <w:tc>
          <w:tcPr>
            <w:tcW w:w="7273"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中标供应商携带介绍信、转账凭证，至</w:t>
            </w:r>
            <w:r>
              <w:rPr>
                <w:rFonts w:hint="eastAsia" w:asciiTheme="minorEastAsia" w:hAnsiTheme="minorEastAsia" w:eastAsiaTheme="minorEastAsia"/>
                <w:szCs w:val="21"/>
                <w:lang w:eastAsia="zh-CN"/>
              </w:rPr>
              <w:t>陕西中正天投项目管理有限公司</w:t>
            </w:r>
            <w:r>
              <w:rPr>
                <w:rFonts w:hint="eastAsia" w:asciiTheme="minorEastAsia" w:hAnsiTheme="minorEastAsia" w:eastAsiaTheme="minorEastAsia"/>
                <w:szCs w:val="21"/>
                <w:lang w:val="en-US" w:eastAsia="zh-CN"/>
              </w:rPr>
              <w:t>招标部</w:t>
            </w:r>
            <w:r>
              <w:rPr>
                <w:rFonts w:hint="eastAsia" w:asciiTheme="minorEastAsia" w:hAnsiTheme="minorEastAsia" w:eastAsiaTheme="minorEastAsia"/>
                <w:szCs w:val="21"/>
              </w:rPr>
              <w:t>办理中标通知书相关事宜。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60" w:hRule="atLeast"/>
          <w:jc w:val="center"/>
        </w:trPr>
        <w:tc>
          <w:tcPr>
            <w:tcW w:w="641" w:type="dxa"/>
            <w:vAlign w:val="center"/>
          </w:tcPr>
          <w:p>
            <w:pPr>
              <w:jc w:val="center"/>
              <w:rPr>
                <w:rFonts w:ascii="宋体" w:hAnsi="宋体"/>
                <w:szCs w:val="21"/>
              </w:rPr>
            </w:pPr>
            <w:r>
              <w:rPr>
                <w:rFonts w:hint="eastAsia" w:ascii="宋体" w:hAnsi="宋体"/>
                <w:szCs w:val="21"/>
              </w:rPr>
              <w:t>29</w:t>
            </w:r>
          </w:p>
        </w:tc>
        <w:tc>
          <w:tcPr>
            <w:tcW w:w="1984" w:type="dxa"/>
            <w:vAlign w:val="center"/>
          </w:tcPr>
          <w:p>
            <w:pPr>
              <w:jc w:val="center"/>
              <w:rPr>
                <w:rFonts w:asciiTheme="minorEastAsia" w:hAnsiTheme="minorEastAsia" w:eastAsiaTheme="minorEastAsia"/>
              </w:rPr>
            </w:pPr>
            <w:r>
              <w:rPr>
                <w:rFonts w:hint="eastAsia" w:ascii="宋体" w:hAnsi="宋体"/>
                <w:szCs w:val="21"/>
                <w:shd w:val="clear" w:color="auto" w:fill="FFFFFF"/>
              </w:rPr>
              <w:t>提供演示</w:t>
            </w:r>
          </w:p>
        </w:tc>
        <w:tc>
          <w:tcPr>
            <w:tcW w:w="7273" w:type="dxa"/>
            <w:vAlign w:val="center"/>
          </w:tcPr>
          <w:p>
            <w:pPr>
              <w:spacing w:line="276" w:lineRule="auto"/>
              <w:rPr>
                <w:rFonts w:asciiTheme="minorEastAsia" w:hAnsiTheme="minorEastAsia" w:eastAsiaTheme="minorEastAsia" w:cstheme="minorHAnsi"/>
              </w:rPr>
            </w:pPr>
            <w:r>
              <w:rPr>
                <w:rFonts w:hint="eastAsia" w:ascii="MS Gothic" w:hAnsi="MS Gothic" w:eastAsia="MS Gothic" w:cstheme="minorHAnsi"/>
              </w:rPr>
              <w:t>☐</w:t>
            </w:r>
            <w:r>
              <w:rPr>
                <w:rFonts w:hint="eastAsia" w:ascii="Calibri" w:hAnsi="宋体" w:cstheme="minorHAnsi"/>
              </w:rPr>
              <w:t xml:space="preserve">是  </w:t>
            </w:r>
            <w:r>
              <w:rPr>
                <w:rFonts w:hint="eastAsia" w:ascii="MS Gothic" w:hAnsi="MS Gothic" w:eastAsia="MS Gothic" w:cs="MS Gothic"/>
              </w:rPr>
              <w:t>☑</w:t>
            </w:r>
            <w:r>
              <w:rPr>
                <w:rFonts w:hint="eastAsia" w:ascii="Calibri" w:hAnsi="宋体" w:cstheme="minorHAnsi"/>
              </w:rPr>
              <w:t>否</w:t>
            </w:r>
          </w:p>
          <w:p>
            <w:pPr>
              <w:spacing w:line="276" w:lineRule="auto"/>
              <w:rPr>
                <w:rFonts w:asciiTheme="minorEastAsia" w:hAnsiTheme="minorEastAsia" w:eastAsiaTheme="minorEastAsia" w:cstheme="minorHAnsi"/>
              </w:rPr>
            </w:pPr>
            <w:r>
              <w:rPr>
                <w:rFonts w:hint="eastAsia" w:asciiTheme="minorEastAsia" w:hAnsiTheme="minorEastAsia" w:eastAsiaTheme="minorEastAsia" w:cstheme="minorHAnsi"/>
              </w:rPr>
              <w:t>1.演示内容：/</w:t>
            </w:r>
          </w:p>
          <w:p>
            <w:pPr>
              <w:spacing w:line="276" w:lineRule="auto"/>
              <w:rPr>
                <w:rFonts w:asciiTheme="minorEastAsia" w:hAnsiTheme="minorEastAsia" w:eastAsiaTheme="minorEastAsia" w:cstheme="minorHAnsi"/>
                <w:highlight w:val="yellow"/>
              </w:rPr>
            </w:pPr>
            <w:r>
              <w:rPr>
                <w:rFonts w:hint="eastAsia" w:asciiTheme="minorEastAsia" w:hAnsiTheme="minorEastAsia" w:eastAsiaTheme="minorEastAsia" w:cstheme="minorHAnsi"/>
              </w:rPr>
              <w:t>2.</w:t>
            </w:r>
            <w:r>
              <w:rPr>
                <w:rFonts w:hint="eastAsia" w:cs="新宋体" w:asciiTheme="minorEastAsia" w:hAnsiTheme="minorEastAsia" w:eastAsiaTheme="minorEastAsia"/>
                <w:szCs w:val="21"/>
              </w:rPr>
              <w:t>演示所需软件：/</w:t>
            </w:r>
          </w:p>
          <w:p>
            <w:pPr>
              <w:pStyle w:val="17"/>
              <w:spacing w:line="276" w:lineRule="auto"/>
              <w:jc w:val="both"/>
              <w:rPr>
                <w:rFonts w:asciiTheme="minorEastAsia" w:hAnsiTheme="minorEastAsia" w:eastAsiaTheme="minorEastAsia"/>
                <w:szCs w:val="21"/>
              </w:rPr>
            </w:pPr>
            <w:r>
              <w:rPr>
                <w:rFonts w:hint="eastAsia" w:asciiTheme="minorEastAsia" w:hAnsiTheme="minorEastAsia" w:eastAsiaTheme="minorEastAsia" w:cstheme="minorHAnsi"/>
              </w:rPr>
              <w:t>3.其它：/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69" w:hRule="atLeast"/>
          <w:jc w:val="center"/>
        </w:trPr>
        <w:tc>
          <w:tcPr>
            <w:tcW w:w="641" w:type="dxa"/>
            <w:vAlign w:val="center"/>
          </w:tcPr>
          <w:p>
            <w:pPr>
              <w:jc w:val="center"/>
              <w:rPr>
                <w:rFonts w:ascii="宋体" w:hAnsi="宋体"/>
                <w:szCs w:val="21"/>
              </w:rPr>
            </w:pPr>
            <w:r>
              <w:rPr>
                <w:rFonts w:hint="eastAsia" w:ascii="宋体" w:hAnsi="宋体"/>
                <w:szCs w:val="21"/>
              </w:rPr>
              <w:t>30</w:t>
            </w:r>
          </w:p>
        </w:tc>
        <w:tc>
          <w:tcPr>
            <w:tcW w:w="1984" w:type="dxa"/>
            <w:vAlign w:val="center"/>
          </w:tcPr>
          <w:p>
            <w:pPr>
              <w:spacing w:line="276" w:lineRule="auto"/>
              <w:jc w:val="center"/>
              <w:rPr>
                <w:rFonts w:ascii="宋体" w:hAnsi="宋体"/>
              </w:rPr>
            </w:pPr>
            <w:r>
              <w:rPr>
                <w:rFonts w:hint="eastAsia" w:ascii="宋体" w:hAnsi="宋体"/>
              </w:rPr>
              <w:t>合同履行过程中</w:t>
            </w:r>
          </w:p>
          <w:p>
            <w:pPr>
              <w:jc w:val="center"/>
              <w:rPr>
                <w:rFonts w:ascii="宋体" w:hAnsi="宋体"/>
                <w:szCs w:val="21"/>
                <w:shd w:val="clear" w:color="auto" w:fill="FFFFFF"/>
              </w:rPr>
            </w:pPr>
            <w:r>
              <w:rPr>
                <w:rFonts w:hint="eastAsia" w:ascii="宋体" w:hAnsi="宋体"/>
              </w:rPr>
              <w:t>的价格调整</w:t>
            </w:r>
          </w:p>
        </w:tc>
        <w:tc>
          <w:tcPr>
            <w:tcW w:w="7273" w:type="dxa"/>
            <w:vAlign w:val="center"/>
          </w:tcPr>
          <w:p>
            <w:pPr>
              <w:pStyle w:val="17"/>
              <w:spacing w:line="276" w:lineRule="auto"/>
              <w:jc w:val="both"/>
              <w:rPr>
                <w:rFonts w:ascii="宋体" w:hAnsi="宋体"/>
                <w:szCs w:val="21"/>
              </w:rPr>
            </w:pPr>
            <w:r>
              <w:rPr>
                <w:rFonts w:hint="eastAsia" w:ascii="宋体" w:hAnsi="宋体"/>
                <w:szCs w:val="21"/>
              </w:rPr>
              <w:t>不可以调整。在履行合同时，应按照合同约定的单价和价格进行支付，即投标报价标明的单价和价格在合同执行过程中是固定不变的，不因物价波动而调整，风险和收益由中标供应商自行承担。但因法律变化引起的价格调整除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977" w:hRule="atLeast"/>
          <w:jc w:val="center"/>
        </w:trPr>
        <w:tc>
          <w:tcPr>
            <w:tcW w:w="641" w:type="dxa"/>
            <w:vAlign w:val="center"/>
          </w:tcPr>
          <w:p>
            <w:pPr>
              <w:jc w:val="center"/>
              <w:rPr>
                <w:rFonts w:ascii="宋体" w:hAnsi="宋体"/>
                <w:szCs w:val="21"/>
              </w:rPr>
            </w:pPr>
            <w:r>
              <w:rPr>
                <w:rFonts w:hint="eastAsia" w:ascii="宋体" w:hAnsi="宋体"/>
                <w:szCs w:val="21"/>
              </w:rPr>
              <w:t>31</w:t>
            </w:r>
          </w:p>
        </w:tc>
        <w:tc>
          <w:tcPr>
            <w:tcW w:w="1984" w:type="dxa"/>
            <w:vAlign w:val="center"/>
          </w:tcPr>
          <w:p>
            <w:pPr>
              <w:jc w:val="center"/>
              <w:rPr>
                <w:rFonts w:ascii="宋体" w:hAnsi="宋体"/>
                <w:szCs w:val="21"/>
              </w:rPr>
            </w:pPr>
            <w:r>
              <w:rPr>
                <w:rFonts w:hint="eastAsia" w:ascii="Calibri" w:hAnsi="宋体" w:cstheme="minorHAnsi"/>
              </w:rPr>
              <w:t>履约保证金</w:t>
            </w:r>
          </w:p>
        </w:tc>
        <w:tc>
          <w:tcPr>
            <w:tcW w:w="7273" w:type="dxa"/>
            <w:vAlign w:val="center"/>
          </w:tcPr>
          <w:p>
            <w:pPr>
              <w:spacing w:line="320" w:lineRule="exact"/>
              <w:rPr>
                <w:rFonts w:ascii="宋体" w:hAnsi="宋体" w:cstheme="minorHAnsi"/>
              </w:rPr>
            </w:pPr>
            <w:r>
              <w:rPr>
                <w:rFonts w:hint="eastAsia" w:ascii="宋体" w:hAnsi="宋体" w:cstheme="minorHAnsi"/>
              </w:rPr>
              <w:t>中标供应商应在领取中标通知书后5个工作日内将履约保证金足额交纳至以下账户，其数额（或担保金额）为合同金额的</w:t>
            </w:r>
            <w:r>
              <w:rPr>
                <w:rFonts w:hint="eastAsia" w:ascii="宋体" w:hAnsi="宋体" w:cstheme="minorHAnsi"/>
                <w:u w:val="single"/>
              </w:rPr>
              <w:t xml:space="preserve"> \  </w:t>
            </w:r>
            <w:r>
              <w:rPr>
                <w:rFonts w:hint="eastAsia" w:ascii="宋体" w:hAnsi="宋体" w:cstheme="minorHAnsi"/>
              </w:rPr>
              <w:t xml:space="preserve"> %（舍入到百元），履约保证金由采购人自行收取和退还。</w:t>
            </w:r>
          </w:p>
          <w:p>
            <w:pPr>
              <w:spacing w:line="320" w:lineRule="exact"/>
              <w:rPr>
                <w:rFonts w:ascii="宋体" w:hAnsi="宋体" w:cstheme="minorHAnsi"/>
              </w:rPr>
            </w:pPr>
            <w:r>
              <w:rPr>
                <w:rFonts w:hint="eastAsia" w:ascii="宋体" w:hAnsi="宋体" w:cstheme="minorHAnsi"/>
              </w:rPr>
              <w:t>户　名：_____________________________</w:t>
            </w:r>
          </w:p>
          <w:p>
            <w:pPr>
              <w:spacing w:line="320" w:lineRule="exact"/>
              <w:rPr>
                <w:rFonts w:ascii="宋体" w:hAnsi="宋体" w:cstheme="minorHAnsi"/>
              </w:rPr>
            </w:pPr>
            <w:r>
              <w:rPr>
                <w:rFonts w:hint="eastAsia" w:ascii="宋体" w:hAnsi="宋体" w:cstheme="minorHAnsi"/>
              </w:rPr>
              <w:t>账　号：_____________________________</w:t>
            </w:r>
          </w:p>
          <w:p>
            <w:pPr>
              <w:spacing w:line="320" w:lineRule="exact"/>
              <w:rPr>
                <w:rFonts w:ascii="Calibri" w:hAnsi="宋体" w:cstheme="minorHAnsi"/>
              </w:rPr>
            </w:pPr>
            <w:r>
              <w:rPr>
                <w:rFonts w:hint="eastAsia" w:ascii="宋体" w:hAnsi="宋体" w:cstheme="minorHAnsi"/>
              </w:rPr>
              <w:t>开户行：_____________________________</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4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32</w:t>
            </w:r>
          </w:p>
        </w:tc>
        <w:tc>
          <w:tcPr>
            <w:tcW w:w="9257" w:type="dxa"/>
            <w:gridSpan w:val="2"/>
            <w:vAlign w:val="center"/>
          </w:tcPr>
          <w:p>
            <w:pPr>
              <w:autoSpaceDE w:val="0"/>
              <w:autoSpaceDN w:val="0"/>
              <w:adjustRightInd w:val="0"/>
              <w:snapToGrid w:val="0"/>
              <w:spacing w:line="276" w:lineRule="auto"/>
              <w:rPr>
                <w:rFonts w:asciiTheme="minorEastAsia" w:hAnsiTheme="minorEastAsia" w:eastAsiaTheme="minorEastAsia"/>
                <w:szCs w:val="21"/>
              </w:rPr>
            </w:pPr>
            <w:r>
              <w:rPr>
                <w:rFonts w:hint="eastAsia" w:asciiTheme="minorEastAsia" w:hAnsiTheme="minorEastAsia" w:eastAsiaTheme="minorEastAsia"/>
                <w:szCs w:val="21"/>
              </w:rPr>
              <w:t>1.采购代理服务费参照《国家计委关于印发&lt;招标代理服务收费管理暂行办法&gt;的通知》（计价格[2002]1980号）和国家发展改革委员会办公厅颁发的《关于招标代理服务收费有关问题的通知》（发改办价格[2003]857号）的有关规定收取。</w:t>
            </w:r>
          </w:p>
          <w:p>
            <w:pPr>
              <w:spacing w:line="276" w:lineRule="auto"/>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2.中标供应商在领取中标通知书之前，向采购代理机构缴纳代理服务费。</w:t>
            </w:r>
          </w:p>
          <w:p>
            <w:pPr>
              <w:spacing w:line="276" w:lineRule="auto"/>
              <w:rPr>
                <w:rFonts w:asciiTheme="minorEastAsia" w:hAnsiTheme="minorEastAsia" w:eastAsiaTheme="minorEastAsia"/>
                <w:szCs w:val="21"/>
              </w:rPr>
            </w:pPr>
            <w:r>
              <w:rPr>
                <w:rFonts w:hint="eastAsia" w:asciiTheme="minorEastAsia" w:hAnsiTheme="minorEastAsia" w:eastAsiaTheme="minorEastAsia"/>
              </w:rPr>
              <w:t>3.采购</w:t>
            </w:r>
            <w:r>
              <w:rPr>
                <w:rFonts w:hint="eastAsia" w:asciiTheme="minorEastAsia" w:hAnsiTheme="minorEastAsia" w:eastAsiaTheme="minorEastAsia"/>
                <w:szCs w:val="21"/>
              </w:rPr>
              <w:t>代理服务费缴纳及账户信息</w:t>
            </w:r>
            <w:r>
              <w:rPr>
                <w:rFonts w:hint="eastAsia" w:asciiTheme="minorEastAsia" w:hAnsiTheme="minorEastAsia" w:eastAsiaTheme="minorEastAsia"/>
                <w:b/>
                <w:szCs w:val="21"/>
              </w:rPr>
              <w:t>：（转账汇款时请注明</w:t>
            </w:r>
            <w:r>
              <w:rPr>
                <w:rFonts w:hint="eastAsia" w:asciiTheme="minorEastAsia" w:hAnsiTheme="minorEastAsia" w:eastAsiaTheme="minorEastAsia"/>
                <w:b/>
                <w:szCs w:val="21"/>
                <w:lang w:val="en-US" w:eastAsia="zh-CN"/>
              </w:rPr>
              <w:t>项目名称或项目编号</w:t>
            </w:r>
            <w:r>
              <w:rPr>
                <w:rFonts w:hint="eastAsia" w:asciiTheme="minorEastAsia" w:hAnsiTheme="minorEastAsia" w:eastAsiaTheme="minorEastAsia"/>
                <w:b/>
                <w:szCs w:val="21"/>
              </w:rPr>
              <w:t>）</w:t>
            </w:r>
          </w:p>
          <w:p>
            <w:pPr>
              <w:widowControl/>
              <w:spacing w:line="276" w:lineRule="auto"/>
              <w:ind w:firstLine="210" w:firstLineChars="100"/>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开户名称：</w:t>
            </w:r>
            <w:r>
              <w:rPr>
                <w:rFonts w:hint="eastAsia" w:asciiTheme="minorEastAsia" w:hAnsiTheme="minorEastAsia" w:eastAsiaTheme="minorEastAsia"/>
                <w:szCs w:val="21"/>
                <w:lang w:eastAsia="zh-CN"/>
              </w:rPr>
              <w:t>陕西中正天投项目管理有限公司</w:t>
            </w:r>
          </w:p>
          <w:p>
            <w:pPr>
              <w:widowControl/>
              <w:spacing w:line="276" w:lineRule="auto"/>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rPr>
              <w:t>开户行：</w:t>
            </w:r>
            <w:r>
              <w:rPr>
                <w:rFonts w:hint="eastAsia" w:asciiTheme="minorEastAsia" w:hAnsiTheme="minorEastAsia" w:eastAsiaTheme="minorEastAsia"/>
                <w:szCs w:val="21"/>
                <w:lang w:eastAsia="zh-CN"/>
              </w:rPr>
              <w:t>交通银行西安东二环支行</w:t>
            </w:r>
          </w:p>
          <w:p>
            <w:pPr>
              <w:widowControl/>
              <w:spacing w:line="276" w:lineRule="auto"/>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rPr>
              <w:t>账  号：</w:t>
            </w:r>
            <w:r>
              <w:rPr>
                <w:rFonts w:hint="eastAsia" w:asciiTheme="minorEastAsia" w:hAnsiTheme="minorEastAsia" w:eastAsiaTheme="minorEastAsia"/>
                <w:szCs w:val="21"/>
                <w:lang w:eastAsia="zh-CN"/>
              </w:rPr>
              <w:t>611301014013000111177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641" w:type="dxa"/>
            <w:vMerge w:val="restart"/>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33</w:t>
            </w:r>
          </w:p>
        </w:tc>
        <w:tc>
          <w:tcPr>
            <w:tcW w:w="9257" w:type="dxa"/>
            <w:gridSpan w:val="2"/>
            <w:tcBorders>
              <w:bottom w:val="single" w:color="auto" w:sz="4" w:space="0"/>
            </w:tcBorders>
            <w:vAlign w:val="center"/>
          </w:tcPr>
          <w:p>
            <w:pPr>
              <w:autoSpaceDE w:val="0"/>
              <w:autoSpaceDN w:val="0"/>
              <w:adjustRightInd w:val="0"/>
              <w:snapToGrid w:val="0"/>
              <w:spacing w:line="276" w:lineRule="auto"/>
              <w:rPr>
                <w:rFonts w:asciiTheme="minorEastAsia" w:hAnsiTheme="minorEastAsia" w:eastAsiaTheme="minorEastAsia"/>
                <w:szCs w:val="21"/>
              </w:rPr>
            </w:pPr>
            <w:r>
              <w:rPr>
                <w:rFonts w:hint="eastAsia" w:asciiTheme="minorEastAsia" w:hAnsiTheme="minorEastAsia" w:eastAsiaTheme="minorEastAsia"/>
                <w:szCs w:val="21"/>
              </w:rPr>
              <w:t>投标供应商须按照陕西省财政厅《关于政府采购供应商注册登记有关事项的通知》中的要求，通过陕西省政府采购网（</w:t>
            </w:r>
            <w:r>
              <w:rPr>
                <w:rStyle w:val="47"/>
                <w:rFonts w:asciiTheme="minorEastAsia" w:hAnsiTheme="minorEastAsia" w:eastAsiaTheme="minorEastAsia"/>
              </w:rPr>
              <w:t>http://www.ccgp-shaanxi.gov.cn/</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注册登记加入陕西省政府采购供应商库；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85" w:hRule="atLeast"/>
          <w:jc w:val="center"/>
        </w:trPr>
        <w:tc>
          <w:tcPr>
            <w:tcW w:w="641" w:type="dxa"/>
            <w:vMerge w:val="continue"/>
            <w:vAlign w:val="center"/>
          </w:tcPr>
          <w:p>
            <w:pPr>
              <w:jc w:val="center"/>
              <w:rPr>
                <w:rFonts w:asciiTheme="minorEastAsia" w:hAnsiTheme="minorEastAsia" w:eastAsiaTheme="minorEastAsia"/>
                <w:bCs/>
                <w:szCs w:val="21"/>
              </w:rPr>
            </w:pPr>
          </w:p>
        </w:tc>
        <w:tc>
          <w:tcPr>
            <w:tcW w:w="9257" w:type="dxa"/>
            <w:gridSpan w:val="2"/>
            <w:tcBorders>
              <w:top w:val="single" w:color="auto" w:sz="4" w:space="0"/>
              <w:bottom w:val="single" w:color="auto" w:sz="4" w:space="0"/>
            </w:tcBorders>
            <w:vAlign w:val="center"/>
          </w:tcPr>
          <w:p>
            <w:pPr>
              <w:autoSpaceDE w:val="0"/>
              <w:autoSpaceDN w:val="0"/>
              <w:adjustRightInd w:val="0"/>
              <w:snapToGrid w:val="0"/>
              <w:spacing w:line="276" w:lineRule="auto"/>
              <w:rPr>
                <w:rFonts w:asciiTheme="minorEastAsia" w:hAnsiTheme="minorEastAsia" w:eastAsiaTheme="minorEastAsia"/>
                <w:szCs w:val="21"/>
              </w:rPr>
            </w:pPr>
            <w:r>
              <w:rPr>
                <w:rFonts w:hint="eastAsia" w:asciiTheme="minorEastAsia" w:hAnsiTheme="minorEastAsia" w:eastAsiaTheme="minorEastAsia"/>
                <w:szCs w:val="21"/>
              </w:rPr>
              <w:t>投标供应商在获取招标文件后，如不参与项目投标，</w:t>
            </w:r>
            <w:r>
              <w:rPr>
                <w:rFonts w:hint="eastAsia" w:asciiTheme="minorEastAsia" w:hAnsiTheme="minorEastAsia" w:eastAsiaTheme="minorEastAsia"/>
                <w:szCs w:val="21"/>
                <w:lang w:val="en-US" w:eastAsia="zh-CN"/>
              </w:rPr>
              <w:t>最晚</w:t>
            </w:r>
            <w:r>
              <w:rPr>
                <w:rFonts w:hint="eastAsia" w:asciiTheme="minorEastAsia" w:hAnsiTheme="minorEastAsia" w:eastAsiaTheme="minorEastAsia"/>
                <w:szCs w:val="21"/>
              </w:rPr>
              <w:t>应在递交投标文件截止时间前一日书面形式告知采购代理机构。投标供应商在开标前将放弃投标的说明发送至采购代理机构邮箱，邮箱为：</w:t>
            </w:r>
            <w:r>
              <w:rPr>
                <w:rFonts w:hint="eastAsia" w:asciiTheme="minorEastAsia" w:hAnsiTheme="minorEastAsia" w:eastAsiaTheme="minorEastAsia"/>
                <w:szCs w:val="21"/>
                <w:lang w:val="en-US" w:eastAsia="zh-CN"/>
              </w:rPr>
              <w:fldChar w:fldCharType="begin"/>
            </w:r>
            <w:r>
              <w:rPr>
                <w:rFonts w:hint="eastAsia" w:asciiTheme="minorEastAsia" w:hAnsiTheme="minorEastAsia" w:eastAsiaTheme="minorEastAsia"/>
                <w:szCs w:val="21"/>
                <w:lang w:val="en-US" w:eastAsia="zh-CN"/>
              </w:rPr>
              <w:instrText xml:space="preserve"> HYPERLINK "mailto:zhongzhengtiantou@163.com" </w:instrText>
            </w:r>
            <w:r>
              <w:rPr>
                <w:rFonts w:hint="eastAsia" w:asciiTheme="minorEastAsia" w:hAnsiTheme="minorEastAsia" w:eastAsiaTheme="minorEastAsia"/>
                <w:szCs w:val="21"/>
                <w:lang w:val="en-US" w:eastAsia="zh-CN"/>
              </w:rPr>
              <w:fldChar w:fldCharType="separate"/>
            </w:r>
            <w:r>
              <w:rPr>
                <w:rFonts w:hint="eastAsia" w:asciiTheme="minorEastAsia" w:hAnsiTheme="minorEastAsia" w:eastAsiaTheme="minorEastAsia"/>
                <w:szCs w:val="21"/>
                <w:lang w:val="en-US" w:eastAsia="zh-CN"/>
              </w:rPr>
              <w:t>zhongzhengtiantou@163.com</w:t>
            </w:r>
            <w:r>
              <w:rPr>
                <w:rFonts w:hint="eastAsia" w:asciiTheme="minorEastAsia" w:hAnsiTheme="minorEastAsia" w:eastAsiaTheme="minorEastAsia"/>
                <w:szCs w:val="21"/>
                <w:lang w:val="en-US" w:eastAsia="zh-CN"/>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7" w:hRule="atLeast"/>
          <w:jc w:val="center"/>
        </w:trPr>
        <w:tc>
          <w:tcPr>
            <w:tcW w:w="64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34</w:t>
            </w:r>
          </w:p>
        </w:tc>
        <w:tc>
          <w:tcPr>
            <w:tcW w:w="9257" w:type="dxa"/>
            <w:gridSpan w:val="2"/>
            <w:vAlign w:val="center"/>
          </w:tcPr>
          <w:p>
            <w:pPr>
              <w:widowControl/>
              <w:jc w:val="left"/>
              <w:rPr>
                <w:rFonts w:asciiTheme="minorEastAsia" w:hAnsiTheme="minorEastAsia" w:eastAsiaTheme="minorEastAsia"/>
                <w:b/>
              </w:rPr>
            </w:pPr>
            <w:r>
              <w:rPr>
                <w:rFonts w:hint="eastAsia" w:asciiTheme="minorEastAsia" w:hAnsiTheme="minorEastAsia" w:eastAsiaTheme="minorEastAsia"/>
                <w:b/>
                <w:szCs w:val="21"/>
              </w:rPr>
              <w:t>本招标文件未明确的其他事项，按照有关法律、法规或省市有关规定执行。</w:t>
            </w:r>
          </w:p>
        </w:tc>
      </w:tr>
    </w:tbl>
    <w:p>
      <w:pPr>
        <w:pStyle w:val="17"/>
        <w:jc w:val="both"/>
      </w:pPr>
    </w:p>
    <w:p/>
    <w:p>
      <w:pPr>
        <w:pStyle w:val="17"/>
      </w:pPr>
    </w:p>
    <w:p/>
    <w:p>
      <w:pPr>
        <w:pStyle w:val="17"/>
      </w:pPr>
    </w:p>
    <w:p/>
    <w:p>
      <w:pPr>
        <w:pStyle w:val="17"/>
      </w:pPr>
    </w:p>
    <w:p/>
    <w:p>
      <w:pPr>
        <w:pStyle w:val="17"/>
      </w:pPr>
    </w:p>
    <w:p/>
    <w:p>
      <w:pPr>
        <w:pStyle w:val="17"/>
      </w:pPr>
    </w:p>
    <w:p/>
    <w:p>
      <w:pPr>
        <w:pStyle w:val="17"/>
      </w:pPr>
    </w:p>
    <w:p>
      <w:pPr>
        <w:pStyle w:val="17"/>
      </w:pPr>
    </w:p>
    <w:p>
      <w:pPr>
        <w:pStyle w:val="17"/>
      </w:pPr>
    </w:p>
    <w:p/>
    <w:p>
      <w:pPr>
        <w:pStyle w:val="17"/>
      </w:pPr>
    </w:p>
    <w:p/>
    <w:p>
      <w:pPr>
        <w:pStyle w:val="17"/>
      </w:pPr>
    </w:p>
    <w:p/>
    <w:p>
      <w:pPr>
        <w:pStyle w:val="17"/>
      </w:pPr>
    </w:p>
    <w:p/>
    <w:p>
      <w:pPr>
        <w:pStyle w:val="17"/>
      </w:pPr>
    </w:p>
    <w:p/>
    <w:p>
      <w:pPr>
        <w:pStyle w:val="17"/>
      </w:pPr>
    </w:p>
    <w:p/>
    <w:p/>
    <w:p>
      <w:pPr>
        <w:pStyle w:val="17"/>
      </w:pPr>
    </w:p>
    <w:p/>
    <w:p>
      <w:pPr>
        <w:pStyle w:val="17"/>
      </w:pPr>
    </w:p>
    <w:p/>
    <w:p>
      <w:pPr>
        <w:pStyle w:val="17"/>
      </w:pPr>
    </w:p>
    <w:p/>
    <w:p>
      <w:pPr>
        <w:pStyle w:val="17"/>
      </w:pPr>
    </w:p>
    <w:p/>
    <w:p>
      <w:pPr>
        <w:pStyle w:val="17"/>
        <w:jc w:val="both"/>
      </w:pPr>
    </w:p>
    <w:p>
      <w:pPr>
        <w:spacing w:before="240" w:after="120" w:line="460" w:lineRule="exact"/>
        <w:jc w:val="center"/>
        <w:rPr>
          <w:rFonts w:ascii="宋体" w:hAnsi="宋体"/>
          <w:b/>
          <w:sz w:val="28"/>
          <w:szCs w:val="28"/>
        </w:rPr>
      </w:pPr>
      <w:r>
        <w:rPr>
          <w:rFonts w:hint="eastAsia" w:ascii="宋体" w:hAnsi="宋体"/>
          <w:b/>
          <w:sz w:val="28"/>
          <w:szCs w:val="28"/>
        </w:rPr>
        <w:t>投标供应商须知</w:t>
      </w:r>
    </w:p>
    <w:p>
      <w:pPr>
        <w:spacing w:line="460" w:lineRule="exact"/>
        <w:jc w:val="center"/>
        <w:outlineLvl w:val="9"/>
        <w:rPr>
          <w:rFonts w:cs="宋体" w:asciiTheme="minorEastAsia" w:hAnsiTheme="minorEastAsia" w:eastAsiaTheme="minorEastAsia"/>
          <w:b/>
          <w:bCs/>
          <w:sz w:val="24"/>
        </w:rPr>
      </w:pPr>
      <w:bookmarkStart w:id="6" w:name="_Toc7701"/>
      <w:r>
        <w:rPr>
          <w:rFonts w:hint="eastAsia" w:cs="宋体" w:asciiTheme="minorEastAsia" w:hAnsiTheme="minorEastAsia" w:eastAsiaTheme="minorEastAsia"/>
          <w:b/>
          <w:bCs/>
          <w:sz w:val="24"/>
        </w:rPr>
        <w:t>一、总则</w:t>
      </w:r>
    </w:p>
    <w:p>
      <w:pPr>
        <w:spacing w:line="460" w:lineRule="exact"/>
        <w:jc w:val="left"/>
        <w:outlineLvl w:val="9"/>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1、适用范围</w:t>
      </w:r>
    </w:p>
    <w:p>
      <w:pPr>
        <w:autoSpaceDE w:val="0"/>
        <w:autoSpaceDN w:val="0"/>
        <w:spacing w:line="460" w:lineRule="exact"/>
        <w:ind w:right="6" w:firstLine="210" w:firstLineChars="1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r>
        <w:rPr>
          <w:rFonts w:hint="eastAsia" w:asciiTheme="minorEastAsia" w:hAnsiTheme="minorEastAsia" w:eastAsiaTheme="minorEastAsia"/>
          <w:szCs w:val="21"/>
        </w:rPr>
        <w:t xml:space="preserve"> 本招标文件仅适用于本次招标公告</w:t>
      </w:r>
      <w:r>
        <w:rPr>
          <w:rFonts w:hint="eastAsia" w:ascii="宋体" w:hAnsi="宋体"/>
          <w:szCs w:val="21"/>
        </w:rPr>
        <w:t>中所叙述项目</w:t>
      </w:r>
      <w:r>
        <w:rPr>
          <w:rFonts w:hint="eastAsia" w:asciiTheme="minorEastAsia" w:hAnsiTheme="minorEastAsia" w:eastAsiaTheme="minorEastAsia"/>
          <w:szCs w:val="21"/>
        </w:rPr>
        <w:t>。</w:t>
      </w:r>
    </w:p>
    <w:p>
      <w:pPr>
        <w:autoSpaceDE w:val="0"/>
        <w:autoSpaceDN w:val="0"/>
        <w:spacing w:line="460" w:lineRule="exact"/>
        <w:ind w:right="6" w:firstLine="210" w:firstLineChars="100"/>
        <w:rPr>
          <w:rFonts w:asciiTheme="minorEastAsia" w:hAnsiTheme="minorEastAsia" w:eastAsiaTheme="minorEastAsia"/>
          <w:szCs w:val="21"/>
        </w:rPr>
      </w:pPr>
      <w:r>
        <w:rPr>
          <w:rFonts w:asciiTheme="minorEastAsia" w:hAnsiTheme="minorEastAsia" w:eastAsiaTheme="minorEastAsia"/>
          <w:szCs w:val="21"/>
        </w:rPr>
        <w:t>1.2</w:t>
      </w:r>
      <w:r>
        <w:rPr>
          <w:rFonts w:hint="eastAsia" w:asciiTheme="minorEastAsia" w:hAnsiTheme="minorEastAsia" w:eastAsiaTheme="minorEastAsia"/>
          <w:szCs w:val="21"/>
        </w:rPr>
        <w:t xml:space="preserve"> 参与本次政府采购项目的采购人，采购代理机构、评标委员会、投标供应商的相关行为均受</w:t>
      </w:r>
      <w:r>
        <w:rPr>
          <w:rFonts w:hint="eastAsia" w:asciiTheme="minorEastAsia" w:hAnsiTheme="minorEastAsia" w:eastAsiaTheme="minorEastAsia"/>
        </w:rPr>
        <w:t>《中华人民共和国政府采购法》、《中华人民共和国政府采购法实施条例》</w:t>
      </w:r>
      <w:r>
        <w:rPr>
          <w:rFonts w:hint="eastAsia" w:asciiTheme="minorEastAsia" w:hAnsiTheme="minorEastAsia" w:eastAsiaTheme="minorEastAsia"/>
          <w:szCs w:val="21"/>
        </w:rPr>
        <w:t>财政部规章及政府采购项目所在地有关法规、规章的约束，其权利受到上述法律法规的保护。</w:t>
      </w:r>
    </w:p>
    <w:p>
      <w:pPr>
        <w:autoSpaceDE w:val="0"/>
        <w:autoSpaceDN w:val="0"/>
        <w:spacing w:line="460" w:lineRule="exact"/>
        <w:ind w:right="6" w:firstLine="210" w:firstLineChars="100"/>
        <w:rPr>
          <w:rFonts w:asciiTheme="minorEastAsia" w:hAnsiTheme="minorEastAsia" w:eastAsiaTheme="minorEastAsia"/>
          <w:szCs w:val="21"/>
        </w:rPr>
      </w:pPr>
      <w:r>
        <w:rPr>
          <w:rFonts w:hint="eastAsia" w:asciiTheme="minorEastAsia" w:hAnsiTheme="minorEastAsia" w:eastAsiaTheme="minorEastAsia"/>
          <w:szCs w:val="21"/>
        </w:rPr>
        <w:t xml:space="preserve">1.3 </w:t>
      </w:r>
      <w:r>
        <w:rPr>
          <w:rFonts w:asciiTheme="minorEastAsia" w:hAnsiTheme="minorEastAsia" w:eastAsiaTheme="minorEastAsia"/>
          <w:szCs w:val="21"/>
        </w:rPr>
        <w:t>招标文件的解释权归采购人</w:t>
      </w:r>
      <w:r>
        <w:rPr>
          <w:rFonts w:hint="eastAsia" w:asciiTheme="minorEastAsia" w:hAnsiTheme="minorEastAsia" w:eastAsiaTheme="minorEastAsia"/>
          <w:szCs w:val="21"/>
        </w:rPr>
        <w:t>、</w:t>
      </w:r>
      <w:r>
        <w:rPr>
          <w:rFonts w:asciiTheme="minorEastAsia" w:hAnsiTheme="minorEastAsia" w:eastAsiaTheme="minorEastAsia"/>
          <w:szCs w:val="21"/>
        </w:rPr>
        <w:t>采购代理机构，如发现招标文件内容与现行法律法规不相符的情况，以现行法律法规为准。</w:t>
      </w:r>
    </w:p>
    <w:p>
      <w:pPr>
        <w:spacing w:line="460" w:lineRule="exact"/>
        <w:jc w:val="left"/>
        <w:outlineLvl w:val="9"/>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2、名词解释</w:t>
      </w:r>
    </w:p>
    <w:p>
      <w:pPr>
        <w:autoSpaceDE w:val="0"/>
        <w:autoSpaceDN w:val="0"/>
        <w:spacing w:line="460" w:lineRule="exact"/>
        <w:ind w:right="6" w:firstLine="210" w:firstLineChars="100"/>
        <w:rPr>
          <w:rFonts w:asciiTheme="minorEastAsia" w:hAnsiTheme="minorEastAsia" w:eastAsiaTheme="minorEastAsia"/>
          <w:szCs w:val="21"/>
        </w:rPr>
      </w:pPr>
      <w:r>
        <w:rPr>
          <w:rFonts w:hint="eastAsia" w:asciiTheme="minorEastAsia" w:hAnsiTheme="minorEastAsia" w:eastAsiaTheme="minorEastAsia"/>
          <w:szCs w:val="21"/>
        </w:rPr>
        <w:t>2.1 “采购人”</w:t>
      </w:r>
      <w:r>
        <w:rPr>
          <w:rFonts w:hint="eastAsia" w:asciiTheme="minorEastAsia" w:hAnsiTheme="minorEastAsia" w:eastAsiaTheme="minorEastAsia"/>
        </w:rPr>
        <w:t>详见投标供应商须知前附表</w:t>
      </w:r>
      <w:r>
        <w:rPr>
          <w:rFonts w:hint="eastAsia" w:cs="宋体" w:asciiTheme="minorEastAsia" w:hAnsiTheme="minorEastAsia" w:eastAsiaTheme="minorEastAsia"/>
          <w:szCs w:val="21"/>
        </w:rPr>
        <w:t>。</w:t>
      </w:r>
    </w:p>
    <w:p>
      <w:pPr>
        <w:autoSpaceDE w:val="0"/>
        <w:autoSpaceDN w:val="0"/>
        <w:spacing w:line="460" w:lineRule="exact"/>
        <w:ind w:right="6"/>
        <w:rPr>
          <w:rFonts w:asciiTheme="minorEastAsia" w:hAnsiTheme="minorEastAsia" w:eastAsiaTheme="minorEastAsia"/>
          <w:szCs w:val="21"/>
        </w:rPr>
      </w:pPr>
      <w:r>
        <w:rPr>
          <w:rFonts w:hint="eastAsia" w:asciiTheme="minorEastAsia" w:hAnsiTheme="minorEastAsia" w:eastAsiaTheme="minorEastAsia"/>
          <w:szCs w:val="21"/>
        </w:rPr>
        <w:t xml:space="preserve">  2.2 “采购代理机构”</w:t>
      </w:r>
      <w:r>
        <w:rPr>
          <w:rFonts w:hint="eastAsia" w:asciiTheme="minorEastAsia" w:hAnsiTheme="minorEastAsia" w:eastAsiaTheme="minorEastAsia"/>
        </w:rPr>
        <w:t>详见投标供应商须知前附表</w:t>
      </w:r>
      <w:r>
        <w:rPr>
          <w:rFonts w:hint="eastAsia" w:cs="宋体" w:asciiTheme="minorEastAsia" w:hAnsiTheme="minorEastAsia" w:eastAsiaTheme="minorEastAsia"/>
          <w:szCs w:val="21"/>
        </w:rPr>
        <w:t>。</w:t>
      </w:r>
    </w:p>
    <w:p>
      <w:pPr>
        <w:autoSpaceDE w:val="0"/>
        <w:autoSpaceDN w:val="0"/>
        <w:spacing w:line="460" w:lineRule="exact"/>
        <w:ind w:right="6" w:firstLine="210" w:firstLineChars="100"/>
        <w:rPr>
          <w:rFonts w:asciiTheme="minorEastAsia" w:hAnsiTheme="minorEastAsia" w:eastAsiaTheme="minorEastAsia"/>
          <w:szCs w:val="21"/>
        </w:rPr>
      </w:pPr>
      <w:r>
        <w:rPr>
          <w:rFonts w:hint="eastAsia" w:asciiTheme="minorEastAsia" w:hAnsiTheme="minorEastAsia" w:eastAsiaTheme="minorEastAsia"/>
          <w:szCs w:val="21"/>
        </w:rPr>
        <w:t>2.3 “评标委员会”指依据《中华人民共和国政府采购法》等有关规定组建，依法依规履行其职责和义务的机构。</w:t>
      </w:r>
    </w:p>
    <w:p>
      <w:pPr>
        <w:autoSpaceDE w:val="0"/>
        <w:autoSpaceDN w:val="0"/>
        <w:spacing w:line="460" w:lineRule="exact"/>
        <w:ind w:right="6" w:firstLine="210" w:firstLineChars="1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.4</w:t>
      </w:r>
      <w:r>
        <w:rPr>
          <w:rFonts w:hint="eastAsia" w:asciiTheme="minorEastAsia" w:hAnsiTheme="minorEastAsia" w:eastAsiaTheme="minorEastAsia"/>
          <w:szCs w:val="21"/>
        </w:rPr>
        <w:t xml:space="preserve"> “投标供应商”</w:t>
      </w:r>
      <w:r>
        <w:rPr>
          <w:rFonts w:hint="eastAsia" w:asciiTheme="minorEastAsia" w:hAnsiTheme="minorEastAsia" w:eastAsiaTheme="minorEastAsia"/>
        </w:rPr>
        <w:t>系指符合招标文件规定资格条件且参与投标竞争的法人</w:t>
      </w:r>
      <w:r>
        <w:rPr>
          <w:rFonts w:hint="eastAsia" w:ascii="宋体" w:hAnsi="宋体"/>
        </w:rPr>
        <w:t>或授权委托人。</w:t>
      </w:r>
    </w:p>
    <w:p>
      <w:pPr>
        <w:autoSpaceDE w:val="0"/>
        <w:autoSpaceDN w:val="0"/>
        <w:spacing w:line="460" w:lineRule="exact"/>
        <w:ind w:right="6"/>
        <w:rPr>
          <w:rFonts w:asciiTheme="minorEastAsia" w:hAnsiTheme="minorEastAsia" w:eastAsiaTheme="minorEastAsia"/>
          <w:szCs w:val="21"/>
        </w:rPr>
      </w:pPr>
      <w:r>
        <w:rPr>
          <w:rFonts w:hint="eastAsia" w:asciiTheme="minorEastAsia" w:hAnsiTheme="minorEastAsia" w:eastAsiaTheme="minorEastAsia"/>
          <w:szCs w:val="21"/>
        </w:rPr>
        <w:t xml:space="preserve">  2.</w:t>
      </w:r>
      <w:r>
        <w:rPr>
          <w:rFonts w:asciiTheme="minorEastAsia" w:hAnsiTheme="minorEastAsia" w:eastAsiaTheme="minorEastAsia"/>
          <w:szCs w:val="21"/>
        </w:rPr>
        <w:t>5</w:t>
      </w:r>
      <w:r>
        <w:rPr>
          <w:rFonts w:hint="eastAsia" w:asciiTheme="minorEastAsia" w:hAnsiTheme="minorEastAsia" w:eastAsiaTheme="minorEastAsia"/>
          <w:szCs w:val="21"/>
        </w:rPr>
        <w:t xml:space="preserve"> “工程”系指投标供应商为完成本项目所做的建设、</w:t>
      </w:r>
      <w:r>
        <w:rPr>
          <w:rFonts w:hint="eastAsia" w:asciiTheme="minorEastAsia" w:hAnsiTheme="minorEastAsia" w:eastAsiaTheme="minorEastAsia"/>
          <w:color w:val="000000"/>
          <w:szCs w:val="21"/>
        </w:rPr>
        <w:t>辅助工程</w:t>
      </w:r>
      <w:r>
        <w:rPr>
          <w:rFonts w:hint="eastAsia" w:asciiTheme="minorEastAsia" w:hAnsiTheme="minorEastAsia" w:eastAsiaTheme="minorEastAsia"/>
          <w:szCs w:val="21"/>
        </w:rPr>
        <w:t>等建设工程。</w:t>
      </w:r>
    </w:p>
    <w:p>
      <w:pPr>
        <w:autoSpaceDE w:val="0"/>
        <w:autoSpaceDN w:val="0"/>
        <w:spacing w:line="460" w:lineRule="exact"/>
        <w:ind w:right="6"/>
        <w:rPr>
          <w:rFonts w:asciiTheme="minorEastAsia" w:hAnsiTheme="minorEastAsia" w:eastAsiaTheme="minorEastAsia"/>
          <w:szCs w:val="21"/>
        </w:rPr>
      </w:pPr>
      <w:r>
        <w:rPr>
          <w:rFonts w:hint="eastAsia" w:asciiTheme="minorEastAsia" w:hAnsiTheme="minorEastAsia" w:eastAsiaTheme="minorEastAsia"/>
          <w:szCs w:val="21"/>
        </w:rPr>
        <w:t xml:space="preserve">  2.</w:t>
      </w:r>
      <w:r>
        <w:rPr>
          <w:rFonts w:asciiTheme="minorEastAsia" w:hAnsiTheme="minorEastAsia" w:eastAsiaTheme="minorEastAsia"/>
          <w:szCs w:val="21"/>
        </w:rPr>
        <w:t>6</w:t>
      </w:r>
      <w:r>
        <w:rPr>
          <w:rFonts w:hint="eastAsia" w:asciiTheme="minorEastAsia" w:hAnsiTheme="minorEastAsia" w:eastAsiaTheme="minorEastAsia"/>
          <w:szCs w:val="21"/>
        </w:rPr>
        <w:t xml:space="preserve"> “货物”系指投标供应商按招标文件规定，须向采购人提供的满足招标文件要求的产品、设备、机械、仪器仪表、包装、备品配件、工具、使用说明以及所有有关的文件和材料。</w:t>
      </w:r>
    </w:p>
    <w:p>
      <w:pPr>
        <w:spacing w:line="460" w:lineRule="exact"/>
        <w:rPr>
          <w:rFonts w:asciiTheme="minorEastAsia" w:hAnsiTheme="minorEastAsia" w:eastAsiaTheme="minorEastAsia"/>
          <w:szCs w:val="21"/>
        </w:rPr>
      </w:pPr>
      <w:r>
        <w:rPr>
          <w:rFonts w:hint="eastAsia" w:asciiTheme="minorEastAsia" w:hAnsiTheme="minorEastAsia" w:eastAsiaTheme="minorEastAsia"/>
          <w:szCs w:val="21"/>
        </w:rPr>
        <w:t xml:space="preserve">  2.</w:t>
      </w:r>
      <w:r>
        <w:rPr>
          <w:rFonts w:asciiTheme="minorEastAsia" w:hAnsiTheme="minorEastAsia" w:eastAsiaTheme="minorEastAsia"/>
          <w:szCs w:val="21"/>
        </w:rPr>
        <w:t>7</w:t>
      </w:r>
      <w:r>
        <w:rPr>
          <w:rFonts w:hint="eastAsia" w:asciiTheme="minorEastAsia" w:hAnsiTheme="minorEastAsia" w:eastAsiaTheme="minorEastAsia"/>
          <w:szCs w:val="21"/>
        </w:rPr>
        <w:t xml:space="preserve"> “服务”系指招标文件规定投标供应商须承担的实施内容、技术支持、售后服务以及其他类似的服务。</w:t>
      </w:r>
    </w:p>
    <w:p>
      <w:pPr>
        <w:spacing w:line="460" w:lineRule="exact"/>
        <w:jc w:val="left"/>
        <w:outlineLvl w:val="9"/>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3、合格的投标供应商</w:t>
      </w:r>
    </w:p>
    <w:p>
      <w:pPr>
        <w:autoSpaceDE w:val="0"/>
        <w:autoSpaceDN w:val="0"/>
        <w:adjustRightInd w:val="0"/>
        <w:spacing w:line="460" w:lineRule="exact"/>
        <w:ind w:right="6" w:firstLine="210" w:firstLineChars="1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.1</w:t>
      </w:r>
      <w:r>
        <w:rPr>
          <w:rFonts w:hint="eastAsia" w:asciiTheme="minorEastAsia" w:hAnsiTheme="minorEastAsia" w:eastAsiaTheme="minorEastAsia"/>
        </w:rPr>
        <w:t xml:space="preserve"> 满足“招标公告”资格要求。</w:t>
      </w:r>
    </w:p>
    <w:p>
      <w:pPr>
        <w:autoSpaceDE w:val="0"/>
        <w:autoSpaceDN w:val="0"/>
        <w:adjustRightInd w:val="0"/>
        <w:spacing w:line="460" w:lineRule="exact"/>
        <w:ind w:right="6" w:firstLine="210" w:firstLineChars="100"/>
        <w:rPr>
          <w:rFonts w:asciiTheme="minorEastAsia" w:hAnsiTheme="minorEastAsia" w:eastAsiaTheme="minorEastAsia"/>
          <w:b/>
        </w:rPr>
      </w:pPr>
      <w:r>
        <w:rPr>
          <w:rFonts w:hint="eastAsia" w:asciiTheme="minorEastAsia" w:hAnsiTheme="minorEastAsia" w:eastAsiaTheme="minorEastAsia"/>
        </w:rPr>
        <w:t>3.2 符合</w:t>
      </w:r>
      <w:r>
        <w:rPr>
          <w:rFonts w:hint="eastAsia" w:asciiTheme="minorEastAsia" w:hAnsiTheme="minorEastAsia" w:eastAsiaTheme="minorEastAsia"/>
          <w:szCs w:val="21"/>
          <w:lang w:val="en-US" w:eastAsia="zh-CN"/>
        </w:rPr>
        <w:t>法律法规</w:t>
      </w:r>
      <w:r>
        <w:rPr>
          <w:rFonts w:hint="eastAsia" w:asciiTheme="minorEastAsia" w:hAnsiTheme="minorEastAsia" w:eastAsiaTheme="minorEastAsia"/>
          <w:szCs w:val="21"/>
        </w:rPr>
        <w:t>相关要求。</w:t>
      </w:r>
    </w:p>
    <w:p>
      <w:pPr>
        <w:autoSpaceDE w:val="0"/>
        <w:autoSpaceDN w:val="0"/>
        <w:adjustRightInd w:val="0"/>
        <w:spacing w:line="460" w:lineRule="exact"/>
        <w:ind w:right="6" w:firstLine="210" w:firstLineChars="1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w:t>
      </w:r>
      <w:r>
        <w:rPr>
          <w:rFonts w:hint="eastAsia" w:asciiTheme="minorEastAsia" w:hAnsiTheme="minorEastAsia" w:eastAsiaTheme="minorEastAsia"/>
        </w:rPr>
        <w:t>3 提供获取招标文件所需资料并完成登记备案，未提供或未登记备案的潜在投标供应商均无资格参加本项目投标。</w:t>
      </w:r>
    </w:p>
    <w:p>
      <w:pPr>
        <w:autoSpaceDE w:val="0"/>
        <w:autoSpaceDN w:val="0"/>
        <w:adjustRightInd w:val="0"/>
        <w:spacing w:line="460" w:lineRule="exact"/>
        <w:ind w:right="6" w:firstLine="210" w:firstLineChars="1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w:t>
      </w:r>
      <w:r>
        <w:rPr>
          <w:rFonts w:hint="eastAsia" w:asciiTheme="minorEastAsia" w:hAnsiTheme="minorEastAsia" w:eastAsiaTheme="minorEastAsia"/>
        </w:rPr>
        <w:t>4 单位负责人为同一人或者存在直接控股、管理关系的不同投标供应商，不得参加同一合同项下的政府采购活动。</w:t>
      </w:r>
    </w:p>
    <w:p>
      <w:pPr>
        <w:autoSpaceDE w:val="0"/>
        <w:autoSpaceDN w:val="0"/>
        <w:adjustRightInd w:val="0"/>
        <w:spacing w:line="460" w:lineRule="exact"/>
        <w:ind w:right="6" w:firstLine="210" w:firstLineChars="1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w:t>
      </w:r>
      <w:r>
        <w:rPr>
          <w:rFonts w:hint="eastAsia" w:asciiTheme="minorEastAsia" w:hAnsiTheme="minorEastAsia" w:eastAsiaTheme="minorEastAsia"/>
        </w:rPr>
        <w:t>5 除单一来源采购项目外，为采购项目提供整体设计、规范编制或者项目管理、监理、检测等服务的投标供应商，不得再参加该采购项目的其他采购活动。</w:t>
      </w:r>
    </w:p>
    <w:p>
      <w:pPr>
        <w:autoSpaceDE w:val="0"/>
        <w:autoSpaceDN w:val="0"/>
        <w:adjustRightInd w:val="0"/>
        <w:spacing w:line="460" w:lineRule="exact"/>
        <w:ind w:right="6" w:firstLine="210" w:firstLineChars="100"/>
        <w:rPr>
          <w:rFonts w:ascii="宋体" w:hAnsi="宋体"/>
        </w:rPr>
      </w:pPr>
      <w:bookmarkStart w:id="7" w:name="_Toc217446047"/>
      <w:r>
        <w:rPr>
          <w:rFonts w:ascii="宋体" w:hAnsi="宋体"/>
        </w:rPr>
        <w:t>3.</w:t>
      </w:r>
      <w:r>
        <w:rPr>
          <w:rFonts w:hint="eastAsia" w:ascii="宋体" w:hAnsi="宋体"/>
        </w:rPr>
        <w:t>6 应遵守《中华人民共和国政府采购法》及其它有关的中国法律和法规。</w:t>
      </w:r>
    </w:p>
    <w:p>
      <w:pPr>
        <w:autoSpaceDE w:val="0"/>
        <w:autoSpaceDN w:val="0"/>
        <w:adjustRightInd w:val="0"/>
        <w:spacing w:line="460" w:lineRule="exact"/>
        <w:ind w:firstLine="210" w:firstLineChars="100"/>
        <w:rPr>
          <w:rFonts w:ascii="宋体" w:hAnsi="宋体"/>
          <w:szCs w:val="21"/>
        </w:rPr>
      </w:pPr>
      <w:r>
        <w:rPr>
          <w:rFonts w:hint="eastAsia" w:ascii="宋体" w:hAnsi="宋体"/>
          <w:szCs w:val="21"/>
        </w:rPr>
        <w:t>3.7</w:t>
      </w:r>
      <w:r>
        <w:rPr>
          <w:rFonts w:ascii="宋体" w:hAnsi="宋体"/>
          <w:szCs w:val="21"/>
        </w:rPr>
        <w:t xml:space="preserve"> </w:t>
      </w:r>
      <w:r>
        <w:rPr>
          <w:rFonts w:hint="eastAsia" w:ascii="宋体" w:hAnsi="宋体"/>
          <w:szCs w:val="21"/>
        </w:rPr>
        <w:t>如须知前附表中允许联合体投标，对联合体规定如下：</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3.7.1</w:t>
      </w:r>
      <w:r>
        <w:rPr>
          <w:rFonts w:ascii="宋体" w:hAnsi="宋体"/>
          <w:szCs w:val="21"/>
        </w:rPr>
        <w:t xml:space="preserve"> </w:t>
      </w:r>
      <w:r>
        <w:rPr>
          <w:rFonts w:hint="eastAsia" w:ascii="宋体" w:hAnsi="宋体"/>
          <w:szCs w:val="21"/>
        </w:rPr>
        <w:t>两个及以上投标供应商可以组成一个投标联合体，以一个投标供应商的身份参与投标。</w:t>
      </w:r>
    </w:p>
    <w:p>
      <w:pPr>
        <w:spacing w:line="460" w:lineRule="exact"/>
        <w:ind w:firstLine="420" w:firstLineChars="200"/>
        <w:rPr>
          <w:rFonts w:ascii="仿宋_GB2312" w:hAnsi="仿宋" w:eastAsia="仿宋_GB2312"/>
          <w:sz w:val="32"/>
          <w:szCs w:val="32"/>
        </w:rPr>
      </w:pPr>
      <w:r>
        <w:rPr>
          <w:rFonts w:hint="eastAsia" w:ascii="宋体" w:hAnsi="宋体"/>
          <w:szCs w:val="21"/>
        </w:rPr>
        <w:t>3.7.2 采购项目接受联合体时，组成联合体的大中型企业和其他自然人、法人或者其他组织，与小型、微型企业之间不得存在投资关系的。</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3.7.3 大中型企业、其他自然人、法人或者其他组织与小型、微型企业组成联合体共同参加投标，共同响应协议中应写明小型、微型企业的协议合同金额占到共同响应协议报价总金额的比例。</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3.7.4 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3.7.5</w:t>
      </w:r>
      <w:r>
        <w:rPr>
          <w:rFonts w:asciiTheme="minorEastAsia" w:hAnsiTheme="minorEastAsia" w:eastAsiaTheme="minorEastAsia"/>
          <w:szCs w:val="21"/>
        </w:rPr>
        <w:t>投标</w:t>
      </w:r>
      <w:r>
        <w:rPr>
          <w:rFonts w:hint="eastAsia" w:asciiTheme="minorEastAsia" w:hAnsiTheme="minorEastAsia" w:eastAsiaTheme="minorEastAsia"/>
          <w:szCs w:val="21"/>
        </w:rPr>
        <w:t>供应商以联合体形式参加政府采购活动时，遵循以下规则：</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① 联合体各方均应当具备《政府采购法》第二十二条第一款规定，《法定代表人委托授权书》由联合体牵头人的法定代表人（负责人）代表联合体各方进行签字、盖章，并对联合体各方负责。</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③ 资格审查阶段，采购人将对所有联合体成员进行信用记录查询，联合体成员存在不良信用记录的，视同联合体存在不良信用记录。</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④ 招标文件要求供应商交纳保证金的，可以由联合体中的一方或者多方共同交纳保证金，其交纳的保证金对联合体各方均具有约束力。</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⑤ 招标文件要求供应商提供履约人员和设备情况的，联合体各方均应提供，以说明其作为独立供应商所具有的能有效执行合同的能力和资源。</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⑥ 招标文件要求供应商提供同类或类似项目业绩的，联合体各方符合招标文件要求的同类或类似业绩可以累计，但联合体一方或多方共同参与的同一业绩不重复计算。</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⑦ 投标文件中需要供应商盖章之处，联合体牵头人加盖公章即可。除联合体协议必须由各方共同签署外，投标文件中要求由法定代表人签字、盖章之处，由联合体牵头人的法定代表人（负责人）代表联合体各方进行签字、盖章，并对联合体各方负责。</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⑧ 对采购项目提出投诉时，应当由组成联合体的所有投标供应商共同提出。</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3.7.6联合体出现下列情形之一的，联合体投标无效：</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① 没有提交有效的联合体协议的；</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② 组成联合体的大中型企业和其他自然人、法人或者其他组织，与小型、微型企业之间存在投资关系的；</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③ 联合体协议签订后，联合体成员单独参加或者与其他供应商另外组成联合体参加同一合同项下的政府采购活动的；</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④ 资格前审后联合体增减、更换成员的；</w:t>
      </w:r>
    </w:p>
    <w:p>
      <w:pPr>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⑤ 联合体成员因存在不良信用记录，被拒绝其参与政府采购活动的。</w:t>
      </w:r>
    </w:p>
    <w:p>
      <w:pPr>
        <w:autoSpaceDE w:val="0"/>
        <w:autoSpaceDN w:val="0"/>
        <w:adjustRightInd w:val="0"/>
        <w:spacing w:line="460" w:lineRule="exact"/>
        <w:ind w:right="6" w:firstLine="210" w:firstLineChars="100"/>
        <w:rPr>
          <w:rFonts w:ascii="宋体" w:hAnsi="宋体"/>
          <w:szCs w:val="21"/>
        </w:rPr>
      </w:pPr>
      <w:r>
        <w:rPr>
          <w:rFonts w:hint="eastAsia" w:ascii="宋体" w:hAnsi="宋体"/>
        </w:rPr>
        <w:t xml:space="preserve">3.8 </w:t>
      </w:r>
      <w:r>
        <w:rPr>
          <w:rFonts w:hint="eastAsia" w:ascii="宋体" w:hAnsi="宋体"/>
          <w:szCs w:val="21"/>
        </w:rPr>
        <w:t>依据财库〔2016〕125号《关于在政府采购活动中查询及使用信用记录有关问题的通知》的规定，采购人或采购代理机构在资格审查阶段通过“信用中国”（</w:t>
      </w:r>
      <w:r>
        <w:rPr>
          <w:rStyle w:val="47"/>
          <w:rFonts w:hint="eastAsia"/>
        </w:rPr>
        <w:t>www.creditchina.gov.cn</w:t>
      </w:r>
      <w:r>
        <w:rPr>
          <w:rFonts w:hint="eastAsia" w:ascii="宋体" w:hAnsi="宋体"/>
          <w:szCs w:val="21"/>
        </w:rPr>
        <w:t>）、“中国执行信息公开网”（</w:t>
      </w:r>
      <w:r>
        <w:rPr>
          <w:rStyle w:val="47"/>
          <w:rFonts w:hint="eastAsia"/>
        </w:rPr>
        <w:t>www.zxgk.court.gov.cn</w:t>
      </w:r>
      <w:r>
        <w:rPr>
          <w:rFonts w:hint="eastAsia" w:ascii="宋体" w:hAnsi="宋体"/>
          <w:szCs w:val="21"/>
        </w:rPr>
        <w:t>）及“中国政府采购网”（</w:t>
      </w:r>
      <w:r>
        <w:rPr>
          <w:rStyle w:val="47"/>
          <w:rFonts w:hint="eastAsia"/>
        </w:rPr>
        <w:t>www.ccgp.gov.cn</w:t>
      </w:r>
      <w:r>
        <w:rPr>
          <w:rFonts w:hint="eastAsia" w:ascii="宋体" w:hAnsi="宋体"/>
          <w:szCs w:val="21"/>
        </w:rPr>
        <w:t>）中查询投标供应商相关信息，并将查询结果随同评审资料一并保存。如投标供应商出现“列入失信被执行人、重大税收违法失信主体、政府采购严重违法失信行为记录名单及其他不符合《中华人民共和国政府采购法》第二十二条规定条件的”情况，将被拒绝参与政府采购活动。</w:t>
      </w:r>
      <w:bookmarkStart w:id="8" w:name="_Hlk101280670"/>
    </w:p>
    <w:p>
      <w:pPr>
        <w:autoSpaceDE w:val="0"/>
        <w:autoSpaceDN w:val="0"/>
        <w:adjustRightInd w:val="0"/>
        <w:spacing w:line="460" w:lineRule="exact"/>
        <w:ind w:right="6" w:firstLine="210" w:firstLineChars="100"/>
        <w:rPr>
          <w:rFonts w:ascii="宋体" w:hAnsi="宋体"/>
        </w:rPr>
      </w:pPr>
      <w:r>
        <w:rPr>
          <w:rFonts w:hint="eastAsia" w:ascii="宋体" w:hAnsi="宋体"/>
        </w:rPr>
        <w:t xml:space="preserve">3.9 投标供应商有《陕西省政府采购领域供应商违法失信“黑名单”信息共享和联合惩戒实施办法》第四条规定的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 </w:t>
      </w:r>
    </w:p>
    <w:bookmarkEnd w:id="8"/>
    <w:p>
      <w:pPr>
        <w:autoSpaceDE w:val="0"/>
        <w:autoSpaceDN w:val="0"/>
        <w:adjustRightInd w:val="0"/>
        <w:spacing w:line="460" w:lineRule="exact"/>
        <w:ind w:right="6"/>
        <w:rPr>
          <w:rFonts w:asciiTheme="minorEastAsia" w:hAnsiTheme="minorEastAsia" w:eastAsiaTheme="minorEastAsia"/>
          <w:b/>
          <w:szCs w:val="21"/>
        </w:rPr>
      </w:pPr>
      <w:r>
        <w:rPr>
          <w:rFonts w:hint="eastAsia" w:asciiTheme="minorEastAsia" w:hAnsiTheme="minorEastAsia" w:eastAsiaTheme="minorEastAsia"/>
          <w:b/>
          <w:szCs w:val="21"/>
        </w:rPr>
        <w:t>4、知识产权</w:t>
      </w:r>
      <w:bookmarkEnd w:id="7"/>
    </w:p>
    <w:p>
      <w:pPr>
        <w:spacing w:line="460" w:lineRule="exact"/>
        <w:ind w:firstLine="210" w:firstLineChars="100"/>
        <w:rPr>
          <w:rFonts w:ascii="宋体" w:hAnsi="宋体"/>
          <w:szCs w:val="21"/>
        </w:rPr>
      </w:pPr>
      <w:r>
        <w:rPr>
          <w:rFonts w:hint="eastAsia" w:ascii="宋体" w:hAnsi="宋体"/>
          <w:szCs w:val="21"/>
        </w:rPr>
        <w:t>4.1所有涉及知识产权的产品及设计，投标供应商必须确保委托人、采购人拥有其合法的、不受限制的无偿使用权，并免受任何侵权诉讼或索偿；否则，由此产生的一切经济损失和法律责任由投标供应商承担。</w:t>
      </w:r>
    </w:p>
    <w:p>
      <w:pPr>
        <w:spacing w:line="460" w:lineRule="exact"/>
        <w:ind w:firstLine="210" w:firstLineChars="100"/>
        <w:rPr>
          <w:rFonts w:ascii="宋体" w:hAnsi="宋体"/>
          <w:szCs w:val="21"/>
        </w:rPr>
      </w:pPr>
      <w:r>
        <w:rPr>
          <w:rFonts w:hint="eastAsia" w:ascii="宋体" w:hAnsi="宋体"/>
          <w:szCs w:val="21"/>
        </w:rPr>
        <w:t>4.2 由采购人向投标供应商提供的用户需求书、图纸、样品、模型、模件和所有资料，投标供应商获得后，应对其保密。除非采购人同意，投标供应商不得向第三方透露或将其用于本次投标以外的任何用途。开标后，若采购人有要求，投标供应商人须归还采购人认为需保密的文件和资料，并销毁所有相应的备份文件及资料。</w:t>
      </w:r>
    </w:p>
    <w:p>
      <w:pPr>
        <w:spacing w:line="460" w:lineRule="exact"/>
        <w:rPr>
          <w:rFonts w:asciiTheme="minorEastAsia" w:hAnsiTheme="minorEastAsia" w:eastAsiaTheme="minorEastAsia"/>
          <w:b/>
        </w:rPr>
      </w:pPr>
      <w:r>
        <w:rPr>
          <w:rFonts w:hint="eastAsia" w:asciiTheme="minorEastAsia" w:hAnsiTheme="minorEastAsia" w:eastAsiaTheme="minorEastAsia"/>
          <w:b/>
        </w:rPr>
        <w:t>5</w:t>
      </w:r>
      <w:r>
        <w:rPr>
          <w:rFonts w:asciiTheme="minorEastAsia" w:hAnsiTheme="minorEastAsia" w:eastAsiaTheme="minorEastAsia"/>
          <w:b/>
        </w:rPr>
        <w:t>、费用承担</w:t>
      </w:r>
    </w:p>
    <w:p>
      <w:pPr>
        <w:spacing w:line="460" w:lineRule="exact"/>
        <w:ind w:firstLine="420" w:firstLineChars="200"/>
        <w:rPr>
          <w:rFonts w:asciiTheme="minorEastAsia" w:hAnsiTheme="minorEastAsia" w:eastAsiaTheme="minorEastAsia"/>
        </w:rPr>
      </w:pPr>
      <w:r>
        <w:rPr>
          <w:rFonts w:hint="eastAsia" w:asciiTheme="minorEastAsia" w:hAnsiTheme="minorEastAsia" w:eastAsiaTheme="minorEastAsia"/>
        </w:rPr>
        <w:t>投标供应商</w:t>
      </w:r>
      <w:r>
        <w:rPr>
          <w:rFonts w:asciiTheme="minorEastAsia" w:hAnsiTheme="minorEastAsia" w:eastAsiaTheme="minorEastAsia"/>
        </w:rPr>
        <w:t>准备和参加</w:t>
      </w:r>
      <w:r>
        <w:rPr>
          <w:rFonts w:hint="eastAsia" w:asciiTheme="minorEastAsia" w:hAnsiTheme="minorEastAsia" w:eastAsiaTheme="minorEastAsia"/>
        </w:rPr>
        <w:t>投标</w:t>
      </w:r>
      <w:r>
        <w:rPr>
          <w:rFonts w:asciiTheme="minorEastAsia" w:hAnsiTheme="minorEastAsia" w:eastAsiaTheme="minorEastAsia"/>
        </w:rPr>
        <w:t>活动发生的费用自理。</w:t>
      </w:r>
      <w:r>
        <w:rPr>
          <w:rFonts w:hint="eastAsia" w:ascii="宋体" w:hAnsi="宋体"/>
        </w:rPr>
        <w:t>不论投标结果如何，投标供应商均应自行承担所有与参加投标相关的全部费用，采购人和采购代理机构在任何情况下均无义务和责任承担这些费用。</w:t>
      </w:r>
    </w:p>
    <w:p>
      <w:pPr>
        <w:autoSpaceDE w:val="0"/>
        <w:autoSpaceDN w:val="0"/>
        <w:adjustRightInd w:val="0"/>
        <w:spacing w:line="460" w:lineRule="exact"/>
        <w:ind w:right="6"/>
        <w:rPr>
          <w:rFonts w:ascii="宋体" w:hAnsi="宋体"/>
          <w:b/>
          <w:szCs w:val="21"/>
        </w:rPr>
      </w:pPr>
      <w:r>
        <w:rPr>
          <w:rFonts w:hint="eastAsia" w:ascii="宋体" w:hAnsi="宋体"/>
          <w:b/>
          <w:szCs w:val="21"/>
        </w:rPr>
        <w:t>6、语言文字</w:t>
      </w:r>
    </w:p>
    <w:p>
      <w:pPr>
        <w:spacing w:line="460" w:lineRule="exact"/>
        <w:ind w:firstLine="420" w:firstLineChars="200"/>
        <w:jc w:val="left"/>
        <w:rPr>
          <w:rFonts w:ascii="宋体" w:hAnsi="宋体"/>
          <w:szCs w:val="21"/>
        </w:rPr>
      </w:pPr>
      <w:r>
        <w:rPr>
          <w:rFonts w:hint="eastAsia" w:ascii="宋体" w:hAnsi="宋体"/>
          <w:szCs w:val="21"/>
        </w:rPr>
        <w:t>除专用术语外，与投标有关的语言均使用中文。必要时专用术语应附有中文注释。</w:t>
      </w:r>
    </w:p>
    <w:p>
      <w:pPr>
        <w:spacing w:line="460" w:lineRule="exact"/>
        <w:rPr>
          <w:rFonts w:asciiTheme="minorEastAsia" w:hAnsiTheme="minorEastAsia" w:eastAsiaTheme="minorEastAsia"/>
          <w:b/>
        </w:rPr>
      </w:pPr>
      <w:r>
        <w:rPr>
          <w:rFonts w:hint="eastAsia" w:asciiTheme="minorEastAsia" w:hAnsiTheme="minorEastAsia" w:eastAsiaTheme="minorEastAsia"/>
          <w:b/>
        </w:rPr>
        <w:t>7</w:t>
      </w:r>
      <w:r>
        <w:rPr>
          <w:rFonts w:asciiTheme="minorEastAsia" w:hAnsiTheme="minorEastAsia" w:eastAsiaTheme="minorEastAsia"/>
          <w:b/>
        </w:rPr>
        <w:t>、计量单位</w:t>
      </w:r>
    </w:p>
    <w:p>
      <w:pPr>
        <w:spacing w:line="460" w:lineRule="exact"/>
        <w:ind w:firstLine="420" w:firstLineChars="200"/>
        <w:rPr>
          <w:rFonts w:asciiTheme="minorEastAsia" w:hAnsiTheme="minorEastAsia" w:eastAsiaTheme="minorEastAsia"/>
        </w:rPr>
      </w:pPr>
      <w:r>
        <w:rPr>
          <w:rFonts w:asciiTheme="minorEastAsia" w:hAnsiTheme="minorEastAsia" w:eastAsiaTheme="minorEastAsia"/>
        </w:rPr>
        <w:t>所有计量均采用中华人民共和国法定计量单位。</w:t>
      </w:r>
    </w:p>
    <w:p>
      <w:pPr>
        <w:spacing w:line="460" w:lineRule="exact"/>
        <w:jc w:val="center"/>
        <w:outlineLvl w:val="9"/>
        <w:rPr>
          <w:rFonts w:cs="宋体" w:asciiTheme="minorEastAsia" w:hAnsiTheme="minorEastAsia" w:eastAsiaTheme="minorEastAsia"/>
          <w:b/>
          <w:bCs/>
          <w:sz w:val="28"/>
        </w:rPr>
      </w:pPr>
      <w:r>
        <w:rPr>
          <w:rFonts w:hint="eastAsia" w:cs="宋体" w:asciiTheme="minorEastAsia" w:hAnsiTheme="minorEastAsia" w:eastAsiaTheme="minorEastAsia"/>
          <w:b/>
          <w:bCs/>
          <w:sz w:val="28"/>
        </w:rPr>
        <w:t>二、招标文件</w:t>
      </w:r>
    </w:p>
    <w:p>
      <w:pPr>
        <w:autoSpaceDE w:val="0"/>
        <w:autoSpaceDN w:val="0"/>
        <w:adjustRightInd w:val="0"/>
        <w:spacing w:line="460" w:lineRule="exact"/>
        <w:ind w:right="6"/>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8、招标文件的构成</w:t>
      </w:r>
    </w:p>
    <w:p>
      <w:pPr>
        <w:autoSpaceDE w:val="0"/>
        <w:autoSpaceDN w:val="0"/>
        <w:adjustRightInd w:val="0"/>
        <w:spacing w:line="460" w:lineRule="exact"/>
        <w:ind w:right="6" w:firstLine="210" w:firstLineChars="100"/>
        <w:rPr>
          <w:rFonts w:asciiTheme="minorEastAsia" w:hAnsiTheme="minorEastAsia" w:eastAsiaTheme="minorEastAsia"/>
          <w:szCs w:val="21"/>
        </w:rPr>
      </w:pPr>
      <w:r>
        <w:rPr>
          <w:rFonts w:hint="eastAsia" w:asciiTheme="minorEastAsia" w:hAnsiTheme="minorEastAsia" w:eastAsiaTheme="minorEastAsia"/>
          <w:szCs w:val="21"/>
        </w:rPr>
        <w:t>8.1 招标文件用以阐明采购项目所需的资质、技术、服务及报价等要求、招标投标程序、评标办法与标准、有关规定和注意事项以及合同主要条款等。本招标文件包括以下内容：</w:t>
      </w:r>
    </w:p>
    <w:p>
      <w:pPr>
        <w:autoSpaceDE w:val="0"/>
        <w:autoSpaceDN w:val="0"/>
        <w:adjustRightInd w:val="0"/>
        <w:spacing w:line="460" w:lineRule="exact"/>
        <w:ind w:right="6"/>
        <w:rPr>
          <w:rFonts w:asciiTheme="minorEastAsia" w:hAnsiTheme="minorEastAsia" w:eastAsiaTheme="minorEastAsia"/>
          <w:szCs w:val="21"/>
        </w:rPr>
      </w:pPr>
      <w:r>
        <w:rPr>
          <w:rFonts w:hint="eastAsia" w:asciiTheme="minorEastAsia" w:hAnsiTheme="minorEastAsia" w:eastAsiaTheme="minorEastAsia"/>
          <w:szCs w:val="21"/>
        </w:rPr>
        <w:t xml:space="preserve">    （1）招标公告 </w:t>
      </w:r>
    </w:p>
    <w:p>
      <w:pPr>
        <w:autoSpaceDE w:val="0"/>
        <w:autoSpaceDN w:val="0"/>
        <w:adjustRightInd w:val="0"/>
        <w:spacing w:line="460" w:lineRule="exact"/>
        <w:ind w:right="6"/>
        <w:rPr>
          <w:rFonts w:asciiTheme="minorEastAsia" w:hAnsiTheme="minorEastAsia" w:eastAsiaTheme="minorEastAsia"/>
          <w:szCs w:val="21"/>
        </w:rPr>
      </w:pPr>
      <w:r>
        <w:rPr>
          <w:rFonts w:hint="eastAsia" w:asciiTheme="minorEastAsia" w:hAnsiTheme="minorEastAsia" w:eastAsiaTheme="minorEastAsia"/>
          <w:szCs w:val="21"/>
        </w:rPr>
        <w:t xml:space="preserve">    （2）投标供应商须知</w:t>
      </w:r>
    </w:p>
    <w:p>
      <w:pPr>
        <w:autoSpaceDE w:val="0"/>
        <w:autoSpaceDN w:val="0"/>
        <w:adjustRightInd w:val="0"/>
        <w:spacing w:line="460" w:lineRule="exact"/>
        <w:ind w:right="6"/>
        <w:rPr>
          <w:rFonts w:asciiTheme="minorEastAsia" w:hAnsiTheme="minorEastAsia" w:eastAsiaTheme="minorEastAsia"/>
          <w:szCs w:val="21"/>
        </w:rPr>
      </w:pPr>
      <w:r>
        <w:rPr>
          <w:rFonts w:hint="eastAsia" w:asciiTheme="minorEastAsia" w:hAnsiTheme="minorEastAsia" w:eastAsiaTheme="minorEastAsia"/>
          <w:szCs w:val="21"/>
        </w:rPr>
        <w:t xml:space="preserve">    （3）评标办法</w:t>
      </w:r>
    </w:p>
    <w:p>
      <w:pPr>
        <w:autoSpaceDE w:val="0"/>
        <w:autoSpaceDN w:val="0"/>
        <w:adjustRightInd w:val="0"/>
        <w:spacing w:line="460" w:lineRule="exact"/>
        <w:ind w:right="6"/>
        <w:rPr>
          <w:rFonts w:asciiTheme="minorEastAsia" w:hAnsiTheme="minorEastAsia" w:eastAsiaTheme="minorEastAsia"/>
          <w:szCs w:val="21"/>
        </w:rPr>
      </w:pPr>
      <w:r>
        <w:rPr>
          <w:rFonts w:hint="eastAsia" w:asciiTheme="minorEastAsia" w:hAnsiTheme="minorEastAsia" w:eastAsiaTheme="minorEastAsia"/>
          <w:szCs w:val="21"/>
        </w:rPr>
        <w:t xml:space="preserve">    （4）采购内容及技术要求</w:t>
      </w:r>
    </w:p>
    <w:p>
      <w:pPr>
        <w:autoSpaceDE w:val="0"/>
        <w:autoSpaceDN w:val="0"/>
        <w:adjustRightInd w:val="0"/>
        <w:spacing w:line="460" w:lineRule="exact"/>
        <w:ind w:right="6"/>
        <w:rPr>
          <w:rFonts w:asciiTheme="minorEastAsia" w:hAnsiTheme="minorEastAsia" w:eastAsiaTheme="minorEastAsia"/>
          <w:szCs w:val="21"/>
        </w:rPr>
      </w:pPr>
      <w:r>
        <w:rPr>
          <w:rFonts w:hint="eastAsia" w:asciiTheme="minorEastAsia" w:hAnsiTheme="minorEastAsia" w:eastAsiaTheme="minorEastAsia"/>
          <w:szCs w:val="21"/>
        </w:rPr>
        <w:t xml:space="preserve">    （5）合同条款</w:t>
      </w:r>
    </w:p>
    <w:p>
      <w:pPr>
        <w:autoSpaceDE w:val="0"/>
        <w:autoSpaceDN w:val="0"/>
        <w:adjustRightInd w:val="0"/>
        <w:spacing w:line="460" w:lineRule="exact"/>
        <w:ind w:right="6" w:firstLine="420"/>
        <w:rPr>
          <w:rFonts w:asciiTheme="minorEastAsia" w:hAnsiTheme="minorEastAsia" w:eastAsiaTheme="minorEastAsia"/>
          <w:szCs w:val="21"/>
        </w:rPr>
      </w:pPr>
      <w:r>
        <w:rPr>
          <w:rFonts w:hint="eastAsia" w:asciiTheme="minorEastAsia" w:hAnsiTheme="minorEastAsia" w:eastAsiaTheme="minorEastAsia"/>
          <w:szCs w:val="21"/>
        </w:rPr>
        <w:t>（6）投标文件构成及格式</w:t>
      </w:r>
    </w:p>
    <w:p>
      <w:pPr>
        <w:spacing w:line="460" w:lineRule="exact"/>
        <w:ind w:firstLine="420" w:firstLineChars="200"/>
        <w:rPr>
          <w:rFonts w:ascii="宋体" w:hAnsi="宋体"/>
          <w:szCs w:val="21"/>
        </w:rPr>
      </w:pPr>
      <w:r>
        <w:rPr>
          <w:rFonts w:hint="eastAsia" w:ascii="宋体" w:hAnsi="宋体"/>
          <w:szCs w:val="21"/>
        </w:rPr>
        <w:t>（7）答疑纪要为招标文件的组成部分，与招标文件具有同等法律效力。</w:t>
      </w:r>
    </w:p>
    <w:p>
      <w:pPr>
        <w:autoSpaceDE w:val="0"/>
        <w:autoSpaceDN w:val="0"/>
        <w:adjustRightInd w:val="0"/>
        <w:spacing w:line="460" w:lineRule="exact"/>
        <w:ind w:right="6" w:firstLine="210" w:firstLineChars="100"/>
        <w:rPr>
          <w:rFonts w:asciiTheme="minorEastAsia" w:hAnsiTheme="minorEastAsia" w:eastAsiaTheme="minorEastAsia"/>
          <w:szCs w:val="21"/>
        </w:rPr>
      </w:pPr>
      <w:r>
        <w:rPr>
          <w:rFonts w:hint="eastAsia" w:asciiTheme="minorEastAsia" w:hAnsiTheme="minorEastAsia" w:eastAsiaTheme="minorEastAsia"/>
          <w:szCs w:val="21"/>
        </w:rPr>
        <w:t>8.2 招标的最小单位是合同包。采购要求或技术要求中未进行分合同包的，投标人对要求提供的货物和服务不得部分投标；采购要求或技术要求中进行分合同包的，以分包的合同包为单位投标。</w:t>
      </w:r>
    </w:p>
    <w:p>
      <w:pPr>
        <w:autoSpaceDE w:val="0"/>
        <w:autoSpaceDN w:val="0"/>
        <w:adjustRightInd w:val="0"/>
        <w:spacing w:line="460" w:lineRule="exact"/>
        <w:ind w:right="6" w:firstLine="210" w:firstLineChars="100"/>
        <w:rPr>
          <w:rFonts w:asciiTheme="minorEastAsia" w:hAnsiTheme="minorEastAsia" w:eastAsiaTheme="minorEastAsia"/>
          <w:szCs w:val="21"/>
        </w:rPr>
      </w:pPr>
      <w:r>
        <w:rPr>
          <w:rFonts w:hint="eastAsia" w:asciiTheme="minorEastAsia" w:hAnsiTheme="minorEastAsia" w:eastAsiaTheme="minorEastAsia"/>
          <w:szCs w:val="21"/>
        </w:rPr>
        <w:t>8.3 投标供应商应认真阅读和充分理解招标文件中所有的事项、格式条款和规范要求。如果投标供应商没有按照招标文件要求提交全部资料，或者投标文件没有对招标文件在各方面都做出实质性响应，由此带来的不利于投标供应商的评标结果，其风险由投标供应商承担。</w:t>
      </w:r>
    </w:p>
    <w:p>
      <w:pPr>
        <w:autoSpaceDE w:val="0"/>
        <w:autoSpaceDN w:val="0"/>
        <w:adjustRightInd w:val="0"/>
        <w:spacing w:line="460" w:lineRule="exact"/>
        <w:ind w:right="6"/>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9、招标文件的询问、澄清或者修改</w:t>
      </w:r>
    </w:p>
    <w:p>
      <w:pPr>
        <w:autoSpaceDE w:val="0"/>
        <w:autoSpaceDN w:val="0"/>
        <w:adjustRightInd w:val="0"/>
        <w:snapToGrid w:val="0"/>
        <w:spacing w:line="460" w:lineRule="exact"/>
        <w:ind w:firstLine="420" w:firstLineChars="200"/>
        <w:rPr>
          <w:rFonts w:ascii="宋体" w:hAnsi="宋体"/>
          <w:szCs w:val="21"/>
        </w:rPr>
      </w:pPr>
      <w:r>
        <w:rPr>
          <w:rFonts w:hint="eastAsia" w:asciiTheme="minorEastAsia" w:hAnsiTheme="minorEastAsia" w:eastAsiaTheme="minorEastAsia"/>
          <w:szCs w:val="21"/>
        </w:rPr>
        <w:t>提交投标文件截止之日前，采购人或采购代理机构可能对已发出的招标文件进行澄清或者修改，采购代理机构将在财政部门指定的“政府采购信息发布媒体”上发布变更公告，澄清或者修改的内容为招标文件的组成部分。当澄清或修改的内容可能影响投标文件编制且发布时间距投标截止时间不足15日的，将顺延提交投标文件截止时间。</w:t>
      </w:r>
    </w:p>
    <w:p>
      <w:pPr>
        <w:autoSpaceDE w:val="0"/>
        <w:autoSpaceDN w:val="0"/>
        <w:adjustRightInd w:val="0"/>
        <w:snapToGrid w:val="0"/>
        <w:spacing w:line="460" w:lineRule="exact"/>
        <w:rPr>
          <w:rFonts w:ascii="宋体" w:hAnsi="宋体"/>
          <w:b/>
          <w:szCs w:val="21"/>
        </w:rPr>
      </w:pPr>
      <w:r>
        <w:rPr>
          <w:rFonts w:ascii="宋体" w:hAnsi="宋体"/>
          <w:b/>
          <w:szCs w:val="21"/>
        </w:rPr>
        <w:t>1</w:t>
      </w:r>
      <w:r>
        <w:rPr>
          <w:rFonts w:hint="eastAsia" w:ascii="宋体" w:hAnsi="宋体"/>
          <w:b/>
          <w:szCs w:val="21"/>
        </w:rPr>
        <w:t>0、答疑会或现场考察</w:t>
      </w:r>
    </w:p>
    <w:p>
      <w:pPr>
        <w:adjustRightInd w:val="0"/>
        <w:snapToGrid w:val="0"/>
        <w:spacing w:line="460" w:lineRule="exact"/>
        <w:ind w:firstLine="210" w:firstLineChars="100"/>
        <w:rPr>
          <w:rFonts w:ascii="宋体" w:hAnsi="宋体"/>
          <w:szCs w:val="21"/>
        </w:rPr>
      </w:pPr>
      <w:r>
        <w:rPr>
          <w:rFonts w:hint="eastAsia" w:ascii="宋体" w:hAnsi="宋体"/>
          <w:szCs w:val="21"/>
        </w:rPr>
        <w:t>10.1 采购人可以根据项目实际情况决定是否组织现场踏勘\标前集中答疑。投标供应商须知前附表中明确载明安排上述活动的，各投标供应商应派出技术、预算等相关人员，在招标文件约定的时间、地点参加现场踏勘\标前集中答疑。</w:t>
      </w:r>
    </w:p>
    <w:p>
      <w:pPr>
        <w:adjustRightInd w:val="0"/>
        <w:snapToGrid w:val="0"/>
        <w:spacing w:line="460" w:lineRule="exact"/>
        <w:ind w:firstLine="210" w:firstLineChars="100"/>
        <w:rPr>
          <w:rFonts w:ascii="宋体" w:hAnsi="宋体"/>
          <w:szCs w:val="21"/>
        </w:rPr>
      </w:pPr>
      <w:r>
        <w:rPr>
          <w:rFonts w:hint="eastAsia" w:ascii="宋体" w:hAnsi="宋体"/>
          <w:szCs w:val="21"/>
        </w:rPr>
        <w:t>10.2 投标供应商代表可在采购人指引下就采购内容相关数据进行实地测量，需要采购人或采购代理机构解答的问题可以以口头或书面形式做出。口头问题，口头答复；书面问题，将由采购人和采购代理机构整理后，发布《答疑纪要》。答疑纪要是招标文件的组成部分，与招标文件中表述不一致的内容，以答疑纪要为准。</w:t>
      </w:r>
    </w:p>
    <w:p>
      <w:pPr>
        <w:adjustRightInd w:val="0"/>
        <w:snapToGrid w:val="0"/>
        <w:spacing w:line="460" w:lineRule="exact"/>
        <w:ind w:firstLine="210" w:firstLineChars="100"/>
        <w:rPr>
          <w:rFonts w:ascii="宋体" w:hAnsi="宋体"/>
          <w:szCs w:val="21"/>
        </w:rPr>
      </w:pPr>
      <w:r>
        <w:rPr>
          <w:rFonts w:hint="eastAsia" w:ascii="宋体" w:hAnsi="宋体"/>
          <w:szCs w:val="21"/>
        </w:rPr>
        <w:t>10.3 凡未参加现场踏勘和集中答疑的投标供应商，由此带来的不利后果由该投标供应商自行承担。</w:t>
      </w:r>
    </w:p>
    <w:p>
      <w:pPr>
        <w:adjustRightInd w:val="0"/>
        <w:snapToGrid w:val="0"/>
        <w:spacing w:line="460" w:lineRule="exact"/>
        <w:ind w:firstLine="210" w:firstLineChars="100"/>
        <w:rPr>
          <w:rFonts w:ascii="宋体" w:hAnsi="宋体"/>
          <w:szCs w:val="21"/>
        </w:rPr>
      </w:pPr>
      <w:r>
        <w:rPr>
          <w:rFonts w:ascii="宋体" w:hAnsi="宋体"/>
          <w:szCs w:val="21"/>
        </w:rPr>
        <w:t>1</w:t>
      </w:r>
      <w:r>
        <w:rPr>
          <w:rFonts w:hint="eastAsia" w:ascii="宋体" w:hAnsi="宋体"/>
          <w:szCs w:val="21"/>
        </w:rPr>
        <w:t>0</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答疑或考察现场所发生的一切费用由投标供应商自行承担。</w:t>
      </w:r>
    </w:p>
    <w:p>
      <w:pPr>
        <w:autoSpaceDE w:val="0"/>
        <w:autoSpaceDN w:val="0"/>
        <w:adjustRightInd w:val="0"/>
        <w:snapToGrid w:val="0"/>
        <w:spacing w:line="460" w:lineRule="exact"/>
        <w:rPr>
          <w:rFonts w:ascii="宋体" w:hAnsi="宋体" w:cs="宋体"/>
          <w:b/>
          <w:bCs/>
          <w:kern w:val="0"/>
          <w:szCs w:val="21"/>
        </w:rPr>
      </w:pPr>
      <w:r>
        <w:rPr>
          <w:rFonts w:ascii="宋体" w:hAnsi="宋体" w:cs="宋体"/>
          <w:b/>
          <w:bCs/>
          <w:kern w:val="0"/>
          <w:szCs w:val="21"/>
        </w:rPr>
        <w:t>1</w:t>
      </w:r>
      <w:r>
        <w:rPr>
          <w:rFonts w:hint="eastAsia" w:ascii="宋体" w:hAnsi="宋体" w:cs="宋体"/>
          <w:b/>
          <w:bCs/>
          <w:kern w:val="0"/>
          <w:szCs w:val="21"/>
        </w:rPr>
        <w:t>1、投标保证金</w:t>
      </w:r>
    </w:p>
    <w:p>
      <w:pPr>
        <w:adjustRightInd w:val="0"/>
        <w:snapToGrid w:val="0"/>
        <w:spacing w:line="460" w:lineRule="exact"/>
        <w:ind w:firstLine="420" w:firstLineChars="200"/>
        <w:rPr>
          <w:rFonts w:ascii="宋体" w:hAnsi="宋体"/>
          <w:szCs w:val="21"/>
        </w:rPr>
      </w:pPr>
      <w:r>
        <w:rPr>
          <w:rFonts w:hint="eastAsia" w:ascii="宋体" w:hAnsi="宋体"/>
          <w:szCs w:val="21"/>
          <w:lang w:val="en-US" w:eastAsia="zh-CN"/>
        </w:rPr>
        <w:t>详见投标供应商须知前附表</w:t>
      </w:r>
      <w:r>
        <w:rPr>
          <w:rFonts w:hint="eastAsia" w:ascii="宋体" w:hAnsi="宋体"/>
          <w:szCs w:val="21"/>
        </w:rPr>
        <w:t>。</w:t>
      </w:r>
    </w:p>
    <w:p>
      <w:pPr>
        <w:autoSpaceDE w:val="0"/>
        <w:autoSpaceDN w:val="0"/>
        <w:adjustRightInd w:val="0"/>
        <w:snapToGrid w:val="0"/>
        <w:spacing w:line="460" w:lineRule="exact"/>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12</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投标</w:t>
      </w:r>
      <w:r>
        <w:rPr>
          <w:rFonts w:asciiTheme="minorEastAsia" w:hAnsiTheme="minorEastAsia" w:eastAsiaTheme="minorEastAsia"/>
          <w:b/>
          <w:bCs/>
          <w:kern w:val="0"/>
          <w:szCs w:val="21"/>
        </w:rPr>
        <w:t>有效期</w:t>
      </w:r>
    </w:p>
    <w:p>
      <w:pPr>
        <w:autoSpaceDE w:val="0"/>
        <w:autoSpaceDN w:val="0"/>
        <w:adjustRightInd w:val="0"/>
        <w:spacing w:line="460" w:lineRule="exact"/>
        <w:ind w:right="6" w:firstLine="210" w:firstLineChars="100"/>
        <w:rPr>
          <w:rFonts w:asciiTheme="minorEastAsia" w:hAnsiTheme="minorEastAsia" w:eastAsiaTheme="minorEastAsia"/>
        </w:rPr>
      </w:pPr>
      <w:r>
        <w:rPr>
          <w:rFonts w:hint="eastAsia" w:asciiTheme="minorEastAsia" w:hAnsiTheme="minorEastAsia" w:eastAsiaTheme="minorEastAsia"/>
        </w:rPr>
        <w:t>12.1 投标有效期见投标供应商须知前附表。投标有效期短于此规定期限的投标，将被拒绝。</w:t>
      </w:r>
    </w:p>
    <w:p>
      <w:pPr>
        <w:autoSpaceDE w:val="0"/>
        <w:autoSpaceDN w:val="0"/>
        <w:adjustRightInd w:val="0"/>
        <w:spacing w:line="460" w:lineRule="exact"/>
        <w:ind w:right="6" w:firstLine="210" w:firstLineChars="100"/>
        <w:rPr>
          <w:rFonts w:asciiTheme="minorEastAsia" w:hAnsiTheme="minorEastAsia" w:eastAsiaTheme="minorEastAsia"/>
        </w:rPr>
      </w:pPr>
      <w:r>
        <w:rPr>
          <w:rFonts w:hint="eastAsia" w:asciiTheme="minorEastAsia" w:hAnsiTheme="minorEastAsia" w:eastAsiaTheme="minorEastAsia"/>
        </w:rPr>
        <w:t xml:space="preserve">12.2 </w:t>
      </w:r>
      <w:r>
        <w:rPr>
          <w:rFonts w:hint="eastAsia" w:asciiTheme="minorEastAsia" w:hAnsiTheme="minorEastAsia" w:eastAsiaTheme="minorEastAsia"/>
          <w:szCs w:val="21"/>
        </w:rPr>
        <w:t>特殊情况下，可于投标有效期满之前要求投标供应商同意延长有效期。投标供应商可以拒绝上述要求，拒绝延长投标有效期的</w:t>
      </w:r>
      <w:r>
        <w:rPr>
          <w:rFonts w:hint="eastAsia" w:asciiTheme="minorEastAsia" w:hAnsiTheme="minorEastAsia" w:eastAsiaTheme="minorEastAsia"/>
        </w:rPr>
        <w:t>投标供应商</w:t>
      </w:r>
      <w:r>
        <w:rPr>
          <w:rFonts w:hint="eastAsia" w:asciiTheme="minorEastAsia" w:hAnsiTheme="minorEastAsia" w:eastAsiaTheme="minorEastAsia"/>
          <w:szCs w:val="21"/>
        </w:rPr>
        <w:t>不得再参与该项目后续采购活动。同意延长投标有效期的</w:t>
      </w:r>
      <w:r>
        <w:rPr>
          <w:rFonts w:hint="eastAsia" w:asciiTheme="minorEastAsia" w:hAnsiTheme="minorEastAsia" w:eastAsiaTheme="minorEastAsia"/>
        </w:rPr>
        <w:t>投标供应商</w:t>
      </w:r>
      <w:r>
        <w:rPr>
          <w:rFonts w:hint="eastAsia" w:asciiTheme="minorEastAsia" w:hAnsiTheme="minorEastAsia" w:eastAsiaTheme="minorEastAsia"/>
          <w:szCs w:val="21"/>
        </w:rPr>
        <w:t>不能修改其投标文件。</w:t>
      </w:r>
    </w:p>
    <w:p>
      <w:pPr>
        <w:spacing w:line="460" w:lineRule="exact"/>
        <w:jc w:val="center"/>
        <w:rPr>
          <w:rFonts w:asciiTheme="minorEastAsia" w:hAnsiTheme="minorEastAsia" w:eastAsiaTheme="minorEastAsia"/>
          <w:b/>
          <w:sz w:val="28"/>
          <w:szCs w:val="28"/>
        </w:rPr>
      </w:pPr>
      <w:r>
        <w:rPr>
          <w:rFonts w:asciiTheme="minorEastAsia" w:hAnsiTheme="minorEastAsia" w:eastAsiaTheme="minorEastAsia"/>
          <w:b/>
          <w:sz w:val="28"/>
          <w:szCs w:val="28"/>
        </w:rPr>
        <w:t>三、投标文件</w:t>
      </w:r>
    </w:p>
    <w:p>
      <w:pPr>
        <w:autoSpaceDE w:val="0"/>
        <w:autoSpaceDN w:val="0"/>
        <w:adjustRightInd w:val="0"/>
        <w:spacing w:line="460" w:lineRule="exact"/>
        <w:ind w:right="6"/>
        <w:rPr>
          <w:rFonts w:asciiTheme="minorEastAsia" w:hAnsiTheme="minorEastAsia" w:eastAsiaTheme="minorEastAsia"/>
          <w:szCs w:val="21"/>
        </w:rPr>
      </w:pPr>
      <w:r>
        <w:rPr>
          <w:rFonts w:hint="eastAsia" w:cs="宋体" w:asciiTheme="minorEastAsia" w:hAnsiTheme="minorEastAsia" w:eastAsiaTheme="minorEastAsia"/>
          <w:b/>
          <w:bCs/>
          <w:kern w:val="0"/>
          <w:szCs w:val="21"/>
        </w:rPr>
        <w:t>13、投标</w:t>
      </w:r>
      <w:r>
        <w:rPr>
          <w:rFonts w:hint="eastAsia" w:asciiTheme="minorEastAsia" w:hAnsiTheme="minorEastAsia" w:eastAsiaTheme="minorEastAsia"/>
          <w:b/>
          <w:szCs w:val="21"/>
        </w:rPr>
        <w:t>文件内容的真实性</w:t>
      </w:r>
    </w:p>
    <w:p>
      <w:pPr>
        <w:autoSpaceDE w:val="0"/>
        <w:autoSpaceDN w:val="0"/>
        <w:adjustRightInd w:val="0"/>
        <w:spacing w:line="460" w:lineRule="exact"/>
        <w:ind w:right="6"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供应商应保证其投标文件中所提供的所有有关资料、信息是真实的，并且来源于合法的渠道。因投标文件中所提供的有关资料、信息不真实，或者其来源不合法而导致的所有法律责任，由投标供应商自行承担。</w:t>
      </w:r>
    </w:p>
    <w:p>
      <w:pPr>
        <w:spacing w:line="460" w:lineRule="exact"/>
        <w:ind w:left="422" w:hanging="422" w:hangingChars="200"/>
        <w:rPr>
          <w:rFonts w:asciiTheme="minorEastAsia" w:hAnsiTheme="minorEastAsia" w:eastAsiaTheme="minorEastAsia"/>
          <w:szCs w:val="21"/>
        </w:rPr>
      </w:pPr>
      <w:r>
        <w:rPr>
          <w:rFonts w:asciiTheme="minorEastAsia" w:hAnsiTheme="minorEastAsia" w:eastAsiaTheme="minorEastAsia"/>
          <w:b/>
          <w:szCs w:val="21"/>
        </w:rPr>
        <w:t>1</w:t>
      </w:r>
      <w:r>
        <w:rPr>
          <w:rFonts w:hint="eastAsia" w:asciiTheme="minorEastAsia" w:hAnsiTheme="minorEastAsia" w:eastAsiaTheme="minorEastAsia"/>
          <w:b/>
          <w:szCs w:val="21"/>
        </w:rPr>
        <w:t>4</w:t>
      </w:r>
      <w:r>
        <w:rPr>
          <w:rFonts w:asciiTheme="minorEastAsia" w:hAnsiTheme="minorEastAsia" w:eastAsiaTheme="minorEastAsia"/>
          <w:b/>
          <w:szCs w:val="21"/>
        </w:rPr>
        <w:t>、投标文件的组成</w:t>
      </w:r>
    </w:p>
    <w:p>
      <w:pPr>
        <w:shd w:val="clear" w:color="auto" w:fill="FFFFFF"/>
        <w:adjustRightInd w:val="0"/>
        <w:snapToGrid w:val="0"/>
        <w:spacing w:line="460" w:lineRule="exact"/>
        <w:ind w:firstLine="210" w:firstLineChars="1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4</w:t>
      </w:r>
      <w:r>
        <w:rPr>
          <w:rFonts w:asciiTheme="minorEastAsia" w:hAnsiTheme="minorEastAsia" w:eastAsiaTheme="minorEastAsia"/>
        </w:rPr>
        <w:t>.1</w:t>
      </w:r>
      <w:r>
        <w:rPr>
          <w:rFonts w:hint="eastAsia" w:asciiTheme="minorEastAsia" w:hAnsiTheme="minorEastAsia" w:eastAsiaTheme="minorEastAsia"/>
        </w:rPr>
        <w:t>投标供应商编写的投标文件组成详见第六章投标文件格式内容。</w:t>
      </w:r>
    </w:p>
    <w:p>
      <w:pPr>
        <w:shd w:val="clear" w:color="auto" w:fill="FFFFFF"/>
        <w:adjustRightInd w:val="0"/>
        <w:snapToGrid w:val="0"/>
        <w:spacing w:line="460" w:lineRule="exact"/>
        <w:ind w:firstLine="210" w:firstLineChars="100"/>
        <w:rPr>
          <w:rFonts w:asciiTheme="minorEastAsia" w:hAnsiTheme="minorEastAsia" w:eastAsiaTheme="minorEastAsia"/>
          <w:color w:val="FF0000"/>
        </w:rPr>
      </w:pPr>
      <w:r>
        <w:rPr>
          <w:rFonts w:asciiTheme="minorEastAsia" w:hAnsiTheme="minorEastAsia" w:eastAsiaTheme="minorEastAsia"/>
        </w:rPr>
        <w:t>1</w:t>
      </w:r>
      <w:r>
        <w:rPr>
          <w:rFonts w:hint="eastAsia" w:asciiTheme="minorEastAsia" w:hAnsiTheme="minorEastAsia" w:eastAsiaTheme="minorEastAsia"/>
        </w:rPr>
        <w:t>4</w:t>
      </w:r>
      <w:r>
        <w:rPr>
          <w:rFonts w:asciiTheme="minorEastAsia" w:hAnsiTheme="minorEastAsia" w:eastAsiaTheme="minorEastAsia"/>
        </w:rPr>
        <w:t>.2</w:t>
      </w:r>
      <w:r>
        <w:rPr>
          <w:rFonts w:hint="eastAsia" w:asciiTheme="minorEastAsia" w:hAnsiTheme="minorEastAsia" w:eastAsiaTheme="minorEastAsia"/>
        </w:rPr>
        <w:t>投标供应商提供材料必须真实有效，任何一项的虚假将导致其投标被拒绝。</w:t>
      </w:r>
    </w:p>
    <w:p>
      <w:pPr>
        <w:spacing w:line="460" w:lineRule="exact"/>
        <w:rPr>
          <w:rFonts w:ascii="宋体" w:hAnsi="宋体"/>
          <w:b/>
          <w:szCs w:val="21"/>
        </w:rPr>
      </w:pPr>
      <w:r>
        <w:rPr>
          <w:rFonts w:ascii="宋体" w:hAnsi="宋体"/>
          <w:b/>
          <w:szCs w:val="21"/>
        </w:rPr>
        <w:t>1</w:t>
      </w:r>
      <w:r>
        <w:rPr>
          <w:rFonts w:hint="eastAsia" w:ascii="宋体" w:hAnsi="宋体"/>
          <w:b/>
          <w:szCs w:val="21"/>
        </w:rPr>
        <w:t>5</w:t>
      </w:r>
      <w:r>
        <w:rPr>
          <w:rFonts w:ascii="宋体" w:hAnsi="宋体"/>
          <w:b/>
          <w:szCs w:val="21"/>
        </w:rPr>
        <w:t>、</w:t>
      </w:r>
      <w:r>
        <w:rPr>
          <w:rFonts w:hint="eastAsia" w:ascii="宋体" w:hAnsi="宋体"/>
          <w:b/>
          <w:szCs w:val="21"/>
        </w:rPr>
        <w:t>投标</w:t>
      </w:r>
      <w:r>
        <w:rPr>
          <w:rFonts w:ascii="宋体" w:hAnsi="宋体"/>
          <w:b/>
          <w:szCs w:val="21"/>
        </w:rPr>
        <w:t>报价</w:t>
      </w:r>
    </w:p>
    <w:p>
      <w:pPr>
        <w:autoSpaceDE w:val="0"/>
        <w:autoSpaceDN w:val="0"/>
        <w:adjustRightInd w:val="0"/>
        <w:snapToGrid w:val="0"/>
        <w:spacing w:line="460" w:lineRule="exact"/>
        <w:ind w:firstLine="210" w:firstLineChars="100"/>
        <w:rPr>
          <w:rFonts w:ascii="宋体" w:hAnsi="宋体"/>
          <w:szCs w:val="21"/>
        </w:rPr>
      </w:pPr>
      <w:r>
        <w:rPr>
          <w:rFonts w:hint="eastAsia" w:ascii="宋体" w:hAnsi="宋体"/>
          <w:szCs w:val="21"/>
        </w:rPr>
        <w:t>15.1 投标供应商按照招标文件要求填写“开标一览表”。凡超过项目最高限价的投标报价视为不实质性响应招标文件，按无效投标处理。</w:t>
      </w:r>
    </w:p>
    <w:p>
      <w:pPr>
        <w:autoSpaceDE w:val="0"/>
        <w:autoSpaceDN w:val="0"/>
        <w:adjustRightInd w:val="0"/>
        <w:snapToGrid w:val="0"/>
        <w:spacing w:line="460" w:lineRule="exact"/>
        <w:ind w:firstLine="210" w:firstLineChars="100"/>
        <w:rPr>
          <w:rFonts w:ascii="宋体" w:hAnsi="宋体"/>
          <w:szCs w:val="21"/>
        </w:rPr>
      </w:pPr>
      <w:r>
        <w:rPr>
          <w:rFonts w:hint="eastAsia" w:ascii="宋体" w:hAnsi="宋体"/>
          <w:szCs w:val="21"/>
        </w:rPr>
        <w:t>15.2</w:t>
      </w:r>
      <w:r>
        <w:rPr>
          <w:rFonts w:ascii="宋体" w:hAnsi="宋体"/>
          <w:szCs w:val="21"/>
        </w:rPr>
        <w:t xml:space="preserve"> </w:t>
      </w:r>
      <w:r>
        <w:rPr>
          <w:rFonts w:hint="eastAsia" w:ascii="宋体" w:hAnsi="宋体"/>
          <w:szCs w:val="21"/>
        </w:rPr>
        <w:t>投标报价是投标供应商响应采购项目的全部工作内容的价格体现。包括但不限于货物（设施）设备、辅材、运输、仓储、保管、保险、装卸、安装、调试、技术培训、售后维护服务、验收、利润、相关税费及市场价格风险等在内一切相关费用。</w:t>
      </w:r>
    </w:p>
    <w:p>
      <w:pPr>
        <w:autoSpaceDE w:val="0"/>
        <w:autoSpaceDN w:val="0"/>
        <w:adjustRightInd w:val="0"/>
        <w:snapToGrid w:val="0"/>
        <w:spacing w:line="460" w:lineRule="exact"/>
        <w:ind w:firstLine="210" w:firstLineChars="100"/>
        <w:rPr>
          <w:rFonts w:ascii="宋体" w:hAnsi="宋体"/>
          <w:szCs w:val="21"/>
        </w:rPr>
      </w:pPr>
      <w:r>
        <w:rPr>
          <w:rFonts w:hint="eastAsia" w:ascii="宋体" w:hAnsi="宋体"/>
          <w:szCs w:val="21"/>
        </w:rPr>
        <w:t>15.3</w:t>
      </w:r>
      <w:r>
        <w:rPr>
          <w:rFonts w:ascii="宋体" w:hAnsi="宋体"/>
          <w:szCs w:val="21"/>
        </w:rPr>
        <w:t xml:space="preserve"> </w:t>
      </w:r>
      <w:r>
        <w:rPr>
          <w:rFonts w:hint="eastAsia" w:ascii="宋体" w:hAnsi="宋体"/>
          <w:szCs w:val="21"/>
        </w:rPr>
        <w:t>投标供应商</w:t>
      </w:r>
      <w:r>
        <w:rPr>
          <w:rFonts w:hint="eastAsia" w:asciiTheme="minorEastAsia" w:hAnsiTheme="minorEastAsia" w:eastAsiaTheme="minorEastAsia"/>
          <w:szCs w:val="21"/>
        </w:rPr>
        <w:t>在报价时应充分考虑所有可能发生的费用，招标文件未列明，而投标供应商认为应当计取的费用均应列入报价中。报价时不论是否计取，采购人均按已计取对待。</w:t>
      </w:r>
    </w:p>
    <w:p>
      <w:pPr>
        <w:autoSpaceDE w:val="0"/>
        <w:autoSpaceDN w:val="0"/>
        <w:adjustRightInd w:val="0"/>
        <w:snapToGrid w:val="0"/>
        <w:spacing w:line="460" w:lineRule="exact"/>
        <w:ind w:firstLine="210" w:firstLineChars="100"/>
        <w:rPr>
          <w:rFonts w:ascii="宋体" w:hAnsi="宋体"/>
          <w:szCs w:val="21"/>
        </w:rPr>
      </w:pPr>
      <w:r>
        <w:rPr>
          <w:rFonts w:hint="eastAsia" w:ascii="宋体" w:hAnsi="宋体"/>
          <w:szCs w:val="21"/>
        </w:rPr>
        <w:t>15.4 投标</w:t>
      </w:r>
      <w:r>
        <w:rPr>
          <w:rFonts w:hint="eastAsia" w:asciiTheme="minorEastAsia" w:hAnsiTheme="minorEastAsia" w:eastAsiaTheme="minorEastAsia"/>
          <w:szCs w:val="21"/>
        </w:rPr>
        <w:t>供应商应严格按照《投标文件格式》中《开标一览表》的相关要求填写报价及其他需要响应的内容。投标报价只能提交唯一报价，任何有选择的报价将不予接受，按无效投标处理。</w:t>
      </w:r>
    </w:p>
    <w:p>
      <w:pPr>
        <w:autoSpaceDE w:val="0"/>
        <w:autoSpaceDN w:val="0"/>
        <w:adjustRightInd w:val="0"/>
        <w:snapToGrid w:val="0"/>
        <w:spacing w:line="460" w:lineRule="exact"/>
        <w:ind w:firstLine="210" w:firstLineChars="100"/>
        <w:rPr>
          <w:rFonts w:ascii="宋体" w:hAnsi="宋体"/>
          <w:szCs w:val="21"/>
        </w:rPr>
      </w:pPr>
      <w:r>
        <w:rPr>
          <w:rFonts w:hint="eastAsia" w:ascii="宋体" w:hAnsi="宋体"/>
          <w:szCs w:val="21"/>
        </w:rPr>
        <w:t>15.5</w:t>
      </w:r>
      <w:r>
        <w:rPr>
          <w:rFonts w:ascii="宋体" w:hAnsi="宋体"/>
          <w:szCs w:val="21"/>
        </w:rPr>
        <w:t xml:space="preserve"> </w:t>
      </w:r>
      <w:r>
        <w:rPr>
          <w:rFonts w:hint="eastAsia" w:ascii="宋体" w:hAnsi="宋体"/>
          <w:szCs w:val="21"/>
        </w:rPr>
        <w:t>因投标供应商对招标文件理解不透、误解、疏漏或对市场行情了解不清造成的后果和风险，均由投标供应商自行负责。</w:t>
      </w:r>
    </w:p>
    <w:p>
      <w:pPr>
        <w:autoSpaceDE w:val="0"/>
        <w:autoSpaceDN w:val="0"/>
        <w:adjustRightInd w:val="0"/>
        <w:snapToGrid w:val="0"/>
        <w:spacing w:line="460" w:lineRule="exact"/>
        <w:rPr>
          <w:rFonts w:asciiTheme="minorEastAsia" w:hAnsiTheme="minorEastAsia" w:eastAsiaTheme="minorEastAsia"/>
          <w:b/>
          <w:bCs/>
          <w:kern w:val="0"/>
          <w:szCs w:val="21"/>
        </w:rPr>
      </w:pPr>
      <w:r>
        <w:rPr>
          <w:rFonts w:asciiTheme="minorEastAsia" w:hAnsiTheme="minorEastAsia" w:eastAsiaTheme="minorEastAsia"/>
          <w:b/>
          <w:bCs/>
          <w:kern w:val="0"/>
          <w:szCs w:val="21"/>
        </w:rPr>
        <w:t>1</w:t>
      </w:r>
      <w:r>
        <w:rPr>
          <w:rFonts w:hint="eastAsia" w:asciiTheme="minorEastAsia" w:hAnsiTheme="minorEastAsia" w:eastAsiaTheme="minorEastAsia"/>
          <w:b/>
          <w:bCs/>
          <w:kern w:val="0"/>
          <w:szCs w:val="21"/>
        </w:rPr>
        <w:t>6</w:t>
      </w:r>
      <w:r>
        <w:rPr>
          <w:rFonts w:asciiTheme="minorEastAsia" w:hAnsiTheme="minorEastAsia" w:eastAsiaTheme="minorEastAsia"/>
          <w:b/>
          <w:bCs/>
          <w:kern w:val="0"/>
          <w:szCs w:val="21"/>
        </w:rPr>
        <w:t>、投标文件的制作和签署</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16.1 投标供应商应准备一份投标文件正本和“投标供应商须知前附表”中规定数目的副本，每套投标文件须清楚地标明“正本”、“副本”。若正本和副本不符，以正本为准。</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16.2 投标文件的正本须用中文编写，一律采用不褪色的墨水书写或打印，加盖投标供应商单位公章，并由法定代表人（负责人）或委托代理人签字或盖章。投标文件的副本可</w:t>
      </w:r>
      <w:r>
        <w:rPr>
          <w:rFonts w:hint="eastAsia" w:asciiTheme="minorEastAsia" w:hAnsiTheme="minorEastAsia" w:eastAsiaTheme="minorEastAsia"/>
          <w:szCs w:val="21"/>
          <w:lang w:val="en-US" w:eastAsia="zh-CN"/>
        </w:rPr>
        <w:t>单独打印并按招标文件要求签字盖章，也可</w:t>
      </w:r>
      <w:r>
        <w:rPr>
          <w:rFonts w:hint="eastAsia" w:asciiTheme="minorEastAsia" w:hAnsiTheme="minorEastAsia" w:eastAsiaTheme="minorEastAsia"/>
          <w:szCs w:val="21"/>
        </w:rPr>
        <w:t>采用</w:t>
      </w:r>
      <w:r>
        <w:rPr>
          <w:rFonts w:hint="eastAsia" w:asciiTheme="minorEastAsia" w:hAnsiTheme="minorEastAsia" w:eastAsiaTheme="minorEastAsia"/>
          <w:szCs w:val="21"/>
          <w:lang w:val="en-US" w:eastAsia="zh-CN"/>
        </w:rPr>
        <w:t>签字盖章后的</w:t>
      </w:r>
      <w:r>
        <w:rPr>
          <w:rFonts w:hint="eastAsia" w:asciiTheme="minorEastAsia" w:hAnsiTheme="minorEastAsia" w:eastAsiaTheme="minorEastAsia"/>
          <w:szCs w:val="21"/>
        </w:rPr>
        <w:t>正本的复印件</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但内容应清晰可见</w:t>
      </w:r>
      <w:r>
        <w:rPr>
          <w:rFonts w:hint="eastAsia" w:asciiTheme="minorEastAsia" w:hAnsiTheme="minorEastAsia" w:eastAsiaTheme="minorEastAsia"/>
          <w:szCs w:val="21"/>
        </w:rPr>
        <w:t>。</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 xml:space="preserve">16.3 任何行间插字、涂改或增删，必须由法定代表人（负责人）或委托代理人签字或盖章方为有效。 </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16.4 采购人不接受以电报、电话、传真、电子邮件形式递交的投标文件。</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16.5 投标供应商在投标过程中，签订、履行、通知等事项的书面文件中的单位盖章、印章、公章等处均应使用与投标供应商全称相一致的公章，不得使用其他形式（如带有“专用章”等字样）的印章。</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16.6 电子版投标文件按“投标供应商须知前附表”要求制作。</w:t>
      </w:r>
    </w:p>
    <w:p>
      <w:pPr>
        <w:autoSpaceDE w:val="0"/>
        <w:autoSpaceDN w:val="0"/>
        <w:adjustRightInd w:val="0"/>
        <w:snapToGrid w:val="0"/>
        <w:spacing w:line="460" w:lineRule="exact"/>
        <w:rPr>
          <w:rFonts w:asciiTheme="minorEastAsia" w:hAnsiTheme="minorEastAsia" w:eastAsiaTheme="minorEastAsia"/>
          <w:b/>
        </w:rPr>
      </w:pPr>
      <w:r>
        <w:rPr>
          <w:rFonts w:asciiTheme="minorEastAsia" w:hAnsiTheme="minorEastAsia" w:eastAsiaTheme="minorEastAsia"/>
          <w:b/>
        </w:rPr>
        <w:t>1</w:t>
      </w:r>
      <w:r>
        <w:rPr>
          <w:rFonts w:hint="eastAsia" w:asciiTheme="minorEastAsia" w:hAnsiTheme="minorEastAsia" w:eastAsiaTheme="minorEastAsia"/>
          <w:b/>
        </w:rPr>
        <w:t>7</w:t>
      </w:r>
      <w:r>
        <w:rPr>
          <w:rFonts w:asciiTheme="minorEastAsia" w:hAnsiTheme="minorEastAsia" w:eastAsiaTheme="minorEastAsia"/>
          <w:b/>
        </w:rPr>
        <w:t>、备选</w:t>
      </w:r>
      <w:r>
        <w:rPr>
          <w:rFonts w:hint="eastAsia" w:asciiTheme="minorEastAsia" w:hAnsiTheme="minorEastAsia" w:eastAsiaTheme="minorEastAsia"/>
          <w:b/>
        </w:rPr>
        <w:t>投标</w:t>
      </w:r>
      <w:r>
        <w:rPr>
          <w:rFonts w:asciiTheme="minorEastAsia" w:hAnsiTheme="minorEastAsia" w:eastAsiaTheme="minorEastAsia"/>
          <w:b/>
        </w:rPr>
        <w:t>方案</w:t>
      </w:r>
    </w:p>
    <w:p>
      <w:pPr>
        <w:adjustRightInd w:val="0"/>
        <w:snapToGrid w:val="0"/>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除投标供应商须知前附表另有规定外，投标供应商不得递交备选</w:t>
      </w:r>
      <w:r>
        <w:rPr>
          <w:rFonts w:hint="eastAsia" w:asciiTheme="minorEastAsia" w:hAnsiTheme="minorEastAsia" w:eastAsiaTheme="minorEastAsia"/>
          <w:szCs w:val="21"/>
        </w:rPr>
        <w:t>投标</w:t>
      </w:r>
      <w:r>
        <w:rPr>
          <w:rFonts w:asciiTheme="minorEastAsia" w:hAnsiTheme="minorEastAsia" w:eastAsiaTheme="minorEastAsia"/>
          <w:szCs w:val="21"/>
        </w:rPr>
        <w:t>方案。</w:t>
      </w:r>
    </w:p>
    <w:p>
      <w:pPr>
        <w:adjustRightInd w:val="0"/>
        <w:snapToGrid w:val="0"/>
        <w:spacing w:line="460" w:lineRule="exact"/>
        <w:jc w:val="center"/>
        <w:outlineLvl w:val="9"/>
        <w:rPr>
          <w:rFonts w:asciiTheme="minorEastAsia" w:hAnsiTheme="minorEastAsia" w:eastAsiaTheme="minorEastAsia"/>
          <w:b/>
          <w:bCs/>
          <w:sz w:val="28"/>
        </w:rPr>
      </w:pPr>
      <w:r>
        <w:rPr>
          <w:rFonts w:asciiTheme="minorEastAsia" w:hAnsiTheme="minorEastAsia" w:eastAsiaTheme="minorEastAsia"/>
          <w:b/>
          <w:bCs/>
          <w:sz w:val="28"/>
        </w:rPr>
        <w:t>四、</w:t>
      </w:r>
      <w:r>
        <w:rPr>
          <w:rFonts w:hint="eastAsia" w:asciiTheme="minorEastAsia" w:hAnsiTheme="minorEastAsia" w:eastAsiaTheme="minorEastAsia"/>
          <w:b/>
          <w:bCs/>
          <w:sz w:val="28"/>
        </w:rPr>
        <w:t>投标文件密封、递交及撤回</w:t>
      </w:r>
    </w:p>
    <w:p>
      <w:pPr>
        <w:autoSpaceDE w:val="0"/>
        <w:autoSpaceDN w:val="0"/>
        <w:adjustRightInd w:val="0"/>
        <w:snapToGrid w:val="0"/>
        <w:spacing w:line="460" w:lineRule="exact"/>
        <w:rPr>
          <w:rFonts w:asciiTheme="minorEastAsia" w:hAnsiTheme="minorEastAsia" w:eastAsiaTheme="minorEastAsia"/>
          <w:b/>
          <w:bCs/>
          <w:kern w:val="0"/>
          <w:szCs w:val="21"/>
        </w:rPr>
      </w:pPr>
      <w:r>
        <w:rPr>
          <w:rFonts w:asciiTheme="minorEastAsia" w:hAnsiTheme="minorEastAsia" w:eastAsiaTheme="minorEastAsia"/>
          <w:b/>
          <w:bCs/>
          <w:kern w:val="0"/>
          <w:szCs w:val="21"/>
        </w:rPr>
        <w:t>1</w:t>
      </w:r>
      <w:r>
        <w:rPr>
          <w:rFonts w:hint="eastAsia" w:asciiTheme="minorEastAsia" w:hAnsiTheme="minorEastAsia" w:eastAsiaTheme="minorEastAsia"/>
          <w:b/>
          <w:bCs/>
          <w:kern w:val="0"/>
          <w:szCs w:val="21"/>
        </w:rPr>
        <w:t>8</w:t>
      </w:r>
      <w:r>
        <w:rPr>
          <w:rFonts w:asciiTheme="minorEastAsia" w:hAnsiTheme="minorEastAsia" w:eastAsiaTheme="minorEastAsia"/>
          <w:b/>
          <w:bCs/>
          <w:kern w:val="0"/>
          <w:szCs w:val="21"/>
        </w:rPr>
        <w:t>、投标文件的</w:t>
      </w:r>
      <w:r>
        <w:rPr>
          <w:rFonts w:hint="eastAsia" w:asciiTheme="minorEastAsia" w:hAnsiTheme="minorEastAsia" w:eastAsiaTheme="minorEastAsia"/>
          <w:b/>
          <w:bCs/>
          <w:kern w:val="0"/>
          <w:szCs w:val="21"/>
        </w:rPr>
        <w:t>装订、</w:t>
      </w:r>
      <w:r>
        <w:rPr>
          <w:rFonts w:asciiTheme="minorEastAsia" w:hAnsiTheme="minorEastAsia" w:eastAsiaTheme="minorEastAsia"/>
          <w:b/>
          <w:bCs/>
          <w:kern w:val="0"/>
          <w:szCs w:val="21"/>
        </w:rPr>
        <w:t>密封和标</w:t>
      </w:r>
      <w:r>
        <w:rPr>
          <w:rFonts w:hint="eastAsia" w:asciiTheme="minorEastAsia" w:hAnsiTheme="minorEastAsia" w:eastAsiaTheme="minorEastAsia"/>
          <w:b/>
          <w:bCs/>
          <w:kern w:val="0"/>
          <w:szCs w:val="21"/>
        </w:rPr>
        <w:t>记</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18.1 投标文件纸质版装订采用胶装，不得采用活页方式装订。</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18.2 纸质版投标文件的正本、副本可以包装在一个封袋中，也可分别密封包装。密封包装袋封皮上均应注明：</w:t>
      </w:r>
    </w:p>
    <w:p>
      <w:pPr>
        <w:autoSpaceDE w:val="0"/>
        <w:autoSpaceDN w:val="0"/>
        <w:adjustRightInd w:val="0"/>
        <w:snapToGrid w:val="0"/>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（1）正本/副本</w:t>
      </w:r>
    </w:p>
    <w:p>
      <w:pPr>
        <w:autoSpaceDE w:val="0"/>
        <w:autoSpaceDN w:val="0"/>
        <w:adjustRightInd w:val="0"/>
        <w:snapToGrid w:val="0"/>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（2）项目名称：</w:t>
      </w:r>
      <w:r>
        <w:rPr>
          <w:rFonts w:hint="eastAsia" w:asciiTheme="minorEastAsia" w:hAnsiTheme="minorEastAsia" w:eastAsiaTheme="minorEastAsia"/>
          <w:szCs w:val="21"/>
          <w:u w:val="single"/>
        </w:rPr>
        <w:t xml:space="preserve">                      </w:t>
      </w:r>
    </w:p>
    <w:p>
      <w:pPr>
        <w:autoSpaceDE w:val="0"/>
        <w:autoSpaceDN w:val="0"/>
        <w:adjustRightInd w:val="0"/>
        <w:snapToGrid w:val="0"/>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（3）合同包号：</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（如有需编写）</w:t>
      </w:r>
    </w:p>
    <w:p>
      <w:pPr>
        <w:autoSpaceDE w:val="0"/>
        <w:autoSpaceDN w:val="0"/>
        <w:adjustRightInd w:val="0"/>
        <w:snapToGrid w:val="0"/>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（4）项目编号：</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autoSpaceDE w:val="0"/>
        <w:autoSpaceDN w:val="0"/>
        <w:adjustRightInd w:val="0"/>
        <w:snapToGrid w:val="0"/>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（5）投 标 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（盖章）</w:t>
      </w:r>
    </w:p>
    <w:p>
      <w:pPr>
        <w:autoSpaceDE w:val="0"/>
        <w:autoSpaceDN w:val="0"/>
        <w:adjustRightInd w:val="0"/>
        <w:snapToGrid w:val="0"/>
        <w:spacing w:line="46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（6）法定代表人（负责人）或授权委托人：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（签字或盖章）</w:t>
      </w:r>
    </w:p>
    <w:p>
      <w:pPr>
        <w:autoSpaceDE w:val="0"/>
        <w:autoSpaceDN w:val="0"/>
        <w:adjustRightInd w:val="0"/>
        <w:snapToGrid w:val="0"/>
        <w:spacing w:line="460" w:lineRule="exact"/>
        <w:ind w:firstLine="630" w:firstLineChars="300"/>
        <w:rPr>
          <w:rFonts w:asciiTheme="minorEastAsia" w:hAnsiTheme="minorEastAsia" w:eastAsiaTheme="minorEastAsia"/>
          <w:szCs w:val="21"/>
          <w:u w:val="single"/>
        </w:rPr>
      </w:pPr>
      <w:r>
        <w:rPr>
          <w:rFonts w:hint="eastAsia" w:asciiTheme="minorEastAsia" w:hAnsiTheme="minorEastAsia" w:eastAsiaTheme="minorEastAsia"/>
          <w:szCs w:val="21"/>
        </w:rPr>
        <w:t xml:space="preserve">（7）日  </w:t>
      </w:r>
      <w:r>
        <w:rPr>
          <w:rFonts w:asciiTheme="minorEastAsia" w:hAnsiTheme="minorEastAsia" w:eastAsiaTheme="minorEastAsia"/>
          <w:szCs w:val="21"/>
        </w:rPr>
        <w:t xml:space="preserve">  </w:t>
      </w:r>
      <w:r>
        <w:rPr>
          <w:rFonts w:hint="eastAsia" w:asciiTheme="minorEastAsia" w:hAnsiTheme="minorEastAsia" w:eastAsiaTheme="minorEastAsia"/>
          <w:szCs w:val="21"/>
        </w:rPr>
        <w:t>期：</w:t>
      </w:r>
      <w:r>
        <w:rPr>
          <w:rFonts w:hint="eastAsia" w:asciiTheme="minorEastAsia" w:hAnsiTheme="minorEastAsia" w:eastAsiaTheme="minorEastAsia"/>
          <w:szCs w:val="21"/>
          <w:u w:val="single"/>
        </w:rPr>
        <w:t xml:space="preserve">                       </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18.3 电子版投标文件按“投标供应商须知前附表”要求密封、递交。</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18.4 要求所有外层密封袋的封口处均应加贴封条密封，封口及封条应粘贴牢固，并在密封袋封口处加盖投标供应商公章及法定代表人（负责人）或其委托代理人签字或盖章。</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18.5 如果未按上述规定进行密封和标记，投标供应商的投标文件有权被拒绝。</w:t>
      </w:r>
    </w:p>
    <w:p>
      <w:pPr>
        <w:autoSpaceDE w:val="0"/>
        <w:autoSpaceDN w:val="0"/>
        <w:adjustRightInd w:val="0"/>
        <w:snapToGrid w:val="0"/>
        <w:spacing w:line="460" w:lineRule="exact"/>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9</w:t>
      </w:r>
      <w:r>
        <w:rPr>
          <w:rFonts w:asciiTheme="minorEastAsia" w:hAnsiTheme="minorEastAsia" w:eastAsiaTheme="minorEastAsia"/>
          <w:b/>
          <w:szCs w:val="21"/>
        </w:rPr>
        <w:t>、投标文件的递交</w:t>
      </w:r>
      <w:r>
        <w:rPr>
          <w:rFonts w:hint="eastAsia" w:asciiTheme="minorEastAsia" w:hAnsiTheme="minorEastAsia" w:eastAsiaTheme="minorEastAsia"/>
          <w:b/>
          <w:szCs w:val="21"/>
        </w:rPr>
        <w:t>及拒收</w:t>
      </w:r>
      <w:r>
        <w:rPr>
          <w:rFonts w:asciiTheme="minorEastAsia" w:hAnsiTheme="minorEastAsia" w:eastAsiaTheme="minorEastAsia"/>
          <w:b/>
          <w:szCs w:val="21"/>
        </w:rPr>
        <w:t xml:space="preserve"> </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9</w:t>
      </w:r>
      <w:r>
        <w:rPr>
          <w:rFonts w:asciiTheme="minorEastAsia" w:hAnsiTheme="minorEastAsia" w:eastAsiaTheme="minorEastAsia"/>
          <w:szCs w:val="21"/>
        </w:rPr>
        <w:t>.1 投标文件的截止时间及</w:t>
      </w:r>
      <w:r>
        <w:rPr>
          <w:rFonts w:hint="eastAsia" w:asciiTheme="minorEastAsia" w:hAnsiTheme="minorEastAsia" w:eastAsiaTheme="minorEastAsia"/>
          <w:szCs w:val="21"/>
        </w:rPr>
        <w:t>投标</w:t>
      </w:r>
      <w:r>
        <w:rPr>
          <w:rFonts w:asciiTheme="minorEastAsia" w:hAnsiTheme="minorEastAsia" w:eastAsiaTheme="minorEastAsia"/>
          <w:szCs w:val="21"/>
        </w:rPr>
        <w:t>地点见本须知前附表的规定</w:t>
      </w:r>
      <w:r>
        <w:rPr>
          <w:rFonts w:hint="eastAsia" w:asciiTheme="minorEastAsia" w:hAnsiTheme="minorEastAsia" w:eastAsiaTheme="minorEastAsia"/>
          <w:szCs w:val="21"/>
        </w:rPr>
        <w:t>。</w:t>
      </w:r>
      <w:r>
        <w:rPr>
          <w:rFonts w:asciiTheme="minorEastAsia" w:hAnsiTheme="minorEastAsia" w:eastAsiaTheme="minorEastAsia"/>
          <w:szCs w:val="21"/>
        </w:rPr>
        <w:t>投标供应商应在招标文件规定的</w:t>
      </w:r>
      <w:r>
        <w:rPr>
          <w:rFonts w:hint="eastAsia" w:asciiTheme="minorEastAsia" w:hAnsiTheme="minorEastAsia" w:eastAsiaTheme="minorEastAsia"/>
          <w:szCs w:val="21"/>
        </w:rPr>
        <w:t>投标</w:t>
      </w:r>
      <w:r>
        <w:rPr>
          <w:rFonts w:asciiTheme="minorEastAsia" w:hAnsiTheme="minorEastAsia" w:eastAsiaTheme="minorEastAsia"/>
          <w:szCs w:val="21"/>
        </w:rPr>
        <w:t>截止时间前，将投标文件按投标供应商须知前附表的规定密封后送达</w:t>
      </w:r>
      <w:r>
        <w:rPr>
          <w:rFonts w:hint="eastAsia" w:asciiTheme="minorEastAsia" w:hAnsiTheme="minorEastAsia" w:eastAsiaTheme="minorEastAsia"/>
          <w:szCs w:val="21"/>
        </w:rPr>
        <w:t>投标</w:t>
      </w:r>
      <w:r>
        <w:rPr>
          <w:rFonts w:asciiTheme="minorEastAsia" w:hAnsiTheme="minorEastAsia" w:eastAsiaTheme="minorEastAsia"/>
          <w:szCs w:val="21"/>
        </w:rPr>
        <w:t>地点</w:t>
      </w:r>
      <w:r>
        <w:rPr>
          <w:rFonts w:hint="eastAsia" w:asciiTheme="minorEastAsia" w:hAnsiTheme="minorEastAsia" w:eastAsiaTheme="minorEastAsia"/>
          <w:szCs w:val="21"/>
        </w:rPr>
        <w:t>，投标</w:t>
      </w:r>
      <w:r>
        <w:rPr>
          <w:rFonts w:asciiTheme="minorEastAsia" w:hAnsiTheme="minorEastAsia" w:eastAsiaTheme="minorEastAsia"/>
          <w:szCs w:val="21"/>
        </w:rPr>
        <w:t>截止时间以后送达的投标文件将被拒绝。</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9</w:t>
      </w:r>
      <w:r>
        <w:rPr>
          <w:rFonts w:asciiTheme="minorEastAsia" w:hAnsiTheme="minorEastAsia" w:eastAsiaTheme="minorEastAsia"/>
          <w:szCs w:val="21"/>
        </w:rPr>
        <w:t>.2 采购代理机构项目接收人在招标文件规定的投标文件递交截止时间前，只负责投标文件的接收、清点、造册登记工作，并请递交人签字确认，对其有效性不负任何责任。</w:t>
      </w:r>
    </w:p>
    <w:p>
      <w:pPr>
        <w:autoSpaceDE w:val="0"/>
        <w:autoSpaceDN w:val="0"/>
        <w:adjustRightInd w:val="0"/>
        <w:snapToGrid w:val="0"/>
        <w:spacing w:line="460" w:lineRule="exact"/>
        <w:ind w:firstLine="210" w:firstLineChars="100"/>
        <w:rPr>
          <w:rFonts w:ascii="宋体" w:hAnsi="宋体"/>
          <w:szCs w:val="21"/>
        </w:rPr>
      </w:pPr>
      <w:r>
        <w:rPr>
          <w:rFonts w:ascii="宋体" w:hAnsi="宋体"/>
          <w:szCs w:val="21"/>
        </w:rPr>
        <w:t>1</w:t>
      </w:r>
      <w:r>
        <w:rPr>
          <w:rFonts w:hint="eastAsia" w:ascii="宋体" w:hAnsi="宋体"/>
          <w:szCs w:val="21"/>
        </w:rPr>
        <w:t>9</w:t>
      </w:r>
      <w:r>
        <w:rPr>
          <w:rFonts w:ascii="宋体" w:hAnsi="宋体"/>
          <w:szCs w:val="21"/>
        </w:rPr>
        <w:t xml:space="preserve">.3 </w:t>
      </w:r>
      <w:r>
        <w:rPr>
          <w:rFonts w:hint="eastAsia" w:ascii="宋体" w:hAnsi="宋体"/>
          <w:szCs w:val="21"/>
        </w:rPr>
        <w:t>递交投标文件截止时间止，若收到的投标文件少于</w:t>
      </w:r>
      <w:r>
        <w:rPr>
          <w:rFonts w:ascii="宋体" w:hAnsi="宋体"/>
          <w:szCs w:val="21"/>
        </w:rPr>
        <w:t>3</w:t>
      </w:r>
      <w:r>
        <w:rPr>
          <w:rFonts w:hint="eastAsia" w:ascii="宋体" w:hAnsi="宋体"/>
          <w:szCs w:val="21"/>
        </w:rPr>
        <w:t>个，采购人将报请监督管理机构批准变更采购方式或择日重新组织采购。</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19.4 投标供应商提交投标文件时，出现下列情况之一的，其投标文件将被拒绝接收：</w:t>
      </w:r>
    </w:p>
    <w:p>
      <w:pPr>
        <w:autoSpaceDE w:val="0"/>
        <w:autoSpaceDN w:val="0"/>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19.4.1 逾期送达的；</w:t>
      </w:r>
    </w:p>
    <w:p>
      <w:pPr>
        <w:autoSpaceDE w:val="0"/>
        <w:autoSpaceDN w:val="0"/>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19.4.2 未按照招标文件要求密封或加写标记的；</w:t>
      </w:r>
    </w:p>
    <w:p>
      <w:pPr>
        <w:autoSpaceDE w:val="0"/>
        <w:autoSpaceDN w:val="0"/>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19.4.3 提交的投标文件与本项目不相符的；</w:t>
      </w:r>
    </w:p>
    <w:p>
      <w:pPr>
        <w:autoSpaceDE w:val="0"/>
        <w:autoSpaceDN w:val="0"/>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19.4.4 投标供应商名称与领取招标文件时填写的文件领取登记表中名称不相符的。</w:t>
      </w:r>
    </w:p>
    <w:p>
      <w:pPr>
        <w:autoSpaceDE w:val="0"/>
        <w:autoSpaceDN w:val="0"/>
        <w:adjustRightInd w:val="0"/>
        <w:snapToGrid w:val="0"/>
        <w:spacing w:line="460" w:lineRule="exact"/>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20</w:t>
      </w:r>
      <w:r>
        <w:rPr>
          <w:rFonts w:asciiTheme="minorEastAsia" w:hAnsiTheme="minorEastAsia" w:eastAsiaTheme="minorEastAsia"/>
          <w:b/>
          <w:bCs/>
          <w:kern w:val="0"/>
          <w:szCs w:val="21"/>
        </w:rPr>
        <w:t>、投标文件的补充、修改和撤回</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.1 投标供应商在递交投标文件以后，可以修改或撤回其投标文件，但必须在规定的投标截止时间前，且以书面形式通知采购人。补充、修改的内容为投标文件的组成部分。</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.2 投标供应商对投标文件的修改、补充和撤回，应按本须知的有关规定密封、标记和提交，并在投标文件密封袋上清楚标明“补充、修改”或“撤回”字样。</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.3</w:t>
      </w:r>
      <w:r>
        <w:rPr>
          <w:rFonts w:hint="eastAsia" w:asciiTheme="minorEastAsia" w:hAnsiTheme="minorEastAsia" w:eastAsiaTheme="minorEastAsia"/>
          <w:szCs w:val="21"/>
        </w:rPr>
        <w:t xml:space="preserve"> </w:t>
      </w:r>
      <w:r>
        <w:rPr>
          <w:rFonts w:asciiTheme="minorEastAsia" w:hAnsiTheme="minorEastAsia" w:eastAsiaTheme="minorEastAsia"/>
          <w:szCs w:val="21"/>
        </w:rPr>
        <w:t>在投标截止时间之后，投标供应商不得对其递交的投标文件做任何补充、修改或撤回投标。</w:t>
      </w:r>
    </w:p>
    <w:p>
      <w:pPr>
        <w:autoSpaceDE w:val="0"/>
        <w:autoSpaceDN w:val="0"/>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.4 在投标截止时间至投标有效期满之前，投标供应商不得撤回其投标文件。</w:t>
      </w:r>
    </w:p>
    <w:p>
      <w:pPr>
        <w:spacing w:line="460" w:lineRule="exact"/>
        <w:jc w:val="center"/>
        <w:outlineLvl w:val="9"/>
        <w:rPr>
          <w:rFonts w:asciiTheme="minorEastAsia" w:hAnsiTheme="minorEastAsia" w:eastAsiaTheme="minorEastAsia"/>
          <w:b/>
          <w:bCs/>
          <w:sz w:val="28"/>
        </w:rPr>
      </w:pPr>
      <w:r>
        <w:rPr>
          <w:rFonts w:asciiTheme="minorEastAsia" w:hAnsiTheme="minorEastAsia" w:eastAsiaTheme="minorEastAsia"/>
          <w:b/>
          <w:bCs/>
          <w:sz w:val="28"/>
        </w:rPr>
        <w:t>五、</w:t>
      </w:r>
      <w:r>
        <w:rPr>
          <w:rFonts w:hint="eastAsia" w:asciiTheme="minorEastAsia" w:hAnsiTheme="minorEastAsia" w:eastAsiaTheme="minorEastAsia"/>
          <w:b/>
          <w:bCs/>
          <w:sz w:val="28"/>
        </w:rPr>
        <w:t>开标</w:t>
      </w:r>
    </w:p>
    <w:p>
      <w:pPr>
        <w:widowControl/>
        <w:spacing w:line="460" w:lineRule="exact"/>
        <w:jc w:val="left"/>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21</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开标</w:t>
      </w:r>
      <w:r>
        <w:rPr>
          <w:rFonts w:asciiTheme="minorEastAsia" w:hAnsiTheme="minorEastAsia" w:eastAsiaTheme="minorEastAsia"/>
          <w:b/>
          <w:bCs/>
          <w:kern w:val="0"/>
          <w:szCs w:val="21"/>
        </w:rPr>
        <w:t>时间和地点</w:t>
      </w:r>
    </w:p>
    <w:p>
      <w:pPr>
        <w:widowControl/>
        <w:spacing w:line="460" w:lineRule="exact"/>
        <w:ind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21</w:t>
      </w:r>
      <w:r>
        <w:rPr>
          <w:rFonts w:asciiTheme="minorEastAsia" w:hAnsiTheme="minorEastAsia" w:eastAsiaTheme="minorEastAsia"/>
          <w:kern w:val="0"/>
          <w:szCs w:val="21"/>
        </w:rPr>
        <w:t>.1</w:t>
      </w:r>
      <w:r>
        <w:rPr>
          <w:rFonts w:hint="eastAsia" w:asciiTheme="minorEastAsia" w:hAnsiTheme="minorEastAsia" w:eastAsiaTheme="minorEastAsia"/>
          <w:kern w:val="0"/>
          <w:szCs w:val="21"/>
        </w:rPr>
        <w:t xml:space="preserve"> </w:t>
      </w:r>
      <w:r>
        <w:rPr>
          <w:rFonts w:asciiTheme="minorEastAsia" w:hAnsiTheme="minorEastAsia" w:eastAsiaTheme="minorEastAsia"/>
          <w:kern w:val="0"/>
          <w:szCs w:val="21"/>
        </w:rPr>
        <w:t>采购代理机构在投标供应商须知前附表中规定的投标截止时间和地点组织投标会议，采购人、投标供应商须派代表参加并签到以证明其出席。</w:t>
      </w:r>
    </w:p>
    <w:p>
      <w:pPr>
        <w:widowControl/>
        <w:spacing w:line="460" w:lineRule="exact"/>
        <w:ind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21</w:t>
      </w:r>
      <w:r>
        <w:rPr>
          <w:rFonts w:asciiTheme="minorEastAsia" w:hAnsiTheme="minorEastAsia" w:eastAsiaTheme="minorEastAsia"/>
          <w:kern w:val="0"/>
          <w:szCs w:val="21"/>
        </w:rPr>
        <w:t>.2</w:t>
      </w:r>
      <w:r>
        <w:rPr>
          <w:rFonts w:hint="eastAsia" w:asciiTheme="minorEastAsia" w:hAnsiTheme="minorEastAsia" w:eastAsiaTheme="minorEastAsia"/>
          <w:kern w:val="0"/>
          <w:szCs w:val="21"/>
        </w:rPr>
        <w:t xml:space="preserve"> </w:t>
      </w:r>
      <w:r>
        <w:rPr>
          <w:rFonts w:asciiTheme="minorEastAsia" w:hAnsiTheme="minorEastAsia" w:eastAsiaTheme="minorEastAsia"/>
          <w:kern w:val="0"/>
          <w:szCs w:val="21"/>
        </w:rPr>
        <w:t>按规定提交合格的撤回通知的投标文件不予开封，并退还给投标供应商；按本须知规定为无效的投标文件，不予送交评标委员会评审</w:t>
      </w:r>
      <w:r>
        <w:rPr>
          <w:rFonts w:hint="eastAsia" w:asciiTheme="minorEastAsia" w:hAnsiTheme="minorEastAsia" w:eastAsiaTheme="minorEastAsia"/>
          <w:kern w:val="0"/>
          <w:szCs w:val="21"/>
        </w:rPr>
        <w:t>。</w:t>
      </w:r>
    </w:p>
    <w:p>
      <w:pPr>
        <w:widowControl/>
        <w:spacing w:line="460" w:lineRule="exact"/>
        <w:jc w:val="left"/>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22</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开标流程</w:t>
      </w:r>
    </w:p>
    <w:p>
      <w:pPr>
        <w:widowControl/>
        <w:spacing w:line="460" w:lineRule="exact"/>
        <w:ind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22</w:t>
      </w:r>
      <w:r>
        <w:rPr>
          <w:rFonts w:asciiTheme="minorEastAsia" w:hAnsiTheme="minorEastAsia" w:eastAsiaTheme="minorEastAsia"/>
          <w:kern w:val="0"/>
          <w:szCs w:val="21"/>
        </w:rPr>
        <w:t xml:space="preserve">.1 </w:t>
      </w:r>
      <w:r>
        <w:rPr>
          <w:rFonts w:hint="eastAsia" w:asciiTheme="minorEastAsia" w:hAnsiTheme="minorEastAsia" w:eastAsiaTheme="minorEastAsia"/>
          <w:kern w:val="0"/>
          <w:szCs w:val="21"/>
        </w:rPr>
        <w:t>会议准备：由采购代理机构工作人员组织采购人、投标供应商、监督部门相关人员签到。</w:t>
      </w:r>
    </w:p>
    <w:p>
      <w:pPr>
        <w:widowControl/>
        <w:spacing w:line="460" w:lineRule="exact"/>
        <w:ind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22</w:t>
      </w:r>
      <w:r>
        <w:rPr>
          <w:rFonts w:asciiTheme="minorEastAsia" w:hAnsiTheme="minorEastAsia" w:eastAsiaTheme="minorEastAsia"/>
          <w:kern w:val="0"/>
          <w:szCs w:val="21"/>
        </w:rPr>
        <w:t>.</w:t>
      </w:r>
      <w:r>
        <w:rPr>
          <w:rFonts w:hint="eastAsia" w:asciiTheme="minorEastAsia" w:hAnsiTheme="minorEastAsia" w:eastAsiaTheme="minorEastAsia"/>
          <w:kern w:val="0"/>
          <w:szCs w:val="21"/>
        </w:rPr>
        <w:t>2</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宣读纪律：开标时间到，采购人或代理机构工作人员宣布开标会开始，并宣读开标会会场纪律和注意事项。</w:t>
      </w:r>
    </w:p>
    <w:p>
      <w:pPr>
        <w:widowControl/>
        <w:spacing w:line="460" w:lineRule="exact"/>
        <w:ind w:firstLine="210" w:firstLineChars="100"/>
        <w:jc w:val="left"/>
        <w:rPr>
          <w:rFonts w:ascii="宋体" w:hAnsi="宋体"/>
          <w:kern w:val="0"/>
          <w:szCs w:val="21"/>
        </w:rPr>
      </w:pPr>
      <w:r>
        <w:rPr>
          <w:rFonts w:ascii="宋体" w:hAnsi="宋体"/>
          <w:kern w:val="0"/>
          <w:szCs w:val="21"/>
        </w:rPr>
        <w:t xml:space="preserve">22.3 </w:t>
      </w:r>
      <w:r>
        <w:rPr>
          <w:rFonts w:hint="eastAsia" w:ascii="宋体" w:hAnsi="宋体"/>
          <w:kern w:val="0"/>
          <w:szCs w:val="21"/>
        </w:rPr>
        <w:t xml:space="preserve">签署承诺：由招标人、招标代理机构及投标供应商代表共同签署《拒绝商业贿赂承诺书》。 </w:t>
      </w:r>
    </w:p>
    <w:p>
      <w:pPr>
        <w:widowControl/>
        <w:spacing w:line="460" w:lineRule="exact"/>
        <w:ind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22</w:t>
      </w:r>
      <w:r>
        <w:rPr>
          <w:rFonts w:asciiTheme="minorEastAsia" w:hAnsiTheme="minorEastAsia" w:eastAsiaTheme="minorEastAsia"/>
          <w:kern w:val="0"/>
          <w:szCs w:val="21"/>
        </w:rPr>
        <w:t xml:space="preserve">.4 </w:t>
      </w:r>
      <w:r>
        <w:rPr>
          <w:rFonts w:hint="eastAsia" w:asciiTheme="minorEastAsia" w:hAnsiTheme="minorEastAsia" w:eastAsiaTheme="minorEastAsia"/>
          <w:kern w:val="0"/>
          <w:szCs w:val="21"/>
        </w:rPr>
        <w:t>开标唱标：开标时，由投标供应商或者其推选的代表检查投标文件的密封情况；经确认无误后由招标工作人员当众拆封，并宣读开标一览表中投标供应商名称、投标报价、交付期等相关内容。开标时没有启封和唱标的投标文件，不能进入评标程序。</w:t>
      </w:r>
    </w:p>
    <w:p>
      <w:pPr>
        <w:widowControl/>
        <w:spacing w:line="460" w:lineRule="exact"/>
        <w:ind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22</w:t>
      </w:r>
      <w:r>
        <w:rPr>
          <w:rFonts w:asciiTheme="minorEastAsia" w:hAnsiTheme="minorEastAsia" w:eastAsiaTheme="minorEastAsia"/>
          <w:kern w:val="0"/>
          <w:szCs w:val="21"/>
        </w:rPr>
        <w:t xml:space="preserve">.5 </w:t>
      </w:r>
      <w:r>
        <w:rPr>
          <w:rFonts w:hint="eastAsia" w:asciiTheme="minorEastAsia" w:hAnsiTheme="minorEastAsia" w:eastAsiaTheme="minorEastAsia"/>
          <w:kern w:val="0"/>
          <w:szCs w:val="21"/>
        </w:rPr>
        <w:t>开标记录：采购人或代理机构工作人员对唱标内容进行记录。若投标供应商代表对开标唱标有异议的，可举手示意，待核验身份后提出异议。</w:t>
      </w:r>
    </w:p>
    <w:p>
      <w:pPr>
        <w:widowControl/>
        <w:spacing w:line="460" w:lineRule="exact"/>
        <w:ind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22</w:t>
      </w:r>
      <w:r>
        <w:rPr>
          <w:rFonts w:asciiTheme="minorEastAsia" w:hAnsiTheme="minorEastAsia" w:eastAsiaTheme="minorEastAsia"/>
          <w:kern w:val="0"/>
          <w:szCs w:val="21"/>
        </w:rPr>
        <w:t>.6</w:t>
      </w:r>
      <w:r>
        <w:rPr>
          <w:rFonts w:hint="eastAsia" w:asciiTheme="minorEastAsia" w:hAnsiTheme="minorEastAsia" w:eastAsiaTheme="minorEastAsia"/>
          <w:kern w:val="0"/>
          <w:szCs w:val="21"/>
        </w:rPr>
        <w:t xml:space="preserve"> 会议结束：开标唱标完毕后，代理机构工作人员宣布开标会结束。</w:t>
      </w:r>
    </w:p>
    <w:p>
      <w:pPr>
        <w:widowControl/>
        <w:spacing w:line="460" w:lineRule="exact"/>
        <w:ind w:firstLine="210" w:firstLineChars="1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22</w:t>
      </w:r>
      <w:r>
        <w:rPr>
          <w:rFonts w:asciiTheme="minorEastAsia" w:hAnsiTheme="minorEastAsia" w:eastAsiaTheme="minorEastAsia"/>
          <w:kern w:val="0"/>
          <w:szCs w:val="21"/>
        </w:rPr>
        <w:t xml:space="preserve">.7 </w:t>
      </w:r>
      <w:r>
        <w:rPr>
          <w:rFonts w:hint="eastAsia" w:asciiTheme="minorEastAsia" w:hAnsiTheme="minorEastAsia" w:eastAsiaTheme="minorEastAsia"/>
          <w:kern w:val="0"/>
          <w:szCs w:val="21"/>
        </w:rPr>
        <w:t>资格审查：开标会结束后，代理机构工作人员将投标供应商递交的投标文件完整的移交给资格审查人（由采购人或采购代理机构组成），按招标文件的规定进行资格审查，合格投标供应商不足3家的，不得评标。</w:t>
      </w:r>
    </w:p>
    <w:p>
      <w:pPr>
        <w:spacing w:line="460" w:lineRule="exact"/>
        <w:jc w:val="center"/>
        <w:outlineLvl w:val="9"/>
        <w:rPr>
          <w:rFonts w:asciiTheme="minorEastAsia" w:hAnsiTheme="minorEastAsia" w:eastAsiaTheme="minorEastAsia"/>
          <w:b/>
          <w:bCs/>
          <w:sz w:val="28"/>
        </w:rPr>
      </w:pPr>
      <w:r>
        <w:rPr>
          <w:rFonts w:asciiTheme="minorEastAsia" w:hAnsiTheme="minorEastAsia" w:eastAsiaTheme="minorEastAsia"/>
          <w:b/>
          <w:bCs/>
          <w:sz w:val="28"/>
        </w:rPr>
        <w:t>六、评审</w:t>
      </w:r>
    </w:p>
    <w:p>
      <w:pPr>
        <w:autoSpaceDE w:val="0"/>
        <w:autoSpaceDN w:val="0"/>
        <w:adjustRightInd w:val="0"/>
        <w:spacing w:line="460" w:lineRule="exact"/>
        <w:ind w:right="6"/>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w:t>
      </w:r>
      <w:r>
        <w:rPr>
          <w:rFonts w:hint="eastAsia" w:cs="宋体" w:asciiTheme="minorEastAsia" w:hAnsiTheme="minorEastAsia" w:eastAsiaTheme="minorEastAsia"/>
          <w:b/>
          <w:bCs/>
          <w:kern w:val="0"/>
          <w:szCs w:val="21"/>
        </w:rPr>
        <w:t>3、评标委员会</w:t>
      </w:r>
    </w:p>
    <w:p>
      <w:pPr>
        <w:autoSpaceDE w:val="0"/>
        <w:autoSpaceDN w:val="0"/>
        <w:adjustRightInd w:val="0"/>
        <w:snapToGrid w:val="0"/>
        <w:spacing w:line="460" w:lineRule="exact"/>
        <w:ind w:firstLine="210" w:firstLineChars="100"/>
        <w:rPr>
          <w:rFonts w:ascii="宋体" w:hAnsi="宋体"/>
          <w:szCs w:val="21"/>
        </w:rPr>
      </w:pPr>
      <w:r>
        <w:rPr>
          <w:rFonts w:asciiTheme="minorEastAsia" w:hAnsiTheme="minorEastAsia" w:eastAsiaTheme="minorEastAsia"/>
        </w:rPr>
        <w:t>2</w:t>
      </w:r>
      <w:r>
        <w:rPr>
          <w:rFonts w:hint="eastAsia" w:asciiTheme="minorEastAsia" w:hAnsiTheme="minorEastAsia" w:eastAsiaTheme="minorEastAsia"/>
        </w:rPr>
        <w:t xml:space="preserve">3.1 </w:t>
      </w:r>
      <w:r>
        <w:rPr>
          <w:rFonts w:ascii="宋体" w:hAnsi="宋体"/>
          <w:szCs w:val="21"/>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由采购代理机构从</w:t>
      </w:r>
      <w:r>
        <w:rPr>
          <w:rFonts w:hint="eastAsia" w:ascii="宋体" w:hAnsi="宋体"/>
          <w:szCs w:val="21"/>
        </w:rPr>
        <w:t>省级以上的财政部门设立的</w:t>
      </w:r>
      <w:r>
        <w:rPr>
          <w:rFonts w:ascii="宋体" w:hAnsi="宋体"/>
          <w:szCs w:val="21"/>
        </w:rPr>
        <w:t>政府采购评审专家库内相关专业的专家名单中随机抽取。</w:t>
      </w:r>
    </w:p>
    <w:p>
      <w:pPr>
        <w:autoSpaceDE w:val="0"/>
        <w:autoSpaceDN w:val="0"/>
        <w:adjustRightInd w:val="0"/>
        <w:spacing w:line="460" w:lineRule="exact"/>
        <w:ind w:right="6" w:firstLine="420" w:firstLineChars="200"/>
        <w:rPr>
          <w:rFonts w:asciiTheme="minorEastAsia" w:hAnsiTheme="minorEastAsia" w:eastAsiaTheme="minorEastAsia"/>
        </w:rPr>
      </w:pPr>
      <w:r>
        <w:rPr>
          <w:rFonts w:hint="eastAsia" w:ascii="宋体" w:hAnsi="宋体"/>
          <w:szCs w:val="21"/>
        </w:rPr>
        <w:t>由采购代理机构组织评标委员会推选评标组长，采购人代表不得担任组长</w:t>
      </w:r>
    </w:p>
    <w:p>
      <w:pPr>
        <w:autoSpaceDE w:val="0"/>
        <w:autoSpaceDN w:val="0"/>
        <w:adjustRightInd w:val="0"/>
        <w:snapToGrid w:val="0"/>
        <w:spacing w:line="460" w:lineRule="exact"/>
        <w:ind w:firstLine="21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3.2 评标委员会</w:t>
      </w:r>
      <w:r>
        <w:rPr>
          <w:rFonts w:hint="eastAsia" w:asciiTheme="minorEastAsia" w:hAnsiTheme="minorEastAsia" w:eastAsiaTheme="minorEastAsia"/>
          <w:szCs w:val="21"/>
        </w:rPr>
        <w:t>与参加投标活动的投标供应商存在下列利害关系之一的，应当回避：</w:t>
      </w:r>
    </w:p>
    <w:p>
      <w:pPr>
        <w:autoSpaceDE w:val="0"/>
        <w:autoSpaceDN w:val="0"/>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（1）参加采购活动前3年内，与投标供应商存在劳动关系，或者担任过投标供应商的董事、监事，或者是投标供应商的控股股东或实际控制人；</w:t>
      </w:r>
    </w:p>
    <w:p>
      <w:pPr>
        <w:autoSpaceDE w:val="0"/>
        <w:autoSpaceDN w:val="0"/>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（2）参加采购活动前3年内与投标供应商发生过法律纠纷；</w:t>
      </w:r>
    </w:p>
    <w:p>
      <w:pPr>
        <w:autoSpaceDE w:val="0"/>
        <w:autoSpaceDN w:val="0"/>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（3）与投标供应商的法定代表人（负责人）或者负责人有夫妻、直系血亲、三代以内旁系血亲或者近姻亲关系；</w:t>
      </w:r>
    </w:p>
    <w:p>
      <w:pPr>
        <w:autoSpaceDE w:val="0"/>
        <w:autoSpaceDN w:val="0"/>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（4）与投标供应商有其他可能影响政府采购活动公平、公正进行的关系。</w:t>
      </w:r>
    </w:p>
    <w:p>
      <w:pPr>
        <w:autoSpaceDE w:val="0"/>
        <w:autoSpaceDN w:val="0"/>
        <w:adjustRightInd w:val="0"/>
        <w:snapToGrid w:val="0"/>
        <w:spacing w:line="460" w:lineRule="exact"/>
        <w:ind w:firstLine="210" w:firstLineChars="100"/>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2</w:t>
      </w:r>
      <w:r>
        <w:rPr>
          <w:rFonts w:hint="eastAsia" w:cs="宋体" w:asciiTheme="minorEastAsia" w:hAnsiTheme="minorEastAsia" w:eastAsiaTheme="minorEastAsia"/>
          <w:color w:val="000000" w:themeColor="text1"/>
          <w:kern w:val="0"/>
          <w:szCs w:val="21"/>
        </w:rPr>
        <w:t>3</w:t>
      </w:r>
      <w:r>
        <w:rPr>
          <w:rFonts w:cs="宋体" w:asciiTheme="minorEastAsia" w:hAnsiTheme="minorEastAsia" w:eastAsiaTheme="minorEastAsia"/>
          <w:color w:val="000000" w:themeColor="text1"/>
          <w:kern w:val="0"/>
          <w:szCs w:val="21"/>
        </w:rPr>
        <w:t>.</w:t>
      </w:r>
      <w:r>
        <w:rPr>
          <w:rFonts w:hint="eastAsia" w:cs="宋体" w:asciiTheme="minorEastAsia" w:hAnsiTheme="minorEastAsia" w:eastAsiaTheme="minorEastAsia"/>
          <w:color w:val="000000" w:themeColor="text1"/>
          <w:kern w:val="0"/>
          <w:szCs w:val="21"/>
        </w:rPr>
        <w:t>3</w:t>
      </w:r>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评标委员会负责具体评标事务，并独立履行下列职责：</w:t>
      </w:r>
    </w:p>
    <w:p>
      <w:pPr>
        <w:autoSpaceDE w:val="0"/>
        <w:autoSpaceDN w:val="0"/>
        <w:adjustRightInd w:val="0"/>
        <w:snapToGrid w:val="0"/>
        <w:spacing w:line="460" w:lineRule="exact"/>
        <w:ind w:firstLine="420" w:firstLineChars="20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（1）审查、评价投标文件是否符合招标文件的商务、技术等实质性要求；</w:t>
      </w:r>
    </w:p>
    <w:p>
      <w:pPr>
        <w:autoSpaceDE w:val="0"/>
        <w:autoSpaceDN w:val="0"/>
        <w:adjustRightInd w:val="0"/>
        <w:snapToGrid w:val="0"/>
        <w:spacing w:line="460" w:lineRule="exact"/>
        <w:ind w:firstLine="420" w:firstLineChars="20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（2）要求投标人对投标文件有关事项作出澄清或者说明；</w:t>
      </w:r>
    </w:p>
    <w:p>
      <w:pPr>
        <w:autoSpaceDE w:val="0"/>
        <w:autoSpaceDN w:val="0"/>
        <w:adjustRightInd w:val="0"/>
        <w:snapToGrid w:val="0"/>
        <w:spacing w:line="460" w:lineRule="exact"/>
        <w:ind w:firstLine="420" w:firstLineChars="20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（3）对投标文件进行比较和评价；</w:t>
      </w:r>
    </w:p>
    <w:p>
      <w:pPr>
        <w:autoSpaceDE w:val="0"/>
        <w:autoSpaceDN w:val="0"/>
        <w:adjustRightInd w:val="0"/>
        <w:snapToGrid w:val="0"/>
        <w:spacing w:line="460" w:lineRule="exact"/>
        <w:ind w:firstLine="420" w:firstLineChars="20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（4）确定中标候选人名单，以及根据采购人委托直接确定中标人；</w:t>
      </w:r>
    </w:p>
    <w:p>
      <w:pPr>
        <w:autoSpaceDE w:val="0"/>
        <w:autoSpaceDN w:val="0"/>
        <w:adjustRightInd w:val="0"/>
        <w:snapToGrid w:val="0"/>
        <w:spacing w:line="460" w:lineRule="exact"/>
        <w:ind w:firstLine="420" w:firstLineChars="20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（5）向采购人、采购代理机构或者有关部门报告评标中发现的违法行为。</w:t>
      </w:r>
    </w:p>
    <w:p>
      <w:pPr>
        <w:autoSpaceDE w:val="0"/>
        <w:autoSpaceDN w:val="0"/>
        <w:adjustRightInd w:val="0"/>
        <w:snapToGrid w:val="0"/>
        <w:spacing w:line="460" w:lineRule="exact"/>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w:t>
      </w:r>
      <w:r>
        <w:rPr>
          <w:rFonts w:hint="eastAsia" w:cs="宋体" w:asciiTheme="minorEastAsia" w:hAnsiTheme="minorEastAsia" w:eastAsiaTheme="minorEastAsia"/>
          <w:b/>
          <w:bCs/>
          <w:kern w:val="0"/>
          <w:szCs w:val="21"/>
        </w:rPr>
        <w:t>4、评审办法及落实政府采购政策，详见第三章。</w:t>
      </w:r>
    </w:p>
    <w:p>
      <w:pPr>
        <w:spacing w:line="460" w:lineRule="exact"/>
        <w:jc w:val="center"/>
        <w:outlineLvl w:val="9"/>
        <w:rPr>
          <w:rFonts w:cs="宋体" w:asciiTheme="minorEastAsia" w:hAnsiTheme="minorEastAsia" w:eastAsiaTheme="minorEastAsia"/>
          <w:b/>
          <w:bCs/>
          <w:sz w:val="28"/>
        </w:rPr>
      </w:pPr>
      <w:r>
        <w:rPr>
          <w:rFonts w:hint="eastAsia" w:cs="宋体" w:asciiTheme="minorEastAsia" w:hAnsiTheme="minorEastAsia" w:eastAsiaTheme="minorEastAsia"/>
          <w:b/>
          <w:bCs/>
          <w:sz w:val="28"/>
        </w:rPr>
        <w:t>七、中标</w:t>
      </w:r>
    </w:p>
    <w:p>
      <w:pPr>
        <w:autoSpaceDE w:val="0"/>
        <w:autoSpaceDN w:val="0"/>
        <w:adjustRightInd w:val="0"/>
        <w:spacing w:line="460" w:lineRule="exact"/>
        <w:ind w:right="6"/>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w:t>
      </w:r>
      <w:r>
        <w:rPr>
          <w:rFonts w:hint="eastAsia" w:cs="宋体" w:asciiTheme="minorEastAsia" w:hAnsiTheme="minorEastAsia" w:eastAsiaTheme="minorEastAsia"/>
          <w:b/>
          <w:bCs/>
          <w:kern w:val="0"/>
          <w:szCs w:val="21"/>
        </w:rPr>
        <w:t>5、中标</w:t>
      </w:r>
    </w:p>
    <w:p>
      <w:pPr>
        <w:autoSpaceDE w:val="0"/>
        <w:autoSpaceDN w:val="0"/>
        <w:adjustRightInd w:val="0"/>
        <w:spacing w:line="460" w:lineRule="exact"/>
        <w:ind w:firstLine="21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5.1 采购代理机构应在评审结束后2个工作日内，将评审报告送采购人确认。</w:t>
      </w:r>
    </w:p>
    <w:p>
      <w:pPr>
        <w:autoSpaceDE w:val="0"/>
        <w:autoSpaceDN w:val="0"/>
        <w:adjustRightInd w:val="0"/>
        <w:spacing w:line="460" w:lineRule="exact"/>
        <w:ind w:firstLine="21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5.2 采购人应当自收到评标报告之日起</w:t>
      </w:r>
      <w:r>
        <w:rPr>
          <w:rFonts w:hint="eastAsia" w:asciiTheme="minorEastAsia" w:hAnsiTheme="minorEastAsia" w:eastAsiaTheme="minorEastAsia"/>
          <w:lang w:val="en-US" w:eastAsia="zh-CN"/>
        </w:rPr>
        <w:t>5</w:t>
      </w:r>
      <w:r>
        <w:rPr>
          <w:rFonts w:hint="eastAsia" w:asciiTheme="minorEastAsia" w:hAnsiTheme="minorEastAsia" w:eastAsiaTheme="minorEastAsia"/>
        </w:rPr>
        <w:t>个工作日内，在评标报告确定的中标候选人名单中按顺序确定中标供应商。中标候选人并列的，由采购人或者采购人委托评标委员会按照招标文件规定的方式确定中标供应商；招标文件未规定的，采取随机抽取的方式确定。采购人在收到评标报告5个工作日内未按评标报告推荐的中标候选人顺序确定中标供应商，又不能说明合法理由的，视同按评标报告推荐的顺序确定排名第一的中标候选人为中标供应商。</w:t>
      </w:r>
    </w:p>
    <w:p>
      <w:pPr>
        <w:autoSpaceDE w:val="0"/>
        <w:autoSpaceDN w:val="0"/>
        <w:adjustRightInd w:val="0"/>
        <w:spacing w:line="460" w:lineRule="exact"/>
        <w:ind w:firstLine="21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5.3 采购代理机构在接到采购人的中标复函之日起2个工作日内，</w:t>
      </w:r>
      <w:r>
        <w:rPr>
          <w:rFonts w:asciiTheme="minorEastAsia" w:hAnsiTheme="minorEastAsia" w:eastAsiaTheme="minorEastAsia"/>
        </w:rPr>
        <w:t>在【</w:t>
      </w:r>
      <w:r>
        <w:fldChar w:fldCharType="begin"/>
      </w:r>
      <w:r>
        <w:instrText xml:space="preserve"> HYPERLINK "http://www.ccgp-shaanxi.gov.cn" </w:instrText>
      </w:r>
      <w:r>
        <w:fldChar w:fldCharType="separate"/>
      </w:r>
      <w:r>
        <w:rPr>
          <w:rFonts w:asciiTheme="minorEastAsia" w:hAnsiTheme="minorEastAsia" w:eastAsiaTheme="minorEastAsia"/>
        </w:rPr>
        <w:t>陕西省政府采购网</w:t>
      </w:r>
      <w:r>
        <w:rPr>
          <w:rFonts w:asciiTheme="minorEastAsia" w:hAnsiTheme="minorEastAsia" w:eastAsiaTheme="minorEastAsia"/>
        </w:rPr>
        <w:fldChar w:fldCharType="end"/>
      </w:r>
      <w:r>
        <w:rPr>
          <w:rFonts w:asciiTheme="minorEastAsia" w:hAnsiTheme="minorEastAsia" w:eastAsiaTheme="minorEastAsia"/>
        </w:rPr>
        <w:t>（www.ccgp-shaanxi.gov.cn）】上公布中标结果。中标公告期限为1个工作日。</w:t>
      </w:r>
    </w:p>
    <w:p>
      <w:pPr>
        <w:spacing w:line="460" w:lineRule="exact"/>
        <w:ind w:firstLine="210" w:firstLineChars="100"/>
        <w:rPr>
          <w:rFonts w:ascii="宋体" w:hAnsi="宋体"/>
        </w:rPr>
      </w:pPr>
      <w:r>
        <w:rPr>
          <w:rFonts w:hint="eastAsia" w:ascii="宋体" w:hAnsi="宋体"/>
        </w:rPr>
        <w:t>25.4</w:t>
      </w:r>
      <w:r>
        <w:rPr>
          <w:rFonts w:ascii="宋体" w:hAnsi="宋体"/>
        </w:rPr>
        <w:t>在公告中标结果的同时，采购代理机构向中标供应商发出中标通知书。</w:t>
      </w:r>
    </w:p>
    <w:p>
      <w:pPr>
        <w:autoSpaceDE w:val="0"/>
        <w:autoSpaceDN w:val="0"/>
        <w:adjustRightInd w:val="0"/>
        <w:spacing w:line="460" w:lineRule="exact"/>
        <w:ind w:right="6"/>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w:t>
      </w:r>
      <w:r>
        <w:rPr>
          <w:rFonts w:hint="eastAsia" w:cs="宋体" w:asciiTheme="minorEastAsia" w:hAnsiTheme="minorEastAsia" w:eastAsiaTheme="minorEastAsia"/>
          <w:b/>
          <w:bCs/>
          <w:kern w:val="0"/>
          <w:szCs w:val="21"/>
        </w:rPr>
        <w:t>6、中标通知书</w:t>
      </w:r>
    </w:p>
    <w:p>
      <w:pPr>
        <w:autoSpaceDE w:val="0"/>
        <w:autoSpaceDN w:val="0"/>
        <w:adjustRightInd w:val="0"/>
        <w:spacing w:line="460" w:lineRule="exact"/>
        <w:ind w:right="6" w:firstLine="21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6.1 中标供应商确定之后，采购代理机构将发出《中标通知书》。</w:t>
      </w:r>
    </w:p>
    <w:p>
      <w:pPr>
        <w:autoSpaceDE w:val="0"/>
        <w:autoSpaceDN w:val="0"/>
        <w:adjustRightInd w:val="0"/>
        <w:spacing w:line="460" w:lineRule="exact"/>
        <w:ind w:right="6"/>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2</w:t>
      </w:r>
      <w:r>
        <w:rPr>
          <w:rFonts w:hint="eastAsia" w:asciiTheme="minorEastAsia" w:hAnsiTheme="minorEastAsia" w:eastAsiaTheme="minorEastAsia"/>
        </w:rPr>
        <w:t>6.2 《中标通知书》将作为签订合同的依据，招标文件、投标文件和补充文件（如澄清、承诺等）等，均为有法律约束力的经济合同组成的一部分。</w:t>
      </w:r>
    </w:p>
    <w:p>
      <w:pPr>
        <w:spacing w:line="460" w:lineRule="exact"/>
        <w:jc w:val="center"/>
        <w:outlineLvl w:val="9"/>
        <w:rPr>
          <w:rFonts w:cs="宋体" w:asciiTheme="minorEastAsia" w:hAnsiTheme="minorEastAsia" w:eastAsiaTheme="minorEastAsia"/>
          <w:b/>
          <w:bCs/>
          <w:sz w:val="28"/>
        </w:rPr>
      </w:pPr>
      <w:r>
        <w:rPr>
          <w:rFonts w:hint="eastAsia" w:cs="宋体" w:asciiTheme="minorEastAsia" w:hAnsiTheme="minorEastAsia" w:eastAsiaTheme="minorEastAsia"/>
          <w:b/>
          <w:bCs/>
          <w:sz w:val="28"/>
        </w:rPr>
        <w:t>八、合同授予</w:t>
      </w:r>
    </w:p>
    <w:p>
      <w:pPr>
        <w:autoSpaceDE w:val="0"/>
        <w:autoSpaceDN w:val="0"/>
        <w:adjustRightInd w:val="0"/>
        <w:spacing w:line="460" w:lineRule="exact"/>
        <w:ind w:right="6"/>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2</w:t>
      </w:r>
      <w:r>
        <w:rPr>
          <w:rFonts w:hint="eastAsia" w:cs="宋体" w:asciiTheme="minorEastAsia" w:hAnsiTheme="minorEastAsia" w:eastAsiaTheme="minorEastAsia"/>
          <w:b/>
          <w:bCs/>
          <w:kern w:val="0"/>
          <w:szCs w:val="21"/>
        </w:rPr>
        <w:t>7、合同签订</w:t>
      </w:r>
    </w:p>
    <w:p>
      <w:pPr>
        <w:autoSpaceDE w:val="0"/>
        <w:autoSpaceDN w:val="0"/>
        <w:adjustRightInd w:val="0"/>
        <w:spacing w:line="460" w:lineRule="exact"/>
        <w:ind w:right="6" w:firstLine="21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7.1 采购人应当自《中标通知书》发出之日起30日内，按照投标文件和中标供应商投标文件（包括投标评审中形成的最后报价等补充文件）的约定，与中标供应商签订书面合同。所签订的合同不得对招标文件和中标供应商的投标文件（包括投标评审中形成的最后报价等补充文件）作实质性修改。</w:t>
      </w:r>
    </w:p>
    <w:p>
      <w:pPr>
        <w:autoSpaceDE w:val="0"/>
        <w:autoSpaceDN w:val="0"/>
        <w:adjustRightInd w:val="0"/>
        <w:spacing w:line="460" w:lineRule="exact"/>
        <w:ind w:right="6" w:firstLine="21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7</w:t>
      </w:r>
      <w:r>
        <w:rPr>
          <w:rFonts w:asciiTheme="minorEastAsia" w:hAnsiTheme="minorEastAsia" w:eastAsiaTheme="minorEastAsia"/>
        </w:rPr>
        <w:t xml:space="preserve">.2 </w:t>
      </w:r>
      <w:r>
        <w:rPr>
          <w:rFonts w:hint="eastAsia" w:asciiTheme="minorEastAsia" w:hAnsiTheme="minorEastAsia" w:eastAsiaTheme="minorEastAsia"/>
        </w:rPr>
        <w:t>确定中标供应商后，中标供应商因自身原因未按程序签订合同，采购人将取消其中标资格，同时报请监督机构备案。在此情况下，采购人可按评审结果顺序将合同授予第二名中标候选人或重新采购。由此给采购人造成损失的，中标供应商应予以补偿或者赔偿。</w:t>
      </w:r>
    </w:p>
    <w:p>
      <w:pPr>
        <w:autoSpaceDE w:val="0"/>
        <w:autoSpaceDN w:val="0"/>
        <w:adjustRightInd w:val="0"/>
        <w:spacing w:line="460" w:lineRule="exact"/>
        <w:ind w:right="6" w:firstLine="210" w:firstLineChars="100"/>
        <w:rPr>
          <w:rFonts w:asciiTheme="minorEastAsia" w:hAnsiTheme="minorEastAsia" w:eastAsiaTheme="minorEastAsia"/>
        </w:rPr>
      </w:pPr>
      <w:r>
        <w:rPr>
          <w:rFonts w:hint="eastAsia" w:asciiTheme="minorEastAsia" w:hAnsiTheme="minorEastAsia" w:eastAsiaTheme="minorEastAsia"/>
        </w:rPr>
        <w:t>27.3 招标文件、投标文件、澄清、补充合同等为政府采购合同的组成部分，具有同等法律效力。</w:t>
      </w:r>
    </w:p>
    <w:p>
      <w:pPr>
        <w:autoSpaceDE w:val="0"/>
        <w:autoSpaceDN w:val="0"/>
        <w:adjustRightInd w:val="0"/>
        <w:spacing w:line="460" w:lineRule="exact"/>
        <w:ind w:right="6" w:firstLine="210" w:firstLineChars="1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 xml:space="preserve">7.4 </w:t>
      </w:r>
      <w:r>
        <w:rPr>
          <w:rFonts w:hint="eastAsia" w:ascii="宋体" w:hAnsi="宋体"/>
          <w:szCs w:val="21"/>
        </w:rPr>
        <w:t>质疑或者投诉事项可能影响中标、成交结果的，采购人应当暂停签订合同，已经签订合同的，应当中止履行合同。</w:t>
      </w:r>
    </w:p>
    <w:p>
      <w:pPr>
        <w:autoSpaceDE w:val="0"/>
        <w:autoSpaceDN w:val="0"/>
        <w:adjustRightInd w:val="0"/>
        <w:spacing w:line="460" w:lineRule="exact"/>
        <w:ind w:right="6"/>
        <w:rPr>
          <w:rFonts w:asciiTheme="minorEastAsia" w:hAnsiTheme="minorEastAsia" w:eastAsiaTheme="minorEastAsia"/>
          <w:b/>
        </w:rPr>
      </w:pPr>
      <w:r>
        <w:rPr>
          <w:rFonts w:hint="eastAsia" w:asciiTheme="minorEastAsia" w:hAnsiTheme="minorEastAsia" w:eastAsiaTheme="minorEastAsia"/>
          <w:b/>
        </w:rPr>
        <w:t>28、合同公告及备案</w:t>
      </w:r>
    </w:p>
    <w:p>
      <w:pPr>
        <w:autoSpaceDE w:val="0"/>
        <w:autoSpaceDN w:val="0"/>
        <w:adjustRightInd w:val="0"/>
        <w:spacing w:line="460" w:lineRule="exact"/>
        <w:ind w:right="6" w:firstLine="210" w:firstLineChars="100"/>
        <w:rPr>
          <w:rFonts w:asciiTheme="minorEastAsia" w:hAnsiTheme="minorEastAsia" w:eastAsiaTheme="minorEastAsia"/>
        </w:rPr>
      </w:pPr>
      <w:r>
        <w:rPr>
          <w:rFonts w:hint="eastAsia" w:asciiTheme="minorEastAsia" w:hAnsiTheme="minorEastAsia" w:eastAsiaTheme="minorEastAsia"/>
        </w:rPr>
        <w:t>28.1 采购人应当自政府采购合同签订之日起2个工作日内，在</w:t>
      </w:r>
      <w:r>
        <w:rPr>
          <w:rFonts w:asciiTheme="minorEastAsia" w:hAnsiTheme="minorEastAsia" w:eastAsiaTheme="minorEastAsia"/>
        </w:rPr>
        <w:t>【陕西省政府采购网】（</w:t>
      </w:r>
      <w:r>
        <w:fldChar w:fldCharType="begin"/>
      </w:r>
      <w:r>
        <w:instrText xml:space="preserve"> HYPERLINK "http://www.ccgp-shaanxi.gov.cn/" </w:instrText>
      </w:r>
      <w:r>
        <w:fldChar w:fldCharType="separate"/>
      </w:r>
      <w:r>
        <w:rPr>
          <w:rFonts w:asciiTheme="minorEastAsia" w:hAnsiTheme="minorEastAsia" w:eastAsiaTheme="minorEastAsia"/>
        </w:rPr>
        <w:t>http://www.ccgp-shaanxi.gov.cn</w:t>
      </w:r>
      <w:r>
        <w:rPr>
          <w:rFonts w:hint="eastAsia" w:asciiTheme="minorEastAsia" w:hAnsiTheme="minorEastAsia" w:eastAsiaTheme="minorEastAsia"/>
        </w:rPr>
        <w:t>/</w:t>
      </w:r>
      <w:r>
        <w:rPr>
          <w:rFonts w:hint="eastAsia" w:asciiTheme="minorEastAsia" w:hAnsiTheme="minorEastAsia" w:eastAsiaTheme="minorEastAsia"/>
        </w:rPr>
        <w:fldChar w:fldCharType="end"/>
      </w:r>
      <w:r>
        <w:rPr>
          <w:rFonts w:asciiTheme="minorEastAsia" w:hAnsiTheme="minorEastAsia" w:eastAsiaTheme="minorEastAsia"/>
        </w:rPr>
        <w:t>）</w:t>
      </w:r>
      <w:r>
        <w:rPr>
          <w:rFonts w:hint="eastAsia" w:asciiTheme="minorEastAsia" w:hAnsiTheme="minorEastAsia" w:eastAsiaTheme="minorEastAsia"/>
        </w:rPr>
        <w:t>对合同进行公示，但政府采购合同中涉及国家秘密、商业秘密的内容除外。</w:t>
      </w:r>
    </w:p>
    <w:p>
      <w:pPr>
        <w:spacing w:line="460" w:lineRule="exact"/>
        <w:rPr>
          <w:rFonts w:asciiTheme="minorEastAsia" w:hAnsiTheme="minorEastAsia" w:eastAsiaTheme="minorEastAsia"/>
          <w:b/>
          <w:szCs w:val="21"/>
        </w:rPr>
      </w:pPr>
      <w:r>
        <w:rPr>
          <w:rFonts w:hint="eastAsia" w:asciiTheme="minorEastAsia" w:hAnsiTheme="minorEastAsia" w:eastAsiaTheme="minorEastAsia"/>
          <w:b/>
          <w:szCs w:val="21"/>
        </w:rPr>
        <w:t>29、履约担保</w:t>
      </w:r>
    </w:p>
    <w:p>
      <w:pPr>
        <w:autoSpaceDE w:val="0"/>
        <w:autoSpaceDN w:val="0"/>
        <w:adjustRightInd w:val="0"/>
        <w:spacing w:line="460" w:lineRule="exact"/>
        <w:ind w:firstLine="210" w:firstLineChars="100"/>
        <w:rPr>
          <w:rFonts w:ascii="宋体" w:hAnsi="宋体"/>
          <w:szCs w:val="21"/>
        </w:rPr>
      </w:pPr>
      <w:r>
        <w:rPr>
          <w:rFonts w:hint="eastAsia" w:ascii="宋体" w:hAnsi="宋体"/>
          <w:szCs w:val="21"/>
        </w:rPr>
        <w:t>29.1 履约保证金的交纳具体金额详见投标供应商须知前附表。</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招标文件要求中标供人提交履约保证金的，中标供应商可通过支票、本票、汇票、网上银行支付等非现金形式交纳，也可通过履约担保函（包含纸质保函、电子保函）形式提交，其中采用纸质保函的，应当提交保函原件。</w:t>
      </w:r>
    </w:p>
    <w:p>
      <w:pPr>
        <w:autoSpaceDE w:val="0"/>
        <w:autoSpaceDN w:val="0"/>
        <w:adjustRightInd w:val="0"/>
        <w:spacing w:line="460" w:lineRule="exact"/>
        <w:ind w:firstLine="210" w:firstLineChars="100"/>
        <w:rPr>
          <w:rFonts w:ascii="宋体" w:hAnsi="宋体"/>
          <w:szCs w:val="21"/>
        </w:rPr>
      </w:pPr>
      <w:r>
        <w:rPr>
          <w:rFonts w:hint="eastAsia" w:ascii="宋体" w:hAnsi="宋体"/>
          <w:szCs w:val="21"/>
        </w:rPr>
        <w:t>29.2 采用履约保函形式时应注意以下事项：</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① 履约保函的受益人为采购人，中标供应商未能按合同规定履行其义务时，采购人有权从履约保证金中取得补偿。</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② 履约保函的内容包括但不限于保函申请人、项目名称（如分标段，还应写明所投标段）、担保金额、保函有效期（履约保函的有效期至少应覆盖至合同验收之日，履约保函有效期不足的，中标供应商应向履约保函签发机构办理担保续期手续）；</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③ 担保金额不少于《投标供应商须知前附表》中规定的履约保证金交纳金额；</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④ 保函申请人须与中标供应商名称一致。若中标供应商为联合体形式，原则上可由联合体任意一方或多方作为保函申请人。</w:t>
      </w:r>
    </w:p>
    <w:p>
      <w:pPr>
        <w:autoSpaceDE w:val="0"/>
        <w:autoSpaceDN w:val="0"/>
        <w:adjustRightInd w:val="0"/>
        <w:spacing w:line="460" w:lineRule="exact"/>
        <w:ind w:firstLine="210" w:firstLineChars="100"/>
        <w:rPr>
          <w:rFonts w:ascii="宋体" w:hAnsi="宋体"/>
          <w:szCs w:val="21"/>
        </w:rPr>
      </w:pPr>
      <w:r>
        <w:rPr>
          <w:rFonts w:hint="eastAsia" w:ascii="宋体" w:hAnsi="宋体"/>
          <w:szCs w:val="21"/>
        </w:rPr>
        <w:t>29.3 退还履约保证金</w:t>
      </w:r>
    </w:p>
    <w:p>
      <w:pPr>
        <w:autoSpaceDE w:val="0"/>
        <w:autoSpaceDN w:val="0"/>
        <w:adjustRightInd w:val="0"/>
        <w:spacing w:line="460" w:lineRule="exact"/>
        <w:ind w:firstLine="420" w:firstLineChars="200"/>
        <w:rPr>
          <w:rFonts w:ascii="宋体" w:hAnsi="宋体"/>
          <w:szCs w:val="21"/>
        </w:rPr>
      </w:pPr>
      <w:r>
        <w:rPr>
          <w:rFonts w:hint="eastAsia" w:ascii="宋体" w:hAnsi="宋体"/>
          <w:szCs w:val="21"/>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spacing w:line="460" w:lineRule="exact"/>
        <w:rPr>
          <w:rFonts w:ascii="宋体" w:hAnsi="宋体"/>
          <w:b/>
          <w:szCs w:val="21"/>
        </w:rPr>
      </w:pPr>
      <w:r>
        <w:rPr>
          <w:rFonts w:hint="eastAsia" w:ascii="宋体" w:hAnsi="宋体"/>
          <w:b/>
          <w:szCs w:val="21"/>
        </w:rPr>
        <w:t>30、履行合同</w:t>
      </w:r>
    </w:p>
    <w:p>
      <w:pPr>
        <w:autoSpaceDE w:val="0"/>
        <w:autoSpaceDN w:val="0"/>
        <w:adjustRightInd w:val="0"/>
        <w:spacing w:line="460" w:lineRule="exact"/>
        <w:ind w:firstLine="210" w:firstLineChars="100"/>
        <w:rPr>
          <w:rFonts w:ascii="宋体" w:hAnsi="宋体"/>
          <w:szCs w:val="21"/>
        </w:rPr>
      </w:pPr>
      <w:r>
        <w:rPr>
          <w:rFonts w:hint="eastAsia" w:ascii="宋体" w:hAnsi="宋体"/>
          <w:szCs w:val="21"/>
        </w:rPr>
        <w:t>30.1 合同一经签订，双方应严格履行合同规定的义务。</w:t>
      </w:r>
    </w:p>
    <w:p>
      <w:pPr>
        <w:autoSpaceDE w:val="0"/>
        <w:autoSpaceDN w:val="0"/>
        <w:adjustRightInd w:val="0"/>
        <w:spacing w:line="460" w:lineRule="exact"/>
        <w:ind w:firstLine="210" w:firstLineChars="100"/>
        <w:rPr>
          <w:rFonts w:ascii="宋体" w:hAnsi="宋体"/>
          <w:szCs w:val="21"/>
        </w:rPr>
      </w:pPr>
      <w:r>
        <w:rPr>
          <w:rFonts w:hint="eastAsia" w:ascii="宋体" w:hAnsi="宋体"/>
          <w:szCs w:val="21"/>
        </w:rPr>
        <w:t>30.2 在合同履行过程中，如发生合同纠纷，合同双方应按照《中华人民共和国民法典》及合同条款的有关规定进行处理。</w:t>
      </w:r>
    </w:p>
    <w:p>
      <w:pPr>
        <w:spacing w:line="460" w:lineRule="exact"/>
        <w:rPr>
          <w:rFonts w:ascii="宋体" w:hAnsi="宋体"/>
          <w:b/>
          <w:szCs w:val="21"/>
        </w:rPr>
      </w:pPr>
      <w:r>
        <w:rPr>
          <w:rFonts w:hint="eastAsia" w:ascii="宋体" w:hAnsi="宋体"/>
          <w:b/>
          <w:szCs w:val="21"/>
        </w:rPr>
        <w:t>31、</w:t>
      </w:r>
      <w:r>
        <w:rPr>
          <w:rFonts w:ascii="宋体" w:hAnsi="宋体"/>
          <w:b/>
          <w:szCs w:val="21"/>
        </w:rPr>
        <w:t>验收或考核</w:t>
      </w:r>
    </w:p>
    <w:p>
      <w:pPr>
        <w:autoSpaceDE w:val="0"/>
        <w:autoSpaceDN w:val="0"/>
        <w:adjustRightInd w:val="0"/>
        <w:spacing w:line="460" w:lineRule="exact"/>
        <w:ind w:firstLine="210" w:firstLineChars="100"/>
        <w:rPr>
          <w:rFonts w:ascii="宋体" w:hAnsi="宋体"/>
          <w:szCs w:val="21"/>
        </w:rPr>
      </w:pPr>
      <w:r>
        <w:rPr>
          <w:rFonts w:hint="eastAsia" w:ascii="宋体" w:hAnsi="宋体"/>
          <w:szCs w:val="21"/>
        </w:rPr>
        <w:t>31.1 采购人按照政府采购合同规定的技术、服务、安全标准组织对中标供应商履约情况进行验收，并出具验收书。</w:t>
      </w:r>
    </w:p>
    <w:p>
      <w:pPr>
        <w:autoSpaceDE w:val="0"/>
        <w:autoSpaceDN w:val="0"/>
        <w:adjustRightInd w:val="0"/>
        <w:snapToGrid w:val="0"/>
        <w:spacing w:line="460" w:lineRule="exact"/>
        <w:jc w:val="center"/>
        <w:rPr>
          <w:rFonts w:cs="宋体" w:asciiTheme="minorEastAsia" w:hAnsiTheme="minorEastAsia" w:eastAsiaTheme="minorEastAsia"/>
          <w:b/>
          <w:bCs/>
          <w:sz w:val="28"/>
        </w:rPr>
      </w:pPr>
      <w:r>
        <w:rPr>
          <w:rFonts w:hint="eastAsia" w:cs="宋体" w:asciiTheme="minorEastAsia" w:hAnsiTheme="minorEastAsia" w:eastAsiaTheme="minorEastAsia"/>
          <w:b/>
          <w:bCs/>
          <w:sz w:val="28"/>
        </w:rPr>
        <w:t>九、</w:t>
      </w:r>
      <w:r>
        <w:rPr>
          <w:rFonts w:hint="eastAsia" w:ascii="宋体" w:hAnsi="宋体" w:cs="宋体"/>
          <w:b/>
          <w:bCs/>
          <w:sz w:val="24"/>
        </w:rPr>
        <w:t>询问、质疑及投诉</w:t>
      </w:r>
    </w:p>
    <w:p>
      <w:pPr>
        <w:tabs>
          <w:tab w:val="left" w:pos="7665"/>
        </w:tabs>
        <w:spacing w:line="460" w:lineRule="exac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32、询问</w:t>
      </w:r>
    </w:p>
    <w:p>
      <w:pPr>
        <w:autoSpaceDE w:val="0"/>
        <w:autoSpaceDN w:val="0"/>
        <w:adjustRightInd w:val="0"/>
        <w:snapToGrid w:val="0"/>
        <w:spacing w:line="460" w:lineRule="exact"/>
        <w:ind w:firstLine="420" w:firstLineChars="200"/>
        <w:rPr>
          <w:rFonts w:asciiTheme="minorEastAsia" w:hAnsiTheme="minorEastAsia" w:eastAsiaTheme="minorEastAsia"/>
        </w:rPr>
      </w:pPr>
      <w:r>
        <w:rPr>
          <w:rFonts w:hint="eastAsia" w:cs="宋体" w:asciiTheme="minorEastAsia" w:hAnsiTheme="minorEastAsia" w:eastAsiaTheme="minorEastAsia"/>
          <w:kern w:val="0"/>
          <w:szCs w:val="21"/>
        </w:rPr>
        <w:t>投标供应商对政府采购活动事项有疑问的，可以向采购人或采购代理机构提出询问。采购人或采购代理机构将在3个工作日内对投标供应商依法提出的询问作出答复。</w:t>
      </w:r>
      <w:r>
        <w:rPr>
          <w:rFonts w:hint="eastAsia" w:asciiTheme="minorEastAsia" w:hAnsiTheme="minorEastAsia" w:eastAsiaTheme="minorEastAsia"/>
        </w:rPr>
        <w:t xml:space="preserve">询问内容超出采购人对采购代理机构委托授权范围的，投标供应商应当向采购人提出。 </w:t>
      </w:r>
    </w:p>
    <w:p>
      <w:pPr>
        <w:spacing w:line="460" w:lineRule="exact"/>
        <w:rPr>
          <w:rFonts w:asciiTheme="minorEastAsia" w:hAnsiTheme="minorEastAsia" w:eastAsiaTheme="minorEastAsia"/>
          <w:b/>
          <w:szCs w:val="21"/>
        </w:rPr>
      </w:pPr>
      <w:r>
        <w:rPr>
          <w:rFonts w:hint="eastAsia" w:asciiTheme="minorEastAsia" w:hAnsiTheme="minorEastAsia" w:eastAsiaTheme="minorEastAsia"/>
          <w:b/>
          <w:szCs w:val="21"/>
        </w:rPr>
        <w:t>33、质疑</w:t>
      </w:r>
    </w:p>
    <w:p>
      <w:pPr>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lang w:val="zh-CN"/>
        </w:rPr>
        <w:t>33</w:t>
      </w:r>
      <w:r>
        <w:rPr>
          <w:rFonts w:hint="eastAsia" w:cs="宋体" w:asciiTheme="minorEastAsia" w:hAnsiTheme="minorEastAsia" w:eastAsiaTheme="minorEastAsia"/>
          <w:kern w:val="0"/>
          <w:szCs w:val="21"/>
        </w:rPr>
        <w:t>.1 潜在投标供应商</w:t>
      </w:r>
      <w:r>
        <w:rPr>
          <w:rFonts w:cs="宋体" w:asciiTheme="minorEastAsia" w:hAnsiTheme="minorEastAsia" w:eastAsiaTheme="minorEastAsia"/>
          <w:kern w:val="0"/>
          <w:szCs w:val="21"/>
        </w:rPr>
        <w:t>认为</w:t>
      </w:r>
      <w:r>
        <w:rPr>
          <w:rFonts w:hint="eastAsia" w:cs="宋体" w:asciiTheme="minorEastAsia" w:hAnsiTheme="minorEastAsia" w:eastAsiaTheme="minorEastAsia"/>
          <w:kern w:val="0"/>
          <w:szCs w:val="21"/>
        </w:rPr>
        <w:t>招标</w:t>
      </w:r>
      <w:r>
        <w:rPr>
          <w:rFonts w:cs="宋体" w:asciiTheme="minorEastAsia" w:hAnsiTheme="minorEastAsia" w:eastAsiaTheme="minorEastAsia"/>
          <w:kern w:val="0"/>
          <w:szCs w:val="21"/>
        </w:rPr>
        <w:t>文件、采购过程、中标结果使自己的权益受到损害的，可以在知道或者应知其权益受到损害之日起7个工作日内，以书面形式向</w:t>
      </w:r>
      <w:r>
        <w:rPr>
          <w:rFonts w:hint="eastAsia" w:cs="宋体" w:asciiTheme="minorEastAsia" w:hAnsiTheme="minorEastAsia" w:eastAsiaTheme="minorEastAsia"/>
          <w:kern w:val="0"/>
          <w:szCs w:val="21"/>
        </w:rPr>
        <w:t>采购人</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采购代理机构</w:t>
      </w:r>
      <w:r>
        <w:rPr>
          <w:rFonts w:cs="宋体" w:asciiTheme="minorEastAsia" w:hAnsiTheme="minorEastAsia" w:eastAsiaTheme="minorEastAsia"/>
          <w:kern w:val="0"/>
          <w:szCs w:val="21"/>
        </w:rPr>
        <w:t>提出质疑。</w:t>
      </w:r>
    </w:p>
    <w:p>
      <w:pPr>
        <w:tabs>
          <w:tab w:val="left" w:pos="7665"/>
        </w:tabs>
        <w:spacing w:line="460" w:lineRule="exact"/>
        <w:ind w:firstLine="210" w:firstLineChars="100"/>
        <w:rPr>
          <w:rStyle w:val="47"/>
          <w:rFonts w:asciiTheme="minorEastAsia" w:hAnsiTheme="minorEastAsia" w:eastAsiaTheme="minorEastAsia"/>
        </w:rPr>
      </w:pPr>
      <w:r>
        <w:rPr>
          <w:rFonts w:hint="eastAsia" w:cs="宋体" w:asciiTheme="minorEastAsia" w:hAnsiTheme="minorEastAsia" w:eastAsiaTheme="minorEastAsia"/>
          <w:kern w:val="0"/>
          <w:szCs w:val="21"/>
        </w:rPr>
        <w:t>33.2 质疑函应按照财政部国库司制定的《政府采购供应商质疑函范本》进行填写，签字、盖章后提交至采购人、采购代理机构。</w:t>
      </w:r>
    </w:p>
    <w:p>
      <w:pPr>
        <w:tabs>
          <w:tab w:val="left" w:pos="7665"/>
        </w:tabs>
        <w:spacing w:line="460" w:lineRule="exact"/>
        <w:ind w:firstLine="630" w:firstLineChars="300"/>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① 陕西中正天投项目管理有限公司；</w:t>
      </w:r>
    </w:p>
    <w:p>
      <w:pPr>
        <w:tabs>
          <w:tab w:val="left" w:pos="7665"/>
        </w:tabs>
        <w:spacing w:line="460" w:lineRule="exact"/>
        <w:ind w:firstLine="630" w:firstLineChars="300"/>
        <w:rPr>
          <w:rFonts w:hint="eastAsia" w:eastAsia="宋体" w:cs="新宋体" w:asciiTheme="minorEastAsia" w:hAnsiTheme="minorEastAsia"/>
          <w:szCs w:val="21"/>
          <w:lang w:eastAsia="zh-CN"/>
        </w:rPr>
      </w:pPr>
      <w:r>
        <w:rPr>
          <w:rFonts w:hint="eastAsia" w:cs="宋体" w:asciiTheme="minorEastAsia" w:hAnsiTheme="minorEastAsia" w:eastAsiaTheme="minorEastAsia"/>
          <w:kern w:val="0"/>
          <w:szCs w:val="21"/>
          <w:lang w:val="zh-CN"/>
        </w:rPr>
        <w:t>② 通讯地址：</w:t>
      </w:r>
      <w:r>
        <w:rPr>
          <w:rFonts w:hint="eastAsia" w:ascii="宋体" w:hAnsi="宋体"/>
          <w:szCs w:val="21"/>
        </w:rPr>
        <w:t>陕西省西安市高新区锦业路32号锦业时代B3座1701</w:t>
      </w:r>
      <w:r>
        <w:rPr>
          <w:rFonts w:hint="eastAsia" w:ascii="宋体" w:hAnsi="宋体"/>
          <w:szCs w:val="21"/>
          <w:lang w:eastAsia="zh-CN"/>
        </w:rPr>
        <w:t>。</w:t>
      </w:r>
    </w:p>
    <w:p>
      <w:pPr>
        <w:tabs>
          <w:tab w:val="left" w:pos="7665"/>
        </w:tabs>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33.3投标供应商为自然人的，应当由本人签字；投标供应商为法人或者其他组织的，应当由法定代表人、主要负责人，或者其授权代表签字或者盖章，并加盖单位公章，公章不得以合同章或其他印章代替。投标供应商委托代理人提出质疑的，应当同时提交供应商签署的授权委托书。</w:t>
      </w:r>
    </w:p>
    <w:p>
      <w:pPr>
        <w:tabs>
          <w:tab w:val="left" w:pos="7665"/>
        </w:tabs>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33.4在法定质疑期内，针对同一采购程序环节的质疑应当一次性提出。采购人、采购代理机构将在收到书面质疑后7个工作日内做出答复，并以书面形式通知质疑人和其他有关投标供应商。</w:t>
      </w:r>
    </w:p>
    <w:p>
      <w:pPr>
        <w:tabs>
          <w:tab w:val="left" w:pos="7665"/>
        </w:tabs>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33.5 有下列情形之一的，属于无效质疑：</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① 对招标文件提出质疑的质疑人不是依法获取招标文件的潜在投标供应商；对采购过程、中标结果提出质疑的质疑人不是参与本次政府采购项目的供应商；</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② 超过法定期限或未以书面形式提出的；</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③ 缺乏必要的证明材料，或捏造事实、提供虚假材料，或以非法手段取得证明材料的；</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④ 质疑函没有合法有效的签字、盖章或委托授权书的（代理人提出质疑和投诉，应当提交供应商签署的授权委托书）；</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⑤ 针对同一采购程序环节又提出其他质疑事项的，或质疑答复后就同一事项再次提出质疑的；</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⑥ 不符合法律、法规、规章和政府采购监管机构规定的其他条件的。</w:t>
      </w:r>
    </w:p>
    <w:p>
      <w:pPr>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lang w:val="zh-CN"/>
        </w:rPr>
        <w:t>33</w:t>
      </w:r>
      <w:r>
        <w:rPr>
          <w:rFonts w:hint="eastAsia" w:cs="宋体" w:asciiTheme="minorEastAsia" w:hAnsiTheme="minorEastAsia" w:eastAsiaTheme="minorEastAsia"/>
          <w:kern w:val="0"/>
          <w:szCs w:val="21"/>
        </w:rPr>
        <w:t>.6 质疑的提出与答复，执行财政部94号令《</w:t>
      </w:r>
      <w:r>
        <w:rPr>
          <w:rFonts w:cs="宋体" w:asciiTheme="minorEastAsia" w:hAnsiTheme="minorEastAsia" w:eastAsiaTheme="minorEastAsia"/>
          <w:kern w:val="0"/>
          <w:szCs w:val="21"/>
        </w:rPr>
        <w:t>政府采购质疑和投诉办法</w:t>
      </w:r>
      <w:r>
        <w:rPr>
          <w:rFonts w:hint="eastAsia" w:cs="宋体" w:asciiTheme="minorEastAsia" w:hAnsiTheme="minorEastAsia" w:eastAsiaTheme="minorEastAsia"/>
          <w:kern w:val="0"/>
          <w:szCs w:val="21"/>
        </w:rPr>
        <w:t>》。</w:t>
      </w:r>
    </w:p>
    <w:p>
      <w:pPr>
        <w:spacing w:line="460" w:lineRule="exac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34、投诉</w:t>
      </w:r>
    </w:p>
    <w:p>
      <w:pPr>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34.1</w:t>
      </w:r>
      <w:r>
        <w:rPr>
          <w:rFonts w:cs="宋体" w:asciiTheme="minorEastAsia" w:hAnsiTheme="minorEastAsia" w:eastAsiaTheme="minorEastAsia"/>
          <w:kern w:val="0"/>
          <w:szCs w:val="21"/>
        </w:rPr>
        <w:t>质疑</w:t>
      </w:r>
      <w:r>
        <w:rPr>
          <w:rFonts w:hint="eastAsia" w:cs="宋体" w:asciiTheme="minorEastAsia" w:hAnsiTheme="minorEastAsia" w:eastAsiaTheme="minorEastAsia"/>
          <w:kern w:val="0"/>
          <w:szCs w:val="21"/>
        </w:rPr>
        <w:t>人</w:t>
      </w:r>
      <w:r>
        <w:rPr>
          <w:rFonts w:cs="宋体" w:asciiTheme="minorEastAsia" w:hAnsiTheme="minorEastAsia" w:eastAsiaTheme="minorEastAsia"/>
          <w:kern w:val="0"/>
          <w:szCs w:val="21"/>
        </w:rPr>
        <w:t>对</w:t>
      </w:r>
      <w:r>
        <w:rPr>
          <w:rFonts w:hint="eastAsia" w:cs="宋体" w:asciiTheme="minorEastAsia" w:hAnsiTheme="minorEastAsia" w:eastAsiaTheme="minorEastAsia"/>
          <w:kern w:val="0"/>
          <w:szCs w:val="21"/>
        </w:rPr>
        <w:t>采购人</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采购代理机构</w:t>
      </w:r>
      <w:r>
        <w:rPr>
          <w:rFonts w:cs="宋体" w:asciiTheme="minorEastAsia" w:hAnsiTheme="minorEastAsia" w:eastAsiaTheme="minorEastAsia"/>
          <w:kern w:val="0"/>
          <w:szCs w:val="21"/>
        </w:rPr>
        <w:t>的答复不满意，或者</w:t>
      </w:r>
      <w:r>
        <w:rPr>
          <w:rFonts w:hint="eastAsia" w:cs="宋体" w:asciiTheme="minorEastAsia" w:hAnsiTheme="minorEastAsia" w:eastAsiaTheme="minorEastAsia"/>
          <w:kern w:val="0"/>
          <w:szCs w:val="21"/>
        </w:rPr>
        <w:t>采购人</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采购代理机构</w:t>
      </w:r>
      <w:r>
        <w:rPr>
          <w:rFonts w:cs="宋体" w:asciiTheme="minorEastAsia" w:hAnsiTheme="minorEastAsia" w:eastAsiaTheme="minorEastAsia"/>
          <w:kern w:val="0"/>
          <w:szCs w:val="21"/>
        </w:rPr>
        <w:t>未在规定时间内作出答复的，可以在答复期满后15个工作日内向同级财政部门提起投诉。</w:t>
      </w:r>
    </w:p>
    <w:p>
      <w:pPr>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34.2投标供应商投诉的事项不得超出已质疑事项的范围。投标供应商提出投诉时，应当提交投诉书和必要的证明材料，并按财政部《投诉书范本》给定的格式进行填写。</w:t>
      </w:r>
    </w:p>
    <w:p>
      <w:pPr>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34.3</w:t>
      </w:r>
      <w:r>
        <w:rPr>
          <w:rFonts w:cs="宋体" w:asciiTheme="minorEastAsia" w:hAnsiTheme="minorEastAsia" w:eastAsiaTheme="minorEastAsia"/>
          <w:kern w:val="0"/>
          <w:szCs w:val="21"/>
        </w:rPr>
        <w:t xml:space="preserve"> 投诉的事项不得超出已质疑事项的范围，但基于质疑答复内容提出的投诉事项除外。</w:t>
      </w:r>
    </w:p>
    <w:p>
      <w:pPr>
        <w:tabs>
          <w:tab w:val="left" w:pos="7665"/>
        </w:tabs>
        <w:spacing w:line="460" w:lineRule="exac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35、恶意</w:t>
      </w:r>
      <w:r>
        <w:rPr>
          <w:rFonts w:cs="宋体" w:asciiTheme="minorEastAsia" w:hAnsiTheme="minorEastAsia" w:eastAsiaTheme="minorEastAsia"/>
          <w:b/>
          <w:kern w:val="0"/>
          <w:szCs w:val="21"/>
        </w:rPr>
        <w:t>质疑、投诉的</w:t>
      </w:r>
      <w:r>
        <w:rPr>
          <w:rFonts w:hint="eastAsia" w:cs="宋体" w:asciiTheme="minorEastAsia" w:hAnsiTheme="minorEastAsia" w:eastAsiaTheme="minorEastAsia"/>
          <w:b/>
          <w:kern w:val="0"/>
          <w:szCs w:val="21"/>
        </w:rPr>
        <w:t>法律</w:t>
      </w:r>
      <w:r>
        <w:rPr>
          <w:rFonts w:cs="宋体" w:asciiTheme="minorEastAsia" w:hAnsiTheme="minorEastAsia" w:eastAsiaTheme="minorEastAsia"/>
          <w:b/>
          <w:kern w:val="0"/>
          <w:szCs w:val="21"/>
        </w:rPr>
        <w:t>后果</w:t>
      </w:r>
    </w:p>
    <w:p>
      <w:pPr>
        <w:tabs>
          <w:tab w:val="left" w:pos="7665"/>
        </w:tabs>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35.1 </w:t>
      </w:r>
      <w:r>
        <w:rPr>
          <w:rFonts w:cs="宋体" w:asciiTheme="minorEastAsia" w:hAnsiTheme="minorEastAsia" w:eastAsiaTheme="minorEastAsia"/>
          <w:kern w:val="0"/>
          <w:szCs w:val="21"/>
        </w:rPr>
        <w:t>对捏造事实、提供虚假材料进行质疑、投诉的行为予以严肃处理：</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《政府采购质疑和投诉办法》（财政部</w:t>
      </w:r>
      <w:r>
        <w:rPr>
          <w:rFonts w:cs="宋体" w:asciiTheme="minorEastAsia" w:hAnsiTheme="minorEastAsia" w:eastAsiaTheme="minorEastAsia"/>
          <w:kern w:val="0"/>
          <w:szCs w:val="21"/>
        </w:rPr>
        <w:t>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tabs>
          <w:tab w:val="left" w:pos="7665"/>
        </w:tabs>
        <w:spacing w:line="460" w:lineRule="exact"/>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35.2 </w:t>
      </w:r>
      <w:r>
        <w:rPr>
          <w:rFonts w:cs="宋体" w:asciiTheme="minorEastAsia" w:hAnsiTheme="minorEastAsia" w:eastAsiaTheme="minorEastAsia"/>
          <w:kern w:val="0"/>
          <w:szCs w:val="21"/>
        </w:rPr>
        <w:t>对捏造事实诬告陷害他人、诽谤他人的法律适用：</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《中华人民共和国刑法》第</w:t>
      </w:r>
      <w:r>
        <w:rPr>
          <w:rFonts w:cs="宋体" w:asciiTheme="minorEastAsia" w:hAnsiTheme="minorEastAsia" w:eastAsiaTheme="minorEastAsia"/>
          <w:kern w:val="0"/>
          <w:szCs w:val="21"/>
        </w:rPr>
        <w:t>243条【诬告陷害罪】捏造事实诬告陷害他人，意图使他人受刑事追究，情节严重的，处三年以下有期徒刑、拘役或者管制；造成严重后果的，处三年以上十年以下有期徒刑。</w:t>
      </w:r>
    </w:p>
    <w:p>
      <w:pPr>
        <w:tabs>
          <w:tab w:val="left" w:pos="7665"/>
        </w:tabs>
        <w:spacing w:line="46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《中华人民共和国刑法》第</w:t>
      </w:r>
      <w:r>
        <w:rPr>
          <w:rFonts w:cs="宋体" w:asciiTheme="minorEastAsia" w:hAnsiTheme="minorEastAsia" w:eastAsiaTheme="minorEastAsia"/>
          <w:kern w:val="0"/>
          <w:szCs w:val="21"/>
        </w:rPr>
        <w:t>246条【侮辱罪、诽谤罪】以暴力或者其他方法公然侮辱他人或者捏造事实诽谤他人，情节严重的，处三年以下有期徒刑、拘役、管制或者剥夺政治权利。</w:t>
      </w:r>
    </w:p>
    <w:p>
      <w:pPr>
        <w:spacing w:line="460" w:lineRule="exact"/>
        <w:jc w:val="center"/>
        <w:outlineLvl w:val="9"/>
        <w:rPr>
          <w:rFonts w:ascii="宋体" w:hAnsi="宋体" w:cs="宋体"/>
          <w:b/>
          <w:bCs/>
          <w:sz w:val="24"/>
        </w:rPr>
      </w:pPr>
      <w:r>
        <w:rPr>
          <w:rFonts w:hint="eastAsia" w:ascii="宋体" w:hAnsi="宋体" w:cs="宋体"/>
          <w:b/>
          <w:bCs/>
          <w:sz w:val="24"/>
        </w:rPr>
        <w:t>十、其 他</w:t>
      </w:r>
    </w:p>
    <w:p>
      <w:pPr>
        <w:autoSpaceDE w:val="0"/>
        <w:autoSpaceDN w:val="0"/>
        <w:adjustRightInd w:val="0"/>
        <w:snapToGrid w:val="0"/>
        <w:spacing w:line="460" w:lineRule="exact"/>
        <w:rPr>
          <w:rFonts w:ascii="宋体" w:hAnsi="宋体" w:cs="宋体"/>
          <w:b/>
          <w:bCs/>
          <w:kern w:val="0"/>
          <w:szCs w:val="21"/>
        </w:rPr>
      </w:pPr>
      <w:r>
        <w:rPr>
          <w:rFonts w:hint="eastAsia" w:ascii="宋体" w:hAnsi="宋体" w:cs="宋体"/>
          <w:b/>
          <w:bCs/>
          <w:kern w:val="0"/>
          <w:szCs w:val="21"/>
        </w:rPr>
        <w:t>36、其他情况</w:t>
      </w:r>
    </w:p>
    <w:p>
      <w:pPr>
        <w:autoSpaceDE w:val="0"/>
        <w:autoSpaceDN w:val="0"/>
        <w:adjustRightInd w:val="0"/>
        <w:snapToGrid w:val="0"/>
        <w:spacing w:line="460" w:lineRule="exact"/>
        <w:ind w:firstLine="210" w:firstLineChars="100"/>
        <w:rPr>
          <w:rFonts w:ascii="宋体" w:hAnsi="宋体" w:cs="宋体"/>
          <w:kern w:val="0"/>
          <w:szCs w:val="21"/>
        </w:rPr>
      </w:pPr>
      <w:r>
        <w:rPr>
          <w:rFonts w:hint="eastAsia" w:ascii="宋体" w:hAnsi="宋体" w:cs="宋体"/>
          <w:kern w:val="0"/>
          <w:szCs w:val="21"/>
        </w:rPr>
        <w:t>36.1 开标会议开始后，出现下列情形之一的，采购人或者采购代理机构应当终止采购活动，发布项目终止公告并说明原因，重新开展采购活动：</w:t>
      </w:r>
    </w:p>
    <w:p>
      <w:pPr>
        <w:autoSpaceDE w:val="0"/>
        <w:autoSpaceDN w:val="0"/>
        <w:adjustRightInd w:val="0"/>
        <w:snapToGrid w:val="0"/>
        <w:spacing w:line="460" w:lineRule="exact"/>
        <w:ind w:firstLine="420" w:firstLineChars="200"/>
        <w:rPr>
          <w:rFonts w:ascii="宋体" w:hAnsi="宋体" w:cs="宋体"/>
          <w:kern w:val="0"/>
          <w:szCs w:val="21"/>
        </w:rPr>
      </w:pPr>
      <w:r>
        <w:rPr>
          <w:rFonts w:hint="eastAsia" w:ascii="宋体" w:hAnsi="宋体" w:cs="宋体"/>
          <w:kern w:val="0"/>
          <w:szCs w:val="21"/>
        </w:rPr>
        <w:t>（1）因情况变化，不再符合规定的采购方式适用情形的；</w:t>
      </w:r>
    </w:p>
    <w:p>
      <w:pPr>
        <w:autoSpaceDE w:val="0"/>
        <w:autoSpaceDN w:val="0"/>
        <w:adjustRightInd w:val="0"/>
        <w:snapToGrid w:val="0"/>
        <w:spacing w:line="460" w:lineRule="exact"/>
        <w:ind w:firstLine="420" w:firstLineChars="200"/>
        <w:rPr>
          <w:rFonts w:ascii="宋体" w:hAnsi="宋体" w:cs="宋体"/>
          <w:kern w:val="0"/>
          <w:szCs w:val="21"/>
        </w:rPr>
      </w:pPr>
      <w:r>
        <w:rPr>
          <w:rFonts w:hint="eastAsia" w:ascii="宋体" w:hAnsi="宋体" w:cs="宋体"/>
          <w:kern w:val="0"/>
          <w:szCs w:val="21"/>
        </w:rPr>
        <w:t>（2）出现影响采购公正的违法、违规行为的；</w:t>
      </w:r>
    </w:p>
    <w:p>
      <w:pPr>
        <w:autoSpaceDE w:val="0"/>
        <w:autoSpaceDN w:val="0"/>
        <w:adjustRightInd w:val="0"/>
        <w:snapToGrid w:val="0"/>
        <w:spacing w:line="460" w:lineRule="exact"/>
        <w:ind w:firstLine="420" w:firstLineChars="200"/>
        <w:rPr>
          <w:rFonts w:ascii="宋体" w:hAnsi="宋体" w:cs="宋体"/>
          <w:kern w:val="0"/>
          <w:szCs w:val="21"/>
        </w:rPr>
      </w:pPr>
      <w:r>
        <w:rPr>
          <w:rFonts w:hint="eastAsia" w:ascii="宋体" w:hAnsi="宋体" w:cs="宋体"/>
          <w:kern w:val="0"/>
          <w:szCs w:val="21"/>
        </w:rPr>
        <w:t>（3）投标截止时间结束后，递交投标文件或者经评审的实质性响应招标文件的投标供应商不足三家的。政府购买服务项目符合（财库〔2015〕124号）的情况除外。</w:t>
      </w:r>
    </w:p>
    <w:p>
      <w:pPr>
        <w:autoSpaceDE w:val="0"/>
        <w:autoSpaceDN w:val="0"/>
        <w:adjustRightInd w:val="0"/>
        <w:snapToGrid w:val="0"/>
        <w:spacing w:line="460" w:lineRule="exact"/>
        <w:ind w:firstLine="210" w:firstLineChars="100"/>
        <w:rPr>
          <w:rFonts w:ascii="宋体" w:hAnsi="宋体" w:cs="宋体"/>
          <w:kern w:val="0"/>
          <w:szCs w:val="21"/>
        </w:rPr>
      </w:pPr>
      <w:r>
        <w:rPr>
          <w:rFonts w:hint="eastAsia" w:ascii="宋体" w:hAnsi="宋体" w:cs="宋体"/>
          <w:kern w:val="0"/>
          <w:szCs w:val="21"/>
        </w:rPr>
        <w:t>36.2</w:t>
      </w:r>
      <w:r>
        <w:rPr>
          <w:rFonts w:ascii="宋体" w:hAnsi="宋体" w:cs="宋体"/>
          <w:kern w:val="0"/>
          <w:szCs w:val="21"/>
        </w:rPr>
        <w:t xml:space="preserve"> </w:t>
      </w:r>
      <w:r>
        <w:rPr>
          <w:rFonts w:hint="eastAsia" w:ascii="宋体" w:hAnsi="宋体" w:cs="宋体"/>
          <w:kern w:val="0"/>
          <w:szCs w:val="21"/>
        </w:rPr>
        <w:t>连续两次进行公开招标活动，因符合投标要求投标供应商不足3家，经请示政府采购管理部门同意后，可继续进行竞争性磋商活动。</w:t>
      </w:r>
    </w:p>
    <w:p>
      <w:pPr>
        <w:adjustRightInd w:val="0"/>
        <w:snapToGrid w:val="0"/>
        <w:spacing w:line="460" w:lineRule="exact"/>
        <w:ind w:firstLine="210" w:firstLineChars="100"/>
        <w:jc w:val="left"/>
        <w:outlineLvl w:val="9"/>
        <w:rPr>
          <w:rFonts w:ascii="宋体" w:hAnsi="宋体"/>
        </w:rPr>
      </w:pPr>
      <w:r>
        <w:rPr>
          <w:rFonts w:hint="eastAsia" w:ascii="宋体" w:hAnsi="宋体"/>
          <w:szCs w:val="21"/>
        </w:rPr>
        <w:t>36</w:t>
      </w:r>
      <w:r>
        <w:rPr>
          <w:rFonts w:ascii="宋体" w:hAnsi="宋体"/>
          <w:szCs w:val="21"/>
        </w:rPr>
        <w:t xml:space="preserve">.3 </w:t>
      </w:r>
      <w:r>
        <w:rPr>
          <w:rFonts w:hint="eastAsia" w:ascii="宋体" w:hAnsi="宋体"/>
        </w:rPr>
        <w:t>只有</w:t>
      </w:r>
      <w:r>
        <w:rPr>
          <w:rFonts w:ascii="宋体" w:hAnsi="宋体"/>
        </w:rPr>
        <w:t>1</w:t>
      </w:r>
      <w:r>
        <w:rPr>
          <w:rFonts w:hint="eastAsia" w:ascii="宋体" w:hAnsi="宋体"/>
        </w:rPr>
        <w:t>家时，采购人将依法报请本级财政部门批准重新组织采购活动。</w:t>
      </w:r>
    </w:p>
    <w:p>
      <w:pPr>
        <w:autoSpaceDE w:val="0"/>
        <w:autoSpaceDN w:val="0"/>
        <w:adjustRightInd w:val="0"/>
        <w:spacing w:line="460" w:lineRule="exact"/>
        <w:ind w:right="6"/>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3</w:t>
      </w:r>
      <w:r>
        <w:rPr>
          <w:rFonts w:hint="eastAsia" w:cs="宋体" w:asciiTheme="minorEastAsia" w:hAnsiTheme="minorEastAsia" w:eastAsiaTheme="minorEastAsia"/>
          <w:b/>
          <w:bCs/>
          <w:kern w:val="0"/>
          <w:szCs w:val="21"/>
        </w:rPr>
        <w:t>7、招标代理服务费</w:t>
      </w:r>
    </w:p>
    <w:p>
      <w:pPr>
        <w:autoSpaceDE w:val="0"/>
        <w:autoSpaceDN w:val="0"/>
        <w:adjustRightInd w:val="0"/>
        <w:snapToGrid w:val="0"/>
        <w:spacing w:line="460" w:lineRule="exact"/>
        <w:ind w:firstLine="420" w:firstLineChars="200"/>
        <w:rPr>
          <w:rFonts w:ascii="宋体" w:hAnsi="宋体"/>
          <w:szCs w:val="21"/>
        </w:rPr>
      </w:pPr>
      <w:r>
        <w:rPr>
          <w:rFonts w:hint="eastAsia" w:ascii="宋体" w:hAnsi="宋体"/>
          <w:szCs w:val="21"/>
        </w:rPr>
        <w:t>招标代理费详缴纳见投标供应商须知前附表内容。</w:t>
      </w:r>
    </w:p>
    <w:p>
      <w:pPr>
        <w:autoSpaceDE w:val="0"/>
        <w:autoSpaceDN w:val="0"/>
        <w:adjustRightInd w:val="0"/>
        <w:spacing w:line="460" w:lineRule="exact"/>
        <w:ind w:right="6"/>
        <w:rPr>
          <w:rFonts w:asciiTheme="minorEastAsia" w:hAnsiTheme="minorEastAsia" w:eastAsiaTheme="minorEastAsia"/>
          <w:szCs w:val="21"/>
        </w:rPr>
      </w:pPr>
      <w:r>
        <w:rPr>
          <w:rFonts w:hint="eastAsia" w:cs="宋体" w:asciiTheme="minorEastAsia" w:hAnsiTheme="minorEastAsia" w:eastAsiaTheme="minorEastAsia"/>
          <w:b/>
          <w:bCs/>
          <w:kern w:val="0"/>
          <w:szCs w:val="21"/>
        </w:rPr>
        <w:t>38、采购政策</w:t>
      </w:r>
    </w:p>
    <w:p>
      <w:pPr>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38.1落实促进支持中小企业、监狱企业、残疾人福利性单位发展工作的政策(如为专门面向中小企业的采购项目（或采购包），不执行38.1.1、38.1.2、38.1.3条款的价格扣除或加分。)</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38.1.1 《政府采购促进中小企业发展管理办法》（财库〔2020〕46号）</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在政府采购活动中，供应商提供的货物、工程或者服务符合下列情形的，享受《办法》规定的中小企业扶持政策:</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(一)在货物采购项目中，货物由中小企业制造，即货物由中小企业生产且使用该中小企业商号或者注册商标；</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(二)在工程采购项目中，工程由中小企业承建，即工程施工单位为中小企业；</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(三)在服务采购项目中，服务由中小企业承接，即提供服务的人员为中小企业依照《中华人民共和国劳动合同法》订立劳动合同的从业人员。</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在货物采购项目中，供应商提供的货物既有中小企业制造货物，也有大型企业制造货物的，不享受《办法》规定的中小企业扶持政策。</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以联合体形式参加政府采购活动，联合体各方均为中小企业的，联合体视同中小企业。其中，联合体各方均为小微企业的，联合体视同小微企业。</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依据《办法》规定享受扶持政策获得政府采购合同的，小微企业不得将合同分包给大中型企业，中型企业不得将合同分包给大型企业。</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根据《政府采购促进中小企业发展管理办法》的通知（财库〔2020〕46号）规定，参加政府采购活动的中小企业应当提供《中小企业声明函》</w:t>
      </w:r>
      <w:r>
        <w:t>，如为联合投标的，联合体各方需分别填写《中小企业声明函》。</w:t>
      </w:r>
      <w:r>
        <w:rPr>
          <w:rFonts w:hint="eastAsia" w:asciiTheme="minorEastAsia" w:hAnsiTheme="minorEastAsia" w:eastAsiaTheme="minorEastAsia"/>
          <w:szCs w:val="21"/>
        </w:rPr>
        <w:t>供应商提供的《中小企业声明函》原件必须真实，否则，按照有关规定予以处理。</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38.1.2 《财政部 司法部关于政府采购支持监狱企业发展有关问题的通知》（财库〔2014〕68号） </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38.1.3 《三部门联合发布关于促进残疾人就业政府采购政策的通知》（财库〔2017〕141号）；</w:t>
      </w:r>
    </w:p>
    <w:p>
      <w:pPr>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38.2落实优先采购节能、环保产品的政策</w:t>
      </w:r>
    </w:p>
    <w:p>
      <w:pPr>
        <w:snapToGrid w:val="0"/>
        <w:spacing w:line="460" w:lineRule="exact"/>
        <w:ind w:firstLine="420" w:firstLineChars="200"/>
        <w:rPr>
          <w:rFonts w:ascii="宋体" w:hAnsi="宋体"/>
          <w:szCs w:val="21"/>
        </w:rPr>
      </w:pPr>
      <w:r>
        <w:rPr>
          <w:rFonts w:hint="eastAsia" w:ascii="宋体" w:hAnsi="宋体"/>
          <w:szCs w:val="21"/>
        </w:rPr>
        <w:t>38.2.1</w:t>
      </w:r>
      <w:r>
        <w:rPr>
          <w:rFonts w:ascii="宋体" w:hAnsi="宋体"/>
          <w:szCs w:val="21"/>
        </w:rPr>
        <w:t>根据财政部、发展改革委、生态环境部、市场监管总局《关于调整优化节能产品、环境标志产品政府采购执行机制的通知》（财库〔2019〕9号）规定</w:t>
      </w:r>
      <w:r>
        <w:rPr>
          <w:rFonts w:hint="eastAsia" w:ascii="宋体" w:hAnsi="宋体"/>
          <w:szCs w:val="21"/>
        </w:rPr>
        <w:t>“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napToGrid w:val="0"/>
        <w:spacing w:line="460" w:lineRule="exact"/>
        <w:ind w:firstLine="420" w:firstLineChars="200"/>
        <w:rPr>
          <w:rFonts w:ascii="宋体" w:hAnsi="宋体"/>
          <w:szCs w:val="21"/>
        </w:rPr>
      </w:pPr>
      <w:r>
        <w:rPr>
          <w:rFonts w:hint="eastAsia" w:ascii="宋体" w:hAnsi="宋体"/>
          <w:szCs w:val="21"/>
        </w:rPr>
        <w:t>38.2.2 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napToGrid w:val="0"/>
        <w:spacing w:line="460" w:lineRule="exact"/>
        <w:ind w:firstLine="420" w:firstLineChars="200"/>
        <w:rPr>
          <w:rFonts w:ascii="宋体" w:hAnsi="宋体"/>
          <w:szCs w:val="21"/>
        </w:rPr>
      </w:pPr>
      <w:r>
        <w:rPr>
          <w:rFonts w:hint="eastAsia" w:ascii="宋体" w:hAnsi="宋体"/>
          <w:szCs w:val="21"/>
        </w:rPr>
        <w:t>38.2.3 《</w:t>
      </w:r>
      <w:r>
        <w:rPr>
          <w:rFonts w:ascii="宋体" w:hAnsi="宋体"/>
          <w:szCs w:val="21"/>
        </w:rPr>
        <w:t>节能产品政府采购品目清单</w:t>
      </w:r>
      <w:r>
        <w:rPr>
          <w:rFonts w:hint="eastAsia" w:ascii="宋体" w:hAnsi="宋体"/>
          <w:szCs w:val="21"/>
        </w:rPr>
        <w:t>》</w:t>
      </w:r>
      <w:r>
        <w:rPr>
          <w:rFonts w:ascii="宋体" w:hAnsi="宋体"/>
          <w:szCs w:val="21"/>
        </w:rPr>
        <w:t>见财政部、发展改革委《关于印发节能产品政府采购品目清单的通知》（财库〔2019〕19号）</w:t>
      </w:r>
      <w:r>
        <w:rPr>
          <w:rFonts w:hint="eastAsia" w:ascii="宋体" w:hAnsi="宋体"/>
          <w:szCs w:val="21"/>
        </w:rPr>
        <w:t>附件</w:t>
      </w:r>
      <w:r>
        <w:rPr>
          <w:rFonts w:ascii="宋体" w:hAnsi="宋体"/>
          <w:szCs w:val="21"/>
        </w:rPr>
        <w:t>。</w:t>
      </w:r>
    </w:p>
    <w:p>
      <w:pPr>
        <w:snapToGrid w:val="0"/>
        <w:spacing w:line="460" w:lineRule="exact"/>
        <w:ind w:firstLine="420" w:firstLineChars="200"/>
        <w:rPr>
          <w:rFonts w:ascii="宋体" w:hAnsi="宋体"/>
          <w:szCs w:val="21"/>
        </w:rPr>
      </w:pPr>
      <w:r>
        <w:rPr>
          <w:rFonts w:hint="eastAsia" w:ascii="宋体" w:hAnsi="宋体"/>
          <w:szCs w:val="21"/>
        </w:rPr>
        <w:t>38.2.4 《</w:t>
      </w:r>
      <w:r>
        <w:rPr>
          <w:rFonts w:ascii="宋体" w:hAnsi="宋体"/>
          <w:szCs w:val="21"/>
        </w:rPr>
        <w:t>环境标志产品政府采购品目清单</w:t>
      </w:r>
      <w:r>
        <w:rPr>
          <w:rFonts w:hint="eastAsia" w:ascii="宋体" w:hAnsi="宋体"/>
          <w:szCs w:val="21"/>
        </w:rPr>
        <w:t>》</w:t>
      </w:r>
      <w:r>
        <w:rPr>
          <w:rFonts w:ascii="宋体" w:hAnsi="宋体"/>
          <w:szCs w:val="21"/>
        </w:rPr>
        <w:t>见财政部、生态环境部《关于印发环境标志产品政府采购品目清单的通知》（财库〔2019〕18号）</w:t>
      </w:r>
      <w:r>
        <w:rPr>
          <w:rFonts w:hint="eastAsia" w:ascii="宋体" w:hAnsi="宋体"/>
          <w:szCs w:val="21"/>
        </w:rPr>
        <w:t>附件</w:t>
      </w:r>
      <w:r>
        <w:rPr>
          <w:rFonts w:ascii="宋体" w:hAnsi="宋体"/>
          <w:szCs w:val="21"/>
        </w:rPr>
        <w:t>。</w:t>
      </w:r>
    </w:p>
    <w:p>
      <w:pPr>
        <w:snapToGrid w:val="0"/>
        <w:spacing w:line="460" w:lineRule="exact"/>
        <w:ind w:firstLine="420" w:firstLineChars="200"/>
        <w:rPr>
          <w:rFonts w:ascii="宋体" w:hAnsi="宋体"/>
          <w:szCs w:val="21"/>
        </w:rPr>
      </w:pPr>
      <w:r>
        <w:rPr>
          <w:rFonts w:hint="eastAsia" w:ascii="宋体" w:hAnsi="宋体"/>
          <w:szCs w:val="21"/>
        </w:rPr>
        <w:t>38.2.5 “国家确定的认证机构”名单</w:t>
      </w:r>
      <w:r>
        <w:rPr>
          <w:rFonts w:ascii="宋体" w:hAnsi="宋体"/>
          <w:szCs w:val="21"/>
        </w:rPr>
        <w:t>见市场监管总局《关于发布参与实施政府采购节能产品、环境标志产品认证机构名录的公告》（2019年第16号）。</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所有投标产品进入“节能产品政府采购品目清单”的，应提供相关证书复印件，相关证书的颁发机构应来自《参与实施政府采购节能产品认证机构名录》。</w:t>
      </w:r>
    </w:p>
    <w:p>
      <w:pPr>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所有投标产品进入“环境标志产品政府采购品目清单”的，应提供相关证书复印件，相关证书的颁发机构应来自《参与实施政府采购环境标志产品认证机构名录》。</w:t>
      </w:r>
    </w:p>
    <w:p>
      <w:pPr>
        <w:autoSpaceDE w:val="0"/>
        <w:autoSpaceDN w:val="0"/>
        <w:adjustRightInd w:val="0"/>
        <w:snapToGrid w:val="0"/>
        <w:spacing w:line="460" w:lineRule="exact"/>
        <w:rPr>
          <w:rFonts w:ascii="宋体" w:hAnsi="宋体" w:cs="宋体"/>
          <w:b/>
          <w:bCs/>
          <w:kern w:val="0"/>
          <w:szCs w:val="21"/>
        </w:rPr>
      </w:pPr>
      <w:r>
        <w:rPr>
          <w:rFonts w:hint="eastAsia" w:ascii="宋体" w:hAnsi="宋体" w:cs="宋体"/>
          <w:b/>
          <w:bCs/>
          <w:kern w:val="0"/>
          <w:szCs w:val="21"/>
        </w:rPr>
        <w:t>39、</w:t>
      </w:r>
      <w:r>
        <w:rPr>
          <w:rFonts w:ascii="宋体" w:hAnsi="宋体" w:cs="宋体"/>
          <w:b/>
          <w:bCs/>
          <w:kern w:val="0"/>
          <w:szCs w:val="21"/>
        </w:rPr>
        <w:t>关于信用担保</w:t>
      </w:r>
      <w:r>
        <w:rPr>
          <w:rFonts w:hint="eastAsia" w:ascii="宋体" w:hAnsi="宋体" w:cs="宋体"/>
          <w:b/>
          <w:bCs/>
          <w:kern w:val="0"/>
          <w:szCs w:val="21"/>
        </w:rPr>
        <w:t>、融资</w:t>
      </w:r>
      <w:r>
        <w:rPr>
          <w:rFonts w:ascii="宋体" w:hAnsi="宋体" w:cs="宋体"/>
          <w:b/>
          <w:bCs/>
          <w:kern w:val="0"/>
          <w:szCs w:val="21"/>
        </w:rPr>
        <w:t>的说明</w:t>
      </w:r>
    </w:p>
    <w:p>
      <w:pPr>
        <w:snapToGrid w:val="0"/>
        <w:spacing w:line="460" w:lineRule="exact"/>
        <w:ind w:firstLine="210" w:firstLineChars="100"/>
        <w:rPr>
          <w:rFonts w:ascii="宋体" w:hAnsi="宋体"/>
          <w:szCs w:val="21"/>
        </w:rPr>
      </w:pPr>
      <w:r>
        <w:rPr>
          <w:rFonts w:hint="eastAsia" w:ascii="宋体" w:hAnsi="宋体"/>
          <w:szCs w:val="21"/>
        </w:rPr>
        <w:t>39.1 陕西省中小企业政府采购信用融资办法</w:t>
      </w:r>
    </w:p>
    <w:p>
      <w:pPr>
        <w:snapToGrid w:val="0"/>
        <w:spacing w:line="460" w:lineRule="exact"/>
        <w:ind w:firstLine="420" w:firstLineChars="200"/>
        <w:rPr>
          <w:rFonts w:ascii="宋体" w:hAnsi="宋体"/>
          <w:szCs w:val="21"/>
        </w:rPr>
      </w:pPr>
      <w:r>
        <w:rPr>
          <w:rFonts w:hint="eastAsia" w:ascii="宋体" w:hAnsi="宋体"/>
          <w:szCs w:val="21"/>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napToGrid w:val="0"/>
        <w:spacing w:line="460" w:lineRule="exact"/>
        <w:rPr>
          <w:rFonts w:cs="宋体" w:asciiTheme="minorEastAsia" w:hAnsiTheme="minorEastAsia" w:eastAsiaTheme="minorEastAsia"/>
          <w:b/>
          <w:szCs w:val="21"/>
        </w:rPr>
      </w:pPr>
      <w:r>
        <w:rPr>
          <w:rFonts w:hint="eastAsia" w:ascii="宋体" w:hAnsi="宋体"/>
          <w:szCs w:val="21"/>
        </w:rPr>
        <w:t>链接地址：</w:t>
      </w:r>
      <w:r>
        <w:fldChar w:fldCharType="begin"/>
      </w:r>
      <w:r>
        <w:instrText xml:space="preserve"> HYPERLINK "http://www.ccgp-shaanxi.gov.cn/zcdservice/zcd/shanxi/article/zcdt/1390497710741917696" </w:instrText>
      </w:r>
      <w:r>
        <w:fldChar w:fldCharType="separate"/>
      </w:r>
      <w:r>
        <w:rPr>
          <w:rStyle w:val="47"/>
        </w:rPr>
        <w:t>http://www.ccgp-shaanxi.gov.cn/zcdservice/zcd/shanxi/article/zcdt/1390497710741917696</w:t>
      </w:r>
      <w:r>
        <w:rPr>
          <w:rStyle w:val="47"/>
        </w:rPr>
        <w:fldChar w:fldCharType="end"/>
      </w: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center"/>
        <w:rPr>
          <w:rFonts w:ascii="宋体" w:hAnsi="宋体"/>
          <w:b/>
          <w:sz w:val="32"/>
          <w:szCs w:val="32"/>
        </w:rPr>
      </w:pPr>
    </w:p>
    <w:p>
      <w:pPr>
        <w:spacing w:line="460" w:lineRule="exact"/>
        <w:jc w:val="both"/>
        <w:rPr>
          <w:rFonts w:ascii="宋体" w:hAnsi="宋体"/>
          <w:b/>
          <w:sz w:val="32"/>
          <w:szCs w:val="32"/>
        </w:rPr>
      </w:pPr>
    </w:p>
    <w:p>
      <w:pPr>
        <w:spacing w:line="460" w:lineRule="exact"/>
        <w:jc w:val="center"/>
        <w:outlineLvl w:val="0"/>
        <w:rPr>
          <w:rFonts w:ascii="宋体" w:hAnsi="宋体"/>
          <w:b/>
          <w:sz w:val="32"/>
          <w:szCs w:val="32"/>
        </w:rPr>
      </w:pPr>
      <w:bookmarkStart w:id="9" w:name="_Toc850"/>
      <w:bookmarkStart w:id="10" w:name="_Toc31907"/>
      <w:r>
        <w:rPr>
          <w:rFonts w:hint="eastAsia" w:ascii="宋体" w:hAnsi="宋体"/>
          <w:b/>
          <w:sz w:val="32"/>
          <w:szCs w:val="32"/>
        </w:rPr>
        <w:t>第三章  评标办法</w:t>
      </w:r>
      <w:bookmarkEnd w:id="6"/>
      <w:bookmarkEnd w:id="9"/>
      <w:bookmarkEnd w:id="10"/>
      <w:bookmarkStart w:id="11" w:name="_Toc222740127"/>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根据《中华人民共和国政府采购法》、《中华人民共和国政府采购法实施条例》及</w:t>
      </w:r>
      <w:r>
        <w:rPr>
          <w:rFonts w:hint="eastAsia" w:cs="宋体" w:asciiTheme="minorEastAsia" w:hAnsiTheme="minorEastAsia" w:eastAsiaTheme="minorEastAsia"/>
          <w:kern w:val="0"/>
          <w:szCs w:val="21"/>
          <w:lang w:val="zh-CN"/>
        </w:rPr>
        <w:t>《</w:t>
      </w:r>
      <w:r>
        <w:rPr>
          <w:rFonts w:hint="eastAsia" w:asciiTheme="minorEastAsia" w:hAnsiTheme="minorEastAsia" w:eastAsiaTheme="minorEastAsia"/>
        </w:rPr>
        <w:t>政府采购货物和服务招标投标管理办法</w:t>
      </w:r>
      <w:r>
        <w:rPr>
          <w:rFonts w:hint="eastAsia" w:cs="宋体" w:asciiTheme="minorEastAsia" w:hAnsiTheme="minorEastAsia" w:eastAsiaTheme="minorEastAsia"/>
          <w:kern w:val="0"/>
          <w:szCs w:val="21"/>
          <w:lang w:val="zh-CN"/>
        </w:rPr>
        <w:t>》</w:t>
      </w:r>
      <w:r>
        <w:rPr>
          <w:rFonts w:hint="eastAsia" w:asciiTheme="minorEastAsia" w:hAnsiTheme="minorEastAsia" w:eastAsiaTheme="minorEastAsia"/>
          <w:szCs w:val="21"/>
        </w:rPr>
        <w:t>的规定，本次评标</w:t>
      </w:r>
      <w:r>
        <w:rPr>
          <w:rFonts w:asciiTheme="minorEastAsia" w:hAnsiTheme="minorEastAsia" w:eastAsiaTheme="minorEastAsia"/>
          <w:szCs w:val="21"/>
        </w:rPr>
        <w:t>采用综合评分法。即在最大限度地满足招标文件实质性要求前提下，按照招标文件中规定的各项因素和相应的权重分值进行综合评审后，以总得分最高的投标供应商作为</w:t>
      </w:r>
      <w:r>
        <w:rPr>
          <w:rFonts w:hint="eastAsia" w:asciiTheme="minorEastAsia" w:hAnsiTheme="minorEastAsia" w:eastAsiaTheme="minorEastAsia"/>
          <w:szCs w:val="21"/>
        </w:rPr>
        <w:t>中标候选单位</w:t>
      </w:r>
      <w:r>
        <w:rPr>
          <w:rFonts w:asciiTheme="minorEastAsia" w:hAnsiTheme="minorEastAsia" w:eastAsiaTheme="minorEastAsia"/>
          <w:szCs w:val="21"/>
        </w:rPr>
        <w:t>并依次排序</w:t>
      </w:r>
      <w:r>
        <w:rPr>
          <w:rFonts w:hint="eastAsia" w:asciiTheme="minorEastAsia" w:hAnsiTheme="minorEastAsia" w:eastAsiaTheme="minorEastAsia"/>
          <w:szCs w:val="21"/>
        </w:rPr>
        <w:t>。</w:t>
      </w:r>
    </w:p>
    <w:p>
      <w:pPr>
        <w:adjustRightInd w:val="0"/>
        <w:snapToGrid w:val="0"/>
        <w:spacing w:line="460" w:lineRule="exact"/>
        <w:rPr>
          <w:rFonts w:asciiTheme="minorEastAsia" w:hAnsiTheme="minorEastAsia" w:eastAsiaTheme="minorEastAsia"/>
          <w:b/>
          <w:szCs w:val="21"/>
        </w:rPr>
      </w:pPr>
      <w:r>
        <w:rPr>
          <w:rFonts w:hint="eastAsia" w:asciiTheme="minorEastAsia" w:hAnsiTheme="minorEastAsia" w:eastAsiaTheme="minorEastAsia"/>
          <w:b/>
          <w:szCs w:val="21"/>
        </w:rPr>
        <w:t>一、资格及符合性检查。</w:t>
      </w:r>
    </w:p>
    <w:p>
      <w:pPr>
        <w:adjustRightInd w:val="0"/>
        <w:snapToGrid w:val="0"/>
        <w:spacing w:line="460" w:lineRule="exact"/>
        <w:rPr>
          <w:rFonts w:asciiTheme="minorEastAsia" w:hAnsiTheme="minorEastAsia" w:eastAsiaTheme="minorEastAsia"/>
          <w:szCs w:val="21"/>
        </w:rPr>
      </w:pPr>
      <w:r>
        <w:rPr>
          <w:rFonts w:hint="eastAsia" w:asciiTheme="minorEastAsia" w:hAnsiTheme="minorEastAsia" w:eastAsiaTheme="minorEastAsia"/>
          <w:szCs w:val="21"/>
        </w:rPr>
        <w:t xml:space="preserve">  1、资格审查人对投标文件的资格性进行审查：详见本章附件一资格性审查内容。</w:t>
      </w:r>
    </w:p>
    <w:p>
      <w:pPr>
        <w:pStyle w:val="264"/>
        <w:spacing w:line="460" w:lineRule="exact"/>
        <w:ind w:firstLine="420"/>
        <w:rPr>
          <w:rFonts w:ascii="宋体" w:hAnsi="宋体" w:cs="Times New Roman"/>
          <w:color w:val="auto"/>
          <w:kern w:val="2"/>
          <w:sz w:val="21"/>
          <w:szCs w:val="21"/>
        </w:rPr>
      </w:pPr>
      <w:r>
        <w:rPr>
          <w:rFonts w:ascii="宋体" w:hAnsi="宋体" w:cs="Times New Roman"/>
          <w:color w:val="auto"/>
          <w:kern w:val="2"/>
          <w:sz w:val="21"/>
          <w:szCs w:val="21"/>
        </w:rPr>
        <w:t>开标结束后，由采购人委派的资格审查小组按照《政府采购货物和服务招标投标管理办法》（财政部第87号令）有关规定，对投标文件中的投标供应商资格证明文件进行审查，并对投标供应商</w:t>
      </w:r>
      <w:r>
        <w:rPr>
          <w:rFonts w:hint="eastAsia" w:ascii="宋体" w:hAnsi="宋体" w:cs="Times New Roman"/>
          <w:color w:val="auto"/>
          <w:kern w:val="2"/>
          <w:sz w:val="21"/>
          <w:szCs w:val="21"/>
        </w:rPr>
        <w:t>信用</w:t>
      </w:r>
      <w:r>
        <w:rPr>
          <w:rFonts w:ascii="宋体" w:hAnsi="宋体" w:cs="Times New Roman"/>
          <w:color w:val="auto"/>
          <w:kern w:val="2"/>
          <w:sz w:val="21"/>
          <w:szCs w:val="21"/>
        </w:rPr>
        <w:t>记录进行核查。</w:t>
      </w:r>
    </w:p>
    <w:p>
      <w:pPr>
        <w:pStyle w:val="264"/>
        <w:spacing w:line="460" w:lineRule="exact"/>
        <w:ind w:firstLine="420"/>
        <w:rPr>
          <w:rFonts w:ascii="宋体" w:hAnsi="宋体" w:cs="Times New Roman"/>
          <w:color w:val="auto"/>
          <w:kern w:val="2"/>
          <w:sz w:val="21"/>
          <w:szCs w:val="21"/>
        </w:rPr>
      </w:pPr>
      <w:r>
        <w:rPr>
          <w:rFonts w:ascii="宋体" w:hAnsi="宋体" w:cs="Times New Roman"/>
          <w:color w:val="auto"/>
          <w:kern w:val="2"/>
          <w:sz w:val="21"/>
          <w:szCs w:val="21"/>
        </w:rPr>
        <w:t>投标供应商提供的资格证明文件缺少任何一项或</w:t>
      </w:r>
      <w:r>
        <w:rPr>
          <w:rFonts w:hint="eastAsia" w:ascii="宋体" w:hAnsi="宋体" w:cs="Times New Roman"/>
          <w:color w:val="auto"/>
          <w:kern w:val="2"/>
          <w:sz w:val="21"/>
          <w:szCs w:val="21"/>
        </w:rPr>
        <w:t>有</w:t>
      </w:r>
      <w:r>
        <w:rPr>
          <w:rFonts w:ascii="宋体" w:hAnsi="宋体" w:cs="Times New Roman"/>
          <w:color w:val="auto"/>
          <w:kern w:val="2"/>
          <w:sz w:val="21"/>
          <w:szCs w:val="21"/>
        </w:rPr>
        <w:t>任何一项不满足，</w:t>
      </w:r>
      <w:r>
        <w:rPr>
          <w:rFonts w:hint="eastAsia" w:ascii="宋体" w:hAnsi="宋体" w:cs="Times New Roman"/>
          <w:color w:val="auto"/>
          <w:kern w:val="2"/>
          <w:sz w:val="21"/>
          <w:szCs w:val="21"/>
        </w:rPr>
        <w:t>都将被视为无效投标。供应商所提供的资格证明文件应图文清晰、易于辨识，否则由此带来的不利后果由供应商自行承担。</w:t>
      </w:r>
    </w:p>
    <w:p>
      <w:pPr>
        <w:pStyle w:val="264"/>
        <w:spacing w:line="460" w:lineRule="exact"/>
        <w:ind w:firstLine="420"/>
        <w:rPr>
          <w:rFonts w:ascii="宋体" w:hAnsi="宋体" w:cs="Times New Roman"/>
          <w:color w:val="auto"/>
          <w:kern w:val="2"/>
          <w:sz w:val="21"/>
          <w:szCs w:val="21"/>
        </w:rPr>
      </w:pPr>
      <w:r>
        <w:rPr>
          <w:rFonts w:ascii="宋体" w:hAnsi="宋体" w:cs="Times New Roman"/>
          <w:color w:val="auto"/>
          <w:kern w:val="2"/>
          <w:sz w:val="21"/>
          <w:szCs w:val="21"/>
        </w:rPr>
        <w:t>资格审查结束后，资格审查小组成员应当对审查结果进行签字确认。</w:t>
      </w:r>
    </w:p>
    <w:p>
      <w:pPr>
        <w:adjustRightInd w:val="0"/>
        <w:snapToGrid w:val="0"/>
        <w:spacing w:line="460" w:lineRule="exact"/>
        <w:ind w:firstLine="210" w:firstLineChars="1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、评标委员会对投标文件的符合性进行审查：详见本章附件二符合性审查内容。</w:t>
      </w:r>
    </w:p>
    <w:p>
      <w:pPr>
        <w:pStyle w:val="264"/>
        <w:spacing w:line="460" w:lineRule="exact"/>
        <w:ind w:firstLine="420"/>
        <w:rPr>
          <w:rFonts w:ascii="宋体" w:hAnsi="宋体" w:cs="Times New Roman"/>
          <w:color w:val="auto"/>
          <w:kern w:val="2"/>
          <w:sz w:val="21"/>
          <w:szCs w:val="21"/>
        </w:rPr>
      </w:pPr>
      <w:r>
        <w:rPr>
          <w:rFonts w:ascii="宋体" w:hAnsi="宋体" w:cs="Times New Roman"/>
          <w:color w:val="auto"/>
          <w:kern w:val="2"/>
          <w:sz w:val="21"/>
          <w:szCs w:val="21"/>
        </w:rPr>
        <w:t>投标供应商资格性审查通过后，</w:t>
      </w:r>
      <w:r>
        <w:rPr>
          <w:rFonts w:hint="eastAsia" w:ascii="宋体" w:hAnsi="宋体" w:cs="Times New Roman"/>
          <w:color w:val="auto"/>
          <w:kern w:val="2"/>
          <w:sz w:val="21"/>
          <w:szCs w:val="21"/>
        </w:rPr>
        <w:t>评标委员会对符合资格的投标供应商的投标文件进行符合性审查，以确定其是否满足招标文件的实质性要求。</w:t>
      </w:r>
    </w:p>
    <w:p>
      <w:pPr>
        <w:pStyle w:val="264"/>
        <w:spacing w:line="460" w:lineRule="exact"/>
        <w:ind w:firstLine="420"/>
        <w:rPr>
          <w:rFonts w:ascii="宋体" w:hAnsi="宋体" w:cs="Times New Roman"/>
          <w:color w:val="auto"/>
          <w:kern w:val="2"/>
          <w:sz w:val="21"/>
          <w:szCs w:val="21"/>
        </w:rPr>
      </w:pPr>
      <w:r>
        <w:rPr>
          <w:rFonts w:hint="eastAsia" w:ascii="宋体" w:hAnsi="宋体" w:cs="Times New Roman"/>
          <w:color w:val="auto"/>
          <w:kern w:val="2"/>
          <w:sz w:val="21"/>
          <w:szCs w:val="21"/>
        </w:rPr>
        <w:t>对于投标文件中含义不明确、同类问题表述不一致或者有明显文字和计算错误的内容，评标委员会应当以书面形式要求投标供应商作出必要的澄清、说明或者补正。</w:t>
      </w:r>
    </w:p>
    <w:p>
      <w:pPr>
        <w:pStyle w:val="264"/>
        <w:spacing w:line="460" w:lineRule="exact"/>
        <w:ind w:firstLine="420"/>
        <w:rPr>
          <w:rFonts w:ascii="宋体" w:hAnsi="宋体" w:cs="Times New Roman"/>
          <w:color w:val="auto"/>
          <w:kern w:val="2"/>
          <w:sz w:val="21"/>
          <w:szCs w:val="21"/>
        </w:rPr>
      </w:pPr>
      <w:r>
        <w:rPr>
          <w:rFonts w:hint="eastAsia" w:ascii="宋体" w:hAnsi="宋体" w:cs="Times New Roman"/>
          <w:color w:val="auto"/>
          <w:kern w:val="2"/>
          <w:sz w:val="21"/>
          <w:szCs w:val="21"/>
        </w:rPr>
        <w:t>投标供应商的澄清、说明或者补正应当采用书面形式，并加盖公章，或者由法定代表人或其授权的代表签字。投标供应商的澄清、说明或者补正不得超出投标文件的范围或者改变投标文件的实质性内容。</w:t>
      </w:r>
    </w:p>
    <w:p>
      <w:pPr>
        <w:adjustRightInd w:val="0"/>
        <w:snapToGrid w:val="0"/>
        <w:spacing w:line="460" w:lineRule="exact"/>
        <w:ind w:firstLine="210" w:firstLineChars="1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、投标供应商</w:t>
      </w:r>
      <w:r>
        <w:rPr>
          <w:rFonts w:asciiTheme="minorEastAsia" w:hAnsiTheme="minorEastAsia" w:eastAsiaTheme="minorEastAsia"/>
          <w:szCs w:val="21"/>
        </w:rPr>
        <w:t>及</w:t>
      </w:r>
      <w:r>
        <w:rPr>
          <w:rFonts w:hint="eastAsia" w:asciiTheme="minorEastAsia" w:hAnsiTheme="minorEastAsia" w:eastAsiaTheme="minorEastAsia"/>
          <w:szCs w:val="21"/>
        </w:rPr>
        <w:t>投标文件（包含纸质版及电子版）</w:t>
      </w:r>
      <w:r>
        <w:rPr>
          <w:rFonts w:asciiTheme="minorEastAsia" w:hAnsiTheme="minorEastAsia" w:eastAsiaTheme="minorEastAsia"/>
          <w:szCs w:val="21"/>
        </w:rPr>
        <w:t>出现下列情况者（但不限于），按无效</w:t>
      </w:r>
      <w:r>
        <w:rPr>
          <w:rFonts w:hint="eastAsia" w:asciiTheme="minorEastAsia" w:hAnsiTheme="minorEastAsia" w:eastAsiaTheme="minorEastAsia"/>
          <w:szCs w:val="21"/>
        </w:rPr>
        <w:t>投标文件</w:t>
      </w:r>
      <w:r>
        <w:rPr>
          <w:rFonts w:asciiTheme="minorEastAsia" w:hAnsiTheme="minorEastAsia" w:eastAsiaTheme="minorEastAsia"/>
          <w:szCs w:val="21"/>
        </w:rPr>
        <w:t>处理。</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（1）投标供应商的名称与登记领取招标文件单位的名称不符；</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（2）投标供应商资质的有效性或符合性不符合要求的；</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（3）投标文件的格式不符合招标文件要求、关键内容字迹模糊、无法辨认的；</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（4）投标文件未按招标文件规定有效签字和盖章；</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（5）无投标有效期或有效期达不到招标文件要求的；</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（6）投标内容出现漏项或数量与要求不符，出现重大负偏差；</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（7）投标文件的合同主要条款响应与招标文件要求不一致（交付期、付款等项），或附加了采购人难以接受的条件；</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（8）规定不接受选择方案和选择报价的，投标供应商提供了选择方案或选择报价；</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（9）投标供应商非中型企业或小型、微型企业或监狱企业或残疾人福利性单位参与本项目的（专门面向中小企业采购项目</w:t>
      </w:r>
      <w:r>
        <w:rPr>
          <w:rFonts w:hint="eastAsia" w:asciiTheme="minorEastAsia" w:hAnsiTheme="minorEastAsia" w:eastAsiaTheme="minorEastAsia"/>
          <w:szCs w:val="21"/>
          <w:lang w:val="en-US" w:eastAsia="zh-CN"/>
        </w:rPr>
        <w:t>的情况下</w:t>
      </w:r>
      <w:r>
        <w:rPr>
          <w:rFonts w:hint="eastAsia" w:asciiTheme="minorEastAsia" w:hAnsiTheme="minorEastAsia" w:eastAsiaTheme="minorEastAsia"/>
          <w:szCs w:val="21"/>
        </w:rPr>
        <w:t>适用）；</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（10）投标供应商被列入失信被执行人、重大税收违法失信主体、政府采购严重违法失信行为记录名单及其他不符合《中华人民共和国政府采购法》第二十二条规定条件。</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w:t>
      </w:r>
      <w:r>
        <w:rPr>
          <w:rFonts w:hint="eastAsia" w:ascii="宋体" w:hAnsi="宋体"/>
          <w:szCs w:val="21"/>
        </w:rPr>
        <w:t>招标文件或政府采购法律法规规定的其他无效情形。</w:t>
      </w:r>
    </w:p>
    <w:p>
      <w:pPr>
        <w:adjustRightInd w:val="0"/>
        <w:snapToGrid w:val="0"/>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有下列情形之一的，视为投标供应商串通投标，其投标无效：</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1）不同投标供应商的投标文件由同一单位或者个人编制；</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2）不同投标供应商委托同一单位或者个人办理投标事宜；</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3）不同投标供应商的投标文件载明的项目管理成员或者联系人员为同一人；</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4）不同投标供应商的投标文件异常一致或者投标报价呈规律性差异；</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5）不同投标供应商的投标文件相互混装</w:t>
      </w:r>
      <w:r>
        <w:rPr>
          <w:rFonts w:hint="eastAsia" w:asciiTheme="minorEastAsia" w:hAnsiTheme="minorEastAsia" w:eastAsiaTheme="minorEastAsia"/>
          <w:szCs w:val="21"/>
        </w:rPr>
        <w:t>。</w:t>
      </w:r>
    </w:p>
    <w:p>
      <w:pPr>
        <w:adjustRightInd w:val="0"/>
        <w:snapToGrid w:val="0"/>
        <w:spacing w:line="460" w:lineRule="exact"/>
        <w:ind w:firstLine="210" w:firstLineChars="100"/>
        <w:rPr>
          <w:rFonts w:ascii="宋体" w:hAnsi="宋体"/>
          <w:color w:val="000000"/>
          <w:szCs w:val="21"/>
        </w:rPr>
      </w:pPr>
      <w:r>
        <w:rPr>
          <w:rFonts w:ascii="宋体" w:hAnsi="宋体"/>
          <w:color w:val="000000"/>
          <w:szCs w:val="21"/>
        </w:rPr>
        <w:t>5</w:t>
      </w:r>
      <w:r>
        <w:rPr>
          <w:rFonts w:hint="eastAsia" w:ascii="宋体" w:hAnsi="宋体"/>
          <w:color w:val="000000"/>
          <w:szCs w:val="21"/>
        </w:rPr>
        <w:t>、不具招标文件要求的资格或未通过符合性审查的投标供应商，不</w:t>
      </w:r>
      <w:r>
        <w:rPr>
          <w:rFonts w:hint="eastAsia" w:ascii="宋体" w:hAnsi="宋体"/>
          <w:color w:val="000000"/>
          <w:szCs w:val="21"/>
          <w:lang w:val="en-US" w:eastAsia="zh-CN"/>
        </w:rPr>
        <w:t>得</w:t>
      </w:r>
      <w:r>
        <w:rPr>
          <w:rFonts w:hint="eastAsia" w:ascii="宋体" w:hAnsi="宋体"/>
          <w:color w:val="000000"/>
          <w:szCs w:val="21"/>
        </w:rPr>
        <w:t>参与</w:t>
      </w:r>
      <w:r>
        <w:rPr>
          <w:rFonts w:hint="eastAsia" w:ascii="宋体" w:hAnsi="宋体"/>
          <w:color w:val="000000"/>
          <w:szCs w:val="21"/>
          <w:lang w:val="en-US" w:eastAsia="zh-CN"/>
        </w:rPr>
        <w:t>后续评审</w:t>
      </w:r>
      <w:r>
        <w:rPr>
          <w:rFonts w:hint="eastAsia" w:ascii="宋体" w:hAnsi="宋体"/>
          <w:color w:val="000000"/>
          <w:szCs w:val="21"/>
        </w:rPr>
        <w:t>。</w:t>
      </w:r>
    </w:p>
    <w:p>
      <w:pPr>
        <w:adjustRightInd w:val="0"/>
        <w:snapToGrid w:val="0"/>
        <w:spacing w:line="460" w:lineRule="exact"/>
        <w:ind w:firstLine="210" w:firstLineChars="1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、通过资格审查和符合性审查的合格投标供应商不足3家的，不再进行评审。</w:t>
      </w:r>
    </w:p>
    <w:p>
      <w:pPr>
        <w:adjustRightInd w:val="0"/>
        <w:snapToGrid w:val="0"/>
        <w:spacing w:line="460" w:lineRule="exact"/>
        <w:rPr>
          <w:rFonts w:asciiTheme="minorEastAsia" w:hAnsiTheme="minorEastAsia" w:eastAsiaTheme="minorEastAsia"/>
          <w:b/>
          <w:bCs/>
          <w:szCs w:val="21"/>
        </w:rPr>
      </w:pPr>
      <w:r>
        <w:rPr>
          <w:rFonts w:hint="eastAsia" w:asciiTheme="minorEastAsia" w:hAnsiTheme="minorEastAsia" w:eastAsiaTheme="minorEastAsia"/>
          <w:b/>
          <w:bCs/>
          <w:szCs w:val="21"/>
        </w:rPr>
        <w:t>二、投标文件</w:t>
      </w:r>
      <w:r>
        <w:rPr>
          <w:rFonts w:asciiTheme="minorEastAsia" w:hAnsiTheme="minorEastAsia" w:eastAsiaTheme="minorEastAsia"/>
          <w:b/>
          <w:bCs/>
          <w:szCs w:val="21"/>
        </w:rPr>
        <w:t>的澄清</w:t>
      </w:r>
      <w:r>
        <w:rPr>
          <w:rFonts w:hint="eastAsia" w:asciiTheme="minorEastAsia" w:hAnsiTheme="minorEastAsia" w:eastAsiaTheme="minorEastAsia"/>
          <w:b/>
          <w:bCs/>
          <w:szCs w:val="21"/>
        </w:rPr>
        <w:t>与修正</w:t>
      </w:r>
    </w:p>
    <w:p>
      <w:pPr>
        <w:adjustRightInd w:val="0"/>
        <w:snapToGrid w:val="0"/>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评标委员会在对投标文件的有效性、完整性和响应程度进行审查时，可以要求投标供应商对投标文件中含义不明确、同类问题表述不一致或者有明显文字和计算错误的内容等做出必要的澄清、说明或者更正。投标供应商的澄清、说明或者更正不得超出投标文件的范围或者改变投标文件的实质性内容。</w:t>
      </w:r>
    </w:p>
    <w:p>
      <w:pPr>
        <w:adjustRightInd w:val="0"/>
        <w:snapToGrid w:val="0"/>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、评标委员会要求投标供应商澄清、说明或者更正投标文件的，应当以书面形式提出。投标供应商的澄清、说明或者更正应当由法定代表人或其授权委托人签字或者加盖公章。</w:t>
      </w:r>
    </w:p>
    <w:p>
      <w:pPr>
        <w:adjustRightInd w:val="0"/>
        <w:snapToGrid w:val="0"/>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、投标文件出现下列情况之一者，评标委员会在评审过程中按以下原则修正：</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（1）大写金额与小写金额不一致的，以大写金额为准；</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（2）总价金额与按单价汇总金额不一致的，以单价金额计算结果为准；</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（3）单价金额小数点有明显错位的，应以总价为准，并修改单价；</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（4）对不同文字文本投标文件的解释发生异议的，以中文文本为准；</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（5）文字与图表不一致的，以文字为准；</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（6）正本与副本不一致的，以正本为准；</w:t>
      </w:r>
    </w:p>
    <w:p>
      <w:pPr>
        <w:adjustRightInd w:val="0"/>
        <w:snapToGrid w:val="0"/>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（7）投标文件的文字叙述与制造厂商的产品样本/检测报告不符时，以产品样本/检测报告为准。 </w:t>
      </w:r>
    </w:p>
    <w:p>
      <w:pPr>
        <w:adjustRightInd w:val="0"/>
        <w:snapToGrid w:val="0"/>
        <w:spacing w:line="460" w:lineRule="exact"/>
        <w:rPr>
          <w:rFonts w:asciiTheme="minorEastAsia" w:hAnsiTheme="minorEastAsia" w:eastAsiaTheme="minorEastAsia"/>
          <w:b/>
          <w:sz w:val="22"/>
          <w:szCs w:val="28"/>
        </w:rPr>
      </w:pPr>
      <w:r>
        <w:rPr>
          <w:rFonts w:hint="eastAsia" w:asciiTheme="minorEastAsia" w:hAnsiTheme="minorEastAsia" w:eastAsiaTheme="minorEastAsia"/>
          <w:b/>
          <w:sz w:val="22"/>
          <w:szCs w:val="28"/>
        </w:rPr>
        <w:t>三、评审价格的确定</w:t>
      </w:r>
    </w:p>
    <w:p>
      <w:pPr>
        <w:autoSpaceDE w:val="0"/>
        <w:autoSpaceDN w:val="0"/>
        <w:adjustRightInd w:val="0"/>
        <w:snapToGrid w:val="0"/>
        <w:spacing w:line="460" w:lineRule="exact"/>
        <w:ind w:firstLine="436" w:firstLineChars="200"/>
        <w:rPr>
          <w:rFonts w:ascii="宋体" w:hAnsi="宋体"/>
          <w:color w:val="000000"/>
          <w:szCs w:val="21"/>
        </w:rPr>
      </w:pPr>
      <w:r>
        <w:rPr>
          <w:rFonts w:hint="eastAsia" w:ascii="宋体" w:hAnsi="宋体" w:cs="宋体"/>
          <w:color w:val="000000"/>
          <w:spacing w:val="4"/>
          <w:szCs w:val="21"/>
        </w:rPr>
        <w:t>对于</w:t>
      </w:r>
      <w:r>
        <w:rPr>
          <w:rFonts w:hint="eastAsia" w:ascii="宋体" w:hAnsi="宋体"/>
          <w:color w:val="000000"/>
          <w:szCs w:val="21"/>
        </w:rPr>
        <w:t>所有实质性响应的投标供应商的最终报价</w:t>
      </w:r>
      <w:r>
        <w:rPr>
          <w:rFonts w:hint="eastAsia" w:ascii="宋体" w:hAnsi="宋体" w:cs="宋体"/>
          <w:color w:val="000000"/>
          <w:spacing w:val="4"/>
          <w:szCs w:val="21"/>
        </w:rPr>
        <w:t>按照以下规则进行调整</w:t>
      </w:r>
      <w:r>
        <w:rPr>
          <w:rFonts w:hint="eastAsia" w:ascii="宋体" w:hAnsi="宋体"/>
          <w:color w:val="000000"/>
          <w:szCs w:val="21"/>
        </w:rPr>
        <w:t>，以调整后的价格计算评标基准价和投标报价。</w:t>
      </w:r>
    </w:p>
    <w:p>
      <w:pPr>
        <w:adjustRightInd w:val="0"/>
        <w:snapToGrid w:val="0"/>
        <w:spacing w:line="460" w:lineRule="exact"/>
        <w:ind w:firstLine="436" w:firstLineChars="200"/>
        <w:rPr>
          <w:rFonts w:ascii="宋体" w:hAnsi="宋体" w:cs="宋体"/>
          <w:color w:val="000000"/>
          <w:spacing w:val="4"/>
          <w:szCs w:val="21"/>
        </w:rPr>
      </w:pPr>
      <w:r>
        <w:rPr>
          <w:rFonts w:ascii="宋体" w:hAnsi="宋体" w:cs="宋体"/>
          <w:color w:val="000000"/>
          <w:spacing w:val="4"/>
          <w:szCs w:val="21"/>
        </w:rPr>
        <w:t>1</w:t>
      </w:r>
      <w:r>
        <w:rPr>
          <w:rFonts w:hint="eastAsia" w:ascii="宋体" w:hAnsi="宋体" w:cs="宋体"/>
          <w:color w:val="000000"/>
          <w:spacing w:val="4"/>
          <w:szCs w:val="21"/>
        </w:rPr>
        <w:t xml:space="preserve">、节能产品、环境标志产品的评审价计算规则： </w:t>
      </w:r>
    </w:p>
    <w:p>
      <w:pPr>
        <w:adjustRightInd w:val="0"/>
        <w:snapToGrid w:val="0"/>
        <w:spacing w:line="460" w:lineRule="exact"/>
        <w:ind w:firstLine="436" w:firstLineChars="200"/>
        <w:rPr>
          <w:rFonts w:ascii="宋体" w:hAnsi="宋体" w:cs="宋体"/>
          <w:color w:val="000000"/>
          <w:spacing w:val="4"/>
          <w:szCs w:val="21"/>
        </w:rPr>
      </w:pPr>
      <w:r>
        <w:rPr>
          <w:rFonts w:hint="eastAsia" w:ascii="宋体" w:hAnsi="宋体" w:cs="宋体"/>
          <w:color w:val="000000"/>
          <w:spacing w:val="4"/>
          <w:szCs w:val="21"/>
        </w:rPr>
        <w:t>1.1提供的所有投标产品进入“节能产品政府采购品目清单”（相关证书的颁发机构应来自《参与实施政府采购节能产品认证机构名录》）的予以加分；（不是所有投标产品的不享受此项优惠）。</w:t>
      </w:r>
    </w:p>
    <w:p>
      <w:pPr>
        <w:adjustRightInd w:val="0"/>
        <w:snapToGrid w:val="0"/>
        <w:spacing w:line="460" w:lineRule="exact"/>
        <w:ind w:firstLine="436" w:firstLineChars="200"/>
        <w:rPr>
          <w:rFonts w:ascii="宋体" w:hAnsi="宋体" w:cs="宋体"/>
          <w:color w:val="000000"/>
          <w:spacing w:val="4"/>
          <w:szCs w:val="21"/>
        </w:rPr>
      </w:pPr>
      <w:r>
        <w:rPr>
          <w:rFonts w:hint="eastAsia" w:ascii="宋体" w:hAnsi="宋体" w:cs="宋体"/>
          <w:color w:val="000000"/>
          <w:spacing w:val="4"/>
          <w:szCs w:val="21"/>
        </w:rPr>
        <w:t>1.2</w:t>
      </w:r>
      <w:r>
        <w:rPr>
          <w:rFonts w:hint="eastAsia" w:ascii="宋体" w:hAnsi="宋体" w:cs="宋体"/>
          <w:szCs w:val="21"/>
        </w:rPr>
        <w:t>提供的所有投标产品进入“环境标志产品政府采购品目清单”（相关证书的颁发机构应来自《参与实施政府采购环境标志产品认证机构名录》）的予以加分；（不是所有投标产品的不享受此项优惠）</w:t>
      </w:r>
    </w:p>
    <w:p>
      <w:pPr>
        <w:adjustRightInd w:val="0"/>
        <w:snapToGrid w:val="0"/>
        <w:spacing w:line="460" w:lineRule="exact"/>
        <w:ind w:firstLine="436" w:firstLineChars="200"/>
        <w:rPr>
          <w:rFonts w:ascii="宋体" w:hAnsi="宋体" w:cs="宋体"/>
          <w:color w:val="000000"/>
          <w:spacing w:val="4"/>
          <w:szCs w:val="21"/>
        </w:rPr>
      </w:pPr>
      <w:r>
        <w:rPr>
          <w:rFonts w:hint="eastAsia" w:ascii="宋体" w:hAnsi="宋体" w:cs="宋体"/>
          <w:color w:val="000000"/>
          <w:spacing w:val="4"/>
          <w:szCs w:val="21"/>
        </w:rPr>
        <w:t>2、中小微型企业、监狱企业、残疾人福利性单位的评审价计算规则：</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775"/>
        <w:gridCol w:w="358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01" w:type="dxa"/>
            <w:shd w:val="clear" w:color="auto" w:fill="auto"/>
            <w:vAlign w:val="center"/>
          </w:tcPr>
          <w:p>
            <w:pPr>
              <w:spacing w:line="276" w:lineRule="auto"/>
              <w:jc w:val="center"/>
              <w:rPr>
                <w:rFonts w:ascii="宋体" w:hAnsi="宋体"/>
                <w:b/>
              </w:rPr>
            </w:pPr>
            <w:r>
              <w:rPr>
                <w:rFonts w:ascii="宋体" w:hAnsi="宋体"/>
                <w:b/>
              </w:rPr>
              <w:t>序号</w:t>
            </w:r>
          </w:p>
        </w:tc>
        <w:tc>
          <w:tcPr>
            <w:tcW w:w="2775" w:type="dxa"/>
            <w:shd w:val="clear" w:color="auto" w:fill="auto"/>
            <w:vAlign w:val="center"/>
          </w:tcPr>
          <w:p>
            <w:pPr>
              <w:spacing w:line="276" w:lineRule="auto"/>
              <w:jc w:val="center"/>
              <w:rPr>
                <w:rFonts w:ascii="宋体" w:hAnsi="宋体"/>
                <w:b/>
              </w:rPr>
            </w:pPr>
            <w:r>
              <w:rPr>
                <w:rFonts w:ascii="宋体" w:hAnsi="宋体"/>
                <w:b/>
              </w:rPr>
              <w:t>情</w:t>
            </w:r>
            <w:r>
              <w:rPr>
                <w:rFonts w:hint="eastAsia" w:ascii="宋体" w:hAnsi="宋体"/>
                <w:b/>
              </w:rPr>
              <w:t xml:space="preserve"> </w:t>
            </w:r>
            <w:r>
              <w:rPr>
                <w:rFonts w:ascii="宋体" w:hAnsi="宋体"/>
                <w:b/>
              </w:rPr>
              <w:t>形</w:t>
            </w:r>
          </w:p>
        </w:tc>
        <w:tc>
          <w:tcPr>
            <w:tcW w:w="3588" w:type="dxa"/>
            <w:shd w:val="clear" w:color="auto" w:fill="auto"/>
            <w:vAlign w:val="center"/>
          </w:tcPr>
          <w:p>
            <w:pPr>
              <w:spacing w:line="276" w:lineRule="auto"/>
              <w:jc w:val="center"/>
              <w:rPr>
                <w:rFonts w:ascii="宋体" w:hAnsi="宋体"/>
                <w:b/>
              </w:rPr>
            </w:pPr>
            <w:r>
              <w:rPr>
                <w:rFonts w:ascii="宋体" w:hAnsi="宋体"/>
                <w:b/>
              </w:rPr>
              <w:t>价格扣除比例</w:t>
            </w:r>
          </w:p>
        </w:tc>
        <w:tc>
          <w:tcPr>
            <w:tcW w:w="1984" w:type="dxa"/>
            <w:shd w:val="clear" w:color="auto" w:fill="auto"/>
            <w:vAlign w:val="center"/>
          </w:tcPr>
          <w:p>
            <w:pPr>
              <w:spacing w:line="276" w:lineRule="auto"/>
              <w:jc w:val="center"/>
              <w:rPr>
                <w:rFonts w:ascii="宋体" w:hAnsi="宋体"/>
                <w:b/>
              </w:rPr>
            </w:pPr>
            <w:r>
              <w:rPr>
                <w:rFonts w:ascii="宋体" w:hAnsi="宋体"/>
                <w: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01" w:type="dxa"/>
            <w:shd w:val="clear" w:color="auto" w:fill="auto"/>
            <w:vAlign w:val="center"/>
          </w:tcPr>
          <w:p>
            <w:pPr>
              <w:spacing w:line="276" w:lineRule="auto"/>
              <w:jc w:val="center"/>
              <w:rPr>
                <w:rFonts w:ascii="宋体" w:hAnsi="宋体"/>
              </w:rPr>
            </w:pPr>
            <w:r>
              <w:rPr>
                <w:rFonts w:ascii="宋体" w:hAnsi="宋体"/>
              </w:rPr>
              <w:t>1</w:t>
            </w:r>
          </w:p>
        </w:tc>
        <w:tc>
          <w:tcPr>
            <w:tcW w:w="2775" w:type="dxa"/>
            <w:shd w:val="clear" w:color="auto" w:fill="auto"/>
            <w:vAlign w:val="center"/>
          </w:tcPr>
          <w:p>
            <w:pPr>
              <w:spacing w:line="276" w:lineRule="auto"/>
              <w:jc w:val="left"/>
              <w:rPr>
                <w:rFonts w:ascii="宋体" w:hAnsi="宋体"/>
              </w:rPr>
            </w:pPr>
            <w:r>
              <w:rPr>
                <w:rFonts w:ascii="宋体" w:hAnsi="宋体"/>
              </w:rPr>
              <w:t>非联合体投标供应商（投标供应商须为中小微企业、监狱企业、残疾人福利性单位）</w:t>
            </w:r>
          </w:p>
        </w:tc>
        <w:tc>
          <w:tcPr>
            <w:tcW w:w="3588" w:type="dxa"/>
            <w:shd w:val="clear" w:color="auto" w:fill="auto"/>
            <w:vAlign w:val="center"/>
          </w:tcPr>
          <w:p>
            <w:pPr>
              <w:spacing w:line="276" w:lineRule="auto"/>
              <w:jc w:val="left"/>
              <w:rPr>
                <w:rFonts w:ascii="宋体" w:hAnsi="宋体"/>
              </w:rPr>
            </w:pPr>
            <w:r>
              <w:rPr>
                <w:rFonts w:ascii="宋体" w:hAnsi="宋体"/>
              </w:rPr>
              <w:t>对中型</w:t>
            </w:r>
            <w:r>
              <w:rPr>
                <w:rFonts w:hint="eastAsia" w:ascii="宋体" w:hAnsi="宋体"/>
              </w:rPr>
              <w:t>、</w:t>
            </w:r>
            <w:r>
              <w:rPr>
                <w:rFonts w:ascii="宋体" w:hAnsi="宋体"/>
              </w:rPr>
              <w:t>小型、微型企业和残疾人福利性单位产品的价格扣除</w:t>
            </w:r>
            <w:r>
              <w:rPr>
                <w:rFonts w:ascii="宋体" w:hAnsi="宋体"/>
                <w:u w:val="single"/>
              </w:rPr>
              <w:t>10%</w:t>
            </w:r>
          </w:p>
        </w:tc>
        <w:tc>
          <w:tcPr>
            <w:tcW w:w="1984" w:type="dxa"/>
            <w:vMerge w:val="restart"/>
            <w:shd w:val="clear" w:color="auto" w:fill="auto"/>
            <w:vAlign w:val="center"/>
          </w:tcPr>
          <w:p>
            <w:pPr>
              <w:spacing w:line="276" w:lineRule="auto"/>
              <w:jc w:val="center"/>
              <w:rPr>
                <w:rFonts w:ascii="宋体" w:hAnsi="宋体"/>
              </w:rPr>
            </w:pPr>
            <w:r>
              <w:rPr>
                <w:rFonts w:ascii="宋体" w:hAnsi="宋体"/>
              </w:rPr>
              <w:t>评标价＝投标价格×（</w:t>
            </w:r>
            <w:r>
              <w:rPr>
                <w:rFonts w:hint="eastAsia" w:ascii="宋体" w:hAnsi="宋体"/>
              </w:rPr>
              <w:t>1-价格扣除比例</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1" w:type="dxa"/>
            <w:shd w:val="clear" w:color="auto" w:fill="auto"/>
            <w:vAlign w:val="center"/>
          </w:tcPr>
          <w:p>
            <w:pPr>
              <w:spacing w:line="276" w:lineRule="auto"/>
              <w:jc w:val="center"/>
              <w:rPr>
                <w:rFonts w:ascii="宋体" w:hAnsi="宋体"/>
              </w:rPr>
            </w:pPr>
            <w:r>
              <w:rPr>
                <w:rFonts w:hint="eastAsia" w:ascii="宋体" w:hAnsi="宋体"/>
              </w:rPr>
              <w:t>2</w:t>
            </w:r>
          </w:p>
        </w:tc>
        <w:tc>
          <w:tcPr>
            <w:tcW w:w="2775" w:type="dxa"/>
            <w:shd w:val="clear" w:color="auto" w:fill="auto"/>
            <w:vAlign w:val="center"/>
          </w:tcPr>
          <w:p>
            <w:pPr>
              <w:spacing w:line="276" w:lineRule="auto"/>
              <w:jc w:val="left"/>
              <w:rPr>
                <w:rFonts w:ascii="宋体" w:hAnsi="宋体"/>
              </w:rPr>
            </w:pPr>
            <w:r>
              <w:rPr>
                <w:rFonts w:ascii="宋体" w:hAnsi="宋体"/>
              </w:rPr>
              <w:t>联合体各方均为小微企业、监狱企业、残疾人福利性单位</w:t>
            </w:r>
          </w:p>
        </w:tc>
        <w:tc>
          <w:tcPr>
            <w:tcW w:w="3588" w:type="dxa"/>
            <w:shd w:val="clear" w:color="auto" w:fill="auto"/>
            <w:vAlign w:val="center"/>
          </w:tcPr>
          <w:p>
            <w:pPr>
              <w:spacing w:line="276" w:lineRule="auto"/>
              <w:jc w:val="left"/>
              <w:rPr>
                <w:rFonts w:ascii="宋体" w:hAnsi="宋体"/>
              </w:rPr>
            </w:pPr>
            <w:r>
              <w:rPr>
                <w:rFonts w:ascii="宋体" w:hAnsi="宋体"/>
              </w:rPr>
              <w:t>对小型、微型企业和残疾人福利性单位产品的价格扣除</w:t>
            </w:r>
            <w:r>
              <w:rPr>
                <w:rFonts w:ascii="宋体" w:hAnsi="宋体"/>
                <w:u w:val="single"/>
              </w:rPr>
              <w:t xml:space="preserve">10% </w:t>
            </w:r>
            <w:r>
              <w:rPr>
                <w:rFonts w:ascii="宋体" w:hAnsi="宋体"/>
              </w:rPr>
              <w:t>（</w:t>
            </w:r>
            <w:r>
              <w:rPr>
                <w:rFonts w:ascii="宋体" w:hAnsi="宋体"/>
                <w:b/>
              </w:rPr>
              <w:t>不再享受序号3 的价格折扣）</w:t>
            </w:r>
          </w:p>
        </w:tc>
        <w:tc>
          <w:tcPr>
            <w:tcW w:w="1984" w:type="dxa"/>
            <w:vMerge w:val="continue"/>
            <w:shd w:val="clear" w:color="auto" w:fill="auto"/>
            <w:vAlign w:val="center"/>
          </w:tcPr>
          <w:p>
            <w:pPr>
              <w:spacing w:line="276"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1" w:type="dxa"/>
            <w:shd w:val="clear" w:color="auto" w:fill="auto"/>
            <w:vAlign w:val="center"/>
          </w:tcPr>
          <w:p>
            <w:pPr>
              <w:spacing w:line="276" w:lineRule="auto"/>
              <w:jc w:val="center"/>
              <w:rPr>
                <w:rFonts w:ascii="宋体" w:hAnsi="宋体"/>
              </w:rPr>
            </w:pPr>
            <w:r>
              <w:rPr>
                <w:rFonts w:hint="eastAsia" w:ascii="宋体" w:hAnsi="宋体"/>
              </w:rPr>
              <w:t>3</w:t>
            </w:r>
          </w:p>
        </w:tc>
        <w:tc>
          <w:tcPr>
            <w:tcW w:w="2775" w:type="dxa"/>
            <w:shd w:val="clear" w:color="auto" w:fill="auto"/>
            <w:vAlign w:val="center"/>
          </w:tcPr>
          <w:p>
            <w:pPr>
              <w:spacing w:line="276" w:lineRule="auto"/>
              <w:jc w:val="left"/>
              <w:rPr>
                <w:rFonts w:ascii="宋体" w:hAnsi="宋体"/>
              </w:rPr>
            </w:pPr>
            <w:r>
              <w:rPr>
                <w:rFonts w:ascii="宋体" w:hAnsi="宋体"/>
              </w:rPr>
              <w:t>联合体一方为小微企业、监狱企业、残疾人福利性单位且小微企业、监狱企业、残疾人福利性单位协议合同金额占联合体协议合同总金额30%以上的</w:t>
            </w:r>
          </w:p>
        </w:tc>
        <w:tc>
          <w:tcPr>
            <w:tcW w:w="3588" w:type="dxa"/>
            <w:shd w:val="clear" w:color="auto" w:fill="auto"/>
            <w:vAlign w:val="center"/>
          </w:tcPr>
          <w:p>
            <w:pPr>
              <w:spacing w:line="276" w:lineRule="auto"/>
              <w:jc w:val="left"/>
              <w:rPr>
                <w:rFonts w:ascii="宋体" w:hAnsi="宋体"/>
              </w:rPr>
            </w:pPr>
            <w:r>
              <w:rPr>
                <w:rFonts w:ascii="宋体" w:hAnsi="宋体"/>
              </w:rPr>
              <w:t>对联合体总金额扣除</w:t>
            </w:r>
            <w:r>
              <w:rPr>
                <w:rFonts w:ascii="宋体" w:hAnsi="宋体"/>
                <w:u w:val="single"/>
              </w:rPr>
              <w:t>4%</w:t>
            </w:r>
          </w:p>
        </w:tc>
        <w:tc>
          <w:tcPr>
            <w:tcW w:w="1984" w:type="dxa"/>
            <w:shd w:val="clear" w:color="auto" w:fill="auto"/>
            <w:vAlign w:val="center"/>
          </w:tcPr>
          <w:p>
            <w:pPr>
              <w:spacing w:line="276" w:lineRule="auto"/>
              <w:jc w:val="center"/>
              <w:rPr>
                <w:rFonts w:ascii="宋体" w:hAnsi="宋体"/>
              </w:rPr>
            </w:pPr>
            <w:r>
              <w:rPr>
                <w:rFonts w:ascii="宋体" w:hAnsi="宋体"/>
              </w:rPr>
              <w:t>评标价＝投标报价×(1-</w:t>
            </w:r>
            <w:r>
              <w:rPr>
                <w:rFonts w:hint="eastAsia" w:ascii="宋体" w:hAnsi="宋体"/>
              </w:rPr>
              <w:t>价格扣除比例</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048" w:type="dxa"/>
            <w:gridSpan w:val="4"/>
            <w:shd w:val="clear" w:color="auto" w:fill="auto"/>
            <w:vAlign w:val="center"/>
          </w:tcPr>
          <w:p>
            <w:pPr>
              <w:spacing w:line="276" w:lineRule="auto"/>
              <w:rPr>
                <w:rFonts w:ascii="宋体" w:hAnsi="宋体"/>
                <w:b/>
              </w:rPr>
            </w:pPr>
            <w:r>
              <w:rPr>
                <w:rFonts w:ascii="宋体" w:hAnsi="宋体"/>
                <w:b/>
              </w:rPr>
              <w:t xml:space="preserve">注：1、上述评标价仅用于计算价格评分，中标金额以实际投标价为准。 </w:t>
            </w:r>
          </w:p>
          <w:p>
            <w:pPr>
              <w:spacing w:line="276" w:lineRule="auto"/>
              <w:ind w:firstLine="422" w:firstLineChars="200"/>
              <w:rPr>
                <w:rFonts w:ascii="宋体" w:hAnsi="宋体"/>
                <w:b/>
              </w:rPr>
            </w:pPr>
            <w:r>
              <w:rPr>
                <w:rFonts w:hint="eastAsia" w:ascii="宋体" w:hAnsi="宋体"/>
                <w:b/>
              </w:rPr>
              <w:t>2、</w:t>
            </w:r>
            <w:r>
              <w:rPr>
                <w:rFonts w:hint="eastAsia" w:ascii="宋体" w:hAnsi="宋体"/>
                <w:b/>
                <w:szCs w:val="21"/>
              </w:rPr>
              <w:t>专门面向中小企业采购的项目或者采购包，不再执行价格评审优惠的扶持政策</w:t>
            </w:r>
          </w:p>
        </w:tc>
      </w:tr>
    </w:tbl>
    <w:p>
      <w:pPr>
        <w:adjustRightInd w:val="0"/>
        <w:snapToGrid w:val="0"/>
        <w:spacing w:line="460" w:lineRule="exact"/>
        <w:rPr>
          <w:rFonts w:asciiTheme="minorEastAsia" w:hAnsiTheme="minorEastAsia" w:eastAsiaTheme="minorEastAsia"/>
          <w:b/>
          <w:szCs w:val="21"/>
        </w:rPr>
      </w:pPr>
      <w:r>
        <w:rPr>
          <w:rFonts w:hint="eastAsia" w:asciiTheme="minorEastAsia" w:hAnsiTheme="minorEastAsia" w:eastAsiaTheme="minorEastAsia"/>
          <w:b/>
          <w:szCs w:val="21"/>
        </w:rPr>
        <w:t>四、投标文件的比较和评价</w:t>
      </w:r>
    </w:p>
    <w:p>
      <w:pPr>
        <w:adjustRightInd w:val="0"/>
        <w:snapToGrid w:val="0"/>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、评标委员会应按照招标文件中规定的评审方法和标准，对所有实质性响应的投标供应商所递交的投标文件进行综合比较与评价。</w:t>
      </w:r>
    </w:p>
    <w:p>
      <w:pPr>
        <w:adjustRightInd w:val="0"/>
        <w:snapToGrid w:val="0"/>
        <w:spacing w:line="460" w:lineRule="exact"/>
        <w:ind w:firstLine="436" w:firstLineChars="200"/>
        <w:rPr>
          <w:rFonts w:cs="宋体" w:asciiTheme="minorEastAsia" w:hAnsiTheme="minorEastAsia" w:eastAsiaTheme="minorEastAsia"/>
          <w:spacing w:val="4"/>
          <w:szCs w:val="21"/>
        </w:rPr>
      </w:pPr>
      <w:r>
        <w:rPr>
          <w:rFonts w:cs="宋体" w:asciiTheme="minorEastAsia" w:hAnsiTheme="minorEastAsia" w:eastAsiaTheme="minorEastAsia"/>
          <w:spacing w:val="4"/>
          <w:szCs w:val="21"/>
        </w:rPr>
        <w:t>2</w:t>
      </w:r>
      <w:r>
        <w:rPr>
          <w:rFonts w:hint="eastAsia" w:asciiTheme="minorEastAsia" w:hAnsiTheme="minorEastAsia" w:eastAsiaTheme="minorEastAsia"/>
          <w:szCs w:val="21"/>
        </w:rPr>
        <w:t>、</w:t>
      </w:r>
      <w:r>
        <w:rPr>
          <w:rFonts w:hint="eastAsia" w:cs="宋体" w:asciiTheme="minorEastAsia" w:hAnsiTheme="minorEastAsia" w:eastAsiaTheme="minorEastAsia"/>
          <w:spacing w:val="4"/>
          <w:szCs w:val="21"/>
        </w:rPr>
        <w:t>评标委员会认为投标供应商的报价明显低于其他通过符合性审查投标供应商的报价，有可能影响产品质量或者不能诚信履约的，采购代理机构提示评标委员会要求投标供应商在开标现场合理时限内提供书面说明，必要时提交相关证明材料；投标供应商不能证明其报价合理性的，评标委员会应当将其作为无效投标处理。</w:t>
      </w:r>
    </w:p>
    <w:p>
      <w:pPr>
        <w:adjustRightInd w:val="0"/>
        <w:snapToGrid w:val="0"/>
        <w:spacing w:line="460" w:lineRule="exact"/>
        <w:ind w:firstLine="436" w:firstLineChars="200"/>
        <w:rPr>
          <w:rFonts w:cs="宋体" w:asciiTheme="minorEastAsia" w:hAnsiTheme="minorEastAsia" w:eastAsiaTheme="minorEastAsia"/>
          <w:spacing w:val="4"/>
          <w:szCs w:val="21"/>
        </w:rPr>
      </w:pPr>
      <w:r>
        <w:rPr>
          <w:rFonts w:cs="宋体" w:asciiTheme="minorEastAsia" w:hAnsiTheme="minorEastAsia" w:eastAsiaTheme="minorEastAsia"/>
          <w:spacing w:val="4"/>
          <w:szCs w:val="21"/>
        </w:rPr>
        <w:t>3</w:t>
      </w:r>
      <w:r>
        <w:rPr>
          <w:rFonts w:hint="eastAsia" w:asciiTheme="minorEastAsia" w:hAnsiTheme="minorEastAsia" w:eastAsiaTheme="minorEastAsia"/>
          <w:szCs w:val="21"/>
        </w:rPr>
        <w:t>、</w:t>
      </w:r>
      <w:r>
        <w:rPr>
          <w:rFonts w:hint="eastAsia" w:cs="宋体" w:asciiTheme="minorEastAsia" w:hAnsiTheme="minorEastAsia" w:eastAsiaTheme="minorEastAsia"/>
          <w:spacing w:val="4"/>
          <w:szCs w:val="21"/>
        </w:rPr>
        <w:t>综合评分法详见本章附表三。</w:t>
      </w:r>
    </w:p>
    <w:p>
      <w:pPr>
        <w:adjustRightInd w:val="0"/>
        <w:snapToGrid w:val="0"/>
        <w:spacing w:line="460" w:lineRule="exact"/>
        <w:rPr>
          <w:rFonts w:ascii="宋体" w:hAnsi="宋体"/>
          <w:b/>
          <w:szCs w:val="21"/>
        </w:rPr>
      </w:pPr>
      <w:r>
        <w:rPr>
          <w:rFonts w:hint="eastAsia" w:ascii="宋体" w:hAnsi="宋体"/>
          <w:b/>
          <w:szCs w:val="21"/>
        </w:rPr>
        <w:t>五、</w:t>
      </w:r>
      <w:r>
        <w:rPr>
          <w:rFonts w:ascii="宋体" w:hAnsi="宋体"/>
          <w:b/>
          <w:szCs w:val="21"/>
        </w:rPr>
        <w:t>推荐中标候选人</w:t>
      </w:r>
    </w:p>
    <w:p>
      <w:pPr>
        <w:adjustRightInd w:val="0"/>
        <w:snapToGrid w:val="0"/>
        <w:spacing w:line="460" w:lineRule="exact"/>
        <w:ind w:firstLine="210" w:firstLineChars="100"/>
        <w:rPr>
          <w:rFonts w:ascii="宋体" w:hAnsi="宋体"/>
          <w:szCs w:val="21"/>
        </w:rPr>
      </w:pPr>
      <w:r>
        <w:rPr>
          <w:rFonts w:hint="eastAsia" w:ascii="宋体" w:hAnsi="宋体"/>
          <w:szCs w:val="21"/>
        </w:rPr>
        <w:t>1、采用最低评标价法的，评标结果按投标报价由低到高顺序排列。投标报价相同的并列。投标文件满足招标文件全部实质性要求且投标报价最低的投标供应商为排名第一的中标候选人。</w:t>
      </w:r>
    </w:p>
    <w:p>
      <w:pPr>
        <w:adjustRightInd w:val="0"/>
        <w:snapToGrid w:val="0"/>
        <w:spacing w:line="460" w:lineRule="exact"/>
        <w:ind w:firstLine="210" w:firstLineChars="100"/>
        <w:rPr>
          <w:rFonts w:hint="eastAsia" w:ascii="宋体" w:hAnsi="宋体"/>
          <w:szCs w:val="21"/>
        </w:rPr>
      </w:pPr>
      <w:r>
        <w:rPr>
          <w:rFonts w:hint="eastAsia" w:ascii="宋体" w:hAnsi="宋体"/>
          <w:szCs w:val="21"/>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中标候选人推荐家数详见投标供应商须知前附表。</w:t>
      </w:r>
    </w:p>
    <w:p>
      <w:pPr>
        <w:adjustRightInd w:val="0"/>
        <w:snapToGrid w:val="0"/>
        <w:spacing w:line="460" w:lineRule="exact"/>
        <w:ind w:firstLine="210" w:firstLineChars="100"/>
        <w:rPr>
          <w:rFonts w:hint="eastAsia" w:ascii="宋体" w:hAnsi="宋体" w:cs="Times New Roman"/>
          <w:szCs w:val="21"/>
        </w:rPr>
      </w:pPr>
      <w:r>
        <w:rPr>
          <w:rFonts w:hint="eastAsia" w:ascii="宋体" w:hAnsi="宋体" w:cs="Times New Roman"/>
          <w:szCs w:val="21"/>
          <w:lang w:val="en-US" w:eastAsia="zh-CN"/>
        </w:rPr>
        <w:t>3、</w:t>
      </w:r>
      <w:r>
        <w:rPr>
          <w:rFonts w:hint="eastAsia" w:ascii="宋体" w:hAnsi="宋体" w:cs="Times New Roman"/>
          <w:szCs w:val="21"/>
        </w:rPr>
        <w:t>投标人提供同品牌产品且通过资质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w:t>
      </w:r>
    </w:p>
    <w:p>
      <w:pPr>
        <w:adjustRightInd w:val="0"/>
        <w:snapToGrid w:val="0"/>
        <w:spacing w:line="460" w:lineRule="exact"/>
        <w:ind w:firstLine="210" w:firstLineChars="100"/>
        <w:rPr>
          <w:rFonts w:hint="eastAsia" w:ascii="宋体" w:hAnsi="宋体" w:cs="Times New Roman"/>
          <w:szCs w:val="21"/>
        </w:rPr>
      </w:pPr>
      <w:r>
        <w:rPr>
          <w:rFonts w:hint="eastAsia" w:ascii="宋体" w:hAnsi="宋体" w:cs="Times New Roman"/>
          <w:szCs w:val="21"/>
          <w:lang w:val="en-US" w:eastAsia="zh-CN"/>
        </w:rPr>
        <w:t>4、</w:t>
      </w:r>
      <w:r>
        <w:rPr>
          <w:rFonts w:hint="eastAsia" w:ascii="宋体" w:hAnsi="宋体" w:cs="Times New Roman"/>
          <w:szCs w:val="21"/>
        </w:rPr>
        <w:t>非单一产品采购项目，根据采购项目技术构成、产品价格比重等合理确定核心产品，详见招标文件第四部分内容。多家投标人提供的核心产品品牌相同的，按</w:t>
      </w:r>
      <w:r>
        <w:rPr>
          <w:rFonts w:hint="eastAsia" w:ascii="宋体" w:hAnsi="宋体" w:cs="Times New Roman"/>
          <w:szCs w:val="21"/>
          <w:lang w:val="en-US" w:eastAsia="zh-CN"/>
        </w:rPr>
        <w:t>第3</w:t>
      </w:r>
      <w:r>
        <w:rPr>
          <w:rFonts w:hint="eastAsia" w:ascii="宋体" w:hAnsi="宋体" w:cs="Times New Roman"/>
          <w:szCs w:val="21"/>
        </w:rPr>
        <w:t>条规定处理。</w:t>
      </w:r>
    </w:p>
    <w:p>
      <w:pPr>
        <w:adjustRightInd w:val="0"/>
        <w:snapToGrid w:val="0"/>
        <w:spacing w:line="460" w:lineRule="exact"/>
        <w:rPr>
          <w:rFonts w:ascii="宋体" w:hAnsi="宋体"/>
          <w:b/>
          <w:szCs w:val="21"/>
        </w:rPr>
      </w:pPr>
      <w:r>
        <w:rPr>
          <w:rFonts w:hint="eastAsia" w:ascii="宋体" w:hAnsi="宋体"/>
          <w:b/>
          <w:szCs w:val="21"/>
        </w:rPr>
        <w:t>六、</w:t>
      </w:r>
      <w:r>
        <w:rPr>
          <w:rFonts w:ascii="宋体" w:hAnsi="宋体"/>
          <w:b/>
          <w:szCs w:val="21"/>
        </w:rPr>
        <w:t>编写评审报告</w:t>
      </w:r>
    </w:p>
    <w:p>
      <w:pPr>
        <w:adjustRightInd w:val="0"/>
        <w:snapToGrid w:val="0"/>
        <w:spacing w:line="460" w:lineRule="exact"/>
        <w:ind w:firstLine="420" w:firstLineChars="200"/>
        <w:rPr>
          <w:rFonts w:ascii="宋体" w:hAnsi="宋体"/>
          <w:szCs w:val="21"/>
        </w:rPr>
      </w:pPr>
      <w:r>
        <w:rPr>
          <w:rFonts w:hint="eastAsia" w:ascii="宋体" w:hAnsi="宋体"/>
          <w:szCs w:val="21"/>
        </w:rPr>
        <w:t>评审报告是评标委员会根据全体评标成员签字的原始评标记录和评标结果编写的报告，其主要内容包括：</w:t>
      </w:r>
    </w:p>
    <w:p>
      <w:pPr>
        <w:adjustRightInd w:val="0"/>
        <w:snapToGrid w:val="0"/>
        <w:spacing w:line="460" w:lineRule="exact"/>
        <w:ind w:firstLine="210" w:firstLineChars="100"/>
        <w:rPr>
          <w:rFonts w:ascii="宋体" w:hAnsi="宋体"/>
          <w:szCs w:val="21"/>
        </w:rPr>
      </w:pPr>
      <w:r>
        <w:rPr>
          <w:rFonts w:hint="eastAsia" w:ascii="宋体" w:hAnsi="宋体"/>
          <w:szCs w:val="21"/>
        </w:rPr>
        <w:t>（1）开标日期和地点；</w:t>
      </w:r>
    </w:p>
    <w:p>
      <w:pPr>
        <w:adjustRightInd w:val="0"/>
        <w:snapToGrid w:val="0"/>
        <w:spacing w:line="460" w:lineRule="exact"/>
        <w:ind w:firstLine="210" w:firstLineChars="100"/>
        <w:rPr>
          <w:rFonts w:ascii="宋体" w:hAnsi="宋体"/>
          <w:szCs w:val="21"/>
        </w:rPr>
      </w:pPr>
      <w:r>
        <w:rPr>
          <w:rFonts w:hint="eastAsia" w:ascii="宋体" w:hAnsi="宋体"/>
          <w:szCs w:val="21"/>
        </w:rPr>
        <w:t>（2）投标供应商名单和评标委员会成员名单；</w:t>
      </w:r>
    </w:p>
    <w:p>
      <w:pPr>
        <w:adjustRightInd w:val="0"/>
        <w:snapToGrid w:val="0"/>
        <w:spacing w:line="460" w:lineRule="exact"/>
        <w:ind w:firstLine="210" w:firstLineChars="100"/>
        <w:rPr>
          <w:rFonts w:ascii="宋体" w:hAnsi="宋体"/>
          <w:szCs w:val="21"/>
        </w:rPr>
      </w:pPr>
      <w:r>
        <w:rPr>
          <w:rFonts w:hint="eastAsia" w:ascii="宋体" w:hAnsi="宋体"/>
          <w:szCs w:val="21"/>
        </w:rPr>
        <w:t>（3）开标记录和评标情况及说明，包括投标无效供应商名单及原因；</w:t>
      </w:r>
    </w:p>
    <w:p>
      <w:pPr>
        <w:adjustRightInd w:val="0"/>
        <w:snapToGrid w:val="0"/>
        <w:spacing w:line="460" w:lineRule="exact"/>
        <w:ind w:firstLine="210" w:firstLineChars="100"/>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）评标结果，确定的中标候选人名单或者经采购人委托直接确定的中标供应商；</w:t>
      </w:r>
    </w:p>
    <w:p>
      <w:pPr>
        <w:adjustRightInd w:val="0"/>
        <w:snapToGrid w:val="0"/>
        <w:spacing w:line="460" w:lineRule="exact"/>
        <w:ind w:firstLine="210" w:firstLineChars="10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）其他需要说明的情况，包括评标过程中投标供应商根据评标委员会要求进行的澄清、说明或者补正，评标委员会成员的更换等。</w:t>
      </w:r>
    </w:p>
    <w:p>
      <w:pPr>
        <w:adjustRightInd w:val="0"/>
        <w:snapToGrid w:val="0"/>
        <w:spacing w:line="460" w:lineRule="exact"/>
        <w:ind w:firstLine="420" w:firstLineChars="200"/>
        <w:rPr>
          <w:rFonts w:ascii="宋体" w:hAnsi="宋体"/>
          <w:szCs w:val="21"/>
        </w:rPr>
      </w:pPr>
      <w:r>
        <w:rPr>
          <w:rFonts w:hint="eastAsia" w:ascii="宋体" w:hAnsi="宋体"/>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adjustRightInd w:val="0"/>
        <w:snapToGrid w:val="0"/>
        <w:spacing w:line="460" w:lineRule="exact"/>
        <w:rPr>
          <w:rFonts w:ascii="宋体" w:hAnsi="宋体"/>
          <w:b/>
          <w:szCs w:val="21"/>
        </w:rPr>
      </w:pPr>
      <w:r>
        <w:rPr>
          <w:rFonts w:ascii="宋体" w:hAnsi="宋体"/>
          <w:b/>
          <w:szCs w:val="21"/>
        </w:rPr>
        <w:t>七、</w:t>
      </w:r>
      <w:r>
        <w:rPr>
          <w:rFonts w:hint="eastAsia" w:ascii="宋体" w:hAnsi="宋体"/>
          <w:b/>
          <w:szCs w:val="21"/>
        </w:rPr>
        <w:t>评标争议处理规则</w:t>
      </w:r>
    </w:p>
    <w:p>
      <w:pPr>
        <w:adjustRightInd w:val="0"/>
        <w:snapToGrid w:val="0"/>
        <w:spacing w:line="460" w:lineRule="exact"/>
        <w:ind w:firstLine="420" w:firstLineChars="200"/>
        <w:rPr>
          <w:rFonts w:ascii="宋体" w:hAnsi="宋体"/>
          <w:szCs w:val="21"/>
        </w:rPr>
      </w:pPr>
      <w:r>
        <w:rPr>
          <w:rFonts w:hint="eastAsia" w:ascii="宋体" w:hAnsi="宋体"/>
          <w:szCs w:val="21"/>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w:t>
      </w:r>
    </w:p>
    <w:p>
      <w:pPr>
        <w:adjustRightInd w:val="0"/>
        <w:snapToGrid w:val="0"/>
        <w:spacing w:line="460" w:lineRule="exact"/>
        <w:rPr>
          <w:rFonts w:ascii="宋体" w:hAnsi="宋体"/>
          <w:b/>
          <w:szCs w:val="21"/>
        </w:rPr>
      </w:pPr>
      <w:r>
        <w:rPr>
          <w:rFonts w:ascii="宋体" w:hAnsi="宋体"/>
          <w:b/>
          <w:szCs w:val="21"/>
        </w:rPr>
        <w:t>八、评审现场人员的保密责任</w:t>
      </w:r>
    </w:p>
    <w:p>
      <w:pPr>
        <w:adjustRightInd w:val="0"/>
        <w:snapToGrid w:val="0"/>
        <w:spacing w:line="460" w:lineRule="exact"/>
        <w:ind w:firstLine="420" w:firstLineChars="200"/>
        <w:rPr>
          <w:rFonts w:ascii="宋体" w:hAnsi="宋体"/>
          <w:szCs w:val="21"/>
        </w:rPr>
      </w:pPr>
      <w:r>
        <w:rPr>
          <w:rFonts w:ascii="宋体" w:hAnsi="宋体"/>
          <w:szCs w:val="21"/>
        </w:rPr>
        <w:t>在采购结果确定前，采购人、采购代理机构对评审委员会名单负有保密责任。评审委员会成员、采购人和采购代理机构工作人员、相关监督人员等与评审工作有关的人员，对评审情况以及在评审过程中获悉的国家秘密、商业秘密负有保密责任。</w:t>
      </w:r>
    </w:p>
    <w:p>
      <w:pPr>
        <w:pStyle w:val="17"/>
        <w:spacing w:line="360" w:lineRule="auto"/>
        <w:jc w:val="both"/>
        <w:rPr>
          <w:rFonts w:ascii="宋体" w:hAnsi="宋体"/>
          <w:szCs w:val="21"/>
        </w:rPr>
        <w:sectPr>
          <w:footerReference r:id="rId3" w:type="default"/>
          <w:footnotePr>
            <w:numFmt w:val="decimalEnclosedCircleChinese"/>
            <w:numRestart w:val="eachPage"/>
          </w:footnotePr>
          <w:pgSz w:w="11907" w:h="16840"/>
          <w:pgMar w:top="1440" w:right="1361" w:bottom="1440" w:left="1361" w:header="720" w:footer="680" w:gutter="0"/>
          <w:cols w:space="720" w:num="1"/>
          <w:titlePg/>
          <w:docGrid w:linePitch="286" w:charSpace="0"/>
        </w:sectPr>
      </w:pPr>
    </w:p>
    <w:p>
      <w:pPr>
        <w:widowControl/>
        <w:autoSpaceDE w:val="0"/>
        <w:autoSpaceDN w:val="0"/>
        <w:spacing w:line="500" w:lineRule="exact"/>
        <w:ind w:right="53"/>
        <w:textAlignment w:val="bottom"/>
        <w:outlineLvl w:val="9"/>
        <w:rPr>
          <w:rFonts w:ascii="宋体" w:hAnsi="宋体"/>
          <w:b/>
          <w:bCs/>
          <w:sz w:val="24"/>
        </w:rPr>
      </w:pPr>
      <w:r>
        <w:rPr>
          <w:rFonts w:hint="eastAsia" w:ascii="宋体" w:hAnsi="宋体"/>
          <w:b/>
          <w:bCs/>
          <w:sz w:val="24"/>
        </w:rPr>
        <w:t>附件一：资格性</w:t>
      </w:r>
      <w:r>
        <w:rPr>
          <w:rFonts w:ascii="宋体" w:hAnsi="宋体"/>
          <w:b/>
          <w:bCs/>
          <w:sz w:val="24"/>
        </w:rPr>
        <w:t>审查表</w:t>
      </w:r>
    </w:p>
    <w:tbl>
      <w:tblPr>
        <w:tblStyle w:val="41"/>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1896"/>
        <w:gridCol w:w="5116"/>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13" w:type="dxa"/>
            <w:vAlign w:val="center"/>
          </w:tcPr>
          <w:p>
            <w:pPr>
              <w:pStyle w:val="17"/>
              <w:rPr>
                <w:b/>
                <w:sz w:val="21"/>
                <w:szCs w:val="21"/>
              </w:rPr>
            </w:pPr>
            <w:r>
              <w:rPr>
                <w:rFonts w:hint="eastAsia" w:ascii="宋体" w:hAnsi="宋体" w:cs="新宋体"/>
                <w:b/>
                <w:bCs/>
                <w:sz w:val="21"/>
                <w:szCs w:val="21"/>
              </w:rPr>
              <w:t>序号</w:t>
            </w:r>
          </w:p>
        </w:tc>
        <w:tc>
          <w:tcPr>
            <w:tcW w:w="1896" w:type="dxa"/>
            <w:vAlign w:val="center"/>
          </w:tcPr>
          <w:p>
            <w:pPr>
              <w:pStyle w:val="17"/>
              <w:rPr>
                <w:b/>
                <w:sz w:val="21"/>
                <w:szCs w:val="21"/>
              </w:rPr>
            </w:pPr>
            <w:r>
              <w:rPr>
                <w:b/>
                <w:sz w:val="21"/>
                <w:szCs w:val="21"/>
              </w:rPr>
              <w:t>资格项</w:t>
            </w:r>
          </w:p>
        </w:tc>
        <w:tc>
          <w:tcPr>
            <w:tcW w:w="5116" w:type="dxa"/>
            <w:vAlign w:val="center"/>
          </w:tcPr>
          <w:p>
            <w:pPr>
              <w:pStyle w:val="17"/>
              <w:rPr>
                <w:b/>
                <w:sz w:val="21"/>
                <w:szCs w:val="21"/>
              </w:rPr>
            </w:pPr>
            <w:r>
              <w:rPr>
                <w:rFonts w:hint="eastAsia" w:ascii="宋体" w:hAnsi="宋体"/>
                <w:b/>
                <w:bCs/>
                <w:sz w:val="21"/>
                <w:szCs w:val="21"/>
              </w:rPr>
              <w:t>资格性审查内容</w:t>
            </w:r>
          </w:p>
        </w:tc>
        <w:tc>
          <w:tcPr>
            <w:tcW w:w="1189" w:type="dxa"/>
            <w:vAlign w:val="center"/>
          </w:tcPr>
          <w:p>
            <w:pPr>
              <w:pStyle w:val="17"/>
              <w:rPr>
                <w:b/>
                <w:sz w:val="21"/>
                <w:szCs w:val="21"/>
              </w:rPr>
            </w:pPr>
            <w:r>
              <w:rPr>
                <w:b/>
                <w:sz w:val="21"/>
                <w:szCs w:val="21"/>
              </w:rPr>
              <w:t>评审合格</w:t>
            </w:r>
          </w:p>
          <w:p>
            <w:pPr>
              <w:pStyle w:val="17"/>
              <w:rPr>
                <w:b/>
                <w:sz w:val="21"/>
                <w:szCs w:val="21"/>
              </w:rPr>
            </w:pPr>
            <w:r>
              <w:rPr>
                <w:b/>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13" w:type="dxa"/>
            <w:vAlign w:val="center"/>
          </w:tcPr>
          <w:p>
            <w:pPr>
              <w:pStyle w:val="17"/>
              <w:rPr>
                <w:rFonts w:asciiTheme="minorEastAsia" w:hAnsiTheme="minorEastAsia" w:eastAsiaTheme="minorEastAsia"/>
                <w:sz w:val="21"/>
                <w:szCs w:val="21"/>
              </w:rPr>
            </w:pPr>
            <w:r>
              <w:rPr>
                <w:rFonts w:cs="Times New Roman" w:asciiTheme="minorEastAsia" w:hAnsiTheme="minorEastAsia" w:eastAsiaTheme="minorEastAsia"/>
                <w:sz w:val="21"/>
                <w:szCs w:val="21"/>
              </w:rPr>
              <w:t>1</w:t>
            </w:r>
          </w:p>
        </w:tc>
        <w:tc>
          <w:tcPr>
            <w:tcW w:w="1896" w:type="dxa"/>
            <w:vAlign w:val="center"/>
          </w:tcPr>
          <w:p>
            <w:pPr>
              <w:spacing w:line="276" w:lineRule="auto"/>
              <w:jc w:val="center"/>
              <w:rPr>
                <w:rFonts w:ascii="Calibri" w:hAnsi="宋体" w:cstheme="minorHAnsi"/>
                <w:bCs/>
                <w:sz w:val="21"/>
                <w:szCs w:val="21"/>
              </w:rPr>
            </w:pPr>
            <w:r>
              <w:rPr>
                <w:rFonts w:hint="eastAsia" w:ascii="Calibri" w:hAnsi="宋体" w:cstheme="minorHAnsi"/>
                <w:bCs/>
                <w:sz w:val="21"/>
                <w:szCs w:val="21"/>
              </w:rPr>
              <w:t>有效的主体</w:t>
            </w:r>
          </w:p>
          <w:p>
            <w:pPr>
              <w:spacing w:line="276" w:lineRule="auto"/>
              <w:jc w:val="center"/>
              <w:rPr>
                <w:rFonts w:asciiTheme="minorEastAsia" w:hAnsiTheme="minorEastAsia" w:eastAsiaTheme="minorEastAsia"/>
                <w:sz w:val="21"/>
                <w:szCs w:val="21"/>
              </w:rPr>
            </w:pPr>
            <w:r>
              <w:rPr>
                <w:rFonts w:hint="eastAsia" w:ascii="Calibri" w:hAnsi="宋体" w:cstheme="minorHAnsi"/>
                <w:bCs/>
                <w:sz w:val="21"/>
                <w:szCs w:val="21"/>
              </w:rPr>
              <w:t>资格证明</w:t>
            </w:r>
          </w:p>
        </w:tc>
        <w:tc>
          <w:tcPr>
            <w:tcW w:w="5116" w:type="dxa"/>
            <w:vAlign w:val="center"/>
          </w:tcPr>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提供统一社会信用代码的营业执照或其他组织经营的合法凭证或自然人的提供身份证明文件；</w:t>
            </w:r>
          </w:p>
        </w:tc>
        <w:tc>
          <w:tcPr>
            <w:tcW w:w="1189" w:type="dxa"/>
            <w:vAlign w:val="center"/>
          </w:tcPr>
          <w:p>
            <w:pPr>
              <w:jc w:val="center"/>
              <w:rPr>
                <w:sz w:val="21"/>
                <w:szCs w:val="21"/>
              </w:rPr>
            </w:pPr>
            <w:r>
              <w:rPr>
                <w:rFonts w:hint="eastAsia"/>
                <w:sz w:val="21"/>
                <w:szCs w:val="21"/>
              </w:rPr>
              <w:t>提供有效</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613" w:type="dxa"/>
            <w:vAlign w:val="center"/>
          </w:tcPr>
          <w:p>
            <w:pPr>
              <w:pStyle w:val="17"/>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896" w:type="dxa"/>
            <w:vAlign w:val="center"/>
          </w:tcPr>
          <w:p>
            <w:pPr>
              <w:spacing w:line="276"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财务状况报告</w:t>
            </w:r>
          </w:p>
        </w:tc>
        <w:tc>
          <w:tcPr>
            <w:tcW w:w="5116" w:type="dxa"/>
            <w:vAlign w:val="center"/>
          </w:tcPr>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提供2021年财务审计报告（成立时间至开标时间不足一年的可提供成立后任意时段的资产负债表）或提供基本存款账户信息及截标日期前三个月内其基本存款账户开户银行出具的资信证明；</w:t>
            </w:r>
          </w:p>
        </w:tc>
        <w:tc>
          <w:tcPr>
            <w:tcW w:w="1189" w:type="dxa"/>
            <w:vAlign w:val="center"/>
          </w:tcPr>
          <w:p>
            <w:pPr>
              <w:jc w:val="center"/>
              <w:rPr>
                <w:sz w:val="21"/>
                <w:szCs w:val="21"/>
              </w:rPr>
            </w:pPr>
            <w:r>
              <w:rPr>
                <w:rFonts w:hint="eastAsia"/>
                <w:sz w:val="21"/>
                <w:szCs w:val="21"/>
              </w:rPr>
              <w:t>提供有效</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13" w:type="dxa"/>
            <w:vAlign w:val="center"/>
          </w:tcPr>
          <w:p>
            <w:pPr>
              <w:pStyle w:val="17"/>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896" w:type="dxa"/>
            <w:vAlign w:val="center"/>
          </w:tcPr>
          <w:p>
            <w:pPr>
              <w:jc w:val="center"/>
              <w:rPr>
                <w:sz w:val="21"/>
                <w:szCs w:val="21"/>
              </w:rPr>
            </w:pPr>
            <w:r>
              <w:rPr>
                <w:rFonts w:hint="eastAsia"/>
                <w:sz w:val="21"/>
                <w:szCs w:val="21"/>
              </w:rPr>
              <w:t>税收缴纳证明</w:t>
            </w:r>
          </w:p>
        </w:tc>
        <w:tc>
          <w:tcPr>
            <w:tcW w:w="5116" w:type="dxa"/>
            <w:vAlign w:val="center"/>
          </w:tcPr>
          <w:p>
            <w:pPr>
              <w:rPr>
                <w:sz w:val="21"/>
                <w:szCs w:val="21"/>
              </w:rPr>
            </w:pPr>
            <w:r>
              <w:rPr>
                <w:rFonts w:hint="eastAsia"/>
                <w:sz w:val="21"/>
                <w:szCs w:val="21"/>
              </w:rPr>
              <w:t>提供截标日期前六个月内任意一个月的纳税证明或完税证明（注：依法免税或零申报的投标人须提供相关文件证明）；</w:t>
            </w:r>
          </w:p>
        </w:tc>
        <w:tc>
          <w:tcPr>
            <w:tcW w:w="1189" w:type="dxa"/>
            <w:vAlign w:val="center"/>
          </w:tcPr>
          <w:p>
            <w:pPr>
              <w:jc w:val="center"/>
              <w:rPr>
                <w:sz w:val="21"/>
                <w:szCs w:val="21"/>
              </w:rPr>
            </w:pPr>
            <w:r>
              <w:rPr>
                <w:rFonts w:hint="eastAsia"/>
                <w:sz w:val="21"/>
                <w:szCs w:val="21"/>
              </w:rPr>
              <w:t>提供有效</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13" w:type="dxa"/>
            <w:vAlign w:val="center"/>
          </w:tcPr>
          <w:p>
            <w:pPr>
              <w:pStyle w:val="17"/>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896" w:type="dxa"/>
            <w:vAlign w:val="center"/>
          </w:tcPr>
          <w:p>
            <w:pPr>
              <w:jc w:val="center"/>
              <w:rPr>
                <w:sz w:val="21"/>
                <w:szCs w:val="21"/>
              </w:rPr>
            </w:pPr>
            <w:r>
              <w:rPr>
                <w:rFonts w:hint="eastAsia"/>
                <w:sz w:val="21"/>
                <w:szCs w:val="21"/>
              </w:rPr>
              <w:t>社会保障资金缴纳证明</w:t>
            </w:r>
          </w:p>
        </w:tc>
        <w:tc>
          <w:tcPr>
            <w:tcW w:w="5116" w:type="dxa"/>
            <w:vAlign w:val="center"/>
          </w:tcPr>
          <w:p>
            <w:pPr>
              <w:rPr>
                <w:sz w:val="21"/>
                <w:szCs w:val="21"/>
              </w:rPr>
            </w:pPr>
            <w:r>
              <w:rPr>
                <w:rFonts w:hint="eastAsia"/>
                <w:sz w:val="21"/>
                <w:szCs w:val="21"/>
              </w:rPr>
              <w:t>提供截标日期前六个月内任意一个月的社会保障资金缴存单据或社保机构开具的社会保险参保缴费情况证明（注：依法不需要缴纳社会保障资金的投标人应提供相关文件证明；若为新成立企业可提供相应月度的社会保险缴纳证明）；</w:t>
            </w:r>
          </w:p>
        </w:tc>
        <w:tc>
          <w:tcPr>
            <w:tcW w:w="1189" w:type="dxa"/>
            <w:vAlign w:val="center"/>
          </w:tcPr>
          <w:p>
            <w:pPr>
              <w:jc w:val="center"/>
              <w:rPr>
                <w:sz w:val="21"/>
                <w:szCs w:val="21"/>
              </w:rPr>
            </w:pPr>
            <w:r>
              <w:rPr>
                <w:rFonts w:hint="eastAsia"/>
                <w:sz w:val="21"/>
                <w:szCs w:val="21"/>
              </w:rPr>
              <w:t>提供有效</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13" w:type="dxa"/>
            <w:vAlign w:val="center"/>
          </w:tcPr>
          <w:p>
            <w:pPr>
              <w:pStyle w:val="17"/>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5</w:t>
            </w:r>
          </w:p>
        </w:tc>
        <w:tc>
          <w:tcPr>
            <w:tcW w:w="1896" w:type="dxa"/>
            <w:vAlign w:val="center"/>
          </w:tcPr>
          <w:p>
            <w:pPr>
              <w:jc w:val="center"/>
              <w:rPr>
                <w:rFonts w:hint="default" w:eastAsia="宋体"/>
                <w:sz w:val="21"/>
                <w:szCs w:val="21"/>
                <w:lang w:val="en-US" w:eastAsia="zh-CN"/>
              </w:rPr>
            </w:pPr>
            <w:r>
              <w:rPr>
                <w:rFonts w:hint="eastAsia"/>
                <w:sz w:val="21"/>
                <w:szCs w:val="21"/>
              </w:rPr>
              <w:t>许可证</w:t>
            </w:r>
            <w:r>
              <w:rPr>
                <w:rFonts w:hint="eastAsia"/>
                <w:sz w:val="21"/>
                <w:szCs w:val="21"/>
                <w:lang w:val="en-US" w:eastAsia="zh-CN"/>
              </w:rPr>
              <w:t>或备案凭证</w:t>
            </w:r>
          </w:p>
        </w:tc>
        <w:tc>
          <w:tcPr>
            <w:tcW w:w="5116" w:type="dxa"/>
            <w:vAlign w:val="center"/>
          </w:tcPr>
          <w:p>
            <w:pPr>
              <w:rPr>
                <w:rFonts w:hint="eastAsia"/>
                <w:sz w:val="21"/>
                <w:szCs w:val="21"/>
              </w:rPr>
            </w:pPr>
            <w:r>
              <w:rPr>
                <w:rFonts w:hint="eastAsia"/>
                <w:sz w:val="21"/>
                <w:szCs w:val="21"/>
              </w:rPr>
              <w:t>投标人为代理商的应出具医疗器械经营许可证（或医疗器械经营备案凭证）和制造厂商的医疗器械生产许可证（或医疗器械生产备案凭证）；投标人为制造厂商的应出具医疗器械生产许可证（或医疗器械生产备案凭证）</w:t>
            </w:r>
          </w:p>
        </w:tc>
        <w:tc>
          <w:tcPr>
            <w:tcW w:w="1189" w:type="dxa"/>
            <w:vAlign w:val="center"/>
          </w:tcPr>
          <w:p>
            <w:pPr>
              <w:jc w:val="center"/>
              <w:rPr>
                <w:sz w:val="21"/>
                <w:szCs w:val="21"/>
              </w:rPr>
            </w:pPr>
            <w:r>
              <w:rPr>
                <w:rFonts w:hint="eastAsia"/>
                <w:sz w:val="21"/>
                <w:szCs w:val="21"/>
              </w:rPr>
              <w:t>提供有效</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13" w:type="dxa"/>
            <w:vAlign w:val="center"/>
          </w:tcPr>
          <w:p>
            <w:pPr>
              <w:pStyle w:val="17"/>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6</w:t>
            </w:r>
          </w:p>
        </w:tc>
        <w:tc>
          <w:tcPr>
            <w:tcW w:w="1896" w:type="dxa"/>
            <w:vAlign w:val="center"/>
          </w:tcPr>
          <w:p>
            <w:pPr>
              <w:jc w:val="center"/>
              <w:rPr>
                <w:rFonts w:hint="eastAsia" w:eastAsia="宋体"/>
                <w:sz w:val="21"/>
                <w:szCs w:val="21"/>
                <w:lang w:val="en-US" w:eastAsia="zh-CN"/>
              </w:rPr>
            </w:pPr>
            <w:r>
              <w:rPr>
                <w:rFonts w:hint="eastAsia"/>
                <w:sz w:val="21"/>
                <w:szCs w:val="21"/>
                <w:lang w:val="en-US" w:eastAsia="zh-CN"/>
              </w:rPr>
              <w:t>注册证</w:t>
            </w:r>
          </w:p>
        </w:tc>
        <w:tc>
          <w:tcPr>
            <w:tcW w:w="5116" w:type="dxa"/>
            <w:vAlign w:val="center"/>
          </w:tcPr>
          <w:p>
            <w:pPr>
              <w:rPr>
                <w:rFonts w:hint="eastAsia"/>
                <w:sz w:val="21"/>
                <w:szCs w:val="21"/>
              </w:rPr>
            </w:pPr>
            <w:r>
              <w:rPr>
                <w:rFonts w:hint="eastAsia"/>
                <w:sz w:val="21"/>
                <w:szCs w:val="21"/>
              </w:rPr>
              <w:t>所投产品属于医疗器械分类的须提供《医疗器械产品注册证》</w:t>
            </w:r>
          </w:p>
        </w:tc>
        <w:tc>
          <w:tcPr>
            <w:tcW w:w="1189" w:type="dxa"/>
            <w:vAlign w:val="center"/>
          </w:tcPr>
          <w:p>
            <w:pPr>
              <w:jc w:val="center"/>
              <w:rPr>
                <w:sz w:val="21"/>
                <w:szCs w:val="21"/>
              </w:rPr>
            </w:pPr>
            <w:r>
              <w:rPr>
                <w:rFonts w:hint="eastAsia"/>
                <w:sz w:val="21"/>
                <w:szCs w:val="21"/>
              </w:rPr>
              <w:t>提供有效</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613" w:type="dxa"/>
            <w:vAlign w:val="center"/>
          </w:tcPr>
          <w:p>
            <w:pPr>
              <w:pStyle w:val="17"/>
              <w:rPr>
                <w:rFonts w:hint="eastAsia" w:asciiTheme="minorEastAsia" w:hAnsiTheme="minorEastAsia" w:eastAsiaTheme="minorEastAsia"/>
                <w:sz w:val="21"/>
                <w:szCs w:val="21"/>
                <w:lang w:eastAsia="zh-CN"/>
              </w:rPr>
            </w:pPr>
            <w:r>
              <w:rPr>
                <w:rFonts w:hint="eastAsia" w:ascii="宋体" w:hAnsi="宋体" w:eastAsiaTheme="minorEastAsia"/>
                <w:sz w:val="21"/>
                <w:szCs w:val="21"/>
                <w:lang w:val="en-US" w:eastAsia="zh-CN"/>
              </w:rPr>
              <w:t>7</w:t>
            </w:r>
          </w:p>
        </w:tc>
        <w:tc>
          <w:tcPr>
            <w:tcW w:w="1896" w:type="dxa"/>
            <w:vAlign w:val="center"/>
          </w:tcPr>
          <w:p>
            <w:pPr>
              <w:jc w:val="center"/>
              <w:rPr>
                <w:sz w:val="21"/>
                <w:szCs w:val="21"/>
              </w:rPr>
            </w:pPr>
            <w:r>
              <w:rPr>
                <w:rFonts w:hint="eastAsia"/>
                <w:sz w:val="21"/>
                <w:szCs w:val="21"/>
              </w:rPr>
              <w:t>无重大违法</w:t>
            </w:r>
          </w:p>
          <w:p>
            <w:pPr>
              <w:jc w:val="center"/>
              <w:rPr>
                <w:sz w:val="21"/>
                <w:szCs w:val="21"/>
              </w:rPr>
            </w:pPr>
            <w:r>
              <w:rPr>
                <w:rFonts w:hint="eastAsia"/>
                <w:sz w:val="21"/>
                <w:szCs w:val="21"/>
              </w:rPr>
              <w:t>记录声明</w:t>
            </w:r>
          </w:p>
        </w:tc>
        <w:tc>
          <w:tcPr>
            <w:tcW w:w="5116" w:type="dxa"/>
            <w:vAlign w:val="center"/>
          </w:tcPr>
          <w:p>
            <w:pPr>
              <w:rPr>
                <w:rFonts w:ascii="宋体" w:hAnsi="宋体"/>
                <w:sz w:val="21"/>
                <w:szCs w:val="21"/>
              </w:rPr>
            </w:pPr>
            <w:r>
              <w:rPr>
                <w:rFonts w:hint="eastAsia" w:ascii="宋体" w:hAnsi="宋体"/>
                <w:sz w:val="21"/>
                <w:szCs w:val="21"/>
              </w:rPr>
              <w:t>投标人应具备良好的商业信誉，提供参加政府采购活动前3年内在经营活动中没有重大违法记录的书面声明；</w:t>
            </w:r>
            <w:r>
              <w:rPr>
                <w:rFonts w:ascii="宋体" w:hAnsi="宋体"/>
                <w:sz w:val="21"/>
                <w:szCs w:val="21"/>
              </w:rPr>
              <w:t xml:space="preserve"> </w:t>
            </w:r>
          </w:p>
        </w:tc>
        <w:tc>
          <w:tcPr>
            <w:tcW w:w="1189" w:type="dxa"/>
            <w:vAlign w:val="center"/>
          </w:tcPr>
          <w:p>
            <w:pPr>
              <w:jc w:val="center"/>
              <w:rPr>
                <w:sz w:val="21"/>
                <w:szCs w:val="21"/>
              </w:rPr>
            </w:pPr>
            <w:r>
              <w:rPr>
                <w:rFonts w:hint="eastAsia"/>
                <w:sz w:val="21"/>
                <w:szCs w:val="21"/>
              </w:rPr>
              <w:t>提供有效</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613" w:type="dxa"/>
            <w:vAlign w:val="center"/>
          </w:tcPr>
          <w:p>
            <w:pPr>
              <w:pStyle w:val="17"/>
              <w:rPr>
                <w:rFonts w:hint="eastAsia" w:ascii="宋体" w:hAnsi="宋体" w:eastAsia="宋体"/>
                <w:sz w:val="21"/>
                <w:szCs w:val="21"/>
                <w:lang w:eastAsia="zh-CN"/>
              </w:rPr>
            </w:pPr>
            <w:r>
              <w:rPr>
                <w:rFonts w:hint="eastAsia" w:ascii="宋体" w:hAnsi="宋体"/>
                <w:sz w:val="21"/>
                <w:szCs w:val="21"/>
                <w:lang w:val="en-US" w:eastAsia="zh-CN"/>
              </w:rPr>
              <w:t>8</w:t>
            </w:r>
          </w:p>
        </w:tc>
        <w:tc>
          <w:tcPr>
            <w:tcW w:w="1896" w:type="dxa"/>
            <w:vAlign w:val="center"/>
          </w:tcPr>
          <w:p>
            <w:pPr>
              <w:jc w:val="center"/>
              <w:rPr>
                <w:rFonts w:ascii="宋体" w:hAnsi="宋体"/>
                <w:sz w:val="21"/>
                <w:szCs w:val="21"/>
              </w:rPr>
            </w:pPr>
            <w:r>
              <w:rPr>
                <w:rFonts w:hint="eastAsia"/>
                <w:sz w:val="21"/>
                <w:szCs w:val="21"/>
              </w:rPr>
              <w:t>设备、技术能力书面声明</w:t>
            </w:r>
          </w:p>
        </w:tc>
        <w:tc>
          <w:tcPr>
            <w:tcW w:w="5116" w:type="dxa"/>
            <w:vAlign w:val="center"/>
          </w:tcPr>
          <w:p>
            <w:pPr>
              <w:spacing w:line="276" w:lineRule="auto"/>
              <w:rPr>
                <w:rFonts w:ascii="宋体" w:hAnsi="宋体"/>
                <w:sz w:val="21"/>
                <w:szCs w:val="21"/>
              </w:rPr>
            </w:pPr>
            <w:r>
              <w:rPr>
                <w:rFonts w:hint="eastAsia"/>
                <w:sz w:val="21"/>
                <w:szCs w:val="21"/>
              </w:rPr>
              <w:t>投标人须提供具有履行合同所必需的设备和专业技术能力的承诺函；</w:t>
            </w:r>
            <w:r>
              <w:rPr>
                <w:rFonts w:ascii="宋体" w:hAnsi="宋体"/>
                <w:sz w:val="21"/>
                <w:szCs w:val="21"/>
              </w:rPr>
              <w:t xml:space="preserve"> </w:t>
            </w:r>
          </w:p>
        </w:tc>
        <w:tc>
          <w:tcPr>
            <w:tcW w:w="1189" w:type="dxa"/>
            <w:vAlign w:val="center"/>
          </w:tcPr>
          <w:p>
            <w:pPr>
              <w:jc w:val="center"/>
              <w:rPr>
                <w:sz w:val="21"/>
                <w:szCs w:val="21"/>
              </w:rPr>
            </w:pPr>
            <w:r>
              <w:rPr>
                <w:rFonts w:hint="eastAsia"/>
                <w:sz w:val="21"/>
                <w:szCs w:val="21"/>
              </w:rPr>
              <w:t>提供有效</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13" w:type="dxa"/>
            <w:vAlign w:val="center"/>
          </w:tcPr>
          <w:p>
            <w:pPr>
              <w:pStyle w:val="17"/>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9</w:t>
            </w:r>
          </w:p>
        </w:tc>
        <w:tc>
          <w:tcPr>
            <w:tcW w:w="1896" w:type="dxa"/>
            <w:vAlign w:val="center"/>
          </w:tcPr>
          <w:p>
            <w:pPr>
              <w:jc w:val="center"/>
              <w:rPr>
                <w:sz w:val="21"/>
                <w:szCs w:val="21"/>
              </w:rPr>
            </w:pPr>
            <w:r>
              <w:rPr>
                <w:rFonts w:hint="eastAsia"/>
                <w:sz w:val="21"/>
                <w:szCs w:val="21"/>
              </w:rPr>
              <w:t>书面声明</w:t>
            </w:r>
          </w:p>
        </w:tc>
        <w:tc>
          <w:tcPr>
            <w:tcW w:w="5116" w:type="dxa"/>
            <w:vAlign w:val="center"/>
          </w:tcPr>
          <w:p>
            <w:pPr>
              <w:spacing w:line="276" w:lineRule="auto"/>
              <w:jc w:val="left"/>
              <w:rPr>
                <w:sz w:val="21"/>
                <w:szCs w:val="21"/>
              </w:rPr>
            </w:pPr>
            <w:r>
              <w:rPr>
                <w:rFonts w:hint="eastAsia" w:asciiTheme="minorEastAsia" w:hAnsiTheme="minorEastAsia" w:eastAsiaTheme="minorEastAsia"/>
                <w:sz w:val="21"/>
                <w:szCs w:val="21"/>
              </w:rPr>
              <w:t>提供了投标供应商未为本项目提供整体设计、规范编制或者项目管理、监理、检测等服务的书面声明函；</w:t>
            </w:r>
          </w:p>
        </w:tc>
        <w:tc>
          <w:tcPr>
            <w:tcW w:w="1189" w:type="dxa"/>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未被列入失信</w:t>
            </w:r>
            <w:r>
              <w:rPr>
                <w:rFonts w:hint="eastAsia" w:asciiTheme="minorEastAsia" w:hAnsiTheme="minorEastAsia" w:eastAsiaTheme="minorEastAsia"/>
                <w:sz w:val="21"/>
                <w:szCs w:val="21"/>
              </w:rPr>
              <w:t>、违法名单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13" w:type="dxa"/>
            <w:vAlign w:val="center"/>
          </w:tcPr>
          <w:p>
            <w:pPr>
              <w:pStyle w:val="17"/>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10</w:t>
            </w:r>
          </w:p>
        </w:tc>
        <w:tc>
          <w:tcPr>
            <w:tcW w:w="1896" w:type="dxa"/>
            <w:vAlign w:val="center"/>
          </w:tcPr>
          <w:p>
            <w:pPr>
              <w:jc w:val="center"/>
              <w:rPr>
                <w:sz w:val="21"/>
                <w:szCs w:val="21"/>
              </w:rPr>
            </w:pPr>
            <w:r>
              <w:rPr>
                <w:rFonts w:hint="eastAsia"/>
                <w:sz w:val="21"/>
                <w:szCs w:val="21"/>
              </w:rPr>
              <w:t>企业关系关联</w:t>
            </w:r>
          </w:p>
          <w:p>
            <w:pPr>
              <w:jc w:val="center"/>
              <w:rPr>
                <w:sz w:val="21"/>
                <w:szCs w:val="21"/>
              </w:rPr>
            </w:pPr>
            <w:r>
              <w:rPr>
                <w:rFonts w:hint="eastAsia"/>
                <w:sz w:val="21"/>
                <w:szCs w:val="21"/>
              </w:rPr>
              <w:t>书面声明</w:t>
            </w:r>
          </w:p>
        </w:tc>
        <w:tc>
          <w:tcPr>
            <w:tcW w:w="5116" w:type="dxa"/>
            <w:vAlign w:val="center"/>
          </w:tcPr>
          <w:p>
            <w:pPr>
              <w:spacing w:line="276" w:lineRule="auto"/>
              <w:rPr>
                <w:sz w:val="21"/>
                <w:szCs w:val="21"/>
              </w:rPr>
            </w:pPr>
            <w:r>
              <w:rPr>
                <w:rFonts w:hint="eastAsia"/>
                <w:sz w:val="21"/>
                <w:szCs w:val="21"/>
                <w:lang w:eastAsia="zh-CN"/>
              </w:rPr>
              <w:t>提供了法人代表、控股股东、控股企业及管理、被管理单位情况声明且各投标供应商之间不存在单位负责人为同一人或者存在控股、管理关系情形的书面声明</w:t>
            </w:r>
          </w:p>
        </w:tc>
        <w:tc>
          <w:tcPr>
            <w:tcW w:w="118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提供有效</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13" w:type="dxa"/>
            <w:vAlign w:val="center"/>
          </w:tcPr>
          <w:p>
            <w:pPr>
              <w:pStyle w:val="17"/>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11</w:t>
            </w:r>
          </w:p>
        </w:tc>
        <w:tc>
          <w:tcPr>
            <w:tcW w:w="1896" w:type="dxa"/>
            <w:vAlign w:val="center"/>
          </w:tcPr>
          <w:p>
            <w:pPr>
              <w:jc w:val="center"/>
              <w:rPr>
                <w:rFonts w:ascii="宋体" w:hAnsi="宋体" w:cs="新宋体"/>
                <w:b/>
                <w:sz w:val="21"/>
                <w:szCs w:val="21"/>
              </w:rPr>
            </w:pPr>
            <w:r>
              <w:rPr>
                <w:rFonts w:hint="eastAsia" w:asciiTheme="minorEastAsia" w:hAnsiTheme="minorEastAsia" w:eastAsiaTheme="minorEastAsia" w:cstheme="minorHAnsi"/>
                <w:bCs/>
                <w:sz w:val="21"/>
                <w:szCs w:val="21"/>
              </w:rPr>
              <w:t>法定代表人（负责人）委托授权书</w:t>
            </w:r>
            <w:r>
              <w:rPr>
                <w:rFonts w:asciiTheme="minorEastAsia" w:hAnsiTheme="minorEastAsia" w:eastAsiaTheme="minorEastAsia" w:cstheme="minorHAnsi"/>
                <w:bCs/>
                <w:sz w:val="21"/>
                <w:szCs w:val="21"/>
              </w:rPr>
              <w:t>\身份证明</w:t>
            </w:r>
          </w:p>
        </w:tc>
        <w:tc>
          <w:tcPr>
            <w:tcW w:w="5116" w:type="dxa"/>
            <w:vAlign w:val="center"/>
          </w:tcPr>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法定代表人参加投标的，须出具法定代表人身份证原件。法定代表人授权委托代理人参加投标的，须出具法定代表人授权委托书及被授权人身份证复印件；</w:t>
            </w:r>
          </w:p>
        </w:tc>
        <w:tc>
          <w:tcPr>
            <w:tcW w:w="1189"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提供有效</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613" w:type="dxa"/>
            <w:vAlign w:val="center"/>
          </w:tcPr>
          <w:p>
            <w:pPr>
              <w:pStyle w:val="17"/>
              <w:rPr>
                <w:rFonts w:hint="eastAsia" w:asciiTheme="minorEastAsia" w:hAnsiTheme="minorEastAsia" w:eastAsiaTheme="minorEastAsia"/>
                <w:sz w:val="21"/>
                <w:szCs w:val="21"/>
                <w:lang w:eastAsia="zh-CN"/>
              </w:rPr>
            </w:pPr>
            <w:r>
              <w:rPr>
                <w:rFonts w:hint="eastAsia" w:cs="Times New Roman" w:asciiTheme="minorEastAsia" w:hAnsiTheme="minorEastAsia" w:eastAsiaTheme="minorEastAsia"/>
                <w:color w:val="000000"/>
                <w:sz w:val="21"/>
                <w:szCs w:val="21"/>
              </w:rPr>
              <w:t>1</w:t>
            </w:r>
            <w:r>
              <w:rPr>
                <w:rFonts w:hint="eastAsia" w:cs="Times New Roman" w:asciiTheme="minorEastAsia" w:hAnsiTheme="minorEastAsia" w:eastAsiaTheme="minorEastAsia"/>
                <w:color w:val="000000"/>
                <w:sz w:val="21"/>
                <w:szCs w:val="21"/>
                <w:lang w:val="en-US" w:eastAsia="zh-CN"/>
              </w:rPr>
              <w:t>2</w:t>
            </w:r>
          </w:p>
        </w:tc>
        <w:tc>
          <w:tcPr>
            <w:tcW w:w="1896" w:type="dxa"/>
            <w:vAlign w:val="center"/>
          </w:tcPr>
          <w:p>
            <w:pPr>
              <w:pStyle w:val="17"/>
              <w:rPr>
                <w:rFonts w:cs="仿宋_GB2312" w:asciiTheme="minorEastAsia" w:hAnsiTheme="minorEastAsia" w:eastAsiaTheme="minorEastAsia"/>
                <w:color w:val="000000"/>
                <w:sz w:val="21"/>
                <w:szCs w:val="21"/>
              </w:rPr>
            </w:pPr>
            <w:r>
              <w:rPr>
                <w:rFonts w:ascii="Calibri" w:hAnsi="宋体" w:cstheme="minorHAnsi"/>
                <w:bCs/>
                <w:sz w:val="21"/>
                <w:szCs w:val="21"/>
              </w:rPr>
              <w:t>信用记录审查</w:t>
            </w:r>
          </w:p>
        </w:tc>
        <w:tc>
          <w:tcPr>
            <w:tcW w:w="5116" w:type="dxa"/>
            <w:vAlign w:val="center"/>
          </w:tcPr>
          <w:p>
            <w:pPr>
              <w:pStyle w:val="17"/>
              <w:spacing w:line="276" w:lineRule="auto"/>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供应商不得被“信用中国”（www.creditchina.gov.cn）列入重大税收违法失信主体；不得被“中国执行信息公开网”（zxgk.court.gov.cn）列入失信被执行人名单；不得被“中国政府采购网”（www.ccgp.gov.cn）列入政府采购严重违法失信行为记录名单。</w:t>
            </w:r>
          </w:p>
        </w:tc>
        <w:tc>
          <w:tcPr>
            <w:tcW w:w="1189" w:type="dxa"/>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提供有效</w:t>
            </w:r>
          </w:p>
          <w:p>
            <w:pPr>
              <w:pStyle w:val="17"/>
              <w:spacing w:line="276" w:lineRule="auto"/>
              <w:rPr>
                <w:rFonts w:cs="仿宋_GB2312" w:asciiTheme="minorEastAsia" w:hAnsiTheme="minorEastAsia" w:eastAsiaTheme="minorEastAsia"/>
                <w:color w:val="000000"/>
                <w:sz w:val="21"/>
                <w:szCs w:val="21"/>
              </w:rPr>
            </w:pPr>
            <w:r>
              <w:rPr>
                <w:rFonts w:asciiTheme="minorEastAsia" w:hAnsiTheme="minorEastAsia" w:eastAsiaTheme="minorEastAsia"/>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3" w:type="dxa"/>
            <w:vAlign w:val="center"/>
          </w:tcPr>
          <w:p>
            <w:pPr>
              <w:pStyle w:val="17"/>
              <w:jc w:val="left"/>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说明</w:t>
            </w:r>
          </w:p>
        </w:tc>
        <w:tc>
          <w:tcPr>
            <w:tcW w:w="8201" w:type="dxa"/>
            <w:gridSpan w:val="3"/>
            <w:vAlign w:val="center"/>
          </w:tcPr>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1）投标供应商必须完全提供以上资格证明文件，一项不合格即按照无效投标处理。除注明原件外，均为复印件</w:t>
            </w:r>
            <w:r>
              <w:rPr>
                <w:rFonts w:hint="eastAsia" w:asciiTheme="minorEastAsia" w:hAnsiTheme="minorEastAsia" w:eastAsiaTheme="minorEastAsia"/>
                <w:sz w:val="21"/>
                <w:szCs w:val="21"/>
                <w:lang w:val="en-US" w:eastAsia="zh-CN"/>
              </w:rPr>
              <w:t>或扫描件</w:t>
            </w:r>
            <w:r>
              <w:rPr>
                <w:rFonts w:hint="eastAsia" w:asciiTheme="minorEastAsia" w:hAnsiTheme="minorEastAsia" w:eastAsiaTheme="minorEastAsia"/>
                <w:sz w:val="21"/>
                <w:szCs w:val="21"/>
              </w:rPr>
              <w:t>并须加盖投标供应商公章。</w:t>
            </w:r>
          </w:p>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）除银行、保险、石油石化、电力、电信行业外，其他行业分支机构在参与投标时，须同时提供分支机构主体资格证明文件和总公司（总所）出具的授权书，总公司（总所）只能授权一家分支机构。</w:t>
            </w:r>
          </w:p>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tc>
      </w:tr>
    </w:tbl>
    <w:p>
      <w:pPr>
        <w:widowControl/>
        <w:autoSpaceDE w:val="0"/>
        <w:autoSpaceDN w:val="0"/>
        <w:spacing w:after="240" w:afterLines="100" w:line="500" w:lineRule="exact"/>
        <w:ind w:right="53"/>
        <w:jc w:val="left"/>
        <w:textAlignment w:val="bottom"/>
        <w:rPr>
          <w:rFonts w:ascii="宋体" w:hAnsi="宋体"/>
          <w:b/>
          <w:bCs/>
          <w:sz w:val="24"/>
        </w:rPr>
      </w:pPr>
    </w:p>
    <w:p>
      <w:pPr>
        <w:pStyle w:val="17"/>
      </w:pPr>
    </w:p>
    <w:p/>
    <w:p>
      <w:pPr>
        <w:pStyle w:val="17"/>
      </w:pPr>
    </w:p>
    <w:p/>
    <w:p>
      <w:pPr>
        <w:pStyle w:val="17"/>
      </w:pPr>
    </w:p>
    <w:p/>
    <w:p>
      <w:pPr>
        <w:pStyle w:val="17"/>
      </w:pPr>
    </w:p>
    <w:p/>
    <w:p>
      <w:pPr>
        <w:pStyle w:val="17"/>
      </w:pPr>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widowControl/>
        <w:autoSpaceDE w:val="0"/>
        <w:autoSpaceDN w:val="0"/>
        <w:spacing w:after="240" w:afterLines="100" w:line="500" w:lineRule="exact"/>
        <w:ind w:right="53"/>
        <w:jc w:val="left"/>
        <w:textAlignment w:val="bottom"/>
        <w:rPr>
          <w:rFonts w:ascii="宋体" w:hAnsi="宋体"/>
          <w:b/>
          <w:bCs/>
          <w:sz w:val="24"/>
        </w:rPr>
      </w:pPr>
    </w:p>
    <w:p>
      <w:pPr>
        <w:widowControl/>
        <w:autoSpaceDE w:val="0"/>
        <w:autoSpaceDN w:val="0"/>
        <w:spacing w:line="500" w:lineRule="exact"/>
        <w:ind w:right="53"/>
        <w:textAlignment w:val="bottom"/>
        <w:rPr>
          <w:rFonts w:hint="eastAsia" w:ascii="宋体" w:hAnsi="宋体"/>
          <w:b/>
          <w:bCs/>
          <w:sz w:val="24"/>
        </w:rPr>
      </w:pPr>
    </w:p>
    <w:p>
      <w:pPr>
        <w:widowControl/>
        <w:autoSpaceDE w:val="0"/>
        <w:autoSpaceDN w:val="0"/>
        <w:spacing w:line="500" w:lineRule="exact"/>
        <w:ind w:right="53"/>
        <w:textAlignment w:val="bottom"/>
        <w:rPr>
          <w:rFonts w:hint="eastAsia" w:ascii="宋体" w:hAnsi="宋体"/>
          <w:b/>
          <w:bCs/>
          <w:sz w:val="24"/>
        </w:rPr>
      </w:pPr>
    </w:p>
    <w:p>
      <w:pPr>
        <w:widowControl/>
        <w:autoSpaceDE w:val="0"/>
        <w:autoSpaceDN w:val="0"/>
        <w:spacing w:line="500" w:lineRule="exact"/>
        <w:ind w:right="53"/>
        <w:textAlignment w:val="bottom"/>
        <w:rPr>
          <w:rFonts w:hint="eastAsia" w:ascii="宋体" w:hAnsi="宋体"/>
          <w:b/>
          <w:bCs/>
          <w:sz w:val="24"/>
        </w:rPr>
      </w:pPr>
    </w:p>
    <w:p>
      <w:pPr>
        <w:widowControl/>
        <w:autoSpaceDE w:val="0"/>
        <w:autoSpaceDN w:val="0"/>
        <w:spacing w:line="500" w:lineRule="exact"/>
        <w:ind w:right="53"/>
        <w:textAlignment w:val="bottom"/>
        <w:rPr>
          <w:rFonts w:hint="eastAsia" w:ascii="宋体" w:hAnsi="宋体"/>
          <w:b/>
          <w:bCs/>
          <w:sz w:val="24"/>
        </w:rPr>
      </w:pPr>
    </w:p>
    <w:p>
      <w:pPr>
        <w:pStyle w:val="2"/>
        <w:rPr>
          <w:rFonts w:hint="eastAsia" w:ascii="宋体" w:hAnsi="宋体"/>
          <w:b/>
          <w:bCs/>
          <w:sz w:val="24"/>
        </w:rPr>
      </w:pPr>
    </w:p>
    <w:p>
      <w:pPr>
        <w:pStyle w:val="2"/>
        <w:rPr>
          <w:rFonts w:hint="eastAsia" w:ascii="宋体" w:hAnsi="宋体"/>
          <w:b/>
          <w:bCs/>
          <w:sz w:val="24"/>
        </w:rPr>
      </w:pPr>
    </w:p>
    <w:p>
      <w:pPr>
        <w:pStyle w:val="2"/>
        <w:rPr>
          <w:rFonts w:hint="eastAsia" w:ascii="宋体" w:hAnsi="宋体"/>
          <w:b/>
          <w:bCs/>
          <w:sz w:val="24"/>
        </w:rPr>
      </w:pPr>
    </w:p>
    <w:p>
      <w:pPr>
        <w:widowControl/>
        <w:autoSpaceDE w:val="0"/>
        <w:autoSpaceDN w:val="0"/>
        <w:spacing w:line="500" w:lineRule="exact"/>
        <w:ind w:right="53"/>
        <w:textAlignment w:val="bottom"/>
        <w:rPr>
          <w:rFonts w:ascii="宋体" w:hAnsi="宋体"/>
          <w:b/>
          <w:bCs/>
          <w:sz w:val="24"/>
        </w:rPr>
      </w:pPr>
      <w:r>
        <w:rPr>
          <w:rFonts w:hint="eastAsia" w:ascii="宋体" w:hAnsi="宋体"/>
          <w:b/>
          <w:bCs/>
          <w:sz w:val="24"/>
        </w:rPr>
        <w:t>附件二：符合性审查表</w:t>
      </w:r>
    </w:p>
    <w:tbl>
      <w:tblPr>
        <w:tblStyle w:val="41"/>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2126"/>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9" w:type="dxa"/>
            <w:vAlign w:val="center"/>
          </w:tcPr>
          <w:p>
            <w:pPr>
              <w:jc w:val="center"/>
              <w:rPr>
                <w:rFonts w:ascii="宋体" w:hAnsi="宋体"/>
              </w:rPr>
            </w:pPr>
            <w:r>
              <w:rPr>
                <w:rFonts w:hint="eastAsia" w:ascii="宋体" w:hAnsi="宋体" w:cs="新宋体"/>
                <w:b/>
                <w:bCs/>
                <w:szCs w:val="21"/>
              </w:rPr>
              <w:t>序号</w:t>
            </w:r>
          </w:p>
        </w:tc>
        <w:tc>
          <w:tcPr>
            <w:tcW w:w="2126" w:type="dxa"/>
            <w:vAlign w:val="center"/>
          </w:tcPr>
          <w:p>
            <w:pPr>
              <w:jc w:val="center"/>
              <w:rPr>
                <w:rFonts w:ascii="宋体" w:hAnsi="宋体"/>
              </w:rPr>
            </w:pPr>
            <w:r>
              <w:rPr>
                <w:rFonts w:hint="eastAsia" w:ascii="宋体" w:hAnsi="宋体" w:cs="仿宋_GB2312"/>
                <w:b/>
                <w:caps/>
                <w:color w:val="000000"/>
                <w:szCs w:val="21"/>
              </w:rPr>
              <w:t>符合性审查项目</w:t>
            </w:r>
          </w:p>
        </w:tc>
        <w:tc>
          <w:tcPr>
            <w:tcW w:w="6341" w:type="dxa"/>
            <w:vAlign w:val="center"/>
          </w:tcPr>
          <w:p>
            <w:pPr>
              <w:jc w:val="center"/>
              <w:rPr>
                <w:rFonts w:ascii="宋体" w:hAnsi="宋体"/>
              </w:rPr>
            </w:pPr>
            <w:r>
              <w:rPr>
                <w:rFonts w:hint="eastAsia" w:ascii="宋体" w:hAnsi="宋体" w:cs="仿宋_GB2312"/>
                <w:b/>
                <w:caps/>
                <w:color w:val="000000"/>
                <w:szCs w:val="21"/>
              </w:rPr>
              <w:t>评审合格标准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29"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color w:val="000000"/>
                <w:szCs w:val="21"/>
              </w:rPr>
              <w:t>1</w:t>
            </w:r>
          </w:p>
        </w:tc>
        <w:tc>
          <w:tcPr>
            <w:tcW w:w="2126" w:type="dxa"/>
            <w:vAlign w:val="center"/>
          </w:tcPr>
          <w:p>
            <w:pPr>
              <w:tabs>
                <w:tab w:val="left" w:pos="1260"/>
                <w:tab w:val="left" w:pos="1620"/>
              </w:tabs>
              <w:adjustRightInd w:val="0"/>
              <w:snapToGrid w:val="0"/>
              <w:spacing w:line="276" w:lineRule="auto"/>
              <w:jc w:val="center"/>
              <w:textAlignment w:val="baseline"/>
              <w:rPr>
                <w:rFonts w:ascii="宋体" w:hAnsi="宋体" w:cs="仿宋_GB2312"/>
                <w:color w:val="000000"/>
                <w:szCs w:val="21"/>
              </w:rPr>
            </w:pPr>
            <w:r>
              <w:rPr>
                <w:rFonts w:ascii="Calibri" w:hAnsi="宋体" w:cstheme="minorHAnsi"/>
                <w:bCs/>
                <w:szCs w:val="21"/>
              </w:rPr>
              <w:t>与项目的一致性</w:t>
            </w:r>
          </w:p>
        </w:tc>
        <w:tc>
          <w:tcPr>
            <w:tcW w:w="6341" w:type="dxa"/>
            <w:vAlign w:val="center"/>
          </w:tcPr>
          <w:p>
            <w:pPr>
              <w:spacing w:line="320" w:lineRule="exact"/>
              <w:rPr>
                <w:rFonts w:hint="eastAsia" w:ascii="宋体" w:hAnsi="宋体" w:eastAsia="宋体" w:cs="仿宋_GB2312"/>
                <w:color w:val="000000"/>
                <w:szCs w:val="21"/>
                <w:lang w:eastAsia="zh-CN"/>
              </w:rPr>
            </w:pPr>
            <w:r>
              <w:rPr>
                <w:rFonts w:hint="eastAsia" w:ascii="宋体" w:hAnsi="宋体" w:cs="仿宋_GB2312"/>
                <w:color w:val="000000"/>
                <w:szCs w:val="21"/>
                <w:lang w:val="en-US" w:eastAsia="zh-CN"/>
              </w:rPr>
              <w:t>投标供应商名称应与营业执照等有效证照一致，投标文件体现的</w:t>
            </w:r>
            <w:r>
              <w:rPr>
                <w:rFonts w:ascii="宋体" w:hAnsi="宋体" w:cs="仿宋_GB2312"/>
                <w:color w:val="000000"/>
                <w:szCs w:val="21"/>
              </w:rPr>
              <w:t>项目名称、项目编号与本项目完全一致</w:t>
            </w:r>
            <w:r>
              <w:rPr>
                <w:rFonts w:hint="eastAsia" w:ascii="宋体" w:hAnsi="宋体" w:cs="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729"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color w:val="000000"/>
                <w:szCs w:val="21"/>
              </w:rPr>
              <w:t>2</w:t>
            </w:r>
          </w:p>
        </w:tc>
        <w:tc>
          <w:tcPr>
            <w:tcW w:w="2126" w:type="dxa"/>
            <w:vAlign w:val="center"/>
          </w:tcPr>
          <w:p>
            <w:pPr>
              <w:tabs>
                <w:tab w:val="left" w:pos="1260"/>
                <w:tab w:val="left" w:pos="1620"/>
              </w:tabs>
              <w:adjustRightInd w:val="0"/>
              <w:snapToGrid w:val="0"/>
              <w:spacing w:line="276" w:lineRule="auto"/>
              <w:jc w:val="center"/>
              <w:textAlignment w:val="baseline"/>
              <w:rPr>
                <w:rFonts w:ascii="宋体" w:hAnsi="宋体" w:cs="仿宋_GB2312"/>
                <w:color w:val="000000"/>
                <w:szCs w:val="21"/>
              </w:rPr>
            </w:pPr>
            <w:r>
              <w:rPr>
                <w:rFonts w:ascii="Calibri" w:hAnsi="宋体" w:cstheme="minorHAnsi"/>
                <w:bCs/>
                <w:szCs w:val="21"/>
              </w:rPr>
              <w:t>投标文件组成</w:t>
            </w:r>
          </w:p>
        </w:tc>
        <w:tc>
          <w:tcPr>
            <w:tcW w:w="6341" w:type="dxa"/>
            <w:vAlign w:val="center"/>
          </w:tcPr>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ascii="宋体" w:hAnsi="宋体" w:cs="仿宋_GB2312"/>
                <w:color w:val="000000"/>
                <w:szCs w:val="21"/>
              </w:rPr>
              <w:t>投标文件应包含以下部分：</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（1）</w:t>
            </w:r>
            <w:r>
              <w:rPr>
                <w:rFonts w:ascii="宋体" w:hAnsi="宋体" w:cs="仿宋_GB2312"/>
                <w:color w:val="000000"/>
                <w:szCs w:val="21"/>
              </w:rPr>
              <w:t>投标函</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（2）</w:t>
            </w:r>
            <w:r>
              <w:rPr>
                <w:rFonts w:ascii="宋体" w:hAnsi="宋体" w:cs="仿宋_GB2312"/>
                <w:color w:val="000000"/>
                <w:szCs w:val="21"/>
              </w:rPr>
              <w:t>开标一览表</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（3）</w:t>
            </w:r>
            <w:r>
              <w:rPr>
                <w:rFonts w:ascii="宋体" w:hAnsi="宋体" w:cs="仿宋_GB2312"/>
                <w:color w:val="000000"/>
                <w:szCs w:val="21"/>
              </w:rPr>
              <w:t>资格证明文件</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（4）投标供应商概况</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ascii="宋体" w:hAnsi="宋体" w:cs="仿宋_GB2312"/>
                <w:color w:val="000000"/>
                <w:szCs w:val="21"/>
              </w:rPr>
              <w:t>（</w:t>
            </w:r>
            <w:r>
              <w:rPr>
                <w:rFonts w:hint="eastAsia" w:ascii="宋体" w:hAnsi="宋体" w:cs="仿宋_GB2312"/>
                <w:color w:val="000000"/>
                <w:szCs w:val="21"/>
              </w:rPr>
              <w:t>5</w:t>
            </w:r>
            <w:r>
              <w:rPr>
                <w:rFonts w:ascii="宋体" w:hAnsi="宋体" w:cs="仿宋_GB2312"/>
                <w:color w:val="000000"/>
                <w:szCs w:val="21"/>
              </w:rPr>
              <w:t>）投标供应商参加政府采购活动承诺书</w:t>
            </w:r>
          </w:p>
          <w:p>
            <w:pPr>
              <w:tabs>
                <w:tab w:val="left" w:pos="1260"/>
                <w:tab w:val="left" w:pos="1620"/>
              </w:tabs>
              <w:adjustRightInd w:val="0"/>
              <w:snapToGrid w:val="0"/>
              <w:spacing w:line="276" w:lineRule="auto"/>
              <w:textAlignment w:val="baseline"/>
              <w:rPr>
                <w:rFonts w:ascii="宋体" w:cs="仿宋_GB2312"/>
                <w:color w:val="000000"/>
              </w:rPr>
            </w:pPr>
            <w:r>
              <w:rPr>
                <w:rFonts w:ascii="宋体" w:hAnsi="宋体" w:cs="仿宋_GB2312"/>
                <w:color w:val="000000"/>
                <w:szCs w:val="21"/>
              </w:rPr>
              <w:t>（</w:t>
            </w:r>
            <w:r>
              <w:rPr>
                <w:rFonts w:hint="eastAsia" w:ascii="宋体" w:hAnsi="宋体" w:cs="仿宋_GB2312"/>
                <w:color w:val="000000"/>
                <w:szCs w:val="21"/>
              </w:rPr>
              <w:t>6</w:t>
            </w:r>
            <w:r>
              <w:rPr>
                <w:rFonts w:ascii="宋体" w:hAnsi="宋体" w:cs="仿宋_GB2312"/>
                <w:color w:val="000000"/>
                <w:szCs w:val="21"/>
              </w:rPr>
              <w:t>）投标方案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9"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color w:val="000000"/>
                <w:szCs w:val="21"/>
              </w:rPr>
              <w:t>3</w:t>
            </w:r>
          </w:p>
        </w:tc>
        <w:tc>
          <w:tcPr>
            <w:tcW w:w="2126" w:type="dxa"/>
            <w:vAlign w:val="center"/>
          </w:tcPr>
          <w:p>
            <w:pPr>
              <w:tabs>
                <w:tab w:val="left" w:pos="1260"/>
                <w:tab w:val="left" w:pos="1620"/>
              </w:tabs>
              <w:adjustRightInd w:val="0"/>
              <w:snapToGrid w:val="0"/>
              <w:spacing w:line="276" w:lineRule="auto"/>
              <w:jc w:val="center"/>
              <w:textAlignment w:val="baseline"/>
              <w:rPr>
                <w:rFonts w:ascii="宋体" w:hAnsi="宋体" w:cs="仿宋_GB2312"/>
                <w:color w:val="000000"/>
                <w:szCs w:val="21"/>
              </w:rPr>
            </w:pPr>
            <w:r>
              <w:rPr>
                <w:rFonts w:hint="eastAsia" w:ascii="宋体" w:hAnsi="宋体" w:cs="仿宋_GB2312"/>
                <w:color w:val="000000"/>
                <w:szCs w:val="21"/>
              </w:rPr>
              <w:t>投标文件</w:t>
            </w:r>
          </w:p>
          <w:p>
            <w:pPr>
              <w:tabs>
                <w:tab w:val="left" w:pos="1260"/>
                <w:tab w:val="left" w:pos="1620"/>
              </w:tabs>
              <w:adjustRightInd w:val="0"/>
              <w:snapToGrid w:val="0"/>
              <w:spacing w:line="276" w:lineRule="auto"/>
              <w:jc w:val="center"/>
              <w:textAlignment w:val="baseline"/>
              <w:rPr>
                <w:rFonts w:ascii="宋体" w:hAnsi="宋体" w:cs="仿宋_GB2312"/>
                <w:color w:val="000000"/>
                <w:szCs w:val="21"/>
              </w:rPr>
            </w:pPr>
            <w:r>
              <w:rPr>
                <w:rFonts w:hint="eastAsia" w:ascii="宋体" w:hAnsi="宋体" w:cs="仿宋_GB2312"/>
                <w:color w:val="000000"/>
                <w:szCs w:val="21"/>
              </w:rPr>
              <w:t>签署及盖章</w:t>
            </w:r>
          </w:p>
        </w:tc>
        <w:tc>
          <w:tcPr>
            <w:tcW w:w="6341" w:type="dxa"/>
            <w:vAlign w:val="center"/>
          </w:tcPr>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签字、盖章有效，字迹清晰可辨符合招标文件要求，</w:t>
            </w:r>
            <w:r>
              <w:rPr>
                <w:rFonts w:ascii="宋体" w:hAnsi="宋体" w:cs="仿宋_GB2312"/>
                <w:color w:val="000000"/>
                <w:szCs w:val="21"/>
              </w:rPr>
              <w:t>且无遗漏</w:t>
            </w:r>
            <w:r>
              <w:rPr>
                <w:rFonts w:hint="eastAsia" w:ascii="宋体" w:hAnsi="宋体"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729"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color w:val="000000"/>
                <w:szCs w:val="21"/>
              </w:rPr>
              <w:t>4</w:t>
            </w:r>
          </w:p>
        </w:tc>
        <w:tc>
          <w:tcPr>
            <w:tcW w:w="2126"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color w:val="000000"/>
                <w:szCs w:val="21"/>
              </w:rPr>
              <w:t>报 价</w:t>
            </w:r>
          </w:p>
        </w:tc>
        <w:tc>
          <w:tcPr>
            <w:tcW w:w="6341" w:type="dxa"/>
            <w:vAlign w:val="center"/>
          </w:tcPr>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同时满足以下条款：</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（1）货币单位符合招标文件要求</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（2）报价符合唯一性要求</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（3）未超出采购预算或最高限价</w:t>
            </w:r>
          </w:p>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（4）符合《开标一览表》的填报要求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29"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color w:val="000000"/>
                <w:szCs w:val="21"/>
              </w:rPr>
              <w:t>5</w:t>
            </w:r>
          </w:p>
        </w:tc>
        <w:tc>
          <w:tcPr>
            <w:tcW w:w="2126" w:type="dxa"/>
            <w:vAlign w:val="center"/>
          </w:tcPr>
          <w:p>
            <w:pPr>
              <w:tabs>
                <w:tab w:val="left" w:pos="1260"/>
                <w:tab w:val="left" w:pos="1620"/>
              </w:tabs>
              <w:adjustRightInd w:val="0"/>
              <w:snapToGrid w:val="0"/>
              <w:spacing w:line="276" w:lineRule="auto"/>
              <w:jc w:val="center"/>
              <w:textAlignment w:val="baseline"/>
              <w:rPr>
                <w:rFonts w:ascii="宋体" w:hAnsi="宋体" w:cs="仿宋_GB2312"/>
                <w:color w:val="000000"/>
                <w:szCs w:val="21"/>
              </w:rPr>
            </w:pPr>
            <w:r>
              <w:rPr>
                <w:rFonts w:ascii="宋体" w:hAnsi="宋体" w:cs="仿宋_GB2312"/>
                <w:color w:val="000000"/>
                <w:szCs w:val="21"/>
              </w:rPr>
              <w:t>投标文件的语言</w:t>
            </w:r>
          </w:p>
          <w:p>
            <w:pPr>
              <w:tabs>
                <w:tab w:val="left" w:pos="1260"/>
                <w:tab w:val="left" w:pos="1620"/>
              </w:tabs>
              <w:adjustRightInd w:val="0"/>
              <w:snapToGrid w:val="0"/>
              <w:spacing w:line="276" w:lineRule="auto"/>
              <w:jc w:val="center"/>
              <w:textAlignment w:val="baseline"/>
              <w:rPr>
                <w:rFonts w:ascii="宋体" w:hAnsi="宋体" w:cs="仿宋_GB2312"/>
                <w:color w:val="000000"/>
                <w:szCs w:val="21"/>
              </w:rPr>
            </w:pPr>
            <w:r>
              <w:rPr>
                <w:rFonts w:ascii="宋体" w:hAnsi="宋体" w:cs="仿宋_GB2312"/>
                <w:color w:val="000000"/>
                <w:szCs w:val="21"/>
              </w:rPr>
              <w:t>及计量单位</w:t>
            </w:r>
          </w:p>
        </w:tc>
        <w:tc>
          <w:tcPr>
            <w:tcW w:w="6341" w:type="dxa"/>
            <w:vAlign w:val="center"/>
          </w:tcPr>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ascii="宋体" w:hAnsi="宋体" w:cs="仿宋_GB2312"/>
                <w:color w:val="000000"/>
                <w:szCs w:val="21"/>
              </w:rPr>
              <w:t>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9"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color w:val="000000"/>
                <w:szCs w:val="21"/>
              </w:rPr>
              <w:t>6</w:t>
            </w:r>
          </w:p>
        </w:tc>
        <w:tc>
          <w:tcPr>
            <w:tcW w:w="2126"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color w:val="000000"/>
                <w:szCs w:val="21"/>
              </w:rPr>
              <w:t>投标有效期</w:t>
            </w:r>
          </w:p>
        </w:tc>
        <w:tc>
          <w:tcPr>
            <w:tcW w:w="6341" w:type="dxa"/>
            <w:vAlign w:val="center"/>
          </w:tcPr>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hint="eastAsia" w:ascii="宋体" w:hAnsi="宋体" w:cs="仿宋_GB2312"/>
                <w:color w:val="000000"/>
                <w:szCs w:val="21"/>
              </w:rPr>
              <w:t>投标有效期满足招标文件的要求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29"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ascii="宋体" w:hAnsi="宋体" w:cs="仿宋_GB2312"/>
                <w:color w:val="000000"/>
                <w:szCs w:val="21"/>
              </w:rPr>
              <w:t>7</w:t>
            </w:r>
          </w:p>
        </w:tc>
        <w:tc>
          <w:tcPr>
            <w:tcW w:w="2126"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ascii="宋体" w:hAnsi="宋体" w:cs="仿宋_GB2312"/>
                <w:color w:val="000000"/>
                <w:szCs w:val="21"/>
              </w:rPr>
              <w:t>合同条款</w:t>
            </w:r>
          </w:p>
        </w:tc>
        <w:tc>
          <w:tcPr>
            <w:tcW w:w="6341" w:type="dxa"/>
            <w:vAlign w:val="center"/>
          </w:tcPr>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ascii="Calibri" w:hAnsi="宋体" w:cstheme="minorHAnsi"/>
                <w:szCs w:val="21"/>
              </w:rPr>
              <w:t>完全理解并响</w:t>
            </w:r>
            <w:r>
              <w:rPr>
                <w:rFonts w:hint="eastAsia" w:ascii="Calibri" w:hAnsi="宋体" w:cstheme="minorHAnsi"/>
                <w:w w:val="1"/>
                <w:szCs w:val="21"/>
              </w:rPr>
              <w:t xml:space="preserve"> </w:t>
            </w:r>
            <w:r>
              <w:rPr>
                <w:rFonts w:ascii="Calibri" w:hAnsi="宋体" w:cstheme="minorHAnsi"/>
                <w:szCs w:val="21"/>
              </w:rPr>
              <w:t>应招标文件合同条款的要求，且未</w:t>
            </w:r>
            <w:r>
              <w:rPr>
                <w:rFonts w:hint="eastAsia" w:ascii="Calibri" w:hAnsi="宋体" w:cstheme="minorHAnsi"/>
                <w:szCs w:val="21"/>
              </w:rPr>
              <w:t>含有采购人不能接受的附加条件的</w:t>
            </w:r>
            <w:r>
              <w:rPr>
                <w:rFonts w:ascii="Calibri" w:hAnsi="宋体" w:cstheme="minorHAnsi"/>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29"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ascii="宋体" w:hAnsi="宋体" w:cs="仿宋_GB2312"/>
                <w:color w:val="000000"/>
                <w:szCs w:val="21"/>
              </w:rPr>
              <w:t>8</w:t>
            </w:r>
          </w:p>
        </w:tc>
        <w:tc>
          <w:tcPr>
            <w:tcW w:w="2126" w:type="dxa"/>
            <w:vAlign w:val="center"/>
          </w:tcPr>
          <w:p>
            <w:pPr>
              <w:tabs>
                <w:tab w:val="left" w:pos="1260"/>
                <w:tab w:val="left" w:pos="1620"/>
              </w:tabs>
              <w:adjustRightInd w:val="0"/>
              <w:snapToGrid w:val="0"/>
              <w:jc w:val="center"/>
              <w:textAlignment w:val="baseline"/>
              <w:rPr>
                <w:rFonts w:ascii="宋体" w:hAnsi="宋体" w:cs="仿宋_GB2312"/>
                <w:color w:val="000000"/>
                <w:szCs w:val="21"/>
              </w:rPr>
            </w:pPr>
            <w:r>
              <w:rPr>
                <w:rFonts w:hint="eastAsia" w:ascii="宋体" w:hAnsi="宋体" w:cs="仿宋_GB2312"/>
                <w:szCs w:val="21"/>
              </w:rPr>
              <w:t>其 他</w:t>
            </w:r>
          </w:p>
        </w:tc>
        <w:tc>
          <w:tcPr>
            <w:tcW w:w="6341" w:type="dxa"/>
            <w:vAlign w:val="center"/>
          </w:tcPr>
          <w:p>
            <w:pPr>
              <w:tabs>
                <w:tab w:val="left" w:pos="1260"/>
                <w:tab w:val="left" w:pos="1620"/>
              </w:tabs>
              <w:adjustRightInd w:val="0"/>
              <w:snapToGrid w:val="0"/>
              <w:spacing w:line="276" w:lineRule="auto"/>
              <w:textAlignment w:val="baseline"/>
              <w:rPr>
                <w:rFonts w:ascii="宋体" w:hAnsi="宋体" w:cs="仿宋_GB2312"/>
                <w:color w:val="000000"/>
                <w:szCs w:val="21"/>
              </w:rPr>
            </w:pPr>
            <w:r>
              <w:rPr>
                <w:rFonts w:ascii="Calibri" w:hAnsi="宋体" w:cstheme="minorHAnsi"/>
                <w:szCs w:val="21"/>
              </w:rPr>
              <w:t>完全理解并接受法律法规和招标文件对供应商合法经营的各类规约和责任义务要求，没有出现法律法规或招标文件规定的其他</w:t>
            </w:r>
            <w:r>
              <w:rPr>
                <w:rFonts w:hint="eastAsia" w:ascii="Calibri" w:hAnsi="宋体" w:cstheme="minorHAnsi"/>
                <w:szCs w:val="21"/>
              </w:rPr>
              <w:t>无效</w:t>
            </w:r>
            <w:r>
              <w:rPr>
                <w:rFonts w:ascii="Calibri" w:hAnsi="宋体" w:cstheme="minorHAnsi"/>
                <w:szCs w:val="21"/>
              </w:rPr>
              <w:t>情形。</w:t>
            </w:r>
          </w:p>
        </w:tc>
      </w:tr>
    </w:tbl>
    <w:p>
      <w:pPr>
        <w:pStyle w:val="17"/>
        <w:rPr>
          <w:rFonts w:ascii="宋体" w:hAnsi="宋体"/>
        </w:rPr>
      </w:pPr>
    </w:p>
    <w:p>
      <w:pPr>
        <w:rPr>
          <w:rFonts w:ascii="宋体" w:hAnsi="宋体"/>
        </w:rPr>
      </w:pPr>
    </w:p>
    <w:p>
      <w:pPr>
        <w:pStyle w:val="17"/>
      </w:pPr>
    </w:p>
    <w:p/>
    <w:p>
      <w:pPr>
        <w:pStyle w:val="17"/>
      </w:pPr>
    </w:p>
    <w:p/>
    <w:p>
      <w:pPr>
        <w:pStyle w:val="17"/>
      </w:pPr>
    </w:p>
    <w:p/>
    <w:p>
      <w:pPr>
        <w:pStyle w:val="17"/>
      </w:pPr>
    </w:p>
    <w:p>
      <w:pPr>
        <w:pStyle w:val="17"/>
      </w:pPr>
    </w:p>
    <w:p/>
    <w:p>
      <w:pPr>
        <w:pStyle w:val="17"/>
      </w:pPr>
    </w:p>
    <w:p/>
    <w:bookmarkEnd w:id="11"/>
    <w:p>
      <w:pPr>
        <w:widowControl/>
        <w:autoSpaceDE w:val="0"/>
        <w:autoSpaceDN w:val="0"/>
        <w:spacing w:after="240" w:afterLines="100" w:line="500" w:lineRule="exact"/>
        <w:ind w:right="53"/>
        <w:jc w:val="left"/>
        <w:textAlignment w:val="bottom"/>
        <w:rPr>
          <w:rFonts w:hint="eastAsia" w:ascii="宋体" w:hAnsi="宋体"/>
          <w:b/>
          <w:bCs/>
          <w:sz w:val="24"/>
        </w:rPr>
      </w:pPr>
    </w:p>
    <w:p>
      <w:pPr>
        <w:widowControl/>
        <w:autoSpaceDE w:val="0"/>
        <w:autoSpaceDN w:val="0"/>
        <w:spacing w:after="240" w:afterLines="100" w:line="500" w:lineRule="exact"/>
        <w:ind w:right="53"/>
        <w:jc w:val="left"/>
        <w:textAlignment w:val="bottom"/>
        <w:rPr>
          <w:rFonts w:ascii="宋体" w:hAnsi="宋体"/>
          <w:b/>
          <w:bCs/>
          <w:sz w:val="24"/>
        </w:rPr>
      </w:pPr>
      <w:r>
        <w:rPr>
          <w:rFonts w:hint="eastAsia" w:ascii="宋体" w:hAnsi="宋体"/>
          <w:b/>
          <w:bCs/>
          <w:sz w:val="24"/>
        </w:rPr>
        <w:t xml:space="preserve">附件三：综合评分表 </w:t>
      </w:r>
    </w:p>
    <w:tbl>
      <w:tblPr>
        <w:tblStyle w:val="41"/>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851"/>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46" w:type="dxa"/>
            <w:shd w:val="clear" w:color="auto" w:fill="auto"/>
            <w:vAlign w:val="center"/>
          </w:tcPr>
          <w:p>
            <w:pPr>
              <w:widowControl/>
              <w:spacing w:line="276" w:lineRule="auto"/>
              <w:jc w:val="center"/>
              <w:rPr>
                <w:rFonts w:ascii="宋体" w:hAnsi="宋体"/>
                <w:b/>
                <w:szCs w:val="21"/>
              </w:rPr>
            </w:pPr>
            <w:r>
              <w:rPr>
                <w:rFonts w:hint="eastAsia" w:ascii="宋体" w:hAnsi="宋体" w:cs="宋体"/>
                <w:b/>
                <w:szCs w:val="21"/>
              </w:rPr>
              <w:t>评审项目</w:t>
            </w:r>
          </w:p>
        </w:tc>
        <w:tc>
          <w:tcPr>
            <w:tcW w:w="851" w:type="dxa"/>
            <w:shd w:val="clear" w:color="auto" w:fill="auto"/>
            <w:vAlign w:val="center"/>
          </w:tcPr>
          <w:p>
            <w:pPr>
              <w:widowControl/>
              <w:spacing w:line="276" w:lineRule="auto"/>
              <w:jc w:val="center"/>
              <w:rPr>
                <w:rFonts w:ascii="宋体" w:hAnsi="宋体" w:cs="宋体"/>
                <w:b/>
                <w:szCs w:val="21"/>
              </w:rPr>
            </w:pPr>
            <w:r>
              <w:rPr>
                <w:rFonts w:hint="eastAsia" w:ascii="宋体" w:hAnsi="宋体" w:cs="宋体"/>
                <w:b/>
                <w:szCs w:val="21"/>
              </w:rPr>
              <w:t>分值</w:t>
            </w:r>
          </w:p>
        </w:tc>
        <w:tc>
          <w:tcPr>
            <w:tcW w:w="7466" w:type="dxa"/>
            <w:shd w:val="clear" w:color="auto" w:fill="auto"/>
            <w:vAlign w:val="center"/>
          </w:tcPr>
          <w:p>
            <w:pPr>
              <w:widowControl/>
              <w:spacing w:line="276" w:lineRule="auto"/>
              <w:jc w:val="center"/>
              <w:rPr>
                <w:rFonts w:ascii="宋体" w:hAnsi="宋体"/>
                <w:b/>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146" w:type="dxa"/>
            <w:shd w:val="clear" w:color="auto" w:fill="auto"/>
            <w:vAlign w:val="center"/>
          </w:tcPr>
          <w:p>
            <w:pPr>
              <w:autoSpaceDE w:val="0"/>
              <w:autoSpaceDN w:val="0"/>
              <w:adjustRightInd w:val="0"/>
              <w:spacing w:line="276" w:lineRule="auto"/>
              <w:jc w:val="center"/>
              <w:rPr>
                <w:rFonts w:ascii="宋体" w:hAnsi="宋体"/>
                <w:b/>
                <w:szCs w:val="21"/>
              </w:rPr>
            </w:pPr>
            <w:r>
              <w:rPr>
                <w:rFonts w:hint="eastAsia" w:ascii="宋体" w:hAnsi="宋体" w:cs="宋体"/>
                <w:szCs w:val="21"/>
              </w:rPr>
              <w:t>报价评审</w:t>
            </w:r>
          </w:p>
        </w:tc>
        <w:tc>
          <w:tcPr>
            <w:tcW w:w="851" w:type="dxa"/>
            <w:shd w:val="clear" w:color="auto" w:fill="auto"/>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30分</w:t>
            </w:r>
          </w:p>
        </w:tc>
        <w:tc>
          <w:tcPr>
            <w:tcW w:w="7466" w:type="dxa"/>
            <w:shd w:val="clear" w:color="auto" w:fill="auto"/>
            <w:vAlign w:val="center"/>
          </w:tcPr>
          <w:p>
            <w:pPr>
              <w:snapToGrid w:val="0"/>
              <w:spacing w:line="276"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 xml:space="preserve">满足招标文件要求且投标价格最低的报价为评标基准价，其价格分为满分。其他投标供应商的价格分统一按照下列公式计算： </w:t>
            </w:r>
            <w:r>
              <w:rPr>
                <w:rFonts w:hint="eastAsia" w:cs="仿宋_GB2312" w:asciiTheme="minorEastAsia" w:hAnsiTheme="minorEastAsia" w:eastAsiaTheme="minorEastAsia"/>
                <w:szCs w:val="21"/>
              </w:rPr>
              <w:br w:type="textWrapping"/>
            </w:r>
            <w:r>
              <w:rPr>
                <w:rFonts w:hint="eastAsia" w:cs="仿宋_GB2312" w:asciiTheme="minorEastAsia" w:hAnsiTheme="minorEastAsia" w:eastAsiaTheme="minorEastAsia"/>
                <w:szCs w:val="21"/>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投标报价得分=（评标基准价/投标报价）×3</w:t>
            </w:r>
            <w:r>
              <w:rPr>
                <w:rFonts w:cs="仿宋_GB2312" w:asciiTheme="minorEastAsia" w:hAnsiTheme="minorEastAsia" w:eastAsiaTheme="minorEastAsia"/>
                <w:szCs w:val="21"/>
              </w:rPr>
              <w:t>0</w:t>
            </w:r>
          </w:p>
          <w:p>
            <w:pPr>
              <w:snapToGrid w:val="0"/>
              <w:spacing w:line="276" w:lineRule="auto"/>
              <w:rPr>
                <w:rFonts w:ascii="宋体" w:hAnsi="宋体"/>
                <w:b/>
                <w:szCs w:val="21"/>
              </w:rPr>
            </w:pPr>
            <w:r>
              <w:rPr>
                <w:rFonts w:hint="eastAsia" w:cs="仿宋_GB2312" w:asciiTheme="minorEastAsia" w:hAnsiTheme="minorEastAsia" w:eastAsiaTheme="minorEastAsia"/>
                <w:szCs w:val="21"/>
              </w:rPr>
              <w:t>注：符合采购政策的按政策执行。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1146" w:type="dxa"/>
            <w:shd w:val="clear" w:color="auto" w:fill="auto"/>
            <w:vAlign w:val="center"/>
          </w:tcPr>
          <w:p>
            <w:pPr>
              <w:snapToGrid w:val="0"/>
              <w:spacing w:line="276" w:lineRule="auto"/>
              <w:jc w:val="center"/>
              <w:rPr>
                <w:rFonts w:ascii="宋体" w:hAnsi="宋体" w:cs="宋体"/>
                <w:szCs w:val="21"/>
                <w:lang w:val="zh-CN"/>
              </w:rPr>
            </w:pPr>
            <w:r>
              <w:rPr>
                <w:rFonts w:hint="eastAsia" w:ascii="宋体" w:hAnsi="宋体" w:cs="宋体"/>
                <w:szCs w:val="21"/>
              </w:rPr>
              <w:t>节能、环保产品</w:t>
            </w:r>
          </w:p>
        </w:tc>
        <w:tc>
          <w:tcPr>
            <w:tcW w:w="851" w:type="dxa"/>
            <w:shd w:val="clear" w:color="auto" w:fill="auto"/>
            <w:vAlign w:val="center"/>
          </w:tcPr>
          <w:p>
            <w:pPr>
              <w:snapToGrid w:val="0"/>
              <w:spacing w:line="276" w:lineRule="auto"/>
              <w:jc w:val="center"/>
              <w:rPr>
                <w:rFonts w:ascii="宋体" w:hAnsi="宋体" w:cs="宋体"/>
                <w:szCs w:val="21"/>
              </w:rPr>
            </w:pPr>
            <w:r>
              <w:rPr>
                <w:rFonts w:hint="eastAsia" w:ascii="宋体" w:hAnsi="宋体" w:cs="宋体"/>
                <w:szCs w:val="21"/>
              </w:rPr>
              <w:t>2分</w:t>
            </w:r>
          </w:p>
        </w:tc>
        <w:tc>
          <w:tcPr>
            <w:tcW w:w="7466" w:type="dxa"/>
            <w:shd w:val="clear" w:color="auto" w:fill="auto"/>
            <w:vAlign w:val="center"/>
          </w:tcPr>
          <w:p>
            <w:pPr>
              <w:overflowPunct w:val="0"/>
              <w:adjustRightInd w:val="0"/>
              <w:snapToGrid w:val="0"/>
              <w:spacing w:line="276" w:lineRule="auto"/>
              <w:rPr>
                <w:rFonts w:cs="仿宋" w:asciiTheme="minorEastAsia" w:hAnsiTheme="minorEastAsia" w:eastAsiaTheme="minorEastAsia"/>
              </w:rPr>
            </w:pPr>
            <w:r>
              <w:rPr>
                <w:rFonts w:hint="eastAsia" w:cs="宋体" w:asciiTheme="minorEastAsia" w:hAnsiTheme="minorEastAsia" w:eastAsiaTheme="minorEastAsia"/>
                <w:szCs w:val="21"/>
              </w:rPr>
              <w:t>所投产品中每有一项为节能产品政府采购清单中优先采购的节能产品：计0.5分；每有一项为环境标志产品政府采购清单中的产品的：计0.5分；每有一项产品同时为节能产品政府采购清单中优先采购的节能产品和环境标志产品政府采购清单中的产品的得1分；本项最多得2分。</w:t>
            </w:r>
          </w:p>
          <w:p>
            <w:pPr>
              <w:overflowPunct w:val="0"/>
              <w:adjustRightInd w:val="0"/>
              <w:snapToGrid w:val="0"/>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（提供认证机构出具、处于有效期之内的节能产品、环境标志产品认证证书，详见“</w:t>
            </w:r>
            <w:r>
              <w:rPr>
                <w:rFonts w:hint="eastAsia" w:asciiTheme="minorEastAsia" w:hAnsiTheme="minorEastAsia" w:eastAsiaTheme="minorEastAsia"/>
                <w:szCs w:val="21"/>
              </w:rPr>
              <w:t>节能产品、环境标志产品政策”</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1146" w:type="dxa"/>
            <w:vMerge w:val="restart"/>
            <w:shd w:val="clear" w:color="auto" w:fill="auto"/>
            <w:vAlign w:val="center"/>
          </w:tcPr>
          <w:p>
            <w:pPr>
              <w:autoSpaceDE w:val="0"/>
              <w:autoSpaceDN w:val="0"/>
              <w:adjustRightInd w:val="0"/>
              <w:spacing w:line="276" w:lineRule="auto"/>
              <w:jc w:val="left"/>
              <w:rPr>
                <w:rFonts w:ascii="宋体" w:hAnsi="宋体" w:cs="宋体"/>
                <w:szCs w:val="21"/>
              </w:rPr>
            </w:pPr>
            <w:r>
              <w:rPr>
                <w:rFonts w:hint="eastAsia" w:ascii="宋体" w:hAnsi="宋体" w:cs="宋体"/>
                <w:szCs w:val="21"/>
              </w:rPr>
              <w:t>技术方案</w:t>
            </w:r>
          </w:p>
        </w:tc>
        <w:tc>
          <w:tcPr>
            <w:tcW w:w="851" w:type="dxa"/>
            <w:vMerge w:val="restart"/>
            <w:shd w:val="clear" w:color="auto" w:fill="auto"/>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33</w:t>
            </w:r>
            <w:r>
              <w:rPr>
                <w:rFonts w:hint="eastAsia" w:ascii="宋体" w:hAnsi="宋体" w:cs="宋体"/>
                <w:szCs w:val="21"/>
              </w:rPr>
              <w:t>分</w:t>
            </w:r>
          </w:p>
        </w:tc>
        <w:tc>
          <w:tcPr>
            <w:tcW w:w="7466" w:type="dxa"/>
            <w:shd w:val="clear" w:color="auto" w:fill="auto"/>
            <w:vAlign w:val="center"/>
          </w:tcPr>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对项目总体设计理解深入，对建设内容归纳、分析、理解以及方案的合理性、技术路线的先进性、功能的完整性和适用性进行综合分析比较，方案考虑全面、合理、有效。</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1.方案内容完整、产品选型合理、规格型号明确，整体指标优于招标文件要求[</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8</w:t>
            </w:r>
            <w:r>
              <w:rPr>
                <w:rFonts w:hint="eastAsia"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2.方案内容部分完整、产品选型基本合理、规格型号明确，整体指标符合招标文件要求[</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3.方案内容不完整、未明确规格型号明确，整体指标不符合招标文件要求或未提供[0-</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)分；</w:t>
            </w:r>
            <w:r>
              <w:rPr>
                <w:rFonts w:cs="仿宋_GB2312"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1146" w:type="dxa"/>
            <w:vMerge w:val="continue"/>
            <w:shd w:val="clear" w:color="auto" w:fill="auto"/>
            <w:vAlign w:val="center"/>
          </w:tcPr>
          <w:p>
            <w:pPr>
              <w:autoSpaceDE w:val="0"/>
              <w:autoSpaceDN w:val="0"/>
              <w:adjustRightInd w:val="0"/>
              <w:spacing w:line="276" w:lineRule="auto"/>
              <w:jc w:val="left"/>
              <w:rPr>
                <w:rFonts w:ascii="宋体" w:hAnsi="宋体" w:cs="宋体"/>
                <w:szCs w:val="21"/>
              </w:rPr>
            </w:pPr>
          </w:p>
        </w:tc>
        <w:tc>
          <w:tcPr>
            <w:tcW w:w="851" w:type="dxa"/>
            <w:vMerge w:val="continue"/>
            <w:shd w:val="clear" w:color="auto" w:fill="auto"/>
            <w:vAlign w:val="center"/>
          </w:tcPr>
          <w:p>
            <w:pPr>
              <w:autoSpaceDE w:val="0"/>
              <w:autoSpaceDN w:val="0"/>
              <w:adjustRightInd w:val="0"/>
              <w:spacing w:line="276" w:lineRule="auto"/>
              <w:jc w:val="center"/>
              <w:rPr>
                <w:rFonts w:ascii="宋体" w:hAnsi="宋体" w:cs="宋体"/>
                <w:szCs w:val="21"/>
              </w:rPr>
            </w:pPr>
          </w:p>
        </w:tc>
        <w:tc>
          <w:tcPr>
            <w:tcW w:w="7466" w:type="dxa"/>
            <w:shd w:val="clear" w:color="auto" w:fill="auto"/>
            <w:vAlign w:val="center"/>
          </w:tcPr>
          <w:p>
            <w:pPr>
              <w:snapToGrid w:val="0"/>
              <w:spacing w:line="276" w:lineRule="auto"/>
              <w:rPr>
                <w:rFonts w:cs="仿宋_GB2312" w:asciiTheme="minorEastAsia" w:hAnsiTheme="minorEastAsia" w:eastAsiaTheme="minorEastAsia"/>
                <w:b/>
                <w:bCs/>
                <w:szCs w:val="21"/>
              </w:rPr>
            </w:pPr>
            <w:r>
              <w:rPr>
                <w:rFonts w:hint="eastAsia" w:cs="仿宋_GB2312" w:asciiTheme="minorEastAsia" w:hAnsiTheme="minorEastAsia" w:eastAsiaTheme="minorEastAsia"/>
                <w:szCs w:val="21"/>
              </w:rPr>
              <w:t>技术指标分重要技术指标（</w:t>
            </w:r>
            <w:r>
              <w:rPr>
                <w:rFonts w:hint="eastAsia" w:ascii="宋体" w:hAnsi="宋体" w:cs="宋体"/>
                <w:color w:val="FF0000"/>
                <w:kern w:val="0"/>
                <w:sz w:val="21"/>
                <w:szCs w:val="21"/>
                <w:lang w:eastAsia="zh-CN"/>
              </w:rPr>
              <w:t>★</w:t>
            </w:r>
            <w:r>
              <w:rPr>
                <w:rFonts w:hint="eastAsia" w:cs="仿宋_GB2312" w:asciiTheme="minorEastAsia" w:hAnsiTheme="minorEastAsia" w:eastAsiaTheme="minorEastAsia"/>
                <w:szCs w:val="21"/>
              </w:rPr>
              <w:t>项）和一般技术指标。完全满足招标文件要求得</w:t>
            </w:r>
            <w:r>
              <w:rPr>
                <w:rFonts w:cs="仿宋_GB2312" w:asciiTheme="minorEastAsia" w:hAnsiTheme="minorEastAsia" w:eastAsiaTheme="minorEastAsia"/>
                <w:szCs w:val="21"/>
              </w:rPr>
              <w:t>17</w:t>
            </w:r>
            <w:r>
              <w:rPr>
                <w:rFonts w:hint="eastAsia" w:cs="仿宋_GB2312" w:asciiTheme="minorEastAsia" w:hAnsiTheme="minorEastAsia" w:eastAsiaTheme="minorEastAsia"/>
                <w:szCs w:val="21"/>
              </w:rPr>
              <w:t>分，重要技术指标（</w:t>
            </w:r>
            <w:r>
              <w:rPr>
                <w:rFonts w:hint="eastAsia" w:ascii="宋体" w:hAnsi="宋体" w:cs="宋体"/>
                <w:color w:val="FF0000"/>
                <w:kern w:val="0"/>
                <w:sz w:val="21"/>
                <w:szCs w:val="21"/>
                <w:lang w:eastAsia="zh-CN"/>
              </w:rPr>
              <w:t>★</w:t>
            </w:r>
            <w:r>
              <w:rPr>
                <w:rFonts w:hint="eastAsia" w:cs="仿宋_GB2312" w:asciiTheme="minorEastAsia" w:hAnsiTheme="minorEastAsia" w:eastAsiaTheme="minorEastAsia"/>
                <w:szCs w:val="21"/>
              </w:rPr>
              <w:t>项）有1项负偏离扣</w:t>
            </w:r>
            <w:r>
              <w:rPr>
                <w:rFonts w:cs="仿宋_GB2312" w:asciiTheme="minorEastAsia" w:hAnsiTheme="minorEastAsia" w:eastAsiaTheme="minorEastAsia"/>
                <w:szCs w:val="21"/>
              </w:rPr>
              <w:t>1</w:t>
            </w:r>
            <w:r>
              <w:rPr>
                <w:rFonts w:hint="eastAsia" w:cs="仿宋_GB2312" w:asciiTheme="minorEastAsia" w:hAnsiTheme="minorEastAsia" w:eastAsiaTheme="minorEastAsia"/>
                <w:szCs w:val="21"/>
              </w:rPr>
              <w:t>分，一般技术指标有1项负偏离扣</w:t>
            </w:r>
            <w:r>
              <w:rPr>
                <w:rFonts w:cs="仿宋_GB2312" w:asciiTheme="minorEastAsia" w:hAnsiTheme="minorEastAsia" w:eastAsiaTheme="minorEastAsia"/>
                <w:szCs w:val="21"/>
              </w:rPr>
              <w:t>0.5</w:t>
            </w:r>
            <w:r>
              <w:rPr>
                <w:rFonts w:hint="eastAsia" w:cs="仿宋_GB2312" w:asciiTheme="minorEastAsia" w:hAnsiTheme="minorEastAsia" w:eastAsiaTheme="minorEastAsia"/>
                <w:szCs w:val="21"/>
              </w:rPr>
              <w:t>分，扣完为止。</w:t>
            </w:r>
          </w:p>
          <w:p>
            <w:pPr>
              <w:snapToGrid w:val="0"/>
              <w:spacing w:line="276" w:lineRule="auto"/>
              <w:rPr>
                <w:rFonts w:cs="仿宋_GB2312" w:asciiTheme="minorEastAsia" w:hAnsiTheme="minorEastAsia" w:eastAsiaTheme="minorEastAsia"/>
                <w:b/>
                <w:bCs/>
                <w:szCs w:val="21"/>
              </w:rPr>
            </w:pPr>
            <w:r>
              <w:rPr>
                <w:rFonts w:hint="eastAsia" w:cs="仿宋_GB2312" w:asciiTheme="minorEastAsia" w:hAnsiTheme="minorEastAsia" w:eastAsiaTheme="minorEastAsia"/>
                <w:b/>
                <w:bCs/>
                <w:szCs w:val="21"/>
              </w:rPr>
              <w:t>注：1、所有带“</w:t>
            </w:r>
            <w:r>
              <w:rPr>
                <w:rFonts w:hint="eastAsia" w:ascii="宋体" w:hAnsi="宋体" w:cs="宋体"/>
                <w:color w:val="FF0000"/>
                <w:kern w:val="0"/>
                <w:sz w:val="21"/>
                <w:szCs w:val="21"/>
                <w:lang w:eastAsia="zh-CN"/>
              </w:rPr>
              <w:t>★</w:t>
            </w:r>
            <w:r>
              <w:rPr>
                <w:rFonts w:hint="eastAsia" w:cs="仿宋_GB2312" w:asciiTheme="minorEastAsia" w:hAnsiTheme="minorEastAsia" w:eastAsiaTheme="minorEastAsia"/>
                <w:b/>
                <w:bCs/>
                <w:szCs w:val="21"/>
              </w:rPr>
              <w:t>”的重要技术指标、参数，投标供应商须按招标文件要求提供相关技术参数的佐证证明材料，未按要求提供的不得分。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b/>
                <w:bCs/>
                <w:szCs w:val="21"/>
              </w:rPr>
              <w:t>2、提供的技术参数偏离表内投标文件配置、规格及主要技术参数内容完全复制粘贴招标内容及技术要求的，按0分处理。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1146" w:type="dxa"/>
            <w:vMerge w:val="continue"/>
            <w:shd w:val="clear" w:color="auto" w:fill="auto"/>
            <w:vAlign w:val="center"/>
          </w:tcPr>
          <w:p>
            <w:pPr>
              <w:autoSpaceDE w:val="0"/>
              <w:autoSpaceDN w:val="0"/>
              <w:adjustRightInd w:val="0"/>
              <w:spacing w:line="276" w:lineRule="auto"/>
              <w:jc w:val="left"/>
              <w:rPr>
                <w:rFonts w:ascii="宋体" w:hAnsi="宋体" w:cs="宋体"/>
                <w:szCs w:val="21"/>
              </w:rPr>
            </w:pPr>
          </w:p>
        </w:tc>
        <w:tc>
          <w:tcPr>
            <w:tcW w:w="851" w:type="dxa"/>
            <w:vMerge w:val="continue"/>
            <w:shd w:val="clear" w:color="auto" w:fill="auto"/>
            <w:vAlign w:val="center"/>
          </w:tcPr>
          <w:p>
            <w:pPr>
              <w:autoSpaceDE w:val="0"/>
              <w:autoSpaceDN w:val="0"/>
              <w:adjustRightInd w:val="0"/>
              <w:spacing w:line="276" w:lineRule="auto"/>
              <w:jc w:val="center"/>
              <w:rPr>
                <w:rFonts w:ascii="宋体" w:hAnsi="宋体" w:cs="宋体"/>
                <w:szCs w:val="21"/>
              </w:rPr>
            </w:pPr>
          </w:p>
        </w:tc>
        <w:tc>
          <w:tcPr>
            <w:tcW w:w="7466" w:type="dxa"/>
            <w:shd w:val="clear" w:color="auto" w:fill="auto"/>
            <w:vAlign w:val="center"/>
          </w:tcPr>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对本项目的供货、安装调试、验收组织、人员配备、进度计划等方面制订具体的实施方案，做出合理计划及制订工作保障措施。</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方案完整、科学合理、操作性强，完全满足采购人需求：[</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8</w:t>
            </w:r>
            <w:r>
              <w:rPr>
                <w:rFonts w:hint="eastAsia"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方案较完整，工作目标不明确、工作保障措施不到位，基本满足采购人需求：[</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）分；</w:t>
            </w:r>
          </w:p>
          <w:p>
            <w:pPr>
              <w:snapToGrid w:val="0"/>
              <w:spacing w:line="276" w:lineRule="auto"/>
              <w:rPr>
                <w:rFonts w:ascii="宋体" w:hAnsi="宋体"/>
                <w:bCs/>
                <w:szCs w:val="21"/>
              </w:rPr>
            </w:pPr>
            <w:r>
              <w:rPr>
                <w:rFonts w:hint="eastAsia" w:cs="仿宋_GB2312" w:asciiTheme="minorEastAsia" w:hAnsiTheme="minorEastAsia" w:eastAsiaTheme="minorEastAsia"/>
                <w:szCs w:val="21"/>
              </w:rPr>
              <w:t>方案可执行性不强，无法满足采购人要求或未提供：[</w:t>
            </w:r>
            <w:r>
              <w:rPr>
                <w:rFonts w:cs="仿宋_GB2312" w:asciiTheme="minorEastAsia" w:hAnsiTheme="minorEastAsia" w:eastAsiaTheme="minorEastAsia"/>
                <w:szCs w:val="21"/>
              </w:rPr>
              <w:t>0</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146" w:type="dxa"/>
            <w:shd w:val="clear" w:color="auto" w:fill="auto"/>
            <w:vAlign w:val="center"/>
          </w:tcPr>
          <w:p>
            <w:pPr>
              <w:autoSpaceDE w:val="0"/>
              <w:autoSpaceDN w:val="0"/>
              <w:adjustRightInd w:val="0"/>
              <w:spacing w:line="276" w:lineRule="auto"/>
              <w:jc w:val="left"/>
              <w:rPr>
                <w:rFonts w:ascii="宋体" w:hAnsi="宋体" w:cs="宋体"/>
                <w:szCs w:val="21"/>
              </w:rPr>
            </w:pPr>
            <w:r>
              <w:rPr>
                <w:rFonts w:hint="eastAsia" w:cs="宋体" w:asciiTheme="minorEastAsia" w:hAnsiTheme="minorEastAsia" w:eastAsiaTheme="minorEastAsia"/>
                <w:szCs w:val="21"/>
              </w:rPr>
              <w:t>质量保证</w:t>
            </w:r>
          </w:p>
        </w:tc>
        <w:tc>
          <w:tcPr>
            <w:tcW w:w="851" w:type="dxa"/>
            <w:shd w:val="clear" w:color="auto" w:fill="auto"/>
            <w:vAlign w:val="center"/>
          </w:tcPr>
          <w:p>
            <w:pPr>
              <w:autoSpaceDE w:val="0"/>
              <w:autoSpaceDN w:val="0"/>
              <w:adjustRightInd w:val="0"/>
              <w:spacing w:line="276" w:lineRule="auto"/>
              <w:jc w:val="center"/>
              <w:rPr>
                <w:rFonts w:ascii="宋体" w:hAnsi="宋体" w:cs="宋体"/>
                <w:szCs w:val="21"/>
              </w:rPr>
            </w:pPr>
            <w:r>
              <w:rPr>
                <w:rFonts w:cs="宋体" w:asciiTheme="minorEastAsia" w:hAnsiTheme="minorEastAsia" w:eastAsiaTheme="minorEastAsia"/>
                <w:szCs w:val="21"/>
              </w:rPr>
              <w:t>8</w:t>
            </w:r>
            <w:r>
              <w:rPr>
                <w:rFonts w:hint="eastAsia" w:cs="宋体" w:asciiTheme="minorEastAsia" w:hAnsiTheme="minorEastAsia" w:eastAsiaTheme="minorEastAsia"/>
                <w:szCs w:val="21"/>
              </w:rPr>
              <w:t>分</w:t>
            </w:r>
          </w:p>
        </w:tc>
        <w:tc>
          <w:tcPr>
            <w:tcW w:w="7466" w:type="dxa"/>
            <w:shd w:val="clear" w:color="auto" w:fill="auto"/>
            <w:vAlign w:val="center"/>
          </w:tcPr>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产品符合</w:t>
            </w:r>
            <w:r>
              <w:rPr>
                <w:rFonts w:hint="eastAsia" w:cs="仿宋_GB2312" w:asciiTheme="minorEastAsia" w:hAnsiTheme="minorEastAsia" w:eastAsiaTheme="minorEastAsia"/>
                <w:szCs w:val="21"/>
                <w:lang w:val="en-US" w:eastAsia="zh-CN"/>
              </w:rPr>
              <w:t>国家、</w:t>
            </w:r>
            <w:r>
              <w:rPr>
                <w:rFonts w:hint="eastAsia" w:cs="仿宋_GB2312" w:asciiTheme="minorEastAsia" w:hAnsiTheme="minorEastAsia" w:eastAsiaTheme="minorEastAsia"/>
                <w:szCs w:val="21"/>
              </w:rPr>
              <w:t>行业标准，配件齐全。所投产品供货渠道正规，无产权纠纷。易损件、零配件备品配件供应渠道正常，有保障，具有相关的质量保证承诺，并提供相应的证明材料（包括但不限于所投产品的</w:t>
            </w:r>
            <w:r>
              <w:rPr>
                <w:rFonts w:hint="eastAsia" w:cs="仿宋_GB2312" w:asciiTheme="minorEastAsia" w:hAnsiTheme="minorEastAsia" w:eastAsiaTheme="minorEastAsia"/>
                <w:szCs w:val="21"/>
                <w:lang w:val="en-US" w:eastAsia="zh-CN"/>
              </w:rPr>
              <w:t>销售协议、代理协议、授权、</w:t>
            </w:r>
            <w:r>
              <w:rPr>
                <w:rFonts w:hint="eastAsia" w:cs="仿宋_GB2312" w:asciiTheme="minorEastAsia" w:hAnsiTheme="minorEastAsia" w:eastAsiaTheme="minorEastAsia"/>
                <w:szCs w:val="21"/>
              </w:rPr>
              <w:t>认证证书、检验报告等）。提供技术资料齐全、提供产品说明书：[</w:t>
            </w:r>
            <w:r>
              <w:rPr>
                <w:rFonts w:cs="仿宋_GB2312" w:asciiTheme="minorEastAsia" w:hAnsiTheme="minorEastAsia" w:eastAsiaTheme="minorEastAsia"/>
                <w:szCs w:val="21"/>
              </w:rPr>
              <w:t>5-8</w:t>
            </w:r>
            <w:r>
              <w:rPr>
                <w:rFonts w:hint="eastAsia"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提供技术资料较齐全，有部分产品说明书：[2-</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)分；</w:t>
            </w:r>
          </w:p>
          <w:p>
            <w:pPr>
              <w:snapToGrid w:val="0"/>
              <w:spacing w:line="276" w:lineRule="auto"/>
              <w:rPr>
                <w:rFonts w:ascii="宋体" w:hAnsi="宋体"/>
                <w:szCs w:val="21"/>
              </w:rPr>
            </w:pPr>
            <w:r>
              <w:rPr>
                <w:rFonts w:hint="eastAsia" w:cs="仿宋_GB2312" w:asciiTheme="minorEastAsia" w:hAnsiTheme="minorEastAsia" w:eastAsiaTheme="minorEastAsia"/>
                <w:szCs w:val="21"/>
              </w:rPr>
              <w:t>多数产品无法提供技术资料及关说明书：[</w:t>
            </w:r>
            <w:r>
              <w:rPr>
                <w:rFonts w:cs="仿宋_GB2312" w:asciiTheme="minorEastAsia" w:hAnsiTheme="minorEastAsia" w:eastAsiaTheme="minorEastAsia"/>
                <w:szCs w:val="21"/>
              </w:rPr>
              <w:t>0-</w:t>
            </w:r>
            <w:r>
              <w:rPr>
                <w:rFonts w:hint="eastAsia" w:cs="仿宋_GB2312" w:asciiTheme="minorEastAsia" w:hAnsiTheme="minorEastAsia" w:eastAsiaTheme="minorEastAsia"/>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146" w:type="dxa"/>
            <w:shd w:val="clear" w:color="auto" w:fill="auto"/>
            <w:vAlign w:val="center"/>
          </w:tcPr>
          <w:p>
            <w:pPr>
              <w:autoSpaceDE w:val="0"/>
              <w:autoSpaceDN w:val="0"/>
              <w:adjustRightInd w:val="0"/>
              <w:spacing w:line="276" w:lineRule="auto"/>
              <w:jc w:val="left"/>
              <w:rPr>
                <w:rFonts w:cs="宋体" w:asciiTheme="minorEastAsia" w:hAnsiTheme="minorEastAsia" w:eastAsiaTheme="minorEastAsia"/>
                <w:szCs w:val="21"/>
              </w:rPr>
            </w:pPr>
            <w:r>
              <w:rPr>
                <w:rFonts w:hint="eastAsia" w:ascii="宋体" w:hAnsi="宋体" w:cs="宋体"/>
                <w:szCs w:val="21"/>
              </w:rPr>
              <w:t>应急方案</w:t>
            </w:r>
          </w:p>
        </w:tc>
        <w:tc>
          <w:tcPr>
            <w:tcW w:w="851" w:type="dxa"/>
            <w:shd w:val="clear" w:color="auto" w:fill="auto"/>
            <w:vAlign w:val="center"/>
          </w:tcPr>
          <w:p>
            <w:pPr>
              <w:autoSpaceDE w:val="0"/>
              <w:autoSpaceDN w:val="0"/>
              <w:adjustRightInd w:val="0"/>
              <w:spacing w:line="276" w:lineRule="auto"/>
              <w:jc w:val="center"/>
              <w:rPr>
                <w:rFonts w:cs="宋体" w:asciiTheme="minorEastAsia" w:hAnsiTheme="minorEastAsia" w:eastAsiaTheme="minorEastAsia"/>
                <w:szCs w:val="21"/>
              </w:rPr>
            </w:pPr>
            <w:r>
              <w:rPr>
                <w:rFonts w:ascii="宋体" w:hAnsi="宋体" w:cs="宋体"/>
                <w:szCs w:val="21"/>
              </w:rPr>
              <w:t>8</w:t>
            </w:r>
            <w:r>
              <w:rPr>
                <w:rFonts w:hint="eastAsia" w:ascii="宋体" w:hAnsi="宋体" w:cs="宋体"/>
                <w:szCs w:val="21"/>
              </w:rPr>
              <w:t>分</w:t>
            </w:r>
          </w:p>
        </w:tc>
        <w:tc>
          <w:tcPr>
            <w:tcW w:w="7466" w:type="dxa"/>
            <w:shd w:val="clear" w:color="auto" w:fill="auto"/>
            <w:vAlign w:val="center"/>
          </w:tcPr>
          <w:p>
            <w:pPr>
              <w:snapToGrid w:val="0"/>
              <w:spacing w:line="276" w:lineRule="auto"/>
              <w:rPr>
                <w:rFonts w:cs="仿宋_GB2312" w:asciiTheme="minorEastAsia" w:hAnsiTheme="minorEastAsia" w:eastAsiaTheme="minorEastAsia"/>
                <w:szCs w:val="21"/>
              </w:rPr>
            </w:pPr>
            <w:r>
              <w:rPr>
                <w:rFonts w:cs="仿宋_GB2312" w:asciiTheme="minorEastAsia" w:hAnsiTheme="minorEastAsia" w:eastAsiaTheme="minorEastAsia"/>
                <w:szCs w:val="21"/>
              </w:rPr>
              <w:t>有切实可行的应急方案预案，能保证</w:t>
            </w:r>
            <w:r>
              <w:rPr>
                <w:rFonts w:hint="eastAsia" w:cs="仿宋_GB2312" w:asciiTheme="minorEastAsia" w:hAnsiTheme="minorEastAsia" w:eastAsiaTheme="minorEastAsia"/>
                <w:szCs w:val="21"/>
              </w:rPr>
              <w:t>及时完成设备安装的，</w:t>
            </w:r>
            <w:r>
              <w:rPr>
                <w:rFonts w:cs="仿宋_GB2312" w:asciiTheme="minorEastAsia" w:hAnsiTheme="minorEastAsia" w:eastAsiaTheme="minorEastAsia"/>
                <w:szCs w:val="21"/>
              </w:rPr>
              <w:t xml:space="preserve">得 </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5-8</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有基本的应急方案，但不能完全保证设备的安装和使用，得[</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应急方案不能保证设备的安装使用的或未提供者</w:t>
            </w:r>
            <w:r>
              <w:rPr>
                <w:rFonts w:cs="仿宋_GB2312" w:asciiTheme="minorEastAsia" w:hAnsiTheme="minorEastAsia" w:eastAsiaTheme="minorEastAsia"/>
                <w:szCs w:val="21"/>
              </w:rPr>
              <w:t xml:space="preserve">得 </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0</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1146" w:type="dxa"/>
            <w:shd w:val="clear" w:color="auto" w:fill="auto"/>
            <w:vAlign w:val="center"/>
          </w:tcPr>
          <w:p>
            <w:pPr>
              <w:autoSpaceDE w:val="0"/>
              <w:autoSpaceDN w:val="0"/>
              <w:adjustRightInd w:val="0"/>
              <w:spacing w:line="276" w:lineRule="auto"/>
              <w:jc w:val="left"/>
              <w:rPr>
                <w:rFonts w:ascii="宋体" w:hAnsi="宋体" w:cs="宋体"/>
                <w:szCs w:val="21"/>
              </w:rPr>
            </w:pPr>
            <w:r>
              <w:rPr>
                <w:rFonts w:hint="eastAsia" w:ascii="宋体" w:hAnsi="宋体" w:cs="宋体"/>
                <w:szCs w:val="21"/>
              </w:rPr>
              <w:t>培训方案</w:t>
            </w:r>
          </w:p>
        </w:tc>
        <w:tc>
          <w:tcPr>
            <w:tcW w:w="851" w:type="dxa"/>
            <w:shd w:val="clear" w:color="auto" w:fill="auto"/>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7</w:t>
            </w:r>
            <w:r>
              <w:rPr>
                <w:rFonts w:hint="eastAsia" w:ascii="宋体" w:hAnsi="宋体" w:cs="宋体"/>
                <w:szCs w:val="21"/>
              </w:rPr>
              <w:t>分</w:t>
            </w:r>
          </w:p>
        </w:tc>
        <w:tc>
          <w:tcPr>
            <w:tcW w:w="7466" w:type="dxa"/>
            <w:shd w:val="clear" w:color="auto" w:fill="auto"/>
            <w:vAlign w:val="center"/>
          </w:tcPr>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根据各投标供应商的培训方案（方案内容</w:t>
            </w:r>
            <w:r>
              <w:rPr>
                <w:rFonts w:hint="eastAsia" w:cs="仿宋_GB2312" w:asciiTheme="minorEastAsia" w:hAnsiTheme="minorEastAsia" w:eastAsiaTheme="minorEastAsia"/>
                <w:szCs w:val="21"/>
                <w:lang w:val="en-US" w:eastAsia="zh-CN"/>
              </w:rPr>
              <w:t>至少</w:t>
            </w:r>
            <w:r>
              <w:rPr>
                <w:rFonts w:hint="eastAsia" w:cs="仿宋_GB2312" w:asciiTheme="minorEastAsia" w:hAnsiTheme="minorEastAsia" w:eastAsiaTheme="minorEastAsia"/>
                <w:szCs w:val="21"/>
              </w:rPr>
              <w:t>包含培训计划、人员安排、培训内容），综合评价，分档计分：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培训方案内容完整，培训计划切实可行，人员安排合理，场次分配均匀且到位，培训方式得当，培训内容详尽，综合评价优异：[</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7</w:t>
            </w:r>
            <w:r>
              <w:rPr>
                <w:rFonts w:hint="eastAsia"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培训方案内容较完整，培训计划可行，人员安排合理，场次到位，培训方式较适用，培训内容较完善，综合评价良好的计[</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）分；</w:t>
            </w:r>
          </w:p>
          <w:p>
            <w:pPr>
              <w:pStyle w:val="17"/>
              <w:snapToGrid w:val="0"/>
              <w:spacing w:line="276" w:lineRule="auto"/>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培训方案内容不完整，培训计划一般，人员安排基本符合要求，培训场次基本到位，培训方式一般，培训内容较简单，综合评价一般的或未提供的计[0-</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6" w:type="dxa"/>
            <w:shd w:val="clear" w:color="auto" w:fill="auto"/>
            <w:vAlign w:val="center"/>
          </w:tcPr>
          <w:p>
            <w:pPr>
              <w:overflowPunct w:val="0"/>
              <w:adjustRightInd w:val="0"/>
              <w:snapToGrid w:val="0"/>
              <w:spacing w:line="276" w:lineRule="auto"/>
              <w:jc w:val="center"/>
              <w:rPr>
                <w:rFonts w:ascii="宋体" w:hAnsi="宋体"/>
                <w:b/>
                <w:szCs w:val="21"/>
              </w:rPr>
            </w:pPr>
            <w:r>
              <w:rPr>
                <w:rFonts w:hint="eastAsia" w:ascii="宋体" w:hAnsi="宋体" w:cs="宋体"/>
                <w:szCs w:val="21"/>
              </w:rPr>
              <w:t>售后服务</w:t>
            </w:r>
          </w:p>
        </w:tc>
        <w:tc>
          <w:tcPr>
            <w:tcW w:w="851" w:type="dxa"/>
            <w:shd w:val="clear" w:color="auto" w:fill="auto"/>
            <w:vAlign w:val="center"/>
          </w:tcPr>
          <w:p>
            <w:pPr>
              <w:overflowPunct w:val="0"/>
              <w:adjustRightInd w:val="0"/>
              <w:snapToGrid w:val="0"/>
              <w:spacing w:line="276" w:lineRule="auto"/>
              <w:jc w:val="center"/>
              <w:rPr>
                <w:rFonts w:ascii="宋体" w:hAnsi="宋体" w:cs="宋体"/>
                <w:szCs w:val="21"/>
              </w:rPr>
            </w:pPr>
            <w:r>
              <w:rPr>
                <w:rFonts w:ascii="宋体" w:hAnsi="宋体" w:cs="宋体"/>
                <w:szCs w:val="21"/>
              </w:rPr>
              <w:t>7</w:t>
            </w:r>
            <w:r>
              <w:rPr>
                <w:rFonts w:hint="eastAsia" w:ascii="宋体" w:hAnsi="宋体" w:cs="宋体"/>
                <w:szCs w:val="21"/>
              </w:rPr>
              <w:t>分</w:t>
            </w:r>
          </w:p>
        </w:tc>
        <w:tc>
          <w:tcPr>
            <w:tcW w:w="7466" w:type="dxa"/>
            <w:shd w:val="clear" w:color="auto" w:fill="auto"/>
            <w:vAlign w:val="center"/>
          </w:tcPr>
          <w:p>
            <w:pPr>
              <w:snapToGrid w:val="0"/>
              <w:spacing w:line="276" w:lineRule="auto"/>
              <w:rPr>
                <w:rFonts w:cs="仿宋_GB2312" w:asciiTheme="minorEastAsia" w:hAnsiTheme="minorEastAsia" w:eastAsiaTheme="minorEastAsia"/>
                <w:szCs w:val="21"/>
              </w:rPr>
            </w:pPr>
            <w:r>
              <w:rPr>
                <w:rFonts w:cs="仿宋_GB2312" w:asciiTheme="minorEastAsia" w:hAnsiTheme="minorEastAsia" w:eastAsiaTheme="minorEastAsia"/>
                <w:szCs w:val="21"/>
              </w:rPr>
              <w:t>具有良好的</w:t>
            </w:r>
            <w:r>
              <w:rPr>
                <w:rFonts w:hint="eastAsia" w:cs="仿宋_GB2312" w:asciiTheme="minorEastAsia" w:hAnsiTheme="minorEastAsia" w:eastAsiaTheme="minorEastAsia"/>
                <w:szCs w:val="21"/>
              </w:rPr>
              <w:t>售后</w:t>
            </w:r>
            <w:r>
              <w:rPr>
                <w:rFonts w:cs="仿宋_GB2312" w:asciiTheme="minorEastAsia" w:hAnsiTheme="minorEastAsia" w:eastAsiaTheme="minorEastAsia"/>
                <w:szCs w:val="21"/>
              </w:rPr>
              <w:t>服务能力，能够准确提供</w:t>
            </w:r>
            <w:r>
              <w:rPr>
                <w:rFonts w:hint="eastAsia" w:cs="仿宋_GB2312" w:asciiTheme="minorEastAsia" w:hAnsiTheme="minorEastAsia" w:eastAsiaTheme="minorEastAsia"/>
                <w:szCs w:val="21"/>
              </w:rPr>
              <w:t>售后</w:t>
            </w:r>
            <w:r>
              <w:rPr>
                <w:rFonts w:cs="仿宋_GB2312" w:asciiTheme="minorEastAsia" w:hAnsiTheme="minorEastAsia" w:eastAsiaTheme="minorEastAsia"/>
                <w:szCs w:val="21"/>
              </w:rPr>
              <w:t>服务</w:t>
            </w:r>
            <w:r>
              <w:rPr>
                <w:rFonts w:hint="eastAsia" w:cs="仿宋_GB2312" w:asciiTheme="minorEastAsia" w:hAnsiTheme="minorEastAsia" w:eastAsiaTheme="minorEastAsia"/>
                <w:szCs w:val="21"/>
              </w:rPr>
              <w:t>，提供</w:t>
            </w:r>
            <w:r>
              <w:rPr>
                <w:rFonts w:cs="仿宋_GB2312" w:asciiTheme="minorEastAsia" w:hAnsiTheme="minorEastAsia" w:eastAsiaTheme="minorEastAsia"/>
                <w:szCs w:val="21"/>
              </w:rPr>
              <w:t>本项目售后人员联系方式。（包括但不限于服务人员配备、响应时间、</w:t>
            </w:r>
            <w:r>
              <w:rPr>
                <w:rFonts w:hint="eastAsia" w:cs="仿宋_GB2312" w:asciiTheme="minorEastAsia" w:hAnsiTheme="minorEastAsia" w:eastAsiaTheme="minorEastAsia"/>
                <w:szCs w:val="21"/>
                <w:lang w:val="en-US" w:eastAsia="zh-CN"/>
              </w:rPr>
              <w:t>保障措施</w:t>
            </w:r>
            <w:r>
              <w:rPr>
                <w:rFonts w:cs="仿宋_GB2312" w:asciiTheme="minorEastAsia" w:hAnsiTheme="minorEastAsia" w:eastAsiaTheme="minorEastAsia"/>
                <w:szCs w:val="21"/>
              </w:rPr>
              <w:t>、紧急故障处理预案等）进行综合评价。</w:t>
            </w:r>
          </w:p>
          <w:p>
            <w:pPr>
              <w:snapToGrid w:val="0"/>
              <w:spacing w:line="276" w:lineRule="auto"/>
              <w:rPr>
                <w:rFonts w:cs="仿宋_GB2312" w:asciiTheme="minorEastAsia" w:hAnsiTheme="minorEastAsia" w:eastAsiaTheme="minorEastAsia"/>
                <w:szCs w:val="21"/>
              </w:rPr>
            </w:pPr>
            <w:r>
              <w:rPr>
                <w:rFonts w:cs="仿宋_GB2312" w:asciiTheme="minorEastAsia" w:hAnsiTheme="minorEastAsia" w:eastAsiaTheme="minorEastAsia"/>
                <w:szCs w:val="21"/>
              </w:rPr>
              <w:t>售后服务方案齐全合理、可操作性强：</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7</w:t>
            </w:r>
            <w:r>
              <w:rPr>
                <w:rFonts w:hint="eastAsia"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cs="仿宋_GB2312" w:asciiTheme="minorEastAsia" w:hAnsiTheme="minorEastAsia" w:eastAsiaTheme="minorEastAsia"/>
                <w:szCs w:val="21"/>
              </w:rPr>
              <w:t>售后服务方案基本满足项目需求：</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5</w:t>
            </w:r>
            <w:r>
              <w:rPr>
                <w:rFonts w:hint="eastAsia" w:cs="仿宋_GB2312" w:asciiTheme="minorEastAsia" w:hAnsiTheme="minorEastAsia" w:eastAsiaTheme="minorEastAsia"/>
                <w:szCs w:val="21"/>
              </w:rPr>
              <w:t>）分；</w:t>
            </w:r>
          </w:p>
          <w:p>
            <w:pPr>
              <w:snapToGrid w:val="0"/>
              <w:spacing w:line="276" w:lineRule="auto"/>
              <w:rPr>
                <w:rFonts w:cs="仿宋_GB2312" w:asciiTheme="minorEastAsia" w:hAnsiTheme="minorEastAsia" w:eastAsiaTheme="minorEastAsia"/>
                <w:szCs w:val="21"/>
              </w:rPr>
            </w:pPr>
            <w:r>
              <w:rPr>
                <w:rFonts w:cs="仿宋_GB2312" w:asciiTheme="minorEastAsia" w:hAnsiTheme="minorEastAsia" w:eastAsiaTheme="minorEastAsia"/>
                <w:szCs w:val="21"/>
              </w:rPr>
              <w:t>售后服务方案不完整或合理性低：</w:t>
            </w:r>
            <w:r>
              <w:rPr>
                <w:rFonts w:hint="eastAsia" w:cs="仿宋_GB2312" w:asciiTheme="minorEastAsia" w:hAnsiTheme="minorEastAsia" w:eastAsiaTheme="minorEastAsia"/>
                <w:szCs w:val="21"/>
              </w:rPr>
              <w:t>[0-</w:t>
            </w: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146" w:type="dxa"/>
            <w:shd w:val="clear" w:color="auto" w:fill="auto"/>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业绩</w:t>
            </w:r>
          </w:p>
        </w:tc>
        <w:tc>
          <w:tcPr>
            <w:tcW w:w="851" w:type="dxa"/>
            <w:shd w:val="clear" w:color="auto" w:fill="auto"/>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5</w:t>
            </w:r>
            <w:r>
              <w:rPr>
                <w:rFonts w:hint="eastAsia" w:ascii="宋体" w:hAnsi="宋体" w:cs="宋体"/>
                <w:szCs w:val="21"/>
              </w:rPr>
              <w:t>分</w:t>
            </w:r>
          </w:p>
        </w:tc>
        <w:tc>
          <w:tcPr>
            <w:tcW w:w="7466" w:type="dxa"/>
            <w:shd w:val="clear" w:color="auto" w:fill="auto"/>
            <w:vAlign w:val="center"/>
          </w:tcPr>
          <w:p>
            <w:pPr>
              <w:overflowPunct w:val="0"/>
              <w:adjustRightInd w:val="0"/>
              <w:snapToGrid w:val="0"/>
              <w:spacing w:line="276" w:lineRule="auto"/>
              <w:rPr>
                <w:rFonts w:ascii="宋体" w:hAnsi="宋体"/>
                <w:b/>
                <w:szCs w:val="21"/>
              </w:rPr>
            </w:pPr>
            <w:r>
              <w:rPr>
                <w:rFonts w:hint="eastAsia" w:ascii="宋体" w:hAnsi="宋体" w:cs="宋体"/>
                <w:szCs w:val="21"/>
              </w:rPr>
              <w:t>投标供应商提供2</w:t>
            </w:r>
            <w:r>
              <w:rPr>
                <w:rFonts w:ascii="宋体" w:hAnsi="宋体" w:cs="宋体"/>
                <w:szCs w:val="21"/>
              </w:rPr>
              <w:t>019</w:t>
            </w:r>
            <w:r>
              <w:rPr>
                <w:rFonts w:hint="eastAsia" w:ascii="宋体" w:hAnsi="宋体" w:cs="宋体"/>
                <w:szCs w:val="21"/>
              </w:rPr>
              <w:t>年1月1日至今类似项目业绩，1个得</w:t>
            </w:r>
            <w:r>
              <w:rPr>
                <w:rFonts w:ascii="宋体" w:hAnsi="宋体" w:cs="宋体"/>
                <w:szCs w:val="21"/>
              </w:rPr>
              <w:t>1</w:t>
            </w:r>
            <w:r>
              <w:rPr>
                <w:rFonts w:hint="eastAsia" w:ascii="宋体" w:hAnsi="宋体" w:cs="宋体"/>
                <w:szCs w:val="21"/>
              </w:rPr>
              <w:t>分，最高</w:t>
            </w:r>
            <w:r>
              <w:rPr>
                <w:rFonts w:ascii="宋体" w:hAnsi="宋体" w:cs="宋体"/>
                <w:szCs w:val="21"/>
              </w:rPr>
              <w:t>5</w:t>
            </w:r>
            <w:r>
              <w:rPr>
                <w:rFonts w:hint="eastAsia" w:ascii="宋体" w:hAnsi="宋体" w:cs="宋体"/>
                <w:szCs w:val="21"/>
              </w:rPr>
              <w:t>分。（以合同或协议签订日期为准，投标文件中附加盖公章的合同或协议复印件，否则不作为评审依据）。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997" w:type="dxa"/>
            <w:gridSpan w:val="2"/>
            <w:shd w:val="clear" w:color="auto" w:fill="auto"/>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说明</w:t>
            </w:r>
          </w:p>
        </w:tc>
        <w:tc>
          <w:tcPr>
            <w:tcW w:w="7466" w:type="dxa"/>
            <w:shd w:val="clear" w:color="auto" w:fill="auto"/>
            <w:vAlign w:val="center"/>
          </w:tcPr>
          <w:p>
            <w:pPr>
              <w:overflowPunct w:val="0"/>
              <w:adjustRightInd w:val="0"/>
              <w:snapToGrid w:val="0"/>
              <w:spacing w:line="276" w:lineRule="auto"/>
              <w:rPr>
                <w:rFonts w:ascii="宋体" w:hAnsi="宋体" w:cs="宋体"/>
                <w:szCs w:val="21"/>
              </w:rPr>
            </w:pPr>
            <w:r>
              <w:rPr>
                <w:rFonts w:ascii="宋体" w:hAnsi="宋体" w:cs="宋体"/>
                <w:szCs w:val="21"/>
              </w:rPr>
              <w:t>1、评标委员会成员必须按照本评审要素据实打分，各类数字计算均按“四舍五入”保留小数点后两位；</w:t>
            </w:r>
          </w:p>
          <w:p>
            <w:pPr>
              <w:overflowPunct w:val="0"/>
              <w:adjustRightInd w:val="0"/>
              <w:snapToGrid w:val="0"/>
              <w:spacing w:line="276" w:lineRule="auto"/>
              <w:rPr>
                <w:rFonts w:ascii="宋体" w:hAnsi="宋体" w:cs="宋体"/>
                <w:szCs w:val="21"/>
              </w:rPr>
            </w:pPr>
            <w:r>
              <w:rPr>
                <w:rFonts w:hint="eastAsia" w:ascii="宋体" w:hAnsi="宋体" w:cs="宋体"/>
                <w:szCs w:val="21"/>
              </w:rPr>
              <w:t>2、本表分值区间符号：“［”、“］”包含本数；“（”、“）”不包含本数。</w:t>
            </w:r>
          </w:p>
        </w:tc>
      </w:tr>
    </w:tbl>
    <w:p>
      <w:pPr>
        <w:shd w:val="clear" w:color="auto" w:fill="FFFFFF"/>
        <w:spacing w:line="360" w:lineRule="auto"/>
        <w:jc w:val="center"/>
        <w:rPr>
          <w:rFonts w:ascii="宋体" w:hAnsi="宋体" w:cs="宋体"/>
          <w:b/>
          <w:sz w:val="32"/>
          <w:szCs w:val="32"/>
        </w:rPr>
      </w:pPr>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
      <w:pPr>
        <w:pStyle w:val="17"/>
      </w:pPr>
    </w:p>
    <w:p/>
    <w:p>
      <w:pPr>
        <w:pStyle w:val="17"/>
      </w:pPr>
    </w:p>
    <w:p>
      <w:pPr>
        <w:pStyle w:val="17"/>
      </w:pPr>
    </w:p>
    <w:p>
      <w:pPr>
        <w:shd w:val="clear" w:color="auto" w:fill="FFFFFF"/>
        <w:spacing w:line="360" w:lineRule="auto"/>
        <w:jc w:val="center"/>
        <w:rPr>
          <w:rFonts w:ascii="宋体" w:hAnsi="宋体" w:cs="宋体"/>
          <w:b/>
          <w:sz w:val="32"/>
          <w:szCs w:val="32"/>
        </w:rPr>
        <w:sectPr>
          <w:footerReference r:id="rId5" w:type="first"/>
          <w:headerReference r:id="rId4" w:type="default"/>
          <w:pgSz w:w="11906" w:h="16838"/>
          <w:pgMar w:top="1440" w:right="1800" w:bottom="1440" w:left="1800" w:header="851" w:footer="992" w:gutter="0"/>
          <w:cols w:space="425" w:num="1"/>
          <w:docGrid w:linePitch="312" w:charSpace="0"/>
        </w:sectPr>
      </w:pPr>
    </w:p>
    <w:p>
      <w:pPr>
        <w:shd w:val="clear" w:color="auto" w:fill="FFFFFF"/>
        <w:spacing w:line="360" w:lineRule="auto"/>
        <w:jc w:val="center"/>
        <w:outlineLvl w:val="0"/>
        <w:rPr>
          <w:rFonts w:ascii="宋体" w:hAnsi="宋体" w:cs="宋体"/>
          <w:b/>
          <w:sz w:val="32"/>
          <w:szCs w:val="32"/>
        </w:rPr>
      </w:pPr>
      <w:bookmarkStart w:id="12" w:name="_Toc12695"/>
      <w:bookmarkStart w:id="13" w:name="_Toc27747"/>
      <w:r>
        <w:rPr>
          <w:rFonts w:hint="eastAsia" w:ascii="宋体" w:hAnsi="宋体" w:cs="宋体"/>
          <w:b/>
          <w:sz w:val="32"/>
          <w:szCs w:val="32"/>
        </w:rPr>
        <w:t xml:space="preserve">第四章 </w:t>
      </w:r>
      <w:r>
        <w:rPr>
          <w:rFonts w:hint="eastAsia" w:ascii="宋体" w:hAnsi="宋体" w:cs="宋体"/>
          <w:b/>
          <w:bCs/>
          <w:sz w:val="32"/>
          <w:szCs w:val="32"/>
        </w:rPr>
        <w:t>招标内容及技术要求</w:t>
      </w:r>
      <w:bookmarkEnd w:id="12"/>
      <w:bookmarkEnd w:id="13"/>
    </w:p>
    <w:p>
      <w:pPr>
        <w:keepNext w:val="0"/>
        <w:keepLines w:val="0"/>
        <w:pageBreakBefore w:val="0"/>
        <w:widowControl w:val="0"/>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32"/>
          <w:szCs w:val="32"/>
          <w:lang w:val="en-US" w:eastAsia="zh-CN"/>
        </w:rPr>
      </w:pPr>
      <w:r>
        <w:rPr>
          <w:rFonts w:hint="eastAsia" w:ascii="宋体" w:hAnsi="宋体" w:cs="宋体"/>
          <w:b/>
          <w:sz w:val="21"/>
          <w:szCs w:val="21"/>
          <w:lang w:val="en-US" w:eastAsia="zh-CN"/>
        </w:rPr>
        <w:t>一、采购清单</w:t>
      </w:r>
    </w:p>
    <w:tbl>
      <w:tblPr>
        <w:tblStyle w:val="41"/>
        <w:tblpPr w:leftFromText="180" w:rightFromText="180" w:vertAnchor="text" w:horzAnchor="page" w:tblpX="2025" w:tblpY="4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425"/>
        <w:gridCol w:w="5624"/>
        <w:gridCol w:w="491"/>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序号</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名称</w:t>
            </w:r>
          </w:p>
        </w:tc>
        <w:tc>
          <w:tcPr>
            <w:tcW w:w="56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主要功能</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单位</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bookmarkStart w:id="14" w:name="OLE_LINK1" w:colFirst="5" w:colLast="6"/>
            <w:r>
              <w:rPr>
                <w:rFonts w:hint="eastAsia" w:ascii="宋体" w:hAnsi="宋体" w:eastAsia="宋体" w:cs="宋体"/>
                <w:b w:val="0"/>
                <w:bCs w:val="0"/>
                <w:i w:val="0"/>
                <w:iCs w:val="0"/>
                <w:color w:val="000000"/>
                <w:kern w:val="0"/>
                <w:sz w:val="22"/>
                <w:szCs w:val="22"/>
                <w:u w:val="none"/>
                <w:lang w:val="en-US" w:eastAsia="zh-CN" w:bidi="ar"/>
              </w:rPr>
              <w:t>1</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kern w:val="0"/>
                <w:sz w:val="22"/>
                <w:szCs w:val="22"/>
                <w:u w:val="none"/>
                <w:lang w:val="en-US" w:eastAsia="zh-CN" w:bidi="ar"/>
              </w:rPr>
            </w:pPr>
            <w:r>
              <w:rPr>
                <w:rFonts w:hint="eastAsia" w:ascii="宋体" w:hAnsi="宋体" w:eastAsia="宋体" w:cs="宋体"/>
                <w:color w:val="FF0000"/>
                <w:sz w:val="22"/>
                <w:szCs w:val="22"/>
                <w:lang w:val="en-US" w:eastAsia="zh-CN"/>
              </w:rPr>
              <w:t>PCR扩增仪</w:t>
            </w:r>
            <w:r>
              <w:rPr>
                <w:rFonts w:hint="eastAsia" w:ascii="宋体" w:hAnsi="宋体" w:cs="宋体"/>
                <w:color w:val="FF0000"/>
                <w:sz w:val="22"/>
                <w:szCs w:val="22"/>
                <w:lang w:val="en-US" w:eastAsia="zh-CN"/>
              </w:rPr>
              <w:t>【核心产品】</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四通道以上，架子等辅助配件</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FF0000"/>
                <w:kern w:val="0"/>
                <w:sz w:val="22"/>
                <w:szCs w:val="22"/>
                <w:u w:val="none"/>
                <w:lang w:val="en-US" w:eastAsia="zh-CN" w:bidi="ar"/>
              </w:rPr>
            </w:pPr>
            <w:r>
              <w:rPr>
                <w:rFonts w:hint="eastAsia" w:ascii="宋体" w:hAnsi="宋体" w:eastAsia="宋体" w:cs="宋体"/>
                <w:b w:val="0"/>
                <w:bCs w:val="0"/>
                <w:i w:val="0"/>
                <w:iCs w:val="0"/>
                <w:color w:val="FF0000"/>
                <w:kern w:val="0"/>
                <w:sz w:val="22"/>
                <w:szCs w:val="22"/>
                <w:u w:val="none"/>
                <w:lang w:val="en-US" w:eastAsia="zh-CN" w:bidi="ar"/>
              </w:rPr>
              <w:t>全自动核酸提取仪</w:t>
            </w:r>
            <w:r>
              <w:rPr>
                <w:rFonts w:hint="eastAsia" w:ascii="宋体" w:hAnsi="宋体" w:cs="宋体"/>
                <w:color w:val="FF0000"/>
                <w:sz w:val="22"/>
                <w:szCs w:val="22"/>
                <w:lang w:val="en-US" w:eastAsia="zh-CN"/>
              </w:rPr>
              <w:t>【核心产品】</w:t>
            </w:r>
          </w:p>
        </w:tc>
        <w:tc>
          <w:tcPr>
            <w:tcW w:w="5624" w:type="dxa"/>
            <w:noWrap w:val="0"/>
            <w:vAlign w:val="center"/>
          </w:tcPr>
          <w:p>
            <w:pPr>
              <w:keepNext w:val="0"/>
              <w:keepLines w:val="0"/>
              <w:widowControl w:val="0"/>
              <w:suppressLineNumbers w:val="0"/>
              <w:spacing w:before="0" w:beforeAutospacing="0" w:after="0" w:afterAutospacing="0" w:line="240" w:lineRule="auto"/>
              <w:ind w:left="0" w:right="0"/>
              <w:jc w:val="both"/>
              <w:rPr>
                <w:rFonts w:hint="default" w:ascii="宋体" w:hAnsi="宋体" w:eastAsia="宋体" w:cs="宋体"/>
                <w:sz w:val="22"/>
                <w:szCs w:val="22"/>
                <w:lang w:val="en-US" w:eastAsia="zh-CN"/>
              </w:rPr>
            </w:pPr>
            <w:r>
              <w:rPr>
                <w:rFonts w:hint="eastAsia" w:ascii="宋体" w:hAnsi="宋体" w:eastAsia="宋体" w:cs="宋体"/>
                <w:bCs/>
                <w:kern w:val="2"/>
                <w:sz w:val="22"/>
                <w:szCs w:val="22"/>
                <w:lang w:val="en-US" w:eastAsia="zh-CN" w:bidi="ar"/>
              </w:rPr>
              <w:t>可从咽拭子、血清、血浆、全血、增菌液、组织、干血斑等多种类型的样本中实现全自动、快速提取到所需要的目标核酸</w:t>
            </w:r>
            <w:r>
              <w:rPr>
                <w:rFonts w:hint="eastAsia" w:ascii="宋体" w:hAnsi="宋体" w:cs="宋体"/>
                <w:bCs/>
                <w:kern w:val="2"/>
                <w:sz w:val="22"/>
                <w:szCs w:val="22"/>
                <w:lang w:val="en-US" w:eastAsia="zh-CN" w:bidi="ar"/>
              </w:rPr>
              <w:t>.</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sz w:val="22"/>
                <w:szCs w:val="22"/>
                <w:lang w:val="en-US" w:eastAsia="zh-CN"/>
              </w:rPr>
              <w:t>内循环耐强酸碱</w:t>
            </w:r>
            <w:r>
              <w:rPr>
                <w:rFonts w:hint="eastAsia" w:ascii="宋体" w:hAnsi="宋体" w:eastAsia="宋体" w:cs="宋体"/>
                <w:b w:val="0"/>
                <w:bCs w:val="0"/>
                <w:i w:val="0"/>
                <w:iCs w:val="0"/>
                <w:color w:val="000000"/>
                <w:kern w:val="0"/>
                <w:sz w:val="22"/>
                <w:szCs w:val="22"/>
                <w:u w:val="none"/>
                <w:lang w:val="en-US" w:eastAsia="zh-CN" w:bidi="ar"/>
              </w:rPr>
              <w:t>PP试剂柜</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耐酸碱PP材质内排式双锁，（强酸碱、易制毒）</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全自动高压灭菌锅</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P2实验室用，内置水桶，75升</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FF0000"/>
                <w:kern w:val="0"/>
                <w:sz w:val="22"/>
                <w:szCs w:val="22"/>
                <w:u w:val="none"/>
                <w:lang w:val="en-US" w:eastAsia="zh-CN" w:bidi="ar"/>
              </w:rPr>
              <w:t>全自动液体处理工作站</w:t>
            </w:r>
            <w:r>
              <w:rPr>
                <w:rFonts w:hint="eastAsia" w:ascii="宋体" w:hAnsi="宋体" w:cs="宋体"/>
                <w:color w:val="FF0000"/>
                <w:sz w:val="22"/>
                <w:szCs w:val="22"/>
                <w:lang w:val="en-US" w:eastAsia="zh-CN"/>
              </w:rPr>
              <w:t>【核心产品】</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全自动样品处理系统，20分钟内可实现96份样本管信息录入、样本混匀、蛋白酶K/内参添加、开盖/关盖、样本转移、深孔板信息录入、样本管回收至样本架、将样本加载至深孔板等功能，全程自动化。</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甩板离心机</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PlateSmart 甩板机一次可以同时离心4块酶标板或2块PCR 板或2块深孔板</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全钢更衣柜</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b w:val="0"/>
                <w:bCs/>
                <w:color w:val="auto"/>
                <w:sz w:val="22"/>
                <w:szCs w:val="22"/>
                <w:lang w:val="en-US" w:eastAsia="zh-CN"/>
              </w:rPr>
              <w:t>两位4空间</w:t>
            </w:r>
            <w:r>
              <w:rPr>
                <w:rFonts w:hint="eastAsia" w:ascii="宋体" w:hAnsi="宋体" w:eastAsia="宋体" w:cs="宋体"/>
                <w:sz w:val="22"/>
                <w:szCs w:val="22"/>
                <w:lang w:val="en-US" w:eastAsia="zh-CN"/>
              </w:rPr>
              <w:t xml:space="preserve"> </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实验室温控设备</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挂式，适合20-30</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可升降实验凳</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小靠背，</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把</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洗衣机</w:t>
            </w:r>
          </w:p>
        </w:tc>
        <w:tc>
          <w:tcPr>
            <w:tcW w:w="5624"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清洗实验服</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实验室挂表</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b w:val="0"/>
                <w:bCs w:val="0"/>
                <w:i w:val="0"/>
                <w:iCs w:val="0"/>
                <w:color w:val="000000"/>
                <w:kern w:val="0"/>
                <w:sz w:val="22"/>
                <w:szCs w:val="22"/>
                <w:u w:val="none"/>
                <w:lang w:val="en-US" w:eastAsia="zh-CN" w:bidi="ar"/>
              </w:rPr>
              <w:t>微生物实验室用（粘）</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硒灯原子荧光配用</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原子荧光</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百分之一天平</w:t>
            </w:r>
          </w:p>
        </w:tc>
        <w:tc>
          <w:tcPr>
            <w:tcW w:w="5624"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称重</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c>
          <w:tcPr>
            <w:tcW w:w="1425" w:type="dxa"/>
            <w:vMerge w:val="restar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8联手动移液器 </w:t>
            </w:r>
          </w:p>
        </w:tc>
        <w:tc>
          <w:tcPr>
            <w:tcW w:w="5624"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0.5—10ul</w:t>
            </w:r>
            <w:r>
              <w:rPr>
                <w:rFonts w:hint="eastAsia" w:ascii="宋体" w:hAnsi="宋体" w:cs="宋体"/>
                <w:b w:val="0"/>
                <w:bCs w:val="0"/>
                <w:color w:val="000000"/>
                <w:kern w:val="2"/>
                <w:sz w:val="22"/>
                <w:szCs w:val="22"/>
                <w:lang w:val="en-US" w:eastAsia="zh-CN" w:bidi="ar-SA"/>
              </w:rPr>
              <w:t xml:space="preserve">（3支） </w:t>
            </w:r>
            <w:r>
              <w:rPr>
                <w:rFonts w:hint="eastAsia" w:ascii="宋体" w:hAnsi="宋体" w:eastAsia="宋体" w:cs="宋体"/>
                <w:b w:val="0"/>
                <w:bCs w:val="0"/>
                <w:color w:val="000000"/>
                <w:kern w:val="2"/>
                <w:sz w:val="22"/>
                <w:szCs w:val="22"/>
                <w:lang w:val="en-US" w:eastAsia="zh-CN" w:bidi="ar-SA"/>
              </w:rPr>
              <w:t>5—50ul</w:t>
            </w:r>
            <w:r>
              <w:rPr>
                <w:rFonts w:hint="eastAsia" w:ascii="宋体" w:hAnsi="宋体" w:cs="宋体"/>
                <w:b w:val="0"/>
                <w:bCs w:val="0"/>
                <w:color w:val="000000"/>
                <w:kern w:val="2"/>
                <w:sz w:val="22"/>
                <w:szCs w:val="22"/>
                <w:lang w:val="en-US" w:eastAsia="zh-CN" w:bidi="ar-SA"/>
              </w:rPr>
              <w:t>（2支）</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425" w:type="dxa"/>
            <w:vMerge w:val="continue"/>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624"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0.5—10ul</w:t>
            </w:r>
            <w:r>
              <w:rPr>
                <w:rFonts w:hint="eastAsia" w:ascii="宋体" w:hAnsi="宋体" w:cs="宋体"/>
                <w:b w:val="0"/>
                <w:bCs w:val="0"/>
                <w:color w:val="000000"/>
                <w:kern w:val="2"/>
                <w:sz w:val="22"/>
                <w:szCs w:val="22"/>
                <w:lang w:val="en-US" w:eastAsia="zh-CN" w:bidi="ar-SA"/>
              </w:rPr>
              <w:t xml:space="preserve">（3支） </w:t>
            </w:r>
            <w:r>
              <w:rPr>
                <w:rFonts w:hint="eastAsia" w:ascii="宋体" w:hAnsi="宋体" w:eastAsia="宋体" w:cs="宋体"/>
                <w:b w:val="0"/>
                <w:bCs w:val="0"/>
                <w:color w:val="000000"/>
                <w:kern w:val="2"/>
                <w:sz w:val="22"/>
                <w:szCs w:val="22"/>
                <w:lang w:val="en-US" w:eastAsia="zh-CN" w:bidi="ar-SA"/>
              </w:rPr>
              <w:t>5—50ul</w:t>
            </w:r>
            <w:r>
              <w:rPr>
                <w:rFonts w:hint="eastAsia" w:ascii="宋体" w:hAnsi="宋体" w:cs="宋体"/>
                <w:b w:val="0"/>
                <w:bCs w:val="0"/>
                <w:color w:val="000000"/>
                <w:kern w:val="2"/>
                <w:sz w:val="22"/>
                <w:szCs w:val="22"/>
                <w:lang w:val="en-US" w:eastAsia="zh-CN" w:bidi="ar-SA"/>
              </w:rPr>
              <w:t>（2支）</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支</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c>
          <w:tcPr>
            <w:tcW w:w="1425"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FF0000"/>
                <w:kern w:val="0"/>
                <w:sz w:val="22"/>
                <w:szCs w:val="22"/>
                <w:u w:val="none"/>
                <w:lang w:val="en-US" w:eastAsia="zh-CN" w:bidi="ar"/>
              </w:rPr>
              <w:t>全自动移液工作站</w:t>
            </w:r>
            <w:r>
              <w:rPr>
                <w:rFonts w:hint="eastAsia" w:ascii="宋体" w:hAnsi="宋体" w:cs="宋体"/>
                <w:color w:val="FF0000"/>
                <w:sz w:val="22"/>
                <w:szCs w:val="22"/>
                <w:lang w:val="en-US" w:eastAsia="zh-CN"/>
              </w:rPr>
              <w:t>【核心产品】</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全自动核酸检测试剂预混、分装；全自动核酸检测反应体系构建；核酸提取产物留样。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r>
              <w:rPr>
                <w:rFonts w:hint="eastAsia" w:ascii="宋体" w:hAnsi="宋体" w:cs="宋体"/>
                <w:b w:val="0"/>
                <w:bCs w:val="0"/>
                <w:i w:val="0"/>
                <w:iCs w:val="0"/>
                <w:color w:val="000000"/>
                <w:kern w:val="0"/>
                <w:sz w:val="22"/>
                <w:szCs w:val="22"/>
                <w:u w:val="none"/>
                <w:lang w:val="en-US" w:eastAsia="zh-CN" w:bidi="ar"/>
              </w:rPr>
              <w:t>6</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UPS延时电源</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应急供电电源</w:t>
            </w:r>
          </w:p>
        </w:tc>
        <w:tc>
          <w:tcPr>
            <w:tcW w:w="0" w:type="auto"/>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套</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0" w:type="auto"/>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r>
              <w:rPr>
                <w:rFonts w:hint="eastAsia" w:ascii="宋体" w:hAnsi="宋体" w:cs="宋体"/>
                <w:b w:val="0"/>
                <w:bCs w:val="0"/>
                <w:i w:val="0"/>
                <w:iCs w:val="0"/>
                <w:color w:val="000000"/>
                <w:kern w:val="0"/>
                <w:sz w:val="22"/>
                <w:szCs w:val="22"/>
                <w:u w:val="none"/>
                <w:lang w:val="en-US" w:eastAsia="zh-CN" w:bidi="ar"/>
              </w:rPr>
              <w:t>7</w:t>
            </w: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电脑</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台式机</w:t>
            </w:r>
          </w:p>
        </w:tc>
        <w:tc>
          <w:tcPr>
            <w:tcW w:w="0" w:type="auto"/>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台</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0" w:type="auto"/>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宋体" w:hAnsi="宋体" w:eastAsia="宋体" w:cs="宋体"/>
                <w:b w:val="0"/>
                <w:bCs w:val="0"/>
                <w:i w:val="0"/>
                <w:iCs w:val="0"/>
                <w:color w:val="000000"/>
                <w:kern w:val="0"/>
                <w:sz w:val="22"/>
                <w:szCs w:val="22"/>
                <w:u w:val="none"/>
                <w:lang w:val="en-US" w:eastAsia="zh-CN" w:bidi="ar"/>
              </w:rPr>
            </w:pPr>
          </w:p>
        </w:tc>
        <w:tc>
          <w:tcPr>
            <w:tcW w:w="14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电脑</w:t>
            </w:r>
          </w:p>
        </w:tc>
        <w:tc>
          <w:tcPr>
            <w:tcW w:w="5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笔记本</w:t>
            </w:r>
          </w:p>
        </w:tc>
        <w:tc>
          <w:tcPr>
            <w:tcW w:w="0" w:type="auto"/>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台</w:t>
            </w:r>
          </w:p>
        </w:tc>
        <w:tc>
          <w:tcPr>
            <w:tcW w:w="0" w:type="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bookmarkEnd w:id="14"/>
    </w:tbl>
    <w:p>
      <w:pPr>
        <w:shd w:val="clear" w:color="auto" w:fill="FFFFFF"/>
        <w:spacing w:line="360" w:lineRule="auto"/>
        <w:jc w:val="both"/>
        <w:rPr>
          <w:rFonts w:hint="eastAsia" w:ascii="宋体" w:hAnsi="宋体" w:cs="宋体"/>
          <w:b/>
          <w:sz w:val="32"/>
          <w:szCs w:val="32"/>
        </w:rPr>
      </w:pPr>
    </w:p>
    <w:p>
      <w:pPr>
        <w:shd w:val="clear" w:color="auto" w:fill="FFFFFF"/>
        <w:spacing w:line="360" w:lineRule="auto"/>
        <w:jc w:val="both"/>
        <w:rPr>
          <w:rFonts w:hint="eastAsia"/>
          <w:lang w:val="en-US" w:eastAsia="zh-CN"/>
        </w:rPr>
      </w:pPr>
      <w:r>
        <w:rPr>
          <w:rFonts w:hint="eastAsia" w:ascii="宋体" w:hAnsi="宋体" w:cs="宋体"/>
          <w:b/>
          <w:sz w:val="21"/>
          <w:szCs w:val="21"/>
          <w:lang w:val="en-US" w:eastAsia="zh-CN"/>
        </w:rPr>
        <w:t>二、技术参数要求</w:t>
      </w:r>
    </w:p>
    <w:p>
      <w:pPr>
        <w:pStyle w:val="39"/>
        <w:keepNext w:val="0"/>
        <w:keepLines w:val="0"/>
        <w:pageBreakBefore w:val="0"/>
        <w:widowControl w:val="0"/>
        <w:numPr>
          <w:ilvl w:val="0"/>
          <w:numId w:val="6"/>
        </w:numPr>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 xml:space="preserve"> PCR扩增仪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lang w:val="en-US" w:eastAsia="zh-CN"/>
        </w:rPr>
        <w:t>技术</w:t>
      </w:r>
      <w:r>
        <w:rPr>
          <w:rFonts w:hint="eastAsia" w:ascii="宋体" w:hAnsi="宋体" w:eastAsia="宋体" w:cs="宋体"/>
          <w:b/>
          <w:bCs/>
          <w:color w:val="000000"/>
          <w:sz w:val="21"/>
          <w:szCs w:val="21"/>
        </w:rPr>
        <w:t>参数</w:t>
      </w:r>
    </w:p>
    <w:tbl>
      <w:tblPr>
        <w:tblStyle w:val="40"/>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664"/>
        <w:gridCol w:w="722"/>
        <w:gridCol w:w="1527"/>
        <w:gridCol w:w="5439"/>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89" w:hRule="atLeast"/>
          <w:jc w:val="center"/>
        </w:trPr>
        <w:tc>
          <w:tcPr>
            <w:tcW w:w="664"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p>
        </w:tc>
        <w:tc>
          <w:tcPr>
            <w:tcW w:w="722"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1527"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w:t>
            </w:r>
          </w:p>
        </w:tc>
        <w:tc>
          <w:tcPr>
            <w:tcW w:w="5439"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参数</w:t>
            </w:r>
          </w:p>
        </w:tc>
        <w:tc>
          <w:tcPr>
            <w:tcW w:w="824" w:type="dxa"/>
            <w:shd w:val="clear" w:color="000000" w:fill="FFFFFF"/>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restart"/>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基本参数</w:t>
            </w:r>
          </w:p>
        </w:tc>
        <w:tc>
          <w:tcPr>
            <w:tcW w:w="722"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527"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检测通量</w:t>
            </w:r>
          </w:p>
        </w:tc>
        <w:tc>
          <w:tcPr>
            <w:tcW w:w="5439" w:type="dxa"/>
            <w:shd w:val="clear" w:color="000000" w:fill="FFFFFF"/>
            <w:noWrap w:val="0"/>
            <w:vAlign w:val="center"/>
          </w:tcPr>
          <w:p>
            <w:pPr>
              <w:snapToGrid w:val="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96</w:t>
            </w:r>
          </w:p>
        </w:tc>
        <w:tc>
          <w:tcPr>
            <w:tcW w:w="824"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snapToGrid w:val="0"/>
              <w:contextualSpacing/>
              <w:jc w:val="center"/>
              <w:rPr>
                <w:rFonts w:hint="eastAsia" w:ascii="宋体" w:hAnsi="宋体" w:eastAsia="宋体" w:cs="宋体"/>
                <w:color w:val="000000"/>
                <w:sz w:val="21"/>
                <w:szCs w:val="21"/>
              </w:rPr>
            </w:pPr>
          </w:p>
        </w:tc>
        <w:tc>
          <w:tcPr>
            <w:tcW w:w="722"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527"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适用耗材</w:t>
            </w:r>
          </w:p>
        </w:tc>
        <w:tc>
          <w:tcPr>
            <w:tcW w:w="5439" w:type="dxa"/>
            <w:shd w:val="clear" w:color="000000" w:fill="FFFFFF"/>
            <w:noWrap w:val="0"/>
            <w:vAlign w:val="center"/>
          </w:tcPr>
          <w:p>
            <w:pPr>
              <w:snapToGrid w:val="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0.2mL的96孔板、8连管单管（透明、磨砂、乳白色均适用）</w:t>
            </w:r>
          </w:p>
        </w:tc>
        <w:tc>
          <w:tcPr>
            <w:tcW w:w="824"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snapToGrid w:val="0"/>
              <w:contextualSpacing/>
              <w:jc w:val="center"/>
              <w:rPr>
                <w:rFonts w:hint="eastAsia" w:ascii="宋体" w:hAnsi="宋体" w:eastAsia="宋体" w:cs="宋体"/>
                <w:color w:val="000000"/>
                <w:sz w:val="21"/>
                <w:szCs w:val="21"/>
              </w:rPr>
            </w:pPr>
          </w:p>
        </w:tc>
        <w:tc>
          <w:tcPr>
            <w:tcW w:w="722"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527"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荧光通道数</w:t>
            </w:r>
          </w:p>
        </w:tc>
        <w:tc>
          <w:tcPr>
            <w:tcW w:w="5439"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4"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vMerge w:val="restart"/>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1527" w:type="dxa"/>
            <w:vMerge w:val="restart"/>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适用染料</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通道1：FAM，SYBR Green I、SYTO9、EvaGreen、LC Green</w:t>
            </w:r>
          </w:p>
        </w:tc>
        <w:tc>
          <w:tcPr>
            <w:tcW w:w="824" w:type="dxa"/>
            <w:vMerge w:val="restart"/>
            <w:shd w:val="clear" w:color="000000" w:fill="FFFFFF"/>
            <w:noWrap w:val="0"/>
            <w:vAlign w:val="center"/>
          </w:tcPr>
          <w:p>
            <w:pPr>
              <w:widowControl/>
              <w:snapToGrid w:val="0"/>
              <w:contextualSpacing/>
              <w:jc w:val="cente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1527"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5439" w:type="dxa"/>
            <w:shd w:val="clear" w:color="000000" w:fill="FFFFFF"/>
            <w:noWrap w:val="0"/>
            <w:vAlign w:val="center"/>
          </w:tcPr>
          <w:p>
            <w:pPr>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通道2：VIC，HEX，TET，JOE</w:t>
            </w:r>
          </w:p>
        </w:tc>
        <w:tc>
          <w:tcPr>
            <w:tcW w:w="824" w:type="dxa"/>
            <w:vMerge w:val="continue"/>
            <w:shd w:val="clear" w:color="000000" w:fill="FFFFFF"/>
            <w:noWrap w:val="0"/>
            <w:vAlign w:val="center"/>
          </w:tcPr>
          <w:p>
            <w:pPr>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1527"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通道3；ROX、Texas Red</w:t>
            </w:r>
          </w:p>
        </w:tc>
        <w:tc>
          <w:tcPr>
            <w:tcW w:w="82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c>
          <w:tcPr>
            <w:tcW w:w="1527"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通道4：Cy5</w:t>
            </w:r>
          </w:p>
        </w:tc>
        <w:tc>
          <w:tcPr>
            <w:tcW w:w="82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适用探针</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Taqman探针，分子信标探针，蝎型探针</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反应体系</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0~100uL</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线性范围</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1~10</w:t>
            </w:r>
            <w:r>
              <w:rPr>
                <w:rFonts w:hint="eastAsia" w:ascii="宋体" w:hAnsi="宋体" w:eastAsia="宋体" w:cs="宋体"/>
                <w:color w:val="000000"/>
                <w:kern w:val="0"/>
                <w:sz w:val="21"/>
                <w:szCs w:val="21"/>
                <w:vertAlign w:val="superscript"/>
              </w:rPr>
              <w:t>10</w:t>
            </w:r>
            <w:r>
              <w:rPr>
                <w:rFonts w:hint="eastAsia" w:ascii="宋体" w:hAnsi="宋体" w:eastAsia="宋体" w:cs="宋体"/>
                <w:color w:val="000000"/>
                <w:kern w:val="0"/>
                <w:sz w:val="21"/>
                <w:szCs w:val="21"/>
              </w:rPr>
              <w:t>copies</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样本检测重复性</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Ct值CV≤0.5%</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70"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样本线性</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/r/≥0.999</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7"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操控方式</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单机运行∶利用仪器</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highlight w:val="none"/>
              </w:rPr>
              <w:t>10英寸</w:t>
            </w:r>
            <w:r>
              <w:rPr>
                <w:rFonts w:hint="eastAsia" w:ascii="宋体" w:hAnsi="宋体" w:eastAsia="宋体" w:cs="宋体"/>
                <w:color w:val="000000"/>
                <w:kern w:val="0"/>
                <w:sz w:val="21"/>
                <w:szCs w:val="21"/>
              </w:rPr>
              <w:t>触摸屏及软件系统可新建实验并运行;网络运行（1）PC直连∶仪器通过点对点网络与PC连接后，利用电脑上的应用软件实现实验设置、运行监控、数据分析等操作（2）局域网接入∶通过对仪器的网络参数进行设置，可将仪器接入本地局域网内，从而实现局域网内的任何一台电脑对仪器的运行监控、数据同步及分析等操作</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lang w:eastAsia="zh-CN"/>
              </w:rPr>
            </w:pPr>
            <w:r>
              <w:rPr>
                <w:rFonts w:hint="eastAsia" w:ascii="宋体" w:hAnsi="宋体" w:cs="宋体"/>
                <w:color w:val="FF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自动样本舱</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样本舱可由触摸屏控制自动弹出/关闭，弹出状态时可轻触样本舱自动关闭</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lang w:eastAsia="zh-CN"/>
              </w:rPr>
            </w:pPr>
            <w:r>
              <w:rPr>
                <w:rFonts w:hint="eastAsia" w:ascii="宋体" w:hAnsi="宋体" w:cs="宋体"/>
                <w:color w:val="FF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断电保护</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具有断电后再供电时实验自动恢复运行的功能，无需等待PC及软件打开</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lang w:eastAsia="zh-CN"/>
              </w:rPr>
            </w:pPr>
            <w:r>
              <w:rPr>
                <w:rFonts w:hint="eastAsia" w:ascii="宋体" w:hAnsi="宋体" w:cs="宋体"/>
                <w:color w:val="FF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数据传导</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可通过U盘导入导出实验数据</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存储</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可储存超过1000次实验数据文件</w:t>
            </w:r>
          </w:p>
        </w:tc>
        <w:tc>
          <w:tcPr>
            <w:tcW w:w="824"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lang w:eastAsia="zh-CN"/>
              </w:rPr>
            </w:pPr>
            <w:r>
              <w:rPr>
                <w:rFonts w:hint="eastAsia" w:ascii="宋体" w:hAnsi="宋体" w:cs="宋体"/>
                <w:color w:val="FF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restart"/>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光学系统</w:t>
            </w: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1527"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光源</w:t>
            </w:r>
          </w:p>
        </w:tc>
        <w:tc>
          <w:tcPr>
            <w:tcW w:w="5439"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高亮长寿命免维护LED光源</w:t>
            </w:r>
          </w:p>
        </w:tc>
        <w:tc>
          <w:tcPr>
            <w:tcW w:w="824" w:type="dxa"/>
            <w:shd w:val="clear" w:color="000000" w:fill="FFFFFF"/>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1527"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检测器</w:t>
            </w:r>
          </w:p>
        </w:tc>
        <w:tc>
          <w:tcPr>
            <w:tcW w:w="5439"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光电二极管（PD）</w:t>
            </w:r>
          </w:p>
        </w:tc>
        <w:tc>
          <w:tcPr>
            <w:tcW w:w="824" w:type="dxa"/>
            <w:shd w:val="clear" w:color="000000" w:fill="FFFFFF"/>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1527" w:type="dxa"/>
            <w:shd w:val="clear" w:color="000000" w:fill="FFFFFF"/>
            <w:noWrap w:val="0"/>
            <w:vAlign w:val="center"/>
          </w:tcPr>
          <w:p>
            <w:pPr>
              <w:ind w:firstLine="210" w:firstLineChars="1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检测位置</w:t>
            </w:r>
          </w:p>
        </w:tc>
        <w:tc>
          <w:tcPr>
            <w:tcW w:w="5439"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顶部激发，顶部扫描</w:t>
            </w:r>
          </w:p>
        </w:tc>
        <w:tc>
          <w:tcPr>
            <w:tcW w:w="824" w:type="dxa"/>
            <w:shd w:val="clear" w:color="000000" w:fill="FFFFFF"/>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检测方式</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4个荧光通道同时逐孔扫描，无荧光边缘效应</w:t>
            </w:r>
          </w:p>
        </w:tc>
        <w:tc>
          <w:tcPr>
            <w:tcW w:w="824" w:type="dxa"/>
            <w:shd w:val="clear" w:color="000000" w:fill="FFFFFF"/>
            <w:noWrap w:val="0"/>
            <w:vAlign w:val="center"/>
          </w:tcPr>
          <w:p>
            <w:pPr>
              <w:jc w:val="cente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检测时长</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7秒内完成4个荧光通道96个孔位的全部检测</w:t>
            </w:r>
          </w:p>
        </w:tc>
        <w:tc>
          <w:tcPr>
            <w:tcW w:w="824" w:type="dxa"/>
            <w:shd w:val="clear" w:color="000000" w:fill="FFFFFF"/>
            <w:noWrap w:val="0"/>
            <w:vAlign w:val="center"/>
          </w:tcPr>
          <w:p>
            <w:pPr>
              <w:jc w:val="cente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激发波长</w:t>
            </w:r>
          </w:p>
        </w:tc>
        <w:tc>
          <w:tcPr>
            <w:tcW w:w="5439" w:type="dxa"/>
            <w:shd w:val="clear" w:color="000000" w:fill="FFFFFF"/>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通道1:465nm，通道2:527nm，通道3:580nm，通道4:632nm</w:t>
            </w:r>
          </w:p>
        </w:tc>
        <w:tc>
          <w:tcPr>
            <w:tcW w:w="824" w:type="dxa"/>
            <w:shd w:val="clear" w:color="000000" w:fill="FFFFFF"/>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21</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检测波长</w:t>
            </w:r>
          </w:p>
        </w:tc>
        <w:tc>
          <w:tcPr>
            <w:tcW w:w="5439" w:type="dxa"/>
            <w:shd w:val="clear" w:color="000000" w:fill="FFFFFF"/>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通道1:510nm，通道2:563nm，通道3:616nm，通道4:664nm </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1527"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荧光线性</w:t>
            </w:r>
          </w:p>
        </w:tc>
        <w:tc>
          <w:tcPr>
            <w:tcW w:w="5439"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≥0.990</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527"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荧光检测动态范围</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荧光检测动态范围可根据试剂调整</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restart"/>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温控系统</w:t>
            </w:r>
          </w:p>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p>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热盖温度</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40.0℃~110.0℃</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模块温度</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0℃~100.0℃</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widowControl/>
              <w:snapToGrid w:val="0"/>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模块控温原理</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Peltier效应，半导体制冷技术</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27</w:t>
            </w:r>
          </w:p>
        </w:tc>
        <w:tc>
          <w:tcPr>
            <w:tcW w:w="1527"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升/降温速率</w:t>
            </w:r>
          </w:p>
        </w:tc>
        <w:tc>
          <w:tcPr>
            <w:tcW w:w="5439"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升温速率≥6.1℃/s，降温速率≥5.0℃/s</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28</w:t>
            </w:r>
          </w:p>
        </w:tc>
        <w:tc>
          <w:tcPr>
            <w:tcW w:w="1527"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温度均匀性</w:t>
            </w:r>
          </w:p>
        </w:tc>
        <w:tc>
          <w:tcPr>
            <w:tcW w:w="5439"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±0.1℃</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w:t>
            </w:r>
          </w:p>
        </w:tc>
        <w:tc>
          <w:tcPr>
            <w:tcW w:w="1527"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温度准确性</w:t>
            </w:r>
          </w:p>
        </w:tc>
        <w:tc>
          <w:tcPr>
            <w:tcW w:w="5439" w:type="dxa"/>
            <w:shd w:val="clear" w:color="000000" w:fill="FFFFFF"/>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≤±0.1℃</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c>
          <w:tcPr>
            <w:tcW w:w="1527"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温度梯度</w:t>
            </w:r>
          </w:p>
        </w:tc>
        <w:tc>
          <w:tcPr>
            <w:tcW w:w="5439" w:type="dxa"/>
            <w:shd w:val="clear" w:color="000000" w:fill="FFFFFF"/>
            <w:noWrap w:val="0"/>
            <w:vAlign w:val="center"/>
          </w:tcPr>
          <w:p>
            <w:pPr>
              <w:widowControl/>
              <w:snapToGrid w:val="0"/>
              <w:contextualSpacing/>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支持</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31</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分析功能</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定性分析、绝对定量分析、相对定量分析、</w:t>
            </w:r>
            <w:r>
              <w:rPr>
                <w:rFonts w:hint="eastAsia" w:ascii="宋体" w:hAnsi="宋体" w:eastAsia="宋体" w:cs="宋体"/>
                <w:sz w:val="21"/>
                <w:szCs w:val="21"/>
              </w:rPr>
              <w:t>终</w:t>
            </w:r>
            <w:r>
              <w:rPr>
                <w:rFonts w:hint="eastAsia" w:ascii="宋体" w:hAnsi="宋体" w:eastAsia="宋体" w:cs="宋体"/>
                <w:color w:val="000000"/>
                <w:sz w:val="21"/>
                <w:szCs w:val="21"/>
              </w:rPr>
              <w:t>点荧光分析、溶解曲线分析、SNP分析等</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报告自定义功能</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预存多种行业实验报告模板，全开放式报表功能，用户可自定义报告内容及形式</w:t>
            </w:r>
          </w:p>
        </w:tc>
        <w:tc>
          <w:tcPr>
            <w:tcW w:w="824" w:type="dxa"/>
            <w:shd w:val="clear" w:color="000000" w:fill="FFFFFF"/>
            <w:noWrap w:val="0"/>
            <w:vAlign w:val="top"/>
          </w:tcPr>
          <w:p>
            <w:pPr>
              <w:jc w:val="cente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33</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权限管理功能</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管理员账号可对普通账号的"手动设置阈值"、"运行设置"、"运行实验"、"分析数据"等功能进行限定，实现对普通账号的仪器使用权限进行管理</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34</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资源共享功能</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仪器与PC互联后，双方可通过上传、下载等操作实现实验数据同步共享</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35</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运输锁功能</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自动检测运输锁状态，并进行锁定/解锁设置</w:t>
            </w:r>
          </w:p>
        </w:tc>
        <w:tc>
          <w:tcPr>
            <w:tcW w:w="824" w:type="dxa"/>
            <w:shd w:val="clear" w:color="000000" w:fill="FFFFFF"/>
            <w:noWrap w:val="0"/>
            <w:vAlign w:val="top"/>
          </w:tcPr>
          <w:p>
            <w:pPr>
              <w:jc w:val="cente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36</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故障管理</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智能判断故障的类型并进行故障管理</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37</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LIS功能</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可导出CSV、Excel、TXT等格式 开放数据端口，同步支持与LIS系统互联</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4" w:type="dxa"/>
            <w:vMerge w:val="restart"/>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其他信息</w:t>
            </w:r>
          </w:p>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38</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操作系统</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Win 7、Win10</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39</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接口类型</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1个以太网口、1个前置USB、2个后置USB、</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w:t>
            </w:r>
            <w:r>
              <w:rPr>
                <w:rFonts w:hint="eastAsia" w:ascii="宋体" w:hAnsi="宋体" w:cs="宋体"/>
                <w:color w:val="000000"/>
                <w:sz w:val="21"/>
                <w:szCs w:val="21"/>
                <w:lang w:val="en-US" w:eastAsia="zh-CN"/>
              </w:rPr>
              <w:t>0</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输入电源</w:t>
            </w:r>
          </w:p>
        </w:tc>
        <w:tc>
          <w:tcPr>
            <w:tcW w:w="5439" w:type="dxa"/>
            <w:shd w:val="clear" w:color="000000" w:fill="FFFFFF"/>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AC220V,50Hz </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w:t>
            </w:r>
            <w:r>
              <w:rPr>
                <w:rFonts w:hint="eastAsia" w:ascii="宋体" w:hAnsi="宋体" w:cs="宋体"/>
                <w:color w:val="000000"/>
                <w:sz w:val="21"/>
                <w:szCs w:val="21"/>
                <w:lang w:val="en-US" w:eastAsia="zh-CN"/>
              </w:rPr>
              <w:t>1</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功耗</w:t>
            </w:r>
          </w:p>
        </w:tc>
        <w:tc>
          <w:tcPr>
            <w:tcW w:w="5439" w:type="dxa"/>
            <w:shd w:val="clear" w:color="000000" w:fill="FFFFFF"/>
            <w:noWrap w:val="0"/>
            <w:vAlign w:val="center"/>
          </w:tcPr>
          <w:p>
            <w:pPr>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10</w:t>
            </w:r>
            <w:r>
              <w:rPr>
                <w:rFonts w:hint="eastAsia" w:ascii="宋体" w:hAnsi="宋体" w:eastAsia="宋体" w:cs="宋体"/>
                <w:color w:val="000000"/>
                <w:sz w:val="21"/>
                <w:szCs w:val="21"/>
                <w:highlight w:val="none"/>
              </w:rPr>
              <w:t>00VA</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64" w:type="dxa"/>
            <w:vMerge w:val="continue"/>
            <w:shd w:val="clear" w:color="000000" w:fill="FFFFFF"/>
            <w:noWrap w:val="0"/>
            <w:vAlign w:val="top"/>
          </w:tcPr>
          <w:p>
            <w:pPr>
              <w:widowControl/>
              <w:snapToGrid w:val="0"/>
              <w:contextualSpacing/>
              <w:jc w:val="center"/>
              <w:rPr>
                <w:rFonts w:hint="eastAsia" w:ascii="宋体" w:hAnsi="宋体" w:eastAsia="宋体" w:cs="宋体"/>
                <w:color w:val="000000"/>
                <w:kern w:val="0"/>
                <w:sz w:val="21"/>
                <w:szCs w:val="21"/>
              </w:rPr>
            </w:pPr>
          </w:p>
        </w:tc>
        <w:tc>
          <w:tcPr>
            <w:tcW w:w="722" w:type="dxa"/>
            <w:shd w:val="clear" w:color="000000" w:fill="FFFFFF"/>
            <w:noWrap w:val="0"/>
            <w:vAlign w:val="top"/>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w:t>
            </w:r>
            <w:r>
              <w:rPr>
                <w:rFonts w:hint="eastAsia" w:ascii="宋体" w:hAnsi="宋体" w:cs="宋体"/>
                <w:color w:val="000000"/>
                <w:sz w:val="21"/>
                <w:szCs w:val="21"/>
                <w:lang w:val="en-US" w:eastAsia="zh-CN"/>
              </w:rPr>
              <w:t>2</w:t>
            </w:r>
          </w:p>
        </w:tc>
        <w:tc>
          <w:tcPr>
            <w:tcW w:w="1527"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工作环境</w:t>
            </w:r>
          </w:p>
        </w:tc>
        <w:tc>
          <w:tcPr>
            <w:tcW w:w="5439" w:type="dxa"/>
            <w:shd w:val="clear" w:color="000000" w:fill="FFFFFF"/>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相对湿度∶20%~85%，温度∶10℃～30℃</w:t>
            </w:r>
          </w:p>
        </w:tc>
        <w:tc>
          <w:tcPr>
            <w:tcW w:w="824" w:type="dxa"/>
            <w:shd w:val="clear" w:color="000000" w:fill="FFFFFF"/>
            <w:noWrap w:val="0"/>
            <w:vAlign w:val="top"/>
          </w:tcPr>
          <w:p>
            <w:pPr>
              <w:jc w:val="center"/>
              <w:rPr>
                <w:rFonts w:hint="eastAsia" w:ascii="宋体" w:hAnsi="宋体" w:eastAsia="宋体" w:cs="宋体"/>
                <w:color w:val="000000"/>
                <w:sz w:val="21"/>
                <w:szCs w:val="21"/>
              </w:rPr>
            </w:pPr>
          </w:p>
        </w:tc>
      </w:tr>
    </w:tbl>
    <w:p>
      <w:pPr>
        <w:spacing w:line="360" w:lineRule="auto"/>
        <w:jc w:val="center"/>
        <w:rPr>
          <w:rFonts w:hint="eastAsia" w:ascii="宋体" w:hAnsi="宋体" w:eastAsia="宋体" w:cs="宋体"/>
          <w:sz w:val="21"/>
          <w:szCs w:val="21"/>
        </w:rPr>
      </w:pPr>
    </w:p>
    <w:p>
      <w:pPr>
        <w:rPr>
          <w:rFonts w:hint="eastAsia" w:ascii="宋体" w:hAnsi="宋体" w:eastAsia="宋体" w:cs="宋体"/>
          <w:sz w:val="21"/>
          <w:szCs w:val="21"/>
        </w:rPr>
      </w:pPr>
    </w:p>
    <w:p>
      <w:pPr>
        <w:pStyle w:val="39"/>
        <w:keepNext w:val="0"/>
        <w:keepLines w:val="0"/>
        <w:pageBreakBefore w:val="0"/>
        <w:kinsoku/>
        <w:wordWrap/>
        <w:overflowPunct/>
        <w:topLinePunct w:val="0"/>
        <w:autoSpaceDE/>
        <w:autoSpaceDN/>
        <w:bidi w:val="0"/>
        <w:adjustRightInd/>
        <w:snapToGrid/>
        <w:spacing w:line="480" w:lineRule="auto"/>
        <w:ind w:left="0" w:leftChars="0" w:firstLine="0" w:firstLineChars="0"/>
        <w:outlineLvl w:val="9"/>
        <w:rPr>
          <w:rFonts w:hint="eastAsia" w:ascii="宋体" w:hAnsi="宋体" w:eastAsia="宋体" w:cs="宋体"/>
          <w:b/>
          <w:bCs/>
          <w:sz w:val="21"/>
          <w:szCs w:val="21"/>
          <w:lang w:val="en-US" w:eastAsia="zh-CN"/>
        </w:rPr>
        <w:sectPr>
          <w:pgSz w:w="11906" w:h="16838"/>
          <w:pgMar w:top="1440" w:right="1800" w:bottom="1440" w:left="1800" w:header="851" w:footer="992" w:gutter="0"/>
          <w:cols w:space="425" w:num="1"/>
          <w:docGrid w:linePitch="312" w:charSpace="0"/>
        </w:sectPr>
      </w:pPr>
    </w:p>
    <w:p>
      <w:pPr>
        <w:pStyle w:val="39"/>
        <w:keepNext w:val="0"/>
        <w:keepLines w:val="0"/>
        <w:pageBreakBefore w:val="0"/>
        <w:numPr>
          <w:ilvl w:val="0"/>
          <w:numId w:val="6"/>
        </w:numPr>
        <w:kinsoku/>
        <w:wordWrap/>
        <w:overflowPunct/>
        <w:topLinePunct w:val="0"/>
        <w:autoSpaceDE/>
        <w:autoSpaceDN/>
        <w:bidi w:val="0"/>
        <w:adjustRightInd/>
        <w:snapToGrid/>
        <w:spacing w:line="480" w:lineRule="auto"/>
        <w:ind w:left="0" w:leftChars="0" w:firstLine="0" w:firstLineChars="0"/>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全自动核酸提取仪</w:t>
      </w:r>
    </w:p>
    <w:p>
      <w:pPr>
        <w:spacing w:before="156" w:beforeLines="50" w:after="156" w:afterLines="50"/>
        <w:jc w:val="center"/>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技术参数</w:t>
      </w:r>
    </w:p>
    <w:p>
      <w:pPr>
        <w:spacing w:before="156" w:beforeLines="50" w:after="156" w:afterLines="50"/>
        <w:rPr>
          <w:rFonts w:hint="eastAsia" w:ascii="宋体" w:hAnsi="宋体" w:eastAsia="宋体" w:cs="宋体"/>
          <w:b/>
          <w:color w:val="auto"/>
          <w:sz w:val="21"/>
          <w:szCs w:val="21"/>
        </w:rPr>
      </w:pPr>
      <w:r>
        <w:rPr>
          <w:rFonts w:hint="eastAsia" w:ascii="宋体" w:hAnsi="宋体" w:eastAsia="宋体" w:cs="宋体"/>
          <w:b/>
          <w:color w:val="auto"/>
          <w:sz w:val="21"/>
          <w:szCs w:val="21"/>
        </w:rPr>
        <w:t>工作条件：</w:t>
      </w:r>
    </w:p>
    <w:p>
      <w:pPr>
        <w:spacing w:before="156" w:beforeLines="50" w:after="156" w:afterLines="50"/>
        <w:rPr>
          <w:rFonts w:hint="eastAsia" w:ascii="宋体" w:hAnsi="宋体" w:eastAsia="宋体" w:cs="宋体"/>
          <w:bCs/>
          <w:color w:val="auto"/>
          <w:sz w:val="21"/>
          <w:szCs w:val="21"/>
        </w:rPr>
      </w:pPr>
      <w:r>
        <w:rPr>
          <w:rFonts w:hint="eastAsia" w:ascii="宋体" w:hAnsi="宋体" w:eastAsia="宋体" w:cs="宋体"/>
          <w:bCs/>
          <w:color w:val="auto"/>
          <w:sz w:val="21"/>
          <w:szCs w:val="21"/>
        </w:rPr>
        <w:t>环境温度： 10℃～30℃；</w:t>
      </w:r>
    </w:p>
    <w:p>
      <w:pPr>
        <w:spacing w:before="156" w:beforeLines="50" w:after="156" w:afterLines="50"/>
        <w:rPr>
          <w:rFonts w:hint="eastAsia" w:ascii="宋体" w:hAnsi="宋体" w:eastAsia="宋体" w:cs="宋体"/>
          <w:bCs/>
          <w:color w:val="auto"/>
          <w:sz w:val="21"/>
          <w:szCs w:val="21"/>
        </w:rPr>
      </w:pPr>
      <w:r>
        <w:rPr>
          <w:rFonts w:hint="eastAsia" w:ascii="宋体" w:hAnsi="宋体" w:eastAsia="宋体" w:cs="宋体"/>
          <w:bCs/>
          <w:color w:val="auto"/>
          <w:sz w:val="21"/>
          <w:szCs w:val="21"/>
        </w:rPr>
        <w:t>相对湿度： ≤80% 无凝露现象；</w:t>
      </w:r>
    </w:p>
    <w:p>
      <w:pPr>
        <w:spacing w:before="156" w:beforeLines="50" w:after="156" w:afterLines="50"/>
        <w:rPr>
          <w:rFonts w:hint="eastAsia" w:ascii="宋体" w:hAnsi="宋体" w:eastAsia="宋体" w:cs="宋体"/>
          <w:bCs/>
          <w:color w:val="auto"/>
          <w:sz w:val="21"/>
          <w:szCs w:val="21"/>
        </w:rPr>
      </w:pPr>
      <w:r>
        <w:rPr>
          <w:rFonts w:hint="eastAsia" w:ascii="宋体" w:hAnsi="宋体" w:eastAsia="宋体" w:cs="宋体"/>
          <w:bCs/>
          <w:color w:val="auto"/>
          <w:sz w:val="21"/>
          <w:szCs w:val="21"/>
        </w:rPr>
        <w:t>外部电源要求：100-220VAC  50-60Hz，</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10</w:t>
      </w:r>
      <w:r>
        <w:rPr>
          <w:rFonts w:hint="eastAsia" w:ascii="宋体" w:hAnsi="宋体" w:eastAsia="宋体" w:cs="宋体"/>
          <w:bCs/>
          <w:color w:val="auto"/>
          <w:sz w:val="21"/>
          <w:szCs w:val="21"/>
          <w:highlight w:val="none"/>
        </w:rPr>
        <w:t>00W；</w:t>
      </w:r>
    </w:p>
    <w:p>
      <w:pPr>
        <w:spacing w:before="156" w:beforeLines="50" w:after="156" w:afterLines="50"/>
        <w:rPr>
          <w:rFonts w:hint="eastAsia" w:ascii="宋体" w:hAnsi="宋体" w:eastAsia="宋体" w:cs="宋体"/>
          <w:bCs/>
          <w:color w:val="auto"/>
          <w:sz w:val="21"/>
          <w:szCs w:val="21"/>
        </w:rPr>
      </w:pPr>
      <w:r>
        <w:rPr>
          <w:rFonts w:hint="eastAsia" w:ascii="宋体" w:hAnsi="宋体" w:eastAsia="宋体" w:cs="宋体"/>
          <w:b/>
          <w:color w:val="auto"/>
          <w:sz w:val="21"/>
          <w:szCs w:val="21"/>
        </w:rPr>
        <w:t>性能指标：</w:t>
      </w:r>
    </w:p>
    <w:p>
      <w:pPr>
        <w:pStyle w:val="55"/>
        <w:numPr>
          <w:ilvl w:val="0"/>
          <w:numId w:val="7"/>
        </w:numPr>
        <w:spacing w:before="156" w:beforeLines="50" w:after="156" w:afterLines="50"/>
        <w:ind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rPr>
        <w:t>样本通量：1-96；</w:t>
      </w:r>
    </w:p>
    <w:p>
      <w:pPr>
        <w:pStyle w:val="55"/>
        <w:numPr>
          <w:ilvl w:val="0"/>
          <w:numId w:val="7"/>
        </w:numPr>
        <w:spacing w:before="156" w:beforeLines="50" w:after="156" w:afterLines="50"/>
        <w:ind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适用耗材：2.2mL 96孔深孔板； </w:t>
      </w:r>
    </w:p>
    <w:p>
      <w:pPr>
        <w:pStyle w:val="55"/>
        <w:numPr>
          <w:ilvl w:val="0"/>
          <w:numId w:val="7"/>
        </w:numPr>
        <w:spacing w:before="156" w:beforeLines="50" w:after="156" w:afterLines="50"/>
        <w:ind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rPr>
        <w:t>处理样本体积：10-1000 μL；</w:t>
      </w:r>
    </w:p>
    <w:p>
      <w:pPr>
        <w:pStyle w:val="55"/>
        <w:numPr>
          <w:ilvl w:val="0"/>
          <w:numId w:val="7"/>
        </w:numPr>
        <w:spacing w:before="156" w:beforeLines="50" w:after="156" w:afterLines="50"/>
        <w:ind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rPr>
        <w:t>样本类型：粪便、植物、生物体液、组织、无细胞样品（如全血、血清、血浆、口腔拭子和细胞培养液）等多种类型样本；</w:t>
      </w:r>
    </w:p>
    <w:p>
      <w:pPr>
        <w:pStyle w:val="55"/>
        <w:numPr>
          <w:ilvl w:val="0"/>
          <w:numId w:val="7"/>
        </w:numPr>
        <w:spacing w:before="156" w:beforeLines="50" w:after="156" w:afterLines="50"/>
        <w:ind w:firstLineChars="0"/>
        <w:rPr>
          <w:rFonts w:hint="eastAsia" w:ascii="宋体" w:hAnsi="宋体" w:eastAsia="宋体" w:cs="宋体"/>
          <w:bCs/>
          <w:color w:val="auto"/>
          <w:sz w:val="21"/>
          <w:szCs w:val="21"/>
        </w:rPr>
      </w:pPr>
      <w:r>
        <w:rPr>
          <w:rFonts w:hint="eastAsia" w:ascii="宋体" w:hAnsi="宋体" w:eastAsia="宋体" w:cs="宋体"/>
          <w:bCs/>
          <w:color w:val="auto"/>
          <w:sz w:val="21"/>
          <w:szCs w:val="21"/>
        </w:rPr>
        <w:t>提取方法：上吸式磁珠法，通过磁棒和磁套的运动实现磁珠的收集、释放，使磁珠分别在裂解液、洗涤液、洗脱液中转移，自动化完成RNA/DNA的提取纯化操作，无需液体转移；</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cs="宋体"/>
          <w:color w:val="FF0000"/>
          <w:kern w:val="0"/>
          <w:sz w:val="21"/>
          <w:szCs w:val="21"/>
          <w:lang w:eastAsia="zh-CN"/>
        </w:rPr>
        <w:t>★</w:t>
      </w:r>
      <w:r>
        <w:rPr>
          <w:rFonts w:hint="eastAsia" w:ascii="宋体" w:hAnsi="宋体" w:eastAsia="宋体" w:cs="宋体"/>
          <w:color w:val="auto"/>
          <w:sz w:val="21"/>
          <w:szCs w:val="21"/>
        </w:rPr>
        <w:t>裂解温度：室温＋5℃-120℃；</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cs="宋体"/>
          <w:color w:val="FF0000"/>
          <w:kern w:val="0"/>
          <w:sz w:val="21"/>
          <w:szCs w:val="21"/>
          <w:lang w:eastAsia="zh-CN"/>
        </w:rPr>
        <w:t>★</w:t>
      </w:r>
      <w:r>
        <w:rPr>
          <w:rFonts w:hint="eastAsia" w:ascii="宋体" w:hAnsi="宋体" w:eastAsia="宋体" w:cs="宋体"/>
          <w:color w:val="auto"/>
          <w:sz w:val="21"/>
          <w:szCs w:val="21"/>
        </w:rPr>
        <w:t>洗脱温度：4℃-120℃，具有制冷功能；</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模块工位：6；</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磁棒数目</w:t>
      </w:r>
      <w:r>
        <w:rPr>
          <w:rFonts w:hint="eastAsia" w:ascii="宋体" w:hAnsi="宋体" w:eastAsia="宋体" w:cs="宋体"/>
          <w:color w:val="auto"/>
          <w:sz w:val="21"/>
          <w:szCs w:val="21"/>
          <w:highlight w:val="none"/>
        </w:rPr>
        <w:t>：96根</w:t>
      </w:r>
      <w:r>
        <w:rPr>
          <w:rFonts w:hint="eastAsia" w:ascii="宋体" w:hAnsi="宋体" w:eastAsia="宋体" w:cs="宋体"/>
          <w:color w:val="auto"/>
          <w:sz w:val="21"/>
          <w:szCs w:val="21"/>
        </w:rPr>
        <w:t>；</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cs="宋体"/>
          <w:color w:val="FF0000"/>
          <w:kern w:val="0"/>
          <w:sz w:val="21"/>
          <w:szCs w:val="21"/>
          <w:lang w:eastAsia="zh-CN"/>
        </w:rPr>
        <w:t>★</w:t>
      </w:r>
      <w:r>
        <w:rPr>
          <w:rFonts w:hint="eastAsia" w:ascii="宋体" w:hAnsi="宋体" w:eastAsia="宋体" w:cs="宋体"/>
          <w:color w:val="auto"/>
          <w:sz w:val="21"/>
          <w:szCs w:val="21"/>
        </w:rPr>
        <w:t>样本转移方式：采用整板位提取模块设计，96个样本可同时转移，实验稳定性和均一性强；</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温控技术：加热膜与高性能半导体制冷器；</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温控方式：深孔板底部全包裹加热，采用自主开模的耗材，提升热传导速度，可提微量核酸；</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振荡混合模式：多种振荡裂解洗脱模式，振动速度和幅度可调，可充分满足不同需求； </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提取时长：</w:t>
      </w:r>
      <w:r>
        <w:rPr>
          <w:rFonts w:hint="eastAsia" w:ascii="宋体" w:hAnsi="宋体" w:eastAsia="宋体" w:cs="宋体"/>
          <w:sz w:val="21"/>
          <w:szCs w:val="21"/>
        </w:rPr>
        <w:t>单批次提取时间8-15 min，最短提取时间8min/批；</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cs="宋体"/>
          <w:color w:val="FF0000"/>
          <w:kern w:val="0"/>
          <w:sz w:val="21"/>
          <w:szCs w:val="21"/>
          <w:lang w:eastAsia="zh-CN"/>
        </w:rPr>
        <w:t>★</w:t>
      </w:r>
      <w:r>
        <w:rPr>
          <w:rFonts w:hint="eastAsia" w:ascii="宋体" w:hAnsi="宋体" w:eastAsia="宋体" w:cs="宋体"/>
          <w:color w:val="auto"/>
          <w:sz w:val="21"/>
          <w:szCs w:val="21"/>
        </w:rPr>
        <w:t>磁通量：≥5000 GS；</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磁珠吸附模式：分为普通/强力吸附模式，强力吸附模式可保证洗脱步骤在洗脱体积很小的情况下，洗脱液依旧能够覆盖全部磁珠，可解决微量或低浓度样本；</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cs="宋体"/>
          <w:color w:val="FF0000"/>
          <w:kern w:val="0"/>
          <w:sz w:val="21"/>
          <w:szCs w:val="21"/>
          <w:lang w:eastAsia="zh-CN"/>
        </w:rPr>
        <w:t>★</w:t>
      </w:r>
      <w:r>
        <w:rPr>
          <w:rFonts w:hint="eastAsia" w:ascii="宋体" w:hAnsi="宋体" w:eastAsia="宋体" w:cs="宋体"/>
          <w:color w:val="auto"/>
          <w:sz w:val="21"/>
          <w:szCs w:val="21"/>
        </w:rPr>
        <w:t>磁珠回收率：≥99%；</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提纯孔间差：CV＜3%；</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提纯灵敏度：10拷贝样品，阳性检出率＞10%。100拷贝样品，阳性检出率＞95%；</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污染控制：内置紫外灭菌模块，并可设置自动关闭时长。提取时全封闭反应仓，配套一次性预封装试剂和一次性耗材，最大程度减少实验人员与化学试剂的接触保证操作安全；</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防滴落功能：配备防滴落板，防止交叉污染。</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HEPA高效过滤：具备</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开门保护功能：实验中打开舱门，仪器自动停止实验，防止污染及安全问题；</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cs="宋体"/>
          <w:color w:val="FF0000"/>
          <w:kern w:val="0"/>
          <w:sz w:val="21"/>
          <w:szCs w:val="21"/>
          <w:lang w:eastAsia="zh-CN"/>
        </w:rPr>
        <w:t>★</w:t>
      </w:r>
      <w:r>
        <w:rPr>
          <w:rFonts w:hint="eastAsia" w:ascii="宋体" w:hAnsi="宋体" w:eastAsia="宋体" w:cs="宋体"/>
          <w:color w:val="auto"/>
          <w:sz w:val="21"/>
          <w:szCs w:val="21"/>
        </w:rPr>
        <w:t>操作界面：</w:t>
      </w:r>
      <w:r>
        <w:rPr>
          <w:rFonts w:hint="eastAsia" w:ascii="宋体" w:hAnsi="宋体" w:cs="宋体"/>
          <w:color w:val="auto"/>
          <w:sz w:val="21"/>
          <w:szCs w:val="21"/>
          <w:lang w:eastAsia="zh-CN"/>
        </w:rPr>
        <w:t>≥</w:t>
      </w:r>
      <w:r>
        <w:rPr>
          <w:rFonts w:hint="eastAsia" w:ascii="宋体" w:hAnsi="宋体" w:eastAsia="宋体" w:cs="宋体"/>
          <w:color w:val="auto"/>
          <w:sz w:val="21"/>
          <w:szCs w:val="21"/>
          <w:highlight w:val="none"/>
        </w:rPr>
        <w:t>10英寸</w:t>
      </w:r>
      <w:r>
        <w:rPr>
          <w:rFonts w:hint="eastAsia" w:ascii="宋体" w:hAnsi="宋体" w:eastAsia="宋体" w:cs="宋体"/>
          <w:color w:val="auto"/>
          <w:sz w:val="21"/>
          <w:szCs w:val="21"/>
        </w:rPr>
        <w:t>全彩触摸屏嵌入式一体化操作，实时显示温度、实验进程等信息；</w:t>
      </w:r>
    </w:p>
    <w:p>
      <w:pPr>
        <w:pStyle w:val="55"/>
        <w:numPr>
          <w:ilvl w:val="0"/>
          <w:numId w:val="7"/>
        </w:numPr>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程序管理：新建、编辑、删除，模式程序，单机在线自由灵活编辑提取程序，无需外接电脑；</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程序储存：仪器存储</w:t>
      </w:r>
      <w:r>
        <w:rPr>
          <w:rFonts w:hint="eastAsia" w:ascii="宋体" w:hAnsi="宋体" w:cs="宋体"/>
          <w:color w:val="auto"/>
          <w:sz w:val="21"/>
          <w:szCs w:val="21"/>
          <w:lang w:eastAsia="zh-CN"/>
        </w:rPr>
        <w:t>≥</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00个提取</w:t>
      </w:r>
      <w:r>
        <w:rPr>
          <w:rFonts w:hint="eastAsia" w:ascii="宋体" w:hAnsi="宋体" w:eastAsia="宋体" w:cs="宋体"/>
          <w:color w:val="auto"/>
          <w:sz w:val="21"/>
          <w:szCs w:val="21"/>
        </w:rPr>
        <w:t>程序，并可通过USB接口无线拓展；</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智能语音提醒系统：开机自检、故障报警、实验启动、实验结束等具有声音提示；</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cs="宋体"/>
          <w:color w:val="FF0000"/>
          <w:kern w:val="0"/>
          <w:sz w:val="21"/>
          <w:szCs w:val="21"/>
          <w:lang w:eastAsia="zh-CN"/>
        </w:rPr>
        <w:t>★</w:t>
      </w:r>
      <w:r>
        <w:rPr>
          <w:rFonts w:hint="eastAsia" w:ascii="宋体" w:hAnsi="宋体" w:eastAsia="宋体" w:cs="宋体"/>
          <w:color w:val="auto"/>
          <w:sz w:val="21"/>
          <w:szCs w:val="21"/>
        </w:rPr>
        <w:t>具备程序运行报告记录功能；</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具备文件加密功能；</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支持条码扫描；</w:t>
      </w:r>
    </w:p>
    <w:p>
      <w:pPr>
        <w:pStyle w:val="55"/>
        <w:numPr>
          <w:ilvl w:val="0"/>
          <w:numId w:val="7"/>
        </w:numPr>
        <w:spacing w:before="156" w:beforeLines="50" w:after="156" w:afterLines="50"/>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信息接口：USB，LAN；</w:t>
      </w:r>
    </w:p>
    <w:p>
      <w:pPr>
        <w:pStyle w:val="55"/>
        <w:numPr>
          <w:ilvl w:val="0"/>
          <w:numId w:val="0"/>
        </w:numPr>
        <w:spacing w:before="156" w:beforeLines="50" w:after="156" w:afterLines="50"/>
        <w:ind w:leftChars="0"/>
        <w:rPr>
          <w:rFonts w:hint="eastAsia" w:ascii="宋体" w:hAnsi="宋体" w:eastAsia="宋体" w:cs="宋体"/>
          <w:color w:val="auto"/>
          <w:sz w:val="21"/>
          <w:szCs w:val="21"/>
        </w:rPr>
      </w:pPr>
    </w:p>
    <w:p>
      <w:pPr>
        <w:pStyle w:val="55"/>
        <w:numPr>
          <w:ilvl w:val="0"/>
          <w:numId w:val="0"/>
        </w:numPr>
        <w:spacing w:before="156" w:beforeLines="50" w:after="156" w:afterLines="50"/>
        <w:ind w:leftChars="0"/>
        <w:rPr>
          <w:rFonts w:hint="eastAsia" w:ascii="宋体" w:hAnsi="宋体" w:eastAsia="宋体" w:cs="宋体"/>
          <w:color w:val="auto"/>
          <w:sz w:val="21"/>
          <w:szCs w:val="21"/>
        </w:rPr>
      </w:pPr>
    </w:p>
    <w:p>
      <w:pPr>
        <w:pStyle w:val="55"/>
        <w:numPr>
          <w:ilvl w:val="0"/>
          <w:numId w:val="0"/>
        </w:numPr>
        <w:spacing w:before="156" w:beforeLines="50" w:after="156" w:afterLines="50"/>
        <w:ind w:leftChars="0"/>
        <w:rPr>
          <w:rFonts w:hint="eastAsia" w:ascii="宋体" w:hAnsi="宋体" w:eastAsia="宋体" w:cs="宋体"/>
          <w:color w:val="auto"/>
          <w:sz w:val="21"/>
          <w:szCs w:val="21"/>
        </w:rPr>
      </w:pPr>
    </w:p>
    <w:p>
      <w:pPr>
        <w:pStyle w:val="55"/>
        <w:numPr>
          <w:ilvl w:val="0"/>
          <w:numId w:val="0"/>
        </w:numPr>
        <w:spacing w:before="156" w:beforeLines="50" w:after="156" w:afterLines="50"/>
        <w:ind w:leftChars="0"/>
        <w:rPr>
          <w:rFonts w:hint="eastAsia" w:ascii="宋体" w:hAnsi="宋体" w:eastAsia="宋体" w:cs="宋体"/>
          <w:color w:val="auto"/>
          <w:sz w:val="21"/>
          <w:szCs w:val="21"/>
        </w:rPr>
      </w:pPr>
    </w:p>
    <w:p>
      <w:pPr>
        <w:pStyle w:val="55"/>
        <w:numPr>
          <w:ilvl w:val="0"/>
          <w:numId w:val="0"/>
        </w:numPr>
        <w:spacing w:before="156" w:beforeLines="50" w:after="156" w:afterLines="50"/>
        <w:ind w:leftChars="0"/>
        <w:rPr>
          <w:rFonts w:hint="eastAsia" w:ascii="宋体" w:hAnsi="宋体" w:eastAsia="宋体" w:cs="宋体"/>
          <w:color w:val="auto"/>
          <w:sz w:val="21"/>
          <w:szCs w:val="21"/>
        </w:rPr>
      </w:pPr>
    </w:p>
    <w:p>
      <w:pPr>
        <w:pStyle w:val="55"/>
        <w:numPr>
          <w:ilvl w:val="0"/>
          <w:numId w:val="0"/>
        </w:numPr>
        <w:spacing w:before="156" w:beforeLines="50" w:after="156" w:afterLines="50"/>
        <w:ind w:leftChars="0"/>
        <w:rPr>
          <w:rFonts w:hint="eastAsia" w:ascii="宋体" w:hAnsi="宋体" w:eastAsia="宋体" w:cs="宋体"/>
          <w:color w:val="auto"/>
          <w:sz w:val="21"/>
          <w:szCs w:val="21"/>
        </w:rPr>
      </w:pPr>
    </w:p>
    <w:p>
      <w:pPr>
        <w:pStyle w:val="55"/>
        <w:numPr>
          <w:ilvl w:val="0"/>
          <w:numId w:val="0"/>
        </w:numPr>
        <w:spacing w:before="156" w:beforeLines="50" w:after="156" w:afterLines="50"/>
        <w:ind w:leftChars="0"/>
        <w:rPr>
          <w:rFonts w:hint="eastAsia" w:ascii="宋体" w:hAnsi="宋体" w:eastAsia="宋体" w:cs="宋体"/>
          <w:color w:val="auto"/>
          <w:sz w:val="21"/>
          <w:szCs w:val="21"/>
        </w:rPr>
      </w:pPr>
    </w:p>
    <w:p>
      <w:pPr>
        <w:numPr>
          <w:ilvl w:val="0"/>
          <w:numId w:val="6"/>
        </w:numPr>
        <w:spacing w:line="480" w:lineRule="auto"/>
        <w:ind w:left="0" w:leftChars="0" w:right="800" w:firstLine="0" w:firstLineChars="0"/>
        <w:jc w:val="both"/>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内循环耐强酸碱PP试剂柜</w:t>
      </w:r>
    </w:p>
    <w:p>
      <w:pPr>
        <w:numPr>
          <w:ilvl w:val="0"/>
          <w:numId w:val="0"/>
        </w:numPr>
        <w:spacing w:line="360" w:lineRule="auto"/>
        <w:ind w:leftChars="0" w:right="800" w:rightChars="0"/>
        <w:jc w:val="center"/>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rPr>
        <w:t>技术参数</w:t>
      </w:r>
    </w:p>
    <w:p>
      <w:pPr>
        <w:spacing w:line="360" w:lineRule="auto"/>
        <w:ind w:right="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1.产品特点:具有较强之抗折弯性、防水、具有耐酸碱特性，具有半永久性；</w:t>
      </w:r>
    </w:p>
    <w:p>
      <w:pPr>
        <w:spacing w:line="360" w:lineRule="auto"/>
        <w:ind w:right="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2.结构设计:上下分体式，采用口型U型T型L型等加强结构，确保整体结实可靠，具有最大的承重能力；</w:t>
      </w:r>
    </w:p>
    <w:p>
      <w:pPr>
        <w:spacing w:line="360" w:lineRule="auto"/>
        <w:ind w:right="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3.主材使用:采用</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lang w:val="en-US" w:eastAsia="zh-CN"/>
        </w:rPr>
        <w:t>白色PP板，同质同色焊接一体成型；</w:t>
      </w:r>
    </w:p>
    <w:p>
      <w:pPr>
        <w:spacing w:line="360" w:lineRule="auto"/>
        <w:ind w:right="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4.层板选择:四块有孔隔板，冲</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lang w:val="en-US" w:eastAsia="zh-CN"/>
        </w:rPr>
        <w:t>孔，无孔下做加强筋；</w:t>
      </w:r>
    </w:p>
    <w:p>
      <w:pPr>
        <w:spacing w:line="360" w:lineRule="auto"/>
        <w:ind w:right="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5.配件选择:采用PP射出一体成型，不易腐蚀蓝色铰链、拉手；</w:t>
      </w:r>
    </w:p>
    <w:p>
      <w:pPr>
        <w:spacing w:line="360" w:lineRule="auto"/>
        <w:ind w:right="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6.结构系统:双开门；</w:t>
      </w:r>
    </w:p>
    <w:p>
      <w:pPr>
        <w:spacing w:line="360" w:lineRule="auto"/>
        <w:ind w:right="8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7.其他</w:t>
      </w:r>
      <w:r>
        <w:rPr>
          <w:rFonts w:hint="eastAsia" w:ascii="宋体" w:hAnsi="宋体" w:eastAsia="宋体" w:cs="宋体"/>
          <w:sz w:val="21"/>
          <w:szCs w:val="21"/>
          <w:highlight w:val="none"/>
          <w:lang w:val="en-US" w:eastAsia="zh-CN"/>
        </w:rPr>
        <w:t>：配置FFU和活性炭过滤器</w:t>
      </w:r>
    </w:p>
    <w:p>
      <w:pPr>
        <w:pStyle w:val="39"/>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8.尺寸</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2000x1200x500mm</w:t>
      </w:r>
    </w:p>
    <w:p>
      <w:pPr>
        <w:pStyle w:val="55"/>
        <w:spacing w:before="156" w:beforeLines="50" w:after="156" w:afterLines="50"/>
        <w:ind w:left="0" w:leftChars="0" w:firstLine="0" w:firstLineChars="0"/>
        <w:rPr>
          <w:rFonts w:hint="eastAsia" w:ascii="宋体" w:hAnsi="宋体" w:eastAsia="宋体" w:cs="宋体"/>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四、全自动高压灭菌锅</w:t>
      </w:r>
    </w:p>
    <w:p>
      <w:pPr>
        <w:numPr>
          <w:ilvl w:val="0"/>
          <w:numId w:val="0"/>
        </w:numPr>
        <w:spacing w:line="240" w:lineRule="auto"/>
        <w:jc w:val="center"/>
        <w:outlineLvl w:val="9"/>
        <w:rPr>
          <w:rFonts w:hint="eastAsia" w:ascii="宋体" w:hAnsi="宋体" w:eastAsia="宋体" w:cs="宋体"/>
          <w:b/>
          <w:bCs/>
          <w:sz w:val="21"/>
          <w:szCs w:val="21"/>
          <w:lang w:val="en-US" w:eastAsia="zh-CN"/>
        </w:rPr>
      </w:pPr>
      <w:r>
        <w:rPr>
          <w:rFonts w:hint="eastAsia" w:ascii="宋体" w:hAnsi="宋体" w:eastAsia="宋体" w:cs="宋体"/>
          <w:b/>
          <w:bCs/>
          <w:kern w:val="0"/>
          <w:sz w:val="21"/>
          <w:szCs w:val="21"/>
        </w:rPr>
        <w:t>技术参数</w:t>
      </w:r>
    </w:p>
    <w:tbl>
      <w:tblPr>
        <w:tblStyle w:val="40"/>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5"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7445"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15"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7445" w:type="dxa"/>
            <w:noWrap w:val="0"/>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锅盖启闭装置，采用拨杆式多连杆同步伸缩结构，使锅盖与筒体开启与密合灵活轻巧，安全可靠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7445" w:type="dxa"/>
            <w:noWrap w:val="0"/>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外壳采用耐温优质工程与不锈钢材料组合而成，</w:t>
            </w:r>
            <w:r>
              <w:rPr>
                <w:rFonts w:hint="eastAsia" w:ascii="宋体" w:hAnsi="宋体" w:eastAsia="宋体" w:cs="宋体"/>
                <w:kern w:val="0"/>
                <w:sz w:val="21"/>
                <w:szCs w:val="21"/>
                <w:lang w:val="en-US" w:eastAsia="zh-CN"/>
              </w:rPr>
              <w:t>灭菌锅体采用304不锈钢材质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15" w:type="dxa"/>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p>
        </w:tc>
        <w:tc>
          <w:tcPr>
            <w:tcW w:w="7445" w:type="dxa"/>
            <w:noWrap w:val="0"/>
            <w:vAlign w:val="center"/>
          </w:tcPr>
          <w:p>
            <w:pPr>
              <w:widowControl/>
              <w:jc w:val="left"/>
              <w:rPr>
                <w:rFonts w:hint="eastAsia" w:ascii="宋体" w:hAnsi="宋体" w:eastAsia="宋体" w:cs="宋体"/>
                <w:kern w:val="0"/>
                <w:sz w:val="21"/>
                <w:szCs w:val="21"/>
                <w:lang w:val="en-US"/>
              </w:rPr>
            </w:pPr>
            <w:r>
              <w:rPr>
                <w:rFonts w:hint="eastAsia" w:ascii="宋体" w:hAnsi="宋体" w:eastAsia="宋体" w:cs="宋体"/>
                <w:kern w:val="0"/>
                <w:sz w:val="21"/>
                <w:szCs w:val="21"/>
              </w:rPr>
              <w:t>自胀式密封圈</w:t>
            </w:r>
            <w:r>
              <w:rPr>
                <w:rFonts w:hint="eastAsia" w:ascii="宋体" w:hAnsi="宋体" w:eastAsia="宋体" w:cs="宋体"/>
                <w:kern w:val="0"/>
                <w:sz w:val="21"/>
                <w:szCs w:val="21"/>
                <w:lang w:eastAsia="zh-CN"/>
              </w:rPr>
              <w:t>结构</w:t>
            </w:r>
            <w:r>
              <w:rPr>
                <w:rFonts w:hint="eastAsia" w:ascii="宋体" w:hAnsi="宋体" w:eastAsia="宋体" w:cs="宋体"/>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5"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7445" w:type="dxa"/>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采用</w:t>
            </w:r>
            <w:r>
              <w:rPr>
                <w:rFonts w:hint="eastAsia" w:ascii="宋体" w:hAnsi="宋体" w:eastAsia="宋体" w:cs="宋体"/>
                <w:kern w:val="0"/>
                <w:sz w:val="21"/>
                <w:szCs w:val="21"/>
                <w:lang w:val="en-US" w:eastAsia="zh-CN"/>
              </w:rPr>
              <w:t>LED数</w:t>
            </w:r>
            <w:r>
              <w:rPr>
                <w:rFonts w:hint="eastAsia" w:ascii="宋体" w:hAnsi="宋体" w:eastAsia="宋体" w:cs="宋体"/>
                <w:kern w:val="0"/>
                <w:sz w:val="21"/>
                <w:szCs w:val="21"/>
              </w:rPr>
              <w:t>显</w:t>
            </w:r>
            <w:r>
              <w:rPr>
                <w:rFonts w:hint="eastAsia" w:ascii="宋体" w:hAnsi="宋体" w:eastAsia="宋体" w:cs="宋体"/>
                <w:kern w:val="0"/>
                <w:sz w:val="21"/>
                <w:szCs w:val="21"/>
                <w:lang w:eastAsia="zh-CN"/>
              </w:rPr>
              <w:t>运行工作</w:t>
            </w:r>
            <w:r>
              <w:rPr>
                <w:rFonts w:hint="eastAsia" w:ascii="宋体" w:hAnsi="宋体" w:eastAsia="宋体" w:cs="宋体"/>
                <w:kern w:val="0"/>
                <w:sz w:val="21"/>
                <w:szCs w:val="21"/>
              </w:rPr>
              <w:t>循环程序</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灭菌</w:t>
            </w:r>
            <w:r>
              <w:rPr>
                <w:rFonts w:hint="eastAsia" w:ascii="宋体" w:hAnsi="宋体" w:eastAsia="宋体" w:cs="宋体"/>
                <w:kern w:val="0"/>
                <w:sz w:val="21"/>
                <w:szCs w:val="21"/>
                <w:lang w:eastAsia="zh-CN"/>
              </w:rPr>
              <w:t>结束（报警）</w:t>
            </w:r>
            <w:r>
              <w:rPr>
                <w:rFonts w:hint="eastAsia" w:ascii="宋体" w:hAnsi="宋体" w:eastAsia="宋体" w:cs="宋体"/>
                <w:kern w:val="0"/>
                <w:sz w:val="21"/>
                <w:szCs w:val="21"/>
              </w:rPr>
              <w:t>后自动停机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5</w:t>
            </w:r>
          </w:p>
        </w:tc>
        <w:tc>
          <w:tcPr>
            <w:tcW w:w="7445" w:type="dxa"/>
            <w:noWrap w:val="0"/>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灭菌过程具有动态指示，便于用户观察灭菌状态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6</w:t>
            </w:r>
          </w:p>
        </w:tc>
        <w:tc>
          <w:tcPr>
            <w:tcW w:w="7445" w:type="dxa"/>
            <w:noWrap w:val="0"/>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设定温度时间采用一键式操作方式</w:t>
            </w:r>
            <w:r>
              <w:rPr>
                <w:rFonts w:hint="eastAsia" w:ascii="宋体" w:hAnsi="宋体" w:eastAsia="宋体" w:cs="宋体"/>
                <w:kern w:val="0"/>
                <w:sz w:val="21"/>
                <w:szCs w:val="21"/>
                <w:lang w:eastAsia="zh-CN"/>
              </w:rPr>
              <w:t>，可根据不同的灭菌物品快速明了的进行所需选择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7</w:t>
            </w:r>
          </w:p>
        </w:tc>
        <w:tc>
          <w:tcPr>
            <w:tcW w:w="7445" w:type="dxa"/>
            <w:noWrap w:val="0"/>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具有风冷式快速冷却装置，确保灭菌结束时对锅体快速降温，从而起到缩短开启锅盖时间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p>
        </w:tc>
        <w:tc>
          <w:tcPr>
            <w:tcW w:w="7445" w:type="dxa"/>
            <w:noWrap w:val="0"/>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具有灭菌时间的预约功能，方便用户定时开机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9</w:t>
            </w:r>
          </w:p>
        </w:tc>
        <w:tc>
          <w:tcPr>
            <w:tcW w:w="7445" w:type="dxa"/>
            <w:noWrap w:val="0"/>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全自动控制，</w:t>
            </w:r>
            <w:r>
              <w:rPr>
                <w:rFonts w:hint="eastAsia" w:ascii="宋体" w:hAnsi="宋体" w:eastAsia="宋体" w:cs="宋体"/>
                <w:kern w:val="0"/>
                <w:sz w:val="21"/>
                <w:szCs w:val="21"/>
                <w:lang w:val="en-US" w:eastAsia="zh-CN"/>
              </w:rPr>
              <w:t>故障自动检测判断系统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w:t>
            </w:r>
          </w:p>
        </w:tc>
        <w:tc>
          <w:tcPr>
            <w:tcW w:w="7445" w:type="dxa"/>
            <w:noWrap w:val="0"/>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具自动排放冷空气及灭菌结束自动排气功能，全程</w:t>
            </w:r>
            <w:r>
              <w:rPr>
                <w:rFonts w:hint="eastAsia" w:ascii="宋体" w:hAnsi="宋体" w:eastAsia="宋体" w:cs="宋体"/>
                <w:kern w:val="0"/>
                <w:sz w:val="21"/>
                <w:szCs w:val="21"/>
              </w:rPr>
              <w:t>无蒸汽外排现象</w:t>
            </w:r>
            <w:r>
              <w:rPr>
                <w:rFonts w:hint="eastAsia" w:ascii="宋体" w:hAnsi="宋体" w:eastAsia="宋体" w:cs="宋体"/>
                <w:kern w:val="0"/>
                <w:sz w:val="21"/>
                <w:szCs w:val="21"/>
                <w:lang w:eastAsia="zh-CN"/>
              </w:rPr>
              <w:t>（内置蒸汽集汽水箱）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11</w:t>
            </w:r>
          </w:p>
        </w:tc>
        <w:tc>
          <w:tcPr>
            <w:tcW w:w="7445" w:type="dxa"/>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具有</w:t>
            </w:r>
            <w:r>
              <w:rPr>
                <w:rFonts w:hint="eastAsia" w:ascii="宋体" w:hAnsi="宋体" w:eastAsia="宋体" w:cs="宋体"/>
                <w:kern w:val="0"/>
                <w:sz w:val="21"/>
                <w:szCs w:val="21"/>
              </w:rPr>
              <w:t>安全联锁</w:t>
            </w:r>
            <w:r>
              <w:rPr>
                <w:rFonts w:hint="eastAsia" w:ascii="宋体" w:hAnsi="宋体" w:eastAsia="宋体" w:cs="宋体"/>
                <w:kern w:val="0"/>
                <w:sz w:val="21"/>
                <w:szCs w:val="21"/>
                <w:lang w:eastAsia="zh-CN"/>
              </w:rPr>
              <w:t>装置，采用电子与机械互动的安全联锁结构，确保有压力时自动锁盖，避免误操作而产生不安全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12</w:t>
            </w:r>
          </w:p>
        </w:tc>
        <w:tc>
          <w:tcPr>
            <w:tcW w:w="7445" w:type="dxa"/>
            <w:noWrap w:val="0"/>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rPr>
              <w:t>具有机械式安全泄压阀和电控式过压保护装置的双套保护系统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7445" w:type="dxa"/>
            <w:noWrap w:val="0"/>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具有断水保护</w:t>
            </w:r>
            <w:r>
              <w:rPr>
                <w:rFonts w:hint="eastAsia" w:ascii="宋体" w:hAnsi="宋体" w:eastAsia="宋体" w:cs="宋体"/>
                <w:kern w:val="0"/>
                <w:sz w:val="21"/>
                <w:szCs w:val="21"/>
                <w:lang w:eastAsia="zh-CN"/>
              </w:rPr>
              <w:t>防干烧和漏电保护系统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14</w:t>
            </w:r>
          </w:p>
        </w:tc>
        <w:tc>
          <w:tcPr>
            <w:tcW w:w="7445" w:type="dxa"/>
            <w:noWrap w:val="0"/>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rPr>
              <w:t>可预置固定程序针对固体、液体的灭菌选择模式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15</w:t>
            </w:r>
          </w:p>
        </w:tc>
        <w:tc>
          <w:tcPr>
            <w:tcW w:w="7445" w:type="dxa"/>
            <w:noWrap w:val="0"/>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rPr>
              <w:t>具有验证接口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16</w:t>
            </w:r>
          </w:p>
        </w:tc>
        <w:tc>
          <w:tcPr>
            <w:tcW w:w="7445" w:type="dxa"/>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灭菌温度可选设定范围50℃-13</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5"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17</w:t>
            </w:r>
          </w:p>
        </w:tc>
        <w:tc>
          <w:tcPr>
            <w:tcW w:w="7445" w:type="dxa"/>
            <w:noWrap w:val="0"/>
            <w:vAlign w:val="center"/>
          </w:tcPr>
          <w:p>
            <w:pPr>
              <w:widowControl/>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灭菌时间可调设定范围0-99h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5" w:type="dxa"/>
            <w:noWrap w:val="0"/>
            <w:vAlign w:val="center"/>
          </w:tcPr>
          <w:p>
            <w:pPr>
              <w:widowControl/>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lang w:val="en-US" w:eastAsia="zh-CN"/>
              </w:rPr>
              <w:t>18</w:t>
            </w:r>
          </w:p>
        </w:tc>
        <w:tc>
          <w:tcPr>
            <w:tcW w:w="7445" w:type="dxa"/>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highlight w:val="none"/>
                <w:lang w:val="en-US" w:eastAsia="zh-CN"/>
              </w:rPr>
              <w:t>USB接口方便连接电脑监测灭菌过程及数据的收集（可增配）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5" w:type="dxa"/>
            <w:noWrap w:val="0"/>
            <w:vAlign w:val="center"/>
          </w:tcPr>
          <w:p>
            <w:pPr>
              <w:widowControl/>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lang w:val="en-US" w:eastAsia="zh-CN"/>
              </w:rPr>
              <w:t>19</w:t>
            </w:r>
          </w:p>
        </w:tc>
        <w:tc>
          <w:tcPr>
            <w:tcW w:w="7445" w:type="dxa"/>
            <w:noWrap w:val="0"/>
            <w:vAlign w:val="center"/>
          </w:tcPr>
          <w:p>
            <w:pPr>
              <w:widowControl/>
              <w:jc w:val="left"/>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rPr>
              <w:t>可增配打印功能</w:t>
            </w:r>
            <w:r>
              <w:rPr>
                <w:rFonts w:hint="eastAsia" w:ascii="宋体" w:hAnsi="宋体" w:eastAsia="宋体" w:cs="宋体"/>
                <w:kern w:val="0"/>
                <w:sz w:val="21"/>
                <w:szCs w:val="21"/>
                <w:lang w:eastAsia="zh-CN"/>
              </w:rPr>
              <w:t>，实时打印灭菌日期、温度、时间与压力（另收费）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5" w:type="dxa"/>
            <w:noWrap w:val="0"/>
            <w:vAlign w:val="center"/>
          </w:tcPr>
          <w:p>
            <w:pPr>
              <w:widowControl/>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20</w:t>
            </w:r>
          </w:p>
        </w:tc>
        <w:tc>
          <w:tcPr>
            <w:tcW w:w="7445" w:type="dxa"/>
            <w:noWrap w:val="0"/>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容积：</w:t>
            </w:r>
            <w:r>
              <w:rPr>
                <w:rFonts w:hint="eastAsia" w:ascii="宋体" w:hAnsi="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75</w:t>
            </w:r>
            <w:r>
              <w:rPr>
                <w:rFonts w:hint="eastAsia" w:ascii="宋体" w:hAnsi="宋体" w:eastAsia="宋体" w:cs="宋体"/>
                <w:kern w:val="0"/>
                <w:sz w:val="21"/>
                <w:szCs w:val="21"/>
                <w:highlight w:val="none"/>
              </w:rPr>
              <w:t>升</w:t>
            </w: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电源电压</w:t>
            </w: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220V</w:t>
            </w: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50Hz</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功率</w:t>
            </w: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3.5KW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5" w:type="dxa"/>
            <w:noWrap w:val="0"/>
            <w:vAlign w:val="center"/>
          </w:tcPr>
          <w:p>
            <w:pPr>
              <w:widowControl/>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r>
              <w:rPr>
                <w:rFonts w:hint="eastAsia" w:ascii="宋体" w:hAnsi="宋体" w:cs="宋体"/>
                <w:kern w:val="0"/>
                <w:sz w:val="21"/>
                <w:szCs w:val="21"/>
                <w:highlight w:val="none"/>
                <w:lang w:val="en-US" w:eastAsia="zh-CN" w:bidi="ar-SA"/>
              </w:rPr>
              <w:t>1</w:t>
            </w:r>
          </w:p>
        </w:tc>
        <w:tc>
          <w:tcPr>
            <w:tcW w:w="7445" w:type="dxa"/>
            <w:noWrap w:val="0"/>
            <w:vAlign w:val="center"/>
          </w:tcPr>
          <w:p>
            <w:pPr>
              <w:widowControl/>
              <w:tabs>
                <w:tab w:val="left" w:pos="0"/>
              </w:tabs>
              <w:ind w:right="-489" w:rightChars="-233"/>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rPr>
              <w:t>网篮</w:t>
            </w:r>
            <w:r>
              <w:rPr>
                <w:rFonts w:hint="eastAsia" w:ascii="宋体" w:hAnsi="宋体" w:cs="宋体"/>
                <w:kern w:val="0"/>
                <w:sz w:val="21"/>
                <w:szCs w:val="21"/>
                <w:highlight w:val="none"/>
                <w:lang w:val="en-US" w:eastAsia="zh-CN"/>
              </w:rPr>
              <w:t>*</w:t>
            </w:r>
            <w:r>
              <w:rPr>
                <w:rFonts w:hint="eastAsia" w:ascii="宋体" w:hAnsi="宋体" w:eastAsia="宋体" w:cs="宋体"/>
                <w:kern w:val="0"/>
                <w:sz w:val="21"/>
                <w:szCs w:val="21"/>
                <w:highlight w:val="none"/>
                <w:lang w:val="en-US" w:eastAsia="zh-CN"/>
              </w:rPr>
              <w:t>2只</w:t>
            </w:r>
            <w:r>
              <w:rPr>
                <w:rFonts w:hint="eastAsia" w:ascii="宋体" w:hAnsi="宋体" w:eastAsia="宋体" w:cs="宋体"/>
                <w:kern w:val="0"/>
                <w:sz w:val="21"/>
                <w:szCs w:val="21"/>
                <w:highlight w:val="none"/>
                <w:lang w:eastAsia="zh-CN"/>
              </w:rPr>
              <w:t>（直径</w:t>
            </w:r>
            <w:r>
              <w:rPr>
                <w:rFonts w:hint="eastAsia" w:ascii="宋体" w:hAnsi="宋体" w:cs="宋体"/>
                <w:kern w:val="0"/>
                <w:sz w:val="21"/>
                <w:szCs w:val="21"/>
                <w:highlight w:val="none"/>
                <w:lang w:val="en-US" w:eastAsia="zh-CN"/>
              </w:rPr>
              <w:t>*</w:t>
            </w:r>
            <w:r>
              <w:rPr>
                <w:rFonts w:hint="eastAsia" w:ascii="宋体" w:hAnsi="宋体" w:eastAsia="宋体" w:cs="宋体"/>
                <w:kern w:val="0"/>
                <w:sz w:val="21"/>
                <w:szCs w:val="21"/>
                <w:highlight w:val="none"/>
                <w:lang w:val="en-US" w:eastAsia="zh-CN"/>
              </w:rPr>
              <w:t>高度：</w:t>
            </w:r>
            <w:r>
              <w:rPr>
                <w:rFonts w:hint="eastAsia" w:ascii="宋体" w:hAnsi="宋体" w:eastAsia="宋体" w:cs="宋体"/>
                <w:kern w:val="0"/>
                <w:sz w:val="21"/>
                <w:szCs w:val="21"/>
                <w:highlight w:val="none"/>
              </w:rPr>
              <w:t>φ</w:t>
            </w:r>
            <w:r>
              <w:rPr>
                <w:rFonts w:hint="eastAsia" w:ascii="宋体" w:hAnsi="宋体" w:eastAsia="宋体" w:cs="宋体"/>
                <w:kern w:val="0"/>
                <w:sz w:val="21"/>
                <w:szCs w:val="21"/>
                <w:highlight w:val="none"/>
                <w:lang w:val="en-US" w:eastAsia="zh-CN"/>
              </w:rPr>
              <w:t>335</w:t>
            </w:r>
            <w:r>
              <w:rPr>
                <w:rFonts w:hint="eastAsia" w:ascii="宋体" w:hAnsi="宋体" w:cs="宋体"/>
                <w:kern w:val="0"/>
                <w:sz w:val="21"/>
                <w:szCs w:val="21"/>
                <w:highlight w:val="none"/>
                <w:lang w:val="en-US" w:eastAsia="zh-CN"/>
              </w:rPr>
              <w:t>*</w:t>
            </w:r>
            <w:r>
              <w:rPr>
                <w:rFonts w:hint="eastAsia" w:ascii="宋体" w:hAnsi="宋体" w:eastAsia="宋体" w:cs="宋体"/>
                <w:kern w:val="0"/>
                <w:sz w:val="21"/>
                <w:szCs w:val="21"/>
                <w:highlight w:val="none"/>
                <w:lang w:val="en-US" w:eastAsia="zh-CN"/>
              </w:rPr>
              <w:t xml:space="preserve">190mm / </w:t>
            </w:r>
            <w:r>
              <w:rPr>
                <w:rFonts w:hint="eastAsia" w:ascii="宋体" w:hAnsi="宋体" w:eastAsia="宋体" w:cs="宋体"/>
                <w:kern w:val="0"/>
                <w:sz w:val="21"/>
                <w:szCs w:val="21"/>
                <w:highlight w:val="none"/>
              </w:rPr>
              <w:t>φ</w:t>
            </w:r>
            <w:r>
              <w:rPr>
                <w:rFonts w:hint="eastAsia" w:ascii="宋体" w:hAnsi="宋体" w:eastAsia="宋体" w:cs="宋体"/>
                <w:kern w:val="0"/>
                <w:sz w:val="21"/>
                <w:szCs w:val="21"/>
                <w:highlight w:val="none"/>
                <w:lang w:val="en-US" w:eastAsia="zh-CN"/>
              </w:rPr>
              <w:t>335</w:t>
            </w:r>
            <w:r>
              <w:rPr>
                <w:rFonts w:hint="eastAsia" w:ascii="宋体" w:hAnsi="宋体" w:cs="宋体"/>
                <w:kern w:val="0"/>
                <w:sz w:val="21"/>
                <w:szCs w:val="21"/>
                <w:highlight w:val="none"/>
                <w:lang w:val="en-US" w:eastAsia="zh-CN"/>
              </w:rPr>
              <w:t>*</w:t>
            </w:r>
            <w:r>
              <w:rPr>
                <w:rFonts w:hint="eastAsia" w:ascii="宋体" w:hAnsi="宋体" w:eastAsia="宋体" w:cs="宋体"/>
                <w:kern w:val="0"/>
                <w:sz w:val="21"/>
                <w:szCs w:val="21"/>
                <w:highlight w:val="none"/>
                <w:lang w:val="en-US" w:eastAsia="zh-CN"/>
              </w:rPr>
              <w:t>360mm）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5" w:type="dxa"/>
            <w:noWrap w:val="0"/>
            <w:vAlign w:val="center"/>
          </w:tcPr>
          <w:p>
            <w:pPr>
              <w:widowControl/>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2</w:t>
            </w:r>
            <w:r>
              <w:rPr>
                <w:rFonts w:hint="eastAsia" w:ascii="宋体" w:hAnsi="宋体" w:cs="宋体"/>
                <w:kern w:val="0"/>
                <w:sz w:val="21"/>
                <w:szCs w:val="21"/>
                <w:highlight w:val="none"/>
                <w:lang w:val="en-US" w:eastAsia="zh-CN"/>
              </w:rPr>
              <w:t>2</w:t>
            </w:r>
          </w:p>
        </w:tc>
        <w:tc>
          <w:tcPr>
            <w:tcW w:w="7445" w:type="dxa"/>
            <w:noWrap w:val="0"/>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本设备</w:t>
            </w:r>
            <w:r>
              <w:rPr>
                <w:rFonts w:hint="eastAsia" w:ascii="宋体" w:hAnsi="宋体" w:eastAsia="宋体" w:cs="宋体"/>
                <w:kern w:val="0"/>
                <w:sz w:val="21"/>
                <w:szCs w:val="21"/>
                <w:highlight w:val="none"/>
                <w:lang w:eastAsia="zh-CN"/>
              </w:rPr>
              <w:t>设计</w:t>
            </w:r>
            <w:r>
              <w:rPr>
                <w:rFonts w:hint="eastAsia" w:ascii="宋体" w:hAnsi="宋体" w:eastAsia="宋体" w:cs="宋体"/>
                <w:kern w:val="0"/>
                <w:sz w:val="21"/>
                <w:szCs w:val="21"/>
                <w:highlight w:val="none"/>
              </w:rPr>
              <w:t>压力</w:t>
            </w:r>
            <w:r>
              <w:rPr>
                <w:rFonts w:hint="eastAsia" w:ascii="宋体" w:hAnsi="宋体" w:eastAsia="宋体" w:cs="宋体"/>
                <w:kern w:val="0"/>
                <w:sz w:val="21"/>
                <w:szCs w:val="21"/>
                <w:highlight w:val="none"/>
                <w:lang w:eastAsia="zh-CN"/>
              </w:rPr>
              <w:t>：</w:t>
            </w:r>
            <w:r>
              <w:rPr>
                <w:rFonts w:hint="eastAsia" w:ascii="宋体" w:hAnsi="宋体" w:cs="宋体"/>
                <w:kern w:val="0"/>
                <w:sz w:val="21"/>
                <w:szCs w:val="21"/>
                <w:highlight w:val="none"/>
                <w:lang w:eastAsia="zh-CN"/>
              </w:rPr>
              <w:t>应达到</w:t>
            </w:r>
            <w:r>
              <w:rPr>
                <w:rFonts w:hint="eastAsia" w:ascii="宋体" w:hAnsi="宋体" w:eastAsia="宋体" w:cs="宋体"/>
                <w:kern w:val="0"/>
                <w:sz w:val="21"/>
                <w:szCs w:val="21"/>
                <w:highlight w:val="none"/>
              </w:rPr>
              <w:t>0.2</w:t>
            </w:r>
            <w:r>
              <w:rPr>
                <w:rFonts w:hint="eastAsia" w:ascii="宋体" w:hAnsi="宋体" w:eastAsia="宋体" w:cs="宋体"/>
                <w:kern w:val="0"/>
                <w:sz w:val="21"/>
                <w:szCs w:val="21"/>
                <w:highlight w:val="none"/>
                <w:lang w:val="en-US" w:eastAsia="zh-CN"/>
              </w:rPr>
              <w:t>4</w:t>
            </w:r>
            <w:r>
              <w:rPr>
                <w:rFonts w:hint="eastAsia" w:ascii="宋体" w:hAnsi="宋体" w:eastAsia="宋体" w:cs="宋体"/>
                <w:kern w:val="0"/>
                <w:sz w:val="21"/>
                <w:szCs w:val="21"/>
                <w:highlight w:val="none"/>
              </w:rPr>
              <w:t>Mpa ，</w:t>
            </w:r>
            <w:r>
              <w:rPr>
                <w:rFonts w:hint="eastAsia" w:ascii="宋体" w:hAnsi="宋体" w:eastAsia="宋体" w:cs="宋体"/>
                <w:kern w:val="0"/>
                <w:sz w:val="21"/>
                <w:szCs w:val="21"/>
                <w:highlight w:val="none"/>
                <w:lang w:eastAsia="zh-CN"/>
              </w:rPr>
              <w:t>额定</w:t>
            </w:r>
            <w:r>
              <w:rPr>
                <w:rFonts w:hint="eastAsia" w:ascii="宋体" w:hAnsi="宋体" w:eastAsia="宋体" w:cs="宋体"/>
                <w:kern w:val="0"/>
                <w:sz w:val="21"/>
                <w:szCs w:val="21"/>
                <w:highlight w:val="none"/>
              </w:rPr>
              <w:t>工作压力</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0.217Mpa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5" w:type="dxa"/>
            <w:noWrap w:val="0"/>
            <w:vAlign w:val="center"/>
          </w:tcPr>
          <w:p>
            <w:pPr>
              <w:widowControl/>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w:t>
            </w:r>
            <w:r>
              <w:rPr>
                <w:rFonts w:hint="eastAsia" w:ascii="宋体" w:hAnsi="宋体" w:cs="宋体"/>
                <w:kern w:val="0"/>
                <w:sz w:val="21"/>
                <w:szCs w:val="21"/>
                <w:highlight w:val="none"/>
                <w:lang w:val="en-US" w:eastAsia="zh-CN"/>
              </w:rPr>
              <w:t>3</w:t>
            </w:r>
          </w:p>
        </w:tc>
        <w:tc>
          <w:tcPr>
            <w:tcW w:w="7445" w:type="dxa"/>
            <w:noWrap w:val="0"/>
            <w:vAlign w:val="center"/>
          </w:tcPr>
          <w:p>
            <w:pPr>
              <w:widowControl/>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rPr>
              <w:t>具有国家规定的特种设备压力容器证书</w:t>
            </w:r>
            <w:r>
              <w:rPr>
                <w:rFonts w:hint="eastAsia" w:ascii="宋体" w:hAnsi="宋体" w:eastAsia="宋体" w:cs="宋体"/>
                <w:kern w:val="0"/>
                <w:sz w:val="21"/>
                <w:szCs w:val="21"/>
                <w:lang w:eastAsia="zh-CN"/>
              </w:rPr>
              <w:t>和医疗器械证书</w:t>
            </w:r>
          </w:p>
        </w:tc>
      </w:tr>
    </w:tbl>
    <w:p>
      <w:pPr>
        <w:pStyle w:val="39"/>
        <w:spacing w:after="0" w:line="240" w:lineRule="auto"/>
        <w:ind w:left="0" w:leftChars="0" w:firstLine="0" w:firstLineChars="0"/>
        <w:outlineLvl w:val="9"/>
        <w:rPr>
          <w:rFonts w:hint="eastAsia" w:ascii="宋体" w:hAnsi="宋体" w:eastAsia="宋体" w:cs="宋体"/>
          <w:b/>
          <w:bCs/>
          <w:color w:val="FF0000"/>
          <w:sz w:val="21"/>
          <w:szCs w:val="21"/>
          <w:lang w:val="en-US" w:eastAsia="zh-CN"/>
        </w:rPr>
        <w:sectPr>
          <w:pgSz w:w="11906" w:h="16838"/>
          <w:pgMar w:top="1440" w:right="1800" w:bottom="1440" w:left="1800" w:header="851" w:footer="992" w:gutter="0"/>
          <w:cols w:space="425" w:num="1"/>
          <w:docGrid w:linePitch="312" w:charSpace="0"/>
        </w:sectPr>
      </w:pPr>
    </w:p>
    <w:p>
      <w:pPr>
        <w:pStyle w:val="39"/>
        <w:spacing w:after="0" w:line="240" w:lineRule="auto"/>
        <w:ind w:left="0" w:leftChars="0" w:firstLine="0" w:firstLineChars="0"/>
        <w:outlineLvl w:val="9"/>
        <w:rPr>
          <w:rFonts w:hint="eastAsia" w:ascii="宋体" w:hAnsi="宋体" w:eastAsia="宋体" w:cs="宋体"/>
          <w:b/>
          <w:bCs/>
          <w:color w:val="FF0000"/>
          <w:sz w:val="21"/>
          <w:szCs w:val="21"/>
          <w:lang w:val="en-US" w:eastAsia="zh-CN"/>
        </w:rPr>
      </w:pPr>
    </w:p>
    <w:p>
      <w:pPr>
        <w:pStyle w:val="39"/>
        <w:numPr>
          <w:ilvl w:val="0"/>
          <w:numId w:val="8"/>
        </w:numPr>
        <w:spacing w:after="0"/>
        <w:ind w:left="0" w:leftChars="0" w:firstLine="0" w:firstLineChars="0"/>
        <w:jc w:val="both"/>
        <w:outlineLvl w:val="9"/>
        <w:rPr>
          <w:rFonts w:hint="eastAsia" w:ascii="宋体" w:hAnsi="宋体" w:eastAsia="宋体" w:cs="宋体"/>
          <w:b/>
          <w:bCs/>
          <w:color w:val="auto"/>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全自动液体处理工作站</w:t>
      </w:r>
    </w:p>
    <w:tbl>
      <w:tblPr>
        <w:tblStyle w:val="40"/>
        <w:tblW w:w="8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37"/>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1737" w:type="dxa"/>
            <w:noWrap w:val="0"/>
            <w:vAlign w:val="top"/>
          </w:tcPr>
          <w:p>
            <w:pPr>
              <w:pStyle w:val="247"/>
              <w:spacing w:before="63" w:line="240" w:lineRule="auto"/>
              <w:ind w:left="0" w:leftChars="0" w:right="297" w:firstLine="0" w:firstLineChars="0"/>
              <w:jc w:val="center"/>
              <w:rPr>
                <w:rFonts w:hint="eastAsia" w:ascii="宋体" w:hAnsi="宋体" w:eastAsia="宋体" w:cs="宋体"/>
                <w:b/>
                <w:color w:val="0C0C0C"/>
                <w:sz w:val="21"/>
                <w:szCs w:val="21"/>
              </w:rPr>
            </w:pPr>
            <w:r>
              <w:rPr>
                <w:rFonts w:hint="eastAsia" w:ascii="宋体" w:hAnsi="宋体" w:eastAsia="宋体" w:cs="宋体"/>
                <w:b/>
                <w:bCs/>
                <w:sz w:val="21"/>
                <w:szCs w:val="21"/>
              </w:rPr>
              <w:t>参数类型</w:t>
            </w:r>
          </w:p>
        </w:tc>
        <w:tc>
          <w:tcPr>
            <w:tcW w:w="6542" w:type="dxa"/>
            <w:noWrap w:val="0"/>
            <w:vAlign w:val="center"/>
          </w:tcPr>
          <w:p>
            <w:pPr>
              <w:pStyle w:val="247"/>
              <w:spacing w:line="240" w:lineRule="auto"/>
              <w:ind w:left="0" w:right="0"/>
              <w:jc w:val="center"/>
              <w:rPr>
                <w:rFonts w:hint="eastAsia" w:ascii="宋体" w:hAnsi="宋体" w:eastAsia="宋体" w:cs="宋体"/>
                <w:b/>
                <w:color w:val="0C0C0C"/>
                <w:sz w:val="21"/>
                <w:szCs w:val="21"/>
                <w:lang w:val="en-US" w:eastAsia="zh-CN"/>
              </w:rPr>
            </w:pPr>
            <w:r>
              <w:rPr>
                <w:rFonts w:hint="eastAsia" w:ascii="宋体" w:hAnsi="宋体" w:eastAsia="宋体" w:cs="宋体"/>
                <w:b/>
                <w:color w:val="0C0C0C"/>
                <w:sz w:val="21"/>
                <w:szCs w:val="21"/>
              </w:rPr>
              <w:t>详细</w:t>
            </w:r>
            <w:r>
              <w:rPr>
                <w:rFonts w:hint="eastAsia" w:ascii="宋体" w:hAnsi="宋体" w:eastAsia="宋体" w:cs="宋体"/>
                <w:b/>
                <w:color w:val="0C0C0C"/>
                <w:sz w:val="21"/>
                <w:szCs w:val="21"/>
                <w:lang w:val="en-US" w:eastAsia="zh-CN"/>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737" w:type="dxa"/>
            <w:noWrap w:val="0"/>
            <w:vAlign w:val="top"/>
          </w:tcPr>
          <w:p>
            <w:pPr>
              <w:pStyle w:val="247"/>
              <w:spacing w:before="72" w:line="240" w:lineRule="auto"/>
              <w:ind w:left="0" w:leftChars="0" w:right="297" w:firstLine="0" w:firstLineChars="0"/>
              <w:jc w:val="center"/>
              <w:rPr>
                <w:rFonts w:hint="eastAsia" w:ascii="宋体" w:hAnsi="宋体" w:eastAsia="宋体" w:cs="宋体"/>
                <w:color w:val="0C0C0C"/>
                <w:sz w:val="21"/>
                <w:szCs w:val="21"/>
              </w:rPr>
            </w:pPr>
            <w:r>
              <w:rPr>
                <w:rFonts w:hint="eastAsia" w:ascii="宋体" w:hAnsi="宋体" w:eastAsia="宋体" w:cs="宋体"/>
                <w:color w:val="0C0C0C"/>
                <w:sz w:val="21"/>
                <w:szCs w:val="21"/>
              </w:rPr>
              <w:t>最大通量</w:t>
            </w:r>
          </w:p>
        </w:tc>
        <w:tc>
          <w:tcPr>
            <w:tcW w:w="6542" w:type="dxa"/>
            <w:noWrap w:val="0"/>
            <w:vAlign w:val="top"/>
          </w:tcPr>
          <w:p>
            <w:pPr>
              <w:pStyle w:val="247"/>
              <w:spacing w:before="72"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737" w:type="dxa"/>
            <w:noWrap w:val="0"/>
            <w:vAlign w:val="top"/>
          </w:tcPr>
          <w:p>
            <w:pPr>
              <w:pStyle w:val="247"/>
              <w:spacing w:before="62" w:line="240" w:lineRule="auto"/>
              <w:ind w:left="0" w:leftChars="0" w:right="297" w:firstLine="0" w:firstLineChars="0"/>
              <w:jc w:val="center"/>
              <w:rPr>
                <w:rFonts w:hint="eastAsia" w:ascii="宋体" w:hAnsi="宋体" w:eastAsia="宋体" w:cs="宋体"/>
                <w:color w:val="0C0C0C"/>
                <w:sz w:val="21"/>
                <w:szCs w:val="21"/>
              </w:rPr>
            </w:pPr>
            <w:r>
              <w:rPr>
                <w:rFonts w:hint="eastAsia" w:ascii="宋体" w:hAnsi="宋体" w:eastAsia="宋体" w:cs="宋体"/>
                <w:color w:val="0C0C0C"/>
                <w:sz w:val="21"/>
                <w:szCs w:val="21"/>
              </w:rPr>
              <w:t>运行时间</w:t>
            </w:r>
          </w:p>
        </w:tc>
        <w:tc>
          <w:tcPr>
            <w:tcW w:w="6542" w:type="dxa"/>
            <w:noWrap w:val="0"/>
            <w:vAlign w:val="top"/>
          </w:tcPr>
          <w:p>
            <w:pPr>
              <w:pStyle w:val="247"/>
              <w:spacing w:before="62"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 xml:space="preserve">96 样本小于等于 </w:t>
            </w:r>
            <w:r>
              <w:rPr>
                <w:rFonts w:hint="eastAsia" w:ascii="宋体" w:hAnsi="宋体" w:eastAsia="宋体" w:cs="宋体"/>
                <w:color w:val="0C0C0C"/>
                <w:sz w:val="21"/>
                <w:szCs w:val="21"/>
                <w:lang w:val="en-US" w:eastAsia="zh-CN"/>
              </w:rPr>
              <w:t>20</w:t>
            </w:r>
            <w:r>
              <w:rPr>
                <w:rFonts w:hint="eastAsia" w:ascii="宋体" w:hAnsi="宋体" w:eastAsia="宋体" w:cs="宋体"/>
                <w:color w:val="0C0C0C"/>
                <w:sz w:val="21"/>
                <w:szCs w:val="21"/>
              </w:rPr>
              <w:t xml:space="preserve"> 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1737"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lang w:val="en-US" w:eastAsia="zh-CN"/>
              </w:rPr>
            </w:pPr>
            <w:r>
              <w:rPr>
                <w:rFonts w:hint="eastAsia" w:ascii="宋体" w:hAnsi="宋体" w:eastAsia="宋体" w:cs="宋体"/>
                <w:i w:val="0"/>
                <w:iCs w:val="0"/>
                <w:color w:val="000000"/>
                <w:kern w:val="0"/>
                <w:sz w:val="21"/>
                <w:szCs w:val="21"/>
                <w:u w:val="none"/>
                <w:lang w:val="en-US" w:eastAsia="zh-CN" w:bidi="ar"/>
              </w:rPr>
              <w:t>产品主要功能</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1. 自动开关盖（两组独立高扭矩开关盖部件、四组采样管夹紧部件）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2. 样本转移、分注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3. PK/IC 试剂加载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4. 样本管自动混匀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6.自动信息系统，“样本-结果”全流程信息识别&amp;传递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7.  整机污染防控系统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8. 自动故障处理系统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737" w:type="dxa"/>
            <w:vMerge w:val="restart"/>
            <w:noWrap w:val="0"/>
            <w:vAlign w:val="top"/>
          </w:tcPr>
          <w:p>
            <w:pPr>
              <w:pStyle w:val="247"/>
              <w:spacing w:line="240" w:lineRule="auto"/>
              <w:ind w:left="0"/>
              <w:jc w:val="center"/>
              <w:rPr>
                <w:rFonts w:hint="eastAsia" w:ascii="宋体" w:hAnsi="宋体" w:eastAsia="宋体" w:cs="宋体"/>
                <w:color w:val="0C0C0C"/>
                <w:sz w:val="21"/>
                <w:szCs w:val="21"/>
              </w:rPr>
            </w:pPr>
          </w:p>
          <w:p>
            <w:pPr>
              <w:pStyle w:val="247"/>
              <w:spacing w:line="240" w:lineRule="auto"/>
              <w:ind w:left="0"/>
              <w:jc w:val="center"/>
              <w:rPr>
                <w:rFonts w:hint="eastAsia" w:ascii="宋体" w:hAnsi="宋体" w:eastAsia="宋体" w:cs="宋体"/>
                <w:color w:val="0C0C0C"/>
                <w:sz w:val="21"/>
                <w:szCs w:val="21"/>
              </w:rPr>
            </w:pPr>
          </w:p>
          <w:p>
            <w:pPr>
              <w:pStyle w:val="247"/>
              <w:spacing w:before="10" w:line="240" w:lineRule="auto"/>
              <w:ind w:left="0"/>
              <w:jc w:val="center"/>
              <w:rPr>
                <w:rFonts w:hint="eastAsia" w:ascii="宋体" w:hAnsi="宋体" w:eastAsia="宋体" w:cs="宋体"/>
                <w:color w:val="0C0C0C"/>
                <w:sz w:val="21"/>
                <w:szCs w:val="21"/>
              </w:rPr>
            </w:pPr>
          </w:p>
          <w:p>
            <w:pPr>
              <w:pStyle w:val="247"/>
              <w:spacing w:line="240" w:lineRule="auto"/>
              <w:ind w:left="0" w:leftChars="0" w:firstLine="0" w:firstLineChars="0"/>
              <w:jc w:val="center"/>
              <w:rPr>
                <w:rFonts w:hint="eastAsia" w:ascii="宋体" w:hAnsi="宋体" w:eastAsia="宋体" w:cs="宋体"/>
                <w:color w:val="0C0C0C"/>
                <w:sz w:val="21"/>
                <w:szCs w:val="21"/>
                <w:lang w:val="en-US" w:eastAsia="zh-CN"/>
              </w:rPr>
            </w:pPr>
            <w:r>
              <w:rPr>
                <w:rFonts w:hint="eastAsia" w:ascii="宋体" w:hAnsi="宋体" w:eastAsia="宋体" w:cs="宋体"/>
                <w:color w:val="FF0000"/>
                <w:sz w:val="21"/>
                <w:szCs w:val="21"/>
                <w:lang w:val="en-US" w:eastAsia="zh-CN"/>
              </w:rPr>
              <w:t>★</w:t>
            </w:r>
            <w:r>
              <w:rPr>
                <w:rFonts w:hint="eastAsia" w:ascii="宋体" w:hAnsi="宋体" w:eastAsia="宋体" w:cs="宋体"/>
                <w:color w:val="0C0C0C"/>
                <w:sz w:val="21"/>
                <w:szCs w:val="21"/>
                <w:lang w:val="en-US" w:eastAsia="zh-CN"/>
              </w:rPr>
              <w:t>适配</w:t>
            </w:r>
            <w:r>
              <w:rPr>
                <w:rFonts w:hint="eastAsia" w:ascii="宋体" w:hAnsi="宋体" w:eastAsia="宋体" w:cs="宋体"/>
                <w:color w:val="0C0C0C"/>
                <w:sz w:val="21"/>
                <w:szCs w:val="21"/>
              </w:rPr>
              <w:t>采样管</w:t>
            </w:r>
            <w:r>
              <w:rPr>
                <w:rFonts w:hint="eastAsia" w:ascii="宋体" w:hAnsi="宋体" w:eastAsia="宋体" w:cs="宋体"/>
                <w:color w:val="0C0C0C"/>
                <w:sz w:val="21"/>
                <w:szCs w:val="21"/>
                <w:lang w:val="en-US" w:eastAsia="zh-CN"/>
              </w:rPr>
              <w:t>规格</w:t>
            </w:r>
          </w:p>
        </w:tc>
        <w:tc>
          <w:tcPr>
            <w:tcW w:w="6542" w:type="dxa"/>
            <w:noWrap w:val="0"/>
            <w:vAlign w:val="top"/>
          </w:tcPr>
          <w:p>
            <w:pPr>
              <w:pStyle w:val="247"/>
              <w:spacing w:before="72" w:line="240" w:lineRule="auto"/>
              <w:jc w:val="center"/>
              <w:rPr>
                <w:rFonts w:hint="eastAsia" w:ascii="宋体" w:hAnsi="宋体" w:eastAsia="宋体" w:cs="宋体"/>
                <w:color w:val="0C0C0C"/>
                <w:sz w:val="21"/>
                <w:szCs w:val="21"/>
                <w:lang w:eastAsia="zh-CN"/>
              </w:rPr>
            </w:pPr>
            <w:r>
              <w:rPr>
                <w:rFonts w:hint="eastAsia" w:ascii="宋体" w:hAnsi="宋体" w:eastAsia="宋体" w:cs="宋体"/>
                <w:color w:val="0C0C0C"/>
                <w:sz w:val="21"/>
                <w:szCs w:val="21"/>
              </w:rPr>
              <w:t>直径：13-</w:t>
            </w:r>
            <w:r>
              <w:rPr>
                <w:rFonts w:hint="eastAsia" w:ascii="宋体" w:hAnsi="宋体" w:eastAsia="宋体" w:cs="宋体"/>
                <w:color w:val="0C0C0C"/>
                <w:sz w:val="21"/>
                <w:szCs w:val="21"/>
                <w:lang w:val="en-US" w:eastAsia="zh-CN"/>
              </w:rPr>
              <w:t>26</w:t>
            </w:r>
            <w:r>
              <w:rPr>
                <w:rFonts w:hint="eastAsia" w:ascii="宋体" w:hAnsi="宋体" w:eastAsia="宋体" w:cs="宋体"/>
                <w:color w:val="0C0C0C"/>
                <w:sz w:val="21"/>
                <w:szCs w:val="21"/>
              </w:rPr>
              <w:t>mm</w:t>
            </w:r>
            <w:r>
              <w:rPr>
                <w:rFonts w:hint="eastAsia" w:ascii="宋体" w:hAnsi="宋体" w:eastAsia="宋体" w:cs="宋体"/>
                <w:color w:val="0C0C0C"/>
                <w:sz w:val="21"/>
                <w:szCs w:val="21"/>
                <w:lang w:eastAsia="zh-CN"/>
              </w:rPr>
              <w:t>；高度：5</w:t>
            </w:r>
            <w:r>
              <w:rPr>
                <w:rFonts w:hint="eastAsia" w:ascii="宋体" w:hAnsi="宋体" w:eastAsia="宋体" w:cs="宋体"/>
                <w:color w:val="0C0C0C"/>
                <w:sz w:val="21"/>
                <w:szCs w:val="21"/>
                <w:lang w:val="en-US" w:eastAsia="zh-CN"/>
              </w:rPr>
              <w:t>4</w:t>
            </w:r>
            <w:r>
              <w:rPr>
                <w:rFonts w:hint="eastAsia" w:ascii="宋体" w:hAnsi="宋体" w:eastAsia="宋体" w:cs="宋体"/>
                <w:color w:val="0C0C0C"/>
                <w:sz w:val="21"/>
                <w:szCs w:val="21"/>
                <w:lang w:eastAsia="zh-CN"/>
              </w:rPr>
              <w:t>-115mm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jc w:val="center"/>
        </w:trPr>
        <w:tc>
          <w:tcPr>
            <w:tcW w:w="1737" w:type="dxa"/>
            <w:vMerge w:val="continue"/>
            <w:tcBorders>
              <w:top w:val="nil"/>
            </w:tcBorders>
            <w:noWrap w:val="0"/>
            <w:vAlign w:val="top"/>
          </w:tcPr>
          <w:p>
            <w:pPr>
              <w:spacing w:line="240" w:lineRule="auto"/>
              <w:jc w:val="center"/>
              <w:rPr>
                <w:rFonts w:hint="eastAsia" w:ascii="宋体" w:hAnsi="宋体" w:eastAsia="宋体" w:cs="宋体"/>
                <w:color w:val="0C0C0C"/>
                <w:sz w:val="21"/>
                <w:szCs w:val="21"/>
              </w:rPr>
            </w:pPr>
          </w:p>
        </w:tc>
        <w:tc>
          <w:tcPr>
            <w:tcW w:w="6542" w:type="dxa"/>
            <w:noWrap w:val="0"/>
            <w:vAlign w:val="top"/>
          </w:tcPr>
          <w:p>
            <w:pPr>
              <w:pStyle w:val="247"/>
              <w:spacing w:before="72" w:line="240" w:lineRule="auto"/>
              <w:jc w:val="center"/>
              <w:rPr>
                <w:rFonts w:hint="eastAsia" w:ascii="宋体" w:hAnsi="宋体" w:eastAsia="宋体" w:cs="宋体"/>
                <w:color w:val="0C0C0C"/>
                <w:sz w:val="21"/>
                <w:szCs w:val="21"/>
                <w:lang w:val="en-US" w:eastAsia="zh-CN"/>
              </w:rPr>
            </w:pPr>
            <w:r>
              <w:rPr>
                <w:rFonts w:hint="eastAsia" w:ascii="宋体" w:hAnsi="宋体" w:eastAsia="宋体" w:cs="宋体"/>
                <w:color w:val="0C0C0C"/>
                <w:sz w:val="21"/>
                <w:szCs w:val="21"/>
                <w:lang w:val="en-US" w:eastAsia="zh-CN"/>
              </w:rPr>
              <w:t>兼容</w:t>
            </w:r>
            <w:r>
              <w:rPr>
                <w:rFonts w:hint="eastAsia" w:ascii="宋体" w:hAnsi="宋体" w:eastAsia="宋体" w:cs="宋体"/>
                <w:color w:val="0C0C0C"/>
                <w:sz w:val="21"/>
                <w:szCs w:val="21"/>
              </w:rPr>
              <w:t>5mL</w:t>
            </w:r>
            <w:r>
              <w:rPr>
                <w:rFonts w:hint="eastAsia" w:ascii="宋体" w:hAnsi="宋体" w:eastAsia="宋体" w:cs="宋体"/>
                <w:color w:val="0C0C0C"/>
                <w:sz w:val="21"/>
                <w:szCs w:val="21"/>
                <w:lang w:eastAsia="zh-CN"/>
              </w:rPr>
              <w:t>、</w:t>
            </w:r>
            <w:r>
              <w:rPr>
                <w:rFonts w:hint="eastAsia" w:ascii="宋体" w:hAnsi="宋体" w:eastAsia="宋体" w:cs="宋体"/>
                <w:color w:val="0C0C0C"/>
                <w:sz w:val="21"/>
                <w:szCs w:val="21"/>
                <w:lang w:val="en-US" w:eastAsia="zh-CN"/>
              </w:rPr>
              <w:t>10mL、20mL</w:t>
            </w:r>
            <w:r>
              <w:rPr>
                <w:rFonts w:hint="eastAsia" w:ascii="宋体" w:hAnsi="宋体" w:eastAsia="宋体" w:cs="宋体"/>
                <w:color w:val="0C0C0C"/>
                <w:sz w:val="21"/>
                <w:szCs w:val="21"/>
              </w:rPr>
              <w:t>螺旋盖样本采集管</w:t>
            </w:r>
            <w:r>
              <w:rPr>
                <w:rFonts w:hint="eastAsia" w:ascii="宋体" w:hAnsi="宋体" w:eastAsia="宋体" w:cs="宋体"/>
                <w:color w:val="0C0C0C"/>
                <w:sz w:val="21"/>
                <w:szCs w:val="21"/>
                <w:lang w:val="en-US" w:eastAsia="zh-CN"/>
              </w:rPr>
              <w:t>;支持单管、5混1、10混1、20混1采样管直接上机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737" w:type="dxa"/>
            <w:vMerge w:val="continue"/>
            <w:tcBorders>
              <w:top w:val="nil"/>
            </w:tcBorders>
            <w:noWrap w:val="0"/>
            <w:vAlign w:val="top"/>
          </w:tcPr>
          <w:p>
            <w:pPr>
              <w:spacing w:line="240" w:lineRule="auto"/>
              <w:jc w:val="center"/>
              <w:rPr>
                <w:rFonts w:hint="eastAsia" w:ascii="宋体" w:hAnsi="宋体" w:eastAsia="宋体" w:cs="宋体"/>
                <w:color w:val="0C0C0C"/>
                <w:sz w:val="21"/>
                <w:szCs w:val="21"/>
              </w:rPr>
            </w:pPr>
          </w:p>
        </w:tc>
        <w:tc>
          <w:tcPr>
            <w:tcW w:w="6542" w:type="dxa"/>
            <w:noWrap w:val="0"/>
            <w:vAlign w:val="top"/>
          </w:tcPr>
          <w:p>
            <w:pPr>
              <w:pStyle w:val="247"/>
              <w:spacing w:before="63"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原管带盖上机</w:t>
            </w:r>
            <w:r>
              <w:rPr>
                <w:rFonts w:hint="eastAsia" w:ascii="宋体" w:hAnsi="宋体" w:eastAsia="宋体" w:cs="宋体"/>
                <w:color w:val="0C0C0C"/>
                <w:sz w:val="21"/>
                <w:szCs w:val="21"/>
                <w:lang w:eastAsia="zh-CN"/>
              </w:rPr>
              <w:t>、</w:t>
            </w:r>
            <w:r>
              <w:rPr>
                <w:rFonts w:hint="eastAsia" w:ascii="宋体" w:hAnsi="宋体" w:eastAsia="宋体" w:cs="宋体"/>
                <w:color w:val="0C0C0C"/>
                <w:sz w:val="21"/>
                <w:szCs w:val="21"/>
              </w:rPr>
              <w:t>支持含拭子样品上样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737" w:type="dxa"/>
            <w:vMerge w:val="continue"/>
            <w:tcBorders>
              <w:top w:val="nil"/>
            </w:tcBorders>
            <w:noWrap w:val="0"/>
            <w:vAlign w:val="top"/>
          </w:tcPr>
          <w:p>
            <w:pPr>
              <w:spacing w:line="240" w:lineRule="auto"/>
              <w:jc w:val="center"/>
              <w:rPr>
                <w:rFonts w:hint="eastAsia" w:ascii="宋体" w:hAnsi="宋体" w:eastAsia="宋体" w:cs="宋体"/>
                <w:color w:val="0C0C0C"/>
                <w:sz w:val="21"/>
                <w:szCs w:val="21"/>
              </w:rPr>
            </w:pPr>
          </w:p>
        </w:tc>
        <w:tc>
          <w:tcPr>
            <w:tcW w:w="6542" w:type="dxa"/>
            <w:noWrap w:val="0"/>
            <w:vAlign w:val="top"/>
          </w:tcPr>
          <w:p>
            <w:pPr>
              <w:pStyle w:val="247"/>
              <w:spacing w:before="62"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仪器预置多种常规采样管规格程序，客户可调用或增加采样管参数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lang w:val="en-US" w:eastAsia="zh-CN"/>
              </w:rPr>
            </w:pPr>
            <w:r>
              <w:rPr>
                <w:rFonts w:hint="eastAsia" w:ascii="宋体" w:hAnsi="宋体" w:cs="宋体"/>
                <w:i w:val="0"/>
                <w:iCs w:val="0"/>
                <w:color w:val="FF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适配深孔板规格</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6X16T标准1ml深孔板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1X96T标准1ml深孔板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highlight w:val="none"/>
                <w:u w:val="none"/>
                <w:lang w:val="en-US" w:eastAsia="zh-CN" w:bidi="ar"/>
              </w:rPr>
              <w:t>兼容3ml深孔板；3X8T 3ml大体系深孔板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lang w:val="en-US" w:eastAsia="zh-CN"/>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仪器预置多种深孔板规格，可调用或增加规格。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737" w:type="dxa"/>
            <w:vMerge w:val="restart"/>
            <w:noWrap w:val="0"/>
            <w:vAlign w:val="top"/>
          </w:tcPr>
          <w:p>
            <w:pPr>
              <w:pStyle w:val="247"/>
              <w:spacing w:line="240" w:lineRule="auto"/>
              <w:ind w:left="0"/>
              <w:jc w:val="center"/>
              <w:rPr>
                <w:rFonts w:hint="eastAsia" w:ascii="宋体" w:hAnsi="宋体" w:eastAsia="宋体" w:cs="宋体"/>
                <w:color w:val="0C0C0C"/>
                <w:sz w:val="21"/>
                <w:szCs w:val="21"/>
              </w:rPr>
            </w:pPr>
          </w:p>
          <w:p>
            <w:pPr>
              <w:pStyle w:val="247"/>
              <w:spacing w:line="240" w:lineRule="auto"/>
              <w:ind w:left="0"/>
              <w:jc w:val="center"/>
              <w:rPr>
                <w:rFonts w:hint="eastAsia" w:ascii="宋体" w:hAnsi="宋体" w:eastAsia="宋体" w:cs="宋体"/>
                <w:color w:val="0C0C0C"/>
                <w:sz w:val="21"/>
                <w:szCs w:val="21"/>
              </w:rPr>
            </w:pPr>
          </w:p>
          <w:p>
            <w:pPr>
              <w:pStyle w:val="247"/>
              <w:spacing w:line="240" w:lineRule="auto"/>
              <w:ind w:left="0" w:leftChars="0" w:firstLine="0" w:firstLineChars="0"/>
              <w:jc w:val="center"/>
              <w:rPr>
                <w:rFonts w:hint="eastAsia" w:ascii="宋体" w:hAnsi="宋体" w:eastAsia="宋体" w:cs="宋体"/>
                <w:color w:val="0C0C0C"/>
                <w:sz w:val="21"/>
                <w:szCs w:val="21"/>
              </w:rPr>
            </w:pPr>
            <w:r>
              <w:rPr>
                <w:rFonts w:hint="eastAsia" w:ascii="宋体" w:hAnsi="宋体" w:eastAsia="宋体" w:cs="宋体"/>
                <w:color w:val="0C0C0C"/>
                <w:sz w:val="21"/>
                <w:szCs w:val="21"/>
              </w:rPr>
              <w:t>移液功能</w:t>
            </w:r>
          </w:p>
        </w:tc>
        <w:tc>
          <w:tcPr>
            <w:tcW w:w="6542" w:type="dxa"/>
            <w:noWrap w:val="0"/>
            <w:vAlign w:val="top"/>
          </w:tcPr>
          <w:p>
            <w:pPr>
              <w:pStyle w:val="247"/>
              <w:spacing w:before="72" w:line="240" w:lineRule="auto"/>
              <w:jc w:val="center"/>
              <w:rPr>
                <w:rFonts w:hint="eastAsia" w:ascii="宋体" w:hAnsi="宋体" w:eastAsia="宋体" w:cs="宋体"/>
                <w:color w:val="0C0C0C"/>
                <w:sz w:val="21"/>
                <w:szCs w:val="21"/>
                <w:lang w:eastAsia="zh-CN"/>
              </w:rPr>
            </w:pPr>
            <w:r>
              <w:rPr>
                <w:rFonts w:hint="eastAsia" w:ascii="宋体" w:hAnsi="宋体" w:eastAsia="宋体" w:cs="宋体"/>
                <w:color w:val="0C0C0C"/>
                <w:sz w:val="21"/>
                <w:szCs w:val="21"/>
              </w:rPr>
              <w:t>两个独立移液模块</w:t>
            </w:r>
            <w:r>
              <w:rPr>
                <w:rFonts w:hint="eastAsia" w:ascii="宋体" w:hAnsi="宋体" w:eastAsia="宋体" w:cs="宋体"/>
                <w:color w:val="0C0C0C"/>
                <w:sz w:val="21"/>
                <w:szCs w:val="21"/>
                <w:lang w:eastAsia="zh-CN"/>
              </w:rPr>
              <w:t>、移液泵间距可调，实现深孔板</w:t>
            </w:r>
            <w:r>
              <w:rPr>
                <w:rFonts w:hint="eastAsia" w:ascii="宋体" w:hAnsi="宋体" w:eastAsia="宋体" w:cs="宋体"/>
                <w:color w:val="0C0C0C"/>
                <w:sz w:val="21"/>
                <w:szCs w:val="21"/>
                <w:lang w:val="en-US" w:eastAsia="zh-CN"/>
              </w:rPr>
              <w:t>按</w:t>
            </w:r>
            <w:r>
              <w:rPr>
                <w:rFonts w:hint="eastAsia" w:ascii="宋体" w:hAnsi="宋体" w:eastAsia="宋体" w:cs="宋体"/>
                <w:color w:val="0C0C0C"/>
                <w:sz w:val="21"/>
                <w:szCs w:val="21"/>
                <w:lang w:eastAsia="zh-CN"/>
              </w:rPr>
              <w:t>顺序</w:t>
            </w:r>
            <w:r>
              <w:rPr>
                <w:rFonts w:hint="eastAsia" w:ascii="宋体" w:hAnsi="宋体" w:eastAsia="宋体" w:cs="宋体"/>
                <w:color w:val="0C0C0C"/>
                <w:sz w:val="21"/>
                <w:szCs w:val="21"/>
                <w:lang w:val="en-US" w:eastAsia="zh-CN"/>
              </w:rPr>
              <w:t>逐孔</w:t>
            </w:r>
            <w:r>
              <w:rPr>
                <w:rFonts w:hint="eastAsia" w:ascii="宋体" w:hAnsi="宋体" w:eastAsia="宋体" w:cs="宋体"/>
                <w:color w:val="0C0C0C"/>
                <w:sz w:val="21"/>
                <w:szCs w:val="21"/>
                <w:lang w:eastAsia="zh-CN"/>
              </w:rPr>
              <w:t>加样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737" w:type="dxa"/>
            <w:vMerge w:val="continue"/>
            <w:tcBorders>
              <w:top w:val="nil"/>
            </w:tcBorders>
            <w:noWrap w:val="0"/>
            <w:vAlign w:val="top"/>
          </w:tcPr>
          <w:p>
            <w:pPr>
              <w:spacing w:line="240" w:lineRule="auto"/>
              <w:jc w:val="center"/>
              <w:rPr>
                <w:rFonts w:hint="eastAsia" w:ascii="宋体" w:hAnsi="宋体" w:eastAsia="宋体" w:cs="宋体"/>
                <w:color w:val="0C0C0C"/>
                <w:sz w:val="21"/>
                <w:szCs w:val="21"/>
              </w:rPr>
            </w:pPr>
          </w:p>
        </w:tc>
        <w:tc>
          <w:tcPr>
            <w:tcW w:w="6542" w:type="dxa"/>
            <w:noWrap w:val="0"/>
            <w:vAlign w:val="top"/>
          </w:tcPr>
          <w:p>
            <w:pPr>
              <w:pStyle w:val="247"/>
              <w:spacing w:before="72"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移液范围：5 -1000μL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737" w:type="dxa"/>
            <w:vMerge w:val="continue"/>
            <w:tcBorders>
              <w:top w:val="nil"/>
            </w:tcBorders>
            <w:noWrap w:val="0"/>
            <w:vAlign w:val="top"/>
          </w:tcPr>
          <w:p>
            <w:pPr>
              <w:spacing w:line="240" w:lineRule="auto"/>
              <w:jc w:val="center"/>
              <w:rPr>
                <w:rFonts w:hint="eastAsia" w:ascii="宋体" w:hAnsi="宋体" w:eastAsia="宋体" w:cs="宋体"/>
                <w:color w:val="0C0C0C"/>
                <w:sz w:val="21"/>
                <w:szCs w:val="21"/>
              </w:rPr>
            </w:pPr>
          </w:p>
        </w:tc>
        <w:tc>
          <w:tcPr>
            <w:tcW w:w="6542" w:type="dxa"/>
            <w:noWrap w:val="0"/>
            <w:vAlign w:val="top"/>
          </w:tcPr>
          <w:p>
            <w:pPr>
              <w:pStyle w:val="247"/>
              <w:spacing w:before="72"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气压式液面探测功能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737" w:type="dxa"/>
            <w:vMerge w:val="continue"/>
            <w:tcBorders>
              <w:top w:val="nil"/>
            </w:tcBorders>
            <w:noWrap w:val="0"/>
            <w:vAlign w:val="top"/>
          </w:tcPr>
          <w:p>
            <w:pPr>
              <w:spacing w:line="240" w:lineRule="auto"/>
              <w:jc w:val="center"/>
              <w:rPr>
                <w:rFonts w:hint="eastAsia" w:ascii="宋体" w:hAnsi="宋体" w:eastAsia="宋体" w:cs="宋体"/>
                <w:color w:val="0C0C0C"/>
                <w:sz w:val="21"/>
                <w:szCs w:val="21"/>
              </w:rPr>
            </w:pPr>
          </w:p>
        </w:tc>
        <w:tc>
          <w:tcPr>
            <w:tcW w:w="6542" w:type="dxa"/>
            <w:noWrap w:val="0"/>
            <w:vAlign w:val="top"/>
          </w:tcPr>
          <w:p>
            <w:pPr>
              <w:pStyle w:val="247"/>
              <w:spacing w:before="62" w:line="240" w:lineRule="auto"/>
              <w:jc w:val="center"/>
              <w:rPr>
                <w:rFonts w:hint="eastAsia" w:ascii="宋体" w:hAnsi="宋体" w:eastAsia="宋体" w:cs="宋体"/>
                <w:color w:val="0C0C0C"/>
                <w:sz w:val="21"/>
                <w:szCs w:val="21"/>
                <w:lang w:eastAsia="zh-CN"/>
              </w:rPr>
            </w:pPr>
            <w:r>
              <w:rPr>
                <w:rFonts w:hint="eastAsia" w:ascii="宋体" w:hAnsi="宋体" w:eastAsia="宋体" w:cs="宋体"/>
                <w:color w:val="0C0C0C"/>
                <w:sz w:val="21"/>
                <w:szCs w:val="21"/>
              </w:rPr>
              <w:t>移液量检测功能</w:t>
            </w:r>
            <w:r>
              <w:rPr>
                <w:rFonts w:hint="eastAsia" w:ascii="宋体" w:hAnsi="宋体" w:eastAsia="宋体" w:cs="宋体"/>
                <w:color w:val="0C0C0C"/>
                <w:sz w:val="21"/>
                <w:szCs w:val="21"/>
                <w:lang w:eastAsia="zh-CN"/>
              </w:rPr>
              <w:t>、吸排液随液功能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1737" w:type="dxa"/>
            <w:noWrap w:val="0"/>
            <w:vAlign w:val="top"/>
          </w:tcPr>
          <w:p>
            <w:pPr>
              <w:pStyle w:val="247"/>
              <w:spacing w:before="149" w:line="240" w:lineRule="auto"/>
              <w:ind w:left="0" w:leftChars="0" w:firstLine="0" w:firstLineChars="0"/>
              <w:jc w:val="center"/>
              <w:rPr>
                <w:rFonts w:hint="eastAsia" w:ascii="宋体" w:hAnsi="宋体" w:eastAsia="宋体" w:cs="宋体"/>
                <w:color w:val="0C0C0C"/>
                <w:sz w:val="21"/>
                <w:szCs w:val="21"/>
              </w:rPr>
            </w:pPr>
            <w:r>
              <w:rPr>
                <w:rFonts w:hint="eastAsia" w:ascii="宋体" w:hAnsi="宋体" w:eastAsia="宋体" w:cs="宋体"/>
                <w:color w:val="0C0C0C"/>
                <w:sz w:val="21"/>
                <w:szCs w:val="21"/>
              </w:rPr>
              <w:t>移液准确度</w:t>
            </w:r>
          </w:p>
          <w:p>
            <w:pPr>
              <w:pStyle w:val="247"/>
              <w:spacing w:line="240" w:lineRule="auto"/>
              <w:ind w:left="215"/>
              <w:jc w:val="center"/>
              <w:rPr>
                <w:rFonts w:hint="eastAsia" w:ascii="宋体" w:hAnsi="宋体" w:eastAsia="宋体" w:cs="宋体"/>
                <w:color w:val="0C0C0C"/>
                <w:sz w:val="21"/>
                <w:szCs w:val="21"/>
              </w:rPr>
            </w:pPr>
          </w:p>
        </w:tc>
        <w:tc>
          <w:tcPr>
            <w:tcW w:w="6542" w:type="dxa"/>
            <w:noWrap w:val="0"/>
            <w:vAlign w:val="top"/>
          </w:tcPr>
          <w:p>
            <w:pPr>
              <w:pStyle w:val="247"/>
              <w:spacing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 xml:space="preserve">5μl~50μl：  </w:t>
            </w:r>
            <w:r>
              <w:rPr>
                <w:rFonts w:hint="eastAsia" w:ascii="宋体" w:hAnsi="宋体" w:eastAsia="宋体" w:cs="宋体"/>
                <w:color w:val="0C0C0C"/>
                <w:spacing w:val="21"/>
                <w:sz w:val="21"/>
                <w:szCs w:val="21"/>
              </w:rPr>
              <w:t xml:space="preserve"> </w:t>
            </w:r>
            <w:r>
              <w:rPr>
                <w:rFonts w:hint="eastAsia" w:ascii="宋体" w:hAnsi="宋体" w:eastAsia="宋体" w:cs="宋体"/>
                <w:color w:val="0C0C0C"/>
                <w:spacing w:val="21"/>
                <w:sz w:val="21"/>
                <w:szCs w:val="21"/>
                <w:lang w:val="en-US" w:eastAsia="zh-CN"/>
              </w:rPr>
              <w:t>Er</w:t>
            </w:r>
            <w:r>
              <w:rPr>
                <w:rFonts w:hint="eastAsia" w:ascii="宋体" w:hAnsi="宋体" w:eastAsia="宋体" w:cs="宋体"/>
                <w:color w:val="0C0C0C"/>
                <w:sz w:val="21"/>
                <w:szCs w:val="21"/>
              </w:rPr>
              <w:t>≤3.5%；</w:t>
            </w:r>
          </w:p>
          <w:p>
            <w:pPr>
              <w:pStyle w:val="247"/>
              <w:spacing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50μl~200μl：</w:t>
            </w:r>
            <w:r>
              <w:rPr>
                <w:rFonts w:hint="eastAsia" w:ascii="宋体" w:hAnsi="宋体" w:eastAsia="宋体" w:cs="宋体"/>
                <w:color w:val="0C0C0C"/>
                <w:sz w:val="21"/>
                <w:szCs w:val="21"/>
                <w:lang w:val="en-US" w:eastAsia="zh-CN"/>
              </w:rPr>
              <w:t>Er</w:t>
            </w:r>
            <w:r>
              <w:rPr>
                <w:rFonts w:hint="eastAsia" w:ascii="宋体" w:hAnsi="宋体" w:eastAsia="宋体" w:cs="宋体"/>
                <w:color w:val="0C0C0C"/>
                <w:sz w:val="21"/>
                <w:szCs w:val="21"/>
              </w:rPr>
              <w:t>≤2.5%；</w:t>
            </w:r>
          </w:p>
          <w:p>
            <w:pPr>
              <w:pStyle w:val="247"/>
              <w:tabs>
                <w:tab w:val="left" w:pos="1368"/>
              </w:tabs>
              <w:spacing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≥200μl：</w:t>
            </w:r>
            <w:r>
              <w:rPr>
                <w:rFonts w:hint="eastAsia" w:ascii="宋体" w:hAnsi="宋体" w:eastAsia="宋体" w:cs="宋体"/>
                <w:color w:val="0C0C0C"/>
                <w:sz w:val="21"/>
                <w:szCs w:val="21"/>
              </w:rPr>
              <w:tab/>
            </w:r>
            <w:r>
              <w:rPr>
                <w:rFonts w:hint="eastAsia" w:ascii="宋体" w:hAnsi="宋体" w:eastAsia="宋体" w:cs="宋体"/>
                <w:color w:val="0C0C0C"/>
                <w:sz w:val="21"/>
                <w:szCs w:val="21"/>
                <w:lang w:val="en-US" w:eastAsia="zh-CN"/>
              </w:rPr>
              <w:t>Er</w:t>
            </w:r>
            <w:r>
              <w:rPr>
                <w:rFonts w:hint="eastAsia" w:ascii="宋体" w:hAnsi="宋体" w:eastAsia="宋体" w:cs="宋体"/>
                <w:color w:val="0C0C0C"/>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1737" w:type="dxa"/>
            <w:noWrap w:val="0"/>
            <w:vAlign w:val="top"/>
          </w:tcPr>
          <w:p>
            <w:pPr>
              <w:pStyle w:val="247"/>
              <w:spacing w:before="158" w:line="240" w:lineRule="auto"/>
              <w:ind w:left="0" w:leftChars="0" w:firstLine="0" w:firstLineChars="0"/>
              <w:jc w:val="center"/>
              <w:rPr>
                <w:rFonts w:hint="eastAsia" w:ascii="宋体" w:hAnsi="宋体" w:eastAsia="宋体" w:cs="宋体"/>
                <w:color w:val="0C0C0C"/>
                <w:sz w:val="21"/>
                <w:szCs w:val="21"/>
              </w:rPr>
            </w:pPr>
            <w:r>
              <w:rPr>
                <w:rFonts w:hint="eastAsia" w:ascii="宋体" w:hAnsi="宋体" w:eastAsia="宋体" w:cs="宋体"/>
                <w:color w:val="0C0C0C"/>
                <w:sz w:val="21"/>
                <w:szCs w:val="21"/>
              </w:rPr>
              <w:t>移液精密度</w:t>
            </w:r>
          </w:p>
          <w:p>
            <w:pPr>
              <w:pStyle w:val="247"/>
              <w:spacing w:line="240" w:lineRule="auto"/>
              <w:ind w:left="215"/>
              <w:jc w:val="center"/>
              <w:rPr>
                <w:rFonts w:hint="eastAsia" w:ascii="宋体" w:hAnsi="宋体" w:eastAsia="宋体" w:cs="宋体"/>
                <w:color w:val="0C0C0C"/>
                <w:sz w:val="21"/>
                <w:szCs w:val="21"/>
              </w:rPr>
            </w:pPr>
          </w:p>
        </w:tc>
        <w:tc>
          <w:tcPr>
            <w:tcW w:w="6542" w:type="dxa"/>
            <w:noWrap w:val="0"/>
            <w:vAlign w:val="top"/>
          </w:tcPr>
          <w:p>
            <w:pPr>
              <w:pStyle w:val="247"/>
              <w:tabs>
                <w:tab w:val="left" w:pos="1454"/>
              </w:tabs>
              <w:spacing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5μl~50μl：</w:t>
            </w:r>
            <w:r>
              <w:rPr>
                <w:rFonts w:hint="eastAsia" w:ascii="宋体" w:hAnsi="宋体" w:eastAsia="宋体" w:cs="宋体"/>
                <w:color w:val="0C0C0C"/>
                <w:sz w:val="21"/>
                <w:szCs w:val="21"/>
              </w:rPr>
              <w:tab/>
            </w:r>
            <w:r>
              <w:rPr>
                <w:rFonts w:hint="eastAsia" w:ascii="宋体" w:hAnsi="宋体" w:eastAsia="宋体" w:cs="宋体"/>
                <w:color w:val="0C0C0C"/>
                <w:sz w:val="21"/>
                <w:szCs w:val="21"/>
                <w:lang w:val="en-US" w:eastAsia="zh-CN"/>
              </w:rPr>
              <w:t>CV</w:t>
            </w:r>
            <w:r>
              <w:rPr>
                <w:rFonts w:hint="eastAsia" w:ascii="宋体" w:hAnsi="宋体" w:eastAsia="宋体" w:cs="宋体"/>
                <w:color w:val="0C0C0C"/>
                <w:sz w:val="21"/>
                <w:szCs w:val="21"/>
              </w:rPr>
              <w:t>≤2.5%；</w:t>
            </w:r>
          </w:p>
          <w:p>
            <w:pPr>
              <w:pStyle w:val="247"/>
              <w:spacing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50μl~200μl：</w:t>
            </w:r>
            <w:r>
              <w:rPr>
                <w:rFonts w:hint="eastAsia" w:ascii="宋体" w:hAnsi="宋体" w:eastAsia="宋体" w:cs="宋体"/>
                <w:color w:val="0C0C0C"/>
                <w:sz w:val="21"/>
                <w:szCs w:val="21"/>
                <w:lang w:val="en-US" w:eastAsia="zh-CN"/>
              </w:rPr>
              <w:t>CV</w:t>
            </w:r>
            <w:r>
              <w:rPr>
                <w:rFonts w:hint="eastAsia" w:ascii="宋体" w:hAnsi="宋体" w:eastAsia="宋体" w:cs="宋体"/>
                <w:color w:val="0C0C0C"/>
                <w:sz w:val="21"/>
                <w:szCs w:val="21"/>
              </w:rPr>
              <w:t>≤1.5%；</w:t>
            </w:r>
          </w:p>
          <w:p>
            <w:pPr>
              <w:pStyle w:val="247"/>
              <w:tabs>
                <w:tab w:val="left" w:pos="1473"/>
              </w:tabs>
              <w:spacing w:line="240" w:lineRule="auto"/>
              <w:jc w:val="center"/>
              <w:rPr>
                <w:rFonts w:hint="eastAsia" w:ascii="宋体" w:hAnsi="宋体" w:eastAsia="宋体" w:cs="宋体"/>
                <w:color w:val="0C0C0C"/>
                <w:sz w:val="21"/>
                <w:szCs w:val="21"/>
              </w:rPr>
            </w:pPr>
            <w:r>
              <w:rPr>
                <w:rFonts w:hint="eastAsia" w:ascii="宋体" w:hAnsi="宋体" w:eastAsia="宋体" w:cs="宋体"/>
                <w:color w:val="0C0C0C"/>
                <w:sz w:val="21"/>
                <w:szCs w:val="21"/>
              </w:rPr>
              <w:t>≥200μl：</w:t>
            </w:r>
            <w:r>
              <w:rPr>
                <w:rFonts w:hint="eastAsia" w:ascii="宋体" w:hAnsi="宋体" w:eastAsia="宋体" w:cs="宋体"/>
                <w:color w:val="0C0C0C"/>
                <w:sz w:val="21"/>
                <w:szCs w:val="21"/>
              </w:rPr>
              <w:tab/>
            </w:r>
            <w:r>
              <w:rPr>
                <w:rFonts w:hint="eastAsia" w:ascii="宋体" w:hAnsi="宋体" w:eastAsia="宋体" w:cs="宋体"/>
                <w:color w:val="0C0C0C"/>
                <w:sz w:val="21"/>
                <w:szCs w:val="21"/>
                <w:lang w:val="en-US" w:eastAsia="zh-CN"/>
              </w:rPr>
              <w:t>CV</w:t>
            </w:r>
            <w:r>
              <w:rPr>
                <w:rFonts w:hint="eastAsia" w:ascii="宋体" w:hAnsi="宋体" w:eastAsia="宋体" w:cs="宋体"/>
                <w:color w:val="0C0C0C"/>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FF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自动信息系统</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采样管信息扫描（一维码&amp;二维码）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深孔板状态识别（开放系统）/信息扫描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样本架自动条码扫描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”样本-样本架-深孔板-PCR“信息关联，样本信息-结果信息闭环管理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Lis系统链接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整机污染防控系统</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实验舱及废料舱独立紫外消毒功能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独立废料舱，隔绝废物污染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负压功能，5pa 负压值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HEPA过滤，过滤效率 99.999% at 0.3μm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液滴捕捉功能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机械精密运动控制</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高精度编码器反馈，确保机械运行准确无误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运动实时监测及自动处理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cs="宋体"/>
                <w:i w:val="0"/>
                <w:iCs w:val="0"/>
                <w:color w:val="FF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自动故障处理系统</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故障信息示警&amp;操作提示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开关盖监测及异常处理，开关盖异常不停机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条码异常处理不停机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移液检测异常处理系统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vMerge w:val="continue"/>
            <w:noWrap w:val="0"/>
            <w:vAlign w:val="center"/>
          </w:tcPr>
          <w:p>
            <w:pPr>
              <w:spacing w:line="240" w:lineRule="auto"/>
              <w:jc w:val="center"/>
              <w:rPr>
                <w:rFonts w:hint="eastAsia" w:ascii="宋体" w:hAnsi="宋体" w:eastAsia="宋体" w:cs="宋体"/>
                <w:color w:val="0C0C0C"/>
                <w:sz w:val="21"/>
                <w:szCs w:val="21"/>
              </w:rPr>
            </w:pP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样本管转移异常处理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触摸屏</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12寸液晶触摸显示屏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USB口</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USB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网口</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净重</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C0C0C"/>
                <w:sz w:val="21"/>
                <w:szCs w:val="21"/>
              </w:rPr>
            </w:pPr>
            <w:r>
              <w:rPr>
                <w:rFonts w:hint="eastAsia" w:ascii="宋体" w:hAnsi="宋体" w:eastAsia="宋体" w:cs="宋体"/>
                <w:i w:val="0"/>
                <w:iCs w:val="0"/>
                <w:color w:val="000000"/>
                <w:kern w:val="0"/>
                <w:sz w:val="21"/>
                <w:szCs w:val="21"/>
                <w:u w:val="none"/>
                <w:lang w:val="en-US" w:eastAsia="zh-CN" w:bidi="ar"/>
              </w:rPr>
              <w:t>电压</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100 - 240 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频率</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50/60HZ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额定功率</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温度</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相对湿度</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35%RH-70%RH ,无冷凝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1737"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大气压范围</w:t>
            </w:r>
          </w:p>
        </w:tc>
        <w:tc>
          <w:tcPr>
            <w:tcW w:w="654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56-106Kpa（海拔≤4000m）</w:t>
            </w:r>
          </w:p>
        </w:tc>
      </w:tr>
    </w:tbl>
    <w:p>
      <w:pPr>
        <w:pStyle w:val="39"/>
        <w:numPr>
          <w:ilvl w:val="0"/>
          <w:numId w:val="0"/>
        </w:numPr>
        <w:spacing w:after="0"/>
        <w:ind w:leftChars="0"/>
        <w:jc w:val="both"/>
        <w:outlineLvl w:val="9"/>
        <w:rPr>
          <w:rFonts w:hint="eastAsia" w:ascii="宋体" w:hAnsi="宋体" w:eastAsia="宋体" w:cs="宋体"/>
          <w:b/>
          <w:bCs/>
          <w:color w:val="auto"/>
          <w:sz w:val="21"/>
          <w:szCs w:val="21"/>
          <w:lang w:val="en-US" w:eastAsia="zh-CN"/>
        </w:rPr>
      </w:pPr>
    </w:p>
    <w:p>
      <w:pPr>
        <w:pStyle w:val="39"/>
        <w:numPr>
          <w:ilvl w:val="0"/>
          <w:numId w:val="0"/>
        </w:numPr>
        <w:spacing w:after="0"/>
        <w:ind w:leftChars="0"/>
        <w:jc w:val="both"/>
        <w:outlineLvl w:val="9"/>
        <w:rPr>
          <w:rFonts w:hint="eastAsia" w:ascii="宋体" w:hAnsi="宋体" w:eastAsia="宋体" w:cs="宋体"/>
          <w:b/>
          <w:bCs/>
          <w:color w:val="auto"/>
          <w:sz w:val="21"/>
          <w:szCs w:val="21"/>
          <w:lang w:val="en-US" w:eastAsia="zh-CN"/>
        </w:rPr>
        <w:sectPr>
          <w:pgSz w:w="11906" w:h="16838"/>
          <w:pgMar w:top="1440" w:right="1800" w:bottom="1440" w:left="1800" w:header="851" w:footer="992" w:gutter="0"/>
          <w:cols w:space="425" w:num="1"/>
          <w:docGrid w:linePitch="312" w:charSpace="0"/>
        </w:sectPr>
      </w:pPr>
    </w:p>
    <w:p>
      <w:pPr>
        <w:pStyle w:val="39"/>
        <w:numPr>
          <w:ilvl w:val="0"/>
          <w:numId w:val="9"/>
        </w:numPr>
        <w:spacing w:line="480" w:lineRule="auto"/>
        <w:ind w:left="0" w:leftChars="0" w:firstLine="0" w:firstLineChars="0"/>
        <w:outlineLvl w:val="9"/>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甩板机</w:t>
      </w:r>
    </w:p>
    <w:p>
      <w:pPr>
        <w:pStyle w:val="39"/>
        <w:spacing w:after="0"/>
        <w:ind w:left="0" w:leftChars="0"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技术参数</w:t>
      </w:r>
    </w:p>
    <w:p>
      <w:pPr>
        <w:widowControl/>
        <w:spacing w:line="360" w:lineRule="auto"/>
        <w:jc w:val="left"/>
        <w:rPr>
          <w:rFonts w:hint="eastAsia" w:ascii="宋体" w:hAnsi="宋体" w:eastAsia="宋体" w:cs="宋体"/>
          <w:b w:val="0"/>
          <w:bCs/>
          <w:sz w:val="21"/>
          <w:szCs w:val="21"/>
        </w:rPr>
      </w:pPr>
    </w:p>
    <w:p>
      <w:pPr>
        <w:widowControl/>
        <w:spacing w:line="480" w:lineRule="auto"/>
        <w:jc w:val="left"/>
        <w:rPr>
          <w:rFonts w:hint="eastAsia" w:ascii="宋体" w:hAnsi="宋体" w:eastAsia="宋体" w:cs="宋体"/>
          <w:sz w:val="21"/>
          <w:szCs w:val="21"/>
          <w:lang w:val="en-US" w:eastAsia="zh-CN"/>
        </w:rPr>
      </w:pPr>
      <w:r>
        <w:rPr>
          <w:rFonts w:hint="eastAsia" w:ascii="宋体" w:hAnsi="宋体" w:eastAsia="宋体" w:cs="宋体"/>
          <w:b w:val="0"/>
          <w:bCs/>
          <w:sz w:val="21"/>
          <w:szCs w:val="21"/>
          <w:lang w:val="en-US" w:eastAsia="zh-CN"/>
        </w:rPr>
        <w:t>1.电源 220V/50Hz 150W</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2</w:t>
      </w:r>
      <w:r>
        <w:rPr>
          <w:rFonts w:hint="eastAsia" w:ascii="宋体" w:hAnsi="宋体" w:eastAsia="宋体" w:cs="宋体"/>
          <w:b w:val="0"/>
          <w:bCs/>
          <w:sz w:val="21"/>
          <w:szCs w:val="21"/>
        </w:rPr>
        <w:t>. 转速设置：500-2500rpm，步进100rpm</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3</w:t>
      </w:r>
      <w:r>
        <w:rPr>
          <w:rFonts w:hint="eastAsia" w:ascii="宋体" w:hAnsi="宋体" w:eastAsia="宋体" w:cs="宋体"/>
          <w:b w:val="0"/>
          <w:bCs/>
          <w:sz w:val="21"/>
          <w:szCs w:val="21"/>
        </w:rPr>
        <w:t>. 最大离心</w:t>
      </w:r>
      <w:r>
        <w:rPr>
          <w:rFonts w:hint="eastAsia" w:ascii="宋体" w:hAnsi="宋体" w:eastAsia="宋体" w:cs="宋体"/>
          <w:b w:val="0"/>
          <w:bCs/>
          <w:sz w:val="21"/>
          <w:szCs w:val="21"/>
          <w:highlight w:val="none"/>
        </w:rPr>
        <w:t>力：</w:t>
      </w:r>
      <w:r>
        <w:rPr>
          <w:rFonts w:hint="eastAsia" w:ascii="宋体" w:hAnsi="宋体" w:cs="宋体"/>
          <w:b w:val="0"/>
          <w:bCs/>
          <w:sz w:val="21"/>
          <w:szCs w:val="21"/>
          <w:highlight w:val="none"/>
          <w:lang w:eastAsia="zh-CN"/>
        </w:rPr>
        <w:t>≥</w:t>
      </w:r>
      <w:r>
        <w:rPr>
          <w:rFonts w:hint="eastAsia" w:ascii="宋体" w:hAnsi="宋体" w:eastAsia="宋体" w:cs="宋体"/>
          <w:b w:val="0"/>
          <w:bCs/>
          <w:sz w:val="21"/>
          <w:szCs w:val="21"/>
          <w:highlight w:val="none"/>
        </w:rPr>
        <w:t>560g</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4</w:t>
      </w:r>
      <w:r>
        <w:rPr>
          <w:rFonts w:hint="eastAsia" w:ascii="宋体" w:hAnsi="宋体" w:eastAsia="宋体" w:cs="宋体"/>
          <w:b w:val="0"/>
          <w:bCs/>
          <w:sz w:val="21"/>
          <w:szCs w:val="21"/>
        </w:rPr>
        <w:t>. 离心容量：4块酶标板/培养板、2块深孔板/PCR板</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5</w:t>
      </w:r>
      <w:r>
        <w:rPr>
          <w:rFonts w:hint="eastAsia" w:ascii="宋体" w:hAnsi="宋体" w:eastAsia="宋体" w:cs="宋体"/>
          <w:b w:val="0"/>
          <w:bCs/>
          <w:sz w:val="21"/>
          <w:szCs w:val="21"/>
        </w:rPr>
        <w:t>. 时间设置：1-99分钟，连续，点动</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6</w:t>
      </w:r>
      <w:r>
        <w:rPr>
          <w:rFonts w:hint="eastAsia" w:ascii="宋体" w:hAnsi="宋体" w:eastAsia="宋体" w:cs="宋体"/>
          <w:b w:val="0"/>
          <w:bCs/>
          <w:sz w:val="21"/>
          <w:szCs w:val="21"/>
        </w:rPr>
        <w:t>. 操作显示：微电脑控制，数字显示转速和时间，独立的点动功能（瞬时离心功能）按键</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7</w:t>
      </w:r>
      <w:r>
        <w:rPr>
          <w:rFonts w:hint="eastAsia" w:ascii="宋体" w:hAnsi="宋体" w:eastAsia="宋体" w:cs="宋体"/>
          <w:b w:val="0"/>
          <w:bCs/>
          <w:sz w:val="21"/>
          <w:szCs w:val="21"/>
        </w:rPr>
        <w:t>. 制动功能：快速制动系统，使转子快速静止</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8</w:t>
      </w:r>
      <w:r>
        <w:rPr>
          <w:rFonts w:hint="eastAsia" w:ascii="宋体" w:hAnsi="宋体" w:eastAsia="宋体" w:cs="宋体"/>
          <w:b w:val="0"/>
          <w:bCs/>
          <w:sz w:val="21"/>
          <w:szCs w:val="21"/>
        </w:rPr>
        <w:t xml:space="preserve">. 噪音水平： </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rPr>
        <w:t>60dB</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9</w:t>
      </w:r>
      <w:r>
        <w:rPr>
          <w:rFonts w:hint="eastAsia" w:ascii="宋体" w:hAnsi="宋体" w:eastAsia="宋体" w:cs="宋体"/>
          <w:b w:val="0"/>
          <w:bCs/>
          <w:sz w:val="21"/>
          <w:szCs w:val="21"/>
        </w:rPr>
        <w:t>. 散热设计：保证无制冷条件下低温升，最大温升 &lt;12℃</w:t>
      </w:r>
    </w:p>
    <w:p>
      <w:pPr>
        <w:widowControl/>
        <w:spacing w:line="480" w:lineRule="auto"/>
        <w:jc w:val="left"/>
        <w:rPr>
          <w:rFonts w:hint="eastAsia" w:ascii="宋体" w:hAnsi="宋体" w:eastAsia="宋体" w:cs="宋体"/>
          <w:b w:val="0"/>
          <w:bCs/>
          <w:sz w:val="21"/>
          <w:szCs w:val="21"/>
        </w:rPr>
      </w:pPr>
      <w:r>
        <w:rPr>
          <w:rFonts w:hint="eastAsia" w:ascii="宋体" w:hAnsi="宋体" w:cs="宋体"/>
          <w:b w:val="0"/>
          <w:bCs/>
          <w:sz w:val="21"/>
          <w:szCs w:val="21"/>
          <w:lang w:val="en-US" w:eastAsia="zh-CN"/>
        </w:rPr>
        <w:t>10</w:t>
      </w:r>
      <w:r>
        <w:rPr>
          <w:rFonts w:hint="eastAsia" w:ascii="宋体" w:hAnsi="宋体" w:eastAsia="宋体" w:cs="宋体"/>
          <w:b w:val="0"/>
          <w:bCs/>
          <w:sz w:val="21"/>
          <w:szCs w:val="21"/>
        </w:rPr>
        <w:t>. 安全保护：电子门锁，开盖自动停机</w:t>
      </w:r>
    </w:p>
    <w:p>
      <w:pPr>
        <w:spacing w:line="480" w:lineRule="auto"/>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cs="宋体"/>
          <w:b w:val="0"/>
          <w:bCs/>
          <w:sz w:val="21"/>
          <w:szCs w:val="21"/>
          <w:lang w:val="en-US" w:eastAsia="zh-CN"/>
        </w:rPr>
        <w:t>1</w:t>
      </w:r>
      <w:r>
        <w:rPr>
          <w:rFonts w:hint="eastAsia" w:ascii="宋体" w:hAnsi="宋体" w:eastAsia="宋体" w:cs="宋体"/>
          <w:b w:val="0"/>
          <w:bCs/>
          <w:sz w:val="21"/>
          <w:szCs w:val="21"/>
        </w:rPr>
        <w:t>．电源：220V/50Hz</w:t>
      </w:r>
    </w:p>
    <w:p>
      <w:pPr>
        <w:pStyle w:val="39"/>
        <w:spacing w:line="480" w:lineRule="auto"/>
        <w:ind w:left="0" w:leftChars="0" w:firstLine="0" w:firstLineChars="0"/>
        <w:outlineLvl w:val="9"/>
        <w:rPr>
          <w:rFonts w:hint="eastAsia" w:ascii="宋体" w:hAnsi="宋体" w:eastAsia="宋体" w:cs="宋体"/>
          <w:b/>
          <w:bCs w:val="0"/>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val="0"/>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七、全钢更衣柜</w:t>
      </w:r>
    </w:p>
    <w:p>
      <w:pPr>
        <w:pStyle w:val="39"/>
        <w:spacing w:line="480" w:lineRule="auto"/>
        <w:ind w:left="0" w:leftChars="0" w:firstLine="0" w:firstLine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bCs w:val="0"/>
          <w:color w:val="auto"/>
          <w:sz w:val="21"/>
          <w:szCs w:val="21"/>
          <w:lang w:val="en-US" w:eastAsia="zh-CN"/>
        </w:rPr>
        <w:t>1、规格</w:t>
      </w:r>
      <w:r>
        <w:rPr>
          <w:rFonts w:hint="eastAsia" w:ascii="宋体" w:hAnsi="宋体" w:eastAsia="宋体" w:cs="宋体"/>
          <w:b w:val="0"/>
          <w:bCs/>
          <w:color w:val="auto"/>
          <w:sz w:val="21"/>
          <w:szCs w:val="21"/>
          <w:highlight w:val="none"/>
          <w:lang w:val="en-US" w:eastAsia="zh-CN"/>
        </w:rPr>
        <w:t>：</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900</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450</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 xml:space="preserve">1800 </w:t>
      </w:r>
    </w:p>
    <w:p>
      <w:pPr>
        <w:pStyle w:val="39"/>
        <w:spacing w:line="480" w:lineRule="auto"/>
        <w:ind w:left="0" w:leftChars="0" w:firstLine="0" w:firstLine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bCs w:val="0"/>
          <w:color w:val="auto"/>
          <w:sz w:val="21"/>
          <w:szCs w:val="21"/>
          <w:lang w:val="en-US" w:eastAsia="zh-CN"/>
        </w:rPr>
        <w:t>2、参数</w:t>
      </w:r>
    </w:p>
    <w:p>
      <w:pPr>
        <w:pStyle w:val="39"/>
        <w:spacing w:line="480" w:lineRule="auto"/>
        <w:ind w:left="0" w:leftChars="0" w:firstLine="0" w:firstLine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highlight w:val="none"/>
          <w:lang w:val="en-US" w:eastAsia="zh-CN"/>
        </w:rPr>
        <w:t>裸板</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1.0mm厚；</w:t>
      </w:r>
      <w:r>
        <w:rPr>
          <w:rFonts w:hint="eastAsia" w:ascii="宋体" w:hAnsi="宋体" w:eastAsia="宋体" w:cs="宋体"/>
          <w:b w:val="0"/>
          <w:bCs/>
          <w:color w:val="auto"/>
          <w:sz w:val="21"/>
          <w:szCs w:val="21"/>
          <w:lang w:val="en-US" w:eastAsia="zh-CN"/>
        </w:rPr>
        <w:t>环氧树脂静电喷涂；</w:t>
      </w:r>
    </w:p>
    <w:p>
      <w:pPr>
        <w:pStyle w:val="39"/>
        <w:spacing w:line="480" w:lineRule="auto"/>
        <w:ind w:left="0" w:leftChars="0" w:firstLine="0" w:firstLine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(2).U型128孔距不锈钢拉手；阻尼铰链；</w:t>
      </w:r>
    </w:p>
    <w:p>
      <w:pPr>
        <w:pStyle w:val="39"/>
        <w:spacing w:line="480" w:lineRule="auto"/>
        <w:ind w:left="0" w:leftChars="0" w:firstLine="0" w:firstLineChars="0"/>
        <w:outlineLvl w:val="9"/>
        <w:rPr>
          <w:rFonts w:hint="eastAsia" w:ascii="宋体" w:hAnsi="宋体" w:eastAsia="宋体" w:cs="宋体"/>
          <w:b/>
          <w:bCs w:val="0"/>
          <w:color w:val="auto"/>
          <w:sz w:val="21"/>
          <w:szCs w:val="21"/>
          <w:lang w:val="en-US" w:eastAsia="zh-CN"/>
        </w:rPr>
      </w:pPr>
      <w:r>
        <w:rPr>
          <w:rFonts w:hint="eastAsia" w:ascii="宋体" w:hAnsi="宋体" w:eastAsia="宋体" w:cs="宋体"/>
          <w:b w:val="0"/>
          <w:bCs/>
          <w:color w:val="auto"/>
          <w:sz w:val="21"/>
          <w:szCs w:val="21"/>
          <w:lang w:val="en-US" w:eastAsia="zh-CN"/>
        </w:rPr>
        <w:t>(3).整体象牙白；两位4空间</w:t>
      </w:r>
    </w:p>
    <w:p>
      <w:pPr>
        <w:pStyle w:val="39"/>
        <w:spacing w:line="480" w:lineRule="auto"/>
        <w:ind w:left="0" w:leftChars="0" w:firstLine="0" w:firstLineChars="0"/>
        <w:outlineLvl w:val="9"/>
        <w:rPr>
          <w:rFonts w:hint="eastAsia" w:ascii="宋体" w:hAnsi="宋体" w:eastAsia="宋体" w:cs="宋体"/>
          <w:b/>
          <w:bCs w:val="0"/>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val="0"/>
          <w:color w:val="auto"/>
          <w:sz w:val="21"/>
          <w:szCs w:val="21"/>
          <w:lang w:val="en-US" w:eastAsia="zh-CN"/>
        </w:rPr>
      </w:pPr>
    </w:p>
    <w:p>
      <w:pPr>
        <w:pStyle w:val="39"/>
        <w:spacing w:line="480" w:lineRule="auto"/>
        <w:ind w:left="0" w:leftChars="0" w:firstLine="0" w:firstLineChars="0"/>
        <w:outlineLvl w:val="9"/>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八、实验室温控设备</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适用面积：20-30m²</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面板材质：ABS塑料</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功能制冷功率：</w:t>
      </w:r>
      <w:r>
        <w:rPr>
          <w:rFonts w:hint="eastAsia" w:ascii="宋体" w:hAnsi="宋体" w:cs="宋体"/>
          <w:sz w:val="21"/>
          <w:szCs w:val="21"/>
          <w:lang w:eastAsia="zh-CN"/>
        </w:rPr>
        <w:t>≥</w:t>
      </w:r>
      <w:r>
        <w:rPr>
          <w:rFonts w:hint="eastAsia" w:ascii="宋体" w:hAnsi="宋体" w:eastAsia="宋体" w:cs="宋体"/>
          <w:sz w:val="21"/>
          <w:szCs w:val="21"/>
          <w:lang w:eastAsia="zh-CN"/>
        </w:rPr>
        <w:t>15</w:t>
      </w:r>
      <w:r>
        <w:rPr>
          <w:rFonts w:hint="eastAsia" w:ascii="宋体" w:hAnsi="宋体" w:cs="宋体"/>
          <w:sz w:val="21"/>
          <w:szCs w:val="21"/>
          <w:lang w:val="en-US" w:eastAsia="zh-CN"/>
        </w:rPr>
        <w:t>0</w:t>
      </w:r>
      <w:r>
        <w:rPr>
          <w:rFonts w:hint="eastAsia" w:ascii="宋体" w:hAnsi="宋体" w:eastAsia="宋体" w:cs="宋体"/>
          <w:sz w:val="21"/>
          <w:szCs w:val="21"/>
          <w:lang w:eastAsia="zh-CN"/>
        </w:rPr>
        <w:t>0W</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内机最大噪音： 44dB(A)</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外机最大噪音：54dB(A)</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制热功率：2100W</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制冷量：5000W </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制热量：6300W</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电辅加热功率：</w:t>
      </w:r>
      <w:r>
        <w:rPr>
          <w:rFonts w:hint="eastAsia" w:ascii="宋体" w:hAnsi="宋体" w:cs="宋体"/>
          <w:sz w:val="21"/>
          <w:szCs w:val="21"/>
          <w:lang w:eastAsia="zh-CN"/>
        </w:rPr>
        <w:t>≥</w:t>
      </w:r>
      <w:r>
        <w:rPr>
          <w:rFonts w:hint="eastAsia" w:ascii="宋体" w:hAnsi="宋体" w:eastAsia="宋体" w:cs="宋体"/>
          <w:sz w:val="21"/>
          <w:szCs w:val="21"/>
          <w:lang w:eastAsia="zh-CN"/>
        </w:rPr>
        <w:t>1200W</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规格制冷剂R32</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参数</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操控方式：APP操控</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净化类型</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除菌</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匹数：</w:t>
      </w:r>
      <w:r>
        <w:rPr>
          <w:rFonts w:hint="eastAsia" w:ascii="宋体" w:hAnsi="宋体" w:cs="宋体"/>
          <w:sz w:val="21"/>
          <w:szCs w:val="21"/>
          <w:lang w:eastAsia="zh-CN"/>
        </w:rPr>
        <w:t>≥</w:t>
      </w:r>
      <w:r>
        <w:rPr>
          <w:rFonts w:hint="eastAsia" w:ascii="宋体" w:hAnsi="宋体" w:eastAsia="宋体" w:cs="宋体"/>
          <w:sz w:val="21"/>
          <w:szCs w:val="21"/>
          <w:lang w:eastAsia="zh-CN"/>
        </w:rPr>
        <w:t>2匹</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类型：壁挂式</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变频/定频：变频</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冷暖类型：冷暖</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功能：独立除湿，智能调节，自清洁</w:t>
      </w:r>
    </w:p>
    <w:p>
      <w:pPr>
        <w:pStyle w:val="2"/>
        <w:rPr>
          <w:rFonts w:hint="eastAsia" w:ascii="宋体" w:hAnsi="宋体" w:eastAsia="宋体" w:cs="宋体"/>
          <w:sz w:val="21"/>
          <w:szCs w:val="21"/>
          <w:lang w:eastAsia="zh-CN"/>
        </w:rPr>
      </w:pPr>
    </w:p>
    <w:p>
      <w:pPr>
        <w:pStyle w:val="2"/>
        <w:rPr>
          <w:rFonts w:hint="eastAsia" w:ascii="宋体" w:hAnsi="宋体" w:eastAsia="宋体" w:cs="宋体"/>
          <w:sz w:val="21"/>
          <w:szCs w:val="21"/>
          <w:lang w:eastAsia="zh-CN"/>
        </w:rPr>
      </w:pPr>
    </w:p>
    <w:p>
      <w:pPr>
        <w:pStyle w:val="39"/>
        <w:numPr>
          <w:ilvl w:val="0"/>
          <w:numId w:val="10"/>
        </w:numPr>
        <w:spacing w:line="480" w:lineRule="auto"/>
        <w:ind w:left="0" w:leftChars="0" w:firstLine="0" w:firstLineChars="0"/>
        <w:outlineLvl w:val="9"/>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可升降实验凳</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6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noWrap w:val="0"/>
            <w:vAlign w:val="center"/>
          </w:tcPr>
          <w:p>
            <w:pPr>
              <w:pStyle w:val="39"/>
              <w:spacing w:after="0"/>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6686" w:type="dxa"/>
            <w:noWrap w:val="0"/>
            <w:vAlign w:val="center"/>
          </w:tcPr>
          <w:p>
            <w:pPr>
              <w:pStyle w:val="3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4" w:type="dxa"/>
            <w:noWrap w:val="0"/>
            <w:vAlign w:val="center"/>
          </w:tcPr>
          <w:p>
            <w:pPr>
              <w:pStyle w:val="39"/>
              <w:spacing w:after="0"/>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686" w:type="dxa"/>
            <w:noWrap w:val="0"/>
            <w:vAlign w:val="center"/>
          </w:tcPr>
          <w:p>
            <w:pPr>
              <w:pStyle w:val="39"/>
              <w:jc w:val="center"/>
              <w:rPr>
                <w:rFonts w:hint="eastAsia" w:ascii="宋体" w:hAnsi="宋体" w:eastAsia="宋体" w:cs="宋体"/>
                <w:sz w:val="21"/>
                <w:szCs w:val="21"/>
                <w:vertAlign w:val="baseline"/>
                <w:lang w:val="en-US" w:eastAsia="zh-CN"/>
              </w:rPr>
            </w:pPr>
            <w:r>
              <w:rPr>
                <w:rFonts w:hint="eastAsia" w:ascii="宋体" w:hAnsi="宋体" w:eastAsia="宋体" w:cs="宋体"/>
                <w:b w:val="0"/>
                <w:bCs w:val="0"/>
                <w:color w:val="000000"/>
                <w:sz w:val="21"/>
                <w:szCs w:val="21"/>
              </w:rPr>
              <w:t>名称</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可升降圆凳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noWrap w:val="0"/>
            <w:vAlign w:val="center"/>
          </w:tcPr>
          <w:p>
            <w:pPr>
              <w:pStyle w:val="39"/>
              <w:spacing w:after="0"/>
              <w:ind w:left="0" w:leftChars="0" w:firstLine="0" w:firstLineChars="0"/>
              <w:jc w:val="center"/>
              <w:rPr>
                <w:rFonts w:hint="eastAsia"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2</w:t>
            </w:r>
          </w:p>
        </w:tc>
        <w:tc>
          <w:tcPr>
            <w:tcW w:w="6686" w:type="dxa"/>
            <w:noWrap w:val="0"/>
            <w:vAlign w:val="center"/>
          </w:tcPr>
          <w:p>
            <w:pPr>
              <w:pStyle w:val="39"/>
              <w:ind w:left="420" w:leftChars="200" w:firstLine="420" w:firstLineChars="20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颜色：黑色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noWrap w:val="0"/>
            <w:vAlign w:val="center"/>
          </w:tcPr>
          <w:p>
            <w:pPr>
              <w:pStyle w:val="39"/>
              <w:spacing w:after="0"/>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6686" w:type="dxa"/>
            <w:noWrap w:val="0"/>
            <w:vAlign w:val="center"/>
          </w:tcPr>
          <w:p>
            <w:pPr>
              <w:pStyle w:val="39"/>
              <w:ind w:left="420" w:leftChars="200" w:firstLine="420" w:firstLineChars="20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坐垫：加厚海绵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noWrap w:val="0"/>
            <w:vAlign w:val="center"/>
          </w:tcPr>
          <w:p>
            <w:pPr>
              <w:pStyle w:val="39"/>
              <w:spacing w:after="0"/>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686" w:type="dxa"/>
            <w:noWrap w:val="0"/>
            <w:vAlign w:val="center"/>
          </w:tcPr>
          <w:p>
            <w:pPr>
              <w:pStyle w:val="39"/>
              <w:ind w:left="420" w:leftChars="200" w:firstLine="420" w:firstLineChars="20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底盘：加厚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noWrap w:val="0"/>
            <w:vAlign w:val="center"/>
          </w:tcPr>
          <w:p>
            <w:pPr>
              <w:pStyle w:val="39"/>
              <w:spacing w:after="0"/>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6686" w:type="dxa"/>
            <w:noWrap w:val="0"/>
            <w:vAlign w:val="center"/>
          </w:tcPr>
          <w:p>
            <w:pPr>
              <w:pStyle w:val="39"/>
              <w:ind w:left="420" w:leftChars="200" w:firstLine="420" w:firstLineChars="20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场景：居家、公司、商场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noWrap w:val="0"/>
            <w:vAlign w:val="center"/>
          </w:tcPr>
          <w:p>
            <w:pPr>
              <w:pStyle w:val="39"/>
              <w:spacing w:after="0"/>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6686" w:type="dxa"/>
            <w:noWrap w:val="0"/>
            <w:vAlign w:val="center"/>
          </w:tcPr>
          <w:p>
            <w:pPr>
              <w:pStyle w:val="39"/>
              <w:ind w:left="420" w:leftChars="200" w:firstLine="420" w:firstLineChars="20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坐面：透气皮革</w:t>
            </w:r>
          </w:p>
        </w:tc>
      </w:tr>
    </w:tbl>
    <w:p>
      <w:pPr>
        <w:pStyle w:val="39"/>
        <w:numPr>
          <w:ilvl w:val="0"/>
          <w:numId w:val="0"/>
        </w:numPr>
        <w:ind w:leftChars="0"/>
        <w:outlineLvl w:val="9"/>
        <w:rPr>
          <w:rFonts w:hint="eastAsia" w:ascii="宋体" w:hAnsi="宋体" w:eastAsia="宋体" w:cs="宋体"/>
          <w:b/>
          <w:bCs/>
          <w:i w:val="0"/>
          <w:iCs w:val="0"/>
          <w:color w:val="000000"/>
          <w:kern w:val="0"/>
          <w:sz w:val="21"/>
          <w:szCs w:val="21"/>
          <w:u w:val="none"/>
          <w:lang w:val="en-US" w:eastAsia="zh-CN" w:bidi="ar"/>
        </w:rPr>
      </w:pPr>
    </w:p>
    <w:p>
      <w:pPr>
        <w:pStyle w:val="39"/>
        <w:numPr>
          <w:ilvl w:val="0"/>
          <w:numId w:val="0"/>
        </w:numPr>
        <w:ind w:leftChars="0"/>
        <w:outlineLvl w:val="9"/>
        <w:rPr>
          <w:rFonts w:hint="eastAsia" w:ascii="宋体" w:hAnsi="宋体" w:eastAsia="宋体" w:cs="宋体"/>
          <w:b/>
          <w:bCs/>
          <w:i w:val="0"/>
          <w:iCs w:val="0"/>
          <w:color w:val="000000"/>
          <w:kern w:val="0"/>
          <w:sz w:val="21"/>
          <w:szCs w:val="21"/>
          <w:u w:val="none"/>
          <w:lang w:val="en-US" w:eastAsia="zh-CN" w:bidi="ar"/>
        </w:rPr>
      </w:pPr>
    </w:p>
    <w:p>
      <w:pPr>
        <w:pStyle w:val="39"/>
        <w:numPr>
          <w:ilvl w:val="0"/>
          <w:numId w:val="10"/>
        </w:numPr>
        <w:spacing w:line="360" w:lineRule="auto"/>
        <w:ind w:left="0" w:leftChars="0" w:firstLine="0" w:firstLineChars="0"/>
        <w:outlineLvl w:val="9"/>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 xml:space="preserve">洗衣机  </w:t>
      </w:r>
    </w:p>
    <w:p>
      <w:pPr>
        <w:pStyle w:val="39"/>
        <w:numPr>
          <w:ilvl w:val="0"/>
          <w:numId w:val="0"/>
        </w:numPr>
        <w:spacing w:line="360" w:lineRule="auto"/>
        <w:ind w:leftChars="0"/>
        <w:jc w:val="center"/>
        <w:outlineLvl w:val="9"/>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技术参数</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序号</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产品参数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highlight w:val="none"/>
                <w:u w:val="none"/>
                <w:lang w:val="en-US" w:eastAsia="zh-CN" w:bidi="ar"/>
              </w:rPr>
              <w:t>10公斤直驱变频洗衣机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自动化程度 ：全自动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显示类型： LED 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操控方式：电脑式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开门方式 ：顶开门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6</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特色功能：支持中途添衣；脱水功能；儿童安全锁；预约功能；进水阀漏水保护；筒自洁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cs="宋体"/>
                <w:i w:val="0"/>
                <w:iCs w:val="0"/>
                <w:color w:val="000000"/>
                <w:kern w:val="0"/>
                <w:sz w:val="21"/>
                <w:szCs w:val="21"/>
                <w:u w:val="none"/>
                <w:lang w:val="en-US" w:eastAsia="zh-CN" w:bidi="ar"/>
              </w:rPr>
              <w:t>7</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洗涤容量:10kg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cs="宋体"/>
                <w:i w:val="0"/>
                <w:iCs w:val="0"/>
                <w:color w:val="000000"/>
                <w:kern w:val="0"/>
                <w:sz w:val="21"/>
                <w:szCs w:val="21"/>
                <w:u w:val="none"/>
                <w:lang w:val="en-US" w:eastAsia="zh-CN" w:bidi="ar"/>
              </w:rPr>
              <w:t>8</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水位选择:10段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cs="宋体"/>
                <w:i w:val="0"/>
                <w:iCs w:val="0"/>
                <w:color w:val="000000"/>
                <w:kern w:val="0"/>
                <w:sz w:val="21"/>
                <w:szCs w:val="21"/>
                <w:u w:val="none"/>
                <w:lang w:val="en-US" w:eastAsia="zh-CN" w:bidi="ar"/>
              </w:rPr>
              <w:t>9</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脱水容量:10kg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default" w:ascii="宋体" w:hAnsi="宋体" w:eastAsia="宋体" w:cs="宋体"/>
                <w:b/>
                <w:bCs w:val="0"/>
                <w:color w:val="auto"/>
                <w:sz w:val="21"/>
                <w:szCs w:val="21"/>
                <w:vertAlign w:val="baseline"/>
                <w:lang w:val="en-US" w:eastAsia="zh-CN"/>
              </w:rPr>
            </w:pPr>
            <w:r>
              <w:rPr>
                <w:rFonts w:hint="eastAsia" w:ascii="宋体" w:hAnsi="宋体" w:cs="宋体"/>
                <w:i w:val="0"/>
                <w:iCs w:val="0"/>
                <w:color w:val="000000"/>
                <w:kern w:val="0"/>
                <w:sz w:val="21"/>
                <w:szCs w:val="21"/>
                <w:u w:val="none"/>
                <w:lang w:val="en-US" w:eastAsia="zh-CN" w:bidi="ar"/>
              </w:rPr>
              <w:t>10</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水温调节范围:常温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default" w:ascii="宋体" w:hAnsi="宋体" w:eastAsia="宋体" w:cs="宋体"/>
                <w:b/>
                <w:bCs w:val="0"/>
                <w:color w:val="auto"/>
                <w:sz w:val="21"/>
                <w:szCs w:val="21"/>
                <w:vertAlign w:val="baseline"/>
                <w:lang w:val="en-US" w:eastAsia="zh-CN"/>
              </w:rPr>
            </w:pPr>
            <w:r>
              <w:rPr>
                <w:rFonts w:hint="eastAsia" w:ascii="宋体" w:hAnsi="宋体" w:cs="宋体"/>
                <w:i w:val="0"/>
                <w:iCs w:val="0"/>
                <w:color w:val="000000"/>
                <w:kern w:val="0"/>
                <w:sz w:val="21"/>
                <w:szCs w:val="21"/>
                <w:u w:val="none"/>
                <w:lang w:val="en-US" w:eastAsia="zh-CN" w:bidi="ar"/>
              </w:rPr>
              <w:t>11</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箱体材质:渗锌钢板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2" w:type="dxa"/>
            <w:noWrap w:val="0"/>
            <w:vAlign w:val="center"/>
          </w:tcPr>
          <w:p>
            <w:pPr>
              <w:keepNext w:val="0"/>
              <w:keepLines w:val="0"/>
              <w:widowControl/>
              <w:suppressLineNumbers w:val="0"/>
              <w:jc w:val="center"/>
              <w:textAlignment w:val="center"/>
              <w:rPr>
                <w:rFonts w:hint="default" w:ascii="宋体" w:hAnsi="宋体" w:eastAsia="宋体" w:cs="宋体"/>
                <w:b/>
                <w:bCs w:val="0"/>
                <w:color w:val="auto"/>
                <w:sz w:val="21"/>
                <w:szCs w:val="21"/>
                <w:vertAlign w:val="baseline"/>
                <w:lang w:val="en-US" w:eastAsia="zh-CN"/>
              </w:rPr>
            </w:pPr>
            <w:r>
              <w:rPr>
                <w:rFonts w:hint="eastAsia" w:ascii="宋体" w:hAnsi="宋体" w:cs="宋体"/>
                <w:i w:val="0"/>
                <w:iCs w:val="0"/>
                <w:color w:val="000000"/>
                <w:kern w:val="0"/>
                <w:sz w:val="21"/>
                <w:szCs w:val="21"/>
                <w:u w:val="none"/>
                <w:lang w:val="en-US" w:eastAsia="zh-CN" w:bidi="ar"/>
              </w:rPr>
              <w:t>12</w:t>
            </w:r>
          </w:p>
        </w:tc>
        <w:tc>
          <w:tcPr>
            <w:tcW w:w="6817" w:type="dxa"/>
            <w:noWrap w:val="0"/>
            <w:vAlign w:val="center"/>
          </w:tcPr>
          <w:p>
            <w:pPr>
              <w:keepNext w:val="0"/>
              <w:keepLines w:val="0"/>
              <w:widowControl/>
              <w:suppressLineNumbers w:val="0"/>
              <w:jc w:val="center"/>
              <w:textAlignment w:val="center"/>
              <w:rPr>
                <w:rFonts w:hint="eastAsia" w:ascii="宋体" w:hAnsi="宋体" w:eastAsia="宋体" w:cs="宋体"/>
                <w:b/>
                <w:bCs w:val="0"/>
                <w:color w:val="auto"/>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内筒材质:不锈钢</w:t>
            </w:r>
          </w:p>
        </w:tc>
      </w:tr>
    </w:tbl>
    <w:p>
      <w:pPr>
        <w:pStyle w:val="39"/>
        <w:numPr>
          <w:ilvl w:val="0"/>
          <w:numId w:val="0"/>
        </w:numPr>
        <w:spacing w:line="36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十一、实验室挂表</w:t>
      </w:r>
    </w:p>
    <w:tbl>
      <w:tblPr>
        <w:tblStyle w:val="41"/>
        <w:tblW w:w="8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jc w:val="center"/>
        </w:trPr>
        <w:tc>
          <w:tcPr>
            <w:tcW w:w="1410"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序号</w:t>
            </w:r>
          </w:p>
        </w:tc>
        <w:tc>
          <w:tcPr>
            <w:tcW w:w="6769"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410"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6769"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尺寸：</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26cmx26cmx3cm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410"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6769"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机芯：石英机芯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410"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6769"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材质：塑料</w:t>
            </w:r>
          </w:p>
        </w:tc>
      </w:tr>
    </w:tbl>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 xml:space="preserve">十二、硒灯  </w:t>
      </w:r>
    </w:p>
    <w:p>
      <w:pPr>
        <w:pStyle w:val="39"/>
        <w:numPr>
          <w:ilvl w:val="0"/>
          <w:numId w:val="0"/>
        </w:numPr>
        <w:spacing w:line="480" w:lineRule="auto"/>
        <w:ind w:left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硒灯参数，原子荧光空心阴极灯</w:t>
      </w:r>
    </w:p>
    <w:p>
      <w:pPr>
        <w:pStyle w:val="39"/>
        <w:numPr>
          <w:ilvl w:val="0"/>
          <w:numId w:val="0"/>
        </w:numPr>
        <w:spacing w:line="480" w:lineRule="auto"/>
        <w:ind w:left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元素: Se </w:t>
      </w:r>
    </w:p>
    <w:p>
      <w:pPr>
        <w:pStyle w:val="39"/>
        <w:numPr>
          <w:ilvl w:val="0"/>
          <w:numId w:val="0"/>
        </w:numPr>
        <w:spacing w:line="480" w:lineRule="auto"/>
        <w:ind w:left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灵敏线波长:196.0nm</w:t>
      </w:r>
    </w:p>
    <w:p>
      <w:pPr>
        <w:pStyle w:val="39"/>
        <w:numPr>
          <w:ilvl w:val="0"/>
          <w:numId w:val="0"/>
        </w:numPr>
        <w:spacing w:line="480" w:lineRule="auto"/>
        <w:ind w:left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主阴极电流:10mA最大电流:25mA </w:t>
      </w:r>
    </w:p>
    <w:p>
      <w:pPr>
        <w:pStyle w:val="39"/>
        <w:numPr>
          <w:ilvl w:val="0"/>
          <w:numId w:val="0"/>
        </w:numPr>
        <w:spacing w:line="480" w:lineRule="auto"/>
        <w:ind w:left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具有谱线发射能量强、稳定性好、低噪声、低漂移等特性。</w:t>
      </w:r>
    </w:p>
    <w:p>
      <w:pPr>
        <w:pStyle w:val="39"/>
        <w:numPr>
          <w:ilvl w:val="0"/>
          <w:numId w:val="0"/>
        </w:numPr>
        <w:spacing w:line="480" w:lineRule="auto"/>
        <w:ind w:left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起辉电压≤360V</w:t>
      </w:r>
    </w:p>
    <w:p>
      <w:pPr>
        <w:pStyle w:val="39"/>
        <w:numPr>
          <w:ilvl w:val="0"/>
          <w:numId w:val="0"/>
        </w:numPr>
        <w:spacing w:line="480" w:lineRule="auto"/>
        <w:ind w:left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基线漂移：预热30min 在30min内≤1%</w:t>
      </w:r>
    </w:p>
    <w:p>
      <w:pPr>
        <w:pStyle w:val="39"/>
        <w:numPr>
          <w:ilvl w:val="0"/>
          <w:numId w:val="0"/>
        </w:numPr>
        <w:spacing w:line="480" w:lineRule="auto"/>
        <w:ind w:leftChars="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分析线背景≤1%</w:t>
      </w: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r>
        <w:rPr>
          <w:rFonts w:hint="eastAsia" w:ascii="宋体" w:hAnsi="宋体" w:eastAsia="宋体" w:cs="宋体"/>
          <w:b w:val="0"/>
          <w:bCs/>
          <w:color w:val="auto"/>
          <w:sz w:val="21"/>
          <w:szCs w:val="21"/>
          <w:lang w:val="en-US" w:eastAsia="zh-CN"/>
        </w:rPr>
        <w:t xml:space="preserve">主分析线：发射强度波动噪声＜0.1% </w:t>
      </w: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val="0"/>
          <w:color w:val="auto"/>
          <w:sz w:val="21"/>
          <w:szCs w:val="21"/>
          <w:lang w:val="en-US" w:eastAsia="zh-CN"/>
        </w:rPr>
        <w:t>十三、百分之一天平</w:t>
      </w:r>
    </w:p>
    <w:p>
      <w:pPr>
        <w:pStyle w:val="38"/>
        <w:numPr>
          <w:ilvl w:val="0"/>
          <w:numId w:val="0"/>
        </w:numPr>
        <w:spacing w:line="360" w:lineRule="auto"/>
        <w:jc w:val="center"/>
        <w:outlineLvl w:val="9"/>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技术参数</w:t>
      </w:r>
    </w:p>
    <w:p>
      <w:pPr>
        <w:pStyle w:val="38"/>
        <w:numPr>
          <w:ilvl w:val="0"/>
          <w:numId w:val="0"/>
        </w:numPr>
        <w:spacing w:line="360" w:lineRule="auto"/>
        <w:ind w:left="210" w:leftChars="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称量范围：500g</w:t>
      </w:r>
    </w:p>
    <w:p>
      <w:pPr>
        <w:pStyle w:val="38"/>
        <w:numPr>
          <w:ilvl w:val="0"/>
          <w:numId w:val="0"/>
        </w:numPr>
        <w:spacing w:line="360" w:lineRule="auto"/>
        <w:ind w:left="210" w:leftChars="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2、可读性：0.01g</w:t>
      </w:r>
    </w:p>
    <w:p>
      <w:pPr>
        <w:pStyle w:val="38"/>
        <w:numPr>
          <w:ilvl w:val="0"/>
          <w:numId w:val="0"/>
        </w:numPr>
        <w:spacing w:line="360" w:lineRule="auto"/>
        <w:ind w:left="210" w:leftChars="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3、重复性：±0.01g</w:t>
      </w:r>
    </w:p>
    <w:p>
      <w:pPr>
        <w:pStyle w:val="38"/>
        <w:numPr>
          <w:ilvl w:val="0"/>
          <w:numId w:val="0"/>
        </w:numPr>
        <w:spacing w:line="360" w:lineRule="auto"/>
        <w:ind w:left="210" w:leftChars="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线性：±0.02g</w:t>
      </w:r>
    </w:p>
    <w:p>
      <w:pPr>
        <w:pStyle w:val="38"/>
        <w:numPr>
          <w:ilvl w:val="0"/>
          <w:numId w:val="0"/>
        </w:numPr>
        <w:spacing w:line="360" w:lineRule="auto"/>
        <w:ind w:left="210" w:leftChars="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秤盘尺寸：Φ125mm</w:t>
      </w:r>
    </w:p>
    <w:p>
      <w:pPr>
        <w:pStyle w:val="38"/>
        <w:numPr>
          <w:ilvl w:val="0"/>
          <w:numId w:val="0"/>
        </w:numPr>
        <w:spacing w:line="360" w:lineRule="auto"/>
        <w:ind w:left="210" w:leftChars="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6、称量迅速，稳定性高</w:t>
      </w:r>
    </w:p>
    <w:p>
      <w:pPr>
        <w:pStyle w:val="38"/>
        <w:numPr>
          <w:ilvl w:val="0"/>
          <w:numId w:val="0"/>
        </w:numPr>
        <w:spacing w:line="360" w:lineRule="auto"/>
        <w:ind w:left="210" w:leftChars="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7、背光液晶显示</w:t>
      </w:r>
    </w:p>
    <w:p>
      <w:pPr>
        <w:pStyle w:val="38"/>
        <w:numPr>
          <w:ilvl w:val="0"/>
          <w:numId w:val="0"/>
        </w:numPr>
        <w:spacing w:line="360" w:lineRule="auto"/>
        <w:ind w:left="210" w:leftChars="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8、内置RS232接口</w:t>
      </w:r>
    </w:p>
    <w:p>
      <w:pPr>
        <w:pStyle w:val="38"/>
        <w:numPr>
          <w:ilvl w:val="0"/>
          <w:numId w:val="0"/>
        </w:numPr>
        <w:spacing w:line="360" w:lineRule="auto"/>
        <w:ind w:left="210" w:leftChars="0"/>
        <w:outlineLvl w:val="9"/>
        <w:rPr>
          <w:rFonts w:hint="eastAsia" w:ascii="宋体" w:hAnsi="宋体" w:eastAsia="宋体" w:cs="宋体"/>
          <w:b/>
          <w:bCs w:val="0"/>
          <w:color w:val="auto"/>
          <w:sz w:val="21"/>
          <w:szCs w:val="21"/>
          <w:lang w:val="en-US" w:eastAsia="zh-CN"/>
        </w:rPr>
      </w:pPr>
      <w:r>
        <w:rPr>
          <w:rFonts w:hint="eastAsia" w:ascii="宋体" w:hAnsi="宋体" w:eastAsia="宋体" w:cs="宋体"/>
          <w:sz w:val="21"/>
          <w:szCs w:val="21"/>
          <w:lang w:val="en-US" w:eastAsia="zh-CN"/>
        </w:rPr>
        <w:t>9、内置式下称吊钩</w:t>
      </w:r>
    </w:p>
    <w:p>
      <w:pPr>
        <w:pStyle w:val="39"/>
        <w:numPr>
          <w:ilvl w:val="0"/>
          <w:numId w:val="0"/>
        </w:numPr>
        <w:spacing w:line="480" w:lineRule="auto"/>
        <w:ind w:leftChars="0"/>
        <w:outlineLvl w:val="9"/>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val="0"/>
          <w:color w:val="auto"/>
          <w:sz w:val="21"/>
          <w:szCs w:val="21"/>
          <w:lang w:val="en-US" w:eastAsia="zh-CN"/>
        </w:rPr>
        <w:t>十四、</w:t>
      </w:r>
      <w:r>
        <w:rPr>
          <w:rFonts w:hint="eastAsia" w:ascii="宋体" w:hAnsi="宋体" w:eastAsia="宋体" w:cs="宋体"/>
          <w:b/>
          <w:bCs/>
          <w:i w:val="0"/>
          <w:iCs w:val="0"/>
          <w:color w:val="000000"/>
          <w:kern w:val="0"/>
          <w:sz w:val="21"/>
          <w:szCs w:val="21"/>
          <w:u w:val="none"/>
          <w:lang w:val="en-US" w:eastAsia="zh-CN" w:bidi="ar"/>
        </w:rPr>
        <w:t xml:space="preserve">8联手动移液器 </w:t>
      </w:r>
    </w:p>
    <w:p>
      <w:pPr>
        <w:pStyle w:val="39"/>
        <w:numPr>
          <w:ilvl w:val="0"/>
          <w:numId w:val="0"/>
        </w:numPr>
        <w:spacing w:line="480" w:lineRule="auto"/>
        <w:ind w:leftChars="0"/>
        <w:jc w:val="center"/>
        <w:outlineLvl w:val="9"/>
        <w:rPr>
          <w:rFonts w:hint="eastAsia" w:ascii="宋体" w:hAnsi="宋体" w:eastAsia="宋体" w:cs="宋体"/>
          <w:b/>
          <w:bCs/>
          <w:i w:val="0"/>
          <w:iCs w:val="0"/>
          <w:color w:val="000000"/>
          <w:kern w:val="0"/>
          <w:sz w:val="21"/>
          <w:szCs w:val="21"/>
          <w:highlight w:val="red"/>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技术参数</w:t>
      </w:r>
    </w:p>
    <w:tbl>
      <w:tblPr>
        <w:tblStyle w:val="40"/>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857"/>
        <w:gridCol w:w="1720"/>
        <w:gridCol w:w="2030"/>
        <w:gridCol w:w="1150"/>
        <w:gridCol w:w="117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04"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量程</w:t>
            </w:r>
          </w:p>
        </w:tc>
        <w:tc>
          <w:tcPr>
            <w:tcW w:w="857"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增量</w:t>
            </w:r>
          </w:p>
        </w:tc>
        <w:tc>
          <w:tcPr>
            <w:tcW w:w="172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测量体积（Ml）</w:t>
            </w:r>
          </w:p>
        </w:tc>
        <w:tc>
          <w:tcPr>
            <w:tcW w:w="2030" w:type="dxa"/>
            <w:noWrap/>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允许最大系统误差</w:t>
            </w:r>
          </w:p>
        </w:tc>
        <w:tc>
          <w:tcPr>
            <w:tcW w:w="2320" w:type="dxa"/>
            <w:gridSpan w:val="2"/>
            <w:noWrap/>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允许最大随机误差</w:t>
            </w:r>
          </w:p>
        </w:tc>
        <w:tc>
          <w:tcPr>
            <w:tcW w:w="975" w:type="dxa"/>
            <w:noWrap/>
            <w:vAlign w:val="center"/>
          </w:tcPr>
          <w:p>
            <w:pPr>
              <w:keepNext w:val="0"/>
              <w:keepLines w:val="0"/>
              <w:widowControl/>
              <w:suppressLineNumbers w:val="0"/>
              <w:jc w:val="center"/>
              <w:textAlignment w:val="top"/>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000000" w:themeColor="text1"/>
                <w:kern w:val="0"/>
                <w:sz w:val="21"/>
                <w:szCs w:val="21"/>
                <w:u w:val="none"/>
                <w:lang w:val="en-US" w:eastAsia="zh-CN" w:bidi="ar"/>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0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0.5-10 ul</w:t>
            </w:r>
          </w:p>
        </w:tc>
        <w:tc>
          <w:tcPr>
            <w:tcW w:w="857"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0.1 ul</w:t>
            </w:r>
          </w:p>
        </w:tc>
        <w:tc>
          <w:tcPr>
            <w:tcW w:w="1720" w:type="dxa"/>
            <w:noWrap w:val="0"/>
            <w:vAlign w:val="center"/>
          </w:tcPr>
          <w:p>
            <w:pPr>
              <w:keepNext w:val="0"/>
              <w:keepLines w:val="0"/>
              <w:widowControl/>
              <w:suppressLineNumbers w:val="0"/>
              <w:ind w:firstLine="0" w:firstLineChars="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10ul</w:t>
            </w:r>
          </w:p>
        </w:tc>
        <w:tc>
          <w:tcPr>
            <w:tcW w:w="203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 0.15ul</w:t>
            </w:r>
          </w:p>
        </w:tc>
        <w:tc>
          <w:tcPr>
            <w:tcW w:w="115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w:t>
            </w:r>
          </w:p>
        </w:tc>
        <w:tc>
          <w:tcPr>
            <w:tcW w:w="117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0.15ul</w:t>
            </w:r>
          </w:p>
        </w:tc>
        <w:tc>
          <w:tcPr>
            <w:tcW w:w="975" w:type="dxa"/>
            <w:vMerge w:val="restart"/>
            <w:noWrap/>
            <w:vAlign w:val="center"/>
          </w:tcPr>
          <w:p>
            <w:pPr>
              <w:pStyle w:val="188"/>
              <w:spacing w:line="420" w:lineRule="exact"/>
              <w:ind w:left="0" w:leftChars="0"/>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3支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04"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57"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20" w:type="dxa"/>
            <w:noWrap w:val="0"/>
            <w:vAlign w:val="center"/>
          </w:tcPr>
          <w:p>
            <w:pPr>
              <w:keepNext w:val="0"/>
              <w:keepLines w:val="0"/>
              <w:widowControl/>
              <w:suppressLineNumbers w:val="0"/>
              <w:ind w:firstLine="0" w:firstLineChars="0"/>
              <w:jc w:val="center"/>
              <w:textAlignment w:val="bottom"/>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5</w:t>
            </w:r>
            <w:r>
              <w:rPr>
                <w:rFonts w:hint="eastAsia" w:ascii="宋体" w:hAnsi="宋体" w:eastAsia="宋体" w:cs="宋体"/>
                <w:i w:val="0"/>
                <w:iCs w:val="0"/>
                <w:color w:val="auto"/>
                <w:kern w:val="0"/>
                <w:sz w:val="21"/>
                <w:szCs w:val="21"/>
                <w:u w:val="none"/>
                <w:lang w:val="en-US" w:eastAsia="zh-CN" w:bidi="ar"/>
              </w:rPr>
              <w:t>ul</w:t>
            </w:r>
          </w:p>
        </w:tc>
        <w:tc>
          <w:tcPr>
            <w:tcW w:w="203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 0.125ul</w:t>
            </w:r>
          </w:p>
        </w:tc>
        <w:tc>
          <w:tcPr>
            <w:tcW w:w="115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2.50%</w:t>
            </w:r>
          </w:p>
        </w:tc>
        <w:tc>
          <w:tcPr>
            <w:tcW w:w="117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0.125ul</w:t>
            </w:r>
          </w:p>
        </w:tc>
        <w:tc>
          <w:tcPr>
            <w:tcW w:w="975" w:type="dxa"/>
            <w:vMerge w:val="continue"/>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04"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857"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p>
        </w:tc>
        <w:tc>
          <w:tcPr>
            <w:tcW w:w="1720" w:type="dxa"/>
            <w:noWrap w:val="0"/>
            <w:vAlign w:val="center"/>
          </w:tcPr>
          <w:p>
            <w:pPr>
              <w:keepNext w:val="0"/>
              <w:keepLines w:val="0"/>
              <w:widowControl/>
              <w:suppressLineNumbers w:val="0"/>
              <w:ind w:firstLine="0" w:firstLineChars="0"/>
              <w:jc w:val="center"/>
              <w:textAlignment w:val="bottom"/>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r>
              <w:rPr>
                <w:rFonts w:hint="eastAsia" w:ascii="宋体" w:hAnsi="宋体" w:eastAsia="宋体" w:cs="宋体"/>
                <w:i w:val="0"/>
                <w:iCs w:val="0"/>
                <w:color w:val="auto"/>
                <w:kern w:val="0"/>
                <w:sz w:val="21"/>
                <w:szCs w:val="21"/>
                <w:u w:val="none"/>
                <w:lang w:val="en-US" w:eastAsia="zh-CN" w:bidi="ar"/>
              </w:rPr>
              <w:t>ul</w:t>
            </w:r>
          </w:p>
        </w:tc>
        <w:tc>
          <w:tcPr>
            <w:tcW w:w="2030" w:type="dxa"/>
            <w:noWrap/>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 0.04ul</w:t>
            </w:r>
          </w:p>
        </w:tc>
        <w:tc>
          <w:tcPr>
            <w:tcW w:w="1150" w:type="dxa"/>
            <w:noWrap/>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4.00%</w:t>
            </w:r>
          </w:p>
        </w:tc>
        <w:tc>
          <w:tcPr>
            <w:tcW w:w="1170" w:type="dxa"/>
            <w:noWrap/>
            <w:vAlign w:val="center"/>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0.04ul</w:t>
            </w:r>
          </w:p>
        </w:tc>
        <w:tc>
          <w:tcPr>
            <w:tcW w:w="975" w:type="dxa"/>
            <w:vMerge w:val="continue"/>
            <w:noWrap/>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0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5-50 ul</w:t>
            </w:r>
          </w:p>
        </w:tc>
        <w:tc>
          <w:tcPr>
            <w:tcW w:w="857"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0.5 ul</w:t>
            </w:r>
          </w:p>
        </w:tc>
        <w:tc>
          <w:tcPr>
            <w:tcW w:w="1720" w:type="dxa"/>
            <w:noWrap/>
            <w:vAlign w:val="center"/>
          </w:tcPr>
          <w:p>
            <w:pPr>
              <w:keepNext w:val="0"/>
              <w:keepLines w:val="0"/>
              <w:widowControl/>
              <w:suppressLineNumbers w:val="0"/>
              <w:ind w:firstLine="0" w:firstLineChars="0"/>
              <w:jc w:val="center"/>
              <w:textAlignment w:val="bottom"/>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50ul</w:t>
            </w:r>
          </w:p>
        </w:tc>
        <w:tc>
          <w:tcPr>
            <w:tcW w:w="203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 0.5ul</w:t>
            </w:r>
          </w:p>
        </w:tc>
        <w:tc>
          <w:tcPr>
            <w:tcW w:w="115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0.50%</w:t>
            </w:r>
          </w:p>
        </w:tc>
        <w:tc>
          <w:tcPr>
            <w:tcW w:w="117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0.25ul</w:t>
            </w:r>
          </w:p>
        </w:tc>
        <w:tc>
          <w:tcPr>
            <w:tcW w:w="975" w:type="dxa"/>
            <w:vMerge w:val="restart"/>
            <w:noWrap/>
            <w:vAlign w:val="center"/>
          </w:tcPr>
          <w:p>
            <w:pPr>
              <w:pStyle w:val="188"/>
              <w:spacing w:line="420" w:lineRule="exact"/>
              <w:ind w:left="0" w:leftChars="0"/>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color w:val="auto"/>
                <w:sz w:val="21"/>
                <w:szCs w:val="21"/>
                <w:highlight w:val="none"/>
                <w:lang w:val="en-US" w:eastAsia="zh-CN"/>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04"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p>
        </w:tc>
        <w:tc>
          <w:tcPr>
            <w:tcW w:w="857"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p>
        </w:tc>
        <w:tc>
          <w:tcPr>
            <w:tcW w:w="1720" w:type="dxa"/>
            <w:noWrap/>
            <w:vAlign w:val="center"/>
          </w:tcPr>
          <w:p>
            <w:pPr>
              <w:keepNext w:val="0"/>
              <w:keepLines w:val="0"/>
              <w:widowControl/>
              <w:suppressLineNumbers w:val="0"/>
              <w:ind w:firstLine="0" w:firstLineChars="0"/>
              <w:jc w:val="center"/>
              <w:textAlignment w:val="bottom"/>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25ul</w:t>
            </w:r>
          </w:p>
        </w:tc>
        <w:tc>
          <w:tcPr>
            <w:tcW w:w="203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 0.375ul</w:t>
            </w:r>
          </w:p>
        </w:tc>
        <w:tc>
          <w:tcPr>
            <w:tcW w:w="115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1.00%</w:t>
            </w:r>
          </w:p>
        </w:tc>
        <w:tc>
          <w:tcPr>
            <w:tcW w:w="117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0.25ul</w:t>
            </w:r>
          </w:p>
        </w:tc>
        <w:tc>
          <w:tcPr>
            <w:tcW w:w="975" w:type="dxa"/>
            <w:vMerge w:val="continue"/>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04" w:type="dxa"/>
            <w:vMerge w:val="continue"/>
            <w:noWrap/>
            <w:vAlign w:val="center"/>
          </w:tcPr>
          <w:p>
            <w:pPr>
              <w:jc w:val="center"/>
              <w:rPr>
                <w:rFonts w:hint="eastAsia" w:ascii="宋体" w:hAnsi="宋体" w:eastAsia="宋体" w:cs="宋体"/>
                <w:i w:val="0"/>
                <w:iCs w:val="0"/>
                <w:color w:val="auto"/>
                <w:sz w:val="21"/>
                <w:szCs w:val="21"/>
                <w:u w:val="none"/>
              </w:rPr>
            </w:pPr>
          </w:p>
        </w:tc>
        <w:tc>
          <w:tcPr>
            <w:tcW w:w="857" w:type="dxa"/>
            <w:vMerge w:val="continue"/>
            <w:noWrap/>
            <w:vAlign w:val="center"/>
          </w:tcPr>
          <w:p>
            <w:pPr>
              <w:jc w:val="center"/>
              <w:rPr>
                <w:rFonts w:hint="eastAsia" w:ascii="宋体" w:hAnsi="宋体" w:eastAsia="宋体" w:cs="宋体"/>
                <w:i w:val="0"/>
                <w:iCs w:val="0"/>
                <w:color w:val="auto"/>
                <w:sz w:val="21"/>
                <w:szCs w:val="21"/>
                <w:u w:val="none"/>
              </w:rPr>
            </w:pPr>
          </w:p>
        </w:tc>
        <w:tc>
          <w:tcPr>
            <w:tcW w:w="1720" w:type="dxa"/>
            <w:noWrap/>
            <w:vAlign w:val="center"/>
          </w:tcPr>
          <w:p>
            <w:pPr>
              <w:ind w:firstLine="0" w:firstLineChars="0"/>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5</w:t>
            </w:r>
            <w:r>
              <w:rPr>
                <w:rFonts w:hint="eastAsia" w:ascii="宋体" w:hAnsi="宋体" w:eastAsia="宋体" w:cs="宋体"/>
                <w:b w:val="0"/>
                <w:bCs w:val="0"/>
                <w:i w:val="0"/>
                <w:iCs w:val="0"/>
                <w:color w:val="auto"/>
                <w:kern w:val="0"/>
                <w:sz w:val="21"/>
                <w:szCs w:val="21"/>
                <w:u w:val="none"/>
                <w:lang w:val="en-US" w:eastAsia="zh-CN" w:bidi="ar"/>
              </w:rPr>
              <w:t>ul</w:t>
            </w:r>
          </w:p>
        </w:tc>
        <w:tc>
          <w:tcPr>
            <w:tcW w:w="203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3.00% 0.15ul</w:t>
            </w:r>
          </w:p>
        </w:tc>
        <w:tc>
          <w:tcPr>
            <w:tcW w:w="115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2.00%</w:t>
            </w:r>
          </w:p>
        </w:tc>
        <w:tc>
          <w:tcPr>
            <w:tcW w:w="1170" w:type="dxa"/>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0.1ul</w:t>
            </w:r>
          </w:p>
        </w:tc>
        <w:tc>
          <w:tcPr>
            <w:tcW w:w="975" w:type="dxa"/>
            <w:vMerge w:val="continue"/>
            <w:noWrap/>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21"/>
                <w:szCs w:val="21"/>
                <w:u w:val="none"/>
                <w:lang w:val="en-US" w:eastAsia="zh-CN" w:bidi="ar"/>
              </w:rPr>
            </w:pPr>
          </w:p>
        </w:tc>
      </w:tr>
    </w:tbl>
    <w:p>
      <w:pPr>
        <w:pStyle w:val="39"/>
        <w:numPr>
          <w:ilvl w:val="0"/>
          <w:numId w:val="0"/>
        </w:numPr>
        <w:spacing w:after="0" w:line="240" w:lineRule="auto"/>
        <w:ind w:leftChars="0"/>
        <w:outlineLvl w:val="9"/>
        <w:rPr>
          <w:rFonts w:hint="eastAsia" w:ascii="宋体" w:hAnsi="宋体" w:eastAsia="宋体" w:cs="宋体"/>
          <w:b/>
          <w:bCs w:val="0"/>
          <w:color w:val="auto"/>
          <w:sz w:val="21"/>
          <w:szCs w:val="21"/>
          <w:lang w:val="en-US" w:eastAsia="zh-CN"/>
        </w:rPr>
      </w:pPr>
    </w:p>
    <w:tbl>
      <w:tblPr>
        <w:tblStyle w:val="40"/>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1596"/>
        <w:gridCol w:w="1313"/>
        <w:gridCol w:w="1879"/>
        <w:gridCol w:w="100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7" w:type="dxa"/>
            <w:noWrap w:val="0"/>
            <w:vAlign w:val="top"/>
          </w:tcPr>
          <w:p>
            <w:pPr>
              <w:pStyle w:val="188"/>
              <w:spacing w:line="420" w:lineRule="exact"/>
              <w:ind w:lef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量程 μm </w:t>
            </w:r>
          </w:p>
        </w:tc>
        <w:tc>
          <w:tcPr>
            <w:tcW w:w="1596" w:type="dxa"/>
            <w:noWrap w:val="0"/>
            <w:vAlign w:val="top"/>
          </w:tcPr>
          <w:p>
            <w:pPr>
              <w:spacing w:line="4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分刻度 μm</w:t>
            </w:r>
          </w:p>
        </w:tc>
        <w:tc>
          <w:tcPr>
            <w:tcW w:w="1313" w:type="dxa"/>
            <w:noWrap/>
            <w:vAlign w:val="top"/>
          </w:tcPr>
          <w:p>
            <w:pPr>
              <w:spacing w:line="4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A% ≤ ±</w:t>
            </w:r>
          </w:p>
        </w:tc>
        <w:tc>
          <w:tcPr>
            <w:tcW w:w="1879" w:type="dxa"/>
            <w:noWrap/>
            <w:vAlign w:val="top"/>
          </w:tcPr>
          <w:p>
            <w:pPr>
              <w:spacing w:line="4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CV% ≤ ±</w:t>
            </w:r>
          </w:p>
        </w:tc>
        <w:tc>
          <w:tcPr>
            <w:tcW w:w="1007" w:type="dxa"/>
            <w:noWrap w:val="0"/>
            <w:vAlign w:val="center"/>
          </w:tcPr>
          <w:p>
            <w:pPr>
              <w:pStyle w:val="188"/>
              <w:spacing w:line="420" w:lineRule="exact"/>
              <w:ind w:left="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1007" w:type="dxa"/>
            <w:noWrap w:val="0"/>
            <w:vAlign w:val="center"/>
          </w:tcPr>
          <w:p>
            <w:pPr>
              <w:pStyle w:val="188"/>
              <w:spacing w:line="420" w:lineRule="exact"/>
              <w:ind w:left="0"/>
              <w:jc w:val="center"/>
              <w:rPr>
                <w:rFonts w:hint="eastAsia" w:ascii="宋体" w:hAnsi="宋体" w:eastAsia="宋体" w:cs="宋体"/>
                <w:b/>
                <w:bCs/>
                <w:color w:val="auto"/>
                <w:sz w:val="21"/>
                <w:szCs w:val="21"/>
                <w:highlight w:val="none"/>
              </w:rPr>
            </w:pPr>
            <w:r>
              <w:rPr>
                <w:rFonts w:hint="eastAsia" w:ascii="宋体" w:hAnsi="宋体" w:cs="宋体"/>
                <w:i w:val="0"/>
                <w:iCs w:val="0"/>
                <w:color w:val="000000" w:themeColor="text1"/>
                <w:kern w:val="0"/>
                <w:sz w:val="21"/>
                <w:szCs w:val="21"/>
                <w:u w:val="none"/>
                <w:lang w:val="en-US" w:eastAsia="zh-CN" w:bidi="ar"/>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717" w:type="dxa"/>
            <w:noWrap/>
            <w:vAlign w:val="top"/>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0.5 - 10</w:t>
            </w:r>
          </w:p>
        </w:tc>
        <w:tc>
          <w:tcPr>
            <w:tcW w:w="1596" w:type="dxa"/>
            <w:noWrap/>
            <w:vAlign w:val="top"/>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0.01</w:t>
            </w:r>
          </w:p>
        </w:tc>
        <w:tc>
          <w:tcPr>
            <w:tcW w:w="1313" w:type="dxa"/>
            <w:noWrap/>
            <w:vAlign w:val="top"/>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879" w:type="dxa"/>
            <w:noWrap/>
            <w:vAlign w:val="top"/>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007" w:type="dxa"/>
            <w:noWrap w:val="0"/>
            <w:vAlign w:val="center"/>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1个</w:t>
            </w:r>
          </w:p>
        </w:tc>
        <w:tc>
          <w:tcPr>
            <w:tcW w:w="1007" w:type="dxa"/>
            <w:noWrap w:val="0"/>
            <w:vAlign w:val="center"/>
          </w:tcPr>
          <w:p>
            <w:pPr>
              <w:pStyle w:val="188"/>
              <w:spacing w:line="420" w:lineRule="exact"/>
              <w:ind w:left="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717" w:type="dxa"/>
            <w:noWrap/>
            <w:vAlign w:val="top"/>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5 - 50</w:t>
            </w:r>
          </w:p>
        </w:tc>
        <w:tc>
          <w:tcPr>
            <w:tcW w:w="1596" w:type="dxa"/>
            <w:noWrap/>
            <w:vAlign w:val="top"/>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c>
          <w:tcPr>
            <w:tcW w:w="1313" w:type="dxa"/>
            <w:noWrap/>
            <w:vAlign w:val="top"/>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1879" w:type="dxa"/>
            <w:noWrap/>
            <w:vAlign w:val="top"/>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w:t>
            </w:r>
          </w:p>
        </w:tc>
        <w:tc>
          <w:tcPr>
            <w:tcW w:w="1007" w:type="dxa"/>
            <w:noWrap w:val="0"/>
            <w:vAlign w:val="center"/>
          </w:tcPr>
          <w:p>
            <w:pPr>
              <w:pStyle w:val="188"/>
              <w:spacing w:line="420" w:lineRule="exact"/>
              <w:ind w:lef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1个</w:t>
            </w:r>
          </w:p>
        </w:tc>
        <w:tc>
          <w:tcPr>
            <w:tcW w:w="1007" w:type="dxa"/>
            <w:noWrap w:val="0"/>
            <w:vAlign w:val="center"/>
          </w:tcPr>
          <w:p>
            <w:pPr>
              <w:pStyle w:val="188"/>
              <w:spacing w:line="420" w:lineRule="exact"/>
              <w:ind w:left="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2支</w:t>
            </w:r>
          </w:p>
        </w:tc>
      </w:tr>
    </w:tbl>
    <w:p>
      <w:pPr>
        <w:pStyle w:val="39"/>
        <w:numPr>
          <w:ilvl w:val="0"/>
          <w:numId w:val="0"/>
        </w:numPr>
        <w:spacing w:after="0" w:line="24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val="0"/>
          <w:color w:val="auto"/>
          <w:sz w:val="21"/>
          <w:szCs w:val="21"/>
          <w:lang w:val="en-US" w:eastAsia="zh-CN"/>
        </w:rPr>
        <w:t>十五、</w:t>
      </w:r>
      <w:r>
        <w:rPr>
          <w:rFonts w:hint="eastAsia" w:ascii="宋体" w:hAnsi="宋体" w:eastAsia="宋体" w:cs="宋体"/>
          <w:b/>
          <w:bCs/>
          <w:i w:val="0"/>
          <w:iCs w:val="0"/>
          <w:color w:val="000000"/>
          <w:kern w:val="0"/>
          <w:sz w:val="21"/>
          <w:szCs w:val="21"/>
          <w:u w:val="none"/>
          <w:lang w:val="en-US" w:eastAsia="zh-CN" w:bidi="ar"/>
        </w:rPr>
        <w:t>全自动移液工作站</w:t>
      </w:r>
    </w:p>
    <w:p>
      <w:pPr>
        <w:pStyle w:val="39"/>
        <w:numPr>
          <w:ilvl w:val="0"/>
          <w:numId w:val="0"/>
        </w:numPr>
        <w:spacing w:line="480" w:lineRule="auto"/>
        <w:ind w:leftChars="0"/>
        <w:jc w:val="center"/>
        <w:outlineLvl w:val="9"/>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技术参数</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427"/>
        <w:gridCol w:w="5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gridSpan w:val="2"/>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参数类型</w:t>
            </w:r>
          </w:p>
        </w:tc>
        <w:tc>
          <w:tcPr>
            <w:tcW w:w="5485" w:type="dxa"/>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highlight w:val="none"/>
                <w:lang w:eastAsia="zh-CN"/>
              </w:rPr>
              <w:t>电源参数</w:t>
            </w: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电源规格</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电源电压：AC220V；电源频率：50Hz ；额定功率：600VA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性能参数</w:t>
            </w: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通量</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center"/>
          </w:tcPr>
          <w:p>
            <w:pPr>
              <w:jc w:val="cente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移液范围</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5-1000ul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top"/>
          </w:tcPr>
          <w:p>
            <w:pP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移液准确性</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15μl 以下 ：相对偏差 ≤ 2.0%</w:t>
            </w:r>
          </w:p>
          <w:p>
            <w:pPr>
              <w:rPr>
                <w:rFonts w:hint="eastAsia" w:ascii="宋体" w:hAnsi="宋体" w:eastAsia="宋体" w:cs="宋体"/>
                <w:sz w:val="21"/>
                <w:szCs w:val="21"/>
              </w:rPr>
            </w:pPr>
            <w:r>
              <w:rPr>
                <w:rFonts w:hint="eastAsia" w:ascii="宋体" w:hAnsi="宋体" w:eastAsia="宋体" w:cs="宋体"/>
                <w:sz w:val="21"/>
                <w:szCs w:val="21"/>
              </w:rPr>
              <w:t>15μl~50μl：相对偏差 ≤ 1.5%</w:t>
            </w:r>
          </w:p>
          <w:p>
            <w:pPr>
              <w:rPr>
                <w:rFonts w:hint="eastAsia" w:ascii="宋体" w:hAnsi="宋体" w:eastAsia="宋体" w:cs="宋体"/>
                <w:sz w:val="21"/>
                <w:szCs w:val="21"/>
              </w:rPr>
            </w:pPr>
            <w:r>
              <w:rPr>
                <w:rFonts w:hint="eastAsia" w:ascii="宋体" w:hAnsi="宋体" w:eastAsia="宋体" w:cs="宋体"/>
                <w:sz w:val="21"/>
                <w:szCs w:val="21"/>
              </w:rPr>
              <w:t>50μl 以上 ：相对偏差 ≤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top"/>
          </w:tcPr>
          <w:p>
            <w:pP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移液重复性</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15μl 以下 ：CV ≤ 3.0%</w:t>
            </w:r>
          </w:p>
          <w:p>
            <w:pPr>
              <w:rPr>
                <w:rFonts w:hint="eastAsia" w:ascii="宋体" w:hAnsi="宋体" w:eastAsia="宋体" w:cs="宋体"/>
                <w:sz w:val="21"/>
                <w:szCs w:val="21"/>
              </w:rPr>
            </w:pPr>
            <w:r>
              <w:rPr>
                <w:rFonts w:hint="eastAsia" w:ascii="宋体" w:hAnsi="宋体" w:eastAsia="宋体" w:cs="宋体"/>
                <w:sz w:val="21"/>
                <w:szCs w:val="21"/>
              </w:rPr>
              <w:t>15μl~50μl：CV ≤ 1.5%</w:t>
            </w:r>
          </w:p>
          <w:p>
            <w:pPr>
              <w:rPr>
                <w:rFonts w:hint="eastAsia" w:ascii="宋体" w:hAnsi="宋体" w:eastAsia="宋体" w:cs="宋体"/>
                <w:sz w:val="21"/>
                <w:szCs w:val="21"/>
              </w:rPr>
            </w:pPr>
            <w:r>
              <w:rPr>
                <w:rFonts w:hint="eastAsia" w:ascii="宋体" w:hAnsi="宋体" w:eastAsia="宋体" w:cs="宋体"/>
                <w:sz w:val="21"/>
                <w:szCs w:val="21"/>
              </w:rPr>
              <w:t>50μl 以上 ：CV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top"/>
          </w:tcPr>
          <w:p>
            <w:pP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运行时间</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b/>
                <w:bCs/>
                <w:sz w:val="21"/>
                <w:szCs w:val="21"/>
                <w:highlight w:val="none"/>
              </w:rPr>
              <w:t>10分钟</w:t>
            </w:r>
            <w:r>
              <w:rPr>
                <w:rFonts w:hint="eastAsia" w:ascii="宋体" w:hAnsi="宋体" w:cs="宋体"/>
                <w:b/>
                <w:bCs/>
                <w:sz w:val="21"/>
                <w:szCs w:val="21"/>
                <w:highlight w:val="none"/>
                <w:lang w:eastAsia="zh-CN"/>
              </w:rPr>
              <w:t>内</w:t>
            </w:r>
            <w:r>
              <w:rPr>
                <w:rFonts w:hint="eastAsia" w:ascii="宋体" w:hAnsi="宋体" w:eastAsia="宋体" w:cs="宋体"/>
                <w:sz w:val="21"/>
                <w:szCs w:val="21"/>
                <w:highlight w:val="none"/>
              </w:rPr>
              <w:t>完成96份PCR反应体系构建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功能特性</w:t>
            </w: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液面探测</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通过电容/压力感应双效组合的液面探测，确保高精度移液。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center"/>
          </w:tcPr>
          <w:p>
            <w:pPr>
              <w:jc w:val="cente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试剂冷藏</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PCR 试剂仓采用避光设计，开机自动制冷，低温保存（4℃~15℃）。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center"/>
          </w:tcPr>
          <w:p>
            <w:pPr>
              <w:jc w:val="cente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cs="宋体"/>
                <w:color w:val="FF0000"/>
                <w:sz w:val="21"/>
                <w:szCs w:val="21"/>
                <w:lang w:eastAsia="zh-CN"/>
              </w:rPr>
              <w:t>★</w:t>
            </w:r>
            <w:r>
              <w:rPr>
                <w:rFonts w:hint="eastAsia" w:ascii="宋体" w:hAnsi="宋体" w:eastAsia="宋体" w:cs="宋体"/>
                <w:sz w:val="21"/>
                <w:szCs w:val="21"/>
              </w:rPr>
              <w:t>耗材信息识别</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识别全部耗材，实时监控耗材加载及使用状态，并给予操作者必要的提示。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center"/>
          </w:tcPr>
          <w:p>
            <w:pPr>
              <w:jc w:val="cente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cs="宋体"/>
                <w:color w:val="FF0000"/>
                <w:sz w:val="21"/>
                <w:szCs w:val="21"/>
                <w:lang w:eastAsia="zh-CN"/>
              </w:rPr>
              <w:t>★</w:t>
            </w:r>
            <w:r>
              <w:rPr>
                <w:rFonts w:hint="eastAsia" w:ascii="宋体" w:hAnsi="宋体" w:eastAsia="宋体" w:cs="宋体"/>
                <w:sz w:val="21"/>
                <w:szCs w:val="21"/>
              </w:rPr>
              <w:t>静音运行</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精密机械控制，密闭隔音舱门，保证仪器静音，运行噪音不大于 70 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center"/>
          </w:tcPr>
          <w:p>
            <w:pPr>
              <w:jc w:val="cente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cs="宋体"/>
                <w:color w:val="FF0000"/>
                <w:sz w:val="21"/>
                <w:szCs w:val="21"/>
                <w:lang w:eastAsia="zh-CN"/>
              </w:rPr>
              <w:t>★</w:t>
            </w:r>
            <w:r>
              <w:rPr>
                <w:rFonts w:hint="eastAsia" w:ascii="宋体" w:hAnsi="宋体" w:eastAsia="宋体" w:cs="宋体"/>
                <w:sz w:val="21"/>
                <w:szCs w:val="21"/>
              </w:rPr>
              <w:t>防污染</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b/>
                <w:bCs/>
                <w:sz w:val="21"/>
                <w:szCs w:val="21"/>
              </w:rPr>
              <w:t>防滴液</w:t>
            </w:r>
            <w:r>
              <w:rPr>
                <w:rFonts w:hint="eastAsia" w:ascii="宋体" w:hAnsi="宋体" w:eastAsia="宋体" w:cs="宋体"/>
                <w:sz w:val="21"/>
                <w:szCs w:val="21"/>
              </w:rPr>
              <w:t>：具有气密性防滴落性能的加样装置，外接式液滴捕获设计；</w:t>
            </w:r>
          </w:p>
          <w:p>
            <w:pPr>
              <w:rPr>
                <w:rFonts w:hint="eastAsia" w:ascii="宋体" w:hAnsi="宋体" w:eastAsia="宋体" w:cs="宋体"/>
                <w:sz w:val="21"/>
                <w:szCs w:val="21"/>
              </w:rPr>
            </w:pPr>
            <w:r>
              <w:rPr>
                <w:rFonts w:hint="eastAsia" w:ascii="宋体" w:hAnsi="宋体" w:eastAsia="宋体" w:cs="宋体"/>
                <w:b/>
                <w:bCs/>
                <w:sz w:val="21"/>
                <w:szCs w:val="21"/>
              </w:rPr>
              <w:t>负压系统</w:t>
            </w:r>
            <w:r>
              <w:rPr>
                <w:rFonts w:hint="eastAsia" w:ascii="宋体" w:hAnsi="宋体" w:eastAsia="宋体" w:cs="宋体"/>
                <w:sz w:val="21"/>
                <w:szCs w:val="21"/>
              </w:rPr>
              <w:t>：具有良好的排风及气流控制装置，实现实验舱负压监控；</w:t>
            </w:r>
          </w:p>
          <w:p>
            <w:pPr>
              <w:rPr>
                <w:rFonts w:hint="eastAsia" w:ascii="宋体" w:hAnsi="宋体" w:eastAsia="宋体" w:cs="宋体"/>
                <w:sz w:val="21"/>
                <w:szCs w:val="21"/>
              </w:rPr>
            </w:pPr>
            <w:r>
              <w:rPr>
                <w:rFonts w:hint="eastAsia" w:ascii="宋体" w:hAnsi="宋体" w:eastAsia="宋体" w:cs="宋体"/>
                <w:b/>
                <w:bCs/>
                <w:sz w:val="21"/>
                <w:szCs w:val="21"/>
              </w:rPr>
              <w:t>HEPA 过滤网</w:t>
            </w:r>
            <w:r>
              <w:rPr>
                <w:rFonts w:hint="eastAsia" w:ascii="宋体" w:hAnsi="宋体" w:eastAsia="宋体" w:cs="宋体"/>
                <w:sz w:val="21"/>
                <w:szCs w:val="21"/>
              </w:rPr>
              <w:t>：仪器通风口装有可拆卸的 HEPA 过滤网，过滤网在超过额定使用时间后，系统软件将提示用户更换；</w:t>
            </w:r>
          </w:p>
          <w:p>
            <w:pPr>
              <w:rPr>
                <w:rFonts w:hint="eastAsia" w:ascii="宋体" w:hAnsi="宋体" w:eastAsia="宋体" w:cs="宋体"/>
                <w:color w:val="000000"/>
                <w:kern w:val="0"/>
                <w:sz w:val="21"/>
                <w:szCs w:val="21"/>
              </w:rPr>
            </w:pPr>
            <w:r>
              <w:rPr>
                <w:rFonts w:hint="eastAsia" w:ascii="宋体" w:hAnsi="宋体" w:eastAsia="宋体" w:cs="宋体"/>
                <w:b/>
                <w:bCs/>
                <w:sz w:val="21"/>
                <w:szCs w:val="21"/>
              </w:rPr>
              <w:t>紫外消毒</w:t>
            </w:r>
            <w:r>
              <w:rPr>
                <w:rFonts w:hint="eastAsia" w:ascii="宋体" w:hAnsi="宋体" w:eastAsia="宋体" w:cs="宋体"/>
                <w:sz w:val="21"/>
                <w:szCs w:val="21"/>
              </w:rPr>
              <w:t>：各区域配有紫外消毒装置，具有自动及手动两种紫外消毒模式。</w:t>
            </w:r>
          </w:p>
          <w:p>
            <w:pPr>
              <w:rPr>
                <w:rFonts w:hint="eastAsia" w:ascii="宋体" w:hAnsi="宋体" w:eastAsia="宋体" w:cs="宋体"/>
                <w:sz w:val="21"/>
                <w:szCs w:val="21"/>
              </w:rPr>
            </w:pPr>
            <w:r>
              <w:rPr>
                <w:rFonts w:hint="eastAsia" w:ascii="宋体" w:hAnsi="宋体" w:eastAsia="宋体" w:cs="宋体"/>
                <w:b/>
                <w:bCs/>
                <w:sz w:val="21"/>
                <w:szCs w:val="21"/>
              </w:rPr>
              <w:t>废料仓盒：</w:t>
            </w:r>
            <w:r>
              <w:rPr>
                <w:rFonts w:hint="eastAsia" w:ascii="宋体" w:hAnsi="宋体" w:eastAsia="宋体" w:cs="宋体"/>
                <w:sz w:val="21"/>
                <w:szCs w:val="21"/>
              </w:rPr>
              <w:t>一次性废料仓盒，杜绝二次污染。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硬件特性</w:t>
            </w: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移动装置</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配备4 枚可单独吸液的自动移液器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top"/>
          </w:tcPr>
          <w:p>
            <w:pP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视觉装置</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耗材识别专用高清相机 1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top"/>
          </w:tcPr>
          <w:p>
            <w:pP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主控电脑</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内置主控电脑，嵌入</w:t>
            </w:r>
            <w:bookmarkStart w:id="22" w:name="_GoBack"/>
            <w:r>
              <w:rPr>
                <w:rFonts w:hint="eastAsia" w:ascii="宋体" w:hAnsi="宋体" w:eastAsia="宋体" w:cs="宋体"/>
                <w:sz w:val="21"/>
                <w:szCs w:val="21"/>
                <w:highlight w:val="none"/>
              </w:rPr>
              <w:t>式</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 xml:space="preserve"> 12寸触摸显</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top"/>
          </w:tcPr>
          <w:p>
            <w:pP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运动装置</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X、Y、Z 三个方向的支撑机械臂，配合电机控制，确保移液装置高精度移动。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top"/>
          </w:tcPr>
          <w:p>
            <w:pP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紫外灯</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实验舱顶部配备相同型号的紫外灭菌灯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软件特性</w:t>
            </w:r>
          </w:p>
        </w:tc>
        <w:tc>
          <w:tcPr>
            <w:tcW w:w="1427" w:type="dxa"/>
            <w:noWrap w:val="0"/>
            <w:vAlign w:val="center"/>
          </w:tcPr>
          <w:p>
            <w:pPr>
              <w:jc w:val="center"/>
              <w:rPr>
                <w:rFonts w:hint="eastAsia" w:ascii="宋体" w:hAnsi="宋体" w:eastAsia="宋体" w:cs="宋体"/>
                <w:sz w:val="21"/>
                <w:szCs w:val="21"/>
              </w:rPr>
            </w:pPr>
            <w:r>
              <w:rPr>
                <w:rFonts w:hint="eastAsia" w:ascii="宋体" w:hAnsi="宋体" w:cs="宋体"/>
                <w:color w:val="FF0000"/>
                <w:sz w:val="21"/>
                <w:szCs w:val="21"/>
                <w:lang w:eastAsia="zh-CN"/>
              </w:rPr>
              <w:t>★</w:t>
            </w:r>
            <w:r>
              <w:rPr>
                <w:rFonts w:hint="eastAsia" w:ascii="宋体" w:hAnsi="宋体" w:eastAsia="宋体" w:cs="宋体"/>
                <w:sz w:val="21"/>
                <w:szCs w:val="21"/>
              </w:rPr>
              <w:t>软件功能</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可根据实验要求，设置不同检测反应体系建立程序；</w:t>
            </w:r>
          </w:p>
          <w:p>
            <w:pPr>
              <w:rPr>
                <w:rFonts w:hint="eastAsia" w:ascii="宋体" w:hAnsi="宋体" w:eastAsia="宋体" w:cs="宋体"/>
                <w:sz w:val="21"/>
                <w:szCs w:val="21"/>
              </w:rPr>
            </w:pPr>
            <w:r>
              <w:rPr>
                <w:rFonts w:hint="eastAsia" w:ascii="宋体" w:hAnsi="宋体" w:eastAsia="宋体" w:cs="宋体"/>
                <w:sz w:val="21"/>
                <w:szCs w:val="21"/>
              </w:rPr>
              <w:t>可进行仪器复位、自检、模块维护、紫外消毒等功能；</w:t>
            </w:r>
          </w:p>
          <w:p>
            <w:pPr>
              <w:rPr>
                <w:rFonts w:hint="eastAsia" w:ascii="宋体" w:hAnsi="宋体" w:eastAsia="宋体" w:cs="宋体"/>
                <w:sz w:val="21"/>
                <w:szCs w:val="21"/>
              </w:rPr>
            </w:pPr>
            <w:r>
              <w:rPr>
                <w:rFonts w:hint="eastAsia" w:ascii="宋体" w:hAnsi="宋体" w:eastAsia="宋体" w:cs="宋体"/>
                <w:sz w:val="21"/>
                <w:szCs w:val="21"/>
              </w:rPr>
              <w:t>实验过程中，可对实验进程、操作进度进行全程实时监控；</w:t>
            </w:r>
          </w:p>
          <w:p>
            <w:pPr>
              <w:rPr>
                <w:rFonts w:hint="eastAsia" w:ascii="宋体" w:hAnsi="宋体" w:eastAsia="宋体" w:cs="宋体"/>
                <w:sz w:val="21"/>
                <w:szCs w:val="21"/>
              </w:rPr>
            </w:pPr>
            <w:r>
              <w:rPr>
                <w:rFonts w:hint="eastAsia" w:ascii="宋体" w:hAnsi="宋体" w:eastAsia="宋体" w:cs="宋体"/>
                <w:sz w:val="21"/>
                <w:szCs w:val="21"/>
              </w:rPr>
              <w:t>具有提取产物自动留样功能，便于结果跟踪复检。</w:t>
            </w:r>
          </w:p>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耗材兼容性</w:t>
            </w: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通用耗材</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PCR 管：0.1 ml &amp; 0.2ml PCR 8 连管/96 孔板，实际情况根据后续 PCR 设备决定；</w:t>
            </w:r>
          </w:p>
          <w:p>
            <w:pPr>
              <w:rPr>
                <w:rFonts w:hint="eastAsia" w:ascii="宋体" w:hAnsi="宋体" w:eastAsia="宋体" w:cs="宋体"/>
                <w:sz w:val="21"/>
                <w:szCs w:val="21"/>
              </w:rPr>
            </w:pPr>
            <w:r>
              <w:rPr>
                <w:rFonts w:hint="eastAsia" w:ascii="宋体" w:hAnsi="宋体" w:eastAsia="宋体" w:cs="宋体"/>
                <w:sz w:val="21"/>
                <w:szCs w:val="21"/>
              </w:rPr>
              <w:t>留样耗材：0.1ml &amp; 0.2ml PCR 管/96孔板。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noWrap w:val="0"/>
            <w:vAlign w:val="top"/>
          </w:tcPr>
          <w:p>
            <w:pPr>
              <w:rPr>
                <w:rFonts w:hint="eastAsia" w:ascii="宋体" w:hAnsi="宋体" w:eastAsia="宋体" w:cs="宋体"/>
                <w:sz w:val="21"/>
                <w:szCs w:val="21"/>
              </w:rPr>
            </w:pPr>
          </w:p>
        </w:tc>
        <w:tc>
          <w:tcPr>
            <w:tcW w:w="14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专用耗材</w:t>
            </w:r>
          </w:p>
        </w:tc>
        <w:tc>
          <w:tcPr>
            <w:tcW w:w="548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移液吸头：专配 2 种规格的滤芯吸头（5μl ~50μl, 50μl ~1000μl）；</w:t>
            </w:r>
          </w:p>
          <w:p>
            <w:pPr>
              <w:rPr>
                <w:rFonts w:hint="eastAsia" w:ascii="宋体" w:hAnsi="宋体" w:eastAsia="宋体" w:cs="宋体"/>
                <w:sz w:val="21"/>
                <w:szCs w:val="21"/>
              </w:rPr>
            </w:pPr>
            <w:r>
              <w:rPr>
                <w:rFonts w:hint="eastAsia" w:ascii="宋体" w:hAnsi="宋体" w:eastAsia="宋体" w:cs="宋体"/>
                <w:sz w:val="21"/>
                <w:szCs w:val="21"/>
              </w:rPr>
              <w:t>PCR 耗材：专配 PCR 建立预混瓶。</w:t>
            </w:r>
          </w:p>
        </w:tc>
      </w:tr>
    </w:tbl>
    <w:p>
      <w:pPr>
        <w:pStyle w:val="39"/>
        <w:ind w:left="0" w:leftChars="0" w:firstLine="0" w:firstLineChars="0"/>
        <w:rPr>
          <w:rFonts w:hint="eastAsia" w:ascii="宋体" w:hAnsi="宋体" w:eastAsia="宋体" w:cs="宋体"/>
          <w:sz w:val="21"/>
          <w:szCs w:val="21"/>
          <w:lang w:val="en-US" w:eastAsia="zh-CN"/>
        </w:rPr>
      </w:pPr>
    </w:p>
    <w:p>
      <w:pPr>
        <w:pStyle w:val="39"/>
        <w:ind w:left="0" w:leftChars="0" w:firstLine="0" w:firstLineChars="0"/>
        <w:rPr>
          <w:rFonts w:hint="eastAsia" w:ascii="宋体" w:hAnsi="宋体" w:eastAsia="宋体" w:cs="宋体"/>
          <w:sz w:val="21"/>
          <w:szCs w:val="21"/>
          <w:lang w:val="en-US" w:eastAsia="zh-CN"/>
        </w:rPr>
      </w:pPr>
    </w:p>
    <w:p>
      <w:pPr>
        <w:pStyle w:val="39"/>
        <w:numPr>
          <w:ilvl w:val="0"/>
          <w:numId w:val="0"/>
        </w:numPr>
        <w:spacing w:line="480" w:lineRule="auto"/>
        <w:ind w:leftChars="0"/>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十六、UPS延时电源</w:t>
      </w:r>
    </w:p>
    <w:tbl>
      <w:tblPr>
        <w:tblStyle w:val="40"/>
        <w:tblW w:w="77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3344"/>
        <w:gridCol w:w="4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相数</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单相三线（零/火线+保护地线）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功率容量</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1000VA/900W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b/>
                <w:bCs/>
                <w:color w:val="auto"/>
                <w:kern w:val="0"/>
                <w:sz w:val="21"/>
                <w:szCs w:val="21"/>
              </w:rPr>
              <w:t>输入</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额定电压</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220/230/240VAC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输入电压范围</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90V~300V 半载176V~300V 满载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输入频率范围</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40~70Hz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b/>
                <w:bCs/>
                <w:color w:val="auto"/>
                <w:kern w:val="0"/>
                <w:sz w:val="21"/>
                <w:szCs w:val="21"/>
              </w:rPr>
              <w:t>输出</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额定输出电压</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230V（220/240/208V 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输出电压精度</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5" w:hRule="atLeast"/>
          <w:jc w:val="center"/>
        </w:trPr>
        <w:tc>
          <w:tcPr>
            <w:tcW w:w="3344" w:type="dxa"/>
            <w:tcBorders>
              <w:top w:val="single" w:color="000000" w:sz="2" w:space="0"/>
              <w:left w:val="single" w:color="000000" w:sz="2" w:space="0"/>
              <w:bottom w:val="single" w:color="000000" w:sz="2" w:space="0"/>
              <w:right w:val="single" w:color="000000" w:sz="2" w:space="0"/>
            </w:tcBorders>
            <w:noWrap w:val="0"/>
            <w:vAlign w:val="center"/>
          </w:tcPr>
          <w:p>
            <w:pPr>
              <w:widowControl/>
              <w:jc w:val="left"/>
              <w:outlineLvl w:val="9"/>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延时时长</w:t>
            </w:r>
          </w:p>
        </w:tc>
        <w:tc>
          <w:tcPr>
            <w:tcW w:w="441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outlineLvl w:val="9"/>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40分钟以上</w:t>
            </w:r>
          </w:p>
        </w:tc>
      </w:tr>
    </w:tbl>
    <w:p>
      <w:pPr>
        <w:pStyle w:val="39"/>
        <w:keepNext w:val="0"/>
        <w:keepLines w:val="0"/>
        <w:pageBreakBefore w:val="0"/>
        <w:kinsoku/>
        <w:wordWrap/>
        <w:overflowPunct/>
        <w:topLinePunct w:val="0"/>
        <w:autoSpaceDE/>
        <w:autoSpaceDN/>
        <w:bidi w:val="0"/>
        <w:adjustRightInd/>
        <w:snapToGrid/>
        <w:ind w:left="0" w:leftChars="0" w:firstLine="0" w:firstLineChars="0"/>
        <w:outlineLvl w:val="9"/>
        <w:rPr>
          <w:rFonts w:hint="eastAsia" w:ascii="宋体" w:hAnsi="宋体" w:eastAsia="宋体" w:cs="宋体"/>
          <w:b/>
          <w:bCs/>
          <w:sz w:val="21"/>
          <w:szCs w:val="21"/>
          <w:lang w:val="en-US" w:eastAsia="zh-CN"/>
        </w:rPr>
      </w:pPr>
    </w:p>
    <w:p>
      <w:pPr>
        <w:pStyle w:val="39"/>
        <w:keepNext w:val="0"/>
        <w:keepLines w:val="0"/>
        <w:pageBreakBefore w:val="0"/>
        <w:kinsoku/>
        <w:wordWrap/>
        <w:overflowPunct/>
        <w:topLinePunct w:val="0"/>
        <w:autoSpaceDE/>
        <w:autoSpaceDN/>
        <w:bidi w:val="0"/>
        <w:adjustRightInd/>
        <w:snapToGrid/>
        <w:ind w:left="0" w:leftChars="0" w:firstLine="0" w:firstLineChars="0"/>
        <w:outlineLvl w:val="9"/>
        <w:rPr>
          <w:rFonts w:hint="eastAsia" w:ascii="宋体" w:hAnsi="宋体" w:eastAsia="宋体" w:cs="宋体"/>
          <w:b/>
          <w:bCs/>
          <w:sz w:val="21"/>
          <w:szCs w:val="21"/>
          <w:lang w:val="en-US" w:eastAsia="zh-CN"/>
        </w:rPr>
      </w:pPr>
    </w:p>
    <w:p>
      <w:pPr>
        <w:pStyle w:val="39"/>
        <w:keepNext w:val="0"/>
        <w:keepLines w:val="0"/>
        <w:pageBreakBefore w:val="0"/>
        <w:kinsoku/>
        <w:wordWrap/>
        <w:overflowPunct/>
        <w:topLinePunct w:val="0"/>
        <w:autoSpaceDE/>
        <w:autoSpaceDN/>
        <w:bidi w:val="0"/>
        <w:adjustRightInd/>
        <w:snapToGrid/>
        <w:ind w:left="0" w:leftChars="0" w:firstLine="0" w:firstLineChars="0"/>
        <w:outlineLvl w:val="9"/>
        <w:rPr>
          <w:rFonts w:hint="eastAsia" w:ascii="宋体" w:hAnsi="宋体" w:eastAsia="宋体" w:cs="宋体"/>
          <w:b/>
          <w:bCs/>
          <w:sz w:val="21"/>
          <w:szCs w:val="21"/>
          <w:lang w:val="en-US" w:eastAsia="zh-CN"/>
        </w:rPr>
      </w:pPr>
    </w:p>
    <w:p>
      <w:pPr>
        <w:pStyle w:val="39"/>
        <w:numPr>
          <w:ilvl w:val="0"/>
          <w:numId w:val="11"/>
        </w:numPr>
        <w:spacing w:after="0" w:line="240" w:lineRule="auto"/>
        <w:ind w:left="0" w:leftChars="0"/>
        <w:outlineLvl w:val="9"/>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电脑</w:t>
      </w:r>
    </w:p>
    <w:p>
      <w:pPr>
        <w:pStyle w:val="39"/>
        <w:numPr>
          <w:ilvl w:val="0"/>
          <w:numId w:val="0"/>
        </w:numPr>
        <w:spacing w:after="0" w:line="240" w:lineRule="auto"/>
        <w:ind w:leftChars="200"/>
        <w:outlineLvl w:val="9"/>
        <w:rPr>
          <w:rFonts w:hint="eastAsia" w:ascii="宋体" w:hAnsi="宋体" w:eastAsia="宋体" w:cs="宋体"/>
          <w:b w:val="0"/>
          <w:bCs/>
          <w:color w:val="auto"/>
          <w:sz w:val="21"/>
          <w:szCs w:val="21"/>
          <w:lang w:val="en-US" w:eastAsia="zh-CN"/>
        </w:rPr>
      </w:pPr>
    </w:p>
    <w:p>
      <w:pPr>
        <w:pStyle w:val="39"/>
        <w:numPr>
          <w:ilvl w:val="0"/>
          <w:numId w:val="0"/>
        </w:numPr>
        <w:spacing w:after="0" w:line="240" w:lineRule="auto"/>
        <w:ind w:leftChars="200"/>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台式机</w:t>
      </w:r>
    </w:p>
    <w:tbl>
      <w:tblPr>
        <w:tblStyle w:val="41"/>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序号</w:t>
            </w:r>
          </w:p>
        </w:tc>
        <w:tc>
          <w:tcPr>
            <w:tcW w:w="6558"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CPU：</w:t>
            </w:r>
            <w:r>
              <w:rPr>
                <w:rFonts w:hint="eastAsia" w:ascii="宋体" w:hAnsi="宋体" w:eastAsia="宋体" w:cs="宋体"/>
                <w:sz w:val="21"/>
                <w:szCs w:val="21"/>
              </w:rPr>
              <w:t>I</w:t>
            </w:r>
            <w:r>
              <w:rPr>
                <w:rFonts w:hint="eastAsia" w:ascii="宋体" w:hAnsi="宋体" w:cs="宋体"/>
                <w:sz w:val="21"/>
                <w:szCs w:val="21"/>
                <w:lang w:val="en-US" w:eastAsia="zh-CN"/>
              </w:rPr>
              <w:t>5及以上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内存</w:t>
            </w:r>
            <w:r>
              <w:rPr>
                <w:rFonts w:hint="eastAsia" w:ascii="宋体" w:hAnsi="宋体" w:eastAsia="宋体" w:cs="宋体"/>
                <w:sz w:val="21"/>
                <w:szCs w:val="21"/>
              </w:rPr>
              <w:t>16G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硬盘256G+1TB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4</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显卡：集成显卡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5</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显示器：</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6</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品牌机</w:t>
            </w:r>
          </w:p>
        </w:tc>
      </w:tr>
    </w:tbl>
    <w:p>
      <w:pPr>
        <w:pStyle w:val="39"/>
        <w:numPr>
          <w:ilvl w:val="0"/>
          <w:numId w:val="0"/>
        </w:numPr>
        <w:spacing w:line="480" w:lineRule="auto"/>
        <w:outlineLvl w:val="9"/>
        <w:rPr>
          <w:rFonts w:hint="eastAsia" w:ascii="宋体" w:hAnsi="宋体" w:eastAsia="宋体" w:cs="宋体"/>
          <w:b w:val="0"/>
          <w:bCs/>
          <w:color w:val="auto"/>
          <w:sz w:val="21"/>
          <w:szCs w:val="21"/>
          <w:vertAlign w:val="baseline"/>
          <w:lang w:val="en-US" w:eastAsia="zh-CN"/>
        </w:rPr>
      </w:pPr>
    </w:p>
    <w:p>
      <w:pPr>
        <w:pStyle w:val="39"/>
        <w:numPr>
          <w:ilvl w:val="0"/>
          <w:numId w:val="0"/>
        </w:numPr>
        <w:spacing w:line="480" w:lineRule="auto"/>
        <w:outlineLvl w:val="9"/>
        <w:rPr>
          <w:rFonts w:hint="eastAsia" w:ascii="宋体" w:hAnsi="宋体" w:eastAsia="宋体" w:cs="宋体"/>
          <w:b w:val="0"/>
          <w:bCs/>
          <w:color w:val="auto"/>
          <w:sz w:val="21"/>
          <w:szCs w:val="21"/>
          <w:vertAlign w:val="baseline"/>
          <w:lang w:val="en-US" w:eastAsia="zh-CN"/>
        </w:rPr>
      </w:pPr>
    </w:p>
    <w:p>
      <w:pPr>
        <w:pStyle w:val="39"/>
        <w:numPr>
          <w:ilvl w:val="0"/>
          <w:numId w:val="0"/>
        </w:numPr>
        <w:spacing w:line="480" w:lineRule="auto"/>
        <w:ind w:leftChars="200"/>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笔记本</w:t>
      </w:r>
    </w:p>
    <w:tbl>
      <w:tblPr>
        <w:tblStyle w:val="41"/>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序号</w:t>
            </w:r>
          </w:p>
        </w:tc>
        <w:tc>
          <w:tcPr>
            <w:tcW w:w="6558"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CPU：I5</w:t>
            </w:r>
            <w:r>
              <w:rPr>
                <w:rFonts w:hint="eastAsia" w:ascii="宋体" w:hAnsi="宋体" w:cs="宋体"/>
                <w:sz w:val="21"/>
                <w:szCs w:val="21"/>
                <w:lang w:val="en-US"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2</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内存</w:t>
            </w:r>
            <w:r>
              <w:rPr>
                <w:rFonts w:hint="eastAsia" w:ascii="宋体" w:hAnsi="宋体" w:eastAsia="宋体" w:cs="宋体"/>
                <w:sz w:val="21"/>
                <w:szCs w:val="21"/>
              </w:rPr>
              <w:t>16G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3</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硬盘512G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4</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显卡：集成显卡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5</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显示器：</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641" w:type="dxa"/>
            <w:noWrap w:val="0"/>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6</w:t>
            </w:r>
          </w:p>
        </w:tc>
        <w:tc>
          <w:tcPr>
            <w:tcW w:w="65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品牌机</w:t>
            </w:r>
          </w:p>
        </w:tc>
      </w:tr>
    </w:tbl>
    <w:p>
      <w:pPr>
        <w:jc w:val="left"/>
        <w:rPr>
          <w:rFonts w:hint="eastAsia" w:ascii="宋体" w:hAnsi="宋体" w:eastAsia="宋体" w:cs="宋体"/>
          <w:sz w:val="48"/>
          <w:szCs w:val="48"/>
          <w:lang w:eastAsia="zh-CN"/>
        </w:rPr>
      </w:pPr>
    </w:p>
    <w:p>
      <w:pPr>
        <w:pStyle w:val="2"/>
        <w:rPr>
          <w:rFonts w:hint="eastAsia" w:ascii="宋体" w:hAnsi="宋体" w:eastAsia="宋体" w:cs="宋体"/>
          <w:sz w:val="48"/>
          <w:szCs w:val="48"/>
          <w:lang w:eastAsia="zh-CN"/>
        </w:rPr>
      </w:pPr>
    </w:p>
    <w:p>
      <w:pPr>
        <w:pStyle w:val="2"/>
        <w:rPr>
          <w:rFonts w:hint="eastAsia" w:ascii="宋体" w:hAnsi="宋体" w:eastAsia="宋体" w:cs="宋体"/>
          <w:sz w:val="48"/>
          <w:szCs w:val="48"/>
          <w:lang w:eastAsia="zh-CN"/>
        </w:rPr>
      </w:pPr>
    </w:p>
    <w:p>
      <w:pPr>
        <w:pStyle w:val="2"/>
        <w:rPr>
          <w:rFonts w:hint="eastAsia" w:ascii="宋体" w:hAnsi="宋体" w:eastAsia="宋体" w:cs="宋体"/>
          <w:sz w:val="48"/>
          <w:szCs w:val="48"/>
          <w:lang w:eastAsia="zh-CN"/>
        </w:rPr>
      </w:pPr>
    </w:p>
    <w:p>
      <w:pPr>
        <w:pStyle w:val="2"/>
        <w:rPr>
          <w:rFonts w:hint="eastAsia" w:ascii="宋体" w:hAnsi="宋体" w:eastAsia="宋体" w:cs="宋体"/>
          <w:sz w:val="48"/>
          <w:szCs w:val="48"/>
          <w:lang w:eastAsia="zh-CN"/>
        </w:rPr>
      </w:pPr>
    </w:p>
    <w:p>
      <w:pPr>
        <w:pStyle w:val="2"/>
        <w:rPr>
          <w:rFonts w:hint="eastAsia" w:ascii="宋体" w:hAnsi="宋体" w:eastAsia="宋体" w:cs="宋体"/>
          <w:sz w:val="48"/>
          <w:szCs w:val="48"/>
          <w:lang w:eastAsia="zh-CN"/>
        </w:rPr>
      </w:pPr>
    </w:p>
    <w:p>
      <w:pPr>
        <w:pStyle w:val="2"/>
        <w:rPr>
          <w:rFonts w:hint="eastAsia" w:ascii="宋体" w:hAnsi="宋体" w:eastAsia="宋体" w:cs="宋体"/>
          <w:sz w:val="48"/>
          <w:szCs w:val="48"/>
          <w:lang w:eastAsia="zh-CN"/>
        </w:rPr>
      </w:pPr>
    </w:p>
    <w:p/>
    <w:p>
      <w:pPr>
        <w:shd w:val="clear" w:color="auto" w:fill="FFFFFF"/>
        <w:spacing w:line="360" w:lineRule="auto"/>
        <w:jc w:val="center"/>
        <w:outlineLvl w:val="0"/>
        <w:rPr>
          <w:rFonts w:ascii="宋体" w:hAnsi="宋体" w:cs="宋体"/>
          <w:b/>
          <w:sz w:val="32"/>
          <w:szCs w:val="32"/>
        </w:rPr>
      </w:pPr>
      <w:bookmarkStart w:id="15" w:name="_Toc23492"/>
      <w:bookmarkStart w:id="16" w:name="_Toc17681"/>
      <w:r>
        <w:rPr>
          <w:rFonts w:hint="eastAsia" w:ascii="宋体" w:hAnsi="宋体" w:cs="宋体"/>
          <w:b/>
          <w:sz w:val="32"/>
          <w:szCs w:val="32"/>
        </w:rPr>
        <w:t xml:space="preserve">第五章 </w:t>
      </w:r>
      <w:r>
        <w:rPr>
          <w:rFonts w:hint="eastAsia" w:ascii="宋体" w:hAnsi="宋体"/>
          <w:b/>
          <w:sz w:val="32"/>
          <w:szCs w:val="32"/>
        </w:rPr>
        <w:t>合同格式及主要条款</w:t>
      </w:r>
      <w:bookmarkEnd w:id="15"/>
      <w:bookmarkEnd w:id="16"/>
    </w:p>
    <w:p>
      <w:pPr>
        <w:spacing w:line="276" w:lineRule="auto"/>
        <w:ind w:firstLine="420" w:firstLineChars="200"/>
        <w:rPr>
          <w:rFonts w:ascii="宋体" w:hAnsi="宋体" w:cs="宋体"/>
          <w:szCs w:val="21"/>
        </w:rPr>
      </w:pPr>
      <w:bookmarkStart w:id="17" w:name="_Hlk101281595"/>
      <w:r>
        <w:rPr>
          <w:rFonts w:hint="eastAsia" w:ascii="宋体" w:hAnsi="宋体" w:cs="宋体"/>
          <w:szCs w:val="21"/>
        </w:rPr>
        <w:t>本表是对主要合同条款的具体描述，投标供应商应仔细阅读，成交后合同签订应以本合同条款资料表为准。</w:t>
      </w:r>
    </w:p>
    <w:tbl>
      <w:tblPr>
        <w:tblStyle w:val="40"/>
        <w:tblW w:w="90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340"/>
        <w:gridCol w:w="76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73" w:hRule="atLeast"/>
          <w:jc w:val="center"/>
        </w:trPr>
        <w:tc>
          <w:tcPr>
            <w:tcW w:w="1340" w:type="dxa"/>
            <w:tcBorders>
              <w:top w:val="double" w:color="auto" w:sz="4" w:space="0"/>
            </w:tcBorders>
            <w:vAlign w:val="center"/>
          </w:tcPr>
          <w:p>
            <w:pPr>
              <w:spacing w:line="276" w:lineRule="auto"/>
              <w:jc w:val="center"/>
              <w:rPr>
                <w:rFonts w:ascii="宋体" w:hAnsi="宋体" w:cs="宋体"/>
                <w:b/>
                <w:bCs/>
                <w:szCs w:val="21"/>
              </w:rPr>
            </w:pPr>
            <w:bookmarkStart w:id="18" w:name="_Hlk101281588"/>
            <w:r>
              <w:rPr>
                <w:rFonts w:hint="eastAsia" w:ascii="宋体" w:hAnsi="宋体" w:cs="宋体"/>
                <w:b/>
                <w:bCs/>
                <w:szCs w:val="21"/>
              </w:rPr>
              <w:t>条款号</w:t>
            </w:r>
          </w:p>
        </w:tc>
        <w:tc>
          <w:tcPr>
            <w:tcW w:w="7660" w:type="dxa"/>
            <w:tcBorders>
              <w:top w:val="double" w:color="auto" w:sz="4" w:space="0"/>
            </w:tcBorders>
            <w:vAlign w:val="center"/>
          </w:tcPr>
          <w:p>
            <w:pPr>
              <w:spacing w:line="276" w:lineRule="auto"/>
              <w:jc w:val="center"/>
              <w:rPr>
                <w:rFonts w:ascii="宋体" w:hAnsi="宋体" w:cs="宋体"/>
                <w:b/>
                <w:bCs/>
                <w:szCs w:val="21"/>
              </w:rPr>
            </w:pPr>
            <w:r>
              <w:rPr>
                <w:rFonts w:hint="eastAsia" w:ascii="宋体" w:hAnsi="宋体" w:cs="宋体"/>
                <w:b/>
                <w:bCs/>
                <w:szCs w:val="21"/>
              </w:rPr>
              <w:t>内</w:t>
            </w:r>
            <w:r>
              <w:rPr>
                <w:rFonts w:ascii="宋体" w:hAnsi="宋体" w:cs="宋体"/>
                <w:b/>
                <w:bCs/>
                <w:szCs w:val="21"/>
              </w:rPr>
              <w:t xml:space="preserve"> </w:t>
            </w:r>
            <w:r>
              <w:rPr>
                <w:rFonts w:hint="eastAsia" w:ascii="宋体" w:hAnsi="宋体" w:cs="宋体"/>
                <w:b/>
                <w:bCs/>
                <w:szCs w:val="21"/>
              </w:rPr>
              <w:t xml:space="preserve">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819" w:hRule="atLeast"/>
          <w:jc w:val="center"/>
        </w:trPr>
        <w:tc>
          <w:tcPr>
            <w:tcW w:w="1340" w:type="dxa"/>
            <w:vAlign w:val="center"/>
          </w:tcPr>
          <w:p>
            <w:pPr>
              <w:spacing w:line="276" w:lineRule="auto"/>
              <w:jc w:val="center"/>
              <w:rPr>
                <w:rFonts w:ascii="宋体" w:hAnsi="宋体" w:cs="宋体"/>
                <w:szCs w:val="21"/>
              </w:rPr>
            </w:pPr>
            <w:r>
              <w:rPr>
                <w:rFonts w:ascii="宋体" w:hAnsi="宋体" w:cs="宋体"/>
                <w:szCs w:val="21"/>
              </w:rPr>
              <w:t>1</w:t>
            </w:r>
          </w:p>
        </w:tc>
        <w:tc>
          <w:tcPr>
            <w:tcW w:w="7660" w:type="dxa"/>
            <w:vAlign w:val="center"/>
          </w:tcPr>
          <w:p>
            <w:pPr>
              <w:spacing w:line="276" w:lineRule="auto"/>
              <w:rPr>
                <w:rFonts w:asciiTheme="majorEastAsia" w:hAnsiTheme="majorEastAsia" w:eastAsiaTheme="majorEastAsia"/>
              </w:rPr>
            </w:pPr>
            <w:r>
              <w:rPr>
                <w:rFonts w:hint="eastAsia" w:asciiTheme="majorEastAsia" w:hAnsiTheme="majorEastAsia" w:eastAsiaTheme="majorEastAsia"/>
              </w:rPr>
              <w:t>甲方：是指在合同的买方项下签字的最终用户</w:t>
            </w:r>
          </w:p>
          <w:p>
            <w:pPr>
              <w:spacing w:line="276" w:lineRule="auto"/>
              <w:rPr>
                <w:rFonts w:asciiTheme="majorEastAsia" w:hAnsiTheme="majorEastAsia" w:eastAsiaTheme="majorEastAsia"/>
              </w:rPr>
            </w:pPr>
            <w:r>
              <w:rPr>
                <w:rFonts w:hint="eastAsia" w:asciiTheme="majorEastAsia" w:hAnsiTheme="majorEastAsia" w:eastAsiaTheme="majorEastAsia"/>
              </w:rPr>
              <w:t>乙方：是指在合同的卖方项下签字的中标通知书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928" w:hRule="atLeast"/>
          <w:jc w:val="center"/>
        </w:trPr>
        <w:tc>
          <w:tcPr>
            <w:tcW w:w="1340" w:type="dxa"/>
            <w:tcBorders>
              <w:bottom w:val="single" w:color="auto" w:sz="4" w:space="0"/>
            </w:tcBorders>
            <w:vAlign w:val="center"/>
          </w:tcPr>
          <w:p>
            <w:pPr>
              <w:spacing w:line="276" w:lineRule="auto"/>
              <w:jc w:val="center"/>
              <w:rPr>
                <w:rFonts w:ascii="宋体" w:hAnsi="宋体" w:cs="宋体"/>
                <w:szCs w:val="21"/>
              </w:rPr>
            </w:pPr>
            <w:r>
              <w:rPr>
                <w:rFonts w:ascii="宋体" w:hAnsi="宋体" w:cs="宋体"/>
                <w:szCs w:val="21"/>
              </w:rPr>
              <w:t>2</w:t>
            </w:r>
          </w:p>
        </w:tc>
        <w:tc>
          <w:tcPr>
            <w:tcW w:w="7660" w:type="dxa"/>
            <w:tcBorders>
              <w:bottom w:val="single" w:color="auto" w:sz="4" w:space="0"/>
            </w:tcBorders>
            <w:vAlign w:val="center"/>
          </w:tcPr>
          <w:p>
            <w:pPr>
              <w:spacing w:line="276" w:lineRule="auto"/>
              <w:rPr>
                <w:rFonts w:asciiTheme="majorEastAsia" w:hAnsiTheme="majorEastAsia" w:eastAsiaTheme="majorEastAsia"/>
              </w:rPr>
            </w:pPr>
            <w:r>
              <w:rPr>
                <w:rFonts w:hint="eastAsia" w:asciiTheme="majorEastAsia" w:hAnsiTheme="majorEastAsia" w:eastAsiaTheme="majorEastAsia"/>
              </w:rPr>
              <w:t>交付期</w:t>
            </w:r>
            <w:r>
              <w:rPr>
                <w:rFonts w:asciiTheme="majorEastAsia" w:hAnsiTheme="majorEastAsia" w:eastAsiaTheme="majorEastAsia"/>
              </w:rPr>
              <w:t>：合同签订后</w:t>
            </w:r>
            <w:r>
              <w:rPr>
                <w:rFonts w:asciiTheme="majorEastAsia" w:hAnsiTheme="majorEastAsia" w:eastAsiaTheme="majorEastAsia"/>
                <w:u w:val="single"/>
              </w:rPr>
              <w:t>30</w:t>
            </w:r>
            <w:r>
              <w:rPr>
                <w:rFonts w:hint="eastAsia" w:asciiTheme="majorEastAsia" w:hAnsiTheme="majorEastAsia" w:eastAsiaTheme="majorEastAsia"/>
                <w:u w:val="single"/>
                <w:lang w:eastAsia="zh-CN"/>
              </w:rPr>
              <w:t>（</w:t>
            </w:r>
            <w:r>
              <w:rPr>
                <w:rFonts w:hint="eastAsia" w:asciiTheme="majorEastAsia" w:hAnsiTheme="majorEastAsia" w:eastAsiaTheme="majorEastAsia"/>
                <w:u w:val="single"/>
                <w:lang w:val="en-US" w:eastAsia="zh-CN"/>
              </w:rPr>
              <w:t>实际以中标人承诺的交付期为准</w:t>
            </w:r>
            <w:r>
              <w:rPr>
                <w:rFonts w:hint="eastAsia" w:asciiTheme="majorEastAsia" w:hAnsiTheme="majorEastAsia" w:eastAsiaTheme="majorEastAsia"/>
                <w:u w:val="single"/>
                <w:lang w:eastAsia="zh-CN"/>
              </w:rPr>
              <w:t>）</w:t>
            </w:r>
            <w:r>
              <w:rPr>
                <w:rFonts w:asciiTheme="majorEastAsia" w:hAnsiTheme="majorEastAsia" w:eastAsiaTheme="majorEastAsia"/>
              </w:rPr>
              <w:t>日历天内交货、安装调试完成</w:t>
            </w:r>
            <w:r>
              <w:rPr>
                <w:rFonts w:hint="eastAsia" w:asciiTheme="majorEastAsia" w:hAnsiTheme="majorEastAsia" w:eastAsiaTheme="majorEastAsia"/>
              </w:rPr>
              <w:t>。</w:t>
            </w:r>
          </w:p>
          <w:p>
            <w:pPr>
              <w:spacing w:line="276" w:lineRule="auto"/>
              <w:rPr>
                <w:rFonts w:asciiTheme="majorEastAsia" w:hAnsiTheme="majorEastAsia" w:eastAsiaTheme="majorEastAsia"/>
              </w:rPr>
            </w:pPr>
            <w:r>
              <w:rPr>
                <w:rFonts w:hint="eastAsia" w:asciiTheme="majorEastAsia" w:hAnsiTheme="majorEastAsia" w:eastAsiaTheme="majorEastAsia"/>
              </w:rPr>
              <w:t>实施地点：</w:t>
            </w:r>
            <w:r>
              <w:rPr>
                <w:rFonts w:hint="eastAsia" w:asciiTheme="majorEastAsia" w:hAnsiTheme="majorEastAsia" w:eastAsiaTheme="majorEastAsia"/>
                <w:lang w:eastAsia="zh-CN"/>
              </w:rPr>
              <w:t>采购人指定地点</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687" w:hRule="atLeast"/>
          <w:jc w:val="center"/>
        </w:trPr>
        <w:tc>
          <w:tcPr>
            <w:tcW w:w="1340" w:type="dxa"/>
            <w:vAlign w:val="center"/>
          </w:tcPr>
          <w:p>
            <w:pPr>
              <w:spacing w:line="276" w:lineRule="auto"/>
              <w:jc w:val="center"/>
              <w:rPr>
                <w:rFonts w:ascii="宋体" w:hAnsi="宋体" w:cs="宋体"/>
                <w:szCs w:val="21"/>
              </w:rPr>
            </w:pPr>
            <w:r>
              <w:rPr>
                <w:rFonts w:hint="eastAsia" w:ascii="宋体" w:hAnsi="宋体" w:cs="宋体"/>
                <w:szCs w:val="21"/>
              </w:rPr>
              <w:t>3</w:t>
            </w:r>
          </w:p>
        </w:tc>
        <w:tc>
          <w:tcPr>
            <w:tcW w:w="7660"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质保期：</w:t>
            </w:r>
            <w:r>
              <w:rPr>
                <w:rFonts w:asciiTheme="minorEastAsia" w:hAnsiTheme="minorEastAsia" w:eastAsiaTheme="minorEastAsia"/>
              </w:rPr>
              <w:t>货物（</w:t>
            </w:r>
            <w:r>
              <w:rPr>
                <w:rFonts w:hint="eastAsia" w:asciiTheme="minorEastAsia" w:hAnsiTheme="minorEastAsia" w:eastAsiaTheme="minorEastAsia"/>
              </w:rPr>
              <w:t>产品</w:t>
            </w:r>
            <w:r>
              <w:rPr>
                <w:rFonts w:asciiTheme="minorEastAsia" w:hAnsiTheme="minorEastAsia" w:eastAsiaTheme="minorEastAsia"/>
              </w:rPr>
              <w:t>）的</w:t>
            </w:r>
            <w:r>
              <w:rPr>
                <w:rFonts w:hint="eastAsia" w:asciiTheme="minorEastAsia" w:hAnsiTheme="minorEastAsia" w:eastAsiaTheme="minorEastAsia"/>
              </w:rPr>
              <w:t>质保期</w:t>
            </w:r>
            <w:r>
              <w:rPr>
                <w:rFonts w:hint="eastAsia" w:asciiTheme="minorEastAsia" w:hAnsiTheme="minorEastAsia" w:eastAsiaTheme="minorEastAsia"/>
                <w:u w:val="single"/>
                <w:lang w:val="en-US" w:eastAsia="zh-CN"/>
              </w:rPr>
              <w:t xml:space="preserve"> 1 </w:t>
            </w:r>
            <w:r>
              <w:rPr>
                <w:rFonts w:hint="eastAsia" w:asciiTheme="minorEastAsia" w:hAnsiTheme="minorEastAsia" w:eastAsiaTheme="minorEastAsia"/>
              </w:rPr>
              <w:t>年，且不得低于产品生产商对产品保修期标准。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92" w:hRule="atLeast"/>
          <w:jc w:val="center"/>
        </w:trPr>
        <w:tc>
          <w:tcPr>
            <w:tcW w:w="1340" w:type="dxa"/>
            <w:vAlign w:val="center"/>
          </w:tcPr>
          <w:p>
            <w:pPr>
              <w:spacing w:line="276" w:lineRule="auto"/>
              <w:jc w:val="center"/>
              <w:rPr>
                <w:rFonts w:ascii="宋体" w:hAnsi="宋体" w:cs="宋体"/>
                <w:szCs w:val="21"/>
              </w:rPr>
            </w:pPr>
            <w:r>
              <w:rPr>
                <w:rFonts w:hint="eastAsia" w:ascii="宋体" w:hAnsi="宋体" w:cs="宋体"/>
                <w:szCs w:val="21"/>
              </w:rPr>
              <w:t>4</w:t>
            </w:r>
          </w:p>
        </w:tc>
        <w:tc>
          <w:tcPr>
            <w:tcW w:w="7660" w:type="dxa"/>
            <w:vAlign w:val="center"/>
          </w:tcPr>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rPr>
              <w:t>付款方式</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eastAsia="zh-CN"/>
              </w:rPr>
              <w:t>以甲乙双方最终签订合同为准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672" w:hRule="atLeast"/>
          <w:jc w:val="center"/>
        </w:trPr>
        <w:tc>
          <w:tcPr>
            <w:tcW w:w="1340" w:type="dxa"/>
            <w:vAlign w:val="center"/>
          </w:tcPr>
          <w:p>
            <w:pPr>
              <w:spacing w:line="276" w:lineRule="auto"/>
              <w:jc w:val="center"/>
              <w:rPr>
                <w:rFonts w:ascii="宋体" w:hAnsi="宋体" w:cs="宋体"/>
                <w:szCs w:val="21"/>
              </w:rPr>
            </w:pPr>
            <w:r>
              <w:rPr>
                <w:rFonts w:hint="eastAsia" w:ascii="宋体" w:hAnsi="宋体" w:cs="宋体"/>
                <w:szCs w:val="21"/>
              </w:rPr>
              <w:t>5</w:t>
            </w:r>
          </w:p>
        </w:tc>
        <w:tc>
          <w:tcPr>
            <w:tcW w:w="7660"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质量保证：</w:t>
            </w:r>
          </w:p>
          <w:p>
            <w:pPr>
              <w:spacing w:line="276" w:lineRule="auto"/>
              <w:ind w:firstLine="210" w:firstLineChars="100"/>
              <w:rPr>
                <w:rFonts w:asciiTheme="minorEastAsia" w:hAnsiTheme="minorEastAsia" w:eastAsiaTheme="minorEastAsia"/>
              </w:rPr>
            </w:pPr>
            <w:r>
              <w:rPr>
                <w:rFonts w:hint="eastAsia" w:asciiTheme="minorEastAsia" w:hAnsiTheme="minorEastAsia" w:eastAsiaTheme="minorEastAsia"/>
              </w:rPr>
              <w:t>1、中标供货商提供法定代表人签字后盖公章的售后服务承诺函</w:t>
            </w:r>
            <w:r>
              <w:rPr>
                <w:rFonts w:asciiTheme="minorEastAsia" w:hAnsiTheme="minorEastAsia" w:eastAsiaTheme="minorEastAsia"/>
              </w:rPr>
              <w:t>。中标供应商承诺的质保期超过招标文件要求的，按其承诺时间质保。质保期起始时间为终验合格之日。</w:t>
            </w:r>
          </w:p>
          <w:p>
            <w:pPr>
              <w:spacing w:line="276" w:lineRule="auto"/>
              <w:ind w:firstLine="210" w:firstLineChars="1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所有产品质量必须符合国家有关规范和相关政策。所有设备及辅材必须是未使用过的新产品，质量优良、渠道正当，配置合理。</w:t>
            </w:r>
            <w:r>
              <w:rPr>
                <w:rFonts w:hint="eastAsia" w:asciiTheme="minorEastAsia" w:hAnsiTheme="minorEastAsia" w:eastAsiaTheme="minorEastAsia"/>
              </w:rPr>
              <w:t xml:space="preserve">                                  </w:t>
            </w:r>
          </w:p>
          <w:p>
            <w:pPr>
              <w:spacing w:line="276" w:lineRule="auto"/>
              <w:ind w:firstLine="210" w:firstLineChars="1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在质保期内进行或指导安装单位进行保养维修工作，并定期派专人检查、调整、润滑、清洁相关设施，免费提供零配件，使设备正常运行。</w:t>
            </w:r>
          </w:p>
          <w:p>
            <w:pPr>
              <w:spacing w:line="276" w:lineRule="auto"/>
              <w:ind w:firstLine="210" w:firstLineChars="1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质保期出现的质量问题由中标供应商负责解决并承担所有费用。质保期后如需更换零部件，中标供应商应以优惠价提供。</w:t>
            </w:r>
          </w:p>
          <w:p>
            <w:pPr>
              <w:spacing w:line="276" w:lineRule="auto"/>
              <w:ind w:firstLine="210" w:firstLineChars="1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质保期内中标供应商如无法达到上述要求，采购人有权委托其它维修商完成此项工作，由此产生的一切费用均由中标供应商负责。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865" w:hRule="atLeast"/>
          <w:jc w:val="center"/>
        </w:trPr>
        <w:tc>
          <w:tcPr>
            <w:tcW w:w="1340" w:type="dxa"/>
            <w:vAlign w:val="center"/>
          </w:tcPr>
          <w:p>
            <w:pPr>
              <w:spacing w:line="276" w:lineRule="auto"/>
              <w:jc w:val="center"/>
              <w:rPr>
                <w:rFonts w:ascii="宋体" w:hAnsi="宋体" w:cs="宋体"/>
                <w:szCs w:val="21"/>
              </w:rPr>
            </w:pPr>
            <w:r>
              <w:rPr>
                <w:rFonts w:hint="eastAsia" w:ascii="宋体" w:hAnsi="宋体" w:cs="宋体"/>
                <w:szCs w:val="21"/>
              </w:rPr>
              <w:t>6</w:t>
            </w:r>
          </w:p>
        </w:tc>
        <w:tc>
          <w:tcPr>
            <w:tcW w:w="7660"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违约责任：按《民法典》中的相关条款执行，采购人有权终止合同并对其违约行为进行追究。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865" w:hRule="atLeast"/>
          <w:jc w:val="center"/>
        </w:trPr>
        <w:tc>
          <w:tcPr>
            <w:tcW w:w="1340" w:type="dxa"/>
            <w:tcBorders>
              <w:bottom w:val="double" w:color="auto" w:sz="4" w:space="0"/>
            </w:tcBorders>
            <w:vAlign w:val="center"/>
          </w:tcPr>
          <w:p>
            <w:pPr>
              <w:spacing w:line="276" w:lineRule="auto"/>
              <w:jc w:val="center"/>
              <w:rPr>
                <w:rFonts w:ascii="宋体" w:hAnsi="宋体" w:cs="宋体"/>
                <w:szCs w:val="21"/>
              </w:rPr>
            </w:pPr>
            <w:r>
              <w:rPr>
                <w:rFonts w:hint="eastAsia" w:ascii="宋体" w:hAnsi="宋体" w:cs="宋体"/>
                <w:szCs w:val="21"/>
              </w:rPr>
              <w:t>7</w:t>
            </w:r>
          </w:p>
        </w:tc>
        <w:tc>
          <w:tcPr>
            <w:tcW w:w="7660" w:type="dxa"/>
            <w:tcBorders>
              <w:bottom w:val="double" w:color="auto" w:sz="4" w:space="0"/>
            </w:tcBorders>
            <w:vAlign w:val="center"/>
          </w:tcPr>
          <w:p>
            <w:pPr>
              <w:spacing w:line="276" w:lineRule="auto"/>
              <w:rPr>
                <w:rFonts w:ascii="宋体" w:hAnsi="宋体" w:cs="宋体"/>
                <w:szCs w:val="21"/>
              </w:rPr>
            </w:pPr>
            <w:r>
              <w:rPr>
                <w:rFonts w:hint="eastAsia" w:ascii="宋体" w:hAnsi="宋体" w:cs="宋体"/>
                <w:szCs w:val="21"/>
              </w:rPr>
              <w:t>本合同条款作为投标供应商投标依据，未尽事宜由采购人与中标供应商在合同商定阶段确定。并不限制买方以任何条款签订合同的权利。</w:t>
            </w:r>
          </w:p>
        </w:tc>
      </w:tr>
      <w:bookmarkEnd w:id="17"/>
      <w:bookmarkEnd w:id="18"/>
    </w:tbl>
    <w:p>
      <w:pPr>
        <w:spacing w:line="360" w:lineRule="auto"/>
        <w:ind w:firstLine="420" w:firstLineChars="200"/>
        <w:rPr>
          <w:rFonts w:ascii="宋体" w:hAnsi="宋体" w:cs="宋体"/>
          <w:szCs w:val="21"/>
        </w:rPr>
      </w:pPr>
    </w:p>
    <w:p>
      <w:pPr>
        <w:pStyle w:val="17"/>
      </w:pPr>
    </w:p>
    <w:p/>
    <w:p>
      <w:pPr>
        <w:pStyle w:val="17"/>
      </w:pPr>
    </w:p>
    <w:p/>
    <w:p>
      <w:pPr>
        <w:pStyle w:val="17"/>
      </w:pPr>
    </w:p>
    <w:p/>
    <w:p>
      <w:pPr>
        <w:pStyle w:val="17"/>
      </w:pPr>
    </w:p>
    <w:p>
      <w:pPr>
        <w:tabs>
          <w:tab w:val="left" w:pos="0"/>
        </w:tabs>
        <w:suppressAutoHyphens/>
        <w:snapToGrid w:val="0"/>
        <w:spacing w:line="480" w:lineRule="auto"/>
        <w:jc w:val="center"/>
        <w:rPr>
          <w:rFonts w:hint="eastAsia" w:ascii="宋体" w:hAnsi="宋体"/>
          <w:kern w:val="1"/>
          <w:sz w:val="18"/>
          <w:szCs w:val="18"/>
        </w:rPr>
        <w:sectPr>
          <w:pgSz w:w="11906" w:h="16838"/>
          <w:pgMar w:top="1440" w:right="1800" w:bottom="1440" w:left="1800" w:header="851" w:footer="992" w:gutter="0"/>
          <w:cols w:space="425" w:num="1"/>
          <w:docGrid w:linePitch="312" w:charSpace="0"/>
        </w:sectPr>
      </w:pPr>
    </w:p>
    <w:p>
      <w:pPr>
        <w:tabs>
          <w:tab w:val="left" w:pos="0"/>
        </w:tabs>
        <w:suppressAutoHyphens/>
        <w:snapToGrid w:val="0"/>
        <w:spacing w:line="480" w:lineRule="auto"/>
        <w:jc w:val="center"/>
        <w:rPr>
          <w:rFonts w:ascii="宋体" w:hAnsi="宋体"/>
          <w:kern w:val="1"/>
          <w:sz w:val="18"/>
          <w:szCs w:val="18"/>
        </w:rPr>
      </w:pPr>
      <w:r>
        <w:rPr>
          <w:rFonts w:hint="eastAsia" w:ascii="宋体" w:hAnsi="宋体"/>
          <w:kern w:val="1"/>
          <w:sz w:val="18"/>
          <w:szCs w:val="18"/>
        </w:rPr>
        <w:t>（本格式条款供甲乙双方签订合同参考，可根据项目的实际情况增减条款和内容）</w:t>
      </w:r>
    </w:p>
    <w:p>
      <w:pPr>
        <w:pStyle w:val="59"/>
        <w:spacing w:line="460" w:lineRule="exact"/>
        <w:ind w:firstLine="0"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甲方（</w:t>
      </w:r>
      <w:r>
        <w:rPr>
          <w:rFonts w:hint="eastAsia" w:cs="Times New Roman" w:asciiTheme="minorEastAsia" w:hAnsiTheme="minorEastAsia" w:eastAsiaTheme="minorEastAsia"/>
          <w:szCs w:val="21"/>
        </w:rPr>
        <w:t>采购人</w:t>
      </w:r>
      <w:r>
        <w:rPr>
          <w:rFonts w:cs="Times New Roman" w:asciiTheme="minorEastAsia" w:hAnsiTheme="minorEastAsia" w:eastAsiaTheme="minorEastAsia"/>
          <w:szCs w:val="21"/>
        </w:rPr>
        <w:t>）：</w:t>
      </w:r>
      <w:r>
        <w:rPr>
          <w:rFonts w:cs="Times New Roman" w:asciiTheme="minorEastAsia" w:hAnsiTheme="minorEastAsia" w:eastAsiaTheme="minorEastAsia"/>
          <w:szCs w:val="21"/>
          <w:u w:val="single"/>
        </w:rPr>
        <w:t xml:space="preserve">        </w:t>
      </w:r>
      <w:r>
        <w:rPr>
          <w:rFonts w:hint="eastAsia"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u w:val="single"/>
        </w:rPr>
        <w:t xml:space="preserve">        </w:t>
      </w:r>
    </w:p>
    <w:p>
      <w:pPr>
        <w:pStyle w:val="59"/>
        <w:spacing w:line="460" w:lineRule="exact"/>
        <w:ind w:firstLine="0"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乙方（</w:t>
      </w:r>
      <w:r>
        <w:rPr>
          <w:rFonts w:hint="eastAsia" w:cs="Times New Roman" w:asciiTheme="minorEastAsia" w:hAnsiTheme="minorEastAsia" w:eastAsiaTheme="minorEastAsia"/>
          <w:szCs w:val="21"/>
        </w:rPr>
        <w:t>中标供应商</w:t>
      </w:r>
      <w:r>
        <w:rPr>
          <w:rFonts w:cs="Times New Roman" w:asciiTheme="minorEastAsia" w:hAnsiTheme="minorEastAsia" w:eastAsiaTheme="minorEastAsia"/>
          <w:szCs w:val="21"/>
        </w:rPr>
        <w:t>）：</w:t>
      </w:r>
      <w:r>
        <w:rPr>
          <w:rFonts w:cs="Times New Roman" w:asciiTheme="minorEastAsia" w:hAnsiTheme="minorEastAsia" w:eastAsiaTheme="minorEastAsia"/>
          <w:szCs w:val="21"/>
          <w:u w:val="single"/>
        </w:rPr>
        <w:t xml:space="preserve">                            </w:t>
      </w:r>
    </w:p>
    <w:p>
      <w:pPr>
        <w:spacing w:line="460" w:lineRule="exact"/>
        <w:ind w:firstLine="420" w:firstLineChars="200"/>
        <w:rPr>
          <w:rFonts w:asciiTheme="majorEastAsia" w:hAnsiTheme="majorEastAsia" w:eastAsiaTheme="majorEastAsia"/>
        </w:rPr>
      </w:pPr>
      <w:r>
        <w:rPr>
          <w:rFonts w:hint="eastAsia"/>
          <w:szCs w:val="21"/>
          <w:lang w:val="en-US" w:eastAsia="zh-CN"/>
        </w:rPr>
        <w:t>本项目</w:t>
      </w:r>
      <w:r>
        <w:rPr>
          <w:rFonts w:hint="eastAsia"/>
          <w:szCs w:val="21"/>
        </w:rPr>
        <w:t>按照政府采购程序组织公开招标，确定乙方为</w:t>
      </w:r>
      <w:r>
        <w:rPr>
          <w:rFonts w:hint="eastAsia" w:asciiTheme="majorEastAsia" w:hAnsiTheme="majorEastAsia" w:eastAsiaTheme="majorEastAsia"/>
          <w:u w:val="single"/>
        </w:rPr>
        <w:t xml:space="preserve"> </w:t>
      </w:r>
      <w:r>
        <w:rPr>
          <w:rFonts w:hint="eastAsia" w:asciiTheme="majorEastAsia" w:hAnsiTheme="majorEastAsia" w:eastAsiaTheme="majorEastAsia"/>
          <w:u w:val="single"/>
          <w:lang w:eastAsia="zh-CN"/>
        </w:rPr>
        <w:t>白水县医疗服务与保障能力提升（疾控机构能力建设）项目</w:t>
      </w:r>
      <w:r>
        <w:rPr>
          <w:rFonts w:hint="eastAsia"/>
          <w:szCs w:val="21"/>
          <w:u w:val="single"/>
        </w:rPr>
        <w:t xml:space="preserve"> </w:t>
      </w:r>
      <w:r>
        <w:rPr>
          <w:szCs w:val="21"/>
        </w:rPr>
        <w:t>（项目编号：</w:t>
      </w:r>
      <w:r>
        <w:rPr>
          <w:rFonts w:hint="eastAsia"/>
          <w:szCs w:val="21"/>
          <w:u w:val="single"/>
        </w:rPr>
        <w:t xml:space="preserve"> </w:t>
      </w:r>
      <w:r>
        <w:rPr>
          <w:rFonts w:hint="eastAsia" w:asciiTheme="majorEastAsia" w:hAnsiTheme="majorEastAsia" w:eastAsiaTheme="majorEastAsia"/>
          <w:szCs w:val="21"/>
          <w:u w:val="single"/>
          <w:lang w:eastAsia="zh-CN"/>
        </w:rPr>
        <w:t>ZZTT-CG-2022-25</w:t>
      </w:r>
      <w:r>
        <w:rPr>
          <w:rFonts w:hint="eastAsia" w:asciiTheme="majorEastAsia" w:hAnsiTheme="majorEastAsia" w:eastAsiaTheme="majorEastAsia"/>
          <w:szCs w:val="21"/>
          <w:u w:val="single"/>
        </w:rPr>
        <w:t xml:space="preserve"> </w:t>
      </w:r>
      <w:r>
        <w:rPr>
          <w:szCs w:val="21"/>
        </w:rPr>
        <w:t>）</w:t>
      </w:r>
      <w:r>
        <w:rPr>
          <w:rFonts w:hint="eastAsia"/>
          <w:szCs w:val="21"/>
        </w:rPr>
        <w:t>中标供应商。</w:t>
      </w:r>
      <w:r>
        <w:rPr>
          <w:szCs w:val="21"/>
        </w:rPr>
        <w:t>根据《中华人民共和国政府采购法》及实施条例、《中华人民共和国</w:t>
      </w:r>
      <w:r>
        <w:rPr>
          <w:rFonts w:hint="eastAsia"/>
          <w:szCs w:val="21"/>
        </w:rPr>
        <w:t>民法典</w:t>
      </w:r>
      <w:r>
        <w:rPr>
          <w:szCs w:val="21"/>
        </w:rPr>
        <w:t>》及其他有关法律、法规，以及项目的</w:t>
      </w:r>
      <w:r>
        <w:rPr>
          <w:rFonts w:hint="eastAsia"/>
          <w:szCs w:val="21"/>
        </w:rPr>
        <w:t>招标文件</w:t>
      </w:r>
      <w:r>
        <w:rPr>
          <w:szCs w:val="21"/>
        </w:rPr>
        <w:t>、</w:t>
      </w:r>
      <w:r>
        <w:rPr>
          <w:rFonts w:hint="eastAsia"/>
          <w:szCs w:val="21"/>
        </w:rPr>
        <w:t>投标</w:t>
      </w:r>
      <w:r>
        <w:rPr>
          <w:szCs w:val="21"/>
        </w:rPr>
        <w:t>文件，</w:t>
      </w:r>
      <w:r>
        <w:rPr>
          <w:rFonts w:hint="eastAsia"/>
          <w:szCs w:val="21"/>
        </w:rPr>
        <w:t>经甲、乙双方协商，鉴证方确认，达成如下合同条款。</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第一条 合同标的及数量</w:t>
      </w:r>
    </w:p>
    <w:p>
      <w:pPr>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乙方向甲方提供下列货物（产品）：</w:t>
      </w:r>
    </w:p>
    <w:p>
      <w:pPr>
        <w:spacing w:line="460" w:lineRule="exact"/>
        <w:contextualSpacing/>
        <w:jc w:val="center"/>
        <w:rPr>
          <w:rFonts w:asciiTheme="minorEastAsia" w:hAnsiTheme="minorEastAsia" w:eastAsiaTheme="minorEastAsia"/>
          <w:b/>
          <w:szCs w:val="21"/>
        </w:rPr>
      </w:pPr>
      <w:r>
        <w:rPr>
          <w:rFonts w:asciiTheme="minorEastAsia" w:hAnsiTheme="minorEastAsia" w:eastAsiaTheme="minorEastAsia"/>
          <w:b/>
          <w:szCs w:val="21"/>
        </w:rPr>
        <w:t>供货一览表</w:t>
      </w:r>
    </w:p>
    <w:tbl>
      <w:tblPr>
        <w:tblStyle w:val="40"/>
        <w:tblW w:w="94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343"/>
        <w:gridCol w:w="1343"/>
        <w:gridCol w:w="1343"/>
        <w:gridCol w:w="1343"/>
        <w:gridCol w:w="1343"/>
        <w:gridCol w:w="13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43" w:type="dxa"/>
            <w:vAlign w:val="center"/>
          </w:tcPr>
          <w:p>
            <w:pPr>
              <w:contextualSpacing/>
              <w:jc w:val="center"/>
              <w:rPr>
                <w:rFonts w:asciiTheme="minorEastAsia" w:hAnsiTheme="minorEastAsia" w:eastAsiaTheme="minorEastAsia"/>
                <w:b/>
                <w:szCs w:val="21"/>
              </w:rPr>
            </w:pPr>
            <w:r>
              <w:rPr>
                <w:rFonts w:asciiTheme="minorEastAsia" w:hAnsiTheme="minorEastAsia" w:eastAsiaTheme="minorEastAsia"/>
                <w:szCs w:val="21"/>
              </w:rPr>
              <w:t>产品名称</w:t>
            </w:r>
          </w:p>
        </w:tc>
        <w:tc>
          <w:tcPr>
            <w:tcW w:w="1343" w:type="dxa"/>
            <w:vAlign w:val="center"/>
          </w:tcPr>
          <w:p>
            <w:pPr>
              <w:contextualSpacing/>
              <w:jc w:val="center"/>
              <w:rPr>
                <w:rFonts w:asciiTheme="minorEastAsia" w:hAnsiTheme="minorEastAsia" w:eastAsiaTheme="minorEastAsia"/>
                <w:b/>
                <w:szCs w:val="21"/>
              </w:rPr>
            </w:pPr>
            <w:r>
              <w:rPr>
                <w:rFonts w:asciiTheme="minorEastAsia" w:hAnsiTheme="minorEastAsia" w:eastAsiaTheme="minorEastAsia"/>
                <w:szCs w:val="21"/>
              </w:rPr>
              <w:t>型号规格</w:t>
            </w:r>
          </w:p>
        </w:tc>
        <w:tc>
          <w:tcPr>
            <w:tcW w:w="1343" w:type="dxa"/>
            <w:vAlign w:val="center"/>
          </w:tcPr>
          <w:p>
            <w:pPr>
              <w:contextualSpacing/>
              <w:jc w:val="center"/>
              <w:rPr>
                <w:rFonts w:asciiTheme="minorEastAsia" w:hAnsiTheme="minorEastAsia" w:eastAsiaTheme="minorEastAsia"/>
                <w:b/>
                <w:szCs w:val="21"/>
              </w:rPr>
            </w:pPr>
            <w:r>
              <w:rPr>
                <w:rFonts w:asciiTheme="minorEastAsia" w:hAnsiTheme="minorEastAsia" w:eastAsiaTheme="minorEastAsia"/>
                <w:szCs w:val="21"/>
              </w:rPr>
              <w:t>单位</w:t>
            </w:r>
          </w:p>
        </w:tc>
        <w:tc>
          <w:tcPr>
            <w:tcW w:w="1343" w:type="dxa"/>
            <w:vAlign w:val="center"/>
          </w:tcPr>
          <w:p>
            <w:pPr>
              <w:contextualSpacing/>
              <w:jc w:val="center"/>
              <w:rPr>
                <w:rFonts w:asciiTheme="minorEastAsia" w:hAnsiTheme="minorEastAsia" w:eastAsiaTheme="minorEastAsia"/>
                <w:b/>
                <w:szCs w:val="21"/>
              </w:rPr>
            </w:pPr>
            <w:r>
              <w:rPr>
                <w:rFonts w:asciiTheme="minorEastAsia" w:hAnsiTheme="minorEastAsia" w:eastAsiaTheme="minorEastAsia"/>
                <w:szCs w:val="21"/>
              </w:rPr>
              <w:t>数量</w:t>
            </w:r>
          </w:p>
        </w:tc>
        <w:tc>
          <w:tcPr>
            <w:tcW w:w="1343" w:type="dxa"/>
            <w:vAlign w:val="center"/>
          </w:tcPr>
          <w:p>
            <w:pPr>
              <w:contextualSpacing/>
              <w:jc w:val="center"/>
              <w:rPr>
                <w:rFonts w:asciiTheme="minorEastAsia" w:hAnsiTheme="minorEastAsia" w:eastAsiaTheme="minorEastAsia"/>
                <w:b/>
                <w:szCs w:val="21"/>
              </w:rPr>
            </w:pPr>
            <w:r>
              <w:rPr>
                <w:rFonts w:asciiTheme="minorEastAsia" w:hAnsiTheme="minorEastAsia" w:eastAsiaTheme="minorEastAsia"/>
                <w:szCs w:val="21"/>
              </w:rPr>
              <w:t>单价（元）</w:t>
            </w:r>
          </w:p>
        </w:tc>
        <w:tc>
          <w:tcPr>
            <w:tcW w:w="1343" w:type="dxa"/>
            <w:vAlign w:val="center"/>
          </w:tcPr>
          <w:p>
            <w:pPr>
              <w:contextualSpacing/>
              <w:jc w:val="center"/>
              <w:rPr>
                <w:rFonts w:asciiTheme="minorEastAsia" w:hAnsiTheme="minorEastAsia" w:eastAsiaTheme="minorEastAsia"/>
                <w:b/>
                <w:szCs w:val="21"/>
              </w:rPr>
            </w:pPr>
            <w:r>
              <w:rPr>
                <w:rFonts w:asciiTheme="minorEastAsia" w:hAnsiTheme="minorEastAsia" w:eastAsiaTheme="minorEastAsia"/>
                <w:szCs w:val="21"/>
              </w:rPr>
              <w:t>金额（元）</w:t>
            </w:r>
          </w:p>
        </w:tc>
        <w:tc>
          <w:tcPr>
            <w:tcW w:w="1382" w:type="dxa"/>
            <w:vAlign w:val="center"/>
          </w:tcPr>
          <w:p>
            <w:pPr>
              <w:contextualSpacing/>
              <w:jc w:val="center"/>
              <w:rPr>
                <w:rFonts w:asciiTheme="minorEastAsia" w:hAnsiTheme="minorEastAsia" w:eastAsiaTheme="minorEastAsia"/>
                <w:b/>
                <w:szCs w:val="21"/>
              </w:rPr>
            </w:pPr>
            <w:r>
              <w:rPr>
                <w:rFonts w:asciiTheme="minorEastAsia" w:hAnsiTheme="minorEastAsia" w:eastAsiaTheme="minorEastAsia"/>
                <w:szCs w:val="21"/>
              </w:rPr>
              <w:t>随机配件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82" w:type="dxa"/>
          </w:tcPr>
          <w:p>
            <w:pPr>
              <w:spacing w:line="460" w:lineRule="exact"/>
              <w:contextualSpacing/>
              <w:jc w:val="center"/>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82" w:type="dxa"/>
          </w:tcPr>
          <w:p>
            <w:pPr>
              <w:spacing w:line="460" w:lineRule="exact"/>
              <w:contextualSpacing/>
              <w:jc w:val="center"/>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82" w:type="dxa"/>
          </w:tcPr>
          <w:p>
            <w:pPr>
              <w:spacing w:line="460" w:lineRule="exact"/>
              <w:contextualSpacing/>
              <w:jc w:val="center"/>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43" w:type="dxa"/>
          </w:tcPr>
          <w:p>
            <w:pPr>
              <w:spacing w:line="460" w:lineRule="exact"/>
              <w:contextualSpacing/>
              <w:jc w:val="center"/>
              <w:rPr>
                <w:rFonts w:asciiTheme="minorEastAsia" w:hAnsiTheme="minorEastAsia" w:eastAsiaTheme="minorEastAsia"/>
                <w:b/>
                <w:szCs w:val="21"/>
              </w:rPr>
            </w:pPr>
          </w:p>
        </w:tc>
        <w:tc>
          <w:tcPr>
            <w:tcW w:w="1382" w:type="dxa"/>
          </w:tcPr>
          <w:p>
            <w:pPr>
              <w:spacing w:line="460" w:lineRule="exact"/>
              <w:contextualSpacing/>
              <w:jc w:val="center"/>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43" w:type="dxa"/>
            <w:vAlign w:val="center"/>
          </w:tcPr>
          <w:p>
            <w:pPr>
              <w:contextualSpacing/>
              <w:jc w:val="center"/>
              <w:rPr>
                <w:rFonts w:asciiTheme="minorEastAsia" w:hAnsiTheme="minorEastAsia" w:eastAsiaTheme="minorEastAsia"/>
                <w:b/>
                <w:szCs w:val="21"/>
              </w:rPr>
            </w:pPr>
            <w:r>
              <w:rPr>
                <w:rFonts w:hint="eastAsia" w:asciiTheme="minorEastAsia" w:hAnsiTheme="minorEastAsia" w:eastAsiaTheme="minorEastAsia"/>
                <w:b/>
                <w:szCs w:val="21"/>
              </w:rPr>
              <w:t>合计（大写）</w:t>
            </w:r>
          </w:p>
        </w:tc>
        <w:tc>
          <w:tcPr>
            <w:tcW w:w="4029" w:type="dxa"/>
            <w:gridSpan w:val="3"/>
            <w:vAlign w:val="center"/>
          </w:tcPr>
          <w:p>
            <w:pPr>
              <w:contextualSpacing/>
              <w:jc w:val="center"/>
              <w:rPr>
                <w:rFonts w:asciiTheme="minorEastAsia" w:hAnsiTheme="minorEastAsia" w:eastAsiaTheme="minorEastAsia"/>
                <w:b/>
                <w:szCs w:val="21"/>
              </w:rPr>
            </w:pPr>
          </w:p>
        </w:tc>
        <w:tc>
          <w:tcPr>
            <w:tcW w:w="4068" w:type="dxa"/>
            <w:gridSpan w:val="3"/>
            <w:vAlign w:val="center"/>
          </w:tcPr>
          <w:p>
            <w:pPr>
              <w:contextualSpacing/>
              <w:rPr>
                <w:rFonts w:asciiTheme="minorEastAsia" w:hAnsiTheme="minorEastAsia" w:eastAsiaTheme="minorEastAsia"/>
                <w:b/>
                <w:szCs w:val="21"/>
              </w:rPr>
            </w:pPr>
            <w:r>
              <w:rPr>
                <w:rFonts w:hint="eastAsia" w:asciiTheme="minorEastAsia" w:hAnsiTheme="minorEastAsia" w:eastAsiaTheme="minorEastAsia"/>
                <w:b/>
                <w:szCs w:val="21"/>
              </w:rPr>
              <w:t>小写：</w:t>
            </w:r>
            <w:r>
              <w:rPr>
                <w:rFonts w:asciiTheme="minorEastAsia" w:hAnsiTheme="minorEastAsia" w:eastAsiaTheme="minorEastAsia"/>
                <w:szCs w:val="21"/>
              </w:rPr>
              <w:t>￥</w:t>
            </w:r>
          </w:p>
        </w:tc>
      </w:tr>
    </w:tbl>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第二条 合同价款</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1、合同总价为人民币大写：</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 RMB￥：</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元。</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2、本合同总价是货物（产品）</w:t>
      </w:r>
      <w:r>
        <w:rPr>
          <w:rFonts w:hint="eastAsia" w:cs="Times New Roman" w:asciiTheme="minorEastAsia" w:hAnsiTheme="minorEastAsia" w:eastAsiaTheme="minorEastAsia"/>
          <w:szCs w:val="21"/>
        </w:rPr>
        <w:t>、运输、安装、调试、技术培训及相应保险、验收费用等。</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3、本合同总价还包含乙方应当提供的伴随服务和售后服务费用。合同总价一次包死，不受市场价变化的影响</w:t>
      </w:r>
      <w:r>
        <w:rPr>
          <w:rFonts w:hint="eastAsia" w:cs="Times New Roman" w:asciiTheme="minorEastAsia" w:hAnsiTheme="minorEastAsia" w:eastAsiaTheme="minorEastAsia"/>
          <w:szCs w:val="21"/>
        </w:rPr>
        <w:t>。</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4、本合同执行期间合同总价不变，甲方无须另向乙方支付本合同规定之外的其他任何费用。</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第三条 货款支付</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1、货物（产品）按下列比例支付价款：</w:t>
      </w:r>
    </w:p>
    <w:p>
      <w:pPr>
        <w:spacing w:line="4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2、付款方式：</w:t>
      </w:r>
    </w:p>
    <w:p>
      <w:pPr>
        <w:pStyle w:val="59"/>
        <w:spacing w:line="460" w:lineRule="exact"/>
        <w:ind w:firstLine="199" w:firstLineChars="95"/>
        <w:contextualSpacing/>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3</w:t>
      </w:r>
      <w:r>
        <w:rPr>
          <w:rFonts w:cs="Times New Roman" w:asciiTheme="minorEastAsia" w:hAnsiTheme="minorEastAsia" w:eastAsiaTheme="minorEastAsia"/>
          <w:szCs w:val="21"/>
        </w:rPr>
        <w:t>、结算方式：银行转账。</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第四条 供货周期与地点</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乙方在合同签订生效之日起，按甲方指定时间、地点交货。</w:t>
      </w:r>
    </w:p>
    <w:p>
      <w:pPr>
        <w:pStyle w:val="59"/>
        <w:spacing w:line="460" w:lineRule="exact"/>
        <w:ind w:firstLine="199" w:firstLineChars="95"/>
        <w:contextualSpacing/>
        <w:rPr>
          <w:rFonts w:hint="eastAsia" w:cs="Times New Roman" w:asciiTheme="minorEastAsia" w:hAnsiTheme="minorEastAsia" w:eastAsiaTheme="minorEastAsia"/>
          <w:szCs w:val="21"/>
          <w:u w:val="single"/>
          <w:lang w:eastAsia="zh-CN"/>
        </w:rPr>
      </w:pPr>
      <w:r>
        <w:rPr>
          <w:rFonts w:cs="Times New Roman" w:asciiTheme="minorEastAsia" w:hAnsiTheme="minorEastAsia" w:eastAsiaTheme="minorEastAsia"/>
          <w:szCs w:val="21"/>
        </w:rPr>
        <w:t>1、交付期：</w:t>
      </w:r>
      <w:r>
        <w:rPr>
          <w:rFonts w:hint="eastAsia" w:cs="Times New Roman" w:asciiTheme="minorEastAsia" w:hAnsiTheme="minorEastAsia" w:eastAsiaTheme="minorEastAsia"/>
          <w:szCs w:val="21"/>
          <w:u w:val="single"/>
          <w:lang w:val="en-US" w:eastAsia="zh-CN"/>
        </w:rPr>
        <w:t xml:space="preserve">        </w:t>
      </w:r>
      <w:r>
        <w:rPr>
          <w:rFonts w:cs="Times New Roman" w:asciiTheme="minorEastAsia" w:hAnsiTheme="minorEastAsia" w:eastAsiaTheme="minorEastAsia"/>
          <w:szCs w:val="21"/>
          <w:u w:val="none"/>
        </w:rPr>
        <w:t>日历天</w:t>
      </w:r>
      <w:r>
        <w:rPr>
          <w:rFonts w:hint="eastAsia" w:cs="Times New Roman" w:asciiTheme="minorEastAsia" w:hAnsiTheme="minorEastAsia" w:eastAsiaTheme="minorEastAsia"/>
          <w:szCs w:val="21"/>
          <w:u w:val="none"/>
          <w:lang w:eastAsia="zh-CN"/>
        </w:rPr>
        <w:t>。</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w:t>
      </w:r>
      <w:r>
        <w:rPr>
          <w:rFonts w:hint="eastAsia" w:cs="Times New Roman" w:asciiTheme="minorEastAsia" w:hAnsiTheme="minorEastAsia" w:eastAsiaTheme="minorEastAsia"/>
          <w:szCs w:val="21"/>
        </w:rPr>
        <w:t>、质保期：</w:t>
      </w:r>
      <w:r>
        <w:rPr>
          <w:rFonts w:cs="Times New Roman" w:asciiTheme="minorEastAsia" w:hAnsiTheme="minorEastAsia" w:eastAsiaTheme="minorEastAsia"/>
          <w:bCs/>
          <w:szCs w:val="21"/>
          <w:u w:val="none"/>
        </w:rPr>
        <w:t>货物（</w:t>
      </w:r>
      <w:r>
        <w:rPr>
          <w:rFonts w:hint="eastAsia" w:cs="Times New Roman" w:asciiTheme="minorEastAsia" w:hAnsiTheme="minorEastAsia" w:eastAsiaTheme="minorEastAsia"/>
          <w:bCs/>
          <w:szCs w:val="21"/>
          <w:u w:val="none"/>
        </w:rPr>
        <w:t>产品</w:t>
      </w:r>
      <w:r>
        <w:rPr>
          <w:rFonts w:cs="Times New Roman" w:asciiTheme="minorEastAsia" w:hAnsiTheme="minorEastAsia" w:eastAsiaTheme="minorEastAsia"/>
          <w:bCs/>
          <w:szCs w:val="21"/>
          <w:u w:val="none"/>
        </w:rPr>
        <w:t>）的</w:t>
      </w:r>
      <w:r>
        <w:rPr>
          <w:rFonts w:hint="eastAsia" w:cs="Times New Roman" w:asciiTheme="minorEastAsia" w:hAnsiTheme="minorEastAsia" w:eastAsiaTheme="minorEastAsia"/>
          <w:bCs/>
          <w:szCs w:val="21"/>
          <w:u w:val="none"/>
        </w:rPr>
        <w:t>质保期</w:t>
      </w:r>
      <w:r>
        <w:rPr>
          <w:rFonts w:hint="eastAsia" w:cs="Times New Roman" w:asciiTheme="minorEastAsia" w:hAnsiTheme="minorEastAsia" w:eastAsiaTheme="minorEastAsia"/>
          <w:bCs/>
          <w:szCs w:val="21"/>
          <w:u w:val="single"/>
          <w:lang w:val="en-US" w:eastAsia="zh-CN"/>
        </w:rPr>
        <w:t xml:space="preserve"> 1 </w:t>
      </w:r>
      <w:r>
        <w:rPr>
          <w:rFonts w:hint="eastAsia" w:cs="Times New Roman" w:asciiTheme="minorEastAsia" w:hAnsiTheme="minorEastAsia" w:eastAsiaTheme="minorEastAsia"/>
          <w:bCs/>
          <w:szCs w:val="21"/>
          <w:u w:val="none"/>
        </w:rPr>
        <w:t>年，且不得低于产品生产商对产品保修期标准。</w:t>
      </w:r>
    </w:p>
    <w:p>
      <w:pPr>
        <w:pStyle w:val="59"/>
        <w:spacing w:line="460" w:lineRule="exact"/>
        <w:ind w:firstLine="199" w:firstLineChars="95"/>
        <w:contextualSpacing/>
        <w:rPr>
          <w:rFonts w:cs="Times New Roman" w:asciiTheme="minorEastAsia" w:hAnsiTheme="minorEastAsia" w:eastAsiaTheme="minorEastAsia"/>
          <w:szCs w:val="21"/>
          <w:u w:val="single"/>
        </w:rPr>
      </w:pPr>
      <w:r>
        <w:rPr>
          <w:rFonts w:cs="Times New Roman" w:asciiTheme="minorEastAsia" w:hAnsiTheme="minorEastAsia" w:eastAsiaTheme="minorEastAsia"/>
          <w:szCs w:val="21"/>
        </w:rPr>
        <w:t>3、实施地点：</w:t>
      </w:r>
      <w:r>
        <w:rPr>
          <w:rFonts w:hint="eastAsia" w:cs="Times New Roman" w:asciiTheme="minorEastAsia" w:hAnsiTheme="minorEastAsia" w:eastAsiaTheme="minorEastAsia"/>
          <w:szCs w:val="21"/>
          <w:lang w:eastAsia="zh-CN"/>
        </w:rPr>
        <w:t>采购人指定地点。</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第五条 质量保证</w:t>
      </w:r>
    </w:p>
    <w:p>
      <w:pPr>
        <w:pStyle w:val="59"/>
        <w:spacing w:line="460" w:lineRule="exact"/>
        <w:ind w:firstLine="210" w:firstLineChars="100"/>
        <w:contextualSpacing/>
        <w:rPr>
          <w:rFonts w:cs="Times New Roman" w:asciiTheme="minorEastAsia" w:hAnsiTheme="minorEastAsia" w:eastAsiaTheme="minorEastAsia"/>
          <w:bCs/>
          <w:szCs w:val="21"/>
        </w:rPr>
      </w:pPr>
      <w:r>
        <w:rPr>
          <w:rFonts w:hint="eastAsia" w:cs="Times New Roman" w:asciiTheme="minorEastAsia" w:hAnsiTheme="minorEastAsia" w:eastAsiaTheme="minorEastAsia"/>
          <w:bCs/>
          <w:szCs w:val="21"/>
        </w:rPr>
        <w:t>1、供货商提供法定代表人签字后盖公章的售后服务承诺函</w:t>
      </w:r>
      <w:r>
        <w:rPr>
          <w:rFonts w:cs="Times New Roman" w:asciiTheme="minorEastAsia" w:hAnsiTheme="minorEastAsia" w:eastAsiaTheme="minorEastAsia"/>
          <w:bCs/>
          <w:szCs w:val="21"/>
        </w:rPr>
        <w:t>。</w:t>
      </w:r>
      <w:r>
        <w:rPr>
          <w:rFonts w:cs="Times New Roman" w:asciiTheme="minorEastAsia" w:hAnsiTheme="minorEastAsia" w:eastAsiaTheme="minorEastAsia"/>
          <w:szCs w:val="21"/>
        </w:rPr>
        <w:t>乙方</w:t>
      </w:r>
      <w:r>
        <w:rPr>
          <w:rFonts w:cs="Times New Roman" w:asciiTheme="minorEastAsia" w:hAnsiTheme="minorEastAsia" w:eastAsiaTheme="minorEastAsia"/>
          <w:bCs/>
          <w:szCs w:val="21"/>
        </w:rPr>
        <w:t>承诺的质保期超过招标文件要求的，按其承诺时间质保。质保期起始时间为终验合格之日。</w:t>
      </w:r>
    </w:p>
    <w:p>
      <w:pPr>
        <w:pStyle w:val="59"/>
        <w:spacing w:line="460" w:lineRule="exact"/>
        <w:ind w:firstLine="210" w:firstLineChars="100"/>
        <w:contextualSpacing/>
        <w:rPr>
          <w:rFonts w:cs="Times New Roman" w:asciiTheme="minorEastAsia" w:hAnsiTheme="minorEastAsia" w:eastAsiaTheme="minorEastAsia"/>
          <w:bCs/>
          <w:szCs w:val="21"/>
        </w:rPr>
      </w:pPr>
      <w:r>
        <w:rPr>
          <w:rFonts w:hint="eastAsia" w:cs="Times New Roman" w:asciiTheme="minorEastAsia" w:hAnsiTheme="minorEastAsia" w:eastAsiaTheme="minorEastAsia"/>
          <w:bCs/>
          <w:szCs w:val="21"/>
        </w:rPr>
        <w:t>2、乙方须提供全新的、未使用过的合格正品货物（含零部件、配件等），完全符合合同规定的质量、规格和性能的要求。</w:t>
      </w:r>
    </w:p>
    <w:p>
      <w:pPr>
        <w:pStyle w:val="59"/>
        <w:spacing w:line="460" w:lineRule="exact"/>
        <w:ind w:firstLine="210" w:firstLineChars="100"/>
        <w:contextualSpacing/>
        <w:rPr>
          <w:rFonts w:cs="Times New Roman" w:asciiTheme="minorEastAsia" w:hAnsiTheme="minorEastAsia" w:eastAsiaTheme="minorEastAsia"/>
          <w:bCs/>
          <w:szCs w:val="21"/>
        </w:rPr>
      </w:pPr>
      <w:r>
        <w:rPr>
          <w:rFonts w:hint="eastAsia" w:cs="Times New Roman" w:asciiTheme="minorEastAsia" w:hAnsiTheme="minorEastAsia" w:eastAsiaTheme="minorEastAsia"/>
          <w:bCs/>
          <w:szCs w:val="21"/>
        </w:rPr>
        <w:t>3、乙方提供的自主创新产品、节能和环保产品必须是列入政府采购清单的产品。</w:t>
      </w:r>
    </w:p>
    <w:p>
      <w:pPr>
        <w:pStyle w:val="59"/>
        <w:spacing w:line="460" w:lineRule="exact"/>
        <w:ind w:firstLine="210" w:firstLineChars="100"/>
        <w:contextualSpacing/>
        <w:rPr>
          <w:rFonts w:cs="Times New Roman" w:asciiTheme="minorEastAsia" w:hAnsiTheme="minorEastAsia" w:eastAsiaTheme="minorEastAsia"/>
          <w:bCs/>
          <w:szCs w:val="21"/>
        </w:rPr>
      </w:pPr>
      <w:r>
        <w:rPr>
          <w:rFonts w:hint="eastAsia" w:cs="Times New Roman" w:asciiTheme="minorEastAsia" w:hAnsiTheme="minorEastAsia" w:eastAsiaTheme="minorEastAsia"/>
          <w:bCs/>
          <w:szCs w:val="21"/>
        </w:rPr>
        <w:t>4、质量标准按照最新颁布的国家标准、行业标准或制造厂家企业标准确定，上述标准不一致的，以严格标准为准。</w:t>
      </w:r>
    </w:p>
    <w:p>
      <w:pPr>
        <w:pStyle w:val="59"/>
        <w:spacing w:line="460" w:lineRule="exact"/>
        <w:ind w:firstLine="210" w:firstLineChars="100"/>
        <w:contextualSpacing/>
        <w:rPr>
          <w:rFonts w:cs="Times New Roman" w:asciiTheme="minorEastAsia" w:hAnsiTheme="minorEastAsia" w:eastAsiaTheme="minorEastAsia"/>
          <w:bCs/>
          <w:szCs w:val="21"/>
        </w:rPr>
      </w:pPr>
      <w:r>
        <w:rPr>
          <w:rFonts w:hint="eastAsia" w:cs="Times New Roman" w:asciiTheme="minorEastAsia" w:hAnsiTheme="minorEastAsia" w:eastAsiaTheme="minorEastAsia"/>
          <w:bCs/>
          <w:szCs w:val="21"/>
        </w:rPr>
        <w:t>5、货物制造质量出现问题，乙方应负责三包（包修、包换、包退），费用由乙方负担，甲方有权到乙方生产场地检查货物质量和生产进度。</w:t>
      </w:r>
    </w:p>
    <w:p>
      <w:pPr>
        <w:pStyle w:val="59"/>
        <w:spacing w:line="460" w:lineRule="exact"/>
        <w:ind w:firstLine="210" w:firstLineChars="100"/>
        <w:contextualSpacing/>
        <w:rPr>
          <w:rFonts w:cs="Times New Roman" w:asciiTheme="minorEastAsia" w:hAnsiTheme="minorEastAsia" w:eastAsiaTheme="minorEastAsia"/>
          <w:bCs/>
          <w:szCs w:val="21"/>
        </w:rPr>
      </w:pPr>
      <w:r>
        <w:rPr>
          <w:rFonts w:hint="eastAsia" w:cs="Times New Roman" w:asciiTheme="minorEastAsia" w:hAnsiTheme="minorEastAsia" w:eastAsiaTheme="minorEastAsia"/>
          <w:bCs/>
          <w:szCs w:val="21"/>
        </w:rPr>
        <w:t>6、质保期内</w:t>
      </w:r>
      <w:r>
        <w:rPr>
          <w:rFonts w:cs="Times New Roman" w:asciiTheme="minorEastAsia" w:hAnsiTheme="minorEastAsia" w:eastAsiaTheme="minorEastAsia"/>
          <w:szCs w:val="21"/>
        </w:rPr>
        <w:t>乙方</w:t>
      </w:r>
      <w:r>
        <w:rPr>
          <w:rFonts w:hint="eastAsia" w:cs="Times New Roman" w:asciiTheme="minorEastAsia" w:hAnsiTheme="minorEastAsia" w:eastAsiaTheme="minorEastAsia"/>
          <w:bCs/>
          <w:szCs w:val="21"/>
        </w:rPr>
        <w:t>如无法达到上述要求，甲方有权委托其它维修商完成此项工作，由此产生的一切费用均由</w:t>
      </w:r>
      <w:r>
        <w:rPr>
          <w:rFonts w:cs="Times New Roman" w:asciiTheme="minorEastAsia" w:hAnsiTheme="minorEastAsia" w:eastAsiaTheme="minorEastAsia"/>
          <w:szCs w:val="21"/>
        </w:rPr>
        <w:t>乙方</w:t>
      </w:r>
      <w:r>
        <w:rPr>
          <w:rFonts w:hint="eastAsia" w:cs="Times New Roman" w:asciiTheme="minorEastAsia" w:hAnsiTheme="minorEastAsia" w:eastAsiaTheme="minorEastAsia"/>
          <w:bCs/>
          <w:szCs w:val="21"/>
        </w:rPr>
        <w:t>负责。</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第六条 权利保证</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1、乙方保证对其出售的货物享有合法的权利。</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2、乙方保证对其出售的货物上不存在任何未曾向甲方透露的担保物权，如抵押权、质押权、留置权。</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3、乙方保证对其出售的货物或其任何一部分没有侵犯第三方的专利权、版权、商标权或其他权利。</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4、如甲方在使用该货物构成上述侵权的，则由乙方承担全部责任。</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第七条 包装要求与运输方式（若有）</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1、除合同另有规定外，乙方提供的全部货物均应按标准保护措施进行包装，该包装应适应于远距离运输、防潮、防震、防锈和防野蛮装卸，以确保货物安全运抵指定地点。</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2、每一包装单元应附详细的装箱单和质量合格证。</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3、选择运输风险小、运费低、距离短的运输路线。</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4、货物（产品）运输方式：</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5、乙方负责货物（产品）运输，货物运输的合理损耗及计算方法</w:t>
      </w: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u w:val="single"/>
        </w:rPr>
        <w:t xml:space="preserve">   </w:t>
      </w:r>
      <w:r>
        <w:rPr>
          <w:rFonts w:hint="eastAsia"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6、运杂费一次包死在总价内，包括生产厂到施工现场所需的装卸、运输（含保险费）、现场保管费、二次倒运费、吊装费等费用。</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第八条 货物验收</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1、货物验收由甲方组织，乙方配合，并按下列程序进行：</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交货验收时，乙方须提供质检部门产品抽样检查合格的检测报告（或生产厂家自检报告）及所提供货物（产品）的合格证、装箱清单、配件、随机工具、用户使用手册（产品使用说明书）、保修卡等资料交付给甲方。</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（2）到货验收</w:t>
      </w:r>
      <w:r>
        <w:rPr>
          <w:rFonts w:hint="eastAsia" w:cs="Times New Roman" w:asciiTheme="minorEastAsia" w:hAnsiTheme="minorEastAsia" w:eastAsiaTheme="minorEastAsia"/>
          <w:szCs w:val="21"/>
        </w:rPr>
        <w:t>：</w:t>
      </w:r>
      <w:r>
        <w:rPr>
          <w:rFonts w:cs="Times New Roman" w:asciiTheme="minorEastAsia" w:hAnsiTheme="minorEastAsia" w:eastAsiaTheme="minorEastAsia"/>
          <w:szCs w:val="21"/>
        </w:rPr>
        <w:t>货物到达后，按合同第一条款的货物清单和装箱单经行逐一核对，同时检查货物外观，是否有划痕或破损的，并做好相应记录。</w:t>
      </w:r>
    </w:p>
    <w:p>
      <w:pPr>
        <w:pStyle w:val="59"/>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（3）货物初验：货物到达交货地点后，由</w:t>
      </w:r>
      <w:r>
        <w:rPr>
          <w:rFonts w:hint="eastAsia" w:asciiTheme="minorEastAsia" w:hAnsiTheme="minorEastAsia" w:eastAsiaTheme="minorEastAsia"/>
          <w:szCs w:val="21"/>
        </w:rPr>
        <w:t>使用单位</w:t>
      </w:r>
      <w:r>
        <w:rPr>
          <w:rFonts w:asciiTheme="minorEastAsia" w:hAnsiTheme="minorEastAsia" w:eastAsiaTheme="minorEastAsia"/>
          <w:szCs w:val="21"/>
        </w:rPr>
        <w:t>根据合同对货物（</w:t>
      </w:r>
      <w:r>
        <w:rPr>
          <w:rFonts w:hint="eastAsia" w:asciiTheme="minorEastAsia" w:hAnsiTheme="minorEastAsia" w:eastAsiaTheme="minorEastAsia"/>
          <w:szCs w:val="21"/>
        </w:rPr>
        <w:t>产品</w:t>
      </w:r>
      <w:r>
        <w:rPr>
          <w:rFonts w:asciiTheme="minorEastAsia" w:hAnsiTheme="minorEastAsia" w:eastAsiaTheme="minorEastAsia"/>
          <w:szCs w:val="21"/>
        </w:rPr>
        <w:t>）的名称、品牌、规格、型号、产地、数量等进行检查。所有货物（</w:t>
      </w:r>
      <w:r>
        <w:rPr>
          <w:rFonts w:hint="eastAsia" w:asciiTheme="minorEastAsia" w:hAnsiTheme="minorEastAsia" w:eastAsiaTheme="minorEastAsia"/>
          <w:szCs w:val="21"/>
        </w:rPr>
        <w:t>产品</w:t>
      </w:r>
      <w:r>
        <w:rPr>
          <w:rFonts w:asciiTheme="minorEastAsia" w:hAnsiTheme="minorEastAsia" w:eastAsiaTheme="minorEastAsia"/>
          <w:szCs w:val="21"/>
        </w:rPr>
        <w:t>）安装、调试完毕，正常使用30个日历天后，使用单位进行</w:t>
      </w:r>
      <w:r>
        <w:rPr>
          <w:rFonts w:hint="eastAsia" w:asciiTheme="minorEastAsia" w:hAnsiTheme="minorEastAsia" w:eastAsiaTheme="minorEastAsia"/>
          <w:szCs w:val="21"/>
        </w:rPr>
        <w:t>初</w:t>
      </w:r>
      <w:r>
        <w:rPr>
          <w:rFonts w:asciiTheme="minorEastAsia" w:hAnsiTheme="minorEastAsia" w:eastAsiaTheme="minorEastAsia"/>
          <w:szCs w:val="21"/>
        </w:rPr>
        <w:t>验</w:t>
      </w:r>
      <w:r>
        <w:rPr>
          <w:rFonts w:hint="eastAsia" w:asciiTheme="minorEastAsia" w:hAnsiTheme="minorEastAsia" w:eastAsiaTheme="minorEastAsia"/>
          <w:szCs w:val="21"/>
        </w:rPr>
        <w:t>。</w:t>
      </w:r>
    </w:p>
    <w:p>
      <w:pPr>
        <w:pStyle w:val="59"/>
        <w:spacing w:line="460" w:lineRule="exact"/>
        <w:ind w:firstLine="210" w:firstLineChars="100"/>
        <w:contextualSpacing/>
        <w:rPr>
          <w:rFonts w:cs="Times New Roman" w:asciiTheme="minorEastAsia" w:hAnsiTheme="minorEastAsia" w:eastAsiaTheme="minorEastAsia"/>
          <w:szCs w:val="21"/>
        </w:rPr>
      </w:pPr>
      <w:r>
        <w:rPr>
          <w:rFonts w:asciiTheme="minorEastAsia" w:hAnsiTheme="minorEastAsia" w:eastAsiaTheme="minorEastAsia"/>
          <w:szCs w:val="21"/>
        </w:rPr>
        <w:t>（4）货物终验：</w:t>
      </w:r>
      <w:r>
        <w:rPr>
          <w:rFonts w:hint="eastAsia" w:asciiTheme="minorEastAsia" w:hAnsiTheme="minorEastAsia" w:eastAsiaTheme="minorEastAsia"/>
          <w:szCs w:val="21"/>
        </w:rPr>
        <w:t>初验合格后，由用户单位组织相关专家等</w:t>
      </w:r>
      <w:r>
        <w:rPr>
          <w:rFonts w:asciiTheme="minorEastAsia" w:hAnsiTheme="minorEastAsia" w:eastAsiaTheme="minorEastAsia"/>
          <w:szCs w:val="21"/>
        </w:rPr>
        <w:t>进行终验（最终验收），合格后签发《终验合格单》。</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（5）质量验收合格，双方签署质量验收报告。</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2、货物验收依据：</w:t>
      </w:r>
    </w:p>
    <w:p>
      <w:pPr>
        <w:pStyle w:val="59"/>
        <w:spacing w:line="460" w:lineRule="exact"/>
        <w:ind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（1）招标文件；</w:t>
      </w:r>
    </w:p>
    <w:p>
      <w:pPr>
        <w:pStyle w:val="59"/>
        <w:spacing w:line="460" w:lineRule="exact"/>
        <w:ind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（2）乙方投标文件；</w:t>
      </w:r>
    </w:p>
    <w:p>
      <w:pPr>
        <w:pStyle w:val="59"/>
        <w:spacing w:line="460" w:lineRule="exact"/>
        <w:ind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（3）采购合同及合同补充文件；</w:t>
      </w:r>
    </w:p>
    <w:p>
      <w:pPr>
        <w:pStyle w:val="59"/>
        <w:spacing w:line="460" w:lineRule="exact"/>
        <w:ind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（4）供货一览表；</w:t>
      </w:r>
    </w:p>
    <w:p>
      <w:pPr>
        <w:pStyle w:val="59"/>
        <w:spacing w:line="460" w:lineRule="exact"/>
        <w:ind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（5）质检部门抽样检查货物（产品）合格的检测报告。</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3、货物验收时发现问题的处理办法：</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（1）乙方提供不符合招标文件和本合同规定的货物（产品），甲方有权拒绝接受。</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（3）如货物经乙方</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次维修仍不能达到合同约定的质量标准，甲方有权退货，并视作乙方不能交付货物而须支付违约赔偿金给甲方，甲方还可依法追究乙方的违约责任。 </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（4）货物安装完成后</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日内，甲方无故不进行验收工作并已使用货物的，视同已安装调试完成并验收合格。</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（5）乙方不能完整交付货物及本条第一款款规定的单证和工具的，必须负责补齐，否则视为未按合同约定交货。</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第九条 技术培训</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所有设备安装、调试开始前，乙方负责安排甲方维修技术人员进行技术培训；在设备安装调试期间或以后，乙方必须安排技术人员现场对使用单位的操作、维护技术人员进行操作应用及维护保养等方面更深入的技能培训，使他们具备操作和必要的调整、维护技能。</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1、培训内容：</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2、培训地点：</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3、培训时间：</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4、培训人数：</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5、培训费用：受训人员的食宿费、资料费、培训场地费、耗材（包括水电费等）费等已包含在合同总价中，甲方不再另行支付。</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第十条 售后服务</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w:t>
      </w:r>
      <w:r>
        <w:rPr>
          <w:rFonts w:hint="eastAsia" w:cs="Times New Roman" w:asciiTheme="minorEastAsia" w:hAnsiTheme="minorEastAsia" w:eastAsiaTheme="minorEastAsia"/>
          <w:szCs w:val="21"/>
        </w:rPr>
        <w:t>、乙方须指派专人姓名：</w:t>
      </w:r>
      <w:r>
        <w:rPr>
          <w:rFonts w:hint="eastAsia"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u w:val="single"/>
        </w:rPr>
        <w:t xml:space="preserve">    </w:t>
      </w:r>
      <w:r>
        <w:rPr>
          <w:rFonts w:hint="eastAsia" w:cs="Times New Roman" w:asciiTheme="minorEastAsia" w:hAnsiTheme="minorEastAsia" w:eastAsiaTheme="minorEastAsia"/>
          <w:szCs w:val="21"/>
        </w:rPr>
        <w:t>电话：</w:t>
      </w:r>
      <w:r>
        <w:rPr>
          <w:rFonts w:cs="Times New Roman" w:asciiTheme="minorEastAsia" w:hAnsiTheme="minorEastAsia" w:eastAsiaTheme="minorEastAsia"/>
          <w:szCs w:val="21"/>
          <w:u w:val="single"/>
        </w:rPr>
        <w:t xml:space="preserve">    </w:t>
      </w:r>
      <w:r>
        <w:rPr>
          <w:rFonts w:hint="eastAsia" w:cs="Times New Roman" w:asciiTheme="minorEastAsia" w:hAnsiTheme="minorEastAsia" w:eastAsiaTheme="minorEastAsia"/>
          <w:szCs w:val="21"/>
        </w:rPr>
        <w:t xml:space="preserve">负责与使用单位联系售后服务事宜； </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w:t>
      </w:r>
      <w:r>
        <w:rPr>
          <w:rFonts w:hint="eastAsia" w:cs="Times New Roman" w:asciiTheme="minorEastAsia" w:hAnsiTheme="minorEastAsia" w:eastAsiaTheme="minorEastAsia"/>
          <w:szCs w:val="21"/>
        </w:rPr>
        <w:t>、货物（产品）的现场安装、调试和启动监督；</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w:t>
      </w:r>
      <w:r>
        <w:rPr>
          <w:rFonts w:hint="eastAsia" w:cs="Times New Roman" w:asciiTheme="minorEastAsia" w:hAnsiTheme="minorEastAsia" w:eastAsiaTheme="minorEastAsia"/>
          <w:szCs w:val="21"/>
        </w:rPr>
        <w:t>、就货物的安装、启动、运行及维护等对使用单位的相关人员进行免费培训。主要培训内容为货物的日常使用操作、保养与管理、常见故障的排除、紧急情况的处理等，如使用单位未使用过同类型货物，乙方还需就货物的功能对使用单位相关人员进行相应的技术培训，培训地点主要在货物安装现场或由使用单位安排；</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4</w:t>
      </w:r>
      <w:r>
        <w:rPr>
          <w:rFonts w:hint="eastAsia" w:cs="Times New Roman" w:asciiTheme="minorEastAsia" w:hAnsiTheme="minorEastAsia" w:eastAsiaTheme="minorEastAsia"/>
          <w:szCs w:val="21"/>
        </w:rPr>
        <w:t>、质保期自甲方在货物质量验收单（终验）上签字之日起计算，质保费用计入总价；</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5</w:t>
      </w:r>
      <w:r>
        <w:rPr>
          <w:rFonts w:hint="eastAsia" w:cs="Times New Roman" w:asciiTheme="minorEastAsia" w:hAnsiTheme="minorEastAsia" w:eastAsiaTheme="minorEastAsia"/>
          <w:szCs w:val="21"/>
        </w:rPr>
        <w:t>、质保期内，乙方负责对其提供的货物整机进行维修和系统维护，不再收取任何费用，但不可抗力（如火灾、雷击等）造成的故障除外；</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6</w:t>
      </w:r>
      <w:r>
        <w:rPr>
          <w:rFonts w:hint="eastAsia" w:cs="Times New Roman" w:asciiTheme="minorEastAsia" w:hAnsiTheme="minorEastAsia" w:eastAsiaTheme="minorEastAsia"/>
          <w:szCs w:val="21"/>
        </w:rPr>
        <w:t>、货物故障报修的响应时间为：工作期间（星期一至星期五8：00-18：00）为 6 时；非工作期间为 12 小时；</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7</w:t>
      </w:r>
      <w:r>
        <w:rPr>
          <w:rFonts w:hint="eastAsia" w:cs="Times New Roman" w:asciiTheme="minorEastAsia" w:hAnsiTheme="minorEastAsia" w:eastAsiaTheme="minorEastAsia"/>
          <w:szCs w:val="21"/>
        </w:rPr>
        <w:t>、乙方在接到甲方通知后须 24 小时内完成维修或更换，并承担修理或更换的费用；若需将产品送回生产厂家，乙方应提供备用机、承担维修设备所需的往返费用。</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8</w:t>
      </w:r>
      <w:r>
        <w:rPr>
          <w:rFonts w:hint="eastAsia" w:cs="Times New Roman" w:asciiTheme="minorEastAsia" w:hAnsiTheme="minorEastAsia" w:eastAsiaTheme="minorEastAsia"/>
          <w:szCs w:val="21"/>
        </w:rPr>
        <w:t>、如果乙方在收到通知后 3 天内没有弥补缺陷，使用单位可采取必要的补救措施，但其风险和费用将由乙方承担，使用单位根据合同规定对乙方行使的其它权力不受影响。使用单位亦可从合同价款中扣回索赔金额。</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9</w:t>
      </w:r>
      <w:r>
        <w:rPr>
          <w:rFonts w:hint="eastAsia" w:cs="Times New Roman" w:asciiTheme="minorEastAsia" w:hAnsiTheme="minorEastAsia" w:eastAsiaTheme="minorEastAsia"/>
          <w:szCs w:val="21"/>
        </w:rPr>
        <w:t>、所有货物售后服务方式均为乙方上门服务，即由乙方派专员到货物使用现场维修，由此产生的一切费用均由</w:t>
      </w:r>
      <w:r>
        <w:rPr>
          <w:rFonts w:cs="Times New Roman" w:asciiTheme="minorEastAsia" w:hAnsiTheme="minorEastAsia" w:eastAsiaTheme="minorEastAsia"/>
          <w:szCs w:val="21"/>
        </w:rPr>
        <w:t>乙方</w:t>
      </w:r>
      <w:r>
        <w:rPr>
          <w:rFonts w:hint="eastAsia" w:cs="Times New Roman" w:asciiTheme="minorEastAsia" w:hAnsiTheme="minorEastAsia" w:eastAsiaTheme="minorEastAsia"/>
          <w:szCs w:val="21"/>
        </w:rPr>
        <w:t>承担；</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10</w:t>
      </w:r>
      <w:r>
        <w:rPr>
          <w:rFonts w:hint="eastAsia" w:cs="Times New Roman" w:asciiTheme="minorEastAsia" w:hAnsiTheme="minorEastAsia" w:eastAsiaTheme="minorEastAsia"/>
          <w:szCs w:val="21"/>
        </w:rPr>
        <w:t>、质保期结束后的货物维修、维护只收取其成本费用。</w:t>
      </w:r>
    </w:p>
    <w:p>
      <w:pPr>
        <w:pStyle w:val="59"/>
        <w:spacing w:line="460" w:lineRule="exact"/>
        <w:ind w:firstLine="0"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b/>
          <w:szCs w:val="21"/>
        </w:rPr>
        <w:t>第十一条 履约保证金</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1、在合同签订前，</w:t>
      </w:r>
      <w:r>
        <w:rPr>
          <w:rFonts w:hint="eastAsia" w:cs="Times New Roman" w:asciiTheme="minorEastAsia" w:hAnsiTheme="minorEastAsia" w:eastAsiaTheme="minorEastAsia"/>
          <w:szCs w:val="21"/>
        </w:rPr>
        <w:t>乙方</w:t>
      </w:r>
      <w:r>
        <w:rPr>
          <w:rFonts w:cs="Times New Roman" w:asciiTheme="minorEastAsia" w:hAnsiTheme="minorEastAsia" w:eastAsiaTheme="minorEastAsia"/>
          <w:szCs w:val="21"/>
        </w:rPr>
        <w:t>须向</w:t>
      </w:r>
      <w:r>
        <w:rPr>
          <w:rFonts w:hint="eastAsia" w:cs="Times New Roman" w:asciiTheme="minorEastAsia" w:hAnsiTheme="minorEastAsia" w:eastAsiaTheme="minorEastAsia"/>
          <w:szCs w:val="21"/>
        </w:rPr>
        <w:t>使用单位</w:t>
      </w:r>
      <w:r>
        <w:rPr>
          <w:rFonts w:cs="Times New Roman" w:asciiTheme="minorEastAsia" w:hAnsiTheme="minorEastAsia" w:eastAsiaTheme="minorEastAsia"/>
          <w:szCs w:val="21"/>
        </w:rPr>
        <w:t>提交履约保证金人民币大写</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元，RMB￥</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元。</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2、履约保证金用于补偿</w:t>
      </w:r>
      <w:r>
        <w:rPr>
          <w:rFonts w:hint="eastAsia" w:cs="Times New Roman" w:asciiTheme="minorEastAsia" w:hAnsiTheme="minorEastAsia" w:eastAsiaTheme="minorEastAsia"/>
          <w:szCs w:val="21"/>
        </w:rPr>
        <w:t>甲方</w:t>
      </w:r>
      <w:r>
        <w:rPr>
          <w:rFonts w:cs="Times New Roman" w:asciiTheme="minorEastAsia" w:hAnsiTheme="minorEastAsia" w:eastAsiaTheme="minorEastAsia"/>
          <w:szCs w:val="21"/>
        </w:rPr>
        <w:t>因</w:t>
      </w:r>
      <w:r>
        <w:rPr>
          <w:rFonts w:hint="eastAsia" w:cs="Times New Roman" w:asciiTheme="minorEastAsia" w:hAnsiTheme="minorEastAsia" w:eastAsiaTheme="minorEastAsia"/>
          <w:szCs w:val="21"/>
        </w:rPr>
        <w:t>乙方</w:t>
      </w:r>
      <w:r>
        <w:rPr>
          <w:rFonts w:cs="Times New Roman" w:asciiTheme="minorEastAsia" w:hAnsiTheme="minorEastAsia" w:eastAsiaTheme="minorEastAsia"/>
          <w:szCs w:val="21"/>
        </w:rPr>
        <w:t>不能完成其合同义务而蒙受的损失。</w:t>
      </w:r>
    </w:p>
    <w:p>
      <w:pPr>
        <w:widowControl/>
        <w:spacing w:line="460" w:lineRule="exact"/>
        <w:ind w:firstLine="210" w:firstLineChars="100"/>
        <w:contextualSpacing/>
        <w:jc w:val="left"/>
        <w:rPr>
          <w:rFonts w:asciiTheme="minorEastAsia" w:hAnsiTheme="minorEastAsia" w:eastAsiaTheme="minorEastAsia"/>
          <w:szCs w:val="21"/>
        </w:rPr>
      </w:pPr>
      <w:r>
        <w:rPr>
          <w:rFonts w:asciiTheme="minorEastAsia" w:hAnsiTheme="minorEastAsia" w:eastAsiaTheme="minorEastAsia"/>
          <w:szCs w:val="21"/>
        </w:rPr>
        <w:t>3、若</w:t>
      </w:r>
      <w:r>
        <w:rPr>
          <w:rFonts w:hint="eastAsia" w:asciiTheme="minorEastAsia" w:hAnsiTheme="minorEastAsia" w:eastAsiaTheme="minorEastAsia"/>
          <w:szCs w:val="21"/>
        </w:rPr>
        <w:t>乙方</w:t>
      </w:r>
      <w:r>
        <w:rPr>
          <w:rFonts w:asciiTheme="minorEastAsia" w:hAnsiTheme="minorEastAsia" w:eastAsiaTheme="minorEastAsia"/>
          <w:szCs w:val="21"/>
        </w:rPr>
        <w:t>不能按本须知规定交纳履约保证金，</w:t>
      </w:r>
      <w:r>
        <w:rPr>
          <w:rFonts w:hint="eastAsia" w:asciiTheme="minorEastAsia" w:hAnsiTheme="minorEastAsia" w:eastAsiaTheme="minorEastAsia"/>
          <w:szCs w:val="21"/>
        </w:rPr>
        <w:t>甲方</w:t>
      </w:r>
      <w:r>
        <w:rPr>
          <w:rFonts w:asciiTheme="minorEastAsia" w:hAnsiTheme="minorEastAsia" w:eastAsiaTheme="minorEastAsia"/>
          <w:szCs w:val="21"/>
        </w:rPr>
        <w:t>将有充分理由拒绝签订合同，并没收其投标保证金，由此给</w:t>
      </w:r>
      <w:r>
        <w:rPr>
          <w:rFonts w:hint="eastAsia" w:asciiTheme="minorEastAsia" w:hAnsiTheme="minorEastAsia" w:eastAsiaTheme="minorEastAsia"/>
          <w:szCs w:val="21"/>
        </w:rPr>
        <w:t>甲方</w:t>
      </w:r>
      <w:r>
        <w:rPr>
          <w:rFonts w:asciiTheme="minorEastAsia" w:hAnsiTheme="minorEastAsia" w:eastAsiaTheme="minorEastAsia"/>
          <w:szCs w:val="21"/>
        </w:rPr>
        <w:t>造成的损失超过投标担保数额的，还应当对超过部分予以赔偿。</w:t>
      </w:r>
    </w:p>
    <w:p>
      <w:pPr>
        <w:widowControl/>
        <w:spacing w:line="460" w:lineRule="exact"/>
        <w:ind w:firstLine="210" w:firstLineChars="100"/>
        <w:contextualSpacing/>
        <w:jc w:val="left"/>
        <w:rPr>
          <w:rFonts w:asciiTheme="minorEastAsia" w:hAnsiTheme="minorEastAsia" w:eastAsiaTheme="minorEastAsia"/>
          <w:szCs w:val="21"/>
        </w:rPr>
      </w:pPr>
      <w:r>
        <w:rPr>
          <w:rFonts w:asciiTheme="minorEastAsia" w:hAnsiTheme="minorEastAsia" w:eastAsiaTheme="minorEastAsia"/>
          <w:szCs w:val="21"/>
        </w:rPr>
        <w:t>4、若乙方未能履行合同规定的义务，甲方有权没收履约保证金取得补偿，因此给</w:t>
      </w:r>
      <w:r>
        <w:rPr>
          <w:rFonts w:hint="eastAsia" w:asciiTheme="minorEastAsia" w:hAnsiTheme="minorEastAsia" w:eastAsiaTheme="minorEastAsia"/>
          <w:szCs w:val="21"/>
        </w:rPr>
        <w:t>甲方</w:t>
      </w:r>
      <w:r>
        <w:rPr>
          <w:rFonts w:asciiTheme="minorEastAsia" w:hAnsiTheme="minorEastAsia" w:eastAsiaTheme="minorEastAsia"/>
          <w:szCs w:val="21"/>
        </w:rPr>
        <w:t>造成的损失超过投标担保数额的，还应当对超过部分予以赔偿。</w:t>
      </w:r>
    </w:p>
    <w:p>
      <w:pPr>
        <w:widowControl/>
        <w:spacing w:line="460" w:lineRule="exact"/>
        <w:ind w:firstLine="210" w:firstLineChars="100"/>
        <w:contextualSpacing/>
        <w:jc w:val="left"/>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乙方</w:t>
      </w:r>
      <w:r>
        <w:rPr>
          <w:rFonts w:asciiTheme="minorEastAsia" w:hAnsiTheme="minorEastAsia" w:eastAsiaTheme="minorEastAsia"/>
          <w:szCs w:val="21"/>
        </w:rPr>
        <w:t>履约担保有效期应截止为本项目合同终止之日，</w:t>
      </w:r>
      <w:r>
        <w:rPr>
          <w:rFonts w:hint="eastAsia" w:asciiTheme="minorEastAsia" w:hAnsiTheme="minorEastAsia" w:eastAsiaTheme="minorEastAsia"/>
          <w:szCs w:val="21"/>
        </w:rPr>
        <w:t>甲方</w:t>
      </w:r>
      <w:r>
        <w:rPr>
          <w:rFonts w:asciiTheme="minorEastAsia" w:hAnsiTheme="minorEastAsia" w:eastAsiaTheme="minorEastAsia"/>
          <w:szCs w:val="21"/>
        </w:rPr>
        <w:t>应当在</w:t>
      </w:r>
      <w:r>
        <w:rPr>
          <w:rFonts w:hint="eastAsia" w:asciiTheme="minorEastAsia" w:hAnsiTheme="minorEastAsia" w:eastAsiaTheme="minorEastAsia"/>
          <w:szCs w:val="21"/>
        </w:rPr>
        <w:t>乙方</w:t>
      </w:r>
      <w:r>
        <w:rPr>
          <w:rFonts w:asciiTheme="minorEastAsia" w:hAnsiTheme="minorEastAsia" w:eastAsiaTheme="minorEastAsia"/>
          <w:szCs w:val="21"/>
        </w:rPr>
        <w:t>履约担保有效期截止后，甲方财务部门接到甲方确认本合同货物质量与服务等约定事项已经履行完毕的正式书面文件后的</w:t>
      </w:r>
      <w:r>
        <w:rPr>
          <w:rFonts w:asciiTheme="minorEastAsia" w:hAnsiTheme="minorEastAsia" w:eastAsiaTheme="minorEastAsia"/>
          <w:szCs w:val="21"/>
          <w:u w:val="single"/>
        </w:rPr>
        <w:t xml:space="preserve">   </w:t>
      </w:r>
      <w:r>
        <w:rPr>
          <w:rFonts w:asciiTheme="minorEastAsia" w:hAnsiTheme="minorEastAsia" w:eastAsiaTheme="minorEastAsia"/>
          <w:szCs w:val="21"/>
        </w:rPr>
        <w:t>日内，向乙方退还履约保证金。</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第十二条 违约责任</w:t>
      </w:r>
    </w:p>
    <w:p>
      <w:pPr>
        <w:pStyle w:val="59"/>
        <w:spacing w:line="460" w:lineRule="exact"/>
        <w:ind w:firstLine="199" w:firstLineChars="95"/>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1、甲方违约责任</w:t>
      </w:r>
    </w:p>
    <w:p>
      <w:pPr>
        <w:pStyle w:val="59"/>
        <w:spacing w:line="460" w:lineRule="exact"/>
        <w:ind w:firstLine="420" w:firstLineChars="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（1）甲方无正当理由拒收货物的，甲方应偿付合同总价</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%的违约金；</w:t>
      </w:r>
    </w:p>
    <w:p>
      <w:pPr>
        <w:pStyle w:val="59"/>
        <w:spacing w:line="460" w:lineRule="exact"/>
        <w:ind w:firstLine="0" w:firstLineChars="0"/>
        <w:contextualSpacing/>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（2）甲方逾期支付货款的，除应及时付足货款外，应向乙方每天支付欠款总额</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‰的滞纳金；但累计滞纳金总额不超过欠款总额的</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2、乙方违约责任</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（1）如乙方不能交付货物，甲方有权扣留全部履约保证金；同时乙方应向甲方支付合同总价</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％的违约金。</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（2）乙方逾期交付货物的，每逾期1天，乙方向甲方偿付逾期交货部分货款总额的</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‰的滞纳金。如乙方逾期交货达___天，甲方有权解除合同，解除合同的通知自到达乙方时生效。</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（3）乙方所交付的货物品种、型号、规格不符合合同规定的，甲方有权拒收。甲方拒收的，乙方应向甲方支付货款总额</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%的违约金。</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（4）乙方货物经甲方送交具有法定资格条件的质量技术监督机构检测后，如检测结果认定货物质量不符合本合同规定标准的，则视为乙方没有按时交货而违约，乙方须在</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天内无条件更换合格的货物，如逾期不能更换合格的货物，甲方有权终止本合同，乙方应另向甲方支付货款总额的</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%的违约金。</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5）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pStyle w:val="59"/>
        <w:spacing w:line="460" w:lineRule="exact"/>
        <w:ind w:firstLine="0" w:firstLineChars="0"/>
        <w:contextualSpacing/>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 xml:space="preserve">    </w:t>
      </w:r>
      <w:r>
        <w:rPr>
          <w:rFonts w:cs="Times New Roman" w:asciiTheme="minorEastAsia" w:hAnsiTheme="minorEastAsia" w:eastAsiaTheme="minorEastAsia"/>
          <w:szCs w:val="21"/>
        </w:rPr>
        <w:t>（6）乙方未按本合同第十条的规定向甲方交付履约保证金的，应按应交付履约保证金的</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%向甲方支付违约金，该违约金的支付不影响乙方应承担的其他违约责任。</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（7）乙方未按本合同的规定和</w:t>
      </w:r>
      <w:r>
        <w:rPr>
          <w:rFonts w:hint="eastAsia" w:cs="Times New Roman" w:asciiTheme="minorEastAsia" w:hAnsiTheme="minorEastAsia" w:eastAsiaTheme="minorEastAsia"/>
          <w:szCs w:val="21"/>
        </w:rPr>
        <w:t>“</w:t>
      </w:r>
      <w:r>
        <w:rPr>
          <w:rFonts w:cs="Times New Roman" w:asciiTheme="minorEastAsia" w:hAnsiTheme="minorEastAsia" w:eastAsiaTheme="minorEastAsia"/>
          <w:szCs w:val="21"/>
        </w:rPr>
        <w:t>服务承诺</w:t>
      </w:r>
      <w:r>
        <w:rPr>
          <w:rFonts w:hint="eastAsia" w:cs="Times New Roman" w:asciiTheme="minorEastAsia" w:hAnsiTheme="minorEastAsia" w:eastAsiaTheme="minorEastAsia"/>
          <w:szCs w:val="21"/>
        </w:rPr>
        <w:t>”</w:t>
      </w:r>
      <w:r>
        <w:rPr>
          <w:rFonts w:cs="Times New Roman" w:asciiTheme="minorEastAsia" w:hAnsiTheme="minorEastAsia" w:eastAsiaTheme="minorEastAsia"/>
          <w:szCs w:val="21"/>
        </w:rPr>
        <w:t>提供伴随服务/售后服务的，应按合同总价款的</w:t>
      </w:r>
      <w:r>
        <w:rPr>
          <w:rFonts w:cs="Times New Roman" w:asciiTheme="minorEastAsia" w:hAnsiTheme="minorEastAsia" w:eastAsiaTheme="minorEastAsia"/>
          <w:szCs w:val="21"/>
          <w:u w:val="single"/>
        </w:rPr>
        <w:t xml:space="preserve">  </w:t>
      </w:r>
      <w:r>
        <w:rPr>
          <w:rFonts w:cs="Times New Roman" w:asciiTheme="minorEastAsia" w:hAnsiTheme="minorEastAsia" w:eastAsiaTheme="minorEastAsia"/>
          <w:szCs w:val="21"/>
        </w:rPr>
        <w:t>%向甲方承担违约责任。</w:t>
      </w:r>
    </w:p>
    <w:p>
      <w:pPr>
        <w:pStyle w:val="59"/>
        <w:spacing w:line="460" w:lineRule="exact"/>
        <w:ind w:firstLine="42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（8）乙方在承担上述1-7款一项或多项违约责任后，仍应继续履行合同规定的义务（甲方解除合同的除外）。甲方未能及时追究乙方的任何一项违约责任并不表明甲方放弃追究乙方该项或其他违约责任。</w:t>
      </w:r>
    </w:p>
    <w:p>
      <w:pPr>
        <w:pStyle w:val="59"/>
        <w:spacing w:line="460" w:lineRule="exact"/>
        <w:ind w:firstLine="315" w:firstLineChars="15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（9）乙方偿付的违约金不足以弥补甲方损失的，还应按甲方损失尚未弥补的部分，支付赔偿金给甲方。</w:t>
      </w:r>
    </w:p>
    <w:p>
      <w:pPr>
        <w:pStyle w:val="59"/>
        <w:spacing w:line="460" w:lineRule="exact"/>
        <w:ind w:firstLine="0" w:firstLineChars="0"/>
        <w:contextualSpacing/>
        <w:rPr>
          <w:rFonts w:cs="Times New Roman" w:asciiTheme="minorEastAsia" w:hAnsiTheme="minorEastAsia" w:eastAsiaTheme="minorEastAsia"/>
          <w:b/>
          <w:szCs w:val="21"/>
        </w:rPr>
      </w:pPr>
      <w:r>
        <w:rPr>
          <w:rFonts w:cs="Times New Roman" w:asciiTheme="minorEastAsia" w:hAnsiTheme="minorEastAsia" w:eastAsiaTheme="minorEastAsia"/>
          <w:b/>
          <w:szCs w:val="21"/>
        </w:rPr>
        <w:t>第十三条 合同的变更和终止</w:t>
      </w:r>
    </w:p>
    <w:p>
      <w:pPr>
        <w:pStyle w:val="59"/>
        <w:spacing w:line="460" w:lineRule="exact"/>
        <w:ind w:firstLine="420"/>
        <w:contextualSpacing/>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在合同的执行期内，双方均不得随意变更或解除合同。如因项目需求情况发生变化，需要项目变更的，应双方协商后签订项目变更协议，并经鉴证方确认后生效（如双方变更事项不能达成一致的，仍按原合同履行，否则视为违约）。</w:t>
      </w:r>
    </w:p>
    <w:p>
      <w:pPr>
        <w:widowControl/>
        <w:spacing w:line="460" w:lineRule="exact"/>
        <w:contextualSpacing/>
        <w:jc w:val="left"/>
        <w:rPr>
          <w:rFonts w:asciiTheme="minorEastAsia" w:hAnsiTheme="minorEastAsia" w:eastAsiaTheme="minorEastAsia"/>
          <w:b/>
          <w:szCs w:val="21"/>
        </w:rPr>
      </w:pPr>
      <w:r>
        <w:rPr>
          <w:rFonts w:asciiTheme="minorEastAsia" w:hAnsiTheme="minorEastAsia" w:eastAsiaTheme="minorEastAsia"/>
          <w:b/>
          <w:szCs w:val="21"/>
        </w:rPr>
        <w:t>第十四条 争议的解决</w:t>
      </w:r>
    </w:p>
    <w:p>
      <w:pPr>
        <w:pStyle w:val="59"/>
        <w:spacing w:line="460" w:lineRule="exact"/>
        <w:ind w:firstLine="210" w:firstLineChars="100"/>
        <w:contextualSpacing/>
        <w:rPr>
          <w:rFonts w:cs="Times New Roman" w:asciiTheme="minorEastAsia" w:hAnsiTheme="minorEastAsia" w:eastAsiaTheme="minorEastAsia"/>
          <w:szCs w:val="21"/>
        </w:rPr>
      </w:pPr>
      <w:r>
        <w:rPr>
          <w:rFonts w:cs="Times New Roman" w:asciiTheme="minorEastAsia" w:hAnsiTheme="minorEastAsia" w:eastAsiaTheme="minorEastAsia"/>
          <w:szCs w:val="21"/>
        </w:rPr>
        <w:t>1、因货物的质量问题发生争议，由质量技术监督部门或其指定的质量鉴定机构进行质量鉴定。货物符合标准的，鉴定费由甲方承担；货物不符合质量标准的，鉴定费由乙方承担。</w:t>
      </w:r>
    </w:p>
    <w:p>
      <w:pPr>
        <w:widowControl/>
        <w:spacing w:line="460" w:lineRule="exact"/>
        <w:ind w:firstLine="210" w:firstLineChars="100"/>
        <w:contextualSpacing/>
        <w:jc w:val="left"/>
        <w:rPr>
          <w:rFonts w:asciiTheme="minorEastAsia" w:hAnsiTheme="minorEastAsia" w:eastAsiaTheme="minorEastAsia"/>
          <w:szCs w:val="21"/>
        </w:rPr>
      </w:pPr>
      <w:r>
        <w:rPr>
          <w:rFonts w:asciiTheme="minorEastAsia" w:hAnsiTheme="minorEastAsia" w:eastAsiaTheme="minorEastAsia"/>
          <w:szCs w:val="21"/>
        </w:rPr>
        <w:t>2、因履行本合同引起的或与本合同有关的争议，甲、乙双方应首先通过友好协商解决，如果协商不能解决争议，则采取以下第____种方式解决争议：</w:t>
      </w:r>
    </w:p>
    <w:p>
      <w:pPr>
        <w:widowControl/>
        <w:spacing w:line="460" w:lineRule="exact"/>
        <w:ind w:firstLine="420"/>
        <w:contextualSpacing/>
        <w:jc w:val="left"/>
        <w:rPr>
          <w:rFonts w:asciiTheme="minorEastAsia" w:hAnsiTheme="minorEastAsia" w:eastAsiaTheme="minorEastAsia"/>
          <w:szCs w:val="21"/>
        </w:rPr>
      </w:pPr>
      <w:r>
        <w:rPr>
          <w:rFonts w:asciiTheme="minorEastAsia" w:hAnsiTheme="minorEastAsia" w:eastAsiaTheme="minorEastAsia"/>
          <w:szCs w:val="21"/>
        </w:rPr>
        <w:t>（1）向甲方所在地有管辖权的人民法院提起诉讼；</w:t>
      </w:r>
    </w:p>
    <w:p>
      <w:pPr>
        <w:widowControl/>
        <w:spacing w:line="460" w:lineRule="exact"/>
        <w:ind w:left="630" w:leftChars="200" w:hanging="210" w:hangingChars="100"/>
        <w:contextualSpacing/>
        <w:jc w:val="left"/>
        <w:rPr>
          <w:rFonts w:asciiTheme="minorEastAsia" w:hAnsiTheme="minorEastAsia" w:eastAsiaTheme="minorEastAsia"/>
          <w:szCs w:val="21"/>
        </w:rPr>
      </w:pPr>
      <w:r>
        <w:rPr>
          <w:rFonts w:asciiTheme="minorEastAsia" w:hAnsiTheme="minorEastAsia" w:eastAsiaTheme="minorEastAsia"/>
          <w:szCs w:val="21"/>
        </w:rPr>
        <w:t>（2）向____________仲裁委员会按其仲裁规则申请仲裁。</w:t>
      </w:r>
    </w:p>
    <w:p>
      <w:pPr>
        <w:widowControl/>
        <w:spacing w:line="460" w:lineRule="exact"/>
        <w:ind w:firstLine="210" w:firstLineChars="100"/>
        <w:contextualSpacing/>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在仲裁期间，本合同应继续履行。</w:t>
      </w:r>
    </w:p>
    <w:p>
      <w:pPr>
        <w:widowControl/>
        <w:spacing w:line="460" w:lineRule="exact"/>
        <w:contextualSpacing/>
        <w:jc w:val="left"/>
        <w:rPr>
          <w:rFonts w:asciiTheme="minorEastAsia" w:hAnsiTheme="minorEastAsia" w:eastAsiaTheme="minorEastAsia"/>
          <w:b/>
          <w:szCs w:val="21"/>
        </w:rPr>
      </w:pPr>
      <w:r>
        <w:rPr>
          <w:rFonts w:asciiTheme="minorEastAsia" w:hAnsiTheme="minorEastAsia" w:eastAsiaTheme="minorEastAsia"/>
          <w:b/>
          <w:szCs w:val="21"/>
        </w:rPr>
        <w:t>第十五条 合同文件</w:t>
      </w:r>
    </w:p>
    <w:p>
      <w:pPr>
        <w:spacing w:line="460" w:lineRule="exact"/>
        <w:ind w:firstLine="420" w:firstLineChars="200"/>
        <w:contextualSpacing/>
        <w:rPr>
          <w:rFonts w:asciiTheme="minorEastAsia" w:hAnsiTheme="minorEastAsia" w:eastAsiaTheme="minorEastAsia"/>
          <w:szCs w:val="21"/>
        </w:rPr>
      </w:pPr>
      <w:r>
        <w:rPr>
          <w:rFonts w:asciiTheme="minorEastAsia" w:hAnsiTheme="minorEastAsia" w:eastAsiaTheme="minorEastAsia"/>
          <w:szCs w:val="21"/>
        </w:rPr>
        <w:t>详细技术说明及其他有关合同项目的特定信息由合同附件予以说明，下列文件构成本合同的组成部分，应该认为是一个整体，彼此相互解释，相互补充。组成合同的多个文件的优先支配地位的次序如下：</w:t>
      </w:r>
    </w:p>
    <w:p>
      <w:pPr>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1、本合同书</w:t>
      </w:r>
    </w:p>
    <w:p>
      <w:pPr>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2、中标通知书</w:t>
      </w:r>
      <w:r>
        <w:rPr>
          <w:rFonts w:asciiTheme="minorEastAsia" w:hAnsiTheme="minorEastAsia" w:eastAsiaTheme="minorEastAsia"/>
          <w:szCs w:val="21"/>
        </w:rPr>
        <w:tab/>
      </w:r>
    </w:p>
    <w:p>
      <w:pPr>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3、协议</w:t>
      </w:r>
    </w:p>
    <w:p>
      <w:pPr>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4、投标文件(含澄清文件)</w:t>
      </w:r>
    </w:p>
    <w:p>
      <w:pPr>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5、招标文件(含招标文件补充通知)</w:t>
      </w:r>
    </w:p>
    <w:p>
      <w:pPr>
        <w:widowControl/>
        <w:spacing w:line="460" w:lineRule="exact"/>
        <w:contextualSpacing/>
        <w:jc w:val="left"/>
        <w:rPr>
          <w:rFonts w:asciiTheme="minorEastAsia" w:hAnsiTheme="minorEastAsia" w:eastAsiaTheme="minorEastAsia"/>
          <w:b/>
          <w:szCs w:val="21"/>
        </w:rPr>
      </w:pPr>
      <w:r>
        <w:rPr>
          <w:rFonts w:asciiTheme="minorEastAsia" w:hAnsiTheme="minorEastAsia" w:eastAsiaTheme="minorEastAsia"/>
          <w:b/>
          <w:szCs w:val="21"/>
        </w:rPr>
        <w:t>第十六条</w:t>
      </w:r>
      <w:r>
        <w:rPr>
          <w:rFonts w:hint="eastAsia" w:asciiTheme="minorEastAsia" w:hAnsiTheme="minorEastAsia" w:eastAsiaTheme="minorEastAsia"/>
          <w:b/>
          <w:szCs w:val="21"/>
        </w:rPr>
        <w:t xml:space="preserve"> </w:t>
      </w:r>
      <w:r>
        <w:rPr>
          <w:rFonts w:asciiTheme="minorEastAsia" w:hAnsiTheme="minorEastAsia" w:eastAsiaTheme="minorEastAsia"/>
          <w:b/>
          <w:szCs w:val="21"/>
        </w:rPr>
        <w:t>合同生效及其他</w:t>
      </w:r>
    </w:p>
    <w:p>
      <w:pPr>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本合同一式</w:t>
      </w:r>
      <w:r>
        <w:rPr>
          <w:rFonts w:hint="eastAsia" w:asciiTheme="minorEastAsia" w:hAnsiTheme="minorEastAsia" w:eastAsiaTheme="minorEastAsia"/>
          <w:szCs w:val="21"/>
          <w:u w:val="single"/>
        </w:rPr>
        <w:t xml:space="preserve"> 陆 </w:t>
      </w:r>
      <w:r>
        <w:rPr>
          <w:rFonts w:hint="eastAsia" w:asciiTheme="minorEastAsia" w:hAnsiTheme="minorEastAsia" w:eastAsiaTheme="minorEastAsia"/>
          <w:szCs w:val="21"/>
        </w:rPr>
        <w:t>份，甲方持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份，乙方持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本合同甲、乙</w:t>
      </w:r>
      <w:r>
        <w:rPr>
          <w:rFonts w:hint="eastAsia" w:asciiTheme="minorEastAsia" w:hAnsiTheme="minorEastAsia" w:eastAsiaTheme="minorEastAsia"/>
          <w:szCs w:val="21"/>
          <w:lang w:val="en-US" w:eastAsia="zh-CN"/>
        </w:rPr>
        <w:t>双</w:t>
      </w:r>
      <w:r>
        <w:rPr>
          <w:rFonts w:hint="eastAsia" w:asciiTheme="minorEastAsia" w:hAnsiTheme="minorEastAsia" w:eastAsiaTheme="minorEastAsia"/>
          <w:szCs w:val="21"/>
        </w:rPr>
        <w:t>方签字并盖章后生效。</w:t>
      </w:r>
    </w:p>
    <w:p>
      <w:pPr>
        <w:spacing w:line="460" w:lineRule="exact"/>
        <w:ind w:firstLine="210" w:firstLineChars="100"/>
        <w:contextualSpacing/>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 xml:space="preserve">甲乙双方因不可抗力导致本合同全部或部分不能履行时，发生不可抗力的一方应当在不可抗力发生后 </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 xml:space="preserve"> 天内书面通知对方，以减轻可能给对方造成的损失。因不可抗力导致本合同全部或部分不能履行时，双方各自承担其因此而造成的损失、损害。</w:t>
      </w:r>
    </w:p>
    <w:p>
      <w:pPr>
        <w:spacing w:line="460" w:lineRule="exact"/>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、合同未尽事宜，由甲、乙双方协商并经鉴证方确认后签订政府采购补充合同，与原合同具有同等法律效力。</w:t>
      </w:r>
    </w:p>
    <w:p>
      <w:pPr>
        <w:pStyle w:val="17"/>
      </w:pPr>
    </w:p>
    <w:p>
      <w:pPr>
        <w:spacing w:line="460" w:lineRule="exact"/>
        <w:ind w:firstLine="539"/>
        <w:contextualSpacing/>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本页以下无正文</w:t>
      </w:r>
      <w:r>
        <w:rPr>
          <w:rFonts w:asciiTheme="minorEastAsia" w:hAnsiTheme="minorEastAsia" w:eastAsiaTheme="minorEastAsia"/>
          <w:szCs w:val="21"/>
        </w:rPr>
        <w:t>）</w:t>
      </w:r>
    </w:p>
    <w:p>
      <w:pPr>
        <w:pStyle w:val="17"/>
      </w:pPr>
    </w:p>
    <w:tbl>
      <w:tblPr>
        <w:tblStyle w:val="40"/>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0"/>
        <w:gridCol w:w="4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500" w:type="pct"/>
            <w:vAlign w:val="center"/>
          </w:tcPr>
          <w:p>
            <w:pPr>
              <w:jc w:val="center"/>
              <w:rPr>
                <w:rFonts w:ascii="宋体" w:hAnsi="宋体"/>
                <w:b/>
                <w:szCs w:val="21"/>
              </w:rPr>
            </w:pPr>
            <w:r>
              <w:rPr>
                <w:rFonts w:hint="eastAsia" w:ascii="宋体" w:hAnsi="宋体"/>
                <w:b/>
                <w:szCs w:val="21"/>
              </w:rPr>
              <w:t>甲  方</w:t>
            </w:r>
          </w:p>
        </w:tc>
        <w:tc>
          <w:tcPr>
            <w:tcW w:w="2500" w:type="pct"/>
            <w:vAlign w:val="center"/>
          </w:tcPr>
          <w:p>
            <w:pPr>
              <w:jc w:val="center"/>
              <w:rPr>
                <w:rFonts w:ascii="宋体" w:hAnsi="宋体"/>
                <w:b/>
                <w:szCs w:val="21"/>
              </w:rPr>
            </w:pPr>
            <w:r>
              <w:rPr>
                <w:rFonts w:hint="eastAsia" w:ascii="宋体" w:hAnsi="宋体"/>
                <w:b/>
                <w:szCs w:val="21"/>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500" w:type="pct"/>
            <w:vAlign w:val="center"/>
          </w:tcPr>
          <w:p>
            <w:pPr>
              <w:jc w:val="both"/>
              <w:rPr>
                <w:rFonts w:ascii="宋体" w:hAnsi="宋体"/>
                <w:szCs w:val="21"/>
              </w:rPr>
            </w:pPr>
            <w:r>
              <w:rPr>
                <w:rFonts w:hint="eastAsia" w:ascii="宋体" w:hAnsi="宋体"/>
                <w:szCs w:val="21"/>
                <w:lang w:val="en-US" w:eastAsia="zh-CN"/>
              </w:rPr>
              <w:t>全称</w:t>
            </w:r>
            <w:r>
              <w:rPr>
                <w:rFonts w:hint="eastAsia" w:ascii="宋体" w:hAnsi="宋体"/>
                <w:szCs w:val="21"/>
              </w:rPr>
              <w:t>（盖章）</w:t>
            </w:r>
          </w:p>
        </w:tc>
        <w:tc>
          <w:tcPr>
            <w:tcW w:w="2500" w:type="pct"/>
            <w:vAlign w:val="center"/>
          </w:tcPr>
          <w:p>
            <w:pPr>
              <w:jc w:val="both"/>
              <w:rPr>
                <w:rFonts w:ascii="宋体" w:hAnsi="宋体"/>
                <w:szCs w:val="21"/>
              </w:rPr>
            </w:pPr>
            <w:r>
              <w:rPr>
                <w:rFonts w:hint="eastAsia" w:ascii="宋体" w:hAnsi="宋体"/>
                <w:szCs w:val="21"/>
                <w:lang w:val="en-US" w:eastAsia="zh-CN"/>
              </w:rPr>
              <w:t>全称</w:t>
            </w:r>
            <w:r>
              <w:rPr>
                <w:rFonts w:hint="eastAsia" w:ascii="宋体" w:hAnsi="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500" w:type="pct"/>
            <w:vAlign w:val="center"/>
          </w:tcPr>
          <w:p>
            <w:pPr>
              <w:jc w:val="both"/>
              <w:rPr>
                <w:rFonts w:ascii="宋体" w:hAnsi="宋体"/>
                <w:szCs w:val="21"/>
              </w:rPr>
            </w:pPr>
            <w:r>
              <w:rPr>
                <w:rFonts w:hint="eastAsia" w:ascii="宋体" w:hAnsi="宋体"/>
                <w:szCs w:val="21"/>
              </w:rPr>
              <w:t>地址：</w:t>
            </w:r>
          </w:p>
        </w:tc>
        <w:tc>
          <w:tcPr>
            <w:tcW w:w="2500" w:type="pct"/>
            <w:vAlign w:val="center"/>
          </w:tcPr>
          <w:p>
            <w:pPr>
              <w:rPr>
                <w:rFonts w:ascii="宋体" w:hAnsi="宋体"/>
                <w:szCs w:val="21"/>
              </w:rPr>
            </w:pPr>
            <w:r>
              <w:rPr>
                <w:rFonts w:hint="eastAsia" w:ascii="宋体" w:hAnsi="宋体"/>
                <w:szCs w:val="21"/>
              </w:rPr>
              <w:t>地址：</w:t>
            </w:r>
            <w:r>
              <w:rPr>
                <w:rFonts w:hint="eastAsia" w:ascii="宋体" w:hAnsi="宋体" w:cs="宋体"/>
                <w:bCs/>
                <w:color w:val="333333"/>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500" w:type="pct"/>
            <w:vAlign w:val="center"/>
          </w:tcPr>
          <w:p>
            <w:pPr>
              <w:jc w:val="both"/>
              <w:rPr>
                <w:rFonts w:ascii="宋体" w:hAnsi="宋体"/>
                <w:szCs w:val="21"/>
              </w:rPr>
            </w:pPr>
            <w:r>
              <w:rPr>
                <w:rFonts w:hint="eastAsia" w:ascii="宋体" w:hAnsi="宋体"/>
                <w:szCs w:val="21"/>
              </w:rPr>
              <w:t>法定代表人：</w:t>
            </w:r>
          </w:p>
          <w:p>
            <w:pPr>
              <w:ind w:firstLine="1890" w:firstLineChars="900"/>
              <w:jc w:val="center"/>
              <w:rPr>
                <w:rFonts w:ascii="宋体" w:hAnsi="宋体"/>
                <w:szCs w:val="21"/>
              </w:rPr>
            </w:pPr>
          </w:p>
          <w:p>
            <w:pPr>
              <w:pStyle w:val="17"/>
              <w:rPr>
                <w:szCs w:val="21"/>
              </w:rPr>
            </w:pPr>
          </w:p>
          <w:p>
            <w:pPr>
              <w:ind w:firstLine="1470" w:firstLineChars="700"/>
              <w:jc w:val="center"/>
              <w:rPr>
                <w:rFonts w:ascii="宋体" w:hAnsi="宋体"/>
                <w:szCs w:val="21"/>
              </w:rPr>
            </w:pPr>
            <w:r>
              <w:rPr>
                <w:rFonts w:hint="eastAsia" w:ascii="宋体" w:hAnsi="宋体"/>
                <w:szCs w:val="21"/>
              </w:rPr>
              <w:t>（签字或盖章）</w:t>
            </w:r>
          </w:p>
        </w:tc>
        <w:tc>
          <w:tcPr>
            <w:tcW w:w="2500" w:type="pct"/>
            <w:vAlign w:val="center"/>
          </w:tcPr>
          <w:p>
            <w:pPr>
              <w:rPr>
                <w:rFonts w:ascii="宋体" w:hAnsi="宋体"/>
                <w:szCs w:val="21"/>
              </w:rPr>
            </w:pPr>
            <w:r>
              <w:rPr>
                <w:rFonts w:hint="eastAsia" w:ascii="宋体" w:hAnsi="宋体"/>
                <w:szCs w:val="21"/>
              </w:rPr>
              <w:t xml:space="preserve">法定代表人：         </w:t>
            </w:r>
          </w:p>
          <w:p>
            <w:pPr>
              <w:rPr>
                <w:rFonts w:ascii="宋体" w:hAnsi="宋体"/>
                <w:szCs w:val="21"/>
              </w:rPr>
            </w:pPr>
          </w:p>
          <w:p>
            <w:pPr>
              <w:rPr>
                <w:szCs w:val="21"/>
              </w:rPr>
            </w:pPr>
          </w:p>
          <w:p>
            <w:pPr>
              <w:ind w:firstLine="1470" w:firstLineChars="700"/>
              <w:rPr>
                <w:rFonts w:ascii="宋体" w:hAnsi="宋体"/>
                <w:szCs w:val="21"/>
              </w:rPr>
            </w:pPr>
            <w:r>
              <w:rPr>
                <w:rFonts w:hint="eastAsia" w:ascii="宋体" w:hAnsi="宋体"/>
                <w:szCs w:val="21"/>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500" w:type="pct"/>
            <w:vAlign w:val="center"/>
          </w:tcPr>
          <w:p>
            <w:pPr>
              <w:jc w:val="both"/>
              <w:rPr>
                <w:rFonts w:ascii="宋体" w:hAnsi="宋体"/>
                <w:szCs w:val="21"/>
              </w:rPr>
            </w:pPr>
            <w:r>
              <w:rPr>
                <w:rFonts w:hint="eastAsia" w:ascii="宋体" w:hAnsi="宋体"/>
                <w:szCs w:val="21"/>
              </w:rPr>
              <w:t>被授权代表：</w:t>
            </w:r>
          </w:p>
          <w:p>
            <w:pPr>
              <w:jc w:val="center"/>
              <w:rPr>
                <w:rFonts w:ascii="宋体" w:hAnsi="宋体"/>
                <w:szCs w:val="21"/>
              </w:rPr>
            </w:pPr>
          </w:p>
          <w:p>
            <w:pPr>
              <w:jc w:val="center"/>
              <w:rPr>
                <w:rFonts w:ascii="宋体" w:hAnsi="宋体"/>
                <w:szCs w:val="21"/>
              </w:rPr>
            </w:pPr>
          </w:p>
          <w:p>
            <w:pPr>
              <w:ind w:firstLine="1470" w:firstLineChars="700"/>
              <w:jc w:val="center"/>
              <w:rPr>
                <w:rFonts w:ascii="宋体" w:hAnsi="宋体"/>
                <w:szCs w:val="21"/>
              </w:rPr>
            </w:pPr>
            <w:r>
              <w:rPr>
                <w:rFonts w:hint="eastAsia" w:ascii="宋体" w:hAnsi="宋体"/>
                <w:szCs w:val="21"/>
              </w:rPr>
              <w:t>（签字或盖章）</w:t>
            </w:r>
          </w:p>
        </w:tc>
        <w:tc>
          <w:tcPr>
            <w:tcW w:w="2500" w:type="pct"/>
            <w:vAlign w:val="center"/>
          </w:tcPr>
          <w:p>
            <w:pPr>
              <w:rPr>
                <w:rFonts w:ascii="宋体" w:hAnsi="宋体"/>
                <w:szCs w:val="21"/>
              </w:rPr>
            </w:pPr>
            <w:r>
              <w:rPr>
                <w:rFonts w:hint="eastAsia" w:ascii="宋体" w:hAnsi="宋体"/>
                <w:szCs w:val="21"/>
              </w:rPr>
              <w:t xml:space="preserve">被授权代表：        </w:t>
            </w:r>
          </w:p>
          <w:p>
            <w:pPr>
              <w:ind w:firstLine="210" w:firstLineChars="100"/>
              <w:rPr>
                <w:rFonts w:ascii="宋体" w:hAnsi="宋体"/>
                <w:szCs w:val="21"/>
              </w:rPr>
            </w:pPr>
          </w:p>
          <w:p>
            <w:pPr>
              <w:ind w:firstLine="210" w:firstLineChars="100"/>
              <w:rPr>
                <w:rFonts w:ascii="宋体" w:hAnsi="宋体"/>
                <w:szCs w:val="21"/>
              </w:rPr>
            </w:pPr>
          </w:p>
          <w:p>
            <w:pPr>
              <w:ind w:firstLine="1470" w:firstLineChars="700"/>
              <w:rPr>
                <w:rFonts w:ascii="宋体" w:hAnsi="宋体"/>
                <w:szCs w:val="21"/>
              </w:rPr>
            </w:pPr>
            <w:r>
              <w:rPr>
                <w:rFonts w:hint="eastAsia" w:ascii="宋体" w:hAnsi="宋体"/>
                <w:szCs w:val="21"/>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500" w:type="pct"/>
            <w:vAlign w:val="center"/>
          </w:tcPr>
          <w:p>
            <w:pPr>
              <w:jc w:val="both"/>
              <w:rPr>
                <w:rFonts w:ascii="宋体" w:hAnsi="宋体"/>
                <w:szCs w:val="21"/>
              </w:rPr>
            </w:pPr>
            <w:r>
              <w:rPr>
                <w:rFonts w:hint="eastAsia" w:ascii="宋体" w:hAnsi="宋体"/>
                <w:szCs w:val="21"/>
              </w:rPr>
              <w:t>电 话</w:t>
            </w:r>
            <w:r>
              <w:rPr>
                <w:rFonts w:hint="eastAsia" w:asciiTheme="minorEastAsia" w:hAnsiTheme="minorEastAsia" w:eastAsiaTheme="minorEastAsia"/>
                <w:szCs w:val="21"/>
              </w:rPr>
              <w:t>：</w:t>
            </w:r>
          </w:p>
        </w:tc>
        <w:tc>
          <w:tcPr>
            <w:tcW w:w="2500" w:type="pct"/>
            <w:vAlign w:val="center"/>
          </w:tcPr>
          <w:p>
            <w:pPr>
              <w:rPr>
                <w:rFonts w:ascii="宋体" w:hAnsi="宋体"/>
                <w:szCs w:val="21"/>
              </w:rPr>
            </w:pPr>
            <w:r>
              <w:rPr>
                <w:rFonts w:hint="eastAsia" w:ascii="宋体" w:hAnsi="宋体"/>
                <w:szCs w:val="21"/>
              </w:rPr>
              <w:t xml:space="preserve">电 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500" w:type="pct"/>
            <w:vAlign w:val="center"/>
          </w:tcPr>
          <w:p>
            <w:pPr>
              <w:jc w:val="both"/>
              <w:rPr>
                <w:rFonts w:ascii="宋体" w:hAnsi="宋体"/>
                <w:szCs w:val="21"/>
              </w:rPr>
            </w:pPr>
            <w:r>
              <w:rPr>
                <w:rFonts w:hint="eastAsia" w:ascii="宋体" w:hAnsi="宋体"/>
                <w:szCs w:val="21"/>
              </w:rPr>
              <w:t>邮 编：</w:t>
            </w:r>
          </w:p>
        </w:tc>
        <w:tc>
          <w:tcPr>
            <w:tcW w:w="2500" w:type="pct"/>
            <w:vAlign w:val="center"/>
          </w:tcPr>
          <w:p>
            <w:pPr>
              <w:rPr>
                <w:rFonts w:ascii="宋体" w:hAnsi="宋体"/>
                <w:szCs w:val="21"/>
              </w:rPr>
            </w:pPr>
            <w:r>
              <w:rPr>
                <w:rFonts w:hint="eastAsia" w:ascii="宋体" w:hAnsi="宋体"/>
                <w:szCs w:val="21"/>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500" w:type="pct"/>
            <w:vAlign w:val="center"/>
          </w:tcPr>
          <w:p>
            <w:pPr>
              <w:ind w:firstLine="420" w:firstLineChars="200"/>
              <w:jc w:val="center"/>
              <w:rPr>
                <w:rFonts w:ascii="宋体" w:hAnsi="宋体"/>
                <w:szCs w:val="21"/>
              </w:rPr>
            </w:pPr>
          </w:p>
        </w:tc>
        <w:tc>
          <w:tcPr>
            <w:tcW w:w="2500" w:type="pct"/>
            <w:vAlign w:val="center"/>
          </w:tcPr>
          <w:p>
            <w:pPr>
              <w:rPr>
                <w:rFonts w:ascii="宋体" w:hAnsi="宋体"/>
                <w:szCs w:val="21"/>
              </w:rPr>
            </w:pPr>
            <w:r>
              <w:rPr>
                <w:rFonts w:hint="eastAsia" w:ascii="宋体" w:hAnsi="宋体"/>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500" w:type="pct"/>
            <w:vAlign w:val="center"/>
          </w:tcPr>
          <w:p>
            <w:pPr>
              <w:ind w:firstLine="420" w:firstLineChars="200"/>
              <w:jc w:val="center"/>
              <w:rPr>
                <w:rFonts w:ascii="宋体" w:hAnsi="宋体"/>
                <w:szCs w:val="21"/>
              </w:rPr>
            </w:pPr>
          </w:p>
        </w:tc>
        <w:tc>
          <w:tcPr>
            <w:tcW w:w="2500" w:type="pct"/>
            <w:vAlign w:val="center"/>
          </w:tcPr>
          <w:p>
            <w:pPr>
              <w:rPr>
                <w:rFonts w:ascii="宋体" w:hAnsi="宋体"/>
                <w:szCs w:val="21"/>
              </w:rPr>
            </w:pPr>
            <w:r>
              <w:rPr>
                <w:rFonts w:hint="eastAsia" w:ascii="宋体" w:hAnsi="宋体"/>
                <w:szCs w:val="21"/>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500" w:type="pct"/>
            <w:vAlign w:val="center"/>
          </w:tcPr>
          <w:p>
            <w:pPr>
              <w:jc w:val="center"/>
              <w:rPr>
                <w:rFonts w:ascii="宋体" w:hAnsi="宋体"/>
                <w:szCs w:val="21"/>
              </w:rPr>
            </w:pPr>
            <w:r>
              <w:rPr>
                <w:rFonts w:hint="eastAsia" w:ascii="宋体" w:hAnsi="宋体"/>
                <w:szCs w:val="21"/>
              </w:rPr>
              <w:t>日  期：     年   月   日</w:t>
            </w:r>
          </w:p>
        </w:tc>
        <w:tc>
          <w:tcPr>
            <w:tcW w:w="2500" w:type="pct"/>
            <w:vAlign w:val="center"/>
          </w:tcPr>
          <w:p>
            <w:pPr>
              <w:rPr>
                <w:rFonts w:ascii="宋体" w:hAnsi="宋体"/>
                <w:szCs w:val="21"/>
              </w:rPr>
            </w:pPr>
            <w:r>
              <w:rPr>
                <w:rFonts w:hint="eastAsia" w:ascii="宋体" w:hAnsi="宋体"/>
                <w:szCs w:val="21"/>
              </w:rPr>
              <w:t>日  期：     年   月   日</w:t>
            </w:r>
          </w:p>
        </w:tc>
      </w:tr>
    </w:tbl>
    <w:p/>
    <w:p>
      <w:pPr>
        <w:pStyle w:val="17"/>
      </w:pPr>
    </w:p>
    <w:p/>
    <w:p>
      <w:pPr>
        <w:adjustRightInd w:val="0"/>
        <w:snapToGrid w:val="0"/>
        <w:spacing w:line="480" w:lineRule="auto"/>
        <w:ind w:firstLine="415" w:firstLineChars="198"/>
        <w:rPr>
          <w:rFonts w:ascii="宋体" w:hAnsi="宋体" w:cs="宋体"/>
          <w:szCs w:val="21"/>
          <w:u w:val="single"/>
        </w:rPr>
      </w:pPr>
      <w:r>
        <w:rPr>
          <w:rFonts w:hint="eastAsia" w:ascii="宋体" w:hAnsi="宋体" w:cs="宋体"/>
          <w:szCs w:val="21"/>
          <w:u w:val="single"/>
        </w:rPr>
        <w:t xml:space="preserve"> </w:t>
      </w:r>
    </w:p>
    <w:p>
      <w:pPr>
        <w:pStyle w:val="17"/>
      </w:pPr>
    </w:p>
    <w:p/>
    <w:p>
      <w:pPr>
        <w:jc w:val="center"/>
        <w:outlineLvl w:val="0"/>
        <w:rPr>
          <w:rFonts w:ascii="宋体" w:hAnsi="宋体"/>
          <w:b/>
          <w:sz w:val="32"/>
          <w:szCs w:val="32"/>
        </w:rPr>
      </w:pPr>
      <w:bookmarkStart w:id="19" w:name="_Toc22675"/>
      <w:bookmarkStart w:id="20" w:name="_Toc9303"/>
      <w:r>
        <w:rPr>
          <w:rFonts w:hint="eastAsia" w:ascii="宋体" w:hAnsi="宋体"/>
          <w:b/>
          <w:sz w:val="32"/>
          <w:szCs w:val="32"/>
        </w:rPr>
        <w:t>第六章  投标文件构成及格式</w:t>
      </w:r>
      <w:bookmarkEnd w:id="19"/>
      <w:bookmarkEnd w:id="20"/>
    </w:p>
    <w:p>
      <w:pPr>
        <w:pStyle w:val="17"/>
        <w:spacing w:line="360" w:lineRule="auto"/>
        <w:jc w:val="left"/>
        <w:rPr>
          <w:rFonts w:ascii="宋体" w:hAnsi="宋体"/>
          <w:b/>
          <w:sz w:val="36"/>
          <w:szCs w:val="36"/>
        </w:rPr>
      </w:pPr>
      <w:r>
        <w:rPr>
          <w:rFonts w:hint="eastAsia" w:ascii="宋体" w:hAnsi="宋体"/>
          <w:b/>
          <w:sz w:val="36"/>
          <w:szCs w:val="36"/>
        </w:rPr>
        <w:t xml:space="preserve">                                </w:t>
      </w:r>
    </w:p>
    <w:p>
      <w:pPr>
        <w:pStyle w:val="17"/>
        <w:spacing w:line="480" w:lineRule="auto"/>
        <w:jc w:val="left"/>
        <w:rPr>
          <w:rFonts w:ascii="宋体" w:hAnsi="宋体"/>
          <w:b/>
          <w:bCs/>
          <w:szCs w:val="21"/>
        </w:rPr>
      </w:pPr>
      <w:r>
        <w:rPr>
          <w:rFonts w:hint="eastAsia" w:ascii="宋体" w:hAnsi="宋体"/>
          <w:b/>
          <w:bCs/>
          <w:szCs w:val="21"/>
        </w:rPr>
        <w:t>投标文件编制说明：</w:t>
      </w:r>
    </w:p>
    <w:p>
      <w:pPr>
        <w:spacing w:line="480" w:lineRule="auto"/>
        <w:ind w:firstLine="310" w:firstLineChars="147"/>
        <w:rPr>
          <w:rFonts w:ascii="宋体" w:hAnsi="宋体"/>
          <w:b/>
          <w:bCs/>
          <w:szCs w:val="21"/>
        </w:rPr>
      </w:pPr>
      <w:r>
        <w:rPr>
          <w:rFonts w:hint="eastAsia" w:ascii="宋体" w:hAnsi="宋体"/>
          <w:b/>
          <w:bCs/>
          <w:szCs w:val="21"/>
        </w:rPr>
        <w:t>1、投标文件格式，起到样式作用，编制投标文件前，请详细阅读招标文件，理解招标文件中的每一项要求；</w:t>
      </w:r>
    </w:p>
    <w:p>
      <w:pPr>
        <w:spacing w:line="480" w:lineRule="auto"/>
        <w:ind w:firstLine="310" w:firstLineChars="147"/>
        <w:rPr>
          <w:rFonts w:ascii="宋体" w:hAnsi="宋体"/>
          <w:b/>
          <w:bCs/>
          <w:szCs w:val="21"/>
        </w:rPr>
      </w:pPr>
      <w:r>
        <w:rPr>
          <w:rFonts w:hint="eastAsia" w:ascii="宋体" w:hAnsi="宋体"/>
          <w:b/>
          <w:bCs/>
          <w:szCs w:val="21"/>
        </w:rPr>
        <w:t>2、投标文件的编制应按照样本格式提供的内容，做出逐一明确的答复；投标供应商认为有必要，还可以做其它补充说明；</w:t>
      </w:r>
    </w:p>
    <w:p>
      <w:pPr>
        <w:spacing w:line="480" w:lineRule="auto"/>
        <w:ind w:firstLine="310" w:firstLineChars="147"/>
        <w:rPr>
          <w:rFonts w:ascii="宋体" w:hAnsi="宋体"/>
          <w:b/>
          <w:bCs/>
          <w:szCs w:val="21"/>
        </w:rPr>
      </w:pPr>
      <w:r>
        <w:rPr>
          <w:rFonts w:hint="eastAsia" w:ascii="宋体" w:hAnsi="宋体"/>
          <w:b/>
          <w:bCs/>
          <w:szCs w:val="21"/>
        </w:rPr>
        <w:t>3、投标文件全部编制完成，签字、加盖印章后，应自行编制目录；</w:t>
      </w:r>
    </w:p>
    <w:p>
      <w:pPr>
        <w:spacing w:line="480" w:lineRule="auto"/>
        <w:ind w:firstLine="310" w:firstLineChars="147"/>
        <w:rPr>
          <w:rFonts w:ascii="宋体" w:hAnsi="宋体"/>
          <w:b/>
          <w:bCs/>
          <w:szCs w:val="21"/>
        </w:rPr>
      </w:pPr>
      <w:r>
        <w:rPr>
          <w:rFonts w:hint="eastAsia" w:ascii="宋体" w:hAnsi="宋体"/>
          <w:b/>
          <w:bCs/>
          <w:szCs w:val="21"/>
        </w:rPr>
        <w:t>4、</w:t>
      </w:r>
      <w:bookmarkStart w:id="21" w:name="_Hlk104808544"/>
      <w:r>
        <w:rPr>
          <w:rFonts w:hint="eastAsia" w:ascii="宋体" w:hAnsi="宋体"/>
          <w:b/>
          <w:bCs/>
          <w:szCs w:val="21"/>
        </w:rPr>
        <w:t>当投标供应商属于中小微企业、残疾人福利性单位、监狱企业时需填写相应的声明函/证明函，否则应当将其留空或直接删除。</w:t>
      </w:r>
    </w:p>
    <w:p>
      <w:pPr>
        <w:spacing w:line="480" w:lineRule="auto"/>
        <w:ind w:firstLine="310" w:firstLineChars="147"/>
        <w:rPr>
          <w:rFonts w:ascii="宋体" w:hAnsi="宋体"/>
          <w:b/>
          <w:bCs/>
          <w:szCs w:val="21"/>
        </w:rPr>
      </w:pPr>
      <w:r>
        <w:rPr>
          <w:rFonts w:hint="eastAsia" w:ascii="宋体" w:hAnsi="宋体"/>
          <w:b/>
          <w:bCs/>
          <w:szCs w:val="21"/>
        </w:rPr>
        <w:t xml:space="preserve"> </w:t>
      </w:r>
      <w:bookmarkEnd w:id="21"/>
    </w:p>
    <w:p>
      <w:pPr>
        <w:spacing w:after="360" w:afterLines="150" w:line="360" w:lineRule="auto"/>
        <w:jc w:val="center"/>
        <w:rPr>
          <w:rFonts w:ascii="宋体" w:hAnsi="宋体"/>
          <w:b/>
          <w:bCs/>
          <w:szCs w:val="21"/>
        </w:rPr>
      </w:pPr>
    </w:p>
    <w:p>
      <w:pPr>
        <w:pStyle w:val="17"/>
      </w:pPr>
    </w:p>
    <w:p/>
    <w:p>
      <w:pPr>
        <w:pStyle w:val="17"/>
      </w:pPr>
    </w:p>
    <w:p/>
    <w:p>
      <w:pPr>
        <w:pStyle w:val="17"/>
      </w:pPr>
    </w:p>
    <w:p>
      <w:pPr>
        <w:pStyle w:val="17"/>
      </w:pPr>
    </w:p>
    <w:p>
      <w:pPr>
        <w:spacing w:after="360" w:afterLines="150" w:line="360" w:lineRule="auto"/>
        <w:jc w:val="center"/>
        <w:rPr>
          <w:rFonts w:ascii="宋体" w:hAnsi="宋体"/>
          <w:b/>
          <w:sz w:val="36"/>
          <w:szCs w:val="36"/>
        </w:rPr>
      </w:pPr>
    </w:p>
    <w:p>
      <w:pPr>
        <w:spacing w:after="360" w:afterLines="150" w:line="360" w:lineRule="auto"/>
        <w:jc w:val="center"/>
        <w:rPr>
          <w:rFonts w:ascii="宋体" w:hAnsi="宋体"/>
          <w:b/>
          <w:sz w:val="36"/>
          <w:szCs w:val="36"/>
        </w:rPr>
      </w:pPr>
    </w:p>
    <w:p>
      <w:pPr>
        <w:spacing w:after="360" w:afterLines="150" w:line="360" w:lineRule="auto"/>
        <w:jc w:val="center"/>
        <w:rPr>
          <w:rFonts w:ascii="宋体" w:hAnsi="宋体"/>
          <w:b/>
          <w:sz w:val="36"/>
          <w:szCs w:val="36"/>
        </w:rPr>
      </w:pPr>
    </w:p>
    <w:p>
      <w:pPr>
        <w:pStyle w:val="17"/>
      </w:pPr>
    </w:p>
    <w:p/>
    <w:p>
      <w:pPr>
        <w:spacing w:after="360" w:afterLines="150" w:line="360" w:lineRule="auto"/>
        <w:jc w:val="center"/>
        <w:rPr>
          <w:rFonts w:ascii="宋体" w:hAnsi="宋体"/>
          <w:b/>
          <w:sz w:val="36"/>
          <w:szCs w:val="36"/>
        </w:rPr>
      </w:pPr>
    </w:p>
    <w:p>
      <w:pPr>
        <w:spacing w:after="360" w:afterLines="150" w:line="360" w:lineRule="auto"/>
        <w:jc w:val="right"/>
        <w:rPr>
          <w:rFonts w:hint="eastAsia" w:ascii="宋体" w:hAnsi="宋体"/>
          <w:b/>
          <w:sz w:val="36"/>
          <w:szCs w:val="36"/>
        </w:rPr>
      </w:pPr>
      <w:r>
        <w:rPr>
          <w:rFonts w:hint="eastAsia" w:ascii="宋体" w:hAnsi="宋体"/>
          <w:b/>
          <w:sz w:val="36"/>
          <w:szCs w:val="36"/>
        </w:rPr>
        <w:t xml:space="preserve">   </w:t>
      </w:r>
    </w:p>
    <w:p>
      <w:pPr>
        <w:spacing w:after="360" w:afterLines="150" w:line="360" w:lineRule="auto"/>
        <w:jc w:val="right"/>
        <w:rPr>
          <w:rFonts w:ascii="宋体" w:hAnsi="宋体"/>
          <w:b/>
          <w:sz w:val="36"/>
          <w:szCs w:val="36"/>
        </w:rPr>
      </w:pPr>
      <w:r>
        <w:rPr>
          <w:rFonts w:hint="eastAsia" w:ascii="宋体" w:hAnsi="宋体"/>
          <w:b/>
          <w:sz w:val="36"/>
          <w:szCs w:val="36"/>
        </w:rPr>
        <w:t>【正(副)本】</w:t>
      </w:r>
    </w:p>
    <w:p>
      <w:pPr>
        <w:spacing w:after="360" w:afterLines="150" w:line="360" w:lineRule="auto"/>
        <w:ind w:right="720"/>
        <w:rPr>
          <w:rFonts w:hint="eastAsia" w:ascii="宋体" w:hAnsi="宋体" w:eastAsia="宋体" w:cs="宋体"/>
          <w:b/>
          <w:bCs/>
          <w:sz w:val="24"/>
          <w:lang w:eastAsia="zh-CN"/>
        </w:rPr>
      </w:pPr>
      <w:r>
        <w:rPr>
          <w:rFonts w:hint="eastAsia" w:ascii="宋体" w:hAnsi="宋体"/>
          <w:b/>
          <w:sz w:val="24"/>
        </w:rPr>
        <w:t xml:space="preserve">项目编号: </w:t>
      </w:r>
      <w:r>
        <w:rPr>
          <w:rFonts w:hint="eastAsia" w:ascii="宋体" w:hAnsi="宋体" w:cs="宋体"/>
          <w:b/>
          <w:bCs/>
          <w:sz w:val="24"/>
          <w:lang w:eastAsia="zh-CN"/>
        </w:rPr>
        <w:t>ZZTT-CG-2022-25</w:t>
      </w:r>
    </w:p>
    <w:p>
      <w:pPr>
        <w:pStyle w:val="17"/>
        <w:spacing w:line="276" w:lineRule="auto"/>
        <w:rPr>
          <w:rFonts w:ascii="宋体" w:hAnsi="宋体"/>
          <w:sz w:val="10"/>
          <w:szCs w:val="13"/>
        </w:rPr>
      </w:pPr>
    </w:p>
    <w:p>
      <w:pPr>
        <w:spacing w:line="276" w:lineRule="auto"/>
        <w:jc w:val="center"/>
        <w:rPr>
          <w:rFonts w:hint="eastAsia" w:ascii="宋体" w:hAnsi="宋体" w:eastAsia="宋体"/>
          <w:b/>
          <w:sz w:val="48"/>
          <w:szCs w:val="48"/>
          <w:lang w:eastAsia="zh-CN"/>
        </w:rPr>
      </w:pPr>
      <w:r>
        <w:rPr>
          <w:rFonts w:hint="eastAsia" w:ascii="宋体" w:hAnsi="宋体"/>
          <w:b/>
          <w:sz w:val="48"/>
          <w:szCs w:val="48"/>
          <w:lang w:eastAsia="zh-CN"/>
        </w:rPr>
        <w:t>白水县医疗服务与保障能力提升（疾控机构能力建设）项目</w:t>
      </w:r>
    </w:p>
    <w:p>
      <w:pPr>
        <w:pStyle w:val="17"/>
      </w:pPr>
    </w:p>
    <w:p/>
    <w:p>
      <w:pPr>
        <w:spacing w:line="360" w:lineRule="auto"/>
        <w:jc w:val="center"/>
        <w:rPr>
          <w:rFonts w:ascii="宋体" w:hAnsi="宋体"/>
          <w:b/>
          <w:sz w:val="30"/>
          <w:szCs w:val="30"/>
        </w:rPr>
      </w:pPr>
    </w:p>
    <w:p>
      <w:pPr>
        <w:pStyle w:val="17"/>
        <w:rPr>
          <w:rFonts w:ascii="宋体" w:hAnsi="宋体"/>
        </w:rPr>
      </w:pPr>
    </w:p>
    <w:p>
      <w:pPr>
        <w:rPr>
          <w:rFonts w:ascii="宋体" w:hAnsi="宋体"/>
        </w:rPr>
      </w:pPr>
    </w:p>
    <w:p>
      <w:pPr>
        <w:rPr>
          <w:rFonts w:ascii="宋体" w:hAnsi="宋体"/>
        </w:rPr>
      </w:pPr>
    </w:p>
    <w:p>
      <w:pPr>
        <w:rPr>
          <w:rFonts w:ascii="宋体" w:hAnsi="宋体"/>
        </w:rPr>
      </w:pPr>
    </w:p>
    <w:p>
      <w:pPr>
        <w:spacing w:line="360" w:lineRule="auto"/>
        <w:rPr>
          <w:rFonts w:ascii="宋体" w:hAnsi="宋体"/>
        </w:rPr>
      </w:pPr>
    </w:p>
    <w:p>
      <w:pPr>
        <w:pStyle w:val="17"/>
      </w:pPr>
    </w:p>
    <w:p/>
    <w:p>
      <w:pPr>
        <w:spacing w:after="48" w:afterLines="20" w:line="360" w:lineRule="auto"/>
        <w:jc w:val="center"/>
        <w:rPr>
          <w:rFonts w:ascii="宋体" w:hAnsi="宋体"/>
          <w:b/>
          <w:sz w:val="72"/>
          <w:szCs w:val="22"/>
        </w:rPr>
      </w:pPr>
      <w:r>
        <w:rPr>
          <w:rFonts w:hint="eastAsia" w:ascii="宋体" w:hAnsi="宋体" w:cs="隶书"/>
          <w:b/>
          <w:sz w:val="72"/>
          <w:szCs w:val="22"/>
        </w:rPr>
        <w:t>投 标 文 件</w:t>
      </w:r>
    </w:p>
    <w:p>
      <w:pPr>
        <w:spacing w:line="360" w:lineRule="auto"/>
        <w:rPr>
          <w:rFonts w:ascii="宋体" w:hAnsi="宋体"/>
          <w:b/>
          <w:bCs/>
          <w:sz w:val="24"/>
          <w:szCs w:val="32"/>
        </w:rPr>
      </w:pPr>
      <w:r>
        <w:rPr>
          <w:rFonts w:hint="eastAsia" w:ascii="宋体" w:hAnsi="宋体"/>
          <w:b/>
          <w:bCs/>
          <w:sz w:val="24"/>
          <w:szCs w:val="32"/>
        </w:rPr>
        <w:t xml:space="preserve"> </w:t>
      </w:r>
      <w:r>
        <w:rPr>
          <w:rFonts w:ascii="宋体" w:hAnsi="宋体"/>
          <w:b/>
          <w:bCs/>
          <w:sz w:val="24"/>
          <w:szCs w:val="32"/>
        </w:rPr>
        <w:t xml:space="preserve">                           </w:t>
      </w:r>
    </w:p>
    <w:p>
      <w:pPr>
        <w:pStyle w:val="17"/>
        <w:rPr>
          <w:rFonts w:ascii="宋体" w:hAnsi="宋体"/>
        </w:rPr>
      </w:pPr>
    </w:p>
    <w:p>
      <w:pPr>
        <w:rPr>
          <w:rFonts w:ascii="宋体" w:hAnsi="宋体"/>
        </w:rPr>
      </w:pPr>
    </w:p>
    <w:p>
      <w:pPr>
        <w:pStyle w:val="17"/>
        <w:rPr>
          <w:rFonts w:ascii="宋体" w:hAnsi="宋体"/>
        </w:rPr>
      </w:pPr>
    </w:p>
    <w:p/>
    <w:p>
      <w:pPr>
        <w:rPr>
          <w:rFonts w:ascii="宋体" w:hAnsi="宋体"/>
        </w:rPr>
      </w:pPr>
    </w:p>
    <w:p>
      <w:pPr>
        <w:pStyle w:val="17"/>
      </w:pPr>
    </w:p>
    <w:p/>
    <w:p>
      <w:pPr>
        <w:pStyle w:val="17"/>
      </w:pPr>
    </w:p>
    <w:p/>
    <w:p>
      <w:pPr>
        <w:rPr>
          <w:rFonts w:ascii="宋体" w:hAnsi="宋体"/>
        </w:rPr>
      </w:pPr>
    </w:p>
    <w:p>
      <w:pPr>
        <w:pStyle w:val="17"/>
        <w:rPr>
          <w:rFonts w:ascii="宋体" w:hAnsi="宋体"/>
        </w:rPr>
      </w:pPr>
    </w:p>
    <w:p>
      <w:pPr>
        <w:pStyle w:val="17"/>
        <w:rPr>
          <w:rFonts w:ascii="宋体" w:hAnsi="宋体"/>
        </w:rPr>
      </w:pPr>
    </w:p>
    <w:p>
      <w:pPr>
        <w:spacing w:line="360" w:lineRule="auto"/>
        <w:ind w:firstLine="602" w:firstLineChars="200"/>
        <w:jc w:val="left"/>
        <w:rPr>
          <w:rFonts w:ascii="宋体" w:hAnsi="宋体" w:cs="宋体"/>
          <w:b/>
          <w:bCs/>
          <w:sz w:val="30"/>
        </w:rPr>
      </w:pPr>
      <w:r>
        <w:rPr>
          <w:rFonts w:hint="eastAsia" w:ascii="宋体" w:hAnsi="宋体" w:cs="宋体"/>
          <w:b/>
          <w:bCs/>
          <w:sz w:val="30"/>
        </w:rPr>
        <w:t>投标供应商：</w:t>
      </w:r>
      <w:r>
        <w:rPr>
          <w:rFonts w:hint="eastAsia" w:ascii="宋体" w:hAnsi="宋体" w:cs="宋体"/>
          <w:b/>
          <w:bCs/>
          <w:sz w:val="30"/>
          <w:u w:val="single"/>
        </w:rPr>
        <w:t xml:space="preserve">                           </w:t>
      </w:r>
      <w:r>
        <w:rPr>
          <w:rFonts w:hint="eastAsia" w:ascii="宋体" w:hAnsi="宋体" w:cs="宋体"/>
          <w:b/>
          <w:bCs/>
          <w:sz w:val="30"/>
        </w:rPr>
        <w:t>（盖章）</w:t>
      </w:r>
    </w:p>
    <w:p>
      <w:pPr>
        <w:spacing w:line="360" w:lineRule="auto"/>
        <w:ind w:firstLine="602" w:firstLineChars="200"/>
        <w:jc w:val="left"/>
        <w:rPr>
          <w:rFonts w:ascii="宋体" w:hAnsi="宋体" w:cs="宋体"/>
          <w:b/>
          <w:bCs/>
          <w:sz w:val="30"/>
        </w:rPr>
      </w:pPr>
      <w:r>
        <w:rPr>
          <w:rFonts w:hint="eastAsia" w:ascii="宋体" w:hAnsi="宋体" w:cs="宋体"/>
          <w:b/>
          <w:bCs/>
          <w:sz w:val="30"/>
        </w:rPr>
        <w:t>法定代表人（负责人）</w:t>
      </w:r>
    </w:p>
    <w:p>
      <w:pPr>
        <w:spacing w:line="360" w:lineRule="auto"/>
        <w:ind w:firstLine="602" w:firstLineChars="200"/>
        <w:jc w:val="left"/>
        <w:rPr>
          <w:rFonts w:ascii="宋体" w:hAnsi="宋体" w:cs="宋体"/>
          <w:b/>
          <w:bCs/>
          <w:sz w:val="30"/>
        </w:rPr>
      </w:pPr>
      <w:r>
        <w:rPr>
          <w:rFonts w:hint="eastAsia" w:ascii="宋体" w:hAnsi="宋体" w:cs="宋体"/>
          <w:b/>
          <w:bCs/>
          <w:sz w:val="30"/>
        </w:rPr>
        <w:t>或委托代理人：</w:t>
      </w:r>
      <w:r>
        <w:rPr>
          <w:rFonts w:hint="eastAsia" w:ascii="宋体" w:hAnsi="宋体" w:cs="宋体"/>
          <w:b/>
          <w:bCs/>
          <w:sz w:val="30"/>
          <w:u w:val="single"/>
        </w:rPr>
        <w:t xml:space="preserve">      </w:t>
      </w:r>
      <w:r>
        <w:rPr>
          <w:rFonts w:ascii="宋体" w:hAnsi="宋体" w:cs="宋体"/>
          <w:b/>
          <w:bCs/>
          <w:sz w:val="30"/>
          <w:u w:val="single"/>
        </w:rPr>
        <w:t xml:space="preserve">      </w:t>
      </w:r>
      <w:r>
        <w:rPr>
          <w:rFonts w:hint="eastAsia" w:ascii="宋体" w:hAnsi="宋体" w:cs="宋体"/>
          <w:b/>
          <w:bCs/>
          <w:sz w:val="30"/>
          <w:u w:val="single"/>
        </w:rPr>
        <w:t xml:space="preserve">   </w:t>
      </w:r>
      <w:r>
        <w:rPr>
          <w:rFonts w:hint="eastAsia" w:ascii="宋体" w:hAnsi="宋体" w:cs="宋体"/>
          <w:b/>
          <w:bCs/>
          <w:sz w:val="30"/>
        </w:rPr>
        <w:t>（盖章或签字）</w:t>
      </w:r>
    </w:p>
    <w:p>
      <w:pPr>
        <w:spacing w:line="360" w:lineRule="auto"/>
        <w:ind w:firstLine="602" w:firstLineChars="200"/>
        <w:jc w:val="left"/>
        <w:rPr>
          <w:rFonts w:ascii="宋体" w:hAnsi="宋体" w:cs="宋体"/>
          <w:b/>
          <w:bCs/>
          <w:sz w:val="30"/>
        </w:rPr>
      </w:pPr>
      <w:r>
        <w:rPr>
          <w:rFonts w:hint="eastAsia" w:ascii="宋体" w:hAnsi="宋体" w:cs="宋体"/>
          <w:b/>
          <w:bCs/>
          <w:sz w:val="30"/>
        </w:rPr>
        <w:t xml:space="preserve">日 </w:t>
      </w:r>
      <w:r>
        <w:rPr>
          <w:rFonts w:ascii="宋体" w:hAnsi="宋体" w:cs="宋体"/>
          <w:b/>
          <w:bCs/>
          <w:sz w:val="30"/>
        </w:rPr>
        <w:t xml:space="preserve"> </w:t>
      </w:r>
      <w:r>
        <w:rPr>
          <w:rFonts w:hint="eastAsia" w:ascii="宋体" w:hAnsi="宋体" w:cs="宋体"/>
          <w:b/>
          <w:bCs/>
          <w:sz w:val="30"/>
        </w:rPr>
        <w:t>期：</w:t>
      </w:r>
      <w:r>
        <w:rPr>
          <w:rFonts w:hint="eastAsia" w:ascii="宋体" w:hAnsi="宋体" w:cs="宋体"/>
          <w:b/>
          <w:bCs/>
          <w:sz w:val="30"/>
          <w:u w:val="single"/>
        </w:rPr>
        <w:t xml:space="preserve">        </w:t>
      </w:r>
      <w:r>
        <w:rPr>
          <w:rFonts w:hint="eastAsia" w:ascii="宋体" w:hAnsi="宋体" w:cs="宋体"/>
          <w:b/>
          <w:bCs/>
          <w:sz w:val="30"/>
        </w:rPr>
        <w:t>年</w:t>
      </w:r>
      <w:r>
        <w:rPr>
          <w:rFonts w:hint="eastAsia" w:ascii="宋体" w:hAnsi="宋体" w:cs="宋体"/>
          <w:b/>
          <w:bCs/>
          <w:sz w:val="30"/>
          <w:u w:val="single"/>
        </w:rPr>
        <w:t xml:space="preserve">    </w:t>
      </w:r>
      <w:r>
        <w:rPr>
          <w:rFonts w:ascii="宋体" w:hAnsi="宋体" w:cs="宋体"/>
          <w:b/>
          <w:bCs/>
          <w:sz w:val="30"/>
          <w:u w:val="single"/>
        </w:rPr>
        <w:t xml:space="preserve">   </w:t>
      </w:r>
      <w:r>
        <w:rPr>
          <w:rFonts w:hint="eastAsia" w:ascii="宋体" w:hAnsi="宋体" w:cs="宋体"/>
          <w:b/>
          <w:bCs/>
          <w:sz w:val="30"/>
        </w:rPr>
        <w:t>月</w:t>
      </w:r>
      <w:r>
        <w:rPr>
          <w:rFonts w:hint="eastAsia" w:ascii="宋体" w:hAnsi="宋体" w:cs="宋体"/>
          <w:b/>
          <w:bCs/>
          <w:sz w:val="30"/>
          <w:u w:val="single"/>
        </w:rPr>
        <w:t xml:space="preserve">   </w:t>
      </w:r>
      <w:r>
        <w:rPr>
          <w:rFonts w:ascii="宋体" w:hAnsi="宋体" w:cs="宋体"/>
          <w:b/>
          <w:bCs/>
          <w:sz w:val="30"/>
          <w:u w:val="single"/>
        </w:rPr>
        <w:t xml:space="preserve">  </w:t>
      </w:r>
      <w:r>
        <w:rPr>
          <w:rFonts w:hint="eastAsia" w:ascii="宋体" w:hAnsi="宋体" w:cs="宋体"/>
          <w:b/>
          <w:bCs/>
          <w:sz w:val="30"/>
          <w:u w:val="single"/>
        </w:rPr>
        <w:t xml:space="preserve"> </w:t>
      </w:r>
      <w:r>
        <w:rPr>
          <w:rFonts w:hint="eastAsia" w:ascii="宋体" w:hAnsi="宋体" w:cs="宋体"/>
          <w:b/>
          <w:bCs/>
          <w:sz w:val="30"/>
        </w:rPr>
        <w:t>日</w:t>
      </w:r>
    </w:p>
    <w:p>
      <w:pPr>
        <w:pStyle w:val="17"/>
      </w:pPr>
    </w:p>
    <w:p/>
    <w:p>
      <w:pPr>
        <w:spacing w:before="240" w:beforeLines="100" w:after="240" w:afterLines="100" w:line="360" w:lineRule="auto"/>
        <w:jc w:val="center"/>
        <w:outlineLvl w:val="2"/>
        <w:rPr>
          <w:rFonts w:ascii="宋体" w:hAnsi="宋体"/>
          <w:b/>
          <w:sz w:val="32"/>
          <w:szCs w:val="32"/>
        </w:rPr>
      </w:pPr>
      <w:r>
        <w:rPr>
          <w:rFonts w:hint="eastAsia" w:ascii="宋体" w:hAnsi="宋体"/>
          <w:b/>
          <w:sz w:val="32"/>
          <w:szCs w:val="32"/>
        </w:rPr>
        <w:t xml:space="preserve">目 </w:t>
      </w:r>
      <w:r>
        <w:rPr>
          <w:rFonts w:ascii="宋体" w:hAnsi="宋体"/>
          <w:b/>
          <w:sz w:val="32"/>
          <w:szCs w:val="32"/>
        </w:rPr>
        <w:t xml:space="preserve"> </w:t>
      </w:r>
      <w:r>
        <w:rPr>
          <w:rFonts w:hint="eastAsia" w:ascii="宋体" w:hAnsi="宋体"/>
          <w:b/>
          <w:sz w:val="32"/>
          <w:szCs w:val="32"/>
        </w:rPr>
        <w:t>录</w:t>
      </w:r>
    </w:p>
    <w:p>
      <w:pPr>
        <w:tabs>
          <w:tab w:val="right" w:leader="hyphen" w:pos="8504"/>
        </w:tabs>
        <w:spacing w:line="600" w:lineRule="auto"/>
        <w:ind w:right="630" w:rightChars="300"/>
        <w:rPr>
          <w:rFonts w:asciiTheme="minorEastAsia" w:hAnsiTheme="minorEastAsia" w:eastAsiaTheme="minorEastAsia" w:cstheme="minorHAnsi"/>
          <w:sz w:val="24"/>
        </w:rPr>
      </w:pPr>
      <w:r>
        <w:rPr>
          <w:rFonts w:asciiTheme="minorEastAsia" w:hAnsiTheme="minorEastAsia" w:eastAsiaTheme="minorEastAsia" w:cstheme="minorHAnsi"/>
          <w:sz w:val="24"/>
        </w:rPr>
        <w:t>第一部</w:t>
      </w:r>
      <w:r>
        <w:rPr>
          <w:rFonts w:hint="eastAsia" w:asciiTheme="minorEastAsia" w:hAnsiTheme="minorEastAsia" w:eastAsiaTheme="minorEastAsia" w:cstheme="minorHAnsi"/>
          <w:sz w:val="24"/>
        </w:rPr>
        <w:t>分　投</w:t>
      </w:r>
      <w:r>
        <w:rPr>
          <w:rFonts w:asciiTheme="minorEastAsia" w:hAnsiTheme="minorEastAsia" w:eastAsiaTheme="minorEastAsia" w:cstheme="minorHAnsi"/>
          <w:sz w:val="24"/>
        </w:rPr>
        <w:t>标函</w:t>
      </w:r>
      <w:r>
        <w:rPr>
          <w:rFonts w:asciiTheme="minorEastAsia" w:hAnsiTheme="minorEastAsia" w:eastAsiaTheme="minorEastAsia" w:cstheme="minorHAnsi"/>
          <w:sz w:val="24"/>
        </w:rPr>
        <w:tab/>
      </w:r>
      <w:r>
        <w:rPr>
          <w:rFonts w:asciiTheme="minorEastAsia" w:hAnsiTheme="minorEastAsia" w:eastAsiaTheme="minorEastAsia" w:cstheme="minorHAnsi"/>
          <w:sz w:val="24"/>
        </w:rPr>
        <w:t>X</w:t>
      </w:r>
    </w:p>
    <w:p>
      <w:pPr>
        <w:tabs>
          <w:tab w:val="right" w:leader="hyphen" w:pos="8504"/>
        </w:tabs>
        <w:spacing w:line="600" w:lineRule="auto"/>
        <w:ind w:right="630" w:rightChars="300"/>
        <w:rPr>
          <w:rFonts w:asciiTheme="minorEastAsia" w:hAnsiTheme="minorEastAsia" w:eastAsiaTheme="minorEastAsia" w:cstheme="minorHAnsi"/>
          <w:sz w:val="24"/>
        </w:rPr>
      </w:pPr>
      <w:r>
        <w:rPr>
          <w:rFonts w:asciiTheme="minorEastAsia" w:hAnsiTheme="minorEastAsia" w:eastAsiaTheme="minorEastAsia" w:cstheme="minorHAnsi"/>
          <w:sz w:val="24"/>
        </w:rPr>
        <w:t>第二部</w:t>
      </w:r>
      <w:r>
        <w:rPr>
          <w:rFonts w:hint="eastAsia" w:asciiTheme="minorEastAsia" w:hAnsiTheme="minorEastAsia" w:eastAsiaTheme="minorEastAsia" w:cstheme="minorHAnsi"/>
          <w:sz w:val="24"/>
        </w:rPr>
        <w:t>分　开</w:t>
      </w:r>
      <w:r>
        <w:rPr>
          <w:rFonts w:asciiTheme="minorEastAsia" w:hAnsiTheme="minorEastAsia" w:eastAsiaTheme="minorEastAsia" w:cstheme="minorHAnsi"/>
          <w:sz w:val="24"/>
        </w:rPr>
        <w:t>标一览表</w:t>
      </w:r>
      <w:r>
        <w:rPr>
          <w:rFonts w:asciiTheme="minorEastAsia" w:hAnsiTheme="minorEastAsia" w:eastAsiaTheme="minorEastAsia" w:cstheme="minorHAnsi"/>
          <w:sz w:val="24"/>
        </w:rPr>
        <w:tab/>
      </w:r>
      <w:r>
        <w:rPr>
          <w:rFonts w:asciiTheme="minorEastAsia" w:hAnsiTheme="minorEastAsia" w:eastAsiaTheme="minorEastAsia" w:cstheme="minorHAnsi"/>
          <w:sz w:val="24"/>
        </w:rPr>
        <w:t>X</w:t>
      </w:r>
    </w:p>
    <w:p>
      <w:pPr>
        <w:tabs>
          <w:tab w:val="right" w:leader="hyphen" w:pos="8504"/>
        </w:tabs>
        <w:spacing w:line="600" w:lineRule="auto"/>
        <w:ind w:right="630" w:rightChars="300"/>
        <w:rPr>
          <w:rFonts w:asciiTheme="minorEastAsia" w:hAnsiTheme="minorEastAsia" w:eastAsiaTheme="minorEastAsia" w:cstheme="minorHAnsi"/>
          <w:sz w:val="24"/>
        </w:rPr>
      </w:pPr>
      <w:r>
        <w:rPr>
          <w:rFonts w:asciiTheme="minorEastAsia" w:hAnsiTheme="minorEastAsia" w:eastAsiaTheme="minorEastAsia" w:cstheme="minorHAnsi"/>
          <w:sz w:val="24"/>
        </w:rPr>
        <w:t>第三部</w:t>
      </w:r>
      <w:r>
        <w:rPr>
          <w:rFonts w:hint="eastAsia" w:asciiTheme="minorEastAsia" w:hAnsiTheme="minorEastAsia" w:eastAsiaTheme="minorEastAsia" w:cstheme="minorHAnsi"/>
          <w:sz w:val="24"/>
        </w:rPr>
        <w:t>分　资</w:t>
      </w:r>
      <w:r>
        <w:rPr>
          <w:rFonts w:asciiTheme="minorEastAsia" w:hAnsiTheme="minorEastAsia" w:eastAsiaTheme="minorEastAsia" w:cstheme="minorHAnsi"/>
          <w:sz w:val="24"/>
        </w:rPr>
        <w:t>格证明文件</w:t>
      </w:r>
      <w:r>
        <w:rPr>
          <w:rFonts w:asciiTheme="minorEastAsia" w:hAnsiTheme="minorEastAsia" w:eastAsiaTheme="minorEastAsia" w:cstheme="minorHAnsi"/>
          <w:sz w:val="24"/>
        </w:rPr>
        <w:tab/>
      </w:r>
      <w:r>
        <w:rPr>
          <w:rFonts w:asciiTheme="minorEastAsia" w:hAnsiTheme="minorEastAsia" w:eastAsiaTheme="minorEastAsia" w:cstheme="minorHAnsi"/>
          <w:sz w:val="24"/>
        </w:rPr>
        <w:t>X</w:t>
      </w:r>
    </w:p>
    <w:p>
      <w:pPr>
        <w:tabs>
          <w:tab w:val="right" w:leader="hyphen" w:pos="8504"/>
        </w:tabs>
        <w:spacing w:line="600" w:lineRule="auto"/>
        <w:ind w:right="630" w:rightChars="300"/>
        <w:rPr>
          <w:rFonts w:asciiTheme="minorEastAsia" w:hAnsiTheme="minorEastAsia" w:eastAsiaTheme="minorEastAsia" w:cstheme="minorHAnsi"/>
          <w:sz w:val="24"/>
        </w:rPr>
      </w:pPr>
      <w:r>
        <w:rPr>
          <w:rFonts w:asciiTheme="minorEastAsia" w:hAnsiTheme="minorEastAsia" w:eastAsiaTheme="minorEastAsia" w:cstheme="minorHAnsi"/>
          <w:sz w:val="24"/>
        </w:rPr>
        <w:t>第四部</w:t>
      </w:r>
      <w:r>
        <w:rPr>
          <w:rFonts w:hint="eastAsia" w:asciiTheme="minorEastAsia" w:hAnsiTheme="minorEastAsia" w:eastAsiaTheme="minorEastAsia" w:cstheme="minorHAnsi"/>
          <w:sz w:val="24"/>
        </w:rPr>
        <w:t>分　供</w:t>
      </w:r>
      <w:r>
        <w:rPr>
          <w:rFonts w:asciiTheme="minorEastAsia" w:hAnsiTheme="minorEastAsia" w:eastAsiaTheme="minorEastAsia" w:cstheme="minorHAnsi"/>
          <w:sz w:val="24"/>
        </w:rPr>
        <w:t>应商概况</w:t>
      </w:r>
      <w:r>
        <w:rPr>
          <w:rFonts w:asciiTheme="minorEastAsia" w:hAnsiTheme="minorEastAsia" w:eastAsiaTheme="minorEastAsia" w:cstheme="minorHAnsi"/>
          <w:sz w:val="24"/>
        </w:rPr>
        <w:tab/>
      </w:r>
      <w:r>
        <w:rPr>
          <w:rFonts w:asciiTheme="minorEastAsia" w:hAnsiTheme="minorEastAsia" w:eastAsiaTheme="minorEastAsia" w:cstheme="minorHAnsi"/>
          <w:sz w:val="24"/>
        </w:rPr>
        <w:t>X</w:t>
      </w:r>
    </w:p>
    <w:p>
      <w:pPr>
        <w:tabs>
          <w:tab w:val="right" w:leader="hyphen" w:pos="8504"/>
        </w:tabs>
        <w:spacing w:line="600" w:lineRule="auto"/>
        <w:ind w:right="630" w:rightChars="300"/>
        <w:rPr>
          <w:rFonts w:asciiTheme="minorEastAsia" w:hAnsiTheme="minorEastAsia" w:eastAsiaTheme="minorEastAsia" w:cstheme="minorHAnsi"/>
          <w:sz w:val="24"/>
        </w:rPr>
      </w:pPr>
      <w:r>
        <w:rPr>
          <w:rFonts w:asciiTheme="minorEastAsia" w:hAnsiTheme="minorEastAsia" w:eastAsiaTheme="minorEastAsia" w:cstheme="minorHAnsi"/>
          <w:sz w:val="24"/>
        </w:rPr>
        <w:t>第五部</w:t>
      </w:r>
      <w:r>
        <w:rPr>
          <w:rFonts w:hint="eastAsia" w:asciiTheme="minorEastAsia" w:hAnsiTheme="minorEastAsia" w:eastAsiaTheme="minorEastAsia" w:cstheme="minorHAnsi"/>
          <w:sz w:val="24"/>
        </w:rPr>
        <w:t>分　投</w:t>
      </w:r>
      <w:r>
        <w:rPr>
          <w:rFonts w:asciiTheme="minorEastAsia" w:hAnsiTheme="minorEastAsia" w:eastAsiaTheme="minorEastAsia" w:cstheme="minorHAnsi"/>
          <w:sz w:val="24"/>
        </w:rPr>
        <w:t>标方案</w:t>
      </w:r>
      <w:r>
        <w:rPr>
          <w:rFonts w:asciiTheme="minorEastAsia" w:hAnsiTheme="minorEastAsia" w:eastAsiaTheme="minorEastAsia" w:cstheme="minorHAnsi"/>
          <w:sz w:val="24"/>
        </w:rPr>
        <w:tab/>
      </w:r>
      <w:r>
        <w:rPr>
          <w:rFonts w:asciiTheme="minorEastAsia" w:hAnsiTheme="minorEastAsia" w:eastAsiaTheme="minorEastAsia" w:cstheme="minorHAnsi"/>
          <w:sz w:val="24"/>
        </w:rPr>
        <w:t>X</w:t>
      </w: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pStyle w:val="17"/>
        <w:spacing w:line="360" w:lineRule="auto"/>
        <w:rPr>
          <w:b/>
          <w:sz w:val="28"/>
          <w:szCs w:val="28"/>
        </w:rPr>
      </w:pPr>
      <w:r>
        <w:rPr>
          <w:b/>
          <w:sz w:val="28"/>
          <w:szCs w:val="28"/>
        </w:rPr>
        <w:t>第一部分</w:t>
      </w:r>
      <w:r>
        <w:rPr>
          <w:rFonts w:hint="eastAsia"/>
          <w:b/>
          <w:sz w:val="28"/>
          <w:szCs w:val="28"/>
        </w:rPr>
        <w:t xml:space="preserve"> </w:t>
      </w:r>
      <w:r>
        <w:rPr>
          <w:b/>
          <w:sz w:val="28"/>
          <w:szCs w:val="28"/>
        </w:rPr>
        <w:t>投标函</w:t>
      </w:r>
    </w:p>
    <w:p>
      <w:pPr>
        <w:pStyle w:val="23"/>
        <w:spacing w:after="0" w:line="420" w:lineRule="exact"/>
        <w:ind w:left="0" w:leftChars="0" w:firstLine="420" w:firstLineChars="200"/>
        <w:rPr>
          <w:rFonts w:ascii="宋体" w:hAnsi="宋体"/>
          <w:bCs/>
          <w:szCs w:val="28"/>
        </w:rPr>
      </w:pPr>
      <w:r>
        <w:rPr>
          <w:rFonts w:ascii="宋体" w:hAnsi="宋体"/>
          <w:bCs/>
          <w:szCs w:val="28"/>
        </w:rPr>
        <w:t>我方全面研究了</w:t>
      </w:r>
      <w:r>
        <w:rPr>
          <w:rFonts w:hint="eastAsia" w:ascii="宋体" w:hAnsi="宋体"/>
          <w:bCs/>
          <w:szCs w:val="28"/>
        </w:rPr>
        <w:t>（</w:t>
      </w:r>
      <w:r>
        <w:rPr>
          <w:rFonts w:hint="eastAsia" w:ascii="宋体" w:hAnsi="宋体" w:cs="宋体"/>
          <w:kern w:val="0"/>
          <w:szCs w:val="21"/>
        </w:rPr>
        <w:t>项目名称：</w:t>
      </w:r>
      <w:r>
        <w:rPr>
          <w:rFonts w:ascii="宋体" w:hAnsi="宋体"/>
          <w:bCs/>
          <w:szCs w:val="28"/>
          <w:u w:val="single"/>
        </w:rPr>
        <w:t xml:space="preserve">             </w:t>
      </w:r>
      <w:r>
        <w:rPr>
          <w:rFonts w:hint="eastAsia" w:ascii="宋体" w:hAnsi="宋体"/>
          <w:bCs/>
          <w:szCs w:val="28"/>
        </w:rPr>
        <w:t>）</w:t>
      </w:r>
      <w:r>
        <w:rPr>
          <w:rFonts w:ascii="宋体" w:hAnsi="宋体"/>
          <w:bCs/>
          <w:szCs w:val="28"/>
        </w:rPr>
        <w:t>招标文件（项目编号</w:t>
      </w:r>
      <w:r>
        <w:rPr>
          <w:rFonts w:hint="eastAsia" w:ascii="宋体" w:hAnsi="宋体"/>
          <w:bCs/>
          <w:szCs w:val="28"/>
        </w:rPr>
        <w:t>：</w:t>
      </w:r>
      <w:r>
        <w:rPr>
          <w:rFonts w:hint="eastAsia" w:ascii="宋体" w:hAnsi="宋体"/>
          <w:bCs/>
          <w:szCs w:val="28"/>
          <w:u w:val="single"/>
        </w:rPr>
        <w:t xml:space="preserve">       </w:t>
      </w:r>
      <w:r>
        <w:rPr>
          <w:rFonts w:ascii="宋体" w:hAnsi="宋体"/>
          <w:bCs/>
          <w:szCs w:val="28"/>
        </w:rPr>
        <w:t>）的全部内容，知悉参加投标的风险，我方承诺接受招标文件的全部条款且无任何异议，决定参加贵单位组织的本项目招标。</w:t>
      </w:r>
    </w:p>
    <w:p>
      <w:pPr>
        <w:pStyle w:val="23"/>
        <w:spacing w:after="0" w:line="420" w:lineRule="exact"/>
        <w:ind w:left="0" w:leftChars="0" w:firstLine="210" w:firstLineChars="100"/>
        <w:rPr>
          <w:rFonts w:ascii="宋体" w:hAnsi="宋体"/>
          <w:bCs/>
          <w:szCs w:val="28"/>
        </w:rPr>
      </w:pPr>
      <w:r>
        <w:rPr>
          <w:rFonts w:ascii="宋体" w:hAnsi="宋体"/>
          <w:bCs/>
          <w:szCs w:val="28"/>
        </w:rPr>
        <w:t>在此，我方郑重声明以下诸点</w:t>
      </w:r>
      <w:r>
        <w:rPr>
          <w:rFonts w:hint="eastAsia" w:ascii="宋体" w:hAnsi="宋体"/>
          <w:bCs/>
          <w:szCs w:val="28"/>
        </w:rPr>
        <w:t>，</w:t>
      </w:r>
      <w:r>
        <w:rPr>
          <w:rFonts w:ascii="宋体" w:hAnsi="宋体"/>
          <w:bCs/>
          <w:szCs w:val="28"/>
        </w:rPr>
        <w:t>并负法律责任。</w:t>
      </w:r>
    </w:p>
    <w:p>
      <w:pPr>
        <w:pStyle w:val="23"/>
        <w:spacing w:after="0" w:line="420" w:lineRule="exact"/>
        <w:ind w:left="0" w:leftChars="0" w:firstLine="420" w:firstLineChars="200"/>
        <w:rPr>
          <w:rFonts w:ascii="宋体" w:hAnsi="宋体"/>
          <w:bCs/>
          <w:szCs w:val="28"/>
        </w:rPr>
      </w:pPr>
      <w:r>
        <w:rPr>
          <w:rFonts w:hint="eastAsia" w:ascii="宋体" w:hAnsi="宋体"/>
          <w:bCs/>
          <w:szCs w:val="28"/>
        </w:rPr>
        <w:t>1、我方已详细阅读了招标文件，完全理解并同意招标文件的所有事项及内容。</w:t>
      </w:r>
    </w:p>
    <w:p>
      <w:pPr>
        <w:pStyle w:val="23"/>
        <w:spacing w:after="0" w:line="420" w:lineRule="exact"/>
        <w:ind w:left="0" w:leftChars="0" w:firstLine="420" w:firstLineChars="200"/>
        <w:rPr>
          <w:rFonts w:ascii="宋体" w:hAnsi="宋体"/>
          <w:bCs/>
          <w:szCs w:val="28"/>
        </w:rPr>
      </w:pPr>
      <w:r>
        <w:rPr>
          <w:rFonts w:hint="eastAsia" w:ascii="宋体" w:hAnsi="宋体"/>
          <w:bCs/>
          <w:szCs w:val="28"/>
        </w:rPr>
        <w:t>2、我方已悉知并及时关注了贵单位在陕西省政府采购网上发布的关于本项目的有关变更公告（包括但不限于对招标文件做出的修改或澄清、答疑纪要，以及项目暂停、重启、延期、终止等）。</w:t>
      </w:r>
    </w:p>
    <w:p>
      <w:pPr>
        <w:pStyle w:val="23"/>
        <w:spacing w:after="0" w:line="420" w:lineRule="exact"/>
        <w:ind w:left="0" w:leftChars="0" w:firstLine="420" w:firstLineChars="200"/>
        <w:rPr>
          <w:rFonts w:ascii="宋体" w:hAnsi="宋体"/>
          <w:bCs/>
          <w:szCs w:val="28"/>
        </w:rPr>
      </w:pPr>
      <w:r>
        <w:rPr>
          <w:rFonts w:hint="eastAsia" w:ascii="宋体" w:hAnsi="宋体"/>
          <w:bCs/>
          <w:szCs w:val="28"/>
        </w:rPr>
        <w:t>3、</w:t>
      </w:r>
      <w:r>
        <w:rPr>
          <w:rFonts w:ascii="宋体" w:hAnsi="宋体"/>
          <w:bCs/>
          <w:szCs w:val="28"/>
        </w:rPr>
        <w:t>如果</w:t>
      </w:r>
      <w:r>
        <w:rPr>
          <w:rFonts w:hint="eastAsia" w:ascii="宋体" w:hAnsi="宋体"/>
          <w:bCs/>
          <w:szCs w:val="28"/>
        </w:rPr>
        <w:t>我方</w:t>
      </w:r>
      <w:r>
        <w:rPr>
          <w:rFonts w:ascii="宋体" w:hAnsi="宋体"/>
          <w:bCs/>
          <w:szCs w:val="28"/>
        </w:rPr>
        <w:t>中标，我</w:t>
      </w:r>
      <w:r>
        <w:rPr>
          <w:rFonts w:hint="eastAsia" w:ascii="宋体" w:hAnsi="宋体"/>
          <w:bCs/>
          <w:szCs w:val="28"/>
        </w:rPr>
        <w:t>方</w:t>
      </w:r>
      <w:r>
        <w:rPr>
          <w:rFonts w:ascii="宋体" w:hAnsi="宋体"/>
          <w:bCs/>
          <w:szCs w:val="28"/>
        </w:rPr>
        <w:t>根据招标文件的规定，履行合同的责任和义务；</w:t>
      </w:r>
    </w:p>
    <w:p>
      <w:pPr>
        <w:pStyle w:val="23"/>
        <w:spacing w:after="0" w:line="420" w:lineRule="exact"/>
        <w:ind w:left="0" w:leftChars="0" w:firstLine="420" w:firstLineChars="200"/>
        <w:rPr>
          <w:rFonts w:ascii="宋体" w:hAnsi="宋体"/>
          <w:bCs/>
          <w:szCs w:val="28"/>
        </w:rPr>
      </w:pPr>
      <w:r>
        <w:rPr>
          <w:rFonts w:hint="eastAsia" w:ascii="宋体" w:hAnsi="宋体"/>
          <w:bCs/>
          <w:szCs w:val="28"/>
        </w:rPr>
        <w:t>4、</w:t>
      </w:r>
      <w:r>
        <w:rPr>
          <w:rFonts w:ascii="宋体" w:hAnsi="宋体"/>
          <w:bCs/>
          <w:szCs w:val="28"/>
        </w:rPr>
        <w:t>同意向贵方提供可能要求的，与本次投标有关的任何证据或资料，并保证我方已提供和将要提供的文件资料是真实、准确的</w:t>
      </w:r>
      <w:r>
        <w:rPr>
          <w:rFonts w:hint="eastAsia" w:ascii="宋体" w:hAnsi="宋体"/>
          <w:bCs/>
          <w:szCs w:val="28"/>
        </w:rPr>
        <w:t>，</w:t>
      </w:r>
      <w:r>
        <w:rPr>
          <w:rFonts w:ascii="宋体" w:hAnsi="宋体"/>
          <w:bCs/>
          <w:szCs w:val="28"/>
        </w:rPr>
        <w:t>否则，愿承担《中华人民共和国政府采购法》第七十七条规定的法律责任。</w:t>
      </w:r>
    </w:p>
    <w:p>
      <w:pPr>
        <w:pStyle w:val="23"/>
        <w:spacing w:after="0" w:line="420" w:lineRule="exact"/>
        <w:ind w:left="0" w:leftChars="0" w:firstLine="420" w:firstLineChars="200"/>
        <w:rPr>
          <w:rFonts w:ascii="宋体" w:hAnsi="宋体"/>
          <w:bCs/>
          <w:szCs w:val="28"/>
        </w:rPr>
      </w:pPr>
      <w:r>
        <w:rPr>
          <w:rFonts w:hint="eastAsia" w:ascii="宋体" w:hAnsi="宋体"/>
          <w:bCs/>
          <w:szCs w:val="28"/>
        </w:rPr>
        <w:t>5、</w:t>
      </w:r>
      <w:r>
        <w:rPr>
          <w:rFonts w:ascii="宋体" w:hAnsi="宋体"/>
          <w:bCs/>
          <w:szCs w:val="28"/>
        </w:rPr>
        <w:t>我们完全理解最低投标报价不作为中标的唯一条件，且尊重评标委员会的评标结论和定标结果。</w:t>
      </w:r>
    </w:p>
    <w:p>
      <w:pPr>
        <w:pStyle w:val="23"/>
        <w:spacing w:after="0" w:line="420" w:lineRule="exact"/>
        <w:ind w:left="0" w:leftChars="0" w:firstLine="420" w:firstLineChars="200"/>
        <w:rPr>
          <w:rFonts w:ascii="宋体" w:hAnsi="宋体"/>
          <w:bCs/>
          <w:szCs w:val="28"/>
        </w:rPr>
      </w:pPr>
      <w:r>
        <w:rPr>
          <w:rFonts w:hint="eastAsia" w:ascii="宋体" w:hAnsi="宋体"/>
          <w:bCs/>
          <w:szCs w:val="28"/>
        </w:rPr>
        <w:t>6</w:t>
      </w:r>
      <w:r>
        <w:rPr>
          <w:rFonts w:ascii="宋体" w:hAnsi="宋体"/>
          <w:bCs/>
          <w:szCs w:val="28"/>
        </w:rPr>
        <w:t>、我方的投标文件在</w:t>
      </w:r>
      <w:r>
        <w:rPr>
          <w:rFonts w:hint="eastAsia" w:ascii="宋体" w:hAnsi="宋体"/>
          <w:bCs/>
          <w:szCs w:val="28"/>
        </w:rPr>
        <w:t>自</w:t>
      </w:r>
      <w:r>
        <w:rPr>
          <w:rFonts w:ascii="宋体" w:hAnsi="宋体"/>
          <w:bCs/>
          <w:szCs w:val="28"/>
        </w:rPr>
        <w:t>开标</w:t>
      </w:r>
      <w:r>
        <w:rPr>
          <w:rFonts w:hint="eastAsia" w:ascii="宋体" w:hAnsi="宋体"/>
          <w:bCs/>
          <w:szCs w:val="28"/>
        </w:rPr>
        <w:t>之日起</w:t>
      </w:r>
      <w:r>
        <w:rPr>
          <w:rFonts w:ascii="宋体" w:hAnsi="宋体"/>
          <w:bCs/>
          <w:szCs w:val="28"/>
        </w:rPr>
        <w:t>有效期为90个日历天，若我方中标，投标文件有效期延长至合同执行完毕。</w:t>
      </w:r>
    </w:p>
    <w:p>
      <w:pPr>
        <w:pStyle w:val="23"/>
        <w:spacing w:after="0" w:line="420" w:lineRule="exact"/>
        <w:ind w:left="0" w:leftChars="0" w:firstLine="420" w:firstLineChars="200"/>
        <w:rPr>
          <w:rFonts w:ascii="宋体" w:hAnsi="宋体"/>
          <w:bCs/>
          <w:szCs w:val="28"/>
        </w:rPr>
      </w:pPr>
      <w:r>
        <w:rPr>
          <w:rFonts w:hint="eastAsia" w:ascii="宋体" w:hAnsi="宋体"/>
          <w:bCs/>
          <w:szCs w:val="28"/>
        </w:rPr>
        <w:t>7、若我方成交，我方承诺：（1）将投标文件有效期延长至合同执行完毕；（2）按时交纳履约保证金；（3）遵照招标文件中的要求，完成本项目的合同责任和义务。</w:t>
      </w:r>
    </w:p>
    <w:p>
      <w:pPr>
        <w:pStyle w:val="23"/>
        <w:spacing w:after="0" w:line="420" w:lineRule="exact"/>
        <w:ind w:left="0" w:leftChars="0" w:firstLine="420" w:firstLineChars="200"/>
        <w:rPr>
          <w:rFonts w:ascii="宋体" w:hAnsi="宋体"/>
          <w:bCs/>
          <w:szCs w:val="28"/>
        </w:rPr>
      </w:pPr>
      <w:r>
        <w:rPr>
          <w:rFonts w:hint="eastAsia" w:ascii="宋体" w:hAnsi="宋体"/>
          <w:bCs/>
          <w:szCs w:val="28"/>
        </w:rPr>
        <w:t>8．所有关于此次招标活动的函电，请按下列方式联系：</w:t>
      </w:r>
    </w:p>
    <w:p>
      <w:pPr>
        <w:pStyle w:val="23"/>
        <w:spacing w:after="0" w:line="400" w:lineRule="exact"/>
        <w:rPr>
          <w:rFonts w:ascii="宋体" w:hAnsi="宋体"/>
          <w:bCs/>
          <w:szCs w:val="28"/>
        </w:rPr>
      </w:pPr>
      <w:r>
        <w:rPr>
          <w:rFonts w:ascii="宋体" w:hAnsi="宋体"/>
          <w:bCs/>
          <w:szCs w:val="28"/>
        </w:rPr>
        <w:t xml:space="preserve">                        </w:t>
      </w:r>
      <w:r>
        <w:rPr>
          <w:rFonts w:hint="eastAsia" w:ascii="宋体" w:hAnsi="宋体"/>
          <w:bCs/>
          <w:szCs w:val="28"/>
        </w:rPr>
        <w:t xml:space="preserve"> </w:t>
      </w:r>
    </w:p>
    <w:p>
      <w:pPr>
        <w:pStyle w:val="23"/>
        <w:spacing w:after="0" w:line="400" w:lineRule="exact"/>
        <w:rPr>
          <w:rFonts w:ascii="宋体" w:hAnsi="宋体"/>
          <w:bCs/>
          <w:szCs w:val="28"/>
        </w:rPr>
      </w:pPr>
    </w:p>
    <w:p>
      <w:pPr>
        <w:pStyle w:val="23"/>
        <w:spacing w:after="0" w:line="360" w:lineRule="auto"/>
        <w:ind w:firstLine="2100" w:firstLineChars="1000"/>
        <w:rPr>
          <w:rFonts w:ascii="宋体" w:hAnsi="宋体"/>
          <w:bCs/>
          <w:szCs w:val="28"/>
        </w:rPr>
      </w:pPr>
      <w:r>
        <w:rPr>
          <w:rFonts w:ascii="宋体" w:hAnsi="宋体"/>
          <w:bCs/>
          <w:szCs w:val="28"/>
        </w:rPr>
        <w:t>投标供应商：</w:t>
      </w:r>
      <w:r>
        <w:rPr>
          <w:rFonts w:ascii="宋体" w:hAnsi="宋体"/>
          <w:bCs/>
          <w:szCs w:val="28"/>
          <w:u w:val="single"/>
        </w:rPr>
        <w:t xml:space="preserve">              </w:t>
      </w:r>
      <w:r>
        <w:rPr>
          <w:rFonts w:hint="eastAsia" w:ascii="宋体" w:hAnsi="宋体"/>
          <w:bCs/>
          <w:szCs w:val="28"/>
          <w:u w:val="single"/>
        </w:rPr>
        <w:t xml:space="preserve">          </w:t>
      </w:r>
      <w:r>
        <w:rPr>
          <w:rFonts w:ascii="宋体" w:hAnsi="宋体"/>
          <w:bCs/>
          <w:szCs w:val="28"/>
          <w:u w:val="single"/>
        </w:rPr>
        <w:t xml:space="preserve">   </w:t>
      </w:r>
      <w:r>
        <w:rPr>
          <w:rFonts w:ascii="宋体" w:hAnsi="宋体"/>
          <w:bCs/>
          <w:szCs w:val="28"/>
        </w:rPr>
        <w:t>（</w:t>
      </w:r>
      <w:r>
        <w:rPr>
          <w:rFonts w:hint="eastAsia" w:ascii="宋体" w:hAnsi="宋体"/>
          <w:bCs/>
          <w:szCs w:val="28"/>
        </w:rPr>
        <w:t>盖章</w:t>
      </w:r>
      <w:r>
        <w:rPr>
          <w:rFonts w:ascii="宋体" w:hAnsi="宋体"/>
          <w:bCs/>
          <w:szCs w:val="28"/>
        </w:rPr>
        <w:t>）</w:t>
      </w:r>
    </w:p>
    <w:p>
      <w:pPr>
        <w:pStyle w:val="23"/>
        <w:spacing w:after="0" w:line="360" w:lineRule="auto"/>
        <w:ind w:left="0" w:leftChars="0" w:firstLine="2520" w:firstLineChars="1200"/>
        <w:rPr>
          <w:rFonts w:ascii="宋体" w:hAnsi="宋体"/>
          <w:bCs/>
          <w:szCs w:val="28"/>
        </w:rPr>
      </w:pPr>
      <w:r>
        <w:rPr>
          <w:rFonts w:ascii="宋体" w:hAnsi="宋体"/>
          <w:bCs/>
          <w:szCs w:val="28"/>
        </w:rPr>
        <w:t>法定代表人（负责人）</w:t>
      </w:r>
    </w:p>
    <w:p>
      <w:pPr>
        <w:pStyle w:val="23"/>
        <w:spacing w:after="0" w:line="360" w:lineRule="auto"/>
        <w:ind w:firstLine="2100" w:firstLineChars="1000"/>
        <w:rPr>
          <w:rFonts w:ascii="宋体" w:hAnsi="宋体"/>
          <w:bCs/>
          <w:szCs w:val="28"/>
          <w:u w:val="single"/>
        </w:rPr>
      </w:pPr>
      <w:r>
        <w:rPr>
          <w:rFonts w:ascii="宋体" w:hAnsi="宋体"/>
          <w:bCs/>
          <w:szCs w:val="28"/>
        </w:rPr>
        <w:t>或委托代理人：</w:t>
      </w:r>
      <w:r>
        <w:rPr>
          <w:rFonts w:ascii="宋体" w:hAnsi="宋体"/>
          <w:bCs/>
          <w:szCs w:val="28"/>
          <w:u w:val="single"/>
        </w:rPr>
        <w:t xml:space="preserve">   </w:t>
      </w:r>
      <w:r>
        <w:rPr>
          <w:rFonts w:hint="eastAsia" w:ascii="宋体" w:hAnsi="宋体"/>
          <w:bCs/>
          <w:szCs w:val="28"/>
          <w:u w:val="single"/>
        </w:rPr>
        <w:t xml:space="preserve">     </w:t>
      </w:r>
      <w:r>
        <w:rPr>
          <w:rFonts w:ascii="宋体" w:hAnsi="宋体"/>
          <w:bCs/>
          <w:szCs w:val="28"/>
          <w:u w:val="single"/>
        </w:rPr>
        <w:t xml:space="preserve">       </w:t>
      </w:r>
      <w:r>
        <w:rPr>
          <w:rFonts w:ascii="宋体" w:hAnsi="宋体"/>
          <w:bCs/>
          <w:szCs w:val="28"/>
        </w:rPr>
        <w:t>（签字</w:t>
      </w:r>
      <w:r>
        <w:rPr>
          <w:rFonts w:hint="eastAsia" w:ascii="宋体" w:hAnsi="宋体"/>
          <w:bCs/>
          <w:szCs w:val="28"/>
        </w:rPr>
        <w:t>或盖章</w:t>
      </w:r>
      <w:r>
        <w:rPr>
          <w:rFonts w:ascii="宋体" w:hAnsi="宋体"/>
          <w:bCs/>
          <w:szCs w:val="28"/>
        </w:rPr>
        <w:t>）</w:t>
      </w:r>
    </w:p>
    <w:p>
      <w:pPr>
        <w:pStyle w:val="23"/>
        <w:spacing w:after="0" w:line="360" w:lineRule="auto"/>
        <w:ind w:left="0" w:leftChars="0" w:firstLine="2520" w:firstLineChars="1200"/>
        <w:rPr>
          <w:rFonts w:ascii="宋体" w:hAnsi="宋体"/>
          <w:bCs/>
          <w:szCs w:val="28"/>
          <w:u w:val="single"/>
        </w:rPr>
      </w:pPr>
      <w:r>
        <w:rPr>
          <w:rFonts w:ascii="宋体" w:hAnsi="宋体"/>
          <w:bCs/>
          <w:szCs w:val="28"/>
        </w:rPr>
        <w:t>通讯地址：</w:t>
      </w:r>
      <w:r>
        <w:rPr>
          <w:rFonts w:ascii="宋体" w:hAnsi="宋体"/>
          <w:bCs/>
          <w:szCs w:val="28"/>
          <w:u w:val="single"/>
        </w:rPr>
        <w:t xml:space="preserve">                      </w:t>
      </w:r>
      <w:r>
        <w:rPr>
          <w:rFonts w:hint="eastAsia" w:ascii="宋体" w:hAnsi="宋体"/>
          <w:bCs/>
          <w:szCs w:val="28"/>
          <w:u w:val="single"/>
        </w:rPr>
        <w:t xml:space="preserve">     </w:t>
      </w:r>
      <w:r>
        <w:rPr>
          <w:rFonts w:ascii="宋体" w:hAnsi="宋体"/>
          <w:bCs/>
          <w:szCs w:val="28"/>
          <w:u w:val="single"/>
        </w:rPr>
        <w:t xml:space="preserve">      </w:t>
      </w:r>
    </w:p>
    <w:p>
      <w:pPr>
        <w:pStyle w:val="23"/>
        <w:spacing w:after="0" w:line="360" w:lineRule="auto"/>
        <w:ind w:firstLine="2100" w:firstLineChars="1000"/>
        <w:rPr>
          <w:rFonts w:ascii="宋体" w:hAnsi="宋体"/>
          <w:bCs/>
          <w:szCs w:val="28"/>
          <w:u w:val="single"/>
        </w:rPr>
      </w:pPr>
      <w:r>
        <w:rPr>
          <w:rFonts w:ascii="宋体" w:hAnsi="宋体"/>
          <w:bCs/>
          <w:szCs w:val="28"/>
        </w:rPr>
        <w:t>联系电话：</w:t>
      </w:r>
      <w:r>
        <w:rPr>
          <w:rFonts w:ascii="宋体" w:hAnsi="宋体"/>
          <w:bCs/>
          <w:szCs w:val="28"/>
          <w:u w:val="single"/>
        </w:rPr>
        <w:t xml:space="preserve">                 </w:t>
      </w:r>
      <w:r>
        <w:rPr>
          <w:rFonts w:hint="eastAsia" w:ascii="宋体" w:hAnsi="宋体"/>
          <w:bCs/>
          <w:szCs w:val="28"/>
          <w:u w:val="single"/>
        </w:rPr>
        <w:t xml:space="preserve">      </w:t>
      </w:r>
      <w:r>
        <w:rPr>
          <w:rFonts w:ascii="宋体" w:hAnsi="宋体"/>
          <w:bCs/>
          <w:szCs w:val="28"/>
          <w:u w:val="single"/>
        </w:rPr>
        <w:t xml:space="preserve">          </w:t>
      </w:r>
    </w:p>
    <w:p>
      <w:pPr>
        <w:pStyle w:val="23"/>
        <w:spacing w:after="0" w:line="360" w:lineRule="auto"/>
        <w:ind w:firstLine="2100" w:firstLineChars="1000"/>
        <w:rPr>
          <w:rFonts w:ascii="宋体" w:hAnsi="宋体"/>
          <w:bCs/>
          <w:szCs w:val="28"/>
          <w:u w:val="single"/>
        </w:rPr>
      </w:pPr>
      <w:r>
        <w:rPr>
          <w:rFonts w:hint="eastAsia" w:ascii="宋体" w:hAnsi="宋体"/>
          <w:bCs/>
          <w:szCs w:val="28"/>
        </w:rPr>
        <w:t>电子邮箱：</w:t>
      </w:r>
      <w:r>
        <w:rPr>
          <w:rFonts w:ascii="宋体" w:hAnsi="宋体"/>
          <w:bCs/>
          <w:szCs w:val="28"/>
          <w:u w:val="single"/>
        </w:rPr>
        <w:t xml:space="preserve">               </w:t>
      </w:r>
      <w:r>
        <w:rPr>
          <w:rFonts w:hint="eastAsia" w:ascii="宋体" w:hAnsi="宋体"/>
          <w:bCs/>
          <w:szCs w:val="28"/>
          <w:u w:val="single"/>
        </w:rPr>
        <w:t xml:space="preserve">     </w:t>
      </w:r>
      <w:r>
        <w:rPr>
          <w:rFonts w:ascii="宋体" w:hAnsi="宋体"/>
          <w:bCs/>
          <w:szCs w:val="28"/>
          <w:u w:val="single"/>
        </w:rPr>
        <w:t xml:space="preserve">            </w:t>
      </w:r>
    </w:p>
    <w:p>
      <w:pPr>
        <w:pStyle w:val="23"/>
        <w:spacing w:after="0" w:line="360" w:lineRule="auto"/>
        <w:ind w:firstLine="2100" w:firstLineChars="1000"/>
        <w:rPr>
          <w:rFonts w:ascii="宋体" w:hAnsi="宋体"/>
          <w:bCs/>
          <w:szCs w:val="28"/>
          <w:u w:val="single"/>
        </w:rPr>
      </w:pPr>
      <w:r>
        <w:rPr>
          <w:rFonts w:ascii="宋体" w:hAnsi="宋体"/>
          <w:bCs/>
          <w:szCs w:val="28"/>
        </w:rPr>
        <w:t>日    期：</w:t>
      </w:r>
      <w:r>
        <w:rPr>
          <w:rFonts w:ascii="宋体" w:hAnsi="宋体"/>
          <w:bCs/>
          <w:szCs w:val="28"/>
          <w:u w:val="single"/>
        </w:rPr>
        <w:t xml:space="preserve">                    </w:t>
      </w:r>
      <w:r>
        <w:rPr>
          <w:rFonts w:hint="eastAsia" w:ascii="宋体" w:hAnsi="宋体"/>
          <w:bCs/>
          <w:szCs w:val="28"/>
          <w:u w:val="single"/>
        </w:rPr>
        <w:t xml:space="preserve">    </w:t>
      </w:r>
      <w:r>
        <w:rPr>
          <w:rFonts w:ascii="宋体" w:hAnsi="宋体"/>
          <w:bCs/>
          <w:szCs w:val="28"/>
          <w:u w:val="single"/>
        </w:rPr>
        <w:t xml:space="preserve">         </w:t>
      </w:r>
    </w:p>
    <w:p>
      <w:pPr>
        <w:spacing w:before="240" w:beforeLines="100" w:after="240" w:afterLines="100" w:line="276" w:lineRule="auto"/>
        <w:jc w:val="center"/>
        <w:outlineLvl w:val="9"/>
        <w:rPr>
          <w:rFonts w:ascii="宋体" w:hAnsi="宋体"/>
          <w:b/>
          <w:sz w:val="28"/>
          <w:szCs w:val="28"/>
        </w:rPr>
      </w:pPr>
    </w:p>
    <w:p>
      <w:pPr>
        <w:pStyle w:val="17"/>
      </w:pPr>
    </w:p>
    <w:p/>
    <w:p>
      <w:pPr>
        <w:pStyle w:val="17"/>
      </w:pPr>
    </w:p>
    <w:p>
      <w:pPr>
        <w:pStyle w:val="17"/>
        <w:spacing w:line="360" w:lineRule="auto"/>
        <w:rPr>
          <w:b/>
          <w:sz w:val="28"/>
          <w:szCs w:val="28"/>
        </w:rPr>
      </w:pPr>
      <w:r>
        <w:rPr>
          <w:rFonts w:hint="eastAsia"/>
          <w:b/>
          <w:sz w:val="28"/>
          <w:szCs w:val="28"/>
        </w:rPr>
        <w:t>第二部分 开标一览表</w:t>
      </w:r>
    </w:p>
    <w:p>
      <w:pPr>
        <w:pStyle w:val="17"/>
        <w:spacing w:line="360" w:lineRule="auto"/>
        <w:jc w:val="left"/>
        <w:rPr>
          <w:rFonts w:ascii="宋体" w:hAnsi="宋体"/>
          <w:u w:val="single"/>
        </w:rPr>
      </w:pPr>
      <w:r>
        <w:rPr>
          <w:rFonts w:hint="eastAsia" w:ascii="宋体" w:hAnsi="宋体"/>
        </w:rPr>
        <w:t>项目名称：</w:t>
      </w:r>
      <w:r>
        <w:rPr>
          <w:rFonts w:hint="eastAsia" w:ascii="宋体" w:hAnsi="宋体"/>
          <w:u w:val="single"/>
        </w:rPr>
        <w:t xml:space="preserve">                  </w:t>
      </w:r>
    </w:p>
    <w:p>
      <w:pPr>
        <w:pStyle w:val="17"/>
        <w:spacing w:line="360" w:lineRule="auto"/>
        <w:jc w:val="left"/>
        <w:rPr>
          <w:rFonts w:ascii="宋体" w:hAnsi="宋体"/>
          <w:u w:val="single"/>
        </w:rPr>
      </w:pPr>
      <w:r>
        <w:rPr>
          <w:rFonts w:hint="eastAsia" w:ascii="宋体" w:hAnsi="宋体"/>
        </w:rPr>
        <w:t>项目编号：</w:t>
      </w:r>
      <w:r>
        <w:rPr>
          <w:rFonts w:hint="eastAsia" w:ascii="宋体" w:hAnsi="宋体"/>
          <w:u w:val="single"/>
        </w:rPr>
        <w:t xml:space="preserve">                  </w:t>
      </w:r>
    </w:p>
    <w:tbl>
      <w:tblPr>
        <w:tblStyle w:val="41"/>
        <w:tblW w:w="89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2246"/>
        <w:gridCol w:w="2520"/>
        <w:gridCol w:w="1613"/>
        <w:gridCol w:w="14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3429" w:type="dxa"/>
            <w:gridSpan w:val="2"/>
            <w:tcBorders>
              <w:tl2br w:val="nil"/>
              <w:tr2bl w:val="nil"/>
            </w:tcBorders>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投标报价</w:t>
            </w:r>
          </w:p>
          <w:p>
            <w:pPr>
              <w:jc w:val="center"/>
              <w:rPr>
                <w:rFonts w:asciiTheme="minorEastAsia" w:hAnsiTheme="minorEastAsia" w:eastAsiaTheme="minorEastAsia"/>
                <w:b/>
                <w:szCs w:val="21"/>
              </w:rPr>
            </w:pPr>
            <w:r>
              <w:rPr>
                <w:rFonts w:asciiTheme="minorEastAsia" w:hAnsiTheme="minorEastAsia" w:eastAsiaTheme="minorEastAsia"/>
                <w:b/>
                <w:szCs w:val="21"/>
              </w:rPr>
              <w:t>（人民币:元）</w:t>
            </w:r>
          </w:p>
        </w:tc>
        <w:tc>
          <w:tcPr>
            <w:tcW w:w="2520" w:type="dxa"/>
            <w:tcBorders>
              <w:tl2br w:val="nil"/>
              <w:tr2bl w:val="nil"/>
            </w:tcBorders>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交付期</w:t>
            </w:r>
          </w:p>
        </w:tc>
        <w:tc>
          <w:tcPr>
            <w:tcW w:w="1613" w:type="dxa"/>
            <w:tcBorders>
              <w:tl2br w:val="nil"/>
              <w:tr2bl w:val="nil"/>
            </w:tcBorders>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质保期</w:t>
            </w:r>
          </w:p>
          <w:p>
            <w:pPr>
              <w:jc w:val="center"/>
              <w:rPr>
                <w:rFonts w:asciiTheme="minorEastAsia" w:hAnsiTheme="minorEastAsia" w:eastAsiaTheme="minorEastAsia"/>
                <w:b/>
                <w:szCs w:val="21"/>
              </w:rPr>
            </w:pPr>
            <w:r>
              <w:rPr>
                <w:rFonts w:asciiTheme="minorEastAsia" w:hAnsiTheme="minorEastAsia" w:eastAsiaTheme="minorEastAsia"/>
                <w:b/>
                <w:szCs w:val="21"/>
              </w:rPr>
              <w:t>（</w:t>
            </w:r>
            <w:r>
              <w:rPr>
                <w:rFonts w:hint="eastAsia" w:asciiTheme="minorEastAsia" w:hAnsiTheme="minorEastAsia" w:eastAsiaTheme="minorEastAsia"/>
                <w:b/>
                <w:szCs w:val="21"/>
              </w:rPr>
              <w:t>年</w:t>
            </w:r>
            <w:r>
              <w:rPr>
                <w:rFonts w:asciiTheme="minorEastAsia" w:hAnsiTheme="minorEastAsia" w:eastAsiaTheme="minorEastAsia"/>
                <w:b/>
                <w:szCs w:val="21"/>
              </w:rPr>
              <w:t>）</w:t>
            </w:r>
          </w:p>
        </w:tc>
        <w:tc>
          <w:tcPr>
            <w:tcW w:w="1437" w:type="dxa"/>
            <w:tcBorders>
              <w:tl2br w:val="nil"/>
              <w:tr2bl w:val="nil"/>
            </w:tcBorders>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备</w:t>
            </w:r>
            <w:r>
              <w:rPr>
                <w:rFonts w:hint="eastAsia" w:asciiTheme="minorEastAsia" w:hAnsiTheme="minorEastAsia" w:eastAsiaTheme="minorEastAsia"/>
                <w:b/>
                <w:szCs w:val="21"/>
              </w:rPr>
              <w:t xml:space="preserve"> </w:t>
            </w:r>
            <w:r>
              <w:rPr>
                <w:rFonts w:asciiTheme="minorEastAsia" w:hAnsiTheme="minorEastAsia" w:eastAsiaTheme="minorEastAsia"/>
                <w:b/>
                <w:szCs w:val="21"/>
              </w:rPr>
              <w:t>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183"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小写</w:t>
            </w:r>
          </w:p>
        </w:tc>
        <w:tc>
          <w:tcPr>
            <w:tcW w:w="2246" w:type="dxa"/>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w:t>
            </w:r>
          </w:p>
        </w:tc>
        <w:tc>
          <w:tcPr>
            <w:tcW w:w="2520" w:type="dxa"/>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b/>
                <w:szCs w:val="21"/>
                <w:lang w:eastAsia="zh-CN"/>
              </w:rPr>
              <w:t>合同签订后</w:t>
            </w:r>
            <w:r>
              <w:rPr>
                <w:rFonts w:hint="eastAsia" w:asciiTheme="minorEastAsia" w:hAnsiTheme="minorEastAsia" w:eastAsiaTheme="minorEastAsia"/>
                <w:b/>
                <w:szCs w:val="21"/>
                <w:u w:val="single"/>
                <w:lang w:val="en-US" w:eastAsia="zh-CN"/>
              </w:rPr>
              <w:t xml:space="preserve">     </w:t>
            </w:r>
            <w:r>
              <w:rPr>
                <w:rFonts w:hint="eastAsia" w:asciiTheme="minorEastAsia" w:hAnsiTheme="minorEastAsia" w:eastAsiaTheme="minorEastAsia"/>
                <w:b/>
                <w:szCs w:val="21"/>
                <w:lang w:eastAsia="zh-CN"/>
              </w:rPr>
              <w:t>日历天内交货、安装调试完成</w:t>
            </w:r>
          </w:p>
        </w:tc>
        <w:tc>
          <w:tcPr>
            <w:tcW w:w="1613" w:type="dxa"/>
            <w:tcBorders>
              <w:tl2br w:val="nil"/>
              <w:tr2bl w:val="nil"/>
            </w:tcBorders>
            <w:vAlign w:val="center"/>
          </w:tcPr>
          <w:p>
            <w:pPr>
              <w:jc w:val="center"/>
              <w:rPr>
                <w:rFonts w:asciiTheme="minorEastAsia" w:hAnsiTheme="minorEastAsia" w:eastAsiaTheme="minorEastAsia"/>
                <w:szCs w:val="21"/>
              </w:rPr>
            </w:pPr>
          </w:p>
        </w:tc>
        <w:tc>
          <w:tcPr>
            <w:tcW w:w="1437" w:type="dxa"/>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183"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大写</w:t>
            </w:r>
          </w:p>
        </w:tc>
        <w:tc>
          <w:tcPr>
            <w:tcW w:w="7816" w:type="dxa"/>
            <w:gridSpan w:val="4"/>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999" w:type="dxa"/>
            <w:gridSpan w:val="5"/>
            <w:tcBorders>
              <w:tl2br w:val="nil"/>
              <w:tr2bl w:val="nil"/>
            </w:tcBorders>
            <w:vAlign w:val="center"/>
          </w:tcPr>
          <w:p>
            <w:pPr>
              <w:jc w:val="center"/>
              <w:rPr>
                <w:rFonts w:asciiTheme="minorEastAsia" w:hAnsiTheme="minorEastAsia" w:eastAsiaTheme="minorEastAsia"/>
                <w:szCs w:val="21"/>
              </w:rPr>
            </w:pPr>
            <w:r>
              <w:rPr>
                <w:rFonts w:hint="eastAsia" w:cs="仿宋" w:asciiTheme="minorEastAsia" w:hAnsiTheme="minorEastAsia" w:eastAsiaTheme="minorEastAsia"/>
                <w:szCs w:val="21"/>
              </w:rPr>
              <w:t>备注：表内报价内容以元为单位，保留小数点后两位。</w:t>
            </w:r>
          </w:p>
        </w:tc>
      </w:tr>
    </w:tbl>
    <w:p>
      <w:pPr>
        <w:pStyle w:val="99"/>
        <w:spacing w:line="500" w:lineRule="exact"/>
        <w:jc w:val="left"/>
        <w:rPr>
          <w:rFonts w:ascii="宋体" w:hAnsi="宋体" w:cs="新宋体"/>
          <w:b w:val="0"/>
          <w:sz w:val="21"/>
          <w:szCs w:val="21"/>
        </w:rPr>
      </w:pPr>
      <w:r>
        <w:rPr>
          <w:rFonts w:hint="eastAsia" w:ascii="宋体" w:hAnsi="宋体" w:cs="新宋体"/>
          <w:b w:val="0"/>
          <w:sz w:val="21"/>
          <w:szCs w:val="21"/>
        </w:rPr>
        <w:t xml:space="preserve">  </w:t>
      </w:r>
    </w:p>
    <w:p>
      <w:pPr>
        <w:pStyle w:val="99"/>
        <w:spacing w:line="360" w:lineRule="auto"/>
        <w:jc w:val="left"/>
        <w:rPr>
          <w:rFonts w:ascii="宋体" w:hAnsi="宋体" w:cs="新宋体"/>
          <w:b w:val="0"/>
          <w:sz w:val="21"/>
          <w:szCs w:val="21"/>
        </w:rPr>
      </w:pPr>
    </w:p>
    <w:p>
      <w:pPr>
        <w:pStyle w:val="99"/>
        <w:spacing w:line="360" w:lineRule="auto"/>
        <w:jc w:val="left"/>
        <w:rPr>
          <w:rFonts w:ascii="宋体" w:hAnsi="宋体" w:cs="新宋体"/>
          <w:b w:val="0"/>
          <w:sz w:val="21"/>
          <w:szCs w:val="21"/>
        </w:rPr>
      </w:pPr>
    </w:p>
    <w:p>
      <w:pPr>
        <w:pStyle w:val="99"/>
        <w:spacing w:line="360" w:lineRule="auto"/>
        <w:jc w:val="left"/>
        <w:rPr>
          <w:rFonts w:ascii="宋体" w:hAnsi="宋体" w:cs="新宋体"/>
          <w:b w:val="0"/>
          <w:sz w:val="21"/>
          <w:szCs w:val="21"/>
        </w:rPr>
      </w:pPr>
    </w:p>
    <w:p>
      <w:pPr>
        <w:pStyle w:val="99"/>
        <w:spacing w:line="360" w:lineRule="auto"/>
        <w:ind w:firstLine="3360" w:firstLineChars="1600"/>
        <w:jc w:val="left"/>
        <w:rPr>
          <w:rFonts w:ascii="宋体" w:hAnsi="宋体"/>
          <w:b w:val="0"/>
          <w:sz w:val="21"/>
          <w:szCs w:val="21"/>
        </w:rPr>
      </w:pPr>
      <w:r>
        <w:rPr>
          <w:rFonts w:hint="eastAsia" w:ascii="宋体" w:hAnsi="宋体"/>
          <w:b w:val="0"/>
          <w:sz w:val="21"/>
          <w:szCs w:val="21"/>
        </w:rPr>
        <w:t>投标供应商：</w:t>
      </w:r>
      <w:r>
        <w:rPr>
          <w:rFonts w:ascii="宋体" w:hAnsi="宋体"/>
          <w:b w:val="0"/>
          <w:sz w:val="21"/>
          <w:szCs w:val="21"/>
          <w:u w:val="single"/>
        </w:rPr>
        <w:t xml:space="preserve">             </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rPr>
        <w:t>（盖章）</w:t>
      </w:r>
    </w:p>
    <w:p>
      <w:pPr>
        <w:pStyle w:val="99"/>
        <w:spacing w:line="360" w:lineRule="auto"/>
        <w:ind w:firstLine="3360" w:firstLineChars="1600"/>
        <w:jc w:val="left"/>
        <w:rPr>
          <w:rFonts w:ascii="宋体" w:hAnsi="宋体"/>
          <w:b w:val="0"/>
          <w:sz w:val="21"/>
          <w:szCs w:val="21"/>
        </w:rPr>
      </w:pPr>
      <w:r>
        <w:rPr>
          <w:rFonts w:hint="eastAsia" w:ascii="宋体" w:hAnsi="宋体"/>
          <w:b w:val="0"/>
          <w:sz w:val="21"/>
          <w:szCs w:val="21"/>
        </w:rPr>
        <w:t>法定代表人（负责人）</w:t>
      </w:r>
    </w:p>
    <w:p>
      <w:pPr>
        <w:pStyle w:val="99"/>
        <w:spacing w:line="360" w:lineRule="auto"/>
        <w:ind w:firstLine="3360" w:firstLineChars="1600"/>
        <w:jc w:val="left"/>
        <w:rPr>
          <w:rFonts w:ascii="宋体" w:hAnsi="宋体"/>
          <w:b w:val="0"/>
          <w:sz w:val="21"/>
          <w:szCs w:val="21"/>
        </w:rPr>
      </w:pPr>
      <w:r>
        <w:rPr>
          <w:rFonts w:hint="eastAsia" w:ascii="宋体" w:hAnsi="宋体"/>
          <w:b w:val="0"/>
          <w:sz w:val="21"/>
          <w:szCs w:val="21"/>
        </w:rPr>
        <w:t>或委托代理人：</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u w:val="single"/>
        </w:rPr>
        <w:t xml:space="preserve">       </w:t>
      </w:r>
      <w:r>
        <w:rPr>
          <w:rFonts w:hint="eastAsia" w:ascii="宋体" w:hAnsi="宋体"/>
          <w:b w:val="0"/>
          <w:sz w:val="21"/>
          <w:szCs w:val="21"/>
        </w:rPr>
        <w:t>（盖章或签字）</w:t>
      </w:r>
    </w:p>
    <w:p>
      <w:pPr>
        <w:spacing w:line="360" w:lineRule="auto"/>
        <w:ind w:firstLine="3360" w:firstLineChars="1600"/>
        <w:jc w:val="left"/>
        <w:outlineLvl w:val="2"/>
        <w:rPr>
          <w:rFonts w:ascii="宋体" w:hAnsi="宋体"/>
          <w:b/>
          <w:bCs/>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p>
    <w:p>
      <w:pPr>
        <w:pStyle w:val="17"/>
      </w:pPr>
    </w:p>
    <w:p/>
    <w:p>
      <w:pPr>
        <w:pStyle w:val="17"/>
      </w:pPr>
    </w:p>
    <w:p/>
    <w:p>
      <w:pPr>
        <w:pStyle w:val="17"/>
      </w:pPr>
    </w:p>
    <w:p/>
    <w:p>
      <w:pPr>
        <w:pStyle w:val="17"/>
      </w:pPr>
    </w:p>
    <w:p>
      <w:pPr>
        <w:pStyle w:val="17"/>
      </w:pPr>
    </w:p>
    <w:p/>
    <w:p>
      <w:pPr>
        <w:pStyle w:val="17"/>
      </w:pPr>
    </w:p>
    <w:p/>
    <w:p>
      <w:pPr>
        <w:pStyle w:val="17"/>
      </w:pPr>
    </w:p>
    <w:p/>
    <w:p/>
    <w:p>
      <w:pPr>
        <w:pStyle w:val="17"/>
      </w:pPr>
    </w:p>
    <w:p/>
    <w:p>
      <w:pPr>
        <w:pStyle w:val="17"/>
      </w:pPr>
    </w:p>
    <w:p/>
    <w:p>
      <w:pPr>
        <w:pStyle w:val="17"/>
      </w:pPr>
    </w:p>
    <w:p/>
    <w:p>
      <w:pPr>
        <w:spacing w:before="240" w:beforeLines="100" w:after="240" w:afterLines="100"/>
        <w:jc w:val="center"/>
        <w:outlineLvl w:val="2"/>
        <w:rPr>
          <w:rFonts w:ascii="宋体" w:hAnsi="宋体"/>
          <w:b/>
          <w:sz w:val="24"/>
        </w:rPr>
      </w:pPr>
      <w:r>
        <w:rPr>
          <w:rFonts w:hint="eastAsia" w:ascii="宋体" w:hAnsi="宋体"/>
          <w:b/>
          <w:sz w:val="24"/>
        </w:rPr>
        <w:t xml:space="preserve">2-1 </w:t>
      </w:r>
      <w:r>
        <w:rPr>
          <w:rFonts w:ascii="宋体" w:hAnsi="宋体"/>
          <w:b/>
          <w:sz w:val="24"/>
        </w:rPr>
        <w:t>分项报价表</w:t>
      </w:r>
    </w:p>
    <w:p>
      <w:pPr>
        <w:pStyle w:val="17"/>
        <w:spacing w:line="360" w:lineRule="auto"/>
        <w:jc w:val="left"/>
        <w:rPr>
          <w:rFonts w:ascii="宋体" w:hAnsi="宋体"/>
          <w:u w:val="single"/>
        </w:rPr>
      </w:pPr>
      <w:r>
        <w:rPr>
          <w:rFonts w:hint="eastAsia" w:ascii="宋体" w:hAnsi="宋体"/>
        </w:rPr>
        <w:t>项目名称：</w:t>
      </w:r>
      <w:r>
        <w:rPr>
          <w:rFonts w:hint="eastAsia" w:ascii="宋体" w:hAnsi="宋体"/>
          <w:u w:val="single"/>
        </w:rPr>
        <w:t xml:space="preserve">                  </w:t>
      </w:r>
    </w:p>
    <w:p>
      <w:pPr>
        <w:pStyle w:val="17"/>
        <w:spacing w:line="360" w:lineRule="auto"/>
        <w:jc w:val="left"/>
        <w:rPr>
          <w:rFonts w:ascii="宋体" w:hAnsi="宋体"/>
          <w:u w:val="single"/>
        </w:rPr>
      </w:pPr>
      <w:r>
        <w:rPr>
          <w:rFonts w:hint="eastAsia" w:ascii="宋体" w:hAnsi="宋体"/>
        </w:rPr>
        <w:t>项目编号：</w:t>
      </w:r>
      <w:r>
        <w:rPr>
          <w:rFonts w:hint="eastAsia" w:ascii="宋体" w:hAnsi="宋体"/>
          <w:u w:val="single"/>
        </w:rPr>
        <w:t xml:space="preserve">                  </w:t>
      </w:r>
    </w:p>
    <w:p>
      <w:pPr>
        <w:tabs>
          <w:tab w:val="right" w:pos="9072"/>
        </w:tabs>
        <w:spacing w:line="480" w:lineRule="exact"/>
        <w:ind w:firstLine="7560" w:firstLineChars="3600"/>
        <w:rPr>
          <w:rFonts w:cstheme="minorHAnsi"/>
        </w:rPr>
      </w:pPr>
      <w:r>
        <w:rPr>
          <w:rFonts w:cstheme="minorHAnsi"/>
        </w:rPr>
        <w:t>单位：元</w:t>
      </w:r>
    </w:p>
    <w:tbl>
      <w:tblPr>
        <w:tblStyle w:val="40"/>
        <w:tblW w:w="977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719"/>
        <w:gridCol w:w="1147"/>
        <w:gridCol w:w="699"/>
        <w:gridCol w:w="1284"/>
        <w:gridCol w:w="1134"/>
        <w:gridCol w:w="1276"/>
        <w:gridCol w:w="708"/>
        <w:gridCol w:w="668"/>
        <w:gridCol w:w="1138"/>
        <w:gridCol w:w="10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90" w:hRule="atLeast"/>
          <w:jc w:val="center"/>
        </w:trPr>
        <w:tc>
          <w:tcPr>
            <w:tcW w:w="719" w:type="dxa"/>
            <w:shd w:val="clear" w:color="auto" w:fill="auto"/>
            <w:noWrap/>
            <w:tcMar>
              <w:top w:w="20" w:type="dxa"/>
              <w:left w:w="20" w:type="dxa"/>
              <w:bottom w:w="0" w:type="dxa"/>
              <w:right w:w="20" w:type="dxa"/>
            </w:tcMar>
            <w:vAlign w:val="center"/>
          </w:tcPr>
          <w:p>
            <w:pPr>
              <w:jc w:val="center"/>
              <w:rPr>
                <w:rFonts w:asciiTheme="minorEastAsia" w:hAnsiTheme="minorEastAsia" w:cstheme="minorHAnsi"/>
                <w:b/>
              </w:rPr>
            </w:pPr>
            <w:r>
              <w:rPr>
                <w:rFonts w:asciiTheme="minorEastAsia" w:hAnsiTheme="minorEastAsia" w:cstheme="minorHAnsi"/>
                <w:b/>
              </w:rPr>
              <w:t>序号</w:t>
            </w:r>
          </w:p>
        </w:tc>
        <w:tc>
          <w:tcPr>
            <w:tcW w:w="1147" w:type="dxa"/>
            <w:shd w:val="clear" w:color="auto" w:fill="auto"/>
            <w:noWrap/>
            <w:tcMar>
              <w:top w:w="20" w:type="dxa"/>
              <w:left w:w="20" w:type="dxa"/>
              <w:bottom w:w="0" w:type="dxa"/>
              <w:right w:w="20" w:type="dxa"/>
            </w:tcMar>
            <w:vAlign w:val="center"/>
          </w:tcPr>
          <w:p>
            <w:pPr>
              <w:jc w:val="center"/>
              <w:rPr>
                <w:rFonts w:asciiTheme="minorEastAsia" w:hAnsiTheme="minorEastAsia" w:cstheme="minorHAnsi"/>
                <w:b/>
              </w:rPr>
            </w:pPr>
            <w:r>
              <w:rPr>
                <w:rFonts w:asciiTheme="minorEastAsia" w:hAnsiTheme="minorEastAsia" w:cstheme="minorHAnsi"/>
                <w:b/>
              </w:rPr>
              <w:t>产品名称</w:t>
            </w:r>
          </w:p>
        </w:tc>
        <w:tc>
          <w:tcPr>
            <w:tcW w:w="699" w:type="dxa"/>
            <w:tcBorders>
              <w:right w:val="single" w:color="auto" w:sz="4" w:space="0"/>
            </w:tcBorders>
            <w:shd w:val="clear" w:color="auto" w:fill="auto"/>
            <w:noWrap/>
            <w:tcMar>
              <w:top w:w="20" w:type="dxa"/>
              <w:left w:w="20" w:type="dxa"/>
              <w:bottom w:w="0" w:type="dxa"/>
              <w:right w:w="20" w:type="dxa"/>
            </w:tcMar>
            <w:vAlign w:val="center"/>
          </w:tcPr>
          <w:p>
            <w:pPr>
              <w:jc w:val="center"/>
              <w:rPr>
                <w:rFonts w:asciiTheme="minorEastAsia" w:hAnsiTheme="minorEastAsia" w:cstheme="minorHAnsi"/>
                <w:b/>
              </w:rPr>
            </w:pPr>
            <w:r>
              <w:rPr>
                <w:rFonts w:asciiTheme="minorEastAsia" w:hAnsiTheme="minorEastAsia" w:cstheme="minorHAnsi"/>
                <w:b/>
              </w:rPr>
              <w:t>品牌</w:t>
            </w:r>
          </w:p>
        </w:tc>
        <w:tc>
          <w:tcPr>
            <w:tcW w:w="1284" w:type="dxa"/>
            <w:tcBorders>
              <w:left w:val="single" w:color="auto" w:sz="4" w:space="0"/>
            </w:tcBorders>
            <w:shd w:val="clear" w:color="auto" w:fill="auto"/>
            <w:vAlign w:val="center"/>
          </w:tcPr>
          <w:p>
            <w:pPr>
              <w:jc w:val="center"/>
              <w:rPr>
                <w:rFonts w:asciiTheme="minorEastAsia" w:hAnsiTheme="minorEastAsia" w:cstheme="minorHAnsi"/>
                <w:b/>
              </w:rPr>
            </w:pPr>
            <w:r>
              <w:rPr>
                <w:rFonts w:asciiTheme="minorEastAsia" w:hAnsiTheme="minorEastAsia" w:cstheme="minorHAnsi"/>
                <w:b/>
              </w:rPr>
              <w:t>规格或型号</w:t>
            </w:r>
          </w:p>
        </w:tc>
        <w:tc>
          <w:tcPr>
            <w:tcW w:w="1134" w:type="dxa"/>
            <w:shd w:val="clear" w:color="auto" w:fill="auto"/>
            <w:noWrap/>
            <w:tcMar>
              <w:top w:w="20" w:type="dxa"/>
              <w:left w:w="20" w:type="dxa"/>
              <w:bottom w:w="0" w:type="dxa"/>
              <w:right w:w="20" w:type="dxa"/>
            </w:tcMar>
            <w:vAlign w:val="center"/>
          </w:tcPr>
          <w:p>
            <w:pPr>
              <w:jc w:val="center"/>
              <w:rPr>
                <w:rFonts w:asciiTheme="minorEastAsia" w:hAnsiTheme="minorEastAsia" w:cstheme="minorHAnsi"/>
                <w:b/>
              </w:rPr>
            </w:pPr>
            <w:r>
              <w:rPr>
                <w:rFonts w:asciiTheme="minorEastAsia" w:hAnsiTheme="minorEastAsia" w:cstheme="minorHAnsi"/>
                <w:b/>
              </w:rPr>
              <w:t>生产厂家</w:t>
            </w:r>
          </w:p>
        </w:tc>
        <w:tc>
          <w:tcPr>
            <w:tcW w:w="1276" w:type="dxa"/>
            <w:shd w:val="clear" w:color="auto" w:fill="auto"/>
            <w:noWrap/>
            <w:tcMar>
              <w:top w:w="20" w:type="dxa"/>
              <w:left w:w="20" w:type="dxa"/>
              <w:bottom w:w="0" w:type="dxa"/>
              <w:right w:w="20" w:type="dxa"/>
            </w:tcMar>
            <w:vAlign w:val="center"/>
          </w:tcPr>
          <w:p>
            <w:pPr>
              <w:jc w:val="center"/>
              <w:rPr>
                <w:rFonts w:asciiTheme="minorEastAsia" w:hAnsiTheme="minorEastAsia" w:cstheme="minorHAnsi"/>
                <w:b/>
              </w:rPr>
            </w:pPr>
            <w:r>
              <w:rPr>
                <w:rFonts w:asciiTheme="minorEastAsia" w:hAnsiTheme="minorEastAsia" w:cstheme="minorHAnsi"/>
                <w:b/>
              </w:rPr>
              <w:t>是否小微</w:t>
            </w:r>
          </w:p>
          <w:p>
            <w:pPr>
              <w:jc w:val="center"/>
              <w:rPr>
                <w:rFonts w:asciiTheme="minorEastAsia" w:hAnsiTheme="minorEastAsia" w:cstheme="minorHAnsi"/>
                <w:b/>
              </w:rPr>
            </w:pPr>
            <w:r>
              <w:rPr>
                <w:rFonts w:asciiTheme="minorEastAsia" w:hAnsiTheme="minorEastAsia" w:cstheme="minorHAnsi"/>
                <w:b/>
              </w:rPr>
              <w:t>企业产品</w:t>
            </w:r>
          </w:p>
        </w:tc>
        <w:tc>
          <w:tcPr>
            <w:tcW w:w="708" w:type="dxa"/>
            <w:tcBorders>
              <w:right w:val="single" w:color="auto" w:sz="4" w:space="0"/>
            </w:tcBorders>
            <w:shd w:val="clear" w:color="auto" w:fill="auto"/>
            <w:noWrap/>
            <w:tcMar>
              <w:top w:w="20" w:type="dxa"/>
              <w:left w:w="20" w:type="dxa"/>
              <w:bottom w:w="0" w:type="dxa"/>
              <w:right w:w="20" w:type="dxa"/>
            </w:tcMar>
            <w:vAlign w:val="center"/>
          </w:tcPr>
          <w:p>
            <w:pPr>
              <w:jc w:val="center"/>
              <w:rPr>
                <w:rFonts w:asciiTheme="minorEastAsia" w:hAnsiTheme="minorEastAsia" w:cstheme="minorHAnsi"/>
                <w:b/>
              </w:rPr>
            </w:pPr>
            <w:r>
              <w:rPr>
                <w:rFonts w:asciiTheme="minorEastAsia" w:hAnsiTheme="minorEastAsia" w:cstheme="minorHAnsi"/>
                <w:b/>
              </w:rPr>
              <w:t>单位</w:t>
            </w:r>
          </w:p>
        </w:tc>
        <w:tc>
          <w:tcPr>
            <w:tcW w:w="668" w:type="dxa"/>
            <w:tcBorders>
              <w:left w:val="single" w:color="auto" w:sz="4" w:space="0"/>
            </w:tcBorders>
            <w:shd w:val="clear" w:color="auto" w:fill="auto"/>
            <w:vAlign w:val="center"/>
          </w:tcPr>
          <w:p>
            <w:pPr>
              <w:jc w:val="center"/>
              <w:rPr>
                <w:rFonts w:asciiTheme="minorEastAsia" w:hAnsiTheme="minorEastAsia" w:cstheme="minorHAnsi"/>
                <w:b/>
              </w:rPr>
            </w:pPr>
            <w:r>
              <w:rPr>
                <w:rFonts w:asciiTheme="minorEastAsia" w:hAnsiTheme="minorEastAsia" w:cstheme="minorHAnsi"/>
                <w:b/>
              </w:rPr>
              <w:t>数量</w:t>
            </w:r>
          </w:p>
        </w:tc>
        <w:tc>
          <w:tcPr>
            <w:tcW w:w="1138" w:type="dxa"/>
            <w:shd w:val="clear" w:color="auto" w:fill="auto"/>
            <w:noWrap/>
            <w:tcMar>
              <w:top w:w="20" w:type="dxa"/>
              <w:left w:w="20" w:type="dxa"/>
              <w:bottom w:w="0" w:type="dxa"/>
              <w:right w:w="20" w:type="dxa"/>
            </w:tcMar>
            <w:vAlign w:val="center"/>
          </w:tcPr>
          <w:p>
            <w:pPr>
              <w:jc w:val="center"/>
              <w:rPr>
                <w:rFonts w:asciiTheme="minorEastAsia" w:hAnsiTheme="minorEastAsia" w:cstheme="minorHAnsi"/>
                <w:b/>
              </w:rPr>
            </w:pPr>
            <w:r>
              <w:rPr>
                <w:rFonts w:asciiTheme="minorEastAsia" w:hAnsiTheme="minorEastAsia" w:cstheme="minorHAnsi"/>
                <w:b/>
              </w:rPr>
              <w:t>单价</w:t>
            </w:r>
          </w:p>
        </w:tc>
        <w:tc>
          <w:tcPr>
            <w:tcW w:w="1003" w:type="dxa"/>
            <w:shd w:val="clear" w:color="auto" w:fill="auto"/>
            <w:vAlign w:val="center"/>
          </w:tcPr>
          <w:p>
            <w:pPr>
              <w:jc w:val="center"/>
              <w:rPr>
                <w:rFonts w:asciiTheme="minorEastAsia" w:hAnsiTheme="minorEastAsia" w:cstheme="minorHAnsi"/>
                <w:b/>
              </w:rPr>
            </w:pPr>
            <w:r>
              <w:rPr>
                <w:rFonts w:asciiTheme="minorEastAsia" w:hAnsiTheme="minorEastAsia" w:cstheme="minorHAnsi"/>
                <w:b/>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19"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147"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99"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284" w:type="dxa"/>
            <w:tcBorders>
              <w:left w:val="single" w:color="auto" w:sz="4" w:space="0"/>
            </w:tcBorders>
            <w:vAlign w:val="center"/>
          </w:tcPr>
          <w:p>
            <w:pPr>
              <w:spacing w:line="440" w:lineRule="exact"/>
              <w:jc w:val="center"/>
              <w:rPr>
                <w:rFonts w:asciiTheme="minorEastAsia" w:hAnsiTheme="minorEastAsia" w:cstheme="minorHAnsi"/>
                <w:bCs/>
              </w:rPr>
            </w:pPr>
          </w:p>
        </w:tc>
        <w:tc>
          <w:tcPr>
            <w:tcW w:w="1134"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276"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708"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68" w:type="dxa"/>
            <w:tcBorders>
              <w:left w:val="single" w:color="auto" w:sz="4" w:space="0"/>
            </w:tcBorders>
            <w:vAlign w:val="center"/>
          </w:tcPr>
          <w:p>
            <w:pPr>
              <w:spacing w:line="440" w:lineRule="exact"/>
              <w:jc w:val="center"/>
              <w:rPr>
                <w:rFonts w:asciiTheme="minorEastAsia" w:hAnsiTheme="minorEastAsia" w:cstheme="minorHAnsi"/>
                <w:bCs/>
              </w:rPr>
            </w:pPr>
          </w:p>
        </w:tc>
        <w:tc>
          <w:tcPr>
            <w:tcW w:w="1138"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003" w:type="dxa"/>
            <w:vAlign w:val="center"/>
          </w:tcPr>
          <w:p>
            <w:pPr>
              <w:spacing w:line="440" w:lineRule="exact"/>
              <w:jc w:val="center"/>
              <w:rPr>
                <w:rFonts w:asciiTheme="minorEastAsia" w:hAnsiTheme="minorEastAsia" w:cstheme="minorHAnsi"/>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19"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147"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99"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284" w:type="dxa"/>
            <w:tcBorders>
              <w:left w:val="single" w:color="auto" w:sz="4" w:space="0"/>
            </w:tcBorders>
            <w:vAlign w:val="center"/>
          </w:tcPr>
          <w:p>
            <w:pPr>
              <w:spacing w:line="440" w:lineRule="exact"/>
              <w:jc w:val="center"/>
              <w:rPr>
                <w:rFonts w:asciiTheme="minorEastAsia" w:hAnsiTheme="minorEastAsia" w:cstheme="minorHAnsi"/>
                <w:bCs/>
              </w:rPr>
            </w:pPr>
          </w:p>
        </w:tc>
        <w:tc>
          <w:tcPr>
            <w:tcW w:w="1134"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276"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708"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68" w:type="dxa"/>
            <w:tcBorders>
              <w:left w:val="single" w:color="auto" w:sz="4" w:space="0"/>
            </w:tcBorders>
            <w:vAlign w:val="center"/>
          </w:tcPr>
          <w:p>
            <w:pPr>
              <w:spacing w:line="440" w:lineRule="exact"/>
              <w:jc w:val="center"/>
              <w:rPr>
                <w:rFonts w:asciiTheme="minorEastAsia" w:hAnsiTheme="minorEastAsia" w:cstheme="minorHAnsi"/>
                <w:bCs/>
              </w:rPr>
            </w:pPr>
          </w:p>
        </w:tc>
        <w:tc>
          <w:tcPr>
            <w:tcW w:w="1138"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003" w:type="dxa"/>
            <w:vAlign w:val="center"/>
          </w:tcPr>
          <w:p>
            <w:pPr>
              <w:spacing w:line="440" w:lineRule="exact"/>
              <w:jc w:val="center"/>
              <w:rPr>
                <w:rFonts w:asciiTheme="minorEastAsia" w:hAnsiTheme="minorEastAsia" w:cstheme="minorHAnsi"/>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19"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147"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99"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284" w:type="dxa"/>
            <w:tcBorders>
              <w:left w:val="single" w:color="auto" w:sz="4" w:space="0"/>
            </w:tcBorders>
            <w:vAlign w:val="center"/>
          </w:tcPr>
          <w:p>
            <w:pPr>
              <w:spacing w:line="440" w:lineRule="exact"/>
              <w:jc w:val="center"/>
              <w:rPr>
                <w:rFonts w:asciiTheme="minorEastAsia" w:hAnsiTheme="minorEastAsia" w:cstheme="minorHAnsi"/>
                <w:bCs/>
              </w:rPr>
            </w:pPr>
          </w:p>
        </w:tc>
        <w:tc>
          <w:tcPr>
            <w:tcW w:w="1134"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276"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708"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68" w:type="dxa"/>
            <w:tcBorders>
              <w:left w:val="single" w:color="auto" w:sz="4" w:space="0"/>
            </w:tcBorders>
            <w:vAlign w:val="center"/>
          </w:tcPr>
          <w:p>
            <w:pPr>
              <w:spacing w:line="440" w:lineRule="exact"/>
              <w:jc w:val="center"/>
              <w:rPr>
                <w:rFonts w:asciiTheme="minorEastAsia" w:hAnsiTheme="minorEastAsia" w:cstheme="minorHAnsi"/>
                <w:bCs/>
              </w:rPr>
            </w:pPr>
          </w:p>
        </w:tc>
        <w:tc>
          <w:tcPr>
            <w:tcW w:w="1138"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003" w:type="dxa"/>
            <w:vAlign w:val="center"/>
          </w:tcPr>
          <w:p>
            <w:pPr>
              <w:spacing w:line="440" w:lineRule="exact"/>
              <w:jc w:val="center"/>
              <w:rPr>
                <w:rFonts w:asciiTheme="minorEastAsia" w:hAnsiTheme="minorEastAsia" w:cstheme="minorHAnsi"/>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9776" w:type="dxa"/>
            <w:gridSpan w:val="10"/>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r>
              <w:rPr>
                <w:rFonts w:asciiTheme="minorEastAsia" w:hAnsiTheme="minorEastAsia" w:cstheme="minorHAnsi"/>
                <w:b/>
                <w:bCs/>
              </w:rPr>
              <w:t>其他费用（若有填写）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19" w:type="dxa"/>
            <w:noWrap/>
            <w:tcMar>
              <w:top w:w="20" w:type="dxa"/>
              <w:left w:w="20" w:type="dxa"/>
              <w:bottom w:w="0" w:type="dxa"/>
              <w:right w:w="20" w:type="dxa"/>
            </w:tcMar>
            <w:vAlign w:val="center"/>
          </w:tcPr>
          <w:p>
            <w:pPr>
              <w:jc w:val="center"/>
              <w:rPr>
                <w:rFonts w:asciiTheme="minorEastAsia" w:hAnsiTheme="minorEastAsia" w:cstheme="minorHAnsi"/>
                <w:b/>
                <w:bCs/>
              </w:rPr>
            </w:pPr>
            <w:r>
              <w:rPr>
                <w:rFonts w:asciiTheme="minorEastAsia" w:hAnsiTheme="minorEastAsia" w:cstheme="minorHAnsi"/>
                <w:b/>
                <w:bCs/>
              </w:rPr>
              <w:t>序号</w:t>
            </w:r>
          </w:p>
        </w:tc>
        <w:tc>
          <w:tcPr>
            <w:tcW w:w="1147" w:type="dxa"/>
            <w:noWrap/>
            <w:tcMar>
              <w:top w:w="20" w:type="dxa"/>
              <w:left w:w="20" w:type="dxa"/>
              <w:bottom w:w="0" w:type="dxa"/>
              <w:right w:w="20" w:type="dxa"/>
            </w:tcMar>
            <w:vAlign w:val="center"/>
          </w:tcPr>
          <w:p>
            <w:pPr>
              <w:jc w:val="center"/>
              <w:rPr>
                <w:rFonts w:asciiTheme="minorEastAsia" w:hAnsiTheme="minorEastAsia" w:cstheme="minorHAnsi"/>
                <w:b/>
                <w:bCs/>
              </w:rPr>
            </w:pPr>
            <w:r>
              <w:rPr>
                <w:rFonts w:asciiTheme="minorEastAsia" w:hAnsiTheme="minorEastAsia" w:cstheme="minorHAnsi"/>
                <w:b/>
                <w:bCs/>
              </w:rPr>
              <w:t>费用名称</w:t>
            </w:r>
          </w:p>
        </w:tc>
        <w:tc>
          <w:tcPr>
            <w:tcW w:w="4393" w:type="dxa"/>
            <w:gridSpan w:val="4"/>
            <w:noWrap/>
            <w:tcMar>
              <w:top w:w="20" w:type="dxa"/>
              <w:left w:w="20" w:type="dxa"/>
              <w:bottom w:w="0" w:type="dxa"/>
              <w:right w:w="20" w:type="dxa"/>
            </w:tcMar>
            <w:vAlign w:val="center"/>
          </w:tcPr>
          <w:p>
            <w:pPr>
              <w:jc w:val="center"/>
              <w:rPr>
                <w:rFonts w:asciiTheme="minorEastAsia" w:hAnsiTheme="minorEastAsia" w:cstheme="minorHAnsi"/>
                <w:b/>
                <w:bCs/>
              </w:rPr>
            </w:pPr>
            <w:r>
              <w:rPr>
                <w:rFonts w:asciiTheme="minorEastAsia" w:hAnsiTheme="minorEastAsia" w:cstheme="minorHAnsi"/>
                <w:b/>
                <w:bCs/>
              </w:rPr>
              <w:t>费用描述</w:t>
            </w:r>
          </w:p>
        </w:tc>
        <w:tc>
          <w:tcPr>
            <w:tcW w:w="708" w:type="dxa"/>
            <w:tcBorders>
              <w:right w:val="single" w:color="auto" w:sz="4" w:space="0"/>
            </w:tcBorders>
            <w:noWrap/>
            <w:tcMar>
              <w:top w:w="20" w:type="dxa"/>
              <w:left w:w="20" w:type="dxa"/>
              <w:bottom w:w="0" w:type="dxa"/>
              <w:right w:w="20" w:type="dxa"/>
            </w:tcMar>
            <w:vAlign w:val="center"/>
          </w:tcPr>
          <w:p>
            <w:pPr>
              <w:jc w:val="center"/>
              <w:rPr>
                <w:rFonts w:asciiTheme="minorEastAsia" w:hAnsiTheme="minorEastAsia" w:cstheme="minorHAnsi"/>
                <w:b/>
                <w:bCs/>
              </w:rPr>
            </w:pPr>
            <w:r>
              <w:rPr>
                <w:rFonts w:asciiTheme="minorEastAsia" w:hAnsiTheme="minorEastAsia" w:cstheme="minorHAnsi"/>
                <w:b/>
                <w:bCs/>
              </w:rPr>
              <w:t>单位</w:t>
            </w:r>
          </w:p>
        </w:tc>
        <w:tc>
          <w:tcPr>
            <w:tcW w:w="668" w:type="dxa"/>
            <w:tcBorders>
              <w:left w:val="single" w:color="auto" w:sz="4" w:space="0"/>
            </w:tcBorders>
            <w:vAlign w:val="center"/>
          </w:tcPr>
          <w:p>
            <w:pPr>
              <w:jc w:val="center"/>
              <w:rPr>
                <w:rFonts w:asciiTheme="minorEastAsia" w:hAnsiTheme="minorEastAsia" w:cstheme="minorHAnsi"/>
                <w:b/>
                <w:bCs/>
              </w:rPr>
            </w:pPr>
            <w:r>
              <w:rPr>
                <w:rFonts w:asciiTheme="minorEastAsia" w:hAnsiTheme="minorEastAsia" w:cstheme="minorHAnsi"/>
                <w:b/>
                <w:bCs/>
              </w:rPr>
              <w:t>数量</w:t>
            </w:r>
          </w:p>
        </w:tc>
        <w:tc>
          <w:tcPr>
            <w:tcW w:w="1138" w:type="dxa"/>
            <w:noWrap/>
            <w:tcMar>
              <w:top w:w="20" w:type="dxa"/>
              <w:left w:w="20" w:type="dxa"/>
              <w:bottom w:w="0" w:type="dxa"/>
              <w:right w:w="20" w:type="dxa"/>
            </w:tcMar>
            <w:vAlign w:val="center"/>
          </w:tcPr>
          <w:p>
            <w:pPr>
              <w:jc w:val="center"/>
              <w:rPr>
                <w:rFonts w:asciiTheme="minorEastAsia" w:hAnsiTheme="minorEastAsia" w:cstheme="minorHAnsi"/>
                <w:b/>
                <w:bCs/>
              </w:rPr>
            </w:pPr>
            <w:r>
              <w:rPr>
                <w:rFonts w:asciiTheme="minorEastAsia" w:hAnsiTheme="minorEastAsia" w:cstheme="minorHAnsi"/>
                <w:b/>
                <w:bCs/>
              </w:rPr>
              <w:t>单价</w:t>
            </w:r>
          </w:p>
        </w:tc>
        <w:tc>
          <w:tcPr>
            <w:tcW w:w="1003" w:type="dxa"/>
            <w:vAlign w:val="center"/>
          </w:tcPr>
          <w:p>
            <w:pPr>
              <w:jc w:val="center"/>
              <w:rPr>
                <w:rFonts w:asciiTheme="minorEastAsia" w:hAnsiTheme="minorEastAsia" w:cstheme="minorHAnsi"/>
                <w:b/>
                <w:bCs/>
              </w:rPr>
            </w:pPr>
            <w:r>
              <w:rPr>
                <w:rFonts w:asciiTheme="minorEastAsia" w:hAnsiTheme="minorEastAsia" w:cstheme="minorHAnsi"/>
                <w:b/>
                <w:bCs/>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19"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147"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4393" w:type="dxa"/>
            <w:gridSpan w:val="4"/>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708"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68" w:type="dxa"/>
            <w:tcBorders>
              <w:left w:val="single" w:color="auto" w:sz="4" w:space="0"/>
            </w:tcBorders>
            <w:vAlign w:val="center"/>
          </w:tcPr>
          <w:p>
            <w:pPr>
              <w:spacing w:line="440" w:lineRule="exact"/>
              <w:jc w:val="center"/>
              <w:rPr>
                <w:rFonts w:asciiTheme="minorEastAsia" w:hAnsiTheme="minorEastAsia" w:cstheme="minorHAnsi"/>
                <w:bCs/>
              </w:rPr>
            </w:pPr>
          </w:p>
        </w:tc>
        <w:tc>
          <w:tcPr>
            <w:tcW w:w="1138"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003" w:type="dxa"/>
            <w:vAlign w:val="center"/>
          </w:tcPr>
          <w:p>
            <w:pPr>
              <w:spacing w:line="440" w:lineRule="exact"/>
              <w:jc w:val="center"/>
              <w:rPr>
                <w:rFonts w:asciiTheme="minorEastAsia" w:hAnsiTheme="minorEastAsia" w:cstheme="minorHAnsi"/>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19"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147"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4393" w:type="dxa"/>
            <w:gridSpan w:val="4"/>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708"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68" w:type="dxa"/>
            <w:tcBorders>
              <w:left w:val="single" w:color="auto" w:sz="4" w:space="0"/>
            </w:tcBorders>
            <w:vAlign w:val="center"/>
          </w:tcPr>
          <w:p>
            <w:pPr>
              <w:spacing w:line="440" w:lineRule="exact"/>
              <w:jc w:val="center"/>
              <w:rPr>
                <w:rFonts w:asciiTheme="minorEastAsia" w:hAnsiTheme="minorEastAsia" w:cstheme="minorHAnsi"/>
                <w:bCs/>
              </w:rPr>
            </w:pPr>
          </w:p>
        </w:tc>
        <w:tc>
          <w:tcPr>
            <w:tcW w:w="1138"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003" w:type="dxa"/>
            <w:vAlign w:val="center"/>
          </w:tcPr>
          <w:p>
            <w:pPr>
              <w:spacing w:line="440" w:lineRule="exact"/>
              <w:jc w:val="center"/>
              <w:rPr>
                <w:rFonts w:asciiTheme="minorEastAsia" w:hAnsiTheme="minorEastAsia" w:cstheme="minorHAnsi"/>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19"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147"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4393" w:type="dxa"/>
            <w:gridSpan w:val="4"/>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708" w:type="dxa"/>
            <w:tcBorders>
              <w:right w:val="single" w:color="auto" w:sz="4" w:space="0"/>
            </w:tcBorders>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668" w:type="dxa"/>
            <w:tcBorders>
              <w:left w:val="single" w:color="auto" w:sz="4" w:space="0"/>
            </w:tcBorders>
            <w:vAlign w:val="center"/>
          </w:tcPr>
          <w:p>
            <w:pPr>
              <w:spacing w:line="440" w:lineRule="exact"/>
              <w:jc w:val="center"/>
              <w:rPr>
                <w:rFonts w:asciiTheme="minorEastAsia" w:hAnsiTheme="minorEastAsia" w:cstheme="minorHAnsi"/>
                <w:bCs/>
              </w:rPr>
            </w:pPr>
          </w:p>
        </w:tc>
        <w:tc>
          <w:tcPr>
            <w:tcW w:w="1138" w:type="dxa"/>
            <w:noWrap/>
            <w:tcMar>
              <w:top w:w="20" w:type="dxa"/>
              <w:left w:w="20" w:type="dxa"/>
              <w:bottom w:w="0" w:type="dxa"/>
              <w:right w:w="20" w:type="dxa"/>
            </w:tcMar>
            <w:vAlign w:val="center"/>
          </w:tcPr>
          <w:p>
            <w:pPr>
              <w:spacing w:line="440" w:lineRule="exact"/>
              <w:jc w:val="center"/>
              <w:rPr>
                <w:rFonts w:asciiTheme="minorEastAsia" w:hAnsiTheme="minorEastAsia" w:cstheme="minorHAnsi"/>
                <w:bCs/>
              </w:rPr>
            </w:pPr>
          </w:p>
        </w:tc>
        <w:tc>
          <w:tcPr>
            <w:tcW w:w="1003" w:type="dxa"/>
            <w:vAlign w:val="center"/>
          </w:tcPr>
          <w:p>
            <w:pPr>
              <w:spacing w:line="440" w:lineRule="exact"/>
              <w:jc w:val="center"/>
              <w:rPr>
                <w:rFonts w:asciiTheme="minorEastAsia" w:hAnsiTheme="minorEastAsia" w:cstheme="minorHAnsi"/>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9776" w:type="dxa"/>
            <w:gridSpan w:val="10"/>
            <w:noWrap/>
            <w:tcMar>
              <w:top w:w="20" w:type="dxa"/>
              <w:left w:w="20" w:type="dxa"/>
              <w:bottom w:w="0" w:type="dxa"/>
              <w:right w:w="20" w:type="dxa"/>
            </w:tcMar>
            <w:vAlign w:val="center"/>
          </w:tcPr>
          <w:p>
            <w:pPr>
              <w:jc w:val="center"/>
              <w:rPr>
                <w:rFonts w:asciiTheme="minorEastAsia" w:hAnsiTheme="minorEastAsia" w:cstheme="minorHAnsi"/>
                <w:b/>
                <w:bCs/>
              </w:rPr>
            </w:pPr>
            <w:r>
              <w:rPr>
                <w:rFonts w:asciiTheme="minorEastAsia" w:hAnsiTheme="minorEastAsia" w:cstheme="minorHAnsi"/>
                <w:b/>
                <w:bCs/>
              </w:rPr>
              <w:t>费用汇总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1866" w:type="dxa"/>
            <w:gridSpan w:val="2"/>
            <w:tcBorders>
              <w:right w:val="single" w:color="auto" w:sz="4" w:space="0"/>
            </w:tcBorders>
            <w:noWrap/>
            <w:tcMar>
              <w:top w:w="20" w:type="dxa"/>
              <w:left w:w="20" w:type="dxa"/>
              <w:bottom w:w="0" w:type="dxa"/>
              <w:right w:w="20" w:type="dxa"/>
            </w:tcMar>
            <w:vAlign w:val="center"/>
          </w:tcPr>
          <w:p>
            <w:pPr>
              <w:jc w:val="center"/>
              <w:rPr>
                <w:rFonts w:asciiTheme="minorEastAsia" w:hAnsiTheme="minorEastAsia" w:cstheme="minorHAnsi"/>
                <w:b/>
                <w:bCs/>
              </w:rPr>
            </w:pPr>
            <w:r>
              <w:rPr>
                <w:rFonts w:asciiTheme="minorEastAsia" w:hAnsiTheme="minorEastAsia" w:cstheme="minorHAnsi"/>
                <w:b/>
                <w:bCs/>
              </w:rPr>
              <w:t>总</w:t>
            </w:r>
            <w:r>
              <w:rPr>
                <w:rFonts w:hint="eastAsia" w:asciiTheme="minorEastAsia" w:hAnsiTheme="minorEastAsia" w:cstheme="minorHAnsi"/>
                <w:b/>
                <w:bCs/>
              </w:rPr>
              <w:t xml:space="preserve"> </w:t>
            </w:r>
            <w:r>
              <w:rPr>
                <w:rFonts w:asciiTheme="minorEastAsia" w:hAnsiTheme="minorEastAsia" w:cstheme="minorHAnsi"/>
                <w:b/>
                <w:bCs/>
              </w:rPr>
              <w:t>计</w:t>
            </w:r>
          </w:p>
        </w:tc>
        <w:tc>
          <w:tcPr>
            <w:tcW w:w="4393" w:type="dxa"/>
            <w:gridSpan w:val="4"/>
            <w:tcBorders>
              <w:left w:val="single" w:color="auto" w:sz="4" w:space="0"/>
            </w:tcBorders>
            <w:vAlign w:val="center"/>
          </w:tcPr>
          <w:p>
            <w:pPr>
              <w:rPr>
                <w:rFonts w:asciiTheme="minorEastAsia" w:hAnsiTheme="minorEastAsia" w:cstheme="minorHAnsi"/>
                <w:b/>
                <w:bCs/>
              </w:rPr>
            </w:pPr>
            <w:r>
              <w:rPr>
                <w:rFonts w:asciiTheme="minorEastAsia" w:hAnsiTheme="minorEastAsia" w:cstheme="minorHAnsi"/>
                <w:b/>
                <w:bCs/>
              </w:rPr>
              <w:t>大写：</w:t>
            </w:r>
          </w:p>
        </w:tc>
        <w:tc>
          <w:tcPr>
            <w:tcW w:w="3517" w:type="dxa"/>
            <w:gridSpan w:val="4"/>
            <w:tcBorders>
              <w:left w:val="single" w:color="auto" w:sz="4" w:space="0"/>
            </w:tcBorders>
            <w:vAlign w:val="center"/>
          </w:tcPr>
          <w:p>
            <w:pPr>
              <w:rPr>
                <w:rFonts w:asciiTheme="minorEastAsia" w:hAnsiTheme="minorEastAsia" w:cstheme="minorHAnsi"/>
                <w:b/>
                <w:bCs/>
              </w:rPr>
            </w:pPr>
            <w:r>
              <w:rPr>
                <w:rFonts w:asciiTheme="minorEastAsia" w:hAnsiTheme="minorEastAsia" w:cstheme="minorHAnsi"/>
                <w:b/>
                <w:bCs/>
              </w:rPr>
              <w:t>小写：</w:t>
            </w:r>
          </w:p>
        </w:tc>
      </w:tr>
    </w:tbl>
    <w:p>
      <w:pPr>
        <w:tabs>
          <w:tab w:val="right" w:pos="9070"/>
        </w:tabs>
        <w:spacing w:line="276" w:lineRule="auto"/>
        <w:rPr>
          <w:rFonts w:asciiTheme="minorEastAsia" w:hAnsiTheme="minorEastAsia" w:eastAsiaTheme="minorEastAsia" w:cstheme="minorHAnsi"/>
          <w:bCs/>
        </w:rPr>
      </w:pPr>
    </w:p>
    <w:p>
      <w:pPr>
        <w:tabs>
          <w:tab w:val="right" w:pos="9070"/>
        </w:tabs>
        <w:spacing w:line="276" w:lineRule="auto"/>
        <w:rPr>
          <w:rFonts w:asciiTheme="minorEastAsia" w:hAnsiTheme="minorEastAsia" w:eastAsiaTheme="minorEastAsia" w:cstheme="minorHAnsi"/>
          <w:bCs/>
        </w:rPr>
      </w:pPr>
      <w:r>
        <w:rPr>
          <w:rFonts w:asciiTheme="minorEastAsia" w:hAnsiTheme="minorEastAsia" w:eastAsiaTheme="minorEastAsia" w:cstheme="minorHAnsi"/>
          <w:bCs/>
        </w:rPr>
        <w:t>注：1</w:t>
      </w:r>
      <w:r>
        <w:rPr>
          <w:rFonts w:hint="eastAsia" w:asciiTheme="minorEastAsia" w:hAnsiTheme="minorEastAsia" w:eastAsiaTheme="minorEastAsia" w:cstheme="minorHAnsi"/>
          <w:color w:val="000000"/>
          <w:kern w:val="24"/>
        </w:rPr>
        <w:t>．</w:t>
      </w:r>
      <w:r>
        <w:rPr>
          <w:rFonts w:asciiTheme="minorEastAsia" w:hAnsiTheme="minorEastAsia" w:eastAsiaTheme="minorEastAsia" w:cstheme="minorHAnsi"/>
          <w:bCs/>
        </w:rPr>
        <w:t>监狱企业、残疾人福利性单位视同小微企业。</w:t>
      </w:r>
    </w:p>
    <w:p>
      <w:pPr>
        <w:tabs>
          <w:tab w:val="right" w:pos="9070"/>
        </w:tabs>
        <w:spacing w:line="276" w:lineRule="auto"/>
        <w:ind w:firstLine="420" w:firstLineChars="200"/>
        <w:rPr>
          <w:rFonts w:asciiTheme="minorEastAsia" w:hAnsiTheme="minorEastAsia" w:eastAsiaTheme="minorEastAsia" w:cstheme="minorHAnsi"/>
          <w:bCs/>
        </w:rPr>
      </w:pPr>
      <w:r>
        <w:rPr>
          <w:rFonts w:asciiTheme="minorEastAsia" w:hAnsiTheme="minorEastAsia" w:eastAsiaTheme="minorEastAsia" w:cstheme="minorHAnsi"/>
          <w:bCs/>
        </w:rPr>
        <w:t>2</w:t>
      </w:r>
      <w:r>
        <w:rPr>
          <w:rFonts w:hint="eastAsia" w:asciiTheme="minorEastAsia" w:hAnsiTheme="minorEastAsia" w:eastAsiaTheme="minorEastAsia" w:cstheme="minorHAnsi"/>
          <w:color w:val="000000"/>
          <w:kern w:val="24"/>
        </w:rPr>
        <w:t>．</w:t>
      </w:r>
      <w:r>
        <w:rPr>
          <w:rFonts w:hint="eastAsia" w:asciiTheme="minorEastAsia" w:hAnsiTheme="minorEastAsia" w:eastAsiaTheme="minorEastAsia" w:cstheme="minorHAnsi"/>
          <w:bCs/>
        </w:rPr>
        <w:t>“是否小微企业产品”</w:t>
      </w:r>
      <w:r>
        <w:rPr>
          <w:rFonts w:asciiTheme="minorEastAsia" w:hAnsiTheme="minorEastAsia" w:eastAsiaTheme="minorEastAsia" w:cstheme="minorHAnsi"/>
          <w:bCs/>
        </w:rPr>
        <w:t>一栏若有漏报，将被视为</w:t>
      </w:r>
      <w:r>
        <w:rPr>
          <w:rFonts w:hint="eastAsia" w:asciiTheme="minorEastAsia" w:hAnsiTheme="minorEastAsia" w:eastAsiaTheme="minorEastAsia" w:cstheme="minorHAnsi"/>
          <w:bCs/>
        </w:rPr>
        <w:t>“非小微企业产品”</w:t>
      </w:r>
      <w:r>
        <w:rPr>
          <w:rFonts w:asciiTheme="minorEastAsia" w:hAnsiTheme="minorEastAsia" w:eastAsiaTheme="minorEastAsia" w:cstheme="minorHAnsi"/>
          <w:bCs/>
        </w:rPr>
        <w:t>。</w:t>
      </w:r>
    </w:p>
    <w:p>
      <w:pPr>
        <w:tabs>
          <w:tab w:val="right" w:pos="9070"/>
        </w:tabs>
        <w:spacing w:line="276" w:lineRule="auto"/>
        <w:ind w:firstLine="420" w:firstLineChars="200"/>
        <w:rPr>
          <w:rFonts w:hint="default" w:asciiTheme="minorEastAsia" w:hAnsiTheme="minorEastAsia" w:eastAsiaTheme="minorEastAsia" w:cstheme="minorHAnsi"/>
          <w:bCs/>
          <w:lang w:val="en-US" w:eastAsia="zh-CN"/>
        </w:rPr>
      </w:pPr>
      <w:r>
        <w:rPr>
          <w:rFonts w:asciiTheme="minorEastAsia" w:hAnsiTheme="minorEastAsia" w:eastAsiaTheme="minorEastAsia" w:cstheme="minorHAnsi"/>
          <w:bCs/>
        </w:rPr>
        <w:t>3</w:t>
      </w:r>
      <w:r>
        <w:rPr>
          <w:rFonts w:hint="eastAsia" w:asciiTheme="minorEastAsia" w:hAnsiTheme="minorEastAsia" w:eastAsiaTheme="minorEastAsia" w:cstheme="minorHAnsi"/>
          <w:color w:val="000000"/>
          <w:kern w:val="24"/>
        </w:rPr>
        <w:t>．</w:t>
      </w:r>
      <w:r>
        <w:rPr>
          <w:rFonts w:asciiTheme="minorEastAsia" w:hAnsiTheme="minorEastAsia" w:eastAsiaTheme="minorEastAsia" w:cstheme="minorHAnsi"/>
          <w:bCs/>
        </w:rPr>
        <w:t>表格空间不足时，可自行扩展。分项报价表</w:t>
      </w:r>
      <w:r>
        <w:rPr>
          <w:rFonts w:hint="eastAsia" w:asciiTheme="minorEastAsia" w:hAnsiTheme="minorEastAsia" w:eastAsiaTheme="minorEastAsia" w:cstheme="minorHAnsi"/>
          <w:bCs/>
          <w:lang w:val="en-US" w:eastAsia="zh-CN"/>
        </w:rPr>
        <w:t>可根据自身情况添加其他内容，但至少应包含给定内容。</w:t>
      </w:r>
    </w:p>
    <w:p>
      <w:pPr>
        <w:pStyle w:val="17"/>
        <w:spacing w:line="276" w:lineRule="auto"/>
        <w:jc w:val="both"/>
        <w:rPr>
          <w:rFonts w:asciiTheme="minorEastAsia" w:hAnsiTheme="minorEastAsia" w:eastAsiaTheme="minorEastAsia"/>
        </w:rPr>
      </w:pPr>
      <w:r>
        <w:rPr>
          <w:rFonts w:hint="eastAsia" w:asciiTheme="minorEastAsia" w:hAnsiTheme="minorEastAsia" w:eastAsiaTheme="minorEastAsia"/>
        </w:rPr>
        <w:t xml:space="preserve">    4.</w:t>
      </w:r>
      <w:r>
        <w:rPr>
          <w:rFonts w:hint="eastAsia" w:cs="仿宋" w:asciiTheme="minorEastAsia" w:hAnsiTheme="minorEastAsia" w:eastAsiaTheme="minorEastAsia"/>
          <w:szCs w:val="21"/>
        </w:rPr>
        <w:t xml:space="preserve"> 表内报价内容以元为单位，保留小数点后两位。</w:t>
      </w:r>
    </w:p>
    <w:p>
      <w:pPr>
        <w:pStyle w:val="99"/>
        <w:spacing w:line="276" w:lineRule="auto"/>
        <w:ind w:firstLine="4410" w:firstLineChars="2100"/>
        <w:jc w:val="left"/>
        <w:rPr>
          <w:rFonts w:ascii="宋体" w:hAnsi="宋体"/>
          <w:b w:val="0"/>
          <w:sz w:val="21"/>
          <w:szCs w:val="21"/>
        </w:rPr>
      </w:pPr>
    </w:p>
    <w:p>
      <w:pPr>
        <w:pStyle w:val="99"/>
        <w:spacing w:line="276" w:lineRule="auto"/>
        <w:ind w:firstLine="4410" w:firstLineChars="2100"/>
        <w:jc w:val="left"/>
        <w:rPr>
          <w:rFonts w:ascii="宋体" w:hAnsi="宋体"/>
          <w:b w:val="0"/>
          <w:sz w:val="21"/>
          <w:szCs w:val="21"/>
        </w:rPr>
      </w:pPr>
    </w:p>
    <w:p>
      <w:pPr>
        <w:pStyle w:val="99"/>
        <w:spacing w:line="360" w:lineRule="auto"/>
        <w:ind w:firstLine="3780" w:firstLineChars="1800"/>
        <w:jc w:val="left"/>
        <w:rPr>
          <w:rFonts w:ascii="宋体" w:hAnsi="宋体"/>
          <w:b w:val="0"/>
          <w:sz w:val="21"/>
          <w:szCs w:val="21"/>
        </w:rPr>
      </w:pPr>
      <w:r>
        <w:rPr>
          <w:rFonts w:hint="eastAsia" w:ascii="宋体" w:hAnsi="宋体"/>
          <w:b w:val="0"/>
          <w:sz w:val="21"/>
          <w:szCs w:val="21"/>
        </w:rPr>
        <w:t>投标供应商：</w:t>
      </w:r>
      <w:r>
        <w:rPr>
          <w:rFonts w:ascii="宋体" w:hAnsi="宋体"/>
          <w:b w:val="0"/>
          <w:sz w:val="21"/>
          <w:szCs w:val="21"/>
          <w:u w:val="single"/>
        </w:rPr>
        <w:t xml:space="preserve">               </w:t>
      </w:r>
      <w:r>
        <w:rPr>
          <w:rFonts w:hint="eastAsia" w:ascii="宋体" w:hAnsi="宋体"/>
          <w:b w:val="0"/>
          <w:sz w:val="21"/>
          <w:szCs w:val="21"/>
        </w:rPr>
        <w:t>（盖章）</w:t>
      </w:r>
    </w:p>
    <w:p>
      <w:pPr>
        <w:pStyle w:val="99"/>
        <w:spacing w:line="360" w:lineRule="auto"/>
        <w:ind w:firstLine="3780" w:firstLineChars="1800"/>
        <w:jc w:val="left"/>
        <w:rPr>
          <w:rFonts w:ascii="宋体" w:hAnsi="宋体"/>
          <w:b w:val="0"/>
          <w:sz w:val="21"/>
          <w:szCs w:val="21"/>
        </w:rPr>
      </w:pPr>
      <w:r>
        <w:rPr>
          <w:rFonts w:hint="eastAsia" w:ascii="宋体" w:hAnsi="宋体"/>
          <w:b w:val="0"/>
          <w:sz w:val="21"/>
          <w:szCs w:val="21"/>
        </w:rPr>
        <w:t>法定代表人（负责人）</w:t>
      </w:r>
    </w:p>
    <w:p>
      <w:pPr>
        <w:pStyle w:val="99"/>
        <w:spacing w:line="360" w:lineRule="auto"/>
        <w:ind w:firstLine="3780" w:firstLineChars="1800"/>
        <w:jc w:val="left"/>
        <w:rPr>
          <w:rFonts w:ascii="宋体" w:hAnsi="宋体"/>
          <w:b w:val="0"/>
          <w:sz w:val="21"/>
          <w:szCs w:val="21"/>
        </w:rPr>
      </w:pPr>
      <w:r>
        <w:rPr>
          <w:rFonts w:hint="eastAsia" w:ascii="宋体" w:hAnsi="宋体"/>
          <w:b w:val="0"/>
          <w:sz w:val="21"/>
          <w:szCs w:val="21"/>
        </w:rPr>
        <w:t>或委托代理人：</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u w:val="single"/>
        </w:rPr>
        <w:t xml:space="preserve">       </w:t>
      </w:r>
      <w:r>
        <w:rPr>
          <w:rFonts w:hint="eastAsia" w:ascii="宋体" w:hAnsi="宋体"/>
          <w:b w:val="0"/>
          <w:sz w:val="21"/>
          <w:szCs w:val="21"/>
        </w:rPr>
        <w:t>（盖章或签字）</w:t>
      </w:r>
    </w:p>
    <w:p>
      <w:pPr>
        <w:spacing w:line="360" w:lineRule="auto"/>
        <w:ind w:firstLine="3780" w:firstLineChars="1800"/>
        <w:jc w:val="left"/>
        <w:outlineLvl w:val="2"/>
        <w:rPr>
          <w:rFonts w:ascii="宋体" w:hAnsi="宋体"/>
          <w:b/>
          <w:bCs/>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pStyle w:val="17"/>
      </w:pPr>
    </w:p>
    <w:p/>
    <w:p>
      <w:pPr>
        <w:pStyle w:val="17"/>
        <w:jc w:val="both"/>
      </w:pPr>
    </w:p>
    <w:p>
      <w:pPr>
        <w:spacing w:before="240" w:beforeLines="100" w:after="240" w:afterLines="100"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2-2 选配件报价表（若有）</w:t>
      </w:r>
    </w:p>
    <w:tbl>
      <w:tblPr>
        <w:tblStyle w:val="41"/>
        <w:tblW w:w="9210" w:type="dxa"/>
        <w:tblInd w:w="-4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5"/>
        <w:gridCol w:w="775"/>
        <w:gridCol w:w="775"/>
        <w:gridCol w:w="1320"/>
        <w:gridCol w:w="1140"/>
        <w:gridCol w:w="1230"/>
        <w:gridCol w:w="1320"/>
        <w:gridCol w:w="1125"/>
        <w:gridCol w:w="7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75"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序号</w:t>
            </w:r>
          </w:p>
        </w:tc>
        <w:tc>
          <w:tcPr>
            <w:tcW w:w="775"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名称</w:t>
            </w:r>
          </w:p>
        </w:tc>
        <w:tc>
          <w:tcPr>
            <w:tcW w:w="775"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品牌</w:t>
            </w:r>
          </w:p>
        </w:tc>
        <w:tc>
          <w:tcPr>
            <w:tcW w:w="1320"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型号或规格</w:t>
            </w:r>
          </w:p>
        </w:tc>
        <w:tc>
          <w:tcPr>
            <w:tcW w:w="1140"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制造厂家</w:t>
            </w:r>
          </w:p>
        </w:tc>
        <w:tc>
          <w:tcPr>
            <w:tcW w:w="1230"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单位/数量</w:t>
            </w:r>
          </w:p>
        </w:tc>
        <w:tc>
          <w:tcPr>
            <w:tcW w:w="1320"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单价（元）</w:t>
            </w:r>
          </w:p>
        </w:tc>
        <w:tc>
          <w:tcPr>
            <w:tcW w:w="1125"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总价（元）</w:t>
            </w:r>
          </w:p>
        </w:tc>
        <w:tc>
          <w:tcPr>
            <w:tcW w:w="750" w:type="dxa"/>
            <w:tcBorders>
              <w:tl2br w:val="nil"/>
              <w:tr2bl w:val="nil"/>
            </w:tcBorders>
            <w:vAlign w:val="center"/>
          </w:tcPr>
          <w:p>
            <w:pPr>
              <w:spacing w:line="300" w:lineRule="exact"/>
              <w:jc w:val="center"/>
              <w:rPr>
                <w:rFonts w:asciiTheme="minorEastAsia" w:hAnsiTheme="minorEastAsia" w:eastAsiaTheme="minorEastAsia"/>
                <w:b/>
                <w:bCs/>
                <w:position w:val="4"/>
                <w:sz w:val="32"/>
                <w:szCs w:val="32"/>
              </w:rPr>
            </w:pPr>
            <w:r>
              <w:rPr>
                <w:rFonts w:hint="eastAsia" w:cs="新宋体" w:asciiTheme="minorEastAsia" w:hAnsiTheme="minorEastAsia" w:eastAsiaTheme="minorEastAsia"/>
                <w:b/>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4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23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2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50" w:type="dxa"/>
            <w:tcBorders>
              <w:tl2br w:val="nil"/>
              <w:tr2bl w:val="nil"/>
            </w:tcBorders>
          </w:tcPr>
          <w:p>
            <w:pPr>
              <w:spacing w:line="560" w:lineRule="exact"/>
              <w:rPr>
                <w:rFonts w:asciiTheme="minorEastAsia" w:hAnsiTheme="minorEastAsia" w:eastAsiaTheme="minorEastAsia"/>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4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23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2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50" w:type="dxa"/>
            <w:tcBorders>
              <w:tl2br w:val="nil"/>
              <w:tr2bl w:val="nil"/>
            </w:tcBorders>
          </w:tcPr>
          <w:p>
            <w:pPr>
              <w:spacing w:line="560" w:lineRule="exact"/>
              <w:rPr>
                <w:rFonts w:asciiTheme="minorEastAsia" w:hAnsiTheme="minorEastAsia" w:eastAsiaTheme="minorEastAsia"/>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4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23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2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50" w:type="dxa"/>
            <w:tcBorders>
              <w:tl2br w:val="nil"/>
              <w:tr2bl w:val="nil"/>
            </w:tcBorders>
          </w:tcPr>
          <w:p>
            <w:pPr>
              <w:spacing w:line="560" w:lineRule="exact"/>
              <w:rPr>
                <w:rFonts w:asciiTheme="minorEastAsia" w:hAnsiTheme="minorEastAsia" w:eastAsiaTheme="minorEastAsia"/>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4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23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2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50" w:type="dxa"/>
            <w:tcBorders>
              <w:tl2br w:val="nil"/>
              <w:tr2bl w:val="nil"/>
            </w:tcBorders>
          </w:tcPr>
          <w:p>
            <w:pPr>
              <w:spacing w:line="560" w:lineRule="exact"/>
              <w:rPr>
                <w:rFonts w:asciiTheme="minorEastAsia" w:hAnsiTheme="minorEastAsia" w:eastAsiaTheme="minorEastAsia"/>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4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23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2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50" w:type="dxa"/>
            <w:tcBorders>
              <w:tl2br w:val="nil"/>
              <w:tr2bl w:val="nil"/>
            </w:tcBorders>
          </w:tcPr>
          <w:p>
            <w:pPr>
              <w:spacing w:line="560" w:lineRule="exact"/>
              <w:rPr>
                <w:rFonts w:asciiTheme="minorEastAsia" w:hAnsiTheme="minorEastAsia" w:eastAsiaTheme="minorEastAsia"/>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7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4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23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320"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1125" w:type="dxa"/>
            <w:tcBorders>
              <w:tl2br w:val="nil"/>
              <w:tr2bl w:val="nil"/>
            </w:tcBorders>
          </w:tcPr>
          <w:p>
            <w:pPr>
              <w:spacing w:line="560" w:lineRule="exact"/>
              <w:rPr>
                <w:rFonts w:asciiTheme="minorEastAsia" w:hAnsiTheme="minorEastAsia" w:eastAsiaTheme="minorEastAsia"/>
                <w:b/>
                <w:bCs/>
                <w:position w:val="4"/>
                <w:sz w:val="32"/>
                <w:szCs w:val="32"/>
              </w:rPr>
            </w:pPr>
          </w:p>
        </w:tc>
        <w:tc>
          <w:tcPr>
            <w:tcW w:w="750" w:type="dxa"/>
            <w:tcBorders>
              <w:tl2br w:val="nil"/>
              <w:tr2bl w:val="nil"/>
            </w:tcBorders>
          </w:tcPr>
          <w:p>
            <w:pPr>
              <w:spacing w:line="560" w:lineRule="exact"/>
              <w:rPr>
                <w:rFonts w:asciiTheme="minorEastAsia" w:hAnsiTheme="minorEastAsia" w:eastAsiaTheme="minorEastAsia"/>
                <w:b/>
                <w:bCs/>
                <w:position w:val="4"/>
                <w:sz w:val="32"/>
                <w:szCs w:val="32"/>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position w:val="4"/>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position w:val="4"/>
          <w:szCs w:val="21"/>
          <w:lang w:val="en-US" w:eastAsia="zh-CN"/>
        </w:rPr>
      </w:pPr>
      <w:r>
        <w:rPr>
          <w:rFonts w:hint="eastAsia" w:asciiTheme="minorEastAsia" w:hAnsiTheme="minorEastAsia" w:eastAsiaTheme="minorEastAsia"/>
          <w:position w:val="4"/>
          <w:szCs w:val="21"/>
        </w:rPr>
        <w:t>注：投标供应商需填写所有设备的备品备件清单。</w:t>
      </w:r>
      <w:r>
        <w:rPr>
          <w:rFonts w:hint="eastAsia" w:asciiTheme="minorEastAsia" w:hAnsiTheme="minorEastAsia" w:eastAsiaTheme="minorEastAsia"/>
          <w:position w:val="4"/>
          <w:szCs w:val="21"/>
          <w:lang w:val="en-US" w:eastAsia="zh-CN"/>
        </w:rPr>
        <w:t>格式可自行扩展但至少应包含给定内容。</w:t>
      </w:r>
    </w:p>
    <w:p>
      <w:pPr>
        <w:spacing w:line="360" w:lineRule="auto"/>
        <w:ind w:firstLine="420"/>
        <w:rPr>
          <w:rFonts w:asciiTheme="minorEastAsia" w:hAnsiTheme="minorEastAsia" w:eastAsiaTheme="minorEastAsia"/>
          <w:position w:val="4"/>
          <w:szCs w:val="21"/>
        </w:rPr>
      </w:pPr>
    </w:p>
    <w:p>
      <w:pPr>
        <w:spacing w:line="360" w:lineRule="auto"/>
        <w:ind w:firstLine="420"/>
        <w:rPr>
          <w:rFonts w:asciiTheme="minorEastAsia" w:hAnsiTheme="minorEastAsia" w:eastAsiaTheme="minorEastAsia"/>
          <w:position w:val="4"/>
          <w:szCs w:val="21"/>
        </w:rPr>
      </w:pPr>
    </w:p>
    <w:p>
      <w:pPr>
        <w:pStyle w:val="99"/>
        <w:spacing w:line="360" w:lineRule="auto"/>
        <w:ind w:firstLine="3570" w:firstLineChars="17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投标供应商：</w:t>
      </w:r>
      <w:r>
        <w:rPr>
          <w:rFonts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rPr>
        <w:t>（</w:t>
      </w:r>
      <w:r>
        <w:rPr>
          <w:rFonts w:hint="eastAsia" w:ascii="宋体" w:hAnsi="宋体"/>
          <w:b w:val="0"/>
          <w:sz w:val="21"/>
          <w:szCs w:val="21"/>
        </w:rPr>
        <w:t>盖章</w:t>
      </w:r>
      <w:r>
        <w:rPr>
          <w:rFonts w:hint="eastAsia" w:asciiTheme="minorEastAsia" w:hAnsiTheme="minorEastAsia" w:eastAsiaTheme="minorEastAsia"/>
          <w:b w:val="0"/>
          <w:sz w:val="21"/>
          <w:szCs w:val="21"/>
        </w:rPr>
        <w:t>）</w:t>
      </w:r>
    </w:p>
    <w:p>
      <w:pPr>
        <w:pStyle w:val="99"/>
        <w:spacing w:line="360" w:lineRule="auto"/>
        <w:ind w:firstLine="3570" w:firstLineChars="17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法定代表人（负责人）</w:t>
      </w:r>
    </w:p>
    <w:p>
      <w:pPr>
        <w:pStyle w:val="99"/>
        <w:spacing w:line="360" w:lineRule="auto"/>
        <w:ind w:firstLine="3570" w:firstLineChars="17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或委托代理人：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rPr>
        <w:t>（盖章或签字）</w:t>
      </w:r>
    </w:p>
    <w:p>
      <w:pPr>
        <w:spacing w:line="360" w:lineRule="auto"/>
        <w:ind w:firstLine="3570" w:firstLineChars="1700"/>
        <w:jc w:val="left"/>
        <w:outlineLvl w:val="2"/>
        <w:rPr>
          <w:rFonts w:asciiTheme="minorEastAsia" w:hAnsiTheme="minorEastAsia" w:eastAsiaTheme="minorEastAsia"/>
          <w:szCs w:val="21"/>
        </w:rPr>
      </w:pPr>
      <w:r>
        <w:rPr>
          <w:rFonts w:hint="eastAsia" w:asciiTheme="minorEastAsia" w:hAnsiTheme="minorEastAsia" w:eastAsiaTheme="minorEastAsia"/>
          <w:szCs w:val="21"/>
        </w:rPr>
        <w:t xml:space="preserve">日 </w:t>
      </w:r>
      <w:r>
        <w:rPr>
          <w:rFonts w:asciiTheme="minorEastAsia" w:hAnsiTheme="minorEastAsia" w:eastAsiaTheme="minorEastAsia"/>
          <w:szCs w:val="21"/>
        </w:rPr>
        <w:t xml:space="preserve"> </w:t>
      </w:r>
      <w:r>
        <w:rPr>
          <w:rFonts w:hint="eastAsia" w:asciiTheme="minorEastAsia" w:hAnsiTheme="minorEastAsia" w:eastAsiaTheme="minorEastAsia"/>
          <w:szCs w:val="21"/>
        </w:rPr>
        <w:t>期：</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spacing w:line="360" w:lineRule="auto"/>
        <w:rPr>
          <w:rFonts w:hint="eastAsia"/>
          <w:b/>
          <w:sz w:val="28"/>
          <w:szCs w:val="28"/>
        </w:rPr>
      </w:pPr>
    </w:p>
    <w:p>
      <w:pPr>
        <w:pStyle w:val="17"/>
        <w:spacing w:line="360" w:lineRule="auto"/>
        <w:rPr>
          <w:b/>
          <w:sz w:val="28"/>
          <w:szCs w:val="28"/>
        </w:rPr>
      </w:pPr>
      <w:r>
        <w:rPr>
          <w:rFonts w:hint="eastAsia"/>
          <w:b/>
          <w:sz w:val="28"/>
          <w:szCs w:val="28"/>
        </w:rPr>
        <w:t>第三部分  资格文件</w:t>
      </w:r>
    </w:p>
    <w:p>
      <w:pPr>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cs="新宋体"/>
          <w:b/>
          <w:bCs w:val="0"/>
          <w:szCs w:val="21"/>
        </w:rPr>
      </w:pPr>
      <w:r>
        <w:rPr>
          <w:rFonts w:hint="eastAsia" w:ascii="宋体" w:hAnsi="宋体" w:cs="新宋体"/>
          <w:b/>
          <w:bCs w:val="0"/>
          <w:szCs w:val="21"/>
        </w:rPr>
        <w:t>1、提供统一社会信用代码的营业执照或其他组织经营的合法凭证或自然人的提供身份证明文件</w:t>
      </w:r>
      <w:r>
        <w:rPr>
          <w:rFonts w:hint="eastAsia" w:ascii="宋体" w:hAnsi="宋体"/>
          <w:b/>
          <w:bCs w:val="0"/>
          <w:szCs w:val="21"/>
        </w:rPr>
        <w:t>；</w:t>
      </w:r>
      <w:r>
        <w:rPr>
          <w:rFonts w:ascii="宋体" w:hAnsi="宋体" w:cs="新宋体"/>
          <w:b/>
          <w:bCs w:val="0"/>
          <w:szCs w:val="21"/>
        </w:rPr>
        <w:t xml:space="preserve"> </w:t>
      </w:r>
    </w:p>
    <w:p>
      <w:pPr>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cs="新宋体"/>
          <w:b/>
          <w:bCs w:val="0"/>
          <w:szCs w:val="21"/>
        </w:rPr>
      </w:pPr>
    </w:p>
    <w:p>
      <w:pPr>
        <w:pStyle w:val="264"/>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cs="Times New Roman"/>
          <w:b/>
          <w:bCs w:val="0"/>
          <w:color w:val="auto"/>
          <w:kern w:val="2"/>
          <w:sz w:val="21"/>
          <w:szCs w:val="21"/>
        </w:rPr>
      </w:pPr>
      <w:r>
        <w:rPr>
          <w:rFonts w:hint="eastAsia" w:ascii="宋体" w:hAnsi="宋体" w:cs="新宋体"/>
          <w:b/>
          <w:bCs w:val="0"/>
          <w:sz w:val="21"/>
          <w:szCs w:val="21"/>
        </w:rPr>
        <w:t>2、财务状况报告：提供2021年财务审计报告（成立时间至开标时间不足一年的可提供成立后任意时段的资产负债表）或提供基本存款账户信息及截标日期前三个月内其基本存款账户开户银行出具的资信证明；</w:t>
      </w:r>
    </w:p>
    <w:p>
      <w:pPr>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cs="新宋体"/>
          <w:b/>
          <w:bCs w:val="0"/>
          <w:szCs w:val="21"/>
        </w:rPr>
      </w:pPr>
    </w:p>
    <w:p>
      <w:pPr>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b/>
          <w:bCs w:val="0"/>
          <w:szCs w:val="21"/>
        </w:rPr>
      </w:pPr>
      <w:r>
        <w:rPr>
          <w:rFonts w:hint="eastAsia" w:ascii="宋体" w:hAnsi="宋体" w:cs="新宋体"/>
          <w:b/>
          <w:bCs w:val="0"/>
          <w:szCs w:val="21"/>
        </w:rPr>
        <w:t>3、税收缴纳证明：提供截标日期前六个月内任意一个月的纳税证明或完税证明（注：依法免税或零申报的投标人须提供相关文件证明）；</w:t>
      </w:r>
    </w:p>
    <w:p>
      <w:pPr>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b/>
          <w:bCs w:val="0"/>
          <w:szCs w:val="21"/>
        </w:rPr>
      </w:pPr>
    </w:p>
    <w:p>
      <w:pPr>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cs="宋体"/>
          <w:b/>
          <w:bCs w:val="0"/>
          <w:szCs w:val="21"/>
        </w:rPr>
      </w:pPr>
      <w:r>
        <w:rPr>
          <w:rFonts w:hint="eastAsia" w:ascii="宋体" w:hAnsi="宋体"/>
          <w:b/>
          <w:bCs w:val="0"/>
          <w:szCs w:val="21"/>
        </w:rPr>
        <w:t>4、社会保障资金缴纳证明：提供截标日期前六个月内任意一个月的社会保障资金缴存单据或社保机构开具的社会保险参保缴费情况证明（注：依法不需要缴纳社会保障资金的投标人应提供相关文件证明；若为新成立企业可提供相应月度的社会保险缴纳证明）； </w:t>
      </w:r>
    </w:p>
    <w:p>
      <w:pPr>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b/>
          <w:bCs w:val="0"/>
          <w:szCs w:val="21"/>
        </w:rPr>
      </w:pPr>
    </w:p>
    <w:p>
      <w:pPr>
        <w:pStyle w:val="264"/>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Theme="minorEastAsia" w:hAnsiTheme="minorEastAsia" w:eastAsiaTheme="minorEastAsia"/>
          <w:b/>
          <w:bCs w:val="0"/>
          <w:color w:val="auto"/>
          <w:sz w:val="21"/>
          <w:szCs w:val="21"/>
        </w:rPr>
      </w:pPr>
      <w:r>
        <w:rPr>
          <w:rFonts w:hint="eastAsia" w:asciiTheme="minorEastAsia" w:hAnsiTheme="minorEastAsia" w:eastAsiaTheme="minorEastAsia"/>
          <w:b/>
          <w:bCs w:val="0"/>
          <w:color w:val="auto"/>
          <w:sz w:val="21"/>
          <w:szCs w:val="21"/>
        </w:rPr>
        <w:t>5、投标人为代理商的应出具医疗器械经营许可证（或医疗器械经营备案凭证）和制造厂商的医疗器械生产许可证（或医疗器械生产备案凭证）；投标人为制造厂商的应出具医疗器械生产许可证（或医疗器械生产备案凭证）；</w:t>
      </w:r>
    </w:p>
    <w:p>
      <w:pPr>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宋体" w:hAnsi="宋体"/>
          <w:b/>
          <w:bCs w:val="0"/>
          <w:szCs w:val="21"/>
        </w:rPr>
      </w:pPr>
    </w:p>
    <w:p>
      <w:pPr>
        <w:pStyle w:val="264"/>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Theme="minorEastAsia" w:hAnsiTheme="minorEastAsia" w:eastAsiaTheme="minorEastAsia"/>
          <w:b/>
          <w:bCs w:val="0"/>
          <w:color w:val="auto"/>
          <w:sz w:val="21"/>
          <w:szCs w:val="21"/>
        </w:rPr>
      </w:pPr>
      <w:r>
        <w:rPr>
          <w:rFonts w:hint="eastAsia" w:ascii="宋体" w:hAnsi="宋体"/>
          <w:b/>
          <w:bCs w:val="0"/>
          <w:sz w:val="21"/>
          <w:szCs w:val="21"/>
        </w:rPr>
        <w:t>6、所投产品属于医疗器械分类的须提供《医疗器械产品注册证》；</w:t>
      </w:r>
    </w:p>
    <w:p>
      <w:pPr>
        <w:pStyle w:val="264"/>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Theme="minorEastAsia" w:hAnsiTheme="minorEastAsia" w:eastAsiaTheme="minorEastAsia"/>
          <w:b/>
          <w:bCs w:val="0"/>
          <w:color w:val="auto"/>
          <w:sz w:val="21"/>
          <w:szCs w:val="21"/>
        </w:rPr>
      </w:pPr>
    </w:p>
    <w:p>
      <w:pPr>
        <w:pStyle w:val="264"/>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Theme="minorEastAsia" w:hAnsiTheme="minorEastAsia" w:eastAsiaTheme="minorEastAsia"/>
          <w:b/>
          <w:bCs w:val="0"/>
          <w:color w:val="auto"/>
          <w:sz w:val="21"/>
          <w:szCs w:val="21"/>
        </w:rPr>
      </w:pPr>
      <w:r>
        <w:rPr>
          <w:rFonts w:hint="eastAsia" w:asciiTheme="minorEastAsia" w:hAnsiTheme="minorEastAsia" w:eastAsiaTheme="minorEastAsia"/>
          <w:b/>
          <w:bCs w:val="0"/>
          <w:color w:val="auto"/>
          <w:sz w:val="21"/>
          <w:szCs w:val="21"/>
        </w:rPr>
        <w:t>7、投标人应具备良好的商业信誉，提供参加政府采购活动前3年内在经营活动中没有重大违法记录的书面声明；</w:t>
      </w:r>
    </w:p>
    <w:p>
      <w:pPr>
        <w:pStyle w:val="264"/>
        <w:keepNext w:val="0"/>
        <w:keepLines w:val="0"/>
        <w:pageBreakBefore w:val="0"/>
        <w:kinsoku/>
        <w:wordWrap/>
        <w:overflowPunct/>
        <w:topLinePunct w:val="0"/>
        <w:autoSpaceDE/>
        <w:autoSpaceDN/>
        <w:bidi w:val="0"/>
        <w:adjustRightInd/>
        <w:snapToGrid/>
        <w:spacing w:line="240" w:lineRule="auto"/>
        <w:ind w:left="0" w:leftChars="0" w:right="0" w:rightChars="0" w:firstLine="422" w:firstLineChars="200"/>
        <w:textAlignment w:val="auto"/>
        <w:rPr>
          <w:rFonts w:asciiTheme="minorEastAsia" w:hAnsiTheme="minorEastAsia" w:eastAsiaTheme="minorEastAsia"/>
          <w:b/>
          <w:bCs w:val="0"/>
          <w:color w:val="auto"/>
          <w:sz w:val="21"/>
          <w:szCs w:val="21"/>
        </w:rPr>
      </w:pPr>
    </w:p>
    <w:p>
      <w:pPr>
        <w:pStyle w:val="264"/>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Theme="minorEastAsia" w:hAnsiTheme="minorEastAsia" w:eastAsiaTheme="minorEastAsia"/>
          <w:b/>
          <w:bCs w:val="0"/>
          <w:color w:val="auto"/>
          <w:sz w:val="21"/>
          <w:szCs w:val="21"/>
        </w:rPr>
      </w:pPr>
      <w:r>
        <w:rPr>
          <w:rFonts w:hint="eastAsia" w:asciiTheme="minorEastAsia" w:hAnsiTheme="minorEastAsia" w:eastAsiaTheme="minorEastAsia"/>
          <w:b/>
          <w:bCs w:val="0"/>
          <w:color w:val="auto"/>
          <w:sz w:val="21"/>
          <w:szCs w:val="21"/>
        </w:rPr>
        <w:t>8、投标人须提供具有履行合同所必需的设备和专业技术能力的承诺函；</w:t>
      </w:r>
    </w:p>
    <w:p>
      <w:pPr>
        <w:pStyle w:val="264"/>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rFonts w:asciiTheme="minorEastAsia" w:hAnsiTheme="minorEastAsia" w:eastAsiaTheme="minorEastAsia"/>
          <w:b/>
          <w:bCs w:val="0"/>
          <w:color w:val="auto"/>
          <w:sz w:val="21"/>
          <w:szCs w:val="21"/>
        </w:rPr>
      </w:pPr>
    </w:p>
    <w:p>
      <w:pPr>
        <w:pStyle w:val="264"/>
        <w:keepNext w:val="0"/>
        <w:keepLines w:val="0"/>
        <w:pageBreakBefore w:val="0"/>
        <w:kinsoku/>
        <w:wordWrap/>
        <w:overflowPunct/>
        <w:topLinePunct w:val="0"/>
        <w:autoSpaceDE/>
        <w:autoSpaceDN/>
        <w:bidi w:val="0"/>
        <w:adjustRightInd/>
        <w:snapToGrid/>
        <w:spacing w:line="240" w:lineRule="auto"/>
        <w:ind w:right="0" w:rightChars="0" w:firstLine="422" w:firstLineChars="200"/>
        <w:textAlignment w:val="auto"/>
        <w:rPr>
          <w:b/>
          <w:bCs w:val="0"/>
        </w:rPr>
      </w:pPr>
      <w:r>
        <w:rPr>
          <w:rFonts w:hint="eastAsia" w:asciiTheme="minorEastAsia" w:hAnsiTheme="minorEastAsia" w:eastAsiaTheme="minorEastAsia"/>
          <w:b/>
          <w:bCs w:val="0"/>
          <w:color w:val="auto"/>
          <w:sz w:val="21"/>
          <w:szCs w:val="21"/>
        </w:rPr>
        <w:t>9、提供了投标供应商未为本项目提供整体设计、规范编制或者项目管理、监理、检测等服务的书面声明函</w:t>
      </w:r>
      <w:r>
        <w:rPr>
          <w:rFonts w:hint="eastAsia" w:asciiTheme="minorEastAsia" w:hAnsiTheme="minorEastAsia" w:eastAsiaTheme="minorEastAsia"/>
          <w:b/>
          <w:bCs w:val="0"/>
          <w:color w:val="auto"/>
          <w:sz w:val="21"/>
          <w:szCs w:val="21"/>
          <w:lang w:eastAsia="zh-CN"/>
        </w:rPr>
        <w:t>；</w:t>
      </w:r>
    </w:p>
    <w:p>
      <w:pPr>
        <w:pStyle w:val="17"/>
        <w:keepNext w:val="0"/>
        <w:keepLines w:val="0"/>
        <w:pageBreakBefore w:val="0"/>
        <w:kinsoku/>
        <w:wordWrap/>
        <w:overflowPunct/>
        <w:topLinePunct w:val="0"/>
        <w:autoSpaceDE/>
        <w:autoSpaceDN/>
        <w:bidi w:val="0"/>
        <w:adjustRightInd/>
        <w:snapToGrid/>
        <w:spacing w:line="240" w:lineRule="auto"/>
        <w:ind w:right="0" w:rightChars="0" w:firstLine="422" w:firstLineChars="200"/>
        <w:jc w:val="both"/>
        <w:textAlignment w:val="auto"/>
        <w:rPr>
          <w:b/>
          <w:bCs w:val="0"/>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2" w:firstLineChars="200"/>
        <w:textAlignment w:val="auto"/>
        <w:rPr>
          <w:rFonts w:hint="eastAsia" w:asciiTheme="minorEastAsia" w:hAnsiTheme="minorEastAsia" w:eastAsiaTheme="minorEastAsia" w:cstheme="minorHAnsi"/>
          <w:b/>
          <w:bCs w:val="0"/>
          <w:kern w:val="24"/>
          <w:szCs w:val="21"/>
          <w:lang w:eastAsia="zh-CN"/>
        </w:rPr>
      </w:pPr>
      <w:r>
        <w:rPr>
          <w:rFonts w:hint="eastAsia" w:asciiTheme="minorEastAsia" w:hAnsiTheme="minorEastAsia" w:eastAsiaTheme="minorEastAsia" w:cstheme="minorHAnsi"/>
          <w:b/>
          <w:bCs w:val="0"/>
          <w:kern w:val="24"/>
          <w:szCs w:val="21"/>
          <w:lang w:val="en-US" w:eastAsia="zh-CN"/>
        </w:rPr>
        <w:t>10、</w:t>
      </w:r>
      <w:r>
        <w:rPr>
          <w:rFonts w:hint="eastAsia" w:asciiTheme="minorEastAsia" w:hAnsiTheme="minorEastAsia" w:eastAsiaTheme="minorEastAsia" w:cstheme="minorHAnsi"/>
          <w:b/>
          <w:bCs w:val="0"/>
          <w:kern w:val="24"/>
          <w:szCs w:val="21"/>
          <w:lang w:eastAsia="zh-CN"/>
        </w:rPr>
        <w:t>提供了法人代表、控股股东、控股企业及管理、被管理单位情况声明且各投标供应商之间不存在单位负责人为同一人或者存在控股、管理关系情形的书面声明；</w:t>
      </w:r>
    </w:p>
    <w:p>
      <w:pPr>
        <w:pStyle w:val="38"/>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422" w:firstLineChars="200"/>
        <w:jc w:val="both"/>
        <w:textAlignment w:val="auto"/>
        <w:rPr>
          <w:b/>
          <w:bCs w:val="0"/>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422" w:firstLineChars="200"/>
        <w:jc w:val="both"/>
        <w:textAlignment w:val="auto"/>
        <w:rPr>
          <w:rFonts w:hint="eastAsia"/>
          <w:b/>
          <w:bCs w:val="0"/>
          <w:lang w:val="en-US" w:eastAsia="zh-CN"/>
        </w:rPr>
      </w:pPr>
      <w:r>
        <w:rPr>
          <w:rFonts w:hint="eastAsia"/>
          <w:b/>
          <w:bCs w:val="0"/>
          <w:lang w:val="en-US" w:eastAsia="zh-CN"/>
        </w:rPr>
        <w:t>11、法定代表人参加投标的，须出具法定代表人身份证原件。法定代表人授权委托代理人参加投标的，须出具法定代表人授权委托书及被授权人身份证复印件；</w:t>
      </w:r>
    </w:p>
    <w:p>
      <w:pPr>
        <w:pStyle w:val="38"/>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422" w:firstLineChars="200"/>
        <w:jc w:val="both"/>
        <w:textAlignment w:val="auto"/>
        <w:rPr>
          <w:rFonts w:hint="eastAsia"/>
          <w:b/>
          <w:bCs w:val="0"/>
          <w:lang w:val="en-US" w:eastAsia="zh-CN"/>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422" w:firstLineChars="200"/>
        <w:jc w:val="both"/>
        <w:textAlignment w:val="auto"/>
        <w:rPr>
          <w:rFonts w:hint="default"/>
          <w:lang w:val="en-US" w:eastAsia="zh-CN"/>
        </w:rPr>
      </w:pPr>
      <w:r>
        <w:rPr>
          <w:rFonts w:hint="eastAsia"/>
          <w:b/>
          <w:bCs w:val="0"/>
          <w:lang w:val="en-US" w:eastAsia="zh-CN"/>
        </w:rPr>
        <w:t>12、</w:t>
      </w:r>
      <w:r>
        <w:rPr>
          <w:rFonts w:hint="default"/>
          <w:b/>
          <w:bCs w:val="0"/>
          <w:lang w:val="en-US" w:eastAsia="zh-CN"/>
        </w:rPr>
        <w:t>供应商不得被“信用中国”（www.creditchina.gov.cn）列入重大税收违法失信主体；不得被“中国执行信息公开网”（zxgk.court.gov.cn）列入失信被执行人名单；不得被“中国政府采购网”（www.ccgp.gov.cn）列入政府采购严重违法失信行为记录名单。</w:t>
      </w:r>
    </w:p>
    <w:p>
      <w:pPr>
        <w:pStyle w:val="17"/>
      </w:pPr>
    </w:p>
    <w:p/>
    <w:p>
      <w:pPr>
        <w:pStyle w:val="17"/>
      </w:pPr>
    </w:p>
    <w:p/>
    <w:p>
      <w:pPr>
        <w:pStyle w:val="17"/>
      </w:pPr>
    </w:p>
    <w:p/>
    <w:p>
      <w:pPr>
        <w:pStyle w:val="17"/>
      </w:pPr>
    </w:p>
    <w:p/>
    <w:p>
      <w:pPr>
        <w:pStyle w:val="17"/>
      </w:pPr>
    </w:p>
    <w:p/>
    <w:p>
      <w:pPr>
        <w:pStyle w:val="17"/>
      </w:pPr>
    </w:p>
    <w:p>
      <w:pPr>
        <w:pStyle w:val="17"/>
      </w:pPr>
    </w:p>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附件-1</w:t>
      </w:r>
    </w:p>
    <w:p>
      <w:pPr>
        <w:spacing w:before="120" w:beforeLines="50"/>
        <w:jc w:val="center"/>
        <w:rPr>
          <w:rFonts w:cs="Calibri Light" w:asciiTheme="minorEastAsia" w:hAnsiTheme="minorEastAsia" w:eastAsiaTheme="minorEastAsia"/>
          <w:b/>
          <w:sz w:val="24"/>
        </w:rPr>
      </w:pPr>
      <w:r>
        <w:rPr>
          <w:rFonts w:hint="eastAsia" w:cs="Calibri Light" w:asciiTheme="minorEastAsia" w:hAnsiTheme="minorEastAsia" w:eastAsiaTheme="minorEastAsia"/>
          <w:b/>
          <w:sz w:val="24"/>
        </w:rPr>
        <w:t>基本存款</w:t>
      </w:r>
      <w:r>
        <w:rPr>
          <w:rFonts w:cs="Calibri Light" w:asciiTheme="minorEastAsia" w:hAnsiTheme="minorEastAsia" w:eastAsiaTheme="minorEastAsia"/>
          <w:b/>
          <w:sz w:val="24"/>
        </w:rPr>
        <w:t>账户信息</w:t>
      </w:r>
    </w:p>
    <w:p>
      <w:pPr>
        <w:pStyle w:val="264"/>
        <w:spacing w:line="360" w:lineRule="auto"/>
        <w:ind w:firstLine="420"/>
        <w:rPr>
          <w:sz w:val="21"/>
          <w:szCs w:val="21"/>
        </w:rPr>
      </w:pPr>
    </w:p>
    <w:p>
      <w:pPr>
        <w:pStyle w:val="264"/>
        <w:spacing w:line="600" w:lineRule="auto"/>
        <w:ind w:firstLine="420"/>
        <w:rPr>
          <w:sz w:val="21"/>
          <w:szCs w:val="21"/>
        </w:rPr>
      </w:pPr>
      <w:r>
        <w:rPr>
          <w:rFonts w:hint="eastAsia"/>
          <w:sz w:val="21"/>
          <w:szCs w:val="21"/>
        </w:rPr>
        <w:t>账户</w:t>
      </w:r>
      <w:r>
        <w:rPr>
          <w:sz w:val="21"/>
          <w:szCs w:val="21"/>
        </w:rPr>
        <w:t>名称：</w:t>
      </w:r>
    </w:p>
    <w:p>
      <w:pPr>
        <w:pStyle w:val="264"/>
        <w:spacing w:line="600" w:lineRule="auto"/>
        <w:ind w:firstLine="420"/>
        <w:rPr>
          <w:sz w:val="21"/>
          <w:szCs w:val="21"/>
        </w:rPr>
      </w:pPr>
      <w:r>
        <w:rPr>
          <w:rFonts w:hint="eastAsia"/>
          <w:sz w:val="21"/>
          <w:szCs w:val="21"/>
        </w:rPr>
        <w:t>账户</w:t>
      </w:r>
      <w:r>
        <w:rPr>
          <w:sz w:val="21"/>
          <w:szCs w:val="21"/>
        </w:rPr>
        <w:t>号码：</w:t>
      </w:r>
    </w:p>
    <w:p>
      <w:pPr>
        <w:pStyle w:val="264"/>
        <w:spacing w:line="600" w:lineRule="auto"/>
        <w:ind w:firstLine="420"/>
        <w:rPr>
          <w:sz w:val="21"/>
          <w:szCs w:val="21"/>
        </w:rPr>
      </w:pPr>
      <w:r>
        <w:rPr>
          <w:rFonts w:hint="eastAsia"/>
          <w:sz w:val="21"/>
          <w:szCs w:val="21"/>
        </w:rPr>
        <w:t>开户银行</w:t>
      </w:r>
      <w:r>
        <w:rPr>
          <w:sz w:val="21"/>
          <w:szCs w:val="21"/>
        </w:rPr>
        <w:t>：</w:t>
      </w:r>
    </w:p>
    <w:p>
      <w:pPr>
        <w:pStyle w:val="264"/>
        <w:spacing w:line="600" w:lineRule="auto"/>
        <w:ind w:firstLine="420"/>
        <w:rPr>
          <w:sz w:val="21"/>
          <w:szCs w:val="21"/>
        </w:rPr>
      </w:pPr>
      <w:r>
        <w:rPr>
          <w:rFonts w:hint="eastAsia"/>
          <w:sz w:val="21"/>
          <w:szCs w:val="21"/>
        </w:rPr>
        <w:t>法定代表人：</w:t>
      </w:r>
      <w:r>
        <w:rPr>
          <w:rFonts w:hint="eastAsia"/>
          <w:color w:val="auto"/>
          <w:sz w:val="21"/>
          <w:szCs w:val="21"/>
        </w:rPr>
        <w:t>（签字或盖章）</w:t>
      </w:r>
    </w:p>
    <w:p>
      <w:pPr>
        <w:pStyle w:val="264"/>
        <w:spacing w:line="600" w:lineRule="auto"/>
        <w:ind w:firstLine="420"/>
        <w:rPr>
          <w:sz w:val="21"/>
          <w:szCs w:val="21"/>
        </w:rPr>
      </w:pPr>
      <w:r>
        <w:rPr>
          <w:rFonts w:hint="eastAsia"/>
          <w:sz w:val="21"/>
          <w:szCs w:val="21"/>
        </w:rPr>
        <w:t>基本</w:t>
      </w:r>
      <w:r>
        <w:rPr>
          <w:sz w:val="21"/>
          <w:szCs w:val="21"/>
        </w:rPr>
        <w:t xml:space="preserve">存款账户编号： </w:t>
      </w:r>
    </w:p>
    <w:p>
      <w:pPr>
        <w:pStyle w:val="264"/>
        <w:spacing w:line="600" w:lineRule="auto"/>
        <w:ind w:firstLine="420"/>
        <w:rPr>
          <w:sz w:val="21"/>
          <w:szCs w:val="21"/>
        </w:rPr>
      </w:pPr>
      <w:r>
        <w:rPr>
          <w:rFonts w:hint="eastAsia"/>
          <w:sz w:val="21"/>
          <w:szCs w:val="21"/>
        </w:rPr>
        <w:t>投标供应商：</w:t>
      </w:r>
      <w:r>
        <w:rPr>
          <w:color w:val="auto"/>
          <w:sz w:val="21"/>
          <w:szCs w:val="21"/>
        </w:rPr>
        <w:t>（</w:t>
      </w:r>
      <w:r>
        <w:rPr>
          <w:rFonts w:hint="eastAsia" w:ascii="宋体" w:hAnsi="宋体"/>
          <w:sz w:val="21"/>
          <w:szCs w:val="21"/>
        </w:rPr>
        <w:t>盖章</w:t>
      </w:r>
      <w:r>
        <w:rPr>
          <w:color w:val="auto"/>
          <w:sz w:val="21"/>
          <w:szCs w:val="21"/>
        </w:rPr>
        <w:t>）</w:t>
      </w:r>
    </w:p>
    <w:p>
      <w:pPr>
        <w:pStyle w:val="264"/>
        <w:spacing w:line="600" w:lineRule="auto"/>
        <w:ind w:firstLine="420"/>
        <w:rPr>
          <w:sz w:val="21"/>
          <w:szCs w:val="21"/>
        </w:rPr>
      </w:pPr>
      <w:r>
        <w:rPr>
          <w:rFonts w:hint="eastAsia"/>
          <w:sz w:val="21"/>
          <w:szCs w:val="21"/>
        </w:rPr>
        <w:t>日  期：　　年　月　日</w:t>
      </w:r>
    </w:p>
    <w:p>
      <w:pPr>
        <w:pStyle w:val="264"/>
        <w:ind w:firstLine="480"/>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
      <w:pPr>
        <w:pStyle w:val="17"/>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附件-2</w:t>
      </w:r>
    </w:p>
    <w:p>
      <w:pPr>
        <w:spacing w:line="360" w:lineRule="auto"/>
        <w:jc w:val="center"/>
        <w:rPr>
          <w:rFonts w:ascii="宋体" w:hAnsi="宋体"/>
          <w:sz w:val="24"/>
        </w:rPr>
      </w:pPr>
      <w:r>
        <w:rPr>
          <w:rFonts w:hint="eastAsia" w:ascii="宋体" w:hAnsi="宋体" w:cs="新宋体"/>
          <w:b/>
          <w:sz w:val="24"/>
        </w:rPr>
        <w:t>设备、技术能力书面声明</w:t>
      </w:r>
    </w:p>
    <w:p>
      <w:pPr>
        <w:spacing w:line="520" w:lineRule="exact"/>
        <w:rPr>
          <w:rFonts w:ascii="宋体" w:hAnsi="宋体"/>
          <w:szCs w:val="21"/>
        </w:rPr>
      </w:pPr>
      <w:r>
        <w:rPr>
          <w:rFonts w:ascii="宋体" w:hAnsi="宋体"/>
          <w:szCs w:val="21"/>
        </w:rPr>
        <w:t>致：</w:t>
      </w:r>
      <w:r>
        <w:rPr>
          <w:rFonts w:ascii="宋体" w:hAnsi="宋体"/>
          <w:szCs w:val="21"/>
          <w:u w:val="single"/>
        </w:rPr>
        <w:t xml:space="preserve">     （采购人名称）     </w:t>
      </w:r>
      <w:r>
        <w:rPr>
          <w:rFonts w:ascii="宋体" w:hAnsi="宋体"/>
          <w:szCs w:val="21"/>
        </w:rPr>
        <w:t>：</w:t>
      </w:r>
    </w:p>
    <w:p>
      <w:pPr>
        <w:spacing w:line="52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我公司</w:t>
      </w:r>
      <w:r>
        <w:rPr>
          <w:rFonts w:ascii="宋体" w:hAnsi="宋体"/>
          <w:szCs w:val="21"/>
          <w:u w:val="single"/>
        </w:rPr>
        <w:t xml:space="preserve">               </w:t>
      </w:r>
      <w:r>
        <w:rPr>
          <w:rFonts w:ascii="宋体" w:hAnsi="宋体"/>
          <w:szCs w:val="21"/>
        </w:rPr>
        <w:t>（投标供应商名称）于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日在中华人民共和国境内</w:t>
      </w:r>
      <w:r>
        <w:rPr>
          <w:rFonts w:ascii="宋体" w:hAnsi="宋体"/>
          <w:szCs w:val="21"/>
          <w:u w:val="single"/>
        </w:rPr>
        <w:t xml:space="preserve">（详细注册地址）    </w:t>
      </w:r>
      <w:r>
        <w:rPr>
          <w:rFonts w:ascii="宋体" w:hAnsi="宋体"/>
          <w:szCs w:val="21"/>
        </w:rPr>
        <w:t>合法注册并经营，公司主营业务为</w:t>
      </w:r>
      <w:r>
        <w:rPr>
          <w:rFonts w:ascii="宋体" w:hAnsi="宋体"/>
          <w:szCs w:val="21"/>
          <w:u w:val="single"/>
        </w:rPr>
        <w:t xml:space="preserve">                  </w:t>
      </w:r>
      <w:r>
        <w:rPr>
          <w:rFonts w:ascii="宋体" w:hAnsi="宋体"/>
          <w:szCs w:val="21"/>
        </w:rPr>
        <w:t>，营业（生产经营）面积为</w:t>
      </w:r>
      <w:r>
        <w:rPr>
          <w:rFonts w:ascii="宋体" w:hAnsi="宋体"/>
          <w:szCs w:val="21"/>
          <w:u w:val="single"/>
        </w:rPr>
        <w:t xml:space="preserve">               </w:t>
      </w:r>
      <w:r>
        <w:rPr>
          <w:rFonts w:ascii="宋体" w:hAnsi="宋体"/>
          <w:szCs w:val="21"/>
        </w:rPr>
        <w:t>，现有员工数量为</w:t>
      </w:r>
      <w:r>
        <w:rPr>
          <w:rFonts w:ascii="宋体" w:hAnsi="宋体"/>
          <w:szCs w:val="21"/>
          <w:u w:val="single"/>
        </w:rPr>
        <w:t xml:space="preserve">               </w:t>
      </w:r>
      <w:r>
        <w:rPr>
          <w:rFonts w:ascii="宋体" w:hAnsi="宋体"/>
          <w:szCs w:val="21"/>
        </w:rPr>
        <w:t>，其中与履行本合同相关的专业技术人员有</w:t>
      </w:r>
      <w:r>
        <w:rPr>
          <w:rFonts w:ascii="宋体" w:hAnsi="宋体"/>
          <w:szCs w:val="21"/>
          <w:u w:val="single"/>
        </w:rPr>
        <w:t xml:space="preserve">（专业能力、数量）      </w:t>
      </w:r>
      <w:r>
        <w:rPr>
          <w:rFonts w:ascii="宋体" w:hAnsi="宋体"/>
          <w:szCs w:val="21"/>
        </w:rPr>
        <w:t>，本公司郑重承诺，具有履行本合同所必需的设备和专业技术能力。</w:t>
      </w:r>
    </w:p>
    <w:p>
      <w:pPr>
        <w:pStyle w:val="99"/>
        <w:spacing w:line="276" w:lineRule="auto"/>
        <w:ind w:firstLine="3780" w:firstLineChars="1800"/>
        <w:jc w:val="left"/>
        <w:rPr>
          <w:rFonts w:ascii="宋体" w:hAnsi="宋体"/>
          <w:b w:val="0"/>
          <w:sz w:val="21"/>
          <w:szCs w:val="21"/>
        </w:rPr>
      </w:pPr>
    </w:p>
    <w:p>
      <w:pPr>
        <w:pStyle w:val="99"/>
        <w:spacing w:line="276" w:lineRule="auto"/>
        <w:ind w:firstLine="3780" w:firstLineChars="1800"/>
        <w:jc w:val="left"/>
        <w:rPr>
          <w:rFonts w:ascii="宋体" w:hAnsi="宋体"/>
          <w:b w:val="0"/>
          <w:sz w:val="21"/>
          <w:szCs w:val="21"/>
        </w:rPr>
      </w:pPr>
    </w:p>
    <w:p>
      <w:pPr>
        <w:pStyle w:val="99"/>
        <w:spacing w:line="276" w:lineRule="auto"/>
        <w:ind w:firstLine="3780" w:firstLineChars="1800"/>
        <w:jc w:val="left"/>
        <w:rPr>
          <w:rFonts w:ascii="宋体" w:hAnsi="宋体"/>
          <w:b w:val="0"/>
          <w:sz w:val="21"/>
          <w:szCs w:val="21"/>
        </w:rPr>
      </w:pPr>
    </w:p>
    <w:p>
      <w:pPr>
        <w:pStyle w:val="99"/>
        <w:spacing w:line="276" w:lineRule="auto"/>
        <w:ind w:firstLine="3780" w:firstLineChars="1800"/>
        <w:jc w:val="left"/>
        <w:rPr>
          <w:rFonts w:ascii="宋体" w:hAnsi="宋体"/>
          <w:b w:val="0"/>
          <w:sz w:val="21"/>
          <w:szCs w:val="21"/>
        </w:rPr>
      </w:pPr>
    </w:p>
    <w:p>
      <w:pPr>
        <w:pStyle w:val="99"/>
        <w:spacing w:line="276" w:lineRule="auto"/>
        <w:ind w:firstLine="3780" w:firstLineChars="1800"/>
        <w:jc w:val="left"/>
        <w:rPr>
          <w:rFonts w:ascii="宋体" w:hAnsi="宋体"/>
          <w:b w:val="0"/>
          <w:sz w:val="21"/>
          <w:szCs w:val="21"/>
        </w:rPr>
      </w:pPr>
    </w:p>
    <w:p>
      <w:pPr>
        <w:pStyle w:val="99"/>
        <w:spacing w:line="276" w:lineRule="auto"/>
        <w:ind w:firstLine="3780" w:firstLineChars="1800"/>
        <w:jc w:val="left"/>
        <w:rPr>
          <w:rFonts w:ascii="宋体" w:hAnsi="宋体"/>
          <w:b w:val="0"/>
          <w:sz w:val="21"/>
          <w:szCs w:val="21"/>
        </w:rPr>
      </w:pPr>
    </w:p>
    <w:p>
      <w:pPr>
        <w:pStyle w:val="99"/>
        <w:spacing w:line="276" w:lineRule="auto"/>
        <w:ind w:firstLine="3780" w:firstLineChars="1800"/>
        <w:jc w:val="left"/>
        <w:rPr>
          <w:rFonts w:ascii="宋体" w:hAnsi="宋体"/>
          <w:b w:val="0"/>
          <w:sz w:val="21"/>
          <w:szCs w:val="21"/>
        </w:rPr>
      </w:pP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投标供应商：</w:t>
      </w:r>
      <w:r>
        <w:rPr>
          <w:rFonts w:ascii="宋体" w:hAnsi="宋体"/>
          <w:b w:val="0"/>
          <w:sz w:val="21"/>
          <w:szCs w:val="21"/>
          <w:u w:val="single"/>
        </w:rPr>
        <w:t xml:space="preserve">        </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rPr>
        <w:t>（盖章）</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法定代表人（负责人）</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或委托代理人：</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u w:val="single"/>
        </w:rPr>
        <w:t xml:space="preserve">    </w:t>
      </w:r>
      <w:r>
        <w:rPr>
          <w:rFonts w:hint="eastAsia" w:ascii="宋体" w:hAnsi="宋体"/>
          <w:b w:val="0"/>
          <w:sz w:val="21"/>
          <w:szCs w:val="21"/>
        </w:rPr>
        <w:t>（盖章或签字）</w:t>
      </w:r>
    </w:p>
    <w:p>
      <w:pPr>
        <w:spacing w:line="480" w:lineRule="auto"/>
        <w:ind w:firstLine="3780" w:firstLineChars="1800"/>
        <w:jc w:val="left"/>
        <w:outlineLvl w:val="2"/>
        <w:rPr>
          <w:rFonts w:ascii="宋体" w:hAnsi="宋体"/>
          <w:b/>
          <w:bCs/>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spacing w:line="440" w:lineRule="exact"/>
        <w:ind w:right="420" w:firstLine="5460" w:firstLineChars="2600"/>
        <w:rPr>
          <w:rFonts w:ascii="宋体" w:hAnsi="宋体"/>
          <w:color w:val="000000"/>
          <w:szCs w:val="21"/>
        </w:rPr>
      </w:pPr>
    </w:p>
    <w:p>
      <w:pPr>
        <w:spacing w:line="360" w:lineRule="auto"/>
        <w:rPr>
          <w:rFonts w:ascii="宋体" w:hAnsi="宋体"/>
        </w:rPr>
      </w:pPr>
    </w:p>
    <w:p>
      <w:pPr>
        <w:pStyle w:val="17"/>
        <w:spacing w:line="360" w:lineRule="auto"/>
        <w:rPr>
          <w:rFonts w:ascii="宋体" w:hAnsi="宋体"/>
        </w:rPr>
      </w:pPr>
    </w:p>
    <w:p>
      <w:pPr>
        <w:spacing w:line="360" w:lineRule="auto"/>
        <w:rPr>
          <w:rFonts w:ascii="宋体" w:hAnsi="宋体"/>
        </w:rPr>
      </w:pPr>
    </w:p>
    <w:p>
      <w:pPr>
        <w:pStyle w:val="17"/>
      </w:pPr>
    </w:p>
    <w:p>
      <w:pPr>
        <w:pStyle w:val="17"/>
        <w:rPr>
          <w:rFonts w:ascii="宋体" w:hAnsi="宋体"/>
        </w:rPr>
      </w:pPr>
    </w:p>
    <w:p/>
    <w:p>
      <w:pPr>
        <w:pStyle w:val="17"/>
      </w:pPr>
    </w:p>
    <w:p/>
    <w:p>
      <w:pPr>
        <w:pStyle w:val="17"/>
      </w:pPr>
    </w:p>
    <w:p/>
    <w:p>
      <w:pPr>
        <w:pStyle w:val="17"/>
      </w:pPr>
    </w:p>
    <w:p/>
    <w:p>
      <w:pPr>
        <w:pStyle w:val="17"/>
      </w:pPr>
    </w:p>
    <w:p/>
    <w:p>
      <w:pPr>
        <w:pStyle w:val="17"/>
      </w:pPr>
    </w:p>
    <w:p/>
    <w:p>
      <w:pPr>
        <w:pStyle w:val="17"/>
      </w:pPr>
    </w:p>
    <w:p/>
    <w:p>
      <w:pPr>
        <w:pStyle w:val="17"/>
      </w:pPr>
    </w:p>
    <w:p>
      <w:pPr>
        <w:rPr>
          <w:rFonts w:asciiTheme="minorEastAsia" w:hAnsiTheme="minorEastAsia" w:eastAsiaTheme="minorEastAsia"/>
          <w:b/>
          <w:sz w:val="18"/>
          <w:szCs w:val="18"/>
        </w:rPr>
      </w:pPr>
      <w:r>
        <w:rPr>
          <w:rFonts w:asciiTheme="minorEastAsia" w:hAnsiTheme="minorEastAsia" w:eastAsiaTheme="minorEastAsia"/>
          <w:b/>
          <w:sz w:val="18"/>
          <w:szCs w:val="18"/>
        </w:rPr>
        <w:t>附件</w:t>
      </w:r>
      <w:r>
        <w:rPr>
          <w:rFonts w:hint="eastAsia" w:asciiTheme="minorEastAsia" w:hAnsiTheme="minorEastAsia" w:eastAsiaTheme="minorEastAsia"/>
          <w:b/>
          <w:sz w:val="18"/>
          <w:szCs w:val="18"/>
        </w:rPr>
        <w:t>-3</w:t>
      </w:r>
    </w:p>
    <w:p>
      <w:pPr>
        <w:spacing w:before="120" w:beforeLines="50"/>
        <w:jc w:val="center"/>
        <w:rPr>
          <w:rFonts w:cs="Calibri Light" w:asciiTheme="minorEastAsia" w:hAnsiTheme="minorEastAsia" w:eastAsiaTheme="minorEastAsia"/>
          <w:b/>
          <w:sz w:val="24"/>
        </w:rPr>
      </w:pPr>
      <w:r>
        <w:rPr>
          <w:rFonts w:cs="Calibri Light" w:asciiTheme="minorEastAsia" w:hAnsiTheme="minorEastAsia" w:eastAsiaTheme="minorEastAsia"/>
          <w:b/>
          <w:sz w:val="24"/>
        </w:rPr>
        <w:t>无重大违法记录声明</w:t>
      </w:r>
    </w:p>
    <w:p>
      <w:pPr>
        <w:pStyle w:val="264"/>
        <w:spacing w:line="460" w:lineRule="exact"/>
        <w:ind w:firstLine="0" w:firstLineChars="0"/>
        <w:rPr>
          <w:rFonts w:asciiTheme="minorEastAsia" w:hAnsiTheme="minorEastAsia" w:eastAsiaTheme="minorEastAsia"/>
          <w:color w:val="auto"/>
          <w:sz w:val="21"/>
          <w:szCs w:val="21"/>
        </w:rPr>
      </w:pPr>
    </w:p>
    <w:p>
      <w:pPr>
        <w:pStyle w:val="264"/>
        <w:spacing w:line="460" w:lineRule="exact"/>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eastAsia="zh-CN"/>
        </w:rPr>
        <w:t>陕西中正天投项目管理有限公司</w:t>
      </w:r>
      <w:r>
        <w:rPr>
          <w:rFonts w:asciiTheme="minorEastAsia" w:hAnsiTheme="minorEastAsia" w:eastAsiaTheme="minorEastAsia"/>
          <w:color w:val="auto"/>
          <w:sz w:val="21"/>
          <w:szCs w:val="21"/>
        </w:rPr>
        <w:t>：</w:t>
      </w:r>
    </w:p>
    <w:p>
      <w:pPr>
        <w:pStyle w:val="264"/>
        <w:spacing w:line="460" w:lineRule="exact"/>
        <w:ind w:firstLine="42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我方作为</w:t>
      </w:r>
      <w:r>
        <w:rPr>
          <w:rFonts w:asciiTheme="minorEastAsia" w:hAnsiTheme="minorEastAsia" w:eastAsiaTheme="minorEastAsia"/>
          <w:color w:val="auto"/>
          <w:sz w:val="21"/>
          <w:szCs w:val="21"/>
          <w:u w:val="single"/>
        </w:rPr>
        <w:t>〈项目名称〉</w:t>
      </w:r>
      <w:r>
        <w:rPr>
          <w:rFonts w:asciiTheme="minorEastAsia" w:hAnsiTheme="minorEastAsia" w:eastAsiaTheme="minorEastAsia"/>
          <w:color w:val="auto"/>
          <w:sz w:val="21"/>
          <w:szCs w:val="21"/>
        </w:rPr>
        <w:t>（项目编号：</w:t>
      </w:r>
      <w:r>
        <w:rPr>
          <w:rFonts w:asciiTheme="minorEastAsia" w:hAnsiTheme="minorEastAsia" w:eastAsiaTheme="minorEastAsia"/>
          <w:color w:val="auto"/>
          <w:sz w:val="21"/>
          <w:szCs w:val="21"/>
          <w:u w:val="single"/>
        </w:rPr>
        <w:t>〈项目编号〉</w:t>
      </w:r>
      <w:r>
        <w:rPr>
          <w:rFonts w:asciiTheme="minorEastAsia" w:hAnsiTheme="minorEastAsia" w:eastAsiaTheme="minorEastAsia"/>
          <w:color w:val="auto"/>
          <w:sz w:val="21"/>
          <w:szCs w:val="21"/>
        </w:rPr>
        <w:t>）的投标供应商，在此郑重声明：</w:t>
      </w:r>
    </w:p>
    <w:p>
      <w:pPr>
        <w:pStyle w:val="264"/>
        <w:spacing w:line="460" w:lineRule="exact"/>
        <w:ind w:firstLine="42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在参加本次政府采购活动前3年内的经营活动中___（填“没有”或“有”）重大违法记录。</w:t>
      </w:r>
    </w:p>
    <w:p>
      <w:pPr>
        <w:pStyle w:val="264"/>
        <w:spacing w:line="460" w:lineRule="exact"/>
        <w:ind w:firstLine="42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我方___（填“未被列入”或“被列入”）失信被执行人名单。</w:t>
      </w:r>
    </w:p>
    <w:p>
      <w:pPr>
        <w:pStyle w:val="264"/>
        <w:spacing w:line="460" w:lineRule="exact"/>
        <w:ind w:firstLine="42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我方___（填“未被列入”或“被列入”）重大税收违法案件当事人名单。</w:t>
      </w:r>
    </w:p>
    <w:p>
      <w:pPr>
        <w:pStyle w:val="264"/>
        <w:spacing w:line="460" w:lineRule="exact"/>
        <w:ind w:firstLine="42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我方___（填“未被列入”或“被列入”）政府采购严重违法失信行为记录名单。</w:t>
      </w:r>
    </w:p>
    <w:p>
      <w:pPr>
        <w:pStyle w:val="264"/>
        <w:spacing w:line="460" w:lineRule="exact"/>
        <w:ind w:firstLine="42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如有不实，我方将无条件地退出本项目的采购活动，并遵照《政府采购法》有关“提供虚假材料的规定”接受处罚。</w:t>
      </w:r>
    </w:p>
    <w:p>
      <w:pPr>
        <w:pStyle w:val="264"/>
        <w:spacing w:line="460" w:lineRule="exact"/>
        <w:ind w:firstLine="42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特此声明。</w:t>
      </w:r>
    </w:p>
    <w:p>
      <w:pPr>
        <w:pStyle w:val="99"/>
        <w:spacing w:line="480" w:lineRule="auto"/>
        <w:ind w:firstLine="4410" w:firstLineChars="2100"/>
        <w:jc w:val="left"/>
        <w:rPr>
          <w:rFonts w:ascii="宋体" w:hAnsi="宋体"/>
          <w:b w:val="0"/>
          <w:sz w:val="21"/>
          <w:szCs w:val="21"/>
        </w:rPr>
      </w:pPr>
    </w:p>
    <w:p>
      <w:pPr>
        <w:pStyle w:val="99"/>
        <w:spacing w:line="480" w:lineRule="auto"/>
        <w:ind w:firstLine="4410" w:firstLineChars="2100"/>
        <w:jc w:val="left"/>
        <w:rPr>
          <w:rFonts w:ascii="宋体" w:hAnsi="宋体"/>
          <w:b w:val="0"/>
          <w:sz w:val="21"/>
          <w:szCs w:val="21"/>
        </w:rPr>
      </w:pP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投标供应商：</w:t>
      </w:r>
      <w:r>
        <w:rPr>
          <w:rFonts w:ascii="宋体" w:hAnsi="宋体"/>
          <w:b w:val="0"/>
          <w:sz w:val="21"/>
          <w:szCs w:val="21"/>
          <w:u w:val="single"/>
        </w:rPr>
        <w:t xml:space="preserve">        </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rPr>
        <w:t>（盖章）</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法定代表人（负责人）</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或委托代理人：</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u w:val="single"/>
        </w:rPr>
        <w:t xml:space="preserve">    </w:t>
      </w:r>
      <w:r>
        <w:rPr>
          <w:rFonts w:hint="eastAsia" w:ascii="宋体" w:hAnsi="宋体"/>
          <w:b w:val="0"/>
          <w:sz w:val="21"/>
          <w:szCs w:val="21"/>
        </w:rPr>
        <w:t>（盖章或签字）</w:t>
      </w:r>
    </w:p>
    <w:p>
      <w:pPr>
        <w:spacing w:line="480" w:lineRule="auto"/>
        <w:ind w:firstLine="3780" w:firstLineChars="1800"/>
        <w:jc w:val="left"/>
        <w:outlineLvl w:val="2"/>
        <w:rPr>
          <w:rFonts w:ascii="宋体" w:hAnsi="宋体"/>
          <w:b/>
          <w:bCs/>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Pr>
        <w:pStyle w:val="17"/>
      </w:pPr>
    </w:p>
    <w:p/>
    <w:p>
      <w:pPr>
        <w:pStyle w:val="17"/>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附件-4</w:t>
      </w:r>
    </w:p>
    <w:p>
      <w:pPr>
        <w:pStyle w:val="12"/>
        <w:spacing w:after="240" w:afterLines="100"/>
        <w:ind w:firstLine="0"/>
        <w:jc w:val="center"/>
        <w:rPr>
          <w:rFonts w:ascii="宋体" w:hAnsi="宋体" w:cs="仿宋_GB2312"/>
          <w:b/>
          <w:color w:val="000000"/>
          <w:sz w:val="24"/>
          <w:szCs w:val="24"/>
        </w:rPr>
      </w:pPr>
      <w:r>
        <w:rPr>
          <w:rFonts w:hint="eastAsia" w:ascii="宋体" w:hAnsi="宋体" w:cs="仿宋_GB2312"/>
          <w:b/>
          <w:color w:val="000000"/>
          <w:sz w:val="24"/>
          <w:szCs w:val="24"/>
        </w:rPr>
        <w:t>服务</w:t>
      </w:r>
      <w:r>
        <w:rPr>
          <w:rFonts w:hint="eastAsia" w:ascii="宋体" w:hAnsi="宋体" w:cs="新宋体"/>
          <w:b/>
          <w:sz w:val="24"/>
          <w:szCs w:val="24"/>
        </w:rPr>
        <w:t>书面声明</w:t>
      </w:r>
    </w:p>
    <w:p>
      <w:pPr>
        <w:spacing w:line="480" w:lineRule="auto"/>
        <w:rPr>
          <w:rFonts w:hint="eastAsia" w:ascii="宋体" w:hAnsi="宋体" w:eastAsia="宋体" w:cs="仿宋_GB2312"/>
          <w:color w:val="000000"/>
          <w:szCs w:val="21"/>
          <w:lang w:eastAsia="zh-CN"/>
        </w:rPr>
      </w:pPr>
      <w:r>
        <w:rPr>
          <w:rFonts w:hint="eastAsia" w:ascii="宋体" w:hAnsi="宋体" w:cs="仿宋_GB2312"/>
          <w:color w:val="000000"/>
          <w:szCs w:val="21"/>
        </w:rPr>
        <w:t>致：</w:t>
      </w:r>
      <w:r>
        <w:rPr>
          <w:rFonts w:hint="eastAsia" w:ascii="宋体" w:hAnsi="宋体" w:cs="仿宋_GB2312"/>
          <w:color w:val="000000"/>
          <w:szCs w:val="21"/>
          <w:lang w:eastAsia="zh-CN"/>
        </w:rPr>
        <w:t>陕西中正天投项目管理有限公司</w:t>
      </w:r>
    </w:p>
    <w:p>
      <w:pPr>
        <w:spacing w:line="480" w:lineRule="auto"/>
        <w:ind w:firstLine="426"/>
        <w:rPr>
          <w:rFonts w:ascii="宋体" w:hAnsi="宋体" w:cs="仿宋_GB2312"/>
          <w:color w:val="000000"/>
          <w:szCs w:val="21"/>
        </w:rPr>
      </w:pPr>
      <w:r>
        <w:rPr>
          <w:rFonts w:hint="eastAsia" w:ascii="宋体" w:hAnsi="宋体" w:cs="仿宋_GB2312"/>
          <w:color w:val="000000"/>
          <w:szCs w:val="21"/>
        </w:rPr>
        <w:t>我方</w:t>
      </w:r>
      <w:r>
        <w:rPr>
          <w:rFonts w:hint="eastAsia" w:ascii="宋体" w:hAnsi="宋体" w:cs="仿宋_GB2312"/>
          <w:color w:val="000000"/>
          <w:szCs w:val="21"/>
          <w:u w:val="single"/>
        </w:rPr>
        <w:t xml:space="preserve"> </w:t>
      </w:r>
      <w:r>
        <w:rPr>
          <w:rFonts w:hint="eastAsia" w:ascii="宋体" w:hAnsi="宋体" w:cs="仿宋_GB2312"/>
          <w:b/>
          <w:iCs/>
          <w:color w:val="000000"/>
          <w:szCs w:val="21"/>
          <w:u w:val="single"/>
        </w:rPr>
        <w:t>存在/不存在</w:t>
      </w:r>
      <w:r>
        <w:rPr>
          <w:rFonts w:hint="eastAsia" w:ascii="宋体" w:hAnsi="宋体" w:cs="仿宋_GB2312"/>
          <w:color w:val="000000"/>
          <w:szCs w:val="21"/>
          <w:u w:val="single"/>
        </w:rPr>
        <w:t xml:space="preserve"> </w:t>
      </w:r>
      <w:r>
        <w:rPr>
          <w:rFonts w:hint="eastAsia" w:ascii="宋体" w:hAnsi="宋体" w:cs="仿宋_GB2312"/>
          <w:color w:val="000000"/>
          <w:szCs w:val="21"/>
        </w:rPr>
        <w:t>为本项目提供整体设计、规范编制或者项目管理、监理、检测等服务。</w:t>
      </w:r>
    </w:p>
    <w:p>
      <w:pPr>
        <w:pStyle w:val="99"/>
        <w:spacing w:line="360" w:lineRule="auto"/>
        <w:ind w:firstLine="4410" w:firstLineChars="2100"/>
        <w:jc w:val="left"/>
        <w:rPr>
          <w:rFonts w:ascii="宋体" w:hAnsi="宋体"/>
          <w:b w:val="0"/>
          <w:sz w:val="21"/>
          <w:szCs w:val="21"/>
        </w:rPr>
      </w:pPr>
    </w:p>
    <w:p>
      <w:pPr>
        <w:pStyle w:val="99"/>
        <w:spacing w:line="276" w:lineRule="auto"/>
        <w:ind w:firstLine="4410" w:firstLineChars="2100"/>
        <w:jc w:val="left"/>
        <w:rPr>
          <w:rFonts w:ascii="宋体" w:hAnsi="宋体"/>
          <w:b w:val="0"/>
          <w:sz w:val="21"/>
          <w:szCs w:val="21"/>
        </w:rPr>
      </w:pP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投标供应商：</w:t>
      </w:r>
      <w:r>
        <w:rPr>
          <w:rFonts w:ascii="宋体" w:hAnsi="宋体"/>
          <w:b w:val="0"/>
          <w:sz w:val="21"/>
          <w:szCs w:val="21"/>
          <w:u w:val="single"/>
        </w:rPr>
        <w:t xml:space="preserve">        </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rPr>
        <w:t>（盖章）</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法定代表人（负责人）</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或委托代理人：</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u w:val="single"/>
        </w:rPr>
        <w:t xml:space="preserve">    </w:t>
      </w:r>
      <w:r>
        <w:rPr>
          <w:rFonts w:hint="eastAsia" w:ascii="宋体" w:hAnsi="宋体"/>
          <w:b w:val="0"/>
          <w:sz w:val="21"/>
          <w:szCs w:val="21"/>
        </w:rPr>
        <w:t>（盖章或签字）</w:t>
      </w:r>
    </w:p>
    <w:p>
      <w:pPr>
        <w:spacing w:line="480" w:lineRule="auto"/>
        <w:ind w:firstLine="3780" w:firstLineChars="1800"/>
        <w:jc w:val="left"/>
        <w:outlineLvl w:val="2"/>
        <w:rPr>
          <w:rFonts w:ascii="宋体" w:hAnsi="宋体"/>
          <w:b/>
          <w:bCs/>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pStyle w:val="17"/>
        <w:spacing w:line="276" w:lineRule="auto"/>
        <w:rPr>
          <w:rFonts w:ascii="宋体" w:hAnsi="宋体"/>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Pr>
        <w:pStyle w:val="17"/>
      </w:pPr>
    </w:p>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附件-5</w:t>
      </w:r>
    </w:p>
    <w:p>
      <w:pPr>
        <w:pStyle w:val="12"/>
        <w:spacing w:after="240" w:afterLines="100"/>
        <w:ind w:firstLine="0"/>
        <w:jc w:val="center"/>
        <w:rPr>
          <w:rFonts w:ascii="宋体" w:hAnsi="宋体" w:cs="新宋体"/>
          <w:b/>
          <w:sz w:val="24"/>
          <w:szCs w:val="24"/>
        </w:rPr>
      </w:pPr>
      <w:r>
        <w:rPr>
          <w:rFonts w:hint="eastAsia" w:ascii="宋体" w:hAnsi="宋体" w:cs="新宋体"/>
          <w:b/>
          <w:sz w:val="24"/>
          <w:szCs w:val="24"/>
        </w:rPr>
        <w:t>企业关系关联书面声明</w:t>
      </w:r>
    </w:p>
    <w:p>
      <w:pPr>
        <w:autoSpaceDE w:val="0"/>
        <w:autoSpaceDN w:val="0"/>
        <w:adjustRightInd w:val="0"/>
        <w:spacing w:line="480" w:lineRule="auto"/>
        <w:ind w:firstLine="420" w:firstLineChars="200"/>
        <w:rPr>
          <w:rFonts w:ascii="宋体" w:hAnsi="宋体" w:cs="仿宋"/>
          <w:color w:val="000000"/>
          <w:szCs w:val="21"/>
        </w:rPr>
      </w:pPr>
      <w:r>
        <w:rPr>
          <w:rFonts w:hint="eastAsia" w:ascii="宋体" w:hAnsi="宋体" w:cs="仿宋"/>
          <w:color w:val="000000"/>
          <w:szCs w:val="21"/>
        </w:rPr>
        <w:t>一、</w:t>
      </w:r>
      <w:r>
        <w:rPr>
          <w:rFonts w:hint="eastAsia" w:ascii="宋体" w:hAnsi="宋体" w:cs="新宋体"/>
          <w:bCs/>
          <w:szCs w:val="21"/>
        </w:rPr>
        <w:t>投标供应商</w:t>
      </w:r>
      <w:r>
        <w:rPr>
          <w:rFonts w:hint="eastAsia" w:ascii="宋体" w:hAnsi="宋体" w:cs="仿宋"/>
          <w:color w:val="000000"/>
          <w:szCs w:val="21"/>
        </w:rPr>
        <w:t>在本项目投标中，不存在与其它</w:t>
      </w:r>
      <w:r>
        <w:rPr>
          <w:rFonts w:hint="eastAsia" w:ascii="宋体" w:hAnsi="宋体" w:cs="新宋体"/>
          <w:bCs/>
          <w:szCs w:val="21"/>
        </w:rPr>
        <w:t>投标供应商法定代表人（负责人</w:t>
      </w:r>
      <w:r>
        <w:rPr>
          <w:rFonts w:hint="eastAsia" w:ascii="宋体" w:hAnsi="宋体" w:cs="仿宋"/>
          <w:color w:val="000000"/>
          <w:szCs w:val="21"/>
        </w:rPr>
        <w:t>）为同一人，有控股、管理等关联关系承诺。</w:t>
      </w:r>
    </w:p>
    <w:p>
      <w:pPr>
        <w:autoSpaceDE w:val="0"/>
        <w:autoSpaceDN w:val="0"/>
        <w:adjustRightInd w:val="0"/>
        <w:spacing w:line="480" w:lineRule="auto"/>
        <w:ind w:firstLine="420" w:firstLineChars="200"/>
        <w:rPr>
          <w:rFonts w:ascii="宋体" w:hAnsi="宋体" w:cs="仿宋"/>
          <w:color w:val="000000"/>
          <w:szCs w:val="21"/>
        </w:rPr>
      </w:pPr>
      <w:r>
        <w:rPr>
          <w:rFonts w:hint="eastAsia" w:ascii="宋体" w:hAnsi="宋体" w:cs="仿宋"/>
          <w:color w:val="000000"/>
          <w:szCs w:val="21"/>
        </w:rPr>
        <w:t>（一）管理关系说明：</w:t>
      </w:r>
    </w:p>
    <w:p>
      <w:pPr>
        <w:autoSpaceDE w:val="0"/>
        <w:autoSpaceDN w:val="0"/>
        <w:adjustRightInd w:val="0"/>
        <w:spacing w:line="480" w:lineRule="auto"/>
        <w:ind w:firstLine="840" w:firstLineChars="400"/>
        <w:rPr>
          <w:rFonts w:ascii="宋体" w:hAnsi="宋体" w:cs="仿宋"/>
          <w:color w:val="000000"/>
          <w:szCs w:val="21"/>
          <w:u w:val="single"/>
        </w:rPr>
      </w:pPr>
      <w:r>
        <w:rPr>
          <w:rFonts w:hint="eastAsia" w:ascii="宋体" w:hAnsi="宋体" w:cs="仿宋"/>
          <w:color w:val="000000"/>
          <w:szCs w:val="21"/>
        </w:rPr>
        <w:t>我单位管理的具有独立法人的下属单位：(没有填无)。</w:t>
      </w:r>
    </w:p>
    <w:p>
      <w:pPr>
        <w:autoSpaceDE w:val="0"/>
        <w:autoSpaceDN w:val="0"/>
        <w:adjustRightInd w:val="0"/>
        <w:spacing w:line="480" w:lineRule="auto"/>
        <w:ind w:firstLine="840" w:firstLineChars="400"/>
        <w:rPr>
          <w:rFonts w:ascii="宋体" w:hAnsi="宋体" w:cs="仿宋"/>
          <w:color w:val="000000"/>
          <w:szCs w:val="21"/>
        </w:rPr>
      </w:pPr>
      <w:r>
        <w:rPr>
          <w:rFonts w:hint="eastAsia" w:ascii="宋体" w:hAnsi="宋体" w:cs="仿宋"/>
          <w:color w:val="000000"/>
          <w:szCs w:val="21"/>
        </w:rPr>
        <w:t>我单位的上级管理单位： (没有填无)。</w:t>
      </w:r>
    </w:p>
    <w:p>
      <w:pPr>
        <w:autoSpaceDE w:val="0"/>
        <w:autoSpaceDN w:val="0"/>
        <w:adjustRightInd w:val="0"/>
        <w:spacing w:line="480" w:lineRule="auto"/>
        <w:ind w:firstLine="420" w:firstLineChars="200"/>
        <w:rPr>
          <w:rFonts w:ascii="宋体" w:hAnsi="宋体" w:cs="仿宋"/>
          <w:color w:val="000000"/>
          <w:szCs w:val="21"/>
        </w:rPr>
      </w:pPr>
      <w:r>
        <w:rPr>
          <w:rFonts w:hint="eastAsia" w:ascii="宋体" w:hAnsi="宋体" w:cs="仿宋"/>
          <w:color w:val="000000"/>
          <w:szCs w:val="21"/>
        </w:rPr>
        <w:t>（二）股权关系说明：</w:t>
      </w:r>
    </w:p>
    <w:p>
      <w:pPr>
        <w:autoSpaceDE w:val="0"/>
        <w:autoSpaceDN w:val="0"/>
        <w:adjustRightInd w:val="0"/>
        <w:spacing w:line="480" w:lineRule="auto"/>
        <w:ind w:firstLine="840" w:firstLineChars="400"/>
        <w:rPr>
          <w:rFonts w:ascii="宋体" w:hAnsi="宋体" w:cs="仿宋"/>
          <w:color w:val="000000"/>
          <w:szCs w:val="21"/>
        </w:rPr>
      </w:pPr>
      <w:r>
        <w:rPr>
          <w:rFonts w:hint="eastAsia" w:ascii="宋体" w:hAnsi="宋体" w:cs="仿宋"/>
          <w:color w:val="000000"/>
          <w:szCs w:val="21"/>
        </w:rPr>
        <w:t>我单位控股的单位：(没有填无) 。</w:t>
      </w:r>
    </w:p>
    <w:p>
      <w:pPr>
        <w:autoSpaceDE w:val="0"/>
        <w:autoSpaceDN w:val="0"/>
        <w:adjustRightInd w:val="0"/>
        <w:spacing w:line="480" w:lineRule="auto"/>
        <w:ind w:firstLine="840" w:firstLineChars="400"/>
        <w:rPr>
          <w:rFonts w:ascii="宋体" w:hAnsi="宋体" w:cs="仿宋"/>
          <w:color w:val="000000"/>
          <w:szCs w:val="21"/>
        </w:rPr>
      </w:pPr>
      <w:r>
        <w:rPr>
          <w:rFonts w:hint="eastAsia" w:ascii="宋体" w:hAnsi="宋体" w:cs="仿宋"/>
          <w:color w:val="000000"/>
          <w:szCs w:val="21"/>
        </w:rPr>
        <w:t>我单位(没有填无)被</w:t>
      </w:r>
      <w:r>
        <w:rPr>
          <w:rFonts w:hint="eastAsia" w:ascii="宋体" w:hAnsi="宋体" w:cs="仿宋"/>
          <w:color w:val="000000"/>
          <w:szCs w:val="21"/>
          <w:u w:val="single"/>
        </w:rPr>
        <w:t xml:space="preserve">   （控股单位全称）  </w:t>
      </w:r>
      <w:r>
        <w:rPr>
          <w:rFonts w:hint="eastAsia" w:ascii="宋体" w:hAnsi="宋体" w:cs="仿宋"/>
          <w:color w:val="000000"/>
          <w:szCs w:val="21"/>
        </w:rPr>
        <w:t>单位控股。</w:t>
      </w:r>
    </w:p>
    <w:p>
      <w:pPr>
        <w:autoSpaceDE w:val="0"/>
        <w:autoSpaceDN w:val="0"/>
        <w:adjustRightInd w:val="0"/>
        <w:spacing w:line="480" w:lineRule="auto"/>
        <w:ind w:firstLine="420" w:firstLineChars="200"/>
        <w:rPr>
          <w:rFonts w:ascii="宋体" w:hAnsi="宋体" w:cs="仿宋"/>
          <w:color w:val="000000"/>
          <w:szCs w:val="21"/>
        </w:rPr>
      </w:pPr>
      <w:r>
        <w:rPr>
          <w:rFonts w:hint="eastAsia" w:ascii="宋体" w:hAnsi="宋体" w:cs="仿宋"/>
          <w:color w:val="000000"/>
          <w:szCs w:val="21"/>
        </w:rPr>
        <w:t>（三）</w:t>
      </w:r>
      <w:r>
        <w:rPr>
          <w:rFonts w:hint="eastAsia" w:ascii="宋体" w:hAnsi="宋体" w:cs="新宋体"/>
          <w:bCs/>
          <w:szCs w:val="21"/>
        </w:rPr>
        <w:t>法定代表人（负责人</w:t>
      </w:r>
      <w:r>
        <w:rPr>
          <w:rFonts w:hint="eastAsia" w:ascii="宋体" w:hAnsi="宋体" w:cs="仿宋"/>
          <w:color w:val="000000"/>
          <w:szCs w:val="21"/>
        </w:rPr>
        <w:t>）：(没有填无)。</w:t>
      </w:r>
    </w:p>
    <w:p>
      <w:pPr>
        <w:autoSpaceDE w:val="0"/>
        <w:autoSpaceDN w:val="0"/>
        <w:adjustRightInd w:val="0"/>
        <w:spacing w:line="480" w:lineRule="auto"/>
        <w:ind w:firstLine="420" w:firstLineChars="200"/>
        <w:rPr>
          <w:rFonts w:ascii="宋体" w:hAnsi="宋体" w:cs="仿宋"/>
          <w:color w:val="000000"/>
          <w:szCs w:val="21"/>
        </w:rPr>
      </w:pPr>
      <w:r>
        <w:rPr>
          <w:rFonts w:hint="eastAsia" w:ascii="宋体" w:hAnsi="宋体" w:cs="仿宋"/>
          <w:color w:val="000000"/>
          <w:szCs w:val="21"/>
        </w:rPr>
        <w:t>二、其他与本项目有关的利害关系说明(没有填无)。</w:t>
      </w:r>
    </w:p>
    <w:p>
      <w:pPr>
        <w:autoSpaceDE w:val="0"/>
        <w:autoSpaceDN w:val="0"/>
        <w:adjustRightInd w:val="0"/>
        <w:spacing w:line="480" w:lineRule="auto"/>
        <w:ind w:firstLine="840" w:firstLineChars="400"/>
        <w:rPr>
          <w:rFonts w:ascii="宋体" w:hAnsi="宋体"/>
          <w:color w:val="000000"/>
          <w:szCs w:val="21"/>
        </w:rPr>
      </w:pPr>
      <w:r>
        <w:rPr>
          <w:rFonts w:hint="eastAsia" w:ascii="宋体" w:hAnsi="宋体" w:cs="仿宋"/>
          <w:color w:val="000000"/>
          <w:szCs w:val="21"/>
        </w:rPr>
        <w:t>我单位承诺以上说明真实有效，无虚假内容或隐瞒。</w:t>
      </w:r>
    </w:p>
    <w:p>
      <w:pPr>
        <w:spacing w:line="480" w:lineRule="auto"/>
        <w:rPr>
          <w:rFonts w:ascii="宋体" w:hAnsi="宋体"/>
        </w:rPr>
      </w:pPr>
    </w:p>
    <w:p>
      <w:pPr>
        <w:pStyle w:val="17"/>
        <w:spacing w:line="480" w:lineRule="auto"/>
        <w:rPr>
          <w:rFonts w:ascii="宋体" w:hAnsi="宋体"/>
        </w:rPr>
      </w:pPr>
    </w:p>
    <w:p>
      <w:pPr>
        <w:rPr>
          <w:rFonts w:ascii="宋体" w:hAnsi="宋体"/>
        </w:rPr>
      </w:pP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投标供应商：</w:t>
      </w:r>
      <w:r>
        <w:rPr>
          <w:rFonts w:ascii="宋体" w:hAnsi="宋体"/>
          <w:b w:val="0"/>
          <w:sz w:val="21"/>
          <w:szCs w:val="21"/>
          <w:u w:val="single"/>
        </w:rPr>
        <w:t xml:space="preserve">        </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rPr>
        <w:t>（盖章）</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法定代表人（负责人）</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或委托代理人：</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u w:val="single"/>
        </w:rPr>
        <w:t xml:space="preserve">    </w:t>
      </w:r>
      <w:r>
        <w:rPr>
          <w:rFonts w:hint="eastAsia" w:ascii="宋体" w:hAnsi="宋体"/>
          <w:b w:val="0"/>
          <w:sz w:val="21"/>
          <w:szCs w:val="21"/>
        </w:rPr>
        <w:t>（盖章或签字）</w:t>
      </w:r>
    </w:p>
    <w:p>
      <w:pPr>
        <w:spacing w:line="480" w:lineRule="auto"/>
        <w:ind w:firstLine="3780" w:firstLineChars="1800"/>
        <w:jc w:val="left"/>
        <w:outlineLvl w:val="2"/>
        <w:rPr>
          <w:rFonts w:ascii="宋体" w:hAnsi="宋体"/>
          <w:b/>
          <w:bCs/>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pStyle w:val="17"/>
      </w:pPr>
    </w:p>
    <w:p/>
    <w:p>
      <w:pPr>
        <w:pStyle w:val="17"/>
      </w:pPr>
    </w:p>
    <w:p/>
    <w:p>
      <w:pPr>
        <w:pStyle w:val="17"/>
      </w:pPr>
    </w:p>
    <w:p/>
    <w:p>
      <w:pPr>
        <w:pStyle w:val="17"/>
      </w:pPr>
    </w:p>
    <w:p/>
    <w:p>
      <w:pPr>
        <w:pStyle w:val="17"/>
      </w:pPr>
    </w:p>
    <w:p>
      <w:pPr>
        <w:spacing w:line="360" w:lineRule="auto"/>
        <w:rPr>
          <w:rFonts w:ascii="宋体" w:hAnsi="宋体" w:cs="宋体"/>
          <w:b/>
          <w:szCs w:val="21"/>
        </w:rPr>
      </w:pPr>
    </w:p>
    <w:p>
      <w:pPr>
        <w:pStyle w:val="17"/>
        <w:rPr>
          <w:rFonts w:ascii="宋体" w:hAnsi="宋体"/>
        </w:rPr>
      </w:pPr>
    </w:p>
    <w:p>
      <w:pPr>
        <w:rPr>
          <w:rFonts w:ascii="宋体" w:hAnsi="宋体"/>
        </w:rPr>
      </w:pPr>
    </w:p>
    <w:p>
      <w:pPr>
        <w:pStyle w:val="17"/>
        <w:rPr>
          <w:rFonts w:ascii="宋体" w:hAnsi="宋体"/>
        </w:rPr>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附件-6</w:t>
      </w:r>
    </w:p>
    <w:p>
      <w:pPr>
        <w:spacing w:before="240" w:beforeLines="100" w:after="240" w:afterLines="100"/>
        <w:jc w:val="center"/>
        <w:outlineLvl w:val="2"/>
        <w:rPr>
          <w:rFonts w:ascii="宋体" w:hAnsi="宋体"/>
          <w:b/>
          <w:sz w:val="24"/>
        </w:rPr>
      </w:pPr>
      <w:r>
        <w:rPr>
          <w:rFonts w:hint="eastAsia" w:ascii="宋体" w:hAnsi="宋体" w:cs="仿宋_GB2312"/>
          <w:b/>
          <w:color w:val="000000"/>
          <w:szCs w:val="21"/>
        </w:rPr>
        <w:t xml:space="preserve">  </w:t>
      </w:r>
      <w:r>
        <w:rPr>
          <w:rFonts w:hint="eastAsia" w:ascii="宋体" w:hAnsi="宋体"/>
          <w:b/>
          <w:sz w:val="24"/>
        </w:rPr>
        <w:t xml:space="preserve"> </w:t>
      </w:r>
      <w:r>
        <w:rPr>
          <w:rFonts w:ascii="宋体" w:hAnsi="宋体"/>
          <w:b/>
          <w:sz w:val="24"/>
        </w:rPr>
        <w:t>法定代表人</w:t>
      </w:r>
      <w:r>
        <w:rPr>
          <w:rFonts w:hint="eastAsia" w:ascii="宋体" w:hAnsi="宋体"/>
          <w:b/>
          <w:sz w:val="24"/>
        </w:rPr>
        <w:t>（负责人）</w:t>
      </w:r>
      <w:r>
        <w:rPr>
          <w:rFonts w:ascii="宋体" w:hAnsi="宋体"/>
          <w:b/>
          <w:sz w:val="24"/>
        </w:rPr>
        <w:t>身份证明</w:t>
      </w:r>
      <w:r>
        <w:rPr>
          <w:rFonts w:hint="eastAsia" w:ascii="宋体" w:hAnsi="宋体"/>
          <w:b/>
          <w:sz w:val="24"/>
        </w:rPr>
        <w:t>书6-1</w:t>
      </w:r>
    </w:p>
    <w:p>
      <w:pPr>
        <w:spacing w:line="480" w:lineRule="auto"/>
        <w:ind w:firstLine="420" w:firstLineChars="200"/>
        <w:rPr>
          <w:rFonts w:ascii="宋体" w:hAnsi="宋体"/>
          <w:szCs w:val="21"/>
        </w:rPr>
      </w:pPr>
      <w:r>
        <w:rPr>
          <w:rFonts w:hint="eastAsia" w:ascii="宋体" w:hAnsi="宋体"/>
          <w:szCs w:val="21"/>
        </w:rPr>
        <w:t>投标供应商</w:t>
      </w:r>
      <w:r>
        <w:rPr>
          <w:rFonts w:ascii="宋体" w:hAnsi="宋体"/>
          <w:szCs w:val="21"/>
        </w:rPr>
        <w:t>：</w:t>
      </w:r>
      <w:r>
        <w:rPr>
          <w:rFonts w:ascii="宋体" w:hAnsi="宋体"/>
          <w:szCs w:val="21"/>
          <w:u w:val="single"/>
        </w:rPr>
        <w:t xml:space="preserve">                                                           </w:t>
      </w:r>
    </w:p>
    <w:p>
      <w:pPr>
        <w:spacing w:line="480" w:lineRule="auto"/>
        <w:ind w:firstLine="420" w:firstLineChars="200"/>
        <w:rPr>
          <w:rFonts w:ascii="宋体" w:hAnsi="宋体"/>
          <w:szCs w:val="21"/>
        </w:rPr>
      </w:pPr>
      <w:r>
        <w:rPr>
          <w:rFonts w:ascii="宋体" w:hAnsi="宋体"/>
          <w:szCs w:val="21"/>
        </w:rPr>
        <w:t>单位性质：</w:t>
      </w:r>
      <w:r>
        <w:rPr>
          <w:rFonts w:ascii="宋体" w:hAnsi="宋体"/>
          <w:szCs w:val="21"/>
          <w:u w:val="single"/>
        </w:rPr>
        <w:t xml:space="preserve">                                                           </w:t>
      </w:r>
    </w:p>
    <w:p>
      <w:pPr>
        <w:spacing w:line="480" w:lineRule="auto"/>
        <w:ind w:firstLine="420" w:firstLineChars="200"/>
        <w:rPr>
          <w:rFonts w:ascii="宋体" w:hAnsi="宋体"/>
          <w:szCs w:val="21"/>
        </w:rPr>
      </w:pPr>
      <w:r>
        <w:rPr>
          <w:rFonts w:ascii="宋体" w:hAnsi="宋体"/>
          <w:szCs w:val="21"/>
        </w:rPr>
        <w:t>地    址：</w:t>
      </w:r>
      <w:r>
        <w:rPr>
          <w:rFonts w:ascii="宋体" w:hAnsi="宋体"/>
          <w:szCs w:val="21"/>
          <w:u w:val="single"/>
        </w:rPr>
        <w:t xml:space="preserve">                                                           </w:t>
      </w:r>
    </w:p>
    <w:p>
      <w:pPr>
        <w:spacing w:line="480" w:lineRule="auto"/>
        <w:ind w:firstLine="420" w:firstLineChars="200"/>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80" w:lineRule="auto"/>
        <w:ind w:firstLine="420" w:firstLineChars="200"/>
        <w:rPr>
          <w:rFonts w:ascii="宋体" w:hAnsi="宋体"/>
          <w:szCs w:val="21"/>
        </w:rPr>
      </w:pPr>
      <w:r>
        <w:rPr>
          <w:rFonts w:ascii="宋体" w:hAnsi="宋体"/>
          <w:szCs w:val="21"/>
        </w:rPr>
        <w:t>经营期限：</w:t>
      </w:r>
      <w:r>
        <w:rPr>
          <w:rFonts w:ascii="宋体" w:hAnsi="宋体"/>
          <w:szCs w:val="21"/>
          <w:u w:val="single"/>
        </w:rPr>
        <w:t xml:space="preserve">                                                           </w:t>
      </w:r>
    </w:p>
    <w:p>
      <w:pPr>
        <w:spacing w:line="480" w:lineRule="auto"/>
        <w:ind w:firstLine="420" w:firstLineChars="200"/>
        <w:rPr>
          <w:rFonts w:ascii="宋体" w:hAnsi="宋体"/>
          <w:szCs w:val="21"/>
        </w:rPr>
      </w:pPr>
      <w:r>
        <w:rPr>
          <w:rFonts w:ascii="宋体" w:hAnsi="宋体"/>
          <w:szCs w:val="21"/>
        </w:rPr>
        <w:t>姓    名：</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性        别：</w:t>
      </w:r>
      <w:r>
        <w:rPr>
          <w:rFonts w:ascii="宋体" w:hAnsi="宋体"/>
          <w:szCs w:val="21"/>
          <w:u w:val="single"/>
        </w:rPr>
        <w:t xml:space="preserve">                 </w:t>
      </w:r>
    </w:p>
    <w:p>
      <w:pPr>
        <w:spacing w:line="480" w:lineRule="auto"/>
        <w:ind w:firstLine="420" w:firstLineChars="200"/>
        <w:rPr>
          <w:rFonts w:ascii="宋体" w:hAnsi="宋体"/>
          <w:szCs w:val="21"/>
        </w:rPr>
      </w:pPr>
      <w:r>
        <w:rPr>
          <w:rFonts w:ascii="宋体" w:hAnsi="宋体"/>
          <w:szCs w:val="21"/>
        </w:rPr>
        <w:t>年    龄：</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职        务：</w:t>
      </w:r>
      <w:r>
        <w:rPr>
          <w:rFonts w:ascii="宋体" w:hAnsi="宋体"/>
          <w:szCs w:val="21"/>
          <w:u w:val="single"/>
        </w:rPr>
        <w:t xml:space="preserve">                 </w:t>
      </w:r>
    </w:p>
    <w:p>
      <w:pPr>
        <w:spacing w:line="480" w:lineRule="auto"/>
        <w:ind w:firstLine="420" w:firstLineChars="200"/>
        <w:rPr>
          <w:rFonts w:ascii="宋体" w:hAnsi="宋体"/>
          <w:szCs w:val="21"/>
        </w:rPr>
      </w:pPr>
      <w:r>
        <w:rPr>
          <w:rFonts w:ascii="宋体" w:hAnsi="宋体"/>
          <w:szCs w:val="21"/>
        </w:rPr>
        <w:t>系</w:t>
      </w:r>
      <w:r>
        <w:rPr>
          <w:rFonts w:ascii="宋体" w:hAnsi="宋体"/>
          <w:szCs w:val="21"/>
          <w:u w:val="single"/>
        </w:rPr>
        <w:t xml:space="preserve">                                </w:t>
      </w:r>
      <w:r>
        <w:rPr>
          <w:rFonts w:ascii="宋体" w:hAnsi="宋体"/>
          <w:szCs w:val="21"/>
        </w:rPr>
        <w:t>（</w:t>
      </w:r>
      <w:r>
        <w:rPr>
          <w:rFonts w:hint="eastAsia" w:ascii="宋体" w:hAnsi="宋体"/>
          <w:szCs w:val="21"/>
        </w:rPr>
        <w:t>投标供应商</w:t>
      </w:r>
      <w:r>
        <w:rPr>
          <w:rFonts w:ascii="宋体" w:hAnsi="宋体"/>
          <w:szCs w:val="21"/>
        </w:rPr>
        <w:t>名称）的法定代表人（负责人）。</w:t>
      </w:r>
    </w:p>
    <w:p>
      <w:pPr>
        <w:spacing w:line="480" w:lineRule="auto"/>
        <w:rPr>
          <w:rFonts w:ascii="宋体" w:hAnsi="宋体"/>
        </w:rPr>
      </w:pPr>
    </w:p>
    <w:p>
      <w:pPr>
        <w:ind w:firstLine="420" w:firstLineChars="200"/>
        <w:rPr>
          <w:rFonts w:ascii="宋体" w:hAnsi="宋体" w:cs="新宋体"/>
          <w:szCs w:val="21"/>
        </w:rPr>
      </w:pPr>
      <w:r>
        <w:rPr>
          <w:rFonts w:hint="eastAsia" w:ascii="宋体" w:hAnsi="宋体" w:cs="新宋体"/>
          <w:szCs w:val="21"/>
        </w:rPr>
        <w:t>附法定代表人（负责人）身份证复印件（正反两面）</w:t>
      </w:r>
    </w:p>
    <w:p>
      <w:pPr>
        <w:pStyle w:val="17"/>
        <w:rPr>
          <w:rFonts w:ascii="宋体" w:hAnsi="宋体"/>
        </w:rPr>
      </w:pPr>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4630" w:type="dxa"/>
          </w:tcPr>
          <w:p>
            <w:pPr>
              <w:spacing w:line="480" w:lineRule="exact"/>
              <w:rPr>
                <w:rFonts w:ascii="宋体" w:hAnsi="宋体" w:cs="新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4630" w:type="dxa"/>
          </w:tcPr>
          <w:p>
            <w:pPr>
              <w:spacing w:line="480" w:lineRule="exact"/>
              <w:rPr>
                <w:rFonts w:ascii="宋体" w:hAnsi="宋体" w:cs="新宋体"/>
                <w:szCs w:val="21"/>
              </w:rPr>
            </w:pPr>
          </w:p>
        </w:tc>
      </w:tr>
    </w:tbl>
    <w:p>
      <w:pPr>
        <w:pStyle w:val="17"/>
        <w:rPr>
          <w:rFonts w:ascii="宋体" w:hAnsi="宋体"/>
        </w:rPr>
      </w:pPr>
    </w:p>
    <w:p/>
    <w:p>
      <w:pPr>
        <w:pStyle w:val="17"/>
      </w:pPr>
    </w:p>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投标供应商：</w:t>
      </w:r>
      <w:r>
        <w:rPr>
          <w:rFonts w:ascii="宋体" w:hAnsi="宋体"/>
          <w:b w:val="0"/>
          <w:sz w:val="21"/>
          <w:szCs w:val="21"/>
          <w:u w:val="single"/>
        </w:rPr>
        <w:t xml:space="preserve">        </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rPr>
        <w:t>（盖章）</w:t>
      </w:r>
    </w:p>
    <w:p>
      <w:pPr>
        <w:spacing w:line="480" w:lineRule="auto"/>
        <w:ind w:firstLine="3780" w:firstLineChars="1800"/>
        <w:jc w:val="left"/>
        <w:outlineLvl w:val="2"/>
        <w:rPr>
          <w:rFonts w:ascii="宋体" w:hAnsi="宋体"/>
          <w:b/>
          <w:bCs/>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spacing w:before="240" w:beforeLines="100" w:after="240" w:afterLines="100"/>
        <w:jc w:val="center"/>
        <w:outlineLvl w:val="9"/>
        <w:rPr>
          <w:rFonts w:ascii="宋体" w:hAnsi="宋体"/>
          <w:b/>
          <w:sz w:val="24"/>
        </w:rPr>
      </w:pPr>
    </w:p>
    <w:p>
      <w:pPr>
        <w:spacing w:before="240" w:beforeLines="100" w:after="240" w:afterLines="100"/>
        <w:jc w:val="center"/>
        <w:outlineLvl w:val="2"/>
        <w:rPr>
          <w:rFonts w:ascii="宋体" w:hAnsi="宋体"/>
          <w:b/>
          <w:sz w:val="24"/>
        </w:rPr>
      </w:pPr>
      <w:r>
        <w:rPr>
          <w:rFonts w:hint="eastAsia" w:ascii="宋体" w:hAnsi="宋体"/>
          <w:b/>
          <w:sz w:val="24"/>
        </w:rPr>
        <w:t>法定代表人（负责人）授权委托书6-2</w:t>
      </w:r>
    </w:p>
    <w:p>
      <w:pPr>
        <w:spacing w:line="460" w:lineRule="exact"/>
        <w:rPr>
          <w:rFonts w:hint="eastAsia" w:ascii="宋体" w:hAnsi="宋体" w:eastAsia="宋体" w:cs="宋体"/>
          <w:b/>
          <w:szCs w:val="21"/>
          <w:lang w:eastAsia="zh-CN"/>
        </w:rPr>
      </w:pPr>
      <w:r>
        <w:rPr>
          <w:rFonts w:hint="eastAsia" w:ascii="宋体" w:hAnsi="宋体" w:cs="宋体"/>
          <w:b/>
          <w:szCs w:val="21"/>
        </w:rPr>
        <w:t>致：</w:t>
      </w:r>
      <w:r>
        <w:rPr>
          <w:rFonts w:hint="eastAsia" w:ascii="宋体" w:hAnsi="宋体" w:cs="宋体"/>
          <w:b/>
          <w:szCs w:val="21"/>
          <w:lang w:eastAsia="zh-CN"/>
        </w:rPr>
        <w:t>陕西中正天投项目管理有限公司</w:t>
      </w:r>
    </w:p>
    <w:p>
      <w:pPr>
        <w:pStyle w:val="264"/>
        <w:spacing w:line="400" w:lineRule="exact"/>
        <w:ind w:firstLine="420"/>
        <w:rPr>
          <w:sz w:val="21"/>
          <w:szCs w:val="21"/>
        </w:rPr>
      </w:pPr>
      <w:r>
        <w:rPr>
          <w:rFonts w:ascii="宋体" w:hAnsi="宋体"/>
          <w:sz w:val="21"/>
          <w:szCs w:val="21"/>
        </w:rPr>
        <w:t>本授权声明：</w:t>
      </w:r>
      <w:r>
        <w:rPr>
          <w:rFonts w:ascii="宋体" w:hAnsi="宋体"/>
          <w:sz w:val="21"/>
          <w:szCs w:val="21"/>
          <w:u w:val="single"/>
        </w:rPr>
        <w:t xml:space="preserve">                   </w:t>
      </w:r>
      <w:r>
        <w:rPr>
          <w:rFonts w:ascii="宋体" w:hAnsi="宋体"/>
          <w:sz w:val="21"/>
          <w:szCs w:val="21"/>
        </w:rPr>
        <w:t>（投标供应商名称）按中华人民共和国法律于</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ascii="宋体" w:hAnsi="宋体"/>
          <w:sz w:val="21"/>
          <w:szCs w:val="21"/>
        </w:rPr>
        <w:t>日成立。</w:t>
      </w:r>
      <w:r>
        <w:rPr>
          <w:rFonts w:ascii="宋体" w:hAnsi="宋体"/>
          <w:sz w:val="21"/>
          <w:szCs w:val="21"/>
          <w:u w:val="single"/>
        </w:rPr>
        <w:t xml:space="preserve">          </w:t>
      </w:r>
      <w:r>
        <w:rPr>
          <w:rFonts w:ascii="宋体" w:hAnsi="宋体"/>
          <w:sz w:val="21"/>
          <w:szCs w:val="21"/>
        </w:rPr>
        <w:t>（法定代表人（负责人）姓名）特授权（被授权人姓名）为我方</w:t>
      </w:r>
      <w:r>
        <w:rPr>
          <w:rFonts w:hint="eastAsia" w:ascii="宋体" w:hAnsi="宋体" w:cs="宋体"/>
          <w:kern w:val="0"/>
          <w:sz w:val="21"/>
          <w:szCs w:val="21"/>
        </w:rPr>
        <w:t>（项目名称：</w:t>
      </w:r>
      <w:r>
        <w:rPr>
          <w:rFonts w:hint="eastAsia" w:ascii="宋体" w:hAnsi="宋体" w:cs="宋体"/>
          <w:kern w:val="0"/>
          <w:sz w:val="21"/>
          <w:szCs w:val="21"/>
          <w:u w:val="single"/>
        </w:rPr>
        <w:t xml:space="preserve">        </w:t>
      </w:r>
      <w:r>
        <w:rPr>
          <w:rFonts w:hint="eastAsia" w:ascii="宋体" w:hAnsi="宋体" w:cs="宋体"/>
          <w:kern w:val="0"/>
          <w:sz w:val="21"/>
          <w:szCs w:val="21"/>
        </w:rPr>
        <w:t>，项目编号：</w:t>
      </w:r>
      <w:r>
        <w:rPr>
          <w:rFonts w:hint="eastAsia" w:ascii="宋体" w:hAnsi="宋体" w:cs="宋体"/>
          <w:kern w:val="0"/>
          <w:sz w:val="21"/>
          <w:szCs w:val="21"/>
          <w:u w:val="single"/>
        </w:rPr>
        <w:t xml:space="preserve">         </w:t>
      </w:r>
      <w:r>
        <w:rPr>
          <w:rFonts w:hint="eastAsia" w:ascii="宋体" w:hAnsi="宋体" w:cs="宋体"/>
          <w:kern w:val="0"/>
          <w:sz w:val="21"/>
          <w:szCs w:val="21"/>
        </w:rPr>
        <w:t>）</w:t>
      </w:r>
      <w:r>
        <w:rPr>
          <w:rFonts w:ascii="宋体" w:hAnsi="宋体"/>
          <w:sz w:val="21"/>
          <w:szCs w:val="21"/>
        </w:rPr>
        <w:t>政府采购的合法代表，</w:t>
      </w:r>
      <w:r>
        <w:rPr>
          <w:rFonts w:hint="eastAsia"/>
          <w:sz w:val="21"/>
          <w:szCs w:val="21"/>
        </w:rPr>
        <w:t>以我方名义签署、澄清、确认、递交、撤回、修改投标文件，签订合同和全权处理一切与之有关的事宜，其法律后果由我方承担。</w:t>
      </w:r>
    </w:p>
    <w:p>
      <w:pPr>
        <w:pStyle w:val="264"/>
        <w:spacing w:line="400" w:lineRule="atLeast"/>
        <w:ind w:firstLine="420"/>
        <w:rPr>
          <w:sz w:val="21"/>
          <w:szCs w:val="21"/>
        </w:rPr>
      </w:pPr>
      <w:r>
        <w:rPr>
          <w:sz w:val="21"/>
          <w:szCs w:val="21"/>
        </w:rPr>
        <w:t>本授权有效期与投标文件有效期一致。代理人无转委托权。</w:t>
      </w:r>
    </w:p>
    <w:p>
      <w:pPr>
        <w:spacing w:line="400" w:lineRule="atLeast"/>
        <w:ind w:firstLine="420" w:firstLineChars="200"/>
        <w:rPr>
          <w:rFonts w:ascii="宋体" w:hAnsi="宋体"/>
          <w:szCs w:val="21"/>
        </w:rPr>
      </w:pPr>
      <w:r>
        <w:rPr>
          <w:rFonts w:ascii="宋体" w:hAnsi="宋体"/>
          <w:szCs w:val="21"/>
        </w:rPr>
        <w:t>附：</w:t>
      </w:r>
      <w:r>
        <w:rPr>
          <w:rFonts w:hint="eastAsia" w:ascii="宋体" w:hAnsi="宋体"/>
          <w:szCs w:val="21"/>
        </w:rPr>
        <w:t>1、</w:t>
      </w:r>
      <w:r>
        <w:rPr>
          <w:rFonts w:ascii="宋体" w:hAnsi="宋体"/>
          <w:szCs w:val="21"/>
        </w:rPr>
        <w:t>委托代理人信息：</w:t>
      </w:r>
    </w:p>
    <w:p>
      <w:pPr>
        <w:spacing w:line="400" w:lineRule="atLeast"/>
        <w:ind w:firstLine="735" w:firstLineChars="350"/>
        <w:rPr>
          <w:rFonts w:ascii="宋体" w:hAnsi="宋体"/>
          <w:szCs w:val="21"/>
        </w:rPr>
      </w:pPr>
      <w:r>
        <w:rPr>
          <w:rFonts w:ascii="宋体" w:hAnsi="宋体"/>
          <w:szCs w:val="21"/>
        </w:rPr>
        <w:t>委托代理人姓名：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年龄：</w:t>
      </w:r>
      <w:r>
        <w:rPr>
          <w:rFonts w:ascii="宋体" w:hAnsi="宋体"/>
          <w:szCs w:val="21"/>
          <w:u w:val="single"/>
        </w:rPr>
        <w:t xml:space="preserve">      </w:t>
      </w:r>
    </w:p>
    <w:p>
      <w:pPr>
        <w:spacing w:line="400" w:lineRule="atLeast"/>
        <w:ind w:firstLine="555"/>
        <w:rPr>
          <w:rFonts w:ascii="宋体" w:hAnsi="宋体"/>
          <w:szCs w:val="21"/>
          <w:u w:val="single"/>
        </w:rPr>
      </w:pPr>
      <w:r>
        <w:rPr>
          <w:rFonts w:ascii="宋体" w:hAnsi="宋体"/>
          <w:szCs w:val="21"/>
        </w:rPr>
        <w:t xml:space="preserve">  身份证（护照）号码：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职务：</w:t>
      </w:r>
      <w:r>
        <w:rPr>
          <w:rFonts w:ascii="宋体" w:hAnsi="宋体"/>
          <w:szCs w:val="21"/>
          <w:u w:val="single"/>
        </w:rPr>
        <w:t xml:space="preserve">            </w:t>
      </w:r>
    </w:p>
    <w:p>
      <w:pPr>
        <w:spacing w:line="400" w:lineRule="atLeast"/>
        <w:ind w:firstLine="840" w:firstLineChars="400"/>
        <w:rPr>
          <w:rFonts w:ascii="宋体" w:hAnsi="宋体" w:cs="新宋体"/>
          <w:szCs w:val="21"/>
        </w:rPr>
      </w:pPr>
      <w:r>
        <w:rPr>
          <w:rFonts w:hint="eastAsia" w:ascii="宋体" w:hAnsi="宋体"/>
          <w:szCs w:val="21"/>
        </w:rPr>
        <w:t>2、</w:t>
      </w:r>
      <w:r>
        <w:rPr>
          <w:rFonts w:ascii="宋体" w:hAnsi="宋体"/>
          <w:szCs w:val="21"/>
        </w:rPr>
        <w:t>法定代表人（负责人）身份证复印件、委托代理人身份证复印件（正反两面）</w:t>
      </w:r>
    </w:p>
    <w:tbl>
      <w:tblPr>
        <w:tblStyle w:val="4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30"/>
        <w:gridCol w:w="4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4630" w:type="dxa"/>
            <w:tcBorders>
              <w:tl2br w:val="nil"/>
              <w:tr2bl w:val="nil"/>
            </w:tcBorders>
            <w:vAlign w:val="center"/>
          </w:tcPr>
          <w:p>
            <w:pPr>
              <w:spacing w:line="360" w:lineRule="auto"/>
              <w:jc w:val="center"/>
              <w:rPr>
                <w:rFonts w:ascii="宋体" w:hAnsi="宋体" w:cs="宋体"/>
                <w:szCs w:val="21"/>
              </w:rPr>
            </w:pPr>
            <w:r>
              <w:rPr>
                <w:rFonts w:ascii="宋体" w:hAnsi="宋体" w:cs="宋体"/>
                <w:szCs w:val="21"/>
              </w:rPr>
              <w:t>法定代表人（负责人）</w:t>
            </w:r>
          </w:p>
        </w:tc>
        <w:tc>
          <w:tcPr>
            <w:tcW w:w="4630" w:type="dxa"/>
            <w:tcBorders>
              <w:tl2br w:val="nil"/>
              <w:tr2bl w:val="nil"/>
            </w:tcBorders>
            <w:vAlign w:val="center"/>
          </w:tcPr>
          <w:p>
            <w:pPr>
              <w:spacing w:line="360" w:lineRule="auto"/>
              <w:jc w:val="center"/>
              <w:rPr>
                <w:rFonts w:ascii="宋体" w:hAnsi="宋体" w:cs="宋体"/>
                <w:szCs w:val="21"/>
              </w:rPr>
            </w:pPr>
            <w:r>
              <w:rPr>
                <w:rFonts w:ascii="宋体" w:hAnsi="宋体" w:cs="宋体"/>
                <w:szCs w:val="21"/>
              </w:rPr>
              <w:t>委托代理人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4630" w:type="dxa"/>
            <w:tcBorders>
              <w:tl2br w:val="nil"/>
              <w:tr2bl w:val="nil"/>
            </w:tcBorders>
            <w:vAlign w:val="center"/>
          </w:tcPr>
          <w:p>
            <w:pPr>
              <w:spacing w:line="360" w:lineRule="auto"/>
              <w:jc w:val="center"/>
              <w:rPr>
                <w:rFonts w:ascii="宋体" w:hAnsi="宋体" w:cs="宋体"/>
                <w:szCs w:val="21"/>
              </w:rPr>
            </w:pPr>
            <w:r>
              <w:rPr>
                <w:rFonts w:ascii="宋体" w:hAnsi="宋体" w:cs="宋体"/>
                <w:szCs w:val="21"/>
              </w:rPr>
              <w:t>法定代表人（负责人）</w:t>
            </w:r>
          </w:p>
        </w:tc>
        <w:tc>
          <w:tcPr>
            <w:tcW w:w="4630" w:type="dxa"/>
            <w:tcBorders>
              <w:tl2br w:val="nil"/>
              <w:tr2bl w:val="nil"/>
            </w:tcBorders>
            <w:vAlign w:val="center"/>
          </w:tcPr>
          <w:p>
            <w:pPr>
              <w:spacing w:line="360" w:lineRule="auto"/>
              <w:jc w:val="center"/>
              <w:rPr>
                <w:rFonts w:ascii="宋体" w:hAnsi="宋体" w:cs="宋体"/>
                <w:szCs w:val="21"/>
              </w:rPr>
            </w:pPr>
            <w:r>
              <w:rPr>
                <w:rFonts w:ascii="宋体" w:hAnsi="宋体" w:cs="宋体"/>
                <w:szCs w:val="21"/>
              </w:rPr>
              <w:t>委托代理人</w:t>
            </w:r>
          </w:p>
        </w:tc>
      </w:tr>
    </w:tbl>
    <w:p>
      <w:pPr>
        <w:spacing w:before="120" w:beforeLines="50" w:after="120" w:afterLines="50" w:line="360" w:lineRule="auto"/>
        <w:rPr>
          <w:rFonts w:ascii="宋体" w:hAnsi="宋体" w:cs="宋体"/>
          <w:szCs w:val="21"/>
        </w:rPr>
      </w:pPr>
    </w:p>
    <w:p>
      <w:pPr>
        <w:pStyle w:val="99"/>
        <w:spacing w:line="480" w:lineRule="auto"/>
        <w:ind w:left="3780" w:leftChars="1800"/>
        <w:jc w:val="left"/>
        <w:rPr>
          <w:rFonts w:ascii="宋体" w:hAnsi="宋体"/>
          <w:b w:val="0"/>
          <w:sz w:val="21"/>
          <w:szCs w:val="21"/>
        </w:rPr>
      </w:pPr>
      <w:r>
        <w:rPr>
          <w:rFonts w:hint="eastAsia" w:ascii="宋体" w:hAnsi="宋体"/>
          <w:b w:val="0"/>
          <w:sz w:val="21"/>
          <w:szCs w:val="21"/>
        </w:rPr>
        <w:t>投标供应商：</w:t>
      </w:r>
      <w:r>
        <w:rPr>
          <w:rFonts w:ascii="宋体" w:hAnsi="宋体"/>
          <w:b w:val="0"/>
          <w:sz w:val="21"/>
          <w:szCs w:val="21"/>
          <w:u w:val="single"/>
        </w:rPr>
        <w:t xml:space="preserve">        </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rPr>
        <w:t>（盖章）</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法定代表人（负责人）</w:t>
      </w:r>
      <w:r>
        <w:rPr>
          <w:rFonts w:ascii="宋体" w:hAnsi="宋体"/>
          <w:b w:val="0"/>
          <w:sz w:val="21"/>
          <w:szCs w:val="21"/>
          <w:u w:val="single"/>
        </w:rPr>
        <w:t xml:space="preserve"> </w:t>
      </w:r>
      <w:r>
        <w:rPr>
          <w:rFonts w:hint="eastAsia" w:ascii="宋体" w:hAnsi="宋体"/>
          <w:b w:val="0"/>
          <w:sz w:val="21"/>
          <w:szCs w:val="21"/>
          <w:u w:val="single"/>
        </w:rPr>
        <w:t xml:space="preserve">    </w:t>
      </w:r>
      <w:r>
        <w:rPr>
          <w:rFonts w:hint="eastAsia" w:ascii="宋体" w:hAnsi="宋体"/>
          <w:b w:val="0"/>
          <w:sz w:val="21"/>
          <w:szCs w:val="21"/>
        </w:rPr>
        <w:t>（盖章或签字）</w:t>
      </w:r>
    </w:p>
    <w:p>
      <w:pPr>
        <w:pStyle w:val="99"/>
        <w:spacing w:line="480" w:lineRule="auto"/>
        <w:ind w:firstLine="3780" w:firstLineChars="1800"/>
        <w:jc w:val="left"/>
        <w:rPr>
          <w:rFonts w:ascii="宋体" w:hAnsi="宋体"/>
          <w:b w:val="0"/>
          <w:sz w:val="21"/>
          <w:szCs w:val="21"/>
        </w:rPr>
      </w:pPr>
      <w:r>
        <w:rPr>
          <w:rFonts w:hint="eastAsia" w:ascii="宋体" w:hAnsi="宋体"/>
          <w:b w:val="0"/>
          <w:sz w:val="21"/>
          <w:szCs w:val="21"/>
        </w:rPr>
        <w:t>委托代理人：</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u w:val="single"/>
        </w:rPr>
        <w:t xml:space="preserve"> </w:t>
      </w:r>
      <w:r>
        <w:rPr>
          <w:rFonts w:ascii="宋体" w:hAnsi="宋体"/>
          <w:b w:val="0"/>
          <w:sz w:val="21"/>
          <w:szCs w:val="21"/>
          <w:u w:val="single"/>
        </w:rPr>
        <w:t xml:space="preserve">  </w:t>
      </w:r>
      <w:r>
        <w:rPr>
          <w:rFonts w:hint="eastAsia" w:ascii="宋体" w:hAnsi="宋体"/>
          <w:b w:val="0"/>
          <w:sz w:val="21"/>
          <w:szCs w:val="21"/>
          <w:u w:val="single"/>
        </w:rPr>
        <w:t xml:space="preserve">   </w:t>
      </w:r>
      <w:r>
        <w:rPr>
          <w:rFonts w:hint="eastAsia" w:ascii="宋体" w:hAnsi="宋体"/>
          <w:b w:val="0"/>
          <w:sz w:val="21"/>
          <w:szCs w:val="21"/>
        </w:rPr>
        <w:t>（盖章或签字）</w:t>
      </w:r>
    </w:p>
    <w:p>
      <w:pPr>
        <w:spacing w:line="480" w:lineRule="auto"/>
        <w:ind w:firstLine="3780" w:firstLineChars="1800"/>
        <w:jc w:val="left"/>
        <w:outlineLvl w:val="2"/>
        <w:rPr>
          <w:rFonts w:ascii="宋体" w:hAnsi="宋体"/>
          <w:b/>
          <w:bCs/>
          <w:szCs w:val="21"/>
        </w:rPr>
      </w:pPr>
      <w:r>
        <w:rPr>
          <w:rFonts w:hint="eastAsia" w:ascii="宋体" w:hAnsi="宋体"/>
          <w:szCs w:val="21"/>
        </w:rPr>
        <w:t xml:space="preserve">日 </w:t>
      </w:r>
      <w:r>
        <w:rPr>
          <w:rFonts w:ascii="宋体" w:hAnsi="宋体"/>
          <w:szCs w:val="21"/>
        </w:rPr>
        <w:t xml:space="preserve"> </w:t>
      </w:r>
      <w:r>
        <w:rPr>
          <w:rFonts w:hint="eastAsia" w:ascii="宋体" w:hAnsi="宋体"/>
          <w:szCs w:val="21"/>
        </w:rPr>
        <w:t>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pStyle w:val="17"/>
      </w:pPr>
    </w:p>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附件-7</w:t>
      </w:r>
    </w:p>
    <w:p>
      <w:pPr>
        <w:jc w:val="center"/>
        <w:rPr>
          <w:rFonts w:asciiTheme="minorEastAsia" w:hAnsiTheme="minorEastAsia" w:eastAsiaTheme="minorEastAsia"/>
          <w:b/>
          <w:sz w:val="24"/>
        </w:rPr>
      </w:pPr>
      <w:r>
        <w:rPr>
          <w:rFonts w:asciiTheme="minorEastAsia" w:hAnsiTheme="minorEastAsia" w:eastAsiaTheme="minorEastAsia"/>
          <w:b/>
          <w:sz w:val="24"/>
        </w:rPr>
        <w:t>质量安全责任承诺书</w:t>
      </w:r>
    </w:p>
    <w:p>
      <w:pPr>
        <w:spacing w:line="460" w:lineRule="exact"/>
        <w:ind w:firstLine="420" w:firstLineChars="200"/>
        <w:rPr>
          <w:rFonts w:asciiTheme="minorEastAsia" w:hAnsiTheme="minorEastAsia" w:eastAsiaTheme="minorEastAsia"/>
        </w:rPr>
      </w:pPr>
      <w:r>
        <w:rPr>
          <w:rFonts w:asciiTheme="minorEastAsia" w:hAnsiTheme="minorEastAsia" w:eastAsiaTheme="minorEastAsia"/>
        </w:rPr>
        <w:t>为保证本采购项目顺利进行，作为投标供应商，现郑重承诺：</w:t>
      </w:r>
    </w:p>
    <w:p>
      <w:pPr>
        <w:spacing w:line="460" w:lineRule="exact"/>
        <w:ind w:firstLine="420" w:firstLineChars="2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我方所投产品的生产（包括设计、制造、安装、改造、维修等）、投入使用的材料等均完全符合国家现行质量、安全、环保标准和要求。</w:t>
      </w:r>
    </w:p>
    <w:p>
      <w:pPr>
        <w:spacing w:line="460" w:lineRule="exact"/>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我方将严格按照国家现行相关储存、运输、安装调试技术标准及规范、服务标准及规范、施工标准及规范，在规定的时限内，保质、保量完成项目全部内容，并向采购人交付合格产品。</w:t>
      </w:r>
    </w:p>
    <w:p>
      <w:pPr>
        <w:spacing w:line="460" w:lineRule="exact"/>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对于因产品生产质量以及储存、运输、安装调试、服务、施工等过程中产生的任何安全事故，我方承担全部责任。</w:t>
      </w:r>
    </w:p>
    <w:p>
      <w:pPr>
        <w:spacing w:line="460" w:lineRule="exact"/>
        <w:ind w:firstLine="42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我方提供的货物、工程、服务等符合现行的国家、行业、地区、企业标准及要求，标准不一致的，以更为严格的为准，我方对提供的货物、工程、服务等的质量、安全、环保等承担全部责任。</w:t>
      </w:r>
    </w:p>
    <w:p>
      <w:pPr>
        <w:spacing w:line="460" w:lineRule="exact"/>
        <w:rPr>
          <w:rFonts w:asciiTheme="minorEastAsia" w:hAnsiTheme="minorEastAsia" w:eastAsiaTheme="minorEastAsia"/>
        </w:rPr>
      </w:pPr>
    </w:p>
    <w:p>
      <w:pPr>
        <w:pStyle w:val="17"/>
      </w:pPr>
    </w:p>
    <w:p/>
    <w:p>
      <w:pPr>
        <w:pStyle w:val="17"/>
      </w:pPr>
    </w:p>
    <w:p/>
    <w:p>
      <w:pPr>
        <w:pStyle w:val="17"/>
      </w:pPr>
    </w:p>
    <w:p/>
    <w:p>
      <w:pPr>
        <w:spacing w:line="460" w:lineRule="exact"/>
        <w:ind w:firstLine="2520" w:firstLineChars="1200"/>
        <w:rPr>
          <w:rFonts w:asciiTheme="minorEastAsia" w:hAnsiTheme="minorEastAsia" w:eastAsiaTheme="minorEastAsia"/>
        </w:rPr>
      </w:pPr>
      <w:r>
        <w:rPr>
          <w:rFonts w:hint="eastAsia" w:asciiTheme="minorEastAsia" w:hAnsiTheme="minorEastAsia" w:eastAsiaTheme="minorEastAsia"/>
        </w:rPr>
        <w:t>投标供应商：</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w:t>
      </w:r>
      <w:r>
        <w:rPr>
          <w:rFonts w:hint="eastAsia" w:ascii="宋体" w:hAnsi="宋体"/>
          <w:szCs w:val="21"/>
        </w:rPr>
        <w:t>盖章</w:t>
      </w:r>
      <w:r>
        <w:rPr>
          <w:rFonts w:hint="eastAsia" w:asciiTheme="minorEastAsia" w:hAnsiTheme="minorEastAsia" w:eastAsiaTheme="minorEastAsia"/>
        </w:rPr>
        <w:t>）</w:t>
      </w:r>
    </w:p>
    <w:p>
      <w:pPr>
        <w:spacing w:line="460" w:lineRule="exact"/>
        <w:ind w:firstLine="2520" w:firstLineChars="1200"/>
        <w:rPr>
          <w:rFonts w:asciiTheme="minorEastAsia" w:hAnsiTheme="minorEastAsia" w:eastAsiaTheme="minorEastAsia"/>
        </w:rPr>
      </w:pPr>
      <w:r>
        <w:rPr>
          <w:rFonts w:hint="eastAsia" w:asciiTheme="minorEastAsia" w:hAnsiTheme="minorEastAsia" w:eastAsiaTheme="minorEastAsia"/>
        </w:rPr>
        <w:t xml:space="preserve">日     </w:t>
      </w:r>
      <w:r>
        <w:rPr>
          <w:rFonts w:asciiTheme="minorEastAsia" w:hAnsiTheme="minorEastAsia" w:eastAsiaTheme="minorEastAsia"/>
        </w:rPr>
        <w:t xml:space="preserve"> </w:t>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 xml:space="preserve"> 月</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460" w:lineRule="exact"/>
        <w:rPr>
          <w:rFonts w:asciiTheme="minorEastAsia" w:hAnsiTheme="minorEastAsia" w:eastAsiaTheme="minorEastAsia"/>
        </w:rPr>
      </w:pPr>
    </w:p>
    <w:p/>
    <w:p/>
    <w:p/>
    <w:p/>
    <w:p/>
    <w:p/>
    <w:p/>
    <w:p/>
    <w:p/>
    <w:p/>
    <w:p>
      <w:pPr>
        <w:pStyle w:val="17"/>
      </w:pPr>
    </w:p>
    <w:p/>
    <w:p>
      <w:pPr>
        <w:pStyle w:val="17"/>
      </w:pPr>
    </w:p>
    <w:p/>
    <w:p>
      <w:pPr>
        <w:pStyle w:val="17"/>
      </w:pPr>
    </w:p>
    <w:p/>
    <w:p>
      <w:pPr>
        <w:pStyle w:val="17"/>
      </w:pPr>
    </w:p>
    <w:p/>
    <w:p/>
    <w:p>
      <w:pPr>
        <w:pStyle w:val="17"/>
        <w:spacing w:line="360" w:lineRule="auto"/>
        <w:jc w:val="both"/>
        <w:rPr>
          <w:b/>
          <w:sz w:val="28"/>
          <w:szCs w:val="28"/>
        </w:rPr>
      </w:pPr>
    </w:p>
    <w:p>
      <w:pPr>
        <w:pStyle w:val="17"/>
        <w:spacing w:line="360" w:lineRule="auto"/>
        <w:rPr>
          <w:b/>
          <w:sz w:val="28"/>
          <w:szCs w:val="28"/>
        </w:rPr>
      </w:pPr>
      <w:r>
        <w:rPr>
          <w:rFonts w:hint="eastAsia"/>
          <w:b/>
          <w:sz w:val="28"/>
          <w:szCs w:val="28"/>
        </w:rPr>
        <w:t>第四部分  投标供应商概况</w:t>
      </w:r>
    </w:p>
    <w:p>
      <w:pPr>
        <w:spacing w:line="360" w:lineRule="auto"/>
        <w:jc w:val="center"/>
        <w:rPr>
          <w:b/>
          <w:sz w:val="24"/>
        </w:rPr>
      </w:pPr>
      <w:r>
        <w:rPr>
          <w:b/>
          <w:sz w:val="24"/>
        </w:rPr>
        <w:t>（一）投标供应商基本信息</w:t>
      </w:r>
    </w:p>
    <w:tbl>
      <w:tblPr>
        <w:tblStyle w:val="4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718"/>
        <w:gridCol w:w="1701"/>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180" w:type="dxa"/>
            <w:gridSpan w:val="4"/>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0"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供应商全称</w:t>
            </w:r>
          </w:p>
        </w:tc>
        <w:tc>
          <w:tcPr>
            <w:tcW w:w="7210" w:type="dxa"/>
            <w:gridSpan w:val="3"/>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0"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注册地址</w:t>
            </w:r>
          </w:p>
        </w:tc>
        <w:tc>
          <w:tcPr>
            <w:tcW w:w="2718"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c>
          <w:tcPr>
            <w:tcW w:w="1701"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成立时间</w:t>
            </w:r>
          </w:p>
        </w:tc>
        <w:tc>
          <w:tcPr>
            <w:tcW w:w="2791"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0"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统一社会信用代码</w:t>
            </w:r>
          </w:p>
        </w:tc>
        <w:tc>
          <w:tcPr>
            <w:tcW w:w="2718"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c>
          <w:tcPr>
            <w:tcW w:w="1701"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单位性质</w:t>
            </w:r>
          </w:p>
        </w:tc>
        <w:tc>
          <w:tcPr>
            <w:tcW w:w="2791"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0"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法定代表人</w:t>
            </w:r>
            <w:r>
              <w:rPr>
                <w:rFonts w:asciiTheme="minorEastAsia" w:hAnsiTheme="minorEastAsia" w:eastAsiaTheme="minorEastAsia" w:cstheme="minorHAnsi"/>
                <w:szCs w:val="21"/>
              </w:rPr>
              <w:br w:type="textWrapping"/>
            </w:r>
            <w:r>
              <w:rPr>
                <w:rFonts w:asciiTheme="minorEastAsia" w:hAnsiTheme="minorEastAsia" w:eastAsiaTheme="minorEastAsia" w:cstheme="minorHAnsi"/>
                <w:szCs w:val="21"/>
              </w:rPr>
              <w:t>（主要负责人）</w:t>
            </w:r>
          </w:p>
        </w:tc>
        <w:tc>
          <w:tcPr>
            <w:tcW w:w="2718"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c>
          <w:tcPr>
            <w:tcW w:w="1701"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所属行业</w:t>
            </w:r>
          </w:p>
        </w:tc>
        <w:tc>
          <w:tcPr>
            <w:tcW w:w="2791"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0"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基本存款账户</w:t>
            </w:r>
            <w:r>
              <w:rPr>
                <w:rFonts w:asciiTheme="minorEastAsia" w:hAnsiTheme="minorEastAsia" w:eastAsiaTheme="minorEastAsia" w:cstheme="minorHAnsi"/>
                <w:szCs w:val="21"/>
              </w:rPr>
              <w:br w:type="textWrapping"/>
            </w:r>
            <w:r>
              <w:rPr>
                <w:rFonts w:asciiTheme="minorEastAsia" w:hAnsiTheme="minorEastAsia" w:eastAsiaTheme="minorEastAsia" w:cstheme="minorHAnsi"/>
                <w:szCs w:val="21"/>
              </w:rPr>
              <w:t>开户银行</w:t>
            </w:r>
          </w:p>
        </w:tc>
        <w:tc>
          <w:tcPr>
            <w:tcW w:w="2718"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c>
          <w:tcPr>
            <w:tcW w:w="1701"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基本存款</w:t>
            </w:r>
            <w:r>
              <w:rPr>
                <w:rFonts w:asciiTheme="minorEastAsia" w:hAnsiTheme="minorEastAsia" w:eastAsiaTheme="minorEastAsia" w:cstheme="minorHAnsi"/>
                <w:szCs w:val="21"/>
              </w:rPr>
              <w:br w:type="textWrapping"/>
            </w:r>
            <w:r>
              <w:rPr>
                <w:rFonts w:asciiTheme="minorEastAsia" w:hAnsiTheme="minorEastAsia" w:eastAsiaTheme="minorEastAsia" w:cstheme="minorHAnsi"/>
                <w:szCs w:val="21"/>
              </w:rPr>
              <w:t>账户账号</w:t>
            </w:r>
          </w:p>
        </w:tc>
        <w:tc>
          <w:tcPr>
            <w:tcW w:w="2791"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0"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经营范围</w:t>
            </w:r>
          </w:p>
        </w:tc>
        <w:tc>
          <w:tcPr>
            <w:tcW w:w="7210" w:type="dxa"/>
            <w:gridSpan w:val="3"/>
            <w:vAlign w:val="center"/>
          </w:tcPr>
          <w:p>
            <w:pPr>
              <w:autoSpaceDE w:val="0"/>
              <w:autoSpaceDN w:val="0"/>
              <w:adjustRightInd w:val="0"/>
              <w:spacing w:line="320" w:lineRule="exact"/>
              <w:jc w:val="center"/>
              <w:rPr>
                <w:rFonts w:asciiTheme="minorEastAsia" w:hAnsiTheme="minorEastAsia" w:eastAsiaTheme="min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70" w:type="dxa"/>
            <w:vAlign w:val="center"/>
          </w:tcPr>
          <w:p>
            <w:pPr>
              <w:autoSpaceDE w:val="0"/>
              <w:autoSpaceDN w:val="0"/>
              <w:adjustRightInd w:val="0"/>
              <w:spacing w:line="320" w:lineRule="exact"/>
              <w:jc w:val="center"/>
              <w:rPr>
                <w:rFonts w:asciiTheme="minorEastAsia" w:hAnsiTheme="minorEastAsia" w:eastAsiaTheme="minorEastAsia" w:cstheme="minorHAnsi"/>
                <w:szCs w:val="21"/>
              </w:rPr>
            </w:pPr>
            <w:r>
              <w:rPr>
                <w:rFonts w:asciiTheme="minorEastAsia" w:hAnsiTheme="minorEastAsia" w:eastAsiaTheme="minorEastAsia" w:cstheme="minorHAnsi"/>
                <w:szCs w:val="21"/>
              </w:rPr>
              <w:t>说明</w:t>
            </w:r>
          </w:p>
        </w:tc>
        <w:tc>
          <w:tcPr>
            <w:tcW w:w="7210" w:type="dxa"/>
            <w:gridSpan w:val="3"/>
            <w:vAlign w:val="center"/>
          </w:tcPr>
          <w:p>
            <w:pPr>
              <w:spacing w:line="320" w:lineRule="exact"/>
              <w:ind w:left="170" w:hanging="170"/>
              <w:rPr>
                <w:rFonts w:asciiTheme="minorEastAsia" w:hAnsiTheme="minorEastAsia" w:eastAsiaTheme="minorEastAsia" w:cstheme="minorHAnsi"/>
                <w:szCs w:val="21"/>
              </w:rPr>
            </w:pPr>
            <w:r>
              <w:rPr>
                <w:rFonts w:asciiTheme="minorEastAsia" w:hAnsiTheme="minorEastAsia" w:eastAsiaTheme="minorEastAsia" w:cstheme="minorHAnsi"/>
                <w:color w:val="000000"/>
                <w:szCs w:val="21"/>
              </w:rPr>
              <w:t>1</w:t>
            </w:r>
            <w:r>
              <w:rPr>
                <w:rFonts w:hint="eastAsia" w:asciiTheme="minorEastAsia" w:hAnsiTheme="minorEastAsia" w:eastAsiaTheme="minorEastAsia" w:cstheme="minorHAnsi"/>
                <w:color w:val="000000"/>
                <w:szCs w:val="21"/>
                <w:lang w:val="en-US" w:eastAsia="zh-CN"/>
              </w:rPr>
              <w:t>.</w:t>
            </w:r>
            <w:r>
              <w:rPr>
                <w:rFonts w:asciiTheme="minorEastAsia" w:hAnsiTheme="minorEastAsia" w:eastAsiaTheme="minorEastAsia" w:cstheme="minorHAnsi"/>
                <w:color w:val="000000"/>
                <w:szCs w:val="21"/>
              </w:rPr>
              <w:t>表格空间不足时，请自行扩展。</w:t>
            </w:r>
          </w:p>
        </w:tc>
      </w:tr>
    </w:tbl>
    <w:p/>
    <w:p>
      <w:pPr>
        <w:spacing w:line="360" w:lineRule="auto"/>
        <w:jc w:val="center"/>
        <w:rPr>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b/>
          <w:sz w:val="24"/>
        </w:rPr>
      </w:pPr>
      <w:r>
        <w:rPr>
          <w:rFonts w:hint="eastAsia"/>
          <w:b/>
          <w:sz w:val="24"/>
        </w:rPr>
        <w:t>（二）企业性质证明材料</w:t>
      </w:r>
    </w:p>
    <w:p>
      <w:pPr>
        <w:spacing w:line="460" w:lineRule="exact"/>
        <w:ind w:right="105" w:rightChars="50" w:firstLine="211" w:firstLineChars="100"/>
        <w:rPr>
          <w:rFonts w:asciiTheme="minorEastAsia" w:hAnsiTheme="minorEastAsia" w:eastAsiaTheme="minorEastAsia"/>
          <w:b/>
        </w:rPr>
      </w:pPr>
      <w:r>
        <w:rPr>
          <w:rFonts w:hint="eastAsia" w:asciiTheme="minorEastAsia" w:hAnsiTheme="minorEastAsia" w:eastAsiaTheme="minorEastAsia"/>
          <w:b/>
        </w:rPr>
        <w:t>1、中小企业声明函（货物）</w:t>
      </w:r>
      <w:r>
        <w:rPr>
          <w:rFonts w:hint="eastAsia" w:asciiTheme="minorEastAsia" w:hAnsiTheme="minorEastAsia" w:eastAsiaTheme="minorEastAsia"/>
          <w:szCs w:val="21"/>
        </w:rPr>
        <w:t>（如有，详见招标文件第六章第四部分附件8）</w:t>
      </w:r>
    </w:p>
    <w:p>
      <w:pPr>
        <w:spacing w:line="460" w:lineRule="exact"/>
        <w:ind w:right="105" w:rightChars="50" w:firstLine="420" w:firstLineChars="200"/>
        <w:rPr>
          <w:rFonts w:asciiTheme="minorEastAsia" w:hAnsiTheme="minorEastAsia" w:eastAsiaTheme="minorEastAsia"/>
        </w:rPr>
      </w:pPr>
      <w:r>
        <w:rPr>
          <w:rFonts w:asciiTheme="minorEastAsia" w:hAnsiTheme="minorEastAsia" w:eastAsiaTheme="minorEastAsia"/>
        </w:rPr>
        <w:t>说明：当且仅当投标</w:t>
      </w:r>
      <w:r>
        <w:rPr>
          <w:rFonts w:hint="eastAsia" w:asciiTheme="minorEastAsia" w:hAnsiTheme="minorEastAsia" w:eastAsiaTheme="minorEastAsia"/>
        </w:rPr>
        <w:t>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w:t>
      </w:r>
      <w:r>
        <w:rPr>
          <w:rFonts w:asciiTheme="minorEastAsia" w:hAnsiTheme="minorEastAsia" w:eastAsiaTheme="minorEastAsia"/>
        </w:rPr>
        <w:t>20</w:t>
      </w:r>
      <w:r>
        <w:rPr>
          <w:rFonts w:hint="eastAsia" w:asciiTheme="minorEastAsia" w:hAnsiTheme="minorEastAsia" w:eastAsiaTheme="minorEastAsia"/>
        </w:rPr>
        <w:t>〕</w:t>
      </w:r>
      <w:r>
        <w:rPr>
          <w:rFonts w:asciiTheme="minorEastAsia" w:hAnsiTheme="minorEastAsia" w:eastAsiaTheme="minorEastAsia"/>
        </w:rPr>
        <w:t>46</w:t>
      </w:r>
      <w:r>
        <w:rPr>
          <w:rFonts w:hint="eastAsia" w:asciiTheme="minorEastAsia" w:hAnsiTheme="minorEastAsia" w:eastAsiaTheme="minorEastAsia"/>
        </w:rPr>
        <w:t>号）相关规定。</w:t>
      </w:r>
    </w:p>
    <w:p>
      <w:pPr>
        <w:spacing w:line="460" w:lineRule="exact"/>
        <w:ind w:right="105" w:rightChars="50" w:firstLine="211" w:firstLineChars="100"/>
        <w:rPr>
          <w:rFonts w:asciiTheme="minorEastAsia" w:hAnsiTheme="minorEastAsia" w:eastAsiaTheme="minorEastAsia"/>
          <w:b/>
        </w:rPr>
      </w:pPr>
    </w:p>
    <w:p>
      <w:pPr>
        <w:spacing w:line="460" w:lineRule="exact"/>
        <w:ind w:right="105" w:rightChars="50" w:firstLine="211" w:firstLineChars="100"/>
        <w:rPr>
          <w:rFonts w:asciiTheme="minorEastAsia" w:hAnsiTheme="minorEastAsia" w:eastAsiaTheme="minorEastAsia"/>
          <w:b/>
        </w:rPr>
      </w:pPr>
      <w:r>
        <w:rPr>
          <w:rFonts w:hint="eastAsia" w:asciiTheme="minorEastAsia" w:hAnsiTheme="minorEastAsia" w:eastAsiaTheme="minorEastAsia"/>
          <w:b/>
        </w:rPr>
        <w:t>2、“节能产品”、“环境标志产品”证明材料</w:t>
      </w:r>
      <w:r>
        <w:rPr>
          <w:rFonts w:hint="eastAsia" w:asciiTheme="minorEastAsia" w:hAnsiTheme="minorEastAsia" w:eastAsiaTheme="minorEastAsia"/>
          <w:szCs w:val="21"/>
        </w:rPr>
        <w:t>（如有，详见招标文件第六章第四部分附件9）</w:t>
      </w:r>
    </w:p>
    <w:p>
      <w:pPr>
        <w:adjustRightInd w:val="0"/>
        <w:snapToGrid w:val="0"/>
        <w:spacing w:line="460" w:lineRule="exact"/>
        <w:ind w:right="105" w:rightChars="50" w:firstLine="420" w:firstLineChars="200"/>
        <w:rPr>
          <w:rFonts w:ascii="宋体" w:hAnsi="宋体" w:cs="新宋体"/>
          <w:szCs w:val="21"/>
        </w:rPr>
      </w:pPr>
      <w:r>
        <w:rPr>
          <w:rFonts w:hint="eastAsia" w:ascii="宋体" w:hAnsi="宋体" w:cs="新宋体"/>
          <w:szCs w:val="21"/>
        </w:rPr>
        <w:t>说明：</w:t>
      </w:r>
      <w:r>
        <w:rPr>
          <w:rFonts w:hint="eastAsia" w:ascii="宋体" w:hAnsi="宋体" w:cs="新宋体"/>
          <w:bCs/>
          <w:szCs w:val="21"/>
        </w:rPr>
        <w:t>1、</w:t>
      </w:r>
      <w:r>
        <w:rPr>
          <w:rFonts w:hint="eastAsia" w:ascii="宋体" w:hAnsi="宋体" w:cs="新宋体"/>
          <w:szCs w:val="21"/>
        </w:rPr>
        <w:t>提供的产品</w:t>
      </w:r>
      <w:r>
        <w:rPr>
          <w:rFonts w:hint="eastAsia" w:ascii="宋体" w:hAnsi="宋体" w:cs="新宋体"/>
          <w:bCs/>
          <w:szCs w:val="21"/>
        </w:rPr>
        <w:t>属于</w:t>
      </w:r>
      <w:r>
        <w:rPr>
          <w:rFonts w:hint="eastAsia" w:ascii="宋体" w:hAnsi="宋体" w:cs="新宋体"/>
          <w:szCs w:val="21"/>
        </w:rPr>
        <w:t>下列情形，应按规定提供相关证明材料(</w:t>
      </w:r>
      <w:r>
        <w:rPr>
          <w:rFonts w:hint="eastAsia" w:ascii="宋体" w:hAnsi="宋体" w:cs="新宋体"/>
          <w:bCs/>
          <w:szCs w:val="21"/>
        </w:rPr>
        <w:t>清单或目录所在页复印件</w:t>
      </w:r>
      <w:r>
        <w:rPr>
          <w:rFonts w:hint="eastAsia" w:ascii="宋体" w:hAnsi="宋体" w:cs="新宋体"/>
          <w:szCs w:val="21"/>
        </w:rPr>
        <w:t>)。</w:t>
      </w:r>
      <w:r>
        <w:rPr>
          <w:rFonts w:hint="eastAsia" w:ascii="宋体" w:hAnsi="宋体" w:cs="新宋体"/>
          <w:bCs/>
          <w:szCs w:val="21"/>
        </w:rPr>
        <w:t>（1）符合</w:t>
      </w:r>
      <w:r>
        <w:rPr>
          <w:rFonts w:hint="eastAsia" w:ascii="宋体" w:hAnsi="宋体" w:cs="新宋体"/>
          <w:szCs w:val="21"/>
        </w:rPr>
        <w:t>政府采购强制采购政策的(《节能产品政府采购清单》中标记</w:t>
      </w:r>
      <w:r>
        <w:rPr>
          <w:rFonts w:hint="eastAsia" w:ascii="宋体" w:hAnsi="宋体" w:cs="新宋体"/>
          <w:szCs w:val="21"/>
          <w:lang w:eastAsia="zh-CN"/>
        </w:rPr>
        <w:t>★</w:t>
      </w:r>
      <w:r>
        <w:rPr>
          <w:rFonts w:hint="eastAsia" w:ascii="宋体" w:hAnsi="宋体" w:cs="新宋体"/>
          <w:szCs w:val="21"/>
        </w:rPr>
        <w:t>符号节能产品及其他强制采购产品)；</w:t>
      </w:r>
      <w:r>
        <w:rPr>
          <w:rFonts w:hint="eastAsia" w:ascii="宋体" w:hAnsi="宋体" w:cs="新宋体"/>
          <w:bCs/>
          <w:szCs w:val="21"/>
        </w:rPr>
        <w:t>（2）符合</w:t>
      </w:r>
      <w:r>
        <w:rPr>
          <w:rFonts w:hint="eastAsia" w:ascii="宋体" w:hAnsi="宋体" w:cs="新宋体"/>
          <w:szCs w:val="21"/>
        </w:rPr>
        <w:t>政府采购优先采购政策的(《节能产品政府采购清单》中非标记</w:t>
      </w:r>
      <w:r>
        <w:rPr>
          <w:rFonts w:hint="eastAsia" w:ascii="宋体" w:hAnsi="宋体" w:cs="新宋体"/>
          <w:szCs w:val="21"/>
          <w:lang w:eastAsia="zh-CN"/>
        </w:rPr>
        <w:t>★</w:t>
      </w:r>
      <w:r>
        <w:rPr>
          <w:rFonts w:hint="eastAsia" w:ascii="宋体" w:hAnsi="宋体" w:cs="新宋体"/>
          <w:szCs w:val="21"/>
        </w:rPr>
        <w:t>符号节能产品，《环境标志产品政府采购清单》中环境标志</w:t>
      </w:r>
      <w:r>
        <w:rPr>
          <w:rFonts w:hint="eastAsia" w:ascii="宋体" w:hAnsi="宋体" w:cs="新宋体"/>
          <w:bCs/>
          <w:szCs w:val="21"/>
        </w:rPr>
        <w:t>产品</w:t>
      </w:r>
      <w:r>
        <w:rPr>
          <w:rFonts w:hint="eastAsia" w:ascii="宋体" w:hAnsi="宋体" w:cs="新宋体"/>
          <w:szCs w:val="21"/>
        </w:rPr>
        <w:t>。</w:t>
      </w:r>
    </w:p>
    <w:p>
      <w:pPr>
        <w:spacing w:line="460" w:lineRule="exact"/>
        <w:ind w:right="105" w:rightChars="50" w:firstLine="211" w:firstLineChars="100"/>
        <w:rPr>
          <w:rFonts w:asciiTheme="minorEastAsia" w:hAnsiTheme="minorEastAsia" w:eastAsiaTheme="minorEastAsia"/>
          <w:b/>
        </w:rPr>
      </w:pPr>
    </w:p>
    <w:p>
      <w:pPr>
        <w:spacing w:line="460" w:lineRule="exact"/>
        <w:ind w:right="105" w:rightChars="50" w:firstLine="211" w:firstLineChars="100"/>
        <w:rPr>
          <w:rFonts w:asciiTheme="minorEastAsia" w:hAnsiTheme="minorEastAsia" w:eastAsiaTheme="minorEastAsia"/>
          <w:b/>
        </w:rPr>
      </w:pPr>
      <w:r>
        <w:rPr>
          <w:rFonts w:hint="eastAsia" w:asciiTheme="minorEastAsia" w:hAnsiTheme="minorEastAsia" w:eastAsiaTheme="minorEastAsia"/>
          <w:b/>
        </w:rPr>
        <w:t>3、残疾人福利性单位声明函</w:t>
      </w:r>
      <w:r>
        <w:rPr>
          <w:rFonts w:hint="eastAsia" w:asciiTheme="minorEastAsia" w:hAnsiTheme="minorEastAsia" w:eastAsiaTheme="minorEastAsia"/>
          <w:szCs w:val="21"/>
        </w:rPr>
        <w:t>（如有，详见招标文件第六章第四部分附件10）</w:t>
      </w:r>
    </w:p>
    <w:p>
      <w:pPr>
        <w:spacing w:line="460" w:lineRule="exact"/>
        <w:ind w:right="105" w:rightChars="50" w:firstLine="420" w:firstLineChars="200"/>
        <w:rPr>
          <w:rFonts w:asciiTheme="minorEastAsia" w:hAnsiTheme="minorEastAsia" w:eastAsiaTheme="minorEastAsia"/>
        </w:rPr>
      </w:pPr>
      <w:r>
        <w:rPr>
          <w:rFonts w:hint="eastAsia" w:asciiTheme="minorEastAsia" w:hAnsiTheme="minorEastAsia" w:eastAsiaTheme="minorEastAsia"/>
        </w:rPr>
        <w:t>说明：</w:t>
      </w:r>
      <w:r>
        <w:rPr>
          <w:rFonts w:asciiTheme="minorEastAsia" w:hAnsiTheme="minorEastAsia" w:eastAsiaTheme="minorEastAsia"/>
        </w:rPr>
        <w:t>当且仅当投标</w:t>
      </w:r>
      <w:r>
        <w:rPr>
          <w:rFonts w:hint="eastAsia" w:asciiTheme="minorEastAsia" w:hAnsiTheme="minorEastAsia" w:eastAsiaTheme="minorEastAsia"/>
        </w:rPr>
        <w:t>供应商为残疾人福利性单位的，应按下文给定格式填写声明函。</w:t>
      </w:r>
      <w:r>
        <w:rPr>
          <w:rFonts w:asciiTheme="minorEastAsia" w:hAnsiTheme="minorEastAsia" w:eastAsiaTheme="minorEastAsia"/>
        </w:rPr>
        <w:t>未提供或未按给定格式提供声明函的，</w:t>
      </w:r>
      <w:r>
        <w:rPr>
          <w:rFonts w:hint="eastAsia" w:asciiTheme="minorEastAsia" w:hAnsiTheme="minorEastAsia" w:eastAsiaTheme="minorEastAsia"/>
        </w:rPr>
        <w:t>将不能享受招标文件规定的价格优惠政策，但不影响投标文件的有效性。</w:t>
      </w:r>
    </w:p>
    <w:p>
      <w:pPr>
        <w:spacing w:line="460" w:lineRule="exact"/>
        <w:ind w:right="105" w:rightChars="50" w:firstLine="420" w:firstLineChars="200"/>
        <w:rPr>
          <w:rFonts w:asciiTheme="minorEastAsia" w:hAnsiTheme="minorEastAsia" w:eastAsiaTheme="minorEastAsia"/>
        </w:rPr>
      </w:pPr>
      <w:r>
        <w:rPr>
          <w:rFonts w:hint="eastAsia" w:asciiTheme="minorEastAsia" w:hAnsiTheme="minorEastAsia" w:eastAsiaTheme="minorEastAsia"/>
        </w:rPr>
        <w:t>投标供应商在填报前请认真阅读《财政部、民政部、中国残疾人联合会关于促进残疾人就业政府采购政策的通知》（财库〔2017〕141号）相关规定。</w:t>
      </w:r>
    </w:p>
    <w:p>
      <w:pPr>
        <w:spacing w:line="460" w:lineRule="exact"/>
        <w:ind w:right="105" w:rightChars="50" w:firstLine="211" w:firstLineChars="100"/>
        <w:rPr>
          <w:rFonts w:asciiTheme="minorEastAsia" w:hAnsiTheme="minorEastAsia" w:eastAsiaTheme="minorEastAsia"/>
          <w:b/>
        </w:rPr>
      </w:pPr>
    </w:p>
    <w:p>
      <w:pPr>
        <w:spacing w:line="460" w:lineRule="exact"/>
        <w:ind w:right="105" w:rightChars="50" w:firstLine="211" w:firstLineChars="100"/>
        <w:rPr>
          <w:rFonts w:asciiTheme="minorEastAsia" w:hAnsiTheme="minorEastAsia" w:eastAsiaTheme="minorEastAsia"/>
          <w:b/>
        </w:rPr>
      </w:pPr>
      <w:r>
        <w:rPr>
          <w:rFonts w:hint="eastAsia" w:asciiTheme="minorEastAsia" w:hAnsiTheme="minorEastAsia" w:eastAsiaTheme="minorEastAsia"/>
          <w:b/>
        </w:rPr>
        <w:t>4、监狱企业证明</w:t>
      </w:r>
      <w:r>
        <w:rPr>
          <w:rFonts w:hint="eastAsia" w:asciiTheme="minorEastAsia" w:hAnsiTheme="minorEastAsia" w:eastAsiaTheme="minorEastAsia"/>
          <w:szCs w:val="21"/>
        </w:rPr>
        <w:t>（如有，详见招标文件第六章第四部分附件</w:t>
      </w:r>
      <w:r>
        <w:rPr>
          <w:rFonts w:asciiTheme="minorEastAsia" w:hAnsiTheme="minorEastAsia" w:eastAsiaTheme="minorEastAsia"/>
          <w:szCs w:val="21"/>
        </w:rPr>
        <w:t>11</w:t>
      </w:r>
      <w:r>
        <w:rPr>
          <w:rFonts w:hint="eastAsia" w:asciiTheme="minorEastAsia" w:hAnsiTheme="minorEastAsia" w:eastAsiaTheme="minorEastAsia"/>
          <w:szCs w:val="21"/>
        </w:rPr>
        <w:t>）</w:t>
      </w:r>
    </w:p>
    <w:p>
      <w:pPr>
        <w:spacing w:line="460" w:lineRule="exact"/>
        <w:ind w:right="105" w:rightChars="50" w:firstLine="420" w:firstLineChars="200"/>
        <w:rPr>
          <w:rFonts w:asciiTheme="minorEastAsia" w:hAnsiTheme="minorEastAsia" w:eastAsiaTheme="minorEastAsia"/>
        </w:rPr>
      </w:pPr>
      <w:r>
        <w:rPr>
          <w:rFonts w:asciiTheme="minorEastAsia" w:hAnsiTheme="minorEastAsia" w:eastAsiaTheme="minorEastAsia"/>
        </w:rPr>
        <w:t>说明：当且仅当投标供应商为监狱企业</w:t>
      </w:r>
      <w:r>
        <w:rPr>
          <w:rFonts w:hint="eastAsia" w:asciiTheme="minorEastAsia" w:hAnsiTheme="minorEastAsia" w:eastAsiaTheme="minorEastAsia"/>
        </w:rPr>
        <w:t>的</w:t>
      </w:r>
      <w:r>
        <w:rPr>
          <w:rFonts w:asciiTheme="minorEastAsia" w:hAnsiTheme="minorEastAsia" w:eastAsiaTheme="minorEastAsia"/>
        </w:rPr>
        <w:t>，应当提供由省级以上监狱管理局、戒毒管理局（含新疆生产建设兵团）出具的属于监狱企业的证明</w:t>
      </w:r>
      <w:r>
        <w:rPr>
          <w:rFonts w:hint="eastAsia" w:asciiTheme="minorEastAsia" w:hAnsiTheme="minorEastAsia" w:eastAsiaTheme="minorEastAsia"/>
        </w:rPr>
        <w:t>函</w:t>
      </w:r>
      <w:r>
        <w:rPr>
          <w:rFonts w:asciiTheme="minorEastAsia" w:hAnsiTheme="minorEastAsia" w:eastAsiaTheme="minorEastAsia"/>
        </w:rPr>
        <w:t>（格式不</w:t>
      </w:r>
      <w:r>
        <w:rPr>
          <w:rFonts w:hint="eastAsia" w:asciiTheme="minorEastAsia" w:hAnsiTheme="minorEastAsia" w:eastAsiaTheme="minorEastAsia"/>
        </w:rPr>
        <w:t>限</w:t>
      </w:r>
      <w:r>
        <w:rPr>
          <w:rFonts w:asciiTheme="minorEastAsia" w:hAnsiTheme="minorEastAsia" w:eastAsiaTheme="minorEastAsia"/>
        </w:rPr>
        <w:t>）。未提供证明</w:t>
      </w:r>
      <w:r>
        <w:rPr>
          <w:rFonts w:hint="eastAsia" w:asciiTheme="minorEastAsia" w:hAnsiTheme="minorEastAsia" w:eastAsiaTheme="minorEastAsia"/>
        </w:rPr>
        <w:t>函</w:t>
      </w:r>
      <w:r>
        <w:rPr>
          <w:rFonts w:asciiTheme="minorEastAsia" w:hAnsiTheme="minorEastAsia" w:eastAsiaTheme="minorEastAsia"/>
        </w:rPr>
        <w:t>的</w:t>
      </w:r>
      <w:r>
        <w:rPr>
          <w:rFonts w:hint="eastAsia" w:asciiTheme="minorEastAsia" w:hAnsiTheme="minorEastAsia" w:eastAsiaTheme="minorEastAsia"/>
        </w:rPr>
        <w:t>，</w:t>
      </w:r>
      <w:r>
        <w:rPr>
          <w:rFonts w:asciiTheme="minorEastAsia" w:hAnsiTheme="minorEastAsia" w:eastAsiaTheme="minorEastAsia"/>
        </w:rPr>
        <w:t>将不能享受</w:t>
      </w:r>
      <w:r>
        <w:rPr>
          <w:rFonts w:hint="eastAsia" w:asciiTheme="minorEastAsia" w:hAnsiTheme="minorEastAsia" w:eastAsiaTheme="minorEastAsia"/>
        </w:rPr>
        <w:t>招标文件</w:t>
      </w:r>
      <w:r>
        <w:rPr>
          <w:rFonts w:asciiTheme="minorEastAsia" w:hAnsiTheme="minorEastAsia" w:eastAsiaTheme="minorEastAsia"/>
        </w:rPr>
        <w:t>规定的价格</w:t>
      </w:r>
      <w:r>
        <w:rPr>
          <w:rFonts w:hint="eastAsia" w:asciiTheme="minorEastAsia" w:hAnsiTheme="minorEastAsia" w:eastAsiaTheme="minorEastAsia"/>
        </w:rPr>
        <w:t>优惠政策</w:t>
      </w:r>
      <w:r>
        <w:rPr>
          <w:rFonts w:asciiTheme="minorEastAsia" w:hAnsiTheme="minorEastAsia" w:eastAsiaTheme="minorEastAsia"/>
        </w:rPr>
        <w:t>，但不影响</w:t>
      </w:r>
      <w:r>
        <w:rPr>
          <w:rFonts w:hint="eastAsia" w:asciiTheme="minorEastAsia" w:hAnsiTheme="minorEastAsia" w:eastAsiaTheme="minorEastAsia"/>
        </w:rPr>
        <w:t>投标文件</w:t>
      </w:r>
      <w:r>
        <w:rPr>
          <w:rFonts w:asciiTheme="minorEastAsia" w:hAnsiTheme="minorEastAsia" w:eastAsiaTheme="minorEastAsia"/>
        </w:rPr>
        <w:t>的有效性。</w:t>
      </w:r>
    </w:p>
    <w:p>
      <w:pPr>
        <w:spacing w:line="460" w:lineRule="exact"/>
        <w:ind w:right="105" w:rightChars="50" w:firstLine="211" w:firstLineChars="100"/>
        <w:rPr>
          <w:rFonts w:asciiTheme="minorEastAsia" w:hAnsiTheme="minorEastAsia" w:eastAsiaTheme="minorEastAsia"/>
          <w:b/>
        </w:rPr>
      </w:pPr>
    </w:p>
    <w:p>
      <w:pPr>
        <w:spacing w:line="460" w:lineRule="exact"/>
        <w:ind w:right="105" w:rightChars="50" w:firstLine="211" w:firstLineChars="100"/>
        <w:rPr>
          <w:rFonts w:asciiTheme="minorEastAsia" w:hAnsiTheme="minorEastAsia" w:eastAsiaTheme="minorEastAsia"/>
          <w:b/>
        </w:rPr>
      </w:pPr>
      <w:r>
        <w:rPr>
          <w:rFonts w:hint="eastAsia" w:asciiTheme="minorEastAsia" w:hAnsiTheme="minorEastAsia" w:eastAsiaTheme="minorEastAsia"/>
          <w:b/>
        </w:rPr>
        <w:t>5、联合体协议书</w:t>
      </w:r>
      <w:r>
        <w:rPr>
          <w:rFonts w:hint="eastAsia" w:asciiTheme="minorEastAsia" w:hAnsiTheme="minorEastAsia" w:eastAsiaTheme="minorEastAsia"/>
          <w:szCs w:val="21"/>
        </w:rPr>
        <w:t>（如有，详见招标文件第六章第四部分附件1</w:t>
      </w:r>
      <w:r>
        <w:rPr>
          <w:rFonts w:asciiTheme="minorEastAsia" w:hAnsiTheme="minorEastAsia" w:eastAsiaTheme="minorEastAsia"/>
          <w:szCs w:val="21"/>
        </w:rPr>
        <w:t>2</w:t>
      </w:r>
      <w:r>
        <w:rPr>
          <w:rFonts w:hint="eastAsia" w:asciiTheme="minorEastAsia" w:hAnsiTheme="minorEastAsia" w:eastAsiaTheme="minorEastAsia"/>
          <w:szCs w:val="21"/>
        </w:rPr>
        <w:t>）</w:t>
      </w:r>
    </w:p>
    <w:p>
      <w:pPr>
        <w:spacing w:line="460" w:lineRule="exact"/>
        <w:ind w:right="105" w:rightChars="50" w:firstLine="420" w:firstLineChars="200"/>
        <w:rPr>
          <w:rFonts w:asciiTheme="minorEastAsia" w:hAnsiTheme="minorEastAsia" w:eastAsiaTheme="minorEastAsia"/>
        </w:rPr>
      </w:pPr>
      <w:r>
        <w:rPr>
          <w:rFonts w:asciiTheme="minorEastAsia" w:hAnsiTheme="minorEastAsia" w:eastAsiaTheme="minorEastAsia"/>
        </w:rPr>
        <w:t>说明：</w:t>
      </w:r>
      <w:r>
        <w:rPr>
          <w:rFonts w:hint="eastAsia" w:asciiTheme="minorEastAsia" w:hAnsiTheme="minorEastAsia" w:eastAsiaTheme="minorEastAsia"/>
        </w:rPr>
        <w:t>招标文件接受联合体时，联合体成员应根据各自单位性质分别提供声明函或证明函，否则将不能享受招标文件对联合体的价格优惠政策。</w:t>
      </w:r>
    </w:p>
    <w:p>
      <w:pPr>
        <w:pStyle w:val="17"/>
        <w:spacing w:line="460" w:lineRule="exact"/>
        <w:ind w:right="105" w:rightChars="50" w:firstLine="420" w:firstLineChars="200"/>
        <w:jc w:val="both"/>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附件-8</w:t>
      </w:r>
    </w:p>
    <w:p>
      <w:pPr>
        <w:spacing w:line="48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中小企业声明函（货物）</w:t>
      </w:r>
    </w:p>
    <w:p>
      <w:pPr>
        <w:spacing w:line="460" w:lineRule="exact"/>
        <w:ind w:firstLine="420" w:firstLineChars="200"/>
        <w:rPr>
          <w:rFonts w:asciiTheme="minorEastAsia" w:hAnsiTheme="minorEastAsia" w:eastAsiaTheme="minorEastAsia"/>
        </w:rPr>
      </w:pPr>
      <w:r>
        <w:rPr>
          <w:rFonts w:asciiTheme="minorEastAsia" w:hAnsiTheme="minorEastAsia" w:eastAsiaTheme="minorEastAsia"/>
        </w:rPr>
        <w:t>本公司</w:t>
      </w:r>
      <w:r>
        <w:rPr>
          <w:rFonts w:hint="eastAsia" w:asciiTheme="minorEastAsia" w:hAnsiTheme="minorEastAsia" w:eastAsiaTheme="minorEastAsia"/>
        </w:rPr>
        <w:t>（</w:t>
      </w:r>
      <w:r>
        <w:rPr>
          <w:rFonts w:asciiTheme="minorEastAsia" w:hAnsiTheme="minorEastAsia" w:eastAsiaTheme="minorEastAsia"/>
        </w:rPr>
        <w:t>联合体</w:t>
      </w:r>
      <w:r>
        <w:rPr>
          <w:rFonts w:hint="eastAsia" w:asciiTheme="minorEastAsia" w:hAnsiTheme="minorEastAsia" w:eastAsiaTheme="minorEastAsia"/>
        </w:rPr>
        <w:t>）</w:t>
      </w:r>
      <w:r>
        <w:rPr>
          <w:rFonts w:asciiTheme="minorEastAsia" w:hAnsiTheme="minorEastAsia" w:eastAsiaTheme="minorEastAsia"/>
        </w:rPr>
        <w:t>郑重声明</w:t>
      </w:r>
      <w:r>
        <w:rPr>
          <w:rFonts w:hint="eastAsia" w:asciiTheme="minorEastAsia" w:hAnsiTheme="minorEastAsia" w:eastAsiaTheme="minorEastAsia"/>
        </w:rPr>
        <w:t>，</w:t>
      </w:r>
      <w:r>
        <w:rPr>
          <w:rFonts w:asciiTheme="minorEastAsia" w:hAnsiTheme="minorEastAsia" w:eastAsiaTheme="minorEastAsia"/>
        </w:rPr>
        <w:t>根据《政府采购促进中小企业发展管理办法》</w:t>
      </w:r>
      <w:r>
        <w:rPr>
          <w:rFonts w:hint="eastAsia" w:asciiTheme="minorEastAsia" w:hAnsiTheme="minorEastAsia" w:eastAsiaTheme="minorEastAsia"/>
        </w:rPr>
        <w:t>（</w:t>
      </w:r>
      <w:r>
        <w:rPr>
          <w:rFonts w:asciiTheme="minorEastAsia" w:hAnsiTheme="minorEastAsia" w:eastAsiaTheme="minorEastAsia"/>
        </w:rPr>
        <w:t>财库〔2020〕46</w:t>
      </w:r>
      <w:r>
        <w:rPr>
          <w:rFonts w:hint="eastAsia" w:asciiTheme="minorEastAsia" w:hAnsiTheme="minorEastAsia" w:eastAsiaTheme="minorEastAsia"/>
        </w:rPr>
        <w:t>号）</w:t>
      </w:r>
      <w:r>
        <w:rPr>
          <w:rFonts w:asciiTheme="minorEastAsia" w:hAnsiTheme="minorEastAsia" w:eastAsiaTheme="minorEastAsia"/>
        </w:rPr>
        <w:t>的规定</w:t>
      </w:r>
      <w:r>
        <w:rPr>
          <w:rFonts w:hint="eastAsia" w:asciiTheme="minorEastAsia" w:hAnsiTheme="minorEastAsia" w:eastAsiaTheme="minorEastAsia"/>
        </w:rPr>
        <w:t>，</w:t>
      </w:r>
      <w:r>
        <w:rPr>
          <w:rFonts w:asciiTheme="minorEastAsia" w:hAnsiTheme="minorEastAsia" w:eastAsiaTheme="minorEastAsia"/>
        </w:rPr>
        <w:t>本公司</w:t>
      </w:r>
      <w:r>
        <w:rPr>
          <w:rFonts w:hint="eastAsia" w:asciiTheme="minorEastAsia" w:hAnsiTheme="minorEastAsia" w:eastAsiaTheme="minorEastAsia"/>
        </w:rPr>
        <w:t>（</w:t>
      </w:r>
      <w:r>
        <w:rPr>
          <w:rFonts w:asciiTheme="minorEastAsia" w:hAnsiTheme="minorEastAsia" w:eastAsiaTheme="minorEastAsia"/>
        </w:rPr>
        <w:t>联合体</w:t>
      </w:r>
      <w:r>
        <w:rPr>
          <w:rFonts w:hint="eastAsia" w:asciiTheme="minorEastAsia" w:hAnsiTheme="minorEastAsia" w:eastAsiaTheme="minorEastAsia"/>
        </w:rPr>
        <w:t>）</w:t>
      </w:r>
      <w:r>
        <w:rPr>
          <w:rFonts w:asciiTheme="minorEastAsia" w:hAnsiTheme="minorEastAsia" w:eastAsiaTheme="minorEastAsia"/>
        </w:rPr>
        <w:t>参加</w:t>
      </w:r>
      <w:r>
        <w:rPr>
          <w:rFonts w:hint="eastAsia" w:asciiTheme="minorEastAsia" w:hAnsiTheme="minorEastAsia" w:eastAsiaTheme="minorEastAsia"/>
          <w:i/>
          <w:iCs/>
          <w:u w:val="single"/>
        </w:rPr>
        <w:t>（单位名称）</w:t>
      </w:r>
      <w:r>
        <w:rPr>
          <w:rFonts w:asciiTheme="minorEastAsia" w:hAnsiTheme="minorEastAsia" w:eastAsiaTheme="minorEastAsia"/>
        </w:rPr>
        <w:t>的</w:t>
      </w:r>
      <w:r>
        <w:rPr>
          <w:rFonts w:hint="eastAsia" w:asciiTheme="minorEastAsia" w:hAnsiTheme="minorEastAsia" w:eastAsiaTheme="minorEastAsia"/>
          <w:i/>
          <w:iCs/>
          <w:u w:val="single"/>
        </w:rPr>
        <w:t>（项目名称）</w:t>
      </w:r>
      <w:r>
        <w:rPr>
          <w:rFonts w:asciiTheme="minorEastAsia" w:hAnsiTheme="minorEastAsia" w:eastAsiaTheme="minorEastAsia"/>
        </w:rPr>
        <w:t>采购活动</w:t>
      </w:r>
      <w:r>
        <w:rPr>
          <w:rFonts w:hint="eastAsia" w:asciiTheme="minorEastAsia" w:hAnsiTheme="minorEastAsia" w:eastAsiaTheme="minorEastAsia"/>
        </w:rPr>
        <w:t>，提供的货物全部由符合政府采购政策要求的中小企业制造。</w:t>
      </w:r>
      <w:r>
        <w:rPr>
          <w:rFonts w:asciiTheme="minorEastAsia" w:hAnsiTheme="minorEastAsia" w:eastAsiaTheme="minorEastAsia"/>
        </w:rPr>
        <w:t>相关企业</w:t>
      </w:r>
      <w:r>
        <w:rPr>
          <w:rFonts w:hint="eastAsia" w:asciiTheme="minorEastAsia" w:hAnsiTheme="minorEastAsia" w:eastAsiaTheme="minorEastAsia"/>
        </w:rPr>
        <w:t>（</w:t>
      </w:r>
      <w:r>
        <w:rPr>
          <w:rFonts w:asciiTheme="minorEastAsia" w:hAnsiTheme="minorEastAsia" w:eastAsiaTheme="minorEastAsia"/>
        </w:rPr>
        <w:t>含联合体中的中小企业、签订分包意向协议的中小企业</w:t>
      </w:r>
      <w:r>
        <w:rPr>
          <w:rFonts w:hint="eastAsia" w:asciiTheme="minorEastAsia" w:hAnsiTheme="minorEastAsia" w:eastAsiaTheme="minorEastAsia"/>
        </w:rPr>
        <w:t>）</w:t>
      </w:r>
      <w:r>
        <w:rPr>
          <w:rFonts w:asciiTheme="minorEastAsia" w:hAnsiTheme="minorEastAsia" w:eastAsiaTheme="minorEastAsia"/>
        </w:rPr>
        <w:t>的具体情况如下</w:t>
      </w:r>
      <w:r>
        <w:rPr>
          <w:rFonts w:hint="eastAsia" w:asciiTheme="minorEastAsia" w:hAnsiTheme="minorEastAsia" w:eastAsiaTheme="minorEastAsia"/>
        </w:rPr>
        <w:t>：</w:t>
      </w:r>
    </w:p>
    <w:p>
      <w:pPr>
        <w:spacing w:line="460" w:lineRule="exact"/>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w:t>
      </w:r>
      <w:r>
        <w:rPr>
          <w:rFonts w:hint="eastAsia" w:asciiTheme="minorEastAsia" w:hAnsiTheme="minorEastAsia" w:eastAsiaTheme="minorEastAsia"/>
          <w:i/>
          <w:iCs/>
          <w:u w:val="single"/>
        </w:rPr>
        <w:t>（标的名称）</w:t>
      </w:r>
      <w:r>
        <w:rPr>
          <w:rFonts w:hint="eastAsia" w:asciiTheme="minorEastAsia" w:hAnsiTheme="minorEastAsia" w:eastAsiaTheme="minorEastAsia"/>
        </w:rPr>
        <w:t>，属于</w:t>
      </w:r>
      <w:r>
        <w:rPr>
          <w:rFonts w:hint="eastAsia" w:asciiTheme="minorEastAsia" w:hAnsiTheme="minorEastAsia" w:eastAsiaTheme="minorEastAsia"/>
          <w:b/>
          <w:i/>
          <w:iCs/>
          <w:u w:val="single"/>
        </w:rPr>
        <w:t>（采购文件中明确的所属行业）</w:t>
      </w:r>
      <w:r>
        <w:rPr>
          <w:rFonts w:hint="eastAsia" w:asciiTheme="minorEastAsia" w:hAnsiTheme="minorEastAsia" w:eastAsiaTheme="minorEastAsia"/>
        </w:rPr>
        <w:t>；制造商为</w:t>
      </w:r>
      <w:r>
        <w:rPr>
          <w:rFonts w:hint="eastAsia" w:asciiTheme="minorEastAsia" w:hAnsiTheme="minorEastAsia" w:eastAsiaTheme="minorEastAsia"/>
          <w:i/>
          <w:iCs/>
          <w:u w:val="single"/>
        </w:rPr>
        <w:t>（企业名称）</w:t>
      </w:r>
      <w:r>
        <w:rPr>
          <w:rFonts w:hint="eastAsia" w:asciiTheme="minorEastAsia" w:hAnsiTheme="minorEastAsia" w:eastAsiaTheme="minorEastAsia"/>
        </w:rPr>
        <w:t>，从业人员</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人，营业收入为</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万元，资产总额为</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万元</w:t>
      </w:r>
      <w:r>
        <w:rPr>
          <w:rFonts w:hint="eastAsia" w:asciiTheme="minorEastAsia" w:hAnsiTheme="minorEastAsia" w:eastAsiaTheme="minorEastAsia"/>
          <w:vertAlign w:val="superscript"/>
        </w:rPr>
        <w:t>1</w:t>
      </w:r>
      <w:r>
        <w:rPr>
          <w:rFonts w:hint="eastAsia" w:asciiTheme="minorEastAsia" w:hAnsiTheme="minorEastAsia" w:eastAsiaTheme="minorEastAsia"/>
        </w:rPr>
        <w:t>，属于</w:t>
      </w:r>
      <w:r>
        <w:rPr>
          <w:rFonts w:hint="eastAsia" w:asciiTheme="minorEastAsia" w:hAnsiTheme="minorEastAsia" w:eastAsiaTheme="minorEastAsia"/>
          <w:i/>
          <w:iCs/>
          <w:u w:val="single"/>
        </w:rPr>
        <w:t>（中型企业、小型企业、微型企业）</w:t>
      </w:r>
      <w:r>
        <w:rPr>
          <w:rFonts w:hint="eastAsia" w:asciiTheme="minorEastAsia" w:hAnsiTheme="minorEastAsia" w:eastAsiaTheme="minorEastAsia"/>
        </w:rPr>
        <w:t>；</w:t>
      </w:r>
    </w:p>
    <w:p>
      <w:pPr>
        <w:spacing w:line="460" w:lineRule="exact"/>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i/>
          <w:iCs/>
          <w:u w:val="single"/>
        </w:rPr>
        <w:t>（标的名称）</w:t>
      </w:r>
      <w:r>
        <w:rPr>
          <w:rFonts w:hint="eastAsia" w:asciiTheme="minorEastAsia" w:hAnsiTheme="minorEastAsia" w:eastAsiaTheme="minorEastAsia"/>
        </w:rPr>
        <w:t>，属于</w:t>
      </w:r>
      <w:r>
        <w:rPr>
          <w:rFonts w:hint="eastAsia" w:asciiTheme="minorEastAsia" w:hAnsiTheme="minorEastAsia" w:eastAsiaTheme="minorEastAsia"/>
          <w:b/>
          <w:i/>
          <w:iCs/>
          <w:u w:val="single"/>
        </w:rPr>
        <w:t>（采购文件中明确的所属行业）</w:t>
      </w:r>
      <w:r>
        <w:rPr>
          <w:rFonts w:hint="eastAsia" w:asciiTheme="minorEastAsia" w:hAnsiTheme="minorEastAsia" w:eastAsiaTheme="minorEastAsia"/>
        </w:rPr>
        <w:t>；制造商为</w:t>
      </w:r>
      <w:r>
        <w:rPr>
          <w:rFonts w:hint="eastAsia" w:asciiTheme="minorEastAsia" w:hAnsiTheme="minorEastAsia" w:eastAsiaTheme="minorEastAsia"/>
          <w:i/>
          <w:iCs/>
          <w:u w:val="single"/>
        </w:rPr>
        <w:t>（企业名称）</w:t>
      </w:r>
      <w:r>
        <w:rPr>
          <w:rFonts w:hint="eastAsia" w:asciiTheme="minorEastAsia" w:hAnsiTheme="minorEastAsia" w:eastAsiaTheme="minorEastAsia"/>
        </w:rPr>
        <w:t>，从业人员</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人，营业收入为</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万元，资产总额为</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万元，属于</w:t>
      </w:r>
      <w:r>
        <w:rPr>
          <w:rFonts w:hint="eastAsia" w:asciiTheme="minorEastAsia" w:hAnsiTheme="minorEastAsia" w:eastAsiaTheme="minorEastAsia"/>
          <w:i/>
          <w:iCs/>
          <w:u w:val="single"/>
        </w:rPr>
        <w:t>（中型企业、小型企业、微型企业）</w:t>
      </w:r>
      <w:r>
        <w:rPr>
          <w:rFonts w:hint="eastAsia" w:asciiTheme="minorEastAsia" w:hAnsiTheme="minorEastAsia" w:eastAsiaTheme="minorEastAsia"/>
        </w:rPr>
        <w:t>；</w:t>
      </w:r>
    </w:p>
    <w:p>
      <w:pPr>
        <w:spacing w:line="460" w:lineRule="exact"/>
        <w:rPr>
          <w:rFonts w:asciiTheme="minorEastAsia" w:hAnsiTheme="minorEastAsia" w:eastAsiaTheme="minorEastAsia"/>
        </w:rPr>
      </w:pPr>
      <w:r>
        <w:rPr>
          <w:rFonts w:hint="eastAsia" w:asciiTheme="minorEastAsia" w:hAnsiTheme="minorEastAsia" w:eastAsiaTheme="minorEastAsia"/>
        </w:rPr>
        <w:t>……</w:t>
      </w:r>
    </w:p>
    <w:p>
      <w:pPr>
        <w:spacing w:line="460" w:lineRule="exact"/>
        <w:ind w:firstLine="420" w:firstLineChars="200"/>
        <w:rPr>
          <w:rFonts w:asciiTheme="minorEastAsia" w:hAnsiTheme="minorEastAsia" w:eastAsiaTheme="minorEastAsia"/>
        </w:rPr>
      </w:pPr>
      <w:r>
        <w:rPr>
          <w:rFonts w:hint="eastAsia" w:asciiTheme="minorEastAsia" w:hAnsiTheme="minorEastAsia" w:eastAsiaTheme="minorEastAsia"/>
        </w:rPr>
        <w:t>以上企业，不属于大企业的分支机构，不存在控股股东为大企业的情形，也不存在与大企业的负责人为同一人的情形。</w:t>
      </w:r>
    </w:p>
    <w:p>
      <w:pPr>
        <w:spacing w:line="460" w:lineRule="exact"/>
        <w:ind w:firstLine="420" w:firstLineChars="200"/>
        <w:rPr>
          <w:rFonts w:asciiTheme="minorEastAsia" w:hAnsiTheme="minorEastAsia" w:eastAsiaTheme="minorEastAsia"/>
        </w:rPr>
      </w:pPr>
      <w:r>
        <w:rPr>
          <w:rFonts w:hint="eastAsia" w:asciiTheme="minorEastAsia" w:hAnsiTheme="minorEastAsia" w:eastAsiaTheme="minorEastAsia"/>
        </w:rPr>
        <w:t>本企业对上述声明内容的真实性负责。如有虚假，将依法承担相应责任。</w:t>
      </w:r>
    </w:p>
    <w:p>
      <w:pPr>
        <w:spacing w:line="460" w:lineRule="exact"/>
        <w:rPr>
          <w:rFonts w:asciiTheme="minorEastAsia" w:hAnsiTheme="minorEastAsia" w:eastAsiaTheme="minorEastAsia"/>
        </w:rPr>
      </w:pPr>
    </w:p>
    <w:p>
      <w:pPr>
        <w:spacing w:line="480" w:lineRule="auto"/>
        <w:ind w:firstLine="420" w:firstLineChars="200"/>
        <w:rPr>
          <w:rFonts w:asciiTheme="minorEastAsia" w:hAnsiTheme="minorEastAsia" w:eastAsiaTheme="minorEastAsia"/>
        </w:rPr>
      </w:pPr>
    </w:p>
    <w:p>
      <w:pPr>
        <w:spacing w:line="360" w:lineRule="auto"/>
        <w:ind w:firstLine="5040" w:firstLineChars="2400"/>
        <w:rPr>
          <w:rFonts w:ascii="宋体" w:hAnsi="宋体"/>
        </w:rPr>
      </w:pPr>
      <w:r>
        <w:rPr>
          <w:rFonts w:hint="eastAsia" w:ascii="宋体" w:hAnsi="宋体"/>
        </w:rPr>
        <w:t>企业名称（盖章）：</w:t>
      </w:r>
    </w:p>
    <w:p>
      <w:pPr>
        <w:spacing w:line="360" w:lineRule="auto"/>
        <w:ind w:firstLine="5040" w:firstLineChars="2400"/>
        <w:rPr>
          <w:rFonts w:ascii="宋体" w:hAnsi="宋体"/>
        </w:rPr>
      </w:pPr>
      <w:r>
        <w:rPr>
          <w:rFonts w:hint="eastAsia" w:ascii="宋体" w:hAnsi="宋体"/>
        </w:rPr>
        <w:t xml:space="preserve">日 </w:t>
      </w:r>
      <w:r>
        <w:rPr>
          <w:rFonts w:ascii="宋体" w:hAnsi="宋体"/>
        </w:rPr>
        <w:t xml:space="preserve">   </w:t>
      </w:r>
      <w:r>
        <w:rPr>
          <w:rFonts w:hint="eastAsia" w:ascii="宋体" w:hAnsi="宋体"/>
        </w:rPr>
        <w:t>期：</w:t>
      </w:r>
    </w:p>
    <w:p>
      <w:pPr>
        <w:pStyle w:val="17"/>
      </w:pPr>
    </w:p>
    <w:p/>
    <w:p>
      <w:pPr>
        <w:pStyle w:val="17"/>
      </w:pPr>
    </w:p>
    <w:p/>
    <w:p/>
    <w:p>
      <w:pPr>
        <w:pStyle w:val="17"/>
      </w:pPr>
    </w:p>
    <w:p/>
    <w:p>
      <w:pPr>
        <w:pStyle w:val="17"/>
      </w:pPr>
    </w:p>
    <w:p/>
    <w:p>
      <w:pPr>
        <w:pStyle w:val="17"/>
      </w:pPr>
    </w:p>
    <w:p/>
    <w:p>
      <w:pPr>
        <w:pStyle w:val="17"/>
      </w:pPr>
    </w:p>
    <w:p/>
    <w:p>
      <w:pPr>
        <w:pStyle w:val="17"/>
      </w:pPr>
    </w:p>
    <w:p/>
    <w:p>
      <w:pPr>
        <w:pStyle w:val="17"/>
      </w:pPr>
    </w:p>
    <w:p>
      <w:pPr>
        <w:spacing w:line="480" w:lineRule="auto"/>
        <w:jc w:val="both"/>
        <w:rPr>
          <w:rFonts w:ascii="宋体" w:hAnsi="宋体"/>
          <w:sz w:val="16"/>
          <w:szCs w:val="18"/>
        </w:rPr>
      </w:pPr>
      <w:r>
        <w:rPr>
          <w:rFonts w:hint="eastAsia" w:ascii="宋体" w:hAnsi="宋体"/>
          <w:szCs w:val="21"/>
        </w:rPr>
        <w:t>从业人员、营业收入、资产总额填报上一年数据，无上一年度数据的新成立企业可不填报</w:t>
      </w:r>
      <w:r>
        <w:rPr>
          <w:rFonts w:hint="eastAsia" w:ascii="宋体" w:hAnsi="宋体"/>
          <w:sz w:val="16"/>
          <w:szCs w:val="18"/>
        </w:rPr>
        <w:t>。</w:t>
      </w:r>
    </w:p>
    <w:p>
      <w:pPr>
        <w:rPr>
          <w:rFonts w:hint="eastAsia" w:asciiTheme="minorEastAsia" w:hAnsiTheme="minorEastAsia" w:eastAsiaTheme="minorEastAsia"/>
          <w:b/>
          <w:sz w:val="18"/>
          <w:szCs w:val="18"/>
        </w:rPr>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附件-9</w:t>
      </w:r>
    </w:p>
    <w:p>
      <w:pPr>
        <w:jc w:val="center"/>
        <w:rPr>
          <w:rFonts w:asciiTheme="minorEastAsia" w:hAnsiTheme="minorEastAsia" w:eastAsiaTheme="minorEastAsia"/>
          <w:b/>
          <w:sz w:val="24"/>
        </w:rPr>
      </w:pPr>
      <w:r>
        <w:rPr>
          <w:rFonts w:hint="eastAsia" w:asciiTheme="minorEastAsia" w:hAnsiTheme="minorEastAsia" w:eastAsiaTheme="minorEastAsia"/>
          <w:b/>
          <w:sz w:val="24"/>
        </w:rPr>
        <w:t>“节能产品”、“环境标志产品”证明材料</w:t>
      </w:r>
    </w:p>
    <w:p>
      <w:pPr>
        <w:spacing w:line="276" w:lineRule="auto"/>
        <w:rPr>
          <w:rFonts w:asciiTheme="minorEastAsia" w:hAnsiTheme="minorEastAsia" w:eastAsiaTheme="minorEastAsia"/>
          <w:szCs w:val="21"/>
          <w:u w:val="single"/>
        </w:rPr>
      </w:pP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276" w:lineRule="auto"/>
        <w:jc w:val="left"/>
        <w:rPr>
          <w:rFonts w:cs="仿宋" w:asciiTheme="minorEastAsia" w:hAnsiTheme="minorEastAsia" w:eastAsiaTheme="minorEastAsia"/>
          <w:szCs w:val="21"/>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tbl>
      <w:tblPr>
        <w:tblStyle w:val="40"/>
        <w:tblW w:w="8928" w:type="dxa"/>
        <w:jc w:val="center"/>
        <w:tblLayout w:type="fixed"/>
        <w:tblCellMar>
          <w:top w:w="0" w:type="dxa"/>
          <w:left w:w="28" w:type="dxa"/>
          <w:bottom w:w="0" w:type="dxa"/>
          <w:right w:w="28" w:type="dxa"/>
        </w:tblCellMar>
      </w:tblPr>
      <w:tblGrid>
        <w:gridCol w:w="887"/>
        <w:gridCol w:w="1861"/>
        <w:gridCol w:w="2249"/>
        <w:gridCol w:w="1310"/>
        <w:gridCol w:w="1306"/>
        <w:gridCol w:w="1315"/>
      </w:tblGrid>
      <w:tr>
        <w:tblPrEx>
          <w:tblCellMar>
            <w:top w:w="0" w:type="dxa"/>
            <w:left w:w="28" w:type="dxa"/>
            <w:bottom w:w="0" w:type="dxa"/>
            <w:right w:w="28" w:type="dxa"/>
          </w:tblCellMar>
        </w:tblPrEx>
        <w:trPr>
          <w:trHeight w:val="717" w:hRule="atLeast"/>
          <w:jc w:val="center"/>
        </w:trPr>
        <w:tc>
          <w:tcPr>
            <w:tcW w:w="886" w:type="dxa"/>
            <w:tcBorders>
              <w:top w:val="single" w:color="auto" w:sz="6" w:space="0"/>
              <w:left w:val="single" w:color="auto" w:sz="4" w:space="0"/>
              <w:bottom w:val="single" w:color="auto" w:sz="6" w:space="0"/>
            </w:tcBorders>
            <w:vAlign w:val="center"/>
          </w:tcPr>
          <w:p>
            <w:pPr>
              <w:jc w:val="center"/>
            </w:pPr>
            <w:r>
              <w:rPr>
                <w:rFonts w:hint="eastAsia"/>
              </w:rPr>
              <w:t>序号</w:t>
            </w:r>
          </w:p>
        </w:tc>
        <w:tc>
          <w:tcPr>
            <w:tcW w:w="1862"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单价</w:t>
            </w:r>
          </w:p>
          <w:p>
            <w:pPr>
              <w:jc w:val="center"/>
            </w:pPr>
            <w:r>
              <w:rPr>
                <w:rFonts w:hint="eastAsia"/>
              </w:rPr>
              <w:t>（元）</w:t>
            </w:r>
          </w:p>
        </w:tc>
        <w:tc>
          <w:tcPr>
            <w:tcW w:w="1312"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总价</w:t>
            </w:r>
          </w:p>
          <w:p>
            <w:pPr>
              <w:jc w:val="center"/>
            </w:pPr>
            <w:r>
              <w:rPr>
                <w:rFonts w:hint="eastAsia"/>
              </w:rPr>
              <w:t>（元）</w:t>
            </w:r>
          </w:p>
        </w:tc>
      </w:tr>
      <w:tr>
        <w:tblPrEx>
          <w:tblCellMar>
            <w:top w:w="0" w:type="dxa"/>
            <w:left w:w="28" w:type="dxa"/>
            <w:bottom w:w="0" w:type="dxa"/>
            <w:right w:w="28" w:type="dxa"/>
          </w:tblCellMar>
        </w:tblPrEx>
        <w:trPr>
          <w:trHeight w:val="500" w:hRule="atLeast"/>
          <w:jc w:val="center"/>
        </w:trPr>
        <w:tc>
          <w:tcPr>
            <w:tcW w:w="886" w:type="dxa"/>
            <w:tcBorders>
              <w:top w:val="single" w:color="auto" w:sz="6" w:space="0"/>
              <w:left w:val="single" w:color="auto" w:sz="4" w:space="0"/>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862" w:type="dxa"/>
            <w:tcBorders>
              <w:top w:val="single" w:color="auto" w:sz="6" w:space="0"/>
              <w:left w:val="single" w:color="auto" w:sz="6" w:space="0"/>
              <w:bottom w:val="single" w:color="auto" w:sz="4" w:space="0"/>
              <w:right w:val="single" w:color="auto" w:sz="6" w:space="0"/>
            </w:tcBorders>
            <w:vAlign w:val="center"/>
          </w:tcPr>
          <w:p>
            <w:pPr>
              <w:jc w:val="center"/>
              <w:rPr>
                <w:rFonts w:asciiTheme="minorEastAsia" w:hAnsiTheme="minorEastAsia" w:eastAsiaTheme="minorEastAsia"/>
              </w:rPr>
            </w:pPr>
          </w:p>
        </w:tc>
        <w:tc>
          <w:tcPr>
            <w:tcW w:w="2250" w:type="dxa"/>
            <w:tcBorders>
              <w:top w:val="single" w:color="auto" w:sz="6" w:space="0"/>
              <w:left w:val="single" w:color="auto" w:sz="6" w:space="0"/>
              <w:bottom w:val="single" w:color="auto" w:sz="4" w:space="0"/>
              <w:right w:val="single" w:color="auto" w:sz="6" w:space="0"/>
            </w:tcBorders>
            <w:vAlign w:val="center"/>
          </w:tcPr>
          <w:p>
            <w:pPr>
              <w:jc w:val="center"/>
              <w:rPr>
                <w:rFonts w:asciiTheme="minorEastAsia" w:hAnsiTheme="minorEastAsia" w:eastAsiaTheme="minorEastAsia"/>
              </w:rPr>
            </w:pPr>
          </w:p>
        </w:tc>
        <w:tc>
          <w:tcPr>
            <w:tcW w:w="1311" w:type="dxa"/>
            <w:tcBorders>
              <w:top w:val="single" w:color="auto" w:sz="6" w:space="0"/>
              <w:left w:val="single" w:color="auto" w:sz="6" w:space="0"/>
              <w:bottom w:val="single" w:color="auto" w:sz="4" w:space="0"/>
              <w:right w:val="single" w:color="auto" w:sz="6" w:space="0"/>
            </w:tcBorders>
            <w:vAlign w:val="center"/>
          </w:tcPr>
          <w:p>
            <w:pPr>
              <w:jc w:val="center"/>
              <w:rPr>
                <w:rFonts w:asciiTheme="minorEastAsia" w:hAnsiTheme="minorEastAsia" w:eastAsiaTheme="minorEastAsia"/>
              </w:rPr>
            </w:pPr>
          </w:p>
        </w:tc>
        <w:tc>
          <w:tcPr>
            <w:tcW w:w="1307" w:type="dxa"/>
            <w:tcBorders>
              <w:top w:val="single" w:color="auto" w:sz="6" w:space="0"/>
              <w:left w:val="single" w:color="auto" w:sz="6" w:space="0"/>
              <w:bottom w:val="single" w:color="auto" w:sz="4" w:space="0"/>
              <w:right w:val="single" w:color="auto" w:sz="6" w:space="0"/>
            </w:tcBorders>
            <w:vAlign w:val="center"/>
          </w:tcPr>
          <w:p>
            <w:pPr>
              <w:jc w:val="center"/>
              <w:rPr>
                <w:rFonts w:asciiTheme="minorEastAsia" w:hAnsiTheme="minorEastAsia" w:eastAsiaTheme="minorEastAsia"/>
              </w:rPr>
            </w:pPr>
          </w:p>
        </w:tc>
        <w:tc>
          <w:tcPr>
            <w:tcW w:w="1312" w:type="dxa"/>
            <w:tcBorders>
              <w:top w:val="single" w:color="auto" w:sz="6" w:space="0"/>
              <w:left w:val="single" w:color="auto" w:sz="6" w:space="0"/>
              <w:bottom w:val="single" w:color="auto" w:sz="4" w:space="0"/>
              <w:right w:val="single" w:color="auto" w:sz="6" w:space="0"/>
            </w:tcBorders>
            <w:vAlign w:val="center"/>
          </w:tcPr>
          <w:p>
            <w:pPr>
              <w:jc w:val="center"/>
              <w:rPr>
                <w:rFonts w:asciiTheme="minorEastAsia" w:hAnsiTheme="minorEastAsia" w:eastAsiaTheme="minorEastAsia"/>
              </w:rPr>
            </w:pPr>
          </w:p>
        </w:tc>
      </w:tr>
      <w:tr>
        <w:tblPrEx>
          <w:tblCellMar>
            <w:top w:w="0" w:type="dxa"/>
            <w:left w:w="28" w:type="dxa"/>
            <w:bottom w:w="0" w:type="dxa"/>
            <w:right w:w="28" w:type="dxa"/>
          </w:tblCellMar>
        </w:tblPrEx>
        <w:trPr>
          <w:trHeight w:val="555" w:hRule="atLeast"/>
          <w:jc w:val="center"/>
        </w:trPr>
        <w:tc>
          <w:tcPr>
            <w:tcW w:w="886" w:type="dxa"/>
            <w:tcBorders>
              <w:top w:val="single" w:color="auto" w:sz="4" w:space="0"/>
              <w:left w:val="single" w:color="auto" w:sz="4"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1862"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2250"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11"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07"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12"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r>
      <w:tr>
        <w:tblPrEx>
          <w:tblCellMar>
            <w:top w:w="0" w:type="dxa"/>
            <w:left w:w="28" w:type="dxa"/>
            <w:bottom w:w="0" w:type="dxa"/>
            <w:right w:w="28" w:type="dxa"/>
          </w:tblCellMar>
        </w:tblPrEx>
        <w:trPr>
          <w:trHeight w:val="558" w:hRule="atLeast"/>
          <w:jc w:val="center"/>
        </w:trPr>
        <w:tc>
          <w:tcPr>
            <w:tcW w:w="886" w:type="dxa"/>
            <w:tcBorders>
              <w:top w:val="single" w:color="auto" w:sz="4" w:space="0"/>
              <w:left w:val="single" w:color="auto" w:sz="4"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1862"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2250"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11"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07"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12"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r>
      <w:tr>
        <w:tblPrEx>
          <w:tblCellMar>
            <w:top w:w="0" w:type="dxa"/>
            <w:left w:w="28" w:type="dxa"/>
            <w:bottom w:w="0" w:type="dxa"/>
            <w:right w:w="28" w:type="dxa"/>
          </w:tblCellMar>
        </w:tblPrEx>
        <w:trPr>
          <w:trHeight w:val="552" w:hRule="atLeast"/>
          <w:jc w:val="center"/>
        </w:trPr>
        <w:tc>
          <w:tcPr>
            <w:tcW w:w="886" w:type="dxa"/>
            <w:tcBorders>
              <w:top w:val="single" w:color="auto" w:sz="4" w:space="0"/>
              <w:left w:val="single" w:color="auto" w:sz="4"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w:t>
            </w:r>
          </w:p>
        </w:tc>
        <w:tc>
          <w:tcPr>
            <w:tcW w:w="1862"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2250"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11"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07"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12"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r>
      <w:tr>
        <w:tblPrEx>
          <w:tblCellMar>
            <w:top w:w="0" w:type="dxa"/>
            <w:left w:w="28" w:type="dxa"/>
            <w:bottom w:w="0" w:type="dxa"/>
            <w:right w:w="28" w:type="dxa"/>
          </w:tblCellMar>
        </w:tblPrEx>
        <w:trPr>
          <w:trHeight w:val="560" w:hRule="atLeast"/>
          <w:jc w:val="center"/>
        </w:trPr>
        <w:tc>
          <w:tcPr>
            <w:tcW w:w="886" w:type="dxa"/>
            <w:tcBorders>
              <w:top w:val="single" w:color="auto" w:sz="4" w:space="0"/>
              <w:left w:val="single" w:color="auto" w:sz="4"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w:t>
            </w:r>
          </w:p>
        </w:tc>
        <w:tc>
          <w:tcPr>
            <w:tcW w:w="1862"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2250"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11"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07"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c>
          <w:tcPr>
            <w:tcW w:w="1312" w:type="dxa"/>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p>
        </w:tc>
      </w:tr>
      <w:tr>
        <w:tblPrEx>
          <w:tblCellMar>
            <w:top w:w="0" w:type="dxa"/>
            <w:left w:w="28" w:type="dxa"/>
            <w:bottom w:w="0" w:type="dxa"/>
            <w:right w:w="28" w:type="dxa"/>
          </w:tblCellMar>
        </w:tblPrEx>
        <w:trPr>
          <w:trHeight w:val="540" w:hRule="atLeast"/>
          <w:jc w:val="center"/>
        </w:trPr>
        <w:tc>
          <w:tcPr>
            <w:tcW w:w="886" w:type="dxa"/>
            <w:tcBorders>
              <w:top w:val="single" w:color="auto" w:sz="4" w:space="0"/>
              <w:left w:val="single" w:color="auto" w:sz="6"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合计</w:t>
            </w:r>
          </w:p>
        </w:tc>
        <w:tc>
          <w:tcPr>
            <w:tcW w:w="4108" w:type="dxa"/>
            <w:gridSpan w:val="2"/>
            <w:tcBorders>
              <w:top w:val="single" w:color="auto" w:sz="4" w:space="0"/>
              <w:left w:val="single" w:color="auto" w:sz="6" w:space="0"/>
              <w:bottom w:val="single" w:color="auto" w:sz="6" w:space="0"/>
              <w:right w:val="single" w:color="auto" w:sz="4" w:space="0"/>
            </w:tcBorders>
            <w:vAlign w:val="center"/>
          </w:tcPr>
          <w:p>
            <w:pPr>
              <w:jc w:val="left"/>
              <w:rPr>
                <w:rFonts w:asciiTheme="minorEastAsia" w:hAnsiTheme="minorEastAsia" w:eastAsiaTheme="minorEastAsia"/>
              </w:rPr>
            </w:pPr>
            <w:r>
              <w:rPr>
                <w:rFonts w:hint="eastAsia" w:asciiTheme="minorEastAsia" w:hAnsiTheme="minorEastAsia" w:eastAsiaTheme="minorEastAsia"/>
              </w:rPr>
              <w:t>大写：</w:t>
            </w:r>
          </w:p>
        </w:tc>
        <w:tc>
          <w:tcPr>
            <w:tcW w:w="3934" w:type="dxa"/>
            <w:gridSpan w:val="3"/>
            <w:tcBorders>
              <w:top w:val="single" w:color="auto" w:sz="4" w:space="0"/>
              <w:left w:val="single" w:color="auto" w:sz="4" w:space="0"/>
              <w:bottom w:val="single" w:color="auto" w:sz="6" w:space="0"/>
              <w:right w:val="single" w:color="auto" w:sz="6" w:space="0"/>
            </w:tcBorders>
            <w:vAlign w:val="center"/>
          </w:tcPr>
          <w:p>
            <w:pPr>
              <w:jc w:val="left"/>
              <w:rPr>
                <w:rFonts w:asciiTheme="minorEastAsia" w:hAnsiTheme="minorEastAsia" w:eastAsiaTheme="minorEastAsia"/>
              </w:rPr>
            </w:pPr>
            <w:r>
              <w:rPr>
                <w:rFonts w:hint="eastAsia" w:asciiTheme="minorEastAsia" w:hAnsiTheme="minorEastAsia" w:eastAsiaTheme="minorEastAsia"/>
              </w:rPr>
              <w:t>小写：</w:t>
            </w:r>
          </w:p>
        </w:tc>
      </w:tr>
      <w:tr>
        <w:tblPrEx>
          <w:tblCellMar>
            <w:top w:w="0" w:type="dxa"/>
            <w:left w:w="28" w:type="dxa"/>
            <w:bottom w:w="0" w:type="dxa"/>
            <w:right w:w="28" w:type="dxa"/>
          </w:tblCellMar>
        </w:tblPrEx>
        <w:trPr>
          <w:trHeight w:val="548" w:hRule="atLeast"/>
          <w:jc w:val="center"/>
        </w:trPr>
        <w:tc>
          <w:tcPr>
            <w:tcW w:w="886" w:type="dxa"/>
            <w:tcBorders>
              <w:top w:val="single" w:color="auto" w:sz="4" w:space="0"/>
              <w:left w:val="single" w:color="auto" w:sz="6"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备注</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保留小数点后两位。</w:t>
            </w:r>
          </w:p>
        </w:tc>
      </w:tr>
    </w:tbl>
    <w:p>
      <w:pPr>
        <w:spacing w:line="360" w:lineRule="auto"/>
        <w:rPr>
          <w:rFonts w:asciiTheme="minorEastAsia" w:hAnsiTheme="minorEastAsia" w:eastAsiaTheme="minorEastAsia"/>
        </w:rPr>
      </w:pPr>
      <w:r>
        <w:rPr>
          <w:rFonts w:hint="eastAsia" w:asciiTheme="minorEastAsia" w:hAnsiTheme="minorEastAsia" w:eastAsiaTheme="minorEastAsia"/>
        </w:rPr>
        <w:t>说明：1、投标供应商提供的产品属于《节能产品政府采购清单》中节能产品，《环境标志产品政府采购清单》中环境标志产品，应按招标文件要求提供相关证明材料。</w:t>
      </w:r>
    </w:p>
    <w:p>
      <w:pPr>
        <w:spacing w:line="360" w:lineRule="auto"/>
        <w:ind w:firstLine="630" w:firstLineChars="300"/>
        <w:rPr>
          <w:rFonts w:asciiTheme="minorEastAsia" w:hAnsiTheme="minorEastAsia" w:eastAsiaTheme="minorEastAsia"/>
        </w:rPr>
      </w:pPr>
      <w:r>
        <w:rPr>
          <w:rFonts w:hint="eastAsia" w:asciiTheme="minorEastAsia" w:hAnsiTheme="minorEastAsia" w:eastAsiaTheme="minorEastAsia"/>
        </w:rPr>
        <w:t>2、未按上述要求提供、填写的，评标时不予以考虑。</w:t>
      </w:r>
    </w:p>
    <w:p>
      <w:pPr>
        <w:spacing w:line="276" w:lineRule="auto"/>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spacing w:line="460" w:lineRule="exact"/>
        <w:ind w:firstLine="3150" w:firstLineChars="1500"/>
        <w:rPr>
          <w:rFonts w:asciiTheme="minorEastAsia" w:hAnsiTheme="minorEastAsia" w:eastAsiaTheme="minorEastAsia"/>
        </w:rPr>
      </w:pPr>
      <w:r>
        <w:rPr>
          <w:rFonts w:hint="eastAsia" w:asciiTheme="minorEastAsia" w:hAnsiTheme="minorEastAsia" w:eastAsiaTheme="minorEastAsia"/>
        </w:rPr>
        <w:t>投标供应商：</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w:t>
      </w:r>
      <w:r>
        <w:rPr>
          <w:rFonts w:hint="eastAsia" w:ascii="宋体" w:hAnsi="宋体"/>
          <w:szCs w:val="21"/>
        </w:rPr>
        <w:t>盖章</w:t>
      </w:r>
      <w:r>
        <w:rPr>
          <w:rFonts w:hint="eastAsia" w:asciiTheme="minorEastAsia" w:hAnsiTheme="minorEastAsia" w:eastAsiaTheme="minorEastAsia"/>
        </w:rPr>
        <w:t>）</w:t>
      </w:r>
    </w:p>
    <w:p>
      <w:pPr>
        <w:spacing w:line="460" w:lineRule="exact"/>
        <w:ind w:firstLine="3150" w:firstLineChars="1500"/>
        <w:rPr>
          <w:rFonts w:asciiTheme="minorEastAsia" w:hAnsiTheme="minorEastAsia" w:eastAsiaTheme="minorEastAsia"/>
        </w:rPr>
      </w:pPr>
      <w:r>
        <w:rPr>
          <w:rFonts w:hint="eastAsia" w:asciiTheme="minorEastAsia" w:hAnsiTheme="minorEastAsia" w:eastAsiaTheme="minorEastAsia"/>
        </w:rPr>
        <w:t xml:space="preserve">日     </w:t>
      </w:r>
      <w:r>
        <w:rPr>
          <w:rFonts w:asciiTheme="minorEastAsia" w:hAnsiTheme="minorEastAsia" w:eastAsiaTheme="minorEastAsia"/>
        </w:rPr>
        <w:t xml:space="preserve"> </w:t>
      </w:r>
      <w:r>
        <w:rPr>
          <w:rFonts w:hint="eastAsia" w:asciiTheme="minorEastAsia" w:hAnsiTheme="minorEastAsia" w:eastAsiaTheme="minorEastAsia"/>
        </w:rPr>
        <w:t>期：</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 xml:space="preserve"> 月</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p>
    <w:p>
      <w:pPr>
        <w:pStyle w:val="17"/>
      </w:pPr>
    </w:p>
    <w:p/>
    <w:p>
      <w:pPr>
        <w:pStyle w:val="17"/>
      </w:pPr>
    </w:p>
    <w:p/>
    <w:p>
      <w:pPr>
        <w:pStyle w:val="17"/>
      </w:pPr>
    </w:p>
    <w:p/>
    <w:p>
      <w:pPr>
        <w:pStyle w:val="17"/>
      </w:pPr>
    </w:p>
    <w:p>
      <w:pPr>
        <w:pStyle w:val="17"/>
      </w:pPr>
    </w:p>
    <w:p/>
    <w:p>
      <w:pPr>
        <w:pStyle w:val="17"/>
      </w:pPr>
    </w:p>
    <w:p/>
    <w:p>
      <w:pPr>
        <w:pStyle w:val="17"/>
      </w:pPr>
    </w:p>
    <w:p/>
    <w:p>
      <w:pPr>
        <w:pStyle w:val="17"/>
      </w:pPr>
    </w:p>
    <w:p/>
    <w:p>
      <w:pPr>
        <w:pStyle w:val="17"/>
      </w:pPr>
    </w:p>
    <w:p>
      <w:pPr>
        <w:rPr>
          <w:rFonts w:asciiTheme="minorEastAsia" w:hAnsiTheme="minorEastAsia" w:eastAsiaTheme="minorEastAsia"/>
          <w:b/>
          <w:sz w:val="18"/>
          <w:szCs w:val="18"/>
        </w:rPr>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附件-10</w:t>
      </w:r>
    </w:p>
    <w:p>
      <w:pPr>
        <w:spacing w:line="588" w:lineRule="exact"/>
        <w:jc w:val="center"/>
        <w:rPr>
          <w:rFonts w:ascii="宋体" w:hAnsi="宋体" w:cs="新宋体"/>
          <w:b/>
          <w:spacing w:val="6"/>
          <w:sz w:val="24"/>
        </w:rPr>
      </w:pPr>
      <w:r>
        <w:rPr>
          <w:rFonts w:hint="eastAsia" w:ascii="宋体" w:hAnsi="宋体" w:cs="新宋体"/>
          <w:b/>
          <w:spacing w:val="6"/>
          <w:sz w:val="24"/>
        </w:rPr>
        <w:t>残疾人福利性单位声明函</w:t>
      </w:r>
    </w:p>
    <w:p>
      <w:pPr>
        <w:spacing w:line="460" w:lineRule="exact"/>
        <w:ind w:firstLine="444" w:firstLineChars="200"/>
        <w:rPr>
          <w:rFonts w:ascii="宋体" w:hAnsi="宋体" w:cs="新宋体"/>
          <w:spacing w:val="6"/>
          <w:szCs w:val="21"/>
        </w:rPr>
      </w:pPr>
      <w:r>
        <w:rPr>
          <w:rFonts w:hint="eastAsia" w:ascii="宋体" w:hAnsi="宋体" w:cs="新宋体"/>
          <w:spacing w:val="6"/>
          <w:szCs w:val="21"/>
        </w:rPr>
        <w:t>本单位郑重声明，根据《财政部 民政部 中国残疾人联合会关于促进残疾人就业政府采购政策的通知》（财库</w:t>
      </w:r>
      <w:r>
        <w:rPr>
          <w:rFonts w:hint="eastAsia" w:ascii="宋体" w:hAnsi="宋体" w:cs="新宋体"/>
          <w:szCs w:val="21"/>
        </w:rPr>
        <w:t>〔2017〕141</w:t>
      </w:r>
      <w:r>
        <w:rPr>
          <w:rFonts w:hint="eastAsia" w:ascii="宋体" w:hAnsi="宋体" w:cs="新宋体"/>
          <w:spacing w:val="6"/>
          <w:szCs w:val="21"/>
        </w:rPr>
        <w:t>号）的规定，本单位为符合条件的残疾人福利性单位，且本单位参加</w:t>
      </w:r>
      <w:r>
        <w:rPr>
          <w:rFonts w:hint="eastAsia" w:ascii="宋体" w:hAnsi="宋体" w:cs="新宋体"/>
          <w:spacing w:val="6"/>
          <w:szCs w:val="21"/>
          <w:u w:val="single"/>
        </w:rPr>
        <w:t xml:space="preserve">      </w:t>
      </w:r>
      <w:r>
        <w:rPr>
          <w:rFonts w:hint="eastAsia" w:ascii="宋体" w:hAnsi="宋体" w:cs="新宋体"/>
          <w:spacing w:val="6"/>
          <w:szCs w:val="21"/>
        </w:rPr>
        <w:t>单位的</w:t>
      </w:r>
      <w:r>
        <w:rPr>
          <w:rFonts w:hint="eastAsia" w:ascii="宋体" w:hAnsi="宋体" w:cs="新宋体"/>
          <w:spacing w:val="6"/>
          <w:szCs w:val="21"/>
          <w:u w:val="single"/>
        </w:rPr>
        <w:t xml:space="preserve">      </w:t>
      </w:r>
      <w:r>
        <w:rPr>
          <w:rFonts w:hint="eastAsia" w:ascii="宋体" w:hAnsi="宋体" w:cs="新宋体"/>
          <w:spacing w:val="6"/>
          <w:szCs w:val="21"/>
        </w:rPr>
        <w:t>项目采购活动提供本单位制造的货物（由本单位承担工程/提供服务），或者提供其他残疾人福利性单位制造的货物（不包括使用非残疾人福利性单位注册商标的货物）。</w:t>
      </w:r>
    </w:p>
    <w:p>
      <w:pPr>
        <w:spacing w:line="460" w:lineRule="exact"/>
        <w:ind w:firstLine="444" w:firstLineChars="200"/>
        <w:rPr>
          <w:rFonts w:ascii="宋体" w:hAnsi="宋体" w:cs="新宋体"/>
          <w:spacing w:val="6"/>
          <w:szCs w:val="21"/>
        </w:rPr>
      </w:pPr>
      <w:r>
        <w:rPr>
          <w:rFonts w:hint="eastAsia" w:ascii="宋体" w:hAnsi="宋体" w:cs="新宋体"/>
          <w:spacing w:val="6"/>
          <w:szCs w:val="21"/>
        </w:rPr>
        <w:t>本单位对上述声明的真实性负责。如有虚假，将依法承担相应责任。</w:t>
      </w:r>
    </w:p>
    <w:p>
      <w:pPr>
        <w:spacing w:line="480" w:lineRule="auto"/>
        <w:rPr>
          <w:rFonts w:ascii="宋体" w:hAnsi="宋体" w:cs="新宋体"/>
          <w:spacing w:val="6"/>
          <w:szCs w:val="21"/>
        </w:rPr>
      </w:pPr>
    </w:p>
    <w:p>
      <w:pPr>
        <w:spacing w:line="480" w:lineRule="auto"/>
        <w:rPr>
          <w:rFonts w:ascii="宋体" w:hAnsi="宋体" w:cs="新宋体"/>
          <w:spacing w:val="6"/>
          <w:szCs w:val="21"/>
        </w:rPr>
      </w:pPr>
    </w:p>
    <w:p>
      <w:pPr>
        <w:spacing w:line="480" w:lineRule="auto"/>
        <w:rPr>
          <w:rFonts w:ascii="宋体" w:hAnsi="宋体" w:cs="新宋体"/>
          <w:spacing w:val="6"/>
          <w:szCs w:val="21"/>
        </w:rPr>
      </w:pPr>
    </w:p>
    <w:p>
      <w:pPr>
        <w:tabs>
          <w:tab w:val="left" w:pos="4860"/>
        </w:tabs>
        <w:spacing w:line="588" w:lineRule="exact"/>
        <w:ind w:right="1560" w:firstLine="444" w:firstLineChars="200"/>
        <w:jc w:val="center"/>
        <w:rPr>
          <w:rFonts w:ascii="宋体" w:hAnsi="宋体" w:cs="新宋体"/>
          <w:spacing w:val="6"/>
          <w:szCs w:val="21"/>
          <w:u w:val="single"/>
        </w:rPr>
      </w:pPr>
      <w:r>
        <w:rPr>
          <w:rFonts w:hint="eastAsia" w:ascii="宋体" w:hAnsi="宋体" w:cs="新宋体"/>
          <w:spacing w:val="6"/>
          <w:szCs w:val="21"/>
        </w:rPr>
        <w:t xml:space="preserve">          </w:t>
      </w:r>
      <w:r>
        <w:rPr>
          <w:rFonts w:ascii="宋体" w:hAnsi="宋体" w:cs="新宋体"/>
          <w:spacing w:val="6"/>
          <w:szCs w:val="21"/>
        </w:rPr>
        <w:t xml:space="preserve">     </w:t>
      </w:r>
      <w:r>
        <w:rPr>
          <w:rFonts w:hint="eastAsia" w:ascii="宋体" w:hAnsi="宋体" w:cs="新宋体"/>
          <w:spacing w:val="6"/>
          <w:szCs w:val="21"/>
        </w:rPr>
        <w:t xml:space="preserve">      单位名称（盖章）：</w:t>
      </w:r>
      <w:r>
        <w:rPr>
          <w:rFonts w:hint="eastAsia" w:ascii="宋体" w:hAnsi="宋体" w:cs="新宋体"/>
          <w:spacing w:val="6"/>
          <w:szCs w:val="21"/>
          <w:u w:val="single"/>
        </w:rPr>
        <w:t xml:space="preserve">          </w:t>
      </w:r>
      <w:r>
        <w:rPr>
          <w:rFonts w:ascii="宋体" w:hAnsi="宋体" w:cs="新宋体"/>
          <w:spacing w:val="6"/>
          <w:szCs w:val="21"/>
          <w:u w:val="single"/>
        </w:rPr>
        <w:t xml:space="preserve">     </w:t>
      </w:r>
    </w:p>
    <w:p>
      <w:pPr>
        <w:spacing w:line="440" w:lineRule="exact"/>
        <w:rPr>
          <w:rFonts w:ascii="宋体" w:hAnsi="宋体" w:cs="新宋体"/>
          <w:spacing w:val="6"/>
          <w:szCs w:val="21"/>
          <w:u w:val="single"/>
        </w:rPr>
      </w:pPr>
      <w:r>
        <w:rPr>
          <w:rFonts w:hint="eastAsia" w:ascii="宋体" w:hAnsi="宋体" w:cs="新宋体"/>
          <w:spacing w:val="6"/>
          <w:szCs w:val="21"/>
        </w:rPr>
        <w:t xml:space="preserve">                          </w:t>
      </w:r>
      <w:r>
        <w:rPr>
          <w:rFonts w:ascii="宋体" w:hAnsi="宋体" w:cs="新宋体"/>
          <w:spacing w:val="6"/>
          <w:szCs w:val="21"/>
        </w:rPr>
        <w:t xml:space="preserve">  </w:t>
      </w:r>
      <w:r>
        <w:rPr>
          <w:rFonts w:hint="eastAsia" w:ascii="宋体" w:hAnsi="宋体" w:cs="新宋体"/>
          <w:spacing w:val="6"/>
          <w:szCs w:val="21"/>
        </w:rPr>
        <w:t xml:space="preserve">    </w:t>
      </w:r>
      <w:r>
        <w:rPr>
          <w:rFonts w:ascii="宋体" w:hAnsi="宋体" w:cs="新宋体"/>
          <w:spacing w:val="6"/>
          <w:szCs w:val="21"/>
        </w:rPr>
        <w:t xml:space="preserve"> </w:t>
      </w:r>
      <w:r>
        <w:rPr>
          <w:rFonts w:hint="eastAsia" w:ascii="宋体" w:hAnsi="宋体" w:cs="新宋体"/>
          <w:spacing w:val="6"/>
          <w:szCs w:val="21"/>
        </w:rPr>
        <w:t>日          期：</w:t>
      </w:r>
      <w:r>
        <w:rPr>
          <w:rFonts w:hint="eastAsia" w:ascii="宋体" w:hAnsi="宋体" w:cs="新宋体"/>
          <w:spacing w:val="6"/>
          <w:szCs w:val="21"/>
          <w:u w:val="single"/>
        </w:rPr>
        <w:t xml:space="preserve">              </w:t>
      </w:r>
    </w:p>
    <w:p>
      <w:pPr>
        <w:spacing w:line="360" w:lineRule="auto"/>
        <w:ind w:firstLine="3990" w:firstLineChars="1900"/>
        <w:rPr>
          <w:rFonts w:ascii="宋体" w:hAnsi="宋体"/>
        </w:rPr>
      </w:pPr>
    </w:p>
    <w:p>
      <w:pPr>
        <w:rPr>
          <w:rFonts w:ascii="宋体" w:hAnsi="宋体"/>
        </w:rPr>
      </w:pPr>
    </w:p>
    <w:p>
      <w:pPr>
        <w:pStyle w:val="17"/>
        <w:rPr>
          <w:rFonts w:ascii="宋体" w:hAnsi="宋体"/>
        </w:rPr>
      </w:pPr>
    </w:p>
    <w:p>
      <w:pPr>
        <w:jc w:val="center"/>
        <w:outlineLvl w:val="9"/>
        <w:rPr>
          <w:rFonts w:ascii="宋体" w:hAnsi="宋体" w:cs="仿宋_GB2312"/>
          <w:b/>
          <w:color w:val="FF0000"/>
          <w:szCs w:val="21"/>
        </w:rPr>
      </w:pPr>
    </w:p>
    <w:p>
      <w:pPr>
        <w:jc w:val="center"/>
        <w:outlineLvl w:val="9"/>
        <w:rPr>
          <w:rFonts w:ascii="宋体" w:hAnsi="宋体" w:cs="仿宋_GB2312"/>
          <w:b/>
          <w:color w:val="FF0000"/>
          <w:szCs w:val="21"/>
        </w:rPr>
      </w:pPr>
    </w:p>
    <w:p>
      <w:pPr>
        <w:jc w:val="center"/>
        <w:outlineLvl w:val="9"/>
        <w:rPr>
          <w:rFonts w:ascii="宋体" w:hAnsi="宋体" w:cs="仿宋_GB2312"/>
          <w:b/>
          <w:color w:val="FF0000"/>
          <w:szCs w:val="21"/>
        </w:rPr>
      </w:pPr>
    </w:p>
    <w:p>
      <w:pPr>
        <w:jc w:val="center"/>
        <w:outlineLvl w:val="9"/>
        <w:rPr>
          <w:rFonts w:ascii="宋体" w:hAnsi="宋体" w:cs="仿宋_GB2312"/>
          <w:b/>
          <w:color w:val="FF0000"/>
          <w:szCs w:val="21"/>
        </w:rPr>
      </w:pPr>
    </w:p>
    <w:p>
      <w:pPr>
        <w:jc w:val="center"/>
        <w:outlineLvl w:val="9"/>
        <w:rPr>
          <w:rFonts w:ascii="宋体" w:hAnsi="宋体" w:cs="仿宋_GB2312"/>
          <w:b/>
          <w:color w:val="FF0000"/>
          <w:szCs w:val="21"/>
        </w:rPr>
      </w:pPr>
    </w:p>
    <w:p>
      <w:pPr>
        <w:jc w:val="center"/>
        <w:outlineLvl w:val="9"/>
        <w:rPr>
          <w:rFonts w:ascii="宋体" w:hAnsi="宋体" w:cs="仿宋_GB2312"/>
          <w:b/>
          <w:color w:val="FF0000"/>
          <w:szCs w:val="21"/>
        </w:rPr>
      </w:pPr>
    </w:p>
    <w:p>
      <w:pPr>
        <w:jc w:val="center"/>
        <w:outlineLvl w:val="9"/>
        <w:rPr>
          <w:rFonts w:ascii="宋体" w:hAnsi="宋体" w:cs="仿宋_GB2312"/>
          <w:b/>
          <w:color w:val="FF0000"/>
          <w:szCs w:val="21"/>
        </w:rPr>
      </w:pPr>
    </w:p>
    <w:p>
      <w:pPr>
        <w:pStyle w:val="17"/>
      </w:pPr>
    </w:p>
    <w:p/>
    <w:p>
      <w:pPr>
        <w:pStyle w:val="17"/>
      </w:pPr>
    </w:p>
    <w:p/>
    <w:p>
      <w:pPr>
        <w:pStyle w:val="17"/>
      </w:pPr>
    </w:p>
    <w:p/>
    <w:p>
      <w:pPr>
        <w:pStyle w:val="17"/>
      </w:pPr>
    </w:p>
    <w:p/>
    <w:p>
      <w:pPr>
        <w:pStyle w:val="17"/>
      </w:pPr>
    </w:p>
    <w:p/>
    <w:p>
      <w:pPr>
        <w:pStyle w:val="17"/>
      </w:pPr>
    </w:p>
    <w:p/>
    <w:p>
      <w:pPr>
        <w:pStyle w:val="17"/>
      </w:pPr>
    </w:p>
    <w:p/>
    <w:p>
      <w:pPr>
        <w:pStyle w:val="17"/>
      </w:pPr>
    </w:p>
    <w:p>
      <w:pPr>
        <w:jc w:val="center"/>
        <w:outlineLvl w:val="9"/>
        <w:rPr>
          <w:rFonts w:ascii="宋体" w:hAnsi="宋体" w:cs="仿宋_GB2312"/>
          <w:b/>
          <w:color w:val="FF0000"/>
          <w:szCs w:val="21"/>
        </w:rPr>
      </w:pPr>
    </w:p>
    <w:p>
      <w:pPr>
        <w:pStyle w:val="17"/>
      </w:pPr>
    </w:p>
    <w:p>
      <w:pPr>
        <w:jc w:val="center"/>
        <w:outlineLvl w:val="9"/>
        <w:rPr>
          <w:rFonts w:ascii="宋体" w:hAnsi="宋体" w:cs="仿宋_GB2312"/>
          <w:b/>
          <w:color w:val="FF0000"/>
          <w:szCs w:val="21"/>
        </w:rPr>
      </w:pPr>
    </w:p>
    <w:p>
      <w:pPr>
        <w:pStyle w:val="17"/>
      </w:pPr>
    </w:p>
    <w:p>
      <w:pPr>
        <w:rPr>
          <w:rFonts w:asciiTheme="minorEastAsia" w:hAnsiTheme="minorEastAsia" w:eastAsiaTheme="minorEastAsia"/>
          <w:b/>
          <w:sz w:val="18"/>
          <w:szCs w:val="18"/>
        </w:rPr>
      </w:pPr>
      <w:r>
        <w:rPr>
          <w:rFonts w:hint="eastAsia" w:asciiTheme="minorEastAsia" w:hAnsiTheme="minorEastAsia" w:eastAsiaTheme="minorEastAsia"/>
          <w:b/>
          <w:sz w:val="18"/>
          <w:szCs w:val="18"/>
        </w:rPr>
        <w:t>附件-11</w:t>
      </w:r>
    </w:p>
    <w:p>
      <w:pPr>
        <w:spacing w:line="360" w:lineRule="auto"/>
        <w:jc w:val="center"/>
        <w:outlineLvl w:val="2"/>
        <w:rPr>
          <w:rFonts w:ascii="宋体" w:hAnsi="宋体" w:cs="仿宋_GB2312"/>
          <w:b/>
          <w:sz w:val="24"/>
        </w:rPr>
      </w:pPr>
      <w:r>
        <w:rPr>
          <w:rFonts w:hint="eastAsia" w:ascii="宋体" w:hAnsi="宋体" w:cs="仿宋_GB2312"/>
          <w:b/>
          <w:sz w:val="24"/>
        </w:rPr>
        <w:t>监狱企业证明函</w:t>
      </w:r>
    </w:p>
    <w:p>
      <w:pPr>
        <w:snapToGrid w:val="0"/>
        <w:spacing w:before="120" w:beforeLines="50" w:line="360" w:lineRule="auto"/>
        <w:ind w:firstLine="420" w:firstLineChars="200"/>
        <w:rPr>
          <w:rFonts w:ascii="宋体" w:hAnsi="宋体" w:cs="仿宋_GB2312"/>
          <w:szCs w:val="21"/>
        </w:rPr>
      </w:pPr>
      <w:r>
        <w:rPr>
          <w:rFonts w:hint="eastAsia" w:ascii="宋体" w:hAnsi="宋体" w:cs="仿宋_GB2312"/>
          <w:szCs w:val="21"/>
        </w:rPr>
        <w:t>省级以上监狱管理局、戒毒管理局（含新疆生产建设兵团）出具的属于监狱企业的证明文件（格式不限）。</w:t>
      </w:r>
    </w:p>
    <w:p>
      <w:pPr>
        <w:spacing w:line="360" w:lineRule="auto"/>
        <w:rPr>
          <w:rFonts w:ascii="宋体" w:hAnsi="宋体" w:cs="仿宋_GB2312"/>
          <w:color w:val="FF0000"/>
          <w:sz w:val="32"/>
          <w:szCs w:val="32"/>
        </w:rPr>
      </w:pPr>
    </w:p>
    <w:p>
      <w:pPr>
        <w:spacing w:line="360" w:lineRule="auto"/>
        <w:rPr>
          <w:rFonts w:ascii="宋体" w:hAnsi="宋体" w:cs="仿宋_GB2312"/>
          <w:color w:val="FF0000"/>
          <w:sz w:val="32"/>
          <w:szCs w:val="32"/>
        </w:rPr>
      </w:pPr>
    </w:p>
    <w:p>
      <w:pPr>
        <w:spacing w:line="360" w:lineRule="auto"/>
        <w:rPr>
          <w:rFonts w:ascii="宋体" w:hAnsi="宋体" w:cs="仿宋_GB2312"/>
          <w:color w:val="FF0000"/>
          <w:sz w:val="32"/>
          <w:szCs w:val="32"/>
        </w:rPr>
      </w:pPr>
    </w:p>
    <w:p>
      <w:pPr>
        <w:spacing w:line="360" w:lineRule="auto"/>
        <w:rPr>
          <w:rFonts w:ascii="宋体" w:hAnsi="宋体" w:cs="仿宋_GB2312"/>
          <w:color w:val="FF0000"/>
          <w:sz w:val="32"/>
          <w:szCs w:val="32"/>
        </w:rPr>
      </w:pPr>
    </w:p>
    <w:p>
      <w:pPr>
        <w:spacing w:line="360" w:lineRule="auto"/>
        <w:rPr>
          <w:rFonts w:ascii="宋体" w:hAnsi="宋体" w:cs="仿宋_GB2312"/>
          <w:color w:val="FF0000"/>
          <w:sz w:val="32"/>
          <w:szCs w:val="32"/>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spacing w:before="240" w:beforeLines="100" w:after="240" w:afterLines="100" w:line="360" w:lineRule="auto"/>
        <w:jc w:val="center"/>
        <w:outlineLvl w:val="9"/>
        <w:rPr>
          <w:rFonts w:ascii="宋体" w:hAnsi="宋体"/>
          <w:b/>
          <w:sz w:val="24"/>
        </w:rPr>
      </w:pPr>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Pr>
        <w:pStyle w:val="17"/>
      </w:pPr>
    </w:p>
    <w:p/>
    <w:p/>
    <w:p>
      <w:pPr>
        <w:pStyle w:val="17"/>
      </w:pPr>
    </w:p>
    <w:p>
      <w:pPr>
        <w:rPr>
          <w:rFonts w:asciiTheme="minorEastAsia" w:hAnsiTheme="minorEastAsia" w:eastAsiaTheme="minorEastAsia"/>
          <w:sz w:val="21"/>
          <w:szCs w:val="21"/>
        </w:rPr>
      </w:pPr>
    </w:p>
    <w:p/>
    <w:p>
      <w:pPr>
        <w:pStyle w:val="17"/>
        <w:spacing w:line="360" w:lineRule="auto"/>
        <w:rPr>
          <w:b/>
          <w:sz w:val="28"/>
          <w:szCs w:val="28"/>
        </w:rPr>
      </w:pPr>
      <w:r>
        <w:rPr>
          <w:rFonts w:hint="eastAsia"/>
          <w:b/>
          <w:sz w:val="28"/>
          <w:szCs w:val="28"/>
        </w:rPr>
        <w:t>第五部分  技术方案</w:t>
      </w:r>
    </w:p>
    <w:p>
      <w:pPr>
        <w:pStyle w:val="17"/>
        <w:spacing w:line="360" w:lineRule="auto"/>
        <w:rPr>
          <w:b/>
          <w:sz w:val="24"/>
        </w:rPr>
      </w:pPr>
      <w:r>
        <w:rPr>
          <w:rFonts w:hint="eastAsia" w:asciiTheme="minorEastAsia" w:hAnsiTheme="minorEastAsia" w:eastAsiaTheme="minorEastAsia"/>
          <w:b/>
          <w:sz w:val="24"/>
        </w:rPr>
        <w:t>一、规格、技术参数偏离表</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pStyle w:val="17"/>
        <w:spacing w:line="360" w:lineRule="auto"/>
        <w:jc w:val="both"/>
        <w:rPr>
          <w:rFonts w:asciiTheme="minorEastAsia" w:hAnsiTheme="minorEastAsia" w:eastAsiaTheme="minorEastAsia"/>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tbl>
      <w:tblPr>
        <w:tblStyle w:val="40"/>
        <w:tblW w:w="97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095"/>
        <w:gridCol w:w="2463"/>
        <w:gridCol w:w="3340"/>
        <w:gridCol w:w="1275"/>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90" w:type="dxa"/>
            <w:tcBorders>
              <w:top w:val="single" w:color="auto" w:sz="12" w:space="0"/>
            </w:tcBorders>
            <w:vAlign w:val="center"/>
          </w:tcPr>
          <w:p>
            <w:pPr>
              <w:jc w:val="center"/>
              <w:rPr>
                <w:rFonts w:asciiTheme="minorEastAsia" w:hAnsiTheme="minorEastAsia" w:eastAsiaTheme="minorEastAsia"/>
                <w:b/>
                <w:bCs/>
                <w:kern w:val="0"/>
                <w:position w:val="4"/>
                <w:sz w:val="20"/>
                <w:szCs w:val="21"/>
              </w:rPr>
            </w:pPr>
            <w:r>
              <w:rPr>
                <w:rFonts w:hint="eastAsia" w:cs="新宋体" w:asciiTheme="minorEastAsia" w:hAnsiTheme="minorEastAsia" w:eastAsiaTheme="minorEastAsia"/>
                <w:b/>
                <w:kern w:val="0"/>
                <w:sz w:val="20"/>
                <w:szCs w:val="21"/>
              </w:rPr>
              <w:t>序号</w:t>
            </w:r>
          </w:p>
        </w:tc>
        <w:tc>
          <w:tcPr>
            <w:tcW w:w="1095" w:type="dxa"/>
            <w:tcBorders>
              <w:top w:val="single" w:color="auto" w:sz="12" w:space="0"/>
            </w:tcBorders>
            <w:vAlign w:val="center"/>
          </w:tcPr>
          <w:p>
            <w:pPr>
              <w:jc w:val="center"/>
              <w:rPr>
                <w:rFonts w:asciiTheme="minorEastAsia" w:hAnsiTheme="minorEastAsia" w:eastAsiaTheme="minorEastAsia"/>
                <w:b/>
                <w:bCs/>
                <w:kern w:val="0"/>
                <w:position w:val="4"/>
                <w:sz w:val="20"/>
                <w:szCs w:val="21"/>
              </w:rPr>
            </w:pPr>
            <w:r>
              <w:rPr>
                <w:rFonts w:hint="eastAsia" w:cs="新宋体" w:asciiTheme="minorEastAsia" w:hAnsiTheme="minorEastAsia" w:eastAsiaTheme="minorEastAsia"/>
                <w:b/>
                <w:kern w:val="0"/>
                <w:sz w:val="20"/>
                <w:szCs w:val="21"/>
              </w:rPr>
              <w:t>产品名称</w:t>
            </w:r>
          </w:p>
        </w:tc>
        <w:tc>
          <w:tcPr>
            <w:tcW w:w="2463" w:type="dxa"/>
            <w:tcBorders>
              <w:top w:val="single" w:color="auto" w:sz="12" w:space="0"/>
            </w:tcBorders>
            <w:vAlign w:val="center"/>
          </w:tcPr>
          <w:p>
            <w:pPr>
              <w:spacing w:line="276" w:lineRule="auto"/>
              <w:jc w:val="center"/>
              <w:rPr>
                <w:rFonts w:asciiTheme="minorEastAsia" w:hAnsiTheme="minorEastAsia" w:eastAsiaTheme="minorEastAsia"/>
                <w:b/>
                <w:bCs/>
                <w:kern w:val="0"/>
                <w:position w:val="4"/>
                <w:sz w:val="20"/>
                <w:szCs w:val="21"/>
              </w:rPr>
            </w:pPr>
            <w:r>
              <w:rPr>
                <w:rFonts w:hint="eastAsia" w:cs="新宋体" w:asciiTheme="minorEastAsia" w:hAnsiTheme="minorEastAsia" w:eastAsiaTheme="minorEastAsia"/>
                <w:b/>
                <w:kern w:val="0"/>
                <w:sz w:val="20"/>
                <w:szCs w:val="21"/>
              </w:rPr>
              <w:t>招标文件要求的技术规格参数</w:t>
            </w:r>
          </w:p>
        </w:tc>
        <w:tc>
          <w:tcPr>
            <w:tcW w:w="3340" w:type="dxa"/>
            <w:tcBorders>
              <w:top w:val="single" w:color="auto" w:sz="12" w:space="0"/>
            </w:tcBorders>
            <w:vAlign w:val="center"/>
          </w:tcPr>
          <w:p>
            <w:pPr>
              <w:spacing w:line="276" w:lineRule="auto"/>
              <w:jc w:val="center"/>
              <w:rPr>
                <w:rFonts w:cs="新宋体" w:asciiTheme="minorEastAsia" w:hAnsiTheme="minorEastAsia" w:eastAsiaTheme="minorEastAsia"/>
                <w:b/>
                <w:kern w:val="0"/>
                <w:sz w:val="20"/>
                <w:szCs w:val="21"/>
              </w:rPr>
            </w:pPr>
            <w:r>
              <w:rPr>
                <w:rFonts w:hint="eastAsia" w:cs="新宋体" w:asciiTheme="minorEastAsia" w:hAnsiTheme="minorEastAsia" w:eastAsiaTheme="minorEastAsia"/>
                <w:b/>
                <w:kern w:val="0"/>
                <w:sz w:val="20"/>
                <w:szCs w:val="21"/>
              </w:rPr>
              <w:t>投标文件配置、规格及主要技术</w:t>
            </w:r>
          </w:p>
          <w:p>
            <w:pPr>
              <w:spacing w:line="276" w:lineRule="auto"/>
              <w:jc w:val="center"/>
              <w:rPr>
                <w:rFonts w:asciiTheme="minorEastAsia" w:hAnsiTheme="minorEastAsia" w:eastAsiaTheme="minorEastAsia"/>
                <w:b/>
                <w:bCs/>
                <w:kern w:val="0"/>
                <w:position w:val="4"/>
                <w:sz w:val="20"/>
                <w:szCs w:val="21"/>
              </w:rPr>
            </w:pPr>
            <w:r>
              <w:rPr>
                <w:rFonts w:hint="eastAsia" w:cs="新宋体" w:asciiTheme="minorEastAsia" w:hAnsiTheme="minorEastAsia" w:eastAsiaTheme="minorEastAsia"/>
                <w:b/>
                <w:kern w:val="0"/>
                <w:sz w:val="20"/>
                <w:szCs w:val="21"/>
              </w:rPr>
              <w:t>参数</w:t>
            </w:r>
          </w:p>
        </w:tc>
        <w:tc>
          <w:tcPr>
            <w:tcW w:w="1275" w:type="dxa"/>
            <w:tcBorders>
              <w:top w:val="single" w:color="auto" w:sz="12" w:space="0"/>
            </w:tcBorders>
            <w:vAlign w:val="center"/>
          </w:tcPr>
          <w:p>
            <w:pPr>
              <w:jc w:val="center"/>
              <w:rPr>
                <w:rFonts w:asciiTheme="minorEastAsia" w:hAnsiTheme="minorEastAsia" w:eastAsiaTheme="minorEastAsia"/>
                <w:b/>
                <w:bCs/>
                <w:kern w:val="0"/>
                <w:position w:val="4"/>
                <w:sz w:val="20"/>
                <w:szCs w:val="21"/>
              </w:rPr>
            </w:pPr>
            <w:r>
              <w:rPr>
                <w:rFonts w:hint="eastAsia" w:cs="新宋体" w:asciiTheme="minorEastAsia" w:hAnsiTheme="minorEastAsia" w:eastAsiaTheme="minorEastAsia"/>
                <w:b/>
                <w:kern w:val="0"/>
                <w:sz w:val="20"/>
                <w:szCs w:val="21"/>
              </w:rPr>
              <w:t>偏离情况</w:t>
            </w:r>
          </w:p>
        </w:tc>
        <w:tc>
          <w:tcPr>
            <w:tcW w:w="851" w:type="dxa"/>
            <w:tcBorders>
              <w:top w:val="single" w:color="auto" w:sz="12" w:space="0"/>
            </w:tcBorders>
            <w:vAlign w:val="center"/>
          </w:tcPr>
          <w:p>
            <w:pPr>
              <w:jc w:val="center"/>
              <w:rPr>
                <w:rFonts w:asciiTheme="minorEastAsia" w:hAnsiTheme="minorEastAsia" w:eastAsiaTheme="minorEastAsia"/>
                <w:b/>
                <w:bCs/>
                <w:kern w:val="0"/>
                <w:position w:val="4"/>
                <w:sz w:val="20"/>
                <w:szCs w:val="21"/>
              </w:rPr>
            </w:pPr>
            <w:r>
              <w:rPr>
                <w:rFonts w:hint="eastAsia" w:cs="新宋体" w:asciiTheme="minorEastAsia" w:hAnsiTheme="minorEastAsia" w:eastAsiaTheme="minorEastAsia"/>
                <w:b/>
                <w:kern w:val="0"/>
                <w:sz w:val="20"/>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auto"/>
              <w:rPr>
                <w:rFonts w:asciiTheme="minorEastAsia" w:hAnsiTheme="minorEastAsia" w:eastAsiaTheme="minorEastAsia"/>
                <w:b/>
                <w:bCs/>
                <w:kern w:val="0"/>
                <w:position w:val="4"/>
                <w:sz w:val="32"/>
                <w:szCs w:val="32"/>
              </w:rPr>
            </w:pPr>
          </w:p>
        </w:tc>
        <w:tc>
          <w:tcPr>
            <w:tcW w:w="1095" w:type="dxa"/>
          </w:tcPr>
          <w:p>
            <w:pPr>
              <w:spacing w:line="360" w:lineRule="auto"/>
              <w:rPr>
                <w:rFonts w:asciiTheme="minorEastAsia" w:hAnsiTheme="minorEastAsia" w:eastAsiaTheme="minorEastAsia"/>
                <w:b/>
                <w:bCs/>
                <w:kern w:val="0"/>
                <w:position w:val="4"/>
                <w:sz w:val="32"/>
                <w:szCs w:val="32"/>
              </w:rPr>
            </w:pPr>
          </w:p>
        </w:tc>
        <w:tc>
          <w:tcPr>
            <w:tcW w:w="2463" w:type="dxa"/>
          </w:tcPr>
          <w:p>
            <w:pPr>
              <w:spacing w:line="360" w:lineRule="auto"/>
              <w:rPr>
                <w:rFonts w:asciiTheme="minorEastAsia" w:hAnsiTheme="minorEastAsia" w:eastAsiaTheme="minorEastAsia"/>
                <w:b/>
                <w:bCs/>
                <w:kern w:val="0"/>
                <w:position w:val="4"/>
                <w:sz w:val="32"/>
                <w:szCs w:val="32"/>
              </w:rPr>
            </w:pPr>
          </w:p>
        </w:tc>
        <w:tc>
          <w:tcPr>
            <w:tcW w:w="3340" w:type="dxa"/>
          </w:tcPr>
          <w:p>
            <w:pPr>
              <w:spacing w:line="360" w:lineRule="auto"/>
              <w:rPr>
                <w:rFonts w:asciiTheme="minorEastAsia" w:hAnsiTheme="minorEastAsia" w:eastAsiaTheme="minorEastAsia"/>
                <w:b/>
                <w:bCs/>
                <w:kern w:val="0"/>
                <w:position w:val="4"/>
                <w:sz w:val="32"/>
                <w:szCs w:val="32"/>
              </w:rPr>
            </w:pPr>
          </w:p>
        </w:tc>
        <w:tc>
          <w:tcPr>
            <w:tcW w:w="1275" w:type="dxa"/>
          </w:tcPr>
          <w:p>
            <w:pPr>
              <w:spacing w:line="360" w:lineRule="auto"/>
              <w:rPr>
                <w:rFonts w:asciiTheme="minorEastAsia" w:hAnsiTheme="minorEastAsia" w:eastAsiaTheme="minorEastAsia"/>
                <w:b/>
                <w:bCs/>
                <w:kern w:val="0"/>
                <w:position w:val="4"/>
                <w:sz w:val="32"/>
                <w:szCs w:val="32"/>
              </w:rPr>
            </w:pPr>
          </w:p>
        </w:tc>
        <w:tc>
          <w:tcPr>
            <w:tcW w:w="851" w:type="dxa"/>
          </w:tcPr>
          <w:p>
            <w:pPr>
              <w:spacing w:line="360" w:lineRule="auto"/>
              <w:rPr>
                <w:rFonts w:asciiTheme="minorEastAsia" w:hAnsiTheme="minorEastAsia" w:eastAsiaTheme="minorEastAsia"/>
                <w:b/>
                <w:bCs/>
                <w:kern w:val="0"/>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auto"/>
              <w:rPr>
                <w:rFonts w:asciiTheme="minorEastAsia" w:hAnsiTheme="minorEastAsia" w:eastAsiaTheme="minorEastAsia"/>
                <w:b/>
                <w:bCs/>
                <w:kern w:val="0"/>
                <w:position w:val="4"/>
                <w:sz w:val="32"/>
                <w:szCs w:val="32"/>
              </w:rPr>
            </w:pPr>
          </w:p>
        </w:tc>
        <w:tc>
          <w:tcPr>
            <w:tcW w:w="1095" w:type="dxa"/>
          </w:tcPr>
          <w:p>
            <w:pPr>
              <w:spacing w:line="360" w:lineRule="auto"/>
              <w:rPr>
                <w:rFonts w:asciiTheme="minorEastAsia" w:hAnsiTheme="minorEastAsia" w:eastAsiaTheme="minorEastAsia"/>
                <w:b/>
                <w:bCs/>
                <w:kern w:val="0"/>
                <w:position w:val="4"/>
                <w:sz w:val="32"/>
                <w:szCs w:val="32"/>
              </w:rPr>
            </w:pPr>
          </w:p>
        </w:tc>
        <w:tc>
          <w:tcPr>
            <w:tcW w:w="2463" w:type="dxa"/>
          </w:tcPr>
          <w:p>
            <w:pPr>
              <w:spacing w:line="360" w:lineRule="auto"/>
              <w:rPr>
                <w:rFonts w:asciiTheme="minorEastAsia" w:hAnsiTheme="minorEastAsia" w:eastAsiaTheme="minorEastAsia"/>
                <w:b/>
                <w:bCs/>
                <w:kern w:val="0"/>
                <w:position w:val="4"/>
                <w:sz w:val="32"/>
                <w:szCs w:val="32"/>
              </w:rPr>
            </w:pPr>
          </w:p>
        </w:tc>
        <w:tc>
          <w:tcPr>
            <w:tcW w:w="3340" w:type="dxa"/>
          </w:tcPr>
          <w:p>
            <w:pPr>
              <w:spacing w:line="360" w:lineRule="auto"/>
              <w:rPr>
                <w:rFonts w:asciiTheme="minorEastAsia" w:hAnsiTheme="minorEastAsia" w:eastAsiaTheme="minorEastAsia"/>
                <w:b/>
                <w:bCs/>
                <w:kern w:val="0"/>
                <w:position w:val="4"/>
                <w:sz w:val="32"/>
                <w:szCs w:val="32"/>
              </w:rPr>
            </w:pPr>
          </w:p>
        </w:tc>
        <w:tc>
          <w:tcPr>
            <w:tcW w:w="1275" w:type="dxa"/>
          </w:tcPr>
          <w:p>
            <w:pPr>
              <w:spacing w:line="360" w:lineRule="auto"/>
              <w:rPr>
                <w:rFonts w:asciiTheme="minorEastAsia" w:hAnsiTheme="minorEastAsia" w:eastAsiaTheme="minorEastAsia"/>
                <w:b/>
                <w:bCs/>
                <w:kern w:val="0"/>
                <w:position w:val="4"/>
                <w:sz w:val="32"/>
                <w:szCs w:val="32"/>
              </w:rPr>
            </w:pPr>
          </w:p>
        </w:tc>
        <w:tc>
          <w:tcPr>
            <w:tcW w:w="851" w:type="dxa"/>
          </w:tcPr>
          <w:p>
            <w:pPr>
              <w:spacing w:line="360" w:lineRule="auto"/>
              <w:rPr>
                <w:rFonts w:asciiTheme="minorEastAsia" w:hAnsiTheme="minorEastAsia" w:eastAsiaTheme="minorEastAsia"/>
                <w:b/>
                <w:bCs/>
                <w:kern w:val="0"/>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auto"/>
              <w:rPr>
                <w:rFonts w:asciiTheme="minorEastAsia" w:hAnsiTheme="minorEastAsia" w:eastAsiaTheme="minorEastAsia"/>
                <w:b/>
                <w:bCs/>
                <w:kern w:val="0"/>
                <w:position w:val="4"/>
                <w:sz w:val="32"/>
                <w:szCs w:val="32"/>
              </w:rPr>
            </w:pPr>
          </w:p>
        </w:tc>
        <w:tc>
          <w:tcPr>
            <w:tcW w:w="1095" w:type="dxa"/>
          </w:tcPr>
          <w:p>
            <w:pPr>
              <w:spacing w:line="360" w:lineRule="auto"/>
              <w:rPr>
                <w:rFonts w:asciiTheme="minorEastAsia" w:hAnsiTheme="minorEastAsia" w:eastAsiaTheme="minorEastAsia"/>
                <w:b/>
                <w:bCs/>
                <w:kern w:val="0"/>
                <w:position w:val="4"/>
                <w:sz w:val="32"/>
                <w:szCs w:val="32"/>
              </w:rPr>
            </w:pPr>
          </w:p>
        </w:tc>
        <w:tc>
          <w:tcPr>
            <w:tcW w:w="2463" w:type="dxa"/>
          </w:tcPr>
          <w:p>
            <w:pPr>
              <w:spacing w:line="360" w:lineRule="auto"/>
              <w:rPr>
                <w:rFonts w:asciiTheme="minorEastAsia" w:hAnsiTheme="minorEastAsia" w:eastAsiaTheme="minorEastAsia"/>
                <w:b/>
                <w:bCs/>
                <w:kern w:val="0"/>
                <w:position w:val="4"/>
                <w:sz w:val="32"/>
                <w:szCs w:val="32"/>
              </w:rPr>
            </w:pPr>
          </w:p>
        </w:tc>
        <w:tc>
          <w:tcPr>
            <w:tcW w:w="3340" w:type="dxa"/>
          </w:tcPr>
          <w:p>
            <w:pPr>
              <w:spacing w:line="360" w:lineRule="auto"/>
              <w:rPr>
                <w:rFonts w:asciiTheme="minorEastAsia" w:hAnsiTheme="minorEastAsia" w:eastAsiaTheme="minorEastAsia"/>
                <w:b/>
                <w:bCs/>
                <w:kern w:val="0"/>
                <w:position w:val="4"/>
                <w:sz w:val="32"/>
                <w:szCs w:val="32"/>
              </w:rPr>
            </w:pPr>
          </w:p>
        </w:tc>
        <w:tc>
          <w:tcPr>
            <w:tcW w:w="1275" w:type="dxa"/>
          </w:tcPr>
          <w:p>
            <w:pPr>
              <w:spacing w:line="360" w:lineRule="auto"/>
              <w:rPr>
                <w:rFonts w:asciiTheme="minorEastAsia" w:hAnsiTheme="minorEastAsia" w:eastAsiaTheme="minorEastAsia"/>
                <w:b/>
                <w:bCs/>
                <w:kern w:val="0"/>
                <w:position w:val="4"/>
                <w:sz w:val="32"/>
                <w:szCs w:val="32"/>
              </w:rPr>
            </w:pPr>
          </w:p>
        </w:tc>
        <w:tc>
          <w:tcPr>
            <w:tcW w:w="851" w:type="dxa"/>
          </w:tcPr>
          <w:p>
            <w:pPr>
              <w:spacing w:line="360" w:lineRule="auto"/>
              <w:rPr>
                <w:rFonts w:asciiTheme="minorEastAsia" w:hAnsiTheme="minorEastAsia" w:eastAsiaTheme="minorEastAsia"/>
                <w:b/>
                <w:bCs/>
                <w:kern w:val="0"/>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auto"/>
              <w:rPr>
                <w:rFonts w:asciiTheme="minorEastAsia" w:hAnsiTheme="minorEastAsia" w:eastAsiaTheme="minorEastAsia"/>
                <w:b/>
                <w:bCs/>
                <w:kern w:val="0"/>
                <w:position w:val="4"/>
                <w:sz w:val="32"/>
                <w:szCs w:val="32"/>
              </w:rPr>
            </w:pPr>
          </w:p>
        </w:tc>
        <w:tc>
          <w:tcPr>
            <w:tcW w:w="1095" w:type="dxa"/>
          </w:tcPr>
          <w:p>
            <w:pPr>
              <w:spacing w:line="360" w:lineRule="auto"/>
              <w:rPr>
                <w:rFonts w:asciiTheme="minorEastAsia" w:hAnsiTheme="minorEastAsia" w:eastAsiaTheme="minorEastAsia"/>
                <w:b/>
                <w:bCs/>
                <w:kern w:val="0"/>
                <w:position w:val="4"/>
                <w:sz w:val="32"/>
                <w:szCs w:val="32"/>
              </w:rPr>
            </w:pPr>
          </w:p>
        </w:tc>
        <w:tc>
          <w:tcPr>
            <w:tcW w:w="2463" w:type="dxa"/>
          </w:tcPr>
          <w:p>
            <w:pPr>
              <w:spacing w:line="360" w:lineRule="auto"/>
              <w:rPr>
                <w:rFonts w:asciiTheme="minorEastAsia" w:hAnsiTheme="minorEastAsia" w:eastAsiaTheme="minorEastAsia"/>
                <w:b/>
                <w:bCs/>
                <w:kern w:val="0"/>
                <w:position w:val="4"/>
                <w:sz w:val="32"/>
                <w:szCs w:val="32"/>
              </w:rPr>
            </w:pPr>
          </w:p>
        </w:tc>
        <w:tc>
          <w:tcPr>
            <w:tcW w:w="3340" w:type="dxa"/>
          </w:tcPr>
          <w:p>
            <w:pPr>
              <w:spacing w:line="360" w:lineRule="auto"/>
              <w:rPr>
                <w:rFonts w:asciiTheme="minorEastAsia" w:hAnsiTheme="minorEastAsia" w:eastAsiaTheme="minorEastAsia"/>
                <w:b/>
                <w:bCs/>
                <w:kern w:val="0"/>
                <w:position w:val="4"/>
                <w:sz w:val="32"/>
                <w:szCs w:val="32"/>
              </w:rPr>
            </w:pPr>
          </w:p>
        </w:tc>
        <w:tc>
          <w:tcPr>
            <w:tcW w:w="1275" w:type="dxa"/>
          </w:tcPr>
          <w:p>
            <w:pPr>
              <w:spacing w:line="360" w:lineRule="auto"/>
              <w:rPr>
                <w:rFonts w:asciiTheme="minorEastAsia" w:hAnsiTheme="minorEastAsia" w:eastAsiaTheme="minorEastAsia"/>
                <w:b/>
                <w:bCs/>
                <w:kern w:val="0"/>
                <w:position w:val="4"/>
                <w:sz w:val="32"/>
                <w:szCs w:val="32"/>
              </w:rPr>
            </w:pPr>
          </w:p>
        </w:tc>
        <w:tc>
          <w:tcPr>
            <w:tcW w:w="851" w:type="dxa"/>
          </w:tcPr>
          <w:p>
            <w:pPr>
              <w:spacing w:line="360" w:lineRule="auto"/>
              <w:rPr>
                <w:rFonts w:asciiTheme="minorEastAsia" w:hAnsiTheme="minorEastAsia" w:eastAsiaTheme="minorEastAsia"/>
                <w:b/>
                <w:bCs/>
                <w:kern w:val="0"/>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Pr>
          <w:p>
            <w:pPr>
              <w:spacing w:line="360" w:lineRule="auto"/>
              <w:rPr>
                <w:rFonts w:asciiTheme="minorEastAsia" w:hAnsiTheme="minorEastAsia" w:eastAsiaTheme="minorEastAsia"/>
                <w:b/>
                <w:bCs/>
                <w:kern w:val="0"/>
                <w:position w:val="4"/>
                <w:sz w:val="32"/>
                <w:szCs w:val="32"/>
              </w:rPr>
            </w:pPr>
          </w:p>
        </w:tc>
        <w:tc>
          <w:tcPr>
            <w:tcW w:w="1095" w:type="dxa"/>
          </w:tcPr>
          <w:p>
            <w:pPr>
              <w:spacing w:line="360" w:lineRule="auto"/>
              <w:rPr>
                <w:rFonts w:asciiTheme="minorEastAsia" w:hAnsiTheme="minorEastAsia" w:eastAsiaTheme="minorEastAsia"/>
                <w:b/>
                <w:bCs/>
                <w:kern w:val="0"/>
                <w:position w:val="4"/>
                <w:sz w:val="32"/>
                <w:szCs w:val="32"/>
              </w:rPr>
            </w:pPr>
          </w:p>
        </w:tc>
        <w:tc>
          <w:tcPr>
            <w:tcW w:w="2463" w:type="dxa"/>
          </w:tcPr>
          <w:p>
            <w:pPr>
              <w:spacing w:line="360" w:lineRule="auto"/>
              <w:rPr>
                <w:rFonts w:asciiTheme="minorEastAsia" w:hAnsiTheme="minorEastAsia" w:eastAsiaTheme="minorEastAsia"/>
                <w:b/>
                <w:bCs/>
                <w:kern w:val="0"/>
                <w:position w:val="4"/>
                <w:sz w:val="32"/>
                <w:szCs w:val="32"/>
              </w:rPr>
            </w:pPr>
          </w:p>
        </w:tc>
        <w:tc>
          <w:tcPr>
            <w:tcW w:w="3340" w:type="dxa"/>
          </w:tcPr>
          <w:p>
            <w:pPr>
              <w:spacing w:line="360" w:lineRule="auto"/>
              <w:rPr>
                <w:rFonts w:asciiTheme="minorEastAsia" w:hAnsiTheme="minorEastAsia" w:eastAsiaTheme="minorEastAsia"/>
                <w:b/>
                <w:bCs/>
                <w:kern w:val="0"/>
                <w:position w:val="4"/>
                <w:sz w:val="32"/>
                <w:szCs w:val="32"/>
              </w:rPr>
            </w:pPr>
          </w:p>
        </w:tc>
        <w:tc>
          <w:tcPr>
            <w:tcW w:w="1275" w:type="dxa"/>
          </w:tcPr>
          <w:p>
            <w:pPr>
              <w:spacing w:line="360" w:lineRule="auto"/>
              <w:rPr>
                <w:rFonts w:asciiTheme="minorEastAsia" w:hAnsiTheme="minorEastAsia" w:eastAsiaTheme="minorEastAsia"/>
                <w:b/>
                <w:bCs/>
                <w:kern w:val="0"/>
                <w:position w:val="4"/>
                <w:sz w:val="32"/>
                <w:szCs w:val="32"/>
              </w:rPr>
            </w:pPr>
          </w:p>
        </w:tc>
        <w:tc>
          <w:tcPr>
            <w:tcW w:w="851" w:type="dxa"/>
          </w:tcPr>
          <w:p>
            <w:pPr>
              <w:spacing w:line="360" w:lineRule="auto"/>
              <w:rPr>
                <w:rFonts w:asciiTheme="minorEastAsia" w:hAnsiTheme="minorEastAsia" w:eastAsiaTheme="minorEastAsia"/>
                <w:b/>
                <w:bCs/>
                <w:kern w:val="0"/>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bottom w:val="single" w:color="auto" w:sz="12" w:space="0"/>
            </w:tcBorders>
          </w:tcPr>
          <w:p>
            <w:pPr>
              <w:spacing w:line="360" w:lineRule="auto"/>
              <w:rPr>
                <w:rFonts w:asciiTheme="minorEastAsia" w:hAnsiTheme="minorEastAsia" w:eastAsiaTheme="minorEastAsia"/>
                <w:b/>
                <w:bCs/>
                <w:kern w:val="0"/>
                <w:position w:val="4"/>
                <w:sz w:val="32"/>
                <w:szCs w:val="32"/>
              </w:rPr>
            </w:pPr>
          </w:p>
        </w:tc>
        <w:tc>
          <w:tcPr>
            <w:tcW w:w="1095" w:type="dxa"/>
            <w:tcBorders>
              <w:bottom w:val="single" w:color="auto" w:sz="12" w:space="0"/>
            </w:tcBorders>
          </w:tcPr>
          <w:p>
            <w:pPr>
              <w:spacing w:line="360" w:lineRule="auto"/>
              <w:rPr>
                <w:rFonts w:asciiTheme="minorEastAsia" w:hAnsiTheme="minorEastAsia" w:eastAsiaTheme="minorEastAsia"/>
                <w:b/>
                <w:bCs/>
                <w:kern w:val="0"/>
                <w:position w:val="4"/>
                <w:sz w:val="32"/>
                <w:szCs w:val="32"/>
              </w:rPr>
            </w:pPr>
          </w:p>
        </w:tc>
        <w:tc>
          <w:tcPr>
            <w:tcW w:w="2463" w:type="dxa"/>
            <w:tcBorders>
              <w:bottom w:val="single" w:color="auto" w:sz="12" w:space="0"/>
            </w:tcBorders>
          </w:tcPr>
          <w:p>
            <w:pPr>
              <w:spacing w:line="360" w:lineRule="auto"/>
              <w:rPr>
                <w:rFonts w:asciiTheme="minorEastAsia" w:hAnsiTheme="minorEastAsia" w:eastAsiaTheme="minorEastAsia"/>
                <w:b/>
                <w:bCs/>
                <w:kern w:val="0"/>
                <w:position w:val="4"/>
                <w:sz w:val="32"/>
                <w:szCs w:val="32"/>
              </w:rPr>
            </w:pPr>
          </w:p>
        </w:tc>
        <w:tc>
          <w:tcPr>
            <w:tcW w:w="3340" w:type="dxa"/>
            <w:tcBorders>
              <w:bottom w:val="single" w:color="auto" w:sz="12" w:space="0"/>
            </w:tcBorders>
          </w:tcPr>
          <w:p>
            <w:pPr>
              <w:spacing w:line="360" w:lineRule="auto"/>
              <w:rPr>
                <w:rFonts w:asciiTheme="minorEastAsia" w:hAnsiTheme="minorEastAsia" w:eastAsiaTheme="minorEastAsia"/>
                <w:b/>
                <w:bCs/>
                <w:kern w:val="0"/>
                <w:position w:val="4"/>
                <w:sz w:val="32"/>
                <w:szCs w:val="32"/>
              </w:rPr>
            </w:pPr>
          </w:p>
        </w:tc>
        <w:tc>
          <w:tcPr>
            <w:tcW w:w="1275" w:type="dxa"/>
            <w:tcBorders>
              <w:bottom w:val="single" w:color="auto" w:sz="12" w:space="0"/>
            </w:tcBorders>
          </w:tcPr>
          <w:p>
            <w:pPr>
              <w:spacing w:line="360" w:lineRule="auto"/>
              <w:rPr>
                <w:rFonts w:asciiTheme="minorEastAsia" w:hAnsiTheme="minorEastAsia" w:eastAsiaTheme="minorEastAsia"/>
                <w:b/>
                <w:bCs/>
                <w:kern w:val="0"/>
                <w:position w:val="4"/>
                <w:sz w:val="32"/>
                <w:szCs w:val="32"/>
              </w:rPr>
            </w:pPr>
          </w:p>
        </w:tc>
        <w:tc>
          <w:tcPr>
            <w:tcW w:w="851" w:type="dxa"/>
            <w:tcBorders>
              <w:bottom w:val="single" w:color="auto" w:sz="12" w:space="0"/>
            </w:tcBorders>
          </w:tcPr>
          <w:p>
            <w:pPr>
              <w:spacing w:line="360" w:lineRule="auto"/>
              <w:rPr>
                <w:rFonts w:asciiTheme="minorEastAsia" w:hAnsiTheme="minorEastAsia" w:eastAsiaTheme="minorEastAsia"/>
                <w:b/>
                <w:bCs/>
                <w:kern w:val="0"/>
                <w:position w:val="4"/>
                <w:sz w:val="32"/>
                <w:szCs w:val="32"/>
              </w:rPr>
            </w:pPr>
          </w:p>
        </w:tc>
      </w:tr>
    </w:tbl>
    <w:p>
      <w:pPr>
        <w:spacing w:line="360" w:lineRule="auto"/>
        <w:rPr>
          <w:rFonts w:asciiTheme="minorEastAsia" w:hAnsiTheme="minorEastAsia" w:eastAsiaTheme="minorEastAsia"/>
          <w:szCs w:val="21"/>
        </w:rPr>
      </w:pPr>
    </w:p>
    <w:p>
      <w:pPr>
        <w:spacing w:line="360" w:lineRule="auto"/>
        <w:rPr>
          <w:rFonts w:cs="宋体" w:asciiTheme="minorEastAsia" w:hAnsiTheme="minorEastAsia" w:eastAsiaTheme="minorEastAsia"/>
          <w:szCs w:val="21"/>
        </w:rPr>
      </w:pPr>
      <w:r>
        <w:rPr>
          <w:rFonts w:hint="eastAsia" w:asciiTheme="minorEastAsia" w:hAnsiTheme="minorEastAsia" w:eastAsiaTheme="minorEastAsia"/>
          <w:szCs w:val="21"/>
        </w:rPr>
        <w:t>注：</w:t>
      </w:r>
      <w:r>
        <w:rPr>
          <w:rFonts w:hint="eastAsia" w:cs="宋体" w:asciiTheme="minorEastAsia" w:hAnsiTheme="minorEastAsia" w:eastAsiaTheme="minorEastAsia"/>
          <w:szCs w:val="21"/>
        </w:rPr>
        <w:t>1、招标文件中的技术规格（参数），投标供应商应按照招标文件中的内容逐条抄写。</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2、投标供应商拟提供产品的配置、规格及主要技术参数，投标供应商应逐条如实填写。</w:t>
      </w:r>
    </w:p>
    <w:p>
      <w:pPr>
        <w:pStyle w:val="255"/>
        <w:widowControl/>
        <w:spacing w:line="360" w:lineRule="auto"/>
        <w:ind w:firstLine="420" w:firstLineChars="200"/>
        <w:rPr>
          <w:rFonts w:asciiTheme="minorEastAsia" w:hAnsiTheme="minorEastAsia" w:eastAsiaTheme="minorEastAsia"/>
        </w:rPr>
      </w:pPr>
      <w:r>
        <w:rPr>
          <w:rFonts w:hint="eastAsia" w:cs="宋体" w:asciiTheme="minorEastAsia" w:hAnsiTheme="minorEastAsia" w:eastAsiaTheme="minorEastAsia"/>
        </w:rPr>
        <w:t>3、</w:t>
      </w:r>
      <w:r>
        <w:rPr>
          <w:rFonts w:asciiTheme="minorEastAsia" w:hAnsiTheme="minorEastAsia" w:eastAsiaTheme="minorEastAsia"/>
        </w:rPr>
        <w:t>“偏离情况”栏注明“正偏离”、“负偏离”或“无偏离”。</w:t>
      </w:r>
    </w:p>
    <w:p>
      <w:pPr>
        <w:spacing w:line="360"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rPr>
        <w:t>4</w:t>
      </w:r>
      <w:r>
        <w:rPr>
          <w:rFonts w:hint="eastAsia" w:cs="宋体" w:asciiTheme="minorEastAsia" w:hAnsiTheme="minorEastAsia" w:eastAsiaTheme="minorEastAsia"/>
        </w:rPr>
        <w:t>、</w:t>
      </w:r>
      <w:r>
        <w:rPr>
          <w:rFonts w:hint="eastAsia" w:cs="宋体" w:asciiTheme="minorEastAsia" w:hAnsiTheme="minorEastAsia" w:eastAsiaTheme="minorEastAsia"/>
          <w:szCs w:val="21"/>
        </w:rPr>
        <w:t>投标供应商必须据实填写，不得虚假投标，否则将取消其中标资格，并按有关规定进行处罚。</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pStyle w:val="99"/>
        <w:spacing w:line="480" w:lineRule="auto"/>
        <w:ind w:firstLine="2940" w:firstLineChars="14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投标供应商：</w:t>
      </w:r>
      <w:r>
        <w:rPr>
          <w:rFonts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rPr>
        <w:t>（</w:t>
      </w:r>
      <w:r>
        <w:rPr>
          <w:rFonts w:hint="eastAsia" w:ascii="宋体" w:hAnsi="宋体"/>
          <w:b w:val="0"/>
          <w:sz w:val="21"/>
          <w:szCs w:val="21"/>
        </w:rPr>
        <w:t>盖章</w:t>
      </w:r>
      <w:r>
        <w:rPr>
          <w:rFonts w:hint="eastAsia" w:asciiTheme="minorEastAsia" w:hAnsiTheme="minorEastAsia" w:eastAsiaTheme="minorEastAsia"/>
          <w:b w:val="0"/>
          <w:sz w:val="21"/>
          <w:szCs w:val="21"/>
        </w:rPr>
        <w:t>）</w:t>
      </w:r>
    </w:p>
    <w:p>
      <w:pPr>
        <w:pStyle w:val="99"/>
        <w:spacing w:line="480" w:lineRule="auto"/>
        <w:ind w:firstLine="2940" w:firstLineChars="14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法定代表人（负责人）</w:t>
      </w:r>
    </w:p>
    <w:p>
      <w:pPr>
        <w:pStyle w:val="99"/>
        <w:spacing w:line="480" w:lineRule="auto"/>
        <w:ind w:firstLine="2940" w:firstLineChars="14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或委托代理人：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rPr>
        <w:t>（盖章或签字）</w:t>
      </w:r>
    </w:p>
    <w:p>
      <w:pPr>
        <w:spacing w:line="480" w:lineRule="auto"/>
        <w:ind w:firstLine="2940" w:firstLineChars="1400"/>
        <w:jc w:val="left"/>
        <w:outlineLvl w:val="2"/>
        <w:rPr>
          <w:rFonts w:asciiTheme="minorEastAsia" w:hAnsiTheme="minorEastAsia" w:eastAsiaTheme="minorEastAsia"/>
          <w:szCs w:val="21"/>
        </w:rPr>
      </w:pPr>
      <w:r>
        <w:rPr>
          <w:rFonts w:hint="eastAsia" w:asciiTheme="minorEastAsia" w:hAnsiTheme="minorEastAsia" w:eastAsiaTheme="minorEastAsia"/>
          <w:szCs w:val="21"/>
        </w:rPr>
        <w:t xml:space="preserve">日 </w:t>
      </w:r>
      <w:r>
        <w:rPr>
          <w:rFonts w:asciiTheme="minorEastAsia" w:hAnsiTheme="minorEastAsia" w:eastAsiaTheme="minorEastAsia"/>
          <w:szCs w:val="21"/>
        </w:rPr>
        <w:t xml:space="preserve"> </w:t>
      </w:r>
      <w:r>
        <w:rPr>
          <w:rFonts w:hint="eastAsia" w:asciiTheme="minorEastAsia" w:hAnsiTheme="minorEastAsia" w:eastAsiaTheme="minorEastAsia"/>
          <w:szCs w:val="21"/>
        </w:rPr>
        <w:t>期：</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pStyle w:val="17"/>
      </w:pPr>
    </w:p>
    <w:p/>
    <w:p>
      <w:pPr>
        <w:pStyle w:val="17"/>
      </w:pPr>
    </w:p>
    <w:p/>
    <w:p>
      <w:pPr>
        <w:pStyle w:val="17"/>
      </w:pPr>
    </w:p>
    <w:p/>
    <w:p>
      <w:pPr>
        <w:pStyle w:val="17"/>
      </w:pPr>
    </w:p>
    <w:p>
      <w:pPr>
        <w:pStyle w:val="17"/>
        <w:spacing w:line="360" w:lineRule="auto"/>
        <w:rPr>
          <w:rFonts w:ascii="宋体" w:hAnsi="宋体"/>
          <w:b/>
          <w:sz w:val="24"/>
        </w:rPr>
      </w:pPr>
      <w:r>
        <w:rPr>
          <w:rFonts w:hint="eastAsia"/>
          <w:b/>
          <w:sz w:val="24"/>
        </w:rPr>
        <w:t>二、</w:t>
      </w:r>
      <w:r>
        <w:rPr>
          <w:rFonts w:hint="eastAsia" w:ascii="宋体" w:hAnsi="宋体"/>
          <w:b/>
          <w:sz w:val="24"/>
        </w:rPr>
        <w:t>商务条款偏离表</w:t>
      </w:r>
    </w:p>
    <w:p>
      <w:pPr>
        <w:spacing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pacing w:line="360" w:lineRule="auto"/>
        <w:rPr>
          <w:rFonts w:ascii="宋体" w:hAnsi="宋体" w:cs="宋体"/>
          <w:b/>
          <w:bCs/>
          <w:color w:val="000000"/>
          <w:sz w:val="36"/>
          <w:szCs w:val="36"/>
        </w:rPr>
      </w:pPr>
      <w:r>
        <w:rPr>
          <w:rFonts w:hint="eastAsia" w:ascii="宋体" w:hAnsi="宋体"/>
          <w:szCs w:val="21"/>
        </w:rPr>
        <w:t>项目编号：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tbl>
      <w:tblPr>
        <w:tblStyle w:val="40"/>
        <w:tblW w:w="92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10"/>
        <w:gridCol w:w="2625"/>
        <w:gridCol w:w="1590"/>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0" w:type="dxa"/>
            <w:tcBorders>
              <w:top w:val="single" w:color="auto" w:sz="12" w:space="0"/>
            </w:tcBorders>
            <w:vAlign w:val="center"/>
          </w:tcPr>
          <w:p>
            <w:pPr>
              <w:ind w:left="-97" w:leftChars="-46"/>
              <w:jc w:val="center"/>
              <w:rPr>
                <w:rFonts w:ascii="宋体" w:hAnsi="宋体"/>
                <w:b/>
                <w:bCs/>
                <w:position w:val="4"/>
                <w:szCs w:val="21"/>
              </w:rPr>
            </w:pPr>
            <w:r>
              <w:rPr>
                <w:rFonts w:hint="eastAsia" w:ascii="宋体" w:hAnsi="宋体" w:cs="新宋体"/>
                <w:b/>
                <w:szCs w:val="21"/>
              </w:rPr>
              <w:t>序号</w:t>
            </w:r>
          </w:p>
        </w:tc>
        <w:tc>
          <w:tcPr>
            <w:tcW w:w="2910" w:type="dxa"/>
            <w:tcBorders>
              <w:top w:val="single" w:color="auto" w:sz="12" w:space="0"/>
            </w:tcBorders>
            <w:vAlign w:val="center"/>
          </w:tcPr>
          <w:p>
            <w:pPr>
              <w:jc w:val="center"/>
              <w:rPr>
                <w:rFonts w:ascii="宋体" w:hAnsi="宋体"/>
                <w:b/>
                <w:bCs/>
                <w:position w:val="4"/>
                <w:szCs w:val="21"/>
              </w:rPr>
            </w:pPr>
            <w:r>
              <w:rPr>
                <w:rFonts w:hint="eastAsia" w:ascii="宋体" w:hAnsi="宋体" w:cs="新宋体"/>
                <w:b/>
                <w:szCs w:val="21"/>
              </w:rPr>
              <w:t>招标文件商务要求</w:t>
            </w:r>
          </w:p>
        </w:tc>
        <w:tc>
          <w:tcPr>
            <w:tcW w:w="2625" w:type="dxa"/>
            <w:tcBorders>
              <w:top w:val="single" w:color="auto" w:sz="12" w:space="0"/>
            </w:tcBorders>
            <w:vAlign w:val="center"/>
          </w:tcPr>
          <w:p>
            <w:pPr>
              <w:jc w:val="center"/>
              <w:rPr>
                <w:rFonts w:ascii="宋体" w:hAnsi="宋体"/>
                <w:b/>
                <w:bCs/>
                <w:position w:val="4"/>
                <w:szCs w:val="21"/>
              </w:rPr>
            </w:pPr>
            <w:r>
              <w:rPr>
                <w:rFonts w:hint="eastAsia" w:ascii="宋体" w:hAnsi="宋体" w:cs="新宋体"/>
                <w:b/>
                <w:szCs w:val="21"/>
              </w:rPr>
              <w:t>投标文件商务响应</w:t>
            </w:r>
          </w:p>
        </w:tc>
        <w:tc>
          <w:tcPr>
            <w:tcW w:w="1590" w:type="dxa"/>
            <w:tcBorders>
              <w:top w:val="single" w:color="auto" w:sz="12" w:space="0"/>
            </w:tcBorders>
            <w:vAlign w:val="center"/>
          </w:tcPr>
          <w:p>
            <w:pPr>
              <w:jc w:val="center"/>
              <w:rPr>
                <w:rFonts w:ascii="宋体" w:hAnsi="宋体"/>
                <w:b/>
                <w:bCs/>
                <w:position w:val="4"/>
                <w:szCs w:val="21"/>
              </w:rPr>
            </w:pPr>
            <w:r>
              <w:rPr>
                <w:rFonts w:hint="eastAsia" w:ascii="宋体" w:hAnsi="宋体" w:cs="新宋体"/>
                <w:b/>
                <w:szCs w:val="21"/>
              </w:rPr>
              <w:t>偏离情况</w:t>
            </w:r>
          </w:p>
        </w:tc>
        <w:tc>
          <w:tcPr>
            <w:tcW w:w="1245" w:type="dxa"/>
            <w:tcBorders>
              <w:top w:val="single" w:color="auto" w:sz="12" w:space="0"/>
            </w:tcBorders>
            <w:vAlign w:val="center"/>
          </w:tcPr>
          <w:p>
            <w:pPr>
              <w:jc w:val="center"/>
              <w:rPr>
                <w:rFonts w:ascii="宋体" w:hAnsi="宋体"/>
                <w:b/>
                <w:bCs/>
                <w:position w:val="4"/>
                <w:szCs w:val="21"/>
              </w:rPr>
            </w:pPr>
            <w:r>
              <w:rPr>
                <w:rFonts w:hint="eastAsia" w:ascii="宋体" w:hAnsi="宋体" w:cs="新宋体"/>
                <w:b/>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rPr>
                <w:rFonts w:ascii="宋体" w:hAnsi="宋体"/>
                <w:b/>
                <w:bCs/>
                <w:position w:val="4"/>
                <w:sz w:val="32"/>
                <w:szCs w:val="32"/>
              </w:rPr>
            </w:pPr>
          </w:p>
        </w:tc>
        <w:tc>
          <w:tcPr>
            <w:tcW w:w="2910" w:type="dxa"/>
          </w:tcPr>
          <w:p>
            <w:pPr>
              <w:spacing w:line="360" w:lineRule="auto"/>
              <w:rPr>
                <w:rFonts w:ascii="宋体" w:hAnsi="宋体"/>
                <w:b/>
                <w:bCs/>
                <w:position w:val="4"/>
                <w:sz w:val="32"/>
                <w:szCs w:val="32"/>
              </w:rPr>
            </w:pPr>
          </w:p>
        </w:tc>
        <w:tc>
          <w:tcPr>
            <w:tcW w:w="2625" w:type="dxa"/>
          </w:tcPr>
          <w:p>
            <w:pPr>
              <w:spacing w:line="360" w:lineRule="auto"/>
              <w:rPr>
                <w:rFonts w:ascii="宋体" w:hAnsi="宋体"/>
                <w:b/>
                <w:bCs/>
                <w:position w:val="4"/>
                <w:sz w:val="32"/>
                <w:szCs w:val="32"/>
              </w:rPr>
            </w:pPr>
          </w:p>
        </w:tc>
        <w:tc>
          <w:tcPr>
            <w:tcW w:w="1590" w:type="dxa"/>
          </w:tcPr>
          <w:p>
            <w:pPr>
              <w:spacing w:line="360" w:lineRule="auto"/>
              <w:rPr>
                <w:rFonts w:ascii="宋体" w:hAnsi="宋体"/>
                <w:b/>
                <w:bCs/>
                <w:position w:val="4"/>
                <w:sz w:val="32"/>
                <w:szCs w:val="32"/>
              </w:rPr>
            </w:pPr>
          </w:p>
        </w:tc>
        <w:tc>
          <w:tcPr>
            <w:tcW w:w="1245" w:type="dxa"/>
          </w:tcPr>
          <w:p>
            <w:pPr>
              <w:spacing w:line="360" w:lineRule="auto"/>
              <w:rPr>
                <w:rFonts w:ascii="宋体" w:hAnsi="宋体"/>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rPr>
                <w:rFonts w:ascii="宋体" w:hAnsi="宋体"/>
                <w:b/>
                <w:bCs/>
                <w:position w:val="4"/>
                <w:sz w:val="32"/>
                <w:szCs w:val="32"/>
              </w:rPr>
            </w:pPr>
          </w:p>
        </w:tc>
        <w:tc>
          <w:tcPr>
            <w:tcW w:w="2910" w:type="dxa"/>
          </w:tcPr>
          <w:p>
            <w:pPr>
              <w:spacing w:line="360" w:lineRule="auto"/>
              <w:rPr>
                <w:rFonts w:ascii="宋体" w:hAnsi="宋体"/>
                <w:b/>
                <w:bCs/>
                <w:position w:val="4"/>
                <w:sz w:val="32"/>
                <w:szCs w:val="32"/>
              </w:rPr>
            </w:pPr>
          </w:p>
        </w:tc>
        <w:tc>
          <w:tcPr>
            <w:tcW w:w="2625" w:type="dxa"/>
          </w:tcPr>
          <w:p>
            <w:pPr>
              <w:spacing w:line="360" w:lineRule="auto"/>
              <w:rPr>
                <w:rFonts w:ascii="宋体" w:hAnsi="宋体"/>
                <w:b/>
                <w:bCs/>
                <w:position w:val="4"/>
                <w:sz w:val="32"/>
                <w:szCs w:val="32"/>
              </w:rPr>
            </w:pPr>
          </w:p>
        </w:tc>
        <w:tc>
          <w:tcPr>
            <w:tcW w:w="1590" w:type="dxa"/>
          </w:tcPr>
          <w:p>
            <w:pPr>
              <w:spacing w:line="360" w:lineRule="auto"/>
              <w:rPr>
                <w:rFonts w:ascii="宋体" w:hAnsi="宋体"/>
                <w:b/>
                <w:bCs/>
                <w:position w:val="4"/>
                <w:sz w:val="32"/>
                <w:szCs w:val="32"/>
              </w:rPr>
            </w:pPr>
          </w:p>
        </w:tc>
        <w:tc>
          <w:tcPr>
            <w:tcW w:w="1245" w:type="dxa"/>
          </w:tcPr>
          <w:p>
            <w:pPr>
              <w:spacing w:line="360" w:lineRule="auto"/>
              <w:rPr>
                <w:rFonts w:ascii="宋体" w:hAnsi="宋体"/>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rPr>
                <w:rFonts w:ascii="宋体" w:hAnsi="宋体"/>
                <w:b/>
                <w:bCs/>
                <w:position w:val="4"/>
                <w:sz w:val="32"/>
                <w:szCs w:val="32"/>
              </w:rPr>
            </w:pPr>
          </w:p>
        </w:tc>
        <w:tc>
          <w:tcPr>
            <w:tcW w:w="2910" w:type="dxa"/>
          </w:tcPr>
          <w:p>
            <w:pPr>
              <w:spacing w:line="360" w:lineRule="auto"/>
              <w:rPr>
                <w:rFonts w:ascii="宋体" w:hAnsi="宋体"/>
                <w:b/>
                <w:bCs/>
                <w:position w:val="4"/>
                <w:sz w:val="32"/>
                <w:szCs w:val="32"/>
              </w:rPr>
            </w:pPr>
          </w:p>
        </w:tc>
        <w:tc>
          <w:tcPr>
            <w:tcW w:w="2625" w:type="dxa"/>
          </w:tcPr>
          <w:p>
            <w:pPr>
              <w:spacing w:line="360" w:lineRule="auto"/>
              <w:rPr>
                <w:rFonts w:ascii="宋体" w:hAnsi="宋体"/>
                <w:b/>
                <w:bCs/>
                <w:position w:val="4"/>
                <w:sz w:val="32"/>
                <w:szCs w:val="32"/>
              </w:rPr>
            </w:pPr>
          </w:p>
        </w:tc>
        <w:tc>
          <w:tcPr>
            <w:tcW w:w="1590" w:type="dxa"/>
          </w:tcPr>
          <w:p>
            <w:pPr>
              <w:spacing w:line="360" w:lineRule="auto"/>
              <w:rPr>
                <w:rFonts w:ascii="宋体" w:hAnsi="宋体"/>
                <w:b/>
                <w:bCs/>
                <w:position w:val="4"/>
                <w:sz w:val="32"/>
                <w:szCs w:val="32"/>
              </w:rPr>
            </w:pPr>
          </w:p>
        </w:tc>
        <w:tc>
          <w:tcPr>
            <w:tcW w:w="1245" w:type="dxa"/>
          </w:tcPr>
          <w:p>
            <w:pPr>
              <w:spacing w:line="360" w:lineRule="auto"/>
              <w:rPr>
                <w:rFonts w:ascii="宋体" w:hAnsi="宋体"/>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rPr>
                <w:rFonts w:ascii="宋体" w:hAnsi="宋体"/>
                <w:b/>
                <w:bCs/>
                <w:position w:val="4"/>
                <w:sz w:val="32"/>
                <w:szCs w:val="32"/>
              </w:rPr>
            </w:pPr>
          </w:p>
        </w:tc>
        <w:tc>
          <w:tcPr>
            <w:tcW w:w="2910" w:type="dxa"/>
          </w:tcPr>
          <w:p>
            <w:pPr>
              <w:spacing w:line="360" w:lineRule="auto"/>
              <w:rPr>
                <w:rFonts w:ascii="宋体" w:hAnsi="宋体"/>
                <w:b/>
                <w:bCs/>
                <w:position w:val="4"/>
                <w:sz w:val="32"/>
                <w:szCs w:val="32"/>
              </w:rPr>
            </w:pPr>
          </w:p>
        </w:tc>
        <w:tc>
          <w:tcPr>
            <w:tcW w:w="2625" w:type="dxa"/>
          </w:tcPr>
          <w:p>
            <w:pPr>
              <w:spacing w:line="360" w:lineRule="auto"/>
              <w:rPr>
                <w:rFonts w:ascii="宋体" w:hAnsi="宋体"/>
                <w:b/>
                <w:bCs/>
                <w:position w:val="4"/>
                <w:sz w:val="32"/>
                <w:szCs w:val="32"/>
              </w:rPr>
            </w:pPr>
          </w:p>
        </w:tc>
        <w:tc>
          <w:tcPr>
            <w:tcW w:w="1590" w:type="dxa"/>
          </w:tcPr>
          <w:p>
            <w:pPr>
              <w:spacing w:line="360" w:lineRule="auto"/>
              <w:rPr>
                <w:rFonts w:ascii="宋体" w:hAnsi="宋体"/>
                <w:b/>
                <w:bCs/>
                <w:position w:val="4"/>
                <w:sz w:val="32"/>
                <w:szCs w:val="32"/>
              </w:rPr>
            </w:pPr>
          </w:p>
        </w:tc>
        <w:tc>
          <w:tcPr>
            <w:tcW w:w="1245" w:type="dxa"/>
          </w:tcPr>
          <w:p>
            <w:pPr>
              <w:spacing w:line="360" w:lineRule="auto"/>
              <w:rPr>
                <w:rFonts w:ascii="宋体" w:hAnsi="宋体"/>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rPr>
                <w:rFonts w:ascii="宋体" w:hAnsi="宋体"/>
                <w:b/>
                <w:bCs/>
                <w:position w:val="4"/>
                <w:sz w:val="32"/>
                <w:szCs w:val="32"/>
              </w:rPr>
            </w:pPr>
          </w:p>
        </w:tc>
        <w:tc>
          <w:tcPr>
            <w:tcW w:w="2910" w:type="dxa"/>
          </w:tcPr>
          <w:p>
            <w:pPr>
              <w:spacing w:line="360" w:lineRule="auto"/>
              <w:rPr>
                <w:rFonts w:ascii="宋体" w:hAnsi="宋体"/>
                <w:b/>
                <w:bCs/>
                <w:position w:val="4"/>
                <w:sz w:val="32"/>
                <w:szCs w:val="32"/>
              </w:rPr>
            </w:pPr>
          </w:p>
        </w:tc>
        <w:tc>
          <w:tcPr>
            <w:tcW w:w="2625" w:type="dxa"/>
          </w:tcPr>
          <w:p>
            <w:pPr>
              <w:spacing w:line="360" w:lineRule="auto"/>
              <w:rPr>
                <w:rFonts w:ascii="宋体" w:hAnsi="宋体"/>
                <w:b/>
                <w:bCs/>
                <w:position w:val="4"/>
                <w:sz w:val="32"/>
                <w:szCs w:val="32"/>
              </w:rPr>
            </w:pPr>
          </w:p>
        </w:tc>
        <w:tc>
          <w:tcPr>
            <w:tcW w:w="1590" w:type="dxa"/>
          </w:tcPr>
          <w:p>
            <w:pPr>
              <w:spacing w:line="360" w:lineRule="auto"/>
              <w:rPr>
                <w:rFonts w:ascii="宋体" w:hAnsi="宋体"/>
                <w:b/>
                <w:bCs/>
                <w:position w:val="4"/>
                <w:sz w:val="32"/>
                <w:szCs w:val="32"/>
              </w:rPr>
            </w:pPr>
          </w:p>
        </w:tc>
        <w:tc>
          <w:tcPr>
            <w:tcW w:w="1245" w:type="dxa"/>
          </w:tcPr>
          <w:p>
            <w:pPr>
              <w:spacing w:line="360" w:lineRule="auto"/>
              <w:rPr>
                <w:rFonts w:ascii="宋体" w:hAnsi="宋体"/>
                <w:b/>
                <w:bCs/>
                <w:position w:val="4"/>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Borders>
              <w:bottom w:val="single" w:color="auto" w:sz="12" w:space="0"/>
            </w:tcBorders>
          </w:tcPr>
          <w:p>
            <w:pPr>
              <w:spacing w:line="360" w:lineRule="auto"/>
              <w:rPr>
                <w:rFonts w:ascii="宋体" w:hAnsi="宋体"/>
                <w:b/>
                <w:bCs/>
                <w:position w:val="4"/>
                <w:sz w:val="32"/>
                <w:szCs w:val="32"/>
              </w:rPr>
            </w:pPr>
          </w:p>
        </w:tc>
        <w:tc>
          <w:tcPr>
            <w:tcW w:w="2910" w:type="dxa"/>
            <w:tcBorders>
              <w:bottom w:val="single" w:color="auto" w:sz="12" w:space="0"/>
            </w:tcBorders>
          </w:tcPr>
          <w:p>
            <w:pPr>
              <w:spacing w:line="360" w:lineRule="auto"/>
              <w:rPr>
                <w:rFonts w:ascii="宋体" w:hAnsi="宋体"/>
                <w:b/>
                <w:bCs/>
                <w:position w:val="4"/>
                <w:sz w:val="32"/>
                <w:szCs w:val="32"/>
              </w:rPr>
            </w:pPr>
          </w:p>
        </w:tc>
        <w:tc>
          <w:tcPr>
            <w:tcW w:w="2625" w:type="dxa"/>
            <w:tcBorders>
              <w:bottom w:val="single" w:color="auto" w:sz="12" w:space="0"/>
            </w:tcBorders>
          </w:tcPr>
          <w:p>
            <w:pPr>
              <w:spacing w:line="360" w:lineRule="auto"/>
              <w:rPr>
                <w:rFonts w:ascii="宋体" w:hAnsi="宋体"/>
                <w:b/>
                <w:bCs/>
                <w:position w:val="4"/>
                <w:sz w:val="32"/>
                <w:szCs w:val="32"/>
              </w:rPr>
            </w:pPr>
          </w:p>
        </w:tc>
        <w:tc>
          <w:tcPr>
            <w:tcW w:w="1590" w:type="dxa"/>
            <w:tcBorders>
              <w:bottom w:val="single" w:color="auto" w:sz="12" w:space="0"/>
            </w:tcBorders>
          </w:tcPr>
          <w:p>
            <w:pPr>
              <w:spacing w:line="360" w:lineRule="auto"/>
              <w:rPr>
                <w:rFonts w:ascii="宋体" w:hAnsi="宋体"/>
                <w:b/>
                <w:bCs/>
                <w:position w:val="4"/>
                <w:sz w:val="32"/>
                <w:szCs w:val="32"/>
              </w:rPr>
            </w:pPr>
          </w:p>
        </w:tc>
        <w:tc>
          <w:tcPr>
            <w:tcW w:w="1245" w:type="dxa"/>
            <w:tcBorders>
              <w:bottom w:val="single" w:color="auto" w:sz="12" w:space="0"/>
            </w:tcBorders>
          </w:tcPr>
          <w:p>
            <w:pPr>
              <w:spacing w:line="360" w:lineRule="auto"/>
              <w:rPr>
                <w:rFonts w:ascii="宋体" w:hAnsi="宋体"/>
                <w:b/>
                <w:bCs/>
                <w:position w:val="4"/>
                <w:sz w:val="32"/>
                <w:szCs w:val="32"/>
              </w:rPr>
            </w:pPr>
          </w:p>
        </w:tc>
      </w:tr>
    </w:tbl>
    <w:p>
      <w:pPr>
        <w:spacing w:line="360" w:lineRule="auto"/>
        <w:rPr>
          <w:rFonts w:ascii="宋体" w:hAnsi="宋体"/>
          <w:szCs w:val="21"/>
        </w:rPr>
      </w:pPr>
    </w:p>
    <w:p>
      <w:pPr>
        <w:spacing w:line="360" w:lineRule="auto"/>
        <w:rPr>
          <w:rFonts w:ascii="宋体" w:hAnsi="宋体" w:cs="宋体"/>
          <w:szCs w:val="21"/>
        </w:rPr>
      </w:pPr>
      <w:r>
        <w:rPr>
          <w:rFonts w:hint="eastAsia" w:ascii="宋体" w:hAnsi="宋体"/>
          <w:szCs w:val="21"/>
        </w:rPr>
        <w:t>注：</w:t>
      </w:r>
      <w:r>
        <w:rPr>
          <w:rFonts w:ascii="宋体" w:hAnsi="宋体" w:cs="宋体"/>
          <w:szCs w:val="21"/>
        </w:rPr>
        <w:t>1.</w:t>
      </w:r>
      <w:r>
        <w:rPr>
          <w:rFonts w:hint="eastAsia" w:ascii="宋体" w:hAnsi="宋体" w:cs="宋体"/>
          <w:szCs w:val="21"/>
        </w:rPr>
        <w:t>本表只填写投标文件中与招标文件有偏离（包括正偏离和负偏离）的内容，投标文件中的商务响应与招标文件商务要求完全一致的，不用在此表中列出，但必须提交空白表。</w:t>
      </w:r>
    </w:p>
    <w:p>
      <w:pPr>
        <w:pStyle w:val="255"/>
        <w:widowControl/>
        <w:spacing w:line="360" w:lineRule="auto"/>
        <w:ind w:firstLine="420" w:firstLineChars="200"/>
        <w:rPr>
          <w:rFonts w:cs="仿宋" w:asciiTheme="minorEastAsia" w:hAnsiTheme="minorEastAsia" w:eastAsiaTheme="minorEastAsia"/>
          <w:b/>
          <w:sz w:val="24"/>
          <w:szCs w:val="24"/>
        </w:rPr>
      </w:pPr>
      <w:r>
        <w:rPr>
          <w:rFonts w:hint="eastAsia" w:cs="宋体" w:asciiTheme="minorEastAsia" w:hAnsiTheme="minorEastAsia" w:eastAsiaTheme="minorEastAsia"/>
        </w:rPr>
        <w:t>2.</w:t>
      </w:r>
      <w:r>
        <w:rPr>
          <w:rFonts w:asciiTheme="minorEastAsia" w:hAnsiTheme="minorEastAsia" w:eastAsiaTheme="minorEastAsia"/>
        </w:rPr>
        <w:t>“偏离情况”栏注明“正偏离”或“负偏离”。</w:t>
      </w:r>
    </w:p>
    <w:p>
      <w:pPr>
        <w:spacing w:line="360" w:lineRule="auto"/>
        <w:ind w:firstLine="420" w:firstLineChars="200"/>
        <w:rPr>
          <w:rFonts w:ascii="宋体" w:hAnsi="宋体" w:cs="宋体"/>
          <w:szCs w:val="21"/>
        </w:rPr>
      </w:pPr>
      <w:r>
        <w:rPr>
          <w:rFonts w:hint="eastAsia" w:ascii="宋体" w:hAnsi="宋体" w:cs="宋体"/>
          <w:szCs w:val="21"/>
        </w:rPr>
        <w:t>3．投标供应商必须据实填写，不得虚假投标，否则将取消其中标资格，并按有关规定进行处罚。</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99"/>
        <w:spacing w:line="480" w:lineRule="auto"/>
        <w:ind w:firstLine="2940" w:firstLineChars="14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投标供应商：</w:t>
      </w:r>
      <w:r>
        <w:rPr>
          <w:rFonts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rPr>
        <w:t>（</w:t>
      </w:r>
      <w:r>
        <w:rPr>
          <w:rFonts w:hint="eastAsia" w:ascii="宋体" w:hAnsi="宋体"/>
          <w:b w:val="0"/>
          <w:sz w:val="21"/>
          <w:szCs w:val="21"/>
        </w:rPr>
        <w:t>盖章</w:t>
      </w:r>
      <w:r>
        <w:rPr>
          <w:rFonts w:hint="eastAsia" w:asciiTheme="minorEastAsia" w:hAnsiTheme="minorEastAsia" w:eastAsiaTheme="minorEastAsia"/>
          <w:b w:val="0"/>
          <w:sz w:val="21"/>
          <w:szCs w:val="21"/>
        </w:rPr>
        <w:t>）</w:t>
      </w:r>
    </w:p>
    <w:p>
      <w:pPr>
        <w:pStyle w:val="99"/>
        <w:spacing w:line="480" w:lineRule="auto"/>
        <w:ind w:firstLine="2940" w:firstLineChars="14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法定代表人（负责人）</w:t>
      </w:r>
    </w:p>
    <w:p>
      <w:pPr>
        <w:pStyle w:val="99"/>
        <w:spacing w:line="480" w:lineRule="auto"/>
        <w:ind w:firstLine="2940" w:firstLineChars="1400"/>
        <w:jc w:val="lef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或委托代理人：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u w:val="single"/>
        </w:rPr>
        <w:t xml:space="preserve">    </w:t>
      </w:r>
      <w:r>
        <w:rPr>
          <w:rFonts w:hint="eastAsia" w:asciiTheme="minorEastAsia" w:hAnsiTheme="minorEastAsia" w:eastAsiaTheme="minorEastAsia"/>
          <w:b w:val="0"/>
          <w:sz w:val="21"/>
          <w:szCs w:val="21"/>
        </w:rPr>
        <w:t>（盖章或签字）</w:t>
      </w:r>
    </w:p>
    <w:p>
      <w:pPr>
        <w:spacing w:line="480" w:lineRule="auto"/>
        <w:ind w:firstLine="2940" w:firstLineChars="1400"/>
        <w:jc w:val="left"/>
        <w:outlineLvl w:val="2"/>
        <w:rPr>
          <w:rFonts w:asciiTheme="minorEastAsia" w:hAnsiTheme="minorEastAsia" w:eastAsiaTheme="minorEastAsia"/>
          <w:b/>
          <w:bCs/>
          <w:szCs w:val="21"/>
        </w:rPr>
      </w:pPr>
      <w:r>
        <w:rPr>
          <w:rFonts w:hint="eastAsia" w:asciiTheme="minorEastAsia" w:hAnsiTheme="minorEastAsia" w:eastAsiaTheme="minorEastAsia"/>
          <w:szCs w:val="21"/>
        </w:rPr>
        <w:t xml:space="preserve">日 </w:t>
      </w:r>
      <w:r>
        <w:rPr>
          <w:rFonts w:asciiTheme="minorEastAsia" w:hAnsiTheme="minorEastAsia" w:eastAsiaTheme="minorEastAsia"/>
          <w:szCs w:val="21"/>
        </w:rPr>
        <w:t xml:space="preserve"> </w:t>
      </w:r>
      <w:r>
        <w:rPr>
          <w:rFonts w:hint="eastAsia" w:asciiTheme="minorEastAsia" w:hAnsiTheme="minorEastAsia" w:eastAsiaTheme="minorEastAsia"/>
          <w:szCs w:val="21"/>
        </w:rPr>
        <w:t>期：</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pStyle w:val="17"/>
      </w:pPr>
    </w:p>
    <w:p>
      <w:pPr>
        <w:spacing w:line="360" w:lineRule="auto"/>
        <w:jc w:val="center"/>
        <w:rPr>
          <w:rFonts w:ascii="宋体" w:hAnsi="宋体" w:cs="宋体"/>
          <w:b/>
          <w:bCs/>
          <w:color w:val="000000"/>
          <w:sz w:val="28"/>
          <w:szCs w:val="28"/>
        </w:rPr>
      </w:pPr>
    </w:p>
    <w:p>
      <w:pPr>
        <w:pStyle w:val="17"/>
      </w:pPr>
    </w:p>
    <w:p/>
    <w:p>
      <w:pPr>
        <w:spacing w:line="360" w:lineRule="auto"/>
        <w:jc w:val="center"/>
        <w:rPr>
          <w:rFonts w:ascii="宋体" w:hAnsi="宋体" w:cs="宋体"/>
          <w:b/>
          <w:bCs/>
          <w:color w:val="000000"/>
          <w:sz w:val="28"/>
          <w:szCs w:val="28"/>
        </w:rPr>
      </w:pPr>
    </w:p>
    <w:p>
      <w:pPr>
        <w:spacing w:before="240" w:beforeLines="100" w:after="240" w:afterLines="100" w:line="360" w:lineRule="auto"/>
        <w:jc w:val="center"/>
        <w:outlineLvl w:val="2"/>
        <w:rPr>
          <w:rFonts w:ascii="宋体" w:hAnsi="宋体"/>
          <w:b/>
          <w:sz w:val="24"/>
        </w:rPr>
      </w:pPr>
      <w:r>
        <w:rPr>
          <w:rFonts w:hint="eastAsia" w:ascii="宋体" w:hAnsi="宋体"/>
          <w:b/>
          <w:sz w:val="24"/>
        </w:rPr>
        <w:t>三、投标方案</w:t>
      </w:r>
    </w:p>
    <w:p>
      <w:pPr>
        <w:widowControl/>
        <w:spacing w:line="480" w:lineRule="auto"/>
        <w:ind w:firstLine="422" w:firstLineChars="200"/>
        <w:rPr>
          <w:rFonts w:ascii="宋体" w:hAnsi="宋体" w:cs="Calibri Light"/>
          <w:b/>
          <w:szCs w:val="28"/>
        </w:rPr>
      </w:pPr>
      <w:r>
        <w:rPr>
          <w:rFonts w:hint="eastAsia" w:ascii="宋体" w:hAnsi="宋体" w:cs="Calibri Light"/>
          <w:b/>
          <w:szCs w:val="28"/>
        </w:rPr>
        <w:t>投标供应商应根据“招标内容及技术要求”及“评标办法”的相关技术要求编制投标方案说明书，内容包括但不仅限于以下内容：</w:t>
      </w:r>
    </w:p>
    <w:p>
      <w:pPr>
        <w:widowControl/>
        <w:spacing w:line="480" w:lineRule="auto"/>
        <w:ind w:firstLine="567"/>
        <w:rPr>
          <w:rFonts w:ascii="宋体" w:hAnsi="宋体"/>
          <w:bCs/>
          <w:szCs w:val="28"/>
          <w:highlight w:val="none"/>
        </w:rPr>
      </w:pPr>
      <w:r>
        <w:rPr>
          <w:rFonts w:hint="eastAsia" w:ascii="宋体" w:hAnsi="宋体"/>
          <w:bCs/>
          <w:szCs w:val="28"/>
          <w:highlight w:val="none"/>
        </w:rPr>
        <w:t>（一）技术方案；</w:t>
      </w:r>
    </w:p>
    <w:p>
      <w:pPr>
        <w:widowControl/>
        <w:spacing w:line="480" w:lineRule="auto"/>
        <w:ind w:firstLine="567"/>
        <w:rPr>
          <w:rFonts w:ascii="宋体" w:hAnsi="宋体"/>
          <w:bCs/>
          <w:szCs w:val="28"/>
          <w:highlight w:val="none"/>
        </w:rPr>
      </w:pPr>
      <w:r>
        <w:rPr>
          <w:rFonts w:hint="eastAsia" w:ascii="宋体" w:hAnsi="宋体"/>
          <w:bCs/>
          <w:szCs w:val="28"/>
          <w:highlight w:val="none"/>
        </w:rPr>
        <w:t>（二）质量保证；</w:t>
      </w:r>
    </w:p>
    <w:p>
      <w:pPr>
        <w:widowControl/>
        <w:spacing w:line="480" w:lineRule="auto"/>
        <w:ind w:firstLine="567"/>
        <w:rPr>
          <w:rFonts w:ascii="宋体" w:hAnsi="宋体"/>
          <w:bCs/>
          <w:szCs w:val="28"/>
          <w:highlight w:val="none"/>
        </w:rPr>
      </w:pPr>
      <w:r>
        <w:rPr>
          <w:rFonts w:hint="eastAsia" w:ascii="宋体" w:hAnsi="宋体"/>
          <w:bCs/>
          <w:szCs w:val="28"/>
          <w:highlight w:val="none"/>
        </w:rPr>
        <w:t>（三）应急方案；</w:t>
      </w:r>
    </w:p>
    <w:p>
      <w:pPr>
        <w:widowControl/>
        <w:spacing w:line="480" w:lineRule="auto"/>
        <w:ind w:firstLine="567"/>
        <w:rPr>
          <w:rFonts w:ascii="宋体" w:hAnsi="宋体"/>
          <w:bCs/>
          <w:szCs w:val="28"/>
          <w:highlight w:val="none"/>
        </w:rPr>
      </w:pPr>
      <w:r>
        <w:rPr>
          <w:rFonts w:hint="eastAsia" w:ascii="宋体" w:hAnsi="宋体"/>
          <w:bCs/>
          <w:szCs w:val="28"/>
          <w:highlight w:val="none"/>
        </w:rPr>
        <w:t>（四）培训方案；</w:t>
      </w:r>
    </w:p>
    <w:p>
      <w:pPr>
        <w:widowControl/>
        <w:spacing w:line="480" w:lineRule="auto"/>
        <w:ind w:firstLine="567"/>
        <w:rPr>
          <w:highlight w:val="none"/>
        </w:rPr>
      </w:pPr>
      <w:r>
        <w:rPr>
          <w:rFonts w:hint="eastAsia" w:ascii="宋体" w:hAnsi="宋体"/>
          <w:bCs/>
          <w:szCs w:val="28"/>
          <w:highlight w:val="none"/>
        </w:rPr>
        <w:t>（五）售后服务。</w:t>
      </w:r>
    </w:p>
    <w:p>
      <w:pPr>
        <w:pStyle w:val="17"/>
      </w:pPr>
    </w:p>
    <w:p/>
    <w:p>
      <w:pPr>
        <w:pStyle w:val="17"/>
      </w:pPr>
    </w:p>
    <w:p/>
    <w:p>
      <w:pPr>
        <w:pStyle w:val="17"/>
      </w:pPr>
    </w:p>
    <w:p/>
    <w:p/>
    <w:p>
      <w:pPr>
        <w:pStyle w:val="17"/>
      </w:pPr>
    </w:p>
    <w:p/>
    <w:p>
      <w:pPr>
        <w:pStyle w:val="17"/>
      </w:pPr>
    </w:p>
    <w:p/>
    <w:p>
      <w:pPr>
        <w:pStyle w:val="17"/>
      </w:pPr>
    </w:p>
    <w:p/>
    <w:p>
      <w:pPr>
        <w:pStyle w:val="17"/>
      </w:pPr>
    </w:p>
    <w:p/>
    <w:p>
      <w:pPr>
        <w:pStyle w:val="17"/>
      </w:pPr>
    </w:p>
    <w:p/>
    <w:p>
      <w:pPr>
        <w:pStyle w:val="17"/>
      </w:pPr>
    </w:p>
    <w:p/>
    <w:p>
      <w:pPr>
        <w:pStyle w:val="17"/>
      </w:pPr>
    </w:p>
    <w:p/>
    <w:p/>
    <w:p>
      <w:pPr>
        <w:pStyle w:val="17"/>
      </w:pPr>
    </w:p>
    <w:p/>
    <w:p>
      <w:pPr>
        <w:pStyle w:val="17"/>
      </w:pPr>
    </w:p>
    <w:p/>
    <w:p>
      <w:pPr>
        <w:pStyle w:val="17"/>
      </w:pPr>
    </w:p>
    <w:p>
      <w:pPr>
        <w:spacing w:before="240" w:beforeLines="100" w:after="240" w:afterLines="100" w:line="276" w:lineRule="auto"/>
        <w:jc w:val="center"/>
        <w:outlineLvl w:val="9"/>
        <w:rPr>
          <w:rFonts w:ascii="宋体" w:hAnsi="宋体"/>
          <w:b/>
          <w:bCs/>
          <w:sz w:val="24"/>
        </w:rPr>
      </w:pPr>
    </w:p>
    <w:p>
      <w:pPr>
        <w:spacing w:before="240" w:beforeLines="100" w:after="240" w:afterLines="100" w:line="276" w:lineRule="auto"/>
        <w:jc w:val="center"/>
        <w:outlineLvl w:val="9"/>
        <w:rPr>
          <w:rFonts w:ascii="宋体" w:hAnsi="宋体"/>
          <w:b/>
          <w:bCs/>
          <w:sz w:val="24"/>
        </w:rPr>
      </w:pPr>
    </w:p>
    <w:p>
      <w:pPr>
        <w:spacing w:before="240" w:beforeLines="100" w:after="240" w:afterLines="100" w:line="276" w:lineRule="auto"/>
        <w:jc w:val="center"/>
        <w:outlineLvl w:val="9"/>
        <w:rPr>
          <w:rFonts w:ascii="宋体" w:hAnsi="宋体"/>
          <w:b/>
          <w:bCs/>
          <w:sz w:val="24"/>
        </w:rPr>
      </w:pPr>
    </w:p>
    <w:p>
      <w:pPr>
        <w:spacing w:before="240" w:beforeLines="100" w:after="240" w:afterLines="100" w:line="276" w:lineRule="auto"/>
        <w:jc w:val="center"/>
        <w:outlineLvl w:val="9"/>
        <w:rPr>
          <w:rFonts w:ascii="宋体" w:hAnsi="宋体"/>
          <w:b/>
          <w:bCs/>
          <w:sz w:val="24"/>
        </w:rPr>
      </w:pPr>
    </w:p>
    <w:p>
      <w:pPr>
        <w:spacing w:before="240" w:beforeLines="100" w:after="240" w:afterLines="100" w:line="276" w:lineRule="auto"/>
        <w:jc w:val="center"/>
        <w:outlineLvl w:val="2"/>
        <w:rPr>
          <w:rFonts w:ascii="宋体" w:hAnsi="宋体"/>
          <w:b/>
          <w:bCs/>
          <w:sz w:val="24"/>
        </w:rPr>
      </w:pPr>
      <w:r>
        <w:rPr>
          <w:rFonts w:hint="eastAsia" w:ascii="宋体" w:hAnsi="宋体"/>
          <w:b/>
          <w:bCs/>
          <w:sz w:val="24"/>
        </w:rPr>
        <w:t>四、类似项目业绩表</w:t>
      </w:r>
    </w:p>
    <w:tbl>
      <w:tblPr>
        <w:tblStyle w:val="40"/>
        <w:tblW w:w="94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38"/>
        <w:gridCol w:w="1152"/>
        <w:gridCol w:w="2548"/>
        <w:gridCol w:w="1337"/>
        <w:gridCol w:w="874"/>
        <w:gridCol w:w="1377"/>
        <w:gridCol w:w="1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44" w:hRule="atLeast"/>
          <w:jc w:val="center"/>
        </w:trPr>
        <w:tc>
          <w:tcPr>
            <w:tcW w:w="638" w:type="dxa"/>
            <w:vAlign w:val="center"/>
          </w:tcPr>
          <w:p>
            <w:pPr>
              <w:spacing w:before="240" w:beforeLines="100" w:after="240" w:afterLines="100" w:line="276" w:lineRule="auto"/>
              <w:jc w:val="center"/>
              <w:outlineLvl w:val="2"/>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1152" w:type="dxa"/>
            <w:vAlign w:val="center"/>
          </w:tcPr>
          <w:p>
            <w:pPr>
              <w:spacing w:before="240" w:beforeLines="100" w:after="240" w:afterLines="100" w:line="276" w:lineRule="auto"/>
              <w:jc w:val="center"/>
              <w:outlineLvl w:val="2"/>
              <w:rPr>
                <w:rFonts w:asciiTheme="minorEastAsia" w:hAnsiTheme="minorEastAsia" w:eastAsiaTheme="minorEastAsia"/>
                <w:b/>
                <w:bCs/>
                <w:szCs w:val="21"/>
              </w:rPr>
            </w:pPr>
            <w:r>
              <w:rPr>
                <w:rFonts w:hint="eastAsia" w:asciiTheme="minorEastAsia" w:hAnsiTheme="minorEastAsia" w:eastAsiaTheme="minorEastAsia"/>
                <w:b/>
                <w:bCs/>
                <w:szCs w:val="21"/>
              </w:rPr>
              <w:t>合同名称</w:t>
            </w:r>
          </w:p>
        </w:tc>
        <w:tc>
          <w:tcPr>
            <w:tcW w:w="2548"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服务内容</w:t>
            </w:r>
          </w:p>
          <w:p>
            <w:pPr>
              <w:jc w:val="center"/>
              <w:rPr>
                <w:rFonts w:asciiTheme="minorEastAsia" w:hAnsiTheme="minorEastAsia" w:eastAsiaTheme="minorEastAsia"/>
                <w:b/>
              </w:rPr>
            </w:pPr>
            <w:r>
              <w:rPr>
                <w:rFonts w:hint="eastAsia" w:asciiTheme="minorEastAsia" w:hAnsiTheme="minorEastAsia" w:eastAsiaTheme="minorEastAsia"/>
                <w:b/>
              </w:rPr>
              <w:t>（类似项目/相关项目）</w:t>
            </w:r>
          </w:p>
        </w:tc>
        <w:tc>
          <w:tcPr>
            <w:tcW w:w="1337" w:type="dxa"/>
            <w:vAlign w:val="center"/>
          </w:tcPr>
          <w:p>
            <w:pPr>
              <w:spacing w:before="240" w:beforeLines="100" w:after="240" w:afterLines="100" w:line="276" w:lineRule="auto"/>
              <w:jc w:val="center"/>
              <w:outlineLvl w:val="2"/>
              <w:rPr>
                <w:rFonts w:asciiTheme="minorEastAsia" w:hAnsiTheme="minorEastAsia" w:eastAsiaTheme="minorEastAsia"/>
                <w:b/>
                <w:bCs/>
                <w:szCs w:val="21"/>
              </w:rPr>
            </w:pPr>
            <w:r>
              <w:rPr>
                <w:rFonts w:hint="eastAsia" w:asciiTheme="minorEastAsia" w:hAnsiTheme="minorEastAsia" w:eastAsiaTheme="minorEastAsia"/>
                <w:b/>
                <w:bCs/>
                <w:szCs w:val="21"/>
              </w:rPr>
              <w:t>合同金额</w:t>
            </w:r>
          </w:p>
        </w:tc>
        <w:tc>
          <w:tcPr>
            <w:tcW w:w="874" w:type="dxa"/>
            <w:tcBorders>
              <w:left w:val="single" w:color="auto" w:sz="4" w:space="0"/>
              <w:right w:val="single" w:color="auto" w:sz="4" w:space="0"/>
            </w:tcBorders>
            <w:vAlign w:val="center"/>
          </w:tcPr>
          <w:p>
            <w:pPr>
              <w:spacing w:before="240" w:beforeLines="100" w:after="240" w:afterLines="100" w:line="276" w:lineRule="auto"/>
              <w:jc w:val="center"/>
              <w:outlineLvl w:val="2"/>
              <w:rPr>
                <w:rFonts w:asciiTheme="minorEastAsia" w:hAnsiTheme="minorEastAsia" w:eastAsiaTheme="minorEastAsia"/>
                <w:b/>
                <w:bCs/>
                <w:szCs w:val="21"/>
              </w:rPr>
            </w:pPr>
            <w:r>
              <w:rPr>
                <w:rFonts w:hint="eastAsia" w:asciiTheme="minorEastAsia" w:hAnsiTheme="minorEastAsia" w:eastAsiaTheme="minorEastAsia"/>
                <w:b/>
                <w:bCs/>
                <w:szCs w:val="21"/>
              </w:rPr>
              <w:t>交付期</w:t>
            </w:r>
          </w:p>
        </w:tc>
        <w:tc>
          <w:tcPr>
            <w:tcW w:w="1377" w:type="dxa"/>
            <w:vAlign w:val="center"/>
          </w:tcPr>
          <w:p>
            <w:pPr>
              <w:jc w:val="center"/>
              <w:rPr>
                <w:rFonts w:asciiTheme="minorEastAsia" w:hAnsiTheme="minorEastAsia" w:eastAsiaTheme="minorEastAsia"/>
                <w:b/>
              </w:rPr>
            </w:pPr>
            <w:r>
              <w:rPr>
                <w:rFonts w:asciiTheme="minorEastAsia" w:hAnsiTheme="minorEastAsia" w:eastAsiaTheme="minorEastAsia"/>
                <w:b/>
              </w:rPr>
              <w:t>服务质量/</w:t>
            </w:r>
          </w:p>
          <w:p>
            <w:pPr>
              <w:jc w:val="center"/>
              <w:rPr>
                <w:rFonts w:asciiTheme="minorEastAsia" w:hAnsiTheme="minorEastAsia" w:eastAsiaTheme="minorEastAsia"/>
                <w:b/>
              </w:rPr>
            </w:pPr>
            <w:r>
              <w:rPr>
                <w:rFonts w:asciiTheme="minorEastAsia" w:hAnsiTheme="minorEastAsia" w:eastAsiaTheme="minorEastAsia"/>
                <w:b/>
              </w:rPr>
              <w:t>委托反馈情况</w:t>
            </w:r>
          </w:p>
        </w:tc>
        <w:tc>
          <w:tcPr>
            <w:tcW w:w="1485"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业主名称、</w:t>
            </w:r>
          </w:p>
          <w:p>
            <w:pPr>
              <w:jc w:val="center"/>
              <w:rPr>
                <w:rFonts w:asciiTheme="minorEastAsia" w:hAnsiTheme="minorEastAsia" w:eastAsiaTheme="minorEastAsia"/>
                <w:b/>
              </w:rPr>
            </w:pPr>
            <w:r>
              <w:rPr>
                <w:rFonts w:hint="eastAsia" w:asciiTheme="minorEastAsia" w:hAnsiTheme="minorEastAsia" w:eastAsiaTheme="minorEastAsia"/>
                <w:b/>
              </w:rPr>
              <w:t>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2" w:hRule="atLeast"/>
          <w:jc w:val="center"/>
        </w:trPr>
        <w:tc>
          <w:tcPr>
            <w:tcW w:w="638"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152" w:type="dxa"/>
            <w:vAlign w:val="center"/>
          </w:tcPr>
          <w:p>
            <w:pPr>
              <w:jc w:val="center"/>
              <w:rPr>
                <w:rFonts w:asciiTheme="minorEastAsia" w:hAnsiTheme="minorEastAsia" w:eastAsiaTheme="minorEastAsia"/>
              </w:rPr>
            </w:pPr>
          </w:p>
        </w:tc>
        <w:tc>
          <w:tcPr>
            <w:tcW w:w="2548" w:type="dxa"/>
            <w:vAlign w:val="center"/>
          </w:tcPr>
          <w:p>
            <w:pPr>
              <w:jc w:val="center"/>
              <w:rPr>
                <w:rFonts w:asciiTheme="minorEastAsia" w:hAnsiTheme="minorEastAsia" w:eastAsiaTheme="minorEastAsia"/>
              </w:rPr>
            </w:pPr>
          </w:p>
        </w:tc>
        <w:tc>
          <w:tcPr>
            <w:tcW w:w="1337" w:type="dxa"/>
            <w:vAlign w:val="center"/>
          </w:tcPr>
          <w:p>
            <w:pPr>
              <w:jc w:val="center"/>
              <w:rPr>
                <w:rFonts w:asciiTheme="minorEastAsia" w:hAnsiTheme="minorEastAsia" w:eastAsiaTheme="minorEastAsia"/>
              </w:rPr>
            </w:pPr>
          </w:p>
        </w:tc>
        <w:tc>
          <w:tcPr>
            <w:tcW w:w="874" w:type="dxa"/>
            <w:tcBorders>
              <w:left w:val="single" w:color="auto" w:sz="4" w:space="0"/>
              <w:right w:val="single" w:color="auto" w:sz="4" w:space="0"/>
            </w:tcBorders>
            <w:vAlign w:val="center"/>
          </w:tcPr>
          <w:p>
            <w:pPr>
              <w:jc w:val="center"/>
              <w:rPr>
                <w:rFonts w:asciiTheme="minorEastAsia" w:hAnsiTheme="minorEastAsia" w:eastAsiaTheme="minorEastAsia"/>
              </w:rPr>
            </w:pPr>
          </w:p>
        </w:tc>
        <w:tc>
          <w:tcPr>
            <w:tcW w:w="1377" w:type="dxa"/>
            <w:vAlign w:val="center"/>
          </w:tcPr>
          <w:p>
            <w:pPr>
              <w:jc w:val="center"/>
              <w:rPr>
                <w:rFonts w:asciiTheme="minorEastAsia" w:hAnsiTheme="minorEastAsia" w:eastAsiaTheme="minorEastAsia"/>
              </w:rPr>
            </w:pPr>
          </w:p>
        </w:tc>
        <w:tc>
          <w:tcPr>
            <w:tcW w:w="1485" w:type="dxa"/>
            <w:vAlign w:val="center"/>
          </w:tcPr>
          <w:p>
            <w:pPr>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2" w:hRule="atLeast"/>
          <w:jc w:val="center"/>
        </w:trPr>
        <w:tc>
          <w:tcPr>
            <w:tcW w:w="638" w:type="dxa"/>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1152" w:type="dxa"/>
            <w:vAlign w:val="center"/>
          </w:tcPr>
          <w:p>
            <w:pPr>
              <w:jc w:val="center"/>
              <w:rPr>
                <w:rFonts w:asciiTheme="minorEastAsia" w:hAnsiTheme="minorEastAsia" w:eastAsiaTheme="minorEastAsia"/>
              </w:rPr>
            </w:pPr>
          </w:p>
        </w:tc>
        <w:tc>
          <w:tcPr>
            <w:tcW w:w="2548" w:type="dxa"/>
            <w:vAlign w:val="center"/>
          </w:tcPr>
          <w:p>
            <w:pPr>
              <w:jc w:val="center"/>
              <w:rPr>
                <w:rFonts w:asciiTheme="minorEastAsia" w:hAnsiTheme="minorEastAsia" w:eastAsiaTheme="minorEastAsia"/>
              </w:rPr>
            </w:pPr>
          </w:p>
        </w:tc>
        <w:tc>
          <w:tcPr>
            <w:tcW w:w="1337" w:type="dxa"/>
            <w:vAlign w:val="center"/>
          </w:tcPr>
          <w:p>
            <w:pPr>
              <w:jc w:val="center"/>
              <w:rPr>
                <w:rFonts w:asciiTheme="minorEastAsia" w:hAnsiTheme="minorEastAsia" w:eastAsiaTheme="minorEastAsia"/>
              </w:rPr>
            </w:pPr>
          </w:p>
        </w:tc>
        <w:tc>
          <w:tcPr>
            <w:tcW w:w="874" w:type="dxa"/>
            <w:tcBorders>
              <w:left w:val="single" w:color="auto" w:sz="4" w:space="0"/>
              <w:right w:val="single" w:color="auto" w:sz="4" w:space="0"/>
            </w:tcBorders>
            <w:vAlign w:val="center"/>
          </w:tcPr>
          <w:p>
            <w:pPr>
              <w:jc w:val="center"/>
              <w:rPr>
                <w:rFonts w:asciiTheme="minorEastAsia" w:hAnsiTheme="minorEastAsia" w:eastAsiaTheme="minorEastAsia"/>
              </w:rPr>
            </w:pPr>
          </w:p>
        </w:tc>
        <w:tc>
          <w:tcPr>
            <w:tcW w:w="1377" w:type="dxa"/>
            <w:vAlign w:val="center"/>
          </w:tcPr>
          <w:p>
            <w:pPr>
              <w:jc w:val="center"/>
              <w:rPr>
                <w:rFonts w:asciiTheme="minorEastAsia" w:hAnsiTheme="minorEastAsia" w:eastAsiaTheme="minorEastAsia"/>
              </w:rPr>
            </w:pPr>
          </w:p>
        </w:tc>
        <w:tc>
          <w:tcPr>
            <w:tcW w:w="1485" w:type="dxa"/>
            <w:vAlign w:val="center"/>
          </w:tcPr>
          <w:p>
            <w:pPr>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2" w:hRule="atLeast"/>
          <w:jc w:val="center"/>
        </w:trPr>
        <w:tc>
          <w:tcPr>
            <w:tcW w:w="638" w:type="dxa"/>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1152" w:type="dxa"/>
            <w:vAlign w:val="center"/>
          </w:tcPr>
          <w:p>
            <w:pPr>
              <w:jc w:val="center"/>
              <w:rPr>
                <w:rFonts w:asciiTheme="minorEastAsia" w:hAnsiTheme="minorEastAsia" w:eastAsiaTheme="minorEastAsia"/>
              </w:rPr>
            </w:pPr>
          </w:p>
        </w:tc>
        <w:tc>
          <w:tcPr>
            <w:tcW w:w="2548" w:type="dxa"/>
            <w:vAlign w:val="center"/>
          </w:tcPr>
          <w:p>
            <w:pPr>
              <w:jc w:val="center"/>
              <w:rPr>
                <w:rFonts w:asciiTheme="minorEastAsia" w:hAnsiTheme="minorEastAsia" w:eastAsiaTheme="minorEastAsia"/>
              </w:rPr>
            </w:pPr>
          </w:p>
        </w:tc>
        <w:tc>
          <w:tcPr>
            <w:tcW w:w="1337" w:type="dxa"/>
            <w:vAlign w:val="center"/>
          </w:tcPr>
          <w:p>
            <w:pPr>
              <w:jc w:val="center"/>
              <w:rPr>
                <w:rFonts w:asciiTheme="minorEastAsia" w:hAnsiTheme="minorEastAsia" w:eastAsiaTheme="minorEastAsia"/>
              </w:rPr>
            </w:pPr>
          </w:p>
        </w:tc>
        <w:tc>
          <w:tcPr>
            <w:tcW w:w="874" w:type="dxa"/>
            <w:tcBorders>
              <w:left w:val="single" w:color="auto" w:sz="4" w:space="0"/>
              <w:right w:val="single" w:color="auto" w:sz="4" w:space="0"/>
            </w:tcBorders>
            <w:vAlign w:val="center"/>
          </w:tcPr>
          <w:p>
            <w:pPr>
              <w:jc w:val="center"/>
              <w:rPr>
                <w:rFonts w:asciiTheme="minorEastAsia" w:hAnsiTheme="minorEastAsia" w:eastAsiaTheme="minorEastAsia"/>
              </w:rPr>
            </w:pPr>
          </w:p>
        </w:tc>
        <w:tc>
          <w:tcPr>
            <w:tcW w:w="1377" w:type="dxa"/>
            <w:vAlign w:val="center"/>
          </w:tcPr>
          <w:p>
            <w:pPr>
              <w:jc w:val="center"/>
              <w:rPr>
                <w:rFonts w:asciiTheme="minorEastAsia" w:hAnsiTheme="minorEastAsia" w:eastAsiaTheme="minorEastAsia"/>
              </w:rPr>
            </w:pPr>
          </w:p>
        </w:tc>
        <w:tc>
          <w:tcPr>
            <w:tcW w:w="1485" w:type="dxa"/>
            <w:vAlign w:val="center"/>
          </w:tcPr>
          <w:p>
            <w:pPr>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2" w:hRule="atLeast"/>
          <w:jc w:val="center"/>
        </w:trPr>
        <w:tc>
          <w:tcPr>
            <w:tcW w:w="638" w:type="dxa"/>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c>
          <w:tcPr>
            <w:tcW w:w="1152" w:type="dxa"/>
            <w:vAlign w:val="center"/>
          </w:tcPr>
          <w:p>
            <w:pPr>
              <w:jc w:val="center"/>
              <w:rPr>
                <w:rFonts w:asciiTheme="minorEastAsia" w:hAnsiTheme="minorEastAsia" w:eastAsiaTheme="minorEastAsia"/>
              </w:rPr>
            </w:pPr>
          </w:p>
        </w:tc>
        <w:tc>
          <w:tcPr>
            <w:tcW w:w="2548" w:type="dxa"/>
            <w:vAlign w:val="center"/>
          </w:tcPr>
          <w:p>
            <w:pPr>
              <w:jc w:val="center"/>
              <w:rPr>
                <w:rFonts w:asciiTheme="minorEastAsia" w:hAnsiTheme="minorEastAsia" w:eastAsiaTheme="minorEastAsia"/>
              </w:rPr>
            </w:pPr>
          </w:p>
        </w:tc>
        <w:tc>
          <w:tcPr>
            <w:tcW w:w="1337" w:type="dxa"/>
            <w:vAlign w:val="center"/>
          </w:tcPr>
          <w:p>
            <w:pPr>
              <w:jc w:val="center"/>
              <w:rPr>
                <w:rFonts w:asciiTheme="minorEastAsia" w:hAnsiTheme="minorEastAsia" w:eastAsiaTheme="minorEastAsia"/>
              </w:rPr>
            </w:pPr>
          </w:p>
        </w:tc>
        <w:tc>
          <w:tcPr>
            <w:tcW w:w="874" w:type="dxa"/>
            <w:tcBorders>
              <w:left w:val="single" w:color="auto" w:sz="4" w:space="0"/>
              <w:right w:val="single" w:color="auto" w:sz="4" w:space="0"/>
            </w:tcBorders>
            <w:vAlign w:val="center"/>
          </w:tcPr>
          <w:p>
            <w:pPr>
              <w:jc w:val="center"/>
              <w:rPr>
                <w:rFonts w:asciiTheme="minorEastAsia" w:hAnsiTheme="minorEastAsia" w:eastAsiaTheme="minorEastAsia"/>
              </w:rPr>
            </w:pPr>
          </w:p>
        </w:tc>
        <w:tc>
          <w:tcPr>
            <w:tcW w:w="1377" w:type="dxa"/>
            <w:vAlign w:val="center"/>
          </w:tcPr>
          <w:p>
            <w:pPr>
              <w:jc w:val="center"/>
              <w:rPr>
                <w:rFonts w:asciiTheme="minorEastAsia" w:hAnsiTheme="minorEastAsia" w:eastAsiaTheme="minorEastAsia"/>
              </w:rPr>
            </w:pPr>
          </w:p>
        </w:tc>
        <w:tc>
          <w:tcPr>
            <w:tcW w:w="1485" w:type="dxa"/>
            <w:vAlign w:val="center"/>
          </w:tcPr>
          <w:p>
            <w:pPr>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2" w:hRule="atLeast"/>
          <w:jc w:val="center"/>
        </w:trPr>
        <w:tc>
          <w:tcPr>
            <w:tcW w:w="638" w:type="dxa"/>
            <w:vAlign w:val="center"/>
          </w:tcPr>
          <w:p>
            <w:pPr>
              <w:jc w:val="center"/>
              <w:rPr>
                <w:rFonts w:asciiTheme="minorEastAsia" w:hAnsiTheme="minorEastAsia" w:eastAsiaTheme="minorEastAsia"/>
              </w:rPr>
            </w:pPr>
            <w:r>
              <w:rPr>
                <w:rFonts w:hint="eastAsia" w:asciiTheme="minorEastAsia" w:hAnsiTheme="minorEastAsia" w:eastAsiaTheme="minorEastAsia"/>
              </w:rPr>
              <w:t>5</w:t>
            </w:r>
          </w:p>
        </w:tc>
        <w:tc>
          <w:tcPr>
            <w:tcW w:w="1152" w:type="dxa"/>
            <w:vAlign w:val="center"/>
          </w:tcPr>
          <w:p>
            <w:pPr>
              <w:jc w:val="center"/>
              <w:rPr>
                <w:rFonts w:asciiTheme="minorEastAsia" w:hAnsiTheme="minorEastAsia" w:eastAsiaTheme="minorEastAsia"/>
              </w:rPr>
            </w:pPr>
          </w:p>
        </w:tc>
        <w:tc>
          <w:tcPr>
            <w:tcW w:w="2548" w:type="dxa"/>
            <w:vAlign w:val="center"/>
          </w:tcPr>
          <w:p>
            <w:pPr>
              <w:jc w:val="center"/>
              <w:rPr>
                <w:rFonts w:asciiTheme="minorEastAsia" w:hAnsiTheme="minorEastAsia" w:eastAsiaTheme="minorEastAsia"/>
              </w:rPr>
            </w:pPr>
          </w:p>
        </w:tc>
        <w:tc>
          <w:tcPr>
            <w:tcW w:w="1337" w:type="dxa"/>
            <w:vAlign w:val="center"/>
          </w:tcPr>
          <w:p>
            <w:pPr>
              <w:jc w:val="center"/>
              <w:rPr>
                <w:rFonts w:asciiTheme="minorEastAsia" w:hAnsiTheme="minorEastAsia" w:eastAsiaTheme="minorEastAsia"/>
              </w:rPr>
            </w:pPr>
          </w:p>
        </w:tc>
        <w:tc>
          <w:tcPr>
            <w:tcW w:w="874" w:type="dxa"/>
            <w:tcBorders>
              <w:left w:val="single" w:color="auto" w:sz="4" w:space="0"/>
              <w:right w:val="single" w:color="auto" w:sz="4" w:space="0"/>
            </w:tcBorders>
            <w:vAlign w:val="center"/>
          </w:tcPr>
          <w:p>
            <w:pPr>
              <w:jc w:val="center"/>
              <w:rPr>
                <w:rFonts w:asciiTheme="minorEastAsia" w:hAnsiTheme="minorEastAsia" w:eastAsiaTheme="minorEastAsia"/>
              </w:rPr>
            </w:pPr>
          </w:p>
        </w:tc>
        <w:tc>
          <w:tcPr>
            <w:tcW w:w="1377" w:type="dxa"/>
            <w:vAlign w:val="center"/>
          </w:tcPr>
          <w:p>
            <w:pPr>
              <w:jc w:val="center"/>
              <w:rPr>
                <w:rFonts w:asciiTheme="minorEastAsia" w:hAnsiTheme="minorEastAsia" w:eastAsiaTheme="minorEastAsia"/>
              </w:rPr>
            </w:pPr>
          </w:p>
        </w:tc>
        <w:tc>
          <w:tcPr>
            <w:tcW w:w="1485" w:type="dxa"/>
            <w:vAlign w:val="center"/>
          </w:tcPr>
          <w:p>
            <w:pPr>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2" w:hRule="atLeast"/>
          <w:jc w:val="center"/>
        </w:trPr>
        <w:tc>
          <w:tcPr>
            <w:tcW w:w="638" w:type="dxa"/>
            <w:vAlign w:val="center"/>
          </w:tcPr>
          <w:p>
            <w:pPr>
              <w:jc w:val="center"/>
              <w:rPr>
                <w:rFonts w:asciiTheme="minorEastAsia" w:hAnsiTheme="minorEastAsia" w:eastAsiaTheme="minorEastAsia"/>
              </w:rPr>
            </w:pPr>
            <w:r>
              <w:rPr>
                <w:rFonts w:hint="eastAsia" w:asciiTheme="minorEastAsia" w:hAnsiTheme="minorEastAsia" w:eastAsiaTheme="minorEastAsia"/>
              </w:rPr>
              <w:t>6</w:t>
            </w:r>
          </w:p>
        </w:tc>
        <w:tc>
          <w:tcPr>
            <w:tcW w:w="1152" w:type="dxa"/>
            <w:vAlign w:val="center"/>
          </w:tcPr>
          <w:p>
            <w:pPr>
              <w:jc w:val="center"/>
              <w:rPr>
                <w:rFonts w:asciiTheme="minorEastAsia" w:hAnsiTheme="minorEastAsia" w:eastAsiaTheme="minorEastAsia"/>
              </w:rPr>
            </w:pPr>
          </w:p>
        </w:tc>
        <w:tc>
          <w:tcPr>
            <w:tcW w:w="2548" w:type="dxa"/>
            <w:vAlign w:val="center"/>
          </w:tcPr>
          <w:p>
            <w:pPr>
              <w:jc w:val="center"/>
              <w:rPr>
                <w:rFonts w:asciiTheme="minorEastAsia" w:hAnsiTheme="minorEastAsia" w:eastAsiaTheme="minorEastAsia"/>
              </w:rPr>
            </w:pPr>
          </w:p>
        </w:tc>
        <w:tc>
          <w:tcPr>
            <w:tcW w:w="1337" w:type="dxa"/>
            <w:vAlign w:val="center"/>
          </w:tcPr>
          <w:p>
            <w:pPr>
              <w:jc w:val="center"/>
              <w:rPr>
                <w:rFonts w:asciiTheme="minorEastAsia" w:hAnsiTheme="minorEastAsia" w:eastAsiaTheme="minorEastAsia"/>
              </w:rPr>
            </w:pPr>
          </w:p>
        </w:tc>
        <w:tc>
          <w:tcPr>
            <w:tcW w:w="874" w:type="dxa"/>
            <w:tcBorders>
              <w:left w:val="single" w:color="auto" w:sz="4" w:space="0"/>
              <w:right w:val="single" w:color="auto" w:sz="4" w:space="0"/>
            </w:tcBorders>
            <w:vAlign w:val="center"/>
          </w:tcPr>
          <w:p>
            <w:pPr>
              <w:jc w:val="center"/>
              <w:rPr>
                <w:rFonts w:asciiTheme="minorEastAsia" w:hAnsiTheme="minorEastAsia" w:eastAsiaTheme="minorEastAsia"/>
              </w:rPr>
            </w:pPr>
          </w:p>
        </w:tc>
        <w:tc>
          <w:tcPr>
            <w:tcW w:w="1377" w:type="dxa"/>
            <w:vAlign w:val="center"/>
          </w:tcPr>
          <w:p>
            <w:pPr>
              <w:jc w:val="center"/>
              <w:rPr>
                <w:rFonts w:asciiTheme="minorEastAsia" w:hAnsiTheme="minorEastAsia" w:eastAsiaTheme="minorEastAsia"/>
              </w:rPr>
            </w:pPr>
          </w:p>
        </w:tc>
        <w:tc>
          <w:tcPr>
            <w:tcW w:w="1485" w:type="dxa"/>
            <w:vAlign w:val="center"/>
          </w:tcPr>
          <w:p>
            <w:pPr>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2" w:hRule="atLeast"/>
          <w:jc w:val="center"/>
        </w:trPr>
        <w:tc>
          <w:tcPr>
            <w:tcW w:w="638" w:type="dxa"/>
            <w:vAlign w:val="center"/>
          </w:tcPr>
          <w:p>
            <w:pPr>
              <w:jc w:val="center"/>
              <w:rPr>
                <w:rFonts w:asciiTheme="minorEastAsia" w:hAnsiTheme="minorEastAsia" w:eastAsiaTheme="minorEastAsia"/>
              </w:rPr>
            </w:pPr>
            <w:r>
              <w:rPr>
                <w:rFonts w:hint="eastAsia" w:asciiTheme="minorEastAsia" w:hAnsiTheme="minorEastAsia" w:eastAsiaTheme="minorEastAsia"/>
              </w:rPr>
              <w:t>7</w:t>
            </w:r>
          </w:p>
        </w:tc>
        <w:tc>
          <w:tcPr>
            <w:tcW w:w="1152" w:type="dxa"/>
            <w:vAlign w:val="center"/>
          </w:tcPr>
          <w:p>
            <w:pPr>
              <w:jc w:val="center"/>
              <w:rPr>
                <w:rFonts w:asciiTheme="minorEastAsia" w:hAnsiTheme="minorEastAsia" w:eastAsiaTheme="minorEastAsia"/>
              </w:rPr>
            </w:pPr>
          </w:p>
        </w:tc>
        <w:tc>
          <w:tcPr>
            <w:tcW w:w="2548" w:type="dxa"/>
            <w:vAlign w:val="center"/>
          </w:tcPr>
          <w:p>
            <w:pPr>
              <w:jc w:val="center"/>
              <w:rPr>
                <w:rFonts w:asciiTheme="minorEastAsia" w:hAnsiTheme="minorEastAsia" w:eastAsiaTheme="minorEastAsia"/>
              </w:rPr>
            </w:pPr>
          </w:p>
        </w:tc>
        <w:tc>
          <w:tcPr>
            <w:tcW w:w="1337" w:type="dxa"/>
            <w:vAlign w:val="center"/>
          </w:tcPr>
          <w:p>
            <w:pPr>
              <w:jc w:val="center"/>
              <w:rPr>
                <w:rFonts w:asciiTheme="minorEastAsia" w:hAnsiTheme="minorEastAsia" w:eastAsiaTheme="minorEastAsia"/>
              </w:rPr>
            </w:pPr>
          </w:p>
        </w:tc>
        <w:tc>
          <w:tcPr>
            <w:tcW w:w="874" w:type="dxa"/>
            <w:tcBorders>
              <w:left w:val="single" w:color="auto" w:sz="4" w:space="0"/>
              <w:right w:val="single" w:color="auto" w:sz="4" w:space="0"/>
            </w:tcBorders>
            <w:vAlign w:val="center"/>
          </w:tcPr>
          <w:p>
            <w:pPr>
              <w:jc w:val="center"/>
              <w:rPr>
                <w:rFonts w:asciiTheme="minorEastAsia" w:hAnsiTheme="minorEastAsia" w:eastAsiaTheme="minorEastAsia"/>
              </w:rPr>
            </w:pPr>
          </w:p>
        </w:tc>
        <w:tc>
          <w:tcPr>
            <w:tcW w:w="1377" w:type="dxa"/>
            <w:vAlign w:val="center"/>
          </w:tcPr>
          <w:p>
            <w:pPr>
              <w:jc w:val="center"/>
              <w:rPr>
                <w:rFonts w:asciiTheme="minorEastAsia" w:hAnsiTheme="minorEastAsia" w:eastAsiaTheme="minorEastAsia"/>
              </w:rPr>
            </w:pPr>
          </w:p>
        </w:tc>
        <w:tc>
          <w:tcPr>
            <w:tcW w:w="1485" w:type="dxa"/>
            <w:vAlign w:val="center"/>
          </w:tcPr>
          <w:p>
            <w:pPr>
              <w:jc w:val="center"/>
              <w:rPr>
                <w:rFonts w:asciiTheme="minorEastAsia" w:hAnsiTheme="minorEastAsia" w:eastAsiaTheme="minorEastAsia"/>
              </w:rPr>
            </w:pPr>
          </w:p>
        </w:tc>
      </w:tr>
    </w:tbl>
    <w:p>
      <w:pPr>
        <w:spacing w:before="240" w:beforeLines="100" w:after="240" w:afterLines="100" w:line="360" w:lineRule="auto"/>
        <w:jc w:val="center"/>
        <w:outlineLvl w:val="9"/>
      </w:pPr>
    </w:p>
    <w:p>
      <w:pPr>
        <w:spacing w:before="240" w:beforeLines="100" w:after="240" w:afterLines="100" w:line="276" w:lineRule="auto"/>
        <w:jc w:val="left"/>
        <w:outlineLvl w:val="2"/>
        <w:rPr>
          <w:rFonts w:asciiTheme="minorEastAsia" w:hAnsiTheme="minorEastAsia" w:eastAsiaTheme="minorEastAsia"/>
        </w:rPr>
      </w:pPr>
      <w:r>
        <w:rPr>
          <w:rFonts w:hint="eastAsia" w:asciiTheme="minorEastAsia" w:hAnsiTheme="minorEastAsia" w:eastAsiaTheme="minorEastAsia"/>
        </w:rPr>
        <w:t>注：1、投标供应商应随此表附上相关的业绩证明。</w:t>
      </w:r>
    </w:p>
    <w:p>
      <w:pPr>
        <w:spacing w:before="240" w:beforeLines="100" w:after="240" w:afterLines="100" w:line="276" w:lineRule="auto"/>
        <w:ind w:firstLine="420" w:firstLineChars="200"/>
        <w:outlineLvl w:val="2"/>
        <w:rPr>
          <w:rFonts w:asciiTheme="minorEastAsia" w:hAnsiTheme="minorEastAsia" w:eastAsiaTheme="minorEastAsia"/>
        </w:rPr>
      </w:pPr>
      <w:r>
        <w:rPr>
          <w:rFonts w:hint="eastAsia" w:asciiTheme="minorEastAsia" w:hAnsiTheme="minorEastAsia" w:eastAsiaTheme="minorEastAsia"/>
        </w:rPr>
        <w:t>2、如有多个类似项目，可按此表格扩展。</w:t>
      </w:r>
    </w:p>
    <w:p>
      <w:pPr>
        <w:spacing w:before="240" w:beforeLines="100" w:after="240" w:afterLines="100" w:line="360" w:lineRule="auto"/>
        <w:jc w:val="center"/>
        <w:outlineLvl w:val="9"/>
      </w:pPr>
    </w:p>
    <w:p>
      <w:pPr>
        <w:spacing w:before="240" w:beforeLines="100" w:after="240" w:afterLines="100" w:line="360" w:lineRule="auto"/>
        <w:jc w:val="center"/>
        <w:outlineLvl w:val="9"/>
      </w:pPr>
      <w:r>
        <w:br w:type="page"/>
      </w:r>
    </w:p>
    <w:p>
      <w:pPr>
        <w:spacing w:before="240" w:beforeLines="100" w:after="240" w:afterLines="100" w:line="360" w:lineRule="auto"/>
        <w:jc w:val="center"/>
        <w:outlineLvl w:val="2"/>
        <w:rPr>
          <w:rFonts w:ascii="宋体" w:hAnsi="宋体"/>
          <w:b/>
          <w:sz w:val="24"/>
        </w:rPr>
      </w:pPr>
      <w:r>
        <w:rPr>
          <w:rFonts w:hint="eastAsia" w:ascii="宋体" w:hAnsi="宋体"/>
          <w:b/>
          <w:sz w:val="24"/>
        </w:rPr>
        <w:t>五、 投标供应商认为有必要补充说明的事宜</w:t>
      </w:r>
    </w:p>
    <w:p>
      <w:pPr>
        <w:pStyle w:val="17"/>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1、依据招标文件要求，投标供应商认为有必要说明的其他内容；</w:t>
      </w:r>
    </w:p>
    <w:p>
      <w:pPr>
        <w:pStyle w:val="17"/>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2、其他可以证明投标供应商实力的文件 。</w:t>
      </w:r>
    </w:p>
    <w:p>
      <w:pPr>
        <w:pStyle w:val="17"/>
        <w:spacing w:line="276" w:lineRule="auto"/>
        <w:jc w:val="left"/>
        <w:rPr>
          <w:rFonts w:asciiTheme="minorEastAsia" w:hAnsiTheme="minorEastAsia" w:eastAsiaTheme="minorEastAsia"/>
        </w:rPr>
      </w:pPr>
    </w:p>
    <w:p>
      <w:pPr>
        <w:pStyle w:val="17"/>
      </w:pPr>
    </w:p>
    <w:p/>
    <w:p>
      <w:pPr>
        <w:pStyle w:val="17"/>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宋体-简">
    <w:altName w:val="宋体"/>
    <w:panose1 w:val="00000000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MS Gothic">
    <w:panose1 w:val="020B0609070205080204"/>
    <w:charset w:val="80"/>
    <w:family w:val="modern"/>
    <w:pitch w:val="default"/>
    <w:sig w:usb0="E00002FF" w:usb1="6AC7FDFB" w:usb2="00000012" w:usb3="00000000" w:csb0="4002009F" w:csb1="DFD70000"/>
  </w:font>
  <w:font w:name="隶书">
    <w:altName w:val="微软雅黑"/>
    <w:panose1 w:val="0201050906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725360"/>
      <w:docPartObj>
        <w:docPartGallery w:val="autotext"/>
      </w:docPartObj>
    </w:sdtPr>
    <w:sdtContent>
      <w:sdt>
        <w:sdtPr>
          <w:id w:val="1728636285"/>
          <w:docPartObj>
            <w:docPartGallery w:val="autotext"/>
          </w:docPartObj>
        </w:sdtPr>
        <w:sdtContent>
          <w:p>
            <w:pPr>
              <w:pStyle w:val="26"/>
              <w:jc w:val="center"/>
            </w:pPr>
            <w:r>
              <w:rPr>
                <w:lang w:val="zh-CN"/>
              </w:rPr>
              <w:t xml:space="preserve"> </w:t>
            </w:r>
            <w:r>
              <w:rPr>
                <w:lang w:val="zh-CN"/>
              </w:rPr>
              <w:fldChar w:fldCharType="begin"/>
            </w:r>
            <w:r>
              <w:rPr>
                <w:lang w:val="zh-CN"/>
              </w:rPr>
              <w:instrText xml:space="preserve">PAGE</w:instrText>
            </w:r>
            <w:r>
              <w:rPr>
                <w:lang w:val="zh-CN"/>
              </w:rPr>
              <w:fldChar w:fldCharType="separate"/>
            </w:r>
            <w:r>
              <w:rPr>
                <w:lang w:val="zh-CN"/>
              </w:rPr>
              <w:t>3</w:t>
            </w:r>
            <w:r>
              <w:rPr>
                <w:lang w:val="zh-CN"/>
              </w:rPr>
              <w:fldChar w:fldCharType="end"/>
            </w:r>
            <w:r>
              <w:rPr>
                <w:lang w:val="zh-CN"/>
              </w:rPr>
              <w:t xml:space="preserve"> / </w:t>
            </w:r>
            <w:r>
              <w:rPr>
                <w:lang w:val="zh-CN"/>
              </w:rPr>
              <w:fldChar w:fldCharType="begin"/>
            </w:r>
            <w:r>
              <w:rPr>
                <w:lang w:val="zh-CN"/>
              </w:rPr>
              <w:instrText xml:space="preserve">NUMPAGES</w:instrText>
            </w:r>
            <w:r>
              <w:rPr>
                <w:lang w:val="zh-CN"/>
              </w:rPr>
              <w:fldChar w:fldCharType="separate"/>
            </w:r>
            <w:r>
              <w:rPr>
                <w:lang w:val="zh-CN"/>
              </w:rPr>
              <w:t>72</w:t>
            </w:r>
            <w:r>
              <w:rPr>
                <w:lang w:val="zh-CN"/>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170001"/>
      <w:docPartObj>
        <w:docPartGallery w:val="autotext"/>
      </w:docPartObj>
    </w:sdtPr>
    <w:sdtContent>
      <w:p>
        <w:pPr>
          <w:pStyle w:val="26"/>
          <w:jc w:val="center"/>
        </w:pPr>
        <w:r>
          <w:rPr>
            <w:rFonts w:hint="eastAsia" w:asciiTheme="minorEastAsia" w:hAnsiTheme="minorEastAsia" w:eastAsiaTheme="minorEastAsia"/>
          </w:rPr>
          <w:t xml:space="preserve"> </w:t>
        </w:r>
        <w:r>
          <w:fldChar w:fldCharType="begin"/>
        </w:r>
        <w:r>
          <w:instrText xml:space="preserve"> PAGE   \* MERGEFORMAT </w:instrText>
        </w:r>
        <w:r>
          <w:fldChar w:fldCharType="separate"/>
        </w:r>
        <w:r>
          <w:rPr>
            <w:lang w:val="zh-CN"/>
          </w:rPr>
          <w:t>47</w:t>
        </w:r>
        <w:r>
          <w:rPr>
            <w:lang w:val="zh-CN"/>
          </w:rPr>
          <w:fldChar w:fldCharType="end"/>
        </w:r>
        <w:r>
          <w:rPr>
            <w:rFonts w:hint="eastAsia"/>
          </w:rPr>
          <w:t xml:space="preserve">                                  </w:t>
        </w:r>
      </w:p>
    </w:sdtContent>
  </w:sdt>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3BEB9"/>
    <w:multiLevelType w:val="singleLevel"/>
    <w:tmpl w:val="8763BEB9"/>
    <w:lvl w:ilvl="0" w:tentative="0">
      <w:start w:val="1"/>
      <w:numFmt w:val="decimal"/>
      <w:suff w:val="nothing"/>
      <w:lvlText w:val="（%1）"/>
      <w:lvlJc w:val="left"/>
    </w:lvl>
  </w:abstractNum>
  <w:abstractNum w:abstractNumId="1">
    <w:nsid w:val="91EC90D7"/>
    <w:multiLevelType w:val="singleLevel"/>
    <w:tmpl w:val="91EC90D7"/>
    <w:lvl w:ilvl="0" w:tentative="0">
      <w:start w:val="1"/>
      <w:numFmt w:val="chineseCounting"/>
      <w:suff w:val="nothing"/>
      <w:lvlText w:val="%1、"/>
      <w:lvlJc w:val="left"/>
      <w:rPr>
        <w:rFonts w:hint="eastAsia"/>
      </w:rPr>
    </w:lvl>
  </w:abstractNum>
  <w:abstractNum w:abstractNumId="2">
    <w:nsid w:val="C4B6E16F"/>
    <w:multiLevelType w:val="singleLevel"/>
    <w:tmpl w:val="C4B6E16F"/>
    <w:lvl w:ilvl="0" w:tentative="0">
      <w:start w:val="9"/>
      <w:numFmt w:val="chineseCounting"/>
      <w:suff w:val="nothing"/>
      <w:lvlText w:val="%1、"/>
      <w:lvlJc w:val="left"/>
      <w:rPr>
        <w:rFonts w:hint="eastAsia"/>
      </w:rPr>
    </w:lvl>
  </w:abstractNum>
  <w:abstractNum w:abstractNumId="3">
    <w:nsid w:val="E05F19F2"/>
    <w:multiLevelType w:val="singleLevel"/>
    <w:tmpl w:val="E05F19F2"/>
    <w:lvl w:ilvl="0" w:tentative="0">
      <w:start w:val="17"/>
      <w:numFmt w:val="chineseCounting"/>
      <w:suff w:val="nothing"/>
      <w:lvlText w:val="%1、"/>
      <w:lvlJc w:val="left"/>
      <w:rPr>
        <w:rFonts w:hint="eastAsia"/>
      </w:rPr>
    </w:lvl>
  </w:abstractNum>
  <w:abstractNum w:abstractNumId="4">
    <w:nsid w:val="0000000A"/>
    <w:multiLevelType w:val="singleLevel"/>
    <w:tmpl w:val="0000000A"/>
    <w:lvl w:ilvl="0" w:tentative="0">
      <w:start w:val="1"/>
      <w:numFmt w:val="upperLetter"/>
      <w:pStyle w:val="96"/>
      <w:lvlText w:val="%1．"/>
      <w:lvlJc w:val="left"/>
      <w:pPr>
        <w:tabs>
          <w:tab w:val="left" w:pos="324"/>
        </w:tabs>
        <w:ind w:left="324" w:hanging="324"/>
      </w:pPr>
      <w:rPr>
        <w:rFonts w:hint="eastAsia"/>
      </w:rPr>
    </w:lvl>
  </w:abstractNum>
  <w:abstractNum w:abstractNumId="5">
    <w:nsid w:val="12200988"/>
    <w:multiLevelType w:val="multilevel"/>
    <w:tmpl w:val="12200988"/>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E7ECB66"/>
    <w:multiLevelType w:val="singleLevel"/>
    <w:tmpl w:val="2E7ECB66"/>
    <w:lvl w:ilvl="0" w:tentative="0">
      <w:start w:val="5"/>
      <w:numFmt w:val="chineseCounting"/>
      <w:suff w:val="nothing"/>
      <w:lvlText w:val="%1、"/>
      <w:lvlJc w:val="left"/>
      <w:rPr>
        <w:rFonts w:hint="eastAsia"/>
      </w:rPr>
    </w:lvl>
  </w:abstractNum>
  <w:abstractNum w:abstractNumId="7">
    <w:nsid w:val="362D8343"/>
    <w:multiLevelType w:val="singleLevel"/>
    <w:tmpl w:val="362D8343"/>
    <w:lvl w:ilvl="0" w:tentative="0">
      <w:start w:val="6"/>
      <w:numFmt w:val="chineseCounting"/>
      <w:suff w:val="nothing"/>
      <w:lvlText w:val="%1、"/>
      <w:lvlJc w:val="left"/>
      <w:rPr>
        <w:rFonts w:hint="eastAsia"/>
      </w:rPr>
    </w:lvl>
  </w:abstractNum>
  <w:abstractNum w:abstractNumId="8">
    <w:nsid w:val="5B494F61"/>
    <w:multiLevelType w:val="singleLevel"/>
    <w:tmpl w:val="5B494F61"/>
    <w:lvl w:ilvl="0" w:tentative="0">
      <w:start w:val="1"/>
      <w:numFmt w:val="decimal"/>
      <w:suff w:val="nothing"/>
      <w:lvlText w:val="（%1）"/>
      <w:lvlJc w:val="left"/>
    </w:lvl>
  </w:abstractNum>
  <w:abstractNum w:abstractNumId="9">
    <w:nsid w:val="5DCD998A"/>
    <w:multiLevelType w:val="multilevel"/>
    <w:tmpl w:val="5DCD998A"/>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10">
    <w:nsid w:val="681BF923"/>
    <w:multiLevelType w:val="singleLevel"/>
    <w:tmpl w:val="681BF923"/>
    <w:lvl w:ilvl="0" w:tentative="0">
      <w:start w:val="1"/>
      <w:numFmt w:val="decimal"/>
      <w:suff w:val="nothing"/>
      <w:lvlText w:val="（%1）"/>
      <w:lvlJc w:val="left"/>
    </w:lvl>
  </w:abstractNum>
  <w:num w:numId="1">
    <w:abstractNumId w:val="9"/>
  </w:num>
  <w:num w:numId="2">
    <w:abstractNumId w:val="4"/>
  </w:num>
  <w:num w:numId="3">
    <w:abstractNumId w:val="0"/>
  </w:num>
  <w:num w:numId="4">
    <w:abstractNumId w:val="10"/>
  </w:num>
  <w:num w:numId="5">
    <w:abstractNumId w:val="8"/>
  </w:num>
  <w:num w:numId="6">
    <w:abstractNumId w:val="1"/>
  </w:num>
  <w:num w:numId="7">
    <w:abstractNumId w:val="5"/>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FhNzg0YmMwNDcwNWI0ODFlNjNmODc2MzlmNTljZWUifQ=="/>
  </w:docVars>
  <w:rsids>
    <w:rsidRoot w:val="006F1F4D"/>
    <w:rsid w:val="00001352"/>
    <w:rsid w:val="00004697"/>
    <w:rsid w:val="000047D2"/>
    <w:rsid w:val="00006075"/>
    <w:rsid w:val="00006E84"/>
    <w:rsid w:val="00007FA0"/>
    <w:rsid w:val="00015EB9"/>
    <w:rsid w:val="0001687B"/>
    <w:rsid w:val="0001713B"/>
    <w:rsid w:val="00020408"/>
    <w:rsid w:val="000209BB"/>
    <w:rsid w:val="00021656"/>
    <w:rsid w:val="00021CFD"/>
    <w:rsid w:val="000229F4"/>
    <w:rsid w:val="00030466"/>
    <w:rsid w:val="000319BD"/>
    <w:rsid w:val="000347A1"/>
    <w:rsid w:val="000372A9"/>
    <w:rsid w:val="00037F6D"/>
    <w:rsid w:val="00041337"/>
    <w:rsid w:val="00042192"/>
    <w:rsid w:val="00043ED5"/>
    <w:rsid w:val="00045904"/>
    <w:rsid w:val="0004777B"/>
    <w:rsid w:val="0005035C"/>
    <w:rsid w:val="000524CE"/>
    <w:rsid w:val="000529A5"/>
    <w:rsid w:val="00057A40"/>
    <w:rsid w:val="00057EAD"/>
    <w:rsid w:val="00061EE5"/>
    <w:rsid w:val="0006226E"/>
    <w:rsid w:val="000641D1"/>
    <w:rsid w:val="00066BFE"/>
    <w:rsid w:val="00072179"/>
    <w:rsid w:val="00073276"/>
    <w:rsid w:val="0007427B"/>
    <w:rsid w:val="00075F27"/>
    <w:rsid w:val="00084496"/>
    <w:rsid w:val="000847B3"/>
    <w:rsid w:val="00085FBB"/>
    <w:rsid w:val="00090747"/>
    <w:rsid w:val="0009220A"/>
    <w:rsid w:val="00094472"/>
    <w:rsid w:val="000948DE"/>
    <w:rsid w:val="000A3BD8"/>
    <w:rsid w:val="000A4587"/>
    <w:rsid w:val="000A45D3"/>
    <w:rsid w:val="000A4B31"/>
    <w:rsid w:val="000A4E65"/>
    <w:rsid w:val="000A6CFA"/>
    <w:rsid w:val="000A7C94"/>
    <w:rsid w:val="000B043B"/>
    <w:rsid w:val="000B192D"/>
    <w:rsid w:val="000B679B"/>
    <w:rsid w:val="000C796F"/>
    <w:rsid w:val="000D1154"/>
    <w:rsid w:val="000D3A41"/>
    <w:rsid w:val="000D4619"/>
    <w:rsid w:val="000D68AF"/>
    <w:rsid w:val="000D7F81"/>
    <w:rsid w:val="000E5FCC"/>
    <w:rsid w:val="000F0D49"/>
    <w:rsid w:val="000F399B"/>
    <w:rsid w:val="000F4506"/>
    <w:rsid w:val="000F7437"/>
    <w:rsid w:val="001003EE"/>
    <w:rsid w:val="00101111"/>
    <w:rsid w:val="00107792"/>
    <w:rsid w:val="00110826"/>
    <w:rsid w:val="00111BA1"/>
    <w:rsid w:val="001124A1"/>
    <w:rsid w:val="001132FF"/>
    <w:rsid w:val="00113400"/>
    <w:rsid w:val="00114E61"/>
    <w:rsid w:val="00115A99"/>
    <w:rsid w:val="00115B31"/>
    <w:rsid w:val="00117A30"/>
    <w:rsid w:val="00117B8D"/>
    <w:rsid w:val="001248EF"/>
    <w:rsid w:val="00126C56"/>
    <w:rsid w:val="00132FBF"/>
    <w:rsid w:val="0013319B"/>
    <w:rsid w:val="001344ED"/>
    <w:rsid w:val="00134CF6"/>
    <w:rsid w:val="001403BC"/>
    <w:rsid w:val="001416B7"/>
    <w:rsid w:val="00141B1E"/>
    <w:rsid w:val="00145D67"/>
    <w:rsid w:val="0014693F"/>
    <w:rsid w:val="00146E4F"/>
    <w:rsid w:val="00147964"/>
    <w:rsid w:val="0015296F"/>
    <w:rsid w:val="00154969"/>
    <w:rsid w:val="00156550"/>
    <w:rsid w:val="001608CE"/>
    <w:rsid w:val="001630BF"/>
    <w:rsid w:val="0016549A"/>
    <w:rsid w:val="0017396E"/>
    <w:rsid w:val="00175B29"/>
    <w:rsid w:val="00176356"/>
    <w:rsid w:val="00176AAD"/>
    <w:rsid w:val="00176DC4"/>
    <w:rsid w:val="00180EA4"/>
    <w:rsid w:val="0018272E"/>
    <w:rsid w:val="001839D7"/>
    <w:rsid w:val="00186D75"/>
    <w:rsid w:val="00186F63"/>
    <w:rsid w:val="00187225"/>
    <w:rsid w:val="00191978"/>
    <w:rsid w:val="00195279"/>
    <w:rsid w:val="001A0105"/>
    <w:rsid w:val="001A69D4"/>
    <w:rsid w:val="001B0DCA"/>
    <w:rsid w:val="001B3134"/>
    <w:rsid w:val="001B361E"/>
    <w:rsid w:val="001B5A1F"/>
    <w:rsid w:val="001B683F"/>
    <w:rsid w:val="001C240B"/>
    <w:rsid w:val="001C46D3"/>
    <w:rsid w:val="001C7427"/>
    <w:rsid w:val="001D0315"/>
    <w:rsid w:val="001D1FD8"/>
    <w:rsid w:val="001D365D"/>
    <w:rsid w:val="001D44D8"/>
    <w:rsid w:val="001D596B"/>
    <w:rsid w:val="001D624E"/>
    <w:rsid w:val="001D672B"/>
    <w:rsid w:val="001D6C84"/>
    <w:rsid w:val="001E574E"/>
    <w:rsid w:val="001E6F15"/>
    <w:rsid w:val="001F21E0"/>
    <w:rsid w:val="001F3758"/>
    <w:rsid w:val="001F62A1"/>
    <w:rsid w:val="00203067"/>
    <w:rsid w:val="002037F4"/>
    <w:rsid w:val="00204583"/>
    <w:rsid w:val="002048B7"/>
    <w:rsid w:val="00204C77"/>
    <w:rsid w:val="00206F7C"/>
    <w:rsid w:val="0020739F"/>
    <w:rsid w:val="0021017F"/>
    <w:rsid w:val="00216352"/>
    <w:rsid w:val="0022325A"/>
    <w:rsid w:val="0022370E"/>
    <w:rsid w:val="00225626"/>
    <w:rsid w:val="002265C1"/>
    <w:rsid w:val="002332FD"/>
    <w:rsid w:val="00235545"/>
    <w:rsid w:val="002363DE"/>
    <w:rsid w:val="0024156E"/>
    <w:rsid w:val="00241D3D"/>
    <w:rsid w:val="00243015"/>
    <w:rsid w:val="00244526"/>
    <w:rsid w:val="00245D0F"/>
    <w:rsid w:val="0025189A"/>
    <w:rsid w:val="00253B98"/>
    <w:rsid w:val="00254872"/>
    <w:rsid w:val="002552BB"/>
    <w:rsid w:val="002603BA"/>
    <w:rsid w:val="00260791"/>
    <w:rsid w:val="00261951"/>
    <w:rsid w:val="00262A82"/>
    <w:rsid w:val="00262ACB"/>
    <w:rsid w:val="002652CA"/>
    <w:rsid w:val="00265615"/>
    <w:rsid w:val="002679D2"/>
    <w:rsid w:val="00270FAE"/>
    <w:rsid w:val="002857F1"/>
    <w:rsid w:val="00291600"/>
    <w:rsid w:val="002939E5"/>
    <w:rsid w:val="00293E24"/>
    <w:rsid w:val="00293F7D"/>
    <w:rsid w:val="002951A4"/>
    <w:rsid w:val="00295AAF"/>
    <w:rsid w:val="00296AD7"/>
    <w:rsid w:val="00297F5D"/>
    <w:rsid w:val="002A1906"/>
    <w:rsid w:val="002A5BFC"/>
    <w:rsid w:val="002B1F6D"/>
    <w:rsid w:val="002B2667"/>
    <w:rsid w:val="002B3453"/>
    <w:rsid w:val="002B43CF"/>
    <w:rsid w:val="002B5388"/>
    <w:rsid w:val="002B5F3E"/>
    <w:rsid w:val="002B65AC"/>
    <w:rsid w:val="002C3A1F"/>
    <w:rsid w:val="002C7240"/>
    <w:rsid w:val="002C7E24"/>
    <w:rsid w:val="002D1E95"/>
    <w:rsid w:val="002D3141"/>
    <w:rsid w:val="002D31A0"/>
    <w:rsid w:val="002D7B09"/>
    <w:rsid w:val="002E21C5"/>
    <w:rsid w:val="002E22B9"/>
    <w:rsid w:val="002E61AF"/>
    <w:rsid w:val="002E7CDD"/>
    <w:rsid w:val="002F0F1D"/>
    <w:rsid w:val="002F5965"/>
    <w:rsid w:val="002F5DBE"/>
    <w:rsid w:val="00311839"/>
    <w:rsid w:val="0031540B"/>
    <w:rsid w:val="00315BB5"/>
    <w:rsid w:val="003160D9"/>
    <w:rsid w:val="0031774A"/>
    <w:rsid w:val="00317B5D"/>
    <w:rsid w:val="0032111E"/>
    <w:rsid w:val="00322CC0"/>
    <w:rsid w:val="00325FE9"/>
    <w:rsid w:val="00327AB2"/>
    <w:rsid w:val="00330B81"/>
    <w:rsid w:val="00333366"/>
    <w:rsid w:val="00337463"/>
    <w:rsid w:val="00340183"/>
    <w:rsid w:val="00340AAE"/>
    <w:rsid w:val="00342592"/>
    <w:rsid w:val="00343512"/>
    <w:rsid w:val="003442E9"/>
    <w:rsid w:val="0034623D"/>
    <w:rsid w:val="003469CA"/>
    <w:rsid w:val="00347602"/>
    <w:rsid w:val="0035751C"/>
    <w:rsid w:val="003604D9"/>
    <w:rsid w:val="00364565"/>
    <w:rsid w:val="00365BB0"/>
    <w:rsid w:val="003700C7"/>
    <w:rsid w:val="003713EC"/>
    <w:rsid w:val="00375005"/>
    <w:rsid w:val="00381CBF"/>
    <w:rsid w:val="003829AB"/>
    <w:rsid w:val="00384D96"/>
    <w:rsid w:val="00391F05"/>
    <w:rsid w:val="00392C6A"/>
    <w:rsid w:val="003942E8"/>
    <w:rsid w:val="00396614"/>
    <w:rsid w:val="003A1715"/>
    <w:rsid w:val="003A2A10"/>
    <w:rsid w:val="003A30BD"/>
    <w:rsid w:val="003A3B13"/>
    <w:rsid w:val="003A4EA2"/>
    <w:rsid w:val="003A59E1"/>
    <w:rsid w:val="003A6D71"/>
    <w:rsid w:val="003A7FE6"/>
    <w:rsid w:val="003B160F"/>
    <w:rsid w:val="003B4395"/>
    <w:rsid w:val="003B477B"/>
    <w:rsid w:val="003B58CC"/>
    <w:rsid w:val="003C116D"/>
    <w:rsid w:val="003C3602"/>
    <w:rsid w:val="003C3663"/>
    <w:rsid w:val="003C5238"/>
    <w:rsid w:val="003C57AA"/>
    <w:rsid w:val="003C622F"/>
    <w:rsid w:val="003C7599"/>
    <w:rsid w:val="003C7A23"/>
    <w:rsid w:val="003D1038"/>
    <w:rsid w:val="003D462B"/>
    <w:rsid w:val="003E1EA6"/>
    <w:rsid w:val="003E3415"/>
    <w:rsid w:val="003E42C1"/>
    <w:rsid w:val="003E4BCD"/>
    <w:rsid w:val="003E758A"/>
    <w:rsid w:val="003F45F0"/>
    <w:rsid w:val="003F6B6F"/>
    <w:rsid w:val="003F6FF2"/>
    <w:rsid w:val="004019B5"/>
    <w:rsid w:val="004061AF"/>
    <w:rsid w:val="00406294"/>
    <w:rsid w:val="00406D12"/>
    <w:rsid w:val="00407D10"/>
    <w:rsid w:val="00411B5B"/>
    <w:rsid w:val="0041207A"/>
    <w:rsid w:val="004123EE"/>
    <w:rsid w:val="00413125"/>
    <w:rsid w:val="00414FFC"/>
    <w:rsid w:val="00416346"/>
    <w:rsid w:val="004206F0"/>
    <w:rsid w:val="004219C6"/>
    <w:rsid w:val="00422D42"/>
    <w:rsid w:val="00422EC3"/>
    <w:rsid w:val="004256E4"/>
    <w:rsid w:val="00426B94"/>
    <w:rsid w:val="00431185"/>
    <w:rsid w:val="00431D65"/>
    <w:rsid w:val="00431F0D"/>
    <w:rsid w:val="0043376F"/>
    <w:rsid w:val="00434AFD"/>
    <w:rsid w:val="00440CA9"/>
    <w:rsid w:val="00450314"/>
    <w:rsid w:val="00452BC2"/>
    <w:rsid w:val="00452C0D"/>
    <w:rsid w:val="00452D0B"/>
    <w:rsid w:val="004540E3"/>
    <w:rsid w:val="004543BF"/>
    <w:rsid w:val="0046674A"/>
    <w:rsid w:val="00466916"/>
    <w:rsid w:val="00473EB7"/>
    <w:rsid w:val="004752AD"/>
    <w:rsid w:val="00476BEF"/>
    <w:rsid w:val="00477A05"/>
    <w:rsid w:val="00480BDB"/>
    <w:rsid w:val="00480CD8"/>
    <w:rsid w:val="00481D68"/>
    <w:rsid w:val="004905C0"/>
    <w:rsid w:val="0049323A"/>
    <w:rsid w:val="0049349A"/>
    <w:rsid w:val="00495820"/>
    <w:rsid w:val="00497635"/>
    <w:rsid w:val="00497867"/>
    <w:rsid w:val="004A2075"/>
    <w:rsid w:val="004A2729"/>
    <w:rsid w:val="004B075D"/>
    <w:rsid w:val="004B082C"/>
    <w:rsid w:val="004B2771"/>
    <w:rsid w:val="004B3611"/>
    <w:rsid w:val="004B3A38"/>
    <w:rsid w:val="004B52BF"/>
    <w:rsid w:val="004B6932"/>
    <w:rsid w:val="004B7333"/>
    <w:rsid w:val="004C2F62"/>
    <w:rsid w:val="004C32AD"/>
    <w:rsid w:val="004C7134"/>
    <w:rsid w:val="004D00AA"/>
    <w:rsid w:val="004D04BF"/>
    <w:rsid w:val="004D5C19"/>
    <w:rsid w:val="004D789A"/>
    <w:rsid w:val="004E0028"/>
    <w:rsid w:val="004E0910"/>
    <w:rsid w:val="004E2D2B"/>
    <w:rsid w:val="004E3AC7"/>
    <w:rsid w:val="004E3B3D"/>
    <w:rsid w:val="004E532F"/>
    <w:rsid w:val="004F0058"/>
    <w:rsid w:val="004F025C"/>
    <w:rsid w:val="004F40F8"/>
    <w:rsid w:val="004F5CF9"/>
    <w:rsid w:val="00501800"/>
    <w:rsid w:val="00501E78"/>
    <w:rsid w:val="00502176"/>
    <w:rsid w:val="005039F2"/>
    <w:rsid w:val="00506DB2"/>
    <w:rsid w:val="0051003E"/>
    <w:rsid w:val="005104C4"/>
    <w:rsid w:val="00511E46"/>
    <w:rsid w:val="00513DC3"/>
    <w:rsid w:val="00515330"/>
    <w:rsid w:val="005221FC"/>
    <w:rsid w:val="005229D4"/>
    <w:rsid w:val="00523143"/>
    <w:rsid w:val="00524F79"/>
    <w:rsid w:val="00530CE0"/>
    <w:rsid w:val="005371DB"/>
    <w:rsid w:val="005423E9"/>
    <w:rsid w:val="00542BE3"/>
    <w:rsid w:val="00542FB1"/>
    <w:rsid w:val="00543382"/>
    <w:rsid w:val="00543900"/>
    <w:rsid w:val="00546384"/>
    <w:rsid w:val="00550289"/>
    <w:rsid w:val="00550A41"/>
    <w:rsid w:val="005514CD"/>
    <w:rsid w:val="005536BB"/>
    <w:rsid w:val="005542B1"/>
    <w:rsid w:val="00554CA8"/>
    <w:rsid w:val="00554D1C"/>
    <w:rsid w:val="00556E4F"/>
    <w:rsid w:val="00560575"/>
    <w:rsid w:val="005612C0"/>
    <w:rsid w:val="00561A6C"/>
    <w:rsid w:val="00562011"/>
    <w:rsid w:val="00563A7A"/>
    <w:rsid w:val="00566601"/>
    <w:rsid w:val="00567084"/>
    <w:rsid w:val="00570C0E"/>
    <w:rsid w:val="00581EDA"/>
    <w:rsid w:val="00582138"/>
    <w:rsid w:val="00584DA9"/>
    <w:rsid w:val="00584EC0"/>
    <w:rsid w:val="00585516"/>
    <w:rsid w:val="00585558"/>
    <w:rsid w:val="00586676"/>
    <w:rsid w:val="0059029A"/>
    <w:rsid w:val="00590D84"/>
    <w:rsid w:val="005910B0"/>
    <w:rsid w:val="005A037A"/>
    <w:rsid w:val="005A2311"/>
    <w:rsid w:val="005A2B58"/>
    <w:rsid w:val="005A387C"/>
    <w:rsid w:val="005A5428"/>
    <w:rsid w:val="005A5C5D"/>
    <w:rsid w:val="005A645E"/>
    <w:rsid w:val="005A6639"/>
    <w:rsid w:val="005B14EB"/>
    <w:rsid w:val="005B15CA"/>
    <w:rsid w:val="005B1B79"/>
    <w:rsid w:val="005B2228"/>
    <w:rsid w:val="005B3399"/>
    <w:rsid w:val="005B57C1"/>
    <w:rsid w:val="005B5BEB"/>
    <w:rsid w:val="005C1E74"/>
    <w:rsid w:val="005C5B65"/>
    <w:rsid w:val="005C6A95"/>
    <w:rsid w:val="005D5726"/>
    <w:rsid w:val="005E04EC"/>
    <w:rsid w:val="005E2C64"/>
    <w:rsid w:val="005E3242"/>
    <w:rsid w:val="005E431D"/>
    <w:rsid w:val="005E4629"/>
    <w:rsid w:val="005F0F2F"/>
    <w:rsid w:val="005F3831"/>
    <w:rsid w:val="005F64A7"/>
    <w:rsid w:val="005F732D"/>
    <w:rsid w:val="00612608"/>
    <w:rsid w:val="00612C8D"/>
    <w:rsid w:val="00613BA0"/>
    <w:rsid w:val="006141F8"/>
    <w:rsid w:val="006143B9"/>
    <w:rsid w:val="00614FC4"/>
    <w:rsid w:val="00620D59"/>
    <w:rsid w:val="00621C6E"/>
    <w:rsid w:val="00623842"/>
    <w:rsid w:val="00625C1D"/>
    <w:rsid w:val="00627241"/>
    <w:rsid w:val="00630E69"/>
    <w:rsid w:val="00630E86"/>
    <w:rsid w:val="00633A28"/>
    <w:rsid w:val="00633A83"/>
    <w:rsid w:val="006353AF"/>
    <w:rsid w:val="00635F09"/>
    <w:rsid w:val="00640A41"/>
    <w:rsid w:val="00641A9C"/>
    <w:rsid w:val="00642DC5"/>
    <w:rsid w:val="0064493E"/>
    <w:rsid w:val="006523AA"/>
    <w:rsid w:val="006539E4"/>
    <w:rsid w:val="006565FF"/>
    <w:rsid w:val="00656A01"/>
    <w:rsid w:val="00656DE5"/>
    <w:rsid w:val="00656EEE"/>
    <w:rsid w:val="00656F73"/>
    <w:rsid w:val="0065717C"/>
    <w:rsid w:val="00665F0C"/>
    <w:rsid w:val="006672C5"/>
    <w:rsid w:val="006753AE"/>
    <w:rsid w:val="0068224D"/>
    <w:rsid w:val="006876BF"/>
    <w:rsid w:val="0069046F"/>
    <w:rsid w:val="0069242F"/>
    <w:rsid w:val="006941DA"/>
    <w:rsid w:val="00694241"/>
    <w:rsid w:val="006956F5"/>
    <w:rsid w:val="00696AF0"/>
    <w:rsid w:val="006A36F5"/>
    <w:rsid w:val="006A372B"/>
    <w:rsid w:val="006A478F"/>
    <w:rsid w:val="006A4B22"/>
    <w:rsid w:val="006B3548"/>
    <w:rsid w:val="006B48A5"/>
    <w:rsid w:val="006B795E"/>
    <w:rsid w:val="006B7D35"/>
    <w:rsid w:val="006C006B"/>
    <w:rsid w:val="006C4CCF"/>
    <w:rsid w:val="006C7D9F"/>
    <w:rsid w:val="006D25C1"/>
    <w:rsid w:val="006D33C3"/>
    <w:rsid w:val="006D4F13"/>
    <w:rsid w:val="006E1F4D"/>
    <w:rsid w:val="006E3642"/>
    <w:rsid w:val="006E38D8"/>
    <w:rsid w:val="006E4509"/>
    <w:rsid w:val="006F142F"/>
    <w:rsid w:val="006F1F4D"/>
    <w:rsid w:val="006F26F0"/>
    <w:rsid w:val="006F39A4"/>
    <w:rsid w:val="006F73E6"/>
    <w:rsid w:val="00701395"/>
    <w:rsid w:val="007032F6"/>
    <w:rsid w:val="007059DA"/>
    <w:rsid w:val="00706540"/>
    <w:rsid w:val="0070760C"/>
    <w:rsid w:val="00707AC6"/>
    <w:rsid w:val="00710162"/>
    <w:rsid w:val="0071654C"/>
    <w:rsid w:val="00716CA2"/>
    <w:rsid w:val="00721A7A"/>
    <w:rsid w:val="007262F3"/>
    <w:rsid w:val="00727A6A"/>
    <w:rsid w:val="0073028A"/>
    <w:rsid w:val="007303CF"/>
    <w:rsid w:val="00732F6B"/>
    <w:rsid w:val="00732FD3"/>
    <w:rsid w:val="00736F61"/>
    <w:rsid w:val="007371A0"/>
    <w:rsid w:val="0074036C"/>
    <w:rsid w:val="0074453B"/>
    <w:rsid w:val="00744CE3"/>
    <w:rsid w:val="0074516C"/>
    <w:rsid w:val="007460D6"/>
    <w:rsid w:val="00750A69"/>
    <w:rsid w:val="0075255E"/>
    <w:rsid w:val="00753250"/>
    <w:rsid w:val="00760A16"/>
    <w:rsid w:val="00762E41"/>
    <w:rsid w:val="0076411E"/>
    <w:rsid w:val="007650F6"/>
    <w:rsid w:val="00765D26"/>
    <w:rsid w:val="00766913"/>
    <w:rsid w:val="00773661"/>
    <w:rsid w:val="0077418D"/>
    <w:rsid w:val="00774784"/>
    <w:rsid w:val="00775517"/>
    <w:rsid w:val="00780876"/>
    <w:rsid w:val="00784FB6"/>
    <w:rsid w:val="00790882"/>
    <w:rsid w:val="00791803"/>
    <w:rsid w:val="00794470"/>
    <w:rsid w:val="00795390"/>
    <w:rsid w:val="00795F1E"/>
    <w:rsid w:val="007979D8"/>
    <w:rsid w:val="007A0C35"/>
    <w:rsid w:val="007A1891"/>
    <w:rsid w:val="007A4244"/>
    <w:rsid w:val="007A524F"/>
    <w:rsid w:val="007A7EA1"/>
    <w:rsid w:val="007B06FA"/>
    <w:rsid w:val="007B1C22"/>
    <w:rsid w:val="007B6F2D"/>
    <w:rsid w:val="007C0219"/>
    <w:rsid w:val="007C2EFB"/>
    <w:rsid w:val="007C613B"/>
    <w:rsid w:val="007C651B"/>
    <w:rsid w:val="007D01F5"/>
    <w:rsid w:val="007D3872"/>
    <w:rsid w:val="007D67E5"/>
    <w:rsid w:val="007E5D7C"/>
    <w:rsid w:val="007F1BB7"/>
    <w:rsid w:val="007F2514"/>
    <w:rsid w:val="007F280B"/>
    <w:rsid w:val="007F4042"/>
    <w:rsid w:val="007F45BB"/>
    <w:rsid w:val="007F4C1F"/>
    <w:rsid w:val="007F507D"/>
    <w:rsid w:val="007F6B26"/>
    <w:rsid w:val="0080390D"/>
    <w:rsid w:val="00804767"/>
    <w:rsid w:val="00806144"/>
    <w:rsid w:val="00807734"/>
    <w:rsid w:val="00815746"/>
    <w:rsid w:val="00817F07"/>
    <w:rsid w:val="008218DD"/>
    <w:rsid w:val="00823032"/>
    <w:rsid w:val="008234D5"/>
    <w:rsid w:val="008249F5"/>
    <w:rsid w:val="00825A51"/>
    <w:rsid w:val="0082641E"/>
    <w:rsid w:val="00830106"/>
    <w:rsid w:val="00832440"/>
    <w:rsid w:val="00837098"/>
    <w:rsid w:val="0083736E"/>
    <w:rsid w:val="00840DEB"/>
    <w:rsid w:val="008422B4"/>
    <w:rsid w:val="008442A2"/>
    <w:rsid w:val="008467EF"/>
    <w:rsid w:val="0085337E"/>
    <w:rsid w:val="008533FD"/>
    <w:rsid w:val="008536F0"/>
    <w:rsid w:val="00855729"/>
    <w:rsid w:val="008567CB"/>
    <w:rsid w:val="008573C5"/>
    <w:rsid w:val="008578A9"/>
    <w:rsid w:val="008633EA"/>
    <w:rsid w:val="00871D5C"/>
    <w:rsid w:val="008732D0"/>
    <w:rsid w:val="00874E91"/>
    <w:rsid w:val="00876070"/>
    <w:rsid w:val="00880167"/>
    <w:rsid w:val="008809B2"/>
    <w:rsid w:val="00884373"/>
    <w:rsid w:val="00885334"/>
    <w:rsid w:val="00885C4B"/>
    <w:rsid w:val="00887832"/>
    <w:rsid w:val="008906F6"/>
    <w:rsid w:val="00890D57"/>
    <w:rsid w:val="00890FD5"/>
    <w:rsid w:val="00892023"/>
    <w:rsid w:val="00892CF5"/>
    <w:rsid w:val="008930F7"/>
    <w:rsid w:val="00893678"/>
    <w:rsid w:val="008A1A64"/>
    <w:rsid w:val="008A1BE7"/>
    <w:rsid w:val="008A2A91"/>
    <w:rsid w:val="008A2E5E"/>
    <w:rsid w:val="008A7A53"/>
    <w:rsid w:val="008B1B69"/>
    <w:rsid w:val="008B2340"/>
    <w:rsid w:val="008B2C94"/>
    <w:rsid w:val="008B309D"/>
    <w:rsid w:val="008B3101"/>
    <w:rsid w:val="008B34D2"/>
    <w:rsid w:val="008B621B"/>
    <w:rsid w:val="008B6B5D"/>
    <w:rsid w:val="008C02E3"/>
    <w:rsid w:val="008C09E6"/>
    <w:rsid w:val="008C2A5C"/>
    <w:rsid w:val="008C3D87"/>
    <w:rsid w:val="008C5DAC"/>
    <w:rsid w:val="008D04FB"/>
    <w:rsid w:val="008D39A5"/>
    <w:rsid w:val="008D457C"/>
    <w:rsid w:val="008D4C28"/>
    <w:rsid w:val="008D766A"/>
    <w:rsid w:val="008E3D4C"/>
    <w:rsid w:val="008E5598"/>
    <w:rsid w:val="008E60CE"/>
    <w:rsid w:val="008E62C3"/>
    <w:rsid w:val="008E66F2"/>
    <w:rsid w:val="008F03FC"/>
    <w:rsid w:val="008F16EE"/>
    <w:rsid w:val="008F4339"/>
    <w:rsid w:val="008F662E"/>
    <w:rsid w:val="009016D8"/>
    <w:rsid w:val="009026D3"/>
    <w:rsid w:val="00903393"/>
    <w:rsid w:val="009041FE"/>
    <w:rsid w:val="00912BA6"/>
    <w:rsid w:val="00913A54"/>
    <w:rsid w:val="00913E49"/>
    <w:rsid w:val="0091481D"/>
    <w:rsid w:val="009151FC"/>
    <w:rsid w:val="00916949"/>
    <w:rsid w:val="00916AD4"/>
    <w:rsid w:val="00922D60"/>
    <w:rsid w:val="00925EAF"/>
    <w:rsid w:val="009264F3"/>
    <w:rsid w:val="00926966"/>
    <w:rsid w:val="00930173"/>
    <w:rsid w:val="009314CB"/>
    <w:rsid w:val="00931EA3"/>
    <w:rsid w:val="00932A16"/>
    <w:rsid w:val="009330F0"/>
    <w:rsid w:val="00933C6F"/>
    <w:rsid w:val="00940647"/>
    <w:rsid w:val="00941839"/>
    <w:rsid w:val="009424B3"/>
    <w:rsid w:val="009434FF"/>
    <w:rsid w:val="00946A6B"/>
    <w:rsid w:val="009479D1"/>
    <w:rsid w:val="009522C2"/>
    <w:rsid w:val="00953412"/>
    <w:rsid w:val="00955044"/>
    <w:rsid w:val="00956C31"/>
    <w:rsid w:val="00957FDC"/>
    <w:rsid w:val="009647C5"/>
    <w:rsid w:val="00967126"/>
    <w:rsid w:val="0097377B"/>
    <w:rsid w:val="00974E1B"/>
    <w:rsid w:val="00981401"/>
    <w:rsid w:val="00982E9A"/>
    <w:rsid w:val="009831B6"/>
    <w:rsid w:val="009843A1"/>
    <w:rsid w:val="009843B2"/>
    <w:rsid w:val="009855D8"/>
    <w:rsid w:val="0098746C"/>
    <w:rsid w:val="0098758C"/>
    <w:rsid w:val="009925C9"/>
    <w:rsid w:val="009936F8"/>
    <w:rsid w:val="00997ADA"/>
    <w:rsid w:val="009A06F8"/>
    <w:rsid w:val="009A0F2D"/>
    <w:rsid w:val="009A1DCB"/>
    <w:rsid w:val="009A5647"/>
    <w:rsid w:val="009A573E"/>
    <w:rsid w:val="009B1604"/>
    <w:rsid w:val="009B4C9F"/>
    <w:rsid w:val="009B5F50"/>
    <w:rsid w:val="009C1297"/>
    <w:rsid w:val="009C25F5"/>
    <w:rsid w:val="009C4AEC"/>
    <w:rsid w:val="009C4F51"/>
    <w:rsid w:val="009C7FC2"/>
    <w:rsid w:val="009D1D55"/>
    <w:rsid w:val="009D2358"/>
    <w:rsid w:val="009D33B5"/>
    <w:rsid w:val="009D3936"/>
    <w:rsid w:val="009D47EE"/>
    <w:rsid w:val="009D5499"/>
    <w:rsid w:val="009D5EF9"/>
    <w:rsid w:val="009D61C4"/>
    <w:rsid w:val="009D6CC6"/>
    <w:rsid w:val="009E4544"/>
    <w:rsid w:val="009E7C94"/>
    <w:rsid w:val="009F1DC7"/>
    <w:rsid w:val="009F5EE9"/>
    <w:rsid w:val="009F7219"/>
    <w:rsid w:val="00A03BD8"/>
    <w:rsid w:val="00A05FB6"/>
    <w:rsid w:val="00A07A68"/>
    <w:rsid w:val="00A07F82"/>
    <w:rsid w:val="00A107B1"/>
    <w:rsid w:val="00A10CC6"/>
    <w:rsid w:val="00A12503"/>
    <w:rsid w:val="00A13D8D"/>
    <w:rsid w:val="00A144FE"/>
    <w:rsid w:val="00A15891"/>
    <w:rsid w:val="00A162BE"/>
    <w:rsid w:val="00A2335C"/>
    <w:rsid w:val="00A234E6"/>
    <w:rsid w:val="00A2798D"/>
    <w:rsid w:val="00A309FA"/>
    <w:rsid w:val="00A361BF"/>
    <w:rsid w:val="00A369D0"/>
    <w:rsid w:val="00A36E43"/>
    <w:rsid w:val="00A36EF4"/>
    <w:rsid w:val="00A37A0F"/>
    <w:rsid w:val="00A40300"/>
    <w:rsid w:val="00A4109D"/>
    <w:rsid w:val="00A411C3"/>
    <w:rsid w:val="00A42D26"/>
    <w:rsid w:val="00A44E1F"/>
    <w:rsid w:val="00A53633"/>
    <w:rsid w:val="00A543BC"/>
    <w:rsid w:val="00A54E5E"/>
    <w:rsid w:val="00A60BEF"/>
    <w:rsid w:val="00A640ED"/>
    <w:rsid w:val="00A64598"/>
    <w:rsid w:val="00A657AD"/>
    <w:rsid w:val="00A67B9F"/>
    <w:rsid w:val="00A67FD1"/>
    <w:rsid w:val="00A70611"/>
    <w:rsid w:val="00A72DBB"/>
    <w:rsid w:val="00A73BC1"/>
    <w:rsid w:val="00A75573"/>
    <w:rsid w:val="00A770F1"/>
    <w:rsid w:val="00A82BF1"/>
    <w:rsid w:val="00A84665"/>
    <w:rsid w:val="00A875B1"/>
    <w:rsid w:val="00A87A47"/>
    <w:rsid w:val="00A91886"/>
    <w:rsid w:val="00A92557"/>
    <w:rsid w:val="00A929B7"/>
    <w:rsid w:val="00A9748C"/>
    <w:rsid w:val="00AA0819"/>
    <w:rsid w:val="00AA09E7"/>
    <w:rsid w:val="00AA17B7"/>
    <w:rsid w:val="00AA356B"/>
    <w:rsid w:val="00AA4658"/>
    <w:rsid w:val="00AA634A"/>
    <w:rsid w:val="00AA6F50"/>
    <w:rsid w:val="00AB17D4"/>
    <w:rsid w:val="00AB4BF3"/>
    <w:rsid w:val="00AB5AF8"/>
    <w:rsid w:val="00AB6367"/>
    <w:rsid w:val="00AB7410"/>
    <w:rsid w:val="00AC14C9"/>
    <w:rsid w:val="00AC14DA"/>
    <w:rsid w:val="00AC2009"/>
    <w:rsid w:val="00AC2978"/>
    <w:rsid w:val="00AC32CF"/>
    <w:rsid w:val="00AC44DD"/>
    <w:rsid w:val="00AD070E"/>
    <w:rsid w:val="00AD2360"/>
    <w:rsid w:val="00AD2F28"/>
    <w:rsid w:val="00AD3E0B"/>
    <w:rsid w:val="00AD5218"/>
    <w:rsid w:val="00AD5704"/>
    <w:rsid w:val="00AD5F87"/>
    <w:rsid w:val="00AE1FE2"/>
    <w:rsid w:val="00AE3A6F"/>
    <w:rsid w:val="00AE528A"/>
    <w:rsid w:val="00AE7746"/>
    <w:rsid w:val="00AF0EBA"/>
    <w:rsid w:val="00AF1C97"/>
    <w:rsid w:val="00AF5895"/>
    <w:rsid w:val="00AF6573"/>
    <w:rsid w:val="00B006CA"/>
    <w:rsid w:val="00B021F6"/>
    <w:rsid w:val="00B0639E"/>
    <w:rsid w:val="00B07517"/>
    <w:rsid w:val="00B113E2"/>
    <w:rsid w:val="00B12E34"/>
    <w:rsid w:val="00B12F63"/>
    <w:rsid w:val="00B213AC"/>
    <w:rsid w:val="00B219B9"/>
    <w:rsid w:val="00B2764E"/>
    <w:rsid w:val="00B30519"/>
    <w:rsid w:val="00B30892"/>
    <w:rsid w:val="00B33BA2"/>
    <w:rsid w:val="00B354CF"/>
    <w:rsid w:val="00B36048"/>
    <w:rsid w:val="00B42DBC"/>
    <w:rsid w:val="00B43BF0"/>
    <w:rsid w:val="00B45442"/>
    <w:rsid w:val="00B4545A"/>
    <w:rsid w:val="00B45F29"/>
    <w:rsid w:val="00B47EC6"/>
    <w:rsid w:val="00B51A60"/>
    <w:rsid w:val="00B51D9F"/>
    <w:rsid w:val="00B52676"/>
    <w:rsid w:val="00B53516"/>
    <w:rsid w:val="00B53FFF"/>
    <w:rsid w:val="00B54318"/>
    <w:rsid w:val="00B5475D"/>
    <w:rsid w:val="00B551E7"/>
    <w:rsid w:val="00B56645"/>
    <w:rsid w:val="00B61376"/>
    <w:rsid w:val="00B631FC"/>
    <w:rsid w:val="00B634A2"/>
    <w:rsid w:val="00B64DCB"/>
    <w:rsid w:val="00B660A6"/>
    <w:rsid w:val="00B67FF1"/>
    <w:rsid w:val="00B72AFD"/>
    <w:rsid w:val="00B7711B"/>
    <w:rsid w:val="00B80DE1"/>
    <w:rsid w:val="00B83595"/>
    <w:rsid w:val="00B83CA6"/>
    <w:rsid w:val="00B86A6C"/>
    <w:rsid w:val="00B87D91"/>
    <w:rsid w:val="00B910C1"/>
    <w:rsid w:val="00B918D8"/>
    <w:rsid w:val="00B92012"/>
    <w:rsid w:val="00B92742"/>
    <w:rsid w:val="00B93295"/>
    <w:rsid w:val="00B974E7"/>
    <w:rsid w:val="00BA019E"/>
    <w:rsid w:val="00BA0A21"/>
    <w:rsid w:val="00BA0AE9"/>
    <w:rsid w:val="00BA1D8E"/>
    <w:rsid w:val="00BA3606"/>
    <w:rsid w:val="00BA3E79"/>
    <w:rsid w:val="00BA5D5B"/>
    <w:rsid w:val="00BA6619"/>
    <w:rsid w:val="00BA6AA9"/>
    <w:rsid w:val="00BA6D51"/>
    <w:rsid w:val="00BB1CE2"/>
    <w:rsid w:val="00BB3A80"/>
    <w:rsid w:val="00BB5752"/>
    <w:rsid w:val="00BB7309"/>
    <w:rsid w:val="00BC1A24"/>
    <w:rsid w:val="00BC3D1C"/>
    <w:rsid w:val="00BC49E2"/>
    <w:rsid w:val="00BC6905"/>
    <w:rsid w:val="00BD591C"/>
    <w:rsid w:val="00BD5B0B"/>
    <w:rsid w:val="00BD62B5"/>
    <w:rsid w:val="00BE1ADD"/>
    <w:rsid w:val="00BE2F3C"/>
    <w:rsid w:val="00BE3858"/>
    <w:rsid w:val="00BE4E54"/>
    <w:rsid w:val="00BE6074"/>
    <w:rsid w:val="00BF4051"/>
    <w:rsid w:val="00BF700D"/>
    <w:rsid w:val="00C0268C"/>
    <w:rsid w:val="00C04B40"/>
    <w:rsid w:val="00C05974"/>
    <w:rsid w:val="00C06608"/>
    <w:rsid w:val="00C06E4F"/>
    <w:rsid w:val="00C11B76"/>
    <w:rsid w:val="00C12879"/>
    <w:rsid w:val="00C169F8"/>
    <w:rsid w:val="00C1775B"/>
    <w:rsid w:val="00C17F56"/>
    <w:rsid w:val="00C2105C"/>
    <w:rsid w:val="00C2183C"/>
    <w:rsid w:val="00C224EC"/>
    <w:rsid w:val="00C24689"/>
    <w:rsid w:val="00C24BC0"/>
    <w:rsid w:val="00C24F27"/>
    <w:rsid w:val="00C26190"/>
    <w:rsid w:val="00C26714"/>
    <w:rsid w:val="00C2755F"/>
    <w:rsid w:val="00C31F90"/>
    <w:rsid w:val="00C329FD"/>
    <w:rsid w:val="00C33AA2"/>
    <w:rsid w:val="00C36FCC"/>
    <w:rsid w:val="00C42328"/>
    <w:rsid w:val="00C475BE"/>
    <w:rsid w:val="00C516E6"/>
    <w:rsid w:val="00C5218B"/>
    <w:rsid w:val="00C523AC"/>
    <w:rsid w:val="00C53A16"/>
    <w:rsid w:val="00C544B7"/>
    <w:rsid w:val="00C54BC0"/>
    <w:rsid w:val="00C54F28"/>
    <w:rsid w:val="00C55147"/>
    <w:rsid w:val="00C55CBB"/>
    <w:rsid w:val="00C601C5"/>
    <w:rsid w:val="00C6139C"/>
    <w:rsid w:val="00C61FD6"/>
    <w:rsid w:val="00C64B33"/>
    <w:rsid w:val="00C65A77"/>
    <w:rsid w:val="00C66124"/>
    <w:rsid w:val="00C71457"/>
    <w:rsid w:val="00C71683"/>
    <w:rsid w:val="00C72864"/>
    <w:rsid w:val="00C751BB"/>
    <w:rsid w:val="00C775C9"/>
    <w:rsid w:val="00C80F81"/>
    <w:rsid w:val="00C81682"/>
    <w:rsid w:val="00C81DFB"/>
    <w:rsid w:val="00C8648E"/>
    <w:rsid w:val="00C8666E"/>
    <w:rsid w:val="00C86BC6"/>
    <w:rsid w:val="00C8754E"/>
    <w:rsid w:val="00C91D18"/>
    <w:rsid w:val="00C931D6"/>
    <w:rsid w:val="00C9566A"/>
    <w:rsid w:val="00C95B20"/>
    <w:rsid w:val="00C95FAF"/>
    <w:rsid w:val="00CA1693"/>
    <w:rsid w:val="00CA2CFA"/>
    <w:rsid w:val="00CA3139"/>
    <w:rsid w:val="00CA67C8"/>
    <w:rsid w:val="00CA7860"/>
    <w:rsid w:val="00CB1AAC"/>
    <w:rsid w:val="00CB229E"/>
    <w:rsid w:val="00CB2DF6"/>
    <w:rsid w:val="00CC06C1"/>
    <w:rsid w:val="00CC1311"/>
    <w:rsid w:val="00CC1327"/>
    <w:rsid w:val="00CC411F"/>
    <w:rsid w:val="00CD0E89"/>
    <w:rsid w:val="00CD708D"/>
    <w:rsid w:val="00CD7679"/>
    <w:rsid w:val="00CE33A7"/>
    <w:rsid w:val="00CF364F"/>
    <w:rsid w:val="00CF59E8"/>
    <w:rsid w:val="00D004D8"/>
    <w:rsid w:val="00D0079A"/>
    <w:rsid w:val="00D01761"/>
    <w:rsid w:val="00D02158"/>
    <w:rsid w:val="00D03258"/>
    <w:rsid w:val="00D03BF9"/>
    <w:rsid w:val="00D050BF"/>
    <w:rsid w:val="00D05F9D"/>
    <w:rsid w:val="00D07938"/>
    <w:rsid w:val="00D119CA"/>
    <w:rsid w:val="00D16DCE"/>
    <w:rsid w:val="00D17697"/>
    <w:rsid w:val="00D2612F"/>
    <w:rsid w:val="00D26603"/>
    <w:rsid w:val="00D36A4A"/>
    <w:rsid w:val="00D40EB2"/>
    <w:rsid w:val="00D428D8"/>
    <w:rsid w:val="00D42E01"/>
    <w:rsid w:val="00D43F79"/>
    <w:rsid w:val="00D51EDD"/>
    <w:rsid w:val="00D5237C"/>
    <w:rsid w:val="00D52980"/>
    <w:rsid w:val="00D52D5B"/>
    <w:rsid w:val="00D540A4"/>
    <w:rsid w:val="00D5792F"/>
    <w:rsid w:val="00D633FF"/>
    <w:rsid w:val="00D63D4B"/>
    <w:rsid w:val="00D65A54"/>
    <w:rsid w:val="00D65BF9"/>
    <w:rsid w:val="00D6688A"/>
    <w:rsid w:val="00D670DE"/>
    <w:rsid w:val="00D67D29"/>
    <w:rsid w:val="00D70C2D"/>
    <w:rsid w:val="00D713BA"/>
    <w:rsid w:val="00D724CB"/>
    <w:rsid w:val="00D7262A"/>
    <w:rsid w:val="00D7282E"/>
    <w:rsid w:val="00D77B55"/>
    <w:rsid w:val="00D807E1"/>
    <w:rsid w:val="00D87CE1"/>
    <w:rsid w:val="00D90957"/>
    <w:rsid w:val="00D91725"/>
    <w:rsid w:val="00D92018"/>
    <w:rsid w:val="00D94E0F"/>
    <w:rsid w:val="00D9693A"/>
    <w:rsid w:val="00D96C0A"/>
    <w:rsid w:val="00D96C43"/>
    <w:rsid w:val="00DA01BD"/>
    <w:rsid w:val="00DA316C"/>
    <w:rsid w:val="00DA3DA9"/>
    <w:rsid w:val="00DA4517"/>
    <w:rsid w:val="00DA4581"/>
    <w:rsid w:val="00DA6CA3"/>
    <w:rsid w:val="00DB02B1"/>
    <w:rsid w:val="00DB45FB"/>
    <w:rsid w:val="00DB4A87"/>
    <w:rsid w:val="00DC14B8"/>
    <w:rsid w:val="00DC1C65"/>
    <w:rsid w:val="00DC34FF"/>
    <w:rsid w:val="00DC4BE9"/>
    <w:rsid w:val="00DC6561"/>
    <w:rsid w:val="00DD1725"/>
    <w:rsid w:val="00DD2F6C"/>
    <w:rsid w:val="00DD53EE"/>
    <w:rsid w:val="00DD76A1"/>
    <w:rsid w:val="00DE0DCF"/>
    <w:rsid w:val="00DE3162"/>
    <w:rsid w:val="00DE36E4"/>
    <w:rsid w:val="00DE3DBB"/>
    <w:rsid w:val="00DE4BBF"/>
    <w:rsid w:val="00DE595E"/>
    <w:rsid w:val="00DF213B"/>
    <w:rsid w:val="00DF7C19"/>
    <w:rsid w:val="00E0175C"/>
    <w:rsid w:val="00E02676"/>
    <w:rsid w:val="00E042B9"/>
    <w:rsid w:val="00E05D82"/>
    <w:rsid w:val="00E16CB7"/>
    <w:rsid w:val="00E21220"/>
    <w:rsid w:val="00E21552"/>
    <w:rsid w:val="00E21FC5"/>
    <w:rsid w:val="00E23376"/>
    <w:rsid w:val="00E241B9"/>
    <w:rsid w:val="00E2550F"/>
    <w:rsid w:val="00E33056"/>
    <w:rsid w:val="00E36158"/>
    <w:rsid w:val="00E36A27"/>
    <w:rsid w:val="00E45590"/>
    <w:rsid w:val="00E469A1"/>
    <w:rsid w:val="00E470BF"/>
    <w:rsid w:val="00E478E1"/>
    <w:rsid w:val="00E52D61"/>
    <w:rsid w:val="00E53CDF"/>
    <w:rsid w:val="00E53E30"/>
    <w:rsid w:val="00E563DE"/>
    <w:rsid w:val="00E566A4"/>
    <w:rsid w:val="00E56836"/>
    <w:rsid w:val="00E64F9C"/>
    <w:rsid w:val="00E671E4"/>
    <w:rsid w:val="00E709FB"/>
    <w:rsid w:val="00E70E6B"/>
    <w:rsid w:val="00E724FB"/>
    <w:rsid w:val="00E741B3"/>
    <w:rsid w:val="00E742BA"/>
    <w:rsid w:val="00E77903"/>
    <w:rsid w:val="00E80DBD"/>
    <w:rsid w:val="00E86EAF"/>
    <w:rsid w:val="00E93EDD"/>
    <w:rsid w:val="00E94D59"/>
    <w:rsid w:val="00EA0754"/>
    <w:rsid w:val="00EA64DF"/>
    <w:rsid w:val="00EB1C88"/>
    <w:rsid w:val="00EC0CB6"/>
    <w:rsid w:val="00EC0F4A"/>
    <w:rsid w:val="00EC16A0"/>
    <w:rsid w:val="00EC1B35"/>
    <w:rsid w:val="00EC34EE"/>
    <w:rsid w:val="00EC4CE3"/>
    <w:rsid w:val="00EC5A88"/>
    <w:rsid w:val="00ED1C12"/>
    <w:rsid w:val="00ED7D6B"/>
    <w:rsid w:val="00EE0582"/>
    <w:rsid w:val="00EE13D8"/>
    <w:rsid w:val="00EE2356"/>
    <w:rsid w:val="00EE6030"/>
    <w:rsid w:val="00EE695D"/>
    <w:rsid w:val="00EF2AF4"/>
    <w:rsid w:val="00EF68EF"/>
    <w:rsid w:val="00EF6FF6"/>
    <w:rsid w:val="00EF7704"/>
    <w:rsid w:val="00F00B00"/>
    <w:rsid w:val="00F00BE5"/>
    <w:rsid w:val="00F014F7"/>
    <w:rsid w:val="00F02063"/>
    <w:rsid w:val="00F04382"/>
    <w:rsid w:val="00F05012"/>
    <w:rsid w:val="00F05C0E"/>
    <w:rsid w:val="00F0617E"/>
    <w:rsid w:val="00F06786"/>
    <w:rsid w:val="00F0726B"/>
    <w:rsid w:val="00F13437"/>
    <w:rsid w:val="00F161D4"/>
    <w:rsid w:val="00F17F8D"/>
    <w:rsid w:val="00F2163A"/>
    <w:rsid w:val="00F21BA2"/>
    <w:rsid w:val="00F23780"/>
    <w:rsid w:val="00F2431D"/>
    <w:rsid w:val="00F2591D"/>
    <w:rsid w:val="00F30971"/>
    <w:rsid w:val="00F31354"/>
    <w:rsid w:val="00F33051"/>
    <w:rsid w:val="00F331EA"/>
    <w:rsid w:val="00F34A19"/>
    <w:rsid w:val="00F34C91"/>
    <w:rsid w:val="00F35587"/>
    <w:rsid w:val="00F36BB6"/>
    <w:rsid w:val="00F374F4"/>
    <w:rsid w:val="00F37E25"/>
    <w:rsid w:val="00F4085B"/>
    <w:rsid w:val="00F51118"/>
    <w:rsid w:val="00F51C77"/>
    <w:rsid w:val="00F51DE5"/>
    <w:rsid w:val="00F5204D"/>
    <w:rsid w:val="00F548F8"/>
    <w:rsid w:val="00F55E44"/>
    <w:rsid w:val="00F60B58"/>
    <w:rsid w:val="00F65478"/>
    <w:rsid w:val="00F66A69"/>
    <w:rsid w:val="00F751EE"/>
    <w:rsid w:val="00F77832"/>
    <w:rsid w:val="00F81C8C"/>
    <w:rsid w:val="00F83F14"/>
    <w:rsid w:val="00F86013"/>
    <w:rsid w:val="00F87544"/>
    <w:rsid w:val="00F878B9"/>
    <w:rsid w:val="00F87C57"/>
    <w:rsid w:val="00F91C8B"/>
    <w:rsid w:val="00F91DB0"/>
    <w:rsid w:val="00F927E4"/>
    <w:rsid w:val="00F92EBB"/>
    <w:rsid w:val="00F94B1A"/>
    <w:rsid w:val="00FA0364"/>
    <w:rsid w:val="00FA1C59"/>
    <w:rsid w:val="00FA1F4C"/>
    <w:rsid w:val="00FA72C0"/>
    <w:rsid w:val="00FB0E06"/>
    <w:rsid w:val="00FB1446"/>
    <w:rsid w:val="00FB1757"/>
    <w:rsid w:val="00FB1A80"/>
    <w:rsid w:val="00FB26CB"/>
    <w:rsid w:val="00FB2F4C"/>
    <w:rsid w:val="00FB3ACC"/>
    <w:rsid w:val="00FB3C46"/>
    <w:rsid w:val="00FB3FAF"/>
    <w:rsid w:val="00FB5A69"/>
    <w:rsid w:val="00FB73F1"/>
    <w:rsid w:val="00FB74DD"/>
    <w:rsid w:val="00FC363C"/>
    <w:rsid w:val="00FC614E"/>
    <w:rsid w:val="00FC7088"/>
    <w:rsid w:val="00FC7C77"/>
    <w:rsid w:val="00FD00DF"/>
    <w:rsid w:val="00FD155E"/>
    <w:rsid w:val="00FD30D1"/>
    <w:rsid w:val="00FD5E7B"/>
    <w:rsid w:val="00FD6550"/>
    <w:rsid w:val="00FD727F"/>
    <w:rsid w:val="00FE0A72"/>
    <w:rsid w:val="00FE1D24"/>
    <w:rsid w:val="00FE2E61"/>
    <w:rsid w:val="00FE394C"/>
    <w:rsid w:val="00FE3D20"/>
    <w:rsid w:val="00FE6512"/>
    <w:rsid w:val="00FF2C56"/>
    <w:rsid w:val="00FF3820"/>
    <w:rsid w:val="00FF7723"/>
    <w:rsid w:val="014D0B1B"/>
    <w:rsid w:val="016814B1"/>
    <w:rsid w:val="02440099"/>
    <w:rsid w:val="02604429"/>
    <w:rsid w:val="03C508DD"/>
    <w:rsid w:val="041800B5"/>
    <w:rsid w:val="04DE1776"/>
    <w:rsid w:val="053E0EA6"/>
    <w:rsid w:val="0568505A"/>
    <w:rsid w:val="056C5A14"/>
    <w:rsid w:val="05BE78F1"/>
    <w:rsid w:val="06360368"/>
    <w:rsid w:val="076369A2"/>
    <w:rsid w:val="076D7821"/>
    <w:rsid w:val="07930FE9"/>
    <w:rsid w:val="09E0252C"/>
    <w:rsid w:val="09F45FD8"/>
    <w:rsid w:val="09F63AFE"/>
    <w:rsid w:val="0AC57974"/>
    <w:rsid w:val="0B11706A"/>
    <w:rsid w:val="0C62191E"/>
    <w:rsid w:val="0D2070E4"/>
    <w:rsid w:val="0D267E24"/>
    <w:rsid w:val="0DAA05AF"/>
    <w:rsid w:val="0E595BF7"/>
    <w:rsid w:val="0E87566C"/>
    <w:rsid w:val="0E8F62CF"/>
    <w:rsid w:val="0F740CFA"/>
    <w:rsid w:val="0F8B118C"/>
    <w:rsid w:val="106D2C82"/>
    <w:rsid w:val="10B77D5F"/>
    <w:rsid w:val="113512B2"/>
    <w:rsid w:val="11B36778"/>
    <w:rsid w:val="11C444E1"/>
    <w:rsid w:val="12BC165D"/>
    <w:rsid w:val="12FA120B"/>
    <w:rsid w:val="132536A6"/>
    <w:rsid w:val="136715C8"/>
    <w:rsid w:val="138010FC"/>
    <w:rsid w:val="13C32CAA"/>
    <w:rsid w:val="14E73BF7"/>
    <w:rsid w:val="15177483"/>
    <w:rsid w:val="165B62B9"/>
    <w:rsid w:val="1684100F"/>
    <w:rsid w:val="18652FC2"/>
    <w:rsid w:val="18661219"/>
    <w:rsid w:val="18AE1A47"/>
    <w:rsid w:val="1A1E30AC"/>
    <w:rsid w:val="1A646862"/>
    <w:rsid w:val="1AFD0A64"/>
    <w:rsid w:val="1B0319CB"/>
    <w:rsid w:val="1B3F161E"/>
    <w:rsid w:val="1BD23C9F"/>
    <w:rsid w:val="1BF109FC"/>
    <w:rsid w:val="1BFC4701"/>
    <w:rsid w:val="1CE647C1"/>
    <w:rsid w:val="1DC835AB"/>
    <w:rsid w:val="1E60096B"/>
    <w:rsid w:val="1EC81D6F"/>
    <w:rsid w:val="1F4A49B2"/>
    <w:rsid w:val="1FA8046F"/>
    <w:rsid w:val="200B1C66"/>
    <w:rsid w:val="213C304C"/>
    <w:rsid w:val="21FE759C"/>
    <w:rsid w:val="22DB78DD"/>
    <w:rsid w:val="23482F54"/>
    <w:rsid w:val="235E6367"/>
    <w:rsid w:val="23E10F23"/>
    <w:rsid w:val="24773635"/>
    <w:rsid w:val="25A14E0E"/>
    <w:rsid w:val="25BA17B4"/>
    <w:rsid w:val="26152813"/>
    <w:rsid w:val="26195EA4"/>
    <w:rsid w:val="268F5D5F"/>
    <w:rsid w:val="27135897"/>
    <w:rsid w:val="277F2F2D"/>
    <w:rsid w:val="27851763"/>
    <w:rsid w:val="283D45A9"/>
    <w:rsid w:val="28C106EB"/>
    <w:rsid w:val="28FE6835"/>
    <w:rsid w:val="2907571B"/>
    <w:rsid w:val="29BE79F2"/>
    <w:rsid w:val="29DD3F3B"/>
    <w:rsid w:val="2A375D41"/>
    <w:rsid w:val="2AE01F34"/>
    <w:rsid w:val="2BA20995"/>
    <w:rsid w:val="2BDF043E"/>
    <w:rsid w:val="2C595B41"/>
    <w:rsid w:val="2C7709B7"/>
    <w:rsid w:val="2CA57561"/>
    <w:rsid w:val="2D4B38B1"/>
    <w:rsid w:val="2DA05F8B"/>
    <w:rsid w:val="2F065260"/>
    <w:rsid w:val="2F4D3910"/>
    <w:rsid w:val="31807FCD"/>
    <w:rsid w:val="31D314B3"/>
    <w:rsid w:val="323246E5"/>
    <w:rsid w:val="326445FB"/>
    <w:rsid w:val="3298008D"/>
    <w:rsid w:val="33245CBD"/>
    <w:rsid w:val="334D0383"/>
    <w:rsid w:val="353C370E"/>
    <w:rsid w:val="363E0457"/>
    <w:rsid w:val="365612FD"/>
    <w:rsid w:val="37357164"/>
    <w:rsid w:val="375B6AE7"/>
    <w:rsid w:val="37753A04"/>
    <w:rsid w:val="37D01356"/>
    <w:rsid w:val="383E568D"/>
    <w:rsid w:val="388C2FD6"/>
    <w:rsid w:val="38D67AE9"/>
    <w:rsid w:val="39565AB7"/>
    <w:rsid w:val="39943C53"/>
    <w:rsid w:val="39C42A21"/>
    <w:rsid w:val="3AB02D93"/>
    <w:rsid w:val="3B37322C"/>
    <w:rsid w:val="3C0D4B53"/>
    <w:rsid w:val="3C1C6993"/>
    <w:rsid w:val="3C553E04"/>
    <w:rsid w:val="3C65673D"/>
    <w:rsid w:val="3D7604D6"/>
    <w:rsid w:val="3DDD49D8"/>
    <w:rsid w:val="3F282217"/>
    <w:rsid w:val="3F4A7E6C"/>
    <w:rsid w:val="40306A67"/>
    <w:rsid w:val="408E324B"/>
    <w:rsid w:val="41524DB6"/>
    <w:rsid w:val="41801923"/>
    <w:rsid w:val="42450DF3"/>
    <w:rsid w:val="425F341F"/>
    <w:rsid w:val="429A4221"/>
    <w:rsid w:val="42BD2703"/>
    <w:rsid w:val="4456696C"/>
    <w:rsid w:val="446C618F"/>
    <w:rsid w:val="462C5BD6"/>
    <w:rsid w:val="482079BC"/>
    <w:rsid w:val="48424473"/>
    <w:rsid w:val="484C255F"/>
    <w:rsid w:val="4B045373"/>
    <w:rsid w:val="4B16705D"/>
    <w:rsid w:val="4B5670C1"/>
    <w:rsid w:val="4B6761F6"/>
    <w:rsid w:val="4B753A52"/>
    <w:rsid w:val="4BC0573E"/>
    <w:rsid w:val="4BDB7584"/>
    <w:rsid w:val="4D2B5102"/>
    <w:rsid w:val="4DF25957"/>
    <w:rsid w:val="5041747A"/>
    <w:rsid w:val="507B52E5"/>
    <w:rsid w:val="509B4084"/>
    <w:rsid w:val="50B65901"/>
    <w:rsid w:val="51C23892"/>
    <w:rsid w:val="51CC3BAF"/>
    <w:rsid w:val="51ED4DB3"/>
    <w:rsid w:val="5265190D"/>
    <w:rsid w:val="52A31916"/>
    <w:rsid w:val="52EF06B7"/>
    <w:rsid w:val="53146370"/>
    <w:rsid w:val="541D74A6"/>
    <w:rsid w:val="54D758A7"/>
    <w:rsid w:val="55A90FF1"/>
    <w:rsid w:val="56191591"/>
    <w:rsid w:val="563D7B91"/>
    <w:rsid w:val="577E34BE"/>
    <w:rsid w:val="5851597F"/>
    <w:rsid w:val="5894304C"/>
    <w:rsid w:val="591575FE"/>
    <w:rsid w:val="59653481"/>
    <w:rsid w:val="59C26B25"/>
    <w:rsid w:val="59CD7278"/>
    <w:rsid w:val="5B0D3DD0"/>
    <w:rsid w:val="5B3F235F"/>
    <w:rsid w:val="5BB66216"/>
    <w:rsid w:val="5BD60666"/>
    <w:rsid w:val="5DF03535"/>
    <w:rsid w:val="5DF43025"/>
    <w:rsid w:val="5FF615BD"/>
    <w:rsid w:val="60087403"/>
    <w:rsid w:val="606A5821"/>
    <w:rsid w:val="61DF3FED"/>
    <w:rsid w:val="63A77E68"/>
    <w:rsid w:val="63AC0B5B"/>
    <w:rsid w:val="63CF256B"/>
    <w:rsid w:val="63E63410"/>
    <w:rsid w:val="64204AFA"/>
    <w:rsid w:val="6457430E"/>
    <w:rsid w:val="65732ACD"/>
    <w:rsid w:val="65AB2501"/>
    <w:rsid w:val="667411A7"/>
    <w:rsid w:val="66CD2666"/>
    <w:rsid w:val="68537956"/>
    <w:rsid w:val="69513E0D"/>
    <w:rsid w:val="6994390F"/>
    <w:rsid w:val="69E9424C"/>
    <w:rsid w:val="6A6E270D"/>
    <w:rsid w:val="6A927E4E"/>
    <w:rsid w:val="6ABF6769"/>
    <w:rsid w:val="6B160A7F"/>
    <w:rsid w:val="6B297532"/>
    <w:rsid w:val="6C103720"/>
    <w:rsid w:val="6C2C7E2E"/>
    <w:rsid w:val="6C2D4258"/>
    <w:rsid w:val="6CC67436"/>
    <w:rsid w:val="6DAC1227"/>
    <w:rsid w:val="6E2C2368"/>
    <w:rsid w:val="6E5673E4"/>
    <w:rsid w:val="6E5F0B13"/>
    <w:rsid w:val="6E8E3022"/>
    <w:rsid w:val="6ED77EEE"/>
    <w:rsid w:val="7016507D"/>
    <w:rsid w:val="71162AEC"/>
    <w:rsid w:val="7118458F"/>
    <w:rsid w:val="71D260B4"/>
    <w:rsid w:val="72CD17D3"/>
    <w:rsid w:val="72FC0C75"/>
    <w:rsid w:val="730C2768"/>
    <w:rsid w:val="73B8604B"/>
    <w:rsid w:val="74FC2209"/>
    <w:rsid w:val="75C32A24"/>
    <w:rsid w:val="76331BB3"/>
    <w:rsid w:val="78465777"/>
    <w:rsid w:val="78E84C32"/>
    <w:rsid w:val="78F543CA"/>
    <w:rsid w:val="796B468C"/>
    <w:rsid w:val="7A07357D"/>
    <w:rsid w:val="7A460C55"/>
    <w:rsid w:val="7A8C0522"/>
    <w:rsid w:val="7AC2141A"/>
    <w:rsid w:val="7BD83B2F"/>
    <w:rsid w:val="7C666E84"/>
    <w:rsid w:val="7C9A0DE4"/>
    <w:rsid w:val="7E574376"/>
    <w:rsid w:val="7EEF6529"/>
    <w:rsid w:val="7F4A08A0"/>
    <w:rsid w:val="7F6607C1"/>
    <w:rsid w:val="7FDC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numPr>
        <w:ilvl w:val="0"/>
        <w:numId w:val="1"/>
      </w:numPr>
      <w:tabs>
        <w:tab w:val="left" w:pos="324"/>
      </w:tabs>
      <w:ind w:left="324" w:hanging="324"/>
      <w:jc w:val="center"/>
      <w:outlineLvl w:val="0"/>
    </w:pPr>
    <w:rPr>
      <w:rFonts w:ascii="黑体" w:eastAsia="黑体"/>
      <w:sz w:val="30"/>
      <w:szCs w:val="20"/>
    </w:rPr>
  </w:style>
  <w:style w:type="paragraph" w:styleId="4">
    <w:name w:val="heading 2"/>
    <w:basedOn w:val="1"/>
    <w:next w:val="1"/>
    <w:link w:val="62"/>
    <w:qFormat/>
    <w:uiPriority w:val="0"/>
    <w:pPr>
      <w:keepNext/>
      <w:numPr>
        <w:ilvl w:val="1"/>
        <w:numId w:val="1"/>
      </w:numPr>
      <w:tabs>
        <w:tab w:val="left" w:pos="960"/>
      </w:tabs>
      <w:ind w:left="960" w:hanging="324"/>
      <w:jc w:val="center"/>
      <w:outlineLvl w:val="1"/>
    </w:pPr>
    <w:rPr>
      <w:rFonts w:ascii="黑体" w:eastAsia="黑体"/>
      <w:color w:val="000000"/>
      <w:sz w:val="28"/>
      <w:szCs w:val="20"/>
    </w:rPr>
  </w:style>
  <w:style w:type="paragraph" w:styleId="5">
    <w:name w:val="heading 3"/>
    <w:basedOn w:val="1"/>
    <w:next w:val="1"/>
    <w:link w:val="63"/>
    <w:qFormat/>
    <w:uiPriority w:val="0"/>
    <w:pPr>
      <w:keepNext/>
      <w:numPr>
        <w:ilvl w:val="2"/>
        <w:numId w:val="1"/>
      </w:numPr>
      <w:tabs>
        <w:tab w:val="left" w:pos="960"/>
      </w:tabs>
      <w:ind w:left="960" w:hanging="324"/>
      <w:jc w:val="center"/>
      <w:outlineLvl w:val="2"/>
    </w:pPr>
    <w:rPr>
      <w:rFonts w:ascii="黑体" w:eastAsia="黑体"/>
      <w:color w:val="000000"/>
      <w:sz w:val="32"/>
      <w:szCs w:val="20"/>
    </w:rPr>
  </w:style>
  <w:style w:type="paragraph" w:styleId="6">
    <w:name w:val="heading 4"/>
    <w:basedOn w:val="1"/>
    <w:next w:val="1"/>
    <w:link w:val="64"/>
    <w:qFormat/>
    <w:uiPriority w:val="9"/>
    <w:pPr>
      <w:keepNext/>
      <w:numPr>
        <w:ilvl w:val="3"/>
        <w:numId w:val="1"/>
      </w:numPr>
      <w:tabs>
        <w:tab w:val="left" w:pos="2715"/>
      </w:tabs>
      <w:autoSpaceDE w:val="0"/>
      <w:autoSpaceDN w:val="0"/>
      <w:adjustRightInd w:val="0"/>
      <w:ind w:left="720" w:hanging="720"/>
      <w:jc w:val="center"/>
      <w:outlineLvl w:val="3"/>
    </w:pPr>
    <w:rPr>
      <w:rFonts w:ascii="方正姚体" w:eastAsia="方正姚体"/>
      <w:sz w:val="36"/>
      <w:szCs w:val="32"/>
    </w:rPr>
  </w:style>
  <w:style w:type="paragraph" w:styleId="7">
    <w:name w:val="heading 5"/>
    <w:basedOn w:val="1"/>
    <w:next w:val="1"/>
    <w:link w:val="65"/>
    <w:qFormat/>
    <w:uiPriority w:val="0"/>
    <w:pPr>
      <w:keepNext/>
      <w:keepLines/>
      <w:numPr>
        <w:ilvl w:val="4"/>
        <w:numId w:val="1"/>
      </w:numPr>
      <w:spacing w:before="280" w:after="290" w:line="376" w:lineRule="auto"/>
      <w:ind w:firstLine="0"/>
      <w:outlineLvl w:val="4"/>
    </w:pPr>
    <w:rPr>
      <w:b/>
      <w:bCs/>
      <w:sz w:val="28"/>
      <w:szCs w:val="28"/>
    </w:rPr>
  </w:style>
  <w:style w:type="paragraph" w:styleId="8">
    <w:name w:val="heading 6"/>
    <w:basedOn w:val="1"/>
    <w:next w:val="1"/>
    <w:link w:val="66"/>
    <w:qFormat/>
    <w:uiPriority w:val="0"/>
    <w:pPr>
      <w:keepNext/>
      <w:keepLines/>
      <w:widowControl/>
      <w:numPr>
        <w:ilvl w:val="5"/>
        <w:numId w:val="1"/>
      </w:numPr>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67"/>
    <w:qFormat/>
    <w:uiPriority w:val="0"/>
    <w:pPr>
      <w:keepNext/>
      <w:keepLines/>
      <w:widowControl/>
      <w:numPr>
        <w:ilvl w:val="6"/>
        <w:numId w:val="1"/>
      </w:numPr>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68"/>
    <w:qFormat/>
    <w:uiPriority w:val="0"/>
    <w:pPr>
      <w:keepNext/>
      <w:keepLines/>
      <w:widowControl/>
      <w:numPr>
        <w:ilvl w:val="7"/>
        <w:numId w:val="1"/>
      </w:numPr>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69"/>
    <w:qFormat/>
    <w:uiPriority w:val="0"/>
    <w:pPr>
      <w:keepNext/>
      <w:keepLines/>
      <w:widowControl/>
      <w:numPr>
        <w:ilvl w:val="8"/>
        <w:numId w:val="1"/>
      </w:numPr>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2">
    <w:name w:val="Default"/>
    <w:link w:val="263"/>
    <w:qFormat/>
    <w:uiPriority w:val="0"/>
    <w:pPr>
      <w:widowControl w:val="0"/>
      <w:autoSpaceDE w:val="0"/>
      <w:autoSpaceDN w:val="0"/>
      <w:adjustRightInd w:val="0"/>
    </w:pPr>
    <w:rPr>
      <w:rFonts w:ascii="宋体" w:hAnsi="Calibri" w:eastAsia="宋体" w:cs="Times New Roman"/>
      <w:kern w:val="0"/>
      <w:sz w:val="21"/>
      <w:szCs w:val="22"/>
      <w:lang w:val="en-US" w:eastAsia="zh-CN" w:bidi="ar-SA"/>
    </w:rPr>
  </w:style>
  <w:style w:type="paragraph" w:styleId="12">
    <w:name w:val="Normal Indent"/>
    <w:basedOn w:val="1"/>
    <w:link w:val="244"/>
    <w:qFormat/>
    <w:uiPriority w:val="0"/>
    <w:pPr>
      <w:ind w:firstLine="420"/>
    </w:pPr>
    <w:rPr>
      <w:szCs w:val="20"/>
    </w:rPr>
  </w:style>
  <w:style w:type="paragraph" w:styleId="13">
    <w:name w:val="caption"/>
    <w:basedOn w:val="1"/>
    <w:next w:val="1"/>
    <w:link w:val="239"/>
    <w:unhideWhenUsed/>
    <w:qFormat/>
    <w:uiPriority w:val="35"/>
    <w:pPr>
      <w:widowControl/>
      <w:jc w:val="left"/>
    </w:pPr>
    <w:rPr>
      <w:rFonts w:ascii="Cambria" w:hAnsi="Cambria" w:eastAsia="黑体"/>
      <w:bCs/>
      <w:sz w:val="20"/>
      <w:szCs w:val="20"/>
    </w:rPr>
  </w:style>
  <w:style w:type="paragraph" w:styleId="14">
    <w:name w:val="Document Map"/>
    <w:basedOn w:val="1"/>
    <w:link w:val="72"/>
    <w:qFormat/>
    <w:uiPriority w:val="0"/>
    <w:pPr>
      <w:shd w:val="clear" w:color="auto" w:fill="000080"/>
    </w:pPr>
    <w:rPr>
      <w:rFonts w:asciiTheme="minorHAnsi" w:hAnsiTheme="minorHAnsi" w:cstheme="minorBidi"/>
    </w:rPr>
  </w:style>
  <w:style w:type="paragraph" w:styleId="15">
    <w:name w:val="annotation text"/>
    <w:basedOn w:val="1"/>
    <w:link w:val="71"/>
    <w:qFormat/>
    <w:uiPriority w:val="0"/>
    <w:pPr>
      <w:jc w:val="left"/>
    </w:pPr>
    <w:rPr>
      <w:rFonts w:asciiTheme="minorHAnsi" w:hAnsiTheme="minorHAnsi" w:cstheme="minorBidi"/>
    </w:rPr>
  </w:style>
  <w:style w:type="paragraph" w:styleId="16">
    <w:name w:val="Body Text 3"/>
    <w:basedOn w:val="1"/>
    <w:link w:val="76"/>
    <w:qFormat/>
    <w:uiPriority w:val="0"/>
    <w:rPr>
      <w:rFonts w:ascii="宋体" w:hAnsiTheme="minorHAnsi" w:cstheme="minorBidi"/>
      <w:color w:val="000000"/>
      <w:sz w:val="32"/>
      <w:szCs w:val="22"/>
    </w:rPr>
  </w:style>
  <w:style w:type="paragraph" w:styleId="17">
    <w:name w:val="Body Text"/>
    <w:basedOn w:val="1"/>
    <w:next w:val="1"/>
    <w:link w:val="52"/>
    <w:qFormat/>
    <w:uiPriority w:val="99"/>
    <w:pPr>
      <w:ind w:right="-84" w:rightChars="-40"/>
      <w:jc w:val="center"/>
    </w:pPr>
    <w:rPr>
      <w:rFonts w:asciiTheme="minorHAnsi" w:hAnsiTheme="minorHAnsi" w:cstheme="minorBidi"/>
    </w:rPr>
  </w:style>
  <w:style w:type="paragraph" w:styleId="18">
    <w:name w:val="Body Text Indent"/>
    <w:basedOn w:val="1"/>
    <w:link w:val="79"/>
    <w:qFormat/>
    <w:uiPriority w:val="0"/>
    <w:pPr>
      <w:spacing w:line="360" w:lineRule="auto"/>
      <w:ind w:firstLine="480"/>
    </w:pPr>
    <w:rPr>
      <w:rFonts w:ascii="宋体" w:hAnsiTheme="minorHAnsi" w:cstheme="minorBidi"/>
      <w:sz w:val="24"/>
    </w:rPr>
  </w:style>
  <w:style w:type="paragraph" w:styleId="19">
    <w:name w:val="Block Text"/>
    <w:basedOn w:val="1"/>
    <w:qFormat/>
    <w:uiPriority w:val="0"/>
    <w:pPr>
      <w:ind w:left="-78" w:leftChars="-37" w:right="-162" w:rightChars="-77" w:firstLine="78" w:firstLineChars="37"/>
      <w:jc w:val="center"/>
    </w:pPr>
    <w:rPr>
      <w:rFonts w:ascii="宋体" w:hAnsi="宋体"/>
      <w:szCs w:val="21"/>
    </w:rPr>
  </w:style>
  <w:style w:type="paragraph" w:styleId="20">
    <w:name w:val="toc 3"/>
    <w:basedOn w:val="1"/>
    <w:next w:val="1"/>
    <w:qFormat/>
    <w:uiPriority w:val="39"/>
    <w:pPr>
      <w:ind w:left="840" w:leftChars="400"/>
    </w:pPr>
  </w:style>
  <w:style w:type="paragraph" w:styleId="21">
    <w:name w:val="Plain Text"/>
    <w:basedOn w:val="1"/>
    <w:link w:val="70"/>
    <w:qFormat/>
    <w:uiPriority w:val="0"/>
    <w:rPr>
      <w:rFonts w:ascii="宋体" w:hAnsi="Courier New" w:cs="黑体"/>
      <w:szCs w:val="21"/>
    </w:rPr>
  </w:style>
  <w:style w:type="paragraph" w:styleId="22">
    <w:name w:val="Date"/>
    <w:basedOn w:val="1"/>
    <w:next w:val="1"/>
    <w:link w:val="88"/>
    <w:qFormat/>
    <w:uiPriority w:val="99"/>
    <w:rPr>
      <w:szCs w:val="20"/>
    </w:rPr>
  </w:style>
  <w:style w:type="paragraph" w:styleId="23">
    <w:name w:val="Body Text Indent 2"/>
    <w:basedOn w:val="1"/>
    <w:link w:val="60"/>
    <w:unhideWhenUsed/>
    <w:qFormat/>
    <w:uiPriority w:val="0"/>
    <w:pPr>
      <w:spacing w:after="120" w:line="480" w:lineRule="auto"/>
      <w:ind w:left="420" w:leftChars="200"/>
    </w:pPr>
  </w:style>
  <w:style w:type="paragraph" w:styleId="24">
    <w:name w:val="endnote text"/>
    <w:basedOn w:val="1"/>
    <w:link w:val="78"/>
    <w:qFormat/>
    <w:uiPriority w:val="0"/>
    <w:pPr>
      <w:snapToGrid w:val="0"/>
      <w:jc w:val="left"/>
    </w:pPr>
    <w:rPr>
      <w:rFonts w:asciiTheme="minorHAnsi" w:hAnsiTheme="minorHAnsi" w:cstheme="minorBidi"/>
      <w:szCs w:val="22"/>
    </w:rPr>
  </w:style>
  <w:style w:type="paragraph" w:styleId="25">
    <w:name w:val="Balloon Text"/>
    <w:basedOn w:val="1"/>
    <w:link w:val="58"/>
    <w:unhideWhenUsed/>
    <w:qFormat/>
    <w:uiPriority w:val="0"/>
    <w:rPr>
      <w:sz w:val="18"/>
      <w:szCs w:val="18"/>
    </w:rPr>
  </w:style>
  <w:style w:type="paragraph" w:styleId="26">
    <w:name w:val="footer"/>
    <w:basedOn w:val="1"/>
    <w:link w:val="51"/>
    <w:unhideWhenUsed/>
    <w:qFormat/>
    <w:uiPriority w:val="99"/>
    <w:pPr>
      <w:tabs>
        <w:tab w:val="center" w:pos="4153"/>
        <w:tab w:val="right" w:pos="8306"/>
      </w:tabs>
      <w:snapToGrid w:val="0"/>
      <w:jc w:val="left"/>
    </w:pPr>
    <w:rPr>
      <w:sz w:val="18"/>
      <w:szCs w:val="18"/>
    </w:rPr>
  </w:style>
  <w:style w:type="paragraph" w:styleId="27">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280"/>
        <w:tab w:val="right" w:leader="dot" w:pos="9360"/>
      </w:tabs>
      <w:adjustRightInd w:val="0"/>
      <w:snapToGrid w:val="0"/>
      <w:spacing w:line="300" w:lineRule="auto"/>
      <w:ind w:firstLine="538" w:firstLineChars="192"/>
    </w:pPr>
    <w:rPr>
      <w:rFonts w:ascii="宋体" w:hAnsi="宋体"/>
      <w:bCs/>
      <w:sz w:val="28"/>
    </w:rPr>
  </w:style>
  <w:style w:type="paragraph" w:styleId="29">
    <w:name w:val="footnote text"/>
    <w:basedOn w:val="1"/>
    <w:link w:val="75"/>
    <w:qFormat/>
    <w:uiPriority w:val="0"/>
    <w:pPr>
      <w:snapToGrid w:val="0"/>
      <w:jc w:val="left"/>
    </w:pPr>
    <w:rPr>
      <w:rFonts w:asciiTheme="minorHAnsi" w:hAnsiTheme="minorHAnsi" w:cstheme="minorBidi"/>
      <w:sz w:val="18"/>
      <w:szCs w:val="22"/>
    </w:rPr>
  </w:style>
  <w:style w:type="paragraph" w:styleId="30">
    <w:name w:val="Body Text Indent 3"/>
    <w:basedOn w:val="1"/>
    <w:link w:val="74"/>
    <w:qFormat/>
    <w:uiPriority w:val="0"/>
    <w:pPr>
      <w:spacing w:line="480" w:lineRule="exact"/>
      <w:ind w:firstLine="540" w:firstLineChars="257"/>
    </w:pPr>
    <w:rPr>
      <w:rFonts w:ascii="宋体" w:hAnsi="宋体" w:cstheme="minorBidi"/>
      <w:szCs w:val="21"/>
    </w:rPr>
  </w:style>
  <w:style w:type="paragraph" w:styleId="31">
    <w:name w:val="toc 2"/>
    <w:basedOn w:val="1"/>
    <w:next w:val="1"/>
    <w:qFormat/>
    <w:uiPriority w:val="39"/>
    <w:pPr>
      <w:ind w:left="420" w:leftChars="200"/>
    </w:pPr>
  </w:style>
  <w:style w:type="paragraph" w:styleId="32">
    <w:name w:val="Body Text 2"/>
    <w:basedOn w:val="1"/>
    <w:link w:val="73"/>
    <w:qFormat/>
    <w:uiPriority w:val="0"/>
    <w:rPr>
      <w:rFonts w:ascii="宋体" w:hAnsiTheme="minorHAnsi" w:cstheme="minorBidi"/>
      <w:sz w:val="28"/>
      <w:szCs w:val="22"/>
    </w:rPr>
  </w:style>
  <w:style w:type="paragraph" w:styleId="33">
    <w:name w:val="HTML Preformatted"/>
    <w:basedOn w:val="1"/>
    <w:link w:val="1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jc w:val="left"/>
    </w:pPr>
    <w:rPr>
      <w:rFonts w:ascii="Arial" w:hAnsi="Arial"/>
      <w:kern w:val="0"/>
      <w:sz w:val="24"/>
    </w:rPr>
  </w:style>
  <w:style w:type="paragraph" w:styleId="34">
    <w:name w:val="Normal (Web)"/>
    <w:basedOn w:val="1"/>
    <w:link w:val="57"/>
    <w:qFormat/>
    <w:uiPriority w:val="99"/>
    <w:pPr>
      <w:widowControl/>
      <w:spacing w:before="100" w:beforeAutospacing="1" w:after="100" w:afterAutospacing="1"/>
      <w:jc w:val="left"/>
    </w:pPr>
    <w:rPr>
      <w:rFonts w:ascii="宋体" w:hAnsi="宋体" w:cs="宋体" w:eastAsiaTheme="minorEastAsia"/>
      <w:sz w:val="24"/>
    </w:rPr>
  </w:style>
  <w:style w:type="paragraph" w:styleId="35">
    <w:name w:val="index 1"/>
    <w:basedOn w:val="1"/>
    <w:next w:val="1"/>
    <w:qFormat/>
    <w:uiPriority w:val="0"/>
    <w:pPr>
      <w:spacing w:line="220" w:lineRule="exact"/>
      <w:jc w:val="center"/>
    </w:pPr>
    <w:rPr>
      <w:rFonts w:ascii="仿宋_GB2312" w:eastAsia="仿宋_GB2312"/>
      <w:szCs w:val="21"/>
    </w:rPr>
  </w:style>
  <w:style w:type="paragraph" w:styleId="36">
    <w:name w:val="Title"/>
    <w:basedOn w:val="1"/>
    <w:link w:val="77"/>
    <w:qFormat/>
    <w:uiPriority w:val="0"/>
    <w:pPr>
      <w:adjustRightInd w:val="0"/>
      <w:spacing w:before="240" w:after="60" w:line="420" w:lineRule="atLeast"/>
      <w:jc w:val="center"/>
      <w:textAlignment w:val="baseline"/>
      <w:outlineLvl w:val="0"/>
    </w:pPr>
    <w:rPr>
      <w:rFonts w:ascii="Arial" w:hAnsi="Arial" w:cstheme="minorBidi"/>
      <w:b/>
      <w:sz w:val="32"/>
      <w:szCs w:val="22"/>
    </w:rPr>
  </w:style>
  <w:style w:type="paragraph" w:styleId="37">
    <w:name w:val="annotation subject"/>
    <w:basedOn w:val="15"/>
    <w:next w:val="15"/>
    <w:link w:val="94"/>
    <w:qFormat/>
    <w:uiPriority w:val="0"/>
    <w:rPr>
      <w:b/>
      <w:bCs/>
    </w:rPr>
  </w:style>
  <w:style w:type="paragraph" w:styleId="38">
    <w:name w:val="Body Text First Indent"/>
    <w:basedOn w:val="17"/>
    <w:link w:val="85"/>
    <w:qFormat/>
    <w:uiPriority w:val="0"/>
    <w:pPr>
      <w:spacing w:after="120"/>
      <w:ind w:right="0" w:rightChars="0" w:firstLine="420" w:firstLineChars="100"/>
      <w:jc w:val="both"/>
    </w:pPr>
    <w:rPr>
      <w:rFonts w:ascii="Times New Roman" w:hAnsi="Times New Roman" w:cs="Times New Roman"/>
      <w:szCs w:val="20"/>
    </w:rPr>
  </w:style>
  <w:style w:type="paragraph" w:styleId="39">
    <w:name w:val="Body Text First Indent 2"/>
    <w:basedOn w:val="18"/>
    <w:qFormat/>
    <w:uiPriority w:val="0"/>
    <w:pPr>
      <w:spacing w:after="120"/>
      <w:ind w:left="420" w:leftChars="200" w:firstLine="420" w:firstLineChars="200"/>
    </w:pPr>
    <w:rPr>
      <w:rFonts w:ascii="Times New Roman" w:hAnsi="Times New Roman"/>
    </w:rPr>
  </w:style>
  <w:style w:type="table" w:styleId="41">
    <w:name w:val="Table Grid"/>
    <w:basedOn w:val="4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22"/>
    <w:rPr>
      <w:b/>
      <w:bCs/>
    </w:rPr>
  </w:style>
  <w:style w:type="character" w:styleId="44">
    <w:name w:val="page number"/>
    <w:basedOn w:val="42"/>
    <w:qFormat/>
    <w:uiPriority w:val="0"/>
  </w:style>
  <w:style w:type="character" w:styleId="45">
    <w:name w:val="FollowedHyperlink"/>
    <w:qFormat/>
    <w:uiPriority w:val="99"/>
    <w:rPr>
      <w:color w:val="800080"/>
      <w:u w:val="single"/>
    </w:rPr>
  </w:style>
  <w:style w:type="character" w:styleId="46">
    <w:name w:val="Emphasis"/>
    <w:qFormat/>
    <w:uiPriority w:val="20"/>
    <w:rPr>
      <w:i/>
      <w:iCs/>
    </w:rPr>
  </w:style>
  <w:style w:type="character" w:styleId="47">
    <w:name w:val="Hyperlink"/>
    <w:basedOn w:val="42"/>
    <w:qFormat/>
    <w:uiPriority w:val="99"/>
    <w:rPr>
      <w:color w:val="0000FF"/>
      <w:u w:val="single"/>
    </w:rPr>
  </w:style>
  <w:style w:type="character" w:styleId="48">
    <w:name w:val="annotation reference"/>
    <w:qFormat/>
    <w:uiPriority w:val="0"/>
    <w:rPr>
      <w:sz w:val="21"/>
      <w:szCs w:val="21"/>
    </w:rPr>
  </w:style>
  <w:style w:type="character" w:styleId="49">
    <w:name w:val="footnote reference"/>
    <w:qFormat/>
    <w:uiPriority w:val="0"/>
    <w:rPr>
      <w:vertAlign w:val="superscript"/>
    </w:rPr>
  </w:style>
  <w:style w:type="character" w:customStyle="1" w:styleId="50">
    <w:name w:val="页眉 字符1"/>
    <w:basedOn w:val="42"/>
    <w:link w:val="27"/>
    <w:qFormat/>
    <w:uiPriority w:val="0"/>
    <w:rPr>
      <w:sz w:val="18"/>
      <w:szCs w:val="18"/>
    </w:rPr>
  </w:style>
  <w:style w:type="character" w:customStyle="1" w:styleId="51">
    <w:name w:val="页脚 字符2"/>
    <w:basedOn w:val="42"/>
    <w:link w:val="26"/>
    <w:qFormat/>
    <w:uiPriority w:val="99"/>
    <w:rPr>
      <w:sz w:val="18"/>
      <w:szCs w:val="18"/>
    </w:rPr>
  </w:style>
  <w:style w:type="character" w:customStyle="1" w:styleId="52">
    <w:name w:val="正文文本 字符2"/>
    <w:link w:val="17"/>
    <w:qFormat/>
    <w:uiPriority w:val="0"/>
    <w:rPr>
      <w:rFonts w:eastAsia="宋体"/>
      <w:szCs w:val="24"/>
    </w:rPr>
  </w:style>
  <w:style w:type="character" w:customStyle="1" w:styleId="53">
    <w:name w:val="正文文本 Char1"/>
    <w:basedOn w:val="42"/>
    <w:semiHidden/>
    <w:qFormat/>
    <w:uiPriority w:val="99"/>
    <w:rPr>
      <w:rFonts w:ascii="Times New Roman" w:hAnsi="Times New Roman" w:eastAsia="宋体" w:cs="Times New Roman"/>
      <w:szCs w:val="24"/>
    </w:rPr>
  </w:style>
  <w:style w:type="paragraph" w:customStyle="1" w:styleId="54">
    <w:name w:val="_Style 17"/>
    <w:basedOn w:val="1"/>
    <w:next w:val="55"/>
    <w:qFormat/>
    <w:uiPriority w:val="34"/>
    <w:pPr>
      <w:widowControl/>
      <w:ind w:firstLine="420" w:firstLineChars="200"/>
      <w:jc w:val="left"/>
    </w:pPr>
    <w:rPr>
      <w:rFonts w:ascii="宋体" w:hAnsi="宋体" w:cs="宋体"/>
      <w:kern w:val="0"/>
      <w:sz w:val="24"/>
    </w:rPr>
  </w:style>
  <w:style w:type="paragraph" w:styleId="55">
    <w:name w:val="List Paragraph"/>
    <w:basedOn w:val="1"/>
    <w:qFormat/>
    <w:uiPriority w:val="34"/>
    <w:pPr>
      <w:ind w:firstLine="420" w:firstLineChars="200"/>
    </w:pPr>
  </w:style>
  <w:style w:type="paragraph" w:customStyle="1" w:styleId="56">
    <w:name w:val="样式1"/>
    <w:basedOn w:val="1"/>
    <w:qFormat/>
    <w:uiPriority w:val="0"/>
    <w:pPr>
      <w:adjustRightInd w:val="0"/>
      <w:spacing w:before="360" w:after="240" w:line="360" w:lineRule="auto"/>
      <w:jc w:val="center"/>
      <w:textAlignment w:val="baseline"/>
    </w:pPr>
    <w:rPr>
      <w:rFonts w:ascii="黑体" w:eastAsia="黑体"/>
      <w:kern w:val="0"/>
      <w:sz w:val="32"/>
      <w:szCs w:val="20"/>
    </w:rPr>
  </w:style>
  <w:style w:type="character" w:customStyle="1" w:styleId="57">
    <w:name w:val="普通(网站) 字符"/>
    <w:link w:val="34"/>
    <w:qFormat/>
    <w:uiPriority w:val="0"/>
    <w:rPr>
      <w:rFonts w:ascii="宋体" w:hAnsi="宋体" w:cs="宋体"/>
      <w:sz w:val="24"/>
      <w:szCs w:val="24"/>
    </w:rPr>
  </w:style>
  <w:style w:type="character" w:customStyle="1" w:styleId="58">
    <w:name w:val="批注框文本 字符1"/>
    <w:basedOn w:val="42"/>
    <w:link w:val="25"/>
    <w:qFormat/>
    <w:uiPriority w:val="0"/>
    <w:rPr>
      <w:rFonts w:ascii="Times New Roman" w:hAnsi="Times New Roman" w:eastAsia="宋体" w:cs="Times New Roman"/>
      <w:sz w:val="18"/>
      <w:szCs w:val="18"/>
    </w:rPr>
  </w:style>
  <w:style w:type="paragraph" w:customStyle="1" w:styleId="59">
    <w:name w:val="样式 首行缩进:  2 字符"/>
    <w:basedOn w:val="1"/>
    <w:qFormat/>
    <w:uiPriority w:val="0"/>
    <w:pPr>
      <w:spacing w:line="400" w:lineRule="exact"/>
      <w:ind w:firstLine="200" w:firstLineChars="200"/>
    </w:pPr>
    <w:rPr>
      <w:rFonts w:cs="宋体"/>
    </w:rPr>
  </w:style>
  <w:style w:type="character" w:customStyle="1" w:styleId="60">
    <w:name w:val="正文文本缩进 2 字符"/>
    <w:basedOn w:val="42"/>
    <w:link w:val="23"/>
    <w:qFormat/>
    <w:uiPriority w:val="0"/>
    <w:rPr>
      <w:rFonts w:ascii="Times New Roman" w:hAnsi="Times New Roman" w:eastAsia="宋体" w:cs="Times New Roman"/>
      <w:szCs w:val="24"/>
    </w:rPr>
  </w:style>
  <w:style w:type="character" w:customStyle="1" w:styleId="61">
    <w:name w:val="标题 1 字符"/>
    <w:basedOn w:val="42"/>
    <w:link w:val="3"/>
    <w:qFormat/>
    <w:uiPriority w:val="0"/>
    <w:rPr>
      <w:rFonts w:ascii="黑体" w:hAnsi="Times New Roman" w:eastAsia="黑体" w:cs="Times New Roman"/>
      <w:sz w:val="30"/>
      <w:szCs w:val="20"/>
    </w:rPr>
  </w:style>
  <w:style w:type="character" w:customStyle="1" w:styleId="62">
    <w:name w:val="标题 2 字符"/>
    <w:basedOn w:val="42"/>
    <w:link w:val="4"/>
    <w:qFormat/>
    <w:uiPriority w:val="0"/>
    <w:rPr>
      <w:rFonts w:ascii="黑体" w:hAnsi="Times New Roman" w:eastAsia="黑体" w:cs="Times New Roman"/>
      <w:color w:val="000000"/>
      <w:sz w:val="28"/>
      <w:szCs w:val="20"/>
    </w:rPr>
  </w:style>
  <w:style w:type="character" w:customStyle="1" w:styleId="63">
    <w:name w:val="标题 3 字符"/>
    <w:basedOn w:val="42"/>
    <w:link w:val="5"/>
    <w:qFormat/>
    <w:uiPriority w:val="0"/>
    <w:rPr>
      <w:rFonts w:ascii="黑体" w:hAnsi="Times New Roman" w:eastAsia="黑体" w:cs="Times New Roman"/>
      <w:color w:val="000000"/>
      <w:sz w:val="32"/>
      <w:szCs w:val="20"/>
    </w:rPr>
  </w:style>
  <w:style w:type="character" w:customStyle="1" w:styleId="64">
    <w:name w:val="标题 4 字符1"/>
    <w:basedOn w:val="42"/>
    <w:link w:val="6"/>
    <w:qFormat/>
    <w:uiPriority w:val="9"/>
    <w:rPr>
      <w:rFonts w:ascii="方正姚体" w:hAnsi="Times New Roman" w:eastAsia="方正姚体" w:cs="Times New Roman"/>
      <w:sz w:val="36"/>
      <w:szCs w:val="32"/>
    </w:rPr>
  </w:style>
  <w:style w:type="character" w:customStyle="1" w:styleId="65">
    <w:name w:val="标题 5 字符"/>
    <w:basedOn w:val="42"/>
    <w:link w:val="7"/>
    <w:qFormat/>
    <w:uiPriority w:val="0"/>
    <w:rPr>
      <w:rFonts w:ascii="Times New Roman" w:hAnsi="Times New Roman" w:eastAsia="宋体" w:cs="Times New Roman"/>
      <w:b/>
      <w:bCs/>
      <w:sz w:val="28"/>
      <w:szCs w:val="28"/>
    </w:rPr>
  </w:style>
  <w:style w:type="character" w:customStyle="1" w:styleId="66">
    <w:name w:val="标题 6 字符"/>
    <w:basedOn w:val="42"/>
    <w:link w:val="8"/>
    <w:qFormat/>
    <w:uiPriority w:val="0"/>
    <w:rPr>
      <w:rFonts w:ascii="Arial" w:hAnsi="Arial" w:eastAsia="黑体" w:cs="Times New Roman"/>
      <w:b/>
      <w:bCs/>
      <w:kern w:val="0"/>
      <w:sz w:val="24"/>
      <w:szCs w:val="24"/>
    </w:rPr>
  </w:style>
  <w:style w:type="character" w:customStyle="1" w:styleId="67">
    <w:name w:val="标题 7 字符"/>
    <w:basedOn w:val="42"/>
    <w:link w:val="9"/>
    <w:qFormat/>
    <w:uiPriority w:val="0"/>
    <w:rPr>
      <w:rFonts w:ascii="Times New Roman" w:hAnsi="Times New Roman" w:eastAsia="宋体" w:cs="Times New Roman"/>
      <w:b/>
      <w:bCs/>
      <w:kern w:val="0"/>
      <w:sz w:val="24"/>
      <w:szCs w:val="24"/>
    </w:rPr>
  </w:style>
  <w:style w:type="character" w:customStyle="1" w:styleId="68">
    <w:name w:val="标题 8 字符"/>
    <w:basedOn w:val="42"/>
    <w:link w:val="10"/>
    <w:qFormat/>
    <w:uiPriority w:val="0"/>
    <w:rPr>
      <w:rFonts w:ascii="Arial" w:hAnsi="Arial" w:eastAsia="黑体" w:cs="Times New Roman"/>
      <w:kern w:val="0"/>
      <w:sz w:val="24"/>
      <w:szCs w:val="24"/>
    </w:rPr>
  </w:style>
  <w:style w:type="character" w:customStyle="1" w:styleId="69">
    <w:name w:val="标题 9 字符"/>
    <w:basedOn w:val="42"/>
    <w:link w:val="11"/>
    <w:qFormat/>
    <w:uiPriority w:val="0"/>
    <w:rPr>
      <w:rFonts w:ascii="Arial" w:hAnsi="Arial" w:eastAsia="黑体" w:cs="Times New Roman"/>
      <w:kern w:val="0"/>
      <w:szCs w:val="21"/>
    </w:rPr>
  </w:style>
  <w:style w:type="character" w:customStyle="1" w:styleId="70">
    <w:name w:val="纯文本 字符1"/>
    <w:link w:val="21"/>
    <w:qFormat/>
    <w:uiPriority w:val="0"/>
    <w:rPr>
      <w:rFonts w:ascii="宋体" w:hAnsi="Courier New" w:eastAsia="宋体" w:cs="黑体"/>
      <w:szCs w:val="21"/>
    </w:rPr>
  </w:style>
  <w:style w:type="character" w:customStyle="1" w:styleId="71">
    <w:name w:val="批注文字 字符1"/>
    <w:link w:val="15"/>
    <w:qFormat/>
    <w:uiPriority w:val="0"/>
    <w:rPr>
      <w:rFonts w:eastAsia="宋体"/>
      <w:szCs w:val="24"/>
    </w:rPr>
  </w:style>
  <w:style w:type="character" w:customStyle="1" w:styleId="72">
    <w:name w:val="文档结构图 字符"/>
    <w:link w:val="14"/>
    <w:qFormat/>
    <w:uiPriority w:val="0"/>
    <w:rPr>
      <w:rFonts w:eastAsia="宋体"/>
      <w:szCs w:val="24"/>
      <w:shd w:val="clear" w:color="auto" w:fill="000080"/>
    </w:rPr>
  </w:style>
  <w:style w:type="character" w:customStyle="1" w:styleId="73">
    <w:name w:val="正文文本 2 字符"/>
    <w:link w:val="32"/>
    <w:qFormat/>
    <w:uiPriority w:val="0"/>
    <w:rPr>
      <w:rFonts w:ascii="宋体" w:eastAsia="宋体"/>
      <w:sz w:val="28"/>
    </w:rPr>
  </w:style>
  <w:style w:type="character" w:customStyle="1" w:styleId="74">
    <w:name w:val="正文文本缩进 3 字符"/>
    <w:link w:val="30"/>
    <w:qFormat/>
    <w:uiPriority w:val="0"/>
    <w:rPr>
      <w:rFonts w:ascii="宋体" w:hAnsi="宋体" w:eastAsia="宋体"/>
      <w:szCs w:val="21"/>
    </w:rPr>
  </w:style>
  <w:style w:type="character" w:customStyle="1" w:styleId="75">
    <w:name w:val="脚注文本 字符"/>
    <w:link w:val="29"/>
    <w:qFormat/>
    <w:uiPriority w:val="0"/>
    <w:rPr>
      <w:rFonts w:eastAsia="宋体"/>
      <w:sz w:val="18"/>
    </w:rPr>
  </w:style>
  <w:style w:type="character" w:customStyle="1" w:styleId="76">
    <w:name w:val="正文文本 3 字符"/>
    <w:link w:val="16"/>
    <w:qFormat/>
    <w:uiPriority w:val="0"/>
    <w:rPr>
      <w:rFonts w:ascii="宋体" w:eastAsia="宋体"/>
      <w:color w:val="000000"/>
      <w:sz w:val="32"/>
    </w:rPr>
  </w:style>
  <w:style w:type="character" w:customStyle="1" w:styleId="77">
    <w:name w:val="标题 字符"/>
    <w:link w:val="36"/>
    <w:qFormat/>
    <w:uiPriority w:val="0"/>
    <w:rPr>
      <w:rFonts w:ascii="Arial" w:hAnsi="Arial" w:eastAsia="宋体"/>
      <w:b/>
      <w:sz w:val="32"/>
    </w:rPr>
  </w:style>
  <w:style w:type="character" w:customStyle="1" w:styleId="78">
    <w:name w:val="尾注文本 字符"/>
    <w:link w:val="24"/>
    <w:qFormat/>
    <w:uiPriority w:val="0"/>
    <w:rPr>
      <w:rFonts w:eastAsia="宋体"/>
    </w:rPr>
  </w:style>
  <w:style w:type="character" w:customStyle="1" w:styleId="79">
    <w:name w:val="正文文本缩进 字符"/>
    <w:link w:val="18"/>
    <w:qFormat/>
    <w:uiPriority w:val="0"/>
    <w:rPr>
      <w:rFonts w:ascii="宋体" w:eastAsia="宋体"/>
      <w:sz w:val="24"/>
      <w:szCs w:val="24"/>
    </w:rPr>
  </w:style>
  <w:style w:type="character" w:customStyle="1" w:styleId="80">
    <w:name w:val="我的正文 Char Char"/>
    <w:link w:val="81"/>
    <w:qFormat/>
    <w:uiPriority w:val="0"/>
    <w:rPr>
      <w:rFonts w:ascii="宋体" w:hAnsi="宋体" w:eastAsia="宋体"/>
      <w:sz w:val="24"/>
      <w:szCs w:val="24"/>
    </w:rPr>
  </w:style>
  <w:style w:type="paragraph" w:customStyle="1" w:styleId="81">
    <w:name w:val="我的正文"/>
    <w:basedOn w:val="1"/>
    <w:link w:val="80"/>
    <w:qFormat/>
    <w:uiPriority w:val="0"/>
    <w:pPr>
      <w:snapToGrid w:val="0"/>
      <w:spacing w:line="300" w:lineRule="auto"/>
      <w:ind w:firstLine="150" w:firstLineChars="150"/>
    </w:pPr>
    <w:rPr>
      <w:rFonts w:ascii="宋体" w:hAnsi="宋体" w:cstheme="minorBidi"/>
      <w:sz w:val="24"/>
    </w:rPr>
  </w:style>
  <w:style w:type="character" w:customStyle="1" w:styleId="82">
    <w:name w:val="标题 Char1"/>
    <w:basedOn w:val="42"/>
    <w:qFormat/>
    <w:uiPriority w:val="10"/>
    <w:rPr>
      <w:rFonts w:eastAsia="宋体" w:asciiTheme="majorHAnsi" w:hAnsiTheme="majorHAnsi" w:cstheme="majorBidi"/>
      <w:b/>
      <w:bCs/>
      <w:sz w:val="32"/>
      <w:szCs w:val="32"/>
    </w:rPr>
  </w:style>
  <w:style w:type="character" w:customStyle="1" w:styleId="83">
    <w:name w:val="正文文本缩进 3 Char1"/>
    <w:basedOn w:val="42"/>
    <w:semiHidden/>
    <w:qFormat/>
    <w:uiPriority w:val="99"/>
    <w:rPr>
      <w:rFonts w:ascii="Times New Roman" w:hAnsi="Times New Roman" w:eastAsia="宋体" w:cs="Times New Roman"/>
      <w:sz w:val="16"/>
      <w:szCs w:val="16"/>
    </w:rPr>
  </w:style>
  <w:style w:type="character" w:customStyle="1" w:styleId="84">
    <w:name w:val="正文文本 2 Char1"/>
    <w:basedOn w:val="42"/>
    <w:semiHidden/>
    <w:qFormat/>
    <w:uiPriority w:val="99"/>
    <w:rPr>
      <w:rFonts w:ascii="Times New Roman" w:hAnsi="Times New Roman" w:eastAsia="宋体" w:cs="Times New Roman"/>
      <w:szCs w:val="24"/>
    </w:rPr>
  </w:style>
  <w:style w:type="character" w:customStyle="1" w:styleId="85">
    <w:name w:val="正文文本首行缩进 字符"/>
    <w:basedOn w:val="52"/>
    <w:link w:val="38"/>
    <w:qFormat/>
    <w:uiPriority w:val="0"/>
    <w:rPr>
      <w:rFonts w:ascii="Times New Roman" w:hAnsi="Times New Roman" w:eastAsia="宋体" w:cs="Times New Roman"/>
      <w:szCs w:val="20"/>
    </w:rPr>
  </w:style>
  <w:style w:type="character" w:customStyle="1" w:styleId="86">
    <w:name w:val="正文文本缩进 Char1"/>
    <w:basedOn w:val="42"/>
    <w:semiHidden/>
    <w:qFormat/>
    <w:uiPriority w:val="99"/>
    <w:rPr>
      <w:rFonts w:ascii="Times New Roman" w:hAnsi="Times New Roman" w:eastAsia="宋体" w:cs="Times New Roman"/>
      <w:szCs w:val="24"/>
    </w:rPr>
  </w:style>
  <w:style w:type="character" w:customStyle="1" w:styleId="87">
    <w:name w:val="尾注文本 Char1"/>
    <w:basedOn w:val="42"/>
    <w:semiHidden/>
    <w:qFormat/>
    <w:uiPriority w:val="99"/>
    <w:rPr>
      <w:rFonts w:ascii="Times New Roman" w:hAnsi="Times New Roman" w:eastAsia="宋体" w:cs="Times New Roman"/>
      <w:szCs w:val="24"/>
    </w:rPr>
  </w:style>
  <w:style w:type="character" w:customStyle="1" w:styleId="88">
    <w:name w:val="日期 字符"/>
    <w:basedOn w:val="42"/>
    <w:link w:val="22"/>
    <w:qFormat/>
    <w:uiPriority w:val="0"/>
    <w:rPr>
      <w:rFonts w:ascii="Times New Roman" w:hAnsi="Times New Roman" w:eastAsia="宋体" w:cs="Times New Roman"/>
      <w:szCs w:val="20"/>
    </w:rPr>
  </w:style>
  <w:style w:type="character" w:customStyle="1" w:styleId="89">
    <w:name w:val="批注文字 Char1"/>
    <w:basedOn w:val="42"/>
    <w:semiHidden/>
    <w:qFormat/>
    <w:uiPriority w:val="99"/>
    <w:rPr>
      <w:rFonts w:ascii="Times New Roman" w:hAnsi="Times New Roman" w:eastAsia="宋体" w:cs="Times New Roman"/>
      <w:szCs w:val="24"/>
    </w:rPr>
  </w:style>
  <w:style w:type="character" w:customStyle="1" w:styleId="90">
    <w:name w:val="脚注文本 Char1"/>
    <w:basedOn w:val="42"/>
    <w:semiHidden/>
    <w:qFormat/>
    <w:uiPriority w:val="99"/>
    <w:rPr>
      <w:rFonts w:ascii="Times New Roman" w:hAnsi="Times New Roman" w:eastAsia="宋体" w:cs="Times New Roman"/>
      <w:sz w:val="18"/>
      <w:szCs w:val="18"/>
    </w:rPr>
  </w:style>
  <w:style w:type="character" w:customStyle="1" w:styleId="91">
    <w:name w:val="文档结构图 Char1"/>
    <w:basedOn w:val="42"/>
    <w:semiHidden/>
    <w:qFormat/>
    <w:uiPriority w:val="99"/>
    <w:rPr>
      <w:rFonts w:ascii="宋体" w:hAnsi="Times New Roman" w:eastAsia="宋体" w:cs="Times New Roman"/>
      <w:sz w:val="18"/>
      <w:szCs w:val="18"/>
    </w:rPr>
  </w:style>
  <w:style w:type="character" w:customStyle="1" w:styleId="92">
    <w:name w:val="正文文本 3 Char1"/>
    <w:basedOn w:val="42"/>
    <w:semiHidden/>
    <w:qFormat/>
    <w:uiPriority w:val="99"/>
    <w:rPr>
      <w:rFonts w:ascii="Times New Roman" w:hAnsi="Times New Roman" w:eastAsia="宋体" w:cs="Times New Roman"/>
      <w:sz w:val="16"/>
      <w:szCs w:val="16"/>
    </w:rPr>
  </w:style>
  <w:style w:type="character" w:customStyle="1" w:styleId="93">
    <w:name w:val="纯文本 Char1"/>
    <w:basedOn w:val="42"/>
    <w:semiHidden/>
    <w:qFormat/>
    <w:uiPriority w:val="99"/>
    <w:rPr>
      <w:rFonts w:ascii="宋体" w:hAnsi="Courier New" w:eastAsia="宋体" w:cs="Courier New"/>
      <w:szCs w:val="21"/>
    </w:rPr>
  </w:style>
  <w:style w:type="character" w:customStyle="1" w:styleId="94">
    <w:name w:val="批注主题 字符"/>
    <w:basedOn w:val="89"/>
    <w:link w:val="37"/>
    <w:qFormat/>
    <w:uiPriority w:val="0"/>
    <w:rPr>
      <w:rFonts w:ascii="Times New Roman" w:hAnsi="Times New Roman" w:eastAsia="宋体" w:cs="Times New Roman"/>
      <w:b/>
      <w:bCs/>
      <w:szCs w:val="24"/>
    </w:rPr>
  </w:style>
  <w:style w:type="paragraph" w:customStyle="1" w:styleId="95">
    <w:name w:val="==&gt;"/>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96">
    <w:name w:val="样式2"/>
    <w:basedOn w:val="1"/>
    <w:qFormat/>
    <w:uiPriority w:val="0"/>
    <w:pPr>
      <w:numPr>
        <w:ilvl w:val="0"/>
        <w:numId w:val="2"/>
      </w:numPr>
      <w:tabs>
        <w:tab w:val="left" w:pos="1560"/>
      </w:tabs>
      <w:spacing w:line="360" w:lineRule="auto"/>
      <w:jc w:val="center"/>
    </w:pPr>
    <w:rPr>
      <w:rFonts w:ascii="黑体" w:eastAsia="黑体"/>
      <w:szCs w:val="20"/>
    </w:rPr>
  </w:style>
  <w:style w:type="paragraph" w:customStyle="1" w:styleId="97">
    <w:name w:val="xl3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98">
    <w:name w:val="样式 标题 2 + 宋体 四号 居中"/>
    <w:basedOn w:val="4"/>
    <w:qFormat/>
    <w:uiPriority w:val="0"/>
    <w:pPr>
      <w:keepLines/>
      <w:numPr>
        <w:ilvl w:val="0"/>
        <w:numId w:val="0"/>
      </w:numPr>
      <w:spacing w:before="260" w:after="260" w:line="415" w:lineRule="auto"/>
    </w:pPr>
    <w:rPr>
      <w:rFonts w:ascii="宋体" w:hAnsi="宋体" w:eastAsia="宋体" w:cs="宋体"/>
      <w:b/>
      <w:bCs/>
      <w:color w:val="auto"/>
      <w:sz w:val="30"/>
    </w:rPr>
  </w:style>
  <w:style w:type="paragraph" w:customStyle="1" w:styleId="99">
    <w:name w:val="目录"/>
    <w:basedOn w:val="1"/>
    <w:qFormat/>
    <w:uiPriority w:val="0"/>
    <w:pPr>
      <w:widowControl/>
      <w:jc w:val="center"/>
    </w:pPr>
    <w:rPr>
      <w:b/>
      <w:sz w:val="36"/>
    </w:rPr>
  </w:style>
  <w:style w:type="paragraph" w:customStyle="1" w:styleId="100">
    <w:name w:val="xl3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kern w:val="0"/>
      <w:sz w:val="24"/>
    </w:rPr>
  </w:style>
  <w:style w:type="paragraph" w:customStyle="1" w:styleId="101">
    <w:name w:val="font11"/>
    <w:basedOn w:val="1"/>
    <w:qFormat/>
    <w:uiPriority w:val="0"/>
    <w:pPr>
      <w:widowControl/>
      <w:spacing w:before="100" w:beforeAutospacing="1" w:after="100" w:afterAutospacing="1"/>
      <w:jc w:val="left"/>
    </w:pPr>
    <w:rPr>
      <w:b/>
      <w:bCs/>
      <w:kern w:val="0"/>
      <w:sz w:val="24"/>
    </w:rPr>
  </w:style>
  <w:style w:type="paragraph" w:customStyle="1" w:styleId="10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3">
    <w:name w:val="纯文本1"/>
    <w:basedOn w:val="1"/>
    <w:qFormat/>
    <w:uiPriority w:val="0"/>
    <w:pPr>
      <w:adjustRightInd w:val="0"/>
      <w:textAlignment w:val="baseline"/>
    </w:pPr>
    <w:rPr>
      <w:rFonts w:ascii="宋体" w:hAnsi="Courier New"/>
      <w:szCs w:val="20"/>
    </w:rPr>
  </w:style>
  <w:style w:type="paragraph" w:customStyle="1" w:styleId="10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rPr>
  </w:style>
  <w:style w:type="paragraph" w:customStyle="1" w:styleId="10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107">
    <w:name w:val="xl50"/>
    <w:basedOn w:val="1"/>
    <w:qFormat/>
    <w:uiPriority w:val="0"/>
    <w:pPr>
      <w:widowControl/>
      <w:spacing w:before="100" w:beforeAutospacing="1" w:after="100" w:afterAutospacing="1"/>
      <w:jc w:val="center"/>
      <w:textAlignment w:val="top"/>
    </w:pPr>
    <w:rPr>
      <w:rFonts w:hint="eastAsia" w:ascii="黑体" w:hAnsi="Arial Unicode MS" w:eastAsia="黑体"/>
      <w:b/>
      <w:bCs/>
      <w:kern w:val="0"/>
      <w:sz w:val="36"/>
      <w:szCs w:val="36"/>
    </w:rPr>
  </w:style>
  <w:style w:type="paragraph" w:customStyle="1" w:styleId="108">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kern w:val="0"/>
      <w:sz w:val="24"/>
    </w:rPr>
  </w:style>
  <w:style w:type="paragraph" w:customStyle="1" w:styleId="109">
    <w:name w:val="简单回函地址"/>
    <w:basedOn w:val="1"/>
    <w:qFormat/>
    <w:uiPriority w:val="0"/>
  </w:style>
  <w:style w:type="paragraph" w:customStyle="1" w:styleId="110">
    <w:name w:val="表中"/>
    <w:basedOn w:val="1"/>
    <w:qFormat/>
    <w:uiPriority w:val="0"/>
    <w:pPr>
      <w:adjustRightInd w:val="0"/>
      <w:spacing w:line="360" w:lineRule="atLeast"/>
      <w:jc w:val="center"/>
      <w:textAlignment w:val="baseline"/>
    </w:pPr>
    <w:rPr>
      <w:kern w:val="0"/>
      <w:szCs w:val="20"/>
    </w:rPr>
  </w:style>
  <w:style w:type="paragraph" w:customStyle="1" w:styleId="111">
    <w:name w:val="xl3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4"/>
    </w:rPr>
  </w:style>
  <w:style w:type="paragraph" w:customStyle="1" w:styleId="11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rPr>
  </w:style>
  <w:style w:type="paragraph" w:customStyle="1" w:styleId="113">
    <w:name w:val="样式 标题 2 + Times New Roman 四号 非加粗 段前: 5 磅 段后: 0 磅 行距: 固定值 20..."/>
    <w:basedOn w:val="4"/>
    <w:qFormat/>
    <w:uiPriority w:val="0"/>
    <w:pPr>
      <w:keepLines/>
      <w:numPr>
        <w:ilvl w:val="0"/>
        <w:numId w:val="0"/>
      </w:numPr>
      <w:spacing w:before="100" w:line="400" w:lineRule="exact"/>
      <w:jc w:val="both"/>
    </w:pPr>
    <w:rPr>
      <w:rFonts w:ascii="Times New Roman" w:cs="宋体"/>
      <w:color w:val="auto"/>
    </w:rPr>
  </w:style>
  <w:style w:type="paragraph" w:customStyle="1" w:styleId="114">
    <w:name w:val="xl40"/>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15">
    <w:name w:val="样式 标题 2 + 宋体"/>
    <w:basedOn w:val="4"/>
    <w:qFormat/>
    <w:uiPriority w:val="0"/>
    <w:pPr>
      <w:keepLines/>
      <w:numPr>
        <w:ilvl w:val="0"/>
        <w:numId w:val="0"/>
      </w:numPr>
      <w:spacing w:line="360" w:lineRule="auto"/>
      <w:ind w:firstLine="482" w:firstLineChars="200"/>
      <w:jc w:val="left"/>
    </w:pPr>
    <w:rPr>
      <w:rFonts w:ascii="宋体" w:hAnsi="宋体" w:eastAsia="宋体" w:cs="宋体"/>
      <w:b/>
      <w:bCs/>
      <w:color w:val="auto"/>
      <w:sz w:val="24"/>
    </w:rPr>
  </w:style>
  <w:style w:type="paragraph" w:customStyle="1" w:styleId="116">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17">
    <w:name w:val="xl29"/>
    <w:basedOn w:val="1"/>
    <w:qFormat/>
    <w:uiPriority w:val="0"/>
    <w:pPr>
      <w:widowControl/>
      <w:pBdr>
        <w:bottom w:val="single" w:color="auto" w:sz="4" w:space="0"/>
      </w:pBdr>
      <w:spacing w:before="100" w:beforeAutospacing="1" w:after="100" w:afterAutospacing="1"/>
      <w:jc w:val="left"/>
    </w:pPr>
    <w:rPr>
      <w:rFonts w:ascii="Arial Unicode MS" w:hAnsi="Arial Unicode MS"/>
      <w:kern w:val="0"/>
      <w:sz w:val="24"/>
    </w:rPr>
  </w:style>
  <w:style w:type="paragraph" w:customStyle="1" w:styleId="11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rPr>
  </w:style>
  <w:style w:type="paragraph" w:customStyle="1" w:styleId="11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rPr>
  </w:style>
  <w:style w:type="paragraph" w:customStyle="1" w:styleId="120">
    <w:name w:val="TOC Heading"/>
    <w:basedOn w:val="3"/>
    <w:next w:val="1"/>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121">
    <w:name w:val=":("/>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12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4"/>
    </w:rPr>
  </w:style>
  <w:style w:type="paragraph" w:customStyle="1" w:styleId="123">
    <w:name w:val="xl44"/>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center"/>
    </w:pPr>
    <w:rPr>
      <w:kern w:val="0"/>
      <w:sz w:val="24"/>
    </w:rPr>
  </w:style>
  <w:style w:type="paragraph" w:customStyle="1" w:styleId="12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25">
    <w:name w:val="xl4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4"/>
    </w:rPr>
  </w:style>
  <w:style w:type="paragraph" w:customStyle="1" w:styleId="126">
    <w:name w:val="font9"/>
    <w:basedOn w:val="1"/>
    <w:qFormat/>
    <w:uiPriority w:val="0"/>
    <w:pPr>
      <w:widowControl/>
      <w:spacing w:before="100" w:beforeAutospacing="1" w:after="100" w:afterAutospacing="1"/>
      <w:jc w:val="left"/>
    </w:pPr>
    <w:rPr>
      <w:kern w:val="0"/>
      <w:sz w:val="24"/>
      <w:u w:val="single"/>
    </w:rPr>
  </w:style>
  <w:style w:type="paragraph" w:customStyle="1" w:styleId="127">
    <w:name w:val=":-)"/>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128">
    <w:name w:val="xl51"/>
    <w:basedOn w:val="1"/>
    <w:qFormat/>
    <w:uiPriority w:val="0"/>
    <w:pPr>
      <w:widowControl/>
      <w:spacing w:before="100" w:beforeAutospacing="1" w:after="100" w:afterAutospacing="1"/>
      <w:jc w:val="left"/>
      <w:textAlignment w:val="center"/>
    </w:pPr>
    <w:rPr>
      <w:rFonts w:ascii="Arial Unicode MS" w:hAnsi="Arial Unicode MS"/>
      <w:kern w:val="0"/>
      <w:sz w:val="24"/>
    </w:rPr>
  </w:style>
  <w:style w:type="paragraph" w:customStyle="1" w:styleId="129">
    <w:name w:val="xl3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kern w:val="0"/>
      <w:sz w:val="24"/>
    </w:rPr>
  </w:style>
  <w:style w:type="paragraph" w:customStyle="1" w:styleId="13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kern w:val="0"/>
      <w:sz w:val="24"/>
    </w:rPr>
  </w:style>
  <w:style w:type="paragraph" w:customStyle="1" w:styleId="131">
    <w:name w:val="font10"/>
    <w:basedOn w:val="1"/>
    <w:qFormat/>
    <w:uiPriority w:val="0"/>
    <w:pPr>
      <w:widowControl/>
      <w:spacing w:before="100" w:beforeAutospacing="1" w:after="100" w:afterAutospacing="1"/>
      <w:jc w:val="left"/>
    </w:pPr>
    <w:rPr>
      <w:rFonts w:hint="eastAsia" w:ascii="宋体" w:hAnsi="宋体"/>
      <w:b/>
      <w:bCs/>
      <w:kern w:val="0"/>
      <w:sz w:val="24"/>
    </w:rPr>
  </w:style>
  <w:style w:type="paragraph" w:customStyle="1" w:styleId="132">
    <w:name w:val=":-("/>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133">
    <w:name w:val="font8"/>
    <w:basedOn w:val="1"/>
    <w:qFormat/>
    <w:uiPriority w:val="0"/>
    <w:pPr>
      <w:widowControl/>
      <w:spacing w:before="100" w:beforeAutospacing="1" w:after="100" w:afterAutospacing="1"/>
      <w:jc w:val="left"/>
    </w:pPr>
    <w:rPr>
      <w:kern w:val="0"/>
      <w:sz w:val="24"/>
    </w:rPr>
  </w:style>
  <w:style w:type="paragraph" w:customStyle="1" w:styleId="134">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3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kern w:val="0"/>
      <w:sz w:val="24"/>
    </w:rPr>
  </w:style>
  <w:style w:type="paragraph" w:customStyle="1" w:styleId="136">
    <w:name w:val=":|"/>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137">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kern w:val="0"/>
      <w:sz w:val="24"/>
    </w:rPr>
  </w:style>
  <w:style w:type="paragraph" w:customStyle="1" w:styleId="138">
    <w:name w:val=":)"/>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139">
    <w:name w:val="xl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 w:val="24"/>
    </w:rPr>
  </w:style>
  <w:style w:type="paragraph" w:customStyle="1" w:styleId="140">
    <w:name w:val="&lt;=="/>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141">
    <w:name w:val="font1"/>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4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4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rPr>
  </w:style>
  <w:style w:type="paragraph" w:customStyle="1" w:styleId="144">
    <w:name w:val="&lt;=&gt;"/>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paragraph" w:customStyle="1" w:styleId="145">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146">
    <w:name w:val="xl4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Arial Unicode MS" w:eastAsia="黑体"/>
      <w:kern w:val="0"/>
      <w:sz w:val="24"/>
    </w:rPr>
  </w:style>
  <w:style w:type="paragraph" w:customStyle="1" w:styleId="147">
    <w:name w:val="xl3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kern w:val="0"/>
      <w:sz w:val="24"/>
    </w:rPr>
  </w:style>
  <w:style w:type="paragraph" w:customStyle="1" w:styleId="148">
    <w:name w:val="xl3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b/>
      <w:bCs/>
      <w:color w:val="FF0000"/>
      <w:kern w:val="0"/>
      <w:sz w:val="24"/>
    </w:rPr>
  </w:style>
  <w:style w:type="paragraph" w:customStyle="1" w:styleId="1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50">
    <w:name w:val="font7"/>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151">
    <w:name w:val="Char"/>
    <w:basedOn w:val="1"/>
    <w:qFormat/>
    <w:uiPriority w:val="0"/>
    <w:pPr>
      <w:widowControl/>
      <w:spacing w:after="160" w:line="240" w:lineRule="exact"/>
      <w:jc w:val="left"/>
    </w:pPr>
    <w:rPr>
      <w:szCs w:val="20"/>
    </w:rPr>
  </w:style>
  <w:style w:type="paragraph" w:customStyle="1" w:styleId="152">
    <w:name w:val="标题 3 New"/>
    <w:basedOn w:val="105"/>
    <w:next w:val="105"/>
    <w:qFormat/>
    <w:uiPriority w:val="0"/>
    <w:pPr>
      <w:keepNext/>
      <w:keepLines/>
      <w:spacing w:line="360" w:lineRule="auto"/>
      <w:ind w:firstLine="200" w:firstLineChars="200"/>
      <w:outlineLvl w:val="2"/>
    </w:pPr>
    <w:rPr>
      <w:b/>
      <w:bCs/>
      <w:szCs w:val="32"/>
    </w:rPr>
  </w:style>
  <w:style w:type="paragraph" w:customStyle="1" w:styleId="153">
    <w:name w:val="表格文字"/>
    <w:basedOn w:val="1"/>
    <w:qFormat/>
    <w:uiPriority w:val="0"/>
    <w:pPr>
      <w:adjustRightInd w:val="0"/>
      <w:spacing w:line="420" w:lineRule="atLeast"/>
      <w:jc w:val="left"/>
      <w:textAlignment w:val="baseline"/>
    </w:pPr>
    <w:rPr>
      <w:kern w:val="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52"/>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styleId="15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xl4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kern w:val="0"/>
      <w:sz w:val="24"/>
    </w:rPr>
  </w:style>
  <w:style w:type="paragraph" w:customStyle="1" w:styleId="158">
    <w:name w:val="xl4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4"/>
    </w:rPr>
  </w:style>
  <w:style w:type="paragraph" w:customStyle="1" w:styleId="15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rPr>
  </w:style>
  <w:style w:type="paragraph" w:customStyle="1" w:styleId="160">
    <w:name w:val="&lt;--"/>
    <w:qFormat/>
    <w:uiPriority w:val="0"/>
    <w:pPr>
      <w:overflowPunct w:val="0"/>
      <w:autoSpaceDE w:val="0"/>
      <w:autoSpaceDN w:val="0"/>
      <w:adjustRightInd w:val="0"/>
      <w:textAlignment w:val="baseline"/>
    </w:pPr>
    <w:rPr>
      <w:rFonts w:ascii="Times New Roman" w:hAnsi="Times New Roman" w:eastAsia="宋体" w:cs="Times New Roman"/>
      <w:kern w:val="0"/>
      <w:sz w:val="20"/>
      <w:szCs w:val="20"/>
      <w:lang w:val="en-GB" w:eastAsia="zh-CN" w:bidi="ar-SA"/>
    </w:rPr>
  </w:style>
  <w:style w:type="character" w:customStyle="1" w:styleId="161">
    <w:name w:val="font-family:宋体 font-size:10.5pt"/>
    <w:basedOn w:val="42"/>
    <w:qFormat/>
    <w:uiPriority w:val="99"/>
  </w:style>
  <w:style w:type="character" w:customStyle="1" w:styleId="162">
    <w:name w:val="font-family:calibri font-size:10.5pt"/>
    <w:basedOn w:val="42"/>
    <w:qFormat/>
    <w:uiPriority w:val="99"/>
  </w:style>
  <w:style w:type="paragraph" w:customStyle="1" w:styleId="163">
    <w:name w:val="*正文"/>
    <w:basedOn w:val="1"/>
    <w:link w:val="234"/>
    <w:qFormat/>
    <w:uiPriority w:val="0"/>
    <w:pPr>
      <w:spacing w:line="360" w:lineRule="auto"/>
      <w:ind w:firstLine="200" w:firstLineChars="200"/>
    </w:pPr>
    <w:rPr>
      <w:rFonts w:ascii="宋体" w:hAnsi="宋体" w:eastAsia="宋体-简"/>
      <w:snapToGrid w:val="0"/>
      <w:sz w:val="24"/>
    </w:rPr>
  </w:style>
  <w:style w:type="paragraph" w:customStyle="1" w:styleId="164">
    <w:name w:val="纯文本11"/>
    <w:basedOn w:val="1"/>
    <w:qFormat/>
    <w:uiPriority w:val="0"/>
    <w:rPr>
      <w:rFonts w:ascii="宋体" w:hAnsi="Courier New"/>
      <w:szCs w:val="22"/>
    </w:rPr>
  </w:style>
  <w:style w:type="paragraph" w:customStyle="1" w:styleId="165">
    <w:name w:val="正文缩进1"/>
    <w:basedOn w:val="1"/>
    <w:qFormat/>
    <w:uiPriority w:val="0"/>
    <w:pPr>
      <w:autoSpaceDE w:val="0"/>
      <w:autoSpaceDN w:val="0"/>
      <w:adjustRightInd w:val="0"/>
      <w:ind w:firstLine="420"/>
      <w:jc w:val="left"/>
    </w:pPr>
    <w:rPr>
      <w:rFonts w:ascii="宋体" w:hAnsi="Calibri" w:cs="Calibri"/>
      <w:kern w:val="0"/>
      <w:sz w:val="24"/>
      <w:szCs w:val="21"/>
    </w:rPr>
  </w:style>
  <w:style w:type="character" w:customStyle="1" w:styleId="166">
    <w:name w:val="HTML 预设格式 Char"/>
    <w:basedOn w:val="42"/>
    <w:semiHidden/>
    <w:qFormat/>
    <w:uiPriority w:val="99"/>
    <w:rPr>
      <w:rFonts w:ascii="Courier New" w:hAnsi="Courier New" w:eastAsia="宋体" w:cs="Courier New"/>
      <w:sz w:val="20"/>
      <w:szCs w:val="20"/>
    </w:rPr>
  </w:style>
  <w:style w:type="character" w:customStyle="1" w:styleId="167">
    <w:name w:val="HTML 预设格式 字符"/>
    <w:link w:val="33"/>
    <w:qFormat/>
    <w:uiPriority w:val="0"/>
    <w:rPr>
      <w:rFonts w:ascii="Arial" w:hAnsi="Arial" w:eastAsia="宋体" w:cs="Times New Roman"/>
      <w:kern w:val="0"/>
      <w:sz w:val="24"/>
      <w:szCs w:val="24"/>
    </w:rPr>
  </w:style>
  <w:style w:type="character" w:customStyle="1" w:styleId="168">
    <w:name w:val="页脚 字符"/>
    <w:qFormat/>
    <w:locked/>
    <w:uiPriority w:val="99"/>
    <w:rPr>
      <w:rFonts w:eastAsia="宋体"/>
      <w:kern w:val="2"/>
      <w:sz w:val="18"/>
      <w:szCs w:val="18"/>
      <w:lang w:val="en-US" w:eastAsia="zh-CN" w:bidi="ar-SA"/>
    </w:rPr>
  </w:style>
  <w:style w:type="character" w:customStyle="1" w:styleId="169">
    <w:name w:val="font91"/>
    <w:qFormat/>
    <w:uiPriority w:val="0"/>
    <w:rPr>
      <w:rFonts w:hint="default" w:ascii="Calibri" w:hAnsi="Calibri" w:cs="Calibri"/>
      <w:color w:val="000000"/>
      <w:sz w:val="20"/>
      <w:szCs w:val="20"/>
      <w:u w:val="none"/>
    </w:rPr>
  </w:style>
  <w:style w:type="character" w:customStyle="1" w:styleId="170">
    <w:name w:val="font122"/>
    <w:qFormat/>
    <w:uiPriority w:val="0"/>
    <w:rPr>
      <w:rFonts w:hint="default" w:ascii="Times New Roman" w:hAnsi="Times New Roman" w:cs="Times New Roman"/>
      <w:color w:val="FF0000"/>
      <w:sz w:val="20"/>
      <w:szCs w:val="20"/>
      <w:u w:val="none"/>
    </w:rPr>
  </w:style>
  <w:style w:type="character" w:customStyle="1" w:styleId="171">
    <w:name w:val="页眉 字符"/>
    <w:qFormat/>
    <w:locked/>
    <w:uiPriority w:val="99"/>
    <w:rPr>
      <w:rFonts w:eastAsia="宋体"/>
      <w:kern w:val="2"/>
      <w:sz w:val="18"/>
      <w:szCs w:val="18"/>
      <w:lang w:val="en-US" w:eastAsia="zh-CN" w:bidi="ar-SA"/>
    </w:rPr>
  </w:style>
  <w:style w:type="character" w:customStyle="1" w:styleId="172">
    <w:name w:val="font101"/>
    <w:qFormat/>
    <w:uiPriority w:val="0"/>
    <w:rPr>
      <w:rFonts w:hint="eastAsia" w:ascii="宋体" w:hAnsi="宋体" w:eastAsia="宋体" w:cs="宋体"/>
      <w:color w:val="000000"/>
      <w:sz w:val="20"/>
      <w:szCs w:val="20"/>
      <w:u w:val="none"/>
    </w:rPr>
  </w:style>
  <w:style w:type="character" w:customStyle="1" w:styleId="173">
    <w:name w:val="font161"/>
    <w:qFormat/>
    <w:uiPriority w:val="0"/>
    <w:rPr>
      <w:rFonts w:hint="eastAsia" w:ascii="宋体" w:hAnsi="宋体" w:eastAsia="宋体" w:cs="宋体"/>
      <w:color w:val="000000"/>
      <w:sz w:val="20"/>
      <w:szCs w:val="20"/>
      <w:u w:val="none"/>
    </w:rPr>
  </w:style>
  <w:style w:type="character" w:customStyle="1" w:styleId="174">
    <w:name w:val="font71"/>
    <w:qFormat/>
    <w:uiPriority w:val="0"/>
    <w:rPr>
      <w:rFonts w:hint="eastAsia" w:ascii="宋体" w:hAnsi="宋体" w:eastAsia="宋体" w:cs="宋体"/>
      <w:color w:val="FF0000"/>
      <w:sz w:val="20"/>
      <w:szCs w:val="20"/>
      <w:u w:val="none"/>
    </w:rPr>
  </w:style>
  <w:style w:type="character" w:customStyle="1" w:styleId="175">
    <w:name w:val="font01"/>
    <w:qFormat/>
    <w:uiPriority w:val="0"/>
    <w:rPr>
      <w:rFonts w:hint="eastAsia" w:ascii="宋体" w:hAnsi="宋体" w:eastAsia="宋体" w:cs="宋体"/>
      <w:color w:val="000000"/>
      <w:sz w:val="20"/>
      <w:szCs w:val="20"/>
      <w:u w:val="none"/>
    </w:rPr>
  </w:style>
  <w:style w:type="character" w:customStyle="1" w:styleId="176">
    <w:name w:val="font131"/>
    <w:qFormat/>
    <w:uiPriority w:val="0"/>
    <w:rPr>
      <w:rFonts w:hint="default" w:ascii="Times New Roman" w:hAnsi="Times New Roman" w:cs="Times New Roman"/>
      <w:color w:val="000000"/>
      <w:sz w:val="20"/>
      <w:szCs w:val="20"/>
      <w:u w:val="none"/>
    </w:rPr>
  </w:style>
  <w:style w:type="character" w:customStyle="1" w:styleId="177">
    <w:name w:val="font21"/>
    <w:qFormat/>
    <w:uiPriority w:val="0"/>
    <w:rPr>
      <w:rFonts w:hint="eastAsia" w:ascii="宋体" w:hAnsi="宋体" w:eastAsia="宋体" w:cs="宋体"/>
      <w:color w:val="000000"/>
      <w:sz w:val="20"/>
      <w:szCs w:val="20"/>
      <w:u w:val="none"/>
    </w:rPr>
  </w:style>
  <w:style w:type="character" w:customStyle="1" w:styleId="178">
    <w:name w:val="font81"/>
    <w:qFormat/>
    <w:uiPriority w:val="0"/>
    <w:rPr>
      <w:rFonts w:hint="eastAsia" w:ascii="宋体" w:hAnsi="宋体" w:eastAsia="宋体" w:cs="宋体"/>
      <w:color w:val="FF0000"/>
      <w:sz w:val="20"/>
      <w:szCs w:val="20"/>
      <w:u w:val="none"/>
    </w:rPr>
  </w:style>
  <w:style w:type="character" w:customStyle="1" w:styleId="179">
    <w:name w:val="font51"/>
    <w:qFormat/>
    <w:uiPriority w:val="0"/>
    <w:rPr>
      <w:rFonts w:hint="eastAsia" w:ascii="宋体" w:hAnsi="宋体" w:eastAsia="宋体" w:cs="宋体"/>
      <w:color w:val="000000"/>
      <w:sz w:val="20"/>
      <w:szCs w:val="20"/>
      <w:u w:val="none"/>
    </w:rPr>
  </w:style>
  <w:style w:type="character" w:customStyle="1" w:styleId="180">
    <w:name w:val="正文文本 字符"/>
    <w:qFormat/>
    <w:uiPriority w:val="99"/>
    <w:rPr>
      <w:color w:val="993300"/>
      <w:kern w:val="2"/>
      <w:sz w:val="24"/>
      <w:szCs w:val="24"/>
    </w:rPr>
  </w:style>
  <w:style w:type="character" w:customStyle="1" w:styleId="181">
    <w:name w:val="font31"/>
    <w:qFormat/>
    <w:uiPriority w:val="0"/>
    <w:rPr>
      <w:rFonts w:hint="eastAsia" w:ascii="宋体" w:hAnsi="宋体" w:eastAsia="宋体" w:cs="宋体"/>
      <w:color w:val="000000"/>
      <w:sz w:val="20"/>
      <w:szCs w:val="20"/>
      <w:u w:val="none"/>
    </w:rPr>
  </w:style>
  <w:style w:type="character" w:customStyle="1" w:styleId="182">
    <w:name w:val="font61"/>
    <w:qFormat/>
    <w:uiPriority w:val="0"/>
    <w:rPr>
      <w:rFonts w:hint="eastAsia" w:ascii="宋体" w:hAnsi="宋体" w:eastAsia="宋体" w:cs="宋体"/>
      <w:color w:val="000000"/>
      <w:sz w:val="20"/>
      <w:szCs w:val="20"/>
      <w:u w:val="none"/>
    </w:rPr>
  </w:style>
  <w:style w:type="character" w:customStyle="1" w:styleId="183">
    <w:name w:val="font41"/>
    <w:qFormat/>
    <w:uiPriority w:val="0"/>
    <w:rPr>
      <w:rFonts w:hint="eastAsia" w:ascii="宋体" w:hAnsi="宋体" w:eastAsia="宋体" w:cs="宋体"/>
      <w:color w:val="000000"/>
      <w:sz w:val="20"/>
      <w:szCs w:val="20"/>
      <w:u w:val="none"/>
    </w:rPr>
  </w:style>
  <w:style w:type="character" w:customStyle="1" w:styleId="184">
    <w:name w:val="font121"/>
    <w:qFormat/>
    <w:uiPriority w:val="0"/>
    <w:rPr>
      <w:rFonts w:hint="default" w:ascii="Times New Roman" w:hAnsi="Times New Roman" w:cs="Times New Roman"/>
      <w:color w:val="FF0000"/>
      <w:sz w:val="20"/>
      <w:szCs w:val="20"/>
      <w:u w:val="none"/>
    </w:rPr>
  </w:style>
  <w:style w:type="paragraph" w:customStyle="1" w:styleId="185">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样式 仿宋_GB2312 四号 行距: 1.5 倍行距"/>
    <w:basedOn w:val="1"/>
    <w:qFormat/>
    <w:uiPriority w:val="0"/>
    <w:pPr>
      <w:spacing w:line="360" w:lineRule="auto"/>
      <w:ind w:firstLine="560" w:firstLineChars="200"/>
    </w:pPr>
    <w:rPr>
      <w:rFonts w:ascii="仿宋_GB2312" w:eastAsia="仿宋_GB2312" w:cs="宋体"/>
      <w:sz w:val="28"/>
      <w:szCs w:val="20"/>
    </w:rPr>
  </w:style>
  <w:style w:type="paragraph" w:customStyle="1" w:styleId="18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88">
    <w:name w:val="列出段落1"/>
    <w:basedOn w:val="1"/>
    <w:qFormat/>
    <w:uiPriority w:val="34"/>
    <w:pPr>
      <w:widowControl/>
      <w:ind w:left="720"/>
      <w:contextualSpacing/>
      <w:jc w:val="left"/>
    </w:pPr>
    <w:rPr>
      <w:rFonts w:ascii="Calibri" w:hAnsi="Calibri"/>
      <w:kern w:val="0"/>
      <w:sz w:val="24"/>
      <w:lang w:eastAsia="en-US" w:bidi="en-US"/>
    </w:rPr>
  </w:style>
  <w:style w:type="paragraph" w:customStyle="1" w:styleId="189">
    <w:name w:val="xl9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90">
    <w:name w:val="xl85"/>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91">
    <w:name w:val="xl9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192">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cs="宋体"/>
      <w:b/>
      <w:bCs/>
      <w:kern w:val="0"/>
      <w:sz w:val="24"/>
    </w:rPr>
  </w:style>
  <w:style w:type="paragraph" w:customStyle="1" w:styleId="193">
    <w:name w:val="xl9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9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95">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ACB9CA"/>
      <w:spacing w:before="100" w:beforeAutospacing="1" w:after="100" w:afterAutospacing="1"/>
      <w:jc w:val="center"/>
      <w:textAlignment w:val="center"/>
    </w:pPr>
    <w:rPr>
      <w:rFonts w:ascii="宋体" w:hAnsi="宋体" w:cs="宋体"/>
      <w:kern w:val="0"/>
      <w:sz w:val="20"/>
      <w:szCs w:val="20"/>
    </w:rPr>
  </w:style>
  <w:style w:type="paragraph" w:customStyle="1" w:styleId="19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97">
    <w:name w:val="xl10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19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9">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0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left"/>
      <w:textAlignment w:val="center"/>
    </w:pPr>
    <w:rPr>
      <w:rFonts w:ascii="宋体" w:hAnsi="宋体" w:cs="宋体"/>
      <w:kern w:val="0"/>
      <w:sz w:val="24"/>
    </w:rPr>
  </w:style>
  <w:style w:type="paragraph" w:customStyle="1" w:styleId="201">
    <w:name w:val="xl83"/>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0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ACB9CA"/>
      <w:spacing w:before="100" w:beforeAutospacing="1" w:after="100" w:afterAutospacing="1"/>
      <w:jc w:val="center"/>
      <w:textAlignment w:val="center"/>
    </w:pPr>
    <w:rPr>
      <w:rFonts w:ascii="宋体" w:hAnsi="宋体" w:cs="宋体"/>
      <w:b/>
      <w:bCs/>
      <w:kern w:val="0"/>
      <w:sz w:val="20"/>
      <w:szCs w:val="20"/>
    </w:rPr>
  </w:style>
  <w:style w:type="paragraph" w:customStyle="1" w:styleId="203">
    <w:name w:val="列出段落11"/>
    <w:basedOn w:val="1"/>
    <w:qFormat/>
    <w:uiPriority w:val="0"/>
    <w:pPr>
      <w:spacing w:line="324" w:lineRule="auto"/>
      <w:ind w:firstLine="420" w:firstLineChars="200"/>
    </w:pPr>
  </w:style>
  <w:style w:type="paragraph" w:customStyle="1" w:styleId="204">
    <w:name w:val="xl9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05">
    <w:name w:val="xl9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06">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0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208">
    <w:name w:val="xl10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09">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10">
    <w:name w:val="xl8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11">
    <w:name w:val="xl105"/>
    <w:basedOn w:val="1"/>
    <w:qFormat/>
    <w:uiPriority w:val="0"/>
    <w:pPr>
      <w:widowControl/>
      <w:pBdr>
        <w:top w:val="single" w:color="auto" w:sz="4" w:space="0"/>
        <w:bottom w:val="single" w:color="auto" w:sz="4" w:space="0"/>
        <w:right w:val="single" w:color="auto" w:sz="4" w:space="0"/>
      </w:pBdr>
      <w:shd w:val="clear" w:color="000000" w:fill="ACB9CA"/>
      <w:spacing w:before="100" w:beforeAutospacing="1" w:after="100" w:afterAutospacing="1"/>
      <w:jc w:val="center"/>
      <w:textAlignment w:val="center"/>
    </w:pPr>
    <w:rPr>
      <w:rFonts w:ascii="宋体" w:hAnsi="宋体" w:cs="宋体"/>
      <w:kern w:val="0"/>
      <w:sz w:val="20"/>
      <w:szCs w:val="20"/>
    </w:rPr>
  </w:style>
  <w:style w:type="paragraph" w:customStyle="1" w:styleId="21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13">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14">
    <w:name w:val="xl9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cs="宋体"/>
      <w:kern w:val="0"/>
      <w:sz w:val="24"/>
    </w:rPr>
  </w:style>
  <w:style w:type="paragraph" w:customStyle="1" w:styleId="216">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7">
    <w:name w:val="xl9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8">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9">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ACB9CA"/>
      <w:spacing w:before="100" w:beforeAutospacing="1" w:after="100" w:afterAutospacing="1"/>
      <w:jc w:val="left"/>
      <w:textAlignment w:val="center"/>
    </w:pPr>
    <w:rPr>
      <w:rFonts w:ascii="宋体" w:hAnsi="宋体" w:cs="宋体"/>
      <w:b/>
      <w:bCs/>
      <w:kern w:val="0"/>
      <w:sz w:val="20"/>
      <w:szCs w:val="20"/>
    </w:rPr>
  </w:style>
  <w:style w:type="paragraph" w:customStyle="1" w:styleId="220">
    <w:name w:val="xl89"/>
    <w:basedOn w:val="1"/>
    <w:qFormat/>
    <w:uiPriority w:val="0"/>
    <w:pPr>
      <w:widowControl/>
      <w:pBdr>
        <w:top w:val="single" w:color="auto" w:sz="4" w:space="0"/>
        <w:bottom w:val="single" w:color="auto" w:sz="4" w:space="0"/>
        <w:right w:val="single" w:color="auto" w:sz="4" w:space="0"/>
      </w:pBdr>
      <w:shd w:val="clear" w:color="000000" w:fill="ACB9CA"/>
      <w:spacing w:before="100" w:beforeAutospacing="1" w:after="100" w:afterAutospacing="1"/>
      <w:jc w:val="center"/>
      <w:textAlignment w:val="center"/>
    </w:pPr>
    <w:rPr>
      <w:rFonts w:ascii="宋体" w:hAnsi="宋体" w:cs="宋体"/>
      <w:b/>
      <w:bCs/>
      <w:kern w:val="0"/>
      <w:sz w:val="20"/>
      <w:szCs w:val="20"/>
    </w:rPr>
  </w:style>
  <w:style w:type="paragraph" w:customStyle="1" w:styleId="221">
    <w:name w:val="xl8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22">
    <w:name w:val="xl9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2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2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ACB9CA"/>
      <w:spacing w:before="100" w:beforeAutospacing="1" w:after="100" w:afterAutospacing="1"/>
      <w:jc w:val="left"/>
      <w:textAlignment w:val="center"/>
    </w:pPr>
    <w:rPr>
      <w:rFonts w:ascii="宋体" w:hAnsi="宋体" w:cs="宋体"/>
      <w:kern w:val="0"/>
      <w:sz w:val="20"/>
      <w:szCs w:val="20"/>
    </w:rPr>
  </w:style>
  <w:style w:type="paragraph" w:customStyle="1" w:styleId="22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227">
    <w:name w:val="xl88"/>
    <w:basedOn w:val="1"/>
    <w:qFormat/>
    <w:uiPriority w:val="0"/>
    <w:pPr>
      <w:widowControl/>
      <w:pBdr>
        <w:top w:val="single" w:color="auto" w:sz="4" w:space="0"/>
        <w:left w:val="single" w:color="auto" w:sz="4" w:space="0"/>
        <w:bottom w:val="single" w:color="auto" w:sz="4" w:space="0"/>
      </w:pBdr>
      <w:shd w:val="clear" w:color="000000" w:fill="ACB9CA"/>
      <w:spacing w:before="100" w:beforeAutospacing="1" w:after="100" w:afterAutospacing="1"/>
      <w:jc w:val="center"/>
      <w:textAlignment w:val="center"/>
    </w:pPr>
    <w:rPr>
      <w:rFonts w:ascii="宋体" w:hAnsi="宋体" w:cs="宋体"/>
      <w:b/>
      <w:bCs/>
      <w:kern w:val="0"/>
      <w:sz w:val="20"/>
      <w:szCs w:val="20"/>
    </w:rPr>
  </w:style>
  <w:style w:type="paragraph" w:customStyle="1" w:styleId="228">
    <w:name w:val="xl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29">
    <w:name w:val="xl9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0">
    <w:name w:val="xl10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1">
    <w:name w:val="xl104"/>
    <w:basedOn w:val="1"/>
    <w:qFormat/>
    <w:uiPriority w:val="0"/>
    <w:pPr>
      <w:widowControl/>
      <w:pBdr>
        <w:top w:val="single" w:color="auto" w:sz="4" w:space="0"/>
        <w:left w:val="single" w:color="auto" w:sz="4" w:space="0"/>
        <w:bottom w:val="single" w:color="auto" w:sz="4" w:space="0"/>
      </w:pBdr>
      <w:shd w:val="clear" w:color="000000" w:fill="ACB9CA"/>
      <w:spacing w:before="100" w:beforeAutospacing="1" w:after="100" w:afterAutospacing="1"/>
      <w:jc w:val="center"/>
      <w:textAlignment w:val="center"/>
    </w:pPr>
    <w:rPr>
      <w:rFonts w:ascii="宋体" w:hAnsi="宋体" w:cs="宋体"/>
      <w:kern w:val="0"/>
      <w:sz w:val="20"/>
      <w:szCs w:val="20"/>
    </w:rPr>
  </w:style>
  <w:style w:type="character" w:customStyle="1" w:styleId="232">
    <w:name w:val="文档正文 Char Char"/>
    <w:link w:val="233"/>
    <w:qFormat/>
    <w:uiPriority w:val="0"/>
    <w:rPr>
      <w:rFonts w:ascii="宋体" w:hAnsi="宋体"/>
      <w:szCs w:val="24"/>
    </w:rPr>
  </w:style>
  <w:style w:type="paragraph" w:customStyle="1" w:styleId="233">
    <w:name w:val="文档正文"/>
    <w:basedOn w:val="1"/>
    <w:link w:val="232"/>
    <w:qFormat/>
    <w:uiPriority w:val="0"/>
    <w:pPr>
      <w:adjustRightInd w:val="0"/>
      <w:spacing w:line="360" w:lineRule="auto"/>
      <w:ind w:firstLine="420" w:firstLineChars="200"/>
      <w:textAlignment w:val="baseline"/>
    </w:pPr>
    <w:rPr>
      <w:rFonts w:ascii="宋体" w:hAnsi="宋体" w:eastAsiaTheme="minorEastAsia" w:cstheme="minorBidi"/>
    </w:rPr>
  </w:style>
  <w:style w:type="character" w:customStyle="1" w:styleId="234">
    <w:name w:val="*正文 Char"/>
    <w:link w:val="163"/>
    <w:qFormat/>
    <w:uiPriority w:val="0"/>
    <w:rPr>
      <w:rFonts w:ascii="宋体" w:hAnsi="宋体" w:eastAsia="宋体-简" w:cs="Times New Roman"/>
      <w:snapToGrid w:val="0"/>
      <w:sz w:val="24"/>
      <w:szCs w:val="24"/>
    </w:rPr>
  </w:style>
  <w:style w:type="character" w:customStyle="1" w:styleId="235">
    <w:name w:val="不明显参考1"/>
    <w:qFormat/>
    <w:uiPriority w:val="31"/>
    <w:rPr>
      <w:smallCaps/>
      <w:color w:val="595959"/>
    </w:rPr>
  </w:style>
  <w:style w:type="character" w:customStyle="1" w:styleId="236">
    <w:name w:val="批注文字 字符"/>
    <w:qFormat/>
    <w:uiPriority w:val="0"/>
    <w:rPr>
      <w:kern w:val="2"/>
      <w:sz w:val="21"/>
      <w:szCs w:val="24"/>
    </w:rPr>
  </w:style>
  <w:style w:type="paragraph" w:customStyle="1" w:styleId="237">
    <w:name w:val="文本正文"/>
    <w:basedOn w:val="1"/>
    <w:unhideWhenUsed/>
    <w:qFormat/>
    <w:uiPriority w:val="0"/>
    <w:pPr>
      <w:spacing w:before="156" w:after="156" w:line="360" w:lineRule="auto"/>
      <w:ind w:firstLine="480"/>
    </w:pPr>
    <w:rPr>
      <w:rFonts w:ascii="等线" w:hAnsi="等线" w:eastAsia="等线"/>
      <w:color w:val="000000"/>
      <w:sz w:val="28"/>
      <w:szCs w:val="28"/>
    </w:rPr>
  </w:style>
  <w:style w:type="character" w:customStyle="1" w:styleId="238">
    <w:name w:val="批注框文本 字符"/>
    <w:qFormat/>
    <w:uiPriority w:val="0"/>
    <w:rPr>
      <w:kern w:val="2"/>
      <w:sz w:val="18"/>
      <w:szCs w:val="18"/>
    </w:rPr>
  </w:style>
  <w:style w:type="character" w:customStyle="1" w:styleId="239">
    <w:name w:val="题注 字符"/>
    <w:link w:val="13"/>
    <w:qFormat/>
    <w:locked/>
    <w:uiPriority w:val="35"/>
    <w:rPr>
      <w:rFonts w:ascii="Cambria" w:hAnsi="Cambria" w:eastAsia="黑体" w:cs="Times New Roman"/>
      <w:bCs/>
      <w:sz w:val="20"/>
      <w:szCs w:val="20"/>
    </w:rPr>
  </w:style>
  <w:style w:type="character" w:customStyle="1" w:styleId="240">
    <w:name w:val="标题 4 字符"/>
    <w:qFormat/>
    <w:uiPriority w:val="9"/>
    <w:rPr>
      <w:rFonts w:ascii="Arial" w:hAnsi="Arial" w:eastAsia="黑体"/>
      <w:b/>
      <w:bCs/>
      <w:kern w:val="2"/>
      <w:sz w:val="28"/>
      <w:szCs w:val="28"/>
    </w:rPr>
  </w:style>
  <w:style w:type="table" w:customStyle="1" w:styleId="241">
    <w:name w:val="网格型1"/>
    <w:basedOn w:val="4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242">
    <w:name w:val="纯文本 字符"/>
    <w:qFormat/>
    <w:uiPriority w:val="0"/>
    <w:rPr>
      <w:rFonts w:ascii="宋体" w:hAnsi="Courier New" w:eastAsia="宋体" w:cs="黑体"/>
      <w:sz w:val="21"/>
      <w:szCs w:val="21"/>
      <w:lang w:val="en-US" w:eastAsia="zh-CN" w:bidi="ar-SA"/>
    </w:rPr>
  </w:style>
  <w:style w:type="character" w:customStyle="1" w:styleId="243">
    <w:name w:val="正文文本 字符1"/>
    <w:qFormat/>
    <w:uiPriority w:val="0"/>
    <w:rPr>
      <w:rFonts w:eastAsia="宋体"/>
      <w:kern w:val="2"/>
      <w:sz w:val="21"/>
      <w:szCs w:val="24"/>
      <w:lang w:val="en-US" w:eastAsia="zh-CN" w:bidi="ar-SA"/>
    </w:rPr>
  </w:style>
  <w:style w:type="character" w:customStyle="1" w:styleId="244">
    <w:name w:val="正文缩进 字符"/>
    <w:link w:val="12"/>
    <w:qFormat/>
    <w:uiPriority w:val="0"/>
    <w:rPr>
      <w:rFonts w:ascii="Times New Roman" w:hAnsi="Times New Roman" w:eastAsia="宋体" w:cs="Times New Roman"/>
      <w:szCs w:val="20"/>
    </w:rPr>
  </w:style>
  <w:style w:type="character" w:customStyle="1" w:styleId="245">
    <w:name w:val="页脚 字符1"/>
    <w:qFormat/>
    <w:uiPriority w:val="99"/>
    <w:rPr>
      <w:rFonts w:eastAsia="宋体"/>
      <w:kern w:val="2"/>
      <w:sz w:val="18"/>
      <w:lang w:val="en-US" w:eastAsia="zh-CN" w:bidi="ar-SA"/>
    </w:rPr>
  </w:style>
  <w:style w:type="character" w:customStyle="1" w:styleId="246">
    <w:name w:val="日期 Char2"/>
    <w:basedOn w:val="42"/>
    <w:semiHidden/>
    <w:qFormat/>
    <w:uiPriority w:val="99"/>
    <w:rPr>
      <w:rFonts w:ascii="Times New Roman" w:hAnsi="Times New Roman" w:eastAsia="宋体" w:cs="Times New Roman"/>
      <w:kern w:val="2"/>
      <w:sz w:val="21"/>
    </w:rPr>
  </w:style>
  <w:style w:type="paragraph" w:customStyle="1" w:styleId="247">
    <w:name w:val="Table Paragraph"/>
    <w:basedOn w:val="1"/>
    <w:qFormat/>
    <w:uiPriority w:val="1"/>
    <w:rPr>
      <w:rFonts w:ascii="楷体" w:hAnsi="楷体" w:eastAsia="楷体" w:cs="楷体"/>
      <w:lang w:val="zh-CN" w:bidi="zh-CN"/>
    </w:rPr>
  </w:style>
  <w:style w:type="character" w:customStyle="1" w:styleId="248">
    <w:name w:val="正文缩进 Char"/>
    <w:qFormat/>
    <w:uiPriority w:val="0"/>
    <w:rPr>
      <w:kern w:val="2"/>
      <w:sz w:val="21"/>
    </w:rPr>
  </w:style>
  <w:style w:type="character" w:customStyle="1" w:styleId="249">
    <w:name w:val="p0 Char"/>
    <w:link w:val="250"/>
    <w:qFormat/>
    <w:uiPriority w:val="0"/>
    <w:rPr>
      <w:szCs w:val="21"/>
    </w:rPr>
  </w:style>
  <w:style w:type="paragraph" w:customStyle="1" w:styleId="250">
    <w:name w:val="p0"/>
    <w:basedOn w:val="1"/>
    <w:link w:val="249"/>
    <w:qFormat/>
    <w:uiPriority w:val="99"/>
    <w:pPr>
      <w:widowControl/>
    </w:pPr>
    <w:rPr>
      <w:rFonts w:asciiTheme="minorHAnsi" w:hAnsiTheme="minorHAnsi" w:eastAsiaTheme="minorEastAsia" w:cstheme="minorBidi"/>
      <w:szCs w:val="21"/>
    </w:rPr>
  </w:style>
  <w:style w:type="paragraph" w:customStyle="1" w:styleId="251">
    <w:name w:val="_Style 248"/>
    <w:basedOn w:val="1"/>
    <w:next w:val="55"/>
    <w:link w:val="252"/>
    <w:qFormat/>
    <w:uiPriority w:val="0"/>
    <w:pPr>
      <w:ind w:firstLine="420" w:firstLineChars="200"/>
    </w:pPr>
    <w:rPr>
      <w:szCs w:val="20"/>
      <w:lang w:val="zh-CN" w:eastAsia="zh-CN"/>
    </w:rPr>
  </w:style>
  <w:style w:type="character" w:customStyle="1" w:styleId="252">
    <w:name w:val="列出段落 Char"/>
    <w:link w:val="251"/>
    <w:qFormat/>
    <w:locked/>
    <w:uiPriority w:val="0"/>
    <w:rPr>
      <w:kern w:val="2"/>
      <w:sz w:val="21"/>
    </w:rPr>
  </w:style>
  <w:style w:type="character" w:customStyle="1" w:styleId="253">
    <w:name w:val="普通(网站) Char"/>
    <w:qFormat/>
    <w:uiPriority w:val="0"/>
    <w:rPr>
      <w:rFonts w:ascii="宋体" w:hAnsi="宋体" w:cs="宋体"/>
      <w:sz w:val="24"/>
      <w:szCs w:val="24"/>
    </w:rPr>
  </w:style>
  <w:style w:type="paragraph" w:customStyle="1" w:styleId="254">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55">
    <w:name w:val="纯文本2"/>
    <w:basedOn w:val="1"/>
    <w:qFormat/>
    <w:uiPriority w:val="0"/>
    <w:pPr>
      <w:spacing w:line="324" w:lineRule="auto"/>
    </w:pPr>
    <w:rPr>
      <w:rFonts w:ascii="宋体" w:hAnsi="Courier New" w:cs="Courier New"/>
      <w:szCs w:val="21"/>
    </w:rPr>
  </w:style>
  <w:style w:type="character" w:customStyle="1" w:styleId="256">
    <w:name w:val="noticegetfile-getbidfileaddress"/>
    <w:basedOn w:val="42"/>
    <w:qFormat/>
    <w:uiPriority w:val="0"/>
  </w:style>
  <w:style w:type="character" w:customStyle="1" w:styleId="257">
    <w:name w:val="noticepurchasetime-noticepurchasetime"/>
    <w:basedOn w:val="42"/>
    <w:qFormat/>
    <w:uiPriority w:val="0"/>
  </w:style>
  <w:style w:type="paragraph" w:customStyle="1" w:styleId="258">
    <w:name w:val="u-cont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259">
    <w:name w:val="u-content1"/>
    <w:basedOn w:val="42"/>
    <w:qFormat/>
    <w:uiPriority w:val="0"/>
  </w:style>
  <w:style w:type="character" w:customStyle="1" w:styleId="260">
    <w:name w:val="noticebidtime-bidaddress"/>
    <w:basedOn w:val="42"/>
    <w:qFormat/>
    <w:uiPriority w:val="0"/>
  </w:style>
  <w:style w:type="character" w:customStyle="1" w:styleId="261">
    <w:name w:val="未处理的提及1"/>
    <w:basedOn w:val="42"/>
    <w:semiHidden/>
    <w:unhideWhenUsed/>
    <w:qFormat/>
    <w:uiPriority w:val="99"/>
    <w:rPr>
      <w:color w:val="605E5C"/>
      <w:shd w:val="clear" w:color="auto" w:fill="E1DFDD"/>
    </w:rPr>
  </w:style>
  <w:style w:type="paragraph" w:customStyle="1" w:styleId="262">
    <w:name w:val="正文空2格  1."/>
    <w:basedOn w:val="1"/>
    <w:qFormat/>
    <w:uiPriority w:val="99"/>
    <w:pPr>
      <w:adjustRightInd w:val="0"/>
      <w:spacing w:line="360" w:lineRule="auto"/>
      <w:ind w:firstLine="480" w:firstLineChars="200"/>
    </w:pPr>
    <w:rPr>
      <w:rFonts w:ascii="宋体" w:eastAsia="仿宋" w:cs="宋体"/>
      <w:sz w:val="28"/>
      <w:szCs w:val="28"/>
    </w:rPr>
  </w:style>
  <w:style w:type="character" w:customStyle="1" w:styleId="263">
    <w:name w:val="Default Char"/>
    <w:link w:val="2"/>
    <w:qFormat/>
    <w:locked/>
    <w:uiPriority w:val="0"/>
    <w:rPr>
      <w:rFonts w:ascii="宋体" w:hAnsi="Calibri" w:eastAsia="宋体" w:cs="Times New Roman"/>
      <w:kern w:val="0"/>
    </w:rPr>
  </w:style>
  <w:style w:type="paragraph" w:customStyle="1" w:styleId="264">
    <w:name w:val="@正文"/>
    <w:basedOn w:val="1"/>
    <w:qFormat/>
    <w:uiPriority w:val="0"/>
    <w:pPr>
      <w:widowControl/>
      <w:ind w:firstLine="200" w:firstLineChars="200"/>
    </w:pPr>
    <w:rPr>
      <w:rFonts w:ascii="Calibri" w:hAnsi="Calibri" w:cstheme="minorHAnsi"/>
      <w:color w:val="000000"/>
      <w:kern w:val="24"/>
      <w:sz w:val="24"/>
    </w:rPr>
  </w:style>
  <w:style w:type="character" w:customStyle="1" w:styleId="265">
    <w:name w:val="Other|1_"/>
    <w:basedOn w:val="42"/>
    <w:link w:val="266"/>
    <w:qFormat/>
    <w:uiPriority w:val="0"/>
    <w:rPr>
      <w:rFonts w:ascii="宋体" w:hAnsi="宋体" w:eastAsia="宋体" w:cs="宋体"/>
      <w:sz w:val="28"/>
      <w:szCs w:val="28"/>
      <w:lang w:val="zh-TW" w:eastAsia="zh-TW" w:bidi="zh-TW"/>
    </w:rPr>
  </w:style>
  <w:style w:type="paragraph" w:customStyle="1" w:styleId="266">
    <w:name w:val="Other|1"/>
    <w:basedOn w:val="1"/>
    <w:link w:val="265"/>
    <w:qFormat/>
    <w:uiPriority w:val="0"/>
    <w:pPr>
      <w:spacing w:line="434" w:lineRule="auto"/>
      <w:ind w:firstLine="400"/>
      <w:jc w:val="left"/>
    </w:pPr>
    <w:rPr>
      <w:rFonts w:ascii="宋体" w:hAnsi="宋体" w:cs="宋体"/>
      <w:sz w:val="28"/>
      <w:szCs w:val="28"/>
      <w:lang w:val="zh-TW" w:eastAsia="zh-TW" w:bidi="zh-TW"/>
    </w:rPr>
  </w:style>
  <w:style w:type="paragraph" w:customStyle="1" w:styleId="26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1A40D-DA63-47BC-A96F-5DCC4E355B85}">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85</Pages>
  <Words>41895</Words>
  <Characters>44897</Characters>
  <Lines>594</Lines>
  <Paragraphs>167</Paragraphs>
  <TotalTime>7</TotalTime>
  <ScaleCrop>false</ScaleCrop>
  <LinksUpToDate>false</LinksUpToDate>
  <CharactersWithSpaces>48078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2020-05-24T03:00:00Z</dcterms:created>
  <dc:creator>daohangxitong.com</dc:creator>
  <cp:lastModifiedBy>R-Abner</cp:lastModifiedBy>
  <dcterms:modified xsi:type="dcterms:W3CDTF">2022-11-18T06:43:12Z</dcterms:modified>
  <cp:revision>755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FDC7A2CE255649C3AC6862A988527F7B</vt:lpwstr>
  </property>
</Properties>
</file>