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 w:afterLines="50" w:line="360" w:lineRule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为提高医疗服务能力，我院需自筹资金采购全数字化超高端彩色多普勒超声诊断仪1套，预算金额300万元，清洗工作站1套，预算金额49万元，合计349万元整。具体采购需求如下：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topLinePunct w:val="0"/>
        <w:bidi w:val="0"/>
        <w:snapToGrid/>
        <w:spacing w:after="0" w:line="360" w:lineRule="auto"/>
        <w:ind w:left="0" w:leftChars="0" w:right="0" w:firstLine="48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全数字化超高端彩色多普勒超声诊断仪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一、设备名称：全数字化超高端彩色多普勒超声诊断仪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二、数量：一套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三、设备要求：提供“进”字号医疗器械注册证，提供原厂技术白皮书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四、用途：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主要用于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心脏、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腹部、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血管（外周、颅脑、腹部）、妇科、产科、小器官、骨骼肌肉、神经、泌尿、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等方面的临床诊断和科研教学工作，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具备持续升级能力，能满足开展新的临床应用需求。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五、主要技术规格及系统概述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</w:rPr>
        <w:t>5.1 主机成像系统：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5.1.1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全新集束精准发射技术，全程动态聚焦发射声束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5.1.2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脉冲优化处理技术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5.1.3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海量并行处理技术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5.1.4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自适应增益补偿技术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5.1.5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数字化二维灰阶成像及M型显像单元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5.1.6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解剖M型技术,可360度任意旋转M型取样线角度的进行测量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5.1.7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脉冲反向谐波成像单元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5.1.8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彩色多普勒成像技术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5.1.9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自适应宽频带彩色多普勒成像技术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5.1.10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彩色多普勒能量图技术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5.1.11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方向性能量图技术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5.1.12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数字化频谱多普勒显示和分析单元 (包括 PW 、CW和 HPRF)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*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5.1.13 动态范围≥31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dB（提供技术白皮书截图证明）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5.1.14 数字化通道≥4700000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5.1.15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智能全程聚焦技术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/>
          <w:i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5.1.16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智能化一键图像优化技术，可分单键优化和连续优化，可自适应调整图像的增益等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5.1.17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空间复合成像技术，同时作用于发射和接收，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支持所有凸阵、微凸阵和线阵成像探头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5.1.18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斑点噪声抑制技术，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支持所有成像探头，可分级调节≥5级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5.1.19显示器同屏可显示两种不同类型探头的图像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5.1.20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 xml:space="preserve"> 应具备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实时二同步 /三同步能力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5.1.21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 xml:space="preserve">应配备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DICOM 3.0 标准输出接口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5.1.22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应配备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一体化超声工作站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jc w:val="both"/>
        <w:textAlignment w:val="baseline"/>
        <w:rPr>
          <w:rFonts w:hint="eastAsia" w:ascii="宋体" w:hAnsi="宋体" w:eastAsia="宋体" w:cs="宋体"/>
          <w:b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</w:rPr>
        <w:t>5.2 先进成像技术：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5.2.1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具备冰晶探头技术或纯净波单晶体探头技术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探头振元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使用单晶体材质，同时对接收波束进行提纯处理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5.2.2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具备智能多普勒血管检查技术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1)单键优化二维、多普勒图像质量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2)单键自动调整取样框角度、位置、取样门位置、角度等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3)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具备血流自动追踪技术，可跟随探头的移动实时追踪血管位置，自动调整彩色图像（包括取样框角度、位置等），自动优化频谱测量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*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5.2.3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应采用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全屏高清显示，放大后图像显示区域尺寸≥21″，分辨率≥1080p，放大后整个显示器屏幕内仅显示有效图像信息，无其他菜单界面显示。（附显示器全屏显示图）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5.2.4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应具有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多影像实时对比联合诊断技术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主机可直接获取和浏览CT/NM/MR，乳房X线/超声的DICOM图像，同屏对比既往和目前的超声图像，回顾实时的、存储的、输出的图像进行对比诊断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5.2.5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应具有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扩展成像技术：凸阵、微凸阵、线阵探头均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具有此功能，且空间复合成像技术及斑点噪声抑制技术支持其扩展区域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5.2.6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应具有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超声声速自动校正技术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after="0" w:line="360" w:lineRule="auto"/>
        <w:ind w:left="400" w:leftChars="0" w:right="0" w:firstLine="480" w:firstLineChars="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针对晚孕期肥胖及困难病人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after="0" w:line="360" w:lineRule="auto"/>
        <w:ind w:left="400" w:leftChars="0" w:right="0" w:firstLine="480" w:firstLineChars="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可用于乳腺检查，并可调整级别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after="0" w:line="360" w:lineRule="auto"/>
        <w:ind w:left="400" w:leftChars="0" w:right="0" w:firstLine="480" w:firstLineChars="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专门的预置条件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de-DE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de-DE"/>
        </w:rPr>
        <w:t xml:space="preserve">5.2.7.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应具有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de-DE"/>
        </w:rPr>
        <w:t>3D/4D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成像功能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de-DE"/>
        </w:rPr>
        <w:t>1）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具备三维、四维实时成像功能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2）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具备自由臂三维成像、支持常规凸阵、微凸阵、线阵探头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3）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具有表面模式、骨骼模式、反转成像模式等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*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  <w:t xml:space="preserve">5.2.8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应具有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  <w:t>真实渲染成像功能：通过容积处理方式，增强容积图像的细节显示。智能可变光源系统通过虚拟光源位置的改变可得到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eastAsia="zh-CN"/>
        </w:rPr>
        <w:t>多方位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  <w:t>容积成像难以获得的多方位容积增强显示。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 1）光源可在容积图像上跟随手动调节的位置可视可调。（附图证明容积图像上的可直视调节光源）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b/>
          <w:i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 2）光源移动方向，光源可沿X/Y/Z轴三个方位进行调节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 3）全触屏手势操控三维成像后处理。（附图证明）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 4）光源快速起始位置≥6个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5.2.9容积轮廓剪影显示模式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  <w:t>5.2.10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/>
        </w:rPr>
        <w:t>应具备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  <w:t>仿真容积轮廓剪影显示模式。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  <w:t>5.2.11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/>
        </w:rPr>
        <w:t>应具备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</w:rPr>
        <w:t>胎儿自动识别容积成像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功能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5.2.12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/>
        </w:rPr>
        <w:t>应具备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容积深度渲染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功能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5.2.13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/>
        </w:rPr>
        <w:t>应具备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自动产科测量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功能。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5.3 测量和分析： ( B 型、M 型、D 型、彩色模式)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5.3.1 一般测量：距离、面积、周长等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5.3.2 产科测量：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包括全面的产科径线测量、NT测量、单/双胎儿孕龄及生长曲线、羊水指数、新生儿髋关节角度等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5.3.3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/>
        </w:rPr>
        <w:t>应具备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外周血管测量和计算功能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617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5.3.4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/>
        </w:rPr>
        <w:t>应具备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多普勒血流测量与分析 (含自动多普勒频谱包络计算)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tabs>
          <w:tab w:val="left" w:pos="1617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5.3.5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/>
        </w:rPr>
        <w:t>应具备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心脏功能测量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5.4 图像存储 (电影) 回放重显及病案管理单元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  <w:t>5.4.1 数字化捕捉、回放、存储静、动态图像，实时图像传输，实时 JPEG 解压缩，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right="0"/>
        <w:jc w:val="both"/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  <w:t>可进行参数编程调节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*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5.4.2 超声主机自带硬盘数量≥2个（提供技术白皮书截图证明），硬盘容量≥600G，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具备固态硬盘，DVD／USB图像存储，电影回放重现单元≥2200帧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  <w:t xml:space="preserve">5.4.3 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  <w:t>具备主机硬盘图像数据存储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  <w:t>5.4.4 病案管理单元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  <w:t>包括病人资料、报告、图像等的存储、修改、检索和打印等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  <w:t>5.4.5 可根据检查要求对工作站参数（存储、压缩、回放）进行编程调节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5.5 输入/输出信号：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5.5.1 输入：DICOM DATA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5.5.2 输出：S-视频、DP高清数字化输出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jc w:val="both"/>
        <w:textAlignment w:val="baseline"/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5.6 连通性：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</w:rPr>
        <w:t>医学数字图像和通信 DICOM 3.0 版接口部件</w:t>
      </w:r>
      <w:r>
        <w:rPr>
          <w:rFonts w:hint="eastAsia" w:ascii="宋体" w:hAnsi="宋体" w:eastAsia="宋体" w:cs="宋体"/>
          <w:bCs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六、系统技术参数及要求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6.1 系统通用功能：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6.1.1 高分辨率液晶硬屏显示器≥21英寸，无闪烁，不间断逐行扫描，可上下左右任意旋转，可前后折叠。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6.1.2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操作面板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具备液晶触摸屏≥11.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英寸,可通过手指滑动触摸屏进行翻页，直接点击触摸屏即可选择需要调节的参数，操作面板可上下左右进行高度调整及旋转，最大旋转角度≥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360度。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*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6.1.3 触摸屏可以同屏实时显示显示器的超声图像，超声主机自带实体全键盘（提供图片证明）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6.1.4 探头接口选择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4个，微型非针式，并激活可互换通用，容积探头可接任意探头接口。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6.1.5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预设条件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针对不同的检查脏器,预置最佳化图像的检查条件,减少操作时的调节,及常用所需的外部调节及组合调节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6.1.6 安全性能：符合国家商品安全质量要求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6.2 探头规格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6.2.1 频率：超宽频带探头，频率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1 MHz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22 MHz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6.2.2 二维、彩色、多普勒均可独立变频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6.2.3 类型：线阵、凸阵 、相控阵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*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6.2.4 经腹凸阵探头（1.0-5.0MHz）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高频电子线阵探头（5.0-12.0MHZ）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经胸心脏探头（1.0-5.0MHz）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腹部容积探头（2.0-6.0MHz）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以上探头至少两只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具备冰晶探头或单晶体探头技术（提供技术白皮书截图证明探头频率及材质）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6.2.5 B/D 兼用：电子线阵：B/PWD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电子凸阵：B/PWD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电子相控阵：B/PWD、 B/CWD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6.2.5 穿刺导向：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应配备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探头穿刺导向装置；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6.3 二维显像主要参数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6.3.1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成像速度：凸阵探头, 85°角,18CM深度时,帧速度≥5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帧/秒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  <w:t>*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6.3.2 增益调节：TGC增益补偿≥8段，LGC侧向增益补偿≥4段，B/M 可独立调节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6.3.3 数字式声束形成器：数字式全程动态聚焦，数字式可变孔径及动态变迹，A/D≥12bit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6.3.4 高分辨率放大：放大时增加信息量，提高分辨率及帧率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6.3.5 声束聚焦：发射及接收全程连续聚焦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6.3.6 接收方式：独立接收和发射通道数, 多倍信号并行处理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6.3.7 二维灰阶成像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≥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256 灰阶。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6.4 频谱多普勒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6.4.1 显示模式：脉冲多普勒 (PWD)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高脉冲重复频率 (HPRF)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2400" w:firstLineChars="10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连续波多普勒（CW）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6.4.2 发射频率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电子凸阵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PWD:2.0-2.2MHz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360" w:lineRule="auto"/>
        <w:ind w:left="0" w:leftChars="0" w:right="0" w:firstLine="2400" w:firstLineChars="1000"/>
        <w:jc w:val="both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电子线阵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PWD:5.75-7.0MHz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6.4.3 显示方式：B/D、M/D、D、B/CDV、B/CPA、B/CDV/PW；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2400" w:firstLineChars="10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B/CPA/PW；B/CDV/CW；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6.4.4 最大测量速度：PWD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正或反向血流速度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：≥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10.0 m/s（0度夹角）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6.4.5 最低测量速度：≤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mm/s (非噪音信号)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6.4.6 Doppler及M型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电影回放：≥45 秒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6.4.7 滤波器：高通滤波或低通滤波两种，分级选择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6.4.8 取样宽度及位置范围：宽度 1mm至20mm多级可调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6.4.9 频谱基线零位移动：≥8 级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6.4.10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显示控制：反转显示 (上/下)、零移位、B-刷新、D 扩展、B/D 扩展，局放及移位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6.4.11 实时自动包络频谱并完成频谱测量计算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6.5 彩色多普勒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6.5.1 显示方式：速度图 (CDV)、能量图 (CPA)、方向性能量图（DCPA）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6.5.2 扫描速率：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凸阵探头、最大角度，18cm深时，彩色显示帧频≥1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帧/ S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6.5.3 彩色增强功能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彩色多普勒能量图(CDE/CPI)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组织多普勒(TDI)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 xml:space="preserve">6.5.4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具有双同步 / 三同步显示(B/D/CDV)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6.5.5 显示控制：零位移动、黑白与彩色比较、彩色对比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6.5.6 显示位置调整：线阵扫描感兴趣的图像范围：-20°～ +20°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6.6 超声功率输出调节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6.6.1 B/M、PWD、COLOR DOPPLER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6.6.2 输出功率选择分级可调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2" w:firstLineChars="200"/>
        <w:textAlignment w:val="baseline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6.7 记录装置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6.7.1 内置一体化超声工作站：数字化储存静态及动态图像，动态图像及静态图像以AVI、BMP或JPEG等PC通用格式直接储存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6.7.2 主机硬盘容量≥600G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6.7.3 DVD-RW 或USB图像存储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right="0" w:firstLine="480" w:firstLineChars="200"/>
        <w:textAlignment w:val="baseline"/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6.7.4 USB接口≥5个，用于图像传输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6.8 技术手册：中文技术手册</w:t>
      </w:r>
    </w:p>
    <w:tbl>
      <w:tblPr>
        <w:tblStyle w:val="6"/>
        <w:tblW w:w="9737" w:type="dxa"/>
        <w:tblInd w:w="-5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43"/>
        <w:gridCol w:w="7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3902"/>
                <w:tab w:val="center" w:pos="4803"/>
              </w:tabs>
              <w:spacing w:beforeLines="0" w:afterLines="0"/>
              <w:ind w:left="-440" w:leftChars="-200" w:firstLine="0" w:firstLineChar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ab/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清洗工作站参数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清洗台面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1、 台面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应采用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进口PMMA高分子复合材料，经数次冷热加工一次性成型；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2、 面层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质薄而坚硬，耐摩擦耐酸碱，光亮平滑，抗菌，易清洗；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3、 固层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应采用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塑料碳纤维胶合而成，起到加固台面的承重，安装固定作用；防止迸裂的作用，防止台面长期使用变形；台面支架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应采用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全优质镜面不锈钢.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4、尺寸可选：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单方槽长680mm×宽7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0mm；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干燥台面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680mm，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750mm,900mm,1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可选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设备整体总高度1800mm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功能背板及灯箱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整体造型结构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按功能作用形成分体组合，便于设备的检修保养，搬迁和功能升级之用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防水柜门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钢化彩晶玻璃柜门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颜色应可根据用户需求选择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微电脑控制器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主要部件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采用隐蔽方式布置，简便而功效强大。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采用进口CPU中心处理芯片，液晶数码显示，多套系统供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用户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选择，控制系统稳定，读时准确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并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具有自动时间定时启动注液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注气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排洗及过期报警等功能。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自动注流器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严格按国家卫生部2004年颁布的《内镜清洗消毒操作规范（2004版）》的标准，使用流动水，隐藏式设计，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采用国际标准做法。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工作表面清洁洁净，水注流系统可直接将净化后纯净水注入内镜，避免二次污染。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尽量使工作人员避免误操作，注流器高水压，低流量，适合不同管径内镜；脉冲冲洗提高清洗效果；清洗步骤完成可直接排出余水，故障维修简易快捷，使用成本低。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水处理器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过滤型水处理器过滤精度为1μM，不锈钢材质，多层式渗透，净化过滤水质更保证内镜清洗安全，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采用反冲式维护清洗，无需更换滤芯，水处理量：2～5T/h可选。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专用空气压缩机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采用低噪音无油气泵，带有油水分离器的功能，能分离空气中的油污，水分，提高干燥台上干燥气体的清洁度。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内镜烘干机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对内窥镜管壁内水分进行干燥，可避免因与水接触受潮长菌的现象发生。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高压水枪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特别针对硬镜不同径口清洗，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提供8种不同口径枪头，可调节水流量、水压、水冲力，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设有专用安全防震环，避免管路不畅，高压水冲破内镜管壁。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高压气枪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特别针对硬镜不同径口吹干，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提供8种不同口径枪头戓专用气枪喷头，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设有专用安全防震环，避免管路不畅，气压冲破内镜管壁。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专用水龙头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应进行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多层防腐处理，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承受数年高酸碱恶劣环境的考验，管路同进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具有耐腐蚀功能。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供排水系统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应采用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优质PP-R供、排水管路。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方槽盖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避免消毒液气体外散，减少人员刺激。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快速接头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每槽的每个流程（注液、吸液等）均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采用专用接头连接内镜的每个接口，最大化的为用户节约时间。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供气管路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采用优质的专用知名品牌气动部件，承压强，寿命长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漏电保护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采用降压电源，漏电保护, 为设备提供12V安全电压.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嵌入式超声波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应采用微控型超声清洗槽为台面镶嵌式，工作频率：40～50KHz、定时、加热、温控实时数码显示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产品资质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具有医疗器械注册证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流程</w:t>
            </w:r>
          </w:p>
        </w:tc>
        <w:tc>
          <w:tcPr>
            <w:tcW w:w="7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60" w:lineRule="auto"/>
              <w:ind w:right="0"/>
              <w:jc w:val="left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  <w:t>预洗槽+酶洗槽+漂洗槽+浸泡消毒槽+终末漂洗槽+干燥</w:t>
            </w:r>
          </w:p>
        </w:tc>
      </w:tr>
    </w:tbl>
    <w:p>
      <w:pPr>
        <w:ind w:left="0" w:leftChars="0" w:right="-559" w:rightChars="-254" w:firstLine="0" w:firstLineChars="0"/>
      </w:pPr>
    </w:p>
    <w:p>
      <w:pPr>
        <w:ind w:left="0" w:leftChars="0" w:right="-559" w:rightChars="-254" w:firstLine="0" w:firstLineChars="0"/>
      </w:pPr>
    </w:p>
    <w:tbl>
      <w:tblPr>
        <w:tblStyle w:val="6"/>
        <w:tblW w:w="0" w:type="auto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6242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34" w:firstLineChars="12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2.酸性氧化电位水生成器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34" w:firstLineChars="12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用途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医疗科室提供酸化水消毒液；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数量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AC220V 50Hz、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额定功率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50VA、待机功率≤10W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消毒液生成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量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每分钟酸化水的生成量为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L、碱性水的生成量为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L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酸碱共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L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9" w:firstLineChars="12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消毒液技术指标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pH值2.0-3.0；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ORP值≥1100mv；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含量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mg/L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氯离子含量&lt;450mg/L；</w:t>
            </w: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9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设备主要性能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实时在线显示pH值、ORP值、有效氯含量、电解电流、累计运行时间等参数，随时监测消毒液的技术指标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三项关键指标的在线显示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应具有自动提示更换耗材功能，以保证设备工作在最佳状态；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应具有自动正极冲洗和倒极冲洗功能，以保证电解槽使用寿命及消毒液出水指标稳定性；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触摸屏应具备电流过大、原水缺水等中文报警显示，同时伴有声音报警，以保证设备的正常运行和消毒液的合格；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设备的倒极冲洗、正极冲洗和运行状态都在液晶屏上有与之对应的图型颜色显示，使设备的工作状态一目了然；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盐液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浓度可随意配比，设备正常使用的情况下不用停机即可添加电解质；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电解槽的进盐部分为耐腐精密计量泵自动进盐、同时可自动调节进盐量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电解槽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配有6片</w:t>
            </w:r>
            <w:r>
              <w:rPr>
                <w:rFonts w:hint="eastAsia" w:ascii="宋体" w:hAnsi="宋体" w:eastAsia="宋体" w:cs="宋体"/>
                <w:sz w:val="24"/>
              </w:rPr>
              <w:t>电极板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组成</w:t>
            </w:r>
            <w:r>
              <w:rPr>
                <w:rFonts w:hint="eastAsia" w:ascii="宋体" w:hAnsi="宋体" w:eastAsia="宋体" w:cs="宋体"/>
                <w:sz w:val="24"/>
              </w:rPr>
              <w:t>，电解面积大、电解效率高、电解性能更稳定、电解槽的使用寿命更长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9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控制方式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应采用具有CE认证的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PLC控制，一切均按程序自动运行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提供CE认证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人机界面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采用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≥7寸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液晶触摸屏操作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组成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主要由控制系统（PLC+触摸屏）、电解槽、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监测仪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等组成，所有组成件集中在设备内部，占地面积小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柜式一体机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主机外壳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采用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PE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材质，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美观耐腐蚀；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9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消毒液输送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系统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设备配备耐腐蚀酸水泵和碱水泵、可适应远距离用水点；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根据用水点的使用情况，酸碱泵自动启停运行；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保修及售后服务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公司有专业的售后服务部及专业工程师，接到报修后立即响应，24小时内到达现场并处理完毕，全免费保修期为1年，终身维修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060"/>
              </w:tabs>
              <w:snapToGrid w:val="0"/>
              <w:spacing w:line="360" w:lineRule="auto"/>
              <w:ind w:left="29" w:leftChars="13" w:firstLine="28" w:firstLineChars="12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521063"/>
    <w:multiLevelType w:val="multilevel"/>
    <w:tmpl w:val="4D521063"/>
    <w:lvl w:ilvl="0" w:tentative="0">
      <w:start w:val="1"/>
      <w:numFmt w:val="decimal"/>
      <w:lvlText w:val="%1)"/>
      <w:lvlJc w:val="left"/>
      <w:pPr>
        <w:ind w:left="1310" w:hanging="360"/>
      </w:pPr>
    </w:lvl>
    <w:lvl w:ilvl="1" w:tentative="0">
      <w:start w:val="1"/>
      <w:numFmt w:val="lowerLetter"/>
      <w:lvlText w:val="%2."/>
      <w:lvlJc w:val="left"/>
      <w:pPr>
        <w:ind w:left="2030" w:hanging="360"/>
      </w:pPr>
    </w:lvl>
    <w:lvl w:ilvl="2" w:tentative="0">
      <w:start w:val="1"/>
      <w:numFmt w:val="lowerRoman"/>
      <w:lvlText w:val="%3."/>
      <w:lvlJc w:val="right"/>
      <w:pPr>
        <w:ind w:left="2750" w:hanging="180"/>
      </w:pPr>
    </w:lvl>
    <w:lvl w:ilvl="3" w:tentative="0">
      <w:start w:val="1"/>
      <w:numFmt w:val="decimal"/>
      <w:lvlText w:val="%4."/>
      <w:lvlJc w:val="left"/>
      <w:pPr>
        <w:ind w:left="3470" w:hanging="360"/>
      </w:pPr>
    </w:lvl>
    <w:lvl w:ilvl="4" w:tentative="0">
      <w:start w:val="1"/>
      <w:numFmt w:val="lowerLetter"/>
      <w:lvlText w:val="%5."/>
      <w:lvlJc w:val="left"/>
      <w:pPr>
        <w:ind w:left="4190" w:hanging="360"/>
      </w:pPr>
    </w:lvl>
    <w:lvl w:ilvl="5" w:tentative="0">
      <w:start w:val="1"/>
      <w:numFmt w:val="lowerRoman"/>
      <w:lvlText w:val="%6."/>
      <w:lvlJc w:val="right"/>
      <w:pPr>
        <w:ind w:left="4910" w:hanging="180"/>
      </w:pPr>
    </w:lvl>
    <w:lvl w:ilvl="6" w:tentative="0">
      <w:start w:val="1"/>
      <w:numFmt w:val="decimal"/>
      <w:lvlText w:val="%7."/>
      <w:lvlJc w:val="left"/>
      <w:pPr>
        <w:ind w:left="5630" w:hanging="360"/>
      </w:pPr>
    </w:lvl>
    <w:lvl w:ilvl="7" w:tentative="0">
      <w:start w:val="1"/>
      <w:numFmt w:val="lowerLetter"/>
      <w:lvlText w:val="%8."/>
      <w:lvlJc w:val="left"/>
      <w:pPr>
        <w:ind w:left="6350" w:hanging="360"/>
      </w:pPr>
    </w:lvl>
    <w:lvl w:ilvl="8" w:tentative="0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B47EFA"/>
    <w:rsid w:val="00005C93"/>
    <w:rsid w:val="00006599"/>
    <w:rsid w:val="0002715C"/>
    <w:rsid w:val="00040E7C"/>
    <w:rsid w:val="00044F6C"/>
    <w:rsid w:val="00053E7E"/>
    <w:rsid w:val="00053F65"/>
    <w:rsid w:val="00092036"/>
    <w:rsid w:val="000970C0"/>
    <w:rsid w:val="000A1393"/>
    <w:rsid w:val="000A6F8E"/>
    <w:rsid w:val="000C1A51"/>
    <w:rsid w:val="000D1141"/>
    <w:rsid w:val="000E15F6"/>
    <w:rsid w:val="00102DC2"/>
    <w:rsid w:val="00117F75"/>
    <w:rsid w:val="00124589"/>
    <w:rsid w:val="001245C7"/>
    <w:rsid w:val="00130C5F"/>
    <w:rsid w:val="00131A80"/>
    <w:rsid w:val="0014466C"/>
    <w:rsid w:val="00145F88"/>
    <w:rsid w:val="00154F7B"/>
    <w:rsid w:val="001562B3"/>
    <w:rsid w:val="0016085D"/>
    <w:rsid w:val="00162366"/>
    <w:rsid w:val="0017727D"/>
    <w:rsid w:val="00182190"/>
    <w:rsid w:val="001902F2"/>
    <w:rsid w:val="00196E84"/>
    <w:rsid w:val="001A0A25"/>
    <w:rsid w:val="001A3752"/>
    <w:rsid w:val="001A42B7"/>
    <w:rsid w:val="001B5005"/>
    <w:rsid w:val="001D38B9"/>
    <w:rsid w:val="001E3BB4"/>
    <w:rsid w:val="00205409"/>
    <w:rsid w:val="0021346D"/>
    <w:rsid w:val="00215B67"/>
    <w:rsid w:val="0023007A"/>
    <w:rsid w:val="00231E8C"/>
    <w:rsid w:val="00232597"/>
    <w:rsid w:val="00232C7B"/>
    <w:rsid w:val="00235030"/>
    <w:rsid w:val="0024501C"/>
    <w:rsid w:val="00251961"/>
    <w:rsid w:val="002614B2"/>
    <w:rsid w:val="00264E02"/>
    <w:rsid w:val="00265CB6"/>
    <w:rsid w:val="00267827"/>
    <w:rsid w:val="00276D80"/>
    <w:rsid w:val="002A08F2"/>
    <w:rsid w:val="002B7571"/>
    <w:rsid w:val="002B76F8"/>
    <w:rsid w:val="002D521D"/>
    <w:rsid w:val="002F08E8"/>
    <w:rsid w:val="0030064A"/>
    <w:rsid w:val="00304EA8"/>
    <w:rsid w:val="0030748A"/>
    <w:rsid w:val="00321676"/>
    <w:rsid w:val="0033037A"/>
    <w:rsid w:val="00336E0D"/>
    <w:rsid w:val="00340254"/>
    <w:rsid w:val="00356907"/>
    <w:rsid w:val="00366885"/>
    <w:rsid w:val="00370E79"/>
    <w:rsid w:val="00372B59"/>
    <w:rsid w:val="00373D2B"/>
    <w:rsid w:val="00373F3B"/>
    <w:rsid w:val="00373FE1"/>
    <w:rsid w:val="003800BA"/>
    <w:rsid w:val="00383E3C"/>
    <w:rsid w:val="00394966"/>
    <w:rsid w:val="003A373A"/>
    <w:rsid w:val="003B4163"/>
    <w:rsid w:val="003B654A"/>
    <w:rsid w:val="003C045F"/>
    <w:rsid w:val="003D15E0"/>
    <w:rsid w:val="003D36FA"/>
    <w:rsid w:val="003E1254"/>
    <w:rsid w:val="003F059D"/>
    <w:rsid w:val="003F1014"/>
    <w:rsid w:val="003F1282"/>
    <w:rsid w:val="00400492"/>
    <w:rsid w:val="00415705"/>
    <w:rsid w:val="004401A9"/>
    <w:rsid w:val="00445808"/>
    <w:rsid w:val="0045035D"/>
    <w:rsid w:val="00473F09"/>
    <w:rsid w:val="004900A2"/>
    <w:rsid w:val="0049615B"/>
    <w:rsid w:val="004A438B"/>
    <w:rsid w:val="004B4E6D"/>
    <w:rsid w:val="004B7788"/>
    <w:rsid w:val="004C0D64"/>
    <w:rsid w:val="004C1F75"/>
    <w:rsid w:val="004D4212"/>
    <w:rsid w:val="004D619E"/>
    <w:rsid w:val="004F49D5"/>
    <w:rsid w:val="005039CC"/>
    <w:rsid w:val="00516EAB"/>
    <w:rsid w:val="005176B7"/>
    <w:rsid w:val="00517756"/>
    <w:rsid w:val="005245A3"/>
    <w:rsid w:val="0052616F"/>
    <w:rsid w:val="0053017C"/>
    <w:rsid w:val="00536D57"/>
    <w:rsid w:val="0054320F"/>
    <w:rsid w:val="00552CF5"/>
    <w:rsid w:val="00553B13"/>
    <w:rsid w:val="00563964"/>
    <w:rsid w:val="0057377A"/>
    <w:rsid w:val="005764F9"/>
    <w:rsid w:val="00582606"/>
    <w:rsid w:val="0058581F"/>
    <w:rsid w:val="005A0571"/>
    <w:rsid w:val="005A165A"/>
    <w:rsid w:val="005A3EE7"/>
    <w:rsid w:val="005B114D"/>
    <w:rsid w:val="005B231C"/>
    <w:rsid w:val="005B5546"/>
    <w:rsid w:val="005C5E2A"/>
    <w:rsid w:val="005C7D5F"/>
    <w:rsid w:val="005D5694"/>
    <w:rsid w:val="005E2DAC"/>
    <w:rsid w:val="005E6427"/>
    <w:rsid w:val="005E674E"/>
    <w:rsid w:val="005F25BB"/>
    <w:rsid w:val="005F25E0"/>
    <w:rsid w:val="006157DC"/>
    <w:rsid w:val="006242E9"/>
    <w:rsid w:val="00624F20"/>
    <w:rsid w:val="006444A6"/>
    <w:rsid w:val="00644A87"/>
    <w:rsid w:val="006458ED"/>
    <w:rsid w:val="00645F63"/>
    <w:rsid w:val="006504FC"/>
    <w:rsid w:val="0065102F"/>
    <w:rsid w:val="00652188"/>
    <w:rsid w:val="0066007A"/>
    <w:rsid w:val="00660638"/>
    <w:rsid w:val="00681B31"/>
    <w:rsid w:val="00683AE1"/>
    <w:rsid w:val="00691BBE"/>
    <w:rsid w:val="00694E41"/>
    <w:rsid w:val="00696067"/>
    <w:rsid w:val="00697A44"/>
    <w:rsid w:val="006A0281"/>
    <w:rsid w:val="006A417A"/>
    <w:rsid w:val="006D229B"/>
    <w:rsid w:val="006F7376"/>
    <w:rsid w:val="0070617A"/>
    <w:rsid w:val="00706554"/>
    <w:rsid w:val="00717B17"/>
    <w:rsid w:val="007345AB"/>
    <w:rsid w:val="00756F28"/>
    <w:rsid w:val="00781955"/>
    <w:rsid w:val="007A578B"/>
    <w:rsid w:val="007B33E6"/>
    <w:rsid w:val="007B4669"/>
    <w:rsid w:val="007E1E6C"/>
    <w:rsid w:val="007F47B6"/>
    <w:rsid w:val="007F54B0"/>
    <w:rsid w:val="0080079A"/>
    <w:rsid w:val="00801F04"/>
    <w:rsid w:val="00803D97"/>
    <w:rsid w:val="008041C8"/>
    <w:rsid w:val="00805314"/>
    <w:rsid w:val="0085628A"/>
    <w:rsid w:val="0086171A"/>
    <w:rsid w:val="00862A50"/>
    <w:rsid w:val="00890CF9"/>
    <w:rsid w:val="00897101"/>
    <w:rsid w:val="008A4962"/>
    <w:rsid w:val="008B4089"/>
    <w:rsid w:val="008E06EB"/>
    <w:rsid w:val="008E76B7"/>
    <w:rsid w:val="008F2003"/>
    <w:rsid w:val="008F384E"/>
    <w:rsid w:val="00903984"/>
    <w:rsid w:val="00912281"/>
    <w:rsid w:val="00914FD4"/>
    <w:rsid w:val="00923D06"/>
    <w:rsid w:val="0092402A"/>
    <w:rsid w:val="00940594"/>
    <w:rsid w:val="009460B2"/>
    <w:rsid w:val="0094771A"/>
    <w:rsid w:val="00954F2C"/>
    <w:rsid w:val="00964219"/>
    <w:rsid w:val="00970259"/>
    <w:rsid w:val="00971975"/>
    <w:rsid w:val="009769E8"/>
    <w:rsid w:val="009830DC"/>
    <w:rsid w:val="00984072"/>
    <w:rsid w:val="0098525F"/>
    <w:rsid w:val="009C5CA3"/>
    <w:rsid w:val="009D7381"/>
    <w:rsid w:val="009E433A"/>
    <w:rsid w:val="009E4CB2"/>
    <w:rsid w:val="009F37BA"/>
    <w:rsid w:val="009F70A4"/>
    <w:rsid w:val="00A01ADA"/>
    <w:rsid w:val="00A11E6C"/>
    <w:rsid w:val="00A20E46"/>
    <w:rsid w:val="00A217CB"/>
    <w:rsid w:val="00A234A0"/>
    <w:rsid w:val="00A23767"/>
    <w:rsid w:val="00A26726"/>
    <w:rsid w:val="00A3169E"/>
    <w:rsid w:val="00A31706"/>
    <w:rsid w:val="00A3202E"/>
    <w:rsid w:val="00A3614B"/>
    <w:rsid w:val="00A36818"/>
    <w:rsid w:val="00A37AC7"/>
    <w:rsid w:val="00A41B65"/>
    <w:rsid w:val="00A43B6D"/>
    <w:rsid w:val="00A600FA"/>
    <w:rsid w:val="00A61724"/>
    <w:rsid w:val="00A76B66"/>
    <w:rsid w:val="00AA30B0"/>
    <w:rsid w:val="00AA3267"/>
    <w:rsid w:val="00AD0C97"/>
    <w:rsid w:val="00AF485B"/>
    <w:rsid w:val="00B042D0"/>
    <w:rsid w:val="00B04B19"/>
    <w:rsid w:val="00B17B6A"/>
    <w:rsid w:val="00B217E4"/>
    <w:rsid w:val="00B22142"/>
    <w:rsid w:val="00B26459"/>
    <w:rsid w:val="00B3724F"/>
    <w:rsid w:val="00B41E15"/>
    <w:rsid w:val="00B47623"/>
    <w:rsid w:val="00B47B9A"/>
    <w:rsid w:val="00B47EFA"/>
    <w:rsid w:val="00B56DEF"/>
    <w:rsid w:val="00B7054E"/>
    <w:rsid w:val="00B70D38"/>
    <w:rsid w:val="00B754C9"/>
    <w:rsid w:val="00B80701"/>
    <w:rsid w:val="00B9497C"/>
    <w:rsid w:val="00BC4462"/>
    <w:rsid w:val="00BC78C1"/>
    <w:rsid w:val="00BC7C41"/>
    <w:rsid w:val="00BD2A22"/>
    <w:rsid w:val="00BD3011"/>
    <w:rsid w:val="00BD4818"/>
    <w:rsid w:val="00BD69D1"/>
    <w:rsid w:val="00BE4EB9"/>
    <w:rsid w:val="00BF5E25"/>
    <w:rsid w:val="00C01001"/>
    <w:rsid w:val="00C25E13"/>
    <w:rsid w:val="00C73543"/>
    <w:rsid w:val="00C76585"/>
    <w:rsid w:val="00CB06A2"/>
    <w:rsid w:val="00CB17C6"/>
    <w:rsid w:val="00CB2D53"/>
    <w:rsid w:val="00CC3749"/>
    <w:rsid w:val="00CC70F9"/>
    <w:rsid w:val="00CE314F"/>
    <w:rsid w:val="00CE39BC"/>
    <w:rsid w:val="00CE5CAA"/>
    <w:rsid w:val="00CF12AD"/>
    <w:rsid w:val="00CF4CDD"/>
    <w:rsid w:val="00D11E58"/>
    <w:rsid w:val="00D32164"/>
    <w:rsid w:val="00D32AF4"/>
    <w:rsid w:val="00D42972"/>
    <w:rsid w:val="00D50209"/>
    <w:rsid w:val="00D629F6"/>
    <w:rsid w:val="00D951B2"/>
    <w:rsid w:val="00DA5E5E"/>
    <w:rsid w:val="00DB3289"/>
    <w:rsid w:val="00DB41D8"/>
    <w:rsid w:val="00DC21AD"/>
    <w:rsid w:val="00DC4501"/>
    <w:rsid w:val="00DD04D4"/>
    <w:rsid w:val="00DD7AAA"/>
    <w:rsid w:val="00DE6A83"/>
    <w:rsid w:val="00E00C46"/>
    <w:rsid w:val="00E04F04"/>
    <w:rsid w:val="00E07510"/>
    <w:rsid w:val="00E105A7"/>
    <w:rsid w:val="00E10BD9"/>
    <w:rsid w:val="00E10C08"/>
    <w:rsid w:val="00E2327D"/>
    <w:rsid w:val="00E248EC"/>
    <w:rsid w:val="00E53F4A"/>
    <w:rsid w:val="00E54783"/>
    <w:rsid w:val="00E56DCD"/>
    <w:rsid w:val="00E621F4"/>
    <w:rsid w:val="00E91874"/>
    <w:rsid w:val="00EB643F"/>
    <w:rsid w:val="00ED388C"/>
    <w:rsid w:val="00ED765B"/>
    <w:rsid w:val="00F04453"/>
    <w:rsid w:val="00F23346"/>
    <w:rsid w:val="00F31CCA"/>
    <w:rsid w:val="00F346B8"/>
    <w:rsid w:val="00F606B1"/>
    <w:rsid w:val="00F700DC"/>
    <w:rsid w:val="00F709FC"/>
    <w:rsid w:val="00F72D62"/>
    <w:rsid w:val="00F83E73"/>
    <w:rsid w:val="00F94B46"/>
    <w:rsid w:val="00FC1E59"/>
    <w:rsid w:val="00FD731E"/>
    <w:rsid w:val="00FF5F63"/>
    <w:rsid w:val="06B933DA"/>
    <w:rsid w:val="08053EFD"/>
    <w:rsid w:val="10AD5132"/>
    <w:rsid w:val="1BF86666"/>
    <w:rsid w:val="1FEF3071"/>
    <w:rsid w:val="237F64BA"/>
    <w:rsid w:val="2660016D"/>
    <w:rsid w:val="2CCF04B2"/>
    <w:rsid w:val="32452FC5"/>
    <w:rsid w:val="32A92A88"/>
    <w:rsid w:val="38A0681A"/>
    <w:rsid w:val="3C2D6FA3"/>
    <w:rsid w:val="48A94D17"/>
    <w:rsid w:val="4A143551"/>
    <w:rsid w:val="5C8C341B"/>
    <w:rsid w:val="60714E01"/>
    <w:rsid w:val="629A17D8"/>
    <w:rsid w:val="678E0047"/>
    <w:rsid w:val="69A27DD9"/>
    <w:rsid w:val="74990B85"/>
    <w:rsid w:val="75EB036F"/>
    <w:rsid w:val="776668EA"/>
    <w:rsid w:val="7A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semiHidden/>
    <w:qFormat/>
    <w:uiPriority w:val="99"/>
  </w:style>
  <w:style w:type="character" w:customStyle="1" w:styleId="12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Philips</Company>
  <Pages>6</Pages>
  <Words>3473</Words>
  <Characters>4253</Characters>
  <Lines>33</Lines>
  <Paragraphs>9</Paragraphs>
  <TotalTime>1</TotalTime>
  <ScaleCrop>false</ScaleCrop>
  <LinksUpToDate>false</LinksUpToDate>
  <CharactersWithSpaces>4547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2020-04-07T07:58:00Z</dcterms:created>
  <dc:creator>YAN, Ivy</dc:creator>
  <cp:lastModifiedBy>闫晓颖</cp:lastModifiedBy>
  <dcterms:modified xsi:type="dcterms:W3CDTF">2022-12-09T12:14:25Z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899B7BA9117B474582385AD355F0934E</vt:lpwstr>
  </property>
</Properties>
</file>