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right"/>
        <w:rPr>
          <w:rFonts w:cs="宋体" w:asciiTheme="minorEastAsia" w:hAnsiTheme="minorEastAsia"/>
          <w:b/>
          <w:color w:val="000000"/>
          <w:sz w:val="36"/>
          <w:szCs w:val="36"/>
          <w:bdr w:val="single" w:color="auto" w:sz="4" w:space="0"/>
          <w:shd w:val="pct10" w:color="auto" w:fill="FFFFFF"/>
        </w:rPr>
      </w:pPr>
      <w:r>
        <w:rPr>
          <w:rFonts w:hint="eastAsia" w:cs="宋体" w:asciiTheme="minorEastAsia" w:hAnsiTheme="minorEastAsia"/>
          <w:b/>
          <w:color w:val="000000"/>
          <w:sz w:val="36"/>
          <w:szCs w:val="36"/>
          <w:bdr w:val="single" w:color="auto" w:sz="4" w:space="0"/>
          <w:shd w:val="pct10" w:color="auto" w:fill="FFFFFF"/>
        </w:rPr>
        <w:t>政府采购项目</w:t>
      </w:r>
    </w:p>
    <w:p>
      <w:pPr>
        <w:spacing w:line="360" w:lineRule="auto"/>
        <w:rPr>
          <w:rFonts w:cs="宋体" w:asciiTheme="minorEastAsia" w:hAnsiTheme="minorEastAsia"/>
          <w:b/>
          <w:sz w:val="36"/>
          <w:szCs w:val="36"/>
        </w:rPr>
      </w:pPr>
    </w:p>
    <w:p>
      <w:pPr>
        <w:spacing w:line="480" w:lineRule="exact"/>
        <w:rPr>
          <w:rFonts w:cs="宋体" w:asciiTheme="minorEastAsia" w:hAnsiTheme="minorEastAsia"/>
          <w:b/>
          <w:bCs/>
          <w:spacing w:val="51"/>
          <w:szCs w:val="21"/>
        </w:rPr>
      </w:pPr>
      <w:r>
        <w:rPr>
          <w:rFonts w:hint="eastAsia" w:cs="宋体" w:asciiTheme="minorEastAsia" w:hAnsiTheme="minorEastAsia"/>
          <w:b/>
          <w:sz w:val="36"/>
          <w:szCs w:val="36"/>
        </w:rPr>
        <w:t>项目编号：</w:t>
      </w:r>
      <w:r>
        <w:rPr>
          <w:rFonts w:hint="eastAsia" w:cs="宋体" w:asciiTheme="minorEastAsia" w:hAnsiTheme="minorEastAsia"/>
          <w:b/>
          <w:sz w:val="36"/>
          <w:szCs w:val="36"/>
          <w:lang w:eastAsia="zh-CN"/>
        </w:rPr>
        <w:t>2023-CJ007</w:t>
      </w:r>
    </w:p>
    <w:p>
      <w:pPr>
        <w:spacing w:line="480" w:lineRule="exact"/>
        <w:rPr>
          <w:rFonts w:cs="宋体" w:asciiTheme="minorEastAsia" w:hAnsiTheme="minorEastAsia"/>
          <w:sz w:val="52"/>
          <w:szCs w:val="52"/>
        </w:rPr>
      </w:pPr>
    </w:p>
    <w:p>
      <w:pPr>
        <w:tabs>
          <w:tab w:val="left" w:pos="2460"/>
        </w:tabs>
        <w:jc w:val="center"/>
        <w:rPr>
          <w:rFonts w:hint="eastAsia" w:cs="宋体" w:asciiTheme="minorEastAsia" w:hAnsiTheme="minorEastAsia"/>
          <w:b/>
          <w:bCs/>
          <w:sz w:val="40"/>
          <w:szCs w:val="28"/>
          <w:lang w:eastAsia="zh-CN"/>
        </w:rPr>
      </w:pPr>
    </w:p>
    <w:p>
      <w:pPr>
        <w:tabs>
          <w:tab w:val="left" w:pos="2460"/>
        </w:tabs>
        <w:jc w:val="center"/>
        <w:rPr>
          <w:rFonts w:hint="eastAsia" w:cs="宋体" w:asciiTheme="minorEastAsia" w:hAnsiTheme="minorEastAsia"/>
          <w:b/>
          <w:bCs/>
          <w:sz w:val="40"/>
          <w:szCs w:val="28"/>
          <w:lang w:eastAsia="zh-CN"/>
        </w:rPr>
      </w:pPr>
    </w:p>
    <w:p>
      <w:pPr>
        <w:tabs>
          <w:tab w:val="left" w:pos="2460"/>
        </w:tabs>
        <w:jc w:val="center"/>
        <w:rPr>
          <w:rFonts w:hint="eastAsia" w:cs="宋体" w:asciiTheme="minorEastAsia" w:hAnsiTheme="minorEastAsia" w:eastAsiaTheme="minorEastAsia"/>
          <w:b/>
          <w:bCs/>
          <w:sz w:val="40"/>
          <w:szCs w:val="28"/>
          <w:lang w:eastAsia="zh-CN"/>
        </w:rPr>
      </w:pPr>
      <w:r>
        <w:rPr>
          <w:rFonts w:hint="eastAsia" w:cs="宋体" w:asciiTheme="minorEastAsia" w:hAnsiTheme="minorEastAsia"/>
          <w:b/>
          <w:bCs/>
          <w:sz w:val="40"/>
          <w:szCs w:val="28"/>
          <w:lang w:eastAsia="zh-CN"/>
        </w:rPr>
        <w:t>扶风县“四好农村路”信息化综合管理系统采购项目</w:t>
      </w:r>
    </w:p>
    <w:p>
      <w:pPr>
        <w:pStyle w:val="5"/>
        <w:rPr>
          <w:rFonts w:cs="宋体" w:asciiTheme="minorEastAsia" w:hAnsiTheme="minorEastAsia"/>
          <w:sz w:val="32"/>
        </w:rPr>
      </w:pPr>
    </w:p>
    <w:p>
      <w:pPr>
        <w:pStyle w:val="5"/>
        <w:rPr>
          <w:rFonts w:cs="宋体" w:asciiTheme="minorEastAsia" w:hAnsiTheme="minorEastAsia"/>
          <w:sz w:val="32"/>
        </w:rPr>
      </w:pPr>
    </w:p>
    <w:p>
      <w:pPr>
        <w:pStyle w:val="5"/>
        <w:ind w:firstLine="0"/>
        <w:rPr>
          <w:rFonts w:cs="宋体" w:asciiTheme="minorEastAsia" w:hAnsiTheme="minorEastAsia"/>
          <w:sz w:val="32"/>
        </w:rPr>
      </w:pPr>
    </w:p>
    <w:p>
      <w:pPr>
        <w:rPr>
          <w:rFonts w:cs="宋体" w:asciiTheme="minorEastAsia" w:hAnsiTheme="minorEastAsia"/>
          <w:sz w:val="32"/>
        </w:rPr>
      </w:pPr>
    </w:p>
    <w:p>
      <w:pPr>
        <w:jc w:val="center"/>
        <w:rPr>
          <w:rFonts w:cs="宋体" w:asciiTheme="minorEastAsia" w:hAnsiTheme="minorEastAsia"/>
          <w:b/>
          <w:bCs/>
          <w:spacing w:val="21"/>
          <w:sz w:val="84"/>
          <w:szCs w:val="84"/>
        </w:rPr>
      </w:pPr>
      <w:r>
        <w:rPr>
          <w:rFonts w:hint="eastAsia" w:cs="宋体" w:asciiTheme="minorEastAsia" w:hAnsiTheme="minorEastAsia"/>
          <w:b/>
          <w:bCs/>
          <w:spacing w:val="21"/>
          <w:sz w:val="84"/>
          <w:szCs w:val="84"/>
        </w:rPr>
        <w:t>竞争性磋商文件</w:t>
      </w:r>
    </w:p>
    <w:p>
      <w:pPr>
        <w:rPr>
          <w:rFonts w:cs="宋体" w:asciiTheme="minorEastAsia" w:hAnsiTheme="minorEastAsia"/>
        </w:rPr>
      </w:pPr>
    </w:p>
    <w:p>
      <w:pPr>
        <w:rPr>
          <w:rFonts w:cs="宋体" w:asciiTheme="minorEastAsia" w:hAnsiTheme="minorEastAsia"/>
          <w:sz w:val="32"/>
        </w:rPr>
      </w:pPr>
    </w:p>
    <w:p>
      <w:pPr>
        <w:spacing w:line="480" w:lineRule="exact"/>
        <w:rPr>
          <w:rFonts w:cs="宋体" w:asciiTheme="minorEastAsia" w:hAnsiTheme="minorEastAsia"/>
          <w:b/>
          <w:sz w:val="36"/>
          <w:szCs w:val="36"/>
        </w:rPr>
      </w:pPr>
    </w:p>
    <w:p>
      <w:pPr>
        <w:spacing w:line="480" w:lineRule="exact"/>
        <w:rPr>
          <w:rFonts w:cs="宋体" w:asciiTheme="minorEastAsia" w:hAnsiTheme="minorEastAsia"/>
          <w:b/>
          <w:sz w:val="36"/>
          <w:szCs w:val="36"/>
        </w:rPr>
      </w:pPr>
    </w:p>
    <w:p>
      <w:pPr>
        <w:spacing w:line="480" w:lineRule="exact"/>
        <w:rPr>
          <w:rFonts w:cs="宋体" w:asciiTheme="minorEastAsia" w:hAnsiTheme="minorEastAsia"/>
          <w:b/>
          <w:sz w:val="36"/>
          <w:szCs w:val="36"/>
        </w:rPr>
      </w:pPr>
    </w:p>
    <w:p>
      <w:pPr>
        <w:spacing w:line="480" w:lineRule="exact"/>
        <w:rPr>
          <w:rFonts w:cs="宋体" w:asciiTheme="minorEastAsia" w:hAnsiTheme="minorEastAsia"/>
          <w:b/>
          <w:sz w:val="36"/>
          <w:szCs w:val="36"/>
        </w:rPr>
      </w:pPr>
    </w:p>
    <w:p>
      <w:pPr>
        <w:pStyle w:val="5"/>
        <w:rPr>
          <w:rFonts w:asciiTheme="minorEastAsia" w:hAnsiTheme="minorEastAsia"/>
        </w:rPr>
      </w:pPr>
    </w:p>
    <w:p>
      <w:pPr>
        <w:pStyle w:val="25"/>
        <w:ind w:left="0" w:leftChars="0" w:firstLine="0" w:firstLineChars="0"/>
        <w:rPr>
          <w:rFonts w:cs="宋体" w:asciiTheme="minorEastAsia" w:hAnsiTheme="minorEastAsia"/>
          <w:b/>
          <w:sz w:val="36"/>
          <w:szCs w:val="36"/>
        </w:rPr>
      </w:pPr>
    </w:p>
    <w:p>
      <w:pPr>
        <w:spacing w:line="480" w:lineRule="exact"/>
        <w:rPr>
          <w:rFonts w:cs="宋体" w:asciiTheme="minorEastAsia" w:hAnsiTheme="minorEastAsia"/>
          <w:b/>
          <w:sz w:val="36"/>
          <w:szCs w:val="36"/>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cs="宋体" w:asciiTheme="minorEastAsia" w:hAnsiTheme="minorEastAsia"/>
          <w:b/>
          <w:bCs/>
          <w:sz w:val="36"/>
          <w:szCs w:val="36"/>
        </w:rPr>
      </w:pPr>
      <w:r>
        <w:rPr>
          <w:rFonts w:hint="eastAsia" w:cs="宋体" w:asciiTheme="minorEastAsia" w:hAnsiTheme="minorEastAsia"/>
          <w:b/>
          <w:bCs/>
          <w:sz w:val="36"/>
          <w:szCs w:val="36"/>
        </w:rPr>
        <w:t>采购人：扶风县交通运输局</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cs="宋体" w:asciiTheme="minorEastAsia" w:hAnsiTheme="minorEastAsia"/>
          <w:b/>
          <w:bCs/>
          <w:sz w:val="36"/>
          <w:szCs w:val="36"/>
        </w:rPr>
      </w:pPr>
      <w:r>
        <w:rPr>
          <w:rFonts w:hint="eastAsia" w:cs="宋体" w:asciiTheme="minorEastAsia" w:hAnsiTheme="minorEastAsia"/>
          <w:b/>
          <w:bCs/>
          <w:sz w:val="36"/>
          <w:szCs w:val="36"/>
        </w:rPr>
        <w:t>采购</w:t>
      </w:r>
      <w:r>
        <w:rPr>
          <w:rFonts w:hint="eastAsia" w:cs="宋体" w:asciiTheme="minorEastAsia" w:hAnsiTheme="minorEastAsia"/>
          <w:b/>
          <w:bCs/>
          <w:sz w:val="36"/>
          <w:szCs w:val="36"/>
          <w:lang w:val="en-US" w:eastAsia="zh-CN"/>
        </w:rPr>
        <w:t>代理机构</w:t>
      </w:r>
      <w:r>
        <w:rPr>
          <w:rFonts w:hint="eastAsia" w:cs="宋体" w:asciiTheme="minorEastAsia" w:hAnsiTheme="minorEastAsia"/>
          <w:b/>
          <w:bCs/>
          <w:sz w:val="36"/>
          <w:szCs w:val="36"/>
        </w:rPr>
        <w:t>：万融国际项目管理有限公司</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cs="宋体" w:asciiTheme="minorEastAsia" w:hAnsiTheme="minorEastAsia"/>
          <w:b/>
          <w:bCs/>
          <w:sz w:val="36"/>
          <w:szCs w:val="36"/>
        </w:rPr>
      </w:pPr>
      <w:r>
        <w:rPr>
          <w:rFonts w:hint="eastAsia" w:cs="宋体" w:asciiTheme="minorEastAsia" w:hAnsiTheme="minorEastAsia"/>
          <w:b/>
          <w:bCs/>
          <w:sz w:val="36"/>
          <w:szCs w:val="36"/>
        </w:rPr>
        <w:t>二零二</w:t>
      </w:r>
      <w:r>
        <w:rPr>
          <w:rFonts w:hint="eastAsia" w:cs="宋体" w:asciiTheme="minorEastAsia" w:hAnsiTheme="minorEastAsia"/>
          <w:b/>
          <w:bCs/>
          <w:sz w:val="36"/>
          <w:szCs w:val="36"/>
          <w:lang w:val="en-US" w:eastAsia="zh-CN"/>
        </w:rPr>
        <w:t>三</w:t>
      </w:r>
      <w:r>
        <w:rPr>
          <w:rFonts w:hint="eastAsia" w:cs="宋体" w:asciiTheme="minorEastAsia" w:hAnsiTheme="minorEastAsia"/>
          <w:b/>
          <w:bCs/>
          <w:sz w:val="36"/>
          <w:szCs w:val="36"/>
        </w:rPr>
        <w:t>年</w:t>
      </w:r>
      <w:r>
        <w:rPr>
          <w:rFonts w:hint="eastAsia" w:cs="宋体" w:asciiTheme="minorEastAsia" w:hAnsiTheme="minorEastAsia"/>
          <w:b/>
          <w:bCs/>
          <w:sz w:val="36"/>
          <w:szCs w:val="36"/>
          <w:lang w:val="en-US" w:eastAsia="zh-CN"/>
        </w:rPr>
        <w:t>六</w:t>
      </w:r>
      <w:r>
        <w:rPr>
          <w:rFonts w:hint="eastAsia" w:cs="宋体" w:asciiTheme="minorEastAsia" w:hAnsiTheme="minorEastAsia"/>
          <w:b/>
          <w:bCs/>
          <w:sz w:val="36"/>
          <w:szCs w:val="36"/>
        </w:rPr>
        <w:t>月</w:t>
      </w:r>
    </w:p>
    <w:p>
      <w:pPr>
        <w:spacing w:line="480" w:lineRule="exact"/>
        <w:rPr>
          <w:rFonts w:cs="宋体" w:asciiTheme="minorEastAsia" w:hAnsiTheme="minorEastAsia"/>
          <w:b/>
          <w:sz w:val="52"/>
          <w:szCs w:val="52"/>
        </w:rPr>
      </w:pPr>
    </w:p>
    <w:p>
      <w:pPr>
        <w:rPr>
          <w:rFonts w:cs="宋体" w:asciiTheme="minorEastAsia" w:hAnsiTheme="minorEastAsia"/>
        </w:rPr>
        <w:sectPr>
          <w:headerReference r:id="rId4" w:type="first"/>
          <w:footerReference r:id="rId6" w:type="first"/>
          <w:headerReference r:id="rId3" w:type="default"/>
          <w:footerReference r:id="rId5" w:type="default"/>
          <w:endnotePr>
            <w:numFmt w:val="decimal"/>
          </w:endnotePr>
          <w:pgSz w:w="11907" w:h="16840"/>
          <w:pgMar w:top="1440" w:right="1080" w:bottom="1440" w:left="1080" w:header="907" w:footer="654" w:gutter="0"/>
          <w:cols w:space="720" w:num="1"/>
          <w:titlePg/>
          <w:docGrid w:linePitch="286" w:charSpace="0"/>
        </w:sectPr>
      </w:pPr>
    </w:p>
    <w:sdt>
      <w:sdtPr>
        <w:rPr>
          <w:rFonts w:hint="eastAsia" w:eastAsia="宋体" w:cs="宋体" w:asciiTheme="minorEastAsia" w:hAnsiTheme="minorEastAsia"/>
          <w:sz w:val="44"/>
          <w:szCs w:val="44"/>
        </w:rPr>
        <w:id w:val="147477012"/>
        <w:docPartObj>
          <w:docPartGallery w:val="Table of Contents"/>
          <w:docPartUnique/>
        </w:docPartObj>
      </w:sdtPr>
      <w:sdtEndPr>
        <w:rPr>
          <w:rFonts w:hint="eastAsia" w:eastAsia="宋体" w:cs="宋体" w:asciiTheme="minorEastAsia" w:hAnsiTheme="minorEastAsia"/>
          <w:sz w:val="28"/>
          <w:szCs w:val="28"/>
        </w:rPr>
      </w:sdtEndPr>
      <w:sdtContent>
        <w:p>
          <w:pPr>
            <w:spacing w:line="480" w:lineRule="auto"/>
            <w:jc w:val="center"/>
            <w:rPr>
              <w:rFonts w:cs="宋体" w:asciiTheme="minorEastAsia" w:hAnsiTheme="minorEastAsia"/>
              <w:sz w:val="44"/>
              <w:szCs w:val="44"/>
            </w:rPr>
          </w:pPr>
          <w:bookmarkStart w:id="0" w:name="_Toc24796_WPSOffice_Type1"/>
          <w:r>
            <w:rPr>
              <w:rFonts w:hint="eastAsia" w:cs="宋体" w:asciiTheme="minorEastAsia" w:hAnsiTheme="minorEastAsia"/>
              <w:sz w:val="44"/>
              <w:szCs w:val="44"/>
            </w:rPr>
            <w:t xml:space="preserve">目 </w:t>
          </w:r>
          <w:r>
            <w:rPr>
              <w:rFonts w:cs="宋体" w:asciiTheme="minorEastAsia" w:hAnsiTheme="minorEastAsia"/>
              <w:sz w:val="44"/>
              <w:szCs w:val="44"/>
            </w:rPr>
            <w:t xml:space="preserve"> </w:t>
          </w:r>
          <w:r>
            <w:rPr>
              <w:rFonts w:hint="eastAsia" w:cs="宋体" w:asciiTheme="minorEastAsia" w:hAnsiTheme="minorEastAsia"/>
              <w:sz w:val="44"/>
              <w:szCs w:val="44"/>
            </w:rPr>
            <w:t>录</w:t>
          </w:r>
        </w:p>
        <w:p>
          <w:pPr>
            <w:pStyle w:val="46"/>
            <w:tabs>
              <w:tab w:val="right" w:leader="dot" w:pos="9361"/>
            </w:tabs>
            <w:spacing w:line="480" w:lineRule="auto"/>
            <w:rPr>
              <w:rFonts w:cs="宋体" w:asciiTheme="minorEastAsia" w:hAnsiTheme="minorEastAsia"/>
              <w:sz w:val="28"/>
              <w:szCs w:val="28"/>
            </w:rPr>
          </w:pPr>
          <w:r>
            <w:fldChar w:fldCharType="begin"/>
          </w:r>
          <w:r>
            <w:instrText xml:space="preserve"> HYPERLINK \l "_Toc14299_WPSOffice_Level1" </w:instrText>
          </w:r>
          <w:r>
            <w:fldChar w:fldCharType="separate"/>
          </w:r>
          <w:r>
            <w:rPr>
              <w:rFonts w:hint="eastAsia" w:cs="宋体" w:asciiTheme="minorEastAsia" w:hAnsiTheme="minorEastAsia"/>
              <w:sz w:val="28"/>
              <w:szCs w:val="28"/>
            </w:rPr>
            <w:t>第一部分  竞争性磋商公告</w:t>
          </w:r>
          <w:r>
            <w:rPr>
              <w:rFonts w:hint="eastAsia" w:cs="宋体" w:asciiTheme="minorEastAsia" w:hAnsiTheme="minorEastAsia"/>
              <w:sz w:val="28"/>
              <w:szCs w:val="28"/>
            </w:rPr>
            <w:fldChar w:fldCharType="end"/>
          </w:r>
        </w:p>
        <w:p>
          <w:pPr>
            <w:pStyle w:val="46"/>
            <w:tabs>
              <w:tab w:val="right" w:leader="dot" w:pos="9361"/>
            </w:tabs>
            <w:spacing w:line="480" w:lineRule="auto"/>
            <w:rPr>
              <w:rFonts w:cs="宋体" w:asciiTheme="minorEastAsia" w:hAnsiTheme="minorEastAsia"/>
              <w:sz w:val="28"/>
              <w:szCs w:val="28"/>
            </w:rPr>
          </w:pPr>
          <w:r>
            <w:fldChar w:fldCharType="begin"/>
          </w:r>
          <w:r>
            <w:instrText xml:space="preserve"> HYPERLINK \l "_Toc24796_WPSOffice_Level1" </w:instrText>
          </w:r>
          <w:r>
            <w:fldChar w:fldCharType="separate"/>
          </w:r>
          <w:r>
            <w:rPr>
              <w:rFonts w:hint="eastAsia" w:cs="宋体" w:asciiTheme="minorEastAsia" w:hAnsiTheme="minorEastAsia"/>
              <w:sz w:val="28"/>
              <w:szCs w:val="28"/>
            </w:rPr>
            <w:t>第二部分  供应商须知</w:t>
          </w:r>
          <w:r>
            <w:rPr>
              <w:rFonts w:hint="eastAsia" w:cs="宋体" w:asciiTheme="minorEastAsia" w:hAnsiTheme="minorEastAsia"/>
              <w:sz w:val="28"/>
              <w:szCs w:val="28"/>
            </w:rPr>
            <w:fldChar w:fldCharType="end"/>
          </w:r>
        </w:p>
        <w:p>
          <w:pPr>
            <w:pStyle w:val="46"/>
            <w:tabs>
              <w:tab w:val="right" w:leader="dot" w:pos="9361"/>
            </w:tabs>
            <w:spacing w:line="480" w:lineRule="auto"/>
            <w:rPr>
              <w:rFonts w:cs="宋体" w:asciiTheme="minorEastAsia" w:hAnsiTheme="minorEastAsia"/>
              <w:sz w:val="28"/>
              <w:szCs w:val="28"/>
            </w:rPr>
          </w:pPr>
          <w:r>
            <w:fldChar w:fldCharType="begin"/>
          </w:r>
          <w:r>
            <w:instrText xml:space="preserve"> HYPERLINK \l "_Toc29327_WPSOffice_Level1" </w:instrText>
          </w:r>
          <w:r>
            <w:fldChar w:fldCharType="separate"/>
          </w:r>
          <w:r>
            <w:rPr>
              <w:rFonts w:hint="eastAsia" w:cs="宋体" w:asciiTheme="minorEastAsia" w:hAnsiTheme="minorEastAsia"/>
              <w:sz w:val="28"/>
              <w:szCs w:val="28"/>
            </w:rPr>
            <w:t>第三部分  采购内容及技术要求</w:t>
          </w:r>
          <w:r>
            <w:rPr>
              <w:rFonts w:hint="eastAsia" w:cs="宋体" w:asciiTheme="minorEastAsia" w:hAnsiTheme="minorEastAsia"/>
              <w:sz w:val="28"/>
              <w:szCs w:val="28"/>
            </w:rPr>
            <w:fldChar w:fldCharType="end"/>
          </w:r>
        </w:p>
        <w:p>
          <w:pPr>
            <w:pStyle w:val="46"/>
            <w:tabs>
              <w:tab w:val="right" w:leader="dot" w:pos="9361"/>
            </w:tabs>
            <w:spacing w:line="480" w:lineRule="auto"/>
            <w:rPr>
              <w:rFonts w:cs="宋体" w:asciiTheme="minorEastAsia" w:hAnsiTheme="minorEastAsia"/>
              <w:sz w:val="28"/>
              <w:szCs w:val="28"/>
            </w:rPr>
          </w:pPr>
          <w:r>
            <w:fldChar w:fldCharType="begin"/>
          </w:r>
          <w:r>
            <w:instrText xml:space="preserve"> HYPERLINK \l "_Toc11347_WPSOffice_Level1" </w:instrText>
          </w:r>
          <w:r>
            <w:fldChar w:fldCharType="separate"/>
          </w:r>
          <w:r>
            <w:rPr>
              <w:rFonts w:hint="eastAsia" w:cs="宋体" w:asciiTheme="minorEastAsia" w:hAnsiTheme="minorEastAsia"/>
              <w:sz w:val="28"/>
              <w:szCs w:val="28"/>
            </w:rPr>
            <w:t>第四部分  商务要求</w:t>
          </w:r>
          <w:r>
            <w:rPr>
              <w:rFonts w:hint="eastAsia" w:cs="宋体" w:asciiTheme="minorEastAsia" w:hAnsiTheme="minorEastAsia"/>
              <w:sz w:val="28"/>
              <w:szCs w:val="28"/>
            </w:rPr>
            <w:fldChar w:fldCharType="end"/>
          </w:r>
        </w:p>
        <w:p>
          <w:pPr>
            <w:pStyle w:val="46"/>
            <w:tabs>
              <w:tab w:val="right" w:leader="dot" w:pos="9361"/>
            </w:tabs>
            <w:spacing w:line="480" w:lineRule="auto"/>
            <w:rPr>
              <w:rFonts w:cs="宋体" w:asciiTheme="minorEastAsia" w:hAnsiTheme="minorEastAsia"/>
              <w:sz w:val="28"/>
              <w:szCs w:val="28"/>
            </w:rPr>
          </w:pPr>
          <w:r>
            <w:fldChar w:fldCharType="begin"/>
          </w:r>
          <w:r>
            <w:instrText xml:space="preserve"> HYPERLINK \l "_Toc2844_WPSOffice_Level1" </w:instrText>
          </w:r>
          <w:r>
            <w:fldChar w:fldCharType="separate"/>
          </w:r>
          <w:r>
            <w:rPr>
              <w:rFonts w:hint="eastAsia" w:cs="宋体" w:asciiTheme="minorEastAsia" w:hAnsiTheme="minorEastAsia"/>
              <w:sz w:val="28"/>
              <w:szCs w:val="28"/>
            </w:rPr>
            <w:t>第五部分  合同条款</w:t>
          </w:r>
          <w:r>
            <w:rPr>
              <w:rFonts w:hint="eastAsia" w:cs="宋体" w:asciiTheme="minorEastAsia" w:hAnsiTheme="minorEastAsia"/>
              <w:sz w:val="28"/>
              <w:szCs w:val="28"/>
            </w:rPr>
            <w:fldChar w:fldCharType="end"/>
          </w:r>
        </w:p>
        <w:p>
          <w:pPr>
            <w:pStyle w:val="46"/>
            <w:tabs>
              <w:tab w:val="right" w:leader="dot" w:pos="9361"/>
            </w:tabs>
            <w:spacing w:line="480" w:lineRule="auto"/>
            <w:rPr>
              <w:rFonts w:cs="宋体" w:asciiTheme="minorEastAsia" w:hAnsiTheme="minorEastAsia"/>
              <w:sz w:val="28"/>
              <w:szCs w:val="28"/>
            </w:rPr>
          </w:pPr>
          <w:r>
            <w:fldChar w:fldCharType="begin"/>
          </w:r>
          <w:r>
            <w:instrText xml:space="preserve"> HYPERLINK \l "_Toc116_WPSOffice_Level1" </w:instrText>
          </w:r>
          <w:r>
            <w:fldChar w:fldCharType="separate"/>
          </w:r>
          <w:r>
            <w:rPr>
              <w:rFonts w:hint="eastAsia" w:cs="宋体" w:asciiTheme="minorEastAsia" w:hAnsiTheme="minorEastAsia"/>
              <w:sz w:val="28"/>
              <w:szCs w:val="28"/>
            </w:rPr>
            <w:t>第六部分  竞争性磋商响应文件格式</w:t>
          </w:r>
          <w:r>
            <w:rPr>
              <w:rFonts w:hint="eastAsia" w:cs="宋体" w:asciiTheme="minorEastAsia" w:hAnsiTheme="minorEastAsia"/>
              <w:sz w:val="28"/>
              <w:szCs w:val="28"/>
            </w:rPr>
            <w:fldChar w:fldCharType="end"/>
          </w:r>
        </w:p>
        <w:p>
          <w:pPr>
            <w:pStyle w:val="43"/>
            <w:spacing w:line="480" w:lineRule="auto"/>
            <w:ind w:firstLine="0" w:firstLineChars="0"/>
            <w:rPr>
              <w:rFonts w:cs="宋体" w:asciiTheme="minorEastAsia" w:hAnsiTheme="minorEastAsia" w:eastAsiaTheme="minorEastAsia"/>
              <w:sz w:val="28"/>
              <w:szCs w:val="28"/>
            </w:rPr>
            <w:sectPr>
              <w:headerReference r:id="rId8" w:type="first"/>
              <w:footerReference r:id="rId10" w:type="first"/>
              <w:headerReference r:id="rId7" w:type="default"/>
              <w:footerReference r:id="rId9" w:type="default"/>
              <w:endnotePr>
                <w:numFmt w:val="decimal"/>
              </w:endnotePr>
              <w:pgSz w:w="11907" w:h="16840"/>
              <w:pgMar w:top="1418" w:right="1287" w:bottom="936" w:left="1259" w:header="907" w:footer="654" w:gutter="0"/>
              <w:cols w:space="720" w:num="1"/>
              <w:titlePg/>
            </w:sectPr>
          </w:pPr>
        </w:p>
      </w:sdtContent>
    </w:sdt>
    <w:bookmarkEnd w:id="0"/>
    <w:p>
      <w:pPr>
        <w:pStyle w:val="3"/>
        <w:spacing w:before="0" w:after="0" w:line="360" w:lineRule="auto"/>
        <w:ind w:left="2195" w:leftChars="959" w:hanging="181" w:hangingChars="50"/>
        <w:rPr>
          <w:rFonts w:cs="宋体" w:asciiTheme="minorEastAsia" w:hAnsiTheme="minorEastAsia"/>
          <w:sz w:val="36"/>
          <w:szCs w:val="36"/>
        </w:rPr>
      </w:pPr>
      <w:bookmarkStart w:id="1" w:name="_Toc30308_WPSOffice_Level1"/>
      <w:bookmarkStart w:id="2" w:name="_Toc14299_WPSOffice_Level1"/>
      <w:r>
        <w:rPr>
          <w:rFonts w:hint="eastAsia" w:cs="宋体" w:asciiTheme="minorEastAsia" w:hAnsiTheme="minorEastAsia"/>
          <w:sz w:val="36"/>
          <w:szCs w:val="36"/>
        </w:rPr>
        <w:t xml:space="preserve">第一部分  </w:t>
      </w:r>
      <w:bookmarkEnd w:id="1"/>
      <w:bookmarkEnd w:id="2"/>
      <w:r>
        <w:rPr>
          <w:rFonts w:hint="eastAsia" w:cs="宋体" w:asciiTheme="minorEastAsia" w:hAnsiTheme="minorEastAsia"/>
          <w:sz w:val="36"/>
          <w:szCs w:val="36"/>
        </w:rPr>
        <w:t>竞争性磋商公告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Theme="minorEastAsia" w:hAnsiTheme="minorEastAsia" w:eastAsiaTheme="minorEastAsia" w:cstheme="minorEastAsia"/>
          <w:b w:val="0"/>
          <w:bCs w:val="0"/>
          <w:sz w:val="24"/>
          <w:szCs w:val="24"/>
        </w:rPr>
      </w:pPr>
      <w:bookmarkStart w:id="3" w:name="_Toc12111_WPSOffice_Level1"/>
      <w:bookmarkStart w:id="4" w:name="_Toc24796_WPSOffice_Level1"/>
      <w:r>
        <w:rPr>
          <w:rStyle w:val="29"/>
          <w:rFonts w:hint="eastAsia" w:asciiTheme="minorEastAsia" w:hAnsiTheme="minorEastAsia" w:eastAsiaTheme="minorEastAsia" w:cstheme="minorEastAsia"/>
          <w:b/>
          <w:bCs/>
          <w:i w:val="0"/>
          <w:iCs w:val="0"/>
          <w:caps w:val="0"/>
          <w:color w:val="333333"/>
          <w:spacing w:val="0"/>
          <w:sz w:val="24"/>
          <w:szCs w:val="24"/>
          <w:shd w:val="clear" w:fill="FFFFFF"/>
          <w:vertAlign w:val="baseline"/>
        </w:rPr>
        <w:t>项目概况</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Theme="minorEastAsia" w:hAnsi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扶风县“四好农村路”信息化综合管理系统采购项目采购项目的潜在供应商应在【全国公共资源交易平台（陕西省·宝鸡市）】（http://bj.sxggzyjy.cn）获取采购文件，并于2023年07月14日 09时00分 （北京时间）前提交响应文件。</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right="0"/>
        <w:jc w:val="both"/>
        <w:rPr>
          <w:rFonts w:hint="eastAsia" w:asciiTheme="minorEastAsia" w:hAnsiTheme="minorEastAsia" w:eastAsiaTheme="minorEastAsia" w:cstheme="minorEastAsia"/>
          <w:b w:val="0"/>
          <w:bCs w:val="0"/>
          <w:i w:val="0"/>
          <w:iCs w:val="0"/>
          <w:caps w:val="0"/>
          <w:color w:val="333333"/>
          <w:spacing w:val="0"/>
          <w:sz w:val="24"/>
          <w:szCs w:val="24"/>
        </w:rPr>
      </w:pPr>
      <w:r>
        <w:rPr>
          <w:rStyle w:val="29"/>
          <w:rFonts w:hint="eastAsia" w:asciiTheme="minorEastAsia" w:hAnsiTheme="minorEastAsia" w:eastAsiaTheme="minorEastAsia" w:cstheme="minorEastAsia"/>
          <w:b/>
          <w:bCs/>
          <w:i w:val="0"/>
          <w:iCs w:val="0"/>
          <w:caps w:val="0"/>
          <w:color w:val="333333"/>
          <w:spacing w:val="0"/>
          <w:sz w:val="24"/>
          <w:szCs w:val="24"/>
          <w:shd w:val="clear" w:fill="FFFFFF"/>
        </w:rPr>
        <w:t>一、项目基本情况</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项目编号：2023-CG007</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项目名称：扶风县“四好农村路”信息化综合管理系统采购项目</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采购方式：竞争性磋商</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预算金额：1,200,000.00元</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采购需求：</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合同包1(扶风县“四好农村路”信息化综合管理系统采购项目):</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合同包预算金额：1,200,000.00元</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合同包最高限价：1,100,000.00元</w:t>
      </w:r>
    </w:p>
    <w:tbl>
      <w:tblPr>
        <w:tblStyle w:val="26"/>
        <w:tblW w:w="93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0"/>
        <w:gridCol w:w="1737"/>
        <w:gridCol w:w="1598"/>
        <w:gridCol w:w="791"/>
        <w:gridCol w:w="1279"/>
        <w:gridCol w:w="1690"/>
        <w:gridCol w:w="16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5" w:hRule="atLeast"/>
          <w:tblHeader/>
        </w:trPr>
        <w:tc>
          <w:tcPr>
            <w:tcW w:w="5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品目号</w:t>
            </w:r>
          </w:p>
        </w:tc>
        <w:tc>
          <w:tcPr>
            <w:tcW w:w="17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品目名称</w:t>
            </w:r>
          </w:p>
        </w:tc>
        <w:tc>
          <w:tcPr>
            <w:tcW w:w="15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采购标的</w:t>
            </w:r>
          </w:p>
        </w:tc>
        <w:tc>
          <w:tcPr>
            <w:tcW w:w="7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数量（单位）</w:t>
            </w:r>
          </w:p>
        </w:tc>
        <w:tc>
          <w:tcPr>
            <w:tcW w:w="12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技术规格、参数及要求</w:t>
            </w:r>
          </w:p>
        </w:tc>
        <w:tc>
          <w:tcPr>
            <w:tcW w:w="16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品目预算(元)</w:t>
            </w:r>
          </w:p>
        </w:tc>
        <w:tc>
          <w:tcPr>
            <w:tcW w:w="16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9"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行业应用软件开发服务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信息化综合管理系统</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1,200,000.00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1,100,000.00</w:t>
            </w:r>
          </w:p>
        </w:tc>
      </w:tr>
    </w:tbl>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本合同包不接受联合体投标</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合同履行期限：具体服务起止日期可随合同签订时间相应顺延。</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Theme="minorEastAsia" w:hAnsiTheme="minorEastAsia" w:eastAsiaTheme="minorEastAsia" w:cstheme="minorEastAsia"/>
          <w:b w:val="0"/>
          <w:bCs w:val="0"/>
          <w:i w:val="0"/>
          <w:iCs w:val="0"/>
          <w:caps w:val="0"/>
          <w:color w:val="333333"/>
          <w:spacing w:val="0"/>
          <w:sz w:val="24"/>
          <w:szCs w:val="24"/>
        </w:rPr>
      </w:pPr>
      <w:r>
        <w:rPr>
          <w:rStyle w:val="29"/>
          <w:rFonts w:hint="eastAsia" w:asciiTheme="minorEastAsia" w:hAnsiTheme="minorEastAsia" w:eastAsiaTheme="minorEastAsia" w:cstheme="minorEastAsia"/>
          <w:b/>
          <w:bCs/>
          <w:i w:val="0"/>
          <w:iCs w:val="0"/>
          <w:caps w:val="0"/>
          <w:color w:val="333333"/>
          <w:spacing w:val="0"/>
          <w:sz w:val="24"/>
          <w:szCs w:val="24"/>
          <w:shd w:val="clear" w:fill="FFFFFF"/>
        </w:rPr>
        <w:t>二、申请人的资格要求：</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1.满足《中华人民共和国政府采购法》第二十二条规定;</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2.落实政府采购政策需满足的资格要求：</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合同包1(扶风县“四好农村路”信息化综合管理系统采购项目)落实政府采购政策需满足的资格要求如下:</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 （4）《政府采购促进中小企业发展管理办法》（财库〔2020〕46号）；（5）《财政部 司法部关于政府采购支持监狱企业发展有关问题的通知》（财库〔2014〕68号）； （6）《三部门联合发布关于促进残疾人就业政府采购政策的通知》（财库〔2017〕141号）；（7）《财政部 发展改革委 生态环境部 市场监管总局关于调整优化节能产品、环境标志产品政府采购执行机制的通知》（财库〔2019〕9号）；（8）《财政部 国务院扶贫办关于运用政府采购政策支持脱贫攻坚的通知》（财库〔2019〕27号）；（9）陕西省财政厅关于印发《陕西省中小企业政府采购信用融资办法》（陕财办采{2018}23号）；</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3.本项目的特定资格要求：</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合同包1(扶风县“四好农村路”信息化综合管理系统采购项目)特定资格要求如下:</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3.1.供应商应为具有独立承担民事责任的能力且具备向采购人提供相关货物和服务的企业法人、事业单位法人、其他组织。企业法人应提供具有统一社会信用代码的营业执照；事业单位法人应提供事业单位法人证等证明文件；其他组织应提供合法证明文件。3.2.供应商提供法定代表人授权书及被授权人身份证，法定代表人直接投标只须提交其法人身份证明。3.3.供应商不得为“信用中国”网站（www.creditchina.gov.cn）中列入失信被执行人和重大税收违法失信主体的供应商；不得为中国政府采购网（www.ccgp</w:t>
      </w:r>
      <w:r>
        <w:rPr>
          <w:rFonts w:hint="eastAsia" w:asciiTheme="minorEastAsia" w:hAnsiTheme="minorEastAsia" w:cstheme="minorEastAsia"/>
          <w:i w:val="0"/>
          <w:iCs w:val="0"/>
          <w:caps w:val="0"/>
          <w:color w:val="333333"/>
          <w:spacing w:val="0"/>
          <w:sz w:val="24"/>
          <w:szCs w:val="24"/>
          <w:shd w:val="clear" w:fill="FFFFFF"/>
          <w:lang w:val="en-US" w:eastAsia="zh-CN"/>
        </w:rPr>
        <w:t>.</w:t>
      </w:r>
      <w:r>
        <w:rPr>
          <w:rFonts w:hint="eastAsia" w:asciiTheme="minorEastAsia" w:hAnsiTheme="minorEastAsia" w:eastAsiaTheme="minorEastAsia" w:cstheme="minorEastAsia"/>
          <w:i w:val="0"/>
          <w:iCs w:val="0"/>
          <w:caps w:val="0"/>
          <w:color w:val="333333"/>
          <w:spacing w:val="0"/>
          <w:sz w:val="24"/>
          <w:szCs w:val="24"/>
          <w:shd w:val="clear" w:fill="FFFFFF"/>
        </w:rPr>
        <w:t>gov.cn）政府采购严重违法失信行为记录名单中被财政部门禁止参加政府采购活动的供应商。3.4.财务状况报告：提供2021年度或2022年度的财务审计报告（至少包括资产负债表和利润表，成立时间至提交投标文件截止时间不足一年的可提供成立后任意时段的资产负债表），或其基本存款账户开户银行出具的资信证明及基本存款账户开户许可证。3.5.税收缴纳证明：提供上一年度至今已缴纳的至少连续三个月的纳税证明或完税证明，依法免税的单位应提供相关证明材料（复印件加盖供应商公章）。3.6.社会保障资金缴纳证明：提供上一年度至今已缴存的至少连续三个月的社会保障资金缴存单据或社保机构开具的社会保险参保缴费情况证明，依法不需要缴纳社会保障资金的单位应提供相关证明材料。3.7.书面声明：提供《供应商书面声明函》（经查，参加本次政府采购活动前三年内在经营活动中没有重大违纪，以及未被列入失信被执行人、重大税收违法失信主体的供应商、政府采购严重违法失信行为记录名单的书面声明）。3.8.单位负责人为同一人或者存在控股、管理关系的不同单位，不得参加同一项目的投标。3.9.本项目专门面向中小企业采购（符合财库[2020]46号规定的供应商应提供中小微企业声明函）。3.10.本项目不接受联合体投标。3.</w:t>
      </w:r>
      <w:r>
        <w:rPr>
          <w:rFonts w:hint="eastAsia" w:asciiTheme="minorEastAsia" w:hAnsiTheme="minorEastAsia" w:eastAsiaTheme="minorEastAsia" w:cstheme="minorEastAsia"/>
          <w:i w:val="0"/>
          <w:iCs w:val="0"/>
          <w:caps w:val="0"/>
          <w:color w:val="auto"/>
          <w:spacing w:val="0"/>
          <w:sz w:val="24"/>
          <w:szCs w:val="24"/>
          <w:shd w:val="clear" w:fill="FFFFFF"/>
        </w:rPr>
        <w:t>11.磋商保证金交纳凭证（银行汇（存）款回执单，复印件须加盖供应商公章）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b w:val="0"/>
          <w:bCs w:val="0"/>
          <w:i w:val="0"/>
          <w:iCs w:val="0"/>
          <w:caps w:val="0"/>
          <w:color w:val="auto"/>
          <w:spacing w:val="0"/>
          <w:sz w:val="24"/>
          <w:szCs w:val="24"/>
        </w:rPr>
      </w:pPr>
      <w:r>
        <w:rPr>
          <w:rStyle w:val="29"/>
          <w:rFonts w:hint="eastAsia" w:asciiTheme="minorEastAsia" w:hAnsiTheme="minorEastAsia" w:eastAsiaTheme="minorEastAsia" w:cstheme="minorEastAsia"/>
          <w:b/>
          <w:bCs/>
          <w:i w:val="0"/>
          <w:iCs w:val="0"/>
          <w:caps w:val="0"/>
          <w:color w:val="auto"/>
          <w:spacing w:val="0"/>
          <w:sz w:val="24"/>
          <w:szCs w:val="24"/>
          <w:shd w:val="clear" w:fill="FFFFFF"/>
        </w:rPr>
        <w:t>三、获取采购文件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时间：2023年07月03日至2023年07月07日</w:t>
      </w:r>
      <w:r>
        <w:rPr>
          <w:rFonts w:hint="eastAsia" w:asciiTheme="minorEastAsia" w:hAnsiTheme="minorEastAsia" w:cstheme="minorEastAsia"/>
          <w:i w:val="0"/>
          <w:iCs w:val="0"/>
          <w:caps w:val="0"/>
          <w:color w:val="auto"/>
          <w:spacing w:val="0"/>
          <w:sz w:val="24"/>
          <w:szCs w:val="24"/>
          <w:shd w:val="clear" w:fill="FFFFFF"/>
          <w:lang w:eastAsia="zh-CN"/>
        </w:rPr>
        <w:t>，</w:t>
      </w:r>
      <w:r>
        <w:rPr>
          <w:rFonts w:hint="eastAsia" w:asciiTheme="minorEastAsia" w:hAnsiTheme="minorEastAsia" w:eastAsiaTheme="minorEastAsia" w:cstheme="minorEastAsia"/>
          <w:i w:val="0"/>
          <w:iCs w:val="0"/>
          <w:caps w:val="0"/>
          <w:color w:val="auto"/>
          <w:spacing w:val="0"/>
          <w:sz w:val="24"/>
          <w:szCs w:val="24"/>
          <w:shd w:val="clear" w:fill="FFFFFF"/>
        </w:rPr>
        <w:t>每天上午09:00:00至12:00:00</w:t>
      </w:r>
      <w:r>
        <w:rPr>
          <w:rFonts w:hint="eastAsia" w:asciiTheme="minorEastAsia" w:hAnsiTheme="minorEastAsia" w:cstheme="minorEastAsia"/>
          <w:i w:val="0"/>
          <w:iCs w:val="0"/>
          <w:caps w:val="0"/>
          <w:color w:val="auto"/>
          <w:spacing w:val="0"/>
          <w:sz w:val="24"/>
          <w:szCs w:val="24"/>
          <w:shd w:val="clear" w:fill="FFFFFF"/>
          <w:lang w:eastAsia="zh-CN"/>
        </w:rPr>
        <w:t>，</w:t>
      </w:r>
      <w:r>
        <w:rPr>
          <w:rFonts w:hint="eastAsia" w:asciiTheme="minorEastAsia" w:hAnsiTheme="minorEastAsia" w:eastAsiaTheme="minorEastAsia" w:cstheme="minorEastAsia"/>
          <w:i w:val="0"/>
          <w:iCs w:val="0"/>
          <w:caps w:val="0"/>
          <w:color w:val="auto"/>
          <w:spacing w:val="0"/>
          <w:sz w:val="24"/>
          <w:szCs w:val="24"/>
          <w:shd w:val="clear" w:fill="FFFFFF"/>
        </w:rPr>
        <w:t>下午14:00:00至17:00:00（北京时间）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途径：【全国公共资源交易平台（陕西省·宝鸡市）】（http://bj.sxggzyjy.cn）</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方式：在线获取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售价：0元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b w:val="0"/>
          <w:bCs w:val="0"/>
          <w:i w:val="0"/>
          <w:iCs w:val="0"/>
          <w:caps w:val="0"/>
          <w:color w:val="auto"/>
          <w:spacing w:val="0"/>
          <w:sz w:val="24"/>
          <w:szCs w:val="24"/>
        </w:rPr>
      </w:pPr>
      <w:r>
        <w:rPr>
          <w:rStyle w:val="29"/>
          <w:rFonts w:hint="eastAsia" w:asciiTheme="minorEastAsia" w:hAnsiTheme="minorEastAsia" w:eastAsiaTheme="minorEastAsia" w:cstheme="minorEastAsia"/>
          <w:b/>
          <w:bCs/>
          <w:i w:val="0"/>
          <w:iCs w:val="0"/>
          <w:caps w:val="0"/>
          <w:color w:val="auto"/>
          <w:spacing w:val="0"/>
          <w:sz w:val="24"/>
          <w:szCs w:val="24"/>
          <w:shd w:val="clear" w:fill="FFFFFF"/>
        </w:rPr>
        <w:t>四、响应文件提交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截止时间：2023年07月14日 09时00分00秒（北京时间）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地点：宝鸡市公共资源交易中心五楼第7开标室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b w:val="0"/>
          <w:bCs w:val="0"/>
          <w:i w:val="0"/>
          <w:iCs w:val="0"/>
          <w:caps w:val="0"/>
          <w:color w:val="auto"/>
          <w:spacing w:val="0"/>
          <w:sz w:val="24"/>
          <w:szCs w:val="24"/>
        </w:rPr>
      </w:pPr>
      <w:r>
        <w:rPr>
          <w:rStyle w:val="29"/>
          <w:rFonts w:hint="eastAsia" w:asciiTheme="minorEastAsia" w:hAnsiTheme="minorEastAsia" w:eastAsiaTheme="minorEastAsia" w:cstheme="minorEastAsia"/>
          <w:b/>
          <w:bCs/>
          <w:i w:val="0"/>
          <w:iCs w:val="0"/>
          <w:caps w:val="0"/>
          <w:color w:val="auto"/>
          <w:spacing w:val="0"/>
          <w:sz w:val="24"/>
          <w:szCs w:val="24"/>
          <w:shd w:val="clear" w:fill="FFFFFF"/>
        </w:rPr>
        <w:t>五、开启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时间：2023年07月14日 09时00分00秒（北京时间）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地点：宝鸡市公共资源交易中心五楼第7开标室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b w:val="0"/>
          <w:bCs w:val="0"/>
          <w:i w:val="0"/>
          <w:iCs w:val="0"/>
          <w:caps w:val="0"/>
          <w:color w:val="auto"/>
          <w:spacing w:val="0"/>
          <w:sz w:val="24"/>
          <w:szCs w:val="24"/>
        </w:rPr>
      </w:pPr>
      <w:r>
        <w:rPr>
          <w:rStyle w:val="29"/>
          <w:rFonts w:hint="eastAsia" w:asciiTheme="minorEastAsia" w:hAnsiTheme="minorEastAsia" w:eastAsiaTheme="minorEastAsia" w:cstheme="minorEastAsia"/>
          <w:b/>
          <w:bCs/>
          <w:i w:val="0"/>
          <w:iCs w:val="0"/>
          <w:caps w:val="0"/>
          <w:color w:val="auto"/>
          <w:spacing w:val="0"/>
          <w:sz w:val="24"/>
          <w:szCs w:val="24"/>
          <w:shd w:val="clear" w:fill="FFFFFF"/>
        </w:rPr>
        <w:t>六、公告期限</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自本公告发布之日起3个工作日。</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b w:val="0"/>
          <w:bCs w:val="0"/>
          <w:i w:val="0"/>
          <w:iCs w:val="0"/>
          <w:caps w:val="0"/>
          <w:color w:val="auto"/>
          <w:spacing w:val="0"/>
          <w:sz w:val="24"/>
          <w:szCs w:val="24"/>
        </w:rPr>
      </w:pPr>
      <w:r>
        <w:rPr>
          <w:rStyle w:val="29"/>
          <w:rFonts w:hint="eastAsia" w:asciiTheme="minorEastAsia" w:hAnsiTheme="minorEastAsia" w:eastAsiaTheme="minorEastAsia" w:cstheme="minorEastAsia"/>
          <w:b/>
          <w:bCs/>
          <w:i w:val="0"/>
          <w:iCs w:val="0"/>
          <w:caps w:val="0"/>
          <w:color w:val="auto"/>
          <w:spacing w:val="0"/>
          <w:sz w:val="24"/>
          <w:szCs w:val="24"/>
          <w:shd w:val="clear" w:fill="FFFFFF"/>
        </w:rPr>
        <w:t>七、其他补充事宜</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7.1使用捆绑省交易平台的CA锁登录电子交易平台，通过政府采购系统企业端进入，点击我要投标，完善相关投标信息。7.2未完成网上投标成功的或未在网站上下载磋商文件的，无法完成后续流程。7.3本项目采用电子化投标的方式，相关操作流程详见全国公共资源交易平台（陕西省）网站[服务指南-下载专区]中的《陕西省公共资源交易中心政府采购项目投标指南》；7.4各供应商须在报名期间内下载采购文件，未下载文件的单位将无法提交电子响应文件；7.5电子响应文件技术支持：4009280095、4009980000；7.6请各供应商确认报名后，按照陕西省财政厅《关于政府采购供应商注册登记有关事项的通知》要求，通过陕西省政府采购网注册登记加入陕西省政府采购供应商库。</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b w:val="0"/>
          <w:bCs w:val="0"/>
          <w:i w:val="0"/>
          <w:iCs w:val="0"/>
          <w:caps w:val="0"/>
          <w:color w:val="auto"/>
          <w:spacing w:val="0"/>
          <w:sz w:val="24"/>
          <w:szCs w:val="24"/>
        </w:rPr>
      </w:pPr>
      <w:r>
        <w:rPr>
          <w:rStyle w:val="29"/>
          <w:rFonts w:hint="eastAsia" w:asciiTheme="minorEastAsia" w:hAnsiTheme="minorEastAsia" w:eastAsiaTheme="minorEastAsia" w:cstheme="minorEastAsia"/>
          <w:b/>
          <w:bCs/>
          <w:i w:val="0"/>
          <w:iCs w:val="0"/>
          <w:caps w:val="0"/>
          <w:color w:val="auto"/>
          <w:spacing w:val="0"/>
          <w:sz w:val="24"/>
          <w:szCs w:val="24"/>
          <w:shd w:val="clear" w:fill="FFFFFF"/>
        </w:rPr>
        <w:t>八、对本次招标提出询问，请按以下方式联系。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1.采购人信息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名称：扶风县交通运输局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地址：陕西省扶风县城新区西大街</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联系方式：18690419850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2.采购代理机构信息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名称：万融国际项目管理有限公司</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地址：陕西省宝鸡市金台区陕西省宝鸡市金台区金台大道68号金融广场A座2203室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联系方式：0917-3502893</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3.项目联系方式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项目联系人：李女士</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电话：0917-3502893</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万融国际项目管理有限公司</w:t>
      </w:r>
    </w:p>
    <w:p>
      <w:pPr>
        <w:keepNext w:val="0"/>
        <w:keepLines w:val="0"/>
        <w:pageBreakBefore w:val="0"/>
        <w:widowControl/>
        <w:suppressLineNumbers w:val="0"/>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4"/>
          <w:szCs w:val="24"/>
        </w:rPr>
      </w:pPr>
    </w:p>
    <w:p>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pPr>
        <w:pStyle w:val="3"/>
        <w:spacing w:before="0" w:after="0" w:line="360" w:lineRule="auto"/>
        <w:ind w:left="2373" w:leftChars="1130" w:firstLine="542" w:firstLineChars="150"/>
        <w:rPr>
          <w:rFonts w:hint="eastAsia" w:cs="宋体" w:asciiTheme="minorEastAsia" w:hAnsiTheme="minorEastAsia"/>
          <w:sz w:val="36"/>
          <w:szCs w:val="36"/>
        </w:rPr>
      </w:pPr>
      <w:r>
        <w:rPr>
          <w:rFonts w:hint="eastAsia" w:cs="宋体" w:asciiTheme="minorEastAsia" w:hAnsiTheme="minorEastAsia"/>
          <w:sz w:val="36"/>
          <w:szCs w:val="36"/>
        </w:rPr>
        <w:t>第二部分  供应商须知</w:t>
      </w:r>
      <w:bookmarkEnd w:id="3"/>
      <w:bookmarkEnd w:id="4"/>
    </w:p>
    <w:p>
      <w:pPr>
        <w:spacing w:line="470" w:lineRule="exact"/>
        <w:rPr>
          <w:rFonts w:cs="宋体" w:asciiTheme="minorEastAsia" w:hAnsiTheme="minorEastAsia"/>
          <w:b/>
          <w:sz w:val="28"/>
          <w:szCs w:val="28"/>
        </w:rPr>
      </w:pPr>
      <w:r>
        <w:rPr>
          <w:rFonts w:hint="eastAsia" w:cs="宋体" w:asciiTheme="minorEastAsia" w:hAnsiTheme="minorEastAsia"/>
          <w:b/>
          <w:sz w:val="28"/>
          <w:szCs w:val="28"/>
        </w:rPr>
        <w:t>一、供应商须知前附表</w:t>
      </w:r>
    </w:p>
    <w:tbl>
      <w:tblPr>
        <w:tblStyle w:val="26"/>
        <w:tblW w:w="9577" w:type="dxa"/>
        <w:jc w:val="center"/>
        <w:tblLayout w:type="fixed"/>
        <w:tblCellMar>
          <w:top w:w="0" w:type="dxa"/>
          <w:left w:w="10" w:type="dxa"/>
          <w:bottom w:w="0" w:type="dxa"/>
          <w:right w:w="10" w:type="dxa"/>
        </w:tblCellMar>
      </w:tblPr>
      <w:tblGrid>
        <w:gridCol w:w="674"/>
        <w:gridCol w:w="2236"/>
        <w:gridCol w:w="6667"/>
      </w:tblGrid>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b/>
                <w:sz w:val="28"/>
                <w:szCs w:val="28"/>
              </w:rPr>
            </w:pPr>
            <w:r>
              <w:rPr>
                <w:rFonts w:hint="eastAsia" w:cs="宋体" w:asciiTheme="minorEastAsia" w:hAnsiTheme="minorEastAsia"/>
                <w:b/>
                <w:sz w:val="28"/>
                <w:szCs w:val="28"/>
              </w:rPr>
              <w:t>序号</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b/>
                <w:sz w:val="28"/>
                <w:szCs w:val="28"/>
              </w:rPr>
            </w:pPr>
            <w:r>
              <w:rPr>
                <w:rFonts w:hint="eastAsia" w:cs="宋体" w:asciiTheme="minorEastAsia" w:hAnsiTheme="minorEastAsia"/>
                <w:b/>
                <w:sz w:val="28"/>
                <w:szCs w:val="28"/>
              </w:rPr>
              <w:t>条款名称</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b/>
                <w:sz w:val="28"/>
                <w:szCs w:val="28"/>
              </w:rPr>
            </w:pPr>
            <w:r>
              <w:rPr>
                <w:rFonts w:hint="eastAsia" w:cs="宋体" w:asciiTheme="minorEastAsia" w:hAnsiTheme="minorEastAsia"/>
                <w:b/>
                <w:sz w:val="28"/>
                <w:szCs w:val="28"/>
              </w:rPr>
              <w:t>说明和要求</w:t>
            </w:r>
          </w:p>
        </w:tc>
      </w:tr>
      <w:tr>
        <w:tblPrEx>
          <w:tblCellMar>
            <w:top w:w="0" w:type="dxa"/>
            <w:left w:w="10" w:type="dxa"/>
            <w:bottom w:w="0" w:type="dxa"/>
            <w:right w:w="10" w:type="dxa"/>
          </w:tblCellMar>
        </w:tblPrEx>
        <w:trPr>
          <w:trHeight w:val="1898" w:hRule="exac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1</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采购人</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rPr>
                <w:rFonts w:hint="eastAsia" w:cs="宋体" w:asciiTheme="minorEastAsia" w:hAnsiTheme="minorEastAsia"/>
                <w:sz w:val="28"/>
                <w:szCs w:val="28"/>
                <w:lang w:eastAsia="zh-CN"/>
              </w:rPr>
            </w:pPr>
            <w:r>
              <w:rPr>
                <w:rFonts w:hint="eastAsia" w:cs="宋体" w:asciiTheme="minorEastAsia" w:hAnsiTheme="minorEastAsia"/>
                <w:sz w:val="28"/>
                <w:szCs w:val="28"/>
                <w:lang w:eastAsia="zh-CN"/>
              </w:rPr>
              <w:t xml:space="preserve">采购人信息：扶风县交通运输局  </w:t>
            </w:r>
          </w:p>
          <w:p>
            <w:pPr>
              <w:spacing w:line="470" w:lineRule="exact"/>
              <w:rPr>
                <w:rFonts w:hint="default" w:cs="宋体" w:asciiTheme="minorEastAsia" w:hAnsiTheme="minorEastAsia"/>
                <w:sz w:val="28"/>
                <w:szCs w:val="28"/>
                <w:lang w:val="en-US" w:eastAsia="zh-CN"/>
              </w:rPr>
            </w:pPr>
            <w:r>
              <w:rPr>
                <w:rFonts w:hint="eastAsia" w:cs="宋体" w:asciiTheme="minorEastAsia" w:hAnsiTheme="minorEastAsia"/>
                <w:sz w:val="28"/>
                <w:szCs w:val="28"/>
                <w:lang w:eastAsia="zh-CN"/>
              </w:rPr>
              <w:t>联系人：</w:t>
            </w:r>
            <w:r>
              <w:rPr>
                <w:rFonts w:hint="eastAsia" w:cs="宋体" w:asciiTheme="minorEastAsia" w:hAnsiTheme="minorEastAsia"/>
                <w:sz w:val="28"/>
                <w:szCs w:val="28"/>
                <w:lang w:val="en-US" w:eastAsia="zh-CN"/>
              </w:rPr>
              <w:t>李先生</w:t>
            </w:r>
          </w:p>
          <w:p>
            <w:pPr>
              <w:spacing w:line="470" w:lineRule="exact"/>
              <w:rPr>
                <w:rFonts w:hint="eastAsia" w:cs="宋体" w:asciiTheme="minorEastAsia" w:hAnsiTheme="minorEastAsia"/>
                <w:sz w:val="28"/>
                <w:szCs w:val="28"/>
                <w:lang w:eastAsia="zh-CN"/>
              </w:rPr>
            </w:pPr>
            <w:r>
              <w:rPr>
                <w:rFonts w:hint="eastAsia" w:cs="宋体" w:asciiTheme="minorEastAsia" w:hAnsiTheme="minorEastAsia"/>
                <w:sz w:val="28"/>
                <w:szCs w:val="28"/>
                <w:lang w:eastAsia="zh-CN"/>
              </w:rPr>
              <w:t xml:space="preserve">联系地址：扶风县城新区西大街 </w:t>
            </w:r>
          </w:p>
          <w:p>
            <w:pPr>
              <w:widowControl/>
              <w:tabs>
                <w:tab w:val="left" w:pos="1620"/>
              </w:tabs>
              <w:spacing w:line="470" w:lineRule="exact"/>
              <w:ind w:right="-197"/>
              <w:rPr>
                <w:rFonts w:hint="default" w:cs="宋体" w:asciiTheme="minorEastAsia" w:hAnsiTheme="minorEastAsia" w:eastAsiaTheme="minorEastAsia"/>
                <w:sz w:val="28"/>
                <w:szCs w:val="28"/>
                <w:lang w:val="en-US" w:eastAsia="zh-CN"/>
              </w:rPr>
            </w:pPr>
            <w:r>
              <w:rPr>
                <w:rFonts w:hint="eastAsia" w:asciiTheme="minorEastAsia" w:hAnsiTheme="minorEastAsia" w:cstheme="minorEastAsia"/>
                <w:sz w:val="28"/>
                <w:szCs w:val="28"/>
              </w:rPr>
              <w:t>联系电话：0917-5211247</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2</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采购代理机构</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rPr>
                <w:rFonts w:cs="宋体" w:asciiTheme="minorEastAsia" w:hAnsiTheme="minorEastAsia"/>
                <w:sz w:val="28"/>
                <w:szCs w:val="28"/>
              </w:rPr>
            </w:pPr>
            <w:r>
              <w:rPr>
                <w:rFonts w:hint="eastAsia" w:cs="宋体" w:asciiTheme="minorEastAsia" w:hAnsiTheme="minorEastAsia"/>
                <w:sz w:val="28"/>
                <w:szCs w:val="28"/>
              </w:rPr>
              <w:t>名称：</w:t>
            </w:r>
            <w:r>
              <w:rPr>
                <w:rFonts w:hint="eastAsia" w:cs="宋体" w:asciiTheme="minorEastAsia" w:hAnsiTheme="minorEastAsia"/>
                <w:sz w:val="28"/>
                <w:szCs w:val="28"/>
                <w:lang w:eastAsia="zh-CN"/>
              </w:rPr>
              <w:t>万融国际项目管理有限公司</w:t>
            </w:r>
            <w:r>
              <w:rPr>
                <w:rFonts w:hint="eastAsia" w:cs="宋体" w:asciiTheme="minorEastAsia" w:hAnsiTheme="minorEastAsia"/>
                <w:sz w:val="28"/>
                <w:szCs w:val="28"/>
              </w:rPr>
              <w:t xml:space="preserve"> </w:t>
            </w:r>
          </w:p>
          <w:p>
            <w:pPr>
              <w:spacing w:line="470" w:lineRule="exact"/>
              <w:rPr>
                <w:rFonts w:hint="eastAsia" w:cs="宋体" w:asciiTheme="minorEastAsia" w:hAnsiTheme="minorEastAsia"/>
                <w:sz w:val="28"/>
                <w:szCs w:val="28"/>
              </w:rPr>
            </w:pPr>
            <w:r>
              <w:rPr>
                <w:rFonts w:hint="eastAsia" w:cs="宋体" w:asciiTheme="minorEastAsia" w:hAnsiTheme="minorEastAsia"/>
                <w:sz w:val="28"/>
                <w:szCs w:val="28"/>
              </w:rPr>
              <w:t>地址：宝鸡市金台区金融广场A座2203室</w:t>
            </w:r>
          </w:p>
          <w:p>
            <w:pPr>
              <w:spacing w:line="470" w:lineRule="exact"/>
              <w:rPr>
                <w:rFonts w:hint="eastAsia" w:cs="宋体" w:asciiTheme="minorEastAsia" w:hAnsiTheme="minorEastAsia" w:eastAsiaTheme="minorEastAsia"/>
                <w:sz w:val="28"/>
                <w:szCs w:val="28"/>
                <w:lang w:eastAsia="zh-CN"/>
              </w:rPr>
            </w:pPr>
            <w:r>
              <w:rPr>
                <w:rFonts w:hint="eastAsia" w:cs="宋体" w:asciiTheme="minorEastAsia" w:hAnsiTheme="minorEastAsia"/>
                <w:sz w:val="28"/>
                <w:szCs w:val="28"/>
              </w:rPr>
              <w:t>联系人：</w:t>
            </w:r>
            <w:r>
              <w:rPr>
                <w:rFonts w:hint="eastAsia" w:cs="宋体" w:asciiTheme="minorEastAsia" w:hAnsiTheme="minorEastAsia"/>
                <w:sz w:val="28"/>
                <w:szCs w:val="28"/>
                <w:lang w:val="en-US" w:eastAsia="zh-CN"/>
              </w:rPr>
              <w:t>李女士</w:t>
            </w:r>
          </w:p>
          <w:p>
            <w:pPr>
              <w:spacing w:line="470" w:lineRule="exact"/>
              <w:rPr>
                <w:rFonts w:hint="default" w:cs="宋体" w:asciiTheme="minorEastAsia" w:hAnsiTheme="minorEastAsia" w:eastAsiaTheme="minorEastAsia"/>
                <w:sz w:val="28"/>
                <w:szCs w:val="28"/>
                <w:lang w:val="en-US" w:eastAsia="zh-CN"/>
              </w:rPr>
            </w:pPr>
            <w:r>
              <w:rPr>
                <w:rFonts w:hint="eastAsia" w:cs="宋体" w:asciiTheme="minorEastAsia" w:hAnsiTheme="minorEastAsia"/>
                <w:sz w:val="28"/>
                <w:szCs w:val="28"/>
              </w:rPr>
              <w:t>联系电话：</w:t>
            </w:r>
            <w:r>
              <w:rPr>
                <w:rFonts w:hint="eastAsia" w:asciiTheme="minorEastAsia" w:hAnsiTheme="minorEastAsia" w:cstheme="minorEastAsia"/>
                <w:kern w:val="0"/>
                <w:sz w:val="28"/>
                <w:szCs w:val="28"/>
                <w:lang w:val="en-US" w:eastAsia="zh-CN"/>
              </w:rPr>
              <w:t>0917-3502893</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3</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项目名称</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rPr>
                <w:rFonts w:cs="宋体" w:asciiTheme="minorEastAsia" w:hAnsiTheme="minorEastAsia"/>
                <w:sz w:val="28"/>
                <w:szCs w:val="28"/>
              </w:rPr>
            </w:pPr>
            <w:r>
              <w:rPr>
                <w:rFonts w:hint="eastAsia" w:cs="宋体" w:asciiTheme="minorEastAsia" w:hAnsiTheme="minorEastAsia"/>
                <w:sz w:val="28"/>
                <w:szCs w:val="28"/>
                <w:lang w:eastAsia="zh-CN"/>
              </w:rPr>
              <w:t>扶风县“四好农村路”信息化综合管理系统采购项目</w:t>
            </w:r>
          </w:p>
        </w:tc>
      </w:tr>
      <w:tr>
        <w:tblPrEx>
          <w:tblCellMar>
            <w:top w:w="0" w:type="dxa"/>
            <w:left w:w="10" w:type="dxa"/>
            <w:bottom w:w="0" w:type="dxa"/>
            <w:right w:w="10" w:type="dxa"/>
          </w:tblCellMar>
        </w:tblPrEx>
        <w:trPr>
          <w:trHeight w:val="587"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4</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项目编号</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rPr>
                <w:rFonts w:hint="default" w:cs="宋体" w:asciiTheme="minorEastAsia" w:hAnsiTheme="minorEastAsia"/>
                <w:sz w:val="28"/>
                <w:szCs w:val="28"/>
                <w:lang w:val="en-US" w:eastAsia="zh-CN"/>
              </w:rPr>
            </w:pPr>
            <w:r>
              <w:rPr>
                <w:rFonts w:hint="eastAsia" w:cs="宋体" w:asciiTheme="minorEastAsia" w:hAnsiTheme="minorEastAsia"/>
                <w:sz w:val="28"/>
                <w:szCs w:val="28"/>
                <w:lang w:eastAsia="zh-CN"/>
              </w:rPr>
              <w:t>2023-CJ00</w:t>
            </w:r>
            <w:r>
              <w:rPr>
                <w:rFonts w:hint="eastAsia" w:cs="宋体" w:asciiTheme="minorEastAsia" w:hAnsiTheme="minorEastAsia"/>
                <w:sz w:val="28"/>
                <w:szCs w:val="28"/>
                <w:lang w:val="en-US" w:eastAsia="zh-CN"/>
              </w:rPr>
              <w:t>7</w:t>
            </w:r>
          </w:p>
        </w:tc>
      </w:tr>
      <w:tr>
        <w:tblPrEx>
          <w:tblCellMar>
            <w:top w:w="0" w:type="dxa"/>
            <w:left w:w="10" w:type="dxa"/>
            <w:bottom w:w="0" w:type="dxa"/>
            <w:right w:w="10" w:type="dxa"/>
          </w:tblCellMar>
        </w:tblPrEx>
        <w:trPr>
          <w:trHeight w:val="580"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5</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项目性质</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1620"/>
              </w:tabs>
              <w:spacing w:line="470" w:lineRule="exact"/>
              <w:ind w:right="-197"/>
              <w:jc w:val="left"/>
              <w:rPr>
                <w:rFonts w:cs="宋体" w:asciiTheme="minorEastAsia" w:hAnsiTheme="minorEastAsia"/>
                <w:sz w:val="28"/>
                <w:szCs w:val="28"/>
              </w:rPr>
            </w:pPr>
            <w:r>
              <w:rPr>
                <w:rFonts w:hint="eastAsia" w:cs="宋体" w:asciiTheme="minorEastAsia" w:hAnsiTheme="minorEastAsia"/>
                <w:sz w:val="28"/>
                <w:szCs w:val="28"/>
              </w:rPr>
              <w:t>财</w:t>
            </w:r>
            <w:r>
              <w:rPr>
                <w:rFonts w:hint="eastAsia" w:cs="宋体" w:asciiTheme="minorEastAsia" w:hAnsiTheme="minorEastAsia"/>
                <w:color w:val="000000" w:themeColor="text1"/>
                <w:sz w:val="28"/>
                <w:szCs w:val="28"/>
                <w14:textFill>
                  <w14:solidFill>
                    <w14:schemeClr w14:val="tx1"/>
                  </w14:solidFill>
                </w14:textFill>
              </w:rPr>
              <w:t>政资金</w:t>
            </w:r>
          </w:p>
        </w:tc>
      </w:tr>
      <w:tr>
        <w:tblPrEx>
          <w:tblCellMar>
            <w:top w:w="0" w:type="dxa"/>
            <w:left w:w="10" w:type="dxa"/>
            <w:bottom w:w="0" w:type="dxa"/>
            <w:right w:w="10" w:type="dxa"/>
          </w:tblCellMar>
        </w:tblPrEx>
        <w:trPr>
          <w:trHeight w:val="595"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6</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cs="宋体" w:asciiTheme="minorEastAsia" w:hAnsiTheme="minorEastAsia"/>
                <w:sz w:val="28"/>
                <w:szCs w:val="28"/>
              </w:rPr>
            </w:pPr>
            <w:r>
              <w:rPr>
                <w:rFonts w:hint="eastAsia" w:cs="宋体" w:asciiTheme="minorEastAsia" w:hAnsiTheme="minorEastAsia"/>
                <w:sz w:val="28"/>
              </w:rPr>
              <w:t>项目预算</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cs="宋体" w:asciiTheme="minorEastAsia" w:hAnsiTheme="minorEastAsia"/>
                <w:sz w:val="28"/>
                <w:szCs w:val="28"/>
              </w:rPr>
            </w:pPr>
            <w:r>
              <w:rPr>
                <w:rFonts w:hint="eastAsia" w:cs="宋体" w:asciiTheme="minorEastAsia" w:hAnsiTheme="minorEastAsia"/>
                <w:b/>
                <w:sz w:val="28"/>
              </w:rPr>
              <w:t>采购预算：</w:t>
            </w:r>
            <w:r>
              <w:rPr>
                <w:rFonts w:hint="eastAsia" w:cs="宋体" w:asciiTheme="minorEastAsia" w:hAnsiTheme="minorEastAsia"/>
                <w:b/>
                <w:sz w:val="28"/>
                <w:lang w:val="en-US" w:eastAsia="zh-CN"/>
              </w:rPr>
              <w:t>1200000.00</w:t>
            </w:r>
            <w:r>
              <w:rPr>
                <w:rFonts w:hint="eastAsia" w:cs="宋体" w:asciiTheme="minorEastAsia" w:hAnsiTheme="minorEastAsia"/>
                <w:b/>
                <w:sz w:val="28"/>
              </w:rPr>
              <w:t>元</w:t>
            </w:r>
          </w:p>
        </w:tc>
      </w:tr>
      <w:tr>
        <w:tblPrEx>
          <w:tblCellMar>
            <w:top w:w="0" w:type="dxa"/>
            <w:left w:w="10" w:type="dxa"/>
            <w:bottom w:w="0" w:type="dxa"/>
            <w:right w:w="10" w:type="dxa"/>
          </w:tblCellMar>
        </w:tblPrEx>
        <w:trPr>
          <w:trHeight w:val="595"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lang w:val="en-US" w:eastAsia="zh-CN"/>
              </w:rPr>
              <w:t>7</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default" w:cs="宋体" w:asciiTheme="minorEastAsia" w:hAnsiTheme="minorEastAsia" w:eastAsiaTheme="minorEastAsia"/>
                <w:sz w:val="28"/>
                <w:lang w:val="en-US" w:eastAsia="zh-CN"/>
              </w:rPr>
            </w:pPr>
            <w:r>
              <w:rPr>
                <w:rFonts w:hint="eastAsia" w:cs="宋体" w:asciiTheme="minorEastAsia" w:hAnsiTheme="minorEastAsia"/>
                <w:sz w:val="28"/>
                <w:lang w:val="en-US" w:eastAsia="zh-CN"/>
              </w:rPr>
              <w:t>最高限价</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rPr>
                <w:rFonts w:hint="default" w:cs="宋体" w:asciiTheme="minorEastAsia" w:hAnsiTheme="minorEastAsia"/>
                <w:b/>
                <w:bCs/>
                <w:sz w:val="28"/>
                <w:szCs w:val="28"/>
                <w:lang w:val="en-US" w:eastAsia="zh-CN"/>
              </w:rPr>
            </w:pPr>
            <w:r>
              <w:rPr>
                <w:rFonts w:hint="eastAsia" w:cs="宋体" w:asciiTheme="minorEastAsia" w:hAnsiTheme="minorEastAsia"/>
                <w:b/>
                <w:bCs/>
                <w:sz w:val="28"/>
                <w:szCs w:val="28"/>
                <w:lang w:val="en-US" w:eastAsia="zh-CN"/>
              </w:rPr>
              <w:t>小写：1100000.00元  大写：壹佰壹拾万元整</w:t>
            </w:r>
          </w:p>
          <w:p>
            <w:pPr>
              <w:spacing w:line="470" w:lineRule="exact"/>
              <w:rPr>
                <w:rFonts w:hint="eastAsia" w:cs="宋体" w:asciiTheme="minorEastAsia" w:hAnsiTheme="minorEastAsia"/>
                <w:b/>
                <w:sz w:val="28"/>
              </w:rPr>
            </w:pPr>
            <w:r>
              <w:rPr>
                <w:rFonts w:hint="eastAsia" w:cs="宋体" w:asciiTheme="minorEastAsia" w:hAnsiTheme="minorEastAsia"/>
                <w:b/>
                <w:bCs/>
                <w:sz w:val="28"/>
                <w:szCs w:val="28"/>
                <w:lang w:eastAsia="zh-CN"/>
              </w:rPr>
              <w:t>注：投标人报价超出</w:t>
            </w:r>
            <w:r>
              <w:rPr>
                <w:rFonts w:hint="eastAsia" w:cs="宋体" w:asciiTheme="minorEastAsia" w:hAnsiTheme="minorEastAsia"/>
                <w:b/>
                <w:bCs/>
                <w:sz w:val="28"/>
                <w:szCs w:val="28"/>
                <w:lang w:val="en-US" w:eastAsia="zh-CN"/>
              </w:rPr>
              <w:t>最高限价</w:t>
            </w:r>
            <w:r>
              <w:rPr>
                <w:rFonts w:hint="eastAsia" w:cs="宋体" w:asciiTheme="minorEastAsia" w:hAnsiTheme="minorEastAsia"/>
                <w:b/>
                <w:bCs/>
                <w:sz w:val="28"/>
                <w:szCs w:val="28"/>
                <w:lang w:eastAsia="zh-CN"/>
              </w:rPr>
              <w:t>，作为不实质性响应竞争性磋商文件，按无效磋商响应处理</w:t>
            </w:r>
            <w:r>
              <w:rPr>
                <w:rFonts w:hint="eastAsia" w:cs="宋体" w:asciiTheme="minorEastAsia" w:hAnsiTheme="minorEastAsia"/>
                <w:b/>
                <w:bCs/>
                <w:sz w:val="28"/>
              </w:rPr>
              <w:t>。</w:t>
            </w:r>
          </w:p>
        </w:tc>
      </w:tr>
      <w:tr>
        <w:tblPrEx>
          <w:tblCellMar>
            <w:top w:w="0" w:type="dxa"/>
            <w:left w:w="10" w:type="dxa"/>
            <w:bottom w:w="0" w:type="dxa"/>
            <w:right w:w="10" w:type="dxa"/>
          </w:tblCellMar>
        </w:tblPrEx>
        <w:trPr>
          <w:trHeight w:val="90"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lang w:val="en-US" w:eastAsia="zh-CN"/>
              </w:rPr>
              <w:t>8</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项目用途</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rPr>
                <w:rFonts w:cs="宋体" w:asciiTheme="minorEastAsia" w:hAnsiTheme="minorEastAsia"/>
                <w:sz w:val="28"/>
                <w:szCs w:val="28"/>
              </w:rPr>
            </w:pPr>
            <w:r>
              <w:rPr>
                <w:rFonts w:hint="eastAsia" w:cs="宋体" w:asciiTheme="minorEastAsia" w:hAnsiTheme="minorEastAsia"/>
                <w:sz w:val="28"/>
                <w:szCs w:val="28"/>
                <w:lang w:val="en-US" w:eastAsia="zh-CN"/>
              </w:rPr>
              <w:t>公</w:t>
            </w:r>
            <w:r>
              <w:rPr>
                <w:rFonts w:hint="eastAsia" w:cs="宋体" w:asciiTheme="minorEastAsia" w:hAnsiTheme="minorEastAsia"/>
                <w:sz w:val="28"/>
                <w:szCs w:val="28"/>
              </w:rPr>
              <w:t>用</w:t>
            </w:r>
          </w:p>
        </w:tc>
      </w:tr>
      <w:tr>
        <w:tblPrEx>
          <w:tblCellMar>
            <w:top w:w="0" w:type="dxa"/>
            <w:left w:w="10" w:type="dxa"/>
            <w:bottom w:w="0" w:type="dxa"/>
            <w:right w:w="10" w:type="dxa"/>
          </w:tblCellMar>
        </w:tblPrEx>
        <w:trPr>
          <w:trHeight w:val="631"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lang w:val="en-US" w:eastAsia="zh-CN"/>
              </w:rPr>
              <w:t>9</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采购内容和要求</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rPr>
                <w:rFonts w:cs="宋体" w:asciiTheme="minorEastAsia" w:hAnsiTheme="minorEastAsia"/>
                <w:sz w:val="28"/>
                <w:szCs w:val="28"/>
              </w:rPr>
            </w:pPr>
            <w:r>
              <w:rPr>
                <w:rFonts w:hint="eastAsia" w:cs="宋体" w:asciiTheme="minorEastAsia" w:hAnsiTheme="minorEastAsia"/>
                <w:color w:val="000000" w:themeColor="text1"/>
                <w:sz w:val="28"/>
                <w:szCs w:val="28"/>
                <w14:textFill>
                  <w14:solidFill>
                    <w14:schemeClr w14:val="tx1"/>
                  </w14:solidFill>
                </w14:textFill>
              </w:rPr>
              <w:t>详见磋商文件</w:t>
            </w:r>
          </w:p>
        </w:tc>
      </w:tr>
      <w:tr>
        <w:tblPrEx>
          <w:tblCellMar>
            <w:top w:w="0" w:type="dxa"/>
            <w:left w:w="10" w:type="dxa"/>
            <w:bottom w:w="0" w:type="dxa"/>
            <w:right w:w="10" w:type="dxa"/>
          </w:tblCellMar>
        </w:tblPrEx>
        <w:trPr>
          <w:trHeight w:val="595"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default" w:cs="宋体" w:asciiTheme="minorEastAsia" w:hAnsiTheme="minorEastAsia" w:eastAsiaTheme="minorEastAsia"/>
                <w:sz w:val="28"/>
                <w:szCs w:val="28"/>
                <w:lang w:val="en-US" w:eastAsia="zh-CN"/>
              </w:rPr>
            </w:pPr>
            <w:r>
              <w:rPr>
                <w:rFonts w:hint="eastAsia" w:cs="宋体" w:asciiTheme="minorEastAsia" w:hAnsiTheme="minorEastAsia"/>
                <w:sz w:val="28"/>
                <w:szCs w:val="28"/>
                <w:lang w:val="en-US" w:eastAsia="zh-CN"/>
              </w:rPr>
              <w:t>10</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color w:val="auto"/>
                <w:sz w:val="28"/>
                <w:szCs w:val="28"/>
              </w:rPr>
            </w:pPr>
            <w:r>
              <w:rPr>
                <w:rFonts w:hint="eastAsia" w:cs="宋体" w:asciiTheme="minorEastAsia" w:hAnsiTheme="minorEastAsia"/>
                <w:color w:val="auto"/>
                <w:sz w:val="28"/>
                <w:szCs w:val="28"/>
              </w:rPr>
              <w:t>服务期</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rPr>
                <w:rFonts w:cs="宋体" w:asciiTheme="minorEastAsia" w:hAnsiTheme="minorEastAsia"/>
                <w:color w:val="auto"/>
                <w:sz w:val="28"/>
                <w:szCs w:val="28"/>
              </w:rPr>
            </w:pPr>
            <w:r>
              <w:rPr>
                <w:rFonts w:hint="eastAsia" w:cs="宋体" w:asciiTheme="minorEastAsia" w:hAnsiTheme="minorEastAsia"/>
                <w:color w:val="auto"/>
                <w:sz w:val="28"/>
                <w:szCs w:val="28"/>
                <w:lang w:val="en-US" w:eastAsia="zh-CN"/>
              </w:rPr>
              <w:t>30</w:t>
            </w:r>
            <w:r>
              <w:rPr>
                <w:rFonts w:hint="eastAsia" w:cs="宋体" w:asciiTheme="minorEastAsia" w:hAnsiTheme="minorEastAsia"/>
                <w:color w:val="auto"/>
                <w:sz w:val="28"/>
                <w:szCs w:val="28"/>
              </w:rPr>
              <w:t>日历天</w:t>
            </w:r>
          </w:p>
        </w:tc>
      </w:tr>
      <w:tr>
        <w:tblPrEx>
          <w:tblCellMar>
            <w:top w:w="0" w:type="dxa"/>
            <w:left w:w="10" w:type="dxa"/>
            <w:bottom w:w="0" w:type="dxa"/>
            <w:right w:w="10" w:type="dxa"/>
          </w:tblCellMar>
        </w:tblPrEx>
        <w:trPr>
          <w:trHeight w:val="670"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rPr>
              <w:t>1</w:t>
            </w:r>
            <w:r>
              <w:rPr>
                <w:rFonts w:hint="eastAsia" w:cs="宋体" w:asciiTheme="minorEastAsia" w:hAnsiTheme="minorEastAsia"/>
                <w:sz w:val="28"/>
                <w:szCs w:val="28"/>
                <w:lang w:val="en-US" w:eastAsia="zh-CN"/>
              </w:rPr>
              <w:t>1</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rPr>
              <w:t>质量</w:t>
            </w:r>
            <w:r>
              <w:rPr>
                <w:rFonts w:hint="eastAsia" w:cs="宋体" w:asciiTheme="minorEastAsia" w:hAnsiTheme="minorEastAsia"/>
                <w:sz w:val="28"/>
                <w:szCs w:val="28"/>
                <w:lang w:val="en-US" w:eastAsia="zh-CN"/>
              </w:rPr>
              <w:t>标准</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b/>
                <w:sz w:val="28"/>
              </w:rPr>
              <w:t>符合国家验收相关标准，并达到合格标准</w:t>
            </w:r>
          </w:p>
        </w:tc>
      </w:tr>
      <w:tr>
        <w:tblPrEx>
          <w:tblCellMar>
            <w:top w:w="0" w:type="dxa"/>
            <w:left w:w="10" w:type="dxa"/>
            <w:bottom w:w="0" w:type="dxa"/>
            <w:right w:w="10" w:type="dxa"/>
          </w:tblCellMar>
        </w:tblPrEx>
        <w:trPr>
          <w:trHeight w:val="505"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rPr>
              <w:t>1</w:t>
            </w:r>
            <w:r>
              <w:rPr>
                <w:rFonts w:hint="eastAsia" w:cs="宋体" w:asciiTheme="minorEastAsia" w:hAnsiTheme="minorEastAsia"/>
                <w:sz w:val="28"/>
                <w:szCs w:val="28"/>
                <w:lang w:val="en-US" w:eastAsia="zh-CN"/>
              </w:rPr>
              <w:t>2</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磋商文件发售</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500" w:lineRule="exact"/>
              <w:ind w:left="280" w:hanging="280" w:hangingChars="1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sz w:val="28"/>
                <w:szCs w:val="28"/>
              </w:rPr>
              <w:t>发售时间</w:t>
            </w:r>
            <w:r>
              <w:rPr>
                <w:rFonts w:hint="eastAsia" w:cs="宋体" w:asciiTheme="minorEastAsia" w:hAnsiTheme="minorEastAsia"/>
                <w:color w:val="000000" w:themeColor="text1"/>
                <w:sz w:val="28"/>
                <w:szCs w:val="28"/>
                <w14:textFill>
                  <w14:solidFill>
                    <w14:schemeClr w14:val="tx1"/>
                  </w14:solidFill>
                </w14:textFill>
              </w:rPr>
              <w:t>：2</w:t>
            </w:r>
            <w:r>
              <w:rPr>
                <w:rFonts w:hint="eastAsia" w:cs="宋体" w:asciiTheme="minorEastAsia" w:hAnsiTheme="minorEastAsia"/>
                <w:sz w:val="28"/>
                <w:szCs w:val="28"/>
              </w:rPr>
              <w:t>02</w:t>
            </w:r>
            <w:r>
              <w:rPr>
                <w:rFonts w:hint="eastAsia" w:cs="宋体" w:asciiTheme="minorEastAsia" w:hAnsiTheme="minorEastAsia"/>
                <w:sz w:val="28"/>
                <w:szCs w:val="28"/>
                <w:lang w:val="en-US" w:eastAsia="zh-CN"/>
              </w:rPr>
              <w:t>3</w:t>
            </w:r>
            <w:r>
              <w:rPr>
                <w:rFonts w:hint="eastAsia" w:cs="宋体" w:asciiTheme="minorEastAsia" w:hAnsiTheme="minorEastAsia"/>
                <w:sz w:val="28"/>
                <w:szCs w:val="28"/>
              </w:rPr>
              <w:t>年</w:t>
            </w:r>
            <w:r>
              <w:rPr>
                <w:rFonts w:hint="eastAsia" w:cs="宋体" w:asciiTheme="minorEastAsia" w:hAnsiTheme="minorEastAsia"/>
                <w:sz w:val="28"/>
                <w:szCs w:val="28"/>
                <w:lang w:val="en-US" w:eastAsia="zh-CN"/>
              </w:rPr>
              <w:t>7</w:t>
            </w:r>
            <w:r>
              <w:rPr>
                <w:rFonts w:hint="eastAsia" w:cs="宋体" w:asciiTheme="minorEastAsia" w:hAnsiTheme="minorEastAsia"/>
                <w:sz w:val="28"/>
                <w:szCs w:val="28"/>
              </w:rPr>
              <w:t>月</w:t>
            </w:r>
            <w:r>
              <w:rPr>
                <w:rFonts w:hint="eastAsia" w:cs="宋体" w:asciiTheme="minorEastAsia" w:hAnsiTheme="minorEastAsia"/>
                <w:sz w:val="28"/>
                <w:szCs w:val="28"/>
                <w:lang w:val="en-US" w:eastAsia="zh-CN"/>
              </w:rPr>
              <w:t>3</w:t>
            </w:r>
            <w:r>
              <w:rPr>
                <w:rFonts w:hint="eastAsia" w:cs="宋体" w:asciiTheme="minorEastAsia" w:hAnsiTheme="minorEastAsia"/>
                <w:sz w:val="28"/>
                <w:szCs w:val="28"/>
              </w:rPr>
              <w:t>日09:00:00</w:t>
            </w:r>
            <w:r>
              <w:rPr>
                <w:rFonts w:hint="eastAsia" w:cs="宋体" w:asciiTheme="minorEastAsia" w:hAnsiTheme="minorEastAsia"/>
                <w:color w:val="000000" w:themeColor="text1"/>
                <w:sz w:val="28"/>
                <w:szCs w:val="28"/>
                <w14:textFill>
                  <w14:solidFill>
                    <w14:schemeClr w14:val="tx1"/>
                  </w14:solidFill>
                </w14:textFill>
              </w:rPr>
              <w:t>至202</w:t>
            </w:r>
            <w:r>
              <w:rPr>
                <w:rFonts w:hint="eastAsia" w:cs="宋体" w:asciiTheme="minorEastAsia" w:hAnsiTheme="minorEastAsia"/>
                <w:color w:val="000000" w:themeColor="text1"/>
                <w:sz w:val="28"/>
                <w:szCs w:val="28"/>
                <w:lang w:val="en-US" w:eastAsia="zh-CN"/>
                <w14:textFill>
                  <w14:solidFill>
                    <w14:schemeClr w14:val="tx1"/>
                  </w14:solidFill>
                </w14:textFill>
              </w:rPr>
              <w:t>3</w:t>
            </w:r>
            <w:r>
              <w:rPr>
                <w:rFonts w:hint="eastAsia" w:cs="宋体" w:asciiTheme="minorEastAsia" w:hAnsiTheme="minorEastAsia"/>
                <w:color w:val="000000" w:themeColor="text1"/>
                <w:sz w:val="28"/>
                <w:szCs w:val="28"/>
                <w14:textFill>
                  <w14:solidFill>
                    <w14:schemeClr w14:val="tx1"/>
                  </w14:solidFill>
                </w14:textFill>
              </w:rPr>
              <w:t xml:space="preserve">年 </w:t>
            </w:r>
            <w:r>
              <w:rPr>
                <w:rFonts w:hint="eastAsia" w:cs="宋体" w:asciiTheme="minorEastAsia" w:hAnsiTheme="minorEastAsia"/>
                <w:color w:val="000000" w:themeColor="text1"/>
                <w:sz w:val="28"/>
                <w:szCs w:val="28"/>
                <w:lang w:val="en-US" w:eastAsia="zh-CN"/>
                <w14:textFill>
                  <w14:solidFill>
                    <w14:schemeClr w14:val="tx1"/>
                  </w14:solidFill>
                </w14:textFill>
              </w:rPr>
              <w:t>7</w:t>
            </w:r>
            <w:r>
              <w:rPr>
                <w:rFonts w:hint="eastAsia" w:cs="宋体" w:asciiTheme="minorEastAsia" w:hAnsiTheme="minorEastAsia"/>
                <w:color w:val="000000" w:themeColor="text1"/>
                <w:sz w:val="28"/>
                <w:szCs w:val="28"/>
                <w14:textFill>
                  <w14:solidFill>
                    <w14:schemeClr w14:val="tx1"/>
                  </w14:solidFill>
                </w14:textFill>
              </w:rPr>
              <w:t>月</w:t>
            </w:r>
            <w:r>
              <w:rPr>
                <w:rFonts w:hint="eastAsia" w:cs="宋体" w:asciiTheme="minorEastAsia" w:hAnsiTheme="minorEastAsia"/>
                <w:color w:val="000000" w:themeColor="text1"/>
                <w:sz w:val="28"/>
                <w:szCs w:val="28"/>
                <w:lang w:val="en-US" w:eastAsia="zh-CN"/>
                <w14:textFill>
                  <w14:solidFill>
                    <w14:schemeClr w14:val="tx1"/>
                  </w14:solidFill>
                </w14:textFill>
              </w:rPr>
              <w:t>7</w:t>
            </w:r>
            <w:r>
              <w:rPr>
                <w:rFonts w:hint="eastAsia" w:cs="宋体" w:asciiTheme="minorEastAsia" w:hAnsiTheme="minorEastAsia"/>
                <w:color w:val="000000" w:themeColor="text1"/>
                <w:sz w:val="28"/>
                <w:szCs w:val="28"/>
                <w14:textFill>
                  <w14:solidFill>
                    <w14:schemeClr w14:val="tx1"/>
                  </w14:solidFill>
                </w14:textFill>
              </w:rPr>
              <w:t>日17:00:00（节假日除外）</w:t>
            </w:r>
          </w:p>
          <w:p>
            <w:pPr>
              <w:pStyle w:val="48"/>
              <w:spacing w:line="470" w:lineRule="exact"/>
              <w:rPr>
                <w:rFonts w:hint="eastAsia" w:cs="宋体" w:asciiTheme="minorEastAsia" w:hAnsiTheme="minorEastAsia" w:eastAsiaTheme="minorEastAsia"/>
                <w:sz w:val="28"/>
                <w:szCs w:val="28"/>
                <w:lang w:eastAsia="zh-CN"/>
              </w:rPr>
            </w:pPr>
            <w:r>
              <w:rPr>
                <w:rFonts w:hint="eastAsia" w:cs="宋体" w:asciiTheme="minorEastAsia" w:hAnsiTheme="minorEastAsia"/>
                <w:color w:val="000000" w:themeColor="text1"/>
                <w:sz w:val="28"/>
                <w:szCs w:val="28"/>
                <w14:textFill>
                  <w14:solidFill>
                    <w14:schemeClr w14:val="tx1"/>
                  </w14:solidFill>
                </w14:textFill>
              </w:rPr>
              <w:t>发售地点</w:t>
            </w:r>
            <w:r>
              <w:rPr>
                <w:rFonts w:hint="eastAsia" w:cs="宋体" w:asciiTheme="minorEastAsia" w:hAnsiTheme="minorEastAsia"/>
                <w:color w:val="auto"/>
                <w:sz w:val="28"/>
                <w:szCs w:val="28"/>
              </w:rPr>
              <w:t>：</w:t>
            </w:r>
            <w:r>
              <w:rPr>
                <w:rFonts w:hint="eastAsia" w:ascii="宋体" w:hAnsi="宋体"/>
                <w:color w:val="auto"/>
                <w:kern w:val="2"/>
                <w:sz w:val="28"/>
                <w:szCs w:val="28"/>
                <w:lang w:eastAsia="zh-CN"/>
              </w:rPr>
              <w:t>自行登录【全国公共资源交易平台（陕西省·宝鸡市）】 （http://bj.sxggzyjy.cn）下载磋商文件。</w:t>
            </w:r>
          </w:p>
        </w:tc>
      </w:tr>
      <w:tr>
        <w:tblPrEx>
          <w:tblCellMar>
            <w:top w:w="0" w:type="dxa"/>
            <w:left w:w="10" w:type="dxa"/>
            <w:bottom w:w="0" w:type="dxa"/>
            <w:right w:w="10" w:type="dxa"/>
          </w:tblCellMar>
        </w:tblPrEx>
        <w:trPr>
          <w:trHeight w:val="674"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rPr>
              <w:t>1</w:t>
            </w:r>
            <w:r>
              <w:rPr>
                <w:rFonts w:hint="eastAsia" w:cs="宋体" w:asciiTheme="minorEastAsia" w:hAnsiTheme="minorEastAsia"/>
                <w:sz w:val="28"/>
                <w:szCs w:val="28"/>
                <w:lang w:val="en-US" w:eastAsia="zh-CN"/>
              </w:rPr>
              <w:t>3</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联合体磋商</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70" w:lineRule="exact"/>
              <w:rPr>
                <w:rFonts w:cs="宋体" w:asciiTheme="minorEastAsia" w:hAnsiTheme="minorEastAsia"/>
                <w:sz w:val="28"/>
                <w:szCs w:val="28"/>
              </w:rPr>
            </w:pPr>
            <w:r>
              <w:rPr>
                <w:rFonts w:hint="eastAsia" w:cs="宋体" w:asciiTheme="minorEastAsia" w:hAnsiTheme="minorEastAsia"/>
                <w:sz w:val="28"/>
                <w:szCs w:val="28"/>
              </w:rPr>
              <w:t>不接受</w:t>
            </w:r>
          </w:p>
        </w:tc>
      </w:tr>
      <w:tr>
        <w:tblPrEx>
          <w:tblCellMar>
            <w:top w:w="0" w:type="dxa"/>
            <w:left w:w="10" w:type="dxa"/>
            <w:bottom w:w="0" w:type="dxa"/>
            <w:right w:w="10" w:type="dxa"/>
          </w:tblCellMar>
        </w:tblPrEx>
        <w:trPr>
          <w:trHeight w:val="1144"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rPr>
              <w:t>1</w:t>
            </w:r>
            <w:r>
              <w:rPr>
                <w:rFonts w:hint="eastAsia" w:cs="宋体" w:asciiTheme="minorEastAsia" w:hAnsiTheme="minorEastAsia"/>
                <w:sz w:val="28"/>
                <w:szCs w:val="28"/>
                <w:lang w:val="en-US" w:eastAsia="zh-CN"/>
              </w:rPr>
              <w:t>4</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现场勘查、标前答疑会</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rPr>
                <w:rFonts w:cs="宋体" w:asciiTheme="minorEastAsia" w:hAnsiTheme="minorEastAsia"/>
                <w:sz w:val="28"/>
                <w:szCs w:val="28"/>
              </w:rPr>
            </w:pPr>
            <w:r>
              <w:rPr>
                <w:rFonts w:hint="eastAsia" w:cs="宋体" w:asciiTheme="minorEastAsia" w:hAnsiTheme="minorEastAsia"/>
                <w:sz w:val="28"/>
                <w:szCs w:val="28"/>
              </w:rPr>
              <w:t>不组织。采购人认为有必要，另行书面通知。</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rPr>
              <w:t>1</w:t>
            </w:r>
            <w:r>
              <w:rPr>
                <w:rFonts w:hint="eastAsia" w:cs="宋体" w:asciiTheme="minorEastAsia" w:hAnsiTheme="minorEastAsia"/>
                <w:sz w:val="28"/>
                <w:szCs w:val="28"/>
                <w:lang w:val="en-US" w:eastAsia="zh-CN"/>
              </w:rPr>
              <w:t>5</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供应商对竞争性磋商文件提出质疑的时间</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70" w:lineRule="exact"/>
              <w:rPr>
                <w:rFonts w:cs="宋体" w:asciiTheme="minorEastAsia" w:hAnsiTheme="minorEastAsia"/>
                <w:sz w:val="28"/>
                <w:szCs w:val="28"/>
              </w:rPr>
            </w:pPr>
            <w:r>
              <w:rPr>
                <w:rFonts w:hint="eastAsia" w:cs="宋体" w:asciiTheme="minorEastAsia" w:hAnsiTheme="minorEastAsia"/>
                <w:sz w:val="28"/>
                <w:szCs w:val="28"/>
              </w:rPr>
              <w:t>供应商若对竞争性磋商文件有任何疑问要求澄清，或认为有必要与采购人进行技术交流的，在获取竞争性磋商文件或者竞争性磋商文件公告期限届满之日起7个工作日内提出。以书面形式向采购代理机构提出，在此之后提出的无效，因此带来的一切不利后果由供应商自负。</w:t>
            </w:r>
          </w:p>
        </w:tc>
      </w:tr>
      <w:tr>
        <w:tblPrEx>
          <w:tblCellMar>
            <w:top w:w="0" w:type="dxa"/>
            <w:left w:w="10" w:type="dxa"/>
            <w:bottom w:w="0" w:type="dxa"/>
            <w:right w:w="10" w:type="dxa"/>
          </w:tblCellMar>
        </w:tblPrEx>
        <w:trPr>
          <w:trHeight w:val="1199"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rPr>
              <w:t>1</w:t>
            </w:r>
            <w:r>
              <w:rPr>
                <w:rFonts w:hint="eastAsia" w:cs="宋体" w:asciiTheme="minorEastAsia" w:hAnsiTheme="minorEastAsia"/>
                <w:sz w:val="28"/>
                <w:szCs w:val="28"/>
                <w:lang w:val="en-US" w:eastAsia="zh-CN"/>
              </w:rPr>
              <w:t>6</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构成竞争性磋商文件的其他文件</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70" w:lineRule="exact"/>
              <w:rPr>
                <w:rFonts w:cs="宋体" w:asciiTheme="minorEastAsia" w:hAnsiTheme="minorEastAsia"/>
                <w:sz w:val="28"/>
                <w:szCs w:val="28"/>
              </w:rPr>
            </w:pPr>
            <w:r>
              <w:rPr>
                <w:rFonts w:hint="eastAsia" w:cs="宋体" w:asciiTheme="minorEastAsia" w:hAnsiTheme="minorEastAsia"/>
                <w:sz w:val="28"/>
                <w:szCs w:val="28"/>
              </w:rPr>
              <w:t>竞争性磋商文件的澄清、修改及有关补充通知为竞争性磋商文件的有效组成部分。</w:t>
            </w:r>
          </w:p>
        </w:tc>
      </w:tr>
      <w:tr>
        <w:tblPrEx>
          <w:tblCellMar>
            <w:top w:w="0" w:type="dxa"/>
            <w:left w:w="10" w:type="dxa"/>
            <w:bottom w:w="0" w:type="dxa"/>
            <w:right w:w="10" w:type="dxa"/>
          </w:tblCellMar>
        </w:tblPrEx>
        <w:trPr>
          <w:trHeight w:val="4767"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rPr>
              <w:t>1</w:t>
            </w:r>
            <w:r>
              <w:rPr>
                <w:rFonts w:hint="eastAsia" w:cs="宋体" w:asciiTheme="minorEastAsia" w:hAnsiTheme="minorEastAsia"/>
                <w:sz w:val="28"/>
                <w:szCs w:val="28"/>
                <w:lang w:val="en-US" w:eastAsia="zh-CN"/>
              </w:rPr>
              <w:t>7</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48"/>
              <w:spacing w:line="470" w:lineRule="exact"/>
              <w:rPr>
                <w:rFonts w:cs="宋体" w:asciiTheme="minorEastAsia" w:hAnsiTheme="minorEastAsia"/>
                <w:sz w:val="28"/>
                <w:szCs w:val="28"/>
              </w:rPr>
            </w:pPr>
            <w:r>
              <w:rPr>
                <w:rFonts w:hint="eastAsia" w:cs="宋体" w:asciiTheme="minorEastAsia" w:hAnsiTheme="minorEastAsia"/>
                <w:sz w:val="28"/>
                <w:szCs w:val="28"/>
              </w:rPr>
              <w:t>磋商响应文件递交截止时间及磋商时间和地点</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48"/>
              <w:spacing w:line="470" w:lineRule="exact"/>
              <w:rPr>
                <w:rFonts w:cs="宋体" w:asciiTheme="minorEastAsia" w:hAnsiTheme="minorEastAsia"/>
                <w:color w:val="auto"/>
                <w:sz w:val="28"/>
                <w:szCs w:val="28"/>
              </w:rPr>
            </w:pPr>
            <w:r>
              <w:rPr>
                <w:rFonts w:hint="eastAsia" w:cs="宋体" w:asciiTheme="minorEastAsia" w:hAnsiTheme="minorEastAsia"/>
                <w:sz w:val="28"/>
                <w:szCs w:val="28"/>
              </w:rPr>
              <w:t>1、磋商响应文件递交截止时间：202</w:t>
            </w:r>
            <w:r>
              <w:rPr>
                <w:rFonts w:hint="eastAsia" w:cs="宋体" w:asciiTheme="minorEastAsia" w:hAnsiTheme="minorEastAsia"/>
                <w:sz w:val="28"/>
                <w:szCs w:val="28"/>
                <w:lang w:val="en-US" w:eastAsia="zh-CN"/>
              </w:rPr>
              <w:t>3</w:t>
            </w:r>
            <w:r>
              <w:rPr>
                <w:rFonts w:hint="eastAsia" w:cs="宋体" w:asciiTheme="minorEastAsia" w:hAnsiTheme="minorEastAsia"/>
                <w:sz w:val="28"/>
                <w:szCs w:val="28"/>
              </w:rPr>
              <w:t>年</w:t>
            </w:r>
            <w:r>
              <w:rPr>
                <w:rFonts w:hint="eastAsia" w:cs="宋体" w:asciiTheme="minorEastAsia" w:hAnsiTheme="minorEastAsia"/>
                <w:sz w:val="28"/>
                <w:szCs w:val="28"/>
                <w:lang w:val="en-US" w:eastAsia="zh-CN"/>
              </w:rPr>
              <w:t>7</w:t>
            </w:r>
            <w:r>
              <w:rPr>
                <w:rFonts w:hint="eastAsia" w:cs="宋体" w:asciiTheme="minorEastAsia" w:hAnsiTheme="minorEastAsia"/>
                <w:sz w:val="28"/>
                <w:szCs w:val="28"/>
              </w:rPr>
              <w:t>月</w:t>
            </w:r>
            <w:r>
              <w:rPr>
                <w:rFonts w:hint="eastAsia" w:cs="宋体" w:asciiTheme="minorEastAsia" w:hAnsiTheme="minorEastAsia"/>
                <w:sz w:val="28"/>
                <w:szCs w:val="28"/>
                <w:lang w:val="en-US" w:eastAsia="zh-CN"/>
              </w:rPr>
              <w:t>14</w:t>
            </w:r>
            <w:r>
              <w:rPr>
                <w:rFonts w:hint="eastAsia" w:cs="宋体" w:asciiTheme="minorEastAsia" w:hAnsiTheme="minorEastAsia"/>
                <w:sz w:val="28"/>
                <w:szCs w:val="28"/>
              </w:rPr>
              <w:t>日</w:t>
            </w:r>
            <w:r>
              <w:rPr>
                <w:rFonts w:hint="eastAsia" w:cs="宋体" w:asciiTheme="minorEastAsia" w:hAnsiTheme="minorEastAsia"/>
                <w:sz w:val="28"/>
                <w:szCs w:val="28"/>
                <w:lang w:val="en-US" w:eastAsia="zh-CN"/>
              </w:rPr>
              <w:t>09</w:t>
            </w:r>
            <w:r>
              <w:rPr>
                <w:rFonts w:hint="eastAsia" w:cs="宋体" w:asciiTheme="minorEastAsia" w:hAnsiTheme="minorEastAsia"/>
                <w:sz w:val="28"/>
                <w:szCs w:val="28"/>
              </w:rPr>
              <w:t>:</w:t>
            </w:r>
            <w:r>
              <w:rPr>
                <w:rFonts w:hint="eastAsia" w:cs="宋体" w:asciiTheme="minorEastAsia" w:hAnsiTheme="minorEastAsia"/>
                <w:sz w:val="28"/>
                <w:szCs w:val="28"/>
                <w:lang w:val="en-US" w:eastAsia="zh-CN"/>
              </w:rPr>
              <w:t>0</w:t>
            </w:r>
            <w:r>
              <w:rPr>
                <w:rFonts w:hint="eastAsia" w:cs="宋体" w:asciiTheme="minorEastAsia" w:hAnsiTheme="minorEastAsia"/>
                <w:sz w:val="28"/>
                <w:szCs w:val="28"/>
              </w:rPr>
              <w:t>0时</w:t>
            </w:r>
            <w:r>
              <w:rPr>
                <w:rFonts w:hint="eastAsia" w:cs="宋体" w:asciiTheme="minorEastAsia" w:hAnsiTheme="minorEastAsia"/>
                <w:color w:val="auto"/>
                <w:sz w:val="28"/>
                <w:szCs w:val="28"/>
              </w:rPr>
              <w:t>,逾期递交的磋商响应文件概不接受。</w:t>
            </w:r>
          </w:p>
          <w:p>
            <w:pPr>
              <w:pStyle w:val="48"/>
              <w:spacing w:line="470" w:lineRule="exact"/>
              <w:rPr>
                <w:rFonts w:cs="宋体" w:asciiTheme="minorEastAsia" w:hAnsiTheme="minorEastAsia"/>
                <w:color w:val="auto"/>
                <w:sz w:val="28"/>
                <w:szCs w:val="28"/>
              </w:rPr>
            </w:pPr>
            <w:r>
              <w:rPr>
                <w:rFonts w:hint="eastAsia" w:cs="宋体" w:asciiTheme="minorEastAsia" w:hAnsiTheme="minorEastAsia"/>
                <w:color w:val="auto"/>
                <w:sz w:val="28"/>
                <w:szCs w:val="28"/>
              </w:rPr>
              <w:t>2、磋商时间：202</w:t>
            </w:r>
            <w:r>
              <w:rPr>
                <w:rFonts w:hint="eastAsia" w:cs="宋体" w:asciiTheme="minorEastAsia" w:hAnsiTheme="minorEastAsia"/>
                <w:color w:val="auto"/>
                <w:sz w:val="28"/>
                <w:szCs w:val="28"/>
                <w:lang w:val="en-US" w:eastAsia="zh-CN"/>
              </w:rPr>
              <w:t>3</w:t>
            </w:r>
            <w:r>
              <w:rPr>
                <w:rFonts w:hint="eastAsia" w:cs="宋体" w:asciiTheme="minorEastAsia" w:hAnsiTheme="minorEastAsia"/>
                <w:color w:val="auto"/>
                <w:sz w:val="28"/>
                <w:szCs w:val="28"/>
              </w:rPr>
              <w:t>年</w:t>
            </w:r>
            <w:r>
              <w:rPr>
                <w:rFonts w:hint="eastAsia" w:cs="宋体" w:asciiTheme="minorEastAsia" w:hAnsiTheme="minorEastAsia"/>
                <w:color w:val="auto"/>
                <w:sz w:val="28"/>
                <w:szCs w:val="28"/>
                <w:lang w:val="en-US" w:eastAsia="zh-CN"/>
              </w:rPr>
              <w:t>7</w:t>
            </w:r>
            <w:r>
              <w:rPr>
                <w:rFonts w:hint="eastAsia" w:cs="宋体" w:asciiTheme="minorEastAsia" w:hAnsiTheme="minorEastAsia"/>
                <w:color w:val="auto"/>
                <w:sz w:val="28"/>
                <w:szCs w:val="28"/>
              </w:rPr>
              <w:t>月</w:t>
            </w:r>
            <w:r>
              <w:rPr>
                <w:rFonts w:hint="eastAsia" w:cs="宋体" w:asciiTheme="minorEastAsia" w:hAnsiTheme="minorEastAsia"/>
                <w:color w:val="auto"/>
                <w:sz w:val="28"/>
                <w:szCs w:val="28"/>
                <w:lang w:val="en-US" w:eastAsia="zh-CN"/>
              </w:rPr>
              <w:t xml:space="preserve">14 </w:t>
            </w:r>
            <w:r>
              <w:rPr>
                <w:rFonts w:hint="eastAsia" w:cs="宋体" w:asciiTheme="minorEastAsia" w:hAnsiTheme="minorEastAsia"/>
                <w:color w:val="auto"/>
                <w:sz w:val="28"/>
                <w:szCs w:val="28"/>
              </w:rPr>
              <w:t>日</w:t>
            </w:r>
            <w:r>
              <w:rPr>
                <w:rFonts w:hint="eastAsia" w:cs="宋体" w:asciiTheme="minorEastAsia" w:hAnsiTheme="minorEastAsia"/>
                <w:color w:val="auto"/>
                <w:sz w:val="28"/>
                <w:szCs w:val="28"/>
                <w:lang w:val="en-US" w:eastAsia="zh-CN"/>
              </w:rPr>
              <w:t>09</w:t>
            </w:r>
            <w:r>
              <w:rPr>
                <w:rFonts w:hint="eastAsia" w:cs="宋体" w:asciiTheme="minorEastAsia" w:hAnsiTheme="minorEastAsia"/>
                <w:color w:val="auto"/>
                <w:sz w:val="28"/>
                <w:szCs w:val="28"/>
              </w:rPr>
              <w:t>:</w:t>
            </w:r>
            <w:r>
              <w:rPr>
                <w:rFonts w:hint="eastAsia" w:cs="宋体" w:asciiTheme="minorEastAsia" w:hAnsiTheme="minorEastAsia"/>
                <w:color w:val="auto"/>
                <w:sz w:val="28"/>
                <w:szCs w:val="28"/>
                <w:lang w:val="en-US" w:eastAsia="zh-CN"/>
              </w:rPr>
              <w:t>0</w:t>
            </w:r>
            <w:r>
              <w:rPr>
                <w:rFonts w:hint="eastAsia" w:cs="宋体" w:asciiTheme="minorEastAsia" w:hAnsiTheme="minorEastAsia"/>
                <w:color w:val="auto"/>
                <w:sz w:val="28"/>
                <w:szCs w:val="28"/>
              </w:rPr>
              <w:t>0时。</w:t>
            </w:r>
          </w:p>
          <w:p>
            <w:pPr>
              <w:pStyle w:val="48"/>
              <w:spacing w:line="470" w:lineRule="exact"/>
              <w:rPr>
                <w:rFonts w:hint="eastAsia" w:cs="宋体" w:asciiTheme="minorEastAsia" w:hAnsiTheme="minorEastAsia"/>
                <w:color w:val="auto"/>
                <w:sz w:val="28"/>
                <w:szCs w:val="28"/>
              </w:rPr>
            </w:pPr>
            <w:r>
              <w:rPr>
                <w:rFonts w:hint="eastAsia" w:cs="宋体" w:asciiTheme="minorEastAsia" w:hAnsiTheme="minorEastAsia"/>
                <w:color w:val="auto"/>
                <w:sz w:val="28"/>
                <w:szCs w:val="28"/>
              </w:rPr>
              <w:t>3、磋商地点：宝鸡市公共资源交易中心五楼第</w:t>
            </w:r>
            <w:r>
              <w:rPr>
                <w:rFonts w:hint="eastAsia" w:cs="宋体" w:asciiTheme="minorEastAsia" w:hAnsiTheme="minorEastAsia"/>
                <w:color w:val="auto"/>
                <w:sz w:val="28"/>
                <w:szCs w:val="28"/>
                <w:lang w:val="en-US" w:eastAsia="zh-CN"/>
              </w:rPr>
              <w:t>7</w:t>
            </w:r>
            <w:r>
              <w:rPr>
                <w:rFonts w:hint="eastAsia" w:cs="宋体" w:asciiTheme="minorEastAsia" w:hAnsiTheme="minorEastAsia"/>
                <w:color w:val="auto"/>
                <w:sz w:val="28"/>
                <w:szCs w:val="28"/>
              </w:rPr>
              <w:t>开标室</w:t>
            </w:r>
          </w:p>
          <w:p>
            <w:pPr>
              <w:pStyle w:val="48"/>
              <w:spacing w:line="470" w:lineRule="exact"/>
              <w:rPr>
                <w:rFonts w:hint="eastAsia" w:cs="宋体" w:asciiTheme="minorEastAsia" w:hAnsiTheme="minorEastAsia" w:eastAsiaTheme="minorEastAsia"/>
                <w:sz w:val="28"/>
                <w:szCs w:val="28"/>
                <w:lang w:eastAsia="zh-CN"/>
              </w:rPr>
            </w:pPr>
            <w:r>
              <w:rPr>
                <w:rFonts w:hint="eastAsia" w:ascii="宋体" w:hAnsi="宋体" w:cs="仿宋_GB2312"/>
                <w:color w:val="auto"/>
                <w:sz w:val="28"/>
                <w:szCs w:val="28"/>
              </w:rPr>
              <w:t xml:space="preserve">4、供应商须在响应截止时间前，持陕西CA锁，登录全国公共资源交易平台（陕西省 ▪ 宝鸡市）宝鸡市公共资源交易中心（http://bj.sxggzyjy.cn）上传电子标书（*.SXSTF），逾期提交，系统将拒绝接收 </w:t>
            </w:r>
            <w:r>
              <w:rPr>
                <w:rFonts w:hint="eastAsia" w:ascii="宋体" w:hAnsi="宋体" w:cs="仿宋_GB2312"/>
                <w:color w:val="auto"/>
                <w:sz w:val="28"/>
                <w:szCs w:val="28"/>
                <w:lang w:eastAsia="zh-CN"/>
              </w:rPr>
              <w:t>。</w:t>
            </w:r>
          </w:p>
        </w:tc>
      </w:tr>
      <w:tr>
        <w:tblPrEx>
          <w:tblCellMar>
            <w:top w:w="0" w:type="dxa"/>
            <w:left w:w="10" w:type="dxa"/>
            <w:bottom w:w="0" w:type="dxa"/>
            <w:right w:w="10" w:type="dxa"/>
          </w:tblCellMar>
        </w:tblPrEx>
        <w:trPr>
          <w:trHeight w:val="670"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rPr>
              <w:t>1</w:t>
            </w:r>
            <w:r>
              <w:rPr>
                <w:rFonts w:hint="eastAsia" w:cs="宋体" w:asciiTheme="minorEastAsia" w:hAnsiTheme="minorEastAsia"/>
                <w:sz w:val="28"/>
                <w:szCs w:val="28"/>
                <w:lang w:val="en-US" w:eastAsia="zh-CN"/>
              </w:rPr>
              <w:t>8</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磋商有效期</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70" w:lineRule="exact"/>
              <w:rPr>
                <w:rFonts w:cs="宋体" w:asciiTheme="minorEastAsia" w:hAnsiTheme="minorEastAsia"/>
                <w:sz w:val="28"/>
                <w:szCs w:val="28"/>
              </w:rPr>
            </w:pPr>
            <w:r>
              <w:rPr>
                <w:rFonts w:hint="eastAsia" w:cs="宋体" w:asciiTheme="minorEastAsia" w:hAnsiTheme="minorEastAsia"/>
                <w:sz w:val="28"/>
                <w:szCs w:val="28"/>
              </w:rPr>
              <w:t>自磋商之日起算90个日历日。</w:t>
            </w:r>
          </w:p>
        </w:tc>
      </w:tr>
      <w:tr>
        <w:tblPrEx>
          <w:tblCellMar>
            <w:top w:w="0" w:type="dxa"/>
            <w:left w:w="10" w:type="dxa"/>
            <w:bottom w:w="0" w:type="dxa"/>
            <w:right w:w="10" w:type="dxa"/>
          </w:tblCellMar>
        </w:tblPrEx>
        <w:trPr>
          <w:trHeight w:val="9433"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rPr>
              <w:t>1</w:t>
            </w:r>
            <w:r>
              <w:rPr>
                <w:rFonts w:hint="eastAsia" w:cs="宋体" w:asciiTheme="minorEastAsia" w:hAnsiTheme="minorEastAsia"/>
                <w:sz w:val="28"/>
                <w:szCs w:val="28"/>
                <w:lang w:val="en-US" w:eastAsia="zh-CN"/>
              </w:rPr>
              <w:t>9</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磋商担保</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left" w:pos="7013"/>
              </w:tabs>
              <w:spacing w:line="470" w:lineRule="exact"/>
              <w:rPr>
                <w:rFonts w:hint="eastAsia" w:ascii="宋体" w:hAnsi="宋体" w:cs="宋体" w:eastAsiaTheme="minorEastAsia"/>
                <w:b w:val="0"/>
                <w:bCs w:val="0"/>
                <w:kern w:val="1"/>
                <w:sz w:val="28"/>
                <w:szCs w:val="28"/>
                <w:lang w:val="en-US" w:eastAsia="zh-CN" w:bidi="ar-SA"/>
              </w:rPr>
            </w:pPr>
            <w:r>
              <w:rPr>
                <w:rFonts w:hint="eastAsia" w:ascii="宋体" w:hAnsi="宋体" w:cs="宋体" w:eastAsiaTheme="minorEastAsia"/>
                <w:b w:val="0"/>
                <w:bCs w:val="0"/>
                <w:kern w:val="1"/>
                <w:sz w:val="28"/>
                <w:szCs w:val="28"/>
                <w:lang w:val="en-US" w:eastAsia="zh-CN" w:bidi="ar-SA"/>
              </w:rPr>
              <w:t>1、方式：(任选其一)</w:t>
            </w:r>
          </w:p>
          <w:p>
            <w:pPr>
              <w:spacing w:line="470" w:lineRule="exact"/>
              <w:rPr>
                <w:rFonts w:hint="eastAsia" w:ascii="宋体" w:hAnsi="宋体" w:cs="宋体" w:eastAsiaTheme="minorEastAsia"/>
                <w:b w:val="0"/>
                <w:bCs w:val="0"/>
                <w:kern w:val="1"/>
                <w:sz w:val="28"/>
                <w:szCs w:val="28"/>
                <w:lang w:val="en-US" w:eastAsia="zh-CN" w:bidi="ar-SA"/>
              </w:rPr>
            </w:pPr>
            <w:r>
              <w:rPr>
                <w:rFonts w:hint="eastAsia" w:ascii="宋体" w:hAnsi="宋体" w:cs="宋体" w:eastAsiaTheme="minorEastAsia"/>
                <w:b w:val="0"/>
                <w:bCs w:val="0"/>
                <w:kern w:val="1"/>
                <w:sz w:val="28"/>
                <w:szCs w:val="28"/>
                <w:lang w:val="en-US" w:eastAsia="zh-CN" w:bidi="ar-SA"/>
              </w:rPr>
              <w:t>（1）转账(必须从公司公户转出)</w:t>
            </w:r>
          </w:p>
          <w:p>
            <w:pPr>
              <w:spacing w:line="470" w:lineRule="exact"/>
              <w:ind w:firstLine="560" w:firstLineChars="200"/>
              <w:rPr>
                <w:rFonts w:hint="eastAsia" w:ascii="宋体" w:hAnsi="宋体" w:cs="宋体" w:eastAsiaTheme="minorEastAsia"/>
                <w:b w:val="0"/>
                <w:bCs w:val="0"/>
                <w:kern w:val="1"/>
                <w:sz w:val="28"/>
                <w:szCs w:val="28"/>
                <w:lang w:val="en-US" w:eastAsia="zh-CN" w:bidi="ar-SA"/>
              </w:rPr>
            </w:pPr>
            <w:r>
              <w:rPr>
                <w:rFonts w:hint="eastAsia" w:ascii="宋体" w:hAnsi="宋体" w:cs="宋体" w:eastAsiaTheme="minorEastAsia"/>
                <w:b w:val="0"/>
                <w:bCs w:val="0"/>
                <w:kern w:val="1"/>
                <w:sz w:val="28"/>
                <w:szCs w:val="28"/>
                <w:lang w:val="en-US" w:eastAsia="zh-CN" w:bidi="ar-SA"/>
              </w:rPr>
              <w:t>磋商保证金：</w:t>
            </w:r>
            <w:r>
              <w:rPr>
                <w:rFonts w:hint="eastAsia" w:ascii="宋体" w:hAnsi="宋体" w:cs="宋体"/>
                <w:b w:val="0"/>
                <w:bCs w:val="0"/>
                <w:kern w:val="1"/>
                <w:sz w:val="28"/>
                <w:szCs w:val="28"/>
                <w:lang w:val="en-US" w:eastAsia="zh-CN" w:bidi="ar-SA"/>
              </w:rPr>
              <w:t>20000</w:t>
            </w:r>
            <w:r>
              <w:rPr>
                <w:rFonts w:hint="eastAsia" w:ascii="宋体" w:hAnsi="宋体" w:cs="宋体" w:eastAsiaTheme="minorEastAsia"/>
                <w:b w:val="0"/>
                <w:bCs w:val="0"/>
                <w:kern w:val="1"/>
                <w:sz w:val="28"/>
                <w:szCs w:val="28"/>
                <w:lang w:val="en-US" w:eastAsia="zh-CN" w:bidi="ar-SA"/>
              </w:rPr>
              <w:t>.00（</w:t>
            </w:r>
            <w:r>
              <w:rPr>
                <w:rFonts w:hint="eastAsia" w:ascii="宋体" w:hAnsi="宋体" w:cs="宋体"/>
                <w:b w:val="0"/>
                <w:bCs w:val="0"/>
                <w:kern w:val="1"/>
                <w:sz w:val="28"/>
                <w:szCs w:val="28"/>
                <w:lang w:val="en-US" w:eastAsia="zh-CN" w:bidi="ar-SA"/>
              </w:rPr>
              <w:t>贰万元整</w:t>
            </w:r>
            <w:r>
              <w:rPr>
                <w:rFonts w:hint="eastAsia" w:ascii="宋体" w:hAnsi="宋体" w:cs="宋体" w:eastAsiaTheme="minorEastAsia"/>
                <w:b w:val="0"/>
                <w:bCs w:val="0"/>
                <w:kern w:val="1"/>
                <w:sz w:val="28"/>
                <w:szCs w:val="28"/>
                <w:lang w:val="en-US" w:eastAsia="zh-CN" w:bidi="ar-SA"/>
              </w:rPr>
              <w:t>）</w:t>
            </w:r>
          </w:p>
          <w:p>
            <w:pPr>
              <w:spacing w:line="470" w:lineRule="exact"/>
              <w:rPr>
                <w:rFonts w:hint="eastAsia" w:ascii="宋体" w:hAnsi="宋体" w:cs="宋体" w:eastAsiaTheme="minorEastAsia"/>
                <w:b w:val="0"/>
                <w:bCs w:val="0"/>
                <w:kern w:val="1"/>
                <w:sz w:val="28"/>
                <w:szCs w:val="28"/>
                <w:lang w:val="en-US" w:eastAsia="zh-CN" w:bidi="ar-SA"/>
              </w:rPr>
            </w:pPr>
            <w:r>
              <w:rPr>
                <w:rFonts w:hint="eastAsia" w:ascii="宋体" w:hAnsi="宋体" w:cs="宋体" w:eastAsiaTheme="minorEastAsia"/>
                <w:b w:val="0"/>
                <w:bCs w:val="0"/>
                <w:kern w:val="1"/>
                <w:sz w:val="28"/>
                <w:szCs w:val="28"/>
                <w:lang w:val="en-US" w:eastAsia="zh-CN" w:bidi="ar-SA"/>
              </w:rPr>
              <w:t>（2）担保函（基本户开具的保函）</w:t>
            </w:r>
          </w:p>
          <w:p>
            <w:pPr>
              <w:spacing w:line="500" w:lineRule="exact"/>
              <w:rPr>
                <w:rFonts w:hint="default" w:cs="宋体" w:asciiTheme="minorEastAsia" w:hAnsiTheme="minorEastAsia"/>
                <w:sz w:val="28"/>
                <w:szCs w:val="28"/>
                <w:lang w:val="en-US" w:eastAsia="zh-CN"/>
              </w:rPr>
            </w:pPr>
            <w:r>
              <w:rPr>
                <w:rFonts w:hint="eastAsia" w:ascii="宋体" w:hAnsi="宋体" w:cs="宋体" w:eastAsiaTheme="minorEastAsia"/>
                <w:b w:val="0"/>
                <w:bCs w:val="0"/>
                <w:kern w:val="1"/>
                <w:sz w:val="28"/>
                <w:szCs w:val="28"/>
                <w:lang w:val="en-US" w:eastAsia="zh-CN" w:bidi="ar-SA"/>
              </w:rPr>
              <w:t>2、供应商须按规定时间（202</w:t>
            </w:r>
            <w:r>
              <w:rPr>
                <w:rFonts w:hint="eastAsia" w:ascii="宋体" w:hAnsi="宋体" w:cs="宋体"/>
                <w:b w:val="0"/>
                <w:bCs w:val="0"/>
                <w:kern w:val="1"/>
                <w:sz w:val="28"/>
                <w:szCs w:val="28"/>
                <w:lang w:val="en-US" w:eastAsia="zh-CN" w:bidi="ar-SA"/>
              </w:rPr>
              <w:t>3</w:t>
            </w:r>
            <w:r>
              <w:rPr>
                <w:rFonts w:hint="eastAsia" w:ascii="宋体" w:hAnsi="宋体" w:cs="宋体" w:eastAsiaTheme="minorEastAsia"/>
                <w:b w:val="0"/>
                <w:bCs w:val="0"/>
                <w:kern w:val="1"/>
                <w:sz w:val="28"/>
                <w:szCs w:val="28"/>
                <w:lang w:val="en-US" w:eastAsia="zh-CN" w:bidi="ar-SA"/>
              </w:rPr>
              <w:t>年</w:t>
            </w:r>
            <w:r>
              <w:rPr>
                <w:rFonts w:hint="eastAsia" w:ascii="宋体" w:hAnsi="宋体" w:cs="宋体"/>
                <w:b w:val="0"/>
                <w:bCs w:val="0"/>
                <w:kern w:val="1"/>
                <w:sz w:val="28"/>
                <w:szCs w:val="28"/>
                <w:lang w:val="en-US" w:eastAsia="zh-CN" w:bidi="ar-SA"/>
              </w:rPr>
              <w:t>7</w:t>
            </w:r>
            <w:r>
              <w:rPr>
                <w:rFonts w:hint="eastAsia" w:ascii="宋体" w:hAnsi="宋体" w:cs="宋体" w:eastAsiaTheme="minorEastAsia"/>
                <w:b w:val="0"/>
                <w:bCs w:val="0"/>
                <w:kern w:val="1"/>
                <w:sz w:val="28"/>
                <w:szCs w:val="28"/>
                <w:lang w:val="en-US" w:eastAsia="zh-CN" w:bidi="ar-SA"/>
              </w:rPr>
              <w:t>月</w:t>
            </w:r>
            <w:r>
              <w:rPr>
                <w:rFonts w:hint="eastAsia" w:ascii="宋体" w:hAnsi="宋体" w:cs="宋体"/>
                <w:b w:val="0"/>
                <w:bCs w:val="0"/>
                <w:kern w:val="1"/>
                <w:sz w:val="28"/>
                <w:szCs w:val="28"/>
                <w:lang w:val="en-US" w:eastAsia="zh-CN" w:bidi="ar-SA"/>
              </w:rPr>
              <w:t>14</w:t>
            </w:r>
            <w:r>
              <w:rPr>
                <w:rFonts w:hint="eastAsia" w:ascii="宋体" w:hAnsi="宋体" w:cs="宋体" w:eastAsiaTheme="minorEastAsia"/>
                <w:b w:val="0"/>
                <w:bCs w:val="0"/>
                <w:kern w:val="1"/>
                <w:sz w:val="28"/>
                <w:szCs w:val="28"/>
                <w:lang w:val="en-US" w:eastAsia="zh-CN" w:bidi="ar-SA"/>
              </w:rPr>
              <w:t>日</w:t>
            </w:r>
            <w:r>
              <w:rPr>
                <w:rFonts w:hint="eastAsia" w:ascii="宋体" w:hAnsi="宋体" w:cs="宋体"/>
                <w:b w:val="0"/>
                <w:bCs w:val="0"/>
                <w:kern w:val="1"/>
                <w:sz w:val="28"/>
                <w:szCs w:val="28"/>
                <w:lang w:val="en-US" w:eastAsia="zh-CN" w:bidi="ar-SA"/>
              </w:rPr>
              <w:t>09</w:t>
            </w:r>
            <w:r>
              <w:rPr>
                <w:rFonts w:hint="eastAsia" w:ascii="宋体" w:hAnsi="宋体" w:cs="宋体" w:eastAsiaTheme="minorEastAsia"/>
                <w:b w:val="0"/>
                <w:bCs w:val="0"/>
                <w:kern w:val="1"/>
                <w:sz w:val="28"/>
                <w:szCs w:val="28"/>
                <w:lang w:val="en-US" w:eastAsia="zh-CN" w:bidi="ar-SA"/>
              </w:rPr>
              <w:t>:</w:t>
            </w:r>
            <w:r>
              <w:rPr>
                <w:rFonts w:hint="eastAsia" w:ascii="宋体" w:hAnsi="宋体" w:cs="宋体"/>
                <w:b w:val="0"/>
                <w:bCs w:val="0"/>
                <w:kern w:val="1"/>
                <w:sz w:val="28"/>
                <w:szCs w:val="28"/>
                <w:lang w:val="en-US" w:eastAsia="zh-CN" w:bidi="ar-SA"/>
              </w:rPr>
              <w:t>0</w:t>
            </w:r>
            <w:r>
              <w:rPr>
                <w:rFonts w:hint="eastAsia" w:ascii="宋体" w:hAnsi="宋体" w:cs="宋体" w:eastAsiaTheme="minorEastAsia"/>
                <w:b w:val="0"/>
                <w:bCs w:val="0"/>
                <w:kern w:val="1"/>
                <w:sz w:val="28"/>
                <w:szCs w:val="28"/>
                <w:lang w:val="en-US" w:eastAsia="zh-CN" w:bidi="ar-SA"/>
              </w:rPr>
              <w:t>0时前）</w:t>
            </w:r>
            <w:r>
              <w:rPr>
                <w:rFonts w:hint="eastAsia" w:cs="宋体" w:asciiTheme="minorEastAsia" w:hAnsiTheme="minorEastAsia"/>
                <w:sz w:val="28"/>
                <w:szCs w:val="28"/>
                <w:lang w:val="en-US" w:eastAsia="zh-CN"/>
              </w:rPr>
              <w:t>提交磋商保证金或保函。</w:t>
            </w:r>
          </w:p>
          <w:p>
            <w:pPr>
              <w:spacing w:line="500" w:lineRule="exac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（1）若宝鸡市公共资源交易中心未在磋商保证金递交截止时间收到款项的，或未在磋商响应文件中附磋商保证金转账凭证的，其磋商将被拒绝。</w:t>
            </w:r>
          </w:p>
          <w:p>
            <w:pPr>
              <w:spacing w:line="500" w:lineRule="exac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（2）采用保函的供应商须在规定时间向宝鸡市公共资源交易中心提交磋商担保函。若宝鸡市公共资源交易中心未在磋商担保</w:t>
            </w:r>
            <w:r>
              <w:rPr>
                <w:rFonts w:hint="eastAsia" w:ascii="宋体" w:hAnsi="宋体" w:cs="宋体" w:eastAsiaTheme="minorEastAsia"/>
                <w:b w:val="0"/>
                <w:bCs w:val="0"/>
                <w:kern w:val="1"/>
                <w:sz w:val="28"/>
                <w:szCs w:val="28"/>
                <w:lang w:val="en-US" w:eastAsia="zh-CN" w:bidi="ar-SA"/>
              </w:rPr>
              <w:t>递交截止时间收到有效担保函</w:t>
            </w:r>
            <w:r>
              <w:rPr>
                <w:rFonts w:hint="eastAsia" w:cs="宋体" w:asciiTheme="minorEastAsia" w:hAnsiTheme="minorEastAsia"/>
                <w:sz w:val="28"/>
                <w:szCs w:val="28"/>
                <w:lang w:val="en-US" w:eastAsia="zh-CN"/>
              </w:rPr>
              <w:t>的，或未在磋商响应文件中附磋商担保函的，其磋商将被拒绝。</w:t>
            </w:r>
          </w:p>
          <w:p>
            <w:pPr>
              <w:spacing w:line="500" w:lineRule="exact"/>
              <w:rPr>
                <w:rFonts w:hint="eastAsia" w:cs="宋体" w:asciiTheme="minorEastAsia" w:hAnsiTheme="minorEastAsia"/>
                <w:b/>
                <w:bCs/>
                <w:sz w:val="28"/>
                <w:szCs w:val="28"/>
                <w:lang w:val="en-US" w:eastAsia="zh-CN"/>
              </w:rPr>
            </w:pPr>
            <w:r>
              <w:rPr>
                <w:rFonts w:hint="eastAsia" w:cs="宋体" w:asciiTheme="minorEastAsia" w:hAnsiTheme="minorEastAsia"/>
                <w:sz w:val="28"/>
                <w:szCs w:val="28"/>
                <w:lang w:val="en-US" w:eastAsia="zh-CN"/>
              </w:rPr>
              <w:t>名称:</w:t>
            </w:r>
            <w:r>
              <w:rPr>
                <w:rFonts w:hint="eastAsia" w:cs="宋体" w:asciiTheme="minorEastAsia" w:hAnsiTheme="minorEastAsia"/>
                <w:b/>
                <w:bCs/>
                <w:sz w:val="28"/>
                <w:szCs w:val="28"/>
                <w:lang w:val="en-US" w:eastAsia="zh-CN"/>
              </w:rPr>
              <w:t xml:space="preserve">宝鸡市公共资源交易中心保证金专户 </w:t>
            </w:r>
          </w:p>
          <w:p>
            <w:pPr>
              <w:spacing w:line="500" w:lineRule="exac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开户行名称:</w:t>
            </w:r>
            <w:r>
              <w:rPr>
                <w:rFonts w:hint="eastAsia" w:cs="宋体" w:asciiTheme="minorEastAsia" w:hAnsiTheme="minorEastAsia"/>
                <w:b/>
                <w:bCs/>
                <w:sz w:val="28"/>
                <w:szCs w:val="28"/>
                <w:lang w:val="en-US" w:eastAsia="zh-CN"/>
              </w:rPr>
              <w:t xml:space="preserve">长安银行股份有限公司宝鸡分行营业部 </w:t>
            </w:r>
          </w:p>
          <w:p>
            <w:pPr>
              <w:spacing w:line="500" w:lineRule="exact"/>
              <w:rPr>
                <w:rFonts w:hint="eastAsia" w:cs="宋体" w:asciiTheme="minorEastAsia" w:hAnsiTheme="minorEastAsia"/>
                <w:b/>
                <w:bCs/>
                <w:sz w:val="28"/>
                <w:szCs w:val="28"/>
                <w:lang w:val="en-US" w:eastAsia="zh-CN"/>
              </w:rPr>
            </w:pPr>
            <w:r>
              <w:rPr>
                <w:rFonts w:hint="eastAsia" w:cs="宋体" w:asciiTheme="minorEastAsia" w:hAnsiTheme="minorEastAsia"/>
                <w:b/>
                <w:bCs/>
                <w:sz w:val="28"/>
                <w:szCs w:val="28"/>
                <w:lang w:val="en-US" w:eastAsia="zh-CN"/>
              </w:rPr>
              <w:t>账号:80602000142101980606608</w:t>
            </w:r>
          </w:p>
          <w:p>
            <w:pPr>
              <w:spacing w:line="500" w:lineRule="exact"/>
              <w:rPr>
                <w:rFonts w:cs="宋体" w:asciiTheme="minorEastAsia" w:hAnsiTheme="minorEastAsia"/>
                <w:sz w:val="28"/>
                <w:szCs w:val="28"/>
              </w:rPr>
            </w:pPr>
            <w:r>
              <w:rPr>
                <w:rFonts w:hint="eastAsia" w:cs="宋体" w:asciiTheme="minorEastAsia" w:hAnsiTheme="minorEastAsia"/>
                <w:sz w:val="28"/>
                <w:szCs w:val="28"/>
                <w:lang w:val="en-US" w:eastAsia="zh-CN"/>
              </w:rPr>
              <w:t>转账时必须备注：</w:t>
            </w:r>
            <w:r>
              <w:rPr>
                <w:rFonts w:hint="eastAsia" w:cs="宋体" w:asciiTheme="minorEastAsia" w:hAnsiTheme="minorEastAsia"/>
                <w:b/>
                <w:bCs/>
                <w:sz w:val="28"/>
                <w:szCs w:val="28"/>
                <w:lang w:val="en-US" w:eastAsia="zh-CN"/>
              </w:rPr>
              <w:t>扶风县“四好农村路”信息化综合管理系统采购项目投标保证金</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default" w:cs="宋体" w:asciiTheme="minorEastAsia" w:hAnsiTheme="minorEastAsia" w:eastAsiaTheme="minorEastAsia"/>
                <w:sz w:val="28"/>
                <w:szCs w:val="28"/>
                <w:lang w:val="en-US" w:eastAsia="zh-CN"/>
              </w:rPr>
            </w:pPr>
            <w:r>
              <w:rPr>
                <w:rFonts w:hint="eastAsia" w:cs="宋体" w:asciiTheme="minorEastAsia" w:hAnsiTheme="minorEastAsia"/>
                <w:sz w:val="28"/>
                <w:szCs w:val="28"/>
                <w:lang w:val="en-US" w:eastAsia="zh-CN"/>
              </w:rPr>
              <w:t>20</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备选磋商方案</w:t>
            </w:r>
          </w:p>
          <w:p>
            <w:pPr>
              <w:spacing w:line="470" w:lineRule="exact"/>
              <w:jc w:val="center"/>
              <w:rPr>
                <w:rFonts w:cs="宋体" w:asciiTheme="minorEastAsia" w:hAnsiTheme="minorEastAsia"/>
                <w:sz w:val="28"/>
                <w:szCs w:val="28"/>
              </w:rPr>
            </w:pPr>
            <w:r>
              <w:rPr>
                <w:rFonts w:hint="eastAsia" w:cs="宋体" w:asciiTheme="minorEastAsia" w:hAnsiTheme="minorEastAsia"/>
                <w:sz w:val="28"/>
                <w:szCs w:val="28"/>
              </w:rPr>
              <w:t>和报价</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013"/>
              </w:tabs>
              <w:spacing w:line="470" w:lineRule="exact"/>
              <w:rPr>
                <w:rFonts w:cs="宋体" w:asciiTheme="minorEastAsia" w:hAnsiTheme="minorEastAsia"/>
                <w:sz w:val="28"/>
                <w:szCs w:val="28"/>
              </w:rPr>
            </w:pPr>
            <w:r>
              <w:rPr>
                <w:rFonts w:hint="eastAsia" w:cs="宋体" w:asciiTheme="minorEastAsia" w:hAnsiTheme="minorEastAsia"/>
                <w:sz w:val="28"/>
                <w:szCs w:val="28"/>
              </w:rPr>
              <w:t>不接受备选磋商方案和多个报价。</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hint="eastAsia" w:cs="宋体" w:asciiTheme="minorEastAsia" w:hAnsiTheme="minorEastAsia" w:eastAsiaTheme="minorEastAsia"/>
                <w:sz w:val="28"/>
                <w:szCs w:val="28"/>
                <w:lang w:val="en-US" w:eastAsia="zh-CN"/>
              </w:rPr>
            </w:pPr>
            <w:r>
              <w:rPr>
                <w:rFonts w:hint="eastAsia" w:cs="宋体" w:asciiTheme="minorEastAsia" w:hAnsiTheme="minorEastAsia"/>
                <w:sz w:val="28"/>
                <w:szCs w:val="28"/>
              </w:rPr>
              <w:t>2</w:t>
            </w:r>
            <w:r>
              <w:rPr>
                <w:rFonts w:hint="eastAsia" w:cs="宋体" w:asciiTheme="minorEastAsia" w:hAnsiTheme="minorEastAsia"/>
                <w:sz w:val="28"/>
                <w:szCs w:val="28"/>
                <w:lang w:val="en-US" w:eastAsia="zh-CN"/>
              </w:rPr>
              <w:t>1</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013"/>
              </w:tabs>
              <w:spacing w:line="470" w:lineRule="exact"/>
              <w:rPr>
                <w:rFonts w:hint="eastAsia" w:cs="宋体" w:asciiTheme="minorEastAsia" w:hAnsiTheme="minorEastAsia"/>
                <w:sz w:val="28"/>
                <w:szCs w:val="28"/>
              </w:rPr>
            </w:pPr>
            <w:r>
              <w:rPr>
                <w:rFonts w:hint="eastAsia" w:cs="宋体" w:asciiTheme="minorEastAsia" w:hAnsiTheme="minorEastAsia"/>
                <w:sz w:val="28"/>
                <w:szCs w:val="28"/>
              </w:rPr>
              <w:t>磋商文件的份数</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013"/>
              </w:tabs>
              <w:spacing w:line="470" w:lineRule="exact"/>
              <w:rPr>
                <w:rFonts w:hint="eastAsia" w:cs="宋体" w:asciiTheme="minorEastAsia" w:hAnsiTheme="minorEastAsia"/>
                <w:sz w:val="28"/>
                <w:szCs w:val="28"/>
              </w:rPr>
            </w:pPr>
            <w:r>
              <w:rPr>
                <w:rFonts w:hint="eastAsia" w:cs="宋体" w:asciiTheme="minorEastAsia" w:hAnsiTheme="minorEastAsia"/>
                <w:sz w:val="28"/>
                <w:szCs w:val="28"/>
              </w:rPr>
              <w:t>电子响应文件壹份（*.SXSTF）。</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60" w:lineRule="exact"/>
              <w:jc w:val="center"/>
              <w:rPr>
                <w:rFonts w:hint="default" w:cs="宋体" w:asciiTheme="minorEastAsia" w:hAnsiTheme="minorEastAsia" w:eastAsiaTheme="minorEastAsia"/>
                <w:sz w:val="28"/>
                <w:szCs w:val="28"/>
                <w:lang w:val="en-US" w:eastAsia="zh-CN"/>
              </w:rPr>
            </w:pPr>
            <w:r>
              <w:rPr>
                <w:rFonts w:hint="eastAsia" w:ascii="宋体" w:hAnsi="宋体" w:cs="仿宋_GB2312"/>
                <w:sz w:val="28"/>
                <w:szCs w:val="28"/>
                <w:lang w:val="en-US" w:eastAsia="zh-CN"/>
              </w:rPr>
              <w:t>22</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60" w:lineRule="exact"/>
              <w:jc w:val="center"/>
              <w:rPr>
                <w:rFonts w:cs="宋体" w:asciiTheme="minorEastAsia" w:hAnsiTheme="minorEastAsia"/>
                <w:sz w:val="28"/>
                <w:szCs w:val="28"/>
              </w:rPr>
            </w:pPr>
            <w:r>
              <w:rPr>
                <w:rFonts w:hint="eastAsia" w:ascii="宋体" w:hAnsi="宋体" w:cs="仿宋_GB2312"/>
                <w:sz w:val="28"/>
                <w:szCs w:val="28"/>
              </w:rPr>
              <w:t>电子投标文件编 制</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60" w:lineRule="exact"/>
              <w:rPr>
                <w:rFonts w:cs="宋体" w:asciiTheme="minorEastAsia" w:hAnsiTheme="minorEastAsia"/>
                <w:sz w:val="28"/>
                <w:szCs w:val="28"/>
              </w:rPr>
            </w:pPr>
            <w:r>
              <w:rPr>
                <w:rFonts w:hint="eastAsia" w:ascii="宋体" w:hAnsi="宋体" w:cs="仿宋_GB2312"/>
                <w:sz w:val="28"/>
                <w:szCs w:val="28"/>
              </w:rPr>
              <w:t>本项目的竞争性磋商响应文件必须使用电子标书专用工具软件编制，并通过“陕西省公共资源交易平台 （http://www.sxggzyjy.cn/）”完成磋商响应过程，竞争性磋商响应文件的编制和递交，应按照竞争性磋商文件的规定进行。如未按照竞争性磋商文件要求编制、递交电子响应文件，将可能导致磋商无效，其后果由供应商自负</w:t>
            </w:r>
            <w:r>
              <w:rPr>
                <w:rFonts w:hint="eastAsia" w:ascii="宋体" w:hAnsi="宋体" w:cs="仿宋_GB2312"/>
                <w:sz w:val="28"/>
                <w:szCs w:val="28"/>
                <w:lang w:eastAsia="zh-CN"/>
              </w:rPr>
              <w:t>。</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60" w:lineRule="exact"/>
              <w:jc w:val="center"/>
              <w:rPr>
                <w:rFonts w:hint="default" w:cs="宋体" w:asciiTheme="minorEastAsia" w:hAnsiTheme="minorEastAsia"/>
                <w:sz w:val="28"/>
                <w:szCs w:val="28"/>
                <w:lang w:val="en-US"/>
              </w:rPr>
            </w:pPr>
            <w:r>
              <w:rPr>
                <w:rFonts w:hint="eastAsia" w:ascii="宋体" w:hAnsi="宋体" w:cs="仿宋_GB2312"/>
                <w:sz w:val="28"/>
                <w:szCs w:val="28"/>
                <w:lang w:val="en-US" w:eastAsia="zh-CN"/>
              </w:rPr>
              <w:t>23</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60" w:lineRule="exact"/>
              <w:jc w:val="center"/>
              <w:rPr>
                <w:rFonts w:cs="宋体" w:asciiTheme="minorEastAsia" w:hAnsiTheme="minorEastAsia"/>
                <w:sz w:val="28"/>
                <w:szCs w:val="28"/>
              </w:rPr>
            </w:pPr>
            <w:r>
              <w:rPr>
                <w:rFonts w:hint="eastAsia" w:ascii="宋体" w:hAnsi="宋体" w:cs="仿宋_GB2312"/>
                <w:sz w:val="28"/>
                <w:szCs w:val="28"/>
              </w:rPr>
              <w:t>电子投标注意事 项</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60" w:lineRule="exact"/>
              <w:rPr>
                <w:rFonts w:cs="宋体" w:asciiTheme="minorEastAsia" w:hAnsiTheme="minorEastAsia"/>
                <w:sz w:val="28"/>
                <w:szCs w:val="28"/>
              </w:rPr>
            </w:pPr>
            <w:r>
              <w:rPr>
                <w:rFonts w:hint="eastAsia" w:ascii="宋体" w:hAnsi="宋体" w:cs="仿宋_GB2312"/>
                <w:sz w:val="28"/>
                <w:szCs w:val="28"/>
              </w:rPr>
              <w:t>1、供应商应及时下载竞争性磋商文件、澄清和修改文件以及答疑纪要等相关文件，在响应文件递交截止时间前必须登录“陕西省公共资源交易平台（http://www.sxggzyjy.cn/）”上传竞争性磋商响应文件电子文件；2、供应商应随时留意可能发布的变更公告，当澄清或修改的内容影响响应文件编制时，将在交易平台上同步发布答疑文件，此时供应商应从“项目流程〉答疑文件下载”下载最新发布的答疑文件（*.SXSCF 格式），并使用该文件重新编制电子响应文件（*.SXSTF 格式），使用旧版电子 磋商文件或旧版答疑文件制作的电子响应文件，系统将拒绝接收</w:t>
            </w:r>
            <w:r>
              <w:rPr>
                <w:rFonts w:hint="eastAsia" w:ascii="宋体" w:hAnsi="宋体" w:cs="仿宋_GB2312"/>
                <w:sz w:val="28"/>
                <w:szCs w:val="28"/>
                <w:lang w:eastAsia="zh-CN"/>
              </w:rPr>
              <w:t>。</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60" w:lineRule="exact"/>
              <w:jc w:val="center"/>
              <w:rPr>
                <w:rFonts w:hint="default" w:cs="宋体" w:asciiTheme="minorEastAsia" w:hAnsiTheme="minorEastAsia"/>
                <w:sz w:val="28"/>
                <w:szCs w:val="28"/>
                <w:lang w:val="en-US"/>
              </w:rPr>
            </w:pPr>
            <w:r>
              <w:rPr>
                <w:rFonts w:hint="eastAsia" w:ascii="宋体" w:hAnsi="宋体" w:cs="仿宋_GB2312"/>
                <w:sz w:val="28"/>
                <w:szCs w:val="28"/>
                <w:lang w:val="en-US" w:eastAsia="zh-CN"/>
              </w:rPr>
              <w:t>24</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60" w:lineRule="exact"/>
              <w:jc w:val="center"/>
              <w:rPr>
                <w:rFonts w:cs="宋体" w:asciiTheme="minorEastAsia" w:hAnsiTheme="minorEastAsia"/>
                <w:sz w:val="28"/>
                <w:szCs w:val="28"/>
              </w:rPr>
            </w:pPr>
            <w:r>
              <w:rPr>
                <w:rFonts w:hint="eastAsia" w:ascii="宋体" w:hAnsi="宋体" w:cs="仿宋_GB2312"/>
                <w:sz w:val="28"/>
                <w:szCs w:val="28"/>
              </w:rPr>
              <w:t>解释权</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60" w:lineRule="exact"/>
              <w:rPr>
                <w:rFonts w:cs="宋体" w:asciiTheme="minorEastAsia" w:hAnsiTheme="minorEastAsia"/>
                <w:sz w:val="28"/>
                <w:szCs w:val="28"/>
              </w:rPr>
            </w:pPr>
            <w:r>
              <w:rPr>
                <w:rFonts w:hint="eastAsia" w:ascii="宋体" w:hAnsi="宋体" w:cs="仿宋_GB2312"/>
                <w:sz w:val="28"/>
                <w:szCs w:val="28"/>
              </w:rPr>
              <w:t>构成本磋商文件的各个组成文件应互为解释，互为说明；如有不明确或不一致，构成合同文件组成内容，以合同文件约定内容为准；除磋商文件中有特别规定外，仅适用于招标阶段的规定，按磋商公告、供应商须知、评标办法、响应文件格式的先后顺序解释；同一组成文件不同版本之间有不一致的，以形成时间在后者为准。按本款前述规定仍不能形成结论的，由招标代理负责解释。</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60" w:lineRule="exact"/>
              <w:jc w:val="center"/>
              <w:rPr>
                <w:rFonts w:hint="eastAsia" w:cs="宋体" w:asciiTheme="minorEastAsia" w:hAnsiTheme="minorEastAsia" w:eastAsiaTheme="minorEastAsia"/>
                <w:sz w:val="28"/>
                <w:szCs w:val="28"/>
                <w:lang w:val="en-US" w:eastAsia="zh-CN"/>
              </w:rPr>
            </w:pPr>
            <w:r>
              <w:rPr>
                <w:rFonts w:hint="eastAsia" w:ascii="宋体" w:hAnsi="宋体" w:cs="仿宋_GB2312"/>
                <w:sz w:val="28"/>
                <w:szCs w:val="28"/>
              </w:rPr>
              <w:t>2</w:t>
            </w:r>
            <w:r>
              <w:rPr>
                <w:rFonts w:hint="eastAsia" w:ascii="宋体" w:hAnsi="宋体" w:cs="仿宋_GB2312"/>
                <w:sz w:val="28"/>
                <w:szCs w:val="28"/>
                <w:lang w:val="en-US" w:eastAsia="zh-CN"/>
              </w:rPr>
              <w:t>5</w:t>
            </w:r>
          </w:p>
        </w:tc>
        <w:tc>
          <w:tcPr>
            <w:tcW w:w="22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60" w:lineRule="exact"/>
              <w:jc w:val="center"/>
              <w:rPr>
                <w:rFonts w:cs="宋体" w:asciiTheme="minorEastAsia" w:hAnsiTheme="minorEastAsia"/>
                <w:sz w:val="28"/>
                <w:szCs w:val="28"/>
              </w:rPr>
            </w:pPr>
            <w:r>
              <w:rPr>
                <w:rFonts w:hint="eastAsia" w:ascii="宋体" w:hAnsi="宋体" w:cs="仿宋_GB2312"/>
                <w:sz w:val="28"/>
                <w:szCs w:val="28"/>
              </w:rPr>
              <w:t>评审办法及标准</w:t>
            </w:r>
          </w:p>
        </w:tc>
        <w:tc>
          <w:tcPr>
            <w:tcW w:w="6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48"/>
              <w:spacing w:line="460" w:lineRule="exact"/>
              <w:rPr>
                <w:rFonts w:cs="宋体" w:asciiTheme="minorEastAsia" w:hAnsiTheme="minorEastAsia"/>
                <w:sz w:val="28"/>
                <w:szCs w:val="28"/>
              </w:rPr>
            </w:pPr>
            <w:r>
              <w:rPr>
                <w:rFonts w:hint="eastAsia" w:ascii="宋体" w:hAnsi="宋体" w:cs="仿宋_GB2312"/>
                <w:sz w:val="28"/>
                <w:szCs w:val="28"/>
              </w:rPr>
              <w:t>详见磋商文件第二部分。</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60" w:lineRule="exact"/>
              <w:jc w:val="center"/>
              <w:rPr>
                <w:rFonts w:hint="default" w:ascii="宋体" w:hAnsi="宋体" w:cs="仿宋_GB2312" w:eastAsiaTheme="minorEastAsia"/>
                <w:sz w:val="28"/>
                <w:szCs w:val="28"/>
                <w:lang w:val="en-US" w:eastAsia="zh-CN"/>
              </w:rPr>
            </w:pPr>
            <w:r>
              <w:rPr>
                <w:rFonts w:hint="eastAsia" w:ascii="宋体" w:hAnsi="宋体" w:cs="仿宋_GB2312"/>
                <w:sz w:val="28"/>
                <w:szCs w:val="28"/>
                <w:lang w:val="en-US" w:eastAsia="zh-CN"/>
              </w:rPr>
              <w:t>26</w:t>
            </w:r>
          </w:p>
        </w:tc>
        <w:tc>
          <w:tcPr>
            <w:tcW w:w="8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48"/>
              <w:spacing w:line="460" w:lineRule="exact"/>
              <w:rPr>
                <w:rFonts w:hint="default" w:ascii="宋体" w:hAnsi="宋体" w:cs="仿宋_GB2312" w:eastAsiaTheme="minorEastAsia"/>
                <w:sz w:val="28"/>
                <w:szCs w:val="28"/>
                <w:lang w:val="en-US" w:eastAsia="zh-CN"/>
              </w:rPr>
            </w:pPr>
            <w:r>
              <w:rPr>
                <w:rFonts w:hint="eastAsia" w:ascii="宋体" w:hAnsi="宋体" w:cs="仿宋_GB2312"/>
                <w:sz w:val="28"/>
                <w:szCs w:val="28"/>
                <w:lang w:val="en-US" w:eastAsia="zh-CN"/>
              </w:rPr>
              <w:t>成交供应商需向代理公司提供纸质版投标文件一正二副、电子版（U盘）一份。</w:t>
            </w:r>
          </w:p>
        </w:tc>
      </w:tr>
    </w:tbl>
    <w:p>
      <w:pPr>
        <w:rPr>
          <w:rFonts w:cs="宋体" w:asciiTheme="minorEastAsia" w:hAnsiTheme="minorEastAsia"/>
          <w:b/>
          <w:bCs/>
          <w:sz w:val="28"/>
          <w:szCs w:val="28"/>
        </w:rPr>
      </w:pPr>
      <w:bookmarkStart w:id="5" w:name="_Toc5430"/>
      <w:bookmarkEnd w:id="5"/>
      <w:r>
        <w:rPr>
          <w:rFonts w:hint="eastAsia" w:cs="宋体" w:asciiTheme="minorEastAsia" w:hAnsiTheme="minorEastAsia"/>
          <w:b/>
          <w:bCs/>
          <w:sz w:val="28"/>
          <w:szCs w:val="28"/>
        </w:rPr>
        <w:br w:type="page"/>
      </w:r>
    </w:p>
    <w:p>
      <w:pPr>
        <w:spacing w:line="500" w:lineRule="exact"/>
        <w:ind w:firstLine="422"/>
        <w:rPr>
          <w:rFonts w:cs="宋体" w:asciiTheme="minorEastAsia" w:hAnsiTheme="minorEastAsia"/>
          <w:b/>
          <w:bCs/>
          <w:sz w:val="28"/>
          <w:szCs w:val="28"/>
        </w:rPr>
      </w:pPr>
      <w:r>
        <w:rPr>
          <w:rFonts w:hint="eastAsia" w:cs="宋体" w:asciiTheme="minorEastAsia" w:hAnsiTheme="minorEastAsia"/>
          <w:b/>
          <w:bCs/>
          <w:sz w:val="28"/>
          <w:szCs w:val="28"/>
        </w:rPr>
        <w:t>二、项目说明</w:t>
      </w:r>
    </w:p>
    <w:p>
      <w:pPr>
        <w:spacing w:line="500" w:lineRule="exact"/>
        <w:ind w:firstLine="509"/>
        <w:rPr>
          <w:rFonts w:cs="宋体" w:asciiTheme="minorEastAsia" w:hAnsiTheme="minorEastAsia"/>
          <w:sz w:val="28"/>
          <w:szCs w:val="28"/>
        </w:rPr>
      </w:pPr>
      <w:r>
        <w:rPr>
          <w:rFonts w:hint="eastAsia" w:cs="宋体" w:asciiTheme="minorEastAsia" w:hAnsiTheme="minorEastAsia"/>
          <w:sz w:val="28"/>
          <w:szCs w:val="28"/>
        </w:rPr>
        <w:t>1、本项目说明详见供应商须知前附表。</w:t>
      </w:r>
      <w:bookmarkStart w:id="6" w:name="_Toc458617455"/>
      <w:bookmarkEnd w:id="6"/>
      <w:bookmarkStart w:id="7" w:name="_Toc458617732"/>
      <w:bookmarkEnd w:id="7"/>
      <w:bookmarkStart w:id="8" w:name="_Toc458617783"/>
      <w:bookmarkEnd w:id="8"/>
    </w:p>
    <w:p>
      <w:pPr>
        <w:spacing w:line="500" w:lineRule="exact"/>
        <w:ind w:firstLine="509"/>
        <w:rPr>
          <w:rFonts w:cs="宋体" w:asciiTheme="minorEastAsia" w:hAnsiTheme="minorEastAsia"/>
          <w:sz w:val="28"/>
          <w:szCs w:val="28"/>
        </w:rPr>
      </w:pPr>
      <w:r>
        <w:rPr>
          <w:rFonts w:hint="eastAsia" w:cs="宋体" w:asciiTheme="minorEastAsia" w:hAnsiTheme="minorEastAsia"/>
          <w:sz w:val="28"/>
          <w:szCs w:val="28"/>
        </w:rPr>
        <w:t>2、本项目按照《中华人民共和国政府采购法》等有关法律、行政法规和部门规章，通过竞争性磋商方式择优选定成交供应商。</w:t>
      </w:r>
    </w:p>
    <w:p>
      <w:pPr>
        <w:spacing w:line="500" w:lineRule="exact"/>
        <w:ind w:firstLine="512"/>
        <w:rPr>
          <w:rFonts w:cs="宋体" w:asciiTheme="minorEastAsia" w:hAnsiTheme="minorEastAsia"/>
          <w:b/>
          <w:bCs/>
          <w:sz w:val="28"/>
          <w:szCs w:val="28"/>
        </w:rPr>
      </w:pPr>
      <w:bookmarkStart w:id="9" w:name="_Toc458617784"/>
      <w:bookmarkEnd w:id="9"/>
      <w:bookmarkStart w:id="10" w:name="_Toc21554"/>
      <w:bookmarkEnd w:id="10"/>
      <w:bookmarkStart w:id="11" w:name="_Toc458617456"/>
      <w:bookmarkEnd w:id="11"/>
      <w:bookmarkStart w:id="12" w:name="_Toc458617733"/>
      <w:bookmarkEnd w:id="12"/>
      <w:r>
        <w:rPr>
          <w:rFonts w:hint="eastAsia" w:cs="宋体" w:asciiTheme="minorEastAsia" w:hAnsiTheme="minorEastAsia"/>
          <w:b/>
          <w:bCs/>
          <w:sz w:val="28"/>
          <w:szCs w:val="28"/>
        </w:rPr>
        <w:t>三、磋商文件</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1、磋商文件购买：供应商须经过正常渠道购买磋商文件，且供应商名称与登记领取磋商文件的单位名称一致，否则将作为无效响应处理。</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2、磋商文件的组成：包括目录中所列的前五部分。</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3、供应商应认真审阅和充分理解磋商文件所有的事项、格式、条款和规范要求等，在磋商响应文件中对磋商文件的各方面都做出实质性的响应，按照磋商文件的要求提交全部资料。</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4．竞争性磋商文件的澄清或修改：</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4-1、提交磋商响应文件截止时间前，采购人、采购代理机构可以</w:t>
      </w:r>
      <w:r>
        <w:rPr>
          <w:rFonts w:hint="eastAsia" w:cs="宋体" w:asciiTheme="minorEastAsia" w:hAnsiTheme="minorEastAsia"/>
          <w:sz w:val="28"/>
          <w:szCs w:val="28"/>
          <w:lang w:val="en-US" w:eastAsia="zh-CN"/>
        </w:rPr>
        <w:t>在交易平台</w:t>
      </w:r>
      <w:r>
        <w:rPr>
          <w:rFonts w:hint="eastAsia" w:cs="宋体" w:asciiTheme="minorEastAsia" w:hAnsiTheme="minorEastAsia"/>
          <w:sz w:val="28"/>
          <w:szCs w:val="28"/>
        </w:rPr>
        <w:t>对竞争性磋商文件进行必要的澄清或修改，其内容均为竞争性磋商文件的组成部分，并对采购人及供应商起约束作用。澄清或修改的内容可能影响响应文件编制的，都将于提交磋商响应文件截止时间5日前以书面形式发送给所有参加磋商的供应商；不足5日的，采购人、采购代理机构顺延递交竞争性磋商响应文件的截止时间。</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-2、供应商若对竞争性磋商文件有任何疑问要求澄清，或认为有必要与采购人进行技术交流的，在获取竞争性磋商文件或者竞争性磋商文件公告期限届满之日起7个工作日内提出。以书面形式向采购代理机构提出，在此之后提出的无效，因此带来的一切不利后果由供应商自负。</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4-3、竞争性磋商文件的澄清或修改内容均以书面形式明确的内容为准。当竞争性磋商文件的澄清、修改、补充等在同一内容的表述上不一致时，以最后发出的</w:t>
      </w:r>
      <w:r>
        <w:rPr>
          <w:rFonts w:hint="eastAsia" w:cs="宋体" w:asciiTheme="minorEastAsia" w:hAnsiTheme="minorEastAsia"/>
          <w:sz w:val="28"/>
          <w:szCs w:val="28"/>
          <w:lang w:val="en-US" w:eastAsia="zh-CN"/>
        </w:rPr>
        <w:t>文件</w:t>
      </w:r>
      <w:r>
        <w:rPr>
          <w:rFonts w:hint="eastAsia" w:cs="宋体" w:asciiTheme="minorEastAsia" w:hAnsiTheme="minorEastAsia"/>
          <w:sz w:val="28"/>
          <w:szCs w:val="28"/>
        </w:rPr>
        <w:t>为准。所有补充文件将作为竞争性磋商文件的组成部分，对所有供应商具有约束力。</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-4、在磋商截止时间前根据采购工作进展实际情况，采购人可酌情延长递交竞争性磋商响应文件的截止时间，若延长将另行以通知各供应商或在原信息发布媒体上发布变更公告。采购代理机构和供应商的权利和义务将受到新的截止期的约束。</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5、供应商必须从采购代理机构购买竞争性磋商文件，供应商自行转让或复制竞争性磋商文件视为无效。竞争性磋商文件售后不退，仅作为本次磋商使用。</w:t>
      </w:r>
    </w:p>
    <w:p>
      <w:pPr>
        <w:spacing w:line="360" w:lineRule="auto"/>
        <w:ind w:firstLine="560"/>
        <w:rPr>
          <w:rFonts w:cs="宋体" w:asciiTheme="minorEastAsia" w:hAnsiTheme="minorEastAsia"/>
          <w:sz w:val="28"/>
          <w:szCs w:val="28"/>
        </w:rPr>
      </w:pPr>
      <w:r>
        <w:rPr>
          <w:rFonts w:hint="eastAsia" w:cs="宋体" w:asciiTheme="minorEastAsia" w:hAnsiTheme="minorEastAsia"/>
          <w:sz w:val="28"/>
          <w:szCs w:val="28"/>
        </w:rPr>
        <w:t>6、竞争性磋商文件的解释权归采购代理机构，如发现竞争性磋商文件内容与现行法律法规不相符的情况，以现行法律法规为准。</w:t>
      </w:r>
    </w:p>
    <w:p>
      <w:pPr>
        <w:spacing w:line="360" w:lineRule="auto"/>
        <w:ind w:firstLine="560"/>
        <w:rPr>
          <w:rFonts w:cs="宋体" w:asciiTheme="minorEastAsia" w:hAnsiTheme="minorEastAsia"/>
          <w:sz w:val="28"/>
          <w:szCs w:val="28"/>
        </w:rPr>
      </w:pPr>
      <w:r>
        <w:rPr>
          <w:rFonts w:hint="eastAsia" w:cs="宋体" w:asciiTheme="minorEastAsia" w:hAnsiTheme="minorEastAsia"/>
          <w:sz w:val="28"/>
          <w:szCs w:val="28"/>
        </w:rPr>
        <w:t>7、现场勘查、标前答疑会：见须知前附表。</w:t>
      </w:r>
    </w:p>
    <w:p>
      <w:pPr>
        <w:spacing w:line="360" w:lineRule="auto"/>
        <w:rPr>
          <w:rFonts w:hint="eastAsia" w:cs="宋体" w:asciiTheme="minorEastAsia" w:hAnsiTheme="minorEastAsia"/>
          <w:b/>
          <w:bCs/>
          <w:sz w:val="28"/>
          <w:szCs w:val="28"/>
        </w:rPr>
      </w:pPr>
      <w:bookmarkStart w:id="13" w:name="_Toc30706"/>
      <w:bookmarkEnd w:id="13"/>
      <w:r>
        <w:rPr>
          <w:rFonts w:hint="eastAsia" w:cs="宋体" w:asciiTheme="minorEastAsia" w:hAnsiTheme="minorEastAsia"/>
          <w:b/>
          <w:bCs/>
          <w:sz w:val="28"/>
          <w:szCs w:val="28"/>
        </w:rPr>
        <w:t>四、磋商响应文件</w:t>
      </w:r>
    </w:p>
    <w:p>
      <w:pPr>
        <w:spacing w:line="360" w:lineRule="auto"/>
        <w:ind w:firstLine="560"/>
        <w:rPr>
          <w:rFonts w:hint="eastAsia" w:cs="宋体" w:asciiTheme="minorEastAsia" w:hAnsiTheme="minorEastAsia"/>
          <w:sz w:val="28"/>
          <w:szCs w:val="28"/>
        </w:rPr>
      </w:pPr>
      <w:r>
        <w:rPr>
          <w:rFonts w:hint="eastAsia" w:cs="宋体" w:asciiTheme="minorEastAsia" w:hAnsiTheme="minorEastAsia"/>
          <w:sz w:val="28"/>
          <w:szCs w:val="28"/>
        </w:rPr>
        <w:t>供应商资格要求</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1.供应商应为具有独立承担民事责任的能力且具备向采购人提供相关货物和服务的企业法人、事业单位法人、其他组织。企业法人应提供具有统一社会信用代码的营业执照；事业单位法人应提供事业单位法人证等证明文件；其他组织应提供合法证明文件。</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.2.供应商提供法定代表人授权书及被授权人身份证，法定代表人直接投标只须提交其法人身份证明。</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.3.供应商不得为“信用中国”网站（www.creditchina.gov.cn）中列入失信被执行人和重大税收违法失信主体的供应商；不得为中国政府采购网（www.ccgp</w:t>
      </w:r>
      <w:r>
        <w:rPr>
          <w:rFonts w:hint="eastAsia" w:cs="宋体" w:asciiTheme="minorEastAsia" w:hAnsiTheme="minorEastAsia"/>
          <w:sz w:val="28"/>
          <w:szCs w:val="28"/>
          <w:lang w:val="en-US" w:eastAsia="zh-CN"/>
        </w:rPr>
        <w:t>.</w:t>
      </w:r>
      <w:r>
        <w:rPr>
          <w:rFonts w:hint="eastAsia" w:cs="宋体" w:asciiTheme="minorEastAsia" w:hAnsiTheme="minorEastAsia"/>
          <w:sz w:val="28"/>
          <w:szCs w:val="28"/>
        </w:rPr>
        <w:t>gov.cn）政府采购严重违法失信行为记录名单中被财政部门禁止参加政府采购活动的供应商。</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.4.财务状况报告：提供2021年度或2022年度的财务审计报告（至少包括资产负债表和利润表，成立时间至提交投标文件截止时间不足一年的可提供成立后任意时段的资产</w:t>
      </w:r>
      <w:bookmarkStart w:id="566" w:name="_GoBack"/>
      <w:bookmarkEnd w:id="566"/>
      <w:r>
        <w:rPr>
          <w:rFonts w:hint="eastAsia" w:cs="宋体" w:asciiTheme="minorEastAsia" w:hAnsiTheme="minorEastAsia"/>
          <w:sz w:val="28"/>
          <w:szCs w:val="28"/>
        </w:rPr>
        <w:t>负债表），或其基本存款账户开户银行出具的资信证明及基本存款账户开户许可证。</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.5.税收缴纳证明：提供上一年度至今已缴纳的至少连续三个月的纳税证明或完税证明，依法免税的单位应提供相关证明材料（复印件加盖供应商公章）。</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.6.社会保障资金缴纳证明：提供上一年度至今已缴存的至少连续三个月的社会保障资金缴存单据或社保机构开具的社会保险参保缴费情况证明，依法不需要缴纳社会保障资金的单位应提供相关证明材料。</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7.书面声明：提供《供应商书面声明函》（经查，参加本次政府采购活动前三年内在经营活动中没有重大违纪，以及未被列入失信被执行人、重大税收违法失信主体的供应商、政府采购严重违法失信行为记录名单的书面声明）。</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.8.单位负责人为同一人或者存在控股、管理关系的不同单位，不得参加同一项目的投标。</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.9.本项目专门面向中小企业采购（符合财库[2020]46号规定的供应商应提供中小微企业声明函）。</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.10.本项目不接受联合体投标。</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.11.磋商保证金交纳凭证（银行汇（存）款回执单，复印件须加盖供应商公章）。</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注：1、上述资质要求，任何一项不符合磋商文件要求的按无效磋商响应处理。供应商须保证资质文件的真实、合法、有效，因资质产生的一切纠纷由供应商承担法律责任。</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2、合格供应商</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供应商应为具有独立承担民事责任的能力且具备向采购人提供相关货物和服务的企业法人、事业单位法人、其他组织。企业法人应提供具有统一社会信用代码的营业执照；事业单位法人应提供事业单位法人证等证明文件；其他组织应提供合法证明文件。不符合上述规定的供应商，磋商无效。</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3、供应商信用信息：</w:t>
      </w:r>
    </w:p>
    <w:p>
      <w:pPr>
        <w:spacing w:line="500" w:lineRule="exact"/>
        <w:ind w:firstLine="548" w:firstLineChars="196"/>
        <w:rPr>
          <w:rFonts w:cs="宋体" w:asciiTheme="minorEastAsia" w:hAnsiTheme="minorEastAsia"/>
          <w:sz w:val="28"/>
          <w:szCs w:val="28"/>
        </w:rPr>
      </w:pPr>
      <w:r>
        <w:rPr>
          <w:rFonts w:hint="eastAsia" w:cs="宋体" w:asciiTheme="minorEastAsia" w:hAnsiTheme="minorEastAsia"/>
          <w:sz w:val="28"/>
          <w:szCs w:val="28"/>
        </w:rPr>
        <w:t>3-1、查询渠道：“信用中国”网站（</w:t>
      </w:r>
      <w:r>
        <w:rPr>
          <w:rStyle w:val="37"/>
          <w:rFonts w:hint="eastAsia" w:cs="宋体" w:asciiTheme="minorEastAsia" w:hAnsiTheme="minorEastAsia"/>
          <w:b/>
          <w:color w:val="000000" w:themeColor="text1"/>
          <w:sz w:val="28"/>
          <w:szCs w:val="28"/>
          <w14:textFill>
            <w14:solidFill>
              <w14:schemeClr w14:val="tx1"/>
            </w14:solidFill>
          </w14:textFill>
        </w:rPr>
        <w:t>www.creditchina.gov.cn</w:t>
      </w:r>
      <w:r>
        <w:rPr>
          <w:rFonts w:hint="eastAsia" w:cs="宋体" w:asciiTheme="minorEastAsia" w:hAnsiTheme="minorEastAsia"/>
          <w:sz w:val="28"/>
          <w:szCs w:val="28"/>
        </w:rPr>
        <w:t>）</w:t>
      </w:r>
    </w:p>
    <w:p>
      <w:pPr>
        <w:spacing w:line="500" w:lineRule="exact"/>
        <w:ind w:firstLine="2738" w:firstLineChars="978"/>
        <w:rPr>
          <w:rFonts w:cs="宋体" w:asciiTheme="minorEastAsia" w:hAnsiTheme="minorEastAsia"/>
          <w:sz w:val="28"/>
          <w:szCs w:val="28"/>
        </w:rPr>
      </w:pPr>
      <w:r>
        <w:rPr>
          <w:rFonts w:hint="eastAsia" w:cs="宋体" w:asciiTheme="minorEastAsia" w:hAnsiTheme="minorEastAsia"/>
          <w:sz w:val="28"/>
          <w:szCs w:val="28"/>
        </w:rPr>
        <w:t>中国政府采购网(</w:t>
      </w:r>
      <w:r>
        <w:fldChar w:fldCharType="begin"/>
      </w:r>
      <w:r>
        <w:instrText xml:space="preserve"> HYPERLINK "http://www.ccgp.gov.cn" </w:instrText>
      </w:r>
      <w:r>
        <w:fldChar w:fldCharType="separate"/>
      </w:r>
      <w:r>
        <w:rPr>
          <w:rStyle w:val="37"/>
          <w:rFonts w:hint="eastAsia" w:cs="宋体" w:asciiTheme="minorEastAsia" w:hAnsiTheme="minorEastAsia"/>
          <w:b/>
          <w:color w:val="000000" w:themeColor="text1"/>
          <w:sz w:val="28"/>
          <w:szCs w:val="28"/>
          <w14:textFill>
            <w14:solidFill>
              <w14:schemeClr w14:val="tx1"/>
            </w14:solidFill>
          </w14:textFill>
        </w:rPr>
        <w:t>www.ccgp.gov.cn</w:t>
      </w:r>
      <w:r>
        <w:rPr>
          <w:rStyle w:val="37"/>
          <w:rFonts w:hint="eastAsia" w:cs="宋体" w:asciiTheme="minorEastAsia" w:hAnsiTheme="minorEastAsia"/>
          <w:b/>
          <w:color w:val="000000" w:themeColor="text1"/>
          <w:sz w:val="28"/>
          <w:szCs w:val="28"/>
          <w14:textFill>
            <w14:solidFill>
              <w14:schemeClr w14:val="tx1"/>
            </w14:solidFill>
          </w14:textFill>
        </w:rPr>
        <w:fldChar w:fldCharType="end"/>
      </w:r>
      <w:r>
        <w:rPr>
          <w:rFonts w:hint="eastAsia" w:cs="宋体" w:asciiTheme="minorEastAsia" w:hAnsiTheme="minorEastAsia"/>
          <w:sz w:val="28"/>
          <w:szCs w:val="28"/>
        </w:rPr>
        <w:t>)；</w:t>
      </w:r>
    </w:p>
    <w:p>
      <w:pPr>
        <w:spacing w:line="500" w:lineRule="exact"/>
        <w:ind w:firstLine="560"/>
        <w:rPr>
          <w:rFonts w:cs="宋体" w:asciiTheme="minorEastAsia" w:hAnsiTheme="minorEastAsia"/>
          <w:color w:val="FF0000"/>
          <w:sz w:val="28"/>
          <w:szCs w:val="28"/>
        </w:rPr>
      </w:pPr>
      <w:r>
        <w:rPr>
          <w:rFonts w:hint="eastAsia" w:cs="宋体" w:asciiTheme="minorEastAsia" w:hAnsiTheme="minorEastAsia"/>
          <w:sz w:val="28"/>
          <w:szCs w:val="28"/>
        </w:rPr>
        <w:t>3-2、查询起止时点：自本公告发布之日起至投标截止时间。</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3-3、查询记录和证据留存方式：供应商提供在网站查询的截图，并附在磋商响应文件中；</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3-4、使用规则：对列入失信被执行人、重大税收违法失信主体的供应商、政府采购严重违法失信行为记录名单的供应商，其磋商无效；</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3-5、特别说明：</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（1）供应商如在成交通知书发出前出现违法失信行为，采购人仍有权利提请磋商小组取消其成交资格；</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（2）供应商在磋商响应文件中已出具的信用查询结果并不能取代采购人或采购代理机构在评审前进行复查。</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4、竞争性磋商响应文件的组成：</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4-1、各供应商应根据竞争性磋商文件要求编制响应文件。</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4-2、竞争性磋商响应文件应由磋商函、磋商报价一览表、资格证明文</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件、技术文件等部分组成。</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1.</w:t>
      </w:r>
      <w:r>
        <w:rPr>
          <w:rFonts w:hint="eastAsia" w:cs="宋体" w:asciiTheme="minorEastAsia" w:hAnsiTheme="minorEastAsia"/>
          <w:sz w:val="28"/>
          <w:szCs w:val="28"/>
        </w:rPr>
        <w:t xml:space="preserve">磋商函 </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rPr>
        <w:t>2</w:t>
      </w:r>
      <w:r>
        <w:rPr>
          <w:rFonts w:hint="eastAsia" w:cs="宋体" w:asciiTheme="minorEastAsia" w:hAnsiTheme="minorEastAsia"/>
          <w:sz w:val="28"/>
          <w:szCs w:val="28"/>
          <w:lang w:eastAsia="zh-CN"/>
        </w:rPr>
        <w:t>.</w:t>
      </w:r>
      <w:r>
        <w:rPr>
          <w:rFonts w:hint="eastAsia" w:cs="宋体" w:asciiTheme="minorEastAsia" w:hAnsiTheme="minorEastAsia"/>
          <w:sz w:val="28"/>
          <w:szCs w:val="28"/>
        </w:rPr>
        <w:t>磋商报价一览表</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rPr>
        <w:t>3</w:t>
      </w:r>
      <w:r>
        <w:rPr>
          <w:rFonts w:hint="eastAsia" w:cs="宋体" w:asciiTheme="minorEastAsia" w:hAnsiTheme="minorEastAsia"/>
          <w:sz w:val="28"/>
          <w:szCs w:val="28"/>
          <w:lang w:eastAsia="zh-CN"/>
        </w:rPr>
        <w:t>.</w:t>
      </w:r>
      <w:r>
        <w:rPr>
          <w:rFonts w:hint="eastAsia" w:cs="宋体" w:asciiTheme="minorEastAsia" w:hAnsiTheme="minorEastAsia"/>
          <w:sz w:val="28"/>
          <w:szCs w:val="28"/>
        </w:rPr>
        <w:t>商务条款响应偏离表</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rPr>
        <w:t>4</w:t>
      </w:r>
      <w:r>
        <w:rPr>
          <w:rFonts w:hint="eastAsia" w:cs="宋体" w:asciiTheme="minorEastAsia" w:hAnsiTheme="minorEastAsia"/>
          <w:sz w:val="28"/>
          <w:szCs w:val="28"/>
          <w:lang w:eastAsia="zh-CN"/>
        </w:rPr>
        <w:t>.</w:t>
      </w:r>
      <w:r>
        <w:rPr>
          <w:rFonts w:hint="eastAsia" w:cs="宋体" w:asciiTheme="minorEastAsia" w:hAnsiTheme="minorEastAsia"/>
          <w:sz w:val="28"/>
          <w:szCs w:val="28"/>
        </w:rPr>
        <w:t>资格证明文件</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rPr>
        <w:t>5.技术响应</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rPr>
        <w:t>6.提供企业近三年市级</w:t>
      </w:r>
      <w:r>
        <w:rPr>
          <w:rFonts w:hint="eastAsia" w:cs="宋体" w:asciiTheme="minorEastAsia" w:hAnsiTheme="minorEastAsia"/>
          <w:sz w:val="28"/>
          <w:szCs w:val="28"/>
          <w:lang w:eastAsia="zh-CN"/>
        </w:rPr>
        <w:t>、</w:t>
      </w:r>
      <w:r>
        <w:rPr>
          <w:rFonts w:hint="eastAsia" w:cs="宋体" w:asciiTheme="minorEastAsia" w:hAnsiTheme="minorEastAsia"/>
          <w:sz w:val="28"/>
          <w:szCs w:val="28"/>
          <w:lang w:val="en-US" w:eastAsia="zh-CN"/>
        </w:rPr>
        <w:t>县级</w:t>
      </w:r>
      <w:r>
        <w:rPr>
          <w:rFonts w:hint="eastAsia" w:cs="宋体" w:asciiTheme="minorEastAsia" w:hAnsiTheme="minorEastAsia"/>
          <w:sz w:val="28"/>
          <w:szCs w:val="28"/>
        </w:rPr>
        <w:t>公路信息化平台类似相关业绩（以合同为准，复印件加盖公章）</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rPr>
        <w:t>7</w:t>
      </w:r>
      <w:r>
        <w:rPr>
          <w:rFonts w:hint="eastAsia" w:cs="宋体" w:asciiTheme="minorEastAsia" w:hAnsiTheme="minorEastAsia"/>
          <w:sz w:val="28"/>
          <w:szCs w:val="28"/>
          <w:lang w:eastAsia="zh-CN"/>
        </w:rPr>
        <w:t>.</w:t>
      </w:r>
      <w:r>
        <w:rPr>
          <w:rFonts w:hint="eastAsia" w:cs="宋体" w:asciiTheme="minorEastAsia" w:hAnsiTheme="minorEastAsia"/>
          <w:sz w:val="28"/>
          <w:szCs w:val="28"/>
        </w:rPr>
        <w:t>供应商认为有必要补充说明的事宜</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rPr>
        <w:t>8</w:t>
      </w:r>
      <w:r>
        <w:rPr>
          <w:rFonts w:hint="eastAsia" w:cs="宋体" w:asciiTheme="minorEastAsia" w:hAnsiTheme="minorEastAsia"/>
          <w:sz w:val="28"/>
          <w:szCs w:val="28"/>
          <w:lang w:eastAsia="zh-CN"/>
        </w:rPr>
        <w:t>.</w:t>
      </w:r>
      <w:r>
        <w:rPr>
          <w:rFonts w:hint="eastAsia" w:cs="宋体" w:asciiTheme="minorEastAsia" w:hAnsiTheme="minorEastAsia"/>
          <w:sz w:val="28"/>
          <w:szCs w:val="28"/>
        </w:rPr>
        <w:t>磋商声明书</w:t>
      </w:r>
    </w:p>
    <w:p>
      <w:pPr>
        <w:spacing w:line="500" w:lineRule="exact"/>
        <w:ind w:firstLine="560"/>
        <w:rPr>
          <w:rFonts w:hint="eastAsia" w:cs="宋体" w:asciiTheme="minorEastAsia" w:hAnsiTheme="minorEastAsia"/>
          <w:sz w:val="28"/>
        </w:rPr>
      </w:pPr>
      <w:r>
        <w:rPr>
          <w:rFonts w:hint="eastAsia" w:cs="宋体" w:asciiTheme="minorEastAsia" w:hAnsiTheme="minorEastAsia"/>
          <w:sz w:val="28"/>
          <w:szCs w:val="28"/>
        </w:rPr>
        <w:t>9</w:t>
      </w:r>
      <w:r>
        <w:rPr>
          <w:rFonts w:hint="eastAsia" w:cs="宋体" w:asciiTheme="minorEastAsia" w:hAnsiTheme="minorEastAsia"/>
          <w:sz w:val="28"/>
          <w:szCs w:val="28"/>
          <w:lang w:eastAsia="zh-CN"/>
        </w:rPr>
        <w:t>.</w:t>
      </w:r>
      <w:r>
        <w:rPr>
          <w:rFonts w:hint="eastAsia" w:cs="宋体" w:asciiTheme="minorEastAsia" w:hAnsiTheme="minorEastAsia"/>
          <w:sz w:val="28"/>
          <w:szCs w:val="28"/>
        </w:rPr>
        <w:t>《拒绝</w:t>
      </w:r>
      <w:r>
        <w:rPr>
          <w:rFonts w:hint="eastAsia" w:cs="宋体" w:asciiTheme="minorEastAsia" w:hAnsiTheme="minorEastAsia"/>
          <w:sz w:val="28"/>
        </w:rPr>
        <w:t>政府采购领域商业贿赂承诺书》（格式）</w:t>
      </w:r>
    </w:p>
    <w:p>
      <w:pPr>
        <w:spacing w:line="480" w:lineRule="exact"/>
        <w:ind w:firstLine="560" w:firstLineChars="2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10.《中小企业声明函》及证明文件（若有）</w:t>
      </w:r>
    </w:p>
    <w:p>
      <w:pPr>
        <w:spacing w:line="480" w:lineRule="exact"/>
        <w:ind w:firstLine="560" w:firstLineChars="200"/>
      </w:pPr>
      <w:r>
        <w:rPr>
          <w:rFonts w:hint="eastAsia" w:ascii="宋体" w:hAnsi="宋体" w:cs="宋体"/>
          <w:color w:val="000000"/>
          <w:sz w:val="28"/>
          <w:szCs w:val="28"/>
          <w:lang w:val="en-US" w:eastAsia="zh-CN"/>
        </w:rPr>
        <w:t>11.《残疾人福利性单位声明函》（若有</w:t>
      </w:r>
      <w:r>
        <w:rPr>
          <w:rFonts w:hint="eastAsia" w:ascii="宋体" w:hAnsi="宋体" w:cs="宋体"/>
          <w:b w:val="0"/>
          <w:bCs w:val="0"/>
          <w:sz w:val="28"/>
          <w:szCs w:val="28"/>
        </w:rPr>
        <w:t>）</w:t>
      </w:r>
    </w:p>
    <w:p>
      <w:pPr>
        <w:spacing w:line="500" w:lineRule="exact"/>
        <w:ind w:firstLine="562"/>
        <w:rPr>
          <w:rFonts w:cs="宋体" w:asciiTheme="minorEastAsia" w:hAnsiTheme="minorEastAsia"/>
          <w:b/>
          <w:sz w:val="28"/>
          <w:szCs w:val="28"/>
        </w:rPr>
      </w:pPr>
      <w:r>
        <w:rPr>
          <w:rFonts w:hint="eastAsia" w:cs="宋体" w:asciiTheme="minorEastAsia" w:hAnsiTheme="minorEastAsia"/>
          <w:b/>
          <w:sz w:val="28"/>
          <w:szCs w:val="28"/>
        </w:rPr>
        <w:t>4-3、技术部分</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供应商按照竞争性磋商文件要求，针对本项目的技术指标和要求作出实质性响应。</w:t>
      </w:r>
    </w:p>
    <w:p>
      <w:pPr>
        <w:spacing w:line="500" w:lineRule="exact"/>
        <w:ind w:left="560"/>
        <w:rPr>
          <w:rFonts w:cs="宋体" w:asciiTheme="minorEastAsia" w:hAnsiTheme="minorEastAsia"/>
          <w:b/>
          <w:sz w:val="28"/>
          <w:szCs w:val="28"/>
        </w:rPr>
      </w:pPr>
      <w:r>
        <w:rPr>
          <w:rFonts w:hint="eastAsia" w:cs="宋体" w:asciiTheme="minorEastAsia" w:hAnsiTheme="minorEastAsia"/>
          <w:b/>
          <w:sz w:val="28"/>
          <w:szCs w:val="28"/>
        </w:rPr>
        <w:t>4-4、商务部分</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供应商按照竞争性磋商文件要求，针对本项目的商务要求作出实质性响应，包含以下内容：</w:t>
      </w:r>
    </w:p>
    <w:p>
      <w:pPr>
        <w:spacing w:line="500" w:lineRule="exact"/>
        <w:ind w:firstLine="280" w:firstLineChars="100"/>
        <w:rPr>
          <w:rFonts w:cs="宋体" w:asciiTheme="minorEastAsia" w:hAnsiTheme="minorEastAsia"/>
          <w:sz w:val="28"/>
          <w:szCs w:val="28"/>
        </w:rPr>
      </w:pPr>
      <w:r>
        <w:rPr>
          <w:rFonts w:hint="eastAsia" w:cs="宋体" w:asciiTheme="minorEastAsia" w:hAnsiTheme="minorEastAsia"/>
          <w:sz w:val="28"/>
          <w:szCs w:val="28"/>
        </w:rPr>
        <w:t>（1）商务响应偏离表；</w:t>
      </w:r>
    </w:p>
    <w:p>
      <w:pPr>
        <w:spacing w:line="500" w:lineRule="exact"/>
        <w:ind w:firstLine="280" w:firstLineChars="100"/>
        <w:rPr>
          <w:rFonts w:cs="宋体" w:asciiTheme="minorEastAsia" w:hAnsiTheme="minorEastAsia"/>
          <w:sz w:val="28"/>
          <w:szCs w:val="28"/>
        </w:rPr>
      </w:pPr>
      <w:r>
        <w:rPr>
          <w:rFonts w:hint="eastAsia" w:cs="宋体" w:asciiTheme="minorEastAsia" w:hAnsiTheme="minorEastAsia"/>
          <w:sz w:val="28"/>
          <w:szCs w:val="28"/>
        </w:rPr>
        <w:t>（2）供应商认为需要提供的文件和资料。</w:t>
      </w:r>
    </w:p>
    <w:p>
      <w:pPr>
        <w:spacing w:line="500" w:lineRule="exact"/>
        <w:ind w:firstLine="560"/>
        <w:rPr>
          <w:rFonts w:cs="宋体" w:asciiTheme="minorEastAsia" w:hAnsiTheme="minorEastAsia"/>
          <w:b/>
          <w:bCs/>
          <w:sz w:val="28"/>
          <w:szCs w:val="28"/>
        </w:rPr>
      </w:pPr>
      <w:r>
        <w:rPr>
          <w:rFonts w:hint="eastAsia" w:cs="宋体" w:asciiTheme="minorEastAsia" w:hAnsiTheme="minorEastAsia"/>
          <w:bCs/>
          <w:sz w:val="28"/>
          <w:szCs w:val="28"/>
        </w:rPr>
        <w:t>5、</w:t>
      </w:r>
      <w:r>
        <w:rPr>
          <w:rFonts w:hint="eastAsia" w:cs="宋体" w:asciiTheme="minorEastAsia" w:hAnsiTheme="minorEastAsia"/>
          <w:sz w:val="28"/>
          <w:szCs w:val="28"/>
        </w:rPr>
        <w:t>磋商响应文件编写说明</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-1、磋商响应文件格式：磋商响应文件应当使用磋商文件规定的全部格式（表格可以按同样格式扩展）编写，除明确允许供应商可以自行编写的外，供应商不得以“磋商响应文件格式”规定之外的方式填写相关内容。否则，将作为无效响应处理。</w:t>
      </w:r>
    </w:p>
    <w:p>
      <w:pPr>
        <w:spacing w:line="500" w:lineRule="exact"/>
        <w:ind w:firstLine="560"/>
        <w:rPr>
          <w:rFonts w:cs="宋体" w:asciiTheme="minorEastAsia" w:hAnsiTheme="minorEastAsia"/>
          <w:b/>
          <w:bCs/>
          <w:sz w:val="28"/>
          <w:szCs w:val="28"/>
        </w:rPr>
      </w:pPr>
      <w:r>
        <w:rPr>
          <w:rFonts w:hint="eastAsia" w:cs="宋体" w:asciiTheme="minorEastAsia" w:hAnsiTheme="minorEastAsia"/>
          <w:sz w:val="28"/>
          <w:szCs w:val="28"/>
        </w:rPr>
        <w:t>5-2磋商报价一览表按格式要求填写。若供应商填写有误，采购代理机构将默认为磋商文件要求格式。</w:t>
      </w:r>
    </w:p>
    <w:p>
      <w:pPr>
        <w:spacing w:line="500" w:lineRule="exact"/>
        <w:ind w:firstLine="560"/>
        <w:rPr>
          <w:rFonts w:cs="宋体" w:asciiTheme="minorEastAsia" w:hAnsiTheme="minorEastAsia"/>
          <w:b/>
          <w:bCs/>
          <w:sz w:val="28"/>
          <w:szCs w:val="28"/>
        </w:rPr>
      </w:pPr>
      <w:r>
        <w:rPr>
          <w:rFonts w:cs="宋体" w:asciiTheme="minorEastAsia" w:hAnsiTheme="minorEastAsia"/>
          <w:sz w:val="28"/>
          <w:szCs w:val="28"/>
        </w:rPr>
        <w:t>6</w:t>
      </w:r>
      <w:r>
        <w:rPr>
          <w:rFonts w:hint="eastAsia" w:cs="宋体" w:asciiTheme="minorEastAsia" w:hAnsiTheme="minorEastAsia"/>
          <w:sz w:val="28"/>
          <w:szCs w:val="28"/>
        </w:rPr>
        <w:t>、磋商响应文件的计量单位</w:t>
      </w:r>
    </w:p>
    <w:p>
      <w:pPr>
        <w:spacing w:line="500" w:lineRule="exact"/>
        <w:ind w:firstLine="560"/>
        <w:rPr>
          <w:rFonts w:cs="宋体" w:asciiTheme="minorEastAsia" w:hAnsiTheme="minorEastAsia"/>
          <w:b/>
          <w:bCs/>
          <w:sz w:val="28"/>
          <w:szCs w:val="28"/>
        </w:rPr>
      </w:pPr>
      <w:r>
        <w:rPr>
          <w:rFonts w:hint="eastAsia" w:cs="宋体" w:asciiTheme="minorEastAsia" w:hAnsiTheme="minorEastAsia"/>
          <w:sz w:val="28"/>
          <w:szCs w:val="28"/>
        </w:rPr>
        <w:t>磋商响应文件中所使用的计量单位，除有特殊要求外，均采用国家法定计量单位。</w:t>
      </w:r>
    </w:p>
    <w:p>
      <w:pPr>
        <w:spacing w:line="500" w:lineRule="exact"/>
        <w:ind w:firstLine="560"/>
        <w:rPr>
          <w:rFonts w:cs="宋体" w:asciiTheme="minorEastAsia" w:hAnsiTheme="minorEastAsia"/>
          <w:b/>
          <w:bCs/>
          <w:sz w:val="28"/>
          <w:szCs w:val="28"/>
        </w:rPr>
      </w:pPr>
      <w:r>
        <w:rPr>
          <w:rFonts w:cs="宋体" w:asciiTheme="minorEastAsia" w:hAnsiTheme="minorEastAsia"/>
          <w:bCs/>
          <w:sz w:val="28"/>
          <w:szCs w:val="28"/>
        </w:rPr>
        <w:t>7</w:t>
      </w:r>
      <w:r>
        <w:rPr>
          <w:rFonts w:hint="eastAsia" w:cs="宋体" w:asciiTheme="minorEastAsia" w:hAnsiTheme="minorEastAsia"/>
          <w:bCs/>
          <w:sz w:val="28"/>
          <w:szCs w:val="28"/>
        </w:rPr>
        <w:t>、磋商报价</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7</w:t>
      </w:r>
      <w:r>
        <w:rPr>
          <w:rFonts w:hint="eastAsia" w:cs="宋体" w:asciiTheme="minorEastAsia" w:hAnsiTheme="minorEastAsia"/>
          <w:sz w:val="28"/>
          <w:szCs w:val="28"/>
        </w:rPr>
        <w:t>-1、磋商货币：人民币      单位:元。</w:t>
      </w:r>
    </w:p>
    <w:p>
      <w:pPr>
        <w:spacing w:line="500" w:lineRule="exact"/>
        <w:ind w:firstLine="560"/>
        <w:rPr>
          <w:rFonts w:cs="宋体" w:asciiTheme="minorEastAsia" w:hAnsiTheme="minorEastAsia"/>
          <w:b/>
          <w:sz w:val="28"/>
          <w:szCs w:val="28"/>
        </w:rPr>
      </w:pPr>
      <w:r>
        <w:rPr>
          <w:rFonts w:cs="宋体" w:asciiTheme="minorEastAsia" w:hAnsiTheme="minorEastAsia"/>
          <w:sz w:val="28"/>
          <w:szCs w:val="28"/>
        </w:rPr>
        <w:t>7</w:t>
      </w:r>
      <w:r>
        <w:rPr>
          <w:rFonts w:hint="eastAsia" w:cs="宋体" w:asciiTheme="minorEastAsia" w:hAnsiTheme="minorEastAsia"/>
          <w:sz w:val="28"/>
          <w:szCs w:val="28"/>
        </w:rPr>
        <w:t>-2、磋商报价是指产品到达使用地点，达到正常使用条件下的所有费用，包括产品的报价及所发生的运杂费（含保险）、现场安装调试费及按现行税收政策征收的一切税费等。以磋商文件的内容和要求作为磋商依据。</w:t>
      </w:r>
    </w:p>
    <w:p>
      <w:pPr>
        <w:spacing w:line="500" w:lineRule="exact"/>
        <w:ind w:firstLine="562" w:firstLineChars="200"/>
        <w:rPr>
          <w:rFonts w:cs="宋体" w:asciiTheme="minorEastAsia" w:hAnsiTheme="minorEastAsia"/>
          <w:b/>
          <w:sz w:val="28"/>
        </w:rPr>
      </w:pPr>
      <w:r>
        <w:rPr>
          <w:rFonts w:cs="宋体" w:asciiTheme="minorEastAsia" w:hAnsiTheme="minorEastAsia"/>
          <w:b/>
          <w:sz w:val="28"/>
        </w:rPr>
        <w:t>7</w:t>
      </w:r>
      <w:r>
        <w:rPr>
          <w:rFonts w:hint="eastAsia" w:cs="宋体" w:asciiTheme="minorEastAsia" w:hAnsiTheme="minorEastAsia"/>
          <w:b/>
          <w:sz w:val="28"/>
        </w:rPr>
        <w:t>-3、磋商报价=本次采购过程中产生的一切费用。</w:t>
      </w:r>
    </w:p>
    <w:p>
      <w:pPr>
        <w:spacing w:line="500" w:lineRule="exact"/>
        <w:ind w:firstLine="562" w:firstLineChars="200"/>
        <w:rPr>
          <w:rFonts w:cs="宋体" w:asciiTheme="minorEastAsia" w:hAnsiTheme="minorEastAsia"/>
          <w:b/>
          <w:sz w:val="28"/>
        </w:rPr>
      </w:pPr>
      <w:r>
        <w:rPr>
          <w:rFonts w:hint="eastAsia" w:cs="宋体" w:asciiTheme="minorEastAsia" w:hAnsiTheme="minorEastAsia"/>
          <w:b/>
          <w:sz w:val="28"/>
        </w:rPr>
        <w:t>注：</w:t>
      </w:r>
      <w:r>
        <w:rPr>
          <w:rFonts w:hint="eastAsia" w:cs="宋体" w:asciiTheme="minorEastAsia" w:hAnsiTheme="minorEastAsia"/>
          <w:b/>
          <w:sz w:val="28"/>
          <w:u w:val="single"/>
        </w:rPr>
        <w:t>a、供应商报价超出最高限价，作为不实质性响应竞争性磋商响应文件，按无效磋商响应处理。</w:t>
      </w:r>
    </w:p>
    <w:p>
      <w:pPr>
        <w:spacing w:line="500" w:lineRule="exact"/>
        <w:ind w:firstLine="1124" w:firstLineChars="400"/>
        <w:rPr>
          <w:rFonts w:cs="宋体" w:asciiTheme="minorEastAsia" w:hAnsiTheme="minorEastAsia"/>
          <w:b/>
          <w:sz w:val="28"/>
          <w:szCs w:val="28"/>
        </w:rPr>
      </w:pPr>
      <w:r>
        <w:rPr>
          <w:rFonts w:hint="eastAsia" w:cs="宋体" w:asciiTheme="minorEastAsia" w:hAnsiTheme="minorEastAsia"/>
          <w:b/>
          <w:sz w:val="28"/>
          <w:szCs w:val="28"/>
          <w:u w:val="single"/>
        </w:rPr>
        <w:t>b、报价未精确到小数点后两位，将作为无效磋商响应文件。</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7</w:t>
      </w:r>
      <w:r>
        <w:rPr>
          <w:rFonts w:hint="eastAsia" w:cs="宋体" w:asciiTheme="minorEastAsia" w:hAnsiTheme="minorEastAsia"/>
          <w:sz w:val="28"/>
          <w:szCs w:val="28"/>
        </w:rPr>
        <w:t>-4、</w:t>
      </w:r>
      <w:r>
        <w:rPr>
          <w:rFonts w:hint="eastAsia" w:cs="仿宋_GB2312" w:asciiTheme="minorEastAsia" w:hAnsiTheme="minorEastAsia"/>
          <w:sz w:val="28"/>
          <w:szCs w:val="28"/>
        </w:rPr>
        <w:t>供应商所报的磋商价在合同执行过程中是固定不变的，不得以任何理由予以变更。任何包含价格调整要求的磋商，将被认为是非响应性磋商而予以拒绝。</w:t>
      </w:r>
    </w:p>
    <w:p>
      <w:pPr>
        <w:spacing w:line="500" w:lineRule="exact"/>
        <w:ind w:firstLine="560"/>
        <w:rPr>
          <w:rFonts w:cs="宋体" w:asciiTheme="minorEastAsia" w:hAnsiTheme="minorEastAsia"/>
          <w:bCs/>
          <w:sz w:val="28"/>
          <w:szCs w:val="28"/>
        </w:rPr>
      </w:pPr>
      <w:r>
        <w:rPr>
          <w:rFonts w:cs="宋体" w:asciiTheme="minorEastAsia" w:hAnsiTheme="minorEastAsia"/>
          <w:bCs/>
          <w:sz w:val="28"/>
          <w:szCs w:val="28"/>
        </w:rPr>
        <w:t>8</w:t>
      </w:r>
      <w:r>
        <w:rPr>
          <w:rFonts w:hint="eastAsia" w:cs="宋体" w:asciiTheme="minorEastAsia" w:hAnsiTheme="minorEastAsia"/>
          <w:bCs/>
          <w:sz w:val="28"/>
          <w:szCs w:val="28"/>
        </w:rPr>
        <w:t>、各供应商须对以下内容做出承诺：</w:t>
      </w:r>
    </w:p>
    <w:p>
      <w:pPr>
        <w:spacing w:line="500" w:lineRule="exact"/>
        <w:ind w:firstLine="560"/>
        <w:rPr>
          <w:rFonts w:cs="宋体" w:asciiTheme="minorEastAsia" w:hAnsiTheme="minorEastAsia"/>
          <w:b/>
          <w:bCs/>
          <w:sz w:val="28"/>
          <w:szCs w:val="28"/>
        </w:rPr>
      </w:pPr>
      <w:r>
        <w:rPr>
          <w:rFonts w:cs="宋体" w:asciiTheme="minorEastAsia" w:hAnsiTheme="minorEastAsia"/>
          <w:sz w:val="28"/>
          <w:szCs w:val="28"/>
        </w:rPr>
        <w:t>8</w:t>
      </w:r>
      <w:r>
        <w:rPr>
          <w:rFonts w:hint="eastAsia" w:cs="宋体" w:asciiTheme="minorEastAsia" w:hAnsiTheme="minorEastAsia"/>
          <w:sz w:val="28"/>
          <w:szCs w:val="28"/>
        </w:rPr>
        <w:t>-1、供应商不得以他人名义磋商和串通磋商。</w:t>
      </w:r>
    </w:p>
    <w:p>
      <w:pPr>
        <w:spacing w:line="500" w:lineRule="exact"/>
        <w:ind w:firstLine="560"/>
        <w:rPr>
          <w:rFonts w:cs="宋体" w:asciiTheme="minorEastAsia" w:hAnsiTheme="minorEastAsia"/>
          <w:b/>
          <w:bCs/>
          <w:sz w:val="28"/>
          <w:szCs w:val="28"/>
        </w:rPr>
      </w:pPr>
      <w:r>
        <w:rPr>
          <w:rFonts w:cs="宋体" w:asciiTheme="minorEastAsia" w:hAnsiTheme="minorEastAsia"/>
          <w:sz w:val="28"/>
          <w:szCs w:val="28"/>
        </w:rPr>
        <w:t>8</w:t>
      </w:r>
      <w:r>
        <w:rPr>
          <w:rFonts w:hint="eastAsia" w:cs="宋体" w:asciiTheme="minorEastAsia" w:hAnsiTheme="minorEastAsia"/>
          <w:sz w:val="28"/>
          <w:szCs w:val="28"/>
        </w:rPr>
        <w:t>-2、必须根据磋商文件要求进行生产、供货等。</w:t>
      </w:r>
    </w:p>
    <w:p>
      <w:pPr>
        <w:spacing w:line="500" w:lineRule="exact"/>
        <w:ind w:firstLine="560"/>
        <w:rPr>
          <w:rFonts w:cs="宋体" w:asciiTheme="minorEastAsia" w:hAnsiTheme="minorEastAsia"/>
          <w:b/>
          <w:bCs/>
          <w:sz w:val="28"/>
          <w:szCs w:val="28"/>
        </w:rPr>
      </w:pPr>
      <w:r>
        <w:rPr>
          <w:rFonts w:cs="宋体" w:asciiTheme="minorEastAsia" w:hAnsiTheme="minorEastAsia"/>
          <w:sz w:val="28"/>
          <w:szCs w:val="28"/>
        </w:rPr>
        <w:t>8</w:t>
      </w:r>
      <w:r>
        <w:rPr>
          <w:rFonts w:hint="eastAsia" w:cs="宋体" w:asciiTheme="minorEastAsia" w:hAnsiTheme="minorEastAsia"/>
          <w:sz w:val="28"/>
          <w:szCs w:val="28"/>
        </w:rPr>
        <w:t>-3、非经采购人同意，不得将本项目内容进行分包实施，一经发现，立即取消其成交资格，并承担由此引起的一切经济损失；经采购人同意，成交供应商可以依法采取分包方式履行合同。分包部分为成交项目的部分非主体、非关键性工作。</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8</w:t>
      </w:r>
      <w:r>
        <w:rPr>
          <w:rFonts w:hint="eastAsia" w:cs="宋体" w:asciiTheme="minorEastAsia" w:hAnsiTheme="minorEastAsia"/>
          <w:sz w:val="28"/>
          <w:szCs w:val="28"/>
        </w:rPr>
        <w:t>-4、接受采购人委托的相关单位对货物内容、质量</w:t>
      </w:r>
      <w:r>
        <w:rPr>
          <w:rFonts w:hint="eastAsia" w:cs="宋体" w:asciiTheme="minorEastAsia" w:hAnsiTheme="minorEastAsia"/>
          <w:sz w:val="28"/>
          <w:szCs w:val="28"/>
          <w:lang w:val="en-US" w:eastAsia="zh-CN"/>
        </w:rPr>
        <w:t>标准</w:t>
      </w:r>
      <w:r>
        <w:rPr>
          <w:rFonts w:hint="eastAsia" w:cs="宋体" w:asciiTheme="minorEastAsia" w:hAnsiTheme="minorEastAsia"/>
          <w:sz w:val="28"/>
          <w:szCs w:val="28"/>
        </w:rPr>
        <w:t>、进度、实施方案、价款支付与结算审核等的监督和管理。</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8</w:t>
      </w:r>
      <w:r>
        <w:rPr>
          <w:rFonts w:hint="eastAsia" w:cs="宋体" w:asciiTheme="minorEastAsia" w:hAnsiTheme="minorEastAsia"/>
          <w:sz w:val="28"/>
          <w:szCs w:val="28"/>
        </w:rPr>
        <w:t>-5、供应商应保证在本项目使用的任何货物的任何一部分，不会产生因第三方提出的侵犯其专利权、商标权、著作权或其它知识产权而引起的法律和经济纠纷，由此引起的纠纷，由供应商承担所有相关责任。</w:t>
      </w:r>
    </w:p>
    <w:p>
      <w:pPr>
        <w:spacing w:line="500" w:lineRule="exact"/>
        <w:ind w:firstLine="560"/>
        <w:rPr>
          <w:rFonts w:cs="宋体" w:asciiTheme="minorEastAsia" w:hAnsiTheme="minorEastAsia"/>
          <w:bCs/>
          <w:sz w:val="28"/>
          <w:szCs w:val="28"/>
        </w:rPr>
      </w:pPr>
      <w:r>
        <w:rPr>
          <w:rFonts w:cs="宋体" w:asciiTheme="minorEastAsia" w:hAnsiTheme="minorEastAsia"/>
          <w:bCs/>
          <w:sz w:val="28"/>
          <w:szCs w:val="28"/>
        </w:rPr>
        <w:t>8</w:t>
      </w:r>
      <w:r>
        <w:rPr>
          <w:rFonts w:hint="eastAsia" w:cs="宋体" w:asciiTheme="minorEastAsia" w:hAnsiTheme="minorEastAsia"/>
          <w:bCs/>
          <w:sz w:val="28"/>
          <w:szCs w:val="28"/>
        </w:rPr>
        <w:t>-6、采购人享有在本项目实施过程中产生的知识成果及知识产权。供应商如欲在项目实施过程中采用自有知识成果，需在磋商响应文件中声明，并提供相关知识产权证明文件。使用该知识成果后，供应商须提供开发接口和开发手册等技术文档，并承诺在服务期内提供技术支持，采购人享有永久使用权。如采用供应商所不拥有的知识产权，则在磋商报价中必须包含合法获得该知识产权的相关费用。</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8</w:t>
      </w:r>
      <w:r>
        <w:rPr>
          <w:rFonts w:hint="eastAsia" w:cs="宋体" w:asciiTheme="minorEastAsia" w:hAnsiTheme="minorEastAsia"/>
          <w:sz w:val="28"/>
          <w:szCs w:val="28"/>
        </w:rPr>
        <w:t>-7、供应商不能以“赠送”、“赠予”等任何名义提供货物和服务以规避磋商文件的约束。否则，将作为无效响应处理。供应商的行为将作为以不正当手段排挤其他供应商认定。</w:t>
      </w:r>
      <w:bookmarkStart w:id="14" w:name="_Toc458617786"/>
      <w:bookmarkEnd w:id="14"/>
      <w:bookmarkStart w:id="15" w:name="_Toc458617458"/>
      <w:bookmarkEnd w:id="15"/>
      <w:bookmarkStart w:id="16" w:name="_Toc458617735"/>
      <w:bookmarkEnd w:id="16"/>
    </w:p>
    <w:p>
      <w:pPr>
        <w:spacing w:line="500" w:lineRule="exact"/>
        <w:ind w:firstLine="562"/>
        <w:rPr>
          <w:rFonts w:cs="宋体" w:asciiTheme="minorEastAsia" w:hAnsiTheme="minorEastAsia"/>
          <w:b/>
          <w:bCs/>
          <w:sz w:val="28"/>
          <w:szCs w:val="28"/>
        </w:rPr>
      </w:pPr>
      <w:bookmarkStart w:id="17" w:name="_Toc4296"/>
      <w:bookmarkEnd w:id="17"/>
      <w:r>
        <w:rPr>
          <w:rFonts w:hint="eastAsia" w:cs="宋体" w:asciiTheme="minorEastAsia" w:hAnsiTheme="minorEastAsia"/>
          <w:b/>
          <w:bCs/>
          <w:sz w:val="28"/>
          <w:szCs w:val="28"/>
        </w:rPr>
        <w:t>五、磋商担保</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1、担保方式：见供应商须知前附表。</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2、磋商担保递交截止时间：见供应商须知前附表。</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3、供应商磋商时，必须以磋商文件规定的方式提交磋商担保，并作为其磋商的一部分。磋商现场不办理磋商担保收取事宜。若</w:t>
      </w:r>
      <w:r>
        <w:rPr>
          <w:rFonts w:hint="eastAsia" w:cs="宋体" w:asciiTheme="minorEastAsia" w:hAnsiTheme="minorEastAsia"/>
          <w:sz w:val="28"/>
          <w:szCs w:val="28"/>
          <w:lang w:val="en-US" w:eastAsia="zh-CN"/>
        </w:rPr>
        <w:t>宝鸡市公共资源交易中心</w:t>
      </w:r>
      <w:r>
        <w:rPr>
          <w:rFonts w:hint="eastAsia" w:cs="宋体" w:asciiTheme="minorEastAsia" w:hAnsiTheme="minorEastAsia"/>
          <w:sz w:val="28"/>
          <w:szCs w:val="28"/>
        </w:rPr>
        <w:t>未在磋商担保递交截止时间收到足额磋商保证金或有效磋商担保函的，或未在磋商响应文件中附磋商担保凭证的，其磋商无效。</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4、退还磋商保证金：</w:t>
      </w:r>
    </w:p>
    <w:p>
      <w:pPr>
        <w:spacing w:line="500" w:lineRule="exact"/>
        <w:ind w:firstLine="562"/>
        <w:rPr>
          <w:rFonts w:cs="宋体" w:asciiTheme="minorEastAsia" w:hAnsiTheme="minorEastAsia"/>
          <w:bCs/>
          <w:sz w:val="28"/>
          <w:szCs w:val="28"/>
        </w:rPr>
      </w:pPr>
      <w:r>
        <w:rPr>
          <w:rFonts w:hint="eastAsia" w:cs="宋体" w:asciiTheme="minorEastAsia" w:hAnsiTheme="minorEastAsia"/>
          <w:bCs/>
          <w:sz w:val="28"/>
          <w:szCs w:val="28"/>
        </w:rPr>
        <w:t>（1）在磋商截止时间前撤回已提交磋商响应文件的供应商的磋商保证金，将在采购代理机构收到供应商书面撤回通知之日起5个工作日内退还（无息）。</w:t>
      </w:r>
    </w:p>
    <w:p>
      <w:pPr>
        <w:spacing w:line="500" w:lineRule="exact"/>
        <w:ind w:firstLine="530"/>
        <w:rPr>
          <w:rFonts w:cs="宋体" w:asciiTheme="minorEastAsia" w:hAnsiTheme="minorEastAsia"/>
          <w:bCs/>
          <w:spacing w:val="-6"/>
          <w:sz w:val="28"/>
          <w:szCs w:val="28"/>
        </w:rPr>
      </w:pPr>
      <w:r>
        <w:rPr>
          <w:rFonts w:hint="eastAsia" w:cs="宋体" w:asciiTheme="minorEastAsia" w:hAnsiTheme="minorEastAsia"/>
          <w:bCs/>
          <w:spacing w:val="-6"/>
          <w:sz w:val="28"/>
          <w:szCs w:val="28"/>
        </w:rPr>
        <w:t>（2）所有</w:t>
      </w:r>
      <w:r>
        <w:rPr>
          <w:rFonts w:hint="eastAsia" w:cs="宋体" w:asciiTheme="minorEastAsia" w:hAnsiTheme="minorEastAsia"/>
          <w:bCs/>
          <w:sz w:val="28"/>
          <w:szCs w:val="28"/>
        </w:rPr>
        <w:t>未成交供应商</w:t>
      </w:r>
      <w:r>
        <w:rPr>
          <w:rFonts w:hint="eastAsia" w:cs="宋体" w:asciiTheme="minorEastAsia" w:hAnsiTheme="minorEastAsia"/>
          <w:bCs/>
          <w:spacing w:val="-6"/>
          <w:sz w:val="28"/>
          <w:szCs w:val="28"/>
        </w:rPr>
        <w:t>的磋商保证金，将在成交通知书发出5个工作日后退还（无息）。</w:t>
      </w:r>
    </w:p>
    <w:p>
      <w:pPr>
        <w:spacing w:line="500" w:lineRule="exact"/>
        <w:ind w:firstLine="530"/>
        <w:jc w:val="left"/>
        <w:rPr>
          <w:rFonts w:cs="宋体" w:asciiTheme="minorEastAsia" w:hAnsiTheme="minorEastAsia"/>
          <w:bCs/>
          <w:spacing w:val="-6"/>
          <w:sz w:val="28"/>
          <w:szCs w:val="28"/>
        </w:rPr>
      </w:pPr>
      <w:r>
        <w:rPr>
          <w:rFonts w:hint="eastAsia" w:cs="宋体" w:asciiTheme="minorEastAsia" w:hAnsiTheme="minorEastAsia"/>
          <w:bCs/>
          <w:spacing w:val="-6"/>
          <w:sz w:val="28"/>
          <w:szCs w:val="28"/>
        </w:rPr>
        <w:t>（3）成</w:t>
      </w:r>
      <w:r>
        <w:rPr>
          <w:rFonts w:hint="eastAsia" w:cs="宋体" w:asciiTheme="minorEastAsia" w:hAnsiTheme="minorEastAsia"/>
          <w:bCs/>
          <w:sz w:val="28"/>
          <w:szCs w:val="28"/>
        </w:rPr>
        <w:t>交供应商</w:t>
      </w:r>
      <w:r>
        <w:rPr>
          <w:rFonts w:hint="eastAsia" w:cs="宋体" w:asciiTheme="minorEastAsia" w:hAnsiTheme="minorEastAsia"/>
          <w:bCs/>
          <w:spacing w:val="-6"/>
          <w:sz w:val="28"/>
          <w:szCs w:val="28"/>
        </w:rPr>
        <w:t>的磋商保证金，将在签订合同后5个工作日内执合同予以退还（无息）。</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5、发生下列情况之一时，磋商保证金将不予退还，提供担保函的供应商将由专业担保机构先行偿付采购人损失：</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5-1、供应商提供虚假资质谋取成交的；</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5-2、供应商有围标、串标现象，经查证属实的；</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5-3、供应商在该项目磋商期间擅自退出磋商活动的；</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5-4、磋商截止时间后供应商撤销磋商响应文件的；</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5-5、供应商自行放弃成交资格的；</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5-6、成交供应商不在规定的时效内领取《成交通知书》的；</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5-7、成交供应商不按规定支付磋商服务费的；</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5-8、成交供应商因自身原因未能在规定期限内与采购人签订合同的。</w:t>
      </w:r>
    </w:p>
    <w:p>
      <w:pPr>
        <w:spacing w:line="500" w:lineRule="exact"/>
        <w:ind w:firstLine="551"/>
        <w:rPr>
          <w:rFonts w:cs="宋体" w:asciiTheme="minorEastAsia" w:hAnsiTheme="minorEastAsia"/>
          <w:b/>
          <w:sz w:val="28"/>
          <w:szCs w:val="28"/>
        </w:rPr>
      </w:pPr>
      <w:r>
        <w:rPr>
          <w:rFonts w:hint="eastAsia" w:cs="宋体" w:asciiTheme="minorEastAsia" w:hAnsiTheme="minorEastAsia"/>
          <w:b/>
          <w:sz w:val="28"/>
          <w:szCs w:val="28"/>
        </w:rPr>
        <w:t>六、磋商响应</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1、磋商响应文件、必备资质文件的递交：</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1-1、供应商应在磋商截止时间前将磋商响应文件上传；</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w:t>
      </w:r>
      <w:r>
        <w:rPr>
          <w:rFonts w:hint="eastAsia" w:cs="宋体" w:asciiTheme="minorEastAsia" w:hAnsiTheme="minorEastAsia"/>
          <w:bCs/>
          <w:sz w:val="28"/>
          <w:szCs w:val="28"/>
        </w:rPr>
        <w:t>竞争性磋商</w:t>
      </w:r>
      <w:r>
        <w:rPr>
          <w:rFonts w:hint="eastAsia" w:cs="宋体" w:asciiTheme="minorEastAsia" w:hAnsiTheme="minorEastAsia"/>
          <w:sz w:val="28"/>
          <w:szCs w:val="28"/>
        </w:rPr>
        <w:t>响应文件的补充、修改与撤回：</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2-1、供应商在递交</w:t>
      </w:r>
      <w:r>
        <w:rPr>
          <w:rFonts w:hint="eastAsia" w:cs="宋体" w:asciiTheme="minorEastAsia" w:hAnsiTheme="minorEastAsia"/>
          <w:bCs/>
          <w:sz w:val="28"/>
          <w:szCs w:val="28"/>
        </w:rPr>
        <w:t>磋商</w:t>
      </w:r>
      <w:r>
        <w:rPr>
          <w:rFonts w:hint="eastAsia" w:cs="宋体" w:asciiTheme="minorEastAsia" w:hAnsiTheme="minorEastAsia"/>
          <w:sz w:val="28"/>
          <w:szCs w:val="28"/>
        </w:rPr>
        <w:t>响应文件以后，在规定的磋商截止时间之前,可以补充、修改或撤回已递交的</w:t>
      </w:r>
      <w:r>
        <w:rPr>
          <w:rFonts w:hint="eastAsia" w:cs="宋体" w:asciiTheme="minorEastAsia" w:hAnsiTheme="minorEastAsia"/>
          <w:bCs/>
          <w:sz w:val="28"/>
          <w:szCs w:val="28"/>
        </w:rPr>
        <w:t>磋商</w:t>
      </w:r>
      <w:r>
        <w:rPr>
          <w:rFonts w:hint="eastAsia" w:cs="宋体" w:asciiTheme="minorEastAsia" w:hAnsiTheme="minorEastAsia"/>
          <w:sz w:val="28"/>
          <w:szCs w:val="28"/>
        </w:rPr>
        <w:t>响应文件，并以书面形式通知采购代理机构。补充、修改的内容应当按磋商文件要求、签署、盖章，并作为</w:t>
      </w:r>
      <w:r>
        <w:rPr>
          <w:rFonts w:hint="eastAsia" w:cs="宋体" w:asciiTheme="minorEastAsia" w:hAnsiTheme="minorEastAsia"/>
          <w:bCs/>
          <w:sz w:val="28"/>
          <w:szCs w:val="28"/>
        </w:rPr>
        <w:t>磋商</w:t>
      </w:r>
      <w:r>
        <w:rPr>
          <w:rFonts w:hint="eastAsia" w:cs="宋体" w:asciiTheme="minorEastAsia" w:hAnsiTheme="minorEastAsia"/>
          <w:sz w:val="28"/>
          <w:szCs w:val="28"/>
        </w:rPr>
        <w:t>响应文件的组成部分；补充、修改的内容与相应文件不一致的，以补充、修改的内容为准。</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2-2、供应商须在磋商截止时间提出修改和撤标的要求。</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-3、供应商提出撤标要求的，须在磋商截止时间前以书面形式（经由法定代表人或被授权人签字）通知采购代理机构。如采取传真形式撤回磋商，随后必须补充有法定代表人或被授权人签署的要求撤回磋商的正式文件。</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2-4、磋商截止时间之后，供应商不得补充、修改</w:t>
      </w:r>
      <w:r>
        <w:rPr>
          <w:rFonts w:hint="eastAsia" w:cs="宋体" w:asciiTheme="minorEastAsia" w:hAnsiTheme="minorEastAsia"/>
          <w:bCs/>
          <w:sz w:val="28"/>
          <w:szCs w:val="28"/>
        </w:rPr>
        <w:t>磋商</w:t>
      </w:r>
      <w:r>
        <w:rPr>
          <w:rFonts w:hint="eastAsia" w:cs="宋体" w:asciiTheme="minorEastAsia" w:hAnsiTheme="minorEastAsia"/>
          <w:sz w:val="28"/>
          <w:szCs w:val="28"/>
        </w:rPr>
        <w:t>响应文件；</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2-5、在磋商截止时间至磋商有效期满之前，供应商不得撤回其</w:t>
      </w:r>
      <w:r>
        <w:rPr>
          <w:rFonts w:hint="eastAsia" w:cs="宋体" w:asciiTheme="minorEastAsia" w:hAnsiTheme="minorEastAsia"/>
          <w:bCs/>
          <w:sz w:val="28"/>
          <w:szCs w:val="28"/>
        </w:rPr>
        <w:t>磋商</w:t>
      </w:r>
      <w:r>
        <w:rPr>
          <w:rFonts w:hint="eastAsia" w:cs="宋体" w:asciiTheme="minorEastAsia" w:hAnsiTheme="minorEastAsia"/>
          <w:sz w:val="28"/>
          <w:szCs w:val="28"/>
        </w:rPr>
        <w:t>响应文件，否则其磋商保证金将不予退还，提供磋商担保的供应商将由专业担保机构先行偿付损失。</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3、磋商有效期：</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3-1、自磋商之日起算90个日历日。</w:t>
      </w:r>
      <w:bookmarkStart w:id="18" w:name="OLE_LINK15"/>
      <w:bookmarkEnd w:id="18"/>
      <w:r>
        <w:rPr>
          <w:rFonts w:hint="eastAsia" w:cs="宋体" w:asciiTheme="minorEastAsia" w:hAnsiTheme="minorEastAsia"/>
          <w:sz w:val="28"/>
          <w:szCs w:val="28"/>
        </w:rPr>
        <w:t>供应商磋商有效期短于磋商文件规定的磋商有效期，按无效响应处理。成交单位的磋商有效期延长至合同执行完毕。</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-2、在原磋商有效期结束前，采购代理机构可要求供应商延长磋商有效期。拒绝延长磋商有效期的供应商有权收回磋商保证金，但不得参与该项目后续采购活动。同意延长磋商有效期的供应商应相应延长磋商担保的有效期，但不得修改</w:t>
      </w:r>
      <w:r>
        <w:rPr>
          <w:rFonts w:hint="eastAsia" w:cs="宋体" w:asciiTheme="minorEastAsia" w:hAnsiTheme="minorEastAsia"/>
          <w:bCs/>
          <w:sz w:val="28"/>
          <w:szCs w:val="28"/>
        </w:rPr>
        <w:t>磋商</w:t>
      </w:r>
      <w:r>
        <w:rPr>
          <w:rFonts w:hint="eastAsia" w:cs="宋体" w:asciiTheme="minorEastAsia" w:hAnsiTheme="minorEastAsia"/>
          <w:sz w:val="28"/>
          <w:szCs w:val="28"/>
        </w:rPr>
        <w:t>响应文件的实质性内容。</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4、供应商有下列情形之一的，属于恶意串通，对其依照《中华人民共和国政府采购法》第七十七条第一款的规定追究法律责任，磋商无效：</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4-1、供应商直接或者间接从采购人或采购代理机构处获得其他供应商的相关情况并修改其磋商响应文件；</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4-2、供应商按照采购人或采购代理机构的授意撤换、修改磋商响应文件；</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4-3、供应商之间协商报价、技术方案等磋商响应文件的实质性内容；</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4-4、属于同一集团、协会、商会等组织成员的供应商按照该组织要求协同参加政府采购活动；</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4-5、供应商之间事先约定由某一特定供应商成交；</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4-6、供应商之间商定部分供应商放弃参加政府采购活动或放弃成交；</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4-7、供应商相互之间，为谋求特定供应商成交或排斥其他供应商的其他串通行为。</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5、有下列情形之一的，视为供应商串通磋商，其磋商无效：</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5-1、不同供应商的磋商响应文件由同一单位或者个人编制；</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5-2、不同供应商委托同一单位或者个人办理磋商事宜；</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5-3、不同供应商的磋商响应文件载明的项目管理成员或者联系人为同一人；</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5-4、不同供应商的磋商响应文件异常一致或者磋商报价呈现规律性差异；</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5-5、不同供应商的磋商响应文件相互上传的；</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5-6、不同供应商的磋商保证金从同一单位或者个人的账户转出。</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6、磋商无效的情形：</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6-1、未按照磋商文件的规定提交磋商保证金的；</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6-2、磋商响应文件未按磋商文件要求签署、盖章的；</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6-3、不具备磋商文件中规定的资格要求的；</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6-4、报价超过磋商文件中规定的预算金额的；</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6-5、磋商响应文件含有采购人不能接受的附加条件的；</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6-6、提供虚假材料谋取成交的；</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6-7、采取不正当手段诋毁、排挤其他供应商的；</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6-8、法律、法规和磋商文件规定的其他无效情形。</w:t>
      </w:r>
    </w:p>
    <w:p>
      <w:pPr>
        <w:spacing w:line="500" w:lineRule="exact"/>
        <w:ind w:firstLine="562"/>
        <w:rPr>
          <w:rFonts w:cs="宋体" w:asciiTheme="minorEastAsia" w:hAnsiTheme="minorEastAsia"/>
          <w:sz w:val="28"/>
          <w:szCs w:val="28"/>
        </w:rPr>
      </w:pPr>
      <w:r>
        <w:rPr>
          <w:rFonts w:hint="eastAsia" w:cs="宋体" w:asciiTheme="minorEastAsia" w:hAnsiTheme="minorEastAsia"/>
          <w:b/>
          <w:sz w:val="28"/>
          <w:szCs w:val="28"/>
        </w:rPr>
        <w:t>七、磋商会议、评审及定标</w:t>
      </w:r>
    </w:p>
    <w:p>
      <w:pPr>
        <w:spacing w:line="500" w:lineRule="exact"/>
        <w:ind w:firstLine="551"/>
        <w:rPr>
          <w:rFonts w:cs="宋体" w:asciiTheme="minorEastAsia" w:hAnsiTheme="minorEastAsia"/>
          <w:b/>
          <w:bCs/>
          <w:sz w:val="28"/>
          <w:szCs w:val="28"/>
        </w:rPr>
      </w:pPr>
      <w:r>
        <w:rPr>
          <w:rFonts w:hint="eastAsia" w:cs="宋体" w:asciiTheme="minorEastAsia" w:hAnsiTheme="minorEastAsia"/>
          <w:b/>
          <w:bCs/>
          <w:sz w:val="28"/>
          <w:szCs w:val="28"/>
        </w:rPr>
        <w:t>1、磋商会议</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1-1、采购代理机构按磋商文件规定的时间和地点组织磋商会议。</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1-2、所有参会人员应签名报到，以证明其出席。供应商未参加磋商的，视同认可磋商结果。</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1-3、磋商会议由采购代理机构主持。主持人宣读磋商会议开始，宣读会场纪律，宣布参加会议的供应商名单。</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w:t>
      </w:r>
      <w:r>
        <w:rPr>
          <w:rFonts w:cs="宋体" w:asciiTheme="minorEastAsia" w:hAnsiTheme="minorEastAsia"/>
          <w:sz w:val="28"/>
          <w:szCs w:val="28"/>
        </w:rPr>
        <w:t>5</w:t>
      </w:r>
      <w:r>
        <w:rPr>
          <w:rFonts w:hint="eastAsia" w:cs="宋体" w:asciiTheme="minorEastAsia" w:hAnsiTheme="minorEastAsia"/>
          <w:sz w:val="28"/>
          <w:szCs w:val="28"/>
        </w:rPr>
        <w:t>、主持人宣布磋商会议结束，所有供应商离场。</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1-7、采购代理机构对磋商过程进行全程录音录像，并存档备查。</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1-8、供应商代表对磋商过程和磋商记录有疑义的，以及认为采购人、采购代理机构相关工作人员有需要回避的情形的，应当场提出询问或回避申请。</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2、评审</w:t>
      </w:r>
    </w:p>
    <w:p>
      <w:pPr>
        <w:spacing w:line="500" w:lineRule="exact"/>
        <w:ind w:firstLine="562"/>
        <w:rPr>
          <w:rFonts w:cs="宋体" w:asciiTheme="minorEastAsia" w:hAnsiTheme="minorEastAsia"/>
          <w:b/>
          <w:sz w:val="28"/>
          <w:szCs w:val="28"/>
        </w:rPr>
      </w:pPr>
      <w:r>
        <w:rPr>
          <w:rFonts w:hint="eastAsia" w:cs="宋体" w:asciiTheme="minorEastAsia" w:hAnsiTheme="minorEastAsia"/>
          <w:b/>
          <w:sz w:val="28"/>
          <w:szCs w:val="28"/>
        </w:rPr>
        <w:t>2-1、评审小组</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（1）采购代理机构根据《中华人民共和国政府采购法》及其实施条例、《政府采购竞争性磋商采购方式管理暂行办法》（财库〔2014〕214号）等规定，依法组建评审小组。</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（2）采购人派代表进入评审小组时，须向采购代理机构出具授权函。</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（3）评审小组应推荐一名评审专家担任评审组长，并由评审组长牵头组织该项目评审工作，采购人代表不得担任评审组长。</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 xml:space="preserve">（4）评审委员会成员应当遵守并履行下列职责义务： </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a、遵纪守法，客观、公正、认真负责地履行职责，根据磋商文件规定的评审程序、评审方法和评审标准审查磋商响应文件；</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b、符合性审查、评价磋商响应文件是否符合磋商文件的实质性要求；</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c、要求供应商对磋商响应文件有关事项作澄清或者说明；</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d、对磋商响应文件进行比较和评价；</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e、确定成交候选人名单，以及根据采购人委托直接确定成交人；</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f、向采购人、采购代理机构或者有关部门报告评审中发现的违法行为；</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g、对评审过程及各供应商的商业机密予以保密；</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h、配合采购人、采购代理机构答复各供应商提出的质疑；</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i、配合各部门的投诉处理和监督检查工作。</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（5）在政府采购活动中，采购人员及相关人员（包括评审委员会）与供应商有下列利害关系之一的，应当回避：</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a、参加采购活动前3年内与供应商存在劳动关系；</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b、参加采购活动前3年内担任供应商的董事、监事；</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c、参加采购活动前3年内是供应商的控股股东或者实际控制人；</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d、与供应商的法定代表人或者负责人有夫妻、直系血亲、三代以内旁系血亲或者近姻亲关系；</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e、与供应商有其他可</w:t>
      </w:r>
      <w:r>
        <w:rPr>
          <w:rFonts w:hint="eastAsia" w:cs="宋体" w:asciiTheme="minorEastAsia" w:hAnsiTheme="minorEastAsia"/>
          <w:bCs/>
          <w:sz w:val="28"/>
          <w:szCs w:val="28"/>
        </w:rPr>
        <w:t>能影响政府采购活动公平、公正进行的关系。</w:t>
      </w:r>
    </w:p>
    <w:p>
      <w:pPr>
        <w:spacing w:line="500" w:lineRule="exact"/>
        <w:ind w:firstLine="560"/>
        <w:rPr>
          <w:rFonts w:cs="宋体" w:asciiTheme="minorEastAsia" w:hAnsiTheme="minorEastAsia"/>
          <w:bCs/>
          <w:sz w:val="28"/>
          <w:szCs w:val="28"/>
        </w:rPr>
      </w:pPr>
      <w:r>
        <w:rPr>
          <w:rFonts w:hint="eastAsia" w:cs="宋体" w:asciiTheme="minorEastAsia" w:hAnsiTheme="minorEastAsia"/>
          <w:sz w:val="28"/>
          <w:szCs w:val="28"/>
        </w:rPr>
        <w:t>2-2、评审</w:t>
      </w:r>
      <w:r>
        <w:rPr>
          <w:rFonts w:hint="eastAsia" w:cs="宋体" w:asciiTheme="minorEastAsia" w:hAnsiTheme="minorEastAsia"/>
          <w:bCs/>
          <w:sz w:val="28"/>
          <w:szCs w:val="28"/>
        </w:rPr>
        <w:t>原则：</w:t>
      </w:r>
      <w:r>
        <w:rPr>
          <w:rFonts w:hint="eastAsia" w:cs="宋体" w:asciiTheme="minorEastAsia" w:hAnsiTheme="minorEastAsia"/>
          <w:sz w:val="28"/>
          <w:szCs w:val="28"/>
        </w:rPr>
        <w:t>坚持公平、公正、科学、择优原则，禁止不正当竞争。</w:t>
      </w:r>
    </w:p>
    <w:p>
      <w:pPr>
        <w:spacing w:line="500" w:lineRule="exact"/>
        <w:ind w:firstLine="548"/>
        <w:rPr>
          <w:rFonts w:hint="eastAsia" w:cs="宋体" w:asciiTheme="minorEastAsia" w:hAnsiTheme="minorEastAsia"/>
          <w:bCs/>
          <w:sz w:val="28"/>
          <w:szCs w:val="28"/>
        </w:rPr>
      </w:pPr>
      <w:r>
        <w:rPr>
          <w:rFonts w:hint="eastAsia" w:cs="宋体" w:asciiTheme="minorEastAsia" w:hAnsiTheme="minorEastAsia"/>
          <w:bCs/>
          <w:sz w:val="28"/>
          <w:szCs w:val="28"/>
        </w:rPr>
        <w:t>2-3、评审办法：本次竞争性磋商采用综合评分法（详见本节评分标准）。</w:t>
      </w:r>
    </w:p>
    <w:p>
      <w:pPr>
        <w:spacing w:line="500" w:lineRule="exact"/>
        <w:ind w:firstLine="548"/>
        <w:rPr>
          <w:rFonts w:hint="eastAsia" w:cs="宋体" w:asciiTheme="minorEastAsia" w:hAnsiTheme="minorEastAsia"/>
          <w:bCs/>
          <w:sz w:val="28"/>
          <w:szCs w:val="28"/>
        </w:rPr>
      </w:pPr>
      <w:r>
        <w:rPr>
          <w:rFonts w:hint="eastAsia" w:cs="宋体" w:asciiTheme="minorEastAsia" w:hAnsiTheme="minorEastAsia"/>
          <w:bCs/>
          <w:sz w:val="28"/>
          <w:szCs w:val="28"/>
        </w:rPr>
        <w:t>2-4、评审工作程序：</w:t>
      </w:r>
      <w:r>
        <w:rPr>
          <w:rFonts w:hint="eastAsia" w:ascii="宋体" w:hAnsi="宋体" w:eastAsia="宋体" w:cs="宋体"/>
          <w:bCs/>
          <w:sz w:val="28"/>
          <w:szCs w:val="28"/>
        </w:rPr>
        <w:t>对资格合格者磋商响应文件的完整性</w:t>
      </w:r>
      <w:r>
        <w:rPr>
          <w:rFonts w:hint="eastAsia" w:ascii="宋体" w:hAnsi="宋体" w:eastAsia="宋体" w:cs="宋体"/>
          <w:bCs/>
          <w:sz w:val="28"/>
          <w:szCs w:val="28"/>
          <w:lang w:eastAsia="zh-CN"/>
        </w:rPr>
        <w:t>、</w:t>
      </w:r>
      <w:r>
        <w:rPr>
          <w:rFonts w:hint="eastAsia" w:cs="宋体" w:asciiTheme="minorEastAsia" w:hAnsiTheme="minorEastAsia"/>
          <w:bCs/>
          <w:sz w:val="28"/>
          <w:szCs w:val="28"/>
        </w:rPr>
        <w:t>符合性审查、澄清、磋商、评价、推荐成交候选人的工作程序进行评审。</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依据磋商文件的规定，磋商响应文件的完整性、有效性和对磋商文件的响应程度进行审查，以确定是否对磋商文件的实质性内容做出响应，包含但不限于以下内容：</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（1）供应商名称是否与购买磋商文件的单位名称一致；</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（2）除明确允许供应商可以自行编写的外，磋商响应文件是否按照磋商文件要求的格式编制；</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w:t>
      </w:r>
      <w:r>
        <w:rPr>
          <w:rFonts w:cs="宋体" w:asciiTheme="minorEastAsia" w:hAnsiTheme="minorEastAsia"/>
          <w:bCs/>
          <w:sz w:val="28"/>
          <w:szCs w:val="28"/>
        </w:rPr>
        <w:t>3</w:t>
      </w:r>
      <w:r>
        <w:rPr>
          <w:rFonts w:hint="eastAsia" w:cs="宋体" w:asciiTheme="minorEastAsia" w:hAnsiTheme="minorEastAsia"/>
          <w:bCs/>
          <w:sz w:val="28"/>
          <w:szCs w:val="28"/>
        </w:rPr>
        <w:t>）磋商内容是否有重大缺漏项；</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w:t>
      </w:r>
      <w:r>
        <w:rPr>
          <w:rFonts w:cs="宋体" w:asciiTheme="minorEastAsia" w:hAnsiTheme="minorEastAsia"/>
          <w:bCs/>
          <w:sz w:val="28"/>
          <w:szCs w:val="28"/>
        </w:rPr>
        <w:t>4</w:t>
      </w:r>
      <w:r>
        <w:rPr>
          <w:rFonts w:hint="eastAsia" w:cs="宋体" w:asciiTheme="minorEastAsia" w:hAnsiTheme="minorEastAsia"/>
          <w:bCs/>
          <w:sz w:val="28"/>
          <w:szCs w:val="28"/>
        </w:rPr>
        <w:t>）是否针对同一项目提交两份或多份内容不同的磋商响应文件，未书面声明哪一份是有效的或出现选择性报价的；</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w:t>
      </w:r>
      <w:r>
        <w:rPr>
          <w:rFonts w:cs="宋体" w:asciiTheme="minorEastAsia" w:hAnsiTheme="minorEastAsia"/>
          <w:bCs/>
          <w:sz w:val="28"/>
          <w:szCs w:val="28"/>
        </w:rPr>
        <w:t>5</w:t>
      </w:r>
      <w:r>
        <w:rPr>
          <w:rFonts w:hint="eastAsia" w:cs="宋体" w:asciiTheme="minorEastAsia" w:hAnsiTheme="minorEastAsia"/>
          <w:bCs/>
          <w:sz w:val="28"/>
          <w:szCs w:val="28"/>
        </w:rPr>
        <w:t>）磋商报价是否超过最高限价；</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w:t>
      </w:r>
      <w:r>
        <w:rPr>
          <w:rFonts w:cs="宋体" w:asciiTheme="minorEastAsia" w:hAnsiTheme="minorEastAsia"/>
          <w:bCs/>
          <w:sz w:val="28"/>
          <w:szCs w:val="28"/>
        </w:rPr>
        <w:t>6</w:t>
      </w:r>
      <w:r>
        <w:rPr>
          <w:rFonts w:hint="eastAsia" w:cs="宋体" w:asciiTheme="minorEastAsia" w:hAnsiTheme="minorEastAsia"/>
          <w:bCs/>
          <w:sz w:val="28"/>
          <w:szCs w:val="28"/>
        </w:rPr>
        <w:t>）磋商有效期是否符合磋商文件的要求；</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w:t>
      </w:r>
      <w:r>
        <w:rPr>
          <w:rFonts w:cs="宋体" w:asciiTheme="minorEastAsia" w:hAnsiTheme="minorEastAsia"/>
          <w:bCs/>
          <w:sz w:val="28"/>
          <w:szCs w:val="28"/>
        </w:rPr>
        <w:t>7</w:t>
      </w:r>
      <w:r>
        <w:rPr>
          <w:rFonts w:hint="eastAsia" w:cs="宋体" w:asciiTheme="minorEastAsia" w:hAnsiTheme="minorEastAsia"/>
          <w:bCs/>
          <w:sz w:val="28"/>
          <w:szCs w:val="28"/>
        </w:rPr>
        <w:t>）对磋商文件商务要求是否作了明确且实质性响应；</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w:t>
      </w:r>
      <w:r>
        <w:rPr>
          <w:rFonts w:cs="宋体" w:asciiTheme="minorEastAsia" w:hAnsiTheme="minorEastAsia"/>
          <w:bCs/>
          <w:sz w:val="28"/>
          <w:szCs w:val="28"/>
        </w:rPr>
        <w:t>8</w:t>
      </w:r>
      <w:r>
        <w:rPr>
          <w:rFonts w:hint="eastAsia" w:cs="宋体" w:asciiTheme="minorEastAsia" w:hAnsiTheme="minorEastAsia"/>
          <w:bCs/>
          <w:sz w:val="28"/>
          <w:szCs w:val="28"/>
        </w:rPr>
        <w:t>）对磋商文件技术要求是否作了明确响应，对不得偏离的要求是否作了实质性响应；</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w:t>
      </w:r>
      <w:r>
        <w:rPr>
          <w:rFonts w:cs="宋体" w:asciiTheme="minorEastAsia" w:hAnsiTheme="minorEastAsia"/>
          <w:bCs/>
          <w:sz w:val="28"/>
          <w:szCs w:val="28"/>
        </w:rPr>
        <w:t>9</w:t>
      </w:r>
      <w:r>
        <w:rPr>
          <w:rFonts w:hint="eastAsia" w:cs="宋体" w:asciiTheme="minorEastAsia" w:hAnsiTheme="minorEastAsia"/>
          <w:bCs/>
          <w:sz w:val="28"/>
          <w:szCs w:val="28"/>
        </w:rPr>
        <w:t>）磋商响应文件是否含有采购人不能接受的附件条件；</w:t>
      </w:r>
    </w:p>
    <w:p>
      <w:pPr>
        <w:spacing w:line="500" w:lineRule="exact"/>
        <w:ind w:firstLine="565"/>
        <w:rPr>
          <w:rFonts w:cs="宋体" w:asciiTheme="minorEastAsia" w:hAnsiTheme="minorEastAsia"/>
          <w:bCs/>
          <w:sz w:val="28"/>
          <w:szCs w:val="28"/>
        </w:rPr>
      </w:pPr>
      <w:r>
        <w:rPr>
          <w:rFonts w:hint="eastAsia" w:cs="宋体" w:asciiTheme="minorEastAsia" w:hAnsiTheme="minorEastAsia"/>
          <w:bCs/>
          <w:sz w:val="28"/>
          <w:szCs w:val="28"/>
        </w:rPr>
        <w:t>（1</w:t>
      </w:r>
      <w:r>
        <w:rPr>
          <w:rFonts w:cs="宋体" w:asciiTheme="minorEastAsia" w:hAnsiTheme="minorEastAsia"/>
          <w:bCs/>
          <w:sz w:val="28"/>
          <w:szCs w:val="28"/>
        </w:rPr>
        <w:t>0</w:t>
      </w:r>
      <w:r>
        <w:rPr>
          <w:rFonts w:hint="eastAsia" w:cs="宋体" w:asciiTheme="minorEastAsia" w:hAnsiTheme="minorEastAsia"/>
          <w:bCs/>
          <w:sz w:val="28"/>
          <w:szCs w:val="28"/>
        </w:rPr>
        <w:t>）是否符合法律、法规和磋商文件规定的其他无效磋商情形。</w:t>
      </w:r>
    </w:p>
    <w:p>
      <w:pPr>
        <w:spacing w:line="500" w:lineRule="exact"/>
        <w:ind w:firstLine="551"/>
        <w:rPr>
          <w:rFonts w:cs="宋体" w:asciiTheme="minorEastAsia" w:hAnsiTheme="minorEastAsia"/>
          <w:b/>
          <w:bCs/>
          <w:sz w:val="28"/>
          <w:szCs w:val="28"/>
        </w:rPr>
      </w:pPr>
      <w:r>
        <w:rPr>
          <w:rFonts w:hint="eastAsia" w:cs="宋体" w:asciiTheme="minorEastAsia" w:hAnsiTheme="minorEastAsia"/>
          <w:b/>
          <w:bCs/>
          <w:sz w:val="28"/>
          <w:szCs w:val="28"/>
        </w:rPr>
        <w:t>2-4-3、磋商响应文件的澄清</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1）在评审期间,对于竞争性磋商响应文件中含义不明确、同类问题表述不一致或者有明显文字和计算错误的内容，评审委员会应当以书面形式要求供应商作出必要的澄清、说明或者补正。供应商的澄清、说明或者补正应当采用书面形式，并加盖公章，或者由法定代表人或被授权人签字。供应商的澄清、说明或者补正不得超出竞争性磋商响应文件的范围或者改变竞争性磋商响应文件的实质性内容。</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（2）书写错误的评审标准：</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评审委员会在评审过程中，发现磋商响应文件出现下列情况之一者，按以下原则修正：</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a、磋商响应文件有关内容与“一览表”不一致的，以“一览表”为准；</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b、磋商响应文件大写与小写不一致时，以大写为准；</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c、单价乘以数量不等于总价时，以单价乘以数量为准修改总价；单价有明显小数点错误的，以总价为准，并修改单价；</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d、总价金额与按单价汇总金额不一致的，以单价乘以数量的计算结果为准；</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e、磋商响应文件图表与文字不符时，以文字为准；</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f、磋商响应文件正本与副本不符时，以正本为准；</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g、对不同文字文本磋商响应文件的解释发生异议的，以中文文本为准；</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h、多处内容交叉不符时，以评审委员会评审结果为准。</w:t>
      </w:r>
    </w:p>
    <w:p>
      <w:pPr>
        <w:spacing w:line="500" w:lineRule="exact"/>
        <w:ind w:firstLine="551"/>
        <w:rPr>
          <w:rFonts w:cs="宋体" w:asciiTheme="minorEastAsia" w:hAnsiTheme="minorEastAsia"/>
          <w:b/>
          <w:bCs/>
          <w:sz w:val="28"/>
          <w:szCs w:val="28"/>
        </w:rPr>
      </w:pPr>
      <w:r>
        <w:rPr>
          <w:rFonts w:hint="eastAsia" w:cs="宋体" w:asciiTheme="minorEastAsia" w:hAnsiTheme="minorEastAsia"/>
          <w:b/>
          <w:bCs/>
          <w:sz w:val="28"/>
          <w:szCs w:val="28"/>
        </w:rPr>
        <w:t>注：按上述方法修正的内容（其中，同时出现上述a至d两种以上不一致的，按上述规定的顺序修正），经供应商确认后产生约束力，供应商不确认的，其磋商响应无效。</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3）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小组应当将其作为无效磋商响应处理。</w:t>
      </w:r>
    </w:p>
    <w:p>
      <w:pPr>
        <w:spacing w:line="500" w:lineRule="exact"/>
        <w:ind w:firstLine="568"/>
        <w:rPr>
          <w:rFonts w:cs="宋体" w:asciiTheme="minorEastAsia" w:hAnsiTheme="minorEastAsia"/>
          <w:b/>
          <w:sz w:val="28"/>
          <w:szCs w:val="28"/>
        </w:rPr>
      </w:pPr>
      <w:r>
        <w:rPr>
          <w:rFonts w:hint="eastAsia" w:cs="宋体" w:asciiTheme="minorEastAsia" w:hAnsiTheme="minorEastAsia"/>
          <w:b/>
          <w:sz w:val="28"/>
          <w:szCs w:val="28"/>
        </w:rPr>
        <w:t>2-4-4、评议</w:t>
      </w:r>
    </w:p>
    <w:p>
      <w:pPr>
        <w:spacing w:line="500" w:lineRule="exact"/>
        <w:ind w:firstLine="565"/>
        <w:rPr>
          <w:rFonts w:cs="宋体" w:asciiTheme="minorEastAsia" w:hAnsiTheme="minorEastAsia"/>
          <w:sz w:val="28"/>
          <w:szCs w:val="28"/>
        </w:rPr>
      </w:pPr>
      <w:r>
        <w:rPr>
          <w:rFonts w:hint="eastAsia" w:cs="宋体" w:asciiTheme="minorEastAsia" w:hAnsiTheme="minorEastAsia"/>
          <w:sz w:val="28"/>
          <w:szCs w:val="28"/>
        </w:rPr>
        <w:t>（1）、磋商采购形式：评审委员会与各供应商分别进行一对一的磋商。</w:t>
      </w:r>
    </w:p>
    <w:p>
      <w:pPr>
        <w:spacing w:line="500" w:lineRule="exact"/>
        <w:ind w:firstLine="580"/>
        <w:rPr>
          <w:rFonts w:cs="宋体" w:asciiTheme="minorEastAsia" w:hAnsiTheme="minorEastAsia"/>
          <w:color w:val="auto"/>
          <w:sz w:val="28"/>
          <w:szCs w:val="28"/>
        </w:rPr>
      </w:pPr>
      <w:r>
        <w:rPr>
          <w:rFonts w:hint="eastAsia" w:cs="宋体" w:asciiTheme="minorEastAsia" w:hAnsiTheme="minorEastAsia"/>
          <w:color w:val="auto"/>
          <w:sz w:val="28"/>
          <w:szCs w:val="28"/>
        </w:rPr>
        <w:t>（2）、通过资质审查、磋商、澄清及承诺等程序且实质性响应磋商文件（资质、技术、商务等）的各供应商，才有再次报价的机会。磋商小组按其最终承诺和报价等，进行综合评比并排序。</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（3）、评审采取逐项分步评审方式，每一步评审不符合者，不进入下一步评审，全部评审合格的供应商进行最后的综合评审和打分，按最后得分由高向低排序，推荐成交候选人。</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（4）、其他需说明的情况：</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a、对于磋商响应文件中不构成实质性偏差的小的不正规、不一致或不规则，可以接受，但这种接受不能损害或影响任何供应商的相对排序；</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b、最低报价不是成交的唯一条件；</w:t>
      </w:r>
    </w:p>
    <w:p>
      <w:pPr>
        <w:spacing w:line="500" w:lineRule="exact"/>
        <w:ind w:firstLine="548"/>
        <w:rPr>
          <w:rFonts w:cs="宋体" w:asciiTheme="minorEastAsia" w:hAnsiTheme="minorEastAsia"/>
          <w:bCs/>
          <w:sz w:val="28"/>
          <w:szCs w:val="28"/>
        </w:rPr>
      </w:pPr>
      <w:r>
        <w:rPr>
          <w:rFonts w:hint="eastAsia" w:cs="宋体" w:asciiTheme="minorEastAsia" w:hAnsiTheme="minorEastAsia"/>
          <w:bCs/>
          <w:sz w:val="28"/>
          <w:szCs w:val="28"/>
        </w:rPr>
        <w:t>c、如果磋商实质上没有响应磋商文件的要求，其磋商将被拒绝，供应商不得通过修正或撤消不合要求的偏离或保留从而使其磋商成为实质上响应的磋商响应。</w:t>
      </w:r>
    </w:p>
    <w:p>
      <w:pPr>
        <w:spacing w:line="500" w:lineRule="exact"/>
        <w:ind w:firstLine="565"/>
        <w:rPr>
          <w:rFonts w:cs="宋体" w:asciiTheme="minorEastAsia" w:hAnsiTheme="minorEastAsia"/>
          <w:sz w:val="28"/>
          <w:szCs w:val="28"/>
        </w:rPr>
      </w:pPr>
      <w:r>
        <w:rPr>
          <w:rFonts w:hint="eastAsia" w:cs="宋体" w:asciiTheme="minorEastAsia" w:hAnsiTheme="minorEastAsia"/>
          <w:bCs/>
          <w:sz w:val="28"/>
          <w:szCs w:val="28"/>
        </w:rPr>
        <w:t>d、无论磋商的结果如何，磋商期间一切费用自理。</w:t>
      </w:r>
    </w:p>
    <w:p>
      <w:pPr>
        <w:spacing w:line="500" w:lineRule="exact"/>
        <w:ind w:firstLine="562"/>
        <w:rPr>
          <w:rFonts w:cs="宋体" w:asciiTheme="minorEastAsia" w:hAnsiTheme="minorEastAsia"/>
          <w:b/>
          <w:sz w:val="28"/>
          <w:szCs w:val="28"/>
        </w:rPr>
      </w:pPr>
      <w:r>
        <w:rPr>
          <w:rFonts w:cs="宋体" w:asciiTheme="minorEastAsia" w:hAnsiTheme="minorEastAsia"/>
          <w:b/>
          <w:sz w:val="28"/>
          <w:szCs w:val="28"/>
        </w:rPr>
        <w:t>2-5</w:t>
      </w:r>
      <w:r>
        <w:rPr>
          <w:rFonts w:hint="eastAsia" w:cs="宋体" w:asciiTheme="minorEastAsia" w:hAnsiTheme="minorEastAsia"/>
          <w:b/>
          <w:sz w:val="28"/>
          <w:szCs w:val="28"/>
        </w:rPr>
        <w:t>、政府采购政策评分标准</w:t>
      </w:r>
    </w:p>
    <w:p>
      <w:pPr>
        <w:spacing w:line="500" w:lineRule="exact"/>
        <w:ind w:firstLine="560"/>
        <w:rPr>
          <w:rFonts w:cs="宋体" w:asciiTheme="minorEastAsia" w:hAnsiTheme="minorEastAsia"/>
          <w:color w:val="auto"/>
          <w:sz w:val="28"/>
          <w:szCs w:val="28"/>
        </w:rPr>
      </w:pPr>
      <w:r>
        <w:rPr>
          <w:rFonts w:cs="宋体" w:asciiTheme="minorEastAsia" w:hAnsiTheme="minorEastAsia"/>
          <w:color w:val="auto"/>
          <w:sz w:val="28"/>
          <w:szCs w:val="28"/>
        </w:rPr>
        <w:t>2-5-1</w:t>
      </w:r>
      <w:r>
        <w:rPr>
          <w:rFonts w:hint="eastAsia" w:cs="宋体" w:asciiTheme="minorEastAsia" w:hAnsiTheme="minorEastAsia"/>
          <w:color w:val="auto"/>
          <w:sz w:val="28"/>
          <w:szCs w:val="28"/>
        </w:rPr>
        <w:t>、小微企业的价格评分标准</w:t>
      </w:r>
    </w:p>
    <w:p>
      <w:pPr>
        <w:spacing w:line="500" w:lineRule="exact"/>
        <w:ind w:firstLine="560"/>
        <w:rPr>
          <w:rFonts w:cs="宋体" w:asciiTheme="minorEastAsia" w:hAnsiTheme="minorEastAsia"/>
          <w:color w:val="auto"/>
          <w:sz w:val="28"/>
          <w:szCs w:val="28"/>
          <w:highlight w:val="none"/>
        </w:rPr>
      </w:pPr>
      <w:r>
        <w:rPr>
          <w:rFonts w:hint="eastAsia" w:cs="宋体" w:asciiTheme="minorEastAsia" w:hAnsiTheme="minorEastAsia"/>
          <w:color w:val="auto"/>
          <w:sz w:val="28"/>
          <w:szCs w:val="28"/>
          <w:highlight w:val="none"/>
        </w:rPr>
        <w:t>（</w:t>
      </w:r>
      <w:r>
        <w:rPr>
          <w:rFonts w:cs="宋体" w:asciiTheme="minorEastAsia" w:hAnsiTheme="minorEastAsia"/>
          <w:color w:val="auto"/>
          <w:sz w:val="28"/>
          <w:szCs w:val="28"/>
          <w:highlight w:val="none"/>
        </w:rPr>
        <w:t>1</w:t>
      </w:r>
      <w:r>
        <w:rPr>
          <w:rFonts w:hint="eastAsia" w:cs="宋体" w:asciiTheme="minorEastAsia" w:hAnsiTheme="minorEastAsia"/>
          <w:color w:val="auto"/>
          <w:sz w:val="28"/>
          <w:szCs w:val="28"/>
          <w:highlight w:val="none"/>
        </w:rPr>
        <w:t>）对小型、微型企业产品的价格给予</w:t>
      </w:r>
      <w:r>
        <w:rPr>
          <w:rFonts w:hint="eastAsia" w:cs="宋体" w:asciiTheme="minorEastAsia" w:hAnsiTheme="minorEastAsia"/>
          <w:color w:val="auto"/>
          <w:sz w:val="28"/>
          <w:szCs w:val="28"/>
          <w:highlight w:val="none"/>
          <w:lang w:val="en-US" w:eastAsia="zh-CN"/>
        </w:rPr>
        <w:t>10</w:t>
      </w:r>
      <w:r>
        <w:rPr>
          <w:rFonts w:cs="宋体" w:asciiTheme="minorEastAsia" w:hAnsiTheme="minorEastAsia"/>
          <w:color w:val="auto"/>
          <w:sz w:val="28"/>
          <w:szCs w:val="28"/>
          <w:highlight w:val="none"/>
        </w:rPr>
        <w:t>%</w:t>
      </w:r>
      <w:r>
        <w:rPr>
          <w:rFonts w:hint="eastAsia" w:cs="宋体" w:asciiTheme="minorEastAsia" w:hAnsiTheme="minorEastAsia"/>
          <w:color w:val="auto"/>
          <w:sz w:val="28"/>
          <w:szCs w:val="28"/>
          <w:highlight w:val="none"/>
        </w:rPr>
        <w:t>的扣除，用扣除后的价格参与评审，其评审价</w:t>
      </w:r>
      <w:r>
        <w:rPr>
          <w:rFonts w:cs="宋体" w:asciiTheme="minorEastAsia" w:hAnsiTheme="minorEastAsia"/>
          <w:color w:val="auto"/>
          <w:sz w:val="28"/>
          <w:szCs w:val="28"/>
          <w:highlight w:val="none"/>
        </w:rPr>
        <w:t>=</w:t>
      </w:r>
      <w:r>
        <w:rPr>
          <w:rFonts w:hint="eastAsia" w:cs="宋体" w:asciiTheme="minorEastAsia" w:hAnsiTheme="minorEastAsia"/>
          <w:color w:val="auto"/>
          <w:sz w:val="28"/>
          <w:szCs w:val="28"/>
          <w:highlight w:val="none"/>
        </w:rPr>
        <w:t>磋商报价</w:t>
      </w:r>
      <w:r>
        <w:rPr>
          <w:rFonts w:cs="宋体" w:asciiTheme="minorEastAsia" w:hAnsiTheme="minorEastAsia"/>
          <w:color w:val="auto"/>
          <w:sz w:val="28"/>
          <w:szCs w:val="28"/>
          <w:highlight w:val="none"/>
        </w:rPr>
        <w:t>*</w:t>
      </w:r>
      <w:r>
        <w:rPr>
          <w:rFonts w:hint="eastAsia" w:cs="宋体" w:asciiTheme="minorEastAsia" w:hAnsiTheme="minorEastAsia"/>
          <w:color w:val="auto"/>
          <w:sz w:val="28"/>
          <w:szCs w:val="28"/>
          <w:highlight w:val="none"/>
        </w:rPr>
        <w:t>（</w:t>
      </w:r>
      <w:r>
        <w:rPr>
          <w:rFonts w:cs="宋体" w:asciiTheme="minorEastAsia" w:hAnsiTheme="minorEastAsia"/>
          <w:color w:val="auto"/>
          <w:sz w:val="28"/>
          <w:szCs w:val="28"/>
          <w:highlight w:val="none"/>
        </w:rPr>
        <w:t>1-</w:t>
      </w:r>
      <w:r>
        <w:rPr>
          <w:rFonts w:hint="eastAsia" w:cs="宋体" w:asciiTheme="minorEastAsia" w:hAnsiTheme="minorEastAsia"/>
          <w:color w:val="auto"/>
          <w:sz w:val="28"/>
          <w:szCs w:val="28"/>
          <w:highlight w:val="none"/>
          <w:lang w:val="en-US" w:eastAsia="zh-CN"/>
        </w:rPr>
        <w:t>10</w:t>
      </w:r>
      <w:r>
        <w:rPr>
          <w:rFonts w:cs="宋体" w:asciiTheme="minorEastAsia" w:hAnsiTheme="minorEastAsia"/>
          <w:color w:val="auto"/>
          <w:sz w:val="28"/>
          <w:szCs w:val="28"/>
          <w:highlight w:val="none"/>
        </w:rPr>
        <w:t>%</w:t>
      </w:r>
      <w:r>
        <w:rPr>
          <w:rFonts w:hint="eastAsia" w:cs="宋体" w:asciiTheme="minorEastAsia" w:hAnsiTheme="minorEastAsia"/>
          <w:color w:val="auto"/>
          <w:sz w:val="28"/>
          <w:szCs w:val="28"/>
          <w:highlight w:val="none"/>
        </w:rPr>
        <w:t>）。</w:t>
      </w:r>
    </w:p>
    <w:p>
      <w:pPr>
        <w:spacing w:line="500" w:lineRule="exact"/>
        <w:ind w:firstLine="560"/>
        <w:rPr>
          <w:rFonts w:cs="宋体" w:asciiTheme="minorEastAsia" w:hAnsiTheme="minorEastAsia"/>
          <w:color w:val="auto"/>
          <w:sz w:val="28"/>
          <w:szCs w:val="28"/>
        </w:rPr>
      </w:pPr>
      <w:r>
        <w:rPr>
          <w:rFonts w:hint="eastAsia" w:cs="宋体" w:asciiTheme="minorEastAsia" w:hAnsiTheme="minorEastAsia"/>
          <w:color w:val="auto"/>
          <w:sz w:val="28"/>
          <w:szCs w:val="28"/>
        </w:rPr>
        <w:t>（</w:t>
      </w:r>
      <w:r>
        <w:rPr>
          <w:rFonts w:cs="宋体" w:asciiTheme="minorEastAsia" w:hAnsiTheme="minorEastAsia"/>
          <w:color w:val="auto"/>
          <w:sz w:val="28"/>
          <w:szCs w:val="28"/>
        </w:rPr>
        <w:t>2</w:t>
      </w:r>
      <w:r>
        <w:rPr>
          <w:rFonts w:hint="eastAsia" w:cs="宋体" w:asciiTheme="minorEastAsia" w:hAnsiTheme="minorEastAsia"/>
          <w:color w:val="auto"/>
          <w:sz w:val="28"/>
          <w:szCs w:val="28"/>
        </w:rPr>
        <w:t>）联合体共同参加非专门面向中小企业的政府采购活动，联合协议中约定，小型和微型企业的协议合同金额占到联合体协议合同金额的</w:t>
      </w:r>
      <w:r>
        <w:rPr>
          <w:rFonts w:cs="宋体" w:asciiTheme="minorEastAsia" w:hAnsiTheme="minorEastAsia"/>
          <w:color w:val="auto"/>
          <w:sz w:val="28"/>
          <w:szCs w:val="28"/>
        </w:rPr>
        <w:t>30%</w:t>
      </w:r>
      <w:r>
        <w:rPr>
          <w:rFonts w:hint="eastAsia" w:cs="宋体" w:asciiTheme="minorEastAsia" w:hAnsiTheme="minorEastAsia"/>
          <w:color w:val="auto"/>
          <w:sz w:val="28"/>
          <w:szCs w:val="28"/>
        </w:rPr>
        <w:t>以上的，可给予联合体</w:t>
      </w:r>
      <w:r>
        <w:rPr>
          <w:rFonts w:cs="宋体" w:asciiTheme="minorEastAsia" w:hAnsiTheme="minorEastAsia"/>
          <w:color w:val="auto"/>
          <w:sz w:val="28"/>
          <w:szCs w:val="28"/>
        </w:rPr>
        <w:t>4%</w:t>
      </w:r>
      <w:r>
        <w:rPr>
          <w:rFonts w:hint="eastAsia" w:cs="宋体" w:asciiTheme="minorEastAsia" w:hAnsiTheme="minorEastAsia"/>
          <w:color w:val="auto"/>
          <w:sz w:val="28"/>
          <w:szCs w:val="28"/>
        </w:rPr>
        <w:t>的价格扣除，用扣除后的价格参与评审，其评审价</w:t>
      </w:r>
      <w:r>
        <w:rPr>
          <w:rFonts w:cs="宋体" w:asciiTheme="minorEastAsia" w:hAnsiTheme="minorEastAsia"/>
          <w:color w:val="auto"/>
          <w:sz w:val="28"/>
          <w:szCs w:val="28"/>
        </w:rPr>
        <w:t>=</w:t>
      </w:r>
      <w:r>
        <w:rPr>
          <w:rFonts w:hint="eastAsia" w:cs="宋体" w:asciiTheme="minorEastAsia" w:hAnsiTheme="minorEastAsia"/>
          <w:color w:val="auto"/>
          <w:sz w:val="28"/>
          <w:szCs w:val="28"/>
        </w:rPr>
        <w:t>磋商报价</w:t>
      </w:r>
      <w:r>
        <w:rPr>
          <w:rFonts w:cs="宋体" w:asciiTheme="minorEastAsia" w:hAnsiTheme="minorEastAsia"/>
          <w:color w:val="auto"/>
          <w:sz w:val="28"/>
          <w:szCs w:val="28"/>
        </w:rPr>
        <w:t>*</w:t>
      </w:r>
      <w:r>
        <w:rPr>
          <w:rFonts w:hint="eastAsia" w:cs="宋体" w:asciiTheme="minorEastAsia" w:hAnsiTheme="minorEastAsia"/>
          <w:color w:val="auto"/>
          <w:sz w:val="28"/>
          <w:szCs w:val="28"/>
        </w:rPr>
        <w:t>（</w:t>
      </w:r>
      <w:r>
        <w:rPr>
          <w:rFonts w:cs="宋体" w:asciiTheme="minorEastAsia" w:hAnsiTheme="minorEastAsia"/>
          <w:color w:val="auto"/>
          <w:sz w:val="28"/>
          <w:szCs w:val="28"/>
        </w:rPr>
        <w:t>1-4%</w:t>
      </w:r>
      <w:r>
        <w:rPr>
          <w:rFonts w:hint="eastAsia" w:cs="宋体" w:asciiTheme="minorEastAsia" w:hAnsiTheme="minorEastAsia"/>
          <w:color w:val="auto"/>
          <w:sz w:val="28"/>
          <w:szCs w:val="28"/>
        </w:rPr>
        <w:t>）。</w:t>
      </w:r>
    </w:p>
    <w:p>
      <w:pPr>
        <w:spacing w:line="500" w:lineRule="exact"/>
        <w:ind w:firstLine="560"/>
        <w:rPr>
          <w:rFonts w:cs="宋体" w:asciiTheme="minorEastAsia" w:hAnsiTheme="minorEastAsia"/>
          <w:color w:val="auto"/>
          <w:sz w:val="28"/>
          <w:szCs w:val="28"/>
        </w:rPr>
      </w:pPr>
      <w:r>
        <w:rPr>
          <w:rFonts w:hint="eastAsia" w:cs="宋体" w:asciiTheme="minorEastAsia" w:hAnsiTheme="minorEastAsia"/>
          <w:color w:val="auto"/>
          <w:sz w:val="28"/>
          <w:szCs w:val="28"/>
        </w:rPr>
        <w:t>（</w:t>
      </w:r>
      <w:r>
        <w:rPr>
          <w:rFonts w:cs="宋体" w:asciiTheme="minorEastAsia" w:hAnsiTheme="minorEastAsia"/>
          <w:color w:val="auto"/>
          <w:sz w:val="28"/>
          <w:szCs w:val="28"/>
        </w:rPr>
        <w:t>3</w:t>
      </w:r>
      <w:r>
        <w:rPr>
          <w:rFonts w:hint="eastAsia" w:cs="宋体" w:asciiTheme="minorEastAsia" w:hAnsiTheme="minorEastAsia"/>
          <w:color w:val="auto"/>
          <w:sz w:val="28"/>
          <w:szCs w:val="28"/>
        </w:rPr>
        <w:t>）参加本项目的小微企业须提供《中小企业声明函》（附件），未提供的不视为小微企业。本项目提供的货物不包括使用大型企业注册商标的货物，小型、微型企业提供中型企业制造的货物的，视同为中型企业。供应商须作出承诺，保证真实性，如有虚假，将依法承担相应责任。</w:t>
      </w:r>
    </w:p>
    <w:p>
      <w:pPr>
        <w:spacing w:line="500" w:lineRule="exact"/>
        <w:ind w:firstLine="560"/>
        <w:rPr>
          <w:rFonts w:cs="宋体" w:asciiTheme="minorEastAsia" w:hAnsiTheme="minorEastAsia"/>
          <w:color w:val="auto"/>
          <w:sz w:val="28"/>
          <w:szCs w:val="28"/>
        </w:rPr>
      </w:pPr>
      <w:r>
        <w:rPr>
          <w:rFonts w:hint="eastAsia" w:cs="宋体" w:asciiTheme="minorEastAsia" w:hAnsiTheme="minorEastAsia"/>
          <w:color w:val="auto"/>
          <w:sz w:val="28"/>
          <w:szCs w:val="28"/>
        </w:rPr>
        <w:t>（</w:t>
      </w:r>
      <w:r>
        <w:rPr>
          <w:rFonts w:cs="宋体" w:asciiTheme="minorEastAsia" w:hAnsiTheme="minorEastAsia"/>
          <w:color w:val="auto"/>
          <w:sz w:val="28"/>
          <w:szCs w:val="28"/>
        </w:rPr>
        <w:t>4</w:t>
      </w:r>
      <w:r>
        <w:rPr>
          <w:rFonts w:hint="eastAsia" w:cs="宋体" w:asciiTheme="minorEastAsia" w:hAnsiTheme="minorEastAsia"/>
          <w:color w:val="auto"/>
          <w:sz w:val="28"/>
          <w:szCs w:val="28"/>
        </w:rPr>
        <w:t>）小微企业按《政府采购促进中小企业发展管理办法》（财库【</w:t>
      </w:r>
      <w:r>
        <w:rPr>
          <w:rFonts w:cs="宋体" w:asciiTheme="minorEastAsia" w:hAnsiTheme="minorEastAsia"/>
          <w:color w:val="auto"/>
          <w:sz w:val="28"/>
          <w:szCs w:val="28"/>
        </w:rPr>
        <w:t>20</w:t>
      </w:r>
      <w:r>
        <w:rPr>
          <w:rFonts w:hint="eastAsia" w:cs="宋体" w:asciiTheme="minorEastAsia" w:hAnsiTheme="minorEastAsia"/>
          <w:color w:val="auto"/>
          <w:sz w:val="28"/>
          <w:szCs w:val="28"/>
        </w:rPr>
        <w:t>20】46号）和《工业和信息化部、国家统计局、国家发展和改革委员会、财政部关于印发</w:t>
      </w:r>
      <w:r>
        <w:rPr>
          <w:rFonts w:cs="宋体" w:asciiTheme="minorEastAsia" w:hAnsiTheme="minorEastAsia"/>
          <w:color w:val="auto"/>
          <w:sz w:val="28"/>
          <w:szCs w:val="28"/>
        </w:rPr>
        <w:t>&lt;</w:t>
      </w:r>
      <w:r>
        <w:rPr>
          <w:rFonts w:hint="eastAsia" w:cs="宋体" w:asciiTheme="minorEastAsia" w:hAnsiTheme="minorEastAsia"/>
          <w:color w:val="auto"/>
          <w:sz w:val="28"/>
          <w:szCs w:val="28"/>
        </w:rPr>
        <w:t>中小企业划型标准规定</w:t>
      </w:r>
      <w:r>
        <w:rPr>
          <w:rFonts w:cs="宋体" w:asciiTheme="minorEastAsia" w:hAnsiTheme="minorEastAsia"/>
          <w:color w:val="auto"/>
          <w:sz w:val="28"/>
          <w:szCs w:val="28"/>
        </w:rPr>
        <w:t>&gt;</w:t>
      </w:r>
      <w:r>
        <w:rPr>
          <w:rFonts w:hint="eastAsia" w:cs="宋体" w:asciiTheme="minorEastAsia" w:hAnsiTheme="minorEastAsia"/>
          <w:color w:val="auto"/>
          <w:sz w:val="28"/>
          <w:szCs w:val="28"/>
        </w:rPr>
        <w:t>的通知》（工信部联企业【</w:t>
      </w:r>
      <w:r>
        <w:rPr>
          <w:rFonts w:cs="宋体" w:asciiTheme="minorEastAsia" w:hAnsiTheme="minorEastAsia"/>
          <w:color w:val="auto"/>
          <w:sz w:val="28"/>
          <w:szCs w:val="28"/>
        </w:rPr>
        <w:t>2011</w:t>
      </w:r>
      <w:r>
        <w:rPr>
          <w:rFonts w:hint="eastAsia" w:cs="宋体" w:asciiTheme="minorEastAsia" w:hAnsiTheme="minorEastAsia"/>
          <w:color w:val="auto"/>
          <w:sz w:val="28"/>
          <w:szCs w:val="28"/>
        </w:rPr>
        <w:t>】</w:t>
      </w:r>
      <w:r>
        <w:rPr>
          <w:rFonts w:cs="宋体" w:asciiTheme="minorEastAsia" w:hAnsiTheme="minorEastAsia"/>
          <w:color w:val="auto"/>
          <w:sz w:val="28"/>
          <w:szCs w:val="28"/>
        </w:rPr>
        <w:t>300</w:t>
      </w:r>
      <w:r>
        <w:rPr>
          <w:rFonts w:hint="eastAsia" w:cs="宋体" w:asciiTheme="minorEastAsia" w:hAnsiTheme="minorEastAsia"/>
          <w:color w:val="auto"/>
          <w:sz w:val="28"/>
          <w:szCs w:val="28"/>
        </w:rPr>
        <w:t>号）文件规定标准确认。</w:t>
      </w:r>
    </w:p>
    <w:p>
      <w:pPr>
        <w:spacing w:line="500" w:lineRule="exact"/>
        <w:ind w:firstLine="560"/>
        <w:rPr>
          <w:rFonts w:cs="宋体" w:asciiTheme="minorEastAsia" w:hAnsiTheme="minorEastAsia"/>
          <w:color w:val="auto"/>
          <w:sz w:val="28"/>
          <w:szCs w:val="28"/>
        </w:rPr>
      </w:pPr>
      <w:r>
        <w:rPr>
          <w:rFonts w:cs="宋体" w:asciiTheme="minorEastAsia" w:hAnsiTheme="minorEastAsia"/>
          <w:color w:val="auto"/>
          <w:sz w:val="28"/>
          <w:szCs w:val="28"/>
        </w:rPr>
        <w:t>2-5-2</w:t>
      </w:r>
      <w:r>
        <w:rPr>
          <w:rFonts w:hint="eastAsia" w:cs="宋体" w:asciiTheme="minorEastAsia" w:hAnsiTheme="minorEastAsia"/>
          <w:color w:val="auto"/>
          <w:sz w:val="28"/>
          <w:szCs w:val="28"/>
        </w:rPr>
        <w:t>、监狱企业的价格评分标准</w:t>
      </w:r>
    </w:p>
    <w:p>
      <w:pPr>
        <w:spacing w:line="500" w:lineRule="exact"/>
        <w:ind w:firstLine="560"/>
        <w:rPr>
          <w:rFonts w:cs="宋体" w:asciiTheme="minorEastAsia" w:hAnsiTheme="minorEastAsia"/>
          <w:color w:val="auto"/>
          <w:sz w:val="28"/>
          <w:szCs w:val="28"/>
        </w:rPr>
      </w:pPr>
      <w:r>
        <w:rPr>
          <w:rFonts w:hint="eastAsia" w:cs="宋体" w:asciiTheme="minorEastAsia" w:hAnsiTheme="minorEastAsia"/>
          <w:color w:val="auto"/>
          <w:sz w:val="28"/>
          <w:szCs w:val="28"/>
        </w:rPr>
        <w:t>（</w:t>
      </w:r>
      <w:r>
        <w:rPr>
          <w:rFonts w:cs="宋体" w:asciiTheme="minorEastAsia" w:hAnsiTheme="minorEastAsia"/>
          <w:color w:val="auto"/>
          <w:sz w:val="28"/>
          <w:szCs w:val="28"/>
        </w:rPr>
        <w:t>1</w:t>
      </w:r>
      <w:r>
        <w:rPr>
          <w:rFonts w:hint="eastAsia" w:cs="宋体" w:asciiTheme="minorEastAsia" w:hAnsiTheme="minorEastAsia"/>
          <w:color w:val="auto"/>
          <w:sz w:val="28"/>
          <w:szCs w:val="28"/>
        </w:rPr>
        <w:t>）在政府采购活动中，监狱企业视同小型、微型企业，享受预留份额、评审中价格扣除等政府采购促进中小企业发展的政府采购政策。对监狱企业产品的价格给予</w:t>
      </w:r>
      <w:r>
        <w:rPr>
          <w:rFonts w:cs="宋体" w:asciiTheme="minorEastAsia" w:hAnsiTheme="minorEastAsia"/>
          <w:color w:val="auto"/>
          <w:sz w:val="28"/>
          <w:szCs w:val="28"/>
        </w:rPr>
        <w:t>6%</w:t>
      </w:r>
      <w:r>
        <w:rPr>
          <w:rFonts w:hint="eastAsia" w:cs="宋体" w:asciiTheme="minorEastAsia" w:hAnsiTheme="minorEastAsia"/>
          <w:color w:val="auto"/>
          <w:sz w:val="28"/>
          <w:szCs w:val="28"/>
        </w:rPr>
        <w:t>的扣除，用扣除后的价格参与评审，其评审价</w:t>
      </w:r>
      <w:r>
        <w:rPr>
          <w:rFonts w:cs="宋体" w:asciiTheme="minorEastAsia" w:hAnsiTheme="minorEastAsia"/>
          <w:color w:val="auto"/>
          <w:sz w:val="28"/>
          <w:szCs w:val="28"/>
        </w:rPr>
        <w:t>=</w:t>
      </w:r>
      <w:r>
        <w:rPr>
          <w:rFonts w:hint="eastAsia" w:cs="宋体" w:asciiTheme="minorEastAsia" w:hAnsiTheme="minorEastAsia"/>
          <w:color w:val="auto"/>
          <w:sz w:val="28"/>
          <w:szCs w:val="28"/>
        </w:rPr>
        <w:t>磋商报价</w:t>
      </w:r>
      <w:r>
        <w:rPr>
          <w:rFonts w:cs="宋体" w:asciiTheme="minorEastAsia" w:hAnsiTheme="minorEastAsia"/>
          <w:color w:val="auto"/>
          <w:sz w:val="28"/>
          <w:szCs w:val="28"/>
        </w:rPr>
        <w:t>*</w:t>
      </w:r>
      <w:r>
        <w:rPr>
          <w:rFonts w:hint="eastAsia" w:cs="宋体" w:asciiTheme="minorEastAsia" w:hAnsiTheme="minorEastAsia"/>
          <w:color w:val="auto"/>
          <w:sz w:val="28"/>
          <w:szCs w:val="28"/>
        </w:rPr>
        <w:t>（</w:t>
      </w:r>
      <w:r>
        <w:rPr>
          <w:rFonts w:cs="宋体" w:asciiTheme="minorEastAsia" w:hAnsiTheme="minorEastAsia"/>
          <w:color w:val="auto"/>
          <w:sz w:val="28"/>
          <w:szCs w:val="28"/>
        </w:rPr>
        <w:t>1-6%</w:t>
      </w:r>
      <w:r>
        <w:rPr>
          <w:rFonts w:hint="eastAsia" w:cs="宋体" w:asciiTheme="minorEastAsia" w:hAnsiTheme="minorEastAsia"/>
          <w:color w:val="auto"/>
          <w:sz w:val="28"/>
          <w:szCs w:val="28"/>
        </w:rPr>
        <w:t>）</w:t>
      </w:r>
    </w:p>
    <w:p>
      <w:pPr>
        <w:spacing w:line="500" w:lineRule="exact"/>
        <w:ind w:firstLine="560"/>
        <w:rPr>
          <w:rFonts w:cs="宋体" w:asciiTheme="minorEastAsia" w:hAnsiTheme="minorEastAsia"/>
          <w:color w:val="auto"/>
          <w:sz w:val="28"/>
          <w:szCs w:val="28"/>
        </w:rPr>
      </w:pPr>
      <w:r>
        <w:rPr>
          <w:rFonts w:hint="eastAsia" w:cs="宋体" w:asciiTheme="minorEastAsia" w:hAnsiTheme="minorEastAsia"/>
          <w:color w:val="auto"/>
          <w:sz w:val="28"/>
          <w:szCs w:val="28"/>
        </w:rPr>
        <w:t>（</w:t>
      </w:r>
      <w:r>
        <w:rPr>
          <w:rFonts w:cs="宋体" w:asciiTheme="minorEastAsia" w:hAnsiTheme="minorEastAsia"/>
          <w:color w:val="auto"/>
          <w:sz w:val="28"/>
          <w:szCs w:val="28"/>
        </w:rPr>
        <w:t>2</w:t>
      </w:r>
      <w:r>
        <w:rPr>
          <w:rFonts w:hint="eastAsia" w:cs="宋体" w:asciiTheme="minorEastAsia" w:hAnsiTheme="minorEastAsia"/>
          <w:color w:val="auto"/>
          <w:sz w:val="28"/>
          <w:szCs w:val="28"/>
        </w:rPr>
        <w:t>）监狱企业属于小型、微型企业的，不重复享受政策。</w:t>
      </w:r>
    </w:p>
    <w:p>
      <w:pPr>
        <w:spacing w:line="500" w:lineRule="exact"/>
        <w:ind w:firstLine="560"/>
        <w:rPr>
          <w:rFonts w:cs="宋体" w:asciiTheme="minorEastAsia" w:hAnsiTheme="minorEastAsia"/>
          <w:color w:val="auto"/>
          <w:sz w:val="28"/>
          <w:szCs w:val="28"/>
        </w:rPr>
      </w:pPr>
      <w:r>
        <w:rPr>
          <w:rFonts w:hint="eastAsia" w:cs="宋体" w:asciiTheme="minorEastAsia" w:hAnsiTheme="minorEastAsia"/>
          <w:color w:val="auto"/>
          <w:sz w:val="28"/>
          <w:szCs w:val="28"/>
        </w:rPr>
        <w:t>（</w:t>
      </w:r>
      <w:r>
        <w:rPr>
          <w:rFonts w:cs="宋体" w:asciiTheme="minorEastAsia" w:hAnsiTheme="minorEastAsia"/>
          <w:color w:val="auto"/>
          <w:sz w:val="28"/>
          <w:szCs w:val="28"/>
        </w:rPr>
        <w:t>3</w:t>
      </w:r>
      <w:r>
        <w:rPr>
          <w:rFonts w:hint="eastAsia" w:cs="宋体" w:asciiTheme="minorEastAsia" w:hAnsiTheme="minorEastAsia"/>
          <w:color w:val="auto"/>
          <w:sz w:val="28"/>
          <w:szCs w:val="28"/>
        </w:rPr>
        <w:t>）监狱企业参加政府采购活动时，应当提供由省级以上监狱管理局、戒毒管理局（含新疆生产建设兵团）出具的属于监狱企业的证明文件。</w:t>
      </w:r>
    </w:p>
    <w:p>
      <w:pPr>
        <w:spacing w:line="500" w:lineRule="exact"/>
        <w:ind w:firstLine="560"/>
        <w:rPr>
          <w:rFonts w:cs="宋体" w:asciiTheme="minorEastAsia" w:hAnsiTheme="minorEastAsia"/>
          <w:color w:val="auto"/>
          <w:sz w:val="28"/>
          <w:szCs w:val="28"/>
        </w:rPr>
      </w:pPr>
      <w:r>
        <w:rPr>
          <w:rFonts w:hint="eastAsia" w:cs="宋体" w:asciiTheme="minorEastAsia" w:hAnsiTheme="minorEastAsia"/>
          <w:color w:val="auto"/>
          <w:sz w:val="28"/>
          <w:szCs w:val="28"/>
        </w:rPr>
        <w:t>（</w:t>
      </w:r>
      <w:r>
        <w:rPr>
          <w:rFonts w:cs="宋体" w:asciiTheme="minorEastAsia" w:hAnsiTheme="minorEastAsia"/>
          <w:color w:val="auto"/>
          <w:sz w:val="28"/>
          <w:szCs w:val="28"/>
        </w:rPr>
        <w:t>4</w:t>
      </w:r>
      <w:r>
        <w:rPr>
          <w:rFonts w:hint="eastAsia" w:cs="宋体" w:asciiTheme="minorEastAsia" w:hAnsiTheme="minorEastAsia"/>
          <w:color w:val="auto"/>
          <w:sz w:val="28"/>
          <w:szCs w:val="28"/>
        </w:rPr>
        <w:t>）监狱企业按《财政部</w:t>
      </w:r>
      <w:r>
        <w:rPr>
          <w:rFonts w:cs="宋体" w:asciiTheme="minorEastAsia" w:hAnsiTheme="minorEastAsia"/>
          <w:color w:val="auto"/>
          <w:sz w:val="28"/>
          <w:szCs w:val="28"/>
        </w:rPr>
        <w:t xml:space="preserve"> </w:t>
      </w:r>
      <w:r>
        <w:rPr>
          <w:rFonts w:hint="eastAsia" w:cs="宋体" w:asciiTheme="minorEastAsia" w:hAnsiTheme="minorEastAsia"/>
          <w:color w:val="auto"/>
          <w:sz w:val="28"/>
          <w:szCs w:val="28"/>
        </w:rPr>
        <w:t>司法部关于政府采购支持监狱企业发展有关问题的通知》（财库〔</w:t>
      </w:r>
      <w:r>
        <w:rPr>
          <w:rFonts w:cs="宋体" w:asciiTheme="minorEastAsia" w:hAnsiTheme="minorEastAsia"/>
          <w:color w:val="auto"/>
          <w:sz w:val="28"/>
          <w:szCs w:val="28"/>
        </w:rPr>
        <w:t>2014</w:t>
      </w:r>
      <w:r>
        <w:rPr>
          <w:rFonts w:hint="eastAsia" w:cs="宋体" w:asciiTheme="minorEastAsia" w:hAnsiTheme="minorEastAsia"/>
          <w:color w:val="auto"/>
          <w:sz w:val="28"/>
          <w:szCs w:val="28"/>
        </w:rPr>
        <w:t>〕</w:t>
      </w:r>
      <w:r>
        <w:rPr>
          <w:rFonts w:cs="宋体" w:asciiTheme="minorEastAsia" w:hAnsiTheme="minorEastAsia"/>
          <w:color w:val="auto"/>
          <w:sz w:val="28"/>
          <w:szCs w:val="28"/>
        </w:rPr>
        <w:t>68</w:t>
      </w:r>
      <w:r>
        <w:rPr>
          <w:rFonts w:hint="eastAsia" w:cs="宋体" w:asciiTheme="minorEastAsia" w:hAnsiTheme="minorEastAsia"/>
          <w:color w:val="auto"/>
          <w:sz w:val="28"/>
          <w:szCs w:val="28"/>
        </w:rPr>
        <w:t>号）文件规定标准执行。</w:t>
      </w:r>
    </w:p>
    <w:p>
      <w:pPr>
        <w:spacing w:line="500" w:lineRule="exact"/>
        <w:ind w:firstLine="560"/>
        <w:rPr>
          <w:rFonts w:cs="宋体" w:asciiTheme="minorEastAsia" w:hAnsiTheme="minorEastAsia"/>
          <w:color w:val="auto"/>
          <w:sz w:val="28"/>
          <w:szCs w:val="28"/>
        </w:rPr>
      </w:pPr>
      <w:r>
        <w:rPr>
          <w:rFonts w:cs="宋体" w:asciiTheme="minorEastAsia" w:hAnsiTheme="minorEastAsia"/>
          <w:color w:val="auto"/>
          <w:sz w:val="28"/>
          <w:szCs w:val="28"/>
        </w:rPr>
        <w:t>2-5-3</w:t>
      </w:r>
      <w:r>
        <w:rPr>
          <w:rFonts w:hint="eastAsia" w:cs="宋体" w:asciiTheme="minorEastAsia" w:hAnsiTheme="minorEastAsia"/>
          <w:color w:val="auto"/>
          <w:sz w:val="28"/>
          <w:szCs w:val="28"/>
        </w:rPr>
        <w:t>、残疾人福利性单位的价格评分标准</w:t>
      </w:r>
    </w:p>
    <w:p>
      <w:pPr>
        <w:spacing w:line="500" w:lineRule="exact"/>
        <w:ind w:firstLine="560"/>
        <w:rPr>
          <w:rFonts w:cs="宋体" w:asciiTheme="minorEastAsia" w:hAnsiTheme="minorEastAsia"/>
          <w:color w:val="auto"/>
          <w:sz w:val="28"/>
          <w:szCs w:val="28"/>
        </w:rPr>
      </w:pPr>
      <w:r>
        <w:rPr>
          <w:rFonts w:hint="eastAsia" w:cs="宋体" w:asciiTheme="minorEastAsia" w:hAnsiTheme="minorEastAsia"/>
          <w:color w:val="auto"/>
          <w:sz w:val="28"/>
          <w:szCs w:val="28"/>
        </w:rPr>
        <w:t>（</w:t>
      </w:r>
      <w:r>
        <w:rPr>
          <w:rFonts w:cs="宋体" w:asciiTheme="minorEastAsia" w:hAnsiTheme="minorEastAsia"/>
          <w:color w:val="auto"/>
          <w:sz w:val="28"/>
          <w:szCs w:val="28"/>
        </w:rPr>
        <w:t>1</w:t>
      </w:r>
      <w:r>
        <w:rPr>
          <w:rFonts w:hint="eastAsia" w:cs="宋体" w:asciiTheme="minorEastAsia" w:hAnsiTheme="minorEastAsia"/>
          <w:color w:val="auto"/>
          <w:sz w:val="28"/>
          <w:szCs w:val="28"/>
        </w:rPr>
        <w:t>）在政府采购活动中，残疾人福利性单位视同小型、微型企业，享受预留份额、评审中价格扣除等政府采购促进中小企业发展的政府采购政策。对残疾人福利性单位产品的价格给予</w:t>
      </w:r>
      <w:r>
        <w:rPr>
          <w:rFonts w:cs="宋体" w:asciiTheme="minorEastAsia" w:hAnsiTheme="minorEastAsia"/>
          <w:color w:val="auto"/>
          <w:sz w:val="28"/>
          <w:szCs w:val="28"/>
        </w:rPr>
        <w:t>6%</w:t>
      </w:r>
      <w:r>
        <w:rPr>
          <w:rFonts w:hint="eastAsia" w:cs="宋体" w:asciiTheme="minorEastAsia" w:hAnsiTheme="minorEastAsia"/>
          <w:color w:val="auto"/>
          <w:sz w:val="28"/>
          <w:szCs w:val="28"/>
        </w:rPr>
        <w:t>的扣除，用扣除后的价格参与评审，其评审价</w:t>
      </w:r>
      <w:r>
        <w:rPr>
          <w:rFonts w:cs="宋体" w:asciiTheme="minorEastAsia" w:hAnsiTheme="minorEastAsia"/>
          <w:color w:val="auto"/>
          <w:sz w:val="28"/>
          <w:szCs w:val="28"/>
        </w:rPr>
        <w:t>=</w:t>
      </w:r>
      <w:r>
        <w:rPr>
          <w:rFonts w:hint="eastAsia" w:cs="宋体" w:asciiTheme="minorEastAsia" w:hAnsiTheme="minorEastAsia"/>
          <w:color w:val="auto"/>
          <w:sz w:val="28"/>
          <w:szCs w:val="28"/>
        </w:rPr>
        <w:t>磋商报价</w:t>
      </w:r>
      <w:r>
        <w:rPr>
          <w:rFonts w:cs="宋体" w:asciiTheme="minorEastAsia" w:hAnsiTheme="minorEastAsia"/>
          <w:color w:val="auto"/>
          <w:sz w:val="28"/>
          <w:szCs w:val="28"/>
        </w:rPr>
        <w:t>*</w:t>
      </w:r>
      <w:r>
        <w:rPr>
          <w:rFonts w:hint="eastAsia" w:cs="宋体" w:asciiTheme="minorEastAsia" w:hAnsiTheme="minorEastAsia"/>
          <w:color w:val="auto"/>
          <w:sz w:val="28"/>
          <w:szCs w:val="28"/>
        </w:rPr>
        <w:t>（</w:t>
      </w:r>
      <w:r>
        <w:rPr>
          <w:rFonts w:cs="宋体" w:asciiTheme="minorEastAsia" w:hAnsiTheme="minorEastAsia"/>
          <w:color w:val="auto"/>
          <w:sz w:val="28"/>
          <w:szCs w:val="28"/>
        </w:rPr>
        <w:t>1-6%</w:t>
      </w:r>
      <w:r>
        <w:rPr>
          <w:rFonts w:hint="eastAsia" w:cs="宋体" w:asciiTheme="minorEastAsia" w:hAnsiTheme="minorEastAsia"/>
          <w:color w:val="auto"/>
          <w:sz w:val="28"/>
          <w:szCs w:val="28"/>
        </w:rPr>
        <w:t>）。</w:t>
      </w:r>
    </w:p>
    <w:p>
      <w:pPr>
        <w:spacing w:line="500" w:lineRule="exact"/>
        <w:ind w:firstLine="560"/>
        <w:rPr>
          <w:rFonts w:cs="宋体" w:asciiTheme="minorEastAsia" w:hAnsiTheme="minorEastAsia"/>
          <w:color w:val="auto"/>
          <w:sz w:val="28"/>
          <w:szCs w:val="28"/>
        </w:rPr>
      </w:pPr>
      <w:r>
        <w:rPr>
          <w:rFonts w:hint="eastAsia" w:cs="宋体" w:asciiTheme="minorEastAsia" w:hAnsiTheme="minorEastAsia"/>
          <w:color w:val="auto"/>
          <w:sz w:val="28"/>
          <w:szCs w:val="28"/>
        </w:rPr>
        <w:t>（</w:t>
      </w:r>
      <w:r>
        <w:rPr>
          <w:rFonts w:cs="宋体" w:asciiTheme="minorEastAsia" w:hAnsiTheme="minorEastAsia"/>
          <w:color w:val="auto"/>
          <w:sz w:val="28"/>
          <w:szCs w:val="28"/>
        </w:rPr>
        <w:t>2</w:t>
      </w:r>
      <w:r>
        <w:rPr>
          <w:rFonts w:hint="eastAsia" w:cs="宋体" w:asciiTheme="minorEastAsia" w:hAnsiTheme="minorEastAsia"/>
          <w:color w:val="auto"/>
          <w:sz w:val="28"/>
          <w:szCs w:val="28"/>
        </w:rPr>
        <w:t>）残疾人福利性单位属于小型、微型企业的，不重复享受政策。</w:t>
      </w:r>
    </w:p>
    <w:p>
      <w:pPr>
        <w:spacing w:line="500" w:lineRule="exact"/>
        <w:ind w:firstLine="560"/>
        <w:rPr>
          <w:rFonts w:cs="宋体" w:asciiTheme="minorEastAsia" w:hAnsiTheme="minorEastAsia"/>
          <w:color w:val="auto"/>
          <w:sz w:val="28"/>
          <w:szCs w:val="28"/>
        </w:rPr>
      </w:pPr>
      <w:r>
        <w:rPr>
          <w:rFonts w:hint="eastAsia" w:cs="宋体" w:asciiTheme="minorEastAsia" w:hAnsiTheme="minorEastAsia"/>
          <w:color w:val="auto"/>
          <w:sz w:val="28"/>
          <w:szCs w:val="28"/>
        </w:rPr>
        <w:t>（</w:t>
      </w:r>
      <w:r>
        <w:rPr>
          <w:rFonts w:cs="宋体" w:asciiTheme="minorEastAsia" w:hAnsiTheme="minorEastAsia"/>
          <w:color w:val="auto"/>
          <w:sz w:val="28"/>
          <w:szCs w:val="28"/>
        </w:rPr>
        <w:t>3</w:t>
      </w:r>
      <w:r>
        <w:rPr>
          <w:rFonts w:hint="eastAsia" w:cs="宋体" w:asciiTheme="minorEastAsia" w:hAnsiTheme="minorEastAsia"/>
          <w:color w:val="auto"/>
          <w:sz w:val="28"/>
          <w:szCs w:val="28"/>
        </w:rPr>
        <w:t>）符合条件的残疾人福利性单位在参加政府采购活动时，应当提供本通知规定的《残疾人福利性单位声明函》（见附件），并对声明的真实性负责，未提供的不视为残疾人福利性单位。</w:t>
      </w:r>
    </w:p>
    <w:p>
      <w:pPr>
        <w:spacing w:line="500" w:lineRule="exact"/>
        <w:ind w:firstLine="560"/>
        <w:rPr>
          <w:rFonts w:cs="宋体" w:asciiTheme="minorEastAsia" w:hAnsiTheme="minorEastAsia"/>
          <w:color w:val="auto"/>
          <w:sz w:val="28"/>
          <w:szCs w:val="28"/>
        </w:rPr>
      </w:pPr>
      <w:r>
        <w:rPr>
          <w:rFonts w:cs="宋体" w:asciiTheme="minorEastAsia" w:hAnsiTheme="minorEastAsia"/>
          <w:color w:val="auto"/>
          <w:sz w:val="28"/>
          <w:szCs w:val="28"/>
        </w:rPr>
        <w:t>2-5-4</w:t>
      </w:r>
      <w:r>
        <w:rPr>
          <w:rFonts w:hint="eastAsia" w:cs="宋体" w:asciiTheme="minorEastAsia" w:hAnsiTheme="minorEastAsia"/>
          <w:color w:val="auto"/>
          <w:sz w:val="28"/>
          <w:szCs w:val="28"/>
        </w:rPr>
        <w:t>、节能产品、环境标志产品政策</w:t>
      </w:r>
    </w:p>
    <w:p>
      <w:pPr>
        <w:spacing w:line="500" w:lineRule="exact"/>
        <w:ind w:firstLine="560"/>
        <w:rPr>
          <w:rFonts w:cs="宋体" w:asciiTheme="minorEastAsia" w:hAnsiTheme="minorEastAsia"/>
          <w:color w:val="auto"/>
          <w:sz w:val="28"/>
          <w:szCs w:val="28"/>
        </w:rPr>
      </w:pPr>
      <w:r>
        <w:rPr>
          <w:rFonts w:hint="eastAsia" w:cs="宋体" w:asciiTheme="minorEastAsia" w:hAnsiTheme="minorEastAsia"/>
          <w:color w:val="auto"/>
          <w:sz w:val="28"/>
          <w:szCs w:val="28"/>
        </w:rPr>
        <w:t>（</w:t>
      </w:r>
      <w:r>
        <w:rPr>
          <w:rFonts w:cs="宋体" w:asciiTheme="minorEastAsia" w:hAnsiTheme="minorEastAsia"/>
          <w:color w:val="auto"/>
          <w:sz w:val="28"/>
          <w:szCs w:val="28"/>
        </w:rPr>
        <w:t>1</w:t>
      </w:r>
      <w:r>
        <w:rPr>
          <w:rFonts w:hint="eastAsia" w:cs="宋体" w:asciiTheme="minorEastAsia" w:hAnsiTheme="minorEastAsia"/>
          <w:color w:val="auto"/>
          <w:sz w:val="28"/>
          <w:szCs w:val="28"/>
        </w:rPr>
        <w:t>）节能产品根据《财政部、国家发展和改革委员会关于印发</w:t>
      </w:r>
      <w:r>
        <w:rPr>
          <w:rFonts w:cs="宋体" w:asciiTheme="minorEastAsia" w:hAnsiTheme="minorEastAsia"/>
          <w:color w:val="auto"/>
          <w:sz w:val="28"/>
          <w:szCs w:val="28"/>
        </w:rPr>
        <w:t>&lt;</w:t>
      </w:r>
      <w:r>
        <w:rPr>
          <w:rFonts w:hint="eastAsia" w:cs="宋体" w:asciiTheme="minorEastAsia" w:hAnsiTheme="minorEastAsia"/>
          <w:color w:val="auto"/>
          <w:sz w:val="28"/>
          <w:szCs w:val="28"/>
        </w:rPr>
        <w:t>节能产品政府采购实施意见</w:t>
      </w:r>
      <w:r>
        <w:rPr>
          <w:rFonts w:cs="宋体" w:asciiTheme="minorEastAsia" w:hAnsiTheme="minorEastAsia"/>
          <w:color w:val="auto"/>
          <w:sz w:val="28"/>
          <w:szCs w:val="28"/>
        </w:rPr>
        <w:t>&gt;</w:t>
      </w:r>
      <w:r>
        <w:rPr>
          <w:rFonts w:hint="eastAsia" w:cs="宋体" w:asciiTheme="minorEastAsia" w:hAnsiTheme="minorEastAsia"/>
          <w:color w:val="auto"/>
          <w:sz w:val="28"/>
          <w:szCs w:val="28"/>
        </w:rPr>
        <w:t>的通知》（财库【</w:t>
      </w:r>
      <w:r>
        <w:rPr>
          <w:rFonts w:cs="宋体" w:asciiTheme="minorEastAsia" w:hAnsiTheme="minorEastAsia"/>
          <w:color w:val="auto"/>
          <w:sz w:val="28"/>
          <w:szCs w:val="28"/>
        </w:rPr>
        <w:t>2004</w:t>
      </w:r>
      <w:r>
        <w:rPr>
          <w:rFonts w:hint="eastAsia" w:cs="宋体" w:asciiTheme="minorEastAsia" w:hAnsiTheme="minorEastAsia"/>
          <w:color w:val="auto"/>
          <w:sz w:val="28"/>
          <w:szCs w:val="28"/>
        </w:rPr>
        <w:t>】</w:t>
      </w:r>
      <w:r>
        <w:rPr>
          <w:rFonts w:cs="宋体" w:asciiTheme="minorEastAsia" w:hAnsiTheme="minorEastAsia"/>
          <w:color w:val="auto"/>
          <w:sz w:val="28"/>
          <w:szCs w:val="28"/>
        </w:rPr>
        <w:t>185</w:t>
      </w:r>
      <w:r>
        <w:rPr>
          <w:rFonts w:hint="eastAsia" w:cs="宋体" w:asciiTheme="minorEastAsia" w:hAnsiTheme="minorEastAsia"/>
          <w:color w:val="auto"/>
          <w:sz w:val="28"/>
          <w:szCs w:val="28"/>
        </w:rPr>
        <w:t>号）、《国务院办公厅关于建立政府强制采购节能产品制度的通知》（国办发〔</w:t>
      </w:r>
      <w:r>
        <w:rPr>
          <w:rFonts w:cs="宋体" w:asciiTheme="minorEastAsia" w:hAnsiTheme="minorEastAsia"/>
          <w:color w:val="auto"/>
          <w:sz w:val="28"/>
          <w:szCs w:val="28"/>
        </w:rPr>
        <w:t>2007</w:t>
      </w:r>
      <w:r>
        <w:rPr>
          <w:rFonts w:hint="eastAsia" w:cs="宋体" w:asciiTheme="minorEastAsia" w:hAnsiTheme="minorEastAsia"/>
          <w:color w:val="auto"/>
          <w:sz w:val="28"/>
          <w:szCs w:val="28"/>
        </w:rPr>
        <w:t>〕</w:t>
      </w:r>
      <w:r>
        <w:rPr>
          <w:rFonts w:cs="宋体" w:asciiTheme="minorEastAsia" w:hAnsiTheme="minorEastAsia"/>
          <w:color w:val="auto"/>
          <w:sz w:val="28"/>
          <w:szCs w:val="28"/>
        </w:rPr>
        <w:t>51</w:t>
      </w:r>
      <w:r>
        <w:rPr>
          <w:rFonts w:hint="eastAsia" w:cs="宋体" w:asciiTheme="minorEastAsia" w:hAnsiTheme="minorEastAsia"/>
          <w:color w:val="auto"/>
          <w:sz w:val="28"/>
          <w:szCs w:val="28"/>
        </w:rPr>
        <w:t>号）的有关规定，以中国政府采购网（</w:t>
      </w:r>
      <w:r>
        <w:rPr>
          <w:rFonts w:cs="宋体" w:asciiTheme="minorEastAsia" w:hAnsiTheme="minorEastAsia"/>
          <w:color w:val="auto"/>
          <w:sz w:val="28"/>
          <w:szCs w:val="28"/>
        </w:rPr>
        <w:t>http://www.ccgp.gov.cn/</w:t>
      </w:r>
      <w:r>
        <w:rPr>
          <w:rFonts w:hint="eastAsia" w:cs="宋体" w:asciiTheme="minorEastAsia" w:hAnsiTheme="minorEastAsia"/>
          <w:color w:val="auto"/>
          <w:sz w:val="28"/>
          <w:szCs w:val="28"/>
        </w:rPr>
        <w:t>）公布的最新一期节能产品政府采购清单为准。节能清单所列产品包括政府强制采购和优先采购的节能产品，标注“★”的品目为政府强制采购的节能产品，其他品目为政府优先采购的节能产品。</w:t>
      </w:r>
    </w:p>
    <w:p>
      <w:pPr>
        <w:spacing w:line="500" w:lineRule="exact"/>
        <w:ind w:firstLine="560"/>
        <w:rPr>
          <w:rFonts w:cs="宋体" w:asciiTheme="minorEastAsia" w:hAnsiTheme="minorEastAsia"/>
          <w:color w:val="auto"/>
          <w:sz w:val="28"/>
          <w:szCs w:val="28"/>
        </w:rPr>
      </w:pPr>
      <w:r>
        <w:rPr>
          <w:rFonts w:hint="eastAsia" w:cs="宋体" w:asciiTheme="minorEastAsia" w:hAnsiTheme="minorEastAsia"/>
          <w:color w:val="auto"/>
          <w:sz w:val="28"/>
          <w:szCs w:val="28"/>
        </w:rPr>
        <w:t>（</w:t>
      </w:r>
      <w:r>
        <w:rPr>
          <w:rFonts w:cs="宋体" w:asciiTheme="minorEastAsia" w:hAnsiTheme="minorEastAsia"/>
          <w:color w:val="auto"/>
          <w:sz w:val="28"/>
          <w:szCs w:val="28"/>
        </w:rPr>
        <w:t>2</w:t>
      </w:r>
      <w:r>
        <w:rPr>
          <w:rFonts w:hint="eastAsia" w:cs="宋体" w:asciiTheme="minorEastAsia" w:hAnsiTheme="minorEastAsia"/>
          <w:color w:val="auto"/>
          <w:sz w:val="28"/>
          <w:szCs w:val="28"/>
        </w:rPr>
        <w:t>）环境标志产品根据《财政部、国家环保总局联合印发</w:t>
      </w:r>
      <w:r>
        <w:rPr>
          <w:rFonts w:cs="宋体" w:asciiTheme="minorEastAsia" w:hAnsiTheme="minorEastAsia"/>
          <w:color w:val="auto"/>
          <w:sz w:val="28"/>
          <w:szCs w:val="28"/>
        </w:rPr>
        <w:t>&lt;</w:t>
      </w:r>
      <w:r>
        <w:rPr>
          <w:rFonts w:hint="eastAsia" w:cs="宋体" w:asciiTheme="minorEastAsia" w:hAnsiTheme="minorEastAsia"/>
          <w:color w:val="auto"/>
          <w:sz w:val="28"/>
          <w:szCs w:val="28"/>
        </w:rPr>
        <w:t>关于环境标志产品政府采购实施的意见</w:t>
      </w:r>
      <w:r>
        <w:rPr>
          <w:rFonts w:cs="宋体" w:asciiTheme="minorEastAsia" w:hAnsiTheme="minorEastAsia"/>
          <w:color w:val="auto"/>
          <w:sz w:val="28"/>
          <w:szCs w:val="28"/>
        </w:rPr>
        <w:t>&gt;</w:t>
      </w:r>
      <w:r>
        <w:rPr>
          <w:rFonts w:hint="eastAsia" w:cs="宋体" w:asciiTheme="minorEastAsia" w:hAnsiTheme="minorEastAsia"/>
          <w:color w:val="auto"/>
          <w:sz w:val="28"/>
          <w:szCs w:val="28"/>
        </w:rPr>
        <w:t>》（财库【</w:t>
      </w:r>
      <w:r>
        <w:rPr>
          <w:rFonts w:cs="宋体" w:asciiTheme="minorEastAsia" w:hAnsiTheme="minorEastAsia"/>
          <w:color w:val="auto"/>
          <w:sz w:val="28"/>
          <w:szCs w:val="28"/>
        </w:rPr>
        <w:t>2006</w:t>
      </w:r>
      <w:r>
        <w:rPr>
          <w:rFonts w:hint="eastAsia" w:cs="宋体" w:asciiTheme="minorEastAsia" w:hAnsiTheme="minorEastAsia"/>
          <w:color w:val="auto"/>
          <w:sz w:val="28"/>
          <w:szCs w:val="28"/>
        </w:rPr>
        <w:t>】</w:t>
      </w:r>
      <w:r>
        <w:rPr>
          <w:rFonts w:cs="宋体" w:asciiTheme="minorEastAsia" w:hAnsiTheme="minorEastAsia"/>
          <w:color w:val="auto"/>
          <w:sz w:val="28"/>
          <w:szCs w:val="28"/>
        </w:rPr>
        <w:t>90</w:t>
      </w:r>
      <w:r>
        <w:rPr>
          <w:rFonts w:hint="eastAsia" w:cs="宋体" w:asciiTheme="minorEastAsia" w:hAnsiTheme="minorEastAsia"/>
          <w:color w:val="auto"/>
          <w:sz w:val="28"/>
          <w:szCs w:val="28"/>
        </w:rPr>
        <w:t>号）的规定，以中国政府采购网（</w:t>
      </w:r>
      <w:r>
        <w:rPr>
          <w:rFonts w:cs="宋体" w:asciiTheme="minorEastAsia" w:hAnsiTheme="minorEastAsia"/>
          <w:color w:val="auto"/>
          <w:sz w:val="28"/>
          <w:szCs w:val="28"/>
        </w:rPr>
        <w:t>http://www.ccgp.gov.cn/</w:t>
      </w:r>
      <w:r>
        <w:rPr>
          <w:rFonts w:hint="eastAsia" w:cs="宋体" w:asciiTheme="minorEastAsia" w:hAnsiTheme="minorEastAsia"/>
          <w:color w:val="auto"/>
          <w:sz w:val="28"/>
          <w:szCs w:val="28"/>
        </w:rPr>
        <w:t>）公布的最新一期环境标志产品政府采购清单为准。环保清单所列产品为政府优先采购产品。</w:t>
      </w:r>
    </w:p>
    <w:p>
      <w:pPr>
        <w:pStyle w:val="5"/>
        <w:ind w:left="0" w:leftChars="0" w:firstLine="0" w:firstLineChars="0"/>
        <w:jc w:val="left"/>
        <w:rPr>
          <w:rFonts w:asciiTheme="minorEastAsia" w:hAnsiTheme="minorEastAsia"/>
          <w:color w:val="0000FF"/>
        </w:rPr>
      </w:pPr>
    </w:p>
    <w:p>
      <w:pPr>
        <w:pStyle w:val="5"/>
        <w:ind w:left="0" w:leftChars="0" w:firstLine="0" w:firstLineChars="0"/>
        <w:jc w:val="left"/>
        <w:rPr>
          <w:rFonts w:asciiTheme="minorEastAsia" w:hAnsiTheme="minorEastAsia"/>
          <w:color w:val="0000FF"/>
        </w:rPr>
      </w:pPr>
    </w:p>
    <w:p>
      <w:pPr>
        <w:pStyle w:val="5"/>
        <w:ind w:left="0" w:leftChars="0" w:firstLine="0" w:firstLineChars="0"/>
        <w:jc w:val="left"/>
        <w:rPr>
          <w:rFonts w:asciiTheme="minorEastAsia" w:hAnsiTheme="minorEastAsia"/>
          <w:color w:val="0000FF"/>
        </w:rPr>
      </w:pPr>
      <w:r>
        <w:rPr>
          <w:rFonts w:hint="eastAsia" w:cs="宋体" w:asciiTheme="minorEastAsia" w:hAnsiTheme="minorEastAsia" w:eastAsiaTheme="minorEastAsia"/>
          <w:b/>
          <w:bCs/>
          <w:color w:val="auto"/>
          <w:kern w:val="1"/>
          <w:sz w:val="28"/>
          <w:szCs w:val="28"/>
          <w:lang w:val="en-US" w:eastAsia="zh-CN" w:bidi="ar-SA"/>
        </w:rPr>
        <w:t>本项目专门面向中小企业采购，</w:t>
      </w:r>
      <w:r>
        <w:rPr>
          <w:rFonts w:hint="eastAsia" w:cs="宋体" w:asciiTheme="minorEastAsia" w:hAnsiTheme="minorEastAsia"/>
          <w:b/>
          <w:bCs/>
          <w:color w:val="auto"/>
          <w:kern w:val="1"/>
          <w:sz w:val="28"/>
          <w:szCs w:val="28"/>
          <w:lang w:val="en-US" w:eastAsia="zh-CN" w:bidi="ar-SA"/>
        </w:rPr>
        <w:t>不享受中小企业价格优惠政策。</w:t>
      </w:r>
    </w:p>
    <w:p>
      <w:pPr>
        <w:pStyle w:val="5"/>
        <w:ind w:left="0" w:leftChars="0" w:firstLine="0" w:firstLineChars="0"/>
        <w:jc w:val="left"/>
        <w:rPr>
          <w:rFonts w:asciiTheme="minorEastAsia" w:hAnsiTheme="minorEastAsia"/>
          <w:color w:val="0000FF"/>
        </w:rPr>
      </w:pPr>
    </w:p>
    <w:p>
      <w:pPr>
        <w:rPr>
          <w:rFonts w:hint="eastAsia" w:cs="宋体" w:asciiTheme="minorEastAsia" w:hAnsiTheme="minorEastAsia"/>
          <w:b/>
          <w:sz w:val="28"/>
          <w:szCs w:val="28"/>
        </w:rPr>
      </w:pPr>
      <w:r>
        <w:rPr>
          <w:rFonts w:hint="eastAsia" w:cs="宋体" w:asciiTheme="minorEastAsia" w:hAnsiTheme="minorEastAsia"/>
          <w:b/>
          <w:sz w:val="28"/>
          <w:szCs w:val="28"/>
        </w:rPr>
        <w:br w:type="page"/>
      </w:r>
    </w:p>
    <w:p>
      <w:pPr>
        <w:spacing w:line="500" w:lineRule="exact"/>
        <w:ind w:firstLine="562"/>
        <w:rPr>
          <w:rFonts w:cs="宋体" w:asciiTheme="minorEastAsia" w:hAnsiTheme="minorEastAsia"/>
          <w:b/>
          <w:sz w:val="28"/>
          <w:szCs w:val="28"/>
        </w:rPr>
      </w:pPr>
      <w:r>
        <w:rPr>
          <w:rFonts w:hint="eastAsia" w:cs="宋体" w:asciiTheme="minorEastAsia" w:hAnsiTheme="minorEastAsia"/>
          <w:b/>
          <w:sz w:val="28"/>
          <w:szCs w:val="28"/>
        </w:rPr>
        <w:t>2-6、评分标准</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809"/>
        <w:gridCol w:w="599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22" w:type="dxa"/>
            <w:vAlign w:val="center"/>
          </w:tcPr>
          <w:p>
            <w:pPr>
              <w:spacing w:line="360" w:lineRule="auto"/>
              <w:jc w:val="center"/>
              <w:rPr>
                <w:sz w:val="24"/>
                <w:szCs w:val="24"/>
              </w:rPr>
            </w:pPr>
            <w:r>
              <w:rPr>
                <w:rFonts w:hint="eastAsia" w:ascii="宋体" w:hAnsi="宋体" w:eastAsia="宋体" w:cs="宋体"/>
                <w:b/>
                <w:bCs/>
                <w:sz w:val="24"/>
                <w:szCs w:val="24"/>
              </w:rPr>
              <w:t>评分因素</w:t>
            </w:r>
          </w:p>
        </w:tc>
        <w:tc>
          <w:tcPr>
            <w:tcW w:w="6804" w:type="dxa"/>
            <w:gridSpan w:val="2"/>
            <w:vAlign w:val="center"/>
          </w:tcPr>
          <w:p>
            <w:pPr>
              <w:spacing w:line="360" w:lineRule="auto"/>
              <w:jc w:val="center"/>
              <w:rPr>
                <w:sz w:val="24"/>
                <w:szCs w:val="24"/>
              </w:rPr>
            </w:pPr>
            <w:r>
              <w:rPr>
                <w:rFonts w:hint="eastAsia" w:ascii="宋体" w:hAnsi="宋体" w:eastAsia="宋体" w:cs="宋体"/>
                <w:b/>
                <w:bCs/>
                <w:sz w:val="24"/>
                <w:szCs w:val="24"/>
              </w:rPr>
              <w:t>评分标准</w:t>
            </w:r>
          </w:p>
        </w:tc>
        <w:tc>
          <w:tcPr>
            <w:tcW w:w="1200" w:type="dxa"/>
            <w:vAlign w:val="center"/>
          </w:tcPr>
          <w:p>
            <w:pPr>
              <w:spacing w:line="360" w:lineRule="auto"/>
              <w:jc w:val="center"/>
              <w:rPr>
                <w:sz w:val="24"/>
                <w:szCs w:val="24"/>
              </w:rPr>
            </w:pPr>
            <w:r>
              <w:rPr>
                <w:rFonts w:hint="eastAsia" w:ascii="宋体" w:hAnsi="宋体" w:eastAsia="宋体" w:cs="宋体"/>
                <w:b/>
                <w:bCs/>
                <w:sz w:val="24"/>
                <w:szCs w:val="24"/>
              </w:rPr>
              <w:t>具体分值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wordWrap w:val="0"/>
              <w:spacing w:line="360" w:lineRule="auto"/>
              <w:jc w:val="center"/>
              <w:rPr>
                <w:rFonts w:ascii="宋体" w:hAnsi="宋体" w:eastAsia="宋体" w:cs="宋体"/>
                <w:sz w:val="24"/>
                <w:szCs w:val="24"/>
              </w:rPr>
            </w:pPr>
            <w:r>
              <w:rPr>
                <w:rFonts w:hint="eastAsia" w:ascii="宋体" w:hAnsi="宋体" w:eastAsia="宋体" w:cs="宋体"/>
                <w:sz w:val="24"/>
                <w:szCs w:val="24"/>
              </w:rPr>
              <w:t>报价部分</w:t>
            </w:r>
          </w:p>
          <w:p>
            <w:pPr>
              <w:wordWrap w:val="0"/>
              <w:spacing w:line="360" w:lineRule="auto"/>
              <w:jc w:val="center"/>
              <w:rPr>
                <w:rFonts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color w:val="000000"/>
                <w:sz w:val="24"/>
                <w:szCs w:val="24"/>
              </w:rPr>
              <w:t>分</w:t>
            </w:r>
            <w:r>
              <w:rPr>
                <w:rFonts w:hint="eastAsia" w:ascii="宋体" w:hAnsi="宋体" w:eastAsia="宋体" w:cs="宋体"/>
                <w:sz w:val="24"/>
                <w:szCs w:val="24"/>
              </w:rPr>
              <w:t>）</w:t>
            </w:r>
          </w:p>
        </w:tc>
        <w:tc>
          <w:tcPr>
            <w:tcW w:w="6804" w:type="dxa"/>
            <w:gridSpan w:val="2"/>
          </w:tcPr>
          <w:p>
            <w:pPr>
              <w:pStyle w:val="100"/>
              <w:spacing w:line="360" w:lineRule="auto"/>
              <w:ind w:left="107" w:right="182"/>
              <w:rPr>
                <w:sz w:val="24"/>
                <w:szCs w:val="24"/>
                <w:lang w:val="en-US"/>
              </w:rPr>
            </w:pPr>
            <w:r>
              <w:rPr>
                <w:rFonts w:hint="eastAsia"/>
                <w:sz w:val="24"/>
                <w:szCs w:val="24"/>
              </w:rPr>
              <w:t>价格分采用低价优先法计算，即满足招标文件要求且投标价格最低的投标报价为评标基准价，其价格分为满分。其他投标人的价格分统一按下列公式计算：投标报价得分=（评标基准价/投标报价）×</w:t>
            </w:r>
            <w:r>
              <w:rPr>
                <w:rFonts w:hint="eastAsia"/>
                <w:sz w:val="24"/>
                <w:szCs w:val="24"/>
                <w:lang w:val="en-US"/>
              </w:rPr>
              <w:t>10</w:t>
            </w:r>
            <w:r>
              <w:rPr>
                <w:rFonts w:hint="eastAsia"/>
                <w:sz w:val="24"/>
                <w:szCs w:val="24"/>
              </w:rPr>
              <w:t xml:space="preserve"> 分。</w:t>
            </w:r>
          </w:p>
        </w:tc>
        <w:tc>
          <w:tcPr>
            <w:tcW w:w="1200" w:type="dxa"/>
            <w:vAlign w:val="center"/>
          </w:tcPr>
          <w:p>
            <w:pPr>
              <w:spacing w:line="360" w:lineRule="auto"/>
              <w:jc w:val="center"/>
              <w:rPr>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2"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技术部分（65</w:t>
            </w:r>
            <w:r>
              <w:rPr>
                <w:rFonts w:hint="eastAsia" w:ascii="宋体" w:hAnsi="宋体" w:eastAsia="宋体" w:cs="宋体"/>
                <w:color w:val="000000"/>
                <w:sz w:val="24"/>
                <w:szCs w:val="24"/>
              </w:rPr>
              <w:t>分</w:t>
            </w:r>
            <w:r>
              <w:rPr>
                <w:rFonts w:hint="eastAsia" w:ascii="宋体" w:hAnsi="宋体" w:eastAsia="宋体" w:cs="宋体"/>
                <w:sz w:val="24"/>
                <w:szCs w:val="24"/>
              </w:rPr>
              <w:t>）</w:t>
            </w:r>
          </w:p>
        </w:tc>
        <w:tc>
          <w:tcPr>
            <w:tcW w:w="809" w:type="dxa"/>
            <w:vAlign w:val="center"/>
          </w:tcPr>
          <w:p>
            <w:pPr>
              <w:spacing w:line="360" w:lineRule="auto"/>
              <w:jc w:val="center"/>
              <w:rPr>
                <w:sz w:val="24"/>
                <w:szCs w:val="24"/>
              </w:rPr>
            </w:pPr>
            <w:r>
              <w:rPr>
                <w:rFonts w:hint="eastAsia" w:ascii="宋体" w:hAnsi="宋体" w:eastAsia="宋体" w:cs="宋体"/>
                <w:sz w:val="24"/>
                <w:szCs w:val="24"/>
              </w:rPr>
              <w:t>参数要求</w:t>
            </w:r>
          </w:p>
        </w:tc>
        <w:tc>
          <w:tcPr>
            <w:tcW w:w="5995" w:type="dxa"/>
          </w:tcPr>
          <w:p>
            <w:pPr>
              <w:widowControl/>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 xml:space="preserve">投标人须完全满足招标文件技术要求的得15分，任一项不满足得0分。 </w:t>
            </w:r>
          </w:p>
          <w:p>
            <w:pPr>
              <w:spacing w:line="360" w:lineRule="auto"/>
              <w:rPr>
                <w:sz w:val="24"/>
                <w:szCs w:val="24"/>
              </w:rPr>
            </w:pPr>
            <w:r>
              <w:rPr>
                <w:rFonts w:hint="eastAsia" w:ascii="宋体" w:hAnsi="宋体" w:eastAsia="宋体" w:cs="宋体"/>
                <w:b/>
                <w:bCs/>
                <w:color w:val="000000"/>
                <w:sz w:val="24"/>
                <w:szCs w:val="24"/>
              </w:rPr>
              <w:t>评审依据：提供技术参数响应/偏离表加盖投标人公章佐证，未提供或提供不符合要求不得分。</w:t>
            </w:r>
          </w:p>
        </w:tc>
        <w:tc>
          <w:tcPr>
            <w:tcW w:w="1200" w:type="dxa"/>
            <w:vAlign w:val="center"/>
          </w:tcPr>
          <w:p>
            <w:pPr>
              <w:spacing w:line="360" w:lineRule="auto"/>
              <w:jc w:val="center"/>
              <w:rPr>
                <w:sz w:val="24"/>
                <w:szCs w:val="24"/>
              </w:rPr>
            </w:pPr>
            <w:r>
              <w:rPr>
                <w:rFonts w:hint="eastAsia" w:ascii="宋体" w:hAnsi="宋体" w:eastAsia="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2" w:type="dxa"/>
            <w:vMerge w:val="continue"/>
          </w:tcPr>
          <w:p>
            <w:pPr>
              <w:spacing w:line="360" w:lineRule="auto"/>
              <w:rPr>
                <w:sz w:val="24"/>
                <w:szCs w:val="24"/>
              </w:rPr>
            </w:pPr>
          </w:p>
        </w:tc>
        <w:tc>
          <w:tcPr>
            <w:tcW w:w="809" w:type="dxa"/>
            <w:vAlign w:val="center"/>
          </w:tcPr>
          <w:p>
            <w:pPr>
              <w:spacing w:line="360" w:lineRule="auto"/>
              <w:jc w:val="center"/>
              <w:rPr>
                <w:sz w:val="24"/>
                <w:szCs w:val="24"/>
              </w:rPr>
            </w:pPr>
            <w:r>
              <w:rPr>
                <w:rFonts w:hint="eastAsia" w:ascii="宋体" w:hAnsi="宋体" w:eastAsia="宋体" w:cs="宋体"/>
                <w:sz w:val="24"/>
                <w:szCs w:val="24"/>
              </w:rPr>
              <w:t>方案要求</w:t>
            </w:r>
          </w:p>
        </w:tc>
        <w:tc>
          <w:tcPr>
            <w:tcW w:w="5995" w:type="dxa"/>
          </w:tcPr>
          <w:p>
            <w:pPr>
              <w:widowControl/>
              <w:spacing w:line="360" w:lineRule="auto"/>
              <w:jc w:val="left"/>
              <w:rPr>
                <w:rFonts w:ascii="宋体" w:hAnsi="宋体" w:eastAsia="宋体" w:cs="宋体"/>
                <w:sz w:val="24"/>
                <w:szCs w:val="24"/>
              </w:rPr>
            </w:pPr>
            <w:r>
              <w:rPr>
                <w:rFonts w:hint="eastAsia" w:ascii="宋体" w:hAnsi="宋体" w:eastAsia="宋体" w:cs="宋体"/>
                <w:sz w:val="24"/>
                <w:szCs w:val="24"/>
              </w:rPr>
              <w:t>所投软件具有平台PC端、手机APP端/小程序和数据可视化大屏三部分。</w:t>
            </w:r>
          </w:p>
          <w:p>
            <w:pPr>
              <w:pStyle w:val="10"/>
              <w:spacing w:line="360" w:lineRule="auto"/>
              <w:rPr>
                <w:rFonts w:hint="default" w:ascii="宋体" w:hAnsi="宋体"/>
                <w:b/>
                <w:bCs/>
                <w:sz w:val="24"/>
                <w:szCs w:val="24"/>
              </w:rPr>
            </w:pPr>
            <w:r>
              <w:rPr>
                <w:rFonts w:ascii="宋体" w:hAnsi="宋体"/>
                <w:b/>
                <w:bCs/>
                <w:sz w:val="24"/>
                <w:szCs w:val="24"/>
              </w:rPr>
              <w:t>PC端提供：数字路产、四好农村路养护、安全双预防；应用APP提供：病害研判、线路巡查、养护作业、视频监控部分功能截图。</w:t>
            </w:r>
          </w:p>
          <w:p>
            <w:pPr>
              <w:spacing w:line="360" w:lineRule="auto"/>
              <w:rPr>
                <w:b/>
                <w:bCs/>
                <w:sz w:val="24"/>
                <w:szCs w:val="24"/>
              </w:rPr>
            </w:pPr>
            <w:r>
              <w:rPr>
                <w:rFonts w:hint="eastAsia" w:ascii="宋体" w:hAnsi="宋体" w:eastAsia="宋体" w:cs="宋体"/>
                <w:b/>
                <w:bCs/>
                <w:color w:val="000000"/>
                <w:sz w:val="24"/>
                <w:szCs w:val="24"/>
              </w:rPr>
              <w:t>功能截图：提供各模块功能截图（1-8分）</w:t>
            </w:r>
          </w:p>
          <w:p>
            <w:pPr>
              <w:widowControl/>
              <w:spacing w:line="360" w:lineRule="auto"/>
              <w:jc w:val="left"/>
              <w:rPr>
                <w:sz w:val="24"/>
                <w:szCs w:val="24"/>
              </w:rPr>
            </w:pPr>
            <w:r>
              <w:rPr>
                <w:rFonts w:hint="eastAsia" w:ascii="宋体" w:hAnsi="宋体" w:eastAsia="宋体" w:cs="宋体"/>
                <w:b/>
                <w:bCs/>
                <w:sz w:val="24"/>
                <w:szCs w:val="24"/>
              </w:rPr>
              <w:t>系统方案包括：功能点及架构；软件整体架构与功能点的可行性、合理性、规范性、方案流程清晰合理，根据响应程度进行赋分（1-8分）。</w:t>
            </w:r>
          </w:p>
        </w:tc>
        <w:tc>
          <w:tcPr>
            <w:tcW w:w="1200" w:type="dxa"/>
            <w:vAlign w:val="center"/>
          </w:tcPr>
          <w:p>
            <w:pPr>
              <w:spacing w:line="360" w:lineRule="auto"/>
              <w:jc w:val="center"/>
              <w:rPr>
                <w:sz w:val="24"/>
                <w:szCs w:val="24"/>
              </w:rPr>
            </w:pPr>
            <w:r>
              <w:rPr>
                <w:rFonts w:hint="eastAsia" w:ascii="宋体" w:hAnsi="宋体" w:eastAsia="宋体" w:cs="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continue"/>
          </w:tcPr>
          <w:p>
            <w:pPr>
              <w:spacing w:line="360" w:lineRule="auto"/>
              <w:rPr>
                <w:sz w:val="24"/>
                <w:szCs w:val="24"/>
              </w:rPr>
            </w:pPr>
          </w:p>
        </w:tc>
        <w:tc>
          <w:tcPr>
            <w:tcW w:w="809" w:type="dxa"/>
            <w:vAlign w:val="center"/>
          </w:tcPr>
          <w:p>
            <w:pPr>
              <w:pStyle w:val="105"/>
              <w:spacing w:line="360" w:lineRule="auto"/>
              <w:jc w:val="center"/>
              <w:rPr>
                <w:rFonts w:ascii="宋体" w:hAnsi="宋体" w:eastAsia="宋体" w:cs="宋体"/>
                <w:sz w:val="24"/>
                <w:szCs w:val="24"/>
              </w:rPr>
            </w:pPr>
            <w:r>
              <w:rPr>
                <w:rFonts w:hint="eastAsia" w:ascii="宋体" w:hAnsi="宋体" w:eastAsia="宋体" w:cs="宋体"/>
                <w:sz w:val="24"/>
                <w:szCs w:val="24"/>
              </w:rPr>
              <w:t>软件演示</w:t>
            </w:r>
          </w:p>
        </w:tc>
        <w:tc>
          <w:tcPr>
            <w:tcW w:w="5995" w:type="dxa"/>
          </w:tcPr>
          <w:p>
            <w:pPr>
              <w:pStyle w:val="105"/>
              <w:spacing w:line="360" w:lineRule="auto"/>
              <w:rPr>
                <w:rFonts w:ascii="宋体" w:hAnsi="宋体" w:eastAsia="宋体" w:cs="宋体"/>
                <w:sz w:val="24"/>
                <w:szCs w:val="24"/>
              </w:rPr>
            </w:pPr>
            <w:r>
              <w:rPr>
                <w:rFonts w:hint="eastAsia" w:ascii="宋体" w:hAnsi="宋体" w:eastAsia="宋体" w:cs="宋体"/>
                <w:sz w:val="24"/>
                <w:szCs w:val="24"/>
              </w:rPr>
              <w:t>软件功能中需现场演示内容，须用可实际运行的系统或类似案例系统进行演示，</w:t>
            </w:r>
            <w:r>
              <w:rPr>
                <w:rFonts w:hint="eastAsia" w:ascii="宋体" w:hAnsi="宋体" w:eastAsia="宋体" w:cs="宋体"/>
                <w:sz w:val="24"/>
                <w:szCs w:val="24"/>
                <w:lang w:val="en-US" w:eastAsia="zh-CN"/>
              </w:rPr>
              <w:t>提供</w:t>
            </w:r>
            <w:r>
              <w:rPr>
                <w:rFonts w:hint="eastAsia" w:ascii="宋体" w:hAnsi="宋体" w:eastAsia="宋体" w:cs="宋体"/>
                <w:sz w:val="24"/>
                <w:szCs w:val="24"/>
              </w:rPr>
              <w:t>视频及PPT演示</w:t>
            </w:r>
            <w:r>
              <w:rPr>
                <w:rFonts w:hint="eastAsia" w:ascii="宋体" w:hAnsi="宋体" w:eastAsia="宋体" w:cs="宋体"/>
                <w:sz w:val="24"/>
                <w:szCs w:val="24"/>
                <w:lang w:eastAsia="zh-CN"/>
              </w:rPr>
              <w:t>的</w:t>
            </w:r>
            <w:r>
              <w:rPr>
                <w:rFonts w:hint="eastAsia" w:ascii="宋体" w:hAnsi="宋体" w:eastAsia="宋体" w:cs="宋体"/>
                <w:sz w:val="24"/>
                <w:szCs w:val="24"/>
              </w:rPr>
              <w:t>不计分。</w:t>
            </w:r>
          </w:p>
          <w:p>
            <w:pPr>
              <w:pStyle w:val="105"/>
              <w:spacing w:line="360" w:lineRule="auto"/>
              <w:rPr>
                <w:rFonts w:ascii="宋体" w:hAnsi="宋体" w:eastAsia="宋体" w:cs="宋体"/>
                <w:sz w:val="24"/>
                <w:szCs w:val="24"/>
              </w:rPr>
            </w:pPr>
            <w:r>
              <w:rPr>
                <w:rFonts w:hint="eastAsia" w:ascii="宋体" w:hAnsi="宋体" w:eastAsia="宋体" w:cs="宋体"/>
                <w:sz w:val="24"/>
                <w:szCs w:val="24"/>
              </w:rPr>
              <w:t>PC端：</w:t>
            </w:r>
          </w:p>
          <w:p>
            <w:pPr>
              <w:pStyle w:val="105"/>
              <w:spacing w:line="360" w:lineRule="auto"/>
              <w:rPr>
                <w:rFonts w:ascii="宋体" w:hAnsi="宋体" w:eastAsia="宋体" w:cs="宋体"/>
                <w:sz w:val="24"/>
                <w:szCs w:val="24"/>
              </w:rPr>
            </w:pPr>
            <w:r>
              <w:rPr>
                <w:rFonts w:hint="eastAsia" w:ascii="宋体" w:hAnsi="宋体" w:eastAsia="宋体" w:cs="宋体"/>
                <w:sz w:val="24"/>
                <w:szCs w:val="24"/>
              </w:rPr>
              <w:t>1.可查看各病害点、风险点、隐患点位置信息、可查看病害、风险、隐患从上报到修复的完整过程数据</w:t>
            </w:r>
          </w:p>
          <w:p>
            <w:pPr>
              <w:pStyle w:val="105"/>
              <w:numPr>
                <w:ilvl w:val="0"/>
                <w:numId w:val="1"/>
              </w:numPr>
              <w:spacing w:line="360" w:lineRule="auto"/>
              <w:rPr>
                <w:rFonts w:ascii="宋体" w:hAnsi="宋体" w:eastAsia="宋体" w:cs="宋体"/>
                <w:sz w:val="24"/>
                <w:szCs w:val="24"/>
              </w:rPr>
            </w:pPr>
            <w:r>
              <w:rPr>
                <w:rFonts w:hint="eastAsia" w:ascii="宋体" w:hAnsi="宋体" w:eastAsia="宋体" w:cs="宋体"/>
                <w:sz w:val="24"/>
                <w:szCs w:val="24"/>
              </w:rPr>
              <w:t>巡查养护的数据分析、展示，在管理后台对巡查数据：包括巡查路段、人员信息、道路病害进行查看维护</w:t>
            </w:r>
          </w:p>
          <w:p>
            <w:pPr>
              <w:pStyle w:val="105"/>
              <w:numPr>
                <w:ilvl w:val="0"/>
                <w:numId w:val="1"/>
              </w:numPr>
              <w:spacing w:line="360" w:lineRule="auto"/>
              <w:rPr>
                <w:rFonts w:ascii="宋体" w:hAnsi="宋体" w:eastAsia="宋体" w:cs="宋体"/>
                <w:sz w:val="24"/>
                <w:szCs w:val="24"/>
              </w:rPr>
            </w:pPr>
            <w:r>
              <w:rPr>
                <w:rFonts w:hint="eastAsia" w:ascii="宋体" w:hAnsi="宋体" w:eastAsia="宋体" w:cs="宋体"/>
                <w:sz w:val="24"/>
                <w:szCs w:val="24"/>
              </w:rPr>
              <w:t>在管理后台对病害信息、风险等级、隐患整改等数据进行添加维护APP端：1.可查看各区县重点路段道路监控实时画面</w:t>
            </w:r>
          </w:p>
          <w:p>
            <w:pPr>
              <w:pStyle w:val="105"/>
              <w:numPr>
                <w:ilvl w:val="0"/>
                <w:numId w:val="2"/>
              </w:numPr>
              <w:spacing w:line="360" w:lineRule="auto"/>
              <w:rPr>
                <w:rFonts w:ascii="宋体" w:hAnsi="宋体" w:eastAsia="宋体" w:cs="宋体"/>
                <w:sz w:val="24"/>
                <w:szCs w:val="24"/>
              </w:rPr>
            </w:pPr>
            <w:r>
              <w:rPr>
                <w:rFonts w:hint="eastAsia" w:ascii="宋体" w:hAnsi="宋体" w:eastAsia="宋体" w:cs="宋体"/>
                <w:sz w:val="24"/>
                <w:szCs w:val="24"/>
              </w:rPr>
              <w:t>可用手机APP</w:t>
            </w:r>
            <w:r>
              <w:rPr>
                <w:rFonts w:hint="eastAsia" w:ascii="宋体" w:hAnsi="宋体" w:eastAsia="宋体" w:cs="宋体"/>
                <w:color w:val="000000"/>
                <w:kern w:val="0"/>
                <w:sz w:val="24"/>
                <w:szCs w:val="24"/>
              </w:rPr>
              <w:t>，查看日常养护巡查信息</w:t>
            </w:r>
          </w:p>
          <w:p>
            <w:pPr>
              <w:pStyle w:val="105"/>
              <w:numPr>
                <w:ilvl w:val="0"/>
                <w:numId w:val="2"/>
              </w:numPr>
              <w:spacing w:line="360" w:lineRule="auto"/>
              <w:rPr>
                <w:rFonts w:ascii="宋体" w:hAnsi="宋体" w:eastAsia="宋体" w:cs="宋体"/>
                <w:sz w:val="24"/>
                <w:szCs w:val="24"/>
              </w:rPr>
            </w:pPr>
            <w:r>
              <w:rPr>
                <w:rFonts w:hint="eastAsia" w:ascii="宋体" w:hAnsi="宋体" w:eastAsia="宋体" w:cs="宋体"/>
                <w:color w:val="000000"/>
                <w:kern w:val="0"/>
                <w:sz w:val="24"/>
                <w:szCs w:val="24"/>
              </w:rPr>
              <w:t>可进行道路病害的上报、研判</w:t>
            </w:r>
          </w:p>
          <w:p>
            <w:pPr>
              <w:pStyle w:val="105"/>
              <w:spacing w:line="360" w:lineRule="auto"/>
              <w:rPr>
                <w:rFonts w:hint="eastAsia" w:ascii="宋体" w:hAnsi="宋体" w:eastAsia="宋体" w:cs="宋体"/>
                <w:sz w:val="24"/>
                <w:szCs w:val="24"/>
              </w:rPr>
            </w:pPr>
            <w:r>
              <w:rPr>
                <w:rFonts w:hint="eastAsia" w:ascii="宋体" w:hAnsi="宋体" w:eastAsia="宋体" w:cs="宋体"/>
                <w:sz w:val="24"/>
                <w:szCs w:val="24"/>
              </w:rPr>
              <w:t>通过所演示内容进行赋分，演示过程流畅，思路清晰，功能阐述明确，完全满足采购需求计［</w:t>
            </w:r>
            <w:r>
              <w:rPr>
                <w:rFonts w:hint="eastAsia" w:ascii="宋体" w:hAnsi="宋体" w:eastAsia="宋体" w:cs="宋体"/>
                <w:bCs/>
                <w:sz w:val="24"/>
                <w:szCs w:val="24"/>
              </w:rPr>
              <w:t>11-18分]</w:t>
            </w:r>
            <w:r>
              <w:rPr>
                <w:rFonts w:hint="eastAsia" w:ascii="宋体" w:hAnsi="宋体" w:eastAsia="宋体" w:cs="宋体"/>
                <w:sz w:val="24"/>
                <w:szCs w:val="24"/>
              </w:rPr>
              <w:t>，演示过程思路基本清晰，功能基本能够满足采购需求计［</w:t>
            </w:r>
            <w:r>
              <w:rPr>
                <w:rFonts w:hint="eastAsia" w:ascii="宋体" w:hAnsi="宋体" w:eastAsia="宋体" w:cs="宋体"/>
                <w:bCs/>
                <w:sz w:val="24"/>
                <w:szCs w:val="24"/>
              </w:rPr>
              <w:t>7-10]，</w:t>
            </w:r>
            <w:r>
              <w:rPr>
                <w:rFonts w:hint="eastAsia" w:ascii="宋体" w:hAnsi="宋体" w:eastAsia="宋体" w:cs="宋体"/>
                <w:sz w:val="24"/>
                <w:szCs w:val="24"/>
              </w:rPr>
              <w:t>演示过程不流畅，演示内容存在重大缺漏项及影响使用的缺陷计［</w:t>
            </w:r>
            <w:r>
              <w:rPr>
                <w:rFonts w:hint="eastAsia" w:ascii="宋体" w:hAnsi="宋体" w:eastAsia="宋体" w:cs="宋体"/>
                <w:bCs/>
                <w:sz w:val="24"/>
                <w:szCs w:val="24"/>
              </w:rPr>
              <w:t>1-6分]</w:t>
            </w:r>
            <w:r>
              <w:rPr>
                <w:rFonts w:hint="eastAsia" w:ascii="宋体" w:hAnsi="宋体" w:eastAsia="宋体" w:cs="宋体"/>
                <w:sz w:val="24"/>
                <w:szCs w:val="24"/>
              </w:rPr>
              <w:t>。不演示计0分。</w:t>
            </w:r>
          </w:p>
          <w:p>
            <w:pPr>
              <w:pStyle w:val="105"/>
              <w:spacing w:line="360" w:lineRule="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各投标单位自带笔记本电脑，电脑需有HDMI接口。</w:t>
            </w:r>
          </w:p>
        </w:tc>
        <w:tc>
          <w:tcPr>
            <w:tcW w:w="120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continue"/>
          </w:tcPr>
          <w:p>
            <w:pPr>
              <w:spacing w:line="360" w:lineRule="auto"/>
              <w:rPr>
                <w:sz w:val="24"/>
                <w:szCs w:val="24"/>
              </w:rPr>
            </w:pPr>
          </w:p>
        </w:tc>
        <w:tc>
          <w:tcPr>
            <w:tcW w:w="809" w:type="dxa"/>
            <w:vAlign w:val="center"/>
          </w:tcPr>
          <w:p>
            <w:pPr>
              <w:pStyle w:val="105"/>
              <w:spacing w:line="360" w:lineRule="auto"/>
              <w:jc w:val="center"/>
              <w:rPr>
                <w:sz w:val="24"/>
                <w:szCs w:val="24"/>
              </w:rPr>
            </w:pPr>
            <w:r>
              <w:rPr>
                <w:rFonts w:hint="eastAsia" w:ascii="宋体" w:hAnsi="宋体" w:eastAsia="宋体" w:cs="宋体"/>
                <w:sz w:val="24"/>
                <w:szCs w:val="24"/>
              </w:rPr>
              <w:t>软件产品要求</w:t>
            </w:r>
          </w:p>
        </w:tc>
        <w:tc>
          <w:tcPr>
            <w:tcW w:w="5995" w:type="dxa"/>
          </w:tcPr>
          <w:p>
            <w:pPr>
              <w:widowControl/>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1、系统软件实现资料管理，系统软件在使用过程中对资料整合归档，</w:t>
            </w:r>
            <w:r>
              <w:rPr>
                <w:rFonts w:hint="eastAsia" w:ascii="宋体" w:hAnsi="宋体" w:eastAsia="宋体" w:cs="宋体"/>
                <w:b/>
                <w:bCs/>
                <w:color w:val="auto"/>
                <w:sz w:val="24"/>
                <w:szCs w:val="24"/>
              </w:rPr>
              <w:t>投标人或所投软件制造商具有资源管理软件著作权证书</w:t>
            </w:r>
            <w:r>
              <w:rPr>
                <w:rFonts w:hint="eastAsia" w:ascii="宋体" w:hAnsi="宋体" w:eastAsia="宋体" w:cs="宋体"/>
                <w:color w:val="auto"/>
                <w:sz w:val="24"/>
                <w:szCs w:val="24"/>
              </w:rPr>
              <w:t>。</w:t>
            </w:r>
          </w:p>
          <w:p>
            <w:pPr>
              <w:widowControl/>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2、系统软件实现对相关使用人员需要获知人员精准定位管理，</w:t>
            </w:r>
            <w:r>
              <w:rPr>
                <w:rFonts w:hint="eastAsia" w:ascii="宋体" w:hAnsi="宋体" w:eastAsia="宋体" w:cs="宋体"/>
                <w:b/>
                <w:bCs/>
                <w:color w:val="auto"/>
                <w:sz w:val="24"/>
                <w:szCs w:val="24"/>
              </w:rPr>
              <w:t>投标人或所投软件制造商具有无线人员考勤定位系统软件著作权证书</w:t>
            </w:r>
            <w:r>
              <w:rPr>
                <w:rFonts w:hint="eastAsia" w:ascii="宋体" w:hAnsi="宋体" w:eastAsia="宋体" w:cs="宋体"/>
                <w:color w:val="auto"/>
                <w:sz w:val="24"/>
                <w:szCs w:val="24"/>
              </w:rPr>
              <w:t>。</w:t>
            </w:r>
          </w:p>
          <w:p>
            <w:pPr>
              <w:widowControl/>
              <w:spacing w:line="360" w:lineRule="auto"/>
              <w:jc w:val="left"/>
              <w:rPr>
                <w:rFonts w:ascii="宋体" w:hAnsi="宋体" w:eastAsia="宋体" w:cs="宋体"/>
                <w:b/>
                <w:bCs/>
                <w:color w:val="auto"/>
                <w:sz w:val="24"/>
                <w:szCs w:val="24"/>
              </w:rPr>
            </w:pPr>
            <w:r>
              <w:rPr>
                <w:rFonts w:hint="eastAsia" w:ascii="宋体" w:hAnsi="宋体" w:eastAsia="宋体" w:cs="宋体"/>
                <w:color w:val="auto"/>
                <w:sz w:val="24"/>
                <w:szCs w:val="24"/>
              </w:rPr>
              <w:t>3、系统软件实现对道路执法智能管理，</w:t>
            </w:r>
            <w:r>
              <w:rPr>
                <w:rFonts w:hint="eastAsia" w:ascii="宋体" w:hAnsi="宋体" w:eastAsia="宋体" w:cs="宋体"/>
                <w:b/>
                <w:bCs/>
                <w:color w:val="auto"/>
                <w:sz w:val="24"/>
                <w:szCs w:val="24"/>
              </w:rPr>
              <w:t>投标人或所投软件的制造商具有综合执法管理系统软件著作权证书。</w:t>
            </w:r>
          </w:p>
          <w:p>
            <w:pPr>
              <w:widowControl/>
              <w:spacing w:line="360" w:lineRule="auto"/>
              <w:jc w:val="left"/>
              <w:rPr>
                <w:rFonts w:ascii="宋体" w:hAnsi="宋体" w:eastAsia="宋体" w:cs="宋体"/>
                <w:b/>
                <w:bCs/>
                <w:color w:val="auto"/>
                <w:sz w:val="24"/>
                <w:szCs w:val="24"/>
              </w:rPr>
            </w:pPr>
            <w:r>
              <w:rPr>
                <w:rFonts w:hint="eastAsia" w:ascii="宋体" w:hAnsi="宋体" w:eastAsia="宋体" w:cs="宋体"/>
                <w:color w:val="auto"/>
                <w:sz w:val="24"/>
                <w:szCs w:val="24"/>
              </w:rPr>
              <w:t>4、系统对公路建设实现全流程化管理，</w:t>
            </w:r>
            <w:r>
              <w:rPr>
                <w:rFonts w:hint="eastAsia" w:ascii="宋体" w:hAnsi="宋体" w:eastAsia="宋体" w:cs="宋体"/>
                <w:b/>
                <w:bCs/>
                <w:color w:val="auto"/>
                <w:sz w:val="24"/>
                <w:szCs w:val="24"/>
              </w:rPr>
              <w:t>投标人或所投软件的制造商具有公路建设项目综合业务管理系统软件</w:t>
            </w:r>
            <w:r>
              <w:rPr>
                <w:rFonts w:hint="eastAsia" w:ascii="宋体" w:hAnsi="宋体" w:eastAsia="宋体" w:cs="宋体"/>
                <w:b/>
                <w:bCs/>
                <w:color w:val="auto"/>
                <w:sz w:val="24"/>
                <w:szCs w:val="24"/>
                <w:lang w:val="en-US" w:eastAsia="zh-CN"/>
              </w:rPr>
              <w:t>著作权证书</w:t>
            </w:r>
            <w:r>
              <w:rPr>
                <w:rFonts w:hint="eastAsia" w:ascii="宋体" w:hAnsi="宋体" w:eastAsia="宋体" w:cs="宋体"/>
                <w:b/>
                <w:bCs/>
                <w:color w:val="auto"/>
                <w:sz w:val="24"/>
                <w:szCs w:val="24"/>
              </w:rPr>
              <w:t>。</w:t>
            </w:r>
          </w:p>
          <w:p>
            <w:pPr>
              <w:pStyle w:val="25"/>
              <w:ind w:left="0" w:leftChars="0" w:firstLine="0" w:firstLineChars="0"/>
              <w:rPr>
                <w:rFonts w:eastAsia="宋体"/>
                <w:color w:val="auto"/>
                <w:sz w:val="24"/>
                <w:szCs w:val="24"/>
              </w:rPr>
            </w:pPr>
            <w:r>
              <w:rPr>
                <w:rFonts w:hint="eastAsia" w:ascii="宋体" w:hAnsi="宋体" w:eastAsia="宋体" w:cs="宋体"/>
                <w:color w:val="auto"/>
                <w:sz w:val="24"/>
                <w:szCs w:val="24"/>
              </w:rPr>
              <w:t>5、系统对</w:t>
            </w:r>
            <w:r>
              <w:rPr>
                <w:rFonts w:hint="eastAsia" w:ascii="宋体" w:hAnsi="宋体" w:eastAsia="宋体" w:cs="宋体"/>
                <w:color w:val="auto"/>
                <w:sz w:val="24"/>
                <w:szCs w:val="24"/>
                <w:lang w:val="en-US" w:eastAsia="zh-CN"/>
              </w:rPr>
              <w:t>建管养运</w:t>
            </w:r>
            <w:r>
              <w:rPr>
                <w:rFonts w:hint="eastAsia" w:ascii="宋体" w:hAnsi="宋体" w:eastAsia="宋体" w:cs="宋体"/>
                <w:color w:val="auto"/>
                <w:sz w:val="24"/>
                <w:szCs w:val="24"/>
              </w:rPr>
              <w:t>实现标准化管</w:t>
            </w:r>
            <w:r>
              <w:rPr>
                <w:rFonts w:hint="eastAsia" w:ascii="宋体" w:hAnsi="宋体" w:eastAsia="宋体" w:cs="宋体"/>
                <w:color w:val="auto"/>
                <w:sz w:val="24"/>
                <w:szCs w:val="24"/>
                <w:lang w:val="en-US" w:eastAsia="zh-CN"/>
              </w:rPr>
              <w:t>理</w:t>
            </w:r>
            <w:r>
              <w:rPr>
                <w:rFonts w:hint="eastAsia" w:ascii="宋体" w:hAnsi="宋体" w:eastAsia="宋体" w:cs="宋体"/>
                <w:color w:val="auto"/>
                <w:sz w:val="24"/>
                <w:szCs w:val="24"/>
              </w:rPr>
              <w:t>，</w:t>
            </w:r>
            <w:r>
              <w:rPr>
                <w:rFonts w:hint="eastAsia" w:ascii="宋体" w:hAnsi="宋体" w:eastAsia="宋体" w:cs="宋体"/>
                <w:b/>
                <w:bCs/>
                <w:color w:val="auto"/>
                <w:sz w:val="24"/>
                <w:szCs w:val="24"/>
              </w:rPr>
              <w:t>投标人或所投软件的制造商具有四好农村公路与智慧交通管理云平台软件著作权证书。</w:t>
            </w:r>
          </w:p>
          <w:p>
            <w:pPr>
              <w:pStyle w:val="105"/>
              <w:spacing w:line="360" w:lineRule="auto"/>
              <w:rPr>
                <w:rFonts w:ascii="宋体" w:hAnsi="宋体" w:eastAsia="宋体" w:cs="宋体"/>
                <w:color w:val="auto"/>
                <w:sz w:val="24"/>
                <w:szCs w:val="24"/>
              </w:rPr>
            </w:pPr>
            <w:r>
              <w:rPr>
                <w:rFonts w:hint="eastAsia" w:ascii="宋体" w:hAnsi="宋体" w:eastAsia="宋体" w:cs="宋体"/>
                <w:color w:val="auto"/>
                <w:sz w:val="24"/>
                <w:szCs w:val="24"/>
              </w:rPr>
              <w:t>提供软件产品具体证书，每提供一项得2分，共10分，未提供不计分。</w:t>
            </w:r>
          </w:p>
          <w:p>
            <w:pPr>
              <w:pStyle w:val="105"/>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评审依据：投标文件中提供证书复印件并加盖软件制造商公章，未提供不得分</w:t>
            </w:r>
          </w:p>
        </w:tc>
        <w:tc>
          <w:tcPr>
            <w:tcW w:w="1200" w:type="dxa"/>
            <w:vAlign w:val="center"/>
          </w:tcPr>
          <w:p>
            <w:pPr>
              <w:spacing w:line="360" w:lineRule="auto"/>
              <w:jc w:val="center"/>
              <w:rPr>
                <w:sz w:val="24"/>
                <w:szCs w:val="24"/>
              </w:rPr>
            </w:pPr>
            <w:r>
              <w:rPr>
                <w:rFonts w:hint="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continue"/>
          </w:tcPr>
          <w:p>
            <w:pPr>
              <w:spacing w:line="360" w:lineRule="auto"/>
              <w:rPr>
                <w:sz w:val="24"/>
                <w:szCs w:val="24"/>
              </w:rPr>
            </w:pPr>
          </w:p>
        </w:tc>
        <w:tc>
          <w:tcPr>
            <w:tcW w:w="809" w:type="dxa"/>
            <w:vAlign w:val="center"/>
          </w:tcPr>
          <w:p>
            <w:pPr>
              <w:pStyle w:val="105"/>
              <w:spacing w:line="360" w:lineRule="auto"/>
              <w:jc w:val="center"/>
              <w:rPr>
                <w:sz w:val="24"/>
                <w:szCs w:val="24"/>
              </w:rPr>
            </w:pPr>
            <w:r>
              <w:rPr>
                <w:rFonts w:hint="eastAsia" w:ascii="宋体" w:hAnsi="宋体" w:eastAsia="宋体" w:cs="宋体"/>
                <w:sz w:val="24"/>
                <w:szCs w:val="24"/>
              </w:rPr>
              <w:t>组织实施方案</w:t>
            </w:r>
          </w:p>
        </w:tc>
        <w:tc>
          <w:tcPr>
            <w:tcW w:w="5995" w:type="dxa"/>
          </w:tcPr>
          <w:p>
            <w:pPr>
              <w:pStyle w:val="105"/>
              <w:spacing w:line="360" w:lineRule="auto"/>
              <w:rPr>
                <w:rFonts w:ascii="宋体" w:hAnsi="宋体" w:eastAsia="宋体" w:cs="宋体"/>
                <w:color w:val="auto"/>
                <w:sz w:val="24"/>
                <w:szCs w:val="24"/>
              </w:rPr>
            </w:pPr>
            <w:r>
              <w:rPr>
                <w:rFonts w:hint="eastAsia" w:ascii="宋体" w:hAnsi="宋体" w:eastAsia="宋体" w:cs="宋体"/>
                <w:color w:val="auto"/>
                <w:sz w:val="24"/>
                <w:szCs w:val="24"/>
              </w:rPr>
              <w:t>项目实施方案：项目组织实施计划完整可行，保障措施可靠，硬件部分能够保证按期供货，软件开发具有明确的项目组织机构及实施方案，评标委员会从以下方面进行比较后赋分（6分）</w:t>
            </w:r>
          </w:p>
          <w:p>
            <w:pPr>
              <w:pStyle w:val="105"/>
              <w:spacing w:line="360" w:lineRule="auto"/>
              <w:rPr>
                <w:rFonts w:ascii="宋体" w:hAnsi="宋体" w:eastAsia="宋体" w:cs="宋体"/>
                <w:color w:val="auto"/>
                <w:sz w:val="24"/>
                <w:szCs w:val="24"/>
              </w:rPr>
            </w:pPr>
            <w:r>
              <w:rPr>
                <w:rFonts w:hint="eastAsia" w:ascii="宋体" w:hAnsi="宋体" w:eastAsia="宋体" w:cs="宋体"/>
                <w:color w:val="auto"/>
                <w:sz w:val="24"/>
                <w:szCs w:val="24"/>
              </w:rPr>
              <w:t>（1）供货、开发进度及保证措施（2 分）</w:t>
            </w:r>
          </w:p>
          <w:p>
            <w:pPr>
              <w:pStyle w:val="105"/>
              <w:spacing w:line="360" w:lineRule="auto"/>
              <w:rPr>
                <w:rFonts w:ascii="宋体" w:hAnsi="宋体" w:eastAsia="宋体" w:cs="宋体"/>
                <w:color w:val="auto"/>
                <w:sz w:val="24"/>
                <w:szCs w:val="24"/>
              </w:rPr>
            </w:pPr>
            <w:r>
              <w:rPr>
                <w:rFonts w:hint="eastAsia" w:ascii="宋体" w:hAnsi="宋体" w:eastAsia="宋体" w:cs="宋体"/>
                <w:color w:val="auto"/>
                <w:sz w:val="24"/>
                <w:szCs w:val="24"/>
              </w:rPr>
              <w:t>（2）投入本项目的人员安排（2分）</w:t>
            </w:r>
          </w:p>
          <w:p>
            <w:pPr>
              <w:pStyle w:val="105"/>
              <w:spacing w:line="360" w:lineRule="auto"/>
              <w:rPr>
                <w:color w:val="auto"/>
                <w:sz w:val="24"/>
                <w:szCs w:val="24"/>
              </w:rPr>
            </w:pPr>
            <w:r>
              <w:rPr>
                <w:rFonts w:hint="eastAsia" w:ascii="宋体" w:hAnsi="宋体" w:eastAsia="宋体" w:cs="宋体"/>
                <w:color w:val="auto"/>
                <w:sz w:val="24"/>
                <w:szCs w:val="24"/>
              </w:rPr>
              <w:t>（3）项目整体安装、调试等方面保证措施（2分）</w:t>
            </w:r>
          </w:p>
        </w:tc>
        <w:tc>
          <w:tcPr>
            <w:tcW w:w="1200" w:type="dxa"/>
            <w:vAlign w:val="center"/>
          </w:tcPr>
          <w:p>
            <w:pPr>
              <w:spacing w:line="360" w:lineRule="auto"/>
              <w:jc w:val="center"/>
              <w:rPr>
                <w:sz w:val="24"/>
                <w:szCs w:val="24"/>
              </w:rPr>
            </w:pPr>
            <w:r>
              <w:rPr>
                <w:rFonts w:hint="eastAsia" w:ascii="宋体" w:hAnsi="宋体" w:eastAsia="宋体" w:cs="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color w:val="000000"/>
                <w:sz w:val="24"/>
                <w:szCs w:val="24"/>
              </w:rPr>
              <w:t>（25分）</w:t>
            </w:r>
          </w:p>
        </w:tc>
        <w:tc>
          <w:tcPr>
            <w:tcW w:w="809" w:type="dxa"/>
            <w:vAlign w:val="center"/>
          </w:tcPr>
          <w:p>
            <w:pPr>
              <w:widowControl/>
              <w:spacing w:line="360" w:lineRule="auto"/>
              <w:jc w:val="center"/>
              <w:rPr>
                <w:rFonts w:ascii="宋体" w:hAnsi="宋体" w:eastAsia="宋体" w:cs="宋体"/>
                <w:sz w:val="24"/>
                <w:szCs w:val="24"/>
              </w:rPr>
            </w:pPr>
            <w:r>
              <w:rPr>
                <w:rFonts w:hint="eastAsia" w:ascii="宋体" w:hAnsi="宋体" w:eastAsia="宋体" w:cs="宋体"/>
                <w:sz w:val="24"/>
                <w:szCs w:val="24"/>
              </w:rPr>
              <w:t>投入人员</w:t>
            </w:r>
          </w:p>
        </w:tc>
        <w:tc>
          <w:tcPr>
            <w:tcW w:w="5995" w:type="dxa"/>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提供团队成员名单（包括姓名、学历、工作职责）由评审专家横向对比自主赋分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根据其</w:t>
            </w:r>
            <w:r>
              <w:rPr>
                <w:rFonts w:hint="eastAsia" w:ascii="宋体" w:hAnsi="宋体" w:eastAsia="宋体" w:cs="宋体"/>
                <w:color w:val="auto"/>
                <w:sz w:val="24"/>
                <w:szCs w:val="24"/>
                <w:lang w:eastAsia="zh-CN"/>
              </w:rPr>
              <w:t>响应程度计</w:t>
            </w:r>
            <w:r>
              <w:rPr>
                <w:rFonts w:hint="eastAsia" w:ascii="宋体" w:hAnsi="宋体" w:eastAsia="宋体" w:cs="宋体"/>
                <w:color w:val="auto"/>
                <w:sz w:val="24"/>
                <w:szCs w:val="24"/>
                <w:lang w:val="en-US" w:eastAsia="zh-CN"/>
              </w:rPr>
              <w:t>0-4分</w:t>
            </w:r>
            <w:r>
              <w:rPr>
                <w:rFonts w:hint="eastAsia" w:ascii="宋体" w:hAnsi="宋体" w:eastAsia="宋体" w:cs="宋体"/>
                <w:color w:val="auto"/>
                <w:sz w:val="24"/>
                <w:szCs w:val="24"/>
              </w:rPr>
              <w:t>。</w:t>
            </w:r>
          </w:p>
          <w:p>
            <w:pPr>
              <w:pStyle w:val="10"/>
              <w:spacing w:line="360" w:lineRule="auto"/>
              <w:rPr>
                <w:rFonts w:hint="default"/>
                <w:color w:val="auto"/>
                <w:sz w:val="24"/>
                <w:szCs w:val="24"/>
              </w:rPr>
            </w:pPr>
            <w:r>
              <w:rPr>
                <w:rFonts w:ascii="宋体" w:hAnsi="宋体"/>
                <w:b/>
                <w:bCs/>
                <w:color w:val="auto"/>
                <w:sz w:val="24"/>
                <w:szCs w:val="24"/>
              </w:rPr>
              <w:t>评审依据：应提供人员相关专业证书（复印件加盖公章）未提供不得分</w:t>
            </w:r>
            <w:r>
              <w:rPr>
                <w:rFonts w:ascii="宋体" w:hAnsi="宋体"/>
                <w:bCs/>
                <w:color w:val="auto"/>
                <w:sz w:val="24"/>
                <w:szCs w:val="24"/>
              </w:rPr>
              <w:t>。</w:t>
            </w:r>
          </w:p>
        </w:tc>
        <w:tc>
          <w:tcPr>
            <w:tcW w:w="1200" w:type="dxa"/>
            <w:vAlign w:val="center"/>
          </w:tcPr>
          <w:p>
            <w:pPr>
              <w:spacing w:line="360" w:lineRule="auto"/>
              <w:jc w:val="center"/>
              <w:rPr>
                <w:sz w:val="24"/>
                <w:szCs w:val="24"/>
              </w:rPr>
            </w:pPr>
            <w:r>
              <w:rPr>
                <w:rFonts w:hint="eastAsia"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continue"/>
            <w:vAlign w:val="center"/>
          </w:tcPr>
          <w:p>
            <w:pPr>
              <w:spacing w:line="360" w:lineRule="auto"/>
              <w:jc w:val="center"/>
              <w:rPr>
                <w:rFonts w:ascii="宋体" w:hAnsi="宋体" w:eastAsia="宋体" w:cs="宋体"/>
                <w:sz w:val="24"/>
                <w:szCs w:val="24"/>
              </w:rPr>
            </w:pPr>
          </w:p>
        </w:tc>
        <w:tc>
          <w:tcPr>
            <w:tcW w:w="809" w:type="dxa"/>
            <w:vAlign w:val="center"/>
          </w:tcPr>
          <w:p>
            <w:pPr>
              <w:widowControl/>
              <w:spacing w:line="360" w:lineRule="auto"/>
              <w:jc w:val="center"/>
              <w:rPr>
                <w:rFonts w:ascii="宋体" w:hAnsi="宋体" w:eastAsia="宋体" w:cs="宋体"/>
                <w:sz w:val="24"/>
                <w:szCs w:val="24"/>
              </w:rPr>
            </w:pPr>
            <w:r>
              <w:rPr>
                <w:rFonts w:hint="eastAsia" w:ascii="宋体" w:hAnsi="宋体" w:eastAsia="宋体" w:cs="宋体"/>
                <w:sz w:val="24"/>
                <w:szCs w:val="24"/>
              </w:rPr>
              <w:t>服务承诺</w:t>
            </w:r>
          </w:p>
        </w:tc>
        <w:tc>
          <w:tcPr>
            <w:tcW w:w="5995" w:type="dxa"/>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服务承诺细致程度，包括服务内容、服务期限、服务响应时间等情况进行量化评分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根据其</w:t>
            </w:r>
            <w:r>
              <w:rPr>
                <w:rFonts w:hint="eastAsia" w:ascii="宋体" w:hAnsi="宋体" w:eastAsia="宋体" w:cs="宋体"/>
                <w:color w:val="auto"/>
                <w:sz w:val="24"/>
                <w:szCs w:val="24"/>
                <w:lang w:eastAsia="zh-CN"/>
              </w:rPr>
              <w:t>响应程度计</w:t>
            </w:r>
            <w:r>
              <w:rPr>
                <w:rFonts w:hint="eastAsia" w:ascii="宋体" w:hAnsi="宋体" w:eastAsia="宋体" w:cs="宋体"/>
                <w:color w:val="auto"/>
                <w:sz w:val="24"/>
                <w:szCs w:val="24"/>
                <w:lang w:val="en-US" w:eastAsia="zh-CN"/>
              </w:rPr>
              <w:t>0-6分</w:t>
            </w:r>
            <w:r>
              <w:rPr>
                <w:rFonts w:hint="eastAsia" w:ascii="宋体" w:hAnsi="宋体" w:eastAsia="宋体" w:cs="宋体"/>
                <w:color w:val="auto"/>
                <w:sz w:val="24"/>
                <w:szCs w:val="24"/>
              </w:rPr>
              <w:t>。</w:t>
            </w:r>
          </w:p>
          <w:p>
            <w:pPr>
              <w:pStyle w:val="10"/>
              <w:spacing w:line="360" w:lineRule="auto"/>
              <w:rPr>
                <w:rFonts w:hint="default"/>
                <w:color w:val="auto"/>
                <w:sz w:val="24"/>
                <w:szCs w:val="24"/>
              </w:rPr>
            </w:pPr>
            <w:r>
              <w:rPr>
                <w:rFonts w:ascii="宋体" w:hAnsi="宋体"/>
                <w:b/>
                <w:bCs/>
                <w:color w:val="auto"/>
                <w:sz w:val="24"/>
                <w:szCs w:val="24"/>
              </w:rPr>
              <w:t>评审依据：根据投标文件中加盖公章的售后服务承诺书未提供不得分。</w:t>
            </w:r>
          </w:p>
        </w:tc>
        <w:tc>
          <w:tcPr>
            <w:tcW w:w="1200" w:type="dxa"/>
            <w:vAlign w:val="center"/>
          </w:tcPr>
          <w:p>
            <w:pPr>
              <w:spacing w:line="360" w:lineRule="auto"/>
              <w:jc w:val="center"/>
              <w:rPr>
                <w:sz w:val="24"/>
                <w:szCs w:val="24"/>
              </w:rPr>
            </w:pPr>
            <w:r>
              <w:rPr>
                <w:rFonts w:hint="eastAsia" w:ascii="宋体" w:hAnsi="宋体" w:eastAsia="宋体" w:cs="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continue"/>
            <w:vAlign w:val="center"/>
          </w:tcPr>
          <w:p>
            <w:pPr>
              <w:spacing w:line="360" w:lineRule="auto"/>
              <w:jc w:val="center"/>
              <w:rPr>
                <w:rFonts w:ascii="宋体" w:hAnsi="宋体" w:eastAsia="宋体" w:cs="宋体"/>
                <w:sz w:val="24"/>
                <w:szCs w:val="24"/>
              </w:rPr>
            </w:pPr>
          </w:p>
        </w:tc>
        <w:tc>
          <w:tcPr>
            <w:tcW w:w="809" w:type="dxa"/>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工期要求</w:t>
            </w:r>
          </w:p>
        </w:tc>
        <w:tc>
          <w:tcPr>
            <w:tcW w:w="5995" w:type="dxa"/>
          </w:tcPr>
          <w:p>
            <w:pPr>
              <w:widowControl/>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投标人或所投软件制造商具备丰富的软件开发服务经验，确保所投标项目的正常、有效运行、确保在合同约定时间内完成，制定了详细的配置方案确详细的得5分，缺项或不满足工期要求不得分。</w:t>
            </w:r>
          </w:p>
          <w:p>
            <w:pPr>
              <w:pStyle w:val="10"/>
              <w:spacing w:line="360" w:lineRule="auto"/>
              <w:rPr>
                <w:rFonts w:hint="default" w:ascii="宋体" w:hAnsi="宋体"/>
                <w:b/>
                <w:bCs/>
                <w:color w:val="auto"/>
                <w:sz w:val="24"/>
                <w:szCs w:val="24"/>
              </w:rPr>
            </w:pPr>
            <w:r>
              <w:rPr>
                <w:rFonts w:ascii="宋体" w:hAnsi="宋体"/>
                <w:b/>
                <w:bCs/>
                <w:color w:val="auto"/>
                <w:sz w:val="24"/>
                <w:szCs w:val="24"/>
              </w:rPr>
              <w:t>评审依据：投标文件中提供工期保证方案，未提供不得分。</w:t>
            </w:r>
          </w:p>
        </w:tc>
        <w:tc>
          <w:tcPr>
            <w:tcW w:w="120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continue"/>
            <w:vAlign w:val="center"/>
          </w:tcPr>
          <w:p>
            <w:pPr>
              <w:spacing w:line="360" w:lineRule="auto"/>
              <w:jc w:val="center"/>
              <w:rPr>
                <w:rFonts w:ascii="宋体" w:hAnsi="宋体" w:eastAsia="宋体" w:cs="宋体"/>
                <w:sz w:val="24"/>
                <w:szCs w:val="24"/>
              </w:rPr>
            </w:pPr>
          </w:p>
        </w:tc>
        <w:tc>
          <w:tcPr>
            <w:tcW w:w="809" w:type="dxa"/>
            <w:vAlign w:val="center"/>
          </w:tcPr>
          <w:p>
            <w:pPr>
              <w:widowControl/>
              <w:spacing w:line="360" w:lineRule="auto"/>
              <w:jc w:val="center"/>
              <w:rPr>
                <w:rFonts w:ascii="宋体" w:hAnsi="宋体" w:eastAsia="宋体" w:cs="宋体"/>
                <w:sz w:val="24"/>
                <w:szCs w:val="24"/>
              </w:rPr>
            </w:pPr>
            <w:r>
              <w:rPr>
                <w:rFonts w:hint="eastAsia" w:ascii="宋体" w:hAnsi="宋体" w:eastAsia="宋体" w:cs="宋体"/>
                <w:color w:val="000000"/>
                <w:sz w:val="24"/>
                <w:szCs w:val="24"/>
              </w:rPr>
              <w:t>培训方案</w:t>
            </w:r>
          </w:p>
        </w:tc>
        <w:tc>
          <w:tcPr>
            <w:tcW w:w="5995" w:type="dxa"/>
          </w:tcPr>
          <w:p>
            <w:pPr>
              <w:widowControl/>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系统软件涉及数据模块多、层次复杂，要求提供具有针对性、措施有力、切合实际的培训方案和计划方案，根据响应程度进行赋分。</w:t>
            </w:r>
          </w:p>
          <w:p>
            <w:pPr>
              <w:spacing w:line="360" w:lineRule="auto"/>
              <w:rPr>
                <w:color w:val="auto"/>
                <w:sz w:val="24"/>
                <w:szCs w:val="24"/>
              </w:rPr>
            </w:pPr>
            <w:r>
              <w:rPr>
                <w:rFonts w:hint="eastAsia" w:ascii="宋体" w:hAnsi="宋体" w:eastAsia="宋体" w:cs="宋体"/>
                <w:b/>
                <w:bCs/>
                <w:color w:val="auto"/>
                <w:sz w:val="24"/>
                <w:szCs w:val="24"/>
              </w:rPr>
              <w:t>评审依据：投标文件中提供培训方案，未提供不得分。</w:t>
            </w:r>
          </w:p>
        </w:tc>
        <w:tc>
          <w:tcPr>
            <w:tcW w:w="1200" w:type="dxa"/>
            <w:vAlign w:val="center"/>
          </w:tcPr>
          <w:p>
            <w:pPr>
              <w:spacing w:line="360" w:lineRule="auto"/>
              <w:jc w:val="center"/>
              <w:rPr>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continue"/>
            <w:vAlign w:val="center"/>
          </w:tcPr>
          <w:p>
            <w:pPr>
              <w:spacing w:line="360" w:lineRule="auto"/>
              <w:jc w:val="center"/>
              <w:rPr>
                <w:rFonts w:ascii="宋体" w:hAnsi="宋体" w:eastAsia="宋体" w:cs="宋体"/>
                <w:sz w:val="24"/>
                <w:szCs w:val="24"/>
              </w:rPr>
            </w:pPr>
          </w:p>
        </w:tc>
        <w:tc>
          <w:tcPr>
            <w:tcW w:w="809" w:type="dxa"/>
            <w:vAlign w:val="center"/>
          </w:tcPr>
          <w:p>
            <w:pPr>
              <w:pStyle w:val="105"/>
              <w:spacing w:line="360" w:lineRule="auto"/>
              <w:jc w:val="center"/>
              <w:rPr>
                <w:rFonts w:ascii="宋体" w:hAnsi="宋体" w:eastAsia="宋体" w:cs="宋体"/>
                <w:sz w:val="24"/>
                <w:szCs w:val="24"/>
              </w:rPr>
            </w:pPr>
            <w:r>
              <w:rPr>
                <w:rFonts w:hint="eastAsia" w:ascii="宋体" w:hAnsi="宋体" w:eastAsia="宋体" w:cs="宋体"/>
                <w:color w:val="000000"/>
                <w:sz w:val="24"/>
                <w:szCs w:val="24"/>
              </w:rPr>
              <w:t>业绩证明</w:t>
            </w:r>
          </w:p>
        </w:tc>
        <w:tc>
          <w:tcPr>
            <w:tcW w:w="5995" w:type="dxa"/>
          </w:tcPr>
          <w:p>
            <w:pPr>
              <w:pStyle w:val="105"/>
              <w:spacing w:line="360" w:lineRule="auto"/>
              <w:rPr>
                <w:rFonts w:hint="eastAsia" w:ascii="宋体" w:hAnsi="宋体" w:eastAsia="宋体" w:cs="宋体"/>
                <w:color w:val="auto"/>
                <w:kern w:val="1"/>
                <w:sz w:val="24"/>
                <w:szCs w:val="24"/>
                <w:lang w:val="en-US" w:eastAsia="zh-CN" w:bidi="ar-SA"/>
              </w:rPr>
            </w:pPr>
            <w:r>
              <w:rPr>
                <w:rFonts w:hint="eastAsia" w:ascii="宋体" w:hAnsi="宋体" w:eastAsia="宋体" w:cs="宋体"/>
                <w:color w:val="auto"/>
                <w:kern w:val="1"/>
                <w:sz w:val="24"/>
                <w:szCs w:val="24"/>
                <w:lang w:val="en-US" w:eastAsia="zh-CN" w:bidi="ar-SA"/>
              </w:rPr>
              <w:t>提供企业近三年市级公路信息化平台类似相关业绩得2分，提供县级公路信息化平台类似相关业绩得1分，最高得5分（以合同为准）。</w:t>
            </w:r>
          </w:p>
          <w:p>
            <w:pPr>
              <w:pStyle w:val="105"/>
              <w:spacing w:line="360" w:lineRule="auto"/>
              <w:rPr>
                <w:color w:val="auto"/>
                <w:sz w:val="24"/>
                <w:szCs w:val="24"/>
              </w:rPr>
            </w:pPr>
            <w:r>
              <w:rPr>
                <w:rFonts w:hint="eastAsia" w:ascii="宋体" w:hAnsi="宋体" w:eastAsia="宋体" w:cs="宋体"/>
                <w:b/>
                <w:bCs/>
                <w:color w:val="auto"/>
                <w:kern w:val="1"/>
                <w:sz w:val="24"/>
                <w:szCs w:val="24"/>
                <w:lang w:val="en-US" w:eastAsia="zh-CN" w:bidi="ar-SA"/>
              </w:rPr>
              <w:t>评审依据：投标文件中的盖章的业绩复印件为准，未提供不得分。</w:t>
            </w:r>
          </w:p>
        </w:tc>
        <w:tc>
          <w:tcPr>
            <w:tcW w:w="1200" w:type="dxa"/>
            <w:vAlign w:val="center"/>
          </w:tcPr>
          <w:p>
            <w:pPr>
              <w:spacing w:line="360" w:lineRule="auto"/>
              <w:jc w:val="center"/>
              <w:rPr>
                <w:sz w:val="24"/>
                <w:szCs w:val="24"/>
              </w:rPr>
            </w:pPr>
            <w:r>
              <w:rPr>
                <w:rFonts w:hint="eastAsia"/>
                <w:sz w:val="24"/>
                <w:szCs w:val="24"/>
              </w:rPr>
              <w:t>5</w:t>
            </w:r>
          </w:p>
        </w:tc>
      </w:tr>
    </w:tbl>
    <w:p>
      <w:pPr>
        <w:rPr>
          <w:sz w:val="24"/>
          <w:szCs w:val="24"/>
        </w:rPr>
      </w:pPr>
    </w:p>
    <w:p>
      <w:pPr>
        <w:widowControl/>
        <w:spacing w:line="500" w:lineRule="exact"/>
        <w:rPr>
          <w:rFonts w:cs="宋体" w:asciiTheme="minorEastAsia" w:hAnsiTheme="minorEastAsia"/>
          <w:sz w:val="28"/>
          <w:szCs w:val="28"/>
        </w:rPr>
      </w:pPr>
      <w:r>
        <w:rPr>
          <w:rFonts w:hint="eastAsia" w:cs="宋体" w:asciiTheme="minorEastAsia" w:hAnsiTheme="minorEastAsia"/>
          <w:sz w:val="28"/>
          <w:szCs w:val="28"/>
        </w:rPr>
        <w:t>注：1）评委打分超过得分界限或未按本方法赋分时，该评委的打分按废票处理。</w:t>
      </w:r>
    </w:p>
    <w:p>
      <w:pPr>
        <w:widowControl/>
        <w:spacing w:line="500" w:lineRule="exact"/>
        <w:ind w:firstLine="560"/>
        <w:rPr>
          <w:rFonts w:cs="宋体" w:asciiTheme="minorEastAsia" w:hAnsiTheme="minorEastAsia"/>
          <w:b/>
          <w:bCs/>
          <w:sz w:val="28"/>
          <w:szCs w:val="28"/>
        </w:rPr>
      </w:pPr>
      <w:r>
        <w:rPr>
          <w:rFonts w:hint="eastAsia" w:cs="宋体" w:asciiTheme="minorEastAsia" w:hAnsiTheme="minorEastAsia"/>
          <w:sz w:val="28"/>
          <w:szCs w:val="28"/>
        </w:rPr>
        <w:t>2）各种计算数字均保留两位小数，第三位“四舍五入”。</w:t>
      </w:r>
    </w:p>
    <w:p>
      <w:pPr>
        <w:spacing w:line="500" w:lineRule="exact"/>
        <w:ind w:firstLine="562"/>
        <w:rPr>
          <w:rFonts w:cs="宋体" w:asciiTheme="minorEastAsia" w:hAnsiTheme="minorEastAsia"/>
          <w:b/>
          <w:bCs/>
          <w:sz w:val="28"/>
          <w:szCs w:val="28"/>
        </w:rPr>
      </w:pPr>
      <w:r>
        <w:rPr>
          <w:rFonts w:hint="eastAsia" w:cs="宋体" w:asciiTheme="minorEastAsia" w:hAnsiTheme="minorEastAsia"/>
          <w:b/>
          <w:bCs/>
          <w:sz w:val="28"/>
          <w:szCs w:val="28"/>
        </w:rPr>
        <w:t>3）特殊情况处理：</w:t>
      </w:r>
    </w:p>
    <w:p>
      <w:pPr>
        <w:spacing w:line="500" w:lineRule="exact"/>
        <w:ind w:firstLine="560" w:firstLineChars="200"/>
        <w:rPr>
          <w:rFonts w:cs="宋体" w:asciiTheme="minorEastAsia" w:hAnsiTheme="minorEastAsia"/>
          <w:sz w:val="28"/>
          <w:szCs w:val="28"/>
        </w:rPr>
      </w:pPr>
      <w:r>
        <w:rPr>
          <w:rFonts w:hint="eastAsia" w:cs="宋体" w:asciiTheme="minorEastAsia" w:hAnsiTheme="minorEastAsia"/>
          <w:sz w:val="28"/>
          <w:szCs w:val="28"/>
        </w:rPr>
        <w:t>a、当供应商某评分项出现未报、漏报或零报价时，该分项得零分，并不参与磋商报价分的计算。</w:t>
      </w:r>
    </w:p>
    <w:p>
      <w:pPr>
        <w:spacing w:line="500" w:lineRule="exact"/>
        <w:ind w:firstLine="560" w:firstLineChars="200"/>
        <w:rPr>
          <w:rFonts w:cs="宋体" w:asciiTheme="minorEastAsia" w:hAnsiTheme="minorEastAsia"/>
          <w:sz w:val="28"/>
          <w:szCs w:val="28"/>
        </w:rPr>
      </w:pPr>
      <w:r>
        <w:rPr>
          <w:rFonts w:hint="eastAsia" w:cs="宋体" w:asciiTheme="minorEastAsia" w:hAnsiTheme="minorEastAsia"/>
          <w:sz w:val="28"/>
          <w:szCs w:val="28"/>
        </w:rPr>
        <w:t>b、若出现综合得分相同时，磋商报价得分高者为第一成交候选人，若磋商报价得分相同，技术得分高者为第一成交候选人，若上述两项得分相同，则由全体磋商小组成员无记名投票，得票高者为第一成交候选人。</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c、评标过程中，若出现本评标方法以外的特殊情况时，将暂停评标，待评委商榷后再进行复会。</w:t>
      </w:r>
    </w:p>
    <w:p>
      <w:pPr>
        <w:spacing w:line="500" w:lineRule="exact"/>
        <w:ind w:firstLine="562"/>
        <w:rPr>
          <w:rFonts w:cs="宋体" w:asciiTheme="minorEastAsia" w:hAnsiTheme="minorEastAsia"/>
          <w:b/>
          <w:sz w:val="28"/>
          <w:szCs w:val="28"/>
        </w:rPr>
      </w:pPr>
      <w:r>
        <w:rPr>
          <w:rFonts w:hint="eastAsia" w:cs="宋体" w:asciiTheme="minorEastAsia" w:hAnsiTheme="minorEastAsia"/>
          <w:b/>
          <w:sz w:val="28"/>
          <w:szCs w:val="28"/>
        </w:rPr>
        <w:t>3、定标</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3-1、定标程序</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评审委员会依据评审办法，经过评审、澄清、磋商报价、评价等程序后，在最大限度满足磋商文件实质性要求前提下进行综合评审，以评标总得分由高到低的顺序推荐3名以上成交候选供应商，并编写评审报告。</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w:t>
      </w:r>
      <w:bookmarkStart w:id="19" w:name="OLE_LINK12"/>
      <w:bookmarkEnd w:id="19"/>
      <w:r>
        <w:rPr>
          <w:rFonts w:hint="eastAsia" w:cs="宋体" w:asciiTheme="minorEastAsia" w:hAnsiTheme="minorEastAsia"/>
          <w:sz w:val="28"/>
          <w:szCs w:val="28"/>
        </w:rPr>
        <w:t>评审委员会成员应当在评审报告上签字，对自己的评审意见承担法律责任。评审委员会成员对评审报告有异议的，评审委员会按照少数服从多数的原则推荐成交候选人。对评审报告有异议的，应当在评审报告上签署不同意见，并说明理由，否则视为同意评审报告。</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采购代理机构应当自评审结束之日起2个工作日内将评审报告送交采购人。采购人在收到评审报告5个工作日内，从评审报告推荐的成交候选人中，以评审总分最高的供应商作为成交供应商，向采购代理机构出具《定标复函》；逾期未确定成交供应商且不提出异议的，视为确定评审报告推荐的评审得分最高的供应商为成交供应商。</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（4）采购代理机构接到采购人的《定标复函》后，在2个工作日内，将成交结果在陕西省政府采购网上发布公告。公告发布1个工作日，其他供应商若有异议，按《政府采购法》第52条执行。</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3-2、成交供应商确定后，采购人和采购代理机构对未成交原因不作任何解释，竞争性磋商响应文件不予退还。</w:t>
      </w:r>
    </w:p>
    <w:p>
      <w:pPr>
        <w:spacing w:line="500" w:lineRule="exact"/>
        <w:ind w:firstLine="562"/>
        <w:rPr>
          <w:rFonts w:cs="宋体" w:asciiTheme="minorEastAsia" w:hAnsiTheme="minorEastAsia"/>
          <w:b/>
          <w:sz w:val="28"/>
          <w:szCs w:val="28"/>
        </w:rPr>
      </w:pPr>
      <w:r>
        <w:rPr>
          <w:rFonts w:hint="eastAsia" w:cs="宋体" w:asciiTheme="minorEastAsia" w:hAnsiTheme="minorEastAsia"/>
          <w:b/>
          <w:sz w:val="28"/>
          <w:szCs w:val="28"/>
        </w:rPr>
        <w:t>4、成交通知书</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4-1、成交通知书将在成交公告发布的同时由采购代理机构发出。</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4-2、成交供应商应在接到采购代理机构通知之日起七日内领取成交通知书。未在规定时间内领取成交通知书的，磋商保证金不予退还。提供磋商担保的供应商将由专业担保机构先行偿付采购人损失。</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4-3、成交通知书发出后，采购人不得违法改变成交结果，成交供应商无正当理由不得弃成交。</w:t>
      </w:r>
    </w:p>
    <w:p>
      <w:pPr>
        <w:spacing w:line="500" w:lineRule="exact"/>
        <w:ind w:firstLine="562"/>
        <w:rPr>
          <w:rFonts w:cs="宋体" w:asciiTheme="minorEastAsia" w:hAnsiTheme="minorEastAsia"/>
          <w:sz w:val="28"/>
          <w:szCs w:val="28"/>
        </w:rPr>
      </w:pPr>
      <w:r>
        <w:rPr>
          <w:rFonts w:hint="eastAsia" w:cs="宋体" w:asciiTheme="minorEastAsia" w:hAnsiTheme="minorEastAsia"/>
          <w:b/>
          <w:sz w:val="28"/>
          <w:szCs w:val="28"/>
        </w:rPr>
        <w:t>八、合同</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1、成交供应商在收到成交通知书后三十（30）个日历日内，应按竞争性磋商文件的要求与采购人签订合同。</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成交供应商因自身原因不按规定或拒绝与采购人签订合同的，则采购人将废除授标，磋商保证金不予退还。给采购人造成损失超过磋商保证金额的，还应当对超过部分予以赔偿，并依法承担相应法律责任；同时，采购人可以按照评审报告推荐的成交候选人名单排序，确定下一候选人为成交供应商，以此类推，也可以重新开展政府采购活动。因自身原因拒绝签订政府采购合同的或者未按合同约定进行履约的，成交供应商不得参加对该项目重新开展的磋商活动。</w:t>
      </w:r>
    </w:p>
    <w:p>
      <w:pPr>
        <w:spacing w:line="500" w:lineRule="exact"/>
        <w:ind w:firstLine="560"/>
        <w:rPr>
          <w:rFonts w:cs="宋体" w:asciiTheme="minorEastAsia" w:hAnsiTheme="minorEastAsia"/>
          <w:b/>
          <w:sz w:val="28"/>
          <w:szCs w:val="28"/>
        </w:rPr>
      </w:pPr>
      <w:r>
        <w:rPr>
          <w:rFonts w:hint="eastAsia" w:cs="宋体" w:asciiTheme="minorEastAsia" w:hAnsiTheme="minorEastAsia"/>
          <w:sz w:val="28"/>
          <w:szCs w:val="28"/>
        </w:rPr>
        <w:t>3、成交通知书将是合同的重要组成部分。竞争性磋商文件、成交供应商的竞争性磋商响应文件及评议过程中有关的澄清文件均作为合同附件。</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成交后，成交供应商应按照合同约定履行义务，完成磋商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中小企业根据《政府采购促进中小企业发展管理办法》（财库〔2020〕46号）规定的政策获取政府采购合同后，小型、微型企业不得分包或转包给大型、中型企业，中型企业不得分包或转包给大型企业。</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5、所签订的合同不得对磋商文件确定的事项和成交供应商磋商响应文件作实质性修改。</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6、采购人需追加与合同标的相同的货物、项目或服务的，在不改变合同其他条款的前提下，可以与供应商协商签订补充合同，但所有补充合同的采购金额不得超过原合同采购金额的百分之十。</w:t>
      </w:r>
    </w:p>
    <w:p>
      <w:pPr>
        <w:spacing w:line="500" w:lineRule="exact"/>
        <w:ind w:firstLine="562"/>
        <w:jc w:val="left"/>
        <w:rPr>
          <w:rFonts w:cs="宋体" w:asciiTheme="minorEastAsia" w:hAnsiTheme="minorEastAsia"/>
          <w:b/>
          <w:sz w:val="28"/>
          <w:szCs w:val="28"/>
        </w:rPr>
      </w:pPr>
      <w:r>
        <w:rPr>
          <w:rFonts w:hint="eastAsia" w:cs="宋体" w:asciiTheme="minorEastAsia" w:hAnsiTheme="minorEastAsia"/>
          <w:b/>
          <w:sz w:val="28"/>
          <w:szCs w:val="28"/>
        </w:rPr>
        <w:t>九、合同的履约验收</w:t>
      </w:r>
    </w:p>
    <w:p>
      <w:pPr>
        <w:spacing w:line="500" w:lineRule="exact"/>
        <w:ind w:firstLine="560"/>
        <w:jc w:val="left"/>
        <w:rPr>
          <w:rFonts w:cs="宋体" w:asciiTheme="minorEastAsia" w:hAnsiTheme="minorEastAsia"/>
          <w:sz w:val="28"/>
          <w:szCs w:val="28"/>
        </w:rPr>
      </w:pPr>
      <w:r>
        <w:rPr>
          <w:rFonts w:hint="eastAsia" w:cs="宋体" w:asciiTheme="minorEastAsia" w:hAnsiTheme="minorEastAsia"/>
          <w:sz w:val="28"/>
          <w:szCs w:val="28"/>
        </w:rPr>
        <w:t>采购人应按照政府采购合同约定的技术、服务、安全标准组织对供应商每一项技术、服务、安全标准的履约情况进行验收，并出具验收书。</w:t>
      </w:r>
    </w:p>
    <w:p>
      <w:pPr>
        <w:spacing w:line="500" w:lineRule="exact"/>
        <w:ind w:firstLine="562"/>
        <w:jc w:val="left"/>
        <w:rPr>
          <w:rFonts w:cs="宋体" w:asciiTheme="minorEastAsia" w:hAnsiTheme="minorEastAsia"/>
          <w:sz w:val="28"/>
          <w:szCs w:val="28"/>
        </w:rPr>
      </w:pPr>
      <w:r>
        <w:rPr>
          <w:rFonts w:hint="eastAsia" w:cs="宋体" w:asciiTheme="minorEastAsia" w:hAnsiTheme="minorEastAsia"/>
          <w:b/>
          <w:sz w:val="28"/>
          <w:szCs w:val="28"/>
        </w:rPr>
        <w:t>十、招标服务费</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经与采购单位协商，参照国家计委颁发的《招标代理服务收费管理暂行办法》(计价格〔2002〕1980号)、国家发展改革委员会办公厅颁发的《关于招标代理服务费收费有关问题的通知》及《调整后的招标代理服务收费标准》(发改价格〔2011〕〕534号)规定，代理服务费由成交单位领取成交通知书前，向</w:t>
      </w:r>
      <w:r>
        <w:rPr>
          <w:rFonts w:hint="eastAsia" w:cs="宋体" w:asciiTheme="minorEastAsia" w:hAnsiTheme="minorEastAsia"/>
          <w:sz w:val="28"/>
          <w:szCs w:val="28"/>
          <w:lang w:eastAsia="zh-CN"/>
        </w:rPr>
        <w:t>万融国际项目管理有限公司</w:t>
      </w:r>
      <w:r>
        <w:rPr>
          <w:rFonts w:hint="eastAsia" w:cs="宋体" w:asciiTheme="minorEastAsia" w:hAnsiTheme="minorEastAsia"/>
          <w:sz w:val="28"/>
          <w:szCs w:val="28"/>
        </w:rPr>
        <w:t>支付。</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 xml:space="preserve"> 2、成交服务费应按竞争性磋商文件要求的方式缴纳，不得用磋商保证金冲抵。</w:t>
      </w:r>
    </w:p>
    <w:p>
      <w:pPr>
        <w:tabs>
          <w:tab w:val="left" w:pos="270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3、成交供应商如未按上述第1条规定办理，采购代理机构将没收其磋商保证金。提供磋商担保的供应商将由专业担保机构先行偿付采购代理机构损失。</w:t>
      </w:r>
    </w:p>
    <w:p>
      <w:pPr>
        <w:spacing w:line="500" w:lineRule="exact"/>
        <w:ind w:firstLine="562"/>
        <w:jc w:val="left"/>
        <w:rPr>
          <w:rFonts w:cs="宋体" w:asciiTheme="minorEastAsia" w:hAnsiTheme="minorEastAsia"/>
          <w:b/>
          <w:sz w:val="28"/>
          <w:szCs w:val="28"/>
        </w:rPr>
      </w:pPr>
      <w:r>
        <w:rPr>
          <w:rFonts w:hint="eastAsia" w:cs="宋体" w:asciiTheme="minorEastAsia" w:hAnsiTheme="minorEastAsia"/>
          <w:b/>
          <w:sz w:val="28"/>
          <w:szCs w:val="28"/>
        </w:rPr>
        <w:t>十一、废标、重新组织采购</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如果发生下列情况之一的，采购人或采购代理机构将按《政府采购竞争性磋商采购方式管理暂行办法》等有关规定重新组织采购：</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（1）因情况变化，不再符合规定的竞争性磋商采购方式适用情形的；</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（2）出现影响采购公正的违法、违规行为的；</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（3）磋商小组三分之二以上的专家认定所有磋商报价存在价格不实的现象；</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（4）提交最后报价的供应商不足三家的（财政部关于政府采购竞争性磋商采购方式管理暂行办法有关问题的补充通知（财库〔2015〕124号）规定的情形除外）；</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（5）除《政府采购竞争性磋商采购方式管理暂行办法》第二十一条第三款规定的情形外，在采购过程中符合要求的供应商或者报价未超过最高限价的供应商不足三家的。</w:t>
      </w:r>
    </w:p>
    <w:p>
      <w:pPr>
        <w:spacing w:line="500" w:lineRule="exact"/>
        <w:ind w:firstLine="562"/>
        <w:rPr>
          <w:rFonts w:cs="宋体" w:asciiTheme="minorEastAsia" w:hAnsiTheme="minorEastAsia"/>
          <w:b/>
          <w:sz w:val="28"/>
          <w:szCs w:val="28"/>
        </w:rPr>
      </w:pPr>
      <w:r>
        <w:rPr>
          <w:rFonts w:hint="eastAsia" w:cs="宋体" w:asciiTheme="minorEastAsia" w:hAnsiTheme="minorEastAsia"/>
          <w:b/>
          <w:sz w:val="28"/>
          <w:szCs w:val="28"/>
        </w:rPr>
        <w:t>十二、询问、质疑与投诉</w:t>
      </w:r>
    </w:p>
    <w:p>
      <w:pPr>
        <w:spacing w:line="500" w:lineRule="exact"/>
        <w:ind w:firstLine="560"/>
        <w:rPr>
          <w:rFonts w:cs="宋体" w:asciiTheme="minorEastAsia" w:hAnsiTheme="minorEastAsia"/>
          <w:bCs/>
          <w:sz w:val="28"/>
          <w:szCs w:val="28"/>
        </w:rPr>
      </w:pPr>
      <w:r>
        <w:rPr>
          <w:rFonts w:hint="eastAsia" w:cs="宋体" w:asciiTheme="minorEastAsia" w:hAnsiTheme="minorEastAsia"/>
          <w:bCs/>
          <w:sz w:val="28"/>
          <w:szCs w:val="28"/>
        </w:rPr>
        <w:t>1、询问</w:t>
      </w:r>
    </w:p>
    <w:p>
      <w:pPr>
        <w:spacing w:line="500" w:lineRule="exact"/>
        <w:ind w:firstLine="560"/>
        <w:rPr>
          <w:rFonts w:cs="宋体" w:asciiTheme="minorEastAsia" w:hAnsiTheme="minorEastAsia"/>
          <w:bCs/>
          <w:sz w:val="28"/>
          <w:szCs w:val="28"/>
        </w:rPr>
      </w:pPr>
      <w:r>
        <w:rPr>
          <w:rFonts w:hint="eastAsia" w:cs="宋体" w:asciiTheme="minorEastAsia" w:hAnsiTheme="minorEastAsia"/>
          <w:bCs/>
          <w:sz w:val="28"/>
          <w:szCs w:val="28"/>
        </w:rPr>
        <w:t>供应商对政府采购活动事项有疑问的，可以向采购人、采购代理机构提出询问。</w:t>
      </w:r>
    </w:p>
    <w:p>
      <w:pPr>
        <w:spacing w:line="500" w:lineRule="exact"/>
        <w:ind w:firstLine="560"/>
        <w:rPr>
          <w:rFonts w:cs="宋体" w:asciiTheme="minorEastAsia" w:hAnsiTheme="minorEastAsia"/>
          <w:bCs/>
          <w:sz w:val="28"/>
          <w:szCs w:val="28"/>
        </w:rPr>
      </w:pPr>
      <w:r>
        <w:rPr>
          <w:rFonts w:hint="eastAsia" w:cs="宋体" w:asciiTheme="minorEastAsia" w:hAnsiTheme="minorEastAsia"/>
          <w:bCs/>
          <w:sz w:val="28"/>
          <w:szCs w:val="28"/>
        </w:rPr>
        <w:t>2、质疑</w:t>
      </w:r>
    </w:p>
    <w:p>
      <w:pPr>
        <w:spacing w:line="500" w:lineRule="exact"/>
        <w:ind w:firstLine="560"/>
        <w:rPr>
          <w:rFonts w:cs="宋体" w:asciiTheme="minorEastAsia" w:hAnsiTheme="minorEastAsia"/>
          <w:bCs/>
          <w:sz w:val="28"/>
          <w:szCs w:val="28"/>
        </w:rPr>
      </w:pPr>
      <w:r>
        <w:rPr>
          <w:rFonts w:hint="eastAsia" w:cs="宋体" w:asciiTheme="minorEastAsia" w:hAnsiTheme="minorEastAsia"/>
          <w:bCs/>
          <w:sz w:val="28"/>
          <w:szCs w:val="28"/>
        </w:rPr>
        <w:t>2-1、供应商认为竞争性磋商文件、磋商过程和成交结果使自己的权益受到损害的，可以向采购人、采购代理机构提出质疑，具体时限为：</w:t>
      </w:r>
    </w:p>
    <w:p>
      <w:pPr>
        <w:spacing w:line="500" w:lineRule="exact"/>
        <w:ind w:firstLine="560"/>
        <w:rPr>
          <w:rFonts w:cs="宋体" w:asciiTheme="minorEastAsia" w:hAnsiTheme="minorEastAsia"/>
          <w:bCs/>
          <w:sz w:val="28"/>
          <w:szCs w:val="28"/>
        </w:rPr>
      </w:pPr>
      <w:r>
        <w:rPr>
          <w:rFonts w:hint="eastAsia" w:cs="宋体" w:asciiTheme="minorEastAsia" w:hAnsiTheme="minorEastAsia"/>
          <w:bCs/>
          <w:sz w:val="28"/>
          <w:szCs w:val="28"/>
        </w:rPr>
        <w:t>（一）对可以质疑的采购文件提出质疑的，为收到采购文件之日起七个工作日内；</w:t>
      </w:r>
    </w:p>
    <w:p>
      <w:pPr>
        <w:spacing w:line="500" w:lineRule="exact"/>
        <w:ind w:firstLine="560"/>
        <w:rPr>
          <w:rFonts w:cs="宋体" w:asciiTheme="minorEastAsia" w:hAnsiTheme="minorEastAsia"/>
          <w:bCs/>
          <w:sz w:val="28"/>
          <w:szCs w:val="28"/>
        </w:rPr>
      </w:pPr>
      <w:r>
        <w:rPr>
          <w:rFonts w:hint="eastAsia" w:cs="宋体" w:asciiTheme="minorEastAsia" w:hAnsiTheme="minorEastAsia"/>
          <w:bCs/>
          <w:sz w:val="28"/>
          <w:szCs w:val="28"/>
        </w:rPr>
        <w:t>（二）对采购过程提出质疑的，为各采购程序环节结束之日起七个工作日内；</w:t>
      </w:r>
    </w:p>
    <w:p>
      <w:pPr>
        <w:spacing w:line="500" w:lineRule="exact"/>
        <w:ind w:firstLine="560"/>
        <w:rPr>
          <w:rFonts w:cs="宋体" w:asciiTheme="minorEastAsia" w:hAnsiTheme="minorEastAsia"/>
          <w:bCs/>
          <w:sz w:val="28"/>
          <w:szCs w:val="28"/>
        </w:rPr>
      </w:pPr>
      <w:r>
        <w:rPr>
          <w:rFonts w:hint="eastAsia" w:cs="宋体" w:asciiTheme="minorEastAsia" w:hAnsiTheme="minorEastAsia"/>
          <w:bCs/>
          <w:sz w:val="28"/>
          <w:szCs w:val="28"/>
        </w:rPr>
        <w:t>（三）对成交结果提出质疑的，为成交结果公告期限届满之日起七个工作日内。</w:t>
      </w:r>
    </w:p>
    <w:p>
      <w:pPr>
        <w:spacing w:line="500" w:lineRule="exact"/>
        <w:ind w:firstLine="560"/>
        <w:rPr>
          <w:rFonts w:cs="宋体" w:asciiTheme="minorEastAsia" w:hAnsiTheme="minorEastAsia"/>
          <w:bCs/>
          <w:sz w:val="28"/>
          <w:szCs w:val="28"/>
        </w:rPr>
      </w:pPr>
      <w:r>
        <w:rPr>
          <w:rFonts w:hint="eastAsia" w:cs="宋体" w:asciiTheme="minorEastAsia" w:hAnsiTheme="minorEastAsia"/>
          <w:bCs/>
          <w:sz w:val="28"/>
          <w:szCs w:val="28"/>
        </w:rPr>
        <w:t>2-2、质疑须提供法定代表人授权书、质疑函、相关证明材料。</w:t>
      </w:r>
    </w:p>
    <w:p>
      <w:pPr>
        <w:spacing w:line="500" w:lineRule="exact"/>
        <w:ind w:firstLine="560"/>
        <w:rPr>
          <w:rFonts w:cs="宋体" w:asciiTheme="minorEastAsia" w:hAnsiTheme="minorEastAsia"/>
          <w:bCs/>
          <w:sz w:val="28"/>
          <w:szCs w:val="28"/>
        </w:rPr>
      </w:pPr>
      <w:r>
        <w:rPr>
          <w:rFonts w:hint="eastAsia" w:cs="宋体" w:asciiTheme="minorEastAsia" w:hAnsiTheme="minorEastAsia"/>
          <w:bCs/>
          <w:sz w:val="28"/>
          <w:szCs w:val="28"/>
        </w:rPr>
        <w:t>3、投诉</w:t>
      </w:r>
    </w:p>
    <w:p>
      <w:pPr>
        <w:spacing w:line="500" w:lineRule="exact"/>
        <w:ind w:firstLine="560"/>
        <w:rPr>
          <w:rFonts w:cs="宋体" w:asciiTheme="minorEastAsia" w:hAnsiTheme="minorEastAsia"/>
          <w:sz w:val="28"/>
          <w:szCs w:val="28"/>
        </w:rPr>
      </w:pPr>
      <w:r>
        <w:rPr>
          <w:rFonts w:hint="eastAsia" w:cs="宋体" w:asciiTheme="minorEastAsia" w:hAnsiTheme="minorEastAsia"/>
          <w:bCs/>
          <w:sz w:val="28"/>
          <w:szCs w:val="28"/>
        </w:rPr>
        <w:t>质疑供应商对采购人、采购代理机构的答复不满意或者采购人、采购代理机构未在规定的时间内作出答复的，可按《政府采购法》第55条等有关规定执行。</w:t>
      </w:r>
    </w:p>
    <w:p>
      <w:pPr>
        <w:spacing w:line="500" w:lineRule="exact"/>
        <w:ind w:firstLine="562"/>
        <w:rPr>
          <w:rFonts w:cs="宋体" w:asciiTheme="minorEastAsia" w:hAnsiTheme="minorEastAsia"/>
          <w:b/>
          <w:sz w:val="28"/>
          <w:szCs w:val="28"/>
        </w:rPr>
      </w:pPr>
      <w:r>
        <w:rPr>
          <w:rFonts w:hint="eastAsia" w:cs="宋体" w:asciiTheme="minorEastAsia" w:hAnsiTheme="minorEastAsia"/>
          <w:b/>
          <w:sz w:val="28"/>
          <w:szCs w:val="28"/>
        </w:rPr>
        <w:t>十三、拒绝商业贿赂</w:t>
      </w:r>
    </w:p>
    <w:p>
      <w:pPr>
        <w:spacing w:line="500" w:lineRule="exact"/>
        <w:ind w:firstLine="560"/>
        <w:rPr>
          <w:rFonts w:hint="eastAsia" w:cs="宋体" w:asciiTheme="minorEastAsia" w:hAnsiTheme="minorEastAsia"/>
          <w:bCs/>
          <w:sz w:val="28"/>
          <w:szCs w:val="28"/>
        </w:rPr>
      </w:pPr>
      <w:r>
        <w:rPr>
          <w:rFonts w:hint="eastAsia" w:cs="宋体" w:asciiTheme="minorEastAsia" w:hAnsiTheme="minorEastAsia"/>
          <w:bCs/>
          <w:sz w:val="28"/>
          <w:szCs w:val="28"/>
        </w:rPr>
        <w:t>遵照陕西省财政厅的规定，采购人、采购代理机构、供应商和评审专家在磋商活动中，都要签订相应的《拒绝政府采购领域商业贿赂承诺书》，并对违反承诺的行为承担全部责任。</w:t>
      </w:r>
      <w:bookmarkStart w:id="20" w:name="_Toc19571_WPSOffice_Level1"/>
      <w:bookmarkEnd w:id="20"/>
      <w:bookmarkStart w:id="21" w:name="_Toc28112_WPSOffice_Level1"/>
      <w:bookmarkEnd w:id="21"/>
      <w:bookmarkStart w:id="22" w:name="_Toc459647658"/>
      <w:bookmarkEnd w:id="22"/>
      <w:bookmarkStart w:id="23" w:name="_Toc327_WPSOffice_Level1"/>
      <w:bookmarkEnd w:id="23"/>
    </w:p>
    <w:p>
      <w:pPr>
        <w:spacing w:line="500" w:lineRule="exact"/>
        <w:ind w:firstLine="560"/>
        <w:rPr>
          <w:rFonts w:hint="eastAsia" w:cs="宋体" w:asciiTheme="minorEastAsia" w:hAnsiTheme="minorEastAsia"/>
          <w:bCs/>
          <w:sz w:val="28"/>
          <w:szCs w:val="28"/>
        </w:rPr>
      </w:pPr>
    </w:p>
    <w:p>
      <w:pPr>
        <w:spacing w:line="500" w:lineRule="exact"/>
        <w:ind w:firstLine="560"/>
        <w:rPr>
          <w:rFonts w:hint="eastAsia" w:cs="宋体" w:asciiTheme="minorEastAsia" w:hAnsiTheme="minorEastAsia"/>
          <w:bCs/>
          <w:sz w:val="28"/>
          <w:szCs w:val="28"/>
        </w:rPr>
        <w:sectPr>
          <w:footerReference r:id="rId12" w:type="first"/>
          <w:footerReference r:id="rId11" w:type="default"/>
          <w:endnotePr>
            <w:numFmt w:val="decimal"/>
          </w:endnotePr>
          <w:pgSz w:w="11907" w:h="16840"/>
          <w:pgMar w:top="1418" w:right="1287" w:bottom="936" w:left="1259" w:header="907" w:footer="654" w:gutter="0"/>
          <w:cols w:space="720" w:num="1"/>
          <w:titlePg/>
        </w:sectPr>
      </w:pPr>
    </w:p>
    <w:p>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新宋体" w:hAnsi="新宋体" w:eastAsia="新宋体" w:cs="新宋体"/>
          <w:color w:val="auto"/>
          <w:sz w:val="28"/>
          <w:szCs w:val="28"/>
          <w:highlight w:val="none"/>
          <w:lang w:val="en-US" w:eastAsia="zh-CN"/>
        </w:rPr>
      </w:pPr>
      <w:r>
        <w:rPr>
          <w:rFonts w:hint="eastAsia" w:asciiTheme="minorEastAsia" w:hAnsiTheme="minorEastAsia"/>
        </w:rPr>
        <w:t>第三部分  采购内容及技术要求</w:t>
      </w:r>
    </w:p>
    <w:tbl>
      <w:tblPr>
        <w:tblStyle w:val="2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210"/>
        <w:gridCol w:w="6410"/>
        <w:gridCol w:w="600"/>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89" w:type="dxa"/>
            <w:vAlign w:val="center"/>
          </w:tcPr>
          <w:p>
            <w:pPr>
              <w:spacing w:line="360" w:lineRule="auto"/>
              <w:jc w:val="center"/>
              <w:rPr>
                <w:rFonts w:hint="eastAsia" w:asciiTheme="minorEastAsia" w:hAnsiTheme="minorEastAsia" w:eastAsiaTheme="minorEastAsia" w:cstheme="minorEastAsia"/>
                <w:b/>
                <w:bCs/>
                <w:color w:val="auto"/>
                <w:sz w:val="24"/>
                <w:szCs w:val="24"/>
              </w:rPr>
            </w:pPr>
            <w:bookmarkStart w:id="24" w:name="_Toc11347_WPSOffice_Level1"/>
            <w:bookmarkStart w:id="25" w:name="_Toc5182_WPSOffice_Level1"/>
            <w:r>
              <w:rPr>
                <w:rFonts w:hint="eastAsia" w:asciiTheme="minorEastAsia" w:hAnsiTheme="minorEastAsia" w:eastAsiaTheme="minorEastAsia" w:cstheme="minorEastAsia"/>
                <w:b/>
                <w:bCs/>
                <w:color w:val="auto"/>
                <w:sz w:val="24"/>
                <w:szCs w:val="24"/>
              </w:rPr>
              <w:t>序号</w:t>
            </w:r>
          </w:p>
        </w:tc>
        <w:tc>
          <w:tcPr>
            <w:tcW w:w="1210" w:type="dxa"/>
            <w:vAlign w:val="center"/>
          </w:tcPr>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产品名称</w:t>
            </w:r>
          </w:p>
        </w:tc>
        <w:tc>
          <w:tcPr>
            <w:tcW w:w="6410" w:type="dxa"/>
            <w:vAlign w:val="center"/>
          </w:tcPr>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cstheme="minorEastAsia"/>
                <w:b/>
                <w:bCs/>
                <w:color w:val="auto"/>
                <w:sz w:val="24"/>
                <w:szCs w:val="24"/>
                <w:lang w:val="en-US" w:eastAsia="zh-CN"/>
              </w:rPr>
              <w:t>功能及</w:t>
            </w:r>
            <w:r>
              <w:rPr>
                <w:rFonts w:hint="eastAsia" w:asciiTheme="minorEastAsia" w:hAnsiTheme="minorEastAsia" w:eastAsiaTheme="minorEastAsia" w:cstheme="minorEastAsia"/>
                <w:b/>
                <w:bCs/>
                <w:color w:val="auto"/>
                <w:sz w:val="24"/>
                <w:szCs w:val="24"/>
              </w:rPr>
              <w:t>参数</w:t>
            </w:r>
          </w:p>
        </w:tc>
        <w:tc>
          <w:tcPr>
            <w:tcW w:w="600" w:type="dxa"/>
            <w:vAlign w:val="center"/>
          </w:tcPr>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数量</w:t>
            </w:r>
          </w:p>
        </w:tc>
        <w:tc>
          <w:tcPr>
            <w:tcW w:w="579" w:type="dxa"/>
            <w:vAlign w:val="center"/>
          </w:tcPr>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gridSpan w:val="5"/>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一、</w:t>
            </w:r>
            <w:r>
              <w:rPr>
                <w:rFonts w:hint="eastAsia" w:asciiTheme="minorEastAsia" w:hAnsiTheme="minorEastAsia" w:eastAsiaTheme="minorEastAsia" w:cstheme="minorEastAsia"/>
                <w:b/>
                <w:bCs/>
                <w:color w:val="auto"/>
                <w:sz w:val="24"/>
                <w:szCs w:val="24"/>
                <w:lang w:eastAsia="zh-CN"/>
              </w:rPr>
              <w:t>四好</w:t>
            </w:r>
            <w:r>
              <w:rPr>
                <w:rFonts w:hint="eastAsia" w:asciiTheme="minorEastAsia" w:hAnsiTheme="minorEastAsia" w:eastAsiaTheme="minorEastAsia" w:cstheme="minorEastAsia"/>
                <w:b/>
                <w:bCs/>
                <w:color w:val="auto"/>
                <w:sz w:val="24"/>
                <w:szCs w:val="24"/>
                <w:lang w:val="en-US" w:eastAsia="zh-CN"/>
              </w:rPr>
              <w:t>农村路信息化</w:t>
            </w:r>
            <w:r>
              <w:rPr>
                <w:rFonts w:hint="eastAsia" w:asciiTheme="minorEastAsia" w:hAnsiTheme="minorEastAsia" w:eastAsiaTheme="minorEastAsia" w:cstheme="minorEastAsia"/>
                <w:b/>
                <w:bCs/>
                <w:color w:val="auto"/>
                <w:sz w:val="24"/>
                <w:szCs w:val="24"/>
              </w:rPr>
              <w:t>综合管理云平台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5"/>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（1）PC 端业务管理功能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before="249" w:line="187"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数</w:t>
            </w:r>
            <w:r>
              <w:rPr>
                <w:rFonts w:hint="eastAsia" w:asciiTheme="minorEastAsia" w:hAnsiTheme="minorEastAsia" w:eastAsiaTheme="minorEastAsia" w:cstheme="minorEastAsia"/>
                <w:color w:val="auto"/>
                <w:spacing w:val="6"/>
                <w:sz w:val="24"/>
                <w:szCs w:val="24"/>
              </w:rPr>
              <w:t>字路产</w:t>
            </w:r>
          </w:p>
        </w:tc>
        <w:tc>
          <w:tcPr>
            <w:tcW w:w="6410" w:type="dxa"/>
            <w:vAlign w:val="center"/>
          </w:tcPr>
          <w:p>
            <w:pPr>
              <w:spacing w:before="59" w:line="267" w:lineRule="auto"/>
              <w:ind w:right="106"/>
              <w:rPr>
                <w:rFonts w:hint="eastAsia" w:asciiTheme="minorEastAsia" w:hAnsiTheme="minorEastAsia" w:cstheme="minorEastAsia"/>
                <w:color w:val="auto"/>
                <w:spacing w:val="6"/>
                <w:sz w:val="24"/>
                <w:szCs w:val="24"/>
                <w:lang w:val="en-US" w:eastAsia="zh-CN"/>
              </w:rPr>
            </w:pPr>
            <w:r>
              <w:rPr>
                <w:rFonts w:hint="eastAsia" w:asciiTheme="minorEastAsia" w:hAnsiTheme="minorEastAsia" w:eastAsiaTheme="minorEastAsia" w:cstheme="minorEastAsia"/>
                <w:b/>
                <w:bCs/>
                <w:color w:val="auto"/>
                <w:spacing w:val="12"/>
                <w:sz w:val="24"/>
                <w:szCs w:val="24"/>
              </w:rPr>
              <w:t>线</w:t>
            </w:r>
            <w:r>
              <w:rPr>
                <w:rFonts w:hint="eastAsia" w:asciiTheme="minorEastAsia" w:hAnsiTheme="minorEastAsia" w:eastAsiaTheme="minorEastAsia" w:cstheme="minorEastAsia"/>
                <w:b/>
                <w:bCs/>
                <w:color w:val="auto"/>
                <w:spacing w:val="10"/>
                <w:sz w:val="24"/>
                <w:szCs w:val="24"/>
              </w:rPr>
              <w:t>路</w:t>
            </w:r>
            <w:r>
              <w:rPr>
                <w:rFonts w:hint="eastAsia" w:asciiTheme="minorEastAsia" w:hAnsiTheme="minorEastAsia" w:eastAsiaTheme="minorEastAsia" w:cstheme="minorEastAsia"/>
                <w:b/>
                <w:bCs/>
                <w:color w:val="auto"/>
                <w:spacing w:val="6"/>
                <w:sz w:val="24"/>
                <w:szCs w:val="24"/>
              </w:rPr>
              <w:t>管理</w:t>
            </w:r>
            <w:r>
              <w:rPr>
                <w:rFonts w:hint="eastAsia" w:asciiTheme="minorEastAsia" w:hAnsiTheme="minorEastAsia" w:cstheme="minorEastAsia"/>
                <w:b/>
                <w:bCs/>
                <w:color w:val="auto"/>
                <w:spacing w:val="6"/>
                <w:sz w:val="24"/>
                <w:szCs w:val="24"/>
                <w:lang w:eastAsia="zh-CN"/>
              </w:rPr>
              <w:t>：</w:t>
            </w:r>
            <w:r>
              <w:rPr>
                <w:rFonts w:hint="eastAsia" w:asciiTheme="minorEastAsia" w:hAnsiTheme="minorEastAsia" w:cstheme="minorEastAsia"/>
                <w:color w:val="auto"/>
                <w:spacing w:val="6"/>
                <w:sz w:val="24"/>
                <w:szCs w:val="24"/>
                <w:lang w:val="en-US" w:eastAsia="zh-CN"/>
              </w:rPr>
              <w:t>建立全域路产的数字档案；</w:t>
            </w:r>
          </w:p>
          <w:p>
            <w:pPr>
              <w:spacing w:before="59" w:line="267" w:lineRule="auto"/>
              <w:ind w:right="106"/>
              <w:rPr>
                <w:rFonts w:hint="eastAsia" w:asciiTheme="minorEastAsia" w:hAnsiTheme="minorEastAsia" w:cstheme="minorEastAsia"/>
                <w:color w:val="auto"/>
                <w:spacing w:val="6"/>
                <w:sz w:val="24"/>
                <w:szCs w:val="24"/>
                <w:lang w:eastAsia="zh-CN"/>
              </w:rPr>
            </w:pPr>
            <w:r>
              <w:rPr>
                <w:rFonts w:hint="eastAsia" w:asciiTheme="minorEastAsia" w:hAnsiTheme="minorEastAsia" w:eastAsiaTheme="minorEastAsia" w:cstheme="minorEastAsia"/>
                <w:b/>
                <w:bCs/>
                <w:color w:val="auto"/>
                <w:spacing w:val="6"/>
                <w:sz w:val="24"/>
                <w:szCs w:val="24"/>
              </w:rPr>
              <w:t>数字地图</w:t>
            </w:r>
            <w:r>
              <w:rPr>
                <w:rFonts w:hint="eastAsia" w:asciiTheme="minorEastAsia" w:hAnsiTheme="minorEastAsia" w:cstheme="minorEastAsia"/>
                <w:b/>
                <w:bCs/>
                <w:color w:val="auto"/>
                <w:spacing w:val="6"/>
                <w:sz w:val="24"/>
                <w:szCs w:val="24"/>
                <w:lang w:eastAsia="zh-CN"/>
              </w:rPr>
              <w:t>：</w:t>
            </w:r>
            <w:r>
              <w:rPr>
                <w:rFonts w:hint="eastAsia" w:asciiTheme="minorEastAsia" w:hAnsiTheme="minorEastAsia" w:cstheme="minorEastAsia"/>
                <w:color w:val="auto"/>
                <w:spacing w:val="6"/>
                <w:sz w:val="24"/>
                <w:szCs w:val="24"/>
                <w:lang w:eastAsia="zh-CN"/>
              </w:rPr>
              <w:t>在地图上绘制线路、路段，对桥梁、隧道、涵洞等附属设施</w:t>
            </w:r>
            <w:r>
              <w:rPr>
                <w:rFonts w:hint="eastAsia" w:asciiTheme="minorEastAsia" w:hAnsiTheme="minorEastAsia" w:cstheme="minorEastAsia"/>
                <w:color w:val="auto"/>
                <w:spacing w:val="6"/>
                <w:sz w:val="24"/>
                <w:szCs w:val="24"/>
                <w:lang w:val="en-US" w:eastAsia="zh-CN"/>
              </w:rPr>
              <w:t>进行</w:t>
            </w:r>
            <w:r>
              <w:rPr>
                <w:rFonts w:hint="eastAsia" w:asciiTheme="minorEastAsia" w:hAnsiTheme="minorEastAsia" w:cstheme="minorEastAsia"/>
                <w:color w:val="auto"/>
                <w:spacing w:val="6"/>
                <w:sz w:val="24"/>
                <w:szCs w:val="24"/>
                <w:lang w:eastAsia="zh-CN"/>
              </w:rPr>
              <w:t>标点；</w:t>
            </w:r>
          </w:p>
          <w:p>
            <w:pPr>
              <w:pStyle w:val="25"/>
              <w:ind w:left="0" w:leftChars="0" w:firstLine="0" w:firstLineChars="0"/>
              <w:jc w:val="left"/>
              <w:rPr>
                <w:rFonts w:hint="default"/>
                <w:color w:val="auto"/>
                <w:sz w:val="24"/>
                <w:szCs w:val="24"/>
                <w:lang w:val="en-US" w:eastAsia="zh-CN"/>
              </w:rPr>
            </w:pPr>
            <w:r>
              <w:rPr>
                <w:rFonts w:hint="eastAsia" w:asciiTheme="minorEastAsia" w:hAnsiTheme="minorEastAsia" w:cstheme="minorEastAsia"/>
                <w:b/>
                <w:bCs/>
                <w:color w:val="auto"/>
                <w:spacing w:val="6"/>
                <w:sz w:val="24"/>
                <w:szCs w:val="24"/>
                <w:lang w:val="en-US" w:eastAsia="zh-CN"/>
              </w:rPr>
              <w:t>线路网格：</w:t>
            </w:r>
            <w:r>
              <w:rPr>
                <w:rFonts w:hint="eastAsia" w:asciiTheme="minorEastAsia" w:hAnsiTheme="minorEastAsia" w:cstheme="minorEastAsia"/>
                <w:color w:val="auto"/>
                <w:spacing w:val="6"/>
                <w:sz w:val="24"/>
                <w:szCs w:val="24"/>
                <w:lang w:val="en-US" w:eastAsia="zh-CN"/>
              </w:rPr>
              <w:t>将线路、路段的基础信息和地图的 GIS位置绑定并在路线网格上进行展示；</w:t>
            </w:r>
          </w:p>
          <w:p>
            <w:pPr>
              <w:spacing w:before="59" w:line="267" w:lineRule="auto"/>
              <w:ind w:right="10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6"/>
                <w:sz w:val="24"/>
                <w:szCs w:val="24"/>
              </w:rPr>
              <w:t>路产管理</w:t>
            </w:r>
            <w:r>
              <w:rPr>
                <w:rFonts w:hint="eastAsia" w:asciiTheme="minorEastAsia" w:hAnsiTheme="minorEastAsia" w:cstheme="minorEastAsia"/>
                <w:b/>
                <w:bCs/>
                <w:color w:val="auto"/>
                <w:spacing w:val="6"/>
                <w:sz w:val="24"/>
                <w:szCs w:val="24"/>
                <w:lang w:eastAsia="zh-CN"/>
              </w:rPr>
              <w:t>：</w:t>
            </w:r>
            <w:r>
              <w:rPr>
                <w:rFonts w:hint="eastAsia" w:asciiTheme="minorEastAsia" w:hAnsiTheme="minorEastAsia" w:cstheme="minorEastAsia"/>
                <w:b w:val="0"/>
                <w:bCs w:val="0"/>
                <w:color w:val="auto"/>
                <w:spacing w:val="6"/>
                <w:sz w:val="24"/>
                <w:szCs w:val="24"/>
                <w:lang w:val="en-US" w:eastAsia="zh-CN"/>
              </w:rPr>
              <w:t>管理桥梁、隧道、涵洞信息：维护和采集数据，并生成二维码。</w:t>
            </w:r>
          </w:p>
        </w:tc>
        <w:tc>
          <w:tcPr>
            <w:tcW w:w="600" w:type="dxa"/>
            <w:vMerge w:val="restart"/>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579" w:type="dxa"/>
            <w:vMerge w:val="restart"/>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before="62" w:line="186"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210" w:type="dxa"/>
            <w:vAlign w:val="center"/>
          </w:tcPr>
          <w:p>
            <w:pPr>
              <w:spacing w:before="62" w:line="232"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公</w:t>
            </w:r>
            <w:r>
              <w:rPr>
                <w:rFonts w:hint="eastAsia" w:asciiTheme="minorEastAsia" w:hAnsiTheme="minorEastAsia" w:eastAsiaTheme="minorEastAsia" w:cstheme="minorEastAsia"/>
                <w:color w:val="auto"/>
                <w:spacing w:val="5"/>
                <w:sz w:val="24"/>
                <w:szCs w:val="24"/>
              </w:rPr>
              <w:t>路建设</w:t>
            </w:r>
          </w:p>
        </w:tc>
        <w:tc>
          <w:tcPr>
            <w:tcW w:w="6410" w:type="dxa"/>
            <w:vAlign w:val="center"/>
          </w:tcPr>
          <w:p>
            <w:pPr>
              <w:spacing w:before="59" w:line="267" w:lineRule="auto"/>
              <w:ind w:right="106"/>
              <w:rPr>
                <w:rFonts w:hint="eastAsia" w:asciiTheme="minorEastAsia" w:hAnsiTheme="minorEastAsia" w:eastAsiaTheme="minorEastAsia" w:cstheme="minorEastAsia"/>
                <w:b w:val="0"/>
                <w:bCs w:val="0"/>
                <w:color w:val="auto"/>
                <w:spacing w:val="12"/>
                <w:sz w:val="24"/>
                <w:szCs w:val="24"/>
                <w:lang w:eastAsia="zh-CN"/>
              </w:rPr>
            </w:pPr>
            <w:r>
              <w:rPr>
                <w:rFonts w:hint="eastAsia" w:asciiTheme="minorEastAsia" w:hAnsiTheme="minorEastAsia" w:eastAsiaTheme="minorEastAsia" w:cstheme="minorEastAsia"/>
                <w:b/>
                <w:bCs/>
                <w:color w:val="auto"/>
                <w:spacing w:val="12"/>
                <w:sz w:val="24"/>
                <w:szCs w:val="24"/>
              </w:rPr>
              <w:t>工程建设管理</w:t>
            </w:r>
            <w:r>
              <w:rPr>
                <w:rFonts w:hint="eastAsia" w:asciiTheme="minorEastAsia" w:hAnsiTheme="minorEastAsia" w:eastAsiaTheme="minorEastAsia" w:cstheme="minorEastAsia"/>
                <w:b/>
                <w:bCs/>
                <w:color w:val="auto"/>
                <w:spacing w:val="12"/>
                <w:sz w:val="24"/>
                <w:szCs w:val="24"/>
                <w:lang w:eastAsia="zh-CN"/>
              </w:rPr>
              <w:t>：</w:t>
            </w:r>
            <w:r>
              <w:rPr>
                <w:rFonts w:hint="eastAsia" w:asciiTheme="minorEastAsia" w:hAnsiTheme="minorEastAsia" w:eastAsiaTheme="minorEastAsia" w:cstheme="minorEastAsia"/>
                <w:b w:val="0"/>
                <w:bCs w:val="0"/>
                <w:color w:val="auto"/>
                <w:spacing w:val="12"/>
                <w:sz w:val="24"/>
                <w:szCs w:val="24"/>
                <w:lang w:eastAsia="zh-CN"/>
              </w:rPr>
              <w:t>对公路工程建设项目进行工程进度、质量、安全和资料</w:t>
            </w:r>
            <w:r>
              <w:rPr>
                <w:rFonts w:hint="eastAsia" w:asciiTheme="minorEastAsia" w:hAnsiTheme="minorEastAsia" w:cstheme="minorEastAsia"/>
                <w:b w:val="0"/>
                <w:bCs w:val="0"/>
                <w:color w:val="auto"/>
                <w:spacing w:val="12"/>
                <w:sz w:val="24"/>
                <w:szCs w:val="24"/>
                <w:lang w:val="en-US" w:eastAsia="zh-CN"/>
              </w:rPr>
              <w:t>的</w:t>
            </w:r>
            <w:r>
              <w:rPr>
                <w:rFonts w:hint="eastAsia" w:asciiTheme="minorEastAsia" w:hAnsiTheme="minorEastAsia" w:eastAsiaTheme="minorEastAsia" w:cstheme="minorEastAsia"/>
                <w:b w:val="0"/>
                <w:bCs w:val="0"/>
                <w:color w:val="auto"/>
                <w:spacing w:val="12"/>
                <w:sz w:val="24"/>
                <w:szCs w:val="24"/>
                <w:lang w:eastAsia="zh-CN"/>
              </w:rPr>
              <w:t>管理</w:t>
            </w:r>
            <w:r>
              <w:rPr>
                <w:rFonts w:hint="eastAsia" w:asciiTheme="minorEastAsia" w:hAnsiTheme="minorEastAsia" w:cstheme="minorEastAsia"/>
                <w:b w:val="0"/>
                <w:bCs w:val="0"/>
                <w:color w:val="auto"/>
                <w:spacing w:val="12"/>
                <w:sz w:val="24"/>
                <w:szCs w:val="24"/>
                <w:lang w:eastAsia="zh-CN"/>
              </w:rPr>
              <w:t>；</w:t>
            </w:r>
          </w:p>
          <w:p>
            <w:pPr>
              <w:spacing w:before="59" w:line="267" w:lineRule="auto"/>
              <w:ind w:right="106"/>
              <w:rPr>
                <w:rFonts w:hint="eastAsia" w:asciiTheme="minorEastAsia" w:hAnsiTheme="minorEastAsia" w:eastAsiaTheme="minorEastAsia" w:cstheme="minorEastAsia"/>
                <w:b w:val="0"/>
                <w:bCs w:val="0"/>
                <w:color w:val="auto"/>
                <w:spacing w:val="12"/>
                <w:sz w:val="24"/>
                <w:szCs w:val="24"/>
              </w:rPr>
            </w:pPr>
            <w:r>
              <w:rPr>
                <w:rFonts w:hint="eastAsia" w:asciiTheme="minorEastAsia" w:hAnsiTheme="minorEastAsia" w:eastAsiaTheme="minorEastAsia" w:cstheme="minorEastAsia"/>
                <w:b/>
                <w:bCs/>
                <w:color w:val="auto"/>
                <w:spacing w:val="12"/>
                <w:sz w:val="24"/>
                <w:szCs w:val="24"/>
                <w:lang w:eastAsia="zh-CN"/>
              </w:rPr>
              <w:t>农村公路养护工程：</w:t>
            </w:r>
            <w:r>
              <w:rPr>
                <w:rFonts w:hint="eastAsia" w:asciiTheme="minorEastAsia" w:hAnsiTheme="minorEastAsia" w:eastAsiaTheme="minorEastAsia" w:cstheme="minorEastAsia"/>
                <w:b w:val="0"/>
                <w:bCs w:val="0"/>
                <w:color w:val="auto"/>
                <w:spacing w:val="12"/>
                <w:sz w:val="24"/>
                <w:szCs w:val="24"/>
                <w:lang w:eastAsia="zh-CN"/>
              </w:rPr>
              <w:t>对不同农村公路养护工程类型进行费用和建设内容管理。</w:t>
            </w:r>
          </w:p>
        </w:tc>
        <w:tc>
          <w:tcPr>
            <w:tcW w:w="600" w:type="dxa"/>
            <w:vMerge w:val="continue"/>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579" w:type="dxa"/>
            <w:vMerge w:val="continue"/>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before="288" w:line="186"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巡查养护</w:t>
            </w:r>
          </w:p>
        </w:tc>
        <w:tc>
          <w:tcPr>
            <w:tcW w:w="6410" w:type="dxa"/>
            <w:vAlign w:val="center"/>
          </w:tcPr>
          <w:p>
            <w:pPr>
              <w:keepNext w:val="0"/>
              <w:keepLines w:val="0"/>
              <w:pageBreakBefore w:val="0"/>
              <w:widowControl w:val="0"/>
              <w:kinsoku/>
              <w:wordWrap/>
              <w:overflowPunct/>
              <w:topLinePunct w:val="0"/>
              <w:autoSpaceDE/>
              <w:autoSpaceDN/>
              <w:bidi w:val="0"/>
              <w:adjustRightInd/>
              <w:snapToGrid/>
              <w:spacing w:before="15" w:line="231" w:lineRule="auto"/>
              <w:textAlignment w:val="auto"/>
              <w:rPr>
                <w:rFonts w:hint="eastAsia" w:asciiTheme="minorEastAsia" w:hAnsiTheme="minorEastAsia" w:eastAsiaTheme="minorEastAsia" w:cstheme="minorEastAsia"/>
                <w:b w:val="0"/>
                <w:bCs w:val="0"/>
                <w:color w:val="auto"/>
                <w:spacing w:val="7"/>
                <w:sz w:val="24"/>
                <w:szCs w:val="24"/>
                <w:lang w:eastAsia="zh-CN"/>
              </w:rPr>
            </w:pPr>
            <w:r>
              <w:rPr>
                <w:rFonts w:hint="eastAsia" w:asciiTheme="minorEastAsia" w:hAnsiTheme="minorEastAsia" w:eastAsiaTheme="minorEastAsia" w:cstheme="minorEastAsia"/>
                <w:b/>
                <w:bCs/>
                <w:color w:val="auto"/>
                <w:spacing w:val="7"/>
                <w:sz w:val="24"/>
                <w:szCs w:val="24"/>
              </w:rPr>
              <w:t>巡查路段</w:t>
            </w:r>
            <w:r>
              <w:rPr>
                <w:rFonts w:hint="eastAsia" w:asciiTheme="minorEastAsia" w:hAnsiTheme="minorEastAsia" w:eastAsiaTheme="minorEastAsia" w:cstheme="minorEastAsia"/>
                <w:b/>
                <w:bCs/>
                <w:color w:val="auto"/>
                <w:spacing w:val="7"/>
                <w:sz w:val="24"/>
                <w:szCs w:val="24"/>
                <w:lang w:eastAsia="zh-CN"/>
              </w:rPr>
              <w:t>：</w:t>
            </w:r>
            <w:r>
              <w:rPr>
                <w:rFonts w:hint="eastAsia" w:asciiTheme="minorEastAsia" w:hAnsiTheme="minorEastAsia" w:eastAsiaTheme="minorEastAsia" w:cstheme="minorEastAsia"/>
                <w:b w:val="0"/>
                <w:bCs w:val="0"/>
                <w:color w:val="auto"/>
                <w:spacing w:val="7"/>
                <w:sz w:val="24"/>
                <w:szCs w:val="24"/>
                <w:lang w:eastAsia="zh-CN"/>
              </w:rPr>
              <w:t>展示当</w:t>
            </w:r>
            <w:r>
              <w:rPr>
                <w:rFonts w:hint="eastAsia" w:asciiTheme="minorEastAsia" w:hAnsiTheme="minorEastAsia" w:eastAsiaTheme="minorEastAsia" w:cstheme="minorEastAsia"/>
                <w:b w:val="0"/>
                <w:bCs w:val="0"/>
                <w:color w:val="auto"/>
                <w:spacing w:val="7"/>
                <w:sz w:val="24"/>
                <w:szCs w:val="24"/>
                <w:lang w:val="en-US" w:eastAsia="zh-CN"/>
              </w:rPr>
              <w:t>前</w:t>
            </w:r>
            <w:r>
              <w:rPr>
                <w:rFonts w:hint="eastAsia" w:asciiTheme="minorEastAsia" w:hAnsiTheme="minorEastAsia" w:eastAsiaTheme="minorEastAsia" w:cstheme="minorEastAsia"/>
                <w:b w:val="0"/>
                <w:bCs w:val="0"/>
                <w:color w:val="auto"/>
                <w:spacing w:val="7"/>
                <w:sz w:val="24"/>
                <w:szCs w:val="24"/>
                <w:lang w:eastAsia="zh-CN"/>
              </w:rPr>
              <w:t>所有巡查人员的巡查路段信息</w:t>
            </w:r>
            <w:r>
              <w:rPr>
                <w:rFonts w:hint="eastAsia" w:asciiTheme="minorEastAsia" w:hAnsiTheme="minorEastAsia" w:cstheme="minorEastAsia"/>
                <w:b w:val="0"/>
                <w:bCs w:val="0"/>
                <w:color w:val="auto"/>
                <w:spacing w:val="7"/>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 w:line="231" w:lineRule="auto"/>
              <w:textAlignment w:val="auto"/>
              <w:rPr>
                <w:rFonts w:hint="eastAsia" w:asciiTheme="minorEastAsia" w:hAnsiTheme="minorEastAsia" w:eastAsiaTheme="minorEastAsia" w:cstheme="minorEastAsia"/>
                <w:b w:val="0"/>
                <w:bCs w:val="0"/>
                <w:color w:val="auto"/>
                <w:spacing w:val="7"/>
                <w:sz w:val="24"/>
                <w:szCs w:val="24"/>
                <w:lang w:eastAsia="zh-CN"/>
              </w:rPr>
            </w:pPr>
            <w:r>
              <w:rPr>
                <w:rFonts w:hint="eastAsia" w:asciiTheme="minorEastAsia" w:hAnsiTheme="minorEastAsia" w:eastAsiaTheme="minorEastAsia" w:cstheme="minorEastAsia"/>
                <w:b/>
                <w:bCs/>
                <w:color w:val="auto"/>
                <w:spacing w:val="7"/>
                <w:sz w:val="24"/>
                <w:szCs w:val="24"/>
              </w:rPr>
              <w:t>巡查记录</w:t>
            </w:r>
            <w:r>
              <w:rPr>
                <w:rFonts w:hint="eastAsia" w:asciiTheme="minorEastAsia" w:hAnsiTheme="minorEastAsia" w:eastAsiaTheme="minorEastAsia" w:cstheme="minorEastAsia"/>
                <w:b/>
                <w:bCs/>
                <w:color w:val="auto"/>
                <w:spacing w:val="7"/>
                <w:sz w:val="24"/>
                <w:szCs w:val="24"/>
                <w:lang w:eastAsia="zh-CN"/>
              </w:rPr>
              <w:t>：</w:t>
            </w:r>
            <w:r>
              <w:rPr>
                <w:rFonts w:hint="eastAsia" w:asciiTheme="minorEastAsia" w:hAnsiTheme="minorEastAsia" w:eastAsiaTheme="minorEastAsia" w:cstheme="minorEastAsia"/>
                <w:b w:val="0"/>
                <w:bCs w:val="0"/>
                <w:color w:val="auto"/>
                <w:spacing w:val="7"/>
                <w:sz w:val="24"/>
                <w:szCs w:val="24"/>
              </w:rPr>
              <w:t>添加和查看道路巡查记录</w:t>
            </w:r>
            <w:r>
              <w:rPr>
                <w:rFonts w:hint="eastAsia" w:asciiTheme="minorEastAsia" w:hAnsiTheme="minorEastAsia" w:cstheme="minorEastAsia"/>
                <w:b w:val="0"/>
                <w:bCs w:val="0"/>
                <w:color w:val="auto"/>
                <w:spacing w:val="7"/>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 w:line="231" w:lineRule="auto"/>
              <w:textAlignment w:val="auto"/>
              <w:rPr>
                <w:rFonts w:hint="eastAsia" w:asciiTheme="minorEastAsia" w:hAnsiTheme="minorEastAsia" w:eastAsiaTheme="minorEastAsia" w:cstheme="minorEastAsia"/>
                <w:b w:val="0"/>
                <w:bCs w:val="0"/>
                <w:color w:val="auto"/>
                <w:spacing w:val="7"/>
                <w:sz w:val="24"/>
                <w:szCs w:val="24"/>
                <w:lang w:val="en-US" w:eastAsia="zh-CN"/>
              </w:rPr>
            </w:pPr>
            <w:r>
              <w:rPr>
                <w:rFonts w:hint="eastAsia" w:asciiTheme="minorEastAsia" w:hAnsiTheme="minorEastAsia" w:eastAsiaTheme="minorEastAsia" w:cstheme="minorEastAsia"/>
                <w:b/>
                <w:bCs/>
                <w:color w:val="auto"/>
                <w:spacing w:val="7"/>
                <w:sz w:val="24"/>
                <w:szCs w:val="24"/>
              </w:rPr>
              <w:t>巡查记录研判</w:t>
            </w:r>
            <w:r>
              <w:rPr>
                <w:rFonts w:hint="eastAsia" w:asciiTheme="minorEastAsia" w:hAnsiTheme="minorEastAsia" w:eastAsiaTheme="minorEastAsia" w:cstheme="minorEastAsia"/>
                <w:b/>
                <w:bCs/>
                <w:color w:val="auto"/>
                <w:spacing w:val="7"/>
                <w:sz w:val="24"/>
                <w:szCs w:val="24"/>
                <w:lang w:val="en-US" w:eastAsia="zh-CN"/>
              </w:rPr>
              <w:t>：</w:t>
            </w:r>
            <w:r>
              <w:rPr>
                <w:rFonts w:hint="eastAsia" w:asciiTheme="minorEastAsia" w:hAnsiTheme="minorEastAsia" w:eastAsiaTheme="minorEastAsia" w:cstheme="minorEastAsia"/>
                <w:b w:val="0"/>
                <w:bCs w:val="0"/>
                <w:color w:val="auto"/>
                <w:spacing w:val="7"/>
                <w:sz w:val="24"/>
                <w:szCs w:val="24"/>
                <w:lang w:val="en-US" w:eastAsia="zh-CN"/>
              </w:rPr>
              <w:t>对巡查记录进行业务研判，根据研判进行业务分流处理</w:t>
            </w:r>
            <w:r>
              <w:rPr>
                <w:rFonts w:hint="eastAsia" w:asciiTheme="minorEastAsia" w:hAnsiTheme="minorEastAsia" w:cstheme="minorEastAsia"/>
                <w:b w:val="0"/>
                <w:bCs w:val="0"/>
                <w:color w:val="auto"/>
                <w:spacing w:val="7"/>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15" w:line="231" w:lineRule="auto"/>
              <w:textAlignment w:val="auto"/>
              <w:rPr>
                <w:rFonts w:hint="eastAsia" w:asciiTheme="minorEastAsia" w:hAnsiTheme="minorEastAsia" w:eastAsiaTheme="minorEastAsia" w:cstheme="minorEastAsia"/>
                <w:b w:val="0"/>
                <w:bCs w:val="0"/>
                <w:color w:val="auto"/>
                <w:spacing w:val="7"/>
                <w:sz w:val="24"/>
                <w:szCs w:val="24"/>
                <w:lang w:val="en-US" w:eastAsia="zh-CN"/>
              </w:rPr>
            </w:pPr>
            <w:r>
              <w:rPr>
                <w:rFonts w:hint="eastAsia" w:asciiTheme="minorEastAsia" w:hAnsiTheme="minorEastAsia" w:eastAsiaTheme="minorEastAsia" w:cstheme="minorEastAsia"/>
                <w:b/>
                <w:bCs/>
                <w:color w:val="auto"/>
                <w:spacing w:val="7"/>
                <w:sz w:val="24"/>
                <w:szCs w:val="24"/>
              </w:rPr>
              <w:t>养护作业</w:t>
            </w:r>
            <w:r>
              <w:rPr>
                <w:rFonts w:hint="eastAsia" w:asciiTheme="minorEastAsia" w:hAnsiTheme="minorEastAsia" w:eastAsiaTheme="minorEastAsia" w:cstheme="minorEastAsia"/>
                <w:b/>
                <w:bCs/>
                <w:color w:val="auto"/>
                <w:spacing w:val="7"/>
                <w:sz w:val="24"/>
                <w:szCs w:val="24"/>
                <w:lang w:val="en-US" w:eastAsia="zh-CN"/>
              </w:rPr>
              <w:t>:</w:t>
            </w:r>
            <w:r>
              <w:rPr>
                <w:rFonts w:hint="eastAsia" w:asciiTheme="minorEastAsia" w:hAnsiTheme="minorEastAsia" w:eastAsiaTheme="minorEastAsia" w:cstheme="minorEastAsia"/>
                <w:b w:val="0"/>
                <w:bCs w:val="0"/>
                <w:color w:val="auto"/>
                <w:spacing w:val="7"/>
                <w:sz w:val="24"/>
                <w:szCs w:val="24"/>
                <w:lang w:val="en-US" w:eastAsia="zh-CN"/>
              </w:rPr>
              <w:t>施工过程的人机料管理，对道路病害进行闭环处理</w:t>
            </w:r>
            <w:r>
              <w:rPr>
                <w:rFonts w:hint="eastAsia" w:asciiTheme="minorEastAsia" w:hAnsiTheme="minorEastAsia" w:cstheme="minorEastAsia"/>
                <w:b w:val="0"/>
                <w:bCs w:val="0"/>
                <w:color w:val="auto"/>
                <w:spacing w:val="7"/>
                <w:sz w:val="24"/>
                <w:szCs w:val="24"/>
                <w:lang w:val="en-US" w:eastAsia="zh-CN"/>
              </w:rPr>
              <w:t>。</w:t>
            </w:r>
          </w:p>
        </w:tc>
        <w:tc>
          <w:tcPr>
            <w:tcW w:w="600" w:type="dxa"/>
            <w:vMerge w:val="continue"/>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579" w:type="dxa"/>
            <w:vMerge w:val="continue"/>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vAlign w:val="center"/>
          </w:tcPr>
          <w:p>
            <w:pPr>
              <w:spacing w:before="290" w:line="186"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before="18" w:line="231"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巡</w:t>
            </w:r>
            <w:r>
              <w:rPr>
                <w:rFonts w:hint="eastAsia" w:asciiTheme="minorEastAsia" w:hAnsiTheme="minorEastAsia" w:eastAsiaTheme="minorEastAsia" w:cstheme="minorEastAsia"/>
                <w:color w:val="auto"/>
                <w:spacing w:val="6"/>
                <w:sz w:val="24"/>
                <w:szCs w:val="24"/>
              </w:rPr>
              <w:t>查养护</w:t>
            </w:r>
            <w:r>
              <w:rPr>
                <w:rFonts w:hint="eastAsia" w:asciiTheme="minorEastAsia" w:hAnsiTheme="minorEastAsia" w:eastAsiaTheme="minorEastAsia" w:cstheme="minorEastAsia"/>
                <w:b w:val="0"/>
                <w:bCs w:val="0"/>
                <w:color w:val="auto"/>
                <w:sz w:val="24"/>
                <w:szCs w:val="24"/>
              </w:rPr>
              <w:t>BI</w:t>
            </w:r>
          </w:p>
        </w:tc>
        <w:tc>
          <w:tcPr>
            <w:tcW w:w="6410" w:type="dxa"/>
            <w:vAlign w:val="center"/>
          </w:tcPr>
          <w:p>
            <w:pPr>
              <w:keepNext w:val="0"/>
              <w:keepLines w:val="0"/>
              <w:pageBreakBefore w:val="0"/>
              <w:widowControl w:val="0"/>
              <w:kinsoku/>
              <w:wordWrap/>
              <w:overflowPunct/>
              <w:topLinePunct w:val="0"/>
              <w:autoSpaceDE/>
              <w:autoSpaceDN/>
              <w:bidi w:val="0"/>
              <w:adjustRightInd/>
              <w:snapToGrid/>
              <w:spacing w:before="15" w:line="231" w:lineRule="auto"/>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bCs/>
                <w:color w:val="auto"/>
                <w:spacing w:val="7"/>
                <w:sz w:val="24"/>
                <w:szCs w:val="24"/>
              </w:rPr>
              <w:t>巡查养护BI</w:t>
            </w:r>
            <w:r>
              <w:rPr>
                <w:rFonts w:hint="eastAsia" w:asciiTheme="minorEastAsia" w:hAnsiTheme="minorEastAsia" w:cstheme="minorEastAsia"/>
                <w:b/>
                <w:bCs/>
                <w:color w:val="auto"/>
                <w:spacing w:val="7"/>
                <w:sz w:val="24"/>
                <w:szCs w:val="24"/>
                <w:lang w:eastAsia="zh-CN"/>
              </w:rPr>
              <w:t>：</w:t>
            </w:r>
            <w:r>
              <w:rPr>
                <w:rFonts w:hint="eastAsia" w:asciiTheme="minorEastAsia" w:hAnsiTheme="minorEastAsia" w:eastAsiaTheme="minorEastAsia" w:cstheme="minorEastAsia"/>
                <w:b w:val="0"/>
                <w:bCs w:val="0"/>
                <w:color w:val="auto"/>
                <w:spacing w:val="7"/>
                <w:sz w:val="24"/>
                <w:szCs w:val="24"/>
              </w:rPr>
              <w:t>【巡查养护】应用的数据业务大屏</w:t>
            </w:r>
            <w:r>
              <w:rPr>
                <w:rFonts w:hint="eastAsia" w:asciiTheme="minorEastAsia" w:hAnsiTheme="minorEastAsia" w:cstheme="minorEastAsia"/>
                <w:b w:val="0"/>
                <w:bCs w:val="0"/>
                <w:color w:val="auto"/>
                <w:spacing w:val="7"/>
                <w:sz w:val="24"/>
                <w:szCs w:val="24"/>
                <w:lang w:eastAsia="zh-CN"/>
              </w:rPr>
              <w:t>。</w:t>
            </w:r>
            <w:r>
              <w:rPr>
                <w:rFonts w:hint="eastAsia" w:asciiTheme="minorEastAsia" w:hAnsiTheme="minorEastAsia" w:eastAsiaTheme="minorEastAsia" w:cstheme="minorEastAsia"/>
                <w:b w:val="0"/>
                <w:bCs w:val="0"/>
                <w:color w:val="auto"/>
                <w:spacing w:val="7"/>
                <w:sz w:val="24"/>
                <w:szCs w:val="24"/>
              </w:rPr>
              <w:t>大屏业务围绕农村公路巡查和养护的数据进行数据分析和业务数据交互，大屏通过养护数据动态展示养护作业进度流程化数据。</w:t>
            </w:r>
          </w:p>
        </w:tc>
        <w:tc>
          <w:tcPr>
            <w:tcW w:w="600" w:type="dxa"/>
            <w:vMerge w:val="continue"/>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579" w:type="dxa"/>
            <w:vMerge w:val="continue"/>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before="150" w:line="185"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210" w:type="dxa"/>
            <w:vAlign w:val="center"/>
          </w:tcPr>
          <w:p>
            <w:pPr>
              <w:spacing w:before="114" w:line="233"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安</w:t>
            </w:r>
            <w:r>
              <w:rPr>
                <w:rFonts w:hint="eastAsia" w:asciiTheme="minorEastAsia" w:hAnsiTheme="minorEastAsia" w:eastAsiaTheme="minorEastAsia" w:cstheme="minorEastAsia"/>
                <w:color w:val="auto"/>
                <w:spacing w:val="6"/>
                <w:sz w:val="24"/>
                <w:szCs w:val="24"/>
              </w:rPr>
              <w:t>全双预防</w:t>
            </w:r>
          </w:p>
        </w:tc>
        <w:tc>
          <w:tcPr>
            <w:tcW w:w="6410" w:type="dxa"/>
            <w:vAlign w:val="center"/>
          </w:tcPr>
          <w:p>
            <w:pPr>
              <w:keepNext w:val="0"/>
              <w:keepLines w:val="0"/>
              <w:pageBreakBefore w:val="0"/>
              <w:widowControl w:val="0"/>
              <w:kinsoku/>
              <w:wordWrap/>
              <w:overflowPunct/>
              <w:topLinePunct w:val="0"/>
              <w:autoSpaceDE/>
              <w:autoSpaceDN/>
              <w:bidi w:val="0"/>
              <w:adjustRightInd/>
              <w:snapToGrid/>
              <w:spacing w:before="15" w:line="231" w:lineRule="auto"/>
              <w:textAlignment w:val="auto"/>
              <w:rPr>
                <w:rFonts w:hint="eastAsia" w:asciiTheme="minorEastAsia" w:hAnsiTheme="minorEastAsia" w:eastAsiaTheme="minorEastAsia" w:cstheme="minorEastAsia"/>
                <w:b w:val="0"/>
                <w:bCs w:val="0"/>
                <w:color w:val="auto"/>
                <w:spacing w:val="7"/>
                <w:sz w:val="24"/>
                <w:szCs w:val="24"/>
                <w:lang w:eastAsia="zh-CN"/>
              </w:rPr>
            </w:pPr>
            <w:r>
              <w:rPr>
                <w:rFonts w:hint="eastAsia" w:asciiTheme="minorEastAsia" w:hAnsiTheme="minorEastAsia" w:eastAsiaTheme="minorEastAsia" w:cstheme="minorEastAsia"/>
                <w:b/>
                <w:bCs/>
                <w:color w:val="auto"/>
                <w:spacing w:val="7"/>
                <w:sz w:val="24"/>
                <w:szCs w:val="24"/>
              </w:rPr>
              <w:t>风险管控</w:t>
            </w:r>
            <w:r>
              <w:rPr>
                <w:rFonts w:hint="eastAsia" w:asciiTheme="minorEastAsia" w:hAnsiTheme="minorEastAsia" w:eastAsiaTheme="minorEastAsia" w:cstheme="minorEastAsia"/>
                <w:b/>
                <w:bCs/>
                <w:color w:val="auto"/>
                <w:spacing w:val="7"/>
                <w:sz w:val="24"/>
                <w:szCs w:val="24"/>
                <w:lang w:eastAsia="zh-CN"/>
              </w:rPr>
              <w:t>：</w:t>
            </w:r>
            <w:r>
              <w:rPr>
                <w:rFonts w:hint="eastAsia" w:asciiTheme="minorEastAsia" w:hAnsiTheme="minorEastAsia" w:eastAsiaTheme="minorEastAsia" w:cstheme="minorEastAsia"/>
                <w:b w:val="0"/>
                <w:bCs w:val="0"/>
                <w:color w:val="auto"/>
                <w:spacing w:val="7"/>
                <w:sz w:val="24"/>
                <w:szCs w:val="24"/>
                <w:lang w:eastAsia="zh-CN"/>
              </w:rPr>
              <w:t>回显研判为风险的数据，并对风险进行措施管控和降级</w:t>
            </w:r>
            <w:r>
              <w:rPr>
                <w:rFonts w:hint="eastAsia" w:asciiTheme="minorEastAsia" w:hAnsiTheme="minorEastAsia" w:cstheme="minorEastAsia"/>
                <w:b w:val="0"/>
                <w:bCs w:val="0"/>
                <w:color w:val="auto"/>
                <w:spacing w:val="7"/>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 w:line="231" w:lineRule="auto"/>
              <w:textAlignment w:val="auto"/>
              <w:rPr>
                <w:rFonts w:hint="eastAsia" w:asciiTheme="minorEastAsia" w:hAnsiTheme="minorEastAsia" w:eastAsiaTheme="minorEastAsia" w:cstheme="minorEastAsia"/>
                <w:b w:val="0"/>
                <w:bCs w:val="0"/>
                <w:color w:val="auto"/>
                <w:spacing w:val="7"/>
                <w:sz w:val="24"/>
                <w:szCs w:val="24"/>
                <w:lang w:eastAsia="zh-CN"/>
              </w:rPr>
            </w:pPr>
            <w:r>
              <w:rPr>
                <w:rFonts w:hint="eastAsia" w:asciiTheme="minorEastAsia" w:hAnsiTheme="minorEastAsia" w:eastAsiaTheme="minorEastAsia" w:cstheme="minorEastAsia"/>
                <w:b/>
                <w:bCs/>
                <w:color w:val="auto"/>
                <w:spacing w:val="7"/>
                <w:sz w:val="24"/>
                <w:szCs w:val="24"/>
              </w:rPr>
              <w:t>隐患查治</w:t>
            </w:r>
            <w:r>
              <w:rPr>
                <w:rFonts w:hint="eastAsia" w:asciiTheme="minorEastAsia" w:hAnsiTheme="minorEastAsia" w:eastAsiaTheme="minorEastAsia" w:cstheme="minorEastAsia"/>
                <w:b/>
                <w:bCs/>
                <w:color w:val="auto"/>
                <w:spacing w:val="7"/>
                <w:sz w:val="24"/>
                <w:szCs w:val="24"/>
                <w:lang w:eastAsia="zh-CN"/>
              </w:rPr>
              <w:t>：</w:t>
            </w:r>
            <w:r>
              <w:rPr>
                <w:rFonts w:hint="eastAsia" w:asciiTheme="minorEastAsia" w:hAnsiTheme="minorEastAsia" w:eastAsiaTheme="minorEastAsia" w:cstheme="minorEastAsia"/>
                <w:b w:val="0"/>
                <w:bCs w:val="0"/>
                <w:color w:val="auto"/>
                <w:spacing w:val="7"/>
                <w:sz w:val="24"/>
                <w:szCs w:val="24"/>
                <w:lang w:eastAsia="zh-CN"/>
              </w:rPr>
              <w:t>回显研判为隐患的巡查记录，对隐患点进行整改</w:t>
            </w:r>
            <w:r>
              <w:rPr>
                <w:rFonts w:hint="eastAsia" w:asciiTheme="minorEastAsia" w:hAnsiTheme="minorEastAsia" w:cstheme="minorEastAsia"/>
                <w:b w:val="0"/>
                <w:bCs w:val="0"/>
                <w:color w:val="auto"/>
                <w:spacing w:val="7"/>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 w:line="231" w:lineRule="auto"/>
              <w:textAlignment w:val="auto"/>
              <w:rPr>
                <w:rFonts w:hint="eastAsia" w:asciiTheme="minorEastAsia" w:hAnsiTheme="minorEastAsia" w:eastAsiaTheme="minorEastAsia" w:cstheme="minorEastAsia"/>
                <w:b w:val="0"/>
                <w:bCs w:val="0"/>
                <w:color w:val="auto"/>
                <w:spacing w:val="7"/>
                <w:sz w:val="24"/>
                <w:szCs w:val="24"/>
                <w:lang w:eastAsia="zh-CN"/>
              </w:rPr>
            </w:pPr>
            <w:r>
              <w:rPr>
                <w:rFonts w:hint="eastAsia" w:asciiTheme="minorEastAsia" w:hAnsiTheme="minorEastAsia" w:eastAsiaTheme="minorEastAsia" w:cstheme="minorEastAsia"/>
                <w:b/>
                <w:bCs/>
                <w:color w:val="auto"/>
                <w:spacing w:val="7"/>
                <w:sz w:val="24"/>
                <w:szCs w:val="24"/>
              </w:rPr>
              <w:t>政策文件</w:t>
            </w:r>
            <w:r>
              <w:rPr>
                <w:rFonts w:hint="eastAsia" w:asciiTheme="minorEastAsia" w:hAnsiTheme="minorEastAsia" w:eastAsiaTheme="minorEastAsia" w:cstheme="minorEastAsia"/>
                <w:b/>
                <w:bCs/>
                <w:color w:val="auto"/>
                <w:spacing w:val="7"/>
                <w:sz w:val="24"/>
                <w:szCs w:val="24"/>
                <w:lang w:eastAsia="zh-CN"/>
              </w:rPr>
              <w:t>：</w:t>
            </w:r>
            <w:r>
              <w:rPr>
                <w:rFonts w:hint="eastAsia" w:asciiTheme="minorEastAsia" w:hAnsiTheme="minorEastAsia" w:eastAsiaTheme="minorEastAsia" w:cstheme="minorEastAsia"/>
                <w:b w:val="0"/>
                <w:bCs w:val="0"/>
                <w:color w:val="auto"/>
                <w:spacing w:val="7"/>
                <w:sz w:val="24"/>
                <w:szCs w:val="24"/>
                <w:lang w:eastAsia="zh-CN"/>
              </w:rPr>
              <w:t>管理安全双预防有关政策文件，对有关文件归档，供指导安全管控和隐患查治正常运行。</w:t>
            </w:r>
          </w:p>
        </w:tc>
        <w:tc>
          <w:tcPr>
            <w:tcW w:w="600" w:type="dxa"/>
            <w:vMerge w:val="continue"/>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579" w:type="dxa"/>
            <w:vMerge w:val="continue"/>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5"/>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（2）APP 端业务管理功能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我的线路</w:t>
            </w:r>
          </w:p>
        </w:tc>
        <w:tc>
          <w:tcPr>
            <w:tcW w:w="6410" w:type="dxa"/>
            <w:vAlign w:val="center"/>
          </w:tcPr>
          <w:p>
            <w:pPr>
              <w:spacing w:before="61" w:line="279" w:lineRule="auto"/>
              <w:ind w:right="1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展示</w:t>
            </w:r>
            <w:r>
              <w:rPr>
                <w:rFonts w:hint="eastAsia" w:asciiTheme="minorEastAsia" w:hAnsiTheme="minorEastAsia" w:eastAsiaTheme="minorEastAsia" w:cstheme="minorEastAsia"/>
                <w:color w:val="auto"/>
                <w:spacing w:val="6"/>
                <w:sz w:val="24"/>
                <w:szCs w:val="24"/>
              </w:rPr>
              <w:t>当前用户的管辖线路(巡查路段、养护路</w:t>
            </w:r>
            <w:r>
              <w:rPr>
                <w:rFonts w:hint="eastAsia" w:asciiTheme="minorEastAsia" w:hAnsiTheme="minorEastAsia" w:eastAsiaTheme="minorEastAsia" w:cstheme="minorEastAsia"/>
                <w:color w:val="auto"/>
                <w:spacing w:val="2"/>
                <w:sz w:val="24"/>
                <w:szCs w:val="24"/>
              </w:rPr>
              <w:t>段、</w:t>
            </w:r>
            <w:r>
              <w:rPr>
                <w:rFonts w:hint="eastAsia" w:asciiTheme="minorEastAsia" w:hAnsiTheme="minorEastAsia" w:cstheme="minorEastAsia"/>
                <w:color w:val="auto"/>
                <w:spacing w:val="2"/>
                <w:sz w:val="24"/>
                <w:szCs w:val="24"/>
                <w:lang w:val="en-US" w:eastAsia="zh-CN"/>
              </w:rPr>
              <w:t>日</w:t>
            </w:r>
            <w:r>
              <w:rPr>
                <w:rFonts w:hint="eastAsia" w:asciiTheme="minorEastAsia" w:hAnsiTheme="minorEastAsia" w:eastAsiaTheme="minorEastAsia" w:cstheme="minorEastAsia"/>
                <w:color w:val="auto"/>
                <w:spacing w:val="2"/>
                <w:sz w:val="24"/>
                <w:szCs w:val="24"/>
              </w:rPr>
              <w:t>常巡查路段)，在管辖线路中可以</w:t>
            </w:r>
            <w:r>
              <w:rPr>
                <w:rFonts w:hint="eastAsia" w:asciiTheme="minorEastAsia" w:hAnsiTheme="minorEastAsia" w:eastAsiaTheme="minorEastAsia" w:cstheme="minorEastAsia"/>
                <w:color w:val="auto"/>
                <w:spacing w:val="1"/>
                <w:sz w:val="24"/>
                <w:szCs w:val="24"/>
              </w:rPr>
              <w:t>增</w:t>
            </w:r>
            <w:r>
              <w:rPr>
                <w:rFonts w:hint="eastAsia" w:asciiTheme="minorEastAsia" w:hAnsiTheme="minorEastAsia" w:eastAsiaTheme="minorEastAsia" w:cstheme="minorEastAsia"/>
                <w:color w:val="auto"/>
                <w:sz w:val="24"/>
                <w:szCs w:val="24"/>
              </w:rPr>
              <w:t>加</w:t>
            </w:r>
            <w:r>
              <w:rPr>
                <w:rFonts w:hint="eastAsia" w:asciiTheme="minorEastAsia" w:hAnsiTheme="minorEastAsia" w:eastAsiaTheme="minorEastAsia" w:cstheme="minorEastAsia"/>
                <w:color w:val="auto"/>
                <w:spacing w:val="8"/>
                <w:sz w:val="24"/>
                <w:szCs w:val="24"/>
              </w:rPr>
              <w:t>该</w:t>
            </w:r>
            <w:r>
              <w:rPr>
                <w:rFonts w:hint="eastAsia" w:asciiTheme="minorEastAsia" w:hAnsiTheme="minorEastAsia" w:eastAsiaTheme="minorEastAsia" w:cstheme="minorEastAsia"/>
                <w:color w:val="auto"/>
                <w:spacing w:val="7"/>
                <w:sz w:val="24"/>
                <w:szCs w:val="24"/>
              </w:rPr>
              <w:t>条线路的巡查单。</w:t>
            </w:r>
          </w:p>
        </w:tc>
        <w:tc>
          <w:tcPr>
            <w:tcW w:w="600" w:type="dxa"/>
            <w:vMerge w:val="restart"/>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579" w:type="dxa"/>
            <w:vMerge w:val="restart"/>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巡查记录</w:t>
            </w:r>
          </w:p>
        </w:tc>
        <w:tc>
          <w:tcPr>
            <w:tcW w:w="6410" w:type="dxa"/>
            <w:vAlign w:val="center"/>
          </w:tcPr>
          <w:p>
            <w:pPr>
              <w:spacing w:before="63" w:line="267" w:lineRule="auto"/>
              <w:ind w:right="25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回</w:t>
            </w:r>
            <w:r>
              <w:rPr>
                <w:rFonts w:hint="eastAsia" w:asciiTheme="minorEastAsia" w:hAnsiTheme="minorEastAsia" w:eastAsiaTheme="minorEastAsia" w:cstheme="minorEastAsia"/>
                <w:color w:val="auto"/>
                <w:spacing w:val="11"/>
                <w:sz w:val="24"/>
                <w:szCs w:val="24"/>
              </w:rPr>
              <w:t>显</w:t>
            </w:r>
            <w:r>
              <w:rPr>
                <w:rFonts w:hint="eastAsia" w:asciiTheme="minorEastAsia" w:hAnsiTheme="minorEastAsia" w:eastAsiaTheme="minorEastAsia" w:cstheme="minorEastAsia"/>
                <w:color w:val="auto"/>
                <w:spacing w:val="7"/>
                <w:sz w:val="24"/>
                <w:szCs w:val="24"/>
              </w:rPr>
              <w:t>展示当前用户的巡查记录(养护巡查记</w:t>
            </w:r>
            <w:r>
              <w:rPr>
                <w:rFonts w:hint="eastAsia" w:asciiTheme="minorEastAsia" w:hAnsiTheme="minorEastAsia" w:eastAsiaTheme="minorEastAsia" w:cstheme="minorEastAsia"/>
                <w:color w:val="auto"/>
                <w:spacing w:val="-3"/>
                <w:sz w:val="24"/>
                <w:szCs w:val="24"/>
              </w:rPr>
              <w:t>录</w:t>
            </w:r>
            <w:r>
              <w:rPr>
                <w:rFonts w:hint="eastAsia" w:asciiTheme="minorEastAsia" w:hAnsiTheme="minorEastAsia" w:eastAsiaTheme="minorEastAsia" w:cstheme="minorEastAsia"/>
                <w:color w:val="auto"/>
                <w:spacing w:val="-2"/>
                <w:sz w:val="24"/>
                <w:szCs w:val="24"/>
              </w:rPr>
              <w:t>、日常巡查记录) 。</w:t>
            </w:r>
          </w:p>
        </w:tc>
        <w:tc>
          <w:tcPr>
            <w:tcW w:w="600" w:type="dxa"/>
            <w:vMerge w:val="continue"/>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579" w:type="dxa"/>
            <w:vMerge w:val="continue"/>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病害研判</w:t>
            </w:r>
          </w:p>
        </w:tc>
        <w:tc>
          <w:tcPr>
            <w:tcW w:w="6410" w:type="dxa"/>
            <w:vAlign w:val="center"/>
          </w:tcPr>
          <w:p>
            <w:pPr>
              <w:spacing w:before="61" w:line="268" w:lineRule="auto"/>
              <w:ind w:right="10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对上报的巡查记录进行业务研判，确定业务归属，业务分为：道路病害、道路风险、道路隐患、道路应急。</w:t>
            </w:r>
          </w:p>
        </w:tc>
        <w:tc>
          <w:tcPr>
            <w:tcW w:w="600" w:type="dxa"/>
            <w:vMerge w:val="continue"/>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579" w:type="dxa"/>
            <w:vMerge w:val="continue"/>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养护作业</w:t>
            </w:r>
          </w:p>
        </w:tc>
        <w:tc>
          <w:tcPr>
            <w:tcW w:w="6410" w:type="dxa"/>
            <w:vAlign w:val="center"/>
          </w:tcPr>
          <w:p>
            <w:pPr>
              <w:spacing w:before="117" w:line="23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16"/>
                <w:sz w:val="24"/>
                <w:szCs w:val="24"/>
              </w:rPr>
              <w:t>对</w:t>
            </w:r>
            <w:r>
              <w:rPr>
                <w:rFonts w:hint="eastAsia" w:asciiTheme="minorEastAsia" w:hAnsiTheme="minorEastAsia" w:eastAsiaTheme="minorEastAsia" w:cstheme="minorEastAsia"/>
                <w:color w:val="auto"/>
                <w:spacing w:val="10"/>
                <w:sz w:val="24"/>
                <w:szCs w:val="24"/>
              </w:rPr>
              <w:t>病</w:t>
            </w:r>
            <w:r>
              <w:rPr>
                <w:rFonts w:hint="eastAsia" w:asciiTheme="minorEastAsia" w:hAnsiTheme="minorEastAsia" w:eastAsiaTheme="minorEastAsia" w:cstheme="minorEastAsia"/>
                <w:color w:val="auto"/>
                <w:spacing w:val="8"/>
                <w:sz w:val="24"/>
                <w:szCs w:val="24"/>
              </w:rPr>
              <w:t>害进行调度，转办，养护</w:t>
            </w:r>
            <w:r>
              <w:rPr>
                <w:rFonts w:hint="eastAsia" w:asciiTheme="minorEastAsia" w:hAnsiTheme="minorEastAsia" w:cstheme="minorEastAsia"/>
                <w:color w:val="auto"/>
                <w:spacing w:val="8"/>
                <w:sz w:val="24"/>
                <w:szCs w:val="24"/>
                <w:lang w:eastAsia="zh-CN"/>
              </w:rPr>
              <w:t>，</w:t>
            </w:r>
            <w:r>
              <w:rPr>
                <w:rFonts w:hint="eastAsia" w:asciiTheme="minorEastAsia" w:hAnsiTheme="minorEastAsia" w:cstheme="minorEastAsia"/>
                <w:color w:val="auto"/>
                <w:spacing w:val="8"/>
                <w:sz w:val="24"/>
                <w:szCs w:val="24"/>
                <w:lang w:val="en-US" w:eastAsia="zh-CN"/>
              </w:rPr>
              <w:t>验收。</w:t>
            </w:r>
          </w:p>
        </w:tc>
        <w:tc>
          <w:tcPr>
            <w:tcW w:w="600" w:type="dxa"/>
            <w:vMerge w:val="continue"/>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579" w:type="dxa"/>
            <w:vMerge w:val="continue"/>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通用功能</w:t>
            </w:r>
          </w:p>
        </w:tc>
        <w:tc>
          <w:tcPr>
            <w:tcW w:w="6410" w:type="dxa"/>
            <w:vAlign w:val="center"/>
          </w:tcPr>
          <w:p>
            <w:pPr>
              <w:spacing w:before="81" w:line="267" w:lineRule="auto"/>
              <w:ind w:right="94"/>
              <w:rPr>
                <w:rFonts w:hint="eastAsia" w:asciiTheme="minorEastAsia" w:hAnsiTheme="minorEastAsia" w:eastAsiaTheme="minorEastAsia" w:cstheme="minorEastAsia"/>
                <w:b/>
                <w:bCs/>
                <w:color w:val="auto"/>
                <w:spacing w:val="7"/>
                <w:sz w:val="24"/>
                <w:szCs w:val="24"/>
              </w:rPr>
            </w:pPr>
            <w:r>
              <w:rPr>
                <w:rFonts w:hint="eastAsia" w:asciiTheme="minorEastAsia" w:hAnsiTheme="minorEastAsia" w:eastAsiaTheme="minorEastAsia" w:cstheme="minorEastAsia"/>
                <w:b/>
                <w:bCs/>
                <w:color w:val="auto"/>
                <w:spacing w:val="13"/>
                <w:sz w:val="24"/>
                <w:szCs w:val="24"/>
              </w:rPr>
              <w:t>综</w:t>
            </w:r>
            <w:r>
              <w:rPr>
                <w:rFonts w:hint="eastAsia" w:asciiTheme="minorEastAsia" w:hAnsiTheme="minorEastAsia" w:eastAsiaTheme="minorEastAsia" w:cstheme="minorEastAsia"/>
                <w:b/>
                <w:bCs/>
                <w:color w:val="auto"/>
                <w:spacing w:val="7"/>
                <w:sz w:val="24"/>
                <w:szCs w:val="24"/>
              </w:rPr>
              <w:t>合查询、新闻中心、我的待办</w:t>
            </w:r>
          </w:p>
          <w:p>
            <w:pPr>
              <w:spacing w:before="81" w:line="267" w:lineRule="auto"/>
              <w:ind w:right="9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数字路产</w:t>
            </w:r>
            <w:r>
              <w:rPr>
                <w:rFonts w:hint="eastAsia" w:asciiTheme="minorEastAsia" w:hAnsiTheme="minorEastAsia" w:cstheme="minorEastAsia"/>
                <w:b/>
                <w:bCs/>
                <w:color w:val="auto"/>
                <w:spacing w:val="7"/>
                <w:sz w:val="24"/>
                <w:szCs w:val="24"/>
                <w:lang w:eastAsia="zh-CN"/>
              </w:rPr>
              <w:t>：</w:t>
            </w:r>
            <w:r>
              <w:rPr>
                <w:rFonts w:hint="eastAsia" w:asciiTheme="minorEastAsia" w:hAnsiTheme="minorEastAsia" w:cstheme="minorEastAsia"/>
                <w:color w:val="auto"/>
                <w:spacing w:val="7"/>
                <w:sz w:val="24"/>
                <w:szCs w:val="24"/>
                <w:lang w:eastAsia="zh-CN"/>
              </w:rPr>
              <w:t>按照路产分类展示路产数据，实时在线采集路产信息；</w:t>
            </w:r>
            <w:r>
              <w:rPr>
                <w:rFonts w:hint="eastAsia" w:asciiTheme="minorEastAsia" w:hAnsiTheme="minorEastAsia" w:eastAsiaTheme="minorEastAsia" w:cstheme="minorEastAsia"/>
                <w:color w:val="auto"/>
                <w:sz w:val="24"/>
                <w:szCs w:val="24"/>
              </w:rPr>
              <w:t xml:space="preserve"> </w:t>
            </w:r>
          </w:p>
          <w:p>
            <w:pPr>
              <w:spacing w:before="81" w:line="267" w:lineRule="auto"/>
              <w:ind w:right="94"/>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pacing w:val="7"/>
                <w:sz w:val="24"/>
                <w:szCs w:val="24"/>
              </w:rPr>
              <w:t>个</w:t>
            </w:r>
            <w:r>
              <w:rPr>
                <w:rFonts w:hint="eastAsia" w:asciiTheme="minorEastAsia" w:hAnsiTheme="minorEastAsia" w:eastAsiaTheme="minorEastAsia" w:cstheme="minorEastAsia"/>
                <w:b/>
                <w:bCs/>
                <w:color w:val="auto"/>
                <w:spacing w:val="6"/>
                <w:sz w:val="24"/>
                <w:szCs w:val="24"/>
              </w:rPr>
              <w:t>人中心</w:t>
            </w:r>
            <w:r>
              <w:rPr>
                <w:rFonts w:hint="eastAsia" w:asciiTheme="minorEastAsia" w:hAnsiTheme="minorEastAsia" w:cstheme="minorEastAsia"/>
                <w:b/>
                <w:bCs/>
                <w:color w:val="auto"/>
                <w:spacing w:val="6"/>
                <w:sz w:val="24"/>
                <w:szCs w:val="24"/>
                <w:lang w:eastAsia="zh-CN"/>
              </w:rPr>
              <w:t>：</w:t>
            </w:r>
            <w:r>
              <w:rPr>
                <w:rFonts w:hint="eastAsia" w:asciiTheme="minorEastAsia" w:hAnsiTheme="minorEastAsia" w:cstheme="minorEastAsia"/>
                <w:color w:val="auto"/>
                <w:spacing w:val="6"/>
                <w:sz w:val="24"/>
                <w:szCs w:val="24"/>
                <w:lang w:eastAsia="zh-CN"/>
              </w:rPr>
              <w:t>展示当前用户信息、对打卡进行设置、修改密码、绑定手机号码、软件更新、帮助中心、退出系统。</w:t>
            </w:r>
          </w:p>
        </w:tc>
        <w:tc>
          <w:tcPr>
            <w:tcW w:w="600" w:type="dxa"/>
            <w:vMerge w:val="continue"/>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579" w:type="dxa"/>
            <w:vMerge w:val="continue"/>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视频监控</w:t>
            </w:r>
          </w:p>
        </w:tc>
        <w:tc>
          <w:tcPr>
            <w:tcW w:w="6410" w:type="dxa"/>
            <w:vAlign w:val="center"/>
          </w:tcPr>
          <w:p>
            <w:pPr>
              <w:spacing w:before="116" w:line="225"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app</w:t>
            </w:r>
            <w:r>
              <w:rPr>
                <w:rFonts w:hint="eastAsia" w:asciiTheme="minorEastAsia" w:hAnsiTheme="minorEastAsia" w:eastAsiaTheme="minorEastAsia" w:cstheme="minorEastAsia"/>
                <w:color w:val="auto"/>
                <w:spacing w:val="3"/>
                <w:sz w:val="24"/>
                <w:szCs w:val="24"/>
              </w:rPr>
              <w:t xml:space="preserve"> 视频监控接</w:t>
            </w:r>
            <w:r>
              <w:rPr>
                <w:rFonts w:hint="eastAsia" w:asciiTheme="minorEastAsia" w:hAnsiTheme="minorEastAsia" w:eastAsiaTheme="minorEastAsia" w:cstheme="minorEastAsia"/>
                <w:color w:val="auto"/>
                <w:spacing w:val="1"/>
                <w:sz w:val="24"/>
                <w:szCs w:val="24"/>
              </w:rPr>
              <w:t>入</w:t>
            </w:r>
          </w:p>
        </w:tc>
        <w:tc>
          <w:tcPr>
            <w:tcW w:w="600" w:type="dxa"/>
            <w:vMerge w:val="continue"/>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579" w:type="dxa"/>
            <w:vMerge w:val="continue"/>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288" w:type="dxa"/>
            <w:gridSpan w:val="5"/>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二、太阳能无线高清路网监控设备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210" w:type="dxa"/>
            <w:vAlign w:val="center"/>
          </w:tcPr>
          <w:p>
            <w:pPr>
              <w:wordWrap w:val="0"/>
              <w:spacing w:line="348"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高清网络球机</w:t>
            </w:r>
          </w:p>
        </w:tc>
        <w:tc>
          <w:tcPr>
            <w:tcW w:w="6410" w:type="dxa"/>
            <w:vAlign w:val="center"/>
          </w:tcPr>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bCs/>
                <w:color w:val="auto"/>
                <w:spacing w:val="6"/>
                <w:sz w:val="24"/>
                <w:szCs w:val="24"/>
                <w:lang w:val="en-US" w:eastAsia="zh-CN"/>
              </w:rPr>
            </w:pPr>
            <w:r>
              <w:rPr>
                <w:rFonts w:hint="eastAsia" w:asciiTheme="minorEastAsia" w:hAnsiTheme="minorEastAsia" w:cstheme="minorEastAsia"/>
                <w:b/>
                <w:bCs/>
                <w:color w:val="auto"/>
                <w:spacing w:val="6"/>
                <w:sz w:val="24"/>
                <w:szCs w:val="24"/>
                <w:lang w:val="en-US" w:eastAsia="zh-CN"/>
              </w:rPr>
              <w:t>产品参数：</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pacing w:val="6"/>
                <w:sz w:val="24"/>
                <w:szCs w:val="24"/>
                <w:lang w:val="en-US" w:eastAsia="zh-CN"/>
              </w:rPr>
            </w:pPr>
            <w:r>
              <w:rPr>
                <w:rFonts w:hint="eastAsia" w:asciiTheme="minorEastAsia" w:hAnsiTheme="minorEastAsia" w:eastAsiaTheme="minorEastAsia" w:cstheme="minorEastAsia"/>
                <w:color w:val="auto"/>
                <w:spacing w:val="6"/>
                <w:sz w:val="24"/>
                <w:szCs w:val="24"/>
                <w:lang w:val="en-US" w:eastAsia="zh-CN"/>
              </w:rPr>
              <w:t xml:space="preserve">• </w:t>
            </w:r>
            <w:r>
              <w:rPr>
                <w:rFonts w:hint="eastAsia" w:asciiTheme="minorEastAsia" w:hAnsiTheme="minorEastAsia" w:eastAsiaTheme="minorEastAsia" w:cstheme="minorEastAsia"/>
                <w:b w:val="0"/>
                <w:bCs w:val="0"/>
                <w:color w:val="auto"/>
                <w:spacing w:val="6"/>
                <w:sz w:val="24"/>
                <w:szCs w:val="24"/>
                <w:lang w:val="en-US" w:eastAsia="zh-CN"/>
              </w:rPr>
              <w:t>感光元件CMOS尺寸＞1/3</w:t>
            </w:r>
            <w:r>
              <w:rPr>
                <w:rFonts w:hint="eastAsia" w:asciiTheme="minorEastAsia" w:hAnsiTheme="minorEastAsia" w:eastAsiaTheme="minorEastAsia" w:cstheme="minorEastAsia"/>
                <w:color w:val="auto"/>
                <w:spacing w:val="6"/>
                <w:kern w:val="1"/>
                <w:sz w:val="24"/>
                <w:szCs w:val="24"/>
                <w:lang w:val="en-US" w:eastAsia="zh-CN" w:bidi="ar-SA"/>
              </w:rPr>
              <w:t>"</w:t>
            </w:r>
            <w:r>
              <w:rPr>
                <w:rFonts w:hint="eastAsia" w:asciiTheme="minorEastAsia" w:hAnsiTheme="minorEastAsia" w:cstheme="minorEastAsia"/>
                <w:b w:val="0"/>
                <w:bCs w:val="0"/>
                <w:color w:val="auto"/>
                <w:spacing w:val="6"/>
                <w:sz w:val="24"/>
                <w:szCs w:val="24"/>
                <w:lang w:val="en-US" w:eastAsia="zh-CN"/>
              </w:rPr>
              <w:t>，</w:t>
            </w:r>
            <w:r>
              <w:rPr>
                <w:rFonts w:hint="eastAsia" w:asciiTheme="minorEastAsia" w:hAnsiTheme="minorEastAsia" w:cstheme="minorEastAsia"/>
                <w:color w:val="auto"/>
                <w:spacing w:val="6"/>
                <w:sz w:val="24"/>
                <w:szCs w:val="24"/>
                <w:lang w:val="en-US" w:eastAsia="zh-CN"/>
              </w:rPr>
              <w:t xml:space="preserve"> 像素≥</w:t>
            </w:r>
            <w:r>
              <w:rPr>
                <w:rFonts w:hint="eastAsia" w:asciiTheme="minorEastAsia" w:hAnsiTheme="minorEastAsia" w:eastAsiaTheme="minorEastAsia" w:cstheme="minorEastAsia"/>
                <w:color w:val="auto"/>
                <w:spacing w:val="6"/>
                <w:sz w:val="24"/>
                <w:szCs w:val="24"/>
                <w:lang w:val="en-US" w:eastAsia="zh-CN"/>
              </w:rPr>
              <w:t xml:space="preserve"> 400万23倍光学变焦镜头，采用高效补光阵列，低功耗，红外补光不低于100m</w:t>
            </w:r>
            <w:r>
              <w:rPr>
                <w:rFonts w:hint="eastAsia" w:asciiTheme="minorEastAsia" w:hAnsiTheme="minorEastAsia" w:cstheme="minorEastAsia"/>
                <w:color w:val="auto"/>
                <w:spacing w:val="6"/>
                <w:sz w:val="24"/>
                <w:szCs w:val="24"/>
                <w:lang w:val="en-US" w:eastAsia="zh-CN"/>
              </w:rPr>
              <w:t>，</w:t>
            </w:r>
            <w:r>
              <w:rPr>
                <w:rFonts w:hint="eastAsia" w:asciiTheme="minorEastAsia" w:hAnsiTheme="minorEastAsia" w:eastAsiaTheme="minorEastAsia" w:cstheme="minorEastAsia"/>
                <w:color w:val="auto"/>
                <w:spacing w:val="6"/>
                <w:sz w:val="24"/>
                <w:szCs w:val="24"/>
                <w:lang w:val="en-US" w:eastAsia="zh-CN"/>
              </w:rPr>
              <w:t>红外球机</w:t>
            </w:r>
            <w:r>
              <w:rPr>
                <w:rFonts w:hint="eastAsia" w:asciiTheme="minorEastAsia" w:hAnsiTheme="minorEastAsia" w:cstheme="minorEastAsia"/>
                <w:color w:val="auto"/>
                <w:spacing w:val="6"/>
                <w:sz w:val="24"/>
                <w:szCs w:val="24"/>
                <w:lang w:val="en-US" w:eastAsia="zh-CN"/>
              </w:rPr>
              <w:t>尺寸≥4寸；</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pacing w:val="6"/>
                <w:sz w:val="24"/>
                <w:szCs w:val="24"/>
                <w:lang w:val="en-US" w:eastAsia="zh-CN"/>
              </w:rPr>
            </w:pPr>
            <w:r>
              <w:rPr>
                <w:rFonts w:hint="eastAsia" w:asciiTheme="minorEastAsia" w:hAnsiTheme="minorEastAsia" w:eastAsiaTheme="minorEastAsia" w:cstheme="minorEastAsia"/>
                <w:color w:val="auto"/>
                <w:spacing w:val="6"/>
                <w:sz w:val="24"/>
                <w:szCs w:val="24"/>
                <w:lang w:val="en-US" w:eastAsia="zh-CN"/>
              </w:rPr>
              <w:t>•最大图像尺寸：2560×1440；</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cstheme="minorEastAsia"/>
                <w:color w:val="auto"/>
                <w:spacing w:val="6"/>
                <w:sz w:val="24"/>
                <w:szCs w:val="24"/>
                <w:lang w:val="en-US" w:eastAsia="zh-CN"/>
              </w:rPr>
            </w:pPr>
            <w:r>
              <w:rPr>
                <w:rFonts w:hint="eastAsia" w:asciiTheme="minorEastAsia" w:hAnsiTheme="minorEastAsia" w:eastAsiaTheme="minorEastAsia" w:cstheme="minorEastAsia"/>
                <w:color w:val="auto"/>
                <w:spacing w:val="6"/>
                <w:sz w:val="24"/>
                <w:szCs w:val="24"/>
                <w:lang w:val="en-US" w:eastAsia="zh-CN"/>
              </w:rPr>
              <w:t>• 支持区域入侵侦测，越界侦测，进入区域侦测和离开区域侦测等智能侦测</w:t>
            </w:r>
            <w:r>
              <w:rPr>
                <w:rFonts w:hint="eastAsia" w:asciiTheme="minorEastAsia" w:hAnsiTheme="minorEastAsia" w:cstheme="minorEastAsia"/>
                <w:color w:val="auto"/>
                <w:spacing w:val="6"/>
                <w:sz w:val="24"/>
                <w:szCs w:val="24"/>
                <w:lang w:val="en-US" w:eastAsia="zh-CN"/>
              </w:rPr>
              <w:t>；</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cstheme="minorEastAsia"/>
                <w:color w:val="auto"/>
                <w:spacing w:val="6"/>
                <w:sz w:val="24"/>
                <w:szCs w:val="24"/>
                <w:lang w:val="en-US" w:eastAsia="zh-CN"/>
              </w:rPr>
            </w:pPr>
            <w:r>
              <w:rPr>
                <w:rFonts w:hint="eastAsia" w:asciiTheme="minorEastAsia" w:hAnsiTheme="minorEastAsia" w:eastAsiaTheme="minorEastAsia" w:cstheme="minorEastAsia"/>
                <w:color w:val="auto"/>
                <w:spacing w:val="6"/>
                <w:sz w:val="24"/>
                <w:szCs w:val="24"/>
                <w:lang w:val="en-US" w:eastAsia="zh-CN"/>
              </w:rPr>
              <w:t>• 适用于农田、森林，河道、水库、矿区、野外等场景</w:t>
            </w:r>
            <w:r>
              <w:rPr>
                <w:rFonts w:hint="eastAsia" w:asciiTheme="minorEastAsia" w:hAnsiTheme="minorEastAsia" w:cstheme="minorEastAsia"/>
                <w:color w:val="auto"/>
                <w:spacing w:val="6"/>
                <w:sz w:val="24"/>
                <w:szCs w:val="24"/>
                <w:lang w:val="en-US" w:eastAsia="zh-CN"/>
              </w:rPr>
              <w:t>；</w:t>
            </w:r>
            <w:r>
              <w:rPr>
                <w:rFonts w:hint="eastAsia" w:asciiTheme="minorEastAsia" w:hAnsiTheme="minorEastAsia" w:eastAsiaTheme="minorEastAsia" w:cstheme="minorEastAsia"/>
                <w:color w:val="auto"/>
                <w:spacing w:val="6"/>
                <w:sz w:val="24"/>
                <w:szCs w:val="24"/>
                <w:lang w:val="en-US" w:eastAsia="zh-CN"/>
              </w:rPr>
              <w:br w:type="textWrapping"/>
            </w:r>
            <w:r>
              <w:rPr>
                <w:rFonts w:hint="eastAsia" w:asciiTheme="minorEastAsia" w:hAnsiTheme="minorEastAsia" w:eastAsiaTheme="minorEastAsia" w:cstheme="minorEastAsia"/>
                <w:color w:val="auto"/>
                <w:spacing w:val="6"/>
                <w:sz w:val="24"/>
                <w:szCs w:val="24"/>
                <w:lang w:val="en-US" w:eastAsia="zh-CN"/>
              </w:rPr>
              <w:t>• 内置加热玻璃，有效除雾</w:t>
            </w:r>
            <w:r>
              <w:rPr>
                <w:rFonts w:hint="eastAsia" w:asciiTheme="minorEastAsia" w:hAnsiTheme="minorEastAsia" w:cstheme="minorEastAsia"/>
                <w:color w:val="auto"/>
                <w:spacing w:val="6"/>
                <w:sz w:val="24"/>
                <w:szCs w:val="24"/>
                <w:lang w:val="en-US" w:eastAsia="zh-CN"/>
              </w:rPr>
              <w:t>；</w:t>
            </w:r>
            <w:r>
              <w:rPr>
                <w:rFonts w:hint="eastAsia" w:asciiTheme="minorEastAsia" w:hAnsiTheme="minorEastAsia" w:eastAsiaTheme="minorEastAsia" w:cstheme="minorEastAsia"/>
                <w:color w:val="auto"/>
                <w:spacing w:val="6"/>
                <w:sz w:val="24"/>
                <w:szCs w:val="24"/>
                <w:lang w:val="en-US" w:eastAsia="zh-CN"/>
              </w:rPr>
              <w:br w:type="textWrapping"/>
            </w:r>
            <w:r>
              <w:rPr>
                <w:rFonts w:hint="eastAsia" w:asciiTheme="minorEastAsia" w:hAnsiTheme="minorEastAsia" w:eastAsiaTheme="minorEastAsia" w:cstheme="minorEastAsia"/>
                <w:color w:val="auto"/>
                <w:spacing w:val="6"/>
                <w:sz w:val="24"/>
                <w:szCs w:val="24"/>
                <w:lang w:val="en-US" w:eastAsia="zh-CN"/>
              </w:rPr>
              <w:t>• 支持超低照度，0.005 Lux @F1.6（彩色），0.001 Lux @F1.6（黑白），0 Lux with IR</w:t>
            </w:r>
            <w:r>
              <w:rPr>
                <w:rFonts w:hint="eastAsia" w:asciiTheme="minorEastAsia" w:hAnsiTheme="minorEastAsia" w:cstheme="minorEastAsia"/>
                <w:color w:val="auto"/>
                <w:spacing w:val="6"/>
                <w:sz w:val="24"/>
                <w:szCs w:val="24"/>
                <w:lang w:val="en-US" w:eastAsia="zh-CN"/>
              </w:rPr>
              <w:t>；</w:t>
            </w:r>
            <w:r>
              <w:rPr>
                <w:rFonts w:hint="eastAsia" w:asciiTheme="minorEastAsia" w:hAnsiTheme="minorEastAsia" w:eastAsiaTheme="minorEastAsia" w:cstheme="minorEastAsia"/>
                <w:color w:val="auto"/>
                <w:spacing w:val="6"/>
                <w:sz w:val="24"/>
                <w:szCs w:val="24"/>
                <w:lang w:val="en-US" w:eastAsia="zh-CN"/>
              </w:rPr>
              <w:br w:type="textWrapping"/>
            </w:r>
            <w:r>
              <w:rPr>
                <w:rFonts w:hint="eastAsia" w:asciiTheme="minorEastAsia" w:hAnsiTheme="minorEastAsia" w:eastAsiaTheme="minorEastAsia" w:cstheme="minorEastAsia"/>
                <w:color w:val="auto"/>
                <w:spacing w:val="6"/>
                <w:sz w:val="24"/>
                <w:szCs w:val="24"/>
                <w:lang w:val="en-US" w:eastAsia="zh-CN"/>
              </w:rPr>
              <w:t>• 支持23倍光学变倍，16倍数字变倍</w:t>
            </w:r>
            <w:r>
              <w:rPr>
                <w:rFonts w:hint="eastAsia" w:asciiTheme="minorEastAsia" w:hAnsiTheme="minorEastAsia" w:cstheme="minorEastAsia"/>
                <w:color w:val="auto"/>
                <w:spacing w:val="6"/>
                <w:sz w:val="24"/>
                <w:szCs w:val="24"/>
                <w:lang w:val="en-US" w:eastAsia="zh-CN"/>
              </w:rPr>
              <w:t>；</w:t>
            </w:r>
            <w:r>
              <w:rPr>
                <w:rFonts w:hint="eastAsia" w:asciiTheme="minorEastAsia" w:hAnsiTheme="minorEastAsia" w:eastAsiaTheme="minorEastAsia" w:cstheme="minorEastAsia"/>
                <w:color w:val="auto"/>
                <w:spacing w:val="6"/>
                <w:sz w:val="24"/>
                <w:szCs w:val="24"/>
                <w:lang w:val="en-US" w:eastAsia="zh-CN"/>
              </w:rPr>
              <w:br w:type="textWrapping"/>
            </w:r>
            <w:r>
              <w:rPr>
                <w:rFonts w:hint="eastAsia" w:asciiTheme="minorEastAsia" w:hAnsiTheme="minorEastAsia" w:eastAsiaTheme="minorEastAsia" w:cstheme="minorEastAsia"/>
                <w:color w:val="auto"/>
                <w:spacing w:val="6"/>
                <w:sz w:val="24"/>
                <w:szCs w:val="24"/>
                <w:lang w:val="en-US" w:eastAsia="zh-CN"/>
              </w:rPr>
              <w:t>• 支持三码流技术，每路码流可独立配置分辨率及帧率</w:t>
            </w:r>
            <w:r>
              <w:rPr>
                <w:rFonts w:hint="eastAsia" w:asciiTheme="minorEastAsia" w:hAnsiTheme="minorEastAsia" w:cstheme="minorEastAsia"/>
                <w:color w:val="auto"/>
                <w:spacing w:val="6"/>
                <w:sz w:val="24"/>
                <w:szCs w:val="24"/>
                <w:lang w:val="en-US" w:eastAsia="zh-CN"/>
              </w:rPr>
              <w:t>；</w:t>
            </w:r>
            <w:r>
              <w:rPr>
                <w:rFonts w:hint="eastAsia" w:asciiTheme="minorEastAsia" w:hAnsiTheme="minorEastAsia" w:eastAsiaTheme="minorEastAsia" w:cstheme="minorEastAsia"/>
                <w:color w:val="auto"/>
                <w:spacing w:val="6"/>
                <w:sz w:val="24"/>
                <w:szCs w:val="24"/>
                <w:lang w:val="en-US" w:eastAsia="zh-CN"/>
              </w:rPr>
              <w:br w:type="textWrapping"/>
            </w:r>
            <w:r>
              <w:rPr>
                <w:rFonts w:hint="eastAsia" w:asciiTheme="minorEastAsia" w:hAnsiTheme="minorEastAsia" w:eastAsiaTheme="minorEastAsia" w:cstheme="minorEastAsia"/>
                <w:color w:val="auto"/>
                <w:spacing w:val="6"/>
                <w:sz w:val="24"/>
                <w:szCs w:val="24"/>
                <w:lang w:val="en-US" w:eastAsia="zh-CN"/>
              </w:rPr>
              <w:t>• 支持3D数字降噪，支持不低于120 dB宽动态</w:t>
            </w:r>
            <w:r>
              <w:rPr>
                <w:rFonts w:hint="eastAsia" w:asciiTheme="minorEastAsia" w:hAnsiTheme="minorEastAsia" w:cstheme="minorEastAsia"/>
                <w:color w:val="auto"/>
                <w:spacing w:val="6"/>
                <w:sz w:val="24"/>
                <w:szCs w:val="24"/>
                <w:lang w:val="en-US" w:eastAsia="zh-CN"/>
              </w:rPr>
              <w:t>；</w:t>
            </w:r>
            <w:r>
              <w:rPr>
                <w:rFonts w:hint="eastAsia" w:asciiTheme="minorEastAsia" w:hAnsiTheme="minorEastAsia" w:eastAsiaTheme="minorEastAsia" w:cstheme="minorEastAsia"/>
                <w:color w:val="auto"/>
                <w:spacing w:val="6"/>
                <w:sz w:val="24"/>
                <w:szCs w:val="24"/>
                <w:lang w:val="en-US" w:eastAsia="zh-CN"/>
              </w:rPr>
              <w:br w:type="textWrapping"/>
            </w:r>
            <w:r>
              <w:rPr>
                <w:rFonts w:hint="eastAsia" w:asciiTheme="minorEastAsia" w:hAnsiTheme="minorEastAsia" w:eastAsiaTheme="minorEastAsia" w:cstheme="minorEastAsia"/>
                <w:color w:val="auto"/>
                <w:spacing w:val="6"/>
                <w:sz w:val="24"/>
                <w:szCs w:val="24"/>
                <w:lang w:val="en-US" w:eastAsia="zh-CN"/>
              </w:rPr>
              <w:t>• 支持定时抓图与事件抓图功能</w:t>
            </w:r>
            <w:r>
              <w:rPr>
                <w:rFonts w:hint="eastAsia" w:asciiTheme="minorEastAsia" w:hAnsiTheme="minorEastAsia" w:cstheme="minorEastAsia"/>
                <w:color w:val="auto"/>
                <w:spacing w:val="6"/>
                <w:sz w:val="24"/>
                <w:szCs w:val="24"/>
                <w:lang w:val="en-US" w:eastAsia="zh-CN"/>
              </w:rPr>
              <w:t>；</w:t>
            </w:r>
            <w:r>
              <w:rPr>
                <w:rFonts w:hint="eastAsia" w:asciiTheme="minorEastAsia" w:hAnsiTheme="minorEastAsia" w:eastAsiaTheme="minorEastAsia" w:cstheme="minorEastAsia"/>
                <w:color w:val="auto"/>
                <w:spacing w:val="6"/>
                <w:sz w:val="24"/>
                <w:szCs w:val="24"/>
                <w:lang w:val="en-US" w:eastAsia="zh-CN"/>
              </w:rPr>
              <w:br w:type="textWrapping"/>
            </w:r>
            <w:r>
              <w:rPr>
                <w:rFonts w:hint="eastAsia" w:asciiTheme="minorEastAsia" w:hAnsiTheme="minorEastAsia" w:eastAsiaTheme="minorEastAsia" w:cstheme="minorEastAsia"/>
                <w:color w:val="auto"/>
                <w:spacing w:val="6"/>
                <w:sz w:val="24"/>
                <w:szCs w:val="24"/>
                <w:lang w:val="en-US" w:eastAsia="zh-CN"/>
              </w:rPr>
              <w:t>• 支持定时任务，一键守望，一键巡航功能</w:t>
            </w:r>
            <w:r>
              <w:rPr>
                <w:rFonts w:hint="eastAsia" w:asciiTheme="minorEastAsia" w:hAnsiTheme="minorEastAsia" w:cstheme="minorEastAsia"/>
                <w:color w:val="auto"/>
                <w:spacing w:val="6"/>
                <w:sz w:val="24"/>
                <w:szCs w:val="24"/>
                <w:lang w:val="en-US" w:eastAsia="zh-CN"/>
              </w:rPr>
              <w:t>；</w:t>
            </w:r>
            <w:r>
              <w:rPr>
                <w:rFonts w:hint="eastAsia" w:asciiTheme="minorEastAsia" w:hAnsiTheme="minorEastAsia" w:eastAsiaTheme="minorEastAsia" w:cstheme="minorEastAsia"/>
                <w:color w:val="auto"/>
                <w:spacing w:val="6"/>
                <w:sz w:val="24"/>
                <w:szCs w:val="24"/>
                <w:lang w:val="en-US" w:eastAsia="zh-CN"/>
              </w:rPr>
              <w:br w:type="textWrapping"/>
            </w:r>
            <w:r>
              <w:rPr>
                <w:rFonts w:hint="eastAsia" w:asciiTheme="minorEastAsia" w:hAnsiTheme="minorEastAsia" w:eastAsiaTheme="minorEastAsia" w:cstheme="minorEastAsia"/>
                <w:color w:val="auto"/>
                <w:spacing w:val="6"/>
                <w:sz w:val="24"/>
                <w:szCs w:val="24"/>
                <w:lang w:val="en-US" w:eastAsia="zh-CN"/>
              </w:rPr>
              <w:t>• 开放型网络视频接口，ISAPI，GB/T28181，ISUP，支持萤石平台接入</w:t>
            </w:r>
            <w:r>
              <w:rPr>
                <w:rFonts w:hint="eastAsia" w:asciiTheme="minorEastAsia" w:hAnsiTheme="minorEastAsia" w:cstheme="minorEastAsia"/>
                <w:color w:val="auto"/>
                <w:spacing w:val="6"/>
                <w:sz w:val="24"/>
                <w:szCs w:val="24"/>
                <w:lang w:val="en-US" w:eastAsia="zh-CN"/>
              </w:rPr>
              <w:t>；</w:t>
            </w:r>
            <w:r>
              <w:rPr>
                <w:rFonts w:hint="eastAsia" w:asciiTheme="minorEastAsia" w:hAnsiTheme="minorEastAsia" w:eastAsiaTheme="minorEastAsia" w:cstheme="minorEastAsia"/>
                <w:color w:val="auto"/>
                <w:spacing w:val="6"/>
                <w:sz w:val="24"/>
                <w:szCs w:val="24"/>
                <w:lang w:val="en-US" w:eastAsia="zh-CN"/>
              </w:rPr>
              <w:br w:type="textWrapping"/>
            </w:r>
            <w:r>
              <w:rPr>
                <w:rFonts w:hint="eastAsia" w:asciiTheme="minorEastAsia" w:hAnsiTheme="minorEastAsia" w:eastAsiaTheme="minorEastAsia" w:cstheme="minorEastAsia"/>
                <w:color w:val="auto"/>
                <w:spacing w:val="6"/>
                <w:sz w:val="24"/>
                <w:szCs w:val="24"/>
                <w:lang w:val="en-US" w:eastAsia="zh-CN"/>
              </w:rPr>
              <w:t>• 最大支持256 GB MicroSD卡存储</w:t>
            </w:r>
            <w:r>
              <w:rPr>
                <w:rFonts w:hint="eastAsia" w:asciiTheme="minorEastAsia" w:hAnsiTheme="minorEastAsia" w:cstheme="minorEastAsia"/>
                <w:color w:val="auto"/>
                <w:spacing w:val="6"/>
                <w:sz w:val="24"/>
                <w:szCs w:val="24"/>
                <w:lang w:val="en-US" w:eastAsia="zh-CN"/>
              </w:rPr>
              <w:t>；</w:t>
            </w:r>
            <w:r>
              <w:rPr>
                <w:rFonts w:hint="eastAsia" w:asciiTheme="minorEastAsia" w:hAnsiTheme="minorEastAsia" w:eastAsiaTheme="minorEastAsia" w:cstheme="minorEastAsia"/>
                <w:color w:val="auto"/>
                <w:spacing w:val="6"/>
                <w:sz w:val="24"/>
                <w:szCs w:val="24"/>
                <w:lang w:val="en-US" w:eastAsia="zh-CN"/>
              </w:rPr>
              <w:br w:type="textWrapping"/>
            </w:r>
            <w:r>
              <w:rPr>
                <w:rFonts w:hint="eastAsia" w:asciiTheme="minorEastAsia" w:hAnsiTheme="minorEastAsia" w:eastAsiaTheme="minorEastAsia" w:cstheme="minorEastAsia"/>
                <w:color w:val="auto"/>
                <w:spacing w:val="6"/>
                <w:sz w:val="24"/>
                <w:szCs w:val="24"/>
                <w:lang w:val="en-US" w:eastAsia="zh-CN"/>
              </w:rPr>
              <w:t>• 支持</w:t>
            </w:r>
            <w:r>
              <w:rPr>
                <w:rFonts w:hint="eastAsia" w:asciiTheme="minorEastAsia" w:hAnsiTheme="minorEastAsia" w:cstheme="minorEastAsia"/>
                <w:color w:val="auto"/>
                <w:spacing w:val="6"/>
                <w:sz w:val="24"/>
                <w:szCs w:val="24"/>
                <w:lang w:val="en-US" w:eastAsia="zh-CN"/>
              </w:rPr>
              <w:t>4</w:t>
            </w:r>
            <w:r>
              <w:rPr>
                <w:rFonts w:hint="eastAsia" w:asciiTheme="minorEastAsia" w:hAnsiTheme="minorEastAsia" w:eastAsiaTheme="minorEastAsia" w:cstheme="minorEastAsia"/>
                <w:color w:val="auto"/>
                <w:spacing w:val="6"/>
                <w:sz w:val="24"/>
                <w:szCs w:val="24"/>
                <w:lang w:val="en-US" w:eastAsia="zh-CN"/>
              </w:rPr>
              <w:t>G（移动、联通、电信）网络传输，兼容3G（移动、联通、电信）</w:t>
            </w:r>
            <w:r>
              <w:rPr>
                <w:rFonts w:hint="eastAsia" w:asciiTheme="minorEastAsia" w:hAnsiTheme="minorEastAsia" w:cstheme="minorEastAsia"/>
                <w:color w:val="auto"/>
                <w:spacing w:val="6"/>
                <w:sz w:val="24"/>
                <w:szCs w:val="24"/>
                <w:lang w:val="en-US" w:eastAsia="zh-CN"/>
              </w:rPr>
              <w:t>；</w:t>
            </w:r>
            <w:r>
              <w:rPr>
                <w:rFonts w:hint="eastAsia" w:asciiTheme="minorEastAsia" w:hAnsiTheme="minorEastAsia" w:eastAsiaTheme="minorEastAsia" w:cstheme="minorEastAsia"/>
                <w:color w:val="auto"/>
                <w:spacing w:val="6"/>
                <w:sz w:val="24"/>
                <w:szCs w:val="24"/>
                <w:lang w:val="en-US" w:eastAsia="zh-CN"/>
              </w:rPr>
              <w:br w:type="textWrapping"/>
            </w:r>
            <w:r>
              <w:rPr>
                <w:rFonts w:hint="eastAsia" w:asciiTheme="minorEastAsia" w:hAnsiTheme="minorEastAsia" w:eastAsiaTheme="minorEastAsia" w:cstheme="minorEastAsia"/>
                <w:color w:val="auto"/>
                <w:spacing w:val="6"/>
                <w:sz w:val="24"/>
                <w:szCs w:val="24"/>
                <w:lang w:val="en-US" w:eastAsia="zh-CN"/>
              </w:rPr>
              <w:t>• 支持485读取电池电量信息并进行OSD叠加</w:t>
            </w:r>
            <w:r>
              <w:rPr>
                <w:rFonts w:hint="eastAsia" w:asciiTheme="minorEastAsia" w:hAnsiTheme="minorEastAsia" w:cstheme="minorEastAsia"/>
                <w:color w:val="auto"/>
                <w:spacing w:val="6"/>
                <w:sz w:val="24"/>
                <w:szCs w:val="24"/>
                <w:lang w:val="en-US" w:eastAsia="zh-CN"/>
              </w:rPr>
              <w:t>；</w:t>
            </w:r>
            <w:r>
              <w:rPr>
                <w:rFonts w:hint="eastAsia" w:asciiTheme="minorEastAsia" w:hAnsiTheme="minorEastAsia" w:eastAsiaTheme="minorEastAsia" w:cstheme="minorEastAsia"/>
                <w:color w:val="auto"/>
                <w:spacing w:val="6"/>
                <w:sz w:val="24"/>
                <w:szCs w:val="24"/>
                <w:lang w:val="en-US" w:eastAsia="zh-CN"/>
              </w:rPr>
              <w:br w:type="textWrapping"/>
            </w:r>
            <w:r>
              <w:rPr>
                <w:rFonts w:hint="eastAsia" w:asciiTheme="minorEastAsia" w:hAnsiTheme="minorEastAsia" w:eastAsiaTheme="minorEastAsia" w:cstheme="minorEastAsia"/>
                <w:color w:val="auto"/>
                <w:spacing w:val="6"/>
                <w:sz w:val="24"/>
                <w:szCs w:val="24"/>
                <w:lang w:val="en-US" w:eastAsia="zh-CN"/>
              </w:rPr>
              <w:t>• 内置可插拔4G NANO物联网卡，此卡定向到互联服务器</w:t>
            </w:r>
            <w:r>
              <w:rPr>
                <w:rFonts w:hint="eastAsia" w:asciiTheme="minorEastAsia" w:hAnsiTheme="minorEastAsia" w:cstheme="minorEastAsia"/>
                <w:color w:val="auto"/>
                <w:spacing w:val="6"/>
                <w:sz w:val="24"/>
                <w:szCs w:val="24"/>
                <w:lang w:val="en-US" w:eastAsia="zh-CN"/>
              </w:rPr>
              <w:t>；</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pacing w:val="6"/>
                <w:sz w:val="24"/>
                <w:szCs w:val="24"/>
                <w:lang w:val="en-US" w:eastAsia="zh-CN"/>
              </w:rPr>
            </w:pPr>
            <w:r>
              <w:rPr>
                <w:rFonts w:hint="eastAsia" w:asciiTheme="minorEastAsia" w:hAnsiTheme="minorEastAsia" w:eastAsiaTheme="minorEastAsia" w:cstheme="minorEastAsia"/>
                <w:color w:val="auto"/>
                <w:spacing w:val="6"/>
                <w:sz w:val="24"/>
                <w:szCs w:val="24"/>
                <w:lang w:val="en-US" w:eastAsia="zh-CN"/>
              </w:rPr>
              <w:t>• 防护等级≥IP66，抗干扰能力强，适用于严酷的电磁环境，符合GB/T17626.2/3/4/5/6四级标准</w:t>
            </w:r>
            <w:r>
              <w:rPr>
                <w:rFonts w:hint="eastAsia" w:asciiTheme="minorEastAsia" w:hAnsiTheme="minorEastAsia" w:cstheme="minorEastAsia"/>
                <w:color w:val="auto"/>
                <w:spacing w:val="6"/>
                <w:sz w:val="24"/>
                <w:szCs w:val="24"/>
                <w:lang w:val="en-US" w:eastAsia="zh-CN"/>
              </w:rPr>
              <w:t>。</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5</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210" w:type="dxa"/>
            <w:vAlign w:val="center"/>
          </w:tcPr>
          <w:p>
            <w:pPr>
              <w:spacing w:before="196" w:line="229"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球机支架</w:t>
            </w:r>
          </w:p>
        </w:tc>
        <w:tc>
          <w:tcPr>
            <w:tcW w:w="6410" w:type="dxa"/>
            <w:vAlign w:val="center"/>
          </w:tcPr>
          <w:p>
            <w:pPr>
              <w:spacing w:before="195" w:line="231" w:lineRule="auto"/>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4"/>
                <w:sz w:val="24"/>
                <w:szCs w:val="24"/>
              </w:rPr>
              <w:t>定制</w:t>
            </w:r>
            <w:r>
              <w:rPr>
                <w:rFonts w:hint="eastAsia" w:asciiTheme="minorEastAsia" w:hAnsiTheme="minorEastAsia" w:cstheme="minorEastAsia"/>
                <w:color w:val="auto"/>
                <w:spacing w:val="4"/>
                <w:sz w:val="24"/>
                <w:szCs w:val="24"/>
                <w:lang w:eastAsia="zh-CN"/>
              </w:rPr>
              <w:t>，</w:t>
            </w:r>
            <w:r>
              <w:rPr>
                <w:rFonts w:hint="eastAsia" w:asciiTheme="minorEastAsia" w:hAnsiTheme="minorEastAsia" w:cstheme="minorEastAsia"/>
                <w:color w:val="auto"/>
                <w:spacing w:val="4"/>
                <w:sz w:val="24"/>
                <w:szCs w:val="24"/>
                <w:lang w:val="en-US" w:eastAsia="zh-CN"/>
              </w:rPr>
              <w:t>符合国标</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5</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210" w:type="dxa"/>
            <w:vAlign w:val="center"/>
          </w:tcPr>
          <w:p>
            <w:pPr>
              <w:spacing w:before="197" w:line="230" w:lineRule="auto"/>
              <w:jc w:val="center"/>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高清网络枪机</w:t>
            </w:r>
          </w:p>
        </w:tc>
        <w:tc>
          <w:tcPr>
            <w:tcW w:w="6410" w:type="dxa"/>
            <w:vAlign w:val="center"/>
          </w:tcPr>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bCs/>
                <w:color w:val="auto"/>
                <w:spacing w:val="6"/>
                <w:kern w:val="1"/>
                <w:sz w:val="24"/>
                <w:szCs w:val="24"/>
                <w:lang w:val="en-US" w:eastAsia="zh-CN" w:bidi="ar-SA"/>
              </w:rPr>
            </w:pPr>
            <w:r>
              <w:rPr>
                <w:rFonts w:hint="eastAsia" w:asciiTheme="minorEastAsia" w:hAnsiTheme="minorEastAsia" w:cstheme="minorEastAsia"/>
                <w:b/>
                <w:bCs/>
                <w:color w:val="auto"/>
                <w:spacing w:val="6"/>
                <w:kern w:val="1"/>
                <w:sz w:val="24"/>
                <w:szCs w:val="24"/>
                <w:lang w:val="en-US" w:eastAsia="zh-CN" w:bidi="ar-SA"/>
              </w:rPr>
              <w:t>产品参数;</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pacing w:val="6"/>
                <w:kern w:val="1"/>
                <w:sz w:val="24"/>
                <w:szCs w:val="24"/>
                <w:lang w:val="en-US" w:eastAsia="zh-CN" w:bidi="ar-SA"/>
              </w:rPr>
            </w:pPr>
            <w:r>
              <w:rPr>
                <w:rFonts w:hint="eastAsia" w:asciiTheme="minorEastAsia" w:hAnsiTheme="minorEastAsia" w:eastAsiaTheme="minorEastAsia" w:cstheme="minorEastAsia"/>
                <w:color w:val="auto"/>
                <w:spacing w:val="6"/>
                <w:kern w:val="1"/>
                <w:sz w:val="24"/>
                <w:szCs w:val="24"/>
                <w:lang w:val="en-US" w:eastAsia="zh-CN" w:bidi="ar-SA"/>
              </w:rPr>
              <w:t>•≥400万像素，最大图像尺寸：2560×1440</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•主码流帧率分辨率：50 Hz：25 fps（2560×1440 , 1920×1080，1280×720）</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•子码流帧率分辨率：50 Hz：25 fps（640×360）</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•视频压缩标准：主码流：H.265/H.264 子码流：H.265/H.264</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•视频压缩码率：32 Kbps~8 Mbps</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•H.264编码标准：Baseline Profile/Main Profile/High Profile</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•H.265编码标准：Main Profile</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highlight w:val="none"/>
                <w:lang w:val="en-US" w:eastAsia="zh-CN" w:bidi="ar-SA"/>
              </w:rPr>
              <w:t>•码率控制：定码率，变码率</w:t>
            </w:r>
            <w:r>
              <w:rPr>
                <w:rFonts w:hint="eastAsia" w:asciiTheme="minorEastAsia" w:hAnsiTheme="minorEastAsia" w:cstheme="minorEastAsia"/>
                <w:color w:val="auto"/>
                <w:spacing w:val="6"/>
                <w:kern w:val="1"/>
                <w:sz w:val="24"/>
                <w:szCs w:val="24"/>
                <w:highlight w:val="none"/>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•ROI：支持主码流设置1个固定区域</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b/>
                <w:bCs/>
                <w:color w:val="auto"/>
                <w:spacing w:val="6"/>
                <w:kern w:val="1"/>
                <w:sz w:val="24"/>
                <w:szCs w:val="24"/>
                <w:lang w:val="en-US" w:eastAsia="zh-CN" w:bidi="ar-SA"/>
              </w:rPr>
              <w:t>smart功能</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•报警触发：移动侦测，非法访问，硬盘错误，网络断开，IP地址冲突</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b/>
                <w:bCs/>
                <w:color w:val="auto"/>
                <w:spacing w:val="6"/>
                <w:kern w:val="1"/>
                <w:sz w:val="24"/>
                <w:szCs w:val="24"/>
                <w:lang w:val="en-US" w:eastAsia="zh-CN" w:bidi="ar-SA"/>
              </w:rPr>
              <w:t>音频</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•音频压缩标准：G.711ulaw/G.711alaw/G.722.1/G.726/MP2L2/PCM/AAC-LC</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•音频压缩码率：64 Kbps（G.711 ulaw/G.711 alaw）/16 Kbps（G.722.1）/16 Kbps（G.726）/32~160 Kbps（MP2L2）/16~64 Kbps（AAC-LC）</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•音频采样率：8 kHz/16 kHz</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•音频环境噪声过滤：支持</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b/>
                <w:bCs/>
                <w:color w:val="auto"/>
                <w:spacing w:val="6"/>
                <w:kern w:val="1"/>
                <w:sz w:val="24"/>
                <w:szCs w:val="24"/>
                <w:lang w:val="en-US" w:eastAsia="zh-CN" w:bidi="ar-SA"/>
              </w:rPr>
              <w:t>网络</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•网络协议：TCP/IP，ICMP，HTTP，DHCP，DNS，RTP，RTSP，NTP，IGMP，QoS，IPv6，UDP</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•同时预览路数：最多6路</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•接口协议（API）：开放型网络视频接口，ISAPI，SDK，GB28181，ISUP5.0</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•用户管理：最多32个用户，可分3级用户权限管理：管理员，操作员，普通用户</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•浏览器：使用插件预览：IE10，IE11 使用本地服务预览：Chrome 57.0+，Firefox 52.0+</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b/>
                <w:bCs/>
                <w:color w:val="auto"/>
                <w:spacing w:val="6"/>
                <w:kern w:val="1"/>
                <w:sz w:val="24"/>
                <w:szCs w:val="24"/>
                <w:lang w:val="en-US" w:eastAsia="zh-CN" w:bidi="ar-SA"/>
              </w:rPr>
              <w:t>图像</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•图像设置：饱和度，亮度，对比度，锐度，AGC，白平衡通过客户端或者浏览器可调；</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•日夜转换模式：白天，夜晚，自动，定时切换</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•图像增强：背光补偿，强光抑制，3D数字降噪</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b/>
                <w:bCs/>
                <w:color w:val="auto"/>
                <w:spacing w:val="6"/>
                <w:kern w:val="1"/>
                <w:sz w:val="24"/>
                <w:szCs w:val="24"/>
                <w:lang w:val="en-US" w:eastAsia="zh-CN" w:bidi="ar-SA"/>
              </w:rPr>
              <w:t>接口</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•音频：1个内置麦克风，1个内置扬声器（-T机型支持）</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•SD卡扩展：内置MicroSD/MicroSDHC/MicroSDXC 插槽，最大可支持256 GB</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•复位：支持</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•网络：1个RJ45 10 M/100 M 自适应以太网口</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b/>
                <w:bCs/>
                <w:color w:val="auto"/>
                <w:spacing w:val="6"/>
                <w:kern w:val="1"/>
                <w:sz w:val="24"/>
                <w:szCs w:val="24"/>
                <w:lang w:val="en-US" w:eastAsia="zh-CN" w:bidi="ar-SA"/>
              </w:rPr>
              <w:t>摄像机</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•传感器类型：1/3" Progressive Scan CMOS</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•最低照度：0.005 Lux @（F1.2，AGC ON），0 Lux with IR</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•快门：1/3 s~1/100,000 s</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•宽动态：数字宽动态</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•日夜切换模式：ICR红外滤片式</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b/>
                <w:bCs/>
                <w:color w:val="auto"/>
                <w:spacing w:val="6"/>
                <w:kern w:val="1"/>
                <w:sz w:val="24"/>
                <w:szCs w:val="24"/>
                <w:lang w:val="en-US" w:eastAsia="zh-CN" w:bidi="ar-SA"/>
              </w:rPr>
              <w:t>镜头</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•焦距&amp;视场角：4 mm，水平视场角：79°，垂直视场角：42.4°，对角视场角：93.3° 6 mm，水平视场角：49.1°，垂直视场角：26.3°，对角视场角：57.2° 8 mm，水平视场角：37.5°，垂直视场角：20.7°，对角视场角：43.3°</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•最大光圈数：≥F1.6</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•镜头尺寸接口：M12</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b/>
                <w:bCs/>
                <w:color w:val="auto"/>
                <w:spacing w:val="6"/>
                <w:kern w:val="1"/>
                <w:sz w:val="24"/>
                <w:szCs w:val="24"/>
                <w:lang w:val="en-US" w:eastAsia="zh-CN" w:bidi="ar-SA"/>
              </w:rPr>
              <w:t>补光</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•补光距离：红外光最远可达30m，白光最远可达30m</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•红外波长范围：不小于850nm</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•防补光过曝：支持防补光过曝开启和关闭，开启下支持自动和手动，手动支持根据距离等级控制补光灯亮度</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•补光灯类型：可切换白光灯、红外灯</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•移动通信参数</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SIM卡类型：Micro SIM（外插）/eSIM，双卡单待</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•4G频段：LTE-FDD：Band1/3/5/8 LTE-TDD：Band34/38/39/40/41</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•4G制式：LTE-TDD/LTE-FDD认证</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b/>
                <w:bCs/>
                <w:color w:val="auto"/>
                <w:spacing w:val="6"/>
                <w:kern w:val="1"/>
                <w:sz w:val="24"/>
                <w:szCs w:val="24"/>
                <w:lang w:val="en-US" w:eastAsia="zh-CN" w:bidi="ar-SA"/>
              </w:rPr>
              <w:t>一般规范</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•联动方式：上传FTP/SD卡，上传中心，录像，抓图，声音报警</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b/>
                <w:bCs/>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•通用功能：心跳，镜像，密码保护，水印技术</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•恢复出厂设置：支持RESET键，客户端或浏览器恢复</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•存储温湿度：-30 °C~60 °C，湿度小于95%（无凝结）</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•启动及工作温湿度：-30 °C~60 °C，湿度小于95%（无凝结）</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•供电方式：DC：12 V ± 25%，支持防反接保护</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•电流及功耗：非-T型号： DC：12 V，0.6 A，最大功耗：7 W -T型号： DC：12 V，0.66 A，最大功耗：8 W</w:t>
            </w:r>
            <w:r>
              <w:rPr>
                <w:rFonts w:hint="eastAsia" w:asciiTheme="minorEastAsia" w:hAnsi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pacing w:val="6"/>
                <w:kern w:val="1"/>
                <w:sz w:val="24"/>
                <w:szCs w:val="24"/>
                <w:lang w:val="en-US" w:eastAsia="zh-CN" w:bidi="ar-SA"/>
              </w:rPr>
              <w:br w:type="textWrapping"/>
            </w:r>
            <w:r>
              <w:rPr>
                <w:rFonts w:hint="eastAsia" w:asciiTheme="minorEastAsia" w:hAnsiTheme="minorEastAsia" w:eastAsiaTheme="minorEastAsia" w:cstheme="minorEastAsia"/>
                <w:color w:val="auto"/>
                <w:spacing w:val="6"/>
                <w:kern w:val="1"/>
                <w:sz w:val="24"/>
                <w:szCs w:val="24"/>
                <w:lang w:val="en-US" w:eastAsia="zh-CN" w:bidi="ar-SA"/>
              </w:rPr>
              <w:t>•电源接口类型：Ø5.5 mm圆口</w:t>
            </w:r>
            <w:r>
              <w:rPr>
                <w:rFonts w:hint="eastAsia" w:asciiTheme="minorEastAsia" w:hAnsiTheme="minorEastAsia" w:cstheme="minorEastAsia"/>
                <w:color w:val="auto"/>
                <w:spacing w:val="6"/>
                <w:kern w:val="1"/>
                <w:sz w:val="24"/>
                <w:szCs w:val="24"/>
                <w:lang w:val="en-US" w:eastAsia="zh-CN" w:bidi="ar-SA"/>
              </w:rPr>
              <w:t>；</w:t>
            </w:r>
          </w:p>
          <w:p>
            <w:pPr>
              <w:pStyle w:val="25"/>
              <w:ind w:left="0" w:leftChars="0" w:firstLine="0" w:firstLineChars="0"/>
              <w:jc w:val="left"/>
              <w:rPr>
                <w:rFonts w:hint="eastAsia" w:asciiTheme="minorEastAsia" w:hAnsiTheme="minorEastAsia" w:eastAsiaTheme="minorEastAsia" w:cstheme="minorEastAsia"/>
                <w:color w:val="auto"/>
                <w:spacing w:val="6"/>
                <w:kern w:val="1"/>
                <w:sz w:val="24"/>
                <w:szCs w:val="24"/>
                <w:lang w:val="en-US" w:eastAsia="zh-CN" w:bidi="ar-SA"/>
              </w:rPr>
            </w:pPr>
            <w:r>
              <w:rPr>
                <w:rFonts w:hint="eastAsia" w:asciiTheme="minorEastAsia" w:hAnsiTheme="minorEastAsia" w:eastAsiaTheme="minorEastAsia" w:cstheme="minorEastAsia"/>
                <w:color w:val="auto"/>
                <w:spacing w:val="6"/>
                <w:kern w:val="1"/>
                <w:sz w:val="24"/>
                <w:szCs w:val="24"/>
                <w:lang w:val="en-US" w:eastAsia="zh-CN" w:bidi="ar-SA"/>
              </w:rPr>
              <w:t>•防护等级≥IP66</w:t>
            </w:r>
            <w:r>
              <w:rPr>
                <w:rFonts w:hint="eastAsia" w:asciiTheme="minorEastAsia" w:hAnsiTheme="minorEastAsia" w:cstheme="minorEastAsia"/>
                <w:color w:val="auto"/>
                <w:spacing w:val="6"/>
                <w:kern w:val="1"/>
                <w:sz w:val="24"/>
                <w:szCs w:val="24"/>
                <w:lang w:val="en-US" w:eastAsia="zh-CN" w:bidi="ar-SA"/>
              </w:rPr>
              <w:t>。</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lang w:val="en-US" w:eastAsia="zh-CN"/>
              </w:rPr>
            </w:pPr>
            <w:r>
              <w:rPr>
                <w:rFonts w:hint="eastAsia" w:asciiTheme="minorEastAsia" w:hAnsiTheme="minorEastAsia" w:eastAsiaTheme="minorEastAsia" w:cstheme="minorEastAsia"/>
                <w:color w:val="auto"/>
                <w:spacing w:val="8"/>
                <w:sz w:val="24"/>
                <w:szCs w:val="24"/>
                <w:lang w:val="en-US" w:eastAsia="zh-CN"/>
              </w:rPr>
              <w:t>鸭舌型安装支架</w:t>
            </w:r>
          </w:p>
        </w:tc>
        <w:tc>
          <w:tcPr>
            <w:tcW w:w="6410" w:type="dxa"/>
            <w:vAlign w:val="center"/>
          </w:tcPr>
          <w:p>
            <w:pPr>
              <w:spacing w:before="225" w:line="192" w:lineRule="auto"/>
              <w:jc w:val="left"/>
              <w:rPr>
                <w:rFonts w:hint="eastAsia" w:asciiTheme="minorEastAsia" w:hAnsiTheme="minorEastAsia" w:eastAsiaTheme="minorEastAsia" w:cstheme="minorEastAsia"/>
                <w:color w:val="auto"/>
                <w:spacing w:val="4"/>
                <w:sz w:val="24"/>
                <w:szCs w:val="24"/>
                <w:lang w:val="en-US" w:eastAsia="zh-CN"/>
              </w:rPr>
            </w:pPr>
            <w:r>
              <w:rPr>
                <w:rFonts w:hint="eastAsia" w:asciiTheme="minorEastAsia" w:hAnsiTheme="minorEastAsia" w:eastAsiaTheme="minorEastAsia" w:cstheme="minorEastAsia"/>
                <w:color w:val="auto"/>
                <w:spacing w:val="4"/>
                <w:sz w:val="24"/>
                <w:szCs w:val="24"/>
              </w:rPr>
              <w:t>定制</w:t>
            </w:r>
            <w:r>
              <w:rPr>
                <w:rFonts w:hint="eastAsia" w:asciiTheme="minorEastAsia" w:hAnsiTheme="minorEastAsia" w:cstheme="minorEastAsia"/>
                <w:color w:val="auto"/>
                <w:spacing w:val="4"/>
                <w:sz w:val="24"/>
                <w:szCs w:val="24"/>
                <w:lang w:eastAsia="zh-CN"/>
              </w:rPr>
              <w:t>，</w:t>
            </w:r>
            <w:r>
              <w:rPr>
                <w:rFonts w:hint="eastAsia" w:asciiTheme="minorEastAsia" w:hAnsiTheme="minorEastAsia" w:cstheme="minorEastAsia"/>
                <w:color w:val="auto"/>
                <w:spacing w:val="4"/>
                <w:sz w:val="24"/>
                <w:szCs w:val="24"/>
                <w:lang w:val="en-US" w:eastAsia="zh-CN"/>
              </w:rPr>
              <w:t>符合国标。</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lang w:val="en-US" w:eastAsia="zh-CN"/>
              </w:rPr>
            </w:pPr>
            <w:r>
              <w:rPr>
                <w:rFonts w:hint="eastAsia" w:asciiTheme="minorEastAsia" w:hAnsiTheme="minorEastAsia" w:eastAsiaTheme="minorEastAsia" w:cstheme="minorEastAsia"/>
                <w:color w:val="auto"/>
                <w:spacing w:val="8"/>
                <w:sz w:val="24"/>
                <w:szCs w:val="24"/>
              </w:rPr>
              <w:t>存储卡</w:t>
            </w:r>
          </w:p>
        </w:tc>
        <w:tc>
          <w:tcPr>
            <w:tcW w:w="6410" w:type="dxa"/>
            <w:vAlign w:val="center"/>
          </w:tcPr>
          <w:p>
            <w:pPr>
              <w:spacing w:before="225" w:line="192" w:lineRule="auto"/>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pacing w:val="4"/>
                <w:sz w:val="24"/>
                <w:szCs w:val="24"/>
              </w:rPr>
              <w:t>25</w:t>
            </w:r>
            <w:r>
              <w:rPr>
                <w:rFonts w:hint="eastAsia" w:asciiTheme="minorEastAsia" w:hAnsiTheme="minorEastAsia" w:eastAsiaTheme="minorEastAsia" w:cstheme="minorEastAsia"/>
                <w:color w:val="auto"/>
                <w:spacing w:val="3"/>
                <w:sz w:val="24"/>
                <w:szCs w:val="24"/>
              </w:rPr>
              <w:t>6</w:t>
            </w:r>
            <w:r>
              <w:rPr>
                <w:rFonts w:hint="eastAsia" w:asciiTheme="minorEastAsia" w:hAnsiTheme="minorEastAsia" w:eastAsiaTheme="minorEastAsia" w:cstheme="minorEastAsia"/>
                <w:color w:val="auto"/>
                <w:sz w:val="24"/>
                <w:szCs w:val="24"/>
              </w:rPr>
              <w:t>G</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jc w:val="center"/>
        </w:trPr>
        <w:tc>
          <w:tcPr>
            <w:tcW w:w="489" w:type="dxa"/>
            <w:vAlign w:val="center"/>
          </w:tcPr>
          <w:p>
            <w:pPr>
              <w:spacing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6</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太阳能发电成 套系统</w:t>
            </w:r>
          </w:p>
        </w:tc>
        <w:tc>
          <w:tcPr>
            <w:tcW w:w="6410" w:type="dxa"/>
            <w:vAlign w:val="center"/>
          </w:tcPr>
          <w:p>
            <w:pPr>
              <w:spacing w:before="73" w:line="284" w:lineRule="auto"/>
              <w:ind w:right="147"/>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6"/>
                <w:kern w:val="1"/>
                <w:sz w:val="24"/>
                <w:szCs w:val="24"/>
                <w:lang w:val="en-US" w:eastAsia="zh-CN" w:bidi="ar-SA"/>
              </w:rPr>
              <w:t>•</w:t>
            </w:r>
            <w:r>
              <w:rPr>
                <w:rFonts w:hint="eastAsia" w:asciiTheme="minorEastAsia" w:hAnsiTheme="minorEastAsia" w:cstheme="minorEastAsia"/>
                <w:color w:val="auto"/>
                <w:spacing w:val="1"/>
                <w:sz w:val="24"/>
                <w:szCs w:val="24"/>
                <w:lang w:val="en-US" w:eastAsia="zh-CN"/>
              </w:rPr>
              <w:t>规格型号：</w:t>
            </w:r>
            <w:r>
              <w:rPr>
                <w:rFonts w:hint="eastAsia" w:asciiTheme="minorEastAsia" w:hAnsiTheme="minorEastAsia" w:eastAsiaTheme="minorEastAsia" w:cstheme="minorEastAsia"/>
                <w:color w:val="auto"/>
                <w:spacing w:val="1"/>
                <w:sz w:val="24"/>
                <w:szCs w:val="24"/>
                <w:lang w:val="en-US" w:eastAsia="zh-CN"/>
              </w:rPr>
              <w:t>2</w:t>
            </w:r>
            <w:r>
              <w:rPr>
                <w:rFonts w:hint="eastAsia" w:asciiTheme="minorEastAsia" w:hAnsiTheme="minorEastAsia" w:eastAsiaTheme="minorEastAsia" w:cstheme="minorEastAsia"/>
                <w:color w:val="auto"/>
                <w:spacing w:val="1"/>
                <w:sz w:val="24"/>
                <w:szCs w:val="24"/>
              </w:rPr>
              <w:t>00</w:t>
            </w:r>
            <w:r>
              <w:rPr>
                <w:rFonts w:hint="eastAsia" w:asciiTheme="minorEastAsia" w:hAnsiTheme="minorEastAsia" w:eastAsiaTheme="minorEastAsia" w:cstheme="minorEastAsia"/>
                <w:color w:val="auto"/>
                <w:sz w:val="24"/>
                <w:szCs w:val="24"/>
              </w:rPr>
              <w:t xml:space="preserve">W </w:t>
            </w: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0AH (可供 12V 球机工作 7 天)</w:t>
            </w:r>
            <w:r>
              <w:rPr>
                <w:rFonts w:hint="eastAsia" w:asciiTheme="minorEastAsia" w:hAnsiTheme="minorEastAsia" w:eastAsiaTheme="minorEastAsia" w:cstheme="minorEastAsia"/>
                <w:color w:val="auto"/>
                <w:sz w:val="24"/>
                <w:szCs w:val="24"/>
                <w:lang w:eastAsia="zh-CN"/>
              </w:rPr>
              <w:t>；</w:t>
            </w:r>
          </w:p>
          <w:p>
            <w:pPr>
              <w:spacing w:before="73" w:line="284" w:lineRule="auto"/>
              <w:ind w:right="147"/>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z w:val="24"/>
                <w:szCs w:val="24"/>
                <w:lang w:val="en-US" w:eastAsia="zh-CN"/>
              </w:rPr>
              <w:t>蓄电池</w:t>
            </w:r>
            <w:r>
              <w:rPr>
                <w:rFonts w:hint="eastAsia" w:asciiTheme="minorEastAsia" w:hAnsiTheme="minorEastAsia" w:eastAsiaTheme="minorEastAsia" w:cstheme="minorEastAsia"/>
                <w:color w:val="auto"/>
                <w:sz w:val="24"/>
                <w:szCs w:val="24"/>
              </w:rPr>
              <w:t>类型：三元聚合物锂离子电池</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容量：120AH，工作电压：9.3V-12.6V </w:t>
            </w:r>
            <w:r>
              <w:rPr>
                <w:rFonts w:hint="eastAsia" w:asciiTheme="minorEastAsia" w:hAnsiTheme="minorEastAsia" w:cstheme="minorEastAsia"/>
                <w:color w:val="auto"/>
                <w:sz w:val="24"/>
                <w:szCs w:val="24"/>
                <w:lang w:eastAsia="zh-CN"/>
              </w:rPr>
              <w:t>；</w:t>
            </w:r>
          </w:p>
          <w:p>
            <w:pPr>
              <w:spacing w:before="73" w:line="284" w:lineRule="auto"/>
              <w:ind w:right="147"/>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z w:val="24"/>
                <w:szCs w:val="24"/>
              </w:rPr>
              <w:t>支持标准充电模式、锂电池专用充电模式 带专用保护板、启动电流70A（±12%），工作温度范围：-45℃，+85℃ ，使用寿命4-5年</w:t>
            </w:r>
            <w:r>
              <w:rPr>
                <w:rFonts w:hint="eastAsia" w:asciiTheme="minorEastAsia" w:hAnsiTheme="minorEastAsia" w:eastAsiaTheme="minorEastAsia" w:cstheme="minorEastAsia"/>
                <w:color w:val="auto"/>
                <w:sz w:val="24"/>
                <w:szCs w:val="24"/>
                <w:lang w:eastAsia="zh-CN"/>
              </w:rPr>
              <w:t>；</w:t>
            </w:r>
          </w:p>
          <w:p>
            <w:pPr>
              <w:spacing w:before="73" w:line="284" w:lineRule="auto"/>
              <w:ind w:right="147"/>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6"/>
                <w:kern w:val="1"/>
                <w:sz w:val="24"/>
                <w:szCs w:val="24"/>
                <w:lang w:val="en-US" w:eastAsia="zh-CN" w:bidi="ar-SA"/>
              </w:rPr>
              <w:t>•</w:t>
            </w:r>
            <w:r>
              <w:rPr>
                <w:rFonts w:hint="eastAsia" w:asciiTheme="minorEastAsia" w:hAnsiTheme="minorEastAsia" w:eastAsiaTheme="minorEastAsia" w:cstheme="minorEastAsia"/>
                <w:color w:val="auto"/>
                <w:sz w:val="24"/>
                <w:szCs w:val="24"/>
                <w:lang w:eastAsia="zh-CN"/>
              </w:rPr>
              <w:t>太阳能数码控制器：智能数显（支持铅酸、胶体、锂电模式），充电电流：10A（±5%） ，工作电压：9V-36V ，功能：防过冲，防过放，模式：交流充电，供电模式：支持5V供电， 接线端子数：不少于6个</w:t>
            </w:r>
            <w:r>
              <w:rPr>
                <w:rFonts w:hint="eastAsia" w:asciiTheme="minorEastAsia" w:hAnsiTheme="minorEastAsia" w:cstheme="minorEastAsia"/>
                <w:color w:val="auto"/>
                <w:sz w:val="24"/>
                <w:szCs w:val="24"/>
                <w:lang w:eastAsia="zh-CN"/>
              </w:rPr>
              <w:t>。</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8</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89" w:type="dxa"/>
            <w:vAlign w:val="center"/>
          </w:tcPr>
          <w:p>
            <w:pPr>
              <w:spacing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7</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监控立杆</w:t>
            </w:r>
          </w:p>
        </w:tc>
        <w:tc>
          <w:tcPr>
            <w:tcW w:w="6410" w:type="dxa"/>
            <w:vAlign w:val="center"/>
          </w:tcPr>
          <w:p>
            <w:pPr>
              <w:spacing w:before="196" w:line="23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4"/>
                <w:sz w:val="24"/>
                <w:szCs w:val="24"/>
                <w:highlight w:val="none"/>
                <w:lang w:val="en-US" w:eastAsia="zh-CN"/>
              </w:rPr>
              <w:t>5</w:t>
            </w:r>
            <w:r>
              <w:rPr>
                <w:rFonts w:hint="eastAsia" w:asciiTheme="minorEastAsia" w:hAnsiTheme="minorEastAsia" w:eastAsiaTheme="minorEastAsia" w:cstheme="minorEastAsia"/>
                <w:color w:val="auto"/>
                <w:spacing w:val="-2"/>
                <w:sz w:val="24"/>
                <w:szCs w:val="24"/>
                <w:highlight w:val="none"/>
              </w:rPr>
              <w:t xml:space="preserve">米 </w:t>
            </w:r>
            <w:r>
              <w:rPr>
                <w:rFonts w:hint="eastAsia" w:asciiTheme="minorEastAsia" w:hAnsiTheme="minorEastAsia" w:eastAsiaTheme="minorEastAsia" w:cstheme="minorEastAsia"/>
                <w:color w:val="auto"/>
                <w:spacing w:val="-2"/>
                <w:sz w:val="24"/>
                <w:szCs w:val="24"/>
              </w:rPr>
              <w:t xml:space="preserve">料厚 </w:t>
            </w:r>
            <w:r>
              <w:rPr>
                <w:rFonts w:hint="eastAsia" w:asciiTheme="minorEastAsia" w:hAnsiTheme="minorEastAsia" w:cstheme="minorEastAsia"/>
                <w:color w:val="auto"/>
                <w:spacing w:val="-2"/>
                <w:sz w:val="24"/>
                <w:szCs w:val="24"/>
                <w:lang w:val="en-US" w:eastAsia="zh-CN"/>
              </w:rPr>
              <w:t>≥</w:t>
            </w:r>
            <w:r>
              <w:rPr>
                <w:rFonts w:hint="eastAsia" w:asciiTheme="minorEastAsia" w:hAnsiTheme="minorEastAsia" w:eastAsiaTheme="minorEastAsia" w:cstheme="minorEastAsia"/>
                <w:color w:val="auto"/>
                <w:spacing w:val="-2"/>
                <w:sz w:val="24"/>
                <w:szCs w:val="24"/>
              </w:rPr>
              <w:t>4MM，通径140MM含 1M 加长支架</w:t>
            </w:r>
            <w:r>
              <w:rPr>
                <w:rFonts w:hint="eastAsia" w:asciiTheme="minorEastAsia" w:hAnsiTheme="minorEastAsia" w:cstheme="minorEastAsia"/>
                <w:color w:val="auto"/>
                <w:spacing w:val="-2"/>
                <w:sz w:val="24"/>
                <w:szCs w:val="24"/>
                <w:lang w:eastAsia="zh-CN"/>
              </w:rPr>
              <w:t>。</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8</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8</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4G 物联网卡</w:t>
            </w:r>
          </w:p>
        </w:tc>
        <w:tc>
          <w:tcPr>
            <w:tcW w:w="6410" w:type="dxa"/>
            <w:vAlign w:val="center"/>
          </w:tcPr>
          <w:p>
            <w:pPr>
              <w:spacing w:before="192" w:line="23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rPr>
              <w:t>每月</w:t>
            </w:r>
            <w:r>
              <w:rPr>
                <w:rFonts w:hint="eastAsia" w:asciiTheme="minorEastAsia" w:hAnsiTheme="minorEastAsia" w:eastAsiaTheme="minorEastAsia" w:cstheme="minorEastAsia"/>
                <w:color w:val="auto"/>
                <w:spacing w:val="-3"/>
                <w:sz w:val="24"/>
                <w:szCs w:val="24"/>
                <w:highlight w:val="none"/>
              </w:rPr>
              <w:t xml:space="preserve"> 30G 流量</w:t>
            </w:r>
            <w:r>
              <w:rPr>
                <w:rFonts w:hint="eastAsia" w:asciiTheme="minorEastAsia" w:hAnsiTheme="minorEastAsia" w:cstheme="minorEastAsia"/>
                <w:color w:val="auto"/>
                <w:spacing w:val="-3"/>
                <w:sz w:val="24"/>
                <w:szCs w:val="24"/>
                <w:highlight w:val="none"/>
                <w:lang w:eastAsia="zh-CN"/>
              </w:rPr>
              <w:t>。</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8</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489" w:type="dxa"/>
            <w:vAlign w:val="center"/>
          </w:tcPr>
          <w:p>
            <w:pPr>
              <w:spacing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9</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地笼预制沙子 石费用及预制</w:t>
            </w:r>
          </w:p>
        </w:tc>
        <w:tc>
          <w:tcPr>
            <w:tcW w:w="6410" w:type="dxa"/>
            <w:vAlign w:val="center"/>
          </w:tcPr>
          <w:p>
            <w:pPr>
              <w:spacing w:before="225" w:line="23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1"/>
                <w:sz w:val="24"/>
                <w:szCs w:val="24"/>
              </w:rPr>
              <w:t>按</w:t>
            </w:r>
            <w:r>
              <w:rPr>
                <w:rFonts w:hint="eastAsia" w:asciiTheme="minorEastAsia" w:hAnsiTheme="minorEastAsia" w:eastAsiaTheme="minorEastAsia" w:cstheme="minorEastAsia"/>
                <w:color w:val="auto"/>
                <w:spacing w:val="8"/>
                <w:sz w:val="24"/>
                <w:szCs w:val="24"/>
              </w:rPr>
              <w:t>需现场预制</w:t>
            </w:r>
            <w:r>
              <w:rPr>
                <w:rFonts w:hint="eastAsia" w:asciiTheme="minorEastAsia" w:hAnsiTheme="minorEastAsia" w:cstheme="minorEastAsia"/>
                <w:color w:val="auto"/>
                <w:spacing w:val="8"/>
                <w:sz w:val="24"/>
                <w:szCs w:val="24"/>
                <w:lang w:eastAsia="zh-CN"/>
              </w:rPr>
              <w:t>。</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8</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10</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lang w:val="en-US" w:eastAsia="zh-CN"/>
              </w:rPr>
            </w:pPr>
            <w:r>
              <w:rPr>
                <w:rFonts w:hint="eastAsia" w:asciiTheme="minorEastAsia" w:hAnsiTheme="minorEastAsia" w:eastAsiaTheme="minorEastAsia" w:cstheme="minorEastAsia"/>
                <w:color w:val="auto"/>
                <w:spacing w:val="8"/>
                <w:sz w:val="24"/>
                <w:szCs w:val="24"/>
              </w:rPr>
              <w:t>电源线</w:t>
            </w:r>
          </w:p>
        </w:tc>
        <w:tc>
          <w:tcPr>
            <w:tcW w:w="64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both"/>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lang w:val="en-US" w:eastAsia="zh-CN"/>
              </w:rPr>
              <w:t>2*1平方铜丝线</w:t>
            </w:r>
            <w:r>
              <w:rPr>
                <w:rFonts w:hint="eastAsia" w:asciiTheme="minorEastAsia" w:hAnsiTheme="minorEastAsia" w:cstheme="minorEastAsia"/>
                <w:color w:val="auto"/>
                <w:spacing w:val="8"/>
                <w:sz w:val="24"/>
                <w:szCs w:val="24"/>
                <w:lang w:val="en-US" w:eastAsia="zh-CN"/>
              </w:rPr>
              <w:t>，</w:t>
            </w:r>
            <w:r>
              <w:rPr>
                <w:rFonts w:hint="eastAsia" w:asciiTheme="minorEastAsia" w:hAnsiTheme="minorEastAsia" w:eastAsiaTheme="minorEastAsia" w:cstheme="minorEastAsia"/>
                <w:color w:val="auto"/>
                <w:spacing w:val="8"/>
                <w:sz w:val="24"/>
                <w:szCs w:val="24"/>
                <w:lang w:val="en-US" w:eastAsia="zh-CN"/>
              </w:rPr>
              <w:t>符合国标</w:t>
            </w:r>
            <w:r>
              <w:rPr>
                <w:rFonts w:hint="eastAsia" w:asciiTheme="minorEastAsia" w:hAnsiTheme="minorEastAsia" w:cstheme="minorEastAsia"/>
                <w:color w:val="auto"/>
                <w:spacing w:val="8"/>
                <w:sz w:val="24"/>
                <w:szCs w:val="24"/>
                <w:lang w:val="en-US" w:eastAsia="zh-CN"/>
              </w:rPr>
              <w:t>。</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8</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11</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视频平台流量 费 (PC 端)</w:t>
            </w:r>
          </w:p>
        </w:tc>
        <w:tc>
          <w:tcPr>
            <w:tcW w:w="6410" w:type="dxa"/>
            <w:vAlign w:val="center"/>
          </w:tcPr>
          <w:p>
            <w:pPr>
              <w:spacing w:before="211" w:line="228" w:lineRule="auto"/>
              <w:rPr>
                <w:rFonts w:hint="default" w:asciiTheme="minorEastAsia" w:hAnsiTheme="minorEastAsia" w:eastAsiaTheme="minorEastAsia" w:cstheme="minorEastAsia"/>
                <w:color w:val="auto"/>
                <w:spacing w:val="15"/>
                <w:sz w:val="24"/>
                <w:szCs w:val="24"/>
                <w:lang w:val="en-US" w:eastAsia="zh-CN"/>
              </w:rPr>
            </w:pPr>
            <w:r>
              <w:rPr>
                <w:rFonts w:hint="eastAsia" w:asciiTheme="minorEastAsia" w:hAnsiTheme="minorEastAsia" w:eastAsiaTheme="minorEastAsia" w:cstheme="minorEastAsia"/>
                <w:color w:val="auto"/>
                <w:spacing w:val="15"/>
                <w:sz w:val="24"/>
                <w:szCs w:val="24"/>
                <w:lang w:val="en-US" w:eastAsia="zh-CN"/>
              </w:rPr>
              <w:t>可视化大屏播放路网监控所产生的流量费</w:t>
            </w:r>
            <w:r>
              <w:rPr>
                <w:rFonts w:hint="eastAsia" w:asciiTheme="minorEastAsia" w:hAnsiTheme="minorEastAsia" w:cstheme="minorEastAsia"/>
                <w:color w:val="auto"/>
                <w:spacing w:val="15"/>
                <w:sz w:val="24"/>
                <w:szCs w:val="24"/>
                <w:lang w:val="en-US" w:eastAsia="zh-CN"/>
              </w:rPr>
              <w:t>用</w:t>
            </w:r>
            <w:r>
              <w:rPr>
                <w:rFonts w:hint="eastAsia" w:asciiTheme="minorEastAsia" w:hAnsiTheme="minorEastAsia" w:eastAsiaTheme="minorEastAsia" w:cstheme="minorEastAsia"/>
                <w:color w:val="auto"/>
                <w:spacing w:val="15"/>
                <w:sz w:val="24"/>
                <w:szCs w:val="24"/>
                <w:lang w:val="en-US" w:eastAsia="zh-CN"/>
              </w:rPr>
              <w:t>，按年计算</w:t>
            </w:r>
            <w:r>
              <w:rPr>
                <w:rFonts w:hint="eastAsia" w:asciiTheme="minorEastAsia" w:hAnsiTheme="minorEastAsia" w:cstheme="minorEastAsia"/>
                <w:color w:val="auto"/>
                <w:spacing w:val="15"/>
                <w:sz w:val="24"/>
                <w:szCs w:val="24"/>
                <w:lang w:val="en-US" w:eastAsia="zh-CN"/>
              </w:rPr>
              <w:t>。</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8</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vAlign w:val="center"/>
          </w:tcPr>
          <w:p>
            <w:pPr>
              <w:spacing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12</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视频平台接入 费 (PC 端)</w:t>
            </w:r>
          </w:p>
        </w:tc>
        <w:tc>
          <w:tcPr>
            <w:tcW w:w="6410" w:type="dxa"/>
            <w:vAlign w:val="center"/>
          </w:tcPr>
          <w:p>
            <w:pPr>
              <w:spacing w:before="211" w:line="228" w:lineRule="auto"/>
              <w:rPr>
                <w:rFonts w:hint="default" w:asciiTheme="minorEastAsia" w:hAnsiTheme="minorEastAsia" w:eastAsiaTheme="minorEastAsia" w:cstheme="minorEastAsia"/>
                <w:color w:val="auto"/>
                <w:spacing w:val="15"/>
                <w:sz w:val="24"/>
                <w:szCs w:val="24"/>
                <w:lang w:val="en-US" w:eastAsia="zh-CN"/>
              </w:rPr>
            </w:pPr>
            <w:r>
              <w:rPr>
                <w:rFonts w:hint="eastAsia" w:asciiTheme="minorEastAsia" w:hAnsiTheme="minorEastAsia" w:eastAsiaTheme="minorEastAsia" w:cstheme="minorEastAsia"/>
                <w:color w:val="auto"/>
                <w:spacing w:val="15"/>
                <w:sz w:val="24"/>
                <w:szCs w:val="24"/>
                <w:lang w:val="en-US" w:eastAsia="zh-CN"/>
              </w:rPr>
              <w:t>路网监控信息接入到四好农村路管养平台，实现监控和电子地图路产数据的融合展示</w:t>
            </w:r>
            <w:r>
              <w:rPr>
                <w:rFonts w:hint="eastAsia" w:asciiTheme="minorEastAsia" w:hAnsiTheme="minorEastAsia" w:cstheme="minorEastAsia"/>
                <w:color w:val="auto"/>
                <w:spacing w:val="15"/>
                <w:sz w:val="24"/>
                <w:szCs w:val="24"/>
                <w:lang w:val="en-US" w:eastAsia="zh-CN"/>
              </w:rPr>
              <w:t>。</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13</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物流费用</w:t>
            </w:r>
          </w:p>
        </w:tc>
        <w:tc>
          <w:tcPr>
            <w:tcW w:w="6410" w:type="dxa"/>
            <w:vAlign w:val="center"/>
          </w:tcPr>
          <w:p>
            <w:pPr>
              <w:spacing w:before="211" w:line="228" w:lineRule="auto"/>
              <w:rPr>
                <w:rFonts w:hint="default" w:asciiTheme="minorEastAsia" w:hAnsiTheme="minorEastAsia" w:eastAsiaTheme="minorEastAsia" w:cstheme="minorEastAsia"/>
                <w:color w:val="auto"/>
                <w:spacing w:val="15"/>
                <w:sz w:val="24"/>
                <w:szCs w:val="24"/>
                <w:lang w:val="en-US" w:eastAsia="zh-CN"/>
              </w:rPr>
            </w:pPr>
            <w:r>
              <w:rPr>
                <w:rFonts w:hint="eastAsia" w:asciiTheme="minorEastAsia" w:hAnsiTheme="minorEastAsia" w:cstheme="minorEastAsia"/>
                <w:color w:val="auto"/>
                <w:spacing w:val="15"/>
                <w:sz w:val="24"/>
                <w:szCs w:val="24"/>
                <w:lang w:val="en-US" w:eastAsia="zh-CN"/>
              </w:rPr>
              <w:t>相关</w:t>
            </w:r>
            <w:r>
              <w:rPr>
                <w:rFonts w:hint="eastAsia" w:asciiTheme="minorEastAsia" w:hAnsiTheme="minorEastAsia" w:eastAsiaTheme="minorEastAsia" w:cstheme="minorEastAsia"/>
                <w:color w:val="auto"/>
                <w:spacing w:val="15"/>
                <w:sz w:val="24"/>
                <w:szCs w:val="24"/>
                <w:lang w:val="en-US" w:eastAsia="zh-CN"/>
              </w:rPr>
              <w:t>设备从工厂到施工现场的费用</w:t>
            </w:r>
            <w:r>
              <w:rPr>
                <w:rFonts w:hint="eastAsia" w:asciiTheme="minorEastAsia" w:hAnsiTheme="minorEastAsia" w:cstheme="minorEastAsia"/>
                <w:color w:val="auto"/>
                <w:spacing w:val="15"/>
                <w:sz w:val="24"/>
                <w:szCs w:val="24"/>
                <w:lang w:val="en-US" w:eastAsia="zh-CN"/>
              </w:rPr>
              <w:t>。</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安装调试费用</w:t>
            </w:r>
          </w:p>
        </w:tc>
        <w:tc>
          <w:tcPr>
            <w:tcW w:w="6410" w:type="dxa"/>
            <w:vAlign w:val="center"/>
          </w:tcPr>
          <w:p>
            <w:pPr>
              <w:spacing w:before="196" w:line="23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4"/>
                <w:sz w:val="24"/>
                <w:szCs w:val="24"/>
              </w:rPr>
              <w:t>安装调试</w:t>
            </w:r>
            <w:r>
              <w:rPr>
                <w:rFonts w:hint="eastAsia" w:asciiTheme="minorEastAsia" w:hAnsiTheme="minorEastAsia" w:eastAsiaTheme="minorEastAsia" w:cstheme="minorEastAsia"/>
                <w:color w:val="auto"/>
                <w:spacing w:val="2"/>
                <w:sz w:val="24"/>
                <w:szCs w:val="24"/>
              </w:rPr>
              <w:t>费用 (含 1 年服务费用)</w:t>
            </w:r>
            <w:r>
              <w:rPr>
                <w:rFonts w:hint="eastAsia" w:asciiTheme="minorEastAsia" w:hAnsiTheme="minorEastAsia" w:cstheme="minorEastAsia"/>
                <w:color w:val="auto"/>
                <w:spacing w:val="2"/>
                <w:sz w:val="24"/>
                <w:szCs w:val="24"/>
                <w:lang w:eastAsia="zh-CN"/>
              </w:rPr>
              <w:t>。</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5"/>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三、指挥中心配套设备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lang w:val="en-US" w:eastAsia="zh-CN"/>
              </w:rPr>
            </w:pPr>
            <w:r>
              <w:rPr>
                <w:rFonts w:hint="eastAsia" w:asciiTheme="minorEastAsia" w:hAnsiTheme="minorEastAsia" w:eastAsiaTheme="minorEastAsia" w:cstheme="minorEastAsia"/>
                <w:color w:val="auto"/>
                <w:spacing w:val="8"/>
                <w:sz w:val="24"/>
                <w:szCs w:val="24"/>
              </w:rPr>
              <w:t>小间距 LED</w:t>
            </w:r>
            <w:r>
              <w:rPr>
                <w:rFonts w:hint="eastAsia" w:asciiTheme="minorEastAsia" w:hAnsiTheme="minorEastAsia" w:cstheme="minorEastAsia"/>
                <w:color w:val="auto"/>
                <w:spacing w:val="8"/>
                <w:sz w:val="24"/>
                <w:szCs w:val="24"/>
                <w:lang w:val="en-US" w:eastAsia="zh-CN"/>
              </w:rPr>
              <w:t>屏</w:t>
            </w:r>
          </w:p>
        </w:tc>
        <w:tc>
          <w:tcPr>
            <w:tcW w:w="6410" w:type="dxa"/>
            <w:vAlign w:val="center"/>
          </w:tcPr>
          <w:p>
            <w:pPr>
              <w:numPr>
                <w:ilvl w:val="0"/>
                <w:numId w:val="3"/>
              </w:num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像素间距：≤1.6mm；</w:t>
            </w:r>
          </w:p>
          <w:p>
            <w:pPr>
              <w:numPr>
                <w:ilvl w:val="0"/>
                <w:numId w:val="3"/>
              </w:num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全彩LED显示屏净尺寸：≥3000mm宽*2025mm高；</w:t>
            </w:r>
          </w:p>
          <w:p>
            <w:pPr>
              <w:numPr>
                <w:ilvl w:val="0"/>
                <w:numId w:val="3"/>
              </w:num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LED封装方式：国产金线/国产铜线；</w:t>
            </w:r>
          </w:p>
          <w:p>
            <w:pPr>
              <w:numPr>
                <w:ilvl w:val="0"/>
                <w:numId w:val="3"/>
              </w:num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像素密度：409600Dots/㎡；</w:t>
            </w:r>
          </w:p>
          <w:p>
            <w:pPr>
              <w:numPr>
                <w:ilvl w:val="0"/>
                <w:numId w:val="3"/>
              </w:num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箱体尺寸：600mm*337.5mm，箱体分辨率：384*216，箱体厚度：≤60mm；</w:t>
            </w:r>
          </w:p>
          <w:p>
            <w:pPr>
              <w:numPr>
                <w:ilvl w:val="0"/>
                <w:numId w:val="3"/>
              </w:num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LED灯珠排列：LED灯内三基色光源采用一字型线性排列，可有效扩大屏幕左右视角范围，确保在可视角度内不发生显示图像偏色现象；</w:t>
            </w:r>
          </w:p>
          <w:p>
            <w:pPr>
              <w:numPr>
                <w:ilvl w:val="0"/>
                <w:numId w:val="3"/>
              </w:num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箱体材质：压铸铝合金材质，箱体重量：≤4.5kg/箱体，箱体间缝隙：≤0.1mm；</w:t>
            </w:r>
          </w:p>
          <w:p>
            <w:pPr>
              <w:numPr>
                <w:ilvl w:val="0"/>
                <w:numId w:val="3"/>
              </w:num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白平衡亮度：≥450cd/㎡；</w:t>
            </w:r>
          </w:p>
          <w:p>
            <w:pPr>
              <w:numPr>
                <w:ilvl w:val="0"/>
                <w:numId w:val="3"/>
              </w:num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对比度：≥6000:1；</w:t>
            </w:r>
          </w:p>
          <w:p>
            <w:pPr>
              <w:numPr>
                <w:ilvl w:val="0"/>
                <w:numId w:val="3"/>
              </w:num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可视角度（水平/垂直）：≥160°/≥140°；</w:t>
            </w:r>
          </w:p>
          <w:p>
            <w:pPr>
              <w:numPr>
                <w:ilvl w:val="0"/>
                <w:numId w:val="3"/>
              </w:num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灰度等级：16384级，14bit；</w:t>
            </w:r>
          </w:p>
          <w:p>
            <w:pPr>
              <w:numPr>
                <w:ilvl w:val="0"/>
                <w:numId w:val="3"/>
              </w:num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刷新频率：≥3840Hz；</w:t>
            </w:r>
          </w:p>
          <w:p>
            <w:pPr>
              <w:numPr>
                <w:ilvl w:val="0"/>
                <w:numId w:val="3"/>
              </w:num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功耗：峰值功耗≤680W/㎡，平均功耗≤230W/㎡；</w:t>
            </w:r>
          </w:p>
          <w:p>
            <w:pPr>
              <w:numPr>
                <w:ilvl w:val="0"/>
                <w:numId w:val="3"/>
              </w:num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色温：2800K-15000K可调；</w:t>
            </w:r>
          </w:p>
          <w:p>
            <w:pPr>
              <w:numPr>
                <w:ilvl w:val="0"/>
                <w:numId w:val="3"/>
              </w:num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发光点中心距偏差：≤1%，亮度均匀性：≥98%；</w:t>
            </w:r>
          </w:p>
          <w:p>
            <w:pPr>
              <w:numPr>
                <w:ilvl w:val="0"/>
                <w:numId w:val="3"/>
              </w:num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色彩处理：281.4万亿，显示颜色：16.7M色；</w:t>
            </w:r>
          </w:p>
          <w:p>
            <w:pPr>
              <w:numPr>
                <w:ilvl w:val="0"/>
                <w:numId w:val="3"/>
              </w:num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平均无故障工作时间MTBF（h）：MTBF≥150000h，平均故障恢复时间MTTR（m）：MTTR≤10m；</w:t>
            </w:r>
          </w:p>
          <w:p>
            <w:pPr>
              <w:numPr>
                <w:ilvl w:val="0"/>
                <w:numId w:val="3"/>
              </w:num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LED使用寿命：≥150000小时；</w:t>
            </w:r>
          </w:p>
          <w:p>
            <w:pPr>
              <w:numPr>
                <w:ilvl w:val="0"/>
                <w:numId w:val="3"/>
              </w:num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连续工作时间：大于7×24小时；</w:t>
            </w:r>
          </w:p>
          <w:p>
            <w:pPr>
              <w:numPr>
                <w:ilvl w:val="0"/>
                <w:numId w:val="3"/>
              </w:num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供电要求：AC110～240V(50/60Hz)；</w:t>
            </w:r>
          </w:p>
          <w:p>
            <w:pPr>
              <w:numPr>
                <w:ilvl w:val="0"/>
                <w:numId w:val="3"/>
              </w:num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速连屏：具有快速连屏功能，更换显示单元、模组、控制卡等，无需再次写入屏体数据参数便可自适应恢复原有数据参数；</w:t>
            </w:r>
          </w:p>
          <w:p>
            <w:pPr>
              <w:numPr>
                <w:ilvl w:val="0"/>
                <w:numId w:val="3"/>
              </w:num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热插拔：具有支持热插拔功能；</w:t>
            </w:r>
          </w:p>
          <w:p>
            <w:pPr>
              <w:numPr>
                <w:ilvl w:val="0"/>
                <w:numId w:val="3"/>
              </w:num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低亮高灰：屏体100%亮度时，16bit灰度；屏体20%亮度时，12bit灰度；</w:t>
            </w:r>
          </w:p>
          <w:p>
            <w:pPr>
              <w:numPr>
                <w:ilvl w:val="0"/>
                <w:numId w:val="3"/>
              </w:num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防护等级：≥IP40；</w:t>
            </w:r>
          </w:p>
          <w:p>
            <w:pPr>
              <w:numPr>
                <w:ilvl w:val="0"/>
                <w:numId w:val="3"/>
              </w:num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防静电：具有静电保护线路，装配静电保护器件；</w:t>
            </w:r>
          </w:p>
          <w:p>
            <w:pPr>
              <w:numPr>
                <w:ilvl w:val="0"/>
                <w:numId w:val="3"/>
              </w:num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响应时间：纳秒级，急速响应不拖尾、无鬼影。</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rPr>
            </w:pPr>
          </w:p>
          <w:p>
            <w:pPr>
              <w:spacing w:line="360" w:lineRule="auto"/>
              <w:jc w:val="center"/>
              <w:rPr>
                <w:rFonts w:hint="eastAsia" w:asciiTheme="minorEastAsia" w:hAnsiTheme="minorEastAsia" w:eastAsiaTheme="minorEastAsia" w:cstheme="minorEastAsia"/>
                <w:color w:val="auto"/>
                <w:sz w:val="24"/>
                <w:szCs w:val="24"/>
              </w:rPr>
            </w:pPr>
          </w:p>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p>
          <w:p>
            <w:pPr>
              <w:spacing w:line="360" w:lineRule="auto"/>
              <w:jc w:val="center"/>
              <w:rPr>
                <w:rFonts w:hint="eastAsia" w:asciiTheme="minorEastAsia" w:hAnsiTheme="minorEastAsia" w:eastAsiaTheme="minorEastAsia" w:cstheme="minorEastAsia"/>
                <w:color w:val="auto"/>
                <w:sz w:val="24"/>
                <w:szCs w:val="24"/>
                <w:lang w:val="en-US" w:eastAsia="zh-CN"/>
              </w:rPr>
            </w:pPr>
          </w:p>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平</w:t>
            </w:r>
            <w:r>
              <w:rPr>
                <w:rFonts w:hint="eastAsia" w:asciiTheme="minorEastAsia" w:hAnsiTheme="minorEastAsia" w:eastAsiaTheme="minorEastAsia" w:cstheme="minorEastAsia"/>
                <w:color w:val="auto"/>
                <w:sz w:val="24"/>
                <w:szCs w:val="24"/>
              </w:rPr>
              <w:t>方</w:t>
            </w:r>
          </w:p>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LED 快装屏发送卡模块</w:t>
            </w:r>
          </w:p>
        </w:tc>
        <w:tc>
          <w:tcPr>
            <w:tcW w:w="6410" w:type="dxa"/>
            <w:vAlign w:val="center"/>
          </w:tcPr>
          <w:p>
            <w:pPr>
              <w:spacing w:before="207" w:line="228"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LED</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5"/>
                <w:sz w:val="24"/>
                <w:szCs w:val="24"/>
              </w:rPr>
              <w:t>视频处理模块控制部分</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LED快装屏</w:t>
            </w:r>
          </w:p>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网络扩展卡模块</w:t>
            </w:r>
          </w:p>
        </w:tc>
        <w:tc>
          <w:tcPr>
            <w:tcW w:w="6410" w:type="dxa"/>
            <w:vAlign w:val="center"/>
          </w:tcPr>
          <w:p>
            <w:pPr>
              <w:spacing w:before="65" w:line="228"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LED</w:t>
            </w:r>
            <w:r>
              <w:rPr>
                <w:rFonts w:hint="eastAsia" w:asciiTheme="minorEastAsia" w:hAnsiTheme="minorEastAsia" w:eastAsiaTheme="minorEastAsia" w:cstheme="minorEastAsia"/>
                <w:color w:val="auto"/>
                <w:spacing w:val="6"/>
                <w:sz w:val="24"/>
                <w:szCs w:val="24"/>
              </w:rPr>
              <w:t xml:space="preserve"> 视频处理模块网络扩展部分</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rPr>
            </w:pPr>
          </w:p>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rPr>
            </w:pPr>
          </w:p>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LED 快装屏配电箱</w:t>
            </w:r>
          </w:p>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(10kw)</w:t>
            </w:r>
          </w:p>
        </w:tc>
        <w:tc>
          <w:tcPr>
            <w:tcW w:w="6410" w:type="dxa"/>
            <w:vAlign w:val="center"/>
          </w:tcPr>
          <w:p>
            <w:pPr>
              <w:spacing w:before="65" w:line="228"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快</w:t>
            </w:r>
            <w:r>
              <w:rPr>
                <w:rFonts w:hint="eastAsia" w:asciiTheme="minorEastAsia" w:hAnsiTheme="minorEastAsia" w:eastAsiaTheme="minorEastAsia" w:cstheme="minorEastAsia"/>
                <w:color w:val="auto"/>
                <w:spacing w:val="8"/>
                <w:sz w:val="24"/>
                <w:szCs w:val="24"/>
              </w:rPr>
              <w:t>装屏超薄配电箱</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rPr>
            </w:pPr>
          </w:p>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rPr>
            </w:pPr>
          </w:p>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LED快装屏模块</w:t>
            </w:r>
          </w:p>
        </w:tc>
        <w:tc>
          <w:tcPr>
            <w:tcW w:w="6410" w:type="dxa"/>
            <w:vAlign w:val="center"/>
          </w:tcPr>
          <w:p>
            <w:pPr>
              <w:spacing w:before="211" w:line="228"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快</w:t>
            </w:r>
            <w:r>
              <w:rPr>
                <w:rFonts w:hint="eastAsia" w:asciiTheme="minorEastAsia" w:hAnsiTheme="minorEastAsia" w:eastAsiaTheme="minorEastAsia" w:cstheme="minorEastAsia"/>
                <w:color w:val="auto"/>
                <w:spacing w:val="8"/>
                <w:sz w:val="24"/>
                <w:szCs w:val="24"/>
              </w:rPr>
              <w:t>装屏模块化安装支架</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真空吸盘</w:t>
            </w:r>
          </w:p>
        </w:tc>
        <w:tc>
          <w:tcPr>
            <w:tcW w:w="6410" w:type="dxa"/>
            <w:vAlign w:val="center"/>
          </w:tcPr>
          <w:p>
            <w:pPr>
              <w:spacing w:before="198" w:line="228"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真</w:t>
            </w:r>
            <w:r>
              <w:rPr>
                <w:rFonts w:hint="eastAsia" w:asciiTheme="minorEastAsia" w:hAnsiTheme="minorEastAsia" w:eastAsiaTheme="minorEastAsia" w:cstheme="minorEastAsia"/>
                <w:color w:val="auto"/>
                <w:spacing w:val="9"/>
                <w:sz w:val="24"/>
                <w:szCs w:val="24"/>
              </w:rPr>
              <w:t>空吸盘，给客户保留，用于后续维修</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电缆</w:t>
            </w:r>
            <w:r>
              <w:rPr>
                <w:rFonts w:hint="eastAsia" w:asciiTheme="minorEastAsia" w:hAnsiTheme="minorEastAsia" w:eastAsiaTheme="minorEastAsia" w:cstheme="minorEastAsia"/>
                <w:color w:val="auto"/>
                <w:spacing w:val="8"/>
                <w:sz w:val="24"/>
                <w:szCs w:val="24"/>
                <w:lang w:val="en-US" w:eastAsia="zh-CN"/>
              </w:rPr>
              <w:t>/</w:t>
            </w:r>
            <w:r>
              <w:rPr>
                <w:rFonts w:hint="eastAsia" w:asciiTheme="minorEastAsia" w:hAnsiTheme="minorEastAsia" w:eastAsiaTheme="minorEastAsia" w:cstheme="minorEastAsia"/>
                <w:color w:val="auto"/>
                <w:spacing w:val="8"/>
                <w:sz w:val="24"/>
                <w:szCs w:val="24"/>
              </w:rPr>
              <w:t>连接线</w:t>
            </w:r>
          </w:p>
        </w:tc>
        <w:tc>
          <w:tcPr>
            <w:tcW w:w="6410" w:type="dxa"/>
            <w:vAlign w:val="center"/>
          </w:tcPr>
          <w:p>
            <w:pPr>
              <w:spacing w:before="55" w:line="258" w:lineRule="auto"/>
              <w:ind w:right="14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LED</w:t>
            </w:r>
            <w:r>
              <w:rPr>
                <w:rFonts w:hint="eastAsia" w:asciiTheme="minorEastAsia" w:hAnsiTheme="minorEastAsia" w:eastAsiaTheme="minorEastAsia" w:cstheme="minorEastAsia"/>
                <w:color w:val="auto"/>
                <w:spacing w:val="7"/>
                <w:sz w:val="24"/>
                <w:szCs w:val="24"/>
              </w:rPr>
              <w:t xml:space="preserve"> 屏到配电箱的强电电缆；网线、传</w:t>
            </w:r>
            <w:r>
              <w:rPr>
                <w:rFonts w:hint="eastAsia" w:asciiTheme="minorEastAsia" w:hAnsiTheme="minorEastAsia" w:eastAsiaTheme="minorEastAsia" w:cstheme="minorEastAsia"/>
                <w:color w:val="auto"/>
                <w:spacing w:val="6"/>
                <w:sz w:val="24"/>
                <w:szCs w:val="24"/>
              </w:rPr>
              <w:t>输</w:t>
            </w:r>
            <w:r>
              <w:rPr>
                <w:rFonts w:hint="eastAsia" w:asciiTheme="minorEastAsia" w:hAnsiTheme="minorEastAsia" w:eastAsiaTheme="minorEastAsia" w:cstheme="minorEastAsia"/>
                <w:color w:val="auto"/>
                <w:spacing w:val="8"/>
                <w:sz w:val="24"/>
                <w:szCs w:val="24"/>
              </w:rPr>
              <w:t>线，控制线</w:t>
            </w:r>
            <w:r>
              <w:rPr>
                <w:rFonts w:hint="eastAsia" w:asciiTheme="minorEastAsia" w:hAnsiTheme="minorEastAsia" w:eastAsiaTheme="minorEastAsia" w:cstheme="minorEastAsia"/>
                <w:color w:val="auto"/>
                <w:spacing w:val="7"/>
                <w:sz w:val="24"/>
                <w:szCs w:val="24"/>
              </w:rPr>
              <w:t>等</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8</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控制电脑</w:t>
            </w:r>
          </w:p>
        </w:tc>
        <w:tc>
          <w:tcPr>
            <w:tcW w:w="6410" w:type="dxa"/>
            <w:vAlign w:val="center"/>
          </w:tcPr>
          <w:p>
            <w:pPr>
              <w:spacing w:before="57" w:line="257" w:lineRule="auto"/>
              <w:ind w:right="197"/>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pacing w:val="4"/>
                <w:sz w:val="24"/>
                <w:szCs w:val="24"/>
                <w:lang w:val="en-US" w:eastAsia="zh-CN"/>
              </w:rPr>
              <w:t>配置不低于</w:t>
            </w:r>
            <w:r>
              <w:rPr>
                <w:rFonts w:hint="eastAsia" w:asciiTheme="minorEastAsia" w:hAnsiTheme="minorEastAsia" w:eastAsiaTheme="minorEastAsia" w:cstheme="minorEastAsia"/>
                <w:color w:val="auto"/>
                <w:sz w:val="24"/>
                <w:szCs w:val="24"/>
              </w:rPr>
              <w:t>I</w:t>
            </w:r>
            <w:r>
              <w:rPr>
                <w:rFonts w:hint="eastAsia" w:asciiTheme="minorEastAsia" w:hAnsiTheme="minorEastAsia" w:eastAsiaTheme="minorEastAsia" w:cstheme="minorEastAsia"/>
                <w:color w:val="auto"/>
                <w:spacing w:val="6"/>
                <w:sz w:val="24"/>
                <w:szCs w:val="24"/>
              </w:rPr>
              <w:t>5-9400</w:t>
            </w:r>
            <w:r>
              <w:rPr>
                <w:rFonts w:hint="eastAsia" w:asciiTheme="minorEastAsia" w:hAnsiTheme="minorEastAsia" w:eastAsiaTheme="minorEastAsia" w:cstheme="minorEastAsia"/>
                <w:color w:val="auto"/>
                <w:spacing w:val="4"/>
                <w:sz w:val="24"/>
                <w:szCs w:val="24"/>
              </w:rPr>
              <w:t xml:space="preserve"> </w:t>
            </w:r>
            <w:r>
              <w:rPr>
                <w:rFonts w:hint="eastAsia" w:asciiTheme="minorEastAsia" w:hAnsiTheme="minorEastAsia" w:eastAsiaTheme="minorEastAsia" w:cstheme="minorEastAsia"/>
                <w:color w:val="auto"/>
                <w:spacing w:val="3"/>
                <w:sz w:val="24"/>
                <w:szCs w:val="24"/>
              </w:rPr>
              <w:t>16</w:t>
            </w:r>
            <w:r>
              <w:rPr>
                <w:rFonts w:hint="eastAsia" w:asciiTheme="minorEastAsia" w:hAnsiTheme="minorEastAsia" w:eastAsiaTheme="minorEastAsia" w:cstheme="minorEastAsia"/>
                <w:color w:val="auto"/>
                <w:sz w:val="24"/>
                <w:szCs w:val="24"/>
              </w:rPr>
              <w:t>G</w:t>
            </w:r>
            <w:r>
              <w:rPr>
                <w:rFonts w:hint="eastAsia" w:asciiTheme="minorEastAsia" w:hAnsiTheme="minorEastAsia" w:eastAsiaTheme="minorEastAsia" w:cstheme="minorEastAsia"/>
                <w:color w:val="auto"/>
                <w:spacing w:val="3"/>
                <w:sz w:val="24"/>
                <w:szCs w:val="24"/>
              </w:rPr>
              <w:t xml:space="preserve"> 256+1</w:t>
            </w:r>
            <w:r>
              <w:rPr>
                <w:rFonts w:hint="eastAsia" w:asciiTheme="minorEastAsia" w:hAnsiTheme="minorEastAsia" w:eastAsiaTheme="minorEastAsia" w:cstheme="minorEastAsia"/>
                <w:color w:val="auto"/>
                <w:sz w:val="24"/>
                <w:szCs w:val="24"/>
              </w:rPr>
              <w:t>T</w:t>
            </w:r>
            <w:r>
              <w:rPr>
                <w:rFonts w:hint="eastAsia" w:asciiTheme="minorEastAsia" w:hAnsiTheme="minorEastAsia" w:eastAsiaTheme="minorEastAsia" w:cstheme="minorEastAsia"/>
                <w:color w:val="auto"/>
                <w:spacing w:val="3"/>
                <w:sz w:val="24"/>
                <w:szCs w:val="24"/>
              </w:rPr>
              <w:t xml:space="preserve"> 2</w:t>
            </w:r>
            <w:r>
              <w:rPr>
                <w:rFonts w:hint="eastAsia" w:asciiTheme="minorEastAsia" w:hAnsiTheme="minorEastAsia" w:eastAsiaTheme="minorEastAsia" w:cstheme="minorEastAsia"/>
                <w:color w:val="auto"/>
                <w:sz w:val="24"/>
                <w:szCs w:val="24"/>
              </w:rPr>
              <w:t>G</w:t>
            </w:r>
            <w:r>
              <w:rPr>
                <w:rFonts w:hint="eastAsia" w:asciiTheme="minorEastAsia" w:hAnsiTheme="minorEastAsia" w:eastAsiaTheme="minorEastAsia" w:cstheme="minorEastAsia"/>
                <w:color w:val="auto"/>
                <w:spacing w:val="3"/>
                <w:sz w:val="24"/>
                <w:szCs w:val="24"/>
              </w:rPr>
              <w:t xml:space="preserve"> 独立显卡 23.8</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屏</w:t>
            </w:r>
            <w:r>
              <w:rPr>
                <w:rFonts w:hint="eastAsia" w:asciiTheme="minorEastAsia" w:hAnsiTheme="minorEastAsia" w:eastAsiaTheme="minorEastAsia" w:cstheme="minorEastAsia"/>
                <w:color w:val="auto"/>
                <w:spacing w:val="3"/>
                <w:sz w:val="24"/>
                <w:szCs w:val="24"/>
              </w:rPr>
              <w:t>幕</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9</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操作电脑</w:t>
            </w:r>
          </w:p>
        </w:tc>
        <w:tc>
          <w:tcPr>
            <w:tcW w:w="6410" w:type="dxa"/>
            <w:vAlign w:val="center"/>
          </w:tcPr>
          <w:p>
            <w:pPr>
              <w:spacing w:before="199" w:line="227" w:lineRule="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pacing w:val="4"/>
                <w:sz w:val="24"/>
                <w:szCs w:val="24"/>
                <w:lang w:val="en-US" w:eastAsia="zh-CN"/>
              </w:rPr>
              <w:t>配置不低于</w:t>
            </w:r>
            <w:r>
              <w:rPr>
                <w:rFonts w:hint="eastAsia" w:asciiTheme="minorEastAsia" w:hAnsiTheme="minorEastAsia" w:eastAsiaTheme="minorEastAsia" w:cstheme="minorEastAsia"/>
                <w:color w:val="auto"/>
                <w:sz w:val="24"/>
                <w:szCs w:val="24"/>
              </w:rPr>
              <w:t>I</w:t>
            </w:r>
            <w:r>
              <w:rPr>
                <w:rFonts w:hint="eastAsia" w:asciiTheme="minorEastAsia" w:hAnsiTheme="minorEastAsia" w:eastAsiaTheme="minorEastAsia" w:cstheme="minorEastAsia"/>
                <w:color w:val="auto"/>
                <w:spacing w:val="4"/>
                <w:sz w:val="24"/>
                <w:szCs w:val="24"/>
              </w:rPr>
              <w:t>5-9400 8</w:t>
            </w:r>
            <w:r>
              <w:rPr>
                <w:rFonts w:hint="eastAsia" w:asciiTheme="minorEastAsia" w:hAnsiTheme="minorEastAsia" w:eastAsiaTheme="minorEastAsia" w:cstheme="minorEastAsia"/>
                <w:color w:val="auto"/>
                <w:sz w:val="24"/>
                <w:szCs w:val="24"/>
              </w:rPr>
              <w:t>G</w:t>
            </w:r>
            <w:r>
              <w:rPr>
                <w:rFonts w:hint="eastAsia" w:asciiTheme="minorEastAsia" w:hAnsiTheme="minorEastAsia" w:eastAsiaTheme="minorEastAsia" w:cstheme="minorEastAsia"/>
                <w:color w:val="auto"/>
                <w:spacing w:val="4"/>
                <w:sz w:val="24"/>
                <w:szCs w:val="24"/>
              </w:rPr>
              <w:t xml:space="preserve"> 1</w:t>
            </w:r>
            <w:r>
              <w:rPr>
                <w:rFonts w:hint="eastAsia" w:asciiTheme="minorEastAsia" w:hAnsiTheme="minorEastAsia" w:eastAsiaTheme="minorEastAsia" w:cstheme="minorEastAsia"/>
                <w:color w:val="auto"/>
                <w:sz w:val="24"/>
                <w:szCs w:val="24"/>
              </w:rPr>
              <w:t>T</w:t>
            </w:r>
            <w:r>
              <w:rPr>
                <w:rFonts w:hint="eastAsia" w:asciiTheme="minorEastAsia" w:hAnsiTheme="minorEastAsia" w:eastAsiaTheme="minorEastAsia" w:cstheme="minorEastAsia"/>
                <w:color w:val="auto"/>
                <w:spacing w:val="4"/>
                <w:sz w:val="24"/>
                <w:szCs w:val="24"/>
              </w:rPr>
              <w:t xml:space="preserve"> 集成显卡 21.5 </w:t>
            </w:r>
            <w:r>
              <w:rPr>
                <w:rFonts w:hint="eastAsia" w:asciiTheme="minorEastAsia" w:hAnsiTheme="minorEastAsia" w:eastAsiaTheme="minorEastAsia" w:cstheme="minorEastAsia"/>
                <w:color w:val="auto"/>
                <w:spacing w:val="3"/>
                <w:sz w:val="24"/>
                <w:szCs w:val="24"/>
              </w:rPr>
              <w:t>屏</w:t>
            </w:r>
            <w:r>
              <w:rPr>
                <w:rFonts w:hint="eastAsia" w:asciiTheme="minorEastAsia" w:hAnsiTheme="minorEastAsia" w:eastAsiaTheme="minorEastAsia" w:cstheme="minorEastAsia"/>
                <w:color w:val="auto"/>
                <w:sz w:val="24"/>
                <w:szCs w:val="24"/>
              </w:rPr>
              <w:t>幕</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cstheme="minorEastAsia"/>
                <w:color w:val="auto"/>
                <w:sz w:val="24"/>
                <w:szCs w:val="24"/>
                <w:lang w:val="en-US" w:eastAsia="zh-CN"/>
              </w:rPr>
              <w:t>0</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操作台</w:t>
            </w:r>
          </w:p>
        </w:tc>
        <w:tc>
          <w:tcPr>
            <w:tcW w:w="6410" w:type="dxa"/>
            <w:vAlign w:val="center"/>
          </w:tcPr>
          <w:p>
            <w:pPr>
              <w:spacing w:before="199" w:line="228"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三联操作台</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cstheme="minorEastAsia"/>
                <w:color w:val="auto"/>
                <w:sz w:val="24"/>
                <w:szCs w:val="24"/>
                <w:lang w:val="en-US" w:eastAsia="zh-CN"/>
              </w:rPr>
              <w:t>1</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会议系统</w:t>
            </w:r>
          </w:p>
        </w:tc>
        <w:tc>
          <w:tcPr>
            <w:tcW w:w="6410" w:type="dxa"/>
            <w:vAlign w:val="center"/>
          </w:tcPr>
          <w:p>
            <w:pPr>
              <w:spacing w:before="54" w:line="227" w:lineRule="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kern w:val="1"/>
                <w:sz w:val="24"/>
                <w:szCs w:val="24"/>
                <w:lang w:val="en-US" w:eastAsia="zh-CN" w:bidi="ar-SA"/>
              </w:rPr>
              <w:t>包括会议系统主机、</w:t>
            </w:r>
            <w:r>
              <w:rPr>
                <w:rFonts w:hint="eastAsia" w:asciiTheme="minorEastAsia" w:hAnsiTheme="minorEastAsia" w:eastAsiaTheme="minorEastAsia" w:cstheme="minorEastAsia"/>
                <w:color w:val="auto"/>
                <w:spacing w:val="9"/>
                <w:sz w:val="24"/>
                <w:szCs w:val="24"/>
              </w:rPr>
              <w:t>会议单元、会议软件、调</w:t>
            </w:r>
          </w:p>
          <w:p>
            <w:pPr>
              <w:spacing w:before="54" w:line="227" w:lineRule="auto"/>
              <w:rPr>
                <w:rFonts w:hint="default"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spacing w:val="6"/>
                <w:sz w:val="24"/>
                <w:szCs w:val="24"/>
              </w:rPr>
              <w:t>音台、</w:t>
            </w:r>
            <w:r>
              <w:rPr>
                <w:rFonts w:hint="eastAsia" w:asciiTheme="minorEastAsia" w:hAnsiTheme="minorEastAsia" w:eastAsiaTheme="minorEastAsia" w:cstheme="minorEastAsia"/>
                <w:color w:val="auto"/>
                <w:spacing w:val="4"/>
                <w:sz w:val="24"/>
                <w:szCs w:val="24"/>
              </w:rPr>
              <w:t>功</w:t>
            </w:r>
            <w:r>
              <w:rPr>
                <w:rFonts w:hint="eastAsia" w:asciiTheme="minorEastAsia" w:hAnsiTheme="minorEastAsia" w:eastAsiaTheme="minorEastAsia" w:cstheme="minorEastAsia"/>
                <w:color w:val="auto"/>
                <w:spacing w:val="3"/>
                <w:sz w:val="24"/>
                <w:szCs w:val="24"/>
              </w:rPr>
              <w:t>放、电源时序器、音频反馈拟制</w:t>
            </w:r>
            <w:r>
              <w:rPr>
                <w:rFonts w:hint="eastAsia" w:asciiTheme="minorEastAsia" w:hAnsiTheme="minorEastAsia" w:eastAsiaTheme="minorEastAsia" w:cstheme="minorEastAsia"/>
                <w:color w:val="auto"/>
                <w:sz w:val="24"/>
                <w:szCs w:val="24"/>
              </w:rPr>
              <w:t>器</w:t>
            </w:r>
          </w:p>
          <w:p>
            <w:pPr>
              <w:spacing w:before="54" w:line="227" w:lineRule="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会议系统主机：1.自带（240*128）LCD点阵屏幕显示工作内容，独立按键化操作；</w:t>
            </w:r>
          </w:p>
          <w:p>
            <w:pPr>
              <w:spacing w:before="54" w:line="227" w:lineRule="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2.采用数字无线音频、数字控制技术，实现声音信号，高保真、信噪比高，无延时传输；</w:t>
            </w:r>
          </w:p>
          <w:p>
            <w:pPr>
              <w:spacing w:before="54" w:line="227" w:lineRule="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3.具有一键扫频功能，通过扫描使用环境，自动选择无干扰频段，并内置发言通道监控功能，可查看干扰信号强度以及有效信号强度；</w:t>
            </w:r>
          </w:p>
          <w:p>
            <w:pPr>
              <w:spacing w:before="54" w:line="227" w:lineRule="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4.系统可接入不低于99个单元话筒，支持会议讨论、视像跟踪等功能，采用两种会议模式：轮替模式和限制模式；</w:t>
            </w:r>
          </w:p>
          <w:p>
            <w:pPr>
              <w:spacing w:before="54" w:line="227" w:lineRule="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5.支持USB录音功能，按键化的操作方式，快速对会议内容进行记录；</w:t>
            </w:r>
          </w:p>
          <w:p>
            <w:pPr>
              <w:spacing w:before="54" w:line="227" w:lineRule="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6.内置一路RS-232、一路RS-485视频控制输出接口，支持派尔高-P，派尔高-D，VISCA控制协议，完成视像跟踪功能；</w:t>
            </w:r>
          </w:p>
          <w:p>
            <w:pPr>
              <w:spacing w:before="54" w:line="227" w:lineRule="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7.标配有视频矩阵，可直接控制不低于4个摄像球的视频切换，并支持不低于2路视频同步监控输出；</w:t>
            </w:r>
          </w:p>
          <w:p>
            <w:pPr>
              <w:spacing w:before="54" w:line="227" w:lineRule="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8.内置反馈抑制功能，能有效大幅降低啸叫程度，保证会议的顺利进行；</w:t>
            </w:r>
          </w:p>
          <w:p>
            <w:pPr>
              <w:spacing w:before="54" w:line="227" w:lineRule="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9.内置电量监视功能，当无线会议话筒出现电量不足的情况下，会议主机界面及话筒界面均有提示；</w:t>
            </w:r>
          </w:p>
          <w:p>
            <w:pPr>
              <w:spacing w:before="54" w:line="227" w:lineRule="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10.采用全新数字技术为核心，内置高性能CPU，可实现CUP多机纠错和加密扰码，更好的抵抗电磁、手机等干扰；</w:t>
            </w:r>
          </w:p>
          <w:p>
            <w:pPr>
              <w:spacing w:before="54" w:line="227" w:lineRule="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11.控制及音频信号皆采用无线信号通讯，无需繁琐布线，信号覆盖范围内可自由移动，使会场布置更加灵活；</w:t>
            </w:r>
          </w:p>
          <w:p>
            <w:pPr>
              <w:spacing w:before="54" w:line="227" w:lineRule="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技术参数：</w:t>
            </w:r>
          </w:p>
          <w:p>
            <w:pPr>
              <w:spacing w:before="54" w:line="227" w:lineRule="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1.屏幕尺寸：240mm*128mmLCD点阵屏幕</w:t>
            </w:r>
          </w:p>
          <w:p>
            <w:pPr>
              <w:spacing w:before="54" w:line="227" w:lineRule="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2.音频响应：50HZ—15KHZ</w:t>
            </w:r>
          </w:p>
          <w:p>
            <w:pPr>
              <w:spacing w:before="54" w:line="227" w:lineRule="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3.接收灵敏度：-105dBM</w:t>
            </w:r>
          </w:p>
          <w:p>
            <w:pPr>
              <w:spacing w:before="54" w:line="227" w:lineRule="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4.信噪比:S/N：&gt;85dB</w:t>
            </w:r>
          </w:p>
          <w:p>
            <w:pPr>
              <w:spacing w:before="54" w:line="227" w:lineRule="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5.失真度THD：&lt;0.01%</w:t>
            </w:r>
          </w:p>
          <w:p>
            <w:pPr>
              <w:spacing w:before="54" w:line="227" w:lineRule="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6.接收有效距离：无障碍直线60米</w:t>
            </w:r>
          </w:p>
          <w:p>
            <w:pPr>
              <w:spacing w:before="54" w:line="227" w:lineRule="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7.载波频率：UHF600MHz-840MHz</w:t>
            </w:r>
          </w:p>
          <w:p>
            <w:pPr>
              <w:spacing w:before="54" w:line="227" w:lineRule="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8.频率稳定度：+-0.001%</w:t>
            </w:r>
          </w:p>
          <w:p>
            <w:pPr>
              <w:spacing w:before="54" w:line="227" w:lineRule="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9.频率间隔：250MHz</w:t>
            </w:r>
          </w:p>
          <w:p>
            <w:pPr>
              <w:spacing w:before="54" w:line="227" w:lineRule="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10.工作电压：DC 12V-14V</w:t>
            </w:r>
          </w:p>
          <w:p>
            <w:pPr>
              <w:spacing w:before="54" w:line="227" w:lineRule="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11.工作电流：600mAh</w:t>
            </w:r>
          </w:p>
          <w:p>
            <w:p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会议单元</w:t>
            </w:r>
            <w:r>
              <w:rPr>
                <w:rFonts w:hint="eastAsia" w:asciiTheme="minorEastAsia" w:hAnsiTheme="minorEastAsia" w:cstheme="minorEastAsia"/>
                <w:color w:val="auto"/>
                <w:kern w:val="1"/>
                <w:sz w:val="24"/>
                <w:szCs w:val="24"/>
                <w:lang w:val="en-US" w:eastAsia="zh-CN" w:bidi="ar-SA"/>
              </w:rPr>
              <w:t>：1.自带数字LCD显示屏，配合电量监视功能，实时显示电池电量；</w:t>
            </w:r>
          </w:p>
          <w:p>
            <w:p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2.主席话筒带有主席优先键功能，可以关闭正在发言的代表单元；</w:t>
            </w:r>
          </w:p>
          <w:p>
            <w:p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3.带有视像跟踪、讨论功能，配合会议主机，可以实现轮替功能和限制模式；</w:t>
            </w:r>
          </w:p>
          <w:p>
            <w:p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4.应用D-PLL射频稳定技术，频率精准、工作稳定可靠；</w:t>
            </w:r>
          </w:p>
          <w:p>
            <w:p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5.全金属短咪杆，高灵敏度设计，超指向性收音效果，最佳拾音距离20-40cm，最远拾音距离可达60cm；</w:t>
            </w:r>
          </w:p>
          <w:p>
            <w:p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6.话筒咪芯部分采用橡胶避震材料，能有效防止因震荡而产生的噪声；</w:t>
            </w:r>
          </w:p>
          <w:p>
            <w:p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7.超强的抗干扰能力，能有效抑制由外部带来的噪音干扰及手机电磁波等干扰；</w:t>
            </w:r>
          </w:p>
          <w:p>
            <w:p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8.话筒附有内置防风海棉罩，可减低在讲话时收到不雅的喷气声及其它风声的情况出现；</w:t>
            </w:r>
          </w:p>
          <w:p>
            <w:p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9.采用超大静音开关设计及红色雾面指示灯设计，指示发言状态；</w:t>
            </w:r>
          </w:p>
          <w:p>
            <w:p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技术参数：</w:t>
            </w:r>
          </w:p>
          <w:p>
            <w:p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1.咪芯指向性：心形指向</w:t>
            </w:r>
          </w:p>
          <w:p>
            <w:p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2.麦克风灵敏度：&gt;20dBM（1V）</w:t>
            </w:r>
          </w:p>
          <w:p>
            <w:p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3.信噪比：105dB</w:t>
            </w:r>
          </w:p>
          <w:p>
            <w:p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4.动态范围：95dB</w:t>
            </w:r>
          </w:p>
          <w:p>
            <w:p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5.频率响应：20-18kHz</w:t>
            </w:r>
          </w:p>
          <w:p>
            <w:p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6.总谐波失真：≤0.05%</w:t>
            </w:r>
          </w:p>
          <w:p>
            <w:p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7.音频无线传输延时：＜5ms</w:t>
            </w:r>
          </w:p>
          <w:p>
            <w:p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8.射频功率输出：≤10dBm(参考值)</w:t>
            </w:r>
          </w:p>
          <w:p>
            <w:p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9.通信频段：600MHz-840MHz</w:t>
            </w:r>
          </w:p>
          <w:p>
            <w:p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10.供电：3.7V</w:t>
            </w:r>
          </w:p>
          <w:p>
            <w:p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11.功耗：10mW</w:t>
            </w:r>
          </w:p>
          <w:p>
            <w:p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12.电池容量：1200mAh</w:t>
            </w:r>
          </w:p>
          <w:p>
            <w:p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13.发言时间：6-8小时</w:t>
            </w:r>
          </w:p>
          <w:p>
            <w:p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14.待机时间：&lt;24小时</w:t>
            </w:r>
          </w:p>
          <w:p>
            <w:p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15.充电接口：Micro USB （安卓接口）</w:t>
            </w:r>
          </w:p>
          <w:p>
            <w:pPr>
              <w:spacing w:before="54" w:line="227" w:lineRule="auto"/>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会议软件</w:t>
            </w:r>
          </w:p>
          <w:p>
            <w:pPr>
              <w:spacing w:before="54" w:line="227" w:lineRule="auto"/>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调音台</w:t>
            </w:r>
            <w:r>
              <w:rPr>
                <w:rFonts w:hint="eastAsia" w:asciiTheme="minorEastAsia" w:hAnsiTheme="minorEastAsia" w:cstheme="minorEastAsia"/>
                <w:color w:val="auto"/>
                <w:kern w:val="1"/>
                <w:sz w:val="24"/>
                <w:szCs w:val="24"/>
                <w:lang w:val="en-US" w:eastAsia="zh-CN" w:bidi="ar-SA"/>
              </w:rPr>
              <w:t>：1.不低于8路平衡式话筒输入及不低于2组立体声输入；</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2.MP3播放器带USB输入；</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3.4组母线，高品质、低噪音的话筒输入；</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4.低噪音的前置放大，具有强大的抗干扰能力；</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5.话筒提供优质的+48V幻像电源；</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6.配备高档调音台才具有的信号输入点；</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7.中频扫频的三段均衡,MF频段的范围是从140Hz到3kHz；</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8.三组AUX辅助输出可选择为推子前推子后；</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9.内置DSP数字效果器；</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10.电路板采用双面SMT贴片技术，使性能稳定可靠；</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11.100MM行程高分析度推子；</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技术参数：</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1.总谐波失真：&lt;-0.005%</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2.频率响应：20Hz-20KHz+1dB/-3dB</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3.最大输出电平：18dBm(1KHz,THD=0.5%)</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4.信噪比/S/N：-81dB</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5.增益控制：单声道：-51dB~0dB/立体声：-26dB~0dB</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6.残余输出噪声：&lt;-83dBu</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7.串音：&lt;-79dBu</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8.头戴耳机输出功率：260mW(1KHz,THD=0.5%，200Ω)</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9.均衡器/EQ：低/LF：80Hz±15dB、中：250Hz~6KHz±15dB、高:12KHz±15dB</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10.输入和输出阻抗：话筒输入/MIC：2.4KΩ、单声输入:11KΩ、立体声输入:100KΩ</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11.输出阻抗:≤75Ω</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12.消耗功率:35W</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功放</w:t>
            </w:r>
            <w:r>
              <w:rPr>
                <w:rFonts w:hint="eastAsia" w:asciiTheme="minorEastAsia" w:hAnsiTheme="minorEastAsia" w:cstheme="minorEastAsia"/>
                <w:color w:val="auto"/>
                <w:kern w:val="1"/>
                <w:sz w:val="24"/>
                <w:szCs w:val="24"/>
                <w:lang w:val="en-US" w:eastAsia="zh-CN" w:bidi="ar-SA"/>
              </w:rPr>
              <w:t>：1.采用AB类高效率放大器，拥有高效率功率转换把音频的模拟信号转换为数字信号再放大；</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2.散热器电气悬空，功率管与散热器直接接触，抛开传统绝缘垫的传热阻隔，功率管热量得以迅速释放；</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3.独特的高效率散热器与散热结构布局，使功率管各点温度均衡，高效稳定；</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4.线路内置：短路保护、过流保护、冲击保护、失调保护、过温保护，可在任意阻抗下长期稳定工作；</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技术参数：</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1.8Ω立体声额定功率：250W×2</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2.4Ω立体声额定功率：450W×2</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3.8Ω桥接功率: 620W</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4.总谐波失真@4Ω: &lt;0.03%，15Hz-20kHz</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5.信噪比：&gt;90dB A计权</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6.上升速率：&gt;40V/ms</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7.阻尼系数：&gt;300@1KHz</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8.频响范围：20Hz-20KHz,+0,-0.5db.at 1W ant</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9.输入阻抗：20K-平衡输入 10K-非平衡输入</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10.电压增益：32dB/40dB</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11.保护线路：直流保护、超高频保护、短路保护、过载保护、开机关机保护、温度保护</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电源时序器</w:t>
            </w:r>
            <w:r>
              <w:rPr>
                <w:rFonts w:hint="eastAsia" w:asciiTheme="minorEastAsia" w:hAnsiTheme="minorEastAsia" w:cstheme="minorEastAsia"/>
                <w:color w:val="auto"/>
                <w:kern w:val="1"/>
                <w:sz w:val="24"/>
                <w:szCs w:val="24"/>
                <w:lang w:val="en-US" w:eastAsia="zh-CN" w:bidi="ar-SA"/>
              </w:rPr>
              <w:t>：1.有效按开机先前及后、关机则先后及前的顺序开关；每路输出带指示灯，开关控制电源；</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2.配置电压显示窗口；额定输出电流高达30A；</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3.总共可控制不低于8路管理电源，每路动作延时时间：1s；</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4.每路输出带指示灯，单路额定输出电流：20A；</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5.主机设置一路短路输入输出口，可实现多台链接，方便使用；</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6.减少用电设备对输电线路启动产生的冲击电流；</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7.系统管理员得以远离繁复的开关，切断用电设备的电源的工作；</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技术参数：</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1.额定输出电压：交流220V，50Hz</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2.额定输出电流：30A</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3.可控制电源:不低于8路</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4.每路动作延时时间:1秒</w:t>
            </w:r>
          </w:p>
          <w:p>
            <w:pPr>
              <w:pStyle w:val="25"/>
              <w:ind w:left="0" w:leftChars="0" w:firstLine="0" w:firstLineChars="0"/>
              <w:rPr>
                <w:rFonts w:hint="eastAsia" w:asciiTheme="minorEastAsia" w:hAnsi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5.供电电源：VAC50/60Hz25A</w:t>
            </w:r>
          </w:p>
          <w:p>
            <w:pPr>
              <w:pStyle w:val="25"/>
              <w:ind w:left="0" w:leftChars="0" w:firstLine="0" w:firstLineChars="0"/>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cstheme="minorEastAsia"/>
                <w:color w:val="auto"/>
                <w:kern w:val="1"/>
                <w:sz w:val="24"/>
                <w:szCs w:val="24"/>
                <w:lang w:val="en-US" w:eastAsia="zh-CN" w:bidi="ar-SA"/>
              </w:rPr>
              <w:t>6.单路额定输出电源：20A</w:t>
            </w:r>
          </w:p>
          <w:p>
            <w:pPr>
              <w:pStyle w:val="25"/>
              <w:ind w:left="0" w:leftChars="0" w:firstLine="0" w:firstLineChars="0"/>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音频反馈</w:t>
            </w:r>
            <w:r>
              <w:rPr>
                <w:rFonts w:hint="eastAsia" w:asciiTheme="minorEastAsia" w:hAnsiTheme="minorEastAsia" w:cstheme="minorEastAsia"/>
                <w:color w:val="auto"/>
                <w:kern w:val="1"/>
                <w:sz w:val="24"/>
                <w:szCs w:val="24"/>
                <w:lang w:val="en-US" w:eastAsia="zh-CN" w:bidi="ar-SA"/>
              </w:rPr>
              <w:t>抑</w:t>
            </w:r>
            <w:r>
              <w:rPr>
                <w:rFonts w:hint="eastAsia" w:asciiTheme="minorEastAsia" w:hAnsiTheme="minorEastAsia" w:eastAsiaTheme="minorEastAsia" w:cstheme="minorEastAsia"/>
                <w:color w:val="auto"/>
                <w:kern w:val="1"/>
                <w:sz w:val="24"/>
                <w:szCs w:val="24"/>
                <w:lang w:val="en-US" w:eastAsia="zh-CN" w:bidi="ar-SA"/>
              </w:rPr>
              <w:t>制器</w:t>
            </w:r>
            <w:r>
              <w:rPr>
                <w:rFonts w:hint="eastAsia" w:asciiTheme="minorEastAsia" w:hAnsiTheme="minorEastAsia" w:cstheme="minorEastAsia"/>
                <w:color w:val="auto"/>
                <w:kern w:val="1"/>
                <w:sz w:val="24"/>
                <w:szCs w:val="24"/>
                <w:lang w:val="en-US" w:eastAsia="zh-CN" w:bidi="ar-SA"/>
              </w:rPr>
              <w:t>：不低于</w:t>
            </w:r>
            <w:r>
              <w:rPr>
                <w:rFonts w:hint="eastAsia" w:asciiTheme="minorEastAsia" w:hAnsiTheme="minorEastAsia" w:eastAsiaTheme="minorEastAsia" w:cstheme="minorEastAsia"/>
                <w:color w:val="auto"/>
                <w:kern w:val="1"/>
                <w:sz w:val="24"/>
                <w:szCs w:val="24"/>
                <w:lang w:val="en-US" w:eastAsia="zh-CN" w:bidi="ar-SA"/>
              </w:rPr>
              <w:t>1.2寸TFT彩屏，采用全中界面，自动数字反馈抑制器，自动扫描啸叫点并快速抑制；</w:t>
            </w:r>
          </w:p>
          <w:p>
            <w:pPr>
              <w:pStyle w:val="25"/>
              <w:ind w:left="0" w:leftChars="0" w:firstLine="0" w:firstLineChars="0"/>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2.全采用自动扫描啸叫点的模式，内置陷波器、静态滤波器、移频器、噪声门、压缩器等；</w:t>
            </w:r>
          </w:p>
          <w:p>
            <w:pPr>
              <w:pStyle w:val="25"/>
              <w:ind w:left="0" w:leftChars="0" w:firstLine="0" w:firstLineChars="0"/>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3.双通道设置，采用两组平衡/非平衡输入，两组平衡/非平衡输出接口；</w:t>
            </w:r>
          </w:p>
          <w:p>
            <w:pPr>
              <w:pStyle w:val="25"/>
              <w:ind w:left="0" w:leftChars="0" w:firstLine="0" w:firstLineChars="0"/>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4.双通道所有参数均可独立调节也可以进行联通调节；支持一键默音功能</w:t>
            </w:r>
          </w:p>
          <w:p>
            <w:pPr>
              <w:pStyle w:val="25"/>
              <w:ind w:left="0" w:leftChars="0" w:firstLine="0" w:firstLineChars="0"/>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5.内置-80db到10dB增益调节，噪声门为0dB-99dB范围可调，移频器支持0Hz-8Hz多级调节；</w:t>
            </w:r>
          </w:p>
          <w:p>
            <w:pPr>
              <w:pStyle w:val="25"/>
              <w:ind w:left="0" w:leftChars="0" w:firstLine="0" w:firstLineChars="0"/>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6.啸叫抑制响应采用三种模式检测和抑制，快、默认、慢三个速度可设定，满足不同的需求；</w:t>
            </w:r>
          </w:p>
          <w:p>
            <w:pPr>
              <w:pStyle w:val="25"/>
              <w:ind w:left="0" w:leftChars="0" w:firstLine="0" w:firstLineChars="0"/>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7.设备参数调节设置两级面板锁，可以进行参数锁定和整机锁定功能；</w:t>
            </w:r>
          </w:p>
          <w:p>
            <w:pPr>
              <w:pStyle w:val="25"/>
              <w:ind w:left="0" w:leftChars="0" w:firstLine="0" w:firstLineChars="0"/>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8.支持</w:t>
            </w:r>
            <w:r>
              <w:rPr>
                <w:rFonts w:hint="eastAsia" w:asciiTheme="minorEastAsia" w:hAnsiTheme="minorEastAsia" w:cstheme="minorEastAsia"/>
                <w:color w:val="auto"/>
                <w:kern w:val="1"/>
                <w:sz w:val="24"/>
                <w:szCs w:val="24"/>
                <w:lang w:val="en-US" w:eastAsia="zh-CN" w:bidi="ar-SA"/>
              </w:rPr>
              <w:t>不低于</w:t>
            </w:r>
            <w:r>
              <w:rPr>
                <w:rFonts w:hint="eastAsia" w:asciiTheme="minorEastAsia" w:hAnsiTheme="minorEastAsia" w:eastAsiaTheme="minorEastAsia" w:cstheme="minorEastAsia"/>
                <w:color w:val="auto"/>
                <w:kern w:val="1"/>
                <w:sz w:val="24"/>
                <w:szCs w:val="24"/>
                <w:lang w:val="en-US" w:eastAsia="zh-CN" w:bidi="ar-SA"/>
              </w:rPr>
              <w:t>20种模式保存与调用，在使用不同的场所直接调用；</w:t>
            </w:r>
          </w:p>
          <w:p>
            <w:pPr>
              <w:pStyle w:val="25"/>
              <w:ind w:left="0" w:leftChars="0" w:firstLine="0" w:firstLineChars="0"/>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9.实现PC软件控制，界面简单易懂，保存模式后可脱离PC运行。</w:t>
            </w:r>
          </w:p>
          <w:p>
            <w:pPr>
              <w:pStyle w:val="25"/>
              <w:ind w:left="0" w:leftChars="0" w:firstLine="0" w:firstLineChars="0"/>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技术参数：</w:t>
            </w:r>
          </w:p>
          <w:p>
            <w:pPr>
              <w:pStyle w:val="25"/>
              <w:ind w:left="0" w:leftChars="0" w:firstLine="0" w:firstLineChars="0"/>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模拟输入：2CH-XLR和1/4“TRS(母)输入，电子平衡/不平衡</w:t>
            </w:r>
          </w:p>
          <w:p>
            <w:pPr>
              <w:pStyle w:val="25"/>
              <w:ind w:left="0" w:leftChars="0" w:firstLine="0" w:firstLineChars="0"/>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工作频率：20-20KHZ全响应</w:t>
            </w:r>
          </w:p>
          <w:p>
            <w:pPr>
              <w:pStyle w:val="25"/>
              <w:ind w:left="0" w:leftChars="0" w:firstLine="0" w:firstLineChars="0"/>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输入阻抗：平衡47Ω，不平衡20KΩ</w:t>
            </w:r>
          </w:p>
          <w:p>
            <w:pPr>
              <w:pStyle w:val="25"/>
              <w:ind w:left="0" w:leftChars="0" w:firstLine="0" w:firstLineChars="0"/>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最大线路电平输入：+18dBμ</w:t>
            </w:r>
          </w:p>
          <w:p>
            <w:pPr>
              <w:pStyle w:val="25"/>
              <w:ind w:left="0" w:leftChars="0" w:firstLine="0" w:firstLineChars="0"/>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模拟输出：2CH-XLR和1/4“TRS(母)输出，电子平衡/不平衡</w:t>
            </w:r>
          </w:p>
          <w:p>
            <w:pPr>
              <w:pStyle w:val="25"/>
              <w:ind w:left="0" w:leftChars="0" w:firstLine="0" w:firstLineChars="0"/>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输出阻抗：平衡&gt;120Ω，不平衡&gt;60Ω</w:t>
            </w:r>
          </w:p>
          <w:p>
            <w:pPr>
              <w:pStyle w:val="25"/>
              <w:ind w:left="0" w:leftChars="0" w:firstLine="0" w:firstLineChars="0"/>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最大输出电平：+20dBμ</w:t>
            </w:r>
          </w:p>
          <w:p>
            <w:pPr>
              <w:pStyle w:val="25"/>
              <w:ind w:left="0" w:leftChars="0" w:firstLine="0" w:firstLineChars="0"/>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频率响应：20Hz-20KHz，±0.3dB</w:t>
            </w:r>
          </w:p>
          <w:p>
            <w:pPr>
              <w:pStyle w:val="25"/>
              <w:ind w:left="0" w:leftChars="0" w:firstLine="0" w:firstLineChars="0"/>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信噪比：&gt;105dB(A)</w:t>
            </w:r>
          </w:p>
          <w:p>
            <w:pPr>
              <w:pStyle w:val="25"/>
              <w:ind w:left="0" w:leftChars="0" w:firstLine="0" w:firstLineChars="0"/>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动态范围：103dB</w:t>
            </w:r>
          </w:p>
          <w:p>
            <w:pPr>
              <w:pStyle w:val="25"/>
              <w:ind w:left="0" w:leftChars="0" w:firstLine="0" w:firstLineChars="0"/>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总谐波失真+噪声：0.005％,1KHz；20Hz-10KHz，&lt;0.01％；10KHz-20KHz，&lt;0.025％</w:t>
            </w:r>
          </w:p>
          <w:p>
            <w:pPr>
              <w:pStyle w:val="25"/>
              <w:ind w:left="0" w:leftChars="0" w:firstLine="0" w:firstLineChars="0"/>
              <w:rPr>
                <w:rFonts w:hint="eastAsia" w:asciiTheme="minorEastAsia" w:hAnsiTheme="minorEastAsia" w:eastAsiaTheme="minorEastAsia" w:cstheme="minorEastAsia"/>
                <w:color w:val="auto"/>
                <w:kern w:val="1"/>
                <w:sz w:val="24"/>
                <w:szCs w:val="24"/>
                <w:lang w:val="en-US" w:eastAsia="zh-CN" w:bidi="ar-SA"/>
              </w:rPr>
            </w:pPr>
            <w:r>
              <w:rPr>
                <w:rFonts w:hint="eastAsia" w:asciiTheme="minorEastAsia" w:hAnsiTheme="minorEastAsia" w:eastAsiaTheme="minorEastAsia" w:cstheme="minorEastAsia"/>
                <w:color w:val="auto"/>
                <w:kern w:val="1"/>
                <w:sz w:val="24"/>
                <w:szCs w:val="24"/>
                <w:lang w:val="en-US" w:eastAsia="zh-CN" w:bidi="ar-SA"/>
              </w:rPr>
              <w:t>工作电压：110V/220V/AC 50Hz/60Hz</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cstheme="minorEastAsia"/>
                <w:color w:val="auto"/>
                <w:sz w:val="24"/>
                <w:szCs w:val="24"/>
                <w:lang w:val="en-US" w:eastAsia="zh-CN"/>
              </w:rPr>
              <w:t>2</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会议室装修及办公家具</w:t>
            </w:r>
          </w:p>
        </w:tc>
        <w:tc>
          <w:tcPr>
            <w:tcW w:w="6410" w:type="dxa"/>
            <w:vAlign w:val="center"/>
          </w:tcPr>
          <w:p>
            <w:pPr>
              <w:spacing w:before="55" w:line="258" w:lineRule="auto"/>
              <w:ind w:right="11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7"/>
                <w:sz w:val="24"/>
                <w:szCs w:val="24"/>
              </w:rPr>
              <w:t>会</w:t>
            </w:r>
            <w:r>
              <w:rPr>
                <w:rFonts w:hint="eastAsia" w:asciiTheme="minorEastAsia" w:hAnsiTheme="minorEastAsia" w:eastAsiaTheme="minorEastAsia" w:cstheme="minorEastAsia"/>
                <w:color w:val="auto"/>
                <w:spacing w:val="9"/>
                <w:sz w:val="24"/>
                <w:szCs w:val="24"/>
              </w:rPr>
              <w:t>议室吊顶，机房装修、墙面处理、会议</w:t>
            </w:r>
            <w:r>
              <w:rPr>
                <w:rFonts w:hint="eastAsia" w:asciiTheme="minorEastAsia" w:hAnsiTheme="minorEastAsia" w:eastAsiaTheme="minorEastAsia" w:cstheme="minorEastAsia"/>
                <w:color w:val="auto"/>
                <w:spacing w:val="10"/>
                <w:sz w:val="24"/>
                <w:szCs w:val="24"/>
              </w:rPr>
              <w:t>桌</w:t>
            </w:r>
            <w:r>
              <w:rPr>
                <w:rFonts w:hint="eastAsia" w:asciiTheme="minorEastAsia" w:hAnsiTheme="minorEastAsia" w:eastAsiaTheme="minorEastAsia" w:cstheme="minorEastAsia"/>
                <w:color w:val="auto"/>
                <w:spacing w:val="9"/>
                <w:sz w:val="24"/>
                <w:szCs w:val="24"/>
              </w:rPr>
              <w:t>、会议椅、茶水柜、饮水机等</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89" w:type="dxa"/>
            <w:vAlign w:val="center"/>
          </w:tcPr>
          <w:p>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cstheme="minorEastAsia"/>
                <w:color w:val="auto"/>
                <w:sz w:val="24"/>
                <w:szCs w:val="24"/>
                <w:lang w:val="en-US" w:eastAsia="zh-CN"/>
              </w:rPr>
              <w:t>3</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一体机</w:t>
            </w:r>
          </w:p>
        </w:tc>
        <w:tc>
          <w:tcPr>
            <w:tcW w:w="6410" w:type="dxa"/>
            <w:vAlign w:val="center"/>
          </w:tcPr>
          <w:p>
            <w:pPr>
              <w:spacing w:before="55" w:line="258" w:lineRule="auto"/>
              <w:ind w:right="119"/>
              <w:rPr>
                <w:rFonts w:hint="eastAsia" w:asciiTheme="minorEastAsia" w:hAnsiTheme="minorEastAsia" w:eastAsiaTheme="minorEastAsia" w:cstheme="minorEastAsia"/>
                <w:color w:val="auto"/>
                <w:spacing w:val="17"/>
                <w:sz w:val="24"/>
                <w:szCs w:val="24"/>
              </w:rPr>
            </w:pPr>
            <w:r>
              <w:rPr>
                <w:rFonts w:hint="eastAsia" w:asciiTheme="minorEastAsia" w:hAnsiTheme="minorEastAsia" w:eastAsiaTheme="minorEastAsia" w:cstheme="minorEastAsia"/>
                <w:color w:val="auto"/>
                <w:spacing w:val="17"/>
                <w:sz w:val="24"/>
                <w:szCs w:val="24"/>
              </w:rPr>
              <w:t>涵盖功能：打印/复印/扫描 </w:t>
            </w:r>
          </w:p>
          <w:p>
            <w:pPr>
              <w:spacing w:before="55" w:line="258" w:lineRule="auto"/>
              <w:ind w:right="119"/>
              <w:rPr>
                <w:rFonts w:hint="eastAsia" w:asciiTheme="minorEastAsia" w:hAnsiTheme="minorEastAsia" w:eastAsiaTheme="minorEastAsia" w:cstheme="minorEastAsia"/>
                <w:color w:val="auto"/>
                <w:spacing w:val="17"/>
                <w:sz w:val="24"/>
                <w:szCs w:val="24"/>
              </w:rPr>
            </w:pPr>
            <w:r>
              <w:rPr>
                <w:rFonts w:hint="eastAsia" w:asciiTheme="minorEastAsia" w:hAnsiTheme="minorEastAsia" w:eastAsiaTheme="minorEastAsia" w:cstheme="minorEastAsia"/>
                <w:color w:val="auto"/>
                <w:spacing w:val="17"/>
                <w:sz w:val="24"/>
                <w:szCs w:val="24"/>
              </w:rPr>
              <w:t>最大处理幅面：A4  </w:t>
            </w:r>
          </w:p>
          <w:p>
            <w:pPr>
              <w:spacing w:before="55" w:line="258" w:lineRule="auto"/>
              <w:ind w:right="119"/>
              <w:rPr>
                <w:rFonts w:hint="eastAsia" w:asciiTheme="minorEastAsia" w:hAnsiTheme="minorEastAsia" w:eastAsiaTheme="minorEastAsia" w:cstheme="minorEastAsia"/>
                <w:color w:val="auto"/>
                <w:spacing w:val="17"/>
                <w:sz w:val="24"/>
                <w:szCs w:val="24"/>
              </w:rPr>
            </w:pPr>
            <w:r>
              <w:rPr>
                <w:rFonts w:hint="eastAsia" w:asciiTheme="minorEastAsia" w:hAnsiTheme="minorEastAsia" w:eastAsiaTheme="minorEastAsia" w:cstheme="minorEastAsia"/>
                <w:color w:val="auto"/>
                <w:spacing w:val="17"/>
                <w:sz w:val="24"/>
                <w:szCs w:val="24"/>
              </w:rPr>
              <w:t>内存：</w:t>
            </w:r>
            <w:r>
              <w:rPr>
                <w:rFonts w:hint="eastAsia" w:asciiTheme="minorEastAsia" w:hAnsiTheme="minorEastAsia" w:cstheme="minorEastAsia"/>
                <w:color w:val="auto"/>
                <w:spacing w:val="17"/>
                <w:sz w:val="24"/>
                <w:szCs w:val="24"/>
                <w:lang w:val="en-US" w:eastAsia="zh-CN"/>
              </w:rPr>
              <w:t>不低于</w:t>
            </w:r>
            <w:r>
              <w:rPr>
                <w:rFonts w:hint="eastAsia" w:asciiTheme="minorEastAsia" w:hAnsiTheme="minorEastAsia" w:eastAsiaTheme="minorEastAsia" w:cstheme="minorEastAsia"/>
                <w:color w:val="auto"/>
                <w:spacing w:val="17"/>
                <w:sz w:val="24"/>
                <w:szCs w:val="24"/>
              </w:rPr>
              <w:t>32MB </w:t>
            </w:r>
          </w:p>
          <w:p>
            <w:pPr>
              <w:spacing w:before="55" w:line="258" w:lineRule="auto"/>
              <w:ind w:right="119"/>
              <w:rPr>
                <w:rFonts w:hint="eastAsia" w:asciiTheme="minorEastAsia" w:hAnsiTheme="minorEastAsia" w:eastAsiaTheme="minorEastAsia" w:cstheme="minorEastAsia"/>
                <w:color w:val="auto"/>
                <w:spacing w:val="17"/>
                <w:sz w:val="24"/>
                <w:szCs w:val="24"/>
              </w:rPr>
            </w:pPr>
            <w:r>
              <w:rPr>
                <w:rFonts w:hint="eastAsia" w:asciiTheme="minorEastAsia" w:hAnsiTheme="minorEastAsia" w:eastAsiaTheme="minorEastAsia" w:cstheme="minorEastAsia"/>
                <w:color w:val="auto"/>
                <w:spacing w:val="17"/>
                <w:sz w:val="24"/>
                <w:szCs w:val="24"/>
              </w:rPr>
              <w:t>双面功能：7080手动 7080D自动 </w:t>
            </w:r>
          </w:p>
          <w:p>
            <w:pPr>
              <w:spacing w:before="55" w:line="258" w:lineRule="auto"/>
              <w:ind w:right="119"/>
              <w:rPr>
                <w:rFonts w:hint="eastAsia" w:asciiTheme="minorEastAsia" w:hAnsiTheme="minorEastAsia" w:cstheme="minorEastAsia"/>
                <w:color w:val="auto"/>
                <w:spacing w:val="17"/>
                <w:sz w:val="24"/>
                <w:szCs w:val="24"/>
                <w:lang w:val="en-US" w:eastAsia="zh-CN"/>
              </w:rPr>
            </w:pPr>
            <w:r>
              <w:rPr>
                <w:rFonts w:hint="eastAsia" w:asciiTheme="minorEastAsia" w:hAnsiTheme="minorEastAsia" w:eastAsiaTheme="minorEastAsia" w:cstheme="minorEastAsia"/>
                <w:color w:val="auto"/>
                <w:spacing w:val="17"/>
                <w:sz w:val="24"/>
                <w:szCs w:val="24"/>
              </w:rPr>
              <w:t>接口类型：USB</w:t>
            </w:r>
            <w:r>
              <w:rPr>
                <w:rFonts w:hint="eastAsia" w:asciiTheme="minorEastAsia" w:hAnsiTheme="minorEastAsia" w:cstheme="minorEastAsia"/>
                <w:color w:val="auto"/>
                <w:spacing w:val="17"/>
                <w:sz w:val="24"/>
                <w:szCs w:val="24"/>
                <w:lang w:val="en-US" w:eastAsia="zh-CN"/>
              </w:rPr>
              <w:t>2.0</w:t>
            </w:r>
          </w:p>
          <w:p>
            <w:pPr>
              <w:spacing w:before="55" w:line="258" w:lineRule="auto"/>
              <w:ind w:right="119"/>
              <w:rPr>
                <w:rFonts w:hint="eastAsia" w:asciiTheme="minorEastAsia" w:hAnsiTheme="minorEastAsia" w:eastAsiaTheme="minorEastAsia" w:cstheme="minorEastAsia"/>
                <w:color w:val="auto"/>
                <w:spacing w:val="17"/>
                <w:sz w:val="24"/>
                <w:szCs w:val="24"/>
              </w:rPr>
            </w:pPr>
            <w:r>
              <w:rPr>
                <w:rFonts w:hint="eastAsia" w:asciiTheme="minorEastAsia" w:hAnsiTheme="minorEastAsia" w:eastAsiaTheme="minorEastAsia" w:cstheme="minorEastAsia"/>
                <w:color w:val="auto"/>
                <w:spacing w:val="17"/>
                <w:sz w:val="24"/>
                <w:szCs w:val="24"/>
              </w:rPr>
              <w:t>打印速度</w:t>
            </w:r>
            <w:r>
              <w:rPr>
                <w:rFonts w:hint="eastAsia" w:asciiTheme="minorEastAsia" w:hAnsiTheme="minorEastAsia" w:cstheme="minorEastAsia"/>
                <w:color w:val="auto"/>
                <w:spacing w:val="17"/>
                <w:sz w:val="24"/>
                <w:szCs w:val="24"/>
                <w:lang w:val="en-US" w:eastAsia="zh-CN"/>
              </w:rPr>
              <w:t>≤</w:t>
            </w:r>
            <w:r>
              <w:rPr>
                <w:rFonts w:hint="eastAsia" w:asciiTheme="minorEastAsia" w:hAnsiTheme="minorEastAsia" w:eastAsiaTheme="minorEastAsia" w:cstheme="minorEastAsia"/>
                <w:color w:val="auto"/>
                <w:spacing w:val="17"/>
                <w:sz w:val="24"/>
                <w:szCs w:val="24"/>
              </w:rPr>
              <w:t>30cpm </w:t>
            </w:r>
            <w:r>
              <w:rPr>
                <w:rFonts w:hint="eastAsia" w:asciiTheme="minorEastAsia" w:hAnsiTheme="minorEastAsia" w:eastAsiaTheme="minorEastAsia" w:cstheme="minorEastAsia"/>
                <w:color w:val="auto"/>
                <w:spacing w:val="17"/>
                <w:sz w:val="24"/>
                <w:szCs w:val="24"/>
              </w:rPr>
              <w:br w:type="textWrapping"/>
            </w:r>
            <w:r>
              <w:rPr>
                <w:rFonts w:hint="eastAsia" w:asciiTheme="minorEastAsia" w:hAnsiTheme="minorEastAsia" w:eastAsiaTheme="minorEastAsia" w:cstheme="minorEastAsia"/>
                <w:color w:val="auto"/>
                <w:spacing w:val="17"/>
                <w:sz w:val="24"/>
                <w:szCs w:val="24"/>
              </w:rPr>
              <w:t>打印分辨率：600×600dpi </w:t>
            </w:r>
            <w:r>
              <w:rPr>
                <w:rFonts w:hint="eastAsia" w:asciiTheme="minorEastAsia" w:hAnsiTheme="minorEastAsia" w:eastAsiaTheme="minorEastAsia" w:cstheme="minorEastAsia"/>
                <w:color w:val="auto"/>
                <w:spacing w:val="17"/>
                <w:sz w:val="24"/>
                <w:szCs w:val="24"/>
              </w:rPr>
              <w:br w:type="textWrapping"/>
            </w:r>
            <w:r>
              <w:rPr>
                <w:rFonts w:hint="eastAsia" w:asciiTheme="minorEastAsia" w:hAnsiTheme="minorEastAsia" w:eastAsiaTheme="minorEastAsia" w:cstheme="minorEastAsia"/>
                <w:color w:val="auto"/>
                <w:spacing w:val="17"/>
                <w:sz w:val="24"/>
                <w:szCs w:val="24"/>
              </w:rPr>
              <w:t>首页打印时间＜8.5秒 </w:t>
            </w:r>
          </w:p>
          <w:p>
            <w:pPr>
              <w:spacing w:before="55" w:line="258" w:lineRule="auto"/>
              <w:ind w:right="119"/>
              <w:rPr>
                <w:rFonts w:hint="eastAsia" w:asciiTheme="minorEastAsia" w:hAnsiTheme="minorEastAsia" w:eastAsiaTheme="minorEastAsia" w:cstheme="minorEastAsia"/>
                <w:color w:val="auto"/>
                <w:spacing w:val="17"/>
                <w:sz w:val="24"/>
                <w:szCs w:val="24"/>
              </w:rPr>
            </w:pPr>
            <w:r>
              <w:rPr>
                <w:rFonts w:hint="eastAsia" w:asciiTheme="minorEastAsia" w:hAnsiTheme="minorEastAsia" w:eastAsiaTheme="minorEastAsia" w:cstheme="minorEastAsia"/>
                <w:color w:val="auto"/>
                <w:spacing w:val="17"/>
                <w:sz w:val="24"/>
                <w:szCs w:val="24"/>
              </w:rPr>
              <w:t>复印速度</w:t>
            </w:r>
            <w:r>
              <w:rPr>
                <w:rFonts w:hint="eastAsia" w:asciiTheme="minorEastAsia" w:hAnsiTheme="minorEastAsia" w:cstheme="minorEastAsia"/>
                <w:color w:val="auto"/>
                <w:spacing w:val="17"/>
                <w:sz w:val="24"/>
                <w:szCs w:val="24"/>
                <w:lang w:val="en-US" w:eastAsia="zh-CN"/>
              </w:rPr>
              <w:t>≤</w:t>
            </w:r>
            <w:r>
              <w:rPr>
                <w:rFonts w:hint="eastAsia" w:asciiTheme="minorEastAsia" w:hAnsiTheme="minorEastAsia" w:eastAsiaTheme="minorEastAsia" w:cstheme="minorEastAsia"/>
                <w:color w:val="auto"/>
                <w:spacing w:val="17"/>
                <w:sz w:val="24"/>
                <w:szCs w:val="24"/>
              </w:rPr>
              <w:t>30cpm </w:t>
            </w:r>
            <w:r>
              <w:rPr>
                <w:rFonts w:hint="eastAsia" w:asciiTheme="minorEastAsia" w:hAnsiTheme="minorEastAsia" w:eastAsiaTheme="minorEastAsia" w:cstheme="minorEastAsia"/>
                <w:color w:val="auto"/>
                <w:spacing w:val="17"/>
                <w:sz w:val="24"/>
                <w:szCs w:val="24"/>
              </w:rPr>
              <w:br w:type="textWrapping"/>
            </w:r>
            <w:r>
              <w:rPr>
                <w:rFonts w:hint="eastAsia" w:asciiTheme="minorEastAsia" w:hAnsiTheme="minorEastAsia" w:eastAsiaTheme="minorEastAsia" w:cstheme="minorEastAsia"/>
                <w:color w:val="auto"/>
                <w:spacing w:val="17"/>
                <w:sz w:val="24"/>
                <w:szCs w:val="24"/>
              </w:rPr>
              <w:t>复印分辨率：600×600dpi </w:t>
            </w:r>
            <w:r>
              <w:rPr>
                <w:rFonts w:hint="eastAsia" w:asciiTheme="minorEastAsia" w:hAnsiTheme="minorEastAsia" w:eastAsiaTheme="minorEastAsia" w:cstheme="minorEastAsia"/>
                <w:color w:val="auto"/>
                <w:spacing w:val="17"/>
                <w:sz w:val="24"/>
                <w:szCs w:val="24"/>
              </w:rPr>
              <w:br w:type="textWrapping"/>
            </w:r>
            <w:r>
              <w:rPr>
                <w:rFonts w:hint="eastAsia" w:asciiTheme="minorEastAsia" w:hAnsiTheme="minorEastAsia" w:eastAsiaTheme="minorEastAsia" w:cstheme="minorEastAsia"/>
                <w:color w:val="auto"/>
                <w:spacing w:val="17"/>
                <w:sz w:val="24"/>
                <w:szCs w:val="24"/>
              </w:rPr>
              <w:t>N合1复印：支持N合1复印 </w:t>
            </w:r>
            <w:r>
              <w:rPr>
                <w:rFonts w:hint="eastAsia" w:asciiTheme="minorEastAsia" w:hAnsiTheme="minorEastAsia" w:eastAsiaTheme="minorEastAsia" w:cstheme="minorEastAsia"/>
                <w:color w:val="auto"/>
                <w:spacing w:val="17"/>
                <w:sz w:val="24"/>
                <w:szCs w:val="24"/>
              </w:rPr>
              <w:br w:type="textWrapping"/>
            </w:r>
            <w:r>
              <w:rPr>
                <w:rFonts w:hint="eastAsia" w:asciiTheme="minorEastAsia" w:hAnsiTheme="minorEastAsia" w:eastAsiaTheme="minorEastAsia" w:cstheme="minorEastAsia"/>
                <w:color w:val="auto"/>
                <w:spacing w:val="17"/>
                <w:sz w:val="24"/>
                <w:szCs w:val="24"/>
              </w:rPr>
              <w:t>缩放范围：25-400%（最小调整量为1%）   </w:t>
            </w:r>
          </w:p>
          <w:p>
            <w:pPr>
              <w:spacing w:before="55" w:line="258" w:lineRule="auto"/>
              <w:ind w:right="119"/>
              <w:rPr>
                <w:rFonts w:hint="eastAsia" w:asciiTheme="minorEastAsia" w:hAnsiTheme="minorEastAsia" w:eastAsiaTheme="minorEastAsia" w:cstheme="minorEastAsia"/>
                <w:color w:val="auto"/>
                <w:spacing w:val="17"/>
                <w:sz w:val="24"/>
                <w:szCs w:val="24"/>
              </w:rPr>
            </w:pPr>
            <w:r>
              <w:rPr>
                <w:rFonts w:hint="eastAsia" w:asciiTheme="minorEastAsia" w:hAnsiTheme="minorEastAsia" w:eastAsiaTheme="minorEastAsia" w:cstheme="minorEastAsia"/>
                <w:color w:val="auto"/>
                <w:spacing w:val="17"/>
                <w:sz w:val="24"/>
                <w:szCs w:val="24"/>
                <w:lang w:val="en-US" w:eastAsia="zh-CN"/>
              </w:rPr>
              <w:t>扫描性能：</w:t>
            </w:r>
            <w:r>
              <w:rPr>
                <w:rFonts w:hint="eastAsia" w:asciiTheme="minorEastAsia" w:hAnsiTheme="minorEastAsia" w:eastAsiaTheme="minorEastAsia" w:cstheme="minorEastAsia"/>
                <w:color w:val="auto"/>
                <w:spacing w:val="17"/>
                <w:sz w:val="24"/>
                <w:szCs w:val="24"/>
              </w:rPr>
              <w:t>扫描控制器：标准配置 </w:t>
            </w:r>
            <w:r>
              <w:rPr>
                <w:rFonts w:hint="eastAsia" w:asciiTheme="minorEastAsia" w:hAnsiTheme="minorEastAsia" w:eastAsiaTheme="minorEastAsia" w:cstheme="minorEastAsia"/>
                <w:color w:val="auto"/>
                <w:spacing w:val="17"/>
                <w:sz w:val="24"/>
                <w:szCs w:val="24"/>
              </w:rPr>
              <w:br w:type="textWrapping"/>
            </w:r>
            <w:r>
              <w:rPr>
                <w:rFonts w:hint="eastAsia" w:asciiTheme="minorEastAsia" w:hAnsiTheme="minorEastAsia" w:eastAsiaTheme="minorEastAsia" w:cstheme="minorEastAsia"/>
                <w:color w:val="auto"/>
                <w:spacing w:val="17"/>
                <w:sz w:val="24"/>
                <w:szCs w:val="24"/>
              </w:rPr>
              <w:t>光学分辨率：600×2400dpi </w:t>
            </w:r>
            <w:r>
              <w:rPr>
                <w:rFonts w:hint="eastAsia" w:asciiTheme="minorEastAsia" w:hAnsiTheme="minorEastAsia" w:eastAsiaTheme="minorEastAsia" w:cstheme="minorEastAsia"/>
                <w:color w:val="auto"/>
                <w:spacing w:val="17"/>
                <w:sz w:val="24"/>
                <w:szCs w:val="24"/>
              </w:rPr>
              <w:br w:type="textWrapping"/>
            </w:r>
            <w:r>
              <w:rPr>
                <w:rFonts w:hint="eastAsia" w:asciiTheme="minorEastAsia" w:hAnsiTheme="minorEastAsia" w:eastAsiaTheme="minorEastAsia" w:cstheme="minorEastAsia"/>
                <w:color w:val="auto"/>
                <w:spacing w:val="17"/>
                <w:sz w:val="24"/>
                <w:szCs w:val="24"/>
              </w:rPr>
              <w:t>最大分辨率：19200×19200dpi  </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cstheme="minorEastAsia"/>
                <w:color w:val="auto"/>
                <w:sz w:val="24"/>
                <w:szCs w:val="24"/>
                <w:lang w:val="en-US" w:eastAsia="zh-CN"/>
              </w:rPr>
              <w:t>4</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233" w:lineRule="auto"/>
              <w:jc w:val="center"/>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机柜</w:t>
            </w:r>
          </w:p>
        </w:tc>
        <w:tc>
          <w:tcPr>
            <w:tcW w:w="6410" w:type="dxa"/>
            <w:vAlign w:val="center"/>
          </w:tcPr>
          <w:p>
            <w:pPr>
              <w:spacing w:before="196" w:line="227"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标准机柜</w:t>
            </w:r>
          </w:p>
        </w:tc>
        <w:tc>
          <w:tcPr>
            <w:tcW w:w="60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57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r>
    </w:tbl>
    <w:p>
      <w:r>
        <w:br w:type="page"/>
      </w:r>
    </w:p>
    <w:p>
      <w:pPr>
        <w:pStyle w:val="25"/>
      </w:pPr>
    </w:p>
    <w:p>
      <w:pPr>
        <w:numPr>
          <w:ilvl w:val="0"/>
          <w:numId w:val="4"/>
        </w:numPr>
        <w:spacing w:line="360" w:lineRule="auto"/>
        <w:ind w:firstLine="883" w:firstLineChars="200"/>
        <w:jc w:val="center"/>
        <w:outlineLvl w:val="1"/>
        <w:rPr>
          <w:rFonts w:cs="宋体" w:asciiTheme="minorEastAsia" w:hAnsiTheme="minorEastAsia"/>
          <w:b/>
          <w:bCs/>
          <w:sz w:val="44"/>
          <w:szCs w:val="44"/>
        </w:rPr>
      </w:pPr>
      <w:r>
        <w:rPr>
          <w:rFonts w:hint="eastAsia" w:cs="宋体" w:asciiTheme="minorEastAsia" w:hAnsiTheme="minorEastAsia"/>
          <w:b/>
          <w:bCs/>
          <w:sz w:val="44"/>
          <w:szCs w:val="44"/>
        </w:rPr>
        <w:t>商务要求</w:t>
      </w:r>
      <w:bookmarkEnd w:id="24"/>
      <w:bookmarkEnd w:id="25"/>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新宋体" w:hAnsi="新宋体" w:eastAsia="新宋体" w:cs="新宋体"/>
          <w:b/>
          <w:bCs/>
          <w:color w:val="auto"/>
          <w:sz w:val="28"/>
          <w:szCs w:val="28"/>
          <w:highlight w:val="none"/>
          <w:lang w:val="en-US" w:eastAsia="zh-CN"/>
        </w:rPr>
      </w:pPr>
      <w:bookmarkStart w:id="26" w:name="_Toc22869_WPSOffice_Level1"/>
      <w:bookmarkEnd w:id="26"/>
      <w:bookmarkStart w:id="27" w:name="_Toc13776_WPSOffice_Level1"/>
      <w:bookmarkEnd w:id="27"/>
      <w:bookmarkStart w:id="28" w:name="_Toc10687_WPSOffice_Level1"/>
      <w:bookmarkEnd w:id="28"/>
      <w:bookmarkStart w:id="29" w:name="_Toc167715238"/>
      <w:bookmarkStart w:id="30" w:name="_Toc167714041"/>
      <w:bookmarkStart w:id="31" w:name="_Toc167712843"/>
      <w:bookmarkStart w:id="32" w:name="_Toc459142238"/>
      <w:bookmarkStart w:id="33" w:name="_Toc7453887"/>
      <w:bookmarkStart w:id="34" w:name="_Toc459049734"/>
      <w:bookmarkStart w:id="35" w:name="_Toc459049903"/>
      <w:bookmarkStart w:id="36" w:name="_Toc459125993"/>
      <w:bookmarkStart w:id="37" w:name="_Toc16940"/>
      <w:bookmarkStart w:id="38" w:name="_Toc30802"/>
      <w:bookmarkStart w:id="39" w:name="_Toc13442"/>
      <w:bookmarkStart w:id="40" w:name="_Toc116_WPSOffice_Level1"/>
      <w:bookmarkStart w:id="41" w:name="_Toc11221_WPSOffice_Level1"/>
      <w:r>
        <w:rPr>
          <w:rFonts w:hint="eastAsia" w:ascii="新宋体" w:hAnsi="新宋体" w:eastAsia="新宋体" w:cs="新宋体"/>
          <w:b/>
          <w:bCs/>
          <w:color w:val="auto"/>
          <w:sz w:val="28"/>
          <w:szCs w:val="28"/>
          <w:highlight w:val="none"/>
          <w:lang w:val="en-US" w:eastAsia="zh-CN"/>
        </w:rPr>
        <w:t>一、服务期及服务地点：</w:t>
      </w:r>
    </w:p>
    <w:p>
      <w:pPr>
        <w:widowControl/>
        <w:spacing w:line="360" w:lineRule="auto"/>
        <w:ind w:firstLine="560" w:firstLineChars="200"/>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lang w:val="en-US" w:eastAsia="zh-CN"/>
        </w:rPr>
        <w:t>1、服务期：30日历天</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lang w:val="en-US" w:eastAsia="zh-CN"/>
        </w:rPr>
        <w:t>2、服务地点：采购人指定地点。</w:t>
      </w:r>
    </w:p>
    <w:p>
      <w:pPr>
        <w:spacing w:line="360" w:lineRule="auto"/>
        <w:ind w:firstLine="562" w:firstLineChars="200"/>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二、付款方式：</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color w:val="auto"/>
          <w:sz w:val="28"/>
          <w:szCs w:val="28"/>
          <w:highlight w:val="none"/>
          <w:lang w:val="en-US" w:eastAsia="zh-CN"/>
        </w:rPr>
      </w:pPr>
      <w:r>
        <w:rPr>
          <w:rFonts w:hint="eastAsia" w:ascii="宋体" w:hAnsi="宋体" w:cs="宋体"/>
          <w:color w:val="auto"/>
          <w:sz w:val="28"/>
          <w:szCs w:val="28"/>
          <w:highlight w:val="none"/>
          <w:lang w:val="en-US" w:eastAsia="zh-CN"/>
        </w:rPr>
        <w:t>合同签订后支付合同金额的30%，设备安装、调试完毕，项目软件、系统调试完毕，项目验收合格后支付合同金额的65%，2年服务期满后支付合同总金额的5%</w:t>
      </w:r>
      <w:r>
        <w:rPr>
          <w:rFonts w:hint="eastAsia" w:ascii="宋体" w:hAnsi="宋体" w:cs="宋体"/>
          <w:color w:val="auto"/>
          <w:sz w:val="28"/>
          <w:szCs w:val="28"/>
          <w:highlight w:val="none"/>
        </w:rPr>
        <w:t>。</w:t>
      </w:r>
    </w:p>
    <w:bookmarkEnd w:id="29"/>
    <w:bookmarkEnd w:id="30"/>
    <w:bookmarkEnd w:id="31"/>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三、质量保证</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lang w:val="en-US" w:eastAsia="zh-CN"/>
        </w:rPr>
        <w:t>乙方保证合同设备是全新、未曾使用过的，其质量、规格及技术特征符合合同附件的要求。</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lang w:val="en-US" w:eastAsia="zh-CN"/>
        </w:rPr>
        <w:t>1、保证技术指标先进、质量性能可靠、进货渠道正常，配置合理，全面满足招标要求。</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lang w:val="en-US" w:eastAsia="zh-CN"/>
        </w:rPr>
        <w:t>2、符合国家有关规范要求，确保达到最佳运行状态。</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lang w:val="en-US" w:eastAsia="zh-CN"/>
        </w:rPr>
        <w:t>3、具有良好的外观，适合安装场所的使用。</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lang w:val="en-US" w:eastAsia="zh-CN"/>
        </w:rPr>
        <w:t>4、投标供应商提供的系统，若发生侵权而产生的一切后果，由投标供应商负责。采购人保留索赔权力。</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color w:val="auto"/>
          <w:sz w:val="28"/>
          <w:szCs w:val="28"/>
          <w:highlight w:val="none"/>
          <w:lang w:val="en-US" w:eastAsia="zh-CN"/>
        </w:rPr>
      </w:pPr>
      <w:bookmarkStart w:id="42" w:name="_Toc408247972"/>
      <w:bookmarkStart w:id="43" w:name="_Toc450814788"/>
      <w:bookmarkStart w:id="44" w:name="_Toc425354027"/>
      <w:bookmarkStart w:id="45" w:name="_Toc427838758"/>
      <w:bookmarkStart w:id="46" w:name="_Toc430959258"/>
      <w:bookmarkStart w:id="47" w:name="_Toc426989597"/>
      <w:r>
        <w:rPr>
          <w:rFonts w:hint="eastAsia" w:ascii="新宋体" w:hAnsi="新宋体" w:eastAsia="新宋体" w:cs="新宋体"/>
          <w:color w:val="auto"/>
          <w:sz w:val="28"/>
          <w:szCs w:val="28"/>
          <w:highlight w:val="none"/>
          <w:lang w:val="en-US" w:eastAsia="zh-CN"/>
        </w:rPr>
        <w:t>5、软件系统质量保证</w:t>
      </w:r>
      <w:bookmarkEnd w:id="42"/>
      <w:r>
        <w:rPr>
          <w:rFonts w:hint="eastAsia" w:ascii="新宋体" w:hAnsi="新宋体" w:eastAsia="新宋体" w:cs="新宋体"/>
          <w:color w:val="auto"/>
          <w:sz w:val="28"/>
          <w:szCs w:val="28"/>
          <w:highlight w:val="none"/>
          <w:lang w:val="en-US" w:eastAsia="zh-CN"/>
        </w:rPr>
        <w:t>其它要求</w:t>
      </w:r>
      <w:bookmarkEnd w:id="43"/>
      <w:bookmarkEnd w:id="44"/>
      <w:bookmarkEnd w:id="45"/>
      <w:bookmarkEnd w:id="46"/>
      <w:bookmarkEnd w:id="47"/>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lang w:val="en-US" w:eastAsia="zh-CN"/>
        </w:rPr>
        <w:t>（1）本项目软件系统实施按照国家有关行业相关标准规范和合同执行。</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lang w:val="en-US" w:eastAsia="zh-CN"/>
        </w:rPr>
        <w:t>（2）项目人员：中标投标供应商参加项目的所有人员都能够满足各自的职责要求，具有相应的资历和经验。</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lang w:val="en-US" w:eastAsia="zh-CN"/>
        </w:rPr>
        <w:t>（3）项目流程和质量控制：整个项目流程都符合ISO9001要求，需求验证和确认，设计验证和确认，产品的设计和确认都有相应的文档和活动支持，也可以寻求第三方的验证和确认。</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新宋体" w:hAnsi="新宋体" w:eastAsia="新宋体" w:cs="新宋体"/>
          <w:b/>
          <w:bCs/>
          <w:color w:val="auto"/>
          <w:sz w:val="28"/>
          <w:szCs w:val="28"/>
          <w:highlight w:val="none"/>
          <w:lang w:val="en-US" w:eastAsia="zh-CN"/>
        </w:rPr>
      </w:pPr>
      <w:bookmarkStart w:id="48" w:name="_Toc528134271"/>
      <w:r>
        <w:rPr>
          <w:rFonts w:hint="eastAsia" w:ascii="新宋体" w:hAnsi="新宋体" w:eastAsia="新宋体" w:cs="新宋体"/>
          <w:b/>
          <w:bCs/>
          <w:color w:val="auto"/>
          <w:sz w:val="28"/>
          <w:szCs w:val="28"/>
          <w:highlight w:val="none"/>
          <w:lang w:val="en-US" w:eastAsia="zh-CN"/>
        </w:rPr>
        <w:t>四、</w:t>
      </w:r>
      <w:bookmarkStart w:id="49" w:name="_Toc426989602"/>
      <w:bookmarkStart w:id="50" w:name="_Toc427838763"/>
      <w:r>
        <w:rPr>
          <w:rFonts w:hint="eastAsia" w:ascii="新宋体" w:hAnsi="新宋体" w:eastAsia="新宋体" w:cs="新宋体"/>
          <w:b/>
          <w:bCs/>
          <w:color w:val="auto"/>
          <w:sz w:val="28"/>
          <w:szCs w:val="28"/>
          <w:highlight w:val="none"/>
          <w:lang w:val="en-US" w:eastAsia="zh-CN"/>
        </w:rPr>
        <w:t>人员培训要求</w:t>
      </w:r>
      <w:bookmarkEnd w:id="49"/>
      <w:bookmarkEnd w:id="50"/>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lang w:val="en-US" w:eastAsia="zh-CN"/>
        </w:rPr>
        <w:t>1、内容：应包括设备原理、使用操作、保养维修技术等，使受训人员达到独立使用、熟练操作的程度。</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lang w:val="en-US" w:eastAsia="zh-CN"/>
        </w:rPr>
        <w:t>2、地点：按采购人要求。</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lang w:val="en-US" w:eastAsia="zh-CN"/>
        </w:rPr>
        <w:t>3、时间：按采购人要求。</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lang w:val="en-US" w:eastAsia="zh-CN"/>
        </w:rPr>
        <w:t>4、人员：按采购人要求</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lang w:val="en-US" w:eastAsia="zh-CN"/>
        </w:rPr>
        <w:t>5、费用：包含在投标报价中，采购人不再另行支付。</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lang w:val="en-US" w:eastAsia="zh-CN"/>
        </w:rPr>
        <w:t>6、卖方提供给买方培训的机会，以便熟练操作新设备带来的新技术。进修时间、人员和时间由买方确定，卖方承担培训费用，培训期间相关人员的食宿由买方自行支付。</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五、保修服务</w:t>
      </w:r>
    </w:p>
    <w:bookmarkEnd w:id="48"/>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lang w:val="en-US" w:eastAsia="zh-CN"/>
        </w:rPr>
        <w:t>1、自设备经过双方验收合格之日起按生产厂家规定的条款进行免费保修服务，整体系统的质保期为验收合格之日起2年，投标供应商承诺终身维护保养。在质保期内（质保期起始日期应为合同设备验收合格之日起），供货厂商在接到用户对所购设备进行维修的要求后，应在24小时内给予答复，并派出合格的维修人员在2个工作日内到用户现场进行维修服务。若因设备质量造成损害，全部费用由中标人支付，若需将产品送回生产厂，中标人还应支付维修设备所需的往返费用。供方在投标时应提供质保期后服务项目，即只收取零配件成本价格费用，免收其余一切费用。</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lang w:val="en-US" w:eastAsia="zh-CN"/>
        </w:rPr>
        <w:t>2、质保期内，如由于火灾、水灾、地震、磁电串入、等不可抗拒原因及买方人为破坏因素造成的损坏，卖方负责免费维修，设备材料成本费用由买方承担。</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lang w:val="en-US" w:eastAsia="zh-CN"/>
        </w:rPr>
        <w:t>3、项目验收合格后即开始提供前后端设备及平台运营维保2年。</w:t>
      </w:r>
    </w:p>
    <w:p>
      <w:pPr>
        <w:pStyle w:val="5"/>
        <w:ind w:firstLine="480"/>
        <w:rPr>
          <w:rFonts w:hint="eastAsia" w:ascii="宋体" w:hAnsi="宋体" w:cs="宋体"/>
          <w:sz w:val="24"/>
        </w:rPr>
      </w:pPr>
    </w:p>
    <w:p>
      <w:pP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br w:type="page"/>
      </w:r>
    </w:p>
    <w:p>
      <w:pPr>
        <w:pStyle w:val="3"/>
        <w:spacing w:before="0" w:beforeAutospacing="0" w:after="0" w:afterAutospacing="0" w:line="240" w:lineRule="auto"/>
        <w:jc w:val="center"/>
        <w:outlineLvl w:val="0"/>
        <w:rPr>
          <w:rFonts w:hint="eastAsia" w:ascii="宋体" w:hAnsi="宋体" w:cs="宋体"/>
          <w:b/>
          <w:bCs/>
          <w:kern w:val="0"/>
          <w:sz w:val="44"/>
          <w:szCs w:val="44"/>
          <w:lang w:bidi="ar"/>
        </w:rPr>
      </w:pPr>
      <w:r>
        <w:rPr>
          <w:rFonts w:hint="eastAsia" w:ascii="新宋体" w:hAnsi="新宋体" w:eastAsia="新宋体" w:cs="新宋体"/>
          <w:color w:val="auto"/>
          <w:sz w:val="28"/>
          <w:szCs w:val="28"/>
          <w:highlight w:val="none"/>
        </w:rPr>
        <w:t>第五章：合同条款</w:t>
      </w:r>
      <w:bookmarkEnd w:id="32"/>
      <w:bookmarkEnd w:id="33"/>
      <w:bookmarkEnd w:id="34"/>
      <w:bookmarkEnd w:id="35"/>
      <w:bookmarkEnd w:id="36"/>
      <w:r>
        <w:rPr>
          <w:rFonts w:hint="eastAsia" w:ascii="新宋体" w:hAnsi="新宋体" w:eastAsia="新宋体" w:cs="新宋体"/>
          <w:color w:val="auto"/>
          <w:sz w:val="28"/>
          <w:szCs w:val="28"/>
          <w:highlight w:val="none"/>
        </w:rPr>
        <w:t>（</w:t>
      </w:r>
      <w:r>
        <w:rPr>
          <w:rFonts w:hint="eastAsia" w:ascii="新宋体" w:hAnsi="新宋体" w:eastAsia="新宋体" w:cs="新宋体"/>
          <w:color w:val="auto"/>
          <w:sz w:val="28"/>
          <w:szCs w:val="28"/>
          <w:highlight w:val="none"/>
          <w:lang w:eastAsia="zh-CN"/>
        </w:rPr>
        <w:t>仅供</w:t>
      </w:r>
      <w:r>
        <w:rPr>
          <w:rFonts w:hint="eastAsia" w:ascii="新宋体" w:hAnsi="新宋体" w:eastAsia="新宋体" w:cs="新宋体"/>
          <w:color w:val="auto"/>
          <w:sz w:val="28"/>
          <w:szCs w:val="28"/>
          <w:highlight w:val="none"/>
        </w:rPr>
        <w:t>参考）</w:t>
      </w:r>
      <w:bookmarkEnd w:id="37"/>
      <w:bookmarkEnd w:id="38"/>
      <w:bookmarkEnd w:id="39"/>
    </w:p>
    <w:p>
      <w:pPr>
        <w:pStyle w:val="4"/>
        <w:spacing w:line="240" w:lineRule="auto"/>
        <w:jc w:val="center"/>
        <w:rPr>
          <w:rFonts w:hint="eastAsia" w:ascii="宋体" w:hAnsi="宋体" w:eastAsia="宋体" w:cs="宋体"/>
          <w:sz w:val="36"/>
          <w:szCs w:val="36"/>
        </w:rPr>
      </w:pPr>
      <w:bookmarkStart w:id="51" w:name="_Toc531184167"/>
      <w:bookmarkStart w:id="52" w:name="_Toc27648323"/>
      <w:bookmarkStart w:id="53" w:name="_Toc99"/>
      <w:bookmarkStart w:id="54" w:name="_Toc22992"/>
      <w:r>
        <w:rPr>
          <w:rFonts w:hint="eastAsia" w:ascii="宋体" w:hAnsi="宋体" w:eastAsia="宋体" w:cs="宋体"/>
          <w:sz w:val="36"/>
          <w:szCs w:val="36"/>
        </w:rPr>
        <w:t>第一节  通用合同条款</w:t>
      </w:r>
      <w:bookmarkEnd w:id="51"/>
      <w:bookmarkEnd w:id="52"/>
      <w:bookmarkEnd w:id="53"/>
      <w:bookmarkEnd w:id="54"/>
    </w:p>
    <w:p>
      <w:pPr>
        <w:pStyle w:val="4"/>
        <w:spacing w:line="240" w:lineRule="auto"/>
        <w:ind w:firstLine="105"/>
        <w:rPr>
          <w:rFonts w:hint="eastAsia" w:ascii="宋体" w:hAnsi="宋体" w:eastAsia="宋体" w:cs="宋体"/>
          <w:bCs w:val="0"/>
          <w:sz w:val="28"/>
          <w:szCs w:val="28"/>
        </w:rPr>
      </w:pPr>
      <w:bookmarkStart w:id="55" w:name="_Toc247527636"/>
      <w:bookmarkStart w:id="56" w:name="_Toc1799"/>
      <w:bookmarkStart w:id="57" w:name="_Toc27648324"/>
      <w:bookmarkStart w:id="58" w:name="_Toc19702"/>
      <w:bookmarkStart w:id="59" w:name="_Toc247514035"/>
      <w:bookmarkStart w:id="60" w:name="_Toc531184168"/>
      <w:bookmarkStart w:id="61" w:name="_Toc30942"/>
      <w:bookmarkStart w:id="62" w:name="_Toc28931"/>
      <w:bookmarkStart w:id="63" w:name="_Toc31536"/>
      <w:bookmarkStart w:id="64" w:name="_Toc20310"/>
      <w:bookmarkStart w:id="65" w:name="_Toc300835032"/>
      <w:bookmarkStart w:id="66" w:name="_Toc2881"/>
      <w:bookmarkStart w:id="67" w:name="_Toc369531601"/>
      <w:r>
        <w:rPr>
          <w:rFonts w:hint="eastAsia" w:ascii="宋体" w:hAnsi="宋体" w:eastAsia="宋体" w:cs="宋体"/>
          <w:sz w:val="28"/>
          <w:szCs w:val="28"/>
        </w:rPr>
        <w:t>1. 一般约定</w:t>
      </w:r>
      <w:bookmarkEnd w:id="55"/>
      <w:bookmarkEnd w:id="56"/>
      <w:bookmarkEnd w:id="57"/>
      <w:bookmarkEnd w:id="58"/>
      <w:bookmarkEnd w:id="59"/>
      <w:bookmarkEnd w:id="60"/>
      <w:bookmarkEnd w:id="61"/>
      <w:bookmarkEnd w:id="62"/>
      <w:bookmarkEnd w:id="63"/>
      <w:bookmarkEnd w:id="64"/>
      <w:bookmarkEnd w:id="65"/>
      <w:bookmarkEnd w:id="66"/>
      <w:bookmarkEnd w:id="67"/>
    </w:p>
    <w:p>
      <w:pPr>
        <w:pStyle w:val="6"/>
        <w:spacing w:line="240" w:lineRule="auto"/>
        <w:ind w:firstLine="157"/>
        <w:rPr>
          <w:rFonts w:hint="eastAsia" w:ascii="宋体" w:hAnsi="宋体" w:cs="宋体"/>
          <w:sz w:val="28"/>
          <w:szCs w:val="28"/>
        </w:rPr>
      </w:pPr>
      <w:bookmarkStart w:id="68" w:name="_Toc247085770"/>
      <w:bookmarkStart w:id="69" w:name="_Toc27648325"/>
      <w:bookmarkStart w:id="70" w:name="_Toc246996998"/>
      <w:bookmarkStart w:id="71" w:name="_Toc531184169"/>
      <w:bookmarkStart w:id="72" w:name="_Toc24004"/>
      <w:bookmarkStart w:id="73" w:name="_Toc296602500"/>
      <w:bookmarkStart w:id="74" w:name="_Toc11630"/>
      <w:bookmarkStart w:id="75" w:name="_Toc27578"/>
      <w:bookmarkStart w:id="76" w:name="_Toc3381"/>
      <w:bookmarkStart w:id="77" w:name="_Toc369531602"/>
      <w:bookmarkStart w:id="78" w:name="_Toc246996255"/>
      <w:bookmarkStart w:id="79" w:name="_Toc28899"/>
      <w:bookmarkStart w:id="80" w:name="_Toc15940"/>
      <w:bookmarkStart w:id="81" w:name="_Toc32027"/>
      <w:r>
        <w:rPr>
          <w:rFonts w:hint="eastAsia" w:ascii="宋体" w:hAnsi="宋体" w:cs="宋体"/>
          <w:sz w:val="28"/>
          <w:szCs w:val="28"/>
        </w:rPr>
        <w:t>1.1 词语定义</w:t>
      </w:r>
      <w:bookmarkEnd w:id="68"/>
      <w:bookmarkEnd w:id="69"/>
      <w:bookmarkEnd w:id="70"/>
      <w:bookmarkEnd w:id="71"/>
      <w:bookmarkEnd w:id="72"/>
      <w:bookmarkEnd w:id="73"/>
      <w:bookmarkEnd w:id="74"/>
      <w:bookmarkEnd w:id="75"/>
      <w:bookmarkEnd w:id="76"/>
      <w:bookmarkEnd w:id="77"/>
      <w:bookmarkEnd w:id="78"/>
      <w:bookmarkEnd w:id="79"/>
      <w:bookmarkEnd w:id="80"/>
      <w:bookmarkEnd w:id="81"/>
    </w:p>
    <w:p>
      <w:pPr>
        <w:spacing w:line="360" w:lineRule="auto"/>
        <w:ind w:firstLine="560" w:firstLineChars="200"/>
        <w:rPr>
          <w:rFonts w:hint="eastAsia" w:ascii="宋体" w:hAnsi="宋体" w:cs="宋体"/>
          <w:sz w:val="28"/>
          <w:szCs w:val="28"/>
        </w:rPr>
      </w:pPr>
      <w:r>
        <w:rPr>
          <w:rFonts w:hint="eastAsia" w:ascii="宋体" w:hAnsi="宋体" w:cs="宋体"/>
          <w:sz w:val="28"/>
          <w:szCs w:val="28"/>
        </w:rPr>
        <w:t>除专用合同条款另有约定外，合同中的下列词语应具有本款所赋予的含义。</w:t>
      </w:r>
    </w:p>
    <w:p>
      <w:pPr>
        <w:spacing w:line="360" w:lineRule="auto"/>
        <w:ind w:firstLine="562" w:firstLineChars="200"/>
        <w:rPr>
          <w:rFonts w:hint="eastAsia" w:ascii="宋体" w:hAnsi="宋体" w:cs="宋体"/>
          <w:b/>
          <w:sz w:val="28"/>
          <w:szCs w:val="28"/>
        </w:rPr>
      </w:pPr>
      <w:r>
        <w:rPr>
          <w:rFonts w:hint="eastAsia" w:ascii="宋体" w:hAnsi="宋体" w:cs="宋体"/>
          <w:b/>
          <w:sz w:val="28"/>
          <w:szCs w:val="28"/>
        </w:rPr>
        <w:t>1.1.1 合同</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1.1.1.1 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1.1.1.2 合同协议书：指买方和卖方共同签署的合同协议书。</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1.1.1.3 中标通知书：指买方通知卖方中标的函件。</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1.1.1.4 投标函：指由卖方填写并签署的，名为“投标函”的函件。</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1.1.1.5 商务和技术偏差表：指卖方投标文件中的商务和技术偏差表。</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1.1.1.6 供货要求：指合同文件中名为“供货要求”的文件。</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1.1.1.7 中标设备技术性能指标的详细描述：指卖方投标文件中的投标设备技术性能指标的详细描述。</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1.1.1.8 技术服务和5年运维期服务计划：指卖方投标文件中的技术服务和5年运维期服务计划。</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1.1.1.9 分项报价表：指卖方投标文件中的分项报价表。</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1.1.1.10 其他合同文件：指经合同双方当事人确认构成合同文件的其他文件。</w:t>
      </w:r>
    </w:p>
    <w:p>
      <w:pPr>
        <w:spacing w:line="360" w:lineRule="auto"/>
        <w:ind w:firstLine="562" w:firstLineChars="200"/>
        <w:rPr>
          <w:rFonts w:hint="eastAsia" w:ascii="宋体" w:hAnsi="宋体" w:cs="宋体"/>
          <w:b/>
          <w:sz w:val="28"/>
          <w:szCs w:val="28"/>
        </w:rPr>
      </w:pPr>
      <w:r>
        <w:rPr>
          <w:rFonts w:hint="eastAsia" w:ascii="宋体" w:hAnsi="宋体" w:cs="宋体"/>
          <w:b/>
          <w:sz w:val="28"/>
          <w:szCs w:val="28"/>
        </w:rPr>
        <w:t>1.1.2 合同当事人</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1.1.2.1 合同当事人：指买方和（或）卖方。</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1.1.2.2 买方：指与卖方签订合同协议书，购买合同设备和技术服务和质保期服务的当事人，及其合法继承人。</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1.1.2.3 卖方：指与买方签订合同协议书，提供合同设备和技术服务和质保期服务的当事人，及其合法继承人。</w:t>
      </w:r>
    </w:p>
    <w:p>
      <w:pPr>
        <w:spacing w:line="360" w:lineRule="auto"/>
        <w:ind w:firstLine="562" w:firstLineChars="200"/>
        <w:rPr>
          <w:rFonts w:hint="eastAsia" w:ascii="宋体" w:hAnsi="宋体" w:cs="宋体"/>
          <w:b/>
          <w:sz w:val="28"/>
          <w:szCs w:val="28"/>
        </w:rPr>
      </w:pPr>
      <w:bookmarkStart w:id="82" w:name="_Toc246997004"/>
      <w:bookmarkStart w:id="83" w:name="_Toc247085776"/>
      <w:bookmarkStart w:id="84" w:name="_Toc382920043"/>
      <w:bookmarkStart w:id="85" w:name="_Toc369531607"/>
      <w:bookmarkStart w:id="86" w:name="_Toc246996261"/>
      <w:bookmarkStart w:id="87" w:name="_Toc296602506"/>
      <w:bookmarkStart w:id="88" w:name="_Toc31184"/>
      <w:r>
        <w:rPr>
          <w:rFonts w:hint="eastAsia" w:ascii="宋体" w:hAnsi="宋体" w:cs="宋体"/>
          <w:b/>
          <w:sz w:val="28"/>
          <w:szCs w:val="28"/>
        </w:rPr>
        <w:t>1.1.3 合同价格</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1.1.3.1 签约合同价：是签订合同时合同协议书中写明的合同总金额。</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1.1.3.2 合同价格：指卖方按合同约定履行了全部合同义务后，买方应付给卖方的金额。</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1.1.4 合同设备：指卖方按合同约定应向买方提供的设备、装置、备品、备件、易损易耗件、配套使用的软件或其他辅助电子应用程序及技术资料，或其中任何一部分。</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1.1.5 技术资料：指各种纸质及电子载体的与合同设备的设计、检验、安装、调试、考核、操作、维修以及保养等有关的技术指标、规格、图纸和说明文件。</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1.1.6 安装：指对合同设备进行的组装、连接以</w:t>
      </w:r>
      <w:bookmarkStart w:id="89" w:name="_Toc15914"/>
      <w:r>
        <w:rPr>
          <w:rFonts w:hint="eastAsia" w:ascii="宋体" w:hAnsi="宋体" w:cs="宋体"/>
          <w:sz w:val="28"/>
          <w:szCs w:val="28"/>
        </w:rPr>
        <w:t>及根据需要将合同设备固定在施</w:t>
      </w:r>
      <w:bookmarkEnd w:id="89"/>
      <w:r>
        <w:rPr>
          <w:rFonts w:hint="eastAsia" w:ascii="宋体" w:hAnsi="宋体" w:cs="宋体"/>
          <w:sz w:val="28"/>
          <w:szCs w:val="28"/>
        </w:rPr>
        <w:t>工场地内一定的位置上，使其就位并与相关设备、工程实现连接。</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1.1.7 调试：指在合同设备安装完成后，对合同设备所进行的调校和测试。</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1.1.8 考核：指在合同设备调试完成后，对合同设备进行的用于确定其是否达到合同约定的技术性能考核指标的考核。</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1.1.9 验收：指合同设备通过考核达到合同约定的技术性能考核指标后，买方做出接受合同设备的确认。</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1.1.10 技术服务：指卖方按合同约定，在合同设备验收前，向买方提供的安装、调试服务，或者在由买方负责的安装、调试、考核中对买方进行的技术指导、协助、监督和培训等。</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1.1.11</w:t>
      </w:r>
      <w:bookmarkStart w:id="90" w:name="_Toc17041"/>
      <w:r>
        <w:rPr>
          <w:rFonts w:hint="eastAsia" w:ascii="宋体" w:hAnsi="宋体" w:cs="宋体"/>
          <w:sz w:val="28"/>
          <w:szCs w:val="28"/>
        </w:rPr>
        <w:t>质量保证期：指合</w:t>
      </w:r>
      <w:bookmarkEnd w:id="90"/>
      <w:r>
        <w:rPr>
          <w:rFonts w:hint="eastAsia" w:ascii="宋体" w:hAnsi="宋体" w:cs="宋体"/>
          <w:sz w:val="28"/>
          <w:szCs w:val="28"/>
        </w:rPr>
        <w:t>同设备验收后，卖方按合同约定保证合同设备适当、稳定运行，并负责消除合同设备故障的期限。</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1.1.12 质保期服务：指在质量保证期内，卖方向买方提供的合同设备维护服务、咨询服务、技术指导、协助以及对出现故障的合同设备进行修理或更换的服务。</w:t>
      </w:r>
    </w:p>
    <w:p>
      <w:pPr>
        <w:spacing w:line="360" w:lineRule="auto"/>
        <w:ind w:firstLine="562" w:firstLineChars="200"/>
        <w:rPr>
          <w:rFonts w:hint="eastAsia" w:ascii="宋体" w:hAnsi="宋体" w:cs="宋体"/>
          <w:b/>
          <w:sz w:val="28"/>
          <w:szCs w:val="28"/>
        </w:rPr>
      </w:pPr>
      <w:r>
        <w:rPr>
          <w:rFonts w:hint="eastAsia" w:ascii="宋体" w:hAnsi="宋体" w:cs="宋体"/>
          <w:b/>
          <w:sz w:val="28"/>
          <w:szCs w:val="28"/>
        </w:rPr>
        <w:t>1.1.13 工程</w:t>
      </w:r>
    </w:p>
    <w:p>
      <w:pPr>
        <w:spacing w:line="360" w:lineRule="auto"/>
        <w:ind w:firstLine="560" w:firstLineChars="200"/>
        <w:rPr>
          <w:rFonts w:hint="eastAsia" w:ascii="宋体" w:hAnsi="宋体" w:cs="宋体"/>
          <w:sz w:val="28"/>
          <w:szCs w:val="28"/>
        </w:rPr>
      </w:pPr>
      <w:bookmarkStart w:id="91" w:name="_Toc247527634"/>
      <w:bookmarkStart w:id="92" w:name="_Toc247514033"/>
      <w:bookmarkStart w:id="93" w:name="_Toc369531599"/>
      <w:bookmarkStart w:id="94" w:name="_Toc30842"/>
      <w:bookmarkStart w:id="95" w:name="_Toc384308283"/>
      <w:bookmarkStart w:id="96" w:name="_Toc361508657"/>
      <w:bookmarkStart w:id="97" w:name="_Toc300835030"/>
      <w:bookmarkStart w:id="98" w:name="_Toc246996997"/>
      <w:bookmarkStart w:id="99" w:name="_Toc296602499"/>
      <w:bookmarkStart w:id="100" w:name="_Toc246996254"/>
      <w:bookmarkStart w:id="101" w:name="_Toc247085769"/>
      <w:bookmarkStart w:id="102" w:name="_Toc184635098"/>
      <w:r>
        <w:rPr>
          <w:rFonts w:hint="eastAsia" w:ascii="宋体" w:hAnsi="宋体" w:cs="宋体"/>
          <w:sz w:val="28"/>
          <w:szCs w:val="28"/>
        </w:rPr>
        <w:t>1.1.13.1 工程：</w:t>
      </w:r>
      <w:bookmarkEnd w:id="91"/>
      <w:bookmarkEnd w:id="92"/>
      <w:bookmarkEnd w:id="93"/>
      <w:bookmarkEnd w:id="94"/>
      <w:bookmarkEnd w:id="95"/>
      <w:bookmarkEnd w:id="96"/>
      <w:bookmarkEnd w:id="97"/>
      <w:r>
        <w:rPr>
          <w:rFonts w:hint="eastAsia" w:ascii="宋体" w:hAnsi="宋体" w:cs="宋体"/>
          <w:sz w:val="28"/>
          <w:szCs w:val="28"/>
        </w:rPr>
        <w:t>指在专用合同条款中指明的，安装运行</w:t>
      </w:r>
      <w:bookmarkEnd w:id="98"/>
      <w:bookmarkEnd w:id="99"/>
      <w:bookmarkEnd w:id="100"/>
      <w:bookmarkEnd w:id="101"/>
      <w:bookmarkEnd w:id="102"/>
      <w:bookmarkStart w:id="103" w:name="_Toc9002"/>
      <w:r>
        <w:rPr>
          <w:rFonts w:hint="eastAsia" w:ascii="宋体" w:hAnsi="宋体" w:cs="宋体"/>
          <w:sz w:val="28"/>
          <w:szCs w:val="28"/>
        </w:rPr>
        <w:t>合同设备</w:t>
      </w:r>
      <w:bookmarkEnd w:id="103"/>
      <w:bookmarkStart w:id="104" w:name="_Toc6626"/>
      <w:r>
        <w:rPr>
          <w:rFonts w:hint="eastAsia" w:ascii="宋体" w:hAnsi="宋体" w:cs="宋体"/>
          <w:sz w:val="28"/>
          <w:szCs w:val="28"/>
        </w:rPr>
        <w:t>的工程。</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w:t>
      </w:r>
      <w:bookmarkEnd w:id="104"/>
      <w:r>
        <w:rPr>
          <w:rFonts w:hint="eastAsia" w:ascii="宋体" w:hAnsi="宋体" w:cs="宋体"/>
          <w:sz w:val="28"/>
          <w:szCs w:val="28"/>
        </w:rPr>
        <w:t>.13.2 施工场地（或称工地、施工现场）：指专用合同条款中指明的工程所在场所。</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1.1.14 天（或称日）：除特别指明外，指日历天。合同中按天计算时间的，开始当天不计入，从次日开始计算。合同约定的期间的最后一天是星期日或者其他法定休假日的，以休假日的次日为期间的最后一天。</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1.1.15 月：按照公历月计算。合同中按月计算时间的，开始当天不计入，从次日开始计算。合同约定的期间的最后一天是星期日或者其他法定休假日的，以休假日的次日为期间的最后一天。</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1.1.16 书面形式：指合同文件、信件和数据电文（包括电报、电传、传真、电子数据交换和电子邮件）等可以有形地表现所载内容的形式。</w:t>
      </w:r>
    </w:p>
    <w:p>
      <w:pPr>
        <w:pStyle w:val="6"/>
        <w:spacing w:line="240" w:lineRule="auto"/>
        <w:ind w:firstLine="157"/>
        <w:rPr>
          <w:rFonts w:hint="eastAsia" w:ascii="宋体" w:hAnsi="宋体" w:cs="宋体"/>
          <w:sz w:val="28"/>
          <w:szCs w:val="28"/>
        </w:rPr>
      </w:pPr>
      <w:bookmarkStart w:id="105" w:name="_Toc482188728"/>
      <w:bookmarkStart w:id="106" w:name="_Toc15370"/>
      <w:bookmarkStart w:id="107" w:name="_Toc24600"/>
      <w:bookmarkStart w:id="108" w:name="_Toc22939"/>
      <w:bookmarkStart w:id="109" w:name="_Toc28718"/>
      <w:bookmarkStart w:id="110" w:name="_Toc531184170"/>
      <w:bookmarkStart w:id="111" w:name="_Toc27648326"/>
      <w:bookmarkStart w:id="112" w:name="_Toc25897"/>
      <w:bookmarkStart w:id="113" w:name="_Toc2469"/>
      <w:r>
        <w:rPr>
          <w:rFonts w:hint="eastAsia" w:ascii="宋体" w:hAnsi="宋体" w:cs="宋体"/>
          <w:sz w:val="28"/>
          <w:szCs w:val="28"/>
        </w:rPr>
        <w:t>1.2 语言文字</w:t>
      </w:r>
      <w:bookmarkEnd w:id="105"/>
      <w:bookmarkEnd w:id="106"/>
      <w:bookmarkEnd w:id="107"/>
      <w:bookmarkEnd w:id="108"/>
      <w:bookmarkEnd w:id="109"/>
      <w:bookmarkEnd w:id="110"/>
      <w:bookmarkEnd w:id="111"/>
      <w:bookmarkEnd w:id="112"/>
      <w:bookmarkEnd w:id="113"/>
    </w:p>
    <w:p>
      <w:pPr>
        <w:spacing w:line="360" w:lineRule="auto"/>
        <w:ind w:firstLine="560" w:firstLineChars="200"/>
        <w:rPr>
          <w:rFonts w:hint="eastAsia" w:ascii="宋体" w:hAnsi="宋体" w:cs="宋体"/>
          <w:sz w:val="28"/>
          <w:szCs w:val="28"/>
        </w:rPr>
      </w:pPr>
      <w:r>
        <w:rPr>
          <w:rFonts w:hint="eastAsia" w:ascii="宋体" w:hAnsi="宋体" w:cs="宋体"/>
          <w:sz w:val="28"/>
          <w:szCs w:val="28"/>
        </w:rPr>
        <w:t>合同使用的语言文字为中文。专用术语使用外文的，应附有中文注释。</w:t>
      </w:r>
    </w:p>
    <w:p>
      <w:pPr>
        <w:pStyle w:val="6"/>
        <w:spacing w:line="240" w:lineRule="auto"/>
        <w:ind w:firstLine="157"/>
        <w:rPr>
          <w:rFonts w:hint="eastAsia" w:ascii="宋体" w:hAnsi="宋体" w:cs="宋体"/>
          <w:sz w:val="28"/>
          <w:szCs w:val="28"/>
        </w:rPr>
      </w:pPr>
      <w:bookmarkStart w:id="114" w:name="_Toc482188729"/>
      <w:bookmarkStart w:id="115" w:name="_Toc8170"/>
      <w:bookmarkStart w:id="116" w:name="_Toc27648327"/>
      <w:bookmarkStart w:id="117" w:name="_Toc531184171"/>
      <w:bookmarkStart w:id="118" w:name="_Toc7022"/>
      <w:bookmarkStart w:id="119" w:name="_Toc27635"/>
      <w:bookmarkStart w:id="120" w:name="_Toc12785"/>
      <w:bookmarkStart w:id="121" w:name="_Toc20338"/>
      <w:bookmarkStart w:id="122" w:name="_Toc14794"/>
      <w:r>
        <w:rPr>
          <w:rFonts w:hint="eastAsia" w:ascii="宋体" w:hAnsi="宋体" w:cs="宋体"/>
          <w:sz w:val="28"/>
          <w:szCs w:val="28"/>
        </w:rPr>
        <w:t>1.3合同文件的优先顺序</w:t>
      </w:r>
      <w:bookmarkEnd w:id="114"/>
      <w:bookmarkEnd w:id="115"/>
      <w:bookmarkEnd w:id="116"/>
      <w:bookmarkEnd w:id="117"/>
      <w:bookmarkEnd w:id="118"/>
      <w:bookmarkEnd w:id="119"/>
      <w:bookmarkEnd w:id="120"/>
      <w:bookmarkEnd w:id="121"/>
      <w:bookmarkEnd w:id="122"/>
    </w:p>
    <w:p>
      <w:pPr>
        <w:spacing w:line="360" w:lineRule="auto"/>
        <w:ind w:firstLine="560" w:firstLineChars="200"/>
        <w:rPr>
          <w:rFonts w:hint="eastAsia" w:ascii="宋体" w:hAnsi="宋体" w:cs="宋体"/>
          <w:sz w:val="28"/>
          <w:szCs w:val="28"/>
        </w:rPr>
      </w:pPr>
      <w:r>
        <w:rPr>
          <w:rFonts w:hint="eastAsia" w:ascii="宋体" w:hAnsi="宋体" w:cs="宋体"/>
          <w:sz w:val="28"/>
          <w:szCs w:val="28"/>
        </w:rPr>
        <w:t>组成合同的各项文件应互相解释，互为说明。除专用合同条款另有约定外，解释合同文件的优先顺序如下：</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（1）合同协议书；</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（2）中标通知书；</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（3）投标函；</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（4）商务和技术偏差表；</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（5）专用合同条款；</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（6）通用合同条款；</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（7）供货要求；</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（8）分项报价表；</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（9）中标设备技术性</w:t>
      </w:r>
      <w:r>
        <w:rPr>
          <w:rFonts w:hint="eastAsia" w:ascii="宋体" w:hAnsi="宋体" w:cs="宋体"/>
          <w:sz w:val="28"/>
          <w:szCs w:val="28"/>
          <w:lang w:val="en-US" w:eastAsia="zh-CN"/>
        </w:rPr>
        <w:t>2</w:t>
      </w:r>
      <w:r>
        <w:rPr>
          <w:rFonts w:hint="eastAsia" w:ascii="宋体" w:hAnsi="宋体" w:cs="宋体"/>
          <w:sz w:val="28"/>
          <w:szCs w:val="28"/>
        </w:rPr>
        <w:t>年能指标的详细描述；</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（10）技术服务和运维期服务计划；</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（11）其他合同文件。</w:t>
      </w:r>
    </w:p>
    <w:p>
      <w:pPr>
        <w:pStyle w:val="6"/>
        <w:spacing w:line="240" w:lineRule="auto"/>
        <w:ind w:firstLine="157"/>
        <w:rPr>
          <w:rFonts w:hint="eastAsia" w:ascii="宋体" w:hAnsi="宋体" w:cs="宋体"/>
          <w:sz w:val="28"/>
          <w:szCs w:val="28"/>
        </w:rPr>
      </w:pPr>
      <w:bookmarkStart w:id="123" w:name="_Toc746"/>
      <w:bookmarkStart w:id="124" w:name="_Toc482188730"/>
      <w:bookmarkStart w:id="125" w:name="_Toc27648328"/>
      <w:bookmarkStart w:id="126" w:name="_Toc10654"/>
      <w:bookmarkStart w:id="127" w:name="_Toc531184172"/>
      <w:bookmarkStart w:id="128" w:name="_Toc7835"/>
      <w:bookmarkStart w:id="129" w:name="_Toc13039"/>
      <w:bookmarkStart w:id="130" w:name="_Toc31559"/>
      <w:bookmarkStart w:id="131" w:name="_Toc20705"/>
      <w:r>
        <w:rPr>
          <w:rFonts w:hint="eastAsia" w:ascii="宋体" w:hAnsi="宋体" w:cs="宋体"/>
          <w:sz w:val="28"/>
          <w:szCs w:val="28"/>
        </w:rPr>
        <w:t>1.4 合同的生效及变更</w:t>
      </w:r>
      <w:bookmarkEnd w:id="123"/>
      <w:bookmarkEnd w:id="124"/>
      <w:bookmarkEnd w:id="125"/>
      <w:bookmarkEnd w:id="126"/>
      <w:bookmarkEnd w:id="127"/>
      <w:bookmarkEnd w:id="128"/>
      <w:bookmarkEnd w:id="129"/>
      <w:bookmarkEnd w:id="130"/>
      <w:bookmarkEnd w:id="131"/>
    </w:p>
    <w:p>
      <w:pPr>
        <w:spacing w:line="360" w:lineRule="auto"/>
        <w:ind w:firstLine="560" w:firstLineChars="200"/>
        <w:rPr>
          <w:rFonts w:hint="eastAsia" w:ascii="宋体" w:hAnsi="宋体" w:cs="宋体"/>
          <w:sz w:val="28"/>
          <w:szCs w:val="28"/>
        </w:rPr>
      </w:pPr>
      <w:r>
        <w:rPr>
          <w:rFonts w:hint="eastAsia" w:ascii="宋体" w:hAnsi="宋体" w:cs="宋体"/>
          <w:sz w:val="28"/>
          <w:szCs w:val="28"/>
        </w:rPr>
        <w:t>1.4.1 除专用合同条款另有约定外，买方和卖方的法定代表人（单位负责人）或其授权代表在合同协议书上签字并加盖单位章后，合同生效。</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1.4.2 除专用合同条款另有约定外，在合同履行过程中，如需对合同进行变更，双方应签订书面协议，并经双方法定代表人（单位负责人）或其授权代表签字并加盖单位章后生效。</w:t>
      </w:r>
    </w:p>
    <w:p>
      <w:pPr>
        <w:pStyle w:val="6"/>
        <w:spacing w:line="240" w:lineRule="auto"/>
        <w:ind w:firstLine="157"/>
        <w:rPr>
          <w:rFonts w:hint="eastAsia" w:ascii="宋体" w:hAnsi="宋体" w:cs="宋体"/>
          <w:sz w:val="28"/>
          <w:szCs w:val="28"/>
        </w:rPr>
      </w:pPr>
      <w:bookmarkStart w:id="132" w:name="_Toc11244"/>
      <w:bookmarkStart w:id="133" w:name="_Toc11351"/>
      <w:bookmarkStart w:id="134" w:name="_Toc19434"/>
      <w:bookmarkStart w:id="135" w:name="_Toc6479"/>
      <w:bookmarkStart w:id="136" w:name="_Toc27648329"/>
      <w:bookmarkStart w:id="137" w:name="_Toc114"/>
      <w:bookmarkStart w:id="138" w:name="_Toc482188731"/>
      <w:bookmarkStart w:id="139" w:name="_Toc531184173"/>
      <w:bookmarkStart w:id="140" w:name="_Toc14751"/>
      <w:r>
        <w:rPr>
          <w:rFonts w:hint="eastAsia" w:ascii="宋体" w:hAnsi="宋体" w:cs="宋体"/>
          <w:sz w:val="28"/>
          <w:szCs w:val="28"/>
        </w:rPr>
        <w:t>1.5联络</w:t>
      </w:r>
      <w:bookmarkEnd w:id="132"/>
      <w:bookmarkEnd w:id="133"/>
      <w:bookmarkEnd w:id="134"/>
      <w:bookmarkEnd w:id="135"/>
      <w:bookmarkEnd w:id="136"/>
      <w:bookmarkEnd w:id="137"/>
      <w:bookmarkEnd w:id="138"/>
      <w:bookmarkEnd w:id="139"/>
      <w:bookmarkEnd w:id="140"/>
    </w:p>
    <w:p>
      <w:pPr>
        <w:spacing w:line="360" w:lineRule="auto"/>
        <w:ind w:firstLine="560" w:firstLineChars="200"/>
        <w:rPr>
          <w:rFonts w:hint="eastAsia" w:ascii="宋体" w:hAnsi="宋体" w:cs="宋体"/>
          <w:sz w:val="28"/>
          <w:szCs w:val="28"/>
        </w:rPr>
      </w:pPr>
      <w:r>
        <w:rPr>
          <w:rFonts w:hint="eastAsia" w:ascii="宋体" w:hAnsi="宋体" w:cs="宋体"/>
          <w:sz w:val="28"/>
          <w:szCs w:val="28"/>
        </w:rPr>
        <w:t>1.5.1 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1.5.2 合同履行中或与合同有关的任何联络，送达到第1.5.1项指定的联系人即视为送达。</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1.5.3 买方可以安排监理等相关人员作为买方人员，与卖方进行联络或参加合同设备的监造（如有）、交货前检验（如有）、开箱检验、安装、调试、考核、验收等，但应按照第1.5.1项的约定事先书面通知卖方。</w:t>
      </w:r>
    </w:p>
    <w:p>
      <w:pPr>
        <w:pStyle w:val="6"/>
        <w:spacing w:line="240" w:lineRule="auto"/>
        <w:ind w:firstLine="157"/>
        <w:rPr>
          <w:rFonts w:hint="eastAsia" w:ascii="宋体" w:hAnsi="宋体" w:cs="宋体"/>
          <w:sz w:val="28"/>
          <w:szCs w:val="28"/>
        </w:rPr>
      </w:pPr>
      <w:bookmarkStart w:id="141" w:name="_Toc12755"/>
      <w:bookmarkStart w:id="142" w:name="_Toc531184175"/>
      <w:bookmarkStart w:id="143" w:name="_Toc482188733"/>
      <w:bookmarkStart w:id="144" w:name="_Toc24626"/>
      <w:bookmarkStart w:id="145" w:name="_Toc3054"/>
      <w:bookmarkStart w:id="146" w:name="_Toc27648330"/>
      <w:bookmarkStart w:id="147" w:name="_Toc30163"/>
      <w:bookmarkStart w:id="148" w:name="_Toc15365"/>
      <w:bookmarkStart w:id="149" w:name="_Toc5281"/>
      <w:r>
        <w:rPr>
          <w:rFonts w:hint="eastAsia" w:ascii="宋体" w:hAnsi="宋体" w:cs="宋体"/>
          <w:sz w:val="28"/>
          <w:szCs w:val="28"/>
        </w:rPr>
        <w:t>1.6 转让</w:t>
      </w:r>
      <w:bookmarkEnd w:id="141"/>
      <w:bookmarkEnd w:id="142"/>
      <w:bookmarkEnd w:id="143"/>
      <w:bookmarkEnd w:id="144"/>
      <w:bookmarkEnd w:id="145"/>
      <w:bookmarkEnd w:id="146"/>
      <w:bookmarkEnd w:id="147"/>
      <w:bookmarkEnd w:id="148"/>
      <w:bookmarkEnd w:id="149"/>
    </w:p>
    <w:p>
      <w:pPr>
        <w:spacing w:line="360" w:lineRule="auto"/>
        <w:ind w:firstLine="560" w:firstLineChars="200"/>
        <w:rPr>
          <w:rFonts w:hint="eastAsia" w:ascii="宋体" w:hAnsi="宋体" w:cs="宋体"/>
          <w:sz w:val="28"/>
          <w:szCs w:val="28"/>
        </w:rPr>
      </w:pPr>
      <w:r>
        <w:rPr>
          <w:rFonts w:hint="eastAsia" w:ascii="宋体" w:hAnsi="宋体" w:cs="宋体"/>
          <w:sz w:val="28"/>
          <w:szCs w:val="28"/>
        </w:rPr>
        <w:t>未经对方当事人书面同意，合同任何一方均不得转让其在合同项下的权利和（或）义务。</w:t>
      </w:r>
    </w:p>
    <w:p>
      <w:pPr>
        <w:pStyle w:val="4"/>
        <w:spacing w:line="240" w:lineRule="auto"/>
        <w:rPr>
          <w:rFonts w:hint="eastAsia" w:ascii="宋体" w:hAnsi="宋体" w:eastAsia="宋体" w:cs="宋体"/>
          <w:bCs w:val="0"/>
          <w:sz w:val="28"/>
          <w:szCs w:val="28"/>
        </w:rPr>
      </w:pPr>
      <w:bookmarkStart w:id="150" w:name="_Toc28922"/>
      <w:bookmarkStart w:id="151" w:name="_Toc24068"/>
      <w:bookmarkStart w:id="152" w:name="_Toc27648331"/>
      <w:bookmarkStart w:id="153" w:name="_Toc6315"/>
      <w:bookmarkStart w:id="154" w:name="_Toc482188734"/>
      <w:bookmarkStart w:id="155" w:name="_Toc531184176"/>
      <w:bookmarkStart w:id="156" w:name="_Toc2665"/>
      <w:bookmarkStart w:id="157" w:name="_Toc7838"/>
      <w:bookmarkStart w:id="158" w:name="_Toc13483"/>
      <w:r>
        <w:rPr>
          <w:rFonts w:hint="eastAsia" w:ascii="宋体" w:hAnsi="宋体" w:eastAsia="宋体" w:cs="宋体"/>
          <w:sz w:val="28"/>
          <w:szCs w:val="28"/>
        </w:rPr>
        <w:t>2. 合同范围</w:t>
      </w:r>
      <w:bookmarkEnd w:id="150"/>
      <w:bookmarkEnd w:id="151"/>
      <w:bookmarkEnd w:id="152"/>
      <w:bookmarkEnd w:id="153"/>
      <w:bookmarkEnd w:id="154"/>
      <w:bookmarkEnd w:id="155"/>
      <w:bookmarkEnd w:id="156"/>
      <w:bookmarkEnd w:id="157"/>
      <w:bookmarkEnd w:id="158"/>
    </w:p>
    <w:p>
      <w:pPr>
        <w:spacing w:line="360" w:lineRule="auto"/>
        <w:ind w:firstLine="560" w:firstLineChars="200"/>
        <w:rPr>
          <w:rFonts w:hint="eastAsia" w:ascii="宋体" w:hAnsi="宋体" w:cs="宋体"/>
          <w:sz w:val="28"/>
          <w:szCs w:val="28"/>
        </w:rPr>
      </w:pPr>
      <w:r>
        <w:rPr>
          <w:rFonts w:hint="eastAsia" w:ascii="宋体" w:hAnsi="宋体" w:cs="宋体"/>
          <w:sz w:val="28"/>
          <w:szCs w:val="28"/>
        </w:rPr>
        <w:t>卖方应根据供货要求、中标设备技术性能指标的详细描述、技术服务和</w:t>
      </w:r>
      <w:r>
        <w:rPr>
          <w:rFonts w:hint="eastAsia" w:ascii="宋体" w:hAnsi="宋体" w:cs="宋体"/>
          <w:sz w:val="28"/>
          <w:szCs w:val="28"/>
          <w:lang w:val="en-US" w:eastAsia="zh-CN"/>
        </w:rPr>
        <w:t>2</w:t>
      </w:r>
      <w:r>
        <w:rPr>
          <w:rFonts w:hint="eastAsia" w:ascii="宋体" w:hAnsi="宋体" w:cs="宋体"/>
          <w:sz w:val="28"/>
          <w:szCs w:val="28"/>
        </w:rPr>
        <w:t>年运维期服务计划等合同文件的约定向买方提供合同设备、技术服务和</w:t>
      </w:r>
      <w:r>
        <w:rPr>
          <w:rFonts w:hint="eastAsia" w:ascii="宋体" w:hAnsi="宋体" w:cs="宋体"/>
          <w:sz w:val="28"/>
          <w:szCs w:val="28"/>
          <w:lang w:val="en-US" w:eastAsia="zh-CN"/>
        </w:rPr>
        <w:t>2</w:t>
      </w:r>
      <w:r>
        <w:rPr>
          <w:rFonts w:hint="eastAsia" w:ascii="宋体" w:hAnsi="宋体" w:cs="宋体"/>
          <w:sz w:val="28"/>
          <w:szCs w:val="28"/>
        </w:rPr>
        <w:t>年运维期服务。</w:t>
      </w:r>
    </w:p>
    <w:p>
      <w:pPr>
        <w:pStyle w:val="4"/>
        <w:spacing w:line="240" w:lineRule="auto"/>
        <w:rPr>
          <w:rFonts w:hint="eastAsia" w:ascii="宋体" w:hAnsi="宋体" w:eastAsia="宋体" w:cs="宋体"/>
          <w:bCs w:val="0"/>
          <w:sz w:val="28"/>
          <w:szCs w:val="28"/>
        </w:rPr>
      </w:pPr>
      <w:bookmarkStart w:id="159" w:name="_Toc531184177"/>
      <w:bookmarkStart w:id="160" w:name="_Toc11091"/>
      <w:bookmarkStart w:id="161" w:name="_Toc27648332"/>
      <w:bookmarkStart w:id="162" w:name="_Toc24028"/>
      <w:bookmarkStart w:id="163" w:name="_Toc2300"/>
      <w:bookmarkStart w:id="164" w:name="_Toc5692"/>
      <w:bookmarkStart w:id="165" w:name="_Toc16160"/>
      <w:bookmarkStart w:id="166" w:name="_Toc482188735"/>
      <w:bookmarkStart w:id="167" w:name="_Toc21648"/>
      <w:r>
        <w:rPr>
          <w:rFonts w:hint="eastAsia" w:ascii="宋体" w:hAnsi="宋体" w:eastAsia="宋体" w:cs="宋体"/>
          <w:sz w:val="28"/>
          <w:szCs w:val="28"/>
        </w:rPr>
        <w:t>3. 合同价格与支付</w:t>
      </w:r>
      <w:bookmarkEnd w:id="159"/>
      <w:bookmarkEnd w:id="160"/>
      <w:bookmarkEnd w:id="161"/>
      <w:bookmarkEnd w:id="162"/>
      <w:bookmarkEnd w:id="163"/>
      <w:bookmarkEnd w:id="164"/>
      <w:bookmarkEnd w:id="165"/>
      <w:bookmarkEnd w:id="166"/>
      <w:bookmarkEnd w:id="167"/>
    </w:p>
    <w:p>
      <w:pPr>
        <w:pStyle w:val="6"/>
        <w:spacing w:line="240" w:lineRule="auto"/>
        <w:ind w:firstLine="157"/>
        <w:rPr>
          <w:rFonts w:hint="eastAsia" w:ascii="宋体" w:hAnsi="宋体" w:cs="宋体"/>
          <w:sz w:val="28"/>
          <w:szCs w:val="28"/>
        </w:rPr>
      </w:pPr>
      <w:bookmarkStart w:id="168" w:name="_Toc24944"/>
      <w:bookmarkStart w:id="169" w:name="_Toc20076"/>
      <w:bookmarkStart w:id="170" w:name="_Toc8582"/>
      <w:bookmarkStart w:id="171" w:name="_Toc482188736"/>
      <w:bookmarkStart w:id="172" w:name="_Toc7756"/>
      <w:bookmarkStart w:id="173" w:name="_Toc27648333"/>
      <w:bookmarkStart w:id="174" w:name="_Toc12010"/>
      <w:bookmarkStart w:id="175" w:name="_Toc649"/>
      <w:bookmarkStart w:id="176" w:name="_Toc531184178"/>
      <w:r>
        <w:rPr>
          <w:rFonts w:hint="eastAsia" w:ascii="宋体" w:hAnsi="宋体" w:cs="宋体"/>
          <w:sz w:val="28"/>
          <w:szCs w:val="28"/>
        </w:rPr>
        <w:t>3.1 合同价格</w:t>
      </w:r>
      <w:bookmarkEnd w:id="168"/>
      <w:bookmarkEnd w:id="169"/>
      <w:bookmarkEnd w:id="170"/>
      <w:bookmarkEnd w:id="171"/>
      <w:bookmarkEnd w:id="172"/>
      <w:bookmarkEnd w:id="173"/>
      <w:bookmarkEnd w:id="174"/>
      <w:bookmarkEnd w:id="175"/>
      <w:bookmarkEnd w:id="176"/>
    </w:p>
    <w:p>
      <w:pPr>
        <w:spacing w:line="360" w:lineRule="auto"/>
        <w:ind w:firstLine="560" w:firstLineChars="200"/>
        <w:rPr>
          <w:rFonts w:hint="eastAsia" w:ascii="宋体" w:hAnsi="宋体" w:cs="宋体"/>
          <w:kern w:val="0"/>
          <w:sz w:val="28"/>
          <w:szCs w:val="28"/>
        </w:rPr>
      </w:pPr>
      <w:r>
        <w:rPr>
          <w:rFonts w:hint="eastAsia" w:ascii="宋体" w:hAnsi="宋体" w:cs="宋体"/>
          <w:sz w:val="28"/>
          <w:szCs w:val="28"/>
        </w:rPr>
        <w:t>3.1.1 合同协议书中载明</w:t>
      </w:r>
      <w:r>
        <w:rPr>
          <w:rFonts w:hint="eastAsia" w:ascii="宋体" w:hAnsi="宋体" w:cs="宋体"/>
          <w:kern w:val="0"/>
          <w:sz w:val="28"/>
          <w:szCs w:val="28"/>
        </w:rPr>
        <w:t>的签约合同价包括卖方为完成合同全部义务应承担的一切成本、费用和支出以及卖方的合理利润</w:t>
      </w:r>
      <w:r>
        <w:rPr>
          <w:rFonts w:hint="eastAsia" w:ascii="宋体" w:hAnsi="宋体" w:cs="宋体"/>
          <w:sz w:val="28"/>
          <w:szCs w:val="28"/>
        </w:rPr>
        <w:t>。</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3.1.2 除专用合同条款另有约定外，签约合同价为固定价格。</w:t>
      </w:r>
    </w:p>
    <w:p>
      <w:pPr>
        <w:pStyle w:val="6"/>
        <w:spacing w:line="240" w:lineRule="auto"/>
        <w:ind w:firstLine="157"/>
        <w:rPr>
          <w:rFonts w:hint="eastAsia" w:ascii="宋体" w:hAnsi="宋体" w:cs="宋体"/>
          <w:sz w:val="28"/>
          <w:szCs w:val="28"/>
        </w:rPr>
      </w:pPr>
      <w:bookmarkStart w:id="177" w:name="_Toc482188737"/>
      <w:bookmarkStart w:id="178" w:name="_Toc31918"/>
      <w:bookmarkStart w:id="179" w:name="_Toc26027"/>
      <w:bookmarkStart w:id="180" w:name="_Toc32048"/>
      <w:bookmarkStart w:id="181" w:name="_Toc531184179"/>
      <w:bookmarkStart w:id="182" w:name="_Toc27648334"/>
      <w:bookmarkStart w:id="183" w:name="_Toc22501"/>
      <w:bookmarkStart w:id="184" w:name="_Toc31710"/>
      <w:bookmarkStart w:id="185" w:name="_Toc8546"/>
      <w:r>
        <w:rPr>
          <w:rFonts w:hint="eastAsia" w:ascii="宋体" w:hAnsi="宋体" w:cs="宋体"/>
          <w:sz w:val="28"/>
          <w:szCs w:val="28"/>
        </w:rPr>
        <w:t>3.2合同价款的支付</w:t>
      </w:r>
      <w:bookmarkEnd w:id="177"/>
      <w:bookmarkEnd w:id="178"/>
      <w:bookmarkEnd w:id="179"/>
      <w:bookmarkEnd w:id="180"/>
      <w:bookmarkEnd w:id="181"/>
      <w:bookmarkEnd w:id="182"/>
      <w:bookmarkEnd w:id="183"/>
      <w:bookmarkEnd w:id="184"/>
      <w:bookmarkEnd w:id="185"/>
    </w:p>
    <w:p>
      <w:pPr>
        <w:spacing w:line="360" w:lineRule="auto"/>
        <w:ind w:firstLine="560" w:firstLineChars="200"/>
        <w:rPr>
          <w:rFonts w:hint="eastAsia" w:ascii="宋体" w:hAnsi="宋体" w:cs="宋体"/>
          <w:sz w:val="28"/>
          <w:szCs w:val="28"/>
        </w:rPr>
      </w:pPr>
      <w:r>
        <w:rPr>
          <w:rFonts w:hint="eastAsia" w:ascii="宋体" w:hAnsi="宋体" w:cs="宋体"/>
          <w:sz w:val="28"/>
          <w:szCs w:val="28"/>
        </w:rPr>
        <w:t>除专用合同条款另有约定外，买方应通过以下方式和比例向卖方支付合同价款：</w:t>
      </w:r>
    </w:p>
    <w:p>
      <w:pPr>
        <w:spacing w:line="360" w:lineRule="auto"/>
        <w:ind w:firstLine="560" w:firstLineChars="200"/>
        <w:rPr>
          <w:rFonts w:hint="eastAsia" w:ascii="宋体" w:hAnsi="宋体" w:cs="宋体"/>
          <w:sz w:val="28"/>
          <w:szCs w:val="28"/>
        </w:rPr>
      </w:pPr>
      <w:bookmarkStart w:id="186" w:name="_Toc27927"/>
      <w:r>
        <w:rPr>
          <w:rFonts w:hint="eastAsia" w:ascii="宋体" w:hAnsi="宋体" w:cs="宋体"/>
          <w:sz w:val="28"/>
          <w:szCs w:val="28"/>
        </w:rPr>
        <w:t>项目支付款以最终合同签订条款为准。</w:t>
      </w:r>
    </w:p>
    <w:bookmarkEnd w:id="186"/>
    <w:p>
      <w:pPr>
        <w:pStyle w:val="6"/>
        <w:spacing w:line="240" w:lineRule="auto"/>
        <w:ind w:firstLine="157"/>
        <w:rPr>
          <w:rFonts w:hint="eastAsia" w:ascii="宋体" w:hAnsi="宋体" w:cs="宋体"/>
          <w:sz w:val="28"/>
          <w:szCs w:val="28"/>
        </w:rPr>
      </w:pPr>
      <w:bookmarkStart w:id="187" w:name="_Toc26394"/>
      <w:bookmarkStart w:id="188" w:name="_Toc27648335"/>
      <w:bookmarkStart w:id="189" w:name="_Toc29155"/>
      <w:bookmarkStart w:id="190" w:name="_Toc11688"/>
      <w:bookmarkStart w:id="191" w:name="_Toc5969"/>
      <w:bookmarkStart w:id="192" w:name="_Toc531184180"/>
      <w:bookmarkStart w:id="193" w:name="_Toc482188738"/>
      <w:bookmarkStart w:id="194" w:name="_Toc5968"/>
      <w:bookmarkStart w:id="195" w:name="_Toc8608"/>
      <w:r>
        <w:rPr>
          <w:rFonts w:hint="eastAsia" w:ascii="宋体" w:hAnsi="宋体" w:cs="宋体"/>
          <w:sz w:val="28"/>
          <w:szCs w:val="28"/>
        </w:rPr>
        <w:t>3.3 买方扣款的权利</w:t>
      </w:r>
      <w:bookmarkEnd w:id="187"/>
      <w:bookmarkEnd w:id="188"/>
      <w:bookmarkEnd w:id="189"/>
      <w:bookmarkEnd w:id="190"/>
      <w:bookmarkEnd w:id="191"/>
      <w:bookmarkEnd w:id="192"/>
      <w:bookmarkEnd w:id="193"/>
      <w:bookmarkEnd w:id="194"/>
      <w:bookmarkEnd w:id="195"/>
    </w:p>
    <w:p>
      <w:pPr>
        <w:spacing w:line="360" w:lineRule="auto"/>
        <w:ind w:firstLine="560" w:firstLineChars="200"/>
        <w:rPr>
          <w:rFonts w:hint="eastAsia" w:ascii="宋体" w:hAnsi="宋体" w:cs="宋体"/>
          <w:sz w:val="28"/>
          <w:szCs w:val="28"/>
        </w:rPr>
      </w:pPr>
      <w:r>
        <w:rPr>
          <w:rFonts w:hint="eastAsia" w:ascii="宋体" w:hAnsi="宋体" w:cs="宋体"/>
          <w:sz w:val="28"/>
          <w:szCs w:val="28"/>
        </w:rPr>
        <w:t>当卖方应向买方支付合同项下的违约金或赔偿金时，买方有权从上述任何一笔应付款中予以直接扣除和（或）兑付履约保证金。</w:t>
      </w:r>
    </w:p>
    <w:p>
      <w:pPr>
        <w:pStyle w:val="4"/>
        <w:spacing w:line="240" w:lineRule="auto"/>
        <w:ind w:firstLine="138"/>
        <w:rPr>
          <w:rFonts w:hint="eastAsia" w:ascii="宋体" w:hAnsi="宋体" w:eastAsia="宋体" w:cs="宋体"/>
          <w:bCs w:val="0"/>
          <w:sz w:val="28"/>
          <w:szCs w:val="28"/>
        </w:rPr>
      </w:pPr>
      <w:bookmarkStart w:id="196" w:name="_Toc2122"/>
      <w:bookmarkStart w:id="197" w:name="_Toc27648336"/>
      <w:bookmarkStart w:id="198" w:name="_Toc531184181"/>
      <w:bookmarkStart w:id="199" w:name="_Toc482188739"/>
      <w:bookmarkStart w:id="200" w:name="_Toc25398"/>
      <w:bookmarkStart w:id="201" w:name="_Toc16475"/>
      <w:bookmarkStart w:id="202" w:name="_Toc27045"/>
      <w:bookmarkStart w:id="203" w:name="_Toc18938"/>
      <w:bookmarkStart w:id="204" w:name="_Toc19339"/>
      <w:r>
        <w:rPr>
          <w:rFonts w:hint="eastAsia" w:ascii="宋体" w:hAnsi="宋体" w:eastAsia="宋体" w:cs="宋体"/>
          <w:sz w:val="28"/>
          <w:szCs w:val="28"/>
        </w:rPr>
        <w:t>4. 监造及交货前检验</w:t>
      </w:r>
      <w:bookmarkEnd w:id="196"/>
      <w:bookmarkEnd w:id="197"/>
      <w:bookmarkEnd w:id="198"/>
      <w:bookmarkEnd w:id="199"/>
      <w:bookmarkEnd w:id="200"/>
      <w:bookmarkEnd w:id="201"/>
      <w:bookmarkEnd w:id="202"/>
      <w:bookmarkEnd w:id="203"/>
      <w:bookmarkEnd w:id="204"/>
    </w:p>
    <w:p>
      <w:pPr>
        <w:pStyle w:val="6"/>
        <w:spacing w:line="240" w:lineRule="auto"/>
        <w:ind w:firstLine="157"/>
        <w:rPr>
          <w:rFonts w:hint="eastAsia" w:ascii="宋体" w:hAnsi="宋体" w:cs="宋体"/>
          <w:sz w:val="28"/>
          <w:szCs w:val="28"/>
        </w:rPr>
      </w:pPr>
      <w:bookmarkStart w:id="205" w:name="_Toc27648337"/>
      <w:bookmarkStart w:id="206" w:name="_Toc482188740"/>
      <w:bookmarkStart w:id="207" w:name="_Toc4600"/>
      <w:bookmarkStart w:id="208" w:name="_Toc11646"/>
      <w:bookmarkStart w:id="209" w:name="_Toc4581"/>
      <w:bookmarkStart w:id="210" w:name="_Toc5022"/>
      <w:bookmarkStart w:id="211" w:name="_Toc14998"/>
      <w:bookmarkStart w:id="212" w:name="_Toc531184182"/>
      <w:bookmarkStart w:id="213" w:name="_Toc27289"/>
      <w:r>
        <w:rPr>
          <w:rFonts w:hint="eastAsia" w:ascii="宋体" w:hAnsi="宋体" w:cs="宋体"/>
          <w:sz w:val="28"/>
          <w:szCs w:val="28"/>
        </w:rPr>
        <w:t>4.1 监造</w:t>
      </w:r>
      <w:bookmarkEnd w:id="205"/>
      <w:bookmarkEnd w:id="206"/>
      <w:bookmarkEnd w:id="207"/>
      <w:bookmarkEnd w:id="208"/>
      <w:bookmarkEnd w:id="209"/>
      <w:bookmarkEnd w:id="210"/>
      <w:bookmarkEnd w:id="211"/>
      <w:bookmarkEnd w:id="212"/>
      <w:bookmarkEnd w:id="213"/>
    </w:p>
    <w:p>
      <w:pPr>
        <w:spacing w:line="360" w:lineRule="auto"/>
        <w:ind w:firstLine="560" w:firstLineChars="200"/>
        <w:rPr>
          <w:rFonts w:hint="eastAsia" w:ascii="宋体" w:hAnsi="宋体" w:cs="宋体"/>
          <w:sz w:val="28"/>
          <w:szCs w:val="28"/>
        </w:rPr>
      </w:pPr>
      <w:r>
        <w:rPr>
          <w:rFonts w:hint="eastAsia" w:ascii="宋体" w:hAnsi="宋体" w:cs="宋体"/>
          <w:sz w:val="28"/>
          <w:szCs w:val="28"/>
        </w:rPr>
        <w:t>专用合同条款约定买方对合同设备进行监造的，双方应按本款及专用合同条款约定履行。</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4.1.1 在合同设备的制造过程中，买方可派出监造人员，对合同设备的生产制造进行监造，监督合同设备制造、检验等情况。监造的范围、方式等应符合专用合同条款和（或）供货要求等合同文件的约定。</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4.1</w:t>
      </w:r>
      <w:bookmarkStart w:id="214" w:name="_Toc14217"/>
      <w:r>
        <w:rPr>
          <w:rFonts w:hint="eastAsia" w:ascii="宋体" w:hAnsi="宋体" w:cs="宋体"/>
          <w:sz w:val="28"/>
          <w:szCs w:val="28"/>
        </w:rPr>
        <w:t>.2 除专用合同</w:t>
      </w:r>
      <w:bookmarkEnd w:id="214"/>
      <w:r>
        <w:rPr>
          <w:rFonts w:hint="eastAsia" w:ascii="宋体" w:hAnsi="宋体" w:cs="宋体"/>
          <w:sz w:val="28"/>
          <w:szCs w:val="28"/>
        </w:rPr>
        <w:t>条款和（或）供货要求等合同文件另有约定外，买方监造人员可到合同设备及其关键部件的</w:t>
      </w:r>
      <w:bookmarkStart w:id="215" w:name="_Toc15205"/>
      <w:r>
        <w:rPr>
          <w:rFonts w:hint="eastAsia" w:ascii="宋体" w:hAnsi="宋体" w:cs="宋体"/>
          <w:sz w:val="28"/>
          <w:szCs w:val="28"/>
        </w:rPr>
        <w:t>生产制造现</w:t>
      </w:r>
      <w:bookmarkEnd w:id="215"/>
      <w:r>
        <w:rPr>
          <w:rFonts w:hint="eastAsia" w:ascii="宋体" w:hAnsi="宋体" w:cs="宋体"/>
          <w:sz w:val="28"/>
          <w:szCs w:val="28"/>
        </w:rPr>
        <w:t>场进行监造，卖方应予配合。卖方应免费为买方监造人员提供工作条件及便利，包括但不限于必要的办</w:t>
      </w:r>
      <w:bookmarkStart w:id="216" w:name="_Toc29415"/>
      <w:r>
        <w:rPr>
          <w:rFonts w:hint="eastAsia" w:ascii="宋体" w:hAnsi="宋体" w:cs="宋体"/>
          <w:sz w:val="28"/>
          <w:szCs w:val="28"/>
        </w:rPr>
        <w:t>公场所、技术资料、检</w:t>
      </w:r>
      <w:bookmarkEnd w:id="216"/>
      <w:r>
        <w:rPr>
          <w:rFonts w:hint="eastAsia" w:ascii="宋体" w:hAnsi="宋体" w:cs="宋体"/>
          <w:sz w:val="28"/>
          <w:szCs w:val="28"/>
        </w:rPr>
        <w:t>测</w:t>
      </w:r>
      <w:bookmarkStart w:id="217" w:name="_Toc32016"/>
      <w:r>
        <w:rPr>
          <w:rFonts w:hint="eastAsia" w:ascii="宋体" w:hAnsi="宋体" w:cs="宋体"/>
          <w:sz w:val="28"/>
          <w:szCs w:val="28"/>
        </w:rPr>
        <w:t>工具及出入许可等</w:t>
      </w:r>
      <w:bookmarkEnd w:id="217"/>
      <w:r>
        <w:rPr>
          <w:rFonts w:hint="eastAsia" w:ascii="宋体" w:hAnsi="宋体" w:cs="宋体"/>
          <w:sz w:val="28"/>
          <w:szCs w:val="28"/>
        </w:rPr>
        <w:t>。除专用合同条款另有约定外，买方监造人员的交通、食宿费用由买方承担。</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4.1.3 卖方制订生产制造合同设备的进度计划时，应将买方监造纳入计划安排，并提前通知买方；买方进行监造不应影响合同设备的正常生产。除专用合同条款和（或）供货要求等合同文件另有约定外，卖方应提前7日将需要买方监造人员现场监造事项通知买方；如买方监造人员未按通知出席</w:t>
      </w:r>
      <w:bookmarkStart w:id="218" w:name="_Toc369531649"/>
      <w:bookmarkStart w:id="219" w:name="_Toc7864"/>
      <w:r>
        <w:rPr>
          <w:rFonts w:hint="eastAsia" w:ascii="宋体" w:hAnsi="宋体" w:cs="宋体"/>
          <w:sz w:val="28"/>
          <w:szCs w:val="28"/>
        </w:rPr>
        <w:t>，不影响合</w:t>
      </w:r>
      <w:bookmarkEnd w:id="218"/>
      <w:bookmarkEnd w:id="219"/>
      <w:r>
        <w:rPr>
          <w:rFonts w:hint="eastAsia" w:ascii="宋体" w:hAnsi="宋体" w:cs="宋体"/>
          <w:sz w:val="28"/>
          <w:szCs w:val="28"/>
        </w:rPr>
        <w:t>同设备及其关键部件的制造或检验，但买方监造人员有权事后了解、查阅、复制相关制造或检验记录。</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4.1.4 买方监造人员在监造中如发现合同设备及其关键部件不符合合同约定的标准，则有权提出意见和建议。卖方应采取必要措施消除合同设备的不符，由此增加的费用和（或）造成的延误由卖方负责。</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4.1.5 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pPr>
        <w:pStyle w:val="6"/>
        <w:spacing w:line="240" w:lineRule="auto"/>
        <w:ind w:firstLine="157"/>
        <w:rPr>
          <w:rFonts w:hint="eastAsia" w:ascii="宋体" w:hAnsi="宋体" w:cs="宋体"/>
          <w:sz w:val="28"/>
          <w:szCs w:val="28"/>
        </w:rPr>
      </w:pPr>
      <w:bookmarkStart w:id="220" w:name="_Toc4946"/>
      <w:bookmarkStart w:id="221" w:name="_Toc20350"/>
      <w:bookmarkStart w:id="222" w:name="_Toc531184183"/>
      <w:bookmarkStart w:id="223" w:name="_Toc26246"/>
      <w:bookmarkStart w:id="224" w:name="_Toc12064"/>
      <w:bookmarkStart w:id="225" w:name="_Toc482188741"/>
      <w:bookmarkStart w:id="226" w:name="_Toc23492"/>
      <w:bookmarkStart w:id="227" w:name="_Toc16985"/>
      <w:bookmarkStart w:id="228" w:name="_Toc27648338"/>
      <w:r>
        <w:rPr>
          <w:rFonts w:hint="eastAsia" w:ascii="宋体" w:hAnsi="宋体" w:cs="宋体"/>
          <w:sz w:val="28"/>
          <w:szCs w:val="28"/>
        </w:rPr>
        <w:t>4.2 交货前检验</w:t>
      </w:r>
      <w:bookmarkEnd w:id="220"/>
      <w:bookmarkEnd w:id="221"/>
      <w:bookmarkEnd w:id="222"/>
      <w:bookmarkEnd w:id="223"/>
      <w:bookmarkEnd w:id="224"/>
      <w:bookmarkEnd w:id="225"/>
      <w:bookmarkEnd w:id="226"/>
      <w:bookmarkEnd w:id="227"/>
      <w:bookmarkEnd w:id="228"/>
    </w:p>
    <w:p>
      <w:pPr>
        <w:spacing w:line="360" w:lineRule="auto"/>
        <w:ind w:firstLine="560" w:firstLineChars="200"/>
        <w:rPr>
          <w:rFonts w:hint="eastAsia" w:ascii="宋体" w:hAnsi="宋体" w:cs="宋体"/>
          <w:sz w:val="28"/>
          <w:szCs w:val="28"/>
        </w:rPr>
      </w:pPr>
      <w:r>
        <w:rPr>
          <w:rFonts w:hint="eastAsia" w:ascii="宋体" w:hAnsi="宋体" w:cs="宋体"/>
          <w:sz w:val="28"/>
          <w:szCs w:val="28"/>
        </w:rPr>
        <w:t>专用合同条款约定买方参与交货前检验的，双方应按本款及专用合同条款约定履行。</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4.2.1 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pPr>
        <w:spacing w:line="360" w:lineRule="auto"/>
        <w:ind w:firstLine="420"/>
        <w:rPr>
          <w:rFonts w:hint="eastAsia" w:ascii="宋体" w:hAnsi="宋体" w:cs="宋体"/>
          <w:sz w:val="28"/>
          <w:szCs w:val="28"/>
        </w:rPr>
      </w:pPr>
      <w:r>
        <w:rPr>
          <w:rFonts w:hint="eastAsia" w:ascii="宋体" w:hAnsi="宋体" w:cs="宋体"/>
          <w:sz w:val="28"/>
          <w:szCs w:val="28"/>
        </w:rPr>
        <w:t>4.2.2 除</w:t>
      </w:r>
      <w:bookmarkStart w:id="229" w:name="_Toc17093"/>
      <w:r>
        <w:rPr>
          <w:rFonts w:hint="eastAsia" w:ascii="宋体" w:hAnsi="宋体" w:cs="宋体"/>
          <w:sz w:val="28"/>
          <w:szCs w:val="28"/>
        </w:rPr>
        <w:t>专用合同条款和（或）供</w:t>
      </w:r>
      <w:bookmarkEnd w:id="229"/>
      <w:r>
        <w:rPr>
          <w:rFonts w:hint="eastAsia" w:ascii="宋体" w:hAnsi="宋体" w:cs="宋体"/>
          <w:sz w:val="28"/>
          <w:szCs w:val="28"/>
        </w:rPr>
        <w:t>货要求等合同文件另有约定外，卖方应提前7日将需要买方代表检验事项通知买方；如买方代表未按通知出席</w:t>
      </w:r>
      <w:bookmarkStart w:id="230" w:name="_Toc369531653"/>
      <w:bookmarkStart w:id="231" w:name="_Toc8000"/>
      <w:r>
        <w:rPr>
          <w:rFonts w:hint="eastAsia" w:ascii="宋体" w:hAnsi="宋体" w:cs="宋体"/>
          <w:sz w:val="28"/>
          <w:szCs w:val="28"/>
        </w:rPr>
        <w:t>，不影响合同设备的</w:t>
      </w:r>
      <w:bookmarkEnd w:id="230"/>
      <w:bookmarkEnd w:id="231"/>
      <w:r>
        <w:rPr>
          <w:rFonts w:hint="eastAsia" w:ascii="宋体" w:hAnsi="宋体" w:cs="宋体"/>
          <w:sz w:val="28"/>
          <w:szCs w:val="28"/>
        </w:rPr>
        <w:t>检验。若卖方未依照合同约定提前通知买方而自行检验，则买</w:t>
      </w:r>
      <w:bookmarkStart w:id="232" w:name="_Toc17628"/>
      <w:r>
        <w:rPr>
          <w:rFonts w:hint="eastAsia" w:ascii="宋体" w:hAnsi="宋体" w:cs="宋体"/>
          <w:sz w:val="28"/>
          <w:szCs w:val="28"/>
        </w:rPr>
        <w:t>方有权要求卖方暂停发货</w:t>
      </w:r>
      <w:bookmarkEnd w:id="232"/>
      <w:r>
        <w:rPr>
          <w:rFonts w:hint="eastAsia" w:ascii="宋体" w:hAnsi="宋体" w:cs="宋体"/>
          <w:sz w:val="28"/>
          <w:szCs w:val="28"/>
        </w:rPr>
        <w:t>并</w:t>
      </w:r>
      <w:bookmarkStart w:id="233" w:name="_Toc9228"/>
      <w:r>
        <w:rPr>
          <w:rFonts w:hint="eastAsia" w:ascii="宋体" w:hAnsi="宋体" w:cs="宋体"/>
          <w:sz w:val="28"/>
          <w:szCs w:val="28"/>
        </w:rPr>
        <w:t>重新进行检验</w:t>
      </w:r>
      <w:bookmarkEnd w:id="233"/>
      <w:r>
        <w:rPr>
          <w:rFonts w:hint="eastAsia" w:ascii="宋体" w:hAnsi="宋体" w:cs="宋体"/>
          <w:sz w:val="28"/>
          <w:szCs w:val="28"/>
        </w:rPr>
        <w:t>，由此增加的费用和（或）造成的延误由卖方负责。</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4.2.3 买方代表在检验中如发现合同设备不符合合同约定的标准，则有权提出异议。卖方应采取必要措施消除合同设备的不符，由此增加的费用和（或）造成的延误由卖方负责。</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4.2.4 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pPr>
        <w:pStyle w:val="4"/>
        <w:spacing w:line="240" w:lineRule="auto"/>
        <w:rPr>
          <w:rFonts w:hint="eastAsia" w:ascii="宋体" w:hAnsi="宋体" w:eastAsia="宋体" w:cs="宋体"/>
          <w:bCs w:val="0"/>
          <w:sz w:val="28"/>
          <w:szCs w:val="28"/>
        </w:rPr>
      </w:pPr>
      <w:bookmarkStart w:id="234" w:name="_Toc30290"/>
      <w:bookmarkStart w:id="235" w:name="_Toc27648339"/>
      <w:bookmarkStart w:id="236" w:name="_Toc27024"/>
      <w:bookmarkStart w:id="237" w:name="_Toc482188750"/>
      <w:bookmarkStart w:id="238" w:name="_Toc15464"/>
      <w:bookmarkStart w:id="239" w:name="_Toc5774"/>
      <w:bookmarkStart w:id="240" w:name="_Toc8397"/>
      <w:bookmarkStart w:id="241" w:name="_Toc8169"/>
      <w:bookmarkStart w:id="242" w:name="_Toc531184192"/>
      <w:r>
        <w:rPr>
          <w:rFonts w:hint="eastAsia" w:ascii="宋体" w:hAnsi="宋体" w:eastAsia="宋体" w:cs="宋体"/>
          <w:sz w:val="28"/>
          <w:szCs w:val="28"/>
        </w:rPr>
        <w:t>5. 包装、标记、运输和保管</w:t>
      </w:r>
      <w:bookmarkEnd w:id="234"/>
      <w:bookmarkEnd w:id="235"/>
    </w:p>
    <w:p>
      <w:pPr>
        <w:pStyle w:val="6"/>
        <w:spacing w:line="240" w:lineRule="auto"/>
        <w:ind w:firstLine="157"/>
        <w:rPr>
          <w:rFonts w:hint="eastAsia" w:ascii="宋体" w:hAnsi="宋体" w:cs="宋体"/>
          <w:sz w:val="28"/>
          <w:szCs w:val="28"/>
        </w:rPr>
      </w:pPr>
      <w:bookmarkStart w:id="243" w:name="_Toc16011"/>
      <w:bookmarkStart w:id="244" w:name="_Toc27648340"/>
      <w:bookmarkStart w:id="245" w:name="_Toc531184185"/>
      <w:bookmarkStart w:id="246" w:name="_Toc482188743"/>
      <w:bookmarkStart w:id="247" w:name="_Toc15894"/>
      <w:bookmarkStart w:id="248" w:name="_Toc30797"/>
      <w:bookmarkStart w:id="249" w:name="_Toc12012"/>
      <w:bookmarkStart w:id="250" w:name="_Toc31522"/>
      <w:bookmarkStart w:id="251" w:name="_Toc24220"/>
      <w:r>
        <w:rPr>
          <w:rFonts w:hint="eastAsia" w:ascii="宋体" w:hAnsi="宋体" w:cs="宋体"/>
          <w:sz w:val="28"/>
          <w:szCs w:val="28"/>
        </w:rPr>
        <w:t>5.1 包装</w:t>
      </w:r>
      <w:bookmarkEnd w:id="243"/>
      <w:bookmarkEnd w:id="244"/>
      <w:bookmarkEnd w:id="245"/>
      <w:bookmarkEnd w:id="246"/>
      <w:bookmarkEnd w:id="247"/>
      <w:bookmarkEnd w:id="248"/>
      <w:bookmarkEnd w:id="249"/>
      <w:bookmarkEnd w:id="250"/>
      <w:bookmarkEnd w:id="251"/>
    </w:p>
    <w:p>
      <w:pPr>
        <w:spacing w:line="360" w:lineRule="auto"/>
        <w:ind w:firstLine="560" w:firstLineChars="200"/>
        <w:rPr>
          <w:rFonts w:hint="eastAsia" w:ascii="宋体" w:hAnsi="宋体" w:cs="宋体"/>
          <w:sz w:val="28"/>
          <w:szCs w:val="28"/>
        </w:rPr>
      </w:pPr>
      <w:r>
        <w:rPr>
          <w:rFonts w:hint="eastAsia" w:ascii="宋体" w:hAnsi="宋体" w:cs="宋体"/>
          <w:sz w:val="28"/>
          <w:szCs w:val="28"/>
        </w:rPr>
        <w:t>5.1.1 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5.1.2 每个独立包装箱内应附装箱清单、质量合格证、装配图、说明书、操作指南等资料。</w:t>
      </w:r>
    </w:p>
    <w:p>
      <w:pPr>
        <w:pStyle w:val="6"/>
        <w:spacing w:line="240" w:lineRule="auto"/>
        <w:ind w:firstLine="157"/>
        <w:rPr>
          <w:rFonts w:hint="eastAsia" w:ascii="宋体" w:hAnsi="宋体" w:cs="宋体"/>
          <w:sz w:val="28"/>
          <w:szCs w:val="28"/>
        </w:rPr>
      </w:pPr>
      <w:bookmarkStart w:id="252" w:name="_Toc482188744"/>
      <w:bookmarkStart w:id="253" w:name="_Toc25610"/>
      <w:bookmarkStart w:id="254" w:name="_Toc27648341"/>
      <w:bookmarkStart w:id="255" w:name="_Toc14983"/>
      <w:bookmarkStart w:id="256" w:name="_Toc3893"/>
      <w:bookmarkStart w:id="257" w:name="_Toc531184186"/>
      <w:bookmarkStart w:id="258" w:name="_Toc8375"/>
      <w:bookmarkStart w:id="259" w:name="_Toc7313"/>
      <w:bookmarkStart w:id="260" w:name="_Toc20991"/>
      <w:r>
        <w:rPr>
          <w:rFonts w:hint="eastAsia" w:ascii="宋体" w:hAnsi="宋体" w:cs="宋体"/>
          <w:sz w:val="28"/>
          <w:szCs w:val="28"/>
        </w:rPr>
        <w:t>5.2 标记</w:t>
      </w:r>
      <w:bookmarkEnd w:id="252"/>
      <w:bookmarkEnd w:id="253"/>
      <w:bookmarkEnd w:id="254"/>
      <w:bookmarkEnd w:id="255"/>
      <w:bookmarkEnd w:id="256"/>
      <w:bookmarkEnd w:id="257"/>
      <w:bookmarkEnd w:id="258"/>
      <w:bookmarkEnd w:id="259"/>
      <w:bookmarkEnd w:id="260"/>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5.2.1 除专用合同条款另有约定外，卖方应在每一包装箱相邻的四个侧面以不可擦除的、明显的方式标记必要的装运信息和标记，以满足合同设备运输和保管的需要。</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5.2.2 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pPr>
        <w:pStyle w:val="6"/>
        <w:spacing w:line="240" w:lineRule="auto"/>
        <w:ind w:firstLine="157"/>
        <w:rPr>
          <w:rFonts w:hint="eastAsia" w:ascii="宋体" w:hAnsi="宋体" w:cs="宋体"/>
          <w:sz w:val="28"/>
          <w:szCs w:val="28"/>
        </w:rPr>
      </w:pPr>
      <w:bookmarkStart w:id="261" w:name="_Toc28196"/>
      <w:bookmarkStart w:id="262" w:name="_Toc27944"/>
      <w:bookmarkStart w:id="263" w:name="_Toc482188745"/>
      <w:bookmarkStart w:id="264" w:name="_Toc5004"/>
      <w:bookmarkStart w:id="265" w:name="_Toc531184187"/>
      <w:bookmarkStart w:id="266" w:name="_Toc30733"/>
      <w:bookmarkStart w:id="267" w:name="_Toc5763"/>
      <w:bookmarkStart w:id="268" w:name="_Toc27648342"/>
      <w:bookmarkStart w:id="269" w:name="_Toc10044"/>
      <w:r>
        <w:rPr>
          <w:rFonts w:hint="eastAsia" w:ascii="宋体" w:hAnsi="宋体" w:cs="宋体"/>
          <w:sz w:val="28"/>
          <w:szCs w:val="28"/>
        </w:rPr>
        <w:t>5.3运输</w:t>
      </w:r>
      <w:bookmarkEnd w:id="261"/>
      <w:bookmarkEnd w:id="262"/>
      <w:bookmarkEnd w:id="263"/>
      <w:bookmarkEnd w:id="264"/>
      <w:bookmarkEnd w:id="265"/>
      <w:bookmarkEnd w:id="266"/>
      <w:bookmarkEnd w:id="267"/>
      <w:bookmarkEnd w:id="268"/>
      <w:bookmarkEnd w:id="269"/>
    </w:p>
    <w:p>
      <w:pPr>
        <w:spacing w:line="360" w:lineRule="auto"/>
        <w:ind w:firstLine="560" w:firstLineChars="200"/>
        <w:rPr>
          <w:rFonts w:hint="eastAsia" w:ascii="宋体" w:hAnsi="宋体" w:cs="宋体"/>
          <w:sz w:val="28"/>
          <w:szCs w:val="28"/>
        </w:rPr>
      </w:pPr>
      <w:r>
        <w:rPr>
          <w:rFonts w:hint="eastAsia" w:ascii="宋体" w:hAnsi="宋体" w:cs="宋体"/>
          <w:sz w:val="28"/>
          <w:szCs w:val="28"/>
        </w:rPr>
        <w:t>5.3.1 卖方应自行选择适宜的运输工具及线路安排合同设备运输。</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5.3.2 除专用合同条款另有约定外，每件能够独立运行的设备应整套装运。该设备安装、调试、考核和运行所使用的备品、备件、易损易耗件等应随相关的主机一齐装运。</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5</w:t>
      </w:r>
      <w:bookmarkStart w:id="270" w:name="_Toc21215"/>
      <w:r>
        <w:rPr>
          <w:rFonts w:hint="eastAsia" w:ascii="宋体" w:hAnsi="宋体" w:cs="宋体"/>
          <w:sz w:val="28"/>
          <w:szCs w:val="28"/>
        </w:rPr>
        <w:t>.3.3 除专用合同</w:t>
      </w:r>
      <w:bookmarkEnd w:id="270"/>
      <w:r>
        <w:rPr>
          <w:rFonts w:hint="eastAsia" w:ascii="宋体" w:hAnsi="宋体" w:cs="宋体"/>
          <w:sz w:val="28"/>
          <w:szCs w:val="28"/>
        </w:rPr>
        <w:t>条款另有约定外，卖方应在合同设备预计启运7日前，将合同设备名称、数量、箱数、总毛重、总体积（用m</w:t>
      </w:r>
      <w:r>
        <w:rPr>
          <w:rFonts w:hint="eastAsia" w:ascii="宋体" w:hAnsi="宋体" w:cs="宋体"/>
          <w:position w:val="6"/>
          <w:sz w:val="28"/>
          <w:szCs w:val="28"/>
        </w:rPr>
        <w:t>3</w:t>
      </w:r>
      <w:r>
        <w:rPr>
          <w:rFonts w:hint="eastAsia" w:ascii="宋体" w:hAnsi="宋体" w:cs="宋体"/>
          <w:sz w:val="28"/>
          <w:szCs w:val="28"/>
        </w:rPr>
        <w:t>表示）、每箱尺寸（长×宽×高）、装运合同设备总金额、运输方式和合同设备在运输、装卸、保管中的注意事项等预通知买方，并在合同设备启运后24小时之内正式通知买方。</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5.3.4 卖方在根据第5.3.3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pPr>
        <w:pStyle w:val="6"/>
        <w:spacing w:line="240" w:lineRule="auto"/>
        <w:ind w:firstLine="281" w:firstLineChars="100"/>
        <w:rPr>
          <w:rFonts w:hint="eastAsia" w:ascii="宋体" w:hAnsi="宋体" w:cs="宋体"/>
          <w:sz w:val="28"/>
          <w:szCs w:val="28"/>
        </w:rPr>
      </w:pPr>
      <w:bookmarkStart w:id="271" w:name="_Toc3475"/>
      <w:bookmarkStart w:id="272" w:name="_Toc30516"/>
      <w:bookmarkStart w:id="273" w:name="_Toc482188746"/>
      <w:bookmarkStart w:id="274" w:name="_Toc531184188"/>
      <w:bookmarkStart w:id="275" w:name="_Toc27433"/>
      <w:bookmarkStart w:id="276" w:name="_Toc9808"/>
      <w:bookmarkStart w:id="277" w:name="_Toc8655"/>
      <w:bookmarkStart w:id="278" w:name="_Toc29896"/>
      <w:bookmarkStart w:id="279" w:name="_Toc27648343"/>
      <w:r>
        <w:rPr>
          <w:rFonts w:hint="eastAsia" w:ascii="宋体" w:hAnsi="宋体" w:cs="宋体"/>
          <w:sz w:val="28"/>
          <w:szCs w:val="28"/>
        </w:rPr>
        <w:t xml:space="preserve">5.4 </w:t>
      </w:r>
      <w:bookmarkEnd w:id="271"/>
      <w:bookmarkEnd w:id="272"/>
      <w:bookmarkEnd w:id="273"/>
      <w:bookmarkEnd w:id="274"/>
      <w:bookmarkEnd w:id="275"/>
      <w:bookmarkEnd w:id="276"/>
      <w:bookmarkEnd w:id="277"/>
      <w:r>
        <w:rPr>
          <w:rFonts w:hint="eastAsia" w:ascii="宋体" w:hAnsi="宋体" w:cs="宋体"/>
          <w:sz w:val="28"/>
          <w:szCs w:val="28"/>
        </w:rPr>
        <w:t>保管</w:t>
      </w:r>
      <w:bookmarkEnd w:id="278"/>
      <w:bookmarkEnd w:id="279"/>
    </w:p>
    <w:p>
      <w:pPr>
        <w:spacing w:line="360" w:lineRule="auto"/>
        <w:ind w:firstLine="560" w:firstLineChars="200"/>
        <w:rPr>
          <w:rFonts w:hint="eastAsia" w:ascii="宋体" w:hAnsi="宋体" w:cs="宋体"/>
          <w:sz w:val="28"/>
          <w:szCs w:val="28"/>
        </w:rPr>
      </w:pPr>
      <w:r>
        <w:rPr>
          <w:rFonts w:hint="eastAsia" w:ascii="宋体" w:hAnsi="宋体" w:cs="宋体"/>
          <w:sz w:val="28"/>
          <w:szCs w:val="28"/>
        </w:rPr>
        <w:t>卖方提供货物存放场地，负责货物的存放及管理；因卖方管理原因造成货物损毁、丢失等，损失由卖方承担。</w:t>
      </w:r>
    </w:p>
    <w:p>
      <w:pPr>
        <w:pStyle w:val="4"/>
        <w:spacing w:line="240" w:lineRule="auto"/>
        <w:rPr>
          <w:rFonts w:hint="eastAsia" w:ascii="宋体" w:hAnsi="宋体" w:eastAsia="宋体" w:cs="宋体"/>
          <w:bCs w:val="0"/>
          <w:sz w:val="28"/>
          <w:szCs w:val="28"/>
        </w:rPr>
      </w:pPr>
      <w:bookmarkStart w:id="280" w:name="_Toc5908"/>
      <w:bookmarkStart w:id="281" w:name="_Toc19557"/>
      <w:bookmarkStart w:id="282" w:name="_Toc28713"/>
      <w:bookmarkStart w:id="283" w:name="_Toc482188747"/>
      <w:bookmarkStart w:id="284" w:name="_Toc531184189"/>
      <w:bookmarkStart w:id="285" w:name="_Toc4318"/>
      <w:bookmarkStart w:id="286" w:name="_Toc27648344"/>
      <w:bookmarkStart w:id="287" w:name="_Toc8031"/>
      <w:bookmarkStart w:id="288" w:name="_Toc16587"/>
      <w:r>
        <w:rPr>
          <w:rFonts w:hint="eastAsia" w:ascii="宋体" w:hAnsi="宋体" w:eastAsia="宋体" w:cs="宋体"/>
          <w:sz w:val="28"/>
          <w:szCs w:val="28"/>
        </w:rPr>
        <w:t>6. 开箱检验、安装、调试、考核、验收</w:t>
      </w:r>
      <w:bookmarkEnd w:id="280"/>
      <w:bookmarkEnd w:id="281"/>
      <w:bookmarkEnd w:id="282"/>
      <w:bookmarkEnd w:id="283"/>
      <w:bookmarkEnd w:id="284"/>
      <w:bookmarkEnd w:id="285"/>
      <w:bookmarkEnd w:id="286"/>
      <w:bookmarkEnd w:id="287"/>
      <w:bookmarkEnd w:id="288"/>
    </w:p>
    <w:p>
      <w:pPr>
        <w:pStyle w:val="6"/>
        <w:spacing w:line="240" w:lineRule="auto"/>
        <w:ind w:firstLine="157"/>
        <w:rPr>
          <w:rFonts w:hint="eastAsia" w:ascii="宋体" w:hAnsi="宋体" w:cs="宋体"/>
          <w:sz w:val="28"/>
          <w:szCs w:val="28"/>
        </w:rPr>
      </w:pPr>
      <w:bookmarkStart w:id="289" w:name="_Toc482188748"/>
      <w:bookmarkStart w:id="290" w:name="_Toc531184190"/>
      <w:bookmarkStart w:id="291" w:name="_Toc8450"/>
      <w:bookmarkStart w:id="292" w:name="_Toc22469"/>
      <w:bookmarkStart w:id="293" w:name="_Toc27648345"/>
      <w:bookmarkStart w:id="294" w:name="_Toc13315"/>
      <w:bookmarkStart w:id="295" w:name="_Toc30359"/>
      <w:bookmarkStart w:id="296" w:name="_Toc7579"/>
      <w:bookmarkStart w:id="297" w:name="_Toc25298"/>
      <w:r>
        <w:rPr>
          <w:rFonts w:hint="eastAsia" w:ascii="宋体" w:hAnsi="宋体" w:cs="宋体"/>
          <w:sz w:val="28"/>
          <w:szCs w:val="28"/>
        </w:rPr>
        <w:t>6.1 开箱检验</w:t>
      </w:r>
      <w:bookmarkEnd w:id="289"/>
      <w:bookmarkEnd w:id="290"/>
      <w:bookmarkEnd w:id="291"/>
      <w:bookmarkEnd w:id="292"/>
      <w:bookmarkEnd w:id="293"/>
      <w:bookmarkEnd w:id="294"/>
      <w:bookmarkEnd w:id="295"/>
      <w:bookmarkEnd w:id="296"/>
      <w:bookmarkEnd w:id="297"/>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6.1.1 合同设备交付后应进行开箱检验，即合同设备数量及外观检验。开箱检验在货物抵达施工场地时开始，除专用合同条款另有约定外，合同设备的开箱检验应在施工场地进行。</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6.1.2 开箱检验由买卖双方共同进行，卖方应自负费用派遣代表到场参加开箱检验。</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6.1.3 在开箱检验中，买方和卖方应共同签署数量、外观检验报告，报告应列明检验结果，包括检验合格或发现的任何短缺、损坏或其它与合同约定不符的情形。</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6.1.4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6.1.5除专用合同条款另有约定外，在开箱检验时如果合同设备外包装与交货时一致，则开箱检验中发现的合同设备的短缺、损坏或其它与合同约定不符的情形，由卖方负责，卖方应补齐、更换及采取其他补救措施。</w:t>
      </w:r>
    </w:p>
    <w:p>
      <w:pPr>
        <w:spacing w:line="360" w:lineRule="auto"/>
        <w:ind w:firstLine="420"/>
        <w:rPr>
          <w:rFonts w:hint="eastAsia" w:ascii="宋体" w:hAnsi="宋体" w:cs="宋体"/>
          <w:sz w:val="28"/>
          <w:szCs w:val="28"/>
        </w:rPr>
      </w:pPr>
      <w:r>
        <w:rPr>
          <w:rFonts w:hint="eastAsia" w:ascii="宋体" w:hAnsi="宋体" w:cs="宋体"/>
          <w:sz w:val="28"/>
          <w:szCs w:val="28"/>
        </w:rPr>
        <w:t>6.1.6 开箱检验的检验结果不能对抗在合同设备的安装、调试、考核、验收中及质量保证期内发现的合同设备质</w:t>
      </w:r>
      <w:bookmarkStart w:id="298" w:name="_Toc27556"/>
      <w:r>
        <w:rPr>
          <w:rFonts w:hint="eastAsia" w:ascii="宋体" w:hAnsi="宋体" w:cs="宋体"/>
          <w:sz w:val="28"/>
          <w:szCs w:val="28"/>
        </w:rPr>
        <w:t>量问题，也不</w:t>
      </w:r>
      <w:bookmarkEnd w:id="298"/>
      <w:r>
        <w:rPr>
          <w:rFonts w:hint="eastAsia" w:ascii="宋体" w:hAnsi="宋体" w:cs="宋体"/>
          <w:sz w:val="28"/>
          <w:szCs w:val="28"/>
        </w:rPr>
        <w:t>能免除或影响卖方依照合同约定对买方负有的包括合同设备质量在内的任何义务或责任。</w:t>
      </w:r>
    </w:p>
    <w:p>
      <w:pPr>
        <w:pStyle w:val="6"/>
        <w:spacing w:line="240" w:lineRule="auto"/>
        <w:ind w:firstLine="157"/>
        <w:rPr>
          <w:rFonts w:hint="eastAsia" w:ascii="宋体" w:hAnsi="宋体" w:cs="宋体"/>
          <w:sz w:val="28"/>
          <w:szCs w:val="28"/>
        </w:rPr>
      </w:pPr>
      <w:bookmarkStart w:id="299" w:name="_Toc28808"/>
      <w:bookmarkStart w:id="300" w:name="_Toc23568"/>
      <w:bookmarkStart w:id="301" w:name="_Toc531184191"/>
      <w:bookmarkStart w:id="302" w:name="_Toc13159"/>
      <w:bookmarkStart w:id="303" w:name="_Toc14377"/>
      <w:bookmarkStart w:id="304" w:name="_Toc27648346"/>
      <w:bookmarkStart w:id="305" w:name="_Toc12146"/>
      <w:bookmarkStart w:id="306" w:name="_Toc854"/>
      <w:bookmarkStart w:id="307" w:name="_Toc482188749"/>
      <w:r>
        <w:rPr>
          <w:rFonts w:hint="eastAsia" w:ascii="宋体" w:hAnsi="宋体" w:cs="宋体"/>
          <w:sz w:val="28"/>
          <w:szCs w:val="28"/>
        </w:rPr>
        <w:t>6.2 安装、调试</w:t>
      </w:r>
      <w:bookmarkEnd w:id="299"/>
      <w:bookmarkEnd w:id="300"/>
      <w:bookmarkEnd w:id="301"/>
      <w:bookmarkEnd w:id="302"/>
      <w:bookmarkEnd w:id="303"/>
      <w:bookmarkEnd w:id="304"/>
      <w:bookmarkEnd w:id="305"/>
      <w:bookmarkEnd w:id="306"/>
      <w:bookmarkEnd w:id="307"/>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6.2.1 开箱检验完成后，卖方应对合同设备进行安装、调试，以使其具备考核的状态。安装、调试应按照专用合同条款约定的下列方式进行：</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（1）卖方按照合同约定完成合同设备的安装、调试工作。在安装、调试过程中造成的任何合同设备损毁、丢失，卖方承担责任。</w:t>
      </w:r>
    </w:p>
    <w:p>
      <w:pPr>
        <w:spacing w:line="360" w:lineRule="auto"/>
        <w:ind w:firstLine="560" w:firstLineChars="200"/>
        <w:outlineLvl w:val="3"/>
        <w:rPr>
          <w:rFonts w:hint="eastAsia" w:ascii="宋体" w:hAnsi="宋体" w:cs="宋体"/>
          <w:sz w:val="28"/>
          <w:szCs w:val="28"/>
          <w:lang w:val="zh-CN"/>
        </w:rPr>
      </w:pPr>
      <w:r>
        <w:rPr>
          <w:rFonts w:hint="eastAsia" w:ascii="宋体" w:hAnsi="宋体" w:cs="宋体"/>
          <w:sz w:val="28"/>
          <w:szCs w:val="28"/>
          <w:lang w:val="zh-CN"/>
        </w:rPr>
        <w:t xml:space="preserve">6.2.2 </w:t>
      </w:r>
      <w:r>
        <w:rPr>
          <w:rFonts w:hint="eastAsia" w:ascii="宋体" w:hAnsi="宋体" w:cs="宋体"/>
          <w:sz w:val="28"/>
          <w:szCs w:val="28"/>
        </w:rPr>
        <w:t>除专用合同条款另有约定外，安装、调试中合同设备运行需要的用水、用电、其他动力和原材料（如需要）等均由卖方承担。</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6.2.3 双方应对合同设备的安装、调试情况共同及时进行记录。</w:t>
      </w:r>
    </w:p>
    <w:p>
      <w:pPr>
        <w:pStyle w:val="6"/>
        <w:spacing w:line="240" w:lineRule="auto"/>
        <w:ind w:firstLine="157"/>
        <w:rPr>
          <w:rFonts w:hint="eastAsia" w:ascii="宋体" w:hAnsi="宋体" w:cs="宋体"/>
          <w:sz w:val="28"/>
          <w:szCs w:val="28"/>
        </w:rPr>
      </w:pPr>
      <w:bookmarkStart w:id="308" w:name="_Toc27648347"/>
      <w:bookmarkStart w:id="309" w:name="_Toc24957"/>
      <w:r>
        <w:rPr>
          <w:rFonts w:hint="eastAsia" w:ascii="宋体" w:hAnsi="宋体" w:cs="宋体"/>
          <w:sz w:val="28"/>
          <w:szCs w:val="28"/>
        </w:rPr>
        <w:t>6.3 考核</w:t>
      </w:r>
      <w:bookmarkEnd w:id="236"/>
      <w:bookmarkEnd w:id="237"/>
      <w:bookmarkEnd w:id="238"/>
      <w:bookmarkEnd w:id="239"/>
      <w:bookmarkEnd w:id="240"/>
      <w:bookmarkEnd w:id="241"/>
      <w:bookmarkEnd w:id="242"/>
      <w:bookmarkEnd w:id="308"/>
      <w:bookmarkEnd w:id="309"/>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6.3.1 安装、调试完成后，双方应对合同设备进行</w:t>
      </w:r>
      <w:bookmarkStart w:id="310" w:name="_Toc6658"/>
      <w:r>
        <w:rPr>
          <w:rFonts w:hint="eastAsia" w:ascii="宋体" w:hAnsi="宋体" w:cs="宋体"/>
          <w:sz w:val="28"/>
          <w:szCs w:val="28"/>
        </w:rPr>
        <w:t>考核，以确定合同设备是否达到合同约定的</w:t>
      </w:r>
      <w:bookmarkEnd w:id="310"/>
      <w:bookmarkStart w:id="311" w:name="_Toc18466"/>
      <w:r>
        <w:rPr>
          <w:rFonts w:hint="eastAsia" w:ascii="宋体" w:hAnsi="宋体" w:cs="宋体"/>
          <w:sz w:val="28"/>
          <w:szCs w:val="28"/>
        </w:rPr>
        <w:t>技术性能考核指标。除专用合同条款另有约定外，考核中合同设备运行需要的用水、用电、其他动力和原材料（如需要）等均由卖方承担。</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6.3.2</w:t>
      </w:r>
      <w:bookmarkEnd w:id="311"/>
      <w:r>
        <w:rPr>
          <w:rFonts w:hint="eastAsia" w:ascii="宋体" w:hAnsi="宋体" w:cs="宋体"/>
          <w:sz w:val="28"/>
          <w:szCs w:val="28"/>
        </w:rPr>
        <w:t>如由于卖方原因合同设备在考核中未能达到合同约定的技术性能考核指标，则卖方应在双方同意的期限内采取措施消除合同设备中存在的缺陷，并在缺陷消除以后，尽快进行再次考核。</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6.3.3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6.3.4 如由于买方原因合同设备在考核中未能达到合同约定的技术性能考核指标，则卖方应协助买方安排再次考核。由于买方原因未能达到技术性能考核指标时，为买方进行考核的机会不超过三次。</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6.3.5 考核期间，双方应及时共同记录合同设备的用水、用电、其他动力和原材料（如有）的使用及设备考核情况。对于未达到技术性能考核指标的，应如实记录设备表现、可能原因及处理情况等。</w:t>
      </w:r>
    </w:p>
    <w:p>
      <w:pPr>
        <w:pStyle w:val="6"/>
        <w:spacing w:line="240" w:lineRule="auto"/>
        <w:ind w:firstLine="157"/>
        <w:rPr>
          <w:rFonts w:hint="eastAsia" w:ascii="宋体" w:hAnsi="宋体" w:cs="宋体"/>
          <w:sz w:val="28"/>
          <w:szCs w:val="28"/>
        </w:rPr>
      </w:pPr>
      <w:bookmarkStart w:id="312" w:name="_Toc7935"/>
      <w:bookmarkStart w:id="313" w:name="_Toc27648348"/>
      <w:bookmarkStart w:id="314" w:name="_Toc22083"/>
      <w:bookmarkStart w:id="315" w:name="_Toc531184193"/>
      <w:bookmarkStart w:id="316" w:name="_Toc11923"/>
      <w:bookmarkStart w:id="317" w:name="_Toc482188751"/>
      <w:bookmarkStart w:id="318" w:name="_Toc16245"/>
      <w:bookmarkStart w:id="319" w:name="_Toc27905"/>
      <w:bookmarkStart w:id="320" w:name="_Toc29414"/>
      <w:r>
        <w:rPr>
          <w:rFonts w:hint="eastAsia" w:ascii="宋体" w:hAnsi="宋体" w:cs="宋体"/>
          <w:sz w:val="28"/>
          <w:szCs w:val="28"/>
        </w:rPr>
        <w:t>6.4 验收</w:t>
      </w:r>
      <w:bookmarkEnd w:id="312"/>
      <w:bookmarkEnd w:id="313"/>
      <w:bookmarkEnd w:id="314"/>
      <w:bookmarkEnd w:id="315"/>
      <w:bookmarkEnd w:id="316"/>
      <w:bookmarkEnd w:id="317"/>
      <w:bookmarkEnd w:id="318"/>
      <w:bookmarkEnd w:id="319"/>
      <w:bookmarkEnd w:id="320"/>
    </w:p>
    <w:p>
      <w:pPr>
        <w:spacing w:line="360" w:lineRule="auto"/>
        <w:ind w:firstLine="560" w:firstLineChars="200"/>
        <w:rPr>
          <w:rFonts w:hint="eastAsia" w:ascii="宋体" w:hAnsi="宋体" w:cs="宋体"/>
          <w:sz w:val="28"/>
          <w:szCs w:val="28"/>
        </w:rPr>
      </w:pPr>
      <w:r>
        <w:rPr>
          <w:rFonts w:hint="eastAsia" w:ascii="宋体" w:hAnsi="宋体" w:cs="宋体"/>
          <w:sz w:val="28"/>
          <w:szCs w:val="28"/>
        </w:rPr>
        <w:t>6.4.1 如合同设备在考核中达到或视为达到技术性能考核指标，则买卖双方应在考核完成后7日内或专用合同条款另行约定的时间内签署合同设备验收证书一式二份，双方各持一份。验收日期应为合同设备达到或视为达到技术性能考核指标的日期。</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6.4.2 如由于买方原因合同设备在三次考核中均未能达到技术性能考核指标，买卖双方应在考核结束后7日内或专用合同条款另行约定的时间内签署</w:t>
      </w:r>
      <w:r>
        <w:rPr>
          <w:rStyle w:val="39"/>
          <w:rFonts w:hint="eastAsia" w:ascii="宋体" w:hAnsi="宋体" w:cs="宋体"/>
          <w:sz w:val="28"/>
          <w:szCs w:val="28"/>
        </w:rPr>
        <w:t>验收款支付函</w:t>
      </w:r>
      <w:r>
        <w:rPr>
          <w:rFonts w:hint="eastAsia" w:ascii="宋体" w:hAnsi="宋体" w:cs="宋体"/>
          <w:sz w:val="28"/>
          <w:szCs w:val="28"/>
        </w:rPr>
        <w:t>。</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除专用合同条款另有约定</w:t>
      </w:r>
      <w:bookmarkStart w:id="321" w:name="_Toc369531639"/>
      <w:bookmarkStart w:id="322" w:name="_Toc1157"/>
      <w:r>
        <w:rPr>
          <w:rFonts w:hint="eastAsia" w:ascii="宋体" w:hAnsi="宋体" w:cs="宋体"/>
          <w:sz w:val="28"/>
          <w:szCs w:val="28"/>
        </w:rPr>
        <w:t>外，卖方有义务</w:t>
      </w:r>
      <w:bookmarkEnd w:id="321"/>
      <w:bookmarkEnd w:id="322"/>
      <w:r>
        <w:rPr>
          <w:rFonts w:hint="eastAsia" w:ascii="宋体" w:hAnsi="宋体" w:cs="宋体"/>
          <w:sz w:val="28"/>
          <w:szCs w:val="28"/>
        </w:rPr>
        <w:t>应买方要求提供相关技术服务，协助买方采取一切必要措施使合同设备达到技术性能考核指标。买方应承</w:t>
      </w:r>
      <w:bookmarkStart w:id="323" w:name="_Toc25543"/>
      <w:r>
        <w:rPr>
          <w:rFonts w:hint="eastAsia" w:ascii="宋体" w:hAnsi="宋体" w:cs="宋体"/>
          <w:sz w:val="28"/>
          <w:szCs w:val="28"/>
        </w:rPr>
        <w:t>担卖方因此产生的全部费用</w:t>
      </w:r>
      <w:bookmarkEnd w:id="323"/>
      <w:r>
        <w:rPr>
          <w:rFonts w:hint="eastAsia" w:ascii="宋体" w:hAnsi="宋体" w:cs="宋体"/>
          <w:sz w:val="28"/>
          <w:szCs w:val="28"/>
        </w:rPr>
        <w:t>。</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在上述12个月的期限内，如合同设备经过考核达到或视为达到技术性能考核指标，则买卖双方应按照第6.4.1项的约定签署合同设备验收证书。</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6.4.3 除专用合同条款另有约定外，如由于买方原因在最后一批合同设备交货后6个月内未能开始考核，则买卖双方应在上述期限</w:t>
      </w:r>
      <w:bookmarkStart w:id="324" w:name="_Toc3766"/>
      <w:r>
        <w:rPr>
          <w:rFonts w:hint="eastAsia" w:ascii="宋体" w:hAnsi="宋体" w:cs="宋体"/>
          <w:sz w:val="28"/>
          <w:szCs w:val="28"/>
        </w:rPr>
        <w:t>届满后7日内或专用合同条款另行约定的时间内签署验收款支付函。</w:t>
      </w:r>
      <w:bookmarkEnd w:id="324"/>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除专用合同条款另有约定外，卖方有义务在</w:t>
      </w:r>
      <w:r>
        <w:rPr>
          <w:rStyle w:val="39"/>
          <w:rFonts w:hint="eastAsia" w:ascii="宋体" w:hAnsi="宋体" w:cs="宋体"/>
          <w:sz w:val="28"/>
          <w:szCs w:val="28"/>
        </w:rPr>
        <w:t>验收款支付函</w:t>
      </w:r>
      <w:r>
        <w:rPr>
          <w:rFonts w:hint="eastAsia" w:ascii="宋体" w:hAnsi="宋体" w:cs="宋体"/>
          <w:sz w:val="28"/>
          <w:szCs w:val="28"/>
        </w:rPr>
        <w:t>签署后应买方要求提供不超出合同范围的技术服务，协助买方采取一切必要措施使合同设备达到技术性能考核指标，且买方无需因此向卖方支付费用。</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在期限内，如合同设备经过考核达到或视为达到技术性能考核指标，则买卖双方应按照第6.4.1项的约定签署合同设备验收证书。</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6.4.4 在第6.4.2项和第6.4.3项情形下，卖方也可单方签署验收款支付函提交买方，如果买方在收到卖方签署的验收款支付函后14日内未向卖方提出书面异议，则验收款支付函自签署之日起生效。</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6.4.5合同设备验收证书的签署不能免除卖方在质量保证期内对合同设备应承担的保证责任。</w:t>
      </w:r>
    </w:p>
    <w:p>
      <w:pPr>
        <w:pStyle w:val="5"/>
        <w:spacing w:line="360" w:lineRule="auto"/>
        <w:ind w:firstLine="560"/>
        <w:rPr>
          <w:rFonts w:hint="eastAsia" w:ascii="宋体" w:hAnsi="宋体" w:cs="宋体"/>
          <w:sz w:val="28"/>
          <w:szCs w:val="28"/>
        </w:rPr>
      </w:pPr>
      <w:r>
        <w:rPr>
          <w:rFonts w:hint="eastAsia" w:ascii="宋体" w:hAnsi="宋体" w:cs="宋体"/>
          <w:sz w:val="28"/>
          <w:szCs w:val="28"/>
        </w:rPr>
        <w:t xml:space="preserve">6.4.6 责任说明 </w:t>
      </w:r>
    </w:p>
    <w:p>
      <w:pPr>
        <w:pStyle w:val="5"/>
        <w:spacing w:line="360" w:lineRule="auto"/>
        <w:ind w:firstLine="560"/>
        <w:rPr>
          <w:rFonts w:hint="eastAsia" w:ascii="宋体" w:hAnsi="宋体" w:cs="宋体"/>
          <w:sz w:val="28"/>
          <w:szCs w:val="28"/>
        </w:rPr>
      </w:pPr>
      <w:r>
        <w:rPr>
          <w:rFonts w:hint="eastAsia" w:ascii="宋体" w:hAnsi="宋体" w:cs="宋体"/>
          <w:sz w:val="28"/>
          <w:szCs w:val="28"/>
        </w:rPr>
        <w:t>在项目交付验收完成之前，卖方承担项目建设中的所有风险、责任。</w:t>
      </w:r>
    </w:p>
    <w:p>
      <w:pPr>
        <w:pStyle w:val="5"/>
        <w:spacing w:line="360" w:lineRule="auto"/>
        <w:ind w:firstLine="560"/>
        <w:rPr>
          <w:rFonts w:hint="eastAsia" w:ascii="宋体" w:hAnsi="宋体" w:cs="宋体"/>
          <w:sz w:val="28"/>
          <w:szCs w:val="28"/>
        </w:rPr>
      </w:pPr>
      <w:r>
        <w:rPr>
          <w:rFonts w:hint="eastAsia" w:ascii="宋体" w:hAnsi="宋体" w:cs="宋体"/>
          <w:sz w:val="28"/>
          <w:szCs w:val="28"/>
        </w:rPr>
        <w:t xml:space="preserve">6.4.7 产权说明 </w:t>
      </w:r>
    </w:p>
    <w:p>
      <w:pPr>
        <w:pStyle w:val="5"/>
        <w:spacing w:line="360" w:lineRule="auto"/>
        <w:ind w:firstLine="560"/>
        <w:rPr>
          <w:rFonts w:hint="eastAsia" w:ascii="宋体" w:hAnsi="宋体" w:cs="宋体"/>
          <w:sz w:val="28"/>
          <w:szCs w:val="28"/>
        </w:rPr>
      </w:pPr>
      <w:r>
        <w:rPr>
          <w:rFonts w:hint="eastAsia" w:ascii="宋体" w:hAnsi="宋体" w:cs="宋体"/>
          <w:sz w:val="28"/>
          <w:szCs w:val="28"/>
        </w:rPr>
        <w:t>本次招标范围内的所有采购内容产权归采购人所有。</w:t>
      </w:r>
    </w:p>
    <w:p>
      <w:pPr>
        <w:pStyle w:val="4"/>
        <w:spacing w:line="240" w:lineRule="auto"/>
        <w:rPr>
          <w:rFonts w:hint="eastAsia" w:ascii="宋体" w:hAnsi="宋体" w:eastAsia="宋体" w:cs="宋体"/>
          <w:sz w:val="28"/>
          <w:szCs w:val="28"/>
        </w:rPr>
      </w:pPr>
      <w:bookmarkStart w:id="325" w:name="_Toc2298"/>
      <w:bookmarkStart w:id="326" w:name="_Toc15193"/>
      <w:bookmarkStart w:id="327" w:name="_Toc531184194"/>
      <w:bookmarkStart w:id="328" w:name="_Toc27648349"/>
      <w:bookmarkStart w:id="329" w:name="_Toc19125"/>
      <w:bookmarkStart w:id="330" w:name="_Toc17394"/>
      <w:bookmarkStart w:id="331" w:name="_Toc14595"/>
      <w:bookmarkStart w:id="332" w:name="_Toc30777"/>
      <w:bookmarkStart w:id="333" w:name="_Toc482188752"/>
      <w:r>
        <w:rPr>
          <w:rFonts w:hint="eastAsia" w:ascii="宋体" w:hAnsi="宋体" w:eastAsia="宋体" w:cs="宋体"/>
          <w:sz w:val="28"/>
          <w:szCs w:val="28"/>
        </w:rPr>
        <w:t>7. 技术服务</w:t>
      </w:r>
      <w:bookmarkEnd w:id="325"/>
      <w:bookmarkEnd w:id="326"/>
      <w:bookmarkEnd w:id="327"/>
      <w:bookmarkEnd w:id="328"/>
      <w:bookmarkEnd w:id="329"/>
      <w:bookmarkEnd w:id="330"/>
      <w:bookmarkEnd w:id="331"/>
      <w:bookmarkEnd w:id="332"/>
      <w:bookmarkEnd w:id="333"/>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7.1 卖方应派遣技术熟练、称职的技术人员到施工场地为买方提供技术服务。卖方的技术服务应符合合同的约定。</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7.2 买方应免费为卖方技术人员提供工作条件及便利，包括但不限于必要的办公场所、技术资料及出入许可等。除专用合同条款另有约定外，卖方技术人员的交通、食宿费用由卖方承担。</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7.3 卖方技术人员应遵守买方施工现场的各项规章制度和安全操作规程，并服从买方的现场管理。</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7.4 如果任何技术人员不合格，买方有权要求卖方撤换，因撤换而产生的费用应由卖方承担。在不影响技术服务并且征得买方同意的条件下，卖方也可自负费用更换其技术人员。</w:t>
      </w:r>
    </w:p>
    <w:p>
      <w:pPr>
        <w:pStyle w:val="4"/>
        <w:spacing w:line="240" w:lineRule="auto"/>
        <w:rPr>
          <w:rFonts w:hint="eastAsia" w:ascii="宋体" w:hAnsi="宋体" w:eastAsia="宋体" w:cs="宋体"/>
          <w:bCs w:val="0"/>
          <w:sz w:val="28"/>
          <w:szCs w:val="28"/>
        </w:rPr>
      </w:pPr>
      <w:bookmarkStart w:id="334" w:name="_Toc531184195"/>
      <w:bookmarkStart w:id="335" w:name="_Toc482188753"/>
      <w:bookmarkStart w:id="336" w:name="_Toc25265"/>
      <w:bookmarkStart w:id="337" w:name="_Toc5547"/>
      <w:bookmarkStart w:id="338" w:name="_Toc23569"/>
      <w:bookmarkStart w:id="339" w:name="_Toc9158"/>
      <w:bookmarkStart w:id="340" w:name="_Toc25793"/>
      <w:bookmarkStart w:id="341" w:name="_Toc27648350"/>
      <w:bookmarkStart w:id="342" w:name="_Toc3921"/>
      <w:r>
        <w:rPr>
          <w:rFonts w:hint="eastAsia" w:ascii="宋体" w:hAnsi="宋体" w:eastAsia="宋体" w:cs="宋体"/>
          <w:sz w:val="28"/>
          <w:szCs w:val="28"/>
        </w:rPr>
        <w:t>8. 质量保证期</w:t>
      </w:r>
      <w:bookmarkEnd w:id="334"/>
      <w:bookmarkEnd w:id="335"/>
      <w:bookmarkEnd w:id="336"/>
      <w:bookmarkEnd w:id="337"/>
      <w:bookmarkEnd w:id="338"/>
      <w:bookmarkEnd w:id="339"/>
      <w:bookmarkEnd w:id="340"/>
      <w:bookmarkEnd w:id="341"/>
      <w:bookmarkEnd w:id="342"/>
    </w:p>
    <w:p>
      <w:pPr>
        <w:spacing w:line="360" w:lineRule="auto"/>
        <w:ind w:firstLine="560" w:firstLineChars="200"/>
        <w:rPr>
          <w:rFonts w:hint="eastAsia" w:ascii="宋体" w:hAnsi="宋体" w:cs="宋体"/>
          <w:sz w:val="28"/>
          <w:szCs w:val="28"/>
        </w:rPr>
      </w:pPr>
      <w:r>
        <w:rPr>
          <w:rFonts w:hint="eastAsia" w:ascii="宋体" w:hAnsi="宋体" w:cs="宋体"/>
          <w:sz w:val="28"/>
          <w:szCs w:val="28"/>
        </w:rPr>
        <w:t>8.1 除专用合同条款和（或）供货要求等合同文件另有约定外，合同设备整体质量保证期为验收之日起</w:t>
      </w:r>
      <w:r>
        <w:rPr>
          <w:rFonts w:hint="eastAsia" w:ascii="宋体" w:hAnsi="宋体" w:cs="宋体"/>
          <w:sz w:val="28"/>
          <w:szCs w:val="28"/>
          <w:lang w:val="en-US" w:eastAsia="zh-CN"/>
        </w:rPr>
        <w:t>两</w:t>
      </w:r>
      <w:r>
        <w:rPr>
          <w:rFonts w:hint="eastAsia" w:ascii="宋体" w:hAnsi="宋体" w:cs="宋体"/>
          <w:sz w:val="28"/>
          <w:szCs w:val="28"/>
        </w:rPr>
        <w:t>年。如对合同设备中关键部件的质量保证期有特殊要求的，买卖双方可在专用合同条款中约定。在合同第6.4.2项情形下，无论合同设备何时验收，其质量保证期最长为签署</w:t>
      </w:r>
      <w:r>
        <w:rPr>
          <w:rStyle w:val="39"/>
          <w:rFonts w:hint="eastAsia" w:ascii="宋体" w:hAnsi="宋体" w:cs="宋体"/>
          <w:sz w:val="28"/>
          <w:szCs w:val="28"/>
        </w:rPr>
        <w:t>验收款支付函后</w:t>
      </w:r>
      <w:r>
        <w:rPr>
          <w:rStyle w:val="39"/>
          <w:rFonts w:hint="eastAsia" w:ascii="宋体" w:hAnsi="宋体" w:cs="宋体"/>
          <w:sz w:val="28"/>
          <w:szCs w:val="28"/>
          <w:lang w:val="en-US" w:eastAsia="zh-CN"/>
        </w:rPr>
        <w:t>两</w:t>
      </w:r>
      <w:r>
        <w:rPr>
          <w:rStyle w:val="39"/>
          <w:rFonts w:hint="eastAsia" w:ascii="宋体" w:hAnsi="宋体" w:cs="宋体"/>
          <w:sz w:val="28"/>
          <w:szCs w:val="28"/>
        </w:rPr>
        <w:t>年。</w:t>
      </w:r>
    </w:p>
    <w:p>
      <w:pPr>
        <w:spacing w:line="360" w:lineRule="auto"/>
        <w:ind w:firstLine="420"/>
        <w:rPr>
          <w:rFonts w:hint="eastAsia" w:ascii="宋体" w:hAnsi="宋体" w:cs="宋体"/>
          <w:sz w:val="28"/>
          <w:szCs w:val="28"/>
        </w:rPr>
      </w:pPr>
      <w:r>
        <w:rPr>
          <w:rFonts w:hint="eastAsia" w:ascii="宋体" w:hAnsi="宋体" w:cs="宋体"/>
          <w:sz w:val="28"/>
          <w:szCs w:val="28"/>
        </w:rPr>
        <w:t>8.2 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8.3 质量保证期届满后，买方应在7日内或专用合同条款另行约定的时间内向卖方出具合同设备的质量保证期届满证书。</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8.4 在合同第6.4.2项情形下，如在</w:t>
      </w:r>
      <w:r>
        <w:rPr>
          <w:rStyle w:val="39"/>
          <w:rFonts w:hint="eastAsia" w:ascii="宋体" w:hAnsi="宋体" w:cs="宋体"/>
          <w:sz w:val="28"/>
          <w:szCs w:val="28"/>
        </w:rPr>
        <w:t>验收款支付函</w:t>
      </w:r>
      <w:r>
        <w:rPr>
          <w:rFonts w:hint="eastAsia" w:ascii="宋体" w:hAnsi="宋体" w:cs="宋体"/>
          <w:sz w:val="28"/>
          <w:szCs w:val="28"/>
        </w:rPr>
        <w:t>签署后12个月内由于买方原因合同设备仍未能达到技术性能考核指标，则买卖双方应在该12个月届满后7日内或专用合同条款另行约定的时间内签署结清款支付函。</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8.5 在合同第6.4.3项情形下，如在</w:t>
      </w:r>
      <w:r>
        <w:rPr>
          <w:rStyle w:val="39"/>
          <w:rFonts w:hint="eastAsia" w:ascii="宋体" w:hAnsi="宋体" w:cs="宋体"/>
          <w:sz w:val="28"/>
          <w:szCs w:val="28"/>
        </w:rPr>
        <w:t>验收款支付函</w:t>
      </w:r>
      <w:r>
        <w:rPr>
          <w:rFonts w:hint="eastAsia" w:ascii="宋体" w:hAnsi="宋体" w:cs="宋体"/>
          <w:sz w:val="28"/>
          <w:szCs w:val="28"/>
        </w:rPr>
        <w:t>签署后6个月内由于买方原因合同设备仍未进行考核或仍未达到技术性能考核指标，则买卖双方应在该6个月届满后7日内或专用合同条款另行约定的时间内签署结清款支付函。</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8.6 在第8.4款和第8.5款情形下，卖方也可单方签署结清款支付函提交买方，如果买方在收到卖方签署的结清款支付函后14日内未向卖方提出书面异议，则结清款支付函自签署之日起生效。</w:t>
      </w:r>
    </w:p>
    <w:p>
      <w:pPr>
        <w:pStyle w:val="4"/>
        <w:spacing w:line="240" w:lineRule="auto"/>
        <w:rPr>
          <w:rFonts w:hint="eastAsia" w:ascii="宋体" w:hAnsi="宋体" w:eastAsia="宋体" w:cs="宋体"/>
          <w:sz w:val="28"/>
          <w:szCs w:val="28"/>
        </w:rPr>
      </w:pPr>
      <w:bookmarkStart w:id="343" w:name="_Toc1544"/>
      <w:bookmarkStart w:id="344" w:name="_Toc482188754"/>
      <w:bookmarkStart w:id="345" w:name="_Toc3280"/>
      <w:bookmarkStart w:id="346" w:name="_Toc23552"/>
      <w:bookmarkStart w:id="347" w:name="_Toc531184196"/>
      <w:bookmarkStart w:id="348" w:name="_Toc27648351"/>
      <w:bookmarkStart w:id="349" w:name="_Toc17516"/>
      <w:bookmarkStart w:id="350" w:name="_Toc25176"/>
      <w:bookmarkStart w:id="351" w:name="_Toc14839"/>
      <w:r>
        <w:rPr>
          <w:rFonts w:hint="eastAsia" w:ascii="宋体" w:hAnsi="宋体" w:eastAsia="宋体" w:cs="宋体"/>
          <w:sz w:val="28"/>
          <w:szCs w:val="28"/>
        </w:rPr>
        <w:t>9. 质保期服务</w:t>
      </w:r>
      <w:bookmarkEnd w:id="343"/>
      <w:bookmarkEnd w:id="344"/>
      <w:bookmarkEnd w:id="345"/>
      <w:bookmarkEnd w:id="346"/>
      <w:bookmarkEnd w:id="347"/>
      <w:bookmarkEnd w:id="348"/>
      <w:bookmarkEnd w:id="349"/>
      <w:bookmarkEnd w:id="350"/>
      <w:bookmarkEnd w:id="351"/>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9.1 卖方应为质保期服务配备充足的技术人员、工具和备件并保证提供的联系方式畅通。除专用合同条款和（或）供货要求等合同文件另有约定外，卖方应在收到买方通知后24小时内做出响应，如需卖方到合同设备现场，卖方应在收到买方通知后48小时内到达，并在到达后7日内解决合同设备的故障（重大故障除外）。如果卖方未在上述时间内作出响应，则买方有权自行或委托他人解决相关问题或查找和解决合同设备的故障，卖方应承担由此发生的全部费用。</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9.2 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9.3 如果任何技术人员不合格，买方有权要求卖方撤换，因撤换而产生的费用应由卖方承担。在不影响质保期服务并且征得买方同意的条件下，卖方也可自负费用更换其技术人员。</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9.4 除专用合同条款另有约定外，卖方应就在施工现场进行质保期服务的情况进行记录，记载合同设备故障发生的时间、原因及解决情况等，由买方签字确认，并在质量保证期结束后提交给买方。</w:t>
      </w:r>
    </w:p>
    <w:p>
      <w:pPr>
        <w:pStyle w:val="4"/>
        <w:spacing w:line="240" w:lineRule="auto"/>
        <w:rPr>
          <w:rFonts w:hint="eastAsia" w:ascii="宋体" w:hAnsi="宋体" w:eastAsia="宋体" w:cs="宋体"/>
          <w:bCs w:val="0"/>
          <w:sz w:val="28"/>
          <w:szCs w:val="28"/>
        </w:rPr>
      </w:pPr>
      <w:bookmarkStart w:id="352" w:name="_Toc482188755"/>
      <w:bookmarkStart w:id="353" w:name="_Toc27648352"/>
      <w:bookmarkStart w:id="354" w:name="_Toc12963"/>
      <w:bookmarkStart w:id="355" w:name="_Toc11074"/>
      <w:bookmarkStart w:id="356" w:name="_Toc16142"/>
      <w:bookmarkStart w:id="357" w:name="_Toc7892"/>
      <w:bookmarkStart w:id="358" w:name="_Toc18401"/>
      <w:bookmarkStart w:id="359" w:name="_Toc531184197"/>
      <w:bookmarkStart w:id="360" w:name="_Toc30963"/>
      <w:r>
        <w:rPr>
          <w:rFonts w:hint="eastAsia" w:ascii="宋体" w:hAnsi="宋体" w:eastAsia="宋体" w:cs="宋体"/>
          <w:sz w:val="28"/>
          <w:szCs w:val="28"/>
        </w:rPr>
        <w:t xml:space="preserve">10. </w:t>
      </w:r>
      <w:bookmarkEnd w:id="352"/>
      <w:r>
        <w:rPr>
          <w:rFonts w:hint="eastAsia" w:ascii="宋体" w:hAnsi="宋体" w:eastAsia="宋体" w:cs="宋体"/>
          <w:sz w:val="28"/>
          <w:szCs w:val="28"/>
        </w:rPr>
        <w:t>履约保证金</w:t>
      </w:r>
      <w:bookmarkEnd w:id="353"/>
      <w:bookmarkEnd w:id="354"/>
      <w:bookmarkEnd w:id="355"/>
      <w:bookmarkEnd w:id="356"/>
      <w:bookmarkEnd w:id="357"/>
      <w:bookmarkEnd w:id="358"/>
      <w:bookmarkEnd w:id="359"/>
      <w:bookmarkEnd w:id="360"/>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除专用合同条款另有约定外，履约保证金自合同生效之日起生效，在</w:t>
      </w:r>
      <w:r>
        <w:rPr>
          <w:rStyle w:val="39"/>
          <w:rFonts w:hint="eastAsia" w:ascii="宋体" w:hAnsi="宋体" w:cs="宋体"/>
          <w:sz w:val="28"/>
          <w:szCs w:val="28"/>
        </w:rPr>
        <w:t>验收款支付函</w:t>
      </w:r>
      <w:r>
        <w:rPr>
          <w:rFonts w:hint="eastAsia" w:ascii="宋体" w:hAnsi="宋体" w:cs="宋体"/>
          <w:sz w:val="28"/>
          <w:szCs w:val="28"/>
        </w:rPr>
        <w:t>签署之日起28日后失效。如果卖方不履行合同约定的义务或其履行不符合合同的约定，买方有权扣划相应金额的履约保证金。</w:t>
      </w:r>
    </w:p>
    <w:p>
      <w:pPr>
        <w:pStyle w:val="4"/>
        <w:spacing w:line="240" w:lineRule="auto"/>
        <w:rPr>
          <w:rFonts w:hint="eastAsia" w:ascii="宋体" w:hAnsi="宋体" w:eastAsia="宋体" w:cs="宋体"/>
          <w:bCs w:val="0"/>
          <w:sz w:val="28"/>
          <w:szCs w:val="28"/>
        </w:rPr>
      </w:pPr>
      <w:bookmarkStart w:id="361" w:name="_Toc1741"/>
      <w:bookmarkStart w:id="362" w:name="_Toc3824"/>
      <w:bookmarkStart w:id="363" w:name="_Toc8654"/>
      <w:bookmarkStart w:id="364" w:name="_Toc531184198"/>
      <w:bookmarkStart w:id="365" w:name="_Toc482188756"/>
      <w:bookmarkStart w:id="366" w:name="_Toc5071"/>
      <w:bookmarkStart w:id="367" w:name="_Toc27648353"/>
      <w:bookmarkStart w:id="368" w:name="_Toc16608"/>
      <w:bookmarkStart w:id="369" w:name="_Toc26714"/>
      <w:r>
        <w:rPr>
          <w:rFonts w:hint="eastAsia" w:ascii="宋体" w:hAnsi="宋体" w:eastAsia="宋体" w:cs="宋体"/>
          <w:sz w:val="28"/>
          <w:szCs w:val="28"/>
        </w:rPr>
        <w:t>11. 保证</w:t>
      </w:r>
      <w:bookmarkEnd w:id="361"/>
      <w:bookmarkEnd w:id="362"/>
      <w:bookmarkEnd w:id="363"/>
      <w:bookmarkEnd w:id="364"/>
      <w:bookmarkEnd w:id="365"/>
      <w:bookmarkEnd w:id="366"/>
      <w:bookmarkEnd w:id="367"/>
      <w:bookmarkEnd w:id="368"/>
      <w:bookmarkEnd w:id="369"/>
    </w:p>
    <w:p>
      <w:pPr>
        <w:spacing w:line="360" w:lineRule="auto"/>
        <w:ind w:firstLine="560" w:firstLineChars="200"/>
        <w:rPr>
          <w:rFonts w:hint="eastAsia" w:ascii="宋体" w:hAnsi="宋体" w:cs="宋体"/>
          <w:sz w:val="28"/>
          <w:szCs w:val="28"/>
        </w:rPr>
      </w:pPr>
      <w:r>
        <w:rPr>
          <w:rFonts w:hint="eastAsia" w:ascii="宋体" w:hAnsi="宋体" w:cs="宋体"/>
          <w:sz w:val="28"/>
          <w:szCs w:val="28"/>
        </w:rPr>
        <w:t>11.1 卖方保证其具有完全的能力履行本合同项下的全部义务。</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11.2卖方保证其所提供的合同设备及对合同的履行符合所有应适用的法律、行政法规、地方性法规、自治条例和单行条例、规章及其他规范性文件的强制性规定。</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11.3 卖方保证其对合同设备的销售不损害任何第三方的合法权益和社会公众利益。任何第三方不会因卖方原因而基于所有权、抵押权、</w:t>
      </w:r>
      <w:bookmarkStart w:id="370" w:name="_Toc22234"/>
      <w:r>
        <w:rPr>
          <w:rFonts w:hint="eastAsia" w:ascii="宋体" w:hAnsi="宋体" w:cs="宋体"/>
          <w:sz w:val="28"/>
          <w:szCs w:val="28"/>
        </w:rPr>
        <w:t>留置权或其他任何权利或事由</w:t>
      </w:r>
      <w:bookmarkEnd w:id="370"/>
      <w:r>
        <w:rPr>
          <w:rFonts w:hint="eastAsia" w:ascii="宋体" w:hAnsi="宋体" w:cs="宋体"/>
          <w:sz w:val="28"/>
          <w:szCs w:val="28"/>
        </w:rPr>
        <w:t>对合同设备主张权利。</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11.4 卖方保证合同设备符合合同约定的规格、标准、技术性能考核指标等，能够安全和稳定地运行，且合同设备（包括全部部件）全新、完整、未使用过，除非专用合同条款和（或）供货要求等合同文件另有约定。</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11.5 卖方保证，卖方所提供的技术资料完整、清晰、准确，符合合同约定并且能够满足合同设备的安装、调试、考核、操作以及维修和保养的需要。</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11.6 卖方保证合同范围内提供的备品备件能够满足合同设备在质量保证期结束前正常运行及维修的需要，如在质量保证期结束前因卖方原因出现备品备件短缺影响合同设备正常运行的，卖方应免费提供。</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11.7 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（1）以不高于同期市场价格或其向任何第三方销售同类产品的价格提供合同设备正常运行所需的全部备品备件。</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11.8 卖方保证，在合同设备设计使用寿命期内，如果卖方发现合同设备由于设计、制造、标识等原因存在足以危及人身、财产安全的缺陷，卖方将及时通知买方并及时采取修正或者补充标识、修理、更换等措施消除缺陷。</w:t>
      </w:r>
      <w:bookmarkStart w:id="371" w:name="_Toc6654"/>
    </w:p>
    <w:bookmarkEnd w:id="371"/>
    <w:p>
      <w:pPr>
        <w:pStyle w:val="4"/>
        <w:spacing w:line="240" w:lineRule="auto"/>
        <w:rPr>
          <w:rFonts w:hint="eastAsia" w:ascii="宋体" w:hAnsi="宋体" w:eastAsia="宋体" w:cs="宋体"/>
          <w:bCs w:val="0"/>
          <w:sz w:val="28"/>
          <w:szCs w:val="28"/>
        </w:rPr>
      </w:pPr>
      <w:bookmarkStart w:id="372" w:name="_Toc5913"/>
      <w:bookmarkStart w:id="373" w:name="_Toc8038"/>
      <w:bookmarkStart w:id="374" w:name="_Toc531184199"/>
      <w:bookmarkStart w:id="375" w:name="_Toc482188757"/>
      <w:bookmarkStart w:id="376" w:name="_Toc27648354"/>
      <w:bookmarkStart w:id="377" w:name="_Toc16297"/>
      <w:bookmarkStart w:id="378" w:name="_Toc16280"/>
      <w:bookmarkStart w:id="379" w:name="_Toc12687"/>
      <w:bookmarkStart w:id="380" w:name="_Toc7298"/>
      <w:r>
        <w:rPr>
          <w:rFonts w:hint="eastAsia" w:ascii="宋体" w:hAnsi="宋体" w:eastAsia="宋体" w:cs="宋体"/>
          <w:sz w:val="28"/>
          <w:szCs w:val="28"/>
        </w:rPr>
        <w:t>12. 知识产权</w:t>
      </w:r>
      <w:bookmarkEnd w:id="372"/>
      <w:bookmarkEnd w:id="373"/>
      <w:bookmarkEnd w:id="374"/>
      <w:bookmarkEnd w:id="375"/>
      <w:bookmarkEnd w:id="376"/>
      <w:bookmarkEnd w:id="377"/>
      <w:bookmarkEnd w:id="378"/>
      <w:bookmarkEnd w:id="379"/>
      <w:bookmarkEnd w:id="380"/>
    </w:p>
    <w:p>
      <w:pPr>
        <w:spacing w:line="360" w:lineRule="auto"/>
        <w:ind w:firstLine="560" w:firstLineChars="200"/>
        <w:rPr>
          <w:rFonts w:hint="eastAsia" w:ascii="宋体" w:hAnsi="宋体" w:cs="宋体"/>
          <w:sz w:val="28"/>
          <w:szCs w:val="28"/>
        </w:rPr>
      </w:pPr>
      <w:r>
        <w:rPr>
          <w:rFonts w:hint="eastAsia" w:ascii="宋体" w:hAnsi="宋体" w:cs="宋体"/>
          <w:sz w:val="28"/>
          <w:szCs w:val="28"/>
        </w:rPr>
        <w:t>12.1 买方在履行合同过程中提供给卖方的全部图纸、文件和其他含有数据和信息的资料，其知识产权属于买方。</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12.2 除专用合同条款另有约定外，买方不因签署和履行合同而享有卖方在履行合同过程中提供给买方的图纸、文件、配套软件、电子辅助程序和其他含有数据和信息的资料的知识产权。</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12.3 如合同设备涉及知识产权，则卖方保证买方在使用合同设备过程中免于受到第三方提出的有关知识产权侵权的主张、索赔或诉讼的伤害。</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pPr>
        <w:pStyle w:val="4"/>
        <w:spacing w:line="240" w:lineRule="auto"/>
        <w:rPr>
          <w:rFonts w:hint="eastAsia" w:ascii="宋体" w:hAnsi="宋体" w:eastAsia="宋体" w:cs="宋体"/>
          <w:bCs w:val="0"/>
          <w:sz w:val="28"/>
          <w:szCs w:val="28"/>
        </w:rPr>
      </w:pPr>
      <w:bookmarkStart w:id="381" w:name="_Toc23526"/>
      <w:bookmarkStart w:id="382" w:name="_Toc482188758"/>
      <w:bookmarkStart w:id="383" w:name="_Toc4651"/>
      <w:bookmarkStart w:id="384" w:name="_Toc8864"/>
      <w:bookmarkStart w:id="385" w:name="_Toc4579"/>
      <w:bookmarkStart w:id="386" w:name="_Toc27648355"/>
      <w:bookmarkStart w:id="387" w:name="_Toc531184200"/>
      <w:bookmarkStart w:id="388" w:name="_Toc12002"/>
      <w:bookmarkStart w:id="389" w:name="_Toc16903"/>
      <w:r>
        <w:rPr>
          <w:rFonts w:hint="eastAsia" w:ascii="宋体" w:hAnsi="宋体" w:eastAsia="宋体" w:cs="宋体"/>
          <w:sz w:val="28"/>
          <w:szCs w:val="28"/>
        </w:rPr>
        <w:t>13. 保密</w:t>
      </w:r>
      <w:bookmarkEnd w:id="381"/>
      <w:bookmarkEnd w:id="382"/>
      <w:bookmarkEnd w:id="383"/>
      <w:bookmarkEnd w:id="384"/>
      <w:bookmarkEnd w:id="385"/>
      <w:bookmarkEnd w:id="386"/>
      <w:bookmarkEnd w:id="387"/>
      <w:bookmarkEnd w:id="388"/>
      <w:bookmarkEnd w:id="389"/>
    </w:p>
    <w:p>
      <w:pPr>
        <w:spacing w:line="360" w:lineRule="auto"/>
        <w:ind w:firstLine="560" w:firstLineChars="200"/>
        <w:rPr>
          <w:rFonts w:hint="eastAsia" w:ascii="宋体" w:hAnsi="宋体" w:cs="宋体"/>
          <w:sz w:val="28"/>
          <w:szCs w:val="28"/>
        </w:rPr>
      </w:pPr>
      <w:r>
        <w:rPr>
          <w:rFonts w:hint="eastAsia" w:ascii="宋体" w:hAnsi="宋体" w:cs="宋体"/>
          <w:sz w:val="28"/>
          <w:szCs w:val="28"/>
        </w:rPr>
        <w:t>合同双方应对因履行合同而取得的另一方当事人的信息、资料等予以保密。未经另一方当事人书面同意，任何一方均不得为与履行合同无关的目的使用或向第三方披露另一方当事人提供的信息、资料。</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合同当事人的保密义务不适用于下列信息：</w:t>
      </w:r>
    </w:p>
    <w:p>
      <w:pPr>
        <w:numPr>
          <w:ilvl w:val="0"/>
          <w:numId w:val="5"/>
        </w:numPr>
        <w:spacing w:line="360" w:lineRule="auto"/>
        <w:ind w:firstLine="560" w:firstLineChars="200"/>
        <w:rPr>
          <w:rFonts w:hint="eastAsia" w:ascii="宋体" w:hAnsi="宋体" w:cs="宋体"/>
          <w:sz w:val="28"/>
          <w:szCs w:val="28"/>
        </w:rPr>
      </w:pPr>
      <w:r>
        <w:rPr>
          <w:rFonts w:hint="eastAsia" w:ascii="宋体" w:hAnsi="宋体" w:cs="宋体"/>
          <w:sz w:val="28"/>
          <w:szCs w:val="28"/>
        </w:rPr>
        <w:t>非因接受信息一方的过失现在或以后进入公共领域的信息；</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（2）接受信息一方当事人合法地从第三方获得并且据其善意了解第三方也不对此承担保密义务的信息；</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（3）法律或法律的执行要求披露的信息。</w:t>
      </w:r>
    </w:p>
    <w:p>
      <w:pPr>
        <w:pStyle w:val="4"/>
        <w:spacing w:line="240" w:lineRule="auto"/>
        <w:rPr>
          <w:rFonts w:hint="eastAsia" w:ascii="宋体" w:hAnsi="宋体" w:eastAsia="宋体" w:cs="宋体"/>
          <w:bCs w:val="0"/>
          <w:sz w:val="28"/>
          <w:szCs w:val="28"/>
        </w:rPr>
      </w:pPr>
      <w:bookmarkStart w:id="390" w:name="_Toc29989"/>
      <w:bookmarkStart w:id="391" w:name="_Toc14619"/>
      <w:bookmarkStart w:id="392" w:name="_Toc531184201"/>
      <w:bookmarkStart w:id="393" w:name="_Toc27513"/>
      <w:bookmarkStart w:id="394" w:name="_Toc482188759"/>
      <w:bookmarkStart w:id="395" w:name="_Toc27648356"/>
      <w:bookmarkStart w:id="396" w:name="_Toc3653"/>
      <w:bookmarkStart w:id="397" w:name="_Toc8770"/>
      <w:bookmarkStart w:id="398" w:name="_Toc31101"/>
      <w:r>
        <w:rPr>
          <w:rFonts w:hint="eastAsia" w:ascii="宋体" w:hAnsi="宋体" w:eastAsia="宋体" w:cs="宋体"/>
          <w:sz w:val="28"/>
          <w:szCs w:val="28"/>
        </w:rPr>
        <w:t>14. 违约责任</w:t>
      </w:r>
      <w:bookmarkEnd w:id="390"/>
      <w:bookmarkEnd w:id="391"/>
      <w:bookmarkEnd w:id="392"/>
      <w:bookmarkEnd w:id="393"/>
      <w:bookmarkEnd w:id="394"/>
      <w:bookmarkEnd w:id="395"/>
      <w:bookmarkEnd w:id="396"/>
      <w:bookmarkEnd w:id="397"/>
      <w:bookmarkEnd w:id="398"/>
    </w:p>
    <w:p>
      <w:pPr>
        <w:spacing w:line="360" w:lineRule="auto"/>
        <w:ind w:firstLine="560" w:firstLineChars="200"/>
        <w:rPr>
          <w:rFonts w:hint="eastAsia" w:ascii="宋体" w:hAnsi="宋体" w:cs="宋体"/>
          <w:sz w:val="28"/>
          <w:szCs w:val="28"/>
        </w:rPr>
      </w:pPr>
      <w:r>
        <w:rPr>
          <w:rFonts w:hint="eastAsia" w:ascii="宋体" w:hAnsi="宋体" w:cs="宋体"/>
          <w:sz w:val="28"/>
          <w:szCs w:val="28"/>
        </w:rPr>
        <w:t>14.1合同一方不履行合同义务、履行合同义务不符合约定或者违反合同项下所作保证的，应向对方承担继续履行、采取修理、更换、退货等补救措施或者赔偿损失等违约责任。</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14.2 卖方未能按时交付合同设备及传输链路服务（包括仅迟延交付技术资料但足以导致合同设备安装、调试、考核、验收工作推迟的）的，应向买方支付迟延交付违约金。除专用合同条款另有约定外，迟延交付违约金的计算方法如下：</w:t>
      </w:r>
    </w:p>
    <w:p>
      <w:pPr>
        <w:spacing w:line="360" w:lineRule="auto"/>
        <w:ind w:left="420" w:leftChars="200"/>
        <w:rPr>
          <w:rFonts w:hint="eastAsia" w:ascii="宋体" w:hAnsi="宋体" w:cs="宋体"/>
          <w:sz w:val="28"/>
          <w:szCs w:val="28"/>
        </w:rPr>
      </w:pPr>
      <w:r>
        <w:rPr>
          <w:rFonts w:hint="eastAsia" w:ascii="宋体" w:hAnsi="宋体" w:cs="宋体"/>
          <w:sz w:val="28"/>
          <w:szCs w:val="28"/>
        </w:rPr>
        <w:t>（1）从迟交的第一周到第四周，每周迟延交付违约金为迟交合同设备价格的0.5%；</w:t>
      </w:r>
    </w:p>
    <w:p>
      <w:pPr>
        <w:spacing w:line="360" w:lineRule="auto"/>
        <w:ind w:left="420" w:leftChars="200"/>
        <w:rPr>
          <w:rFonts w:hint="eastAsia" w:ascii="宋体" w:hAnsi="宋体" w:cs="宋体"/>
          <w:sz w:val="28"/>
          <w:szCs w:val="28"/>
        </w:rPr>
      </w:pPr>
      <w:r>
        <w:rPr>
          <w:rFonts w:hint="eastAsia" w:ascii="宋体" w:hAnsi="宋体" w:cs="宋体"/>
          <w:sz w:val="28"/>
          <w:szCs w:val="28"/>
        </w:rPr>
        <w:t>（2）从迟交的第五周到第八周，每周迟延交付违约金为迟交合同设备价格的1%；</w:t>
      </w:r>
    </w:p>
    <w:p>
      <w:pPr>
        <w:spacing w:line="360" w:lineRule="auto"/>
        <w:ind w:left="420" w:leftChars="200"/>
        <w:rPr>
          <w:rFonts w:hint="eastAsia" w:ascii="宋体" w:hAnsi="宋体" w:cs="宋体"/>
          <w:sz w:val="28"/>
          <w:szCs w:val="28"/>
        </w:rPr>
      </w:pPr>
      <w:r>
        <w:rPr>
          <w:rFonts w:hint="eastAsia" w:ascii="宋体" w:hAnsi="宋体" w:cs="宋体"/>
          <w:sz w:val="28"/>
          <w:szCs w:val="28"/>
        </w:rPr>
        <w:t>（3）从迟交第九周起，每周迟延交付违约金为迟交合同设备价格的1.5%。</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在计算迟延交付违约金时，迟交不足一周的按一周计算。迟延交付违约金的总额不得超过合同价格的3%。</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迟延交付违约金的支付不能免除卖方继续交付相关合同设备的义务，但如迟延交付必然导致合同设备安装、调试、考核、验收工作推迟的，相关工作应相应顺延。</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14.3买方未能按合同约定支付合同价款的，应向卖方支付延迟付款违约金。除专用合同条款另有约定外，迟延付款违约金的计算方法如下：</w:t>
      </w:r>
    </w:p>
    <w:p>
      <w:pPr>
        <w:spacing w:line="360" w:lineRule="auto"/>
        <w:ind w:left="420" w:leftChars="200"/>
        <w:rPr>
          <w:rFonts w:hint="eastAsia" w:ascii="宋体" w:hAnsi="宋体" w:cs="宋体"/>
          <w:sz w:val="28"/>
          <w:szCs w:val="28"/>
        </w:rPr>
      </w:pPr>
      <w:r>
        <w:rPr>
          <w:rFonts w:hint="eastAsia" w:ascii="宋体" w:hAnsi="宋体" w:cs="宋体"/>
          <w:sz w:val="28"/>
          <w:szCs w:val="28"/>
        </w:rPr>
        <w:t>（1）从迟付的第一周到第四周，每周迟延付款违约金为迟延付款金额的0.5%；</w:t>
      </w:r>
    </w:p>
    <w:p>
      <w:pPr>
        <w:spacing w:line="360" w:lineRule="auto"/>
        <w:ind w:left="420" w:leftChars="200"/>
        <w:rPr>
          <w:rFonts w:hint="eastAsia" w:ascii="宋体" w:hAnsi="宋体" w:cs="宋体"/>
          <w:sz w:val="28"/>
          <w:szCs w:val="28"/>
        </w:rPr>
      </w:pPr>
      <w:r>
        <w:rPr>
          <w:rFonts w:hint="eastAsia" w:ascii="宋体" w:hAnsi="宋体" w:cs="宋体"/>
          <w:sz w:val="28"/>
          <w:szCs w:val="28"/>
        </w:rPr>
        <w:t>（2）从迟付的第五周到第八周，每周迟延付款违约金为迟延付款金额的1%；</w:t>
      </w:r>
    </w:p>
    <w:p>
      <w:pPr>
        <w:spacing w:line="360" w:lineRule="auto"/>
        <w:ind w:left="420" w:leftChars="200"/>
        <w:rPr>
          <w:rFonts w:hint="eastAsia" w:ascii="宋体" w:hAnsi="宋体" w:cs="宋体"/>
          <w:sz w:val="28"/>
          <w:szCs w:val="28"/>
        </w:rPr>
      </w:pPr>
      <w:r>
        <w:rPr>
          <w:rFonts w:hint="eastAsia" w:ascii="宋体" w:hAnsi="宋体" w:cs="宋体"/>
          <w:sz w:val="28"/>
          <w:szCs w:val="28"/>
        </w:rPr>
        <w:t>（3）从迟付第九周起，每周迟延付款违约金为迟延付款金额的1.5%。</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在计算迟延付款违约金时，迟付不足一周的按一周计算。迟延付款违约金的总额不得超过合同价格的10%。</w:t>
      </w:r>
    </w:p>
    <w:p>
      <w:pPr>
        <w:pStyle w:val="4"/>
        <w:spacing w:line="240" w:lineRule="auto"/>
        <w:rPr>
          <w:rFonts w:hint="eastAsia" w:ascii="宋体" w:hAnsi="宋体" w:eastAsia="宋体" w:cs="宋体"/>
          <w:bCs w:val="0"/>
          <w:sz w:val="28"/>
          <w:szCs w:val="28"/>
        </w:rPr>
      </w:pPr>
      <w:bookmarkStart w:id="399" w:name="_Toc13719"/>
      <w:bookmarkStart w:id="400" w:name="_Toc27648357"/>
      <w:bookmarkStart w:id="401" w:name="_Toc531184202"/>
      <w:bookmarkStart w:id="402" w:name="_Toc735"/>
      <w:bookmarkStart w:id="403" w:name="_Toc26276"/>
      <w:bookmarkStart w:id="404" w:name="_Toc14879"/>
      <w:bookmarkStart w:id="405" w:name="_Toc30337"/>
      <w:bookmarkStart w:id="406" w:name="_Toc32595"/>
      <w:bookmarkStart w:id="407" w:name="_Toc482188760"/>
      <w:r>
        <w:rPr>
          <w:rFonts w:hint="eastAsia" w:ascii="宋体" w:hAnsi="宋体" w:eastAsia="宋体" w:cs="宋体"/>
          <w:sz w:val="28"/>
          <w:szCs w:val="28"/>
        </w:rPr>
        <w:t>15. 合同的解除</w:t>
      </w:r>
      <w:bookmarkEnd w:id="399"/>
      <w:bookmarkEnd w:id="400"/>
      <w:bookmarkEnd w:id="401"/>
      <w:bookmarkEnd w:id="402"/>
      <w:bookmarkEnd w:id="403"/>
      <w:bookmarkEnd w:id="404"/>
      <w:bookmarkEnd w:id="405"/>
      <w:bookmarkEnd w:id="406"/>
      <w:bookmarkEnd w:id="407"/>
    </w:p>
    <w:p>
      <w:pPr>
        <w:spacing w:line="360" w:lineRule="auto"/>
        <w:ind w:firstLine="560" w:firstLineChars="200"/>
        <w:rPr>
          <w:rFonts w:hint="eastAsia" w:ascii="宋体" w:hAnsi="宋体" w:cs="宋体"/>
          <w:sz w:val="28"/>
          <w:szCs w:val="28"/>
        </w:rPr>
      </w:pPr>
      <w:r>
        <w:rPr>
          <w:rFonts w:hint="eastAsia" w:ascii="宋体" w:hAnsi="宋体" w:cs="宋体"/>
          <w:sz w:val="28"/>
          <w:szCs w:val="28"/>
        </w:rPr>
        <w:t>除专用合同条款另有约定外，有下述情形之一，当事人可发出书面通知全部或部分地解除合同，合同自通知到达对方时全部或部分地解除：</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（1）卖方迟延交付合同设备超过3个月；</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（3）买方迟延付款超过3个月；</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4）合同一方当事人未能履行合同项下任何其它义务（细微义务除外），或在未事先征得另一方当事人同意的情况下，从事任何可能在实质上不利影响其履行合同能力的活动，经另一方当事人书面通知后14日内或在专用合同条款约定的其他期限内未能对其行为作出</w:t>
      </w:r>
      <w:bookmarkStart w:id="408" w:name="_Toc369531680"/>
      <w:bookmarkStart w:id="409" w:name="_Toc31629"/>
      <w:r>
        <w:rPr>
          <w:rFonts w:hint="eastAsia" w:ascii="宋体" w:hAnsi="宋体" w:cs="宋体"/>
          <w:sz w:val="28"/>
          <w:szCs w:val="28"/>
        </w:rPr>
        <w:t>补救；</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（5）合同一方当事人出现破产、清算、资不抵债、成为失信被执行人等可能丧失履约能力的情形，且未能提供令对方满意的履约保证金。</w:t>
      </w:r>
    </w:p>
    <w:bookmarkEnd w:id="408"/>
    <w:bookmarkEnd w:id="409"/>
    <w:p>
      <w:pPr>
        <w:pStyle w:val="4"/>
        <w:spacing w:line="240" w:lineRule="auto"/>
        <w:rPr>
          <w:rFonts w:hint="eastAsia" w:ascii="宋体" w:hAnsi="宋体" w:eastAsia="宋体" w:cs="宋体"/>
          <w:bCs w:val="0"/>
          <w:sz w:val="28"/>
          <w:szCs w:val="28"/>
        </w:rPr>
      </w:pPr>
      <w:bookmarkStart w:id="410" w:name="_Toc17049"/>
      <w:bookmarkStart w:id="411" w:name="_Toc9025"/>
      <w:bookmarkStart w:id="412" w:name="_Toc1302"/>
      <w:bookmarkStart w:id="413" w:name="_Toc11396"/>
      <w:bookmarkStart w:id="414" w:name="_Toc482188761"/>
      <w:bookmarkStart w:id="415" w:name="_Toc5302"/>
      <w:bookmarkStart w:id="416" w:name="_Toc531184203"/>
      <w:bookmarkStart w:id="417" w:name="_Toc32541"/>
      <w:bookmarkStart w:id="418" w:name="_Toc27648358"/>
      <w:r>
        <w:rPr>
          <w:rFonts w:hint="eastAsia" w:ascii="宋体" w:hAnsi="宋体" w:eastAsia="宋体" w:cs="宋体"/>
          <w:sz w:val="28"/>
          <w:szCs w:val="28"/>
        </w:rPr>
        <w:t>16. 不可抗力</w:t>
      </w:r>
      <w:bookmarkEnd w:id="410"/>
      <w:bookmarkEnd w:id="411"/>
      <w:bookmarkEnd w:id="412"/>
      <w:bookmarkEnd w:id="413"/>
      <w:bookmarkEnd w:id="414"/>
      <w:bookmarkEnd w:id="415"/>
      <w:bookmarkEnd w:id="416"/>
      <w:bookmarkEnd w:id="417"/>
      <w:bookmarkEnd w:id="418"/>
    </w:p>
    <w:p>
      <w:pPr>
        <w:spacing w:line="360" w:lineRule="auto"/>
        <w:ind w:firstLine="560" w:firstLineChars="200"/>
        <w:rPr>
          <w:rFonts w:hint="eastAsia" w:ascii="宋体" w:hAnsi="宋体" w:cs="宋体"/>
          <w:sz w:val="28"/>
          <w:szCs w:val="28"/>
        </w:rPr>
      </w:pPr>
      <w:r>
        <w:rPr>
          <w:rFonts w:hint="eastAsia" w:ascii="宋体" w:hAnsi="宋体" w:cs="宋体"/>
          <w:sz w:val="28"/>
          <w:szCs w:val="28"/>
        </w:rPr>
        <w:t>16.1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16.2 受不可抗力事件影响的一方当事人对于不可抗力事件导致的任何合同义务的迟延履行或不能履行不承担违</w:t>
      </w:r>
      <w:bookmarkStart w:id="419" w:name="_Toc369531672"/>
      <w:bookmarkStart w:id="420" w:name="_Toc6667"/>
      <w:r>
        <w:rPr>
          <w:rFonts w:hint="eastAsia" w:ascii="宋体" w:hAnsi="宋体" w:cs="宋体"/>
          <w:sz w:val="28"/>
          <w:szCs w:val="28"/>
        </w:rPr>
        <w:t>约责任。但该方</w:t>
      </w:r>
      <w:bookmarkEnd w:id="419"/>
      <w:r>
        <w:rPr>
          <w:rFonts w:hint="eastAsia" w:ascii="宋体" w:hAnsi="宋体" w:cs="宋体"/>
          <w:sz w:val="28"/>
          <w:szCs w:val="28"/>
        </w:rPr>
        <w:t>当事</w:t>
      </w:r>
      <w:bookmarkEnd w:id="420"/>
      <w:r>
        <w:rPr>
          <w:rFonts w:hint="eastAsia" w:ascii="宋体" w:hAnsi="宋体" w:cs="宋体"/>
          <w:sz w:val="28"/>
          <w:szCs w:val="28"/>
        </w:rPr>
        <w:t>人</w:t>
      </w:r>
      <w:bookmarkStart w:id="421" w:name="_Toc369531673"/>
      <w:bookmarkStart w:id="422" w:name="_Toc28096"/>
      <w:r>
        <w:rPr>
          <w:rFonts w:hint="eastAsia" w:ascii="宋体" w:hAnsi="宋体" w:cs="宋体"/>
          <w:sz w:val="28"/>
          <w:szCs w:val="28"/>
        </w:rPr>
        <w:t>应尽快将</w:t>
      </w:r>
      <w:bookmarkEnd w:id="421"/>
      <w:r>
        <w:rPr>
          <w:rFonts w:hint="eastAsia" w:ascii="宋体" w:hAnsi="宋体" w:cs="宋体"/>
          <w:sz w:val="28"/>
          <w:szCs w:val="28"/>
        </w:rPr>
        <w:t>不可</w:t>
      </w:r>
      <w:bookmarkEnd w:id="422"/>
      <w:r>
        <w:rPr>
          <w:rFonts w:hint="eastAsia" w:ascii="宋体" w:hAnsi="宋体" w:cs="宋体"/>
          <w:sz w:val="28"/>
          <w:szCs w:val="28"/>
        </w:rPr>
        <w:t>抗力事件结束或消除的情况通知另一方当事人。</w:t>
      </w:r>
    </w:p>
    <w:p>
      <w:pPr>
        <w:spacing w:line="360" w:lineRule="auto"/>
        <w:ind w:firstLine="560" w:firstLineChars="200"/>
        <w:outlineLvl w:val="3"/>
        <w:rPr>
          <w:rFonts w:hint="eastAsia" w:ascii="宋体" w:hAnsi="宋体" w:cs="宋体"/>
          <w:sz w:val="28"/>
          <w:szCs w:val="28"/>
        </w:rPr>
      </w:pPr>
      <w:r>
        <w:rPr>
          <w:rFonts w:hint="eastAsia" w:ascii="宋体" w:hAnsi="宋体" w:cs="宋体"/>
          <w:sz w:val="28"/>
          <w:szCs w:val="28"/>
        </w:rPr>
        <w:t>16.3 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p>
    <w:p>
      <w:pPr>
        <w:pStyle w:val="4"/>
        <w:spacing w:line="240" w:lineRule="auto"/>
        <w:rPr>
          <w:rFonts w:hint="eastAsia" w:ascii="宋体" w:hAnsi="宋体" w:eastAsia="宋体" w:cs="宋体"/>
          <w:bCs w:val="0"/>
          <w:sz w:val="28"/>
          <w:szCs w:val="28"/>
        </w:rPr>
      </w:pPr>
      <w:bookmarkStart w:id="423" w:name="_Toc22651"/>
      <w:bookmarkStart w:id="424" w:name="_Toc482188762"/>
      <w:bookmarkStart w:id="425" w:name="_Toc531184204"/>
      <w:bookmarkStart w:id="426" w:name="_Toc6364"/>
      <w:bookmarkStart w:id="427" w:name="_Toc6092"/>
      <w:bookmarkStart w:id="428" w:name="_Toc27648359"/>
      <w:bookmarkStart w:id="429" w:name="_Toc19192"/>
      <w:bookmarkStart w:id="430" w:name="_Toc19042"/>
      <w:bookmarkStart w:id="431" w:name="_Toc1657"/>
      <w:r>
        <w:rPr>
          <w:rFonts w:hint="eastAsia" w:ascii="宋体" w:hAnsi="宋体" w:eastAsia="宋体" w:cs="宋体"/>
          <w:sz w:val="28"/>
          <w:szCs w:val="28"/>
        </w:rPr>
        <w:t>17. 争议的解决</w:t>
      </w:r>
      <w:bookmarkEnd w:id="423"/>
      <w:bookmarkEnd w:id="424"/>
      <w:bookmarkEnd w:id="425"/>
      <w:bookmarkEnd w:id="426"/>
      <w:bookmarkEnd w:id="427"/>
      <w:bookmarkEnd w:id="428"/>
      <w:bookmarkEnd w:id="429"/>
      <w:bookmarkEnd w:id="430"/>
      <w:bookmarkEnd w:id="431"/>
    </w:p>
    <w:p>
      <w:pPr>
        <w:spacing w:line="360" w:lineRule="auto"/>
        <w:ind w:firstLine="560" w:firstLineChars="200"/>
        <w:rPr>
          <w:rFonts w:hint="eastAsia" w:ascii="宋体" w:hAnsi="宋体" w:cs="宋体"/>
          <w:sz w:val="28"/>
          <w:szCs w:val="28"/>
        </w:rPr>
      </w:pPr>
      <w:r>
        <w:rPr>
          <w:rFonts w:hint="eastAsia" w:ascii="宋体" w:hAnsi="宋体" w:cs="宋体"/>
          <w:sz w:val="28"/>
          <w:szCs w:val="28"/>
          <w:shd w:val="clear" w:color="auto" w:fill="FFFFFF"/>
        </w:rPr>
        <w:t>因本合同引起的或与本合同有关的任何争议,</w:t>
      </w:r>
      <w:r>
        <w:rPr>
          <w:rFonts w:hint="eastAsia" w:ascii="宋体" w:hAnsi="宋体" w:cs="宋体"/>
          <w:sz w:val="28"/>
          <w:szCs w:val="28"/>
        </w:rPr>
        <w:t>双方可通过友好协商解决。友好协商解决不成的，可在专用合同条款中约定下列一种方式解决：</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（1）向约定的仲裁委员会申请仲裁；</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（2）向有管辖权的人民法院提起诉讼。</w:t>
      </w:r>
    </w:p>
    <w:bookmarkEnd w:id="82"/>
    <w:bookmarkEnd w:id="83"/>
    <w:bookmarkEnd w:id="84"/>
    <w:bookmarkEnd w:id="85"/>
    <w:bookmarkEnd w:id="86"/>
    <w:bookmarkEnd w:id="87"/>
    <w:bookmarkEnd w:id="88"/>
    <w:p>
      <w:pPr>
        <w:pStyle w:val="4"/>
        <w:spacing w:line="240" w:lineRule="auto"/>
        <w:jc w:val="center"/>
        <w:rPr>
          <w:rFonts w:hint="eastAsia" w:ascii="宋体" w:hAnsi="宋体" w:eastAsia="宋体" w:cs="宋体"/>
          <w:sz w:val="36"/>
          <w:szCs w:val="36"/>
        </w:rPr>
      </w:pPr>
      <w:r>
        <w:rPr>
          <w:rFonts w:hint="eastAsia" w:ascii="宋体" w:hAnsi="宋体" w:eastAsia="宋体" w:cs="宋体"/>
        </w:rPr>
        <w:br w:type="page"/>
      </w:r>
      <w:bookmarkStart w:id="432" w:name="_Toc531184205"/>
      <w:bookmarkStart w:id="433" w:name="_Toc8953"/>
      <w:bookmarkStart w:id="434" w:name="_Toc27648360"/>
      <w:bookmarkStart w:id="435" w:name="_Toc4845"/>
      <w:bookmarkStart w:id="436" w:name="_Toc179632785"/>
      <w:bookmarkStart w:id="437" w:name="_Toc144974826"/>
      <w:bookmarkStart w:id="438" w:name="_Toc152042546"/>
      <w:bookmarkStart w:id="439" w:name="_Toc152045767"/>
      <w:r>
        <w:rPr>
          <w:rFonts w:hint="eastAsia" w:ascii="宋体" w:hAnsi="宋体" w:eastAsia="宋体" w:cs="宋体"/>
          <w:sz w:val="36"/>
          <w:szCs w:val="36"/>
        </w:rPr>
        <w:t>第二节  专用合同条款</w:t>
      </w:r>
      <w:bookmarkEnd w:id="432"/>
      <w:bookmarkEnd w:id="433"/>
      <w:bookmarkEnd w:id="434"/>
      <w:bookmarkEnd w:id="435"/>
    </w:p>
    <w:p>
      <w:pPr>
        <w:spacing w:line="360" w:lineRule="auto"/>
        <w:rPr>
          <w:rFonts w:hint="eastAsia" w:ascii="宋体" w:hAnsi="宋体" w:cs="宋体"/>
          <w:sz w:val="28"/>
          <w:szCs w:val="28"/>
          <w:u w:val="single"/>
        </w:rPr>
      </w:pPr>
      <w:bookmarkStart w:id="440" w:name="_Toc531184208"/>
      <w:bookmarkStart w:id="441" w:name="_Toc24377"/>
      <w:bookmarkStart w:id="442" w:name="_Toc28874"/>
      <w:bookmarkStart w:id="443" w:name="_Toc27648363"/>
      <w:bookmarkStart w:id="444" w:name="_Toc17805"/>
      <w:bookmarkStart w:id="445" w:name="_Toc32572"/>
      <w:bookmarkStart w:id="446" w:name="_Toc10623"/>
      <w:bookmarkStart w:id="447" w:name="_Toc30674"/>
      <w:r>
        <w:rPr>
          <w:rFonts w:hint="eastAsia" w:ascii="宋体" w:hAnsi="宋体" w:cs="宋体"/>
          <w:sz w:val="28"/>
          <w:szCs w:val="28"/>
        </w:rPr>
        <w:t>买方（前部分所称的采购人）：</w:t>
      </w:r>
      <w:r>
        <w:rPr>
          <w:rFonts w:hint="eastAsia" w:ascii="宋体" w:hAnsi="宋体" w:cs="宋体"/>
          <w:sz w:val="28"/>
          <w:szCs w:val="28"/>
          <w:u w:val="single"/>
        </w:rPr>
        <w:t xml:space="preserve">                               </w:t>
      </w:r>
    </w:p>
    <w:p>
      <w:pPr>
        <w:spacing w:line="360" w:lineRule="auto"/>
        <w:rPr>
          <w:rFonts w:hint="eastAsia" w:ascii="宋体" w:hAnsi="宋体" w:cs="宋体"/>
          <w:sz w:val="28"/>
          <w:szCs w:val="28"/>
          <w:u w:val="single"/>
        </w:rPr>
      </w:pPr>
      <w:r>
        <w:rPr>
          <w:rFonts w:hint="eastAsia" w:ascii="宋体" w:hAnsi="宋体" w:cs="宋体"/>
          <w:sz w:val="28"/>
          <w:szCs w:val="28"/>
        </w:rPr>
        <w:t>卖方（前部分所称的中标人）：</w:t>
      </w:r>
      <w:r>
        <w:rPr>
          <w:rFonts w:hint="eastAsia" w:ascii="宋体" w:hAnsi="宋体" w:cs="宋体"/>
          <w:sz w:val="28"/>
          <w:szCs w:val="28"/>
          <w:u w:val="single"/>
        </w:rPr>
        <w:t xml:space="preserve">                               </w:t>
      </w:r>
    </w:p>
    <w:p>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依据《中华人民共和国民法典》规定及招投标文件之内容，买卖双方本着平等、自愿、公平、互惠互利和诚实信用的原则，经友好协商，达成以下合同主要条款：</w:t>
      </w:r>
    </w:p>
    <w:p>
      <w:pPr>
        <w:spacing w:line="360" w:lineRule="auto"/>
        <w:ind w:firstLine="420"/>
        <w:rPr>
          <w:rFonts w:hint="eastAsia" w:ascii="宋体" w:hAnsi="宋体" w:cs="宋体"/>
          <w:b/>
          <w:bCs/>
          <w:sz w:val="28"/>
          <w:szCs w:val="28"/>
        </w:rPr>
      </w:pPr>
      <w:r>
        <w:rPr>
          <w:rFonts w:hint="eastAsia" w:ascii="宋体" w:hAnsi="宋体" w:cs="宋体"/>
          <w:b/>
          <w:bCs/>
          <w:sz w:val="28"/>
          <w:szCs w:val="28"/>
        </w:rPr>
        <w:t>一、合同标的（名称、规格、型号、单价等）</w:t>
      </w:r>
    </w:p>
    <w:p>
      <w:pPr>
        <w:spacing w:line="360" w:lineRule="auto"/>
        <w:ind w:firstLine="420"/>
        <w:rPr>
          <w:rFonts w:hint="eastAsia" w:ascii="宋体" w:hAnsi="宋体" w:cs="宋体"/>
          <w:b/>
          <w:bCs/>
          <w:color w:val="auto"/>
          <w:sz w:val="28"/>
          <w:szCs w:val="28"/>
          <w:u w:val="single"/>
        </w:rPr>
      </w:pPr>
      <w:r>
        <w:rPr>
          <w:rFonts w:hint="eastAsia" w:ascii="宋体" w:hAnsi="宋体" w:cs="宋体"/>
          <w:b/>
          <w:bCs/>
          <w:color w:val="auto"/>
          <w:sz w:val="28"/>
          <w:szCs w:val="28"/>
        </w:rPr>
        <w:t>二、合同金额</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合同总金额：大写：</w:t>
      </w:r>
      <w:r>
        <w:rPr>
          <w:rFonts w:hint="eastAsia" w:ascii="宋体" w:hAnsi="宋体" w:cs="宋体"/>
          <w:color w:val="auto"/>
          <w:sz w:val="28"/>
          <w:szCs w:val="28"/>
          <w:u w:val="single"/>
        </w:rPr>
        <w:t xml:space="preserve">          </w:t>
      </w:r>
      <w:r>
        <w:rPr>
          <w:rFonts w:hint="eastAsia" w:ascii="宋体" w:hAnsi="宋体" w:cs="宋体"/>
          <w:color w:val="auto"/>
          <w:sz w:val="28"/>
          <w:szCs w:val="28"/>
        </w:rPr>
        <w:t>，小写：</w:t>
      </w:r>
      <w:r>
        <w:rPr>
          <w:rFonts w:hint="eastAsia" w:ascii="宋体" w:hAnsi="宋体" w:cs="宋体"/>
          <w:color w:val="auto"/>
          <w:sz w:val="28"/>
          <w:szCs w:val="28"/>
          <w:u w:val="single"/>
        </w:rPr>
        <w:t xml:space="preserve">            </w:t>
      </w:r>
      <w:r>
        <w:rPr>
          <w:rFonts w:hint="eastAsia" w:ascii="宋体" w:hAnsi="宋体" w:cs="宋体"/>
          <w:color w:val="auto"/>
          <w:sz w:val="28"/>
          <w:szCs w:val="28"/>
        </w:rPr>
        <w:t>人民币元整。</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合同总金额一次包死，在合同执行过程中不受市场价变化的影响。</w:t>
      </w:r>
    </w:p>
    <w:p>
      <w:pPr>
        <w:spacing w:line="360" w:lineRule="auto"/>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三、付款时间及方式</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highlight w:val="none"/>
          <w:lang w:val="en-US" w:eastAsia="zh-CN"/>
        </w:rPr>
        <w:t>合同签订后支付合同金额的30%，设备安装、调试完毕，项目软件、系统调试完毕，项目验收合格后支付合同金额的65%，2年服务期满后支付合同总金额的5%</w:t>
      </w:r>
      <w:r>
        <w:rPr>
          <w:rFonts w:hint="eastAsia" w:ascii="宋体" w:hAnsi="宋体" w:cs="宋体"/>
          <w:color w:val="auto"/>
          <w:sz w:val="28"/>
          <w:szCs w:val="28"/>
          <w:highlight w:val="none"/>
        </w:rPr>
        <w:t>。</w:t>
      </w:r>
    </w:p>
    <w:p>
      <w:pPr>
        <w:spacing w:line="360" w:lineRule="auto"/>
        <w:ind w:firstLine="560" w:firstLineChars="200"/>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rPr>
        <w:t>2、卖方须向买方开具全额的增值税发票。</w:t>
      </w:r>
    </w:p>
    <w:p>
      <w:pPr>
        <w:spacing w:line="360" w:lineRule="auto"/>
        <w:ind w:firstLine="560" w:firstLineChars="200"/>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rPr>
        <w:t>3、履约保证金：自货物交付验收合格后经甲方同意，无息退还。</w:t>
      </w:r>
    </w:p>
    <w:p>
      <w:pPr>
        <w:spacing w:line="360" w:lineRule="auto"/>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四、工期、地点、方式</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服务期</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en-US" w:eastAsia="zh-CN"/>
        </w:rPr>
        <w:t>30</w:t>
      </w:r>
      <w:r>
        <w:rPr>
          <w:rFonts w:hint="eastAsia" w:ascii="宋体" w:hAnsi="宋体" w:cs="宋体"/>
          <w:color w:val="auto"/>
          <w:sz w:val="28"/>
          <w:szCs w:val="28"/>
          <w:shd w:val="clear" w:color="auto" w:fill="FFFFFF"/>
        </w:rPr>
        <w:t>日历天</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2、</w:t>
      </w:r>
      <w:r>
        <w:rPr>
          <w:rFonts w:hint="eastAsia" w:ascii="宋体" w:hAnsi="宋体" w:cs="宋体"/>
          <w:color w:val="auto"/>
          <w:sz w:val="28"/>
          <w:szCs w:val="28"/>
          <w:lang w:val="en-US" w:eastAsia="zh-CN"/>
        </w:rPr>
        <w:t>服务</w:t>
      </w:r>
      <w:r>
        <w:rPr>
          <w:rFonts w:hint="eastAsia" w:ascii="宋体" w:hAnsi="宋体" w:cs="宋体"/>
          <w:color w:val="auto"/>
          <w:sz w:val="28"/>
          <w:szCs w:val="28"/>
        </w:rPr>
        <w:t>地点：甲方指定地点</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3、交货方式：卖方负责货物运输</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4、货运方式：</w:t>
      </w:r>
      <w:r>
        <w:rPr>
          <w:rFonts w:hint="eastAsia" w:ascii="宋体" w:hAnsi="宋体" w:cs="宋体"/>
          <w:color w:val="auto"/>
          <w:sz w:val="28"/>
          <w:szCs w:val="28"/>
          <w:u w:val="single"/>
        </w:rPr>
        <w:t>自行选择</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5、卖方将合同设备运至</w:t>
      </w:r>
      <w:r>
        <w:rPr>
          <w:rFonts w:hint="eastAsia" w:ascii="宋体" w:hAnsi="宋体" w:cs="宋体"/>
          <w:color w:val="auto"/>
          <w:sz w:val="28"/>
          <w:szCs w:val="28"/>
          <w:u w:val="single"/>
        </w:rPr>
        <w:t>甲方指定地点</w:t>
      </w:r>
      <w:r>
        <w:rPr>
          <w:rFonts w:hint="eastAsia" w:ascii="宋体" w:hAnsi="宋体" w:cs="宋体"/>
          <w:color w:val="auto"/>
          <w:sz w:val="28"/>
          <w:szCs w:val="28"/>
        </w:rPr>
        <w:t>，并经卖方安装调试、投入使用并经过买方验收合格后，方为设备交货日期。</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6、卖方应在合同设备发运后一个工作日内将发运情况（发运时间、件数等）通知买方。卖方应提供货物存放场地，并进行妥善保管，若因为卖方保管原因发生货物损毁及丢失，卖方应承担相关损失。</w:t>
      </w:r>
    </w:p>
    <w:p>
      <w:pPr>
        <w:spacing w:line="360" w:lineRule="auto"/>
        <w:ind w:firstLine="420"/>
        <w:rPr>
          <w:rFonts w:hint="eastAsia" w:ascii="宋体" w:hAnsi="宋体" w:cs="宋体"/>
          <w:color w:val="auto"/>
          <w:sz w:val="28"/>
          <w:szCs w:val="28"/>
          <w:u w:val="single"/>
        </w:rPr>
      </w:pPr>
      <w:r>
        <w:rPr>
          <w:rFonts w:hint="eastAsia" w:ascii="宋体" w:hAnsi="宋体" w:cs="宋体"/>
          <w:color w:val="auto"/>
          <w:sz w:val="28"/>
          <w:szCs w:val="28"/>
        </w:rPr>
        <w:t>7、</w:t>
      </w:r>
      <w:r>
        <w:rPr>
          <w:rFonts w:hint="eastAsia" w:ascii="宋体" w:hAnsi="宋体" w:cs="宋体"/>
          <w:color w:val="auto"/>
          <w:sz w:val="28"/>
          <w:szCs w:val="28"/>
          <w:highlight w:val="none"/>
        </w:rPr>
        <w:t>前后端设备、传输线路及平台运行、维护期：</w:t>
      </w:r>
      <w:r>
        <w:rPr>
          <w:rFonts w:hint="eastAsia" w:ascii="宋体" w:hAnsi="宋体" w:cs="宋体"/>
          <w:color w:val="auto"/>
          <w:sz w:val="28"/>
          <w:szCs w:val="28"/>
          <w:highlight w:val="none"/>
          <w:u w:val="single"/>
          <w:lang w:val="en-US" w:eastAsia="zh-CN"/>
        </w:rPr>
        <w:t>2</w:t>
      </w:r>
      <w:r>
        <w:rPr>
          <w:rFonts w:hint="eastAsia" w:ascii="宋体" w:hAnsi="宋体" w:cs="宋体"/>
          <w:color w:val="auto"/>
          <w:sz w:val="28"/>
          <w:szCs w:val="28"/>
          <w:highlight w:val="none"/>
          <w:u w:val="single"/>
        </w:rPr>
        <w:t>年。</w:t>
      </w:r>
    </w:p>
    <w:p>
      <w:pPr>
        <w:spacing w:line="360" w:lineRule="auto"/>
        <w:ind w:firstLine="420"/>
        <w:rPr>
          <w:rFonts w:hint="eastAsia" w:ascii="宋体" w:hAnsi="宋体" w:cs="宋体"/>
          <w:b/>
          <w:bCs/>
          <w:color w:val="auto"/>
          <w:sz w:val="28"/>
          <w:szCs w:val="28"/>
        </w:rPr>
      </w:pPr>
      <w:r>
        <w:rPr>
          <w:rFonts w:hint="eastAsia" w:ascii="宋体" w:hAnsi="宋体" w:cs="宋体"/>
          <w:b/>
          <w:bCs/>
          <w:color w:val="auto"/>
          <w:sz w:val="28"/>
          <w:szCs w:val="28"/>
        </w:rPr>
        <w:t>五、验收时间、地点、标准、方式</w:t>
      </w:r>
    </w:p>
    <w:p>
      <w:pPr>
        <w:spacing w:line="360" w:lineRule="auto"/>
        <w:ind w:firstLine="420"/>
        <w:rPr>
          <w:rFonts w:hint="eastAsia" w:ascii="宋体" w:hAnsi="宋体" w:cs="宋体"/>
          <w:color w:val="auto"/>
          <w:sz w:val="28"/>
          <w:szCs w:val="28"/>
        </w:rPr>
      </w:pPr>
      <w:r>
        <w:rPr>
          <w:rFonts w:hint="eastAsia" w:ascii="宋体" w:hAnsi="宋体" w:cs="宋体"/>
          <w:color w:val="auto"/>
          <w:sz w:val="28"/>
          <w:szCs w:val="28"/>
        </w:rPr>
        <w:t>1、验收时间：项目在竣工后，乙方应向甲方提交工程竣工报告，申请工程竣工验收，并将项目实施过程中相关资料提交甲方。甲方收到工程竣工报告后，对符合竣工验收要求的工程，组织相关单位和其他有关方面的专家组成验收组共同验收，签署的工程竣工验收意见。验收合格后，甲方出具《工程竣工验收报告》，并在主管部门备案。验收不合格的乙方，必须在接到通知后7个日历日内确保工程通过验收。如接到通知后7个日历日内验收仍不合格，甲方可提出索赔或取消其施工合同。</w:t>
      </w:r>
    </w:p>
    <w:p>
      <w:pPr>
        <w:spacing w:line="360" w:lineRule="auto"/>
        <w:ind w:firstLine="420"/>
        <w:rPr>
          <w:rFonts w:hint="eastAsia" w:ascii="宋体" w:hAnsi="宋体" w:cs="宋体"/>
          <w:color w:val="auto"/>
          <w:sz w:val="28"/>
          <w:szCs w:val="28"/>
        </w:rPr>
      </w:pPr>
      <w:r>
        <w:rPr>
          <w:rFonts w:hint="eastAsia" w:ascii="宋体" w:hAnsi="宋体" w:cs="宋体"/>
          <w:color w:val="auto"/>
          <w:sz w:val="28"/>
          <w:szCs w:val="28"/>
        </w:rPr>
        <w:t>2、验收地点：甲方指定地点</w:t>
      </w:r>
    </w:p>
    <w:p>
      <w:pPr>
        <w:spacing w:line="360" w:lineRule="auto"/>
        <w:ind w:firstLine="420"/>
        <w:rPr>
          <w:rFonts w:hint="eastAsia" w:ascii="宋体" w:hAnsi="宋体" w:cs="宋体"/>
          <w:color w:val="auto"/>
          <w:sz w:val="28"/>
          <w:szCs w:val="28"/>
        </w:rPr>
      </w:pPr>
      <w:r>
        <w:rPr>
          <w:rFonts w:hint="eastAsia" w:ascii="宋体" w:hAnsi="宋体" w:cs="宋体"/>
          <w:color w:val="auto"/>
          <w:sz w:val="28"/>
          <w:szCs w:val="28"/>
        </w:rPr>
        <w:t>3、验收标准：合格</w:t>
      </w:r>
    </w:p>
    <w:p>
      <w:pPr>
        <w:spacing w:line="360" w:lineRule="auto"/>
        <w:ind w:firstLine="420"/>
        <w:rPr>
          <w:rFonts w:hint="eastAsia" w:ascii="宋体" w:hAnsi="宋体" w:cs="宋体"/>
          <w:color w:val="auto"/>
          <w:sz w:val="28"/>
          <w:szCs w:val="28"/>
        </w:rPr>
      </w:pPr>
      <w:r>
        <w:rPr>
          <w:rFonts w:hint="eastAsia" w:ascii="宋体" w:hAnsi="宋体" w:cs="宋体"/>
          <w:color w:val="auto"/>
          <w:sz w:val="28"/>
          <w:szCs w:val="28"/>
        </w:rPr>
        <w:t>4、验收费用：乙方承诺完全达到国家有关部门验收标准，并全部通过验收为交付使用的基本条件，验收过程中的一切费用由乙方承担。</w:t>
      </w:r>
    </w:p>
    <w:p>
      <w:pPr>
        <w:spacing w:line="360" w:lineRule="auto"/>
        <w:ind w:firstLine="420"/>
        <w:rPr>
          <w:rFonts w:hint="eastAsia" w:ascii="宋体" w:hAnsi="宋体" w:cs="宋体"/>
          <w:sz w:val="28"/>
          <w:szCs w:val="28"/>
        </w:rPr>
      </w:pPr>
      <w:r>
        <w:rPr>
          <w:rFonts w:hint="eastAsia" w:ascii="宋体" w:hAnsi="宋体" w:cs="宋体"/>
          <w:sz w:val="28"/>
          <w:szCs w:val="28"/>
        </w:rPr>
        <w:t>5、验收依据</w:t>
      </w:r>
    </w:p>
    <w:p>
      <w:pPr>
        <w:spacing w:line="360" w:lineRule="auto"/>
        <w:ind w:firstLine="420"/>
        <w:rPr>
          <w:rFonts w:hint="eastAsia" w:ascii="宋体" w:hAnsi="宋体" w:cs="宋体"/>
          <w:sz w:val="28"/>
          <w:szCs w:val="28"/>
        </w:rPr>
      </w:pPr>
      <w:r>
        <w:rPr>
          <w:rFonts w:hint="eastAsia" w:ascii="宋体" w:hAnsi="宋体" w:cs="宋体"/>
          <w:sz w:val="28"/>
          <w:szCs w:val="28"/>
        </w:rPr>
        <w:t>5.1验收依据</w:t>
      </w:r>
    </w:p>
    <w:p>
      <w:pPr>
        <w:spacing w:line="360" w:lineRule="auto"/>
        <w:ind w:firstLine="420"/>
        <w:rPr>
          <w:rFonts w:hint="eastAsia" w:ascii="宋体" w:hAnsi="宋体" w:cs="宋体"/>
          <w:sz w:val="28"/>
          <w:szCs w:val="28"/>
        </w:rPr>
      </w:pPr>
      <w:r>
        <w:rPr>
          <w:rFonts w:hint="eastAsia" w:ascii="宋体" w:hAnsi="宋体" w:cs="宋体"/>
          <w:sz w:val="28"/>
          <w:szCs w:val="28"/>
        </w:rPr>
        <w:t>（1）合同文本及合同补充文件（条款）。</w:t>
      </w:r>
    </w:p>
    <w:p>
      <w:pPr>
        <w:spacing w:line="360" w:lineRule="auto"/>
        <w:ind w:firstLine="420"/>
        <w:rPr>
          <w:rFonts w:hint="eastAsia" w:ascii="宋体" w:hAnsi="宋体" w:cs="宋体"/>
          <w:sz w:val="28"/>
          <w:szCs w:val="28"/>
        </w:rPr>
      </w:pPr>
      <w:r>
        <w:rPr>
          <w:rFonts w:hint="eastAsia" w:ascii="宋体" w:hAnsi="宋体" w:cs="宋体"/>
          <w:sz w:val="28"/>
          <w:szCs w:val="28"/>
        </w:rPr>
        <w:t>（2）招标文件。</w:t>
      </w:r>
    </w:p>
    <w:p>
      <w:pPr>
        <w:spacing w:line="360" w:lineRule="auto"/>
        <w:ind w:firstLine="420"/>
        <w:rPr>
          <w:rFonts w:hint="eastAsia" w:ascii="宋体" w:hAnsi="宋体" w:cs="宋体"/>
          <w:sz w:val="28"/>
          <w:szCs w:val="28"/>
        </w:rPr>
      </w:pPr>
      <w:r>
        <w:rPr>
          <w:rFonts w:hint="eastAsia" w:ascii="宋体" w:hAnsi="宋体" w:cs="宋体"/>
          <w:sz w:val="28"/>
          <w:szCs w:val="28"/>
        </w:rPr>
        <w:t>（3）投标文件。</w:t>
      </w:r>
    </w:p>
    <w:p>
      <w:pPr>
        <w:spacing w:line="360" w:lineRule="auto"/>
        <w:ind w:firstLine="420"/>
        <w:rPr>
          <w:rFonts w:hint="eastAsia" w:ascii="宋体" w:hAnsi="宋体" w:cs="宋体"/>
          <w:sz w:val="28"/>
          <w:szCs w:val="28"/>
        </w:rPr>
      </w:pPr>
      <w:r>
        <w:rPr>
          <w:rFonts w:hint="eastAsia" w:ascii="宋体" w:hAnsi="宋体" w:cs="宋体"/>
          <w:sz w:val="28"/>
          <w:szCs w:val="28"/>
        </w:rPr>
        <w:t>（4）货物清单。</w:t>
      </w:r>
    </w:p>
    <w:p>
      <w:pPr>
        <w:spacing w:line="360" w:lineRule="auto"/>
        <w:ind w:firstLine="420"/>
        <w:rPr>
          <w:rFonts w:hint="eastAsia" w:ascii="宋体" w:hAnsi="宋体" w:cs="宋体"/>
          <w:sz w:val="28"/>
          <w:szCs w:val="28"/>
        </w:rPr>
      </w:pPr>
      <w:r>
        <w:rPr>
          <w:rFonts w:hint="eastAsia" w:ascii="宋体" w:hAnsi="宋体" w:cs="宋体"/>
          <w:sz w:val="28"/>
          <w:szCs w:val="28"/>
        </w:rPr>
        <w:t>（5）项目相关质量验收统一标准。</w:t>
      </w:r>
    </w:p>
    <w:p>
      <w:pPr>
        <w:spacing w:line="360" w:lineRule="auto"/>
        <w:ind w:firstLine="420"/>
        <w:rPr>
          <w:rFonts w:hint="eastAsia" w:ascii="宋体" w:hAnsi="宋体" w:cs="宋体"/>
          <w:b/>
          <w:bCs/>
          <w:sz w:val="28"/>
          <w:szCs w:val="28"/>
        </w:rPr>
      </w:pPr>
      <w:r>
        <w:rPr>
          <w:rFonts w:hint="eastAsia" w:ascii="宋体" w:hAnsi="宋体" w:cs="宋体"/>
          <w:b/>
          <w:bCs/>
          <w:sz w:val="28"/>
          <w:szCs w:val="28"/>
        </w:rPr>
        <w:t>六、现场服务</w:t>
      </w:r>
    </w:p>
    <w:p>
      <w:pPr>
        <w:spacing w:line="360" w:lineRule="auto"/>
        <w:ind w:firstLine="420"/>
        <w:rPr>
          <w:rFonts w:hint="eastAsia" w:ascii="宋体" w:hAnsi="宋体" w:cs="宋体"/>
          <w:sz w:val="28"/>
          <w:szCs w:val="28"/>
        </w:rPr>
      </w:pPr>
      <w:r>
        <w:rPr>
          <w:rFonts w:hint="eastAsia" w:ascii="宋体" w:hAnsi="宋体" w:cs="宋体"/>
          <w:sz w:val="28"/>
          <w:szCs w:val="28"/>
        </w:rPr>
        <w:t>1、卖方现场人员应遵守买方厂规、制度，如有违规，卖方负责。</w:t>
      </w:r>
    </w:p>
    <w:p>
      <w:pPr>
        <w:spacing w:line="360" w:lineRule="auto"/>
        <w:ind w:firstLine="420"/>
        <w:rPr>
          <w:rFonts w:hint="eastAsia" w:ascii="宋体" w:hAnsi="宋体" w:cs="宋体"/>
          <w:sz w:val="28"/>
          <w:szCs w:val="28"/>
        </w:rPr>
      </w:pPr>
      <w:r>
        <w:rPr>
          <w:rFonts w:hint="eastAsia" w:ascii="宋体" w:hAnsi="宋体" w:cs="宋体"/>
          <w:sz w:val="28"/>
          <w:szCs w:val="28"/>
        </w:rPr>
        <w:t>2、卖方现场人员食宿自理。</w:t>
      </w:r>
    </w:p>
    <w:p>
      <w:pPr>
        <w:spacing w:line="360" w:lineRule="auto"/>
        <w:ind w:firstLine="420"/>
        <w:rPr>
          <w:rFonts w:hint="eastAsia" w:ascii="宋体" w:hAnsi="宋体" w:cs="宋体"/>
          <w:sz w:val="28"/>
          <w:szCs w:val="28"/>
        </w:rPr>
      </w:pPr>
      <w:r>
        <w:rPr>
          <w:rFonts w:hint="eastAsia" w:ascii="宋体" w:hAnsi="宋体" w:cs="宋体"/>
          <w:sz w:val="28"/>
          <w:szCs w:val="28"/>
        </w:rPr>
        <w:t>3、买方如需邀请卖方开展非质量问题处理的技术服务，供应应予协助。</w:t>
      </w:r>
    </w:p>
    <w:p>
      <w:pPr>
        <w:spacing w:line="360" w:lineRule="auto"/>
        <w:ind w:firstLine="420"/>
        <w:rPr>
          <w:rFonts w:hint="eastAsia" w:ascii="宋体" w:hAnsi="宋体" w:cs="宋体"/>
          <w:b/>
          <w:bCs/>
          <w:sz w:val="28"/>
          <w:szCs w:val="28"/>
        </w:rPr>
      </w:pPr>
      <w:r>
        <w:rPr>
          <w:rFonts w:hint="eastAsia" w:ascii="宋体" w:hAnsi="宋体" w:cs="宋体"/>
          <w:b/>
          <w:bCs/>
          <w:sz w:val="28"/>
          <w:szCs w:val="28"/>
        </w:rPr>
        <w:t>七、人员培训</w:t>
      </w:r>
    </w:p>
    <w:p>
      <w:pPr>
        <w:spacing w:line="360" w:lineRule="auto"/>
        <w:ind w:firstLine="420"/>
        <w:rPr>
          <w:rFonts w:hint="eastAsia" w:ascii="宋体" w:hAnsi="宋体" w:cs="宋体"/>
          <w:sz w:val="28"/>
          <w:szCs w:val="28"/>
        </w:rPr>
      </w:pPr>
      <w:r>
        <w:rPr>
          <w:rFonts w:hint="eastAsia" w:ascii="宋体" w:hAnsi="宋体" w:cs="宋体"/>
          <w:sz w:val="28"/>
          <w:szCs w:val="28"/>
        </w:rPr>
        <w:t>1、内容：应包括设备原理、使用操作、保养维修技术等，使受训人员达到独立使用、熟练操作的程度。</w:t>
      </w:r>
    </w:p>
    <w:p>
      <w:pPr>
        <w:spacing w:line="360" w:lineRule="auto"/>
        <w:ind w:firstLine="420"/>
        <w:rPr>
          <w:rFonts w:hint="eastAsia" w:ascii="宋体" w:hAnsi="宋体" w:cs="宋体"/>
          <w:sz w:val="28"/>
          <w:szCs w:val="28"/>
        </w:rPr>
      </w:pPr>
      <w:r>
        <w:rPr>
          <w:rFonts w:hint="eastAsia" w:ascii="宋体" w:hAnsi="宋体" w:cs="宋体"/>
          <w:sz w:val="28"/>
          <w:szCs w:val="28"/>
        </w:rPr>
        <w:t>2、地点：按采购人要求。</w:t>
      </w:r>
    </w:p>
    <w:p>
      <w:pPr>
        <w:spacing w:line="360" w:lineRule="auto"/>
        <w:ind w:firstLine="420"/>
        <w:rPr>
          <w:rFonts w:hint="eastAsia" w:ascii="宋体" w:hAnsi="宋体" w:cs="宋体"/>
          <w:sz w:val="28"/>
          <w:szCs w:val="28"/>
        </w:rPr>
      </w:pPr>
      <w:r>
        <w:rPr>
          <w:rFonts w:hint="eastAsia" w:ascii="宋体" w:hAnsi="宋体" w:cs="宋体"/>
          <w:sz w:val="28"/>
          <w:szCs w:val="28"/>
        </w:rPr>
        <w:t>3、时间：按采购人要求。</w:t>
      </w:r>
    </w:p>
    <w:p>
      <w:pPr>
        <w:spacing w:line="360" w:lineRule="auto"/>
        <w:ind w:firstLine="420"/>
        <w:rPr>
          <w:rFonts w:hint="eastAsia" w:ascii="宋体" w:hAnsi="宋体" w:cs="宋体"/>
          <w:sz w:val="28"/>
          <w:szCs w:val="28"/>
        </w:rPr>
      </w:pPr>
      <w:r>
        <w:rPr>
          <w:rFonts w:hint="eastAsia" w:ascii="宋体" w:hAnsi="宋体" w:cs="宋体"/>
          <w:sz w:val="28"/>
          <w:szCs w:val="28"/>
        </w:rPr>
        <w:t>4、人员：按采购人要求</w:t>
      </w:r>
    </w:p>
    <w:p>
      <w:pPr>
        <w:spacing w:line="360" w:lineRule="auto"/>
        <w:ind w:firstLine="420"/>
        <w:rPr>
          <w:rFonts w:hint="eastAsia" w:ascii="宋体" w:hAnsi="宋体" w:cs="宋体"/>
          <w:sz w:val="28"/>
          <w:szCs w:val="28"/>
        </w:rPr>
      </w:pPr>
      <w:r>
        <w:rPr>
          <w:rFonts w:hint="eastAsia" w:ascii="宋体" w:hAnsi="宋体" w:cs="宋体"/>
          <w:sz w:val="28"/>
          <w:szCs w:val="28"/>
        </w:rPr>
        <w:t>5、费用：按采购人要求，采购人不再另行支付。</w:t>
      </w:r>
    </w:p>
    <w:p>
      <w:pPr>
        <w:spacing w:line="360" w:lineRule="auto"/>
        <w:ind w:firstLine="420"/>
        <w:rPr>
          <w:rFonts w:hint="eastAsia" w:ascii="宋体" w:hAnsi="宋体" w:cs="宋体"/>
          <w:sz w:val="28"/>
          <w:szCs w:val="28"/>
        </w:rPr>
      </w:pPr>
      <w:r>
        <w:rPr>
          <w:rFonts w:hint="eastAsia" w:ascii="宋体" w:hAnsi="宋体" w:cs="宋体"/>
          <w:sz w:val="28"/>
          <w:szCs w:val="28"/>
        </w:rPr>
        <w:t>6、卖方提供给买方培训的机会，以便熟练操作新设备带来的新技术。进修时间、人员和时间由买方确定，卖方承担培训费用，培训期间相关人员的食宿由买方自行支付。</w:t>
      </w:r>
    </w:p>
    <w:p>
      <w:pPr>
        <w:spacing w:line="360" w:lineRule="auto"/>
        <w:ind w:firstLine="420"/>
        <w:rPr>
          <w:rFonts w:hint="eastAsia" w:ascii="宋体" w:hAnsi="宋体" w:cs="宋体"/>
          <w:b/>
          <w:bCs/>
          <w:sz w:val="28"/>
          <w:szCs w:val="28"/>
        </w:rPr>
      </w:pPr>
      <w:r>
        <w:rPr>
          <w:rFonts w:hint="eastAsia" w:ascii="宋体" w:hAnsi="宋体" w:cs="宋体"/>
          <w:b/>
          <w:bCs/>
          <w:sz w:val="28"/>
          <w:szCs w:val="28"/>
        </w:rPr>
        <w:t>八、保修方式</w:t>
      </w:r>
    </w:p>
    <w:p>
      <w:pPr>
        <w:spacing w:line="360" w:lineRule="auto"/>
        <w:ind w:firstLine="420"/>
        <w:rPr>
          <w:rFonts w:hint="eastAsia" w:ascii="宋体" w:hAnsi="宋体" w:cs="宋体"/>
          <w:color w:val="auto"/>
          <w:sz w:val="28"/>
          <w:szCs w:val="28"/>
        </w:rPr>
      </w:pPr>
      <w:r>
        <w:rPr>
          <w:rFonts w:hint="eastAsia" w:ascii="宋体" w:hAnsi="宋体" w:cs="宋体"/>
          <w:sz w:val="28"/>
          <w:szCs w:val="28"/>
        </w:rPr>
        <w:t>1、自设备经过双方验收合格之日起按生产厂家规定的条款进行免费保修服务，</w:t>
      </w:r>
      <w:r>
        <w:rPr>
          <w:rFonts w:hint="eastAsia" w:ascii="宋体" w:hAnsi="宋体" w:cs="宋体"/>
          <w:b/>
          <w:sz w:val="28"/>
          <w:szCs w:val="28"/>
          <w:highlight w:val="none"/>
          <w:u w:val="single"/>
        </w:rPr>
        <w:t>整体系统的质保期为验</w:t>
      </w:r>
      <w:r>
        <w:rPr>
          <w:rFonts w:hint="eastAsia" w:ascii="宋体" w:hAnsi="宋体" w:cs="宋体"/>
          <w:b/>
          <w:color w:val="auto"/>
          <w:sz w:val="28"/>
          <w:szCs w:val="28"/>
          <w:highlight w:val="none"/>
          <w:u w:val="single"/>
        </w:rPr>
        <w:t>收合格之日起</w:t>
      </w:r>
      <w:r>
        <w:rPr>
          <w:rFonts w:hint="eastAsia" w:ascii="宋体" w:hAnsi="宋体" w:cs="宋体"/>
          <w:b/>
          <w:color w:val="auto"/>
          <w:sz w:val="28"/>
          <w:szCs w:val="28"/>
          <w:highlight w:val="none"/>
          <w:u w:val="single"/>
          <w:lang w:val="en-US" w:eastAsia="zh-CN"/>
        </w:rPr>
        <w:t>两</w:t>
      </w:r>
      <w:r>
        <w:rPr>
          <w:rFonts w:hint="eastAsia" w:ascii="宋体" w:hAnsi="宋体" w:cs="宋体"/>
          <w:b/>
          <w:color w:val="auto"/>
          <w:sz w:val="28"/>
          <w:szCs w:val="28"/>
          <w:highlight w:val="none"/>
          <w:u w:val="single"/>
        </w:rPr>
        <w:t>年，投标供应商承诺终身维护保养。</w:t>
      </w:r>
      <w:r>
        <w:rPr>
          <w:rFonts w:hint="eastAsia" w:ascii="宋体" w:hAnsi="宋体" w:cs="宋体"/>
          <w:color w:val="auto"/>
          <w:sz w:val="28"/>
          <w:szCs w:val="28"/>
        </w:rPr>
        <w:t>在质保期内供应商提供7*24小时电话响应。紧急情况下，维修人员需在2小时内到达现场解决问题，最长不得超过4小时；一般情况下，维修人员最长不得超过2个工作日，到达现场解决问题。若因设备质量造成损害，全部费用由中标人支付，若需将产品送回生产厂，中标人还应支付维修设备所需的往返费用。供方在投标时应提供质保期后服务项目，即只收取零配件成本价格费用，免收其余一切费用。</w:t>
      </w:r>
    </w:p>
    <w:p>
      <w:pPr>
        <w:spacing w:line="360" w:lineRule="auto"/>
        <w:ind w:firstLine="420"/>
        <w:rPr>
          <w:rFonts w:hint="eastAsia" w:ascii="宋体" w:hAnsi="宋体" w:cs="宋体"/>
          <w:color w:val="auto"/>
          <w:sz w:val="28"/>
          <w:szCs w:val="28"/>
        </w:rPr>
      </w:pPr>
      <w:r>
        <w:rPr>
          <w:rFonts w:hint="eastAsia" w:ascii="宋体" w:hAnsi="宋体" w:cs="宋体"/>
          <w:color w:val="auto"/>
          <w:sz w:val="28"/>
          <w:szCs w:val="28"/>
        </w:rPr>
        <w:t>2、质保期内，如由于火灾、水灾、地震、磁电串入、等不可抗拒原因及买方人为破坏因素造成的损坏，卖方负责免费维修，设备材料成本费用由买方承担。</w:t>
      </w:r>
    </w:p>
    <w:p>
      <w:pPr>
        <w:spacing w:line="360" w:lineRule="auto"/>
        <w:ind w:firstLine="420"/>
        <w:rPr>
          <w:rFonts w:hint="eastAsia" w:ascii="宋体" w:hAnsi="宋体" w:cs="宋体"/>
          <w:color w:val="auto"/>
          <w:sz w:val="28"/>
          <w:szCs w:val="28"/>
          <w:highlight w:val="yellow"/>
        </w:rPr>
      </w:pPr>
      <w:r>
        <w:rPr>
          <w:rFonts w:hint="eastAsia" w:ascii="宋体" w:hAnsi="宋体" w:cs="宋体"/>
          <w:color w:val="auto"/>
          <w:sz w:val="28"/>
          <w:szCs w:val="28"/>
        </w:rPr>
        <w:t>3、</w:t>
      </w:r>
      <w:r>
        <w:rPr>
          <w:rFonts w:hint="eastAsia" w:ascii="宋体" w:hAnsi="宋体" w:cs="宋体"/>
          <w:color w:val="auto"/>
          <w:sz w:val="28"/>
          <w:szCs w:val="28"/>
          <w:highlight w:val="none"/>
        </w:rPr>
        <w:t>项目验收合格后即开始提供前后端设备及平台运行维保</w:t>
      </w:r>
      <w:r>
        <w:rPr>
          <w:rFonts w:hint="eastAsia" w:ascii="宋体" w:hAnsi="宋体" w:cs="宋体"/>
          <w:color w:val="auto"/>
          <w:sz w:val="28"/>
          <w:szCs w:val="28"/>
          <w:highlight w:val="none"/>
          <w:lang w:val="en-US" w:eastAsia="zh-CN"/>
        </w:rPr>
        <w:t>2年</w:t>
      </w:r>
      <w:r>
        <w:rPr>
          <w:rFonts w:hint="eastAsia" w:ascii="宋体" w:hAnsi="宋体" w:cs="宋体"/>
          <w:color w:val="auto"/>
          <w:sz w:val="28"/>
          <w:szCs w:val="28"/>
          <w:highlight w:val="none"/>
        </w:rPr>
        <w:t>。</w:t>
      </w:r>
    </w:p>
    <w:p>
      <w:pPr>
        <w:spacing w:line="360" w:lineRule="auto"/>
        <w:ind w:firstLine="420"/>
        <w:rPr>
          <w:rFonts w:hint="eastAsia" w:ascii="宋体" w:hAnsi="宋体" w:cs="宋体"/>
          <w:b/>
          <w:bCs/>
          <w:color w:val="auto"/>
          <w:sz w:val="28"/>
          <w:szCs w:val="28"/>
        </w:rPr>
      </w:pPr>
      <w:r>
        <w:rPr>
          <w:rFonts w:hint="eastAsia" w:ascii="宋体" w:hAnsi="宋体" w:cs="宋体"/>
          <w:b/>
          <w:bCs/>
          <w:color w:val="auto"/>
          <w:sz w:val="28"/>
          <w:szCs w:val="28"/>
        </w:rPr>
        <w:t>九、违约责任</w:t>
      </w:r>
    </w:p>
    <w:p>
      <w:pPr>
        <w:spacing w:line="360" w:lineRule="auto"/>
        <w:ind w:firstLine="420"/>
        <w:rPr>
          <w:rFonts w:hint="eastAsia" w:ascii="宋体" w:hAnsi="宋体" w:cs="宋体"/>
          <w:sz w:val="28"/>
          <w:szCs w:val="28"/>
        </w:rPr>
      </w:pPr>
      <w:r>
        <w:rPr>
          <w:rFonts w:hint="eastAsia" w:ascii="宋体" w:hAnsi="宋体" w:cs="宋体"/>
          <w:sz w:val="28"/>
          <w:szCs w:val="28"/>
        </w:rPr>
        <w:t>1、按《中华人民共和国民法典》中的相关条款执行。</w:t>
      </w:r>
    </w:p>
    <w:p>
      <w:pPr>
        <w:spacing w:line="360" w:lineRule="auto"/>
        <w:ind w:firstLine="420"/>
        <w:rPr>
          <w:rFonts w:hint="eastAsia" w:ascii="宋体" w:hAnsi="宋体" w:cs="宋体"/>
          <w:sz w:val="28"/>
          <w:szCs w:val="28"/>
        </w:rPr>
      </w:pPr>
      <w:r>
        <w:rPr>
          <w:rFonts w:hint="eastAsia" w:ascii="宋体" w:hAnsi="宋体" w:cs="宋体"/>
          <w:sz w:val="28"/>
          <w:szCs w:val="28"/>
        </w:rPr>
        <w:t>2、未按合同要求提供产品或设备质量不能满足技术要求，采购人会同监督单位有权终止合同，甚至对供方违约行为进行追究。</w:t>
      </w:r>
    </w:p>
    <w:p>
      <w:pPr>
        <w:spacing w:line="360" w:lineRule="auto"/>
        <w:ind w:firstLine="420"/>
        <w:rPr>
          <w:rFonts w:hint="eastAsia" w:ascii="宋体" w:hAnsi="宋体" w:cs="宋体"/>
          <w:b/>
          <w:bCs/>
          <w:sz w:val="28"/>
          <w:szCs w:val="28"/>
        </w:rPr>
      </w:pPr>
      <w:r>
        <w:rPr>
          <w:rFonts w:hint="eastAsia" w:ascii="宋体" w:hAnsi="宋体" w:cs="宋体"/>
          <w:b/>
          <w:bCs/>
          <w:sz w:val="28"/>
          <w:szCs w:val="28"/>
        </w:rPr>
        <w:t>十、不可抗力</w:t>
      </w:r>
    </w:p>
    <w:p>
      <w:pPr>
        <w:spacing w:line="360" w:lineRule="auto"/>
        <w:ind w:firstLine="420"/>
        <w:rPr>
          <w:rFonts w:hint="eastAsia" w:ascii="宋体" w:hAnsi="宋体" w:cs="宋体"/>
          <w:sz w:val="28"/>
          <w:szCs w:val="28"/>
        </w:rPr>
      </w:pPr>
      <w:r>
        <w:rPr>
          <w:rFonts w:hint="eastAsia" w:ascii="宋体" w:hAnsi="宋体" w:cs="宋体"/>
          <w:sz w:val="28"/>
          <w:szCs w:val="28"/>
        </w:rPr>
        <w:t>如发生不可抗力事件，受不可抗力事件影响的一方应取得公证机关的不能履行或不能全部履行合同的证明，并在事件发生后15个工作日内，及时通知另一方。双方同意，可据此免除全部或部分责任。</w:t>
      </w:r>
    </w:p>
    <w:p>
      <w:pPr>
        <w:spacing w:line="360" w:lineRule="auto"/>
        <w:ind w:firstLine="420"/>
        <w:rPr>
          <w:rFonts w:hint="eastAsia" w:ascii="宋体" w:hAnsi="宋体" w:cs="宋体"/>
          <w:b/>
          <w:bCs/>
          <w:sz w:val="28"/>
          <w:szCs w:val="28"/>
        </w:rPr>
      </w:pPr>
      <w:r>
        <w:rPr>
          <w:rFonts w:hint="eastAsia" w:ascii="宋体" w:hAnsi="宋体" w:cs="宋体"/>
          <w:b/>
          <w:bCs/>
          <w:sz w:val="28"/>
          <w:szCs w:val="28"/>
        </w:rPr>
        <w:t>十一、合同文件组成及优先顺序</w:t>
      </w:r>
    </w:p>
    <w:p>
      <w:pPr>
        <w:spacing w:line="360" w:lineRule="auto"/>
        <w:ind w:firstLine="420"/>
        <w:rPr>
          <w:rFonts w:hint="eastAsia" w:ascii="宋体" w:hAnsi="宋体" w:cs="宋体"/>
          <w:sz w:val="28"/>
          <w:szCs w:val="28"/>
        </w:rPr>
      </w:pPr>
      <w:r>
        <w:rPr>
          <w:rFonts w:hint="eastAsia" w:ascii="宋体" w:hAnsi="宋体" w:cs="宋体"/>
          <w:sz w:val="28"/>
          <w:szCs w:val="28"/>
        </w:rPr>
        <w:t>1、合同主要条款</w:t>
      </w:r>
    </w:p>
    <w:p>
      <w:pPr>
        <w:spacing w:line="360" w:lineRule="auto"/>
        <w:ind w:firstLine="420"/>
        <w:rPr>
          <w:rFonts w:hint="eastAsia" w:ascii="宋体" w:hAnsi="宋体" w:cs="宋体"/>
          <w:sz w:val="28"/>
          <w:szCs w:val="28"/>
        </w:rPr>
      </w:pPr>
      <w:r>
        <w:rPr>
          <w:rFonts w:hint="eastAsia" w:ascii="宋体" w:hAnsi="宋体" w:cs="宋体"/>
          <w:sz w:val="28"/>
          <w:szCs w:val="28"/>
        </w:rPr>
        <w:t>2、合同附件</w:t>
      </w:r>
    </w:p>
    <w:p>
      <w:pPr>
        <w:spacing w:line="360" w:lineRule="auto"/>
        <w:ind w:firstLine="420"/>
        <w:rPr>
          <w:rFonts w:hint="eastAsia" w:ascii="宋体" w:hAnsi="宋体" w:cs="宋体"/>
          <w:sz w:val="28"/>
          <w:szCs w:val="28"/>
        </w:rPr>
      </w:pPr>
      <w:r>
        <w:rPr>
          <w:rFonts w:hint="eastAsia" w:ascii="宋体" w:hAnsi="宋体" w:cs="宋体"/>
          <w:sz w:val="28"/>
          <w:szCs w:val="28"/>
        </w:rPr>
        <w:t>中标通知书</w:t>
      </w:r>
    </w:p>
    <w:p>
      <w:pPr>
        <w:spacing w:line="360" w:lineRule="auto"/>
        <w:ind w:firstLine="420"/>
        <w:rPr>
          <w:rFonts w:hint="eastAsia" w:ascii="宋体" w:hAnsi="宋体" w:cs="宋体"/>
          <w:sz w:val="28"/>
          <w:szCs w:val="28"/>
        </w:rPr>
      </w:pPr>
      <w:r>
        <w:rPr>
          <w:rFonts w:hint="eastAsia" w:ascii="宋体" w:hAnsi="宋体" w:cs="宋体"/>
          <w:sz w:val="28"/>
          <w:szCs w:val="28"/>
        </w:rPr>
        <w:t>招标文件及相关答疑补遗文件</w:t>
      </w:r>
    </w:p>
    <w:p>
      <w:pPr>
        <w:spacing w:line="360" w:lineRule="auto"/>
        <w:ind w:firstLine="420"/>
        <w:rPr>
          <w:rFonts w:hint="eastAsia" w:ascii="宋体" w:hAnsi="宋体" w:cs="宋体"/>
          <w:sz w:val="28"/>
          <w:szCs w:val="28"/>
        </w:rPr>
      </w:pPr>
      <w:r>
        <w:rPr>
          <w:rFonts w:hint="eastAsia" w:ascii="宋体" w:hAnsi="宋体" w:cs="宋体"/>
          <w:sz w:val="28"/>
          <w:szCs w:val="28"/>
        </w:rPr>
        <w:t>投标文件及相关澄清说明文件</w:t>
      </w:r>
    </w:p>
    <w:p>
      <w:pPr>
        <w:spacing w:line="360" w:lineRule="auto"/>
        <w:ind w:firstLine="420"/>
        <w:rPr>
          <w:rFonts w:hint="eastAsia" w:ascii="宋体" w:hAnsi="宋体" w:cs="宋体"/>
          <w:sz w:val="28"/>
          <w:szCs w:val="28"/>
        </w:rPr>
      </w:pPr>
      <w:r>
        <w:rPr>
          <w:rFonts w:hint="eastAsia" w:ascii="宋体" w:hAnsi="宋体" w:cs="宋体"/>
          <w:sz w:val="28"/>
          <w:szCs w:val="28"/>
        </w:rPr>
        <w:t>3、双方有关合同的补充、变更等书面协议或文件（如果有），将作为合同的组成部分，效力优先于上述所有合同文件。</w:t>
      </w:r>
    </w:p>
    <w:p>
      <w:pPr>
        <w:spacing w:line="360" w:lineRule="auto"/>
        <w:ind w:firstLine="420"/>
        <w:rPr>
          <w:rFonts w:hint="eastAsia" w:ascii="宋体" w:hAnsi="宋体" w:cs="宋体"/>
          <w:b/>
          <w:bCs/>
          <w:sz w:val="28"/>
          <w:szCs w:val="28"/>
        </w:rPr>
      </w:pPr>
      <w:r>
        <w:rPr>
          <w:rFonts w:hint="eastAsia" w:ascii="宋体" w:hAnsi="宋体" w:cs="宋体"/>
          <w:b/>
          <w:bCs/>
          <w:sz w:val="28"/>
          <w:szCs w:val="28"/>
        </w:rPr>
        <w:t>十二、合同变更</w:t>
      </w:r>
    </w:p>
    <w:p>
      <w:pPr>
        <w:spacing w:line="360" w:lineRule="auto"/>
        <w:ind w:firstLine="420"/>
        <w:rPr>
          <w:rFonts w:hint="eastAsia" w:ascii="宋体" w:hAnsi="宋体" w:cs="宋体"/>
          <w:sz w:val="28"/>
          <w:szCs w:val="28"/>
        </w:rPr>
      </w:pPr>
      <w:r>
        <w:rPr>
          <w:rFonts w:hint="eastAsia" w:ascii="宋体" w:hAnsi="宋体" w:cs="宋体"/>
          <w:sz w:val="28"/>
          <w:szCs w:val="28"/>
        </w:rPr>
        <w:t>未尽事宜，双方协商解决；合同的变更及修改须经双方同意，以书面形式变更。</w:t>
      </w:r>
    </w:p>
    <w:p>
      <w:pPr>
        <w:spacing w:line="360" w:lineRule="auto"/>
        <w:ind w:firstLine="420"/>
        <w:rPr>
          <w:rFonts w:hint="eastAsia" w:ascii="宋体" w:hAnsi="宋体" w:cs="宋体"/>
          <w:b/>
          <w:bCs/>
          <w:sz w:val="28"/>
          <w:szCs w:val="28"/>
        </w:rPr>
      </w:pPr>
      <w:r>
        <w:rPr>
          <w:rFonts w:hint="eastAsia" w:ascii="宋体" w:hAnsi="宋体" w:cs="宋体"/>
          <w:b/>
          <w:bCs/>
          <w:sz w:val="28"/>
          <w:szCs w:val="28"/>
        </w:rPr>
        <w:t>十三、争议解决方式</w:t>
      </w:r>
    </w:p>
    <w:p>
      <w:pPr>
        <w:spacing w:line="360" w:lineRule="auto"/>
        <w:ind w:firstLine="420"/>
        <w:rPr>
          <w:rFonts w:hint="eastAsia" w:ascii="宋体" w:hAnsi="宋体" w:cs="宋体"/>
          <w:sz w:val="28"/>
          <w:szCs w:val="28"/>
        </w:rPr>
      </w:pPr>
      <w:r>
        <w:rPr>
          <w:rFonts w:hint="eastAsia" w:ascii="宋体" w:hAnsi="宋体" w:cs="宋体"/>
          <w:sz w:val="28"/>
          <w:szCs w:val="28"/>
        </w:rPr>
        <w:t>双方如发生争议，应协商解决；如协商不成，任何一方应向买方所在地人民法院提出诉讼。</w:t>
      </w:r>
    </w:p>
    <w:p>
      <w:pPr>
        <w:spacing w:line="360" w:lineRule="auto"/>
        <w:ind w:firstLine="420"/>
        <w:rPr>
          <w:rFonts w:hint="eastAsia" w:ascii="宋体" w:hAnsi="宋体" w:cs="宋体"/>
          <w:b/>
          <w:bCs/>
          <w:sz w:val="28"/>
          <w:szCs w:val="28"/>
        </w:rPr>
      </w:pPr>
      <w:r>
        <w:rPr>
          <w:rFonts w:hint="eastAsia" w:ascii="宋体" w:hAnsi="宋体" w:cs="宋体"/>
          <w:b/>
          <w:bCs/>
          <w:sz w:val="28"/>
          <w:szCs w:val="28"/>
        </w:rPr>
        <w:t>十四、合同生效及终止</w:t>
      </w:r>
    </w:p>
    <w:p>
      <w:pPr>
        <w:spacing w:line="360" w:lineRule="auto"/>
        <w:ind w:firstLine="420"/>
        <w:rPr>
          <w:rFonts w:hint="eastAsia" w:ascii="宋体" w:hAnsi="宋体" w:cs="宋体"/>
          <w:sz w:val="28"/>
          <w:szCs w:val="28"/>
        </w:rPr>
      </w:pPr>
      <w:r>
        <w:rPr>
          <w:rFonts w:hint="eastAsia" w:ascii="宋体" w:hAnsi="宋体" w:cs="宋体"/>
          <w:sz w:val="28"/>
          <w:szCs w:val="28"/>
        </w:rPr>
        <w:t>合同自双方签字并盖章后生效，双方权利义务履行完毕后，合同终止。</w:t>
      </w:r>
    </w:p>
    <w:p>
      <w:pPr>
        <w:spacing w:line="360" w:lineRule="auto"/>
        <w:ind w:firstLine="420"/>
        <w:rPr>
          <w:rFonts w:hint="eastAsia" w:ascii="宋体" w:hAnsi="宋体" w:cs="宋体"/>
          <w:b/>
          <w:bCs/>
          <w:sz w:val="28"/>
          <w:szCs w:val="28"/>
        </w:rPr>
      </w:pPr>
      <w:r>
        <w:rPr>
          <w:rFonts w:hint="eastAsia" w:ascii="宋体" w:hAnsi="宋体" w:cs="宋体"/>
          <w:b/>
          <w:bCs/>
          <w:sz w:val="28"/>
          <w:szCs w:val="28"/>
        </w:rPr>
        <w:t>十五、合同一式四份，双方各执两份，具有同等法律效力。</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买方：                         卖方：</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代表：                         代表：</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日期：                         日期：</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签约地点</w:t>
      </w:r>
      <w:bookmarkStart w:id="448" w:name="_Toc246997062"/>
      <w:bookmarkEnd w:id="448"/>
      <w:bookmarkStart w:id="449" w:name="_Toc296602565"/>
      <w:bookmarkEnd w:id="449"/>
      <w:bookmarkStart w:id="450" w:name="_Toc369531675"/>
      <w:bookmarkEnd w:id="450"/>
      <w:bookmarkStart w:id="451" w:name="_Toc369531676"/>
      <w:bookmarkEnd w:id="451"/>
      <w:bookmarkStart w:id="452" w:name="_Toc246996319"/>
      <w:bookmarkEnd w:id="452"/>
      <w:bookmarkStart w:id="453" w:name="_Toc29298"/>
      <w:bookmarkEnd w:id="453"/>
      <w:bookmarkStart w:id="454" w:name="_Toc9766"/>
      <w:bookmarkEnd w:id="454"/>
      <w:bookmarkStart w:id="455" w:name="_Toc247085834"/>
      <w:bookmarkEnd w:id="455"/>
      <w:bookmarkStart w:id="456" w:name="_Toc184635117"/>
      <w:bookmarkEnd w:id="456"/>
      <w:r>
        <w:rPr>
          <w:rFonts w:hint="eastAsia" w:ascii="宋体" w:hAnsi="宋体" w:cs="宋体"/>
          <w:sz w:val="28"/>
          <w:szCs w:val="28"/>
        </w:rPr>
        <w:t>:</w:t>
      </w:r>
    </w:p>
    <w:p>
      <w:pPr>
        <w:pStyle w:val="5"/>
        <w:ind w:firstLine="560"/>
        <w:rPr>
          <w:rFonts w:hint="eastAsia" w:ascii="宋体" w:hAnsi="宋体" w:cs="宋体"/>
          <w:sz w:val="28"/>
          <w:szCs w:val="28"/>
        </w:rPr>
      </w:pPr>
    </w:p>
    <w:p>
      <w:pPr>
        <w:pStyle w:val="4"/>
        <w:spacing w:line="240" w:lineRule="auto"/>
        <w:ind w:firstLine="2249" w:firstLineChars="700"/>
        <w:rPr>
          <w:rFonts w:hint="eastAsia" w:ascii="宋体" w:hAnsi="宋体" w:eastAsia="宋体" w:cs="宋体"/>
        </w:rPr>
      </w:pPr>
      <w:bookmarkStart w:id="457" w:name="_Toc8917"/>
      <w:bookmarkStart w:id="458" w:name="_Toc531184206"/>
      <w:bookmarkStart w:id="459" w:name="_Toc27648361"/>
      <w:r>
        <w:rPr>
          <w:rFonts w:hint="eastAsia" w:ascii="宋体" w:hAnsi="宋体" w:eastAsia="宋体" w:cs="宋体"/>
        </w:rPr>
        <w:t>第三节  合同附件格式</w:t>
      </w:r>
      <w:bookmarkEnd w:id="457"/>
      <w:bookmarkEnd w:id="458"/>
      <w:bookmarkEnd w:id="459"/>
    </w:p>
    <w:p>
      <w:pPr>
        <w:pStyle w:val="6"/>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8"/>
          <w:szCs w:val="28"/>
        </w:rPr>
      </w:pPr>
      <w:bookmarkStart w:id="460" w:name="_Toc21867"/>
      <w:bookmarkStart w:id="461" w:name="_Toc14858"/>
      <w:bookmarkStart w:id="462" w:name="_Toc9666"/>
      <w:bookmarkStart w:id="463" w:name="_Toc12670"/>
      <w:bookmarkStart w:id="464" w:name="_Toc531184207"/>
      <w:bookmarkStart w:id="465" w:name="_Toc10567"/>
      <w:bookmarkStart w:id="466" w:name="_Toc31530"/>
      <w:bookmarkStart w:id="467" w:name="_Toc27648362"/>
      <w:r>
        <w:rPr>
          <w:rFonts w:hint="eastAsia" w:ascii="宋体" w:hAnsi="宋体" w:cs="宋体"/>
          <w:sz w:val="28"/>
          <w:szCs w:val="28"/>
        </w:rPr>
        <w:t>附件一：合同协议书</w:t>
      </w:r>
      <w:bookmarkEnd w:id="460"/>
      <w:bookmarkEnd w:id="461"/>
      <w:bookmarkEnd w:id="462"/>
      <w:bookmarkEnd w:id="463"/>
      <w:bookmarkEnd w:id="464"/>
      <w:bookmarkEnd w:id="465"/>
      <w:bookmarkEnd w:id="466"/>
      <w:bookmarkEnd w:id="467"/>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28"/>
          <w:szCs w:val="28"/>
        </w:rPr>
      </w:pPr>
      <w:r>
        <w:rPr>
          <w:rFonts w:hint="eastAsia" w:ascii="宋体" w:hAnsi="宋体" w:cs="宋体"/>
          <w:b/>
          <w:bCs/>
          <w:sz w:val="28"/>
          <w:szCs w:val="28"/>
        </w:rPr>
        <w:t>合同协议书</w:t>
      </w:r>
    </w:p>
    <w:p>
      <w:pPr>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sz w:val="28"/>
          <w:szCs w:val="28"/>
        </w:rPr>
      </w:pPr>
      <w:r>
        <w:rPr>
          <w:rFonts w:hint="eastAsia" w:ascii="宋体" w:hAnsi="宋体" w:cs="宋体"/>
          <w:sz w:val="28"/>
          <w:szCs w:val="28"/>
          <w:u w:val="single"/>
        </w:rPr>
        <w:t xml:space="preserve">       (买方名称，以下简称“买方”）</w:t>
      </w:r>
      <w:r>
        <w:rPr>
          <w:rFonts w:hint="eastAsia" w:ascii="宋体" w:hAnsi="宋体" w:cs="宋体"/>
          <w:sz w:val="28"/>
          <w:szCs w:val="28"/>
        </w:rPr>
        <w:t>为获得</w:t>
      </w:r>
      <w:r>
        <w:rPr>
          <w:rFonts w:hint="eastAsia" w:ascii="宋体" w:hAnsi="宋体" w:cs="宋体"/>
          <w:sz w:val="28"/>
          <w:szCs w:val="28"/>
          <w:u w:val="single"/>
        </w:rPr>
        <w:t xml:space="preserve">          （项目名称）</w:t>
      </w:r>
      <w:r>
        <w:rPr>
          <w:rFonts w:hint="eastAsia" w:ascii="宋体" w:hAnsi="宋体" w:cs="宋体"/>
          <w:sz w:val="28"/>
          <w:szCs w:val="28"/>
        </w:rPr>
        <w:t>合同设备和技术服务和质保期服务，已接受</w:t>
      </w:r>
      <w:r>
        <w:rPr>
          <w:rFonts w:hint="eastAsia" w:ascii="宋体" w:hAnsi="宋体" w:cs="宋体"/>
          <w:sz w:val="28"/>
          <w:szCs w:val="28"/>
          <w:u w:val="single"/>
        </w:rPr>
        <w:t xml:space="preserve">          （卖方名称，以下简称“卖方”）</w:t>
      </w:r>
      <w:r>
        <w:rPr>
          <w:rFonts w:hint="eastAsia" w:ascii="宋体" w:hAnsi="宋体" w:cs="宋体"/>
          <w:sz w:val="28"/>
          <w:szCs w:val="28"/>
        </w:rPr>
        <w:t>为提供上述合同设备和技术服务和质保期服务所作的投标，买方和卖方共同达成如下协议：</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1. 本协议书与下列文件一起构成合同文件：</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（1）中标通知书；</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（2）投标函；</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（3）商务和技术偏差表；</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（4）专用合同条款；</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（5）通用合同条款；</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（6）供货要求；</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（7）详细报价表；</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（8）项目实施方案</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（9）中标设备技术性能指标的详细描述；</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（10）技术服务和质保期服务计划；</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（11）其他合同文件。</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2. 上述合同文件互相补充和解释。如果合同文件之间存在矛盾或不一致之处，以上述文件的排列顺序在先者为准。</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3. 签约合同价：人民币（大写）（¥）。</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4. 卖方承诺保证完全按照合同约定提供合同设备和技术服务和质保期服务并修补缺陷。</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5. 买方承诺保证按照合同约定的条件、时间和方式向卖方支付合同价款。</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6. 本合同协议书一式份，合同双方各执份。</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7. 合同未尽事宜，双方另行签订补充协议，补充协议是合同的组成部分。</w:t>
      </w:r>
    </w:p>
    <w:p>
      <w:pPr>
        <w:pageBreakBefore w:val="0"/>
        <w:widowControl w:val="0"/>
        <w:tabs>
          <w:tab w:val="left" w:pos="4395"/>
        </w:tabs>
        <w:kinsoku/>
        <w:wordWrap/>
        <w:overflowPunct/>
        <w:topLinePunct w:val="0"/>
        <w:autoSpaceDE/>
        <w:autoSpaceDN/>
        <w:bidi w:val="0"/>
        <w:adjustRightInd/>
        <w:snapToGrid/>
        <w:spacing w:line="360" w:lineRule="auto"/>
        <w:textAlignment w:val="auto"/>
        <w:rPr>
          <w:rFonts w:hint="eastAsia" w:ascii="宋体" w:hAnsi="宋体" w:cs="宋体"/>
          <w:sz w:val="28"/>
          <w:szCs w:val="28"/>
        </w:rPr>
      </w:pPr>
      <w:r>
        <w:rPr>
          <w:rFonts w:hint="eastAsia" w:ascii="宋体" w:hAnsi="宋体" w:cs="宋体"/>
          <w:sz w:val="28"/>
          <w:szCs w:val="28"/>
        </w:rPr>
        <w:t>买方：（盖单位章）</w:t>
      </w:r>
      <w:r>
        <w:rPr>
          <w:rFonts w:hint="eastAsia" w:ascii="宋体" w:hAnsi="宋体" w:cs="宋体"/>
          <w:sz w:val="28"/>
          <w:szCs w:val="28"/>
        </w:rPr>
        <w:tab/>
      </w:r>
    </w:p>
    <w:p>
      <w:pPr>
        <w:pageBreakBefore w:val="0"/>
        <w:widowControl w:val="0"/>
        <w:tabs>
          <w:tab w:val="left" w:pos="4395"/>
        </w:tabs>
        <w:kinsoku/>
        <w:wordWrap/>
        <w:overflowPunct/>
        <w:topLinePunct w:val="0"/>
        <w:autoSpaceDE/>
        <w:autoSpaceDN/>
        <w:bidi w:val="0"/>
        <w:adjustRightInd/>
        <w:snapToGrid/>
        <w:spacing w:line="360" w:lineRule="auto"/>
        <w:textAlignment w:val="auto"/>
        <w:rPr>
          <w:rFonts w:hint="eastAsia" w:ascii="宋体" w:hAnsi="宋体" w:cs="宋体"/>
          <w:sz w:val="28"/>
          <w:szCs w:val="28"/>
        </w:rPr>
      </w:pPr>
      <w:r>
        <w:rPr>
          <w:rFonts w:hint="eastAsia" w:ascii="宋体" w:hAnsi="宋体" w:cs="宋体"/>
          <w:sz w:val="28"/>
          <w:szCs w:val="28"/>
        </w:rPr>
        <w:t>法定代表人（单位负责人）或其委托代理人：（签字）    年  月  日</w:t>
      </w:r>
    </w:p>
    <w:p>
      <w:pPr>
        <w:pageBreakBefore w:val="0"/>
        <w:widowControl w:val="0"/>
        <w:tabs>
          <w:tab w:val="left" w:pos="4395"/>
        </w:tabs>
        <w:kinsoku/>
        <w:wordWrap/>
        <w:overflowPunct/>
        <w:topLinePunct w:val="0"/>
        <w:autoSpaceDE/>
        <w:autoSpaceDN/>
        <w:bidi w:val="0"/>
        <w:adjustRightInd/>
        <w:snapToGrid/>
        <w:spacing w:line="360" w:lineRule="auto"/>
        <w:textAlignment w:val="auto"/>
        <w:rPr>
          <w:rFonts w:hint="eastAsia" w:ascii="宋体" w:hAnsi="宋体" w:cs="宋体"/>
          <w:sz w:val="28"/>
          <w:szCs w:val="28"/>
        </w:rPr>
      </w:pPr>
      <w:r>
        <w:rPr>
          <w:rFonts w:hint="eastAsia" w:ascii="宋体" w:hAnsi="宋体" w:cs="宋体"/>
          <w:sz w:val="28"/>
          <w:szCs w:val="28"/>
        </w:rPr>
        <w:t>卖方：（盖单位章）</w:t>
      </w:r>
    </w:p>
    <w:p>
      <w:pPr>
        <w:pageBreakBefore w:val="0"/>
        <w:widowControl w:val="0"/>
        <w:tabs>
          <w:tab w:val="left" w:pos="4395"/>
        </w:tabs>
        <w:kinsoku/>
        <w:wordWrap/>
        <w:overflowPunct/>
        <w:topLinePunct w:val="0"/>
        <w:autoSpaceDE/>
        <w:autoSpaceDN/>
        <w:bidi w:val="0"/>
        <w:adjustRightInd/>
        <w:snapToGrid/>
        <w:spacing w:line="360" w:lineRule="auto"/>
        <w:textAlignment w:val="auto"/>
        <w:rPr>
          <w:rFonts w:hint="eastAsia" w:ascii="宋体" w:hAnsi="宋体" w:cs="宋体"/>
          <w:sz w:val="28"/>
          <w:szCs w:val="28"/>
        </w:rPr>
      </w:pPr>
      <w:r>
        <w:rPr>
          <w:rFonts w:hint="eastAsia" w:ascii="宋体" w:hAnsi="宋体" w:cs="宋体"/>
          <w:sz w:val="28"/>
          <w:szCs w:val="28"/>
        </w:rPr>
        <w:t xml:space="preserve">法定代表人（单位负责人）或其委托代理人：（签字）  </w:t>
      </w:r>
      <w:r>
        <w:rPr>
          <w:rFonts w:hint="eastAsia" w:ascii="宋体" w:hAnsi="宋体" w:cs="宋体"/>
          <w:sz w:val="28"/>
          <w:szCs w:val="28"/>
          <w:lang w:val="en-US" w:eastAsia="zh-CN"/>
        </w:rPr>
        <w:t xml:space="preserve"> </w:t>
      </w:r>
      <w:r>
        <w:rPr>
          <w:rFonts w:hint="eastAsia" w:ascii="宋体" w:hAnsi="宋体" w:cs="宋体"/>
          <w:sz w:val="28"/>
          <w:szCs w:val="28"/>
        </w:rPr>
        <w:t xml:space="preserve"> 年   月   日</w:t>
      </w:r>
    </w:p>
    <w:p>
      <w:pPr>
        <w:adjustRightInd w:val="0"/>
        <w:snapToGrid w:val="0"/>
        <w:rPr>
          <w:rFonts w:hint="eastAsia" w:ascii="宋体" w:hAnsi="宋体" w:cs="宋体"/>
        </w:rPr>
      </w:pPr>
    </w:p>
    <w:p>
      <w:pPr>
        <w:rPr>
          <w:rFonts w:hint="eastAsia" w:ascii="宋体" w:hAnsi="宋体" w:cs="宋体"/>
        </w:rPr>
      </w:pPr>
      <w:r>
        <w:rPr>
          <w:rFonts w:hint="eastAsia" w:ascii="宋体" w:hAnsi="宋体" w:cs="宋体"/>
        </w:rPr>
        <w:br w:type="page"/>
      </w:r>
    </w:p>
    <w:p>
      <w:pPr>
        <w:pStyle w:val="6"/>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8"/>
          <w:szCs w:val="28"/>
        </w:rPr>
      </w:pPr>
      <w:r>
        <w:rPr>
          <w:rFonts w:hint="eastAsia" w:ascii="宋体" w:hAnsi="宋体" w:cs="宋体"/>
          <w:sz w:val="28"/>
          <w:szCs w:val="28"/>
        </w:rPr>
        <w:t>附件二：履约保证金格式</w:t>
      </w:r>
      <w:bookmarkEnd w:id="440"/>
      <w:bookmarkEnd w:id="441"/>
      <w:bookmarkEnd w:id="442"/>
      <w:bookmarkEnd w:id="443"/>
      <w:bookmarkEnd w:id="444"/>
      <w:bookmarkEnd w:id="445"/>
      <w:bookmarkEnd w:id="446"/>
      <w:bookmarkEnd w:id="447"/>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8"/>
          <w:szCs w:val="28"/>
        </w:rPr>
      </w:pPr>
      <w:r>
        <w:rPr>
          <w:rFonts w:hint="eastAsia" w:ascii="宋体" w:hAnsi="宋体" w:cs="宋体"/>
          <w:sz w:val="28"/>
          <w:szCs w:val="28"/>
        </w:rPr>
        <w:t>如采用银行保函，格式如下。</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28"/>
          <w:szCs w:val="28"/>
        </w:rPr>
      </w:pPr>
      <w:r>
        <w:rPr>
          <w:rFonts w:hint="eastAsia" w:ascii="宋体" w:hAnsi="宋体" w:cs="宋体"/>
          <w:b/>
          <w:bCs/>
          <w:sz w:val="28"/>
          <w:szCs w:val="28"/>
        </w:rPr>
        <w:t>履约保证金</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8"/>
          <w:szCs w:val="28"/>
          <w:u w:val="single"/>
        </w:rPr>
      </w:pP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8"/>
          <w:szCs w:val="28"/>
          <w:u w:val="single"/>
        </w:rPr>
      </w:pPr>
      <w:r>
        <w:rPr>
          <w:rFonts w:hint="eastAsia" w:ascii="宋体" w:hAnsi="宋体" w:cs="宋体"/>
          <w:sz w:val="28"/>
          <w:szCs w:val="28"/>
          <w:u w:val="single"/>
        </w:rPr>
        <w:t xml:space="preserve">            （买方名称）：</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8"/>
          <w:szCs w:val="28"/>
        </w:rPr>
      </w:pP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鉴于</w:t>
      </w:r>
      <w:r>
        <w:rPr>
          <w:rFonts w:hint="eastAsia" w:ascii="宋体" w:hAnsi="宋体" w:cs="宋体"/>
          <w:sz w:val="28"/>
          <w:szCs w:val="28"/>
          <w:u w:val="single"/>
        </w:rPr>
        <w:t xml:space="preserve">        （买方名称，以下简称“买方”）</w:t>
      </w:r>
      <w:r>
        <w:rPr>
          <w:rFonts w:hint="eastAsia" w:ascii="宋体" w:hAnsi="宋体" w:cs="宋体"/>
          <w:sz w:val="28"/>
          <w:szCs w:val="28"/>
        </w:rPr>
        <w:t>接受</w:t>
      </w:r>
      <w:r>
        <w:rPr>
          <w:rFonts w:hint="eastAsia" w:ascii="宋体" w:hAnsi="宋体" w:cs="宋体"/>
          <w:sz w:val="28"/>
          <w:szCs w:val="28"/>
          <w:u w:val="single"/>
        </w:rPr>
        <w:t xml:space="preserve">       （卖方名称，以下称“卖方”）</w:t>
      </w:r>
      <w:r>
        <w:rPr>
          <w:rFonts w:hint="eastAsia" w:ascii="宋体" w:hAnsi="宋体" w:cs="宋体"/>
          <w:sz w:val="28"/>
          <w:szCs w:val="28"/>
        </w:rPr>
        <w:t>于</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日参加</w:t>
      </w:r>
      <w:r>
        <w:rPr>
          <w:rFonts w:hint="eastAsia" w:ascii="宋体" w:hAnsi="宋体" w:cs="宋体"/>
          <w:sz w:val="28"/>
          <w:szCs w:val="28"/>
          <w:u w:val="single"/>
        </w:rPr>
        <w:t xml:space="preserve">      （项目名称）</w:t>
      </w:r>
      <w:r>
        <w:rPr>
          <w:rFonts w:hint="eastAsia" w:ascii="宋体" w:hAnsi="宋体" w:cs="宋体"/>
          <w:sz w:val="28"/>
          <w:szCs w:val="28"/>
        </w:rPr>
        <w:t>设备采购招标项目的投标。我方愿意无条件地、不可撤销地就卖方履行与你方订立的合同，向你方提供担保。</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1.担保金额人民币（大写）</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2. 担保有效期自买方与卖方签订的合同生效之日起至合同设备验收证书或验收款支付函签署之日起28日后失效。</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3. 在本担保有效期内，如果卖方不履行合同约定的义务或其履行不符合合同的约定，我方在收到你方以书面形式提出的在担保金额内的赔偿要求后，在7日内无条件支付。</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4. 买方和卖方变更合同时</w:t>
      </w:r>
      <w:bookmarkStart w:id="468" w:name="_Toc246996336"/>
      <w:bookmarkStart w:id="469" w:name="_Toc184635123"/>
      <w:bookmarkStart w:id="470" w:name="_Toc247514198"/>
      <w:bookmarkStart w:id="471" w:name="_Toc384308366"/>
      <w:bookmarkStart w:id="472" w:name="_Toc296602586"/>
      <w:bookmarkStart w:id="473" w:name="_Toc300835200"/>
      <w:bookmarkStart w:id="474" w:name="_Toc15620"/>
      <w:bookmarkStart w:id="475" w:name="_Toc369531685"/>
      <w:bookmarkStart w:id="476" w:name="_Toc246997079"/>
      <w:bookmarkStart w:id="477" w:name="_Toc361231267"/>
      <w:bookmarkStart w:id="478" w:name="_Toc247527799"/>
      <w:bookmarkStart w:id="479" w:name="_Toc361508743"/>
      <w:bookmarkStart w:id="480" w:name="_Toc247085851"/>
      <w:r>
        <w:rPr>
          <w:rFonts w:hint="eastAsia" w:ascii="宋体" w:hAnsi="宋体" w:cs="宋体"/>
          <w:sz w:val="28"/>
          <w:szCs w:val="28"/>
        </w:rPr>
        <w:t>，无论我方是否收到该</w:t>
      </w:r>
      <w:bookmarkEnd w:id="436"/>
      <w:bookmarkEnd w:id="437"/>
      <w:bookmarkEnd w:id="438"/>
      <w:bookmarkEnd w:id="439"/>
      <w:bookmarkEnd w:id="468"/>
      <w:bookmarkEnd w:id="469"/>
      <w:bookmarkEnd w:id="470"/>
      <w:bookmarkEnd w:id="471"/>
      <w:bookmarkEnd w:id="472"/>
      <w:bookmarkEnd w:id="473"/>
      <w:bookmarkEnd w:id="474"/>
      <w:bookmarkEnd w:id="475"/>
      <w:bookmarkEnd w:id="476"/>
      <w:bookmarkEnd w:id="477"/>
      <w:bookmarkEnd w:id="478"/>
      <w:bookmarkEnd w:id="479"/>
      <w:bookmarkEnd w:id="480"/>
      <w:r>
        <w:rPr>
          <w:rFonts w:hint="eastAsia" w:ascii="宋体" w:hAnsi="宋体" w:cs="宋体"/>
          <w:sz w:val="28"/>
          <w:szCs w:val="28"/>
        </w:rPr>
        <w:t>变</w:t>
      </w:r>
      <w:bookmarkStart w:id="481" w:name="_Toc384308367"/>
      <w:bookmarkStart w:id="482" w:name="_Toc247514199"/>
      <w:bookmarkStart w:id="483" w:name="_Toc300835201"/>
      <w:bookmarkStart w:id="484" w:name="_Toc247527800"/>
      <w:bookmarkStart w:id="485" w:name="_Toc5746"/>
      <w:bookmarkStart w:id="486" w:name="_Toc361231268"/>
      <w:bookmarkStart w:id="487" w:name="_Toc369531686"/>
      <w:bookmarkStart w:id="488" w:name="_Toc361508744"/>
      <w:r>
        <w:rPr>
          <w:rFonts w:hint="eastAsia" w:ascii="宋体" w:hAnsi="宋体" w:cs="宋体"/>
          <w:sz w:val="28"/>
          <w:szCs w:val="28"/>
        </w:rPr>
        <w:t>更，我方承担本</w:t>
      </w:r>
      <w:bookmarkEnd w:id="481"/>
      <w:bookmarkEnd w:id="482"/>
      <w:bookmarkEnd w:id="483"/>
      <w:bookmarkEnd w:id="484"/>
      <w:bookmarkEnd w:id="485"/>
      <w:bookmarkEnd w:id="486"/>
      <w:bookmarkEnd w:id="487"/>
      <w:bookmarkEnd w:id="488"/>
      <w:r>
        <w:rPr>
          <w:rFonts w:hint="eastAsia" w:ascii="宋体" w:hAnsi="宋体" w:cs="宋体"/>
          <w:sz w:val="28"/>
          <w:szCs w:val="28"/>
        </w:rPr>
        <w:t>担保规定的义务不变。</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8"/>
          <w:szCs w:val="28"/>
        </w:rPr>
      </w:pPr>
    </w:p>
    <w:p>
      <w:pPr>
        <w:pageBreakBefore w:val="0"/>
        <w:widowControl w:val="0"/>
        <w:kinsoku/>
        <w:wordWrap/>
        <w:overflowPunct/>
        <w:topLinePunct w:val="0"/>
        <w:autoSpaceDE/>
        <w:autoSpaceDN/>
        <w:bidi w:val="0"/>
        <w:adjustRightInd/>
        <w:snapToGrid/>
        <w:spacing w:line="360" w:lineRule="auto"/>
        <w:ind w:firstLine="2520" w:firstLineChars="900"/>
        <w:textAlignment w:val="auto"/>
        <w:rPr>
          <w:rFonts w:hint="eastAsia" w:ascii="宋体" w:hAnsi="宋体" w:cs="宋体"/>
          <w:sz w:val="28"/>
          <w:szCs w:val="28"/>
        </w:rPr>
      </w:pPr>
      <w:r>
        <w:rPr>
          <w:rFonts w:hint="eastAsia" w:ascii="宋体" w:hAnsi="宋体" w:cs="宋体"/>
          <w:sz w:val="28"/>
          <w:szCs w:val="28"/>
        </w:rPr>
        <w:t>担保人名称：（盖单位章）</w:t>
      </w:r>
    </w:p>
    <w:p>
      <w:pPr>
        <w:pageBreakBefore w:val="0"/>
        <w:widowControl w:val="0"/>
        <w:kinsoku/>
        <w:wordWrap/>
        <w:overflowPunct/>
        <w:topLinePunct w:val="0"/>
        <w:autoSpaceDE/>
        <w:autoSpaceDN/>
        <w:bidi w:val="0"/>
        <w:adjustRightInd/>
        <w:snapToGrid/>
        <w:spacing w:line="360" w:lineRule="auto"/>
        <w:ind w:firstLine="2520" w:firstLineChars="900"/>
        <w:textAlignment w:val="auto"/>
        <w:rPr>
          <w:rFonts w:hint="eastAsia" w:ascii="宋体" w:hAnsi="宋体" w:cs="宋体"/>
          <w:sz w:val="28"/>
          <w:szCs w:val="28"/>
        </w:rPr>
      </w:pPr>
      <w:r>
        <w:rPr>
          <w:rFonts w:hint="eastAsia" w:ascii="宋体" w:hAnsi="宋体" w:cs="宋体"/>
          <w:sz w:val="28"/>
          <w:szCs w:val="28"/>
        </w:rPr>
        <w:t>法定代表人（单位负责人）或其委托代理人：（签字）</w:t>
      </w:r>
    </w:p>
    <w:p>
      <w:pPr>
        <w:pageBreakBefore w:val="0"/>
        <w:widowControl w:val="0"/>
        <w:kinsoku/>
        <w:wordWrap/>
        <w:overflowPunct/>
        <w:topLinePunct w:val="0"/>
        <w:autoSpaceDE/>
        <w:autoSpaceDN/>
        <w:bidi w:val="0"/>
        <w:adjustRightInd/>
        <w:snapToGrid/>
        <w:spacing w:line="360" w:lineRule="auto"/>
        <w:ind w:firstLine="2520" w:firstLineChars="900"/>
        <w:textAlignment w:val="auto"/>
        <w:rPr>
          <w:rFonts w:hint="eastAsia" w:ascii="宋体" w:hAnsi="宋体" w:cs="宋体"/>
          <w:sz w:val="28"/>
          <w:szCs w:val="28"/>
          <w:u w:val="single"/>
        </w:rPr>
      </w:pPr>
      <w:r>
        <w:rPr>
          <w:rFonts w:hint="eastAsia" w:ascii="宋体" w:hAnsi="宋体" w:cs="宋体"/>
          <w:sz w:val="28"/>
          <w:szCs w:val="28"/>
        </w:rPr>
        <w:t>地址：</w:t>
      </w:r>
      <w:r>
        <w:rPr>
          <w:rFonts w:hint="eastAsia" w:ascii="宋体" w:hAnsi="宋体" w:cs="宋体"/>
          <w:sz w:val="28"/>
          <w:szCs w:val="28"/>
          <w:u w:val="single"/>
        </w:rPr>
        <w:t xml:space="preserve">                           </w:t>
      </w:r>
    </w:p>
    <w:p>
      <w:pPr>
        <w:pageBreakBefore w:val="0"/>
        <w:widowControl w:val="0"/>
        <w:kinsoku/>
        <w:wordWrap/>
        <w:overflowPunct/>
        <w:topLinePunct w:val="0"/>
        <w:autoSpaceDE/>
        <w:autoSpaceDN/>
        <w:bidi w:val="0"/>
        <w:adjustRightInd/>
        <w:snapToGrid/>
        <w:spacing w:line="360" w:lineRule="auto"/>
        <w:ind w:firstLine="2520" w:firstLineChars="900"/>
        <w:textAlignment w:val="auto"/>
        <w:rPr>
          <w:rFonts w:hint="eastAsia" w:ascii="宋体" w:hAnsi="宋体" w:cs="宋体"/>
          <w:sz w:val="28"/>
          <w:szCs w:val="28"/>
        </w:rPr>
      </w:pPr>
      <w:r>
        <w:rPr>
          <w:rFonts w:hint="eastAsia" w:ascii="宋体" w:hAnsi="宋体" w:cs="宋体"/>
          <w:sz w:val="28"/>
          <w:szCs w:val="28"/>
        </w:rPr>
        <w:t>邮政编码：</w:t>
      </w:r>
      <w:r>
        <w:rPr>
          <w:rFonts w:hint="eastAsia" w:ascii="宋体" w:hAnsi="宋体" w:cs="宋体"/>
          <w:sz w:val="28"/>
          <w:szCs w:val="28"/>
          <w:u w:val="single"/>
        </w:rPr>
        <w:t xml:space="preserve">                       </w:t>
      </w:r>
    </w:p>
    <w:p>
      <w:pPr>
        <w:pageBreakBefore w:val="0"/>
        <w:widowControl w:val="0"/>
        <w:kinsoku/>
        <w:wordWrap/>
        <w:overflowPunct/>
        <w:topLinePunct w:val="0"/>
        <w:autoSpaceDE/>
        <w:autoSpaceDN/>
        <w:bidi w:val="0"/>
        <w:adjustRightInd/>
        <w:snapToGrid/>
        <w:spacing w:line="360" w:lineRule="auto"/>
        <w:ind w:firstLine="2520" w:firstLineChars="900"/>
        <w:textAlignment w:val="auto"/>
        <w:rPr>
          <w:rFonts w:hint="eastAsia" w:ascii="宋体" w:hAnsi="宋体" w:cs="宋体"/>
          <w:sz w:val="28"/>
          <w:szCs w:val="28"/>
          <w:u w:val="single"/>
        </w:rPr>
      </w:pPr>
      <w:r>
        <w:rPr>
          <w:rFonts w:hint="eastAsia" w:ascii="宋体" w:hAnsi="宋体" w:cs="宋体"/>
          <w:sz w:val="28"/>
          <w:szCs w:val="28"/>
        </w:rPr>
        <w:t>电话：</w:t>
      </w:r>
      <w:r>
        <w:rPr>
          <w:rFonts w:hint="eastAsia" w:ascii="宋体" w:hAnsi="宋体" w:cs="宋体"/>
          <w:sz w:val="28"/>
          <w:szCs w:val="28"/>
          <w:u w:val="single"/>
        </w:rPr>
        <w:t xml:space="preserve">                            </w:t>
      </w:r>
    </w:p>
    <w:p>
      <w:pPr>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cs="宋体"/>
          <w:sz w:val="28"/>
          <w:szCs w:val="28"/>
        </w:rPr>
      </w:pPr>
      <w:r>
        <w:rPr>
          <w:rFonts w:hint="eastAsia" w:ascii="宋体" w:hAnsi="宋体" w:cs="宋体"/>
          <w:sz w:val="28"/>
          <w:szCs w:val="28"/>
        </w:rPr>
        <w:t>年   月    日</w:t>
      </w:r>
    </w:p>
    <w:p>
      <w:pPr>
        <w:pStyle w:val="3"/>
        <w:pageBreakBefore w:val="0"/>
        <w:widowControl w:val="0"/>
        <w:kinsoku/>
        <w:wordWrap/>
        <w:overflowPunct/>
        <w:topLinePunct w:val="0"/>
        <w:autoSpaceDE/>
        <w:autoSpaceDN/>
        <w:bidi w:val="0"/>
        <w:adjustRightInd/>
        <w:snapToGrid/>
        <w:spacing w:before="0" w:after="0" w:line="360" w:lineRule="auto"/>
        <w:ind w:firstLine="1120" w:firstLineChars="400"/>
        <w:textAlignment w:val="auto"/>
        <w:rPr>
          <w:rFonts w:hint="eastAsia" w:cs="宋体" w:asciiTheme="minorEastAsia" w:hAnsiTheme="minorEastAsia"/>
          <w:sz w:val="28"/>
          <w:szCs w:val="28"/>
        </w:rPr>
      </w:pPr>
      <w:r>
        <w:rPr>
          <w:rFonts w:hint="eastAsia" w:ascii="宋体" w:hAnsi="宋体" w:cs="宋体"/>
          <w:b w:val="0"/>
          <w:bCs w:val="0"/>
          <w:kern w:val="2"/>
          <w:sz w:val="28"/>
          <w:szCs w:val="28"/>
        </w:rPr>
        <w:br w:type="page"/>
      </w:r>
    </w:p>
    <w:p>
      <w:pPr>
        <w:rPr>
          <w:rFonts w:hint="eastAsia" w:cs="宋体" w:asciiTheme="minorEastAsia" w:hAnsiTheme="minorEastAsia"/>
        </w:rPr>
      </w:pPr>
    </w:p>
    <w:p>
      <w:pPr>
        <w:pStyle w:val="3"/>
        <w:pageBreakBefore w:val="0"/>
        <w:kinsoku/>
        <w:wordWrap/>
        <w:overflowPunct/>
        <w:topLinePunct w:val="0"/>
        <w:autoSpaceDE/>
        <w:autoSpaceDN/>
        <w:bidi w:val="0"/>
        <w:adjustRightInd/>
        <w:snapToGrid/>
        <w:spacing w:before="0" w:after="0" w:line="360" w:lineRule="auto"/>
        <w:ind w:firstLine="1325" w:firstLineChars="300"/>
        <w:textAlignment w:val="auto"/>
        <w:rPr>
          <w:rFonts w:cs="宋体" w:asciiTheme="minorEastAsia" w:hAnsiTheme="minorEastAsia"/>
        </w:rPr>
      </w:pPr>
      <w:r>
        <w:rPr>
          <w:rFonts w:hint="eastAsia" w:cs="宋体" w:asciiTheme="minorEastAsia" w:hAnsiTheme="minorEastAsia"/>
        </w:rPr>
        <w:t>第六部分  竞争性磋商响应文件格式</w:t>
      </w:r>
      <w:bookmarkEnd w:id="40"/>
      <w:bookmarkEnd w:id="41"/>
    </w:p>
    <w:p>
      <w:pPr>
        <w:pageBreakBefore w:val="0"/>
        <w:kinsoku/>
        <w:wordWrap/>
        <w:overflowPunct/>
        <w:topLinePunct w:val="0"/>
        <w:autoSpaceDE/>
        <w:autoSpaceDN/>
        <w:bidi w:val="0"/>
        <w:adjustRightInd/>
        <w:snapToGrid/>
        <w:spacing w:line="360" w:lineRule="auto"/>
        <w:ind w:firstLine="2951"/>
        <w:textAlignment w:val="auto"/>
        <w:rPr>
          <w:rFonts w:cs="宋体" w:asciiTheme="minorEastAsia" w:hAnsiTheme="minorEastAsia"/>
          <w:b/>
          <w:sz w:val="28"/>
          <w:szCs w:val="28"/>
        </w:rPr>
      </w:pPr>
      <w:r>
        <w:rPr>
          <w:rFonts w:hint="eastAsia" w:cs="宋体" w:asciiTheme="minorEastAsia" w:hAnsiTheme="minorEastAsia"/>
          <w:b/>
          <w:sz w:val="28"/>
          <w:szCs w:val="28"/>
        </w:rPr>
        <w:t>竞争性磋商响应文件编制说明</w:t>
      </w:r>
    </w:p>
    <w:p>
      <w:pPr>
        <w:pageBreakBefore w:val="0"/>
        <w:widowControl/>
        <w:kinsoku/>
        <w:wordWrap/>
        <w:overflowPunct/>
        <w:topLinePunct w:val="0"/>
        <w:autoSpaceDE/>
        <w:autoSpaceDN/>
        <w:bidi w:val="0"/>
        <w:adjustRightInd/>
        <w:snapToGrid/>
        <w:spacing w:line="360" w:lineRule="auto"/>
        <w:ind w:firstLine="560"/>
        <w:jc w:val="left"/>
        <w:textAlignment w:val="auto"/>
        <w:rPr>
          <w:rFonts w:cs="宋体" w:asciiTheme="minorEastAsia" w:hAnsiTheme="minorEastAsia"/>
          <w:sz w:val="28"/>
          <w:szCs w:val="28"/>
        </w:rPr>
      </w:pPr>
      <w:r>
        <w:rPr>
          <w:rFonts w:hint="eastAsia" w:cs="宋体" w:asciiTheme="minorEastAsia" w:hAnsiTheme="minorEastAsia"/>
          <w:sz w:val="28"/>
          <w:szCs w:val="28"/>
        </w:rPr>
        <w:t>1、竞争性磋商响应文件应当使用竞争性磋商文件规定的全部格式（表格可以按同样格式扩展）编写，除明确允许供应商可以自行编写的外，供应商不得以“竞争性磋商响应文件格式”规定之外的方式填写相关内容。</w:t>
      </w:r>
    </w:p>
    <w:p>
      <w:pPr>
        <w:pageBreakBefore w:val="0"/>
        <w:kinsoku/>
        <w:wordWrap/>
        <w:overflowPunct/>
        <w:topLinePunct w:val="0"/>
        <w:autoSpaceDE/>
        <w:autoSpaceDN/>
        <w:bidi w:val="0"/>
        <w:adjustRightInd/>
        <w:snapToGrid/>
        <w:spacing w:line="360" w:lineRule="auto"/>
        <w:ind w:firstLine="560"/>
        <w:textAlignment w:val="auto"/>
        <w:rPr>
          <w:rFonts w:cs="宋体" w:asciiTheme="minorEastAsia" w:hAnsiTheme="minorEastAsia"/>
          <w:sz w:val="28"/>
          <w:szCs w:val="28"/>
        </w:rPr>
      </w:pPr>
      <w:r>
        <w:rPr>
          <w:rFonts w:hint="eastAsia" w:cs="宋体" w:asciiTheme="minorEastAsia" w:hAnsiTheme="minorEastAsia"/>
          <w:sz w:val="28"/>
          <w:szCs w:val="28"/>
        </w:rPr>
        <w:t>2、竞争性磋商响应文件的编制应按照样本格式提供的内容，做出逐一明确的答复；供应商认为有必要，还可以做其它补充说明。</w:t>
      </w:r>
    </w:p>
    <w:p>
      <w:pPr>
        <w:pageBreakBefore w:val="0"/>
        <w:kinsoku/>
        <w:wordWrap/>
        <w:overflowPunct/>
        <w:topLinePunct w:val="0"/>
        <w:autoSpaceDE/>
        <w:autoSpaceDN/>
        <w:bidi w:val="0"/>
        <w:adjustRightInd/>
        <w:snapToGrid/>
        <w:spacing w:line="360" w:lineRule="auto"/>
        <w:ind w:firstLine="560"/>
        <w:textAlignment w:val="auto"/>
        <w:rPr>
          <w:rFonts w:cs="宋体" w:asciiTheme="minorEastAsia" w:hAnsiTheme="minorEastAsia"/>
          <w:sz w:val="28"/>
          <w:szCs w:val="28"/>
        </w:rPr>
      </w:pPr>
      <w:r>
        <w:rPr>
          <w:rFonts w:hint="eastAsia" w:cs="宋体" w:asciiTheme="minorEastAsia" w:hAnsiTheme="minorEastAsia"/>
          <w:sz w:val="28"/>
          <w:szCs w:val="28"/>
        </w:rPr>
        <w:t>3、供应商必须按照竞争性磋商文件的规定和要求由法定代表人或被授权人签字（或盖章）。</w:t>
      </w:r>
    </w:p>
    <w:p>
      <w:pPr>
        <w:pageBreakBefore w:val="0"/>
        <w:kinsoku/>
        <w:wordWrap/>
        <w:overflowPunct/>
        <w:topLinePunct w:val="0"/>
        <w:autoSpaceDE/>
        <w:autoSpaceDN/>
        <w:bidi w:val="0"/>
        <w:adjustRightInd/>
        <w:snapToGrid/>
        <w:spacing w:line="360" w:lineRule="auto"/>
        <w:ind w:firstLine="560"/>
        <w:textAlignment w:val="auto"/>
        <w:rPr>
          <w:rFonts w:cs="宋体" w:asciiTheme="minorEastAsia" w:hAnsiTheme="minorEastAsia"/>
          <w:sz w:val="28"/>
          <w:szCs w:val="28"/>
        </w:rPr>
      </w:pPr>
      <w:r>
        <w:rPr>
          <w:rFonts w:hint="eastAsia" w:cs="宋体" w:asciiTheme="minorEastAsia" w:hAnsiTheme="minorEastAsia"/>
          <w:sz w:val="28"/>
          <w:szCs w:val="28"/>
        </w:rPr>
        <w:t>对未按上述要求编制的磋商响应文件，按无效磋商响应文件处理。</w:t>
      </w:r>
    </w:p>
    <w:p>
      <w:pPr>
        <w:pageBreakBefore w:val="0"/>
        <w:kinsoku/>
        <w:wordWrap/>
        <w:overflowPunct/>
        <w:topLinePunct w:val="0"/>
        <w:autoSpaceDE/>
        <w:autoSpaceDN/>
        <w:bidi w:val="0"/>
        <w:adjustRightInd/>
        <w:snapToGrid/>
        <w:spacing w:line="360" w:lineRule="auto"/>
        <w:textAlignment w:val="auto"/>
        <w:rPr>
          <w:rFonts w:cs="宋体" w:asciiTheme="minorEastAsia" w:hAnsiTheme="minorEastAsia"/>
          <w:sz w:val="28"/>
          <w:szCs w:val="28"/>
        </w:rPr>
      </w:pPr>
    </w:p>
    <w:p>
      <w:pPr>
        <w:pStyle w:val="12"/>
        <w:pageBreakBefore w:val="0"/>
        <w:kinsoku/>
        <w:wordWrap/>
        <w:overflowPunct/>
        <w:topLinePunct w:val="0"/>
        <w:autoSpaceDE/>
        <w:autoSpaceDN/>
        <w:bidi w:val="0"/>
        <w:adjustRightInd/>
        <w:snapToGrid/>
        <w:spacing w:line="360" w:lineRule="auto"/>
        <w:textAlignment w:val="auto"/>
        <w:rPr>
          <w:rFonts w:asciiTheme="minorEastAsia" w:hAnsiTheme="minorEastAsia"/>
        </w:rPr>
        <w:sectPr>
          <w:headerReference r:id="rId13" w:type="default"/>
          <w:footerReference r:id="rId14" w:type="default"/>
          <w:endnotePr>
            <w:numFmt w:val="decimal"/>
          </w:endnotePr>
          <w:pgSz w:w="11907" w:h="16840"/>
          <w:pgMar w:top="1418" w:right="1287" w:bottom="936" w:left="1259" w:header="907" w:footer="654" w:gutter="0"/>
          <w:cols w:space="720" w:num="1"/>
          <w:titlePg/>
        </w:sectPr>
      </w:pPr>
    </w:p>
    <w:p>
      <w:pPr>
        <w:spacing w:line="520" w:lineRule="exact"/>
        <w:ind w:firstLine="560"/>
        <w:jc w:val="right"/>
        <w:rPr>
          <w:rFonts w:cs="宋体" w:asciiTheme="minorEastAsia" w:hAnsiTheme="minorEastAsia"/>
          <w:sz w:val="28"/>
          <w:szCs w:val="28"/>
        </w:rPr>
      </w:pPr>
    </w:p>
    <w:p>
      <w:pPr>
        <w:spacing w:line="480" w:lineRule="auto"/>
        <w:ind w:firstLine="7047" w:firstLineChars="1950"/>
        <w:rPr>
          <w:rFonts w:cs="宋体" w:asciiTheme="minorEastAsia" w:hAnsiTheme="minorEastAsia"/>
          <w:b/>
          <w:color w:val="000000"/>
          <w:sz w:val="36"/>
          <w:szCs w:val="36"/>
          <w:bdr w:val="single" w:color="auto" w:sz="4" w:space="0"/>
          <w:shd w:val="pct10" w:color="auto" w:fill="FFFFFF"/>
        </w:rPr>
      </w:pPr>
      <w:bookmarkStart w:id="489" w:name="_Toc3983_WPSOffice_Level1"/>
      <w:bookmarkEnd w:id="489"/>
      <w:bookmarkStart w:id="490" w:name="_Toc29310_WPSOffice_Level1"/>
      <w:bookmarkEnd w:id="490"/>
      <w:bookmarkStart w:id="491" w:name="_Toc3205_WPSOffice_Level1"/>
      <w:bookmarkEnd w:id="491"/>
      <w:bookmarkStart w:id="492" w:name="_Toc14121_WPSOffice_Level1"/>
      <w:bookmarkEnd w:id="492"/>
      <w:bookmarkStart w:id="493" w:name="_Toc13214_WPSOffice_Level1"/>
      <w:bookmarkEnd w:id="493"/>
      <w:bookmarkStart w:id="494" w:name="_Toc31899_WPSOffice_Level1"/>
      <w:bookmarkStart w:id="495" w:name="_Toc2436_WPSOffice_Level1"/>
      <w:bookmarkStart w:id="496" w:name="_Toc27924_WPSOffice_Level1"/>
      <w:r>
        <w:rPr>
          <w:rFonts w:hint="eastAsia" w:cs="宋体" w:asciiTheme="minorEastAsia" w:hAnsiTheme="minorEastAsia"/>
          <w:b/>
          <w:color w:val="000000"/>
          <w:sz w:val="36"/>
          <w:szCs w:val="36"/>
          <w:bdr w:val="single" w:color="auto" w:sz="4" w:space="0"/>
          <w:shd w:val="pct10" w:color="auto" w:fill="FFFFFF"/>
        </w:rPr>
        <w:t>政府采购项目</w:t>
      </w:r>
      <w:bookmarkEnd w:id="494"/>
      <w:bookmarkEnd w:id="495"/>
    </w:p>
    <w:p>
      <w:pPr>
        <w:pStyle w:val="5"/>
        <w:ind w:firstLine="0"/>
        <w:rPr>
          <w:rFonts w:cs="宋体" w:asciiTheme="minorEastAsia" w:hAnsiTheme="minorEastAsia"/>
          <w:b/>
          <w:bCs/>
          <w:spacing w:val="51"/>
          <w:szCs w:val="21"/>
        </w:rPr>
      </w:pPr>
      <w:bookmarkStart w:id="497" w:name="_Toc13704_WPSOffice_Level1"/>
      <w:bookmarkStart w:id="498" w:name="_Toc6261_WPSOffice_Level1"/>
      <w:r>
        <w:rPr>
          <w:rFonts w:hint="eastAsia" w:cs="宋体" w:asciiTheme="minorEastAsia" w:hAnsiTheme="minorEastAsia"/>
          <w:b/>
          <w:sz w:val="36"/>
          <w:szCs w:val="36"/>
        </w:rPr>
        <w:t>项目编号</w:t>
      </w:r>
      <w:bookmarkEnd w:id="496"/>
      <w:r>
        <w:rPr>
          <w:rFonts w:hint="eastAsia" w:cs="宋体" w:asciiTheme="minorEastAsia" w:hAnsiTheme="minorEastAsia"/>
          <w:b/>
          <w:sz w:val="36"/>
          <w:szCs w:val="36"/>
        </w:rPr>
        <w:t>：</w:t>
      </w:r>
      <w:bookmarkEnd w:id="497"/>
      <w:bookmarkEnd w:id="498"/>
      <w:bookmarkStart w:id="499" w:name="_Toc12753_WPSOffice_Level1"/>
      <w:bookmarkEnd w:id="499"/>
      <w:bookmarkStart w:id="500" w:name="_Toc374_WPSOffice_Level1"/>
      <w:bookmarkEnd w:id="500"/>
      <w:r>
        <w:rPr>
          <w:rFonts w:hint="eastAsia" w:cs="宋体" w:asciiTheme="minorEastAsia" w:hAnsiTheme="minorEastAsia"/>
          <w:b/>
          <w:sz w:val="36"/>
          <w:szCs w:val="36"/>
          <w:lang w:eastAsia="zh-CN"/>
        </w:rPr>
        <w:t>2023-CJ007</w:t>
      </w:r>
    </w:p>
    <w:p>
      <w:pPr>
        <w:pStyle w:val="5"/>
        <w:rPr>
          <w:rFonts w:cs="宋体" w:asciiTheme="minorEastAsia" w:hAnsiTheme="minorEastAsia"/>
          <w:b/>
          <w:bCs/>
          <w:spacing w:val="51"/>
          <w:szCs w:val="21"/>
        </w:rPr>
      </w:pPr>
    </w:p>
    <w:p>
      <w:pPr>
        <w:pStyle w:val="5"/>
        <w:rPr>
          <w:rFonts w:cs="宋体" w:asciiTheme="minorEastAsia" w:hAnsiTheme="minorEastAsia"/>
          <w:b/>
          <w:bCs/>
          <w:spacing w:val="51"/>
          <w:szCs w:val="21"/>
        </w:rPr>
      </w:pPr>
    </w:p>
    <w:p>
      <w:pPr>
        <w:pStyle w:val="25"/>
        <w:ind w:left="0" w:leftChars="0" w:firstLine="0" w:firstLineChars="0"/>
        <w:jc w:val="both"/>
        <w:rPr>
          <w:rFonts w:hint="eastAsia" w:cs="宋体" w:asciiTheme="minorEastAsia" w:hAnsiTheme="minorEastAsia"/>
          <w:b/>
          <w:bCs/>
          <w:sz w:val="44"/>
          <w:szCs w:val="44"/>
          <w:lang w:eastAsia="zh-CN"/>
        </w:rPr>
      </w:pPr>
    </w:p>
    <w:p>
      <w:pPr>
        <w:pStyle w:val="25"/>
        <w:ind w:left="0" w:leftChars="0" w:firstLine="0" w:firstLineChars="0"/>
        <w:jc w:val="center"/>
        <w:rPr>
          <w:rFonts w:hint="eastAsia" w:cs="宋体" w:asciiTheme="minorEastAsia" w:hAnsiTheme="minorEastAsia"/>
          <w:b/>
          <w:bCs/>
          <w:sz w:val="44"/>
          <w:szCs w:val="44"/>
          <w:lang w:eastAsia="zh-CN"/>
        </w:rPr>
      </w:pPr>
      <w:r>
        <w:rPr>
          <w:rFonts w:hint="eastAsia" w:cs="宋体" w:asciiTheme="minorEastAsia" w:hAnsiTheme="minorEastAsia"/>
          <w:b/>
          <w:bCs/>
          <w:sz w:val="44"/>
          <w:szCs w:val="44"/>
          <w:lang w:eastAsia="zh-CN"/>
        </w:rPr>
        <w:t>扶风县“四好农村路”信息化综合管理</w:t>
      </w:r>
    </w:p>
    <w:p>
      <w:pPr>
        <w:pStyle w:val="25"/>
        <w:ind w:left="0" w:leftChars="0" w:firstLine="0" w:firstLineChars="0"/>
        <w:jc w:val="center"/>
        <w:rPr>
          <w:rFonts w:cs="宋体" w:asciiTheme="minorEastAsia" w:hAnsiTheme="minorEastAsia"/>
          <w:b/>
          <w:bCs/>
          <w:sz w:val="44"/>
          <w:szCs w:val="44"/>
          <w:u w:val="single"/>
        </w:rPr>
      </w:pPr>
      <w:r>
        <w:rPr>
          <w:rFonts w:hint="eastAsia" w:cs="宋体" w:asciiTheme="minorEastAsia" w:hAnsiTheme="minorEastAsia"/>
          <w:b/>
          <w:bCs/>
          <w:sz w:val="44"/>
          <w:szCs w:val="44"/>
          <w:lang w:eastAsia="zh-CN"/>
        </w:rPr>
        <w:t>系统采购项目</w:t>
      </w:r>
    </w:p>
    <w:p>
      <w:pPr>
        <w:spacing w:line="240" w:lineRule="atLeast"/>
        <w:jc w:val="center"/>
        <w:rPr>
          <w:rFonts w:cs="宋体" w:asciiTheme="minorEastAsia" w:hAnsiTheme="minorEastAsia"/>
          <w:b/>
          <w:sz w:val="44"/>
          <w:szCs w:val="44"/>
        </w:rPr>
      </w:pPr>
      <w:r>
        <w:rPr>
          <w:rFonts w:hint="eastAsia" w:cs="宋体" w:asciiTheme="minorEastAsia" w:hAnsiTheme="minorEastAsia"/>
          <w:b/>
          <w:sz w:val="44"/>
          <w:szCs w:val="44"/>
        </w:rPr>
        <w:t xml:space="preserve">               </w:t>
      </w:r>
      <w:bookmarkStart w:id="501" w:name="_Toc11388_WPSOffice_Level1"/>
      <w:bookmarkStart w:id="502" w:name="_Toc20693_WPSOffice_Level1"/>
      <w:bookmarkStart w:id="503" w:name="_Toc22878_WPSOffice_Level1"/>
    </w:p>
    <w:p>
      <w:pPr>
        <w:pStyle w:val="43"/>
        <w:ind w:firstLine="883"/>
        <w:rPr>
          <w:rFonts w:cs="宋体" w:asciiTheme="minorEastAsia" w:hAnsiTheme="minorEastAsia" w:eastAsiaTheme="minorEastAsia"/>
          <w:b/>
          <w:sz w:val="44"/>
          <w:szCs w:val="44"/>
        </w:rPr>
      </w:pPr>
    </w:p>
    <w:p>
      <w:pPr>
        <w:pStyle w:val="43"/>
        <w:ind w:firstLine="883"/>
        <w:rPr>
          <w:rFonts w:cs="宋体" w:asciiTheme="minorEastAsia" w:hAnsiTheme="minorEastAsia" w:eastAsiaTheme="minorEastAsia"/>
          <w:b/>
          <w:sz w:val="44"/>
          <w:szCs w:val="44"/>
        </w:rPr>
      </w:pPr>
    </w:p>
    <w:p>
      <w:pPr>
        <w:spacing w:line="240" w:lineRule="atLeast"/>
        <w:ind w:firstLine="1446" w:firstLineChars="200"/>
        <w:rPr>
          <w:rFonts w:cs="宋体" w:asciiTheme="minorEastAsia" w:hAnsiTheme="minorEastAsia"/>
          <w:b/>
          <w:sz w:val="72"/>
          <w:szCs w:val="72"/>
        </w:rPr>
      </w:pPr>
      <w:r>
        <w:rPr>
          <w:rFonts w:hint="eastAsia" w:cs="宋体" w:asciiTheme="minorEastAsia" w:hAnsiTheme="minorEastAsia"/>
          <w:b/>
          <w:sz w:val="72"/>
          <w:szCs w:val="72"/>
        </w:rPr>
        <w:t>竞争性磋商响应文件</w:t>
      </w:r>
      <w:bookmarkEnd w:id="501"/>
      <w:bookmarkEnd w:id="502"/>
      <w:bookmarkEnd w:id="503"/>
    </w:p>
    <w:p>
      <w:pPr>
        <w:spacing w:line="240" w:lineRule="atLeast"/>
        <w:rPr>
          <w:rFonts w:cs="宋体" w:asciiTheme="minorEastAsia" w:hAnsiTheme="minorEastAsia"/>
          <w:b/>
          <w:sz w:val="44"/>
          <w:szCs w:val="44"/>
        </w:rPr>
      </w:pPr>
      <w:bookmarkStart w:id="504" w:name="_Toc3285_WPSOffice_Level1"/>
      <w:bookmarkEnd w:id="504"/>
      <w:bookmarkStart w:id="505" w:name="_Toc27635_WPSOffice_Level1"/>
      <w:bookmarkEnd w:id="505"/>
      <w:bookmarkStart w:id="506" w:name="_Toc32461_WPSOffice_Level1"/>
    </w:p>
    <w:p>
      <w:pPr>
        <w:spacing w:line="240" w:lineRule="atLeast"/>
        <w:rPr>
          <w:rFonts w:cs="宋体" w:asciiTheme="minorEastAsia" w:hAnsiTheme="minorEastAsia"/>
          <w:b/>
          <w:sz w:val="44"/>
          <w:szCs w:val="44"/>
        </w:rPr>
      </w:pPr>
    </w:p>
    <w:p>
      <w:pPr>
        <w:spacing w:line="240" w:lineRule="atLeast"/>
        <w:rPr>
          <w:rFonts w:cs="宋体" w:asciiTheme="minorEastAsia" w:hAnsiTheme="minorEastAsia"/>
          <w:b/>
          <w:sz w:val="44"/>
          <w:szCs w:val="44"/>
        </w:rPr>
      </w:pPr>
    </w:p>
    <w:p>
      <w:pPr>
        <w:spacing w:line="240" w:lineRule="atLeast"/>
        <w:rPr>
          <w:rFonts w:cs="宋体" w:asciiTheme="minorEastAsia" w:hAnsiTheme="minorEastAsia"/>
          <w:b/>
          <w:sz w:val="44"/>
          <w:szCs w:val="44"/>
        </w:rPr>
      </w:pPr>
    </w:p>
    <w:p>
      <w:pPr>
        <w:pStyle w:val="5"/>
        <w:rPr>
          <w:rFonts w:cs="宋体" w:asciiTheme="minorEastAsia" w:hAnsiTheme="minorEastAsia"/>
          <w:b/>
          <w:sz w:val="44"/>
          <w:szCs w:val="44"/>
        </w:rPr>
      </w:pPr>
    </w:p>
    <w:p>
      <w:pPr>
        <w:pStyle w:val="5"/>
        <w:rPr>
          <w:rFonts w:cs="宋体" w:asciiTheme="minorEastAsia" w:hAnsiTheme="minorEastAsia"/>
          <w:b/>
          <w:sz w:val="44"/>
          <w:szCs w:val="44"/>
        </w:rPr>
      </w:pPr>
    </w:p>
    <w:p>
      <w:pPr>
        <w:pStyle w:val="5"/>
        <w:rPr>
          <w:rFonts w:cs="宋体" w:asciiTheme="minorEastAsia" w:hAnsiTheme="minorEastAsia"/>
          <w:b/>
          <w:sz w:val="44"/>
          <w:szCs w:val="44"/>
        </w:rPr>
      </w:pPr>
    </w:p>
    <w:p>
      <w:pPr>
        <w:spacing w:line="240" w:lineRule="atLeast"/>
        <w:rPr>
          <w:rFonts w:cs="宋体" w:asciiTheme="minorEastAsia" w:hAnsiTheme="minorEastAsia"/>
          <w:b/>
          <w:sz w:val="48"/>
          <w:szCs w:val="48"/>
        </w:rPr>
      </w:pPr>
    </w:p>
    <w:p>
      <w:pPr>
        <w:spacing w:line="360" w:lineRule="auto"/>
        <w:ind w:firstLine="1807"/>
        <w:rPr>
          <w:rFonts w:cs="宋体" w:asciiTheme="minorEastAsia" w:hAnsiTheme="minorEastAsia"/>
          <w:b/>
          <w:bCs/>
          <w:sz w:val="30"/>
          <w:szCs w:val="30"/>
          <w:u w:val="single"/>
        </w:rPr>
      </w:pPr>
      <w:bookmarkStart w:id="507" w:name="_Toc17980_WPSOffice_Level1"/>
      <w:bookmarkStart w:id="508" w:name="_Toc5131_WPSOffice_Level1"/>
      <w:r>
        <w:rPr>
          <w:rFonts w:hint="eastAsia" w:cs="宋体" w:asciiTheme="minorEastAsia" w:hAnsiTheme="minorEastAsia"/>
          <w:b/>
          <w:sz w:val="30"/>
          <w:szCs w:val="30"/>
        </w:rPr>
        <w:t>供   应   商：</w:t>
      </w:r>
      <w:bookmarkEnd w:id="506"/>
      <w:bookmarkEnd w:id="507"/>
      <w:bookmarkEnd w:id="508"/>
      <w:r>
        <w:rPr>
          <w:rFonts w:hint="eastAsia" w:cs="宋体" w:asciiTheme="minorEastAsia" w:hAnsiTheme="minorEastAsia"/>
          <w:b/>
          <w:sz w:val="30"/>
          <w:szCs w:val="30"/>
        </w:rPr>
        <w:t xml:space="preserve"> </w:t>
      </w:r>
      <w:r>
        <w:rPr>
          <w:rFonts w:hint="eastAsia" w:cs="宋体" w:asciiTheme="minorEastAsia" w:hAnsiTheme="minorEastAsia"/>
          <w:b/>
          <w:sz w:val="30"/>
          <w:szCs w:val="30"/>
          <w:u w:val="single"/>
        </w:rPr>
        <w:t xml:space="preserve">                       </w:t>
      </w:r>
    </w:p>
    <w:p>
      <w:pPr>
        <w:spacing w:line="360" w:lineRule="auto"/>
        <w:ind w:firstLine="1780"/>
        <w:rPr>
          <w:rFonts w:cs="宋体" w:asciiTheme="minorEastAsia" w:hAnsiTheme="minorEastAsia"/>
          <w:b/>
          <w:sz w:val="30"/>
          <w:szCs w:val="30"/>
        </w:rPr>
      </w:pPr>
      <w:bookmarkStart w:id="509" w:name="_Toc5980_WPSOffice_Level1"/>
      <w:bookmarkEnd w:id="509"/>
      <w:bookmarkStart w:id="510" w:name="_Toc19927_WPSOffice_Level1"/>
      <w:bookmarkEnd w:id="510"/>
      <w:bookmarkStart w:id="511" w:name="_Toc1764_WPSOffice_Level1"/>
      <w:bookmarkEnd w:id="511"/>
      <w:bookmarkStart w:id="512" w:name="_Toc25187_WPSOffice_Level1"/>
      <w:bookmarkEnd w:id="512"/>
      <w:bookmarkStart w:id="513" w:name="_Toc20179_WPSOffice_Level1"/>
      <w:bookmarkStart w:id="514" w:name="_Toc18129_WPSOffice_Level1"/>
      <w:bookmarkStart w:id="515" w:name="_Toc27247_WPSOffice_Level1"/>
      <w:r>
        <w:rPr>
          <w:rFonts w:hint="eastAsia" w:cs="宋体" w:asciiTheme="minorEastAsia" w:hAnsiTheme="minorEastAsia"/>
          <w:b/>
          <w:sz w:val="30"/>
          <w:szCs w:val="30"/>
        </w:rPr>
        <w:t>时        间：</w:t>
      </w:r>
      <w:bookmarkEnd w:id="513"/>
      <w:bookmarkEnd w:id="514"/>
      <w:bookmarkEnd w:id="515"/>
    </w:p>
    <w:p>
      <w:pPr>
        <w:pStyle w:val="43"/>
        <w:ind w:firstLine="0" w:firstLineChars="0"/>
        <w:rPr>
          <w:rFonts w:cs="宋体" w:asciiTheme="minorEastAsia" w:hAnsiTheme="minorEastAsia" w:eastAsiaTheme="minorEastAsia"/>
          <w:b/>
          <w:sz w:val="30"/>
          <w:szCs w:val="30"/>
        </w:rPr>
      </w:pPr>
    </w:p>
    <w:p>
      <w:pPr>
        <w:pStyle w:val="5"/>
        <w:ind w:firstLine="0"/>
        <w:rPr>
          <w:rFonts w:cs="宋体" w:asciiTheme="minorEastAsia" w:hAnsiTheme="minorEastAsia"/>
          <w:b/>
          <w:sz w:val="44"/>
          <w:szCs w:val="44"/>
        </w:rPr>
      </w:pPr>
      <w:bookmarkStart w:id="516" w:name="_Toc16964_WPSOffice_Level1"/>
      <w:bookmarkStart w:id="517" w:name="_Toc32339_WPSOffice_Level1"/>
      <w:bookmarkStart w:id="518" w:name="_Toc8327_WPSOffice_Level1"/>
      <w:bookmarkStart w:id="519" w:name="_Toc30089_WPSOffice_Level1"/>
    </w:p>
    <w:p>
      <w:pPr>
        <w:pStyle w:val="5"/>
        <w:rPr>
          <w:rFonts w:asciiTheme="minorEastAsia" w:hAnsiTheme="minorEastAsia"/>
        </w:rPr>
      </w:pPr>
    </w:p>
    <w:p>
      <w:pPr>
        <w:spacing w:line="520" w:lineRule="exact"/>
        <w:jc w:val="center"/>
        <w:rPr>
          <w:rFonts w:cs="宋体" w:asciiTheme="minorEastAsia" w:hAnsiTheme="minorEastAsia"/>
          <w:b/>
          <w:sz w:val="44"/>
          <w:szCs w:val="44"/>
        </w:rPr>
      </w:pPr>
    </w:p>
    <w:p>
      <w:pPr>
        <w:spacing w:line="520" w:lineRule="exact"/>
        <w:jc w:val="center"/>
        <w:rPr>
          <w:rFonts w:cs="宋体" w:asciiTheme="minorEastAsia" w:hAnsiTheme="minorEastAsia"/>
          <w:b/>
          <w:sz w:val="28"/>
          <w:szCs w:val="28"/>
        </w:rPr>
      </w:pPr>
      <w:r>
        <w:rPr>
          <w:rFonts w:hint="eastAsia" w:cs="宋体" w:asciiTheme="minorEastAsia" w:hAnsiTheme="minorEastAsia"/>
          <w:b/>
          <w:sz w:val="44"/>
          <w:szCs w:val="44"/>
        </w:rPr>
        <w:t>目  录</w:t>
      </w:r>
      <w:bookmarkEnd w:id="516"/>
      <w:bookmarkEnd w:id="517"/>
      <w:bookmarkEnd w:id="518"/>
      <w:bookmarkEnd w:id="519"/>
    </w:p>
    <w:p>
      <w:pPr>
        <w:keepNext w:val="0"/>
        <w:keepLines w:val="0"/>
        <w:pageBreakBefore w:val="0"/>
        <w:widowControl w:val="0"/>
        <w:tabs>
          <w:tab w:val="left" w:pos="210"/>
        </w:tabs>
        <w:kinsoku/>
        <w:wordWrap/>
        <w:overflowPunct/>
        <w:topLinePunct w:val="0"/>
        <w:autoSpaceDE/>
        <w:autoSpaceDN/>
        <w:bidi w:val="0"/>
        <w:adjustRightInd/>
        <w:snapToGrid/>
        <w:spacing w:line="360" w:lineRule="auto"/>
        <w:ind w:left="218" w:hanging="218" w:hangingChars="78"/>
        <w:textAlignment w:val="auto"/>
        <w:rPr>
          <w:rFonts w:cs="宋体" w:asciiTheme="minorEastAsia" w:hAnsiTheme="minorEastAsia"/>
          <w:sz w:val="28"/>
          <w:szCs w:val="28"/>
        </w:rPr>
      </w:pPr>
      <w:bookmarkStart w:id="520" w:name="_Toc11603_WPSOffice_Level1"/>
      <w:bookmarkEnd w:id="520"/>
      <w:bookmarkStart w:id="521" w:name="_Toc20596_WPSOffice_Level1"/>
      <w:bookmarkEnd w:id="521"/>
      <w:bookmarkStart w:id="522" w:name="_Toc23835_WPSOffice_Level1"/>
      <w:bookmarkStart w:id="523" w:name="_Toc20284_WPSOffice_Level1"/>
      <w:bookmarkStart w:id="524" w:name="_Toc20613_WPSOffice_Level1"/>
      <w:bookmarkStart w:id="525" w:name="_Toc15436_WPSOffice_Level1"/>
      <w:bookmarkStart w:id="526" w:name="_Toc10967_WPSOffice_Level1"/>
      <w:r>
        <w:rPr>
          <w:rFonts w:hint="eastAsia" w:cs="宋体" w:asciiTheme="minorEastAsia" w:hAnsiTheme="minorEastAsia"/>
          <w:sz w:val="28"/>
          <w:szCs w:val="28"/>
        </w:rPr>
        <w:t>1、磋商函</w:t>
      </w:r>
      <w:bookmarkEnd w:id="522"/>
      <w:bookmarkEnd w:id="523"/>
      <w:bookmarkEnd w:id="524"/>
      <w:bookmarkEnd w:id="525"/>
      <w:bookmarkEnd w:id="526"/>
      <w:bookmarkStart w:id="527" w:name="_Toc9700_WPSOffice_Level1"/>
      <w:bookmarkEnd w:id="527"/>
      <w:bookmarkStart w:id="528" w:name="_Toc13282_WPSOffice_Level1"/>
      <w:bookmarkEnd w:id="528"/>
      <w:bookmarkStart w:id="529" w:name="_Toc9818_WPSOffice_Level1"/>
      <w:bookmarkStart w:id="530" w:name="_Toc32543_WPSOffice_Level1"/>
      <w:bookmarkStart w:id="531" w:name="_Toc8399_WPSOffice_Level1"/>
      <w:bookmarkStart w:id="532" w:name="_Toc431_WPSOffice_Level1"/>
      <w:bookmarkStart w:id="533" w:name="_Toc31595_WPSOffice_Level1"/>
      <w:r>
        <w:rPr>
          <w:rFonts w:hint="eastAsia" w:cs="宋体" w:asciiTheme="minorEastAsia" w:hAnsi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宋体" w:asciiTheme="minorEastAsia" w:hAnsiTheme="minorEastAsia"/>
          <w:sz w:val="28"/>
          <w:szCs w:val="28"/>
        </w:rPr>
      </w:pPr>
      <w:r>
        <w:rPr>
          <w:rFonts w:hint="eastAsia" w:cs="宋体" w:asciiTheme="minorEastAsia" w:hAnsiTheme="minorEastAsia"/>
          <w:sz w:val="28"/>
          <w:szCs w:val="28"/>
        </w:rPr>
        <w:t>2、磋商报价一览表</w:t>
      </w:r>
      <w:bookmarkEnd w:id="529"/>
      <w:bookmarkEnd w:id="530"/>
      <w:bookmarkEnd w:id="531"/>
      <w:bookmarkEnd w:id="532"/>
      <w:bookmarkEnd w:id="533"/>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宋体" w:asciiTheme="minorEastAsia" w:hAnsiTheme="minorEastAsia"/>
          <w:sz w:val="28"/>
          <w:szCs w:val="28"/>
        </w:rPr>
      </w:pPr>
      <w:bookmarkStart w:id="534" w:name="_Toc13466_WPSOffice_Level1"/>
      <w:r>
        <w:rPr>
          <w:rFonts w:hint="eastAsia" w:cs="宋体" w:asciiTheme="minorEastAsia" w:hAnsiTheme="minorEastAsia"/>
          <w:sz w:val="28"/>
        </w:rPr>
        <w:t>3、响应偏离表</w:t>
      </w:r>
      <w:bookmarkEnd w:id="534"/>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宋体" w:asciiTheme="minorEastAsia" w:hAnsiTheme="minorEastAsia"/>
          <w:sz w:val="28"/>
        </w:rPr>
      </w:pPr>
      <w:bookmarkStart w:id="535" w:name="_Toc20882_WPSOffice_Level1"/>
      <w:bookmarkEnd w:id="535"/>
      <w:bookmarkStart w:id="536" w:name="_Toc24426_WPSOffice_Level1"/>
      <w:bookmarkEnd w:id="536"/>
      <w:bookmarkStart w:id="537" w:name="_Toc14480_WPSOffice_Level1"/>
      <w:r>
        <w:rPr>
          <w:rFonts w:hint="eastAsia" w:cs="宋体" w:asciiTheme="minorEastAsia" w:hAnsiTheme="minorEastAsia"/>
          <w:sz w:val="28"/>
        </w:rPr>
        <w:t>4、资格证明文件</w:t>
      </w:r>
      <w:bookmarkEnd w:id="53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asciiTheme="minorEastAsia" w:hAnsiTheme="minorEastAsia"/>
          <w:sz w:val="28"/>
        </w:rPr>
      </w:pPr>
      <w:r>
        <w:rPr>
          <w:rFonts w:hint="eastAsia" w:cs="宋体" w:asciiTheme="minorEastAsia" w:hAnsiTheme="minorEastAsia"/>
          <w:sz w:val="28"/>
        </w:rPr>
        <w:t>5、技术响应</w:t>
      </w:r>
      <w:bookmarkStart w:id="538" w:name="_Toc3858_WPSOffice_Level1"/>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s="宋体" w:asciiTheme="minorEastAsia" w:hAnsiTheme="minorEastAsia" w:eastAsiaTheme="minorEastAsia"/>
          <w:kern w:val="1"/>
          <w:sz w:val="28"/>
          <w:szCs w:val="22"/>
          <w:lang w:val="en-US" w:eastAsia="zh-CN" w:bidi="ar-SA"/>
        </w:rPr>
      </w:pPr>
      <w:r>
        <w:rPr>
          <w:rFonts w:hint="eastAsia" w:cs="宋体" w:asciiTheme="minorEastAsia" w:hAnsiTheme="minorEastAsia"/>
          <w:kern w:val="1"/>
          <w:sz w:val="28"/>
          <w:szCs w:val="22"/>
          <w:lang w:val="en-US" w:eastAsia="zh-CN" w:bidi="ar-SA"/>
        </w:rPr>
        <w:t>6、</w:t>
      </w:r>
      <w:r>
        <w:rPr>
          <w:rFonts w:hint="eastAsia" w:cs="宋体" w:asciiTheme="minorEastAsia" w:hAnsiTheme="minorEastAsia" w:eastAsiaTheme="minorEastAsia"/>
          <w:kern w:val="1"/>
          <w:sz w:val="28"/>
          <w:szCs w:val="22"/>
          <w:lang w:val="en-US" w:eastAsia="zh-CN" w:bidi="ar-SA"/>
        </w:rPr>
        <w:t>提供企业近三年市级公路信息化平台类似相关业绩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kern w:val="1"/>
          <w:sz w:val="28"/>
          <w:szCs w:val="22"/>
          <w:lang w:val="en-US" w:eastAsia="zh-CN" w:bidi="ar-SA"/>
        </w:rPr>
      </w:pPr>
      <w:r>
        <w:rPr>
          <w:rFonts w:hint="eastAsia" w:cs="宋体" w:asciiTheme="minorEastAsia" w:hAnsiTheme="minorEastAsia"/>
          <w:kern w:val="1"/>
          <w:sz w:val="28"/>
          <w:szCs w:val="22"/>
          <w:lang w:val="en-US" w:eastAsia="zh-CN" w:bidi="ar-SA"/>
        </w:rPr>
        <w:t>7</w:t>
      </w:r>
      <w:r>
        <w:rPr>
          <w:rFonts w:hint="eastAsia" w:cs="宋体" w:asciiTheme="minorEastAsia" w:hAnsiTheme="minorEastAsia" w:eastAsiaTheme="minorEastAsia"/>
          <w:kern w:val="1"/>
          <w:sz w:val="28"/>
          <w:szCs w:val="22"/>
          <w:lang w:val="en-US" w:eastAsia="zh-CN" w:bidi="ar-SA"/>
        </w:rPr>
        <w:t>、</w:t>
      </w:r>
      <w:bookmarkEnd w:id="538"/>
      <w:bookmarkStart w:id="539" w:name="_Toc31355_WPSOffice_Level1"/>
      <w:r>
        <w:rPr>
          <w:rFonts w:hint="eastAsia" w:cs="宋体" w:asciiTheme="minorEastAsia" w:hAnsiTheme="minorEastAsia" w:eastAsiaTheme="minorEastAsia"/>
          <w:kern w:val="1"/>
          <w:sz w:val="28"/>
          <w:szCs w:val="22"/>
          <w:lang w:val="en-US" w:eastAsia="zh-CN" w:bidi="ar-SA"/>
        </w:rPr>
        <w:t>供应商认为有必要补充说明的事宜</w:t>
      </w:r>
      <w:bookmarkEnd w:id="53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kern w:val="1"/>
          <w:sz w:val="28"/>
          <w:szCs w:val="22"/>
          <w:lang w:val="en-US" w:eastAsia="zh-CN" w:bidi="ar-SA"/>
        </w:rPr>
      </w:pPr>
      <w:bookmarkStart w:id="540" w:name="_Toc24741_WPSOffice_Level1"/>
      <w:r>
        <w:rPr>
          <w:rFonts w:hint="eastAsia" w:cs="宋体" w:asciiTheme="minorEastAsia" w:hAnsiTheme="minorEastAsia"/>
          <w:kern w:val="1"/>
          <w:sz w:val="28"/>
          <w:szCs w:val="22"/>
          <w:lang w:val="en-US" w:eastAsia="zh-CN" w:bidi="ar-SA"/>
        </w:rPr>
        <w:t>8</w:t>
      </w:r>
      <w:r>
        <w:rPr>
          <w:rFonts w:hint="eastAsia" w:cs="宋体" w:asciiTheme="minorEastAsia" w:hAnsiTheme="minorEastAsia" w:eastAsiaTheme="minorEastAsia"/>
          <w:kern w:val="1"/>
          <w:sz w:val="28"/>
          <w:szCs w:val="22"/>
          <w:lang w:val="en-US" w:eastAsia="zh-CN" w:bidi="ar-SA"/>
        </w:rPr>
        <w:t>、磋商声明书</w:t>
      </w:r>
      <w:bookmarkEnd w:id="54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kern w:val="1"/>
          <w:sz w:val="28"/>
          <w:szCs w:val="22"/>
          <w:lang w:val="en-US" w:eastAsia="zh-CN" w:bidi="ar-SA"/>
        </w:rPr>
      </w:pPr>
      <w:bookmarkStart w:id="541" w:name="_Toc32420_WPSOffice_Level1"/>
      <w:r>
        <w:rPr>
          <w:rFonts w:hint="eastAsia" w:cs="宋体" w:asciiTheme="minorEastAsia" w:hAnsiTheme="minorEastAsia" w:eastAsiaTheme="minorEastAsia"/>
          <w:kern w:val="1"/>
          <w:sz w:val="28"/>
          <w:szCs w:val="22"/>
          <w:lang w:val="en-US" w:eastAsia="zh-CN" w:bidi="ar-SA"/>
        </w:rPr>
        <w:t>9、《拒绝政府采购领域商业贿赂承诺书》（格式）</w:t>
      </w:r>
      <w:bookmarkEnd w:id="54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kern w:val="1"/>
          <w:sz w:val="28"/>
          <w:szCs w:val="22"/>
          <w:lang w:val="en-US" w:eastAsia="zh-CN" w:bidi="ar-SA"/>
        </w:rPr>
      </w:pPr>
      <w:r>
        <w:rPr>
          <w:rFonts w:hint="eastAsia" w:cs="宋体" w:asciiTheme="minorEastAsia" w:hAnsiTheme="minorEastAsia" w:eastAsiaTheme="minorEastAsia"/>
          <w:kern w:val="1"/>
          <w:sz w:val="28"/>
          <w:szCs w:val="22"/>
          <w:lang w:val="en-US" w:eastAsia="zh-CN" w:bidi="ar-SA"/>
        </w:rPr>
        <w:t>1</w:t>
      </w:r>
      <w:r>
        <w:rPr>
          <w:rFonts w:hint="eastAsia" w:cs="宋体" w:asciiTheme="minorEastAsia" w:hAnsiTheme="minorEastAsia"/>
          <w:kern w:val="1"/>
          <w:sz w:val="28"/>
          <w:szCs w:val="22"/>
          <w:lang w:val="en-US" w:eastAsia="zh-CN" w:bidi="ar-SA"/>
        </w:rPr>
        <w:t>0、</w:t>
      </w:r>
      <w:r>
        <w:rPr>
          <w:rFonts w:hint="eastAsia" w:cs="宋体" w:asciiTheme="minorEastAsia" w:hAnsiTheme="minorEastAsia" w:eastAsiaTheme="minorEastAsia"/>
          <w:kern w:val="1"/>
          <w:sz w:val="28"/>
          <w:szCs w:val="22"/>
          <w:lang w:val="en-US" w:eastAsia="zh-CN" w:bidi="ar-SA"/>
        </w:rPr>
        <w:t>《中小企业声明函》及证明文件（若有）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kern w:val="1"/>
          <w:sz w:val="28"/>
          <w:szCs w:val="22"/>
          <w:lang w:val="en-US" w:eastAsia="zh-CN" w:bidi="ar-SA"/>
        </w:rPr>
      </w:pPr>
      <w:r>
        <w:rPr>
          <w:rFonts w:hint="eastAsia" w:cs="宋体" w:asciiTheme="minorEastAsia" w:hAnsiTheme="minorEastAsia" w:eastAsiaTheme="minorEastAsia"/>
          <w:kern w:val="1"/>
          <w:sz w:val="28"/>
          <w:szCs w:val="22"/>
          <w:lang w:val="en-US" w:eastAsia="zh-CN" w:bidi="ar-SA"/>
        </w:rPr>
        <w:t>1</w:t>
      </w:r>
      <w:r>
        <w:rPr>
          <w:rFonts w:hint="eastAsia" w:cs="宋体" w:asciiTheme="minorEastAsia" w:hAnsiTheme="minorEastAsia"/>
          <w:kern w:val="1"/>
          <w:sz w:val="28"/>
          <w:szCs w:val="22"/>
          <w:lang w:val="en-US" w:eastAsia="zh-CN" w:bidi="ar-SA"/>
        </w:rPr>
        <w:t>1、</w:t>
      </w:r>
      <w:r>
        <w:rPr>
          <w:rFonts w:hint="eastAsia" w:cs="宋体" w:asciiTheme="minorEastAsia" w:hAnsiTheme="minorEastAsia" w:eastAsiaTheme="minorEastAsia"/>
          <w:kern w:val="1"/>
          <w:sz w:val="28"/>
          <w:szCs w:val="22"/>
          <w:lang w:val="en-US" w:eastAsia="zh-CN" w:bidi="ar-SA"/>
        </w:rPr>
        <w:t>《残疾人福利性单位声明函》（若有）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s="宋体" w:asciiTheme="minorEastAsia" w:hAnsiTheme="minorEastAsia" w:eastAsiaTheme="minorEastAsia"/>
          <w:kern w:val="1"/>
          <w:sz w:val="28"/>
          <w:szCs w:val="22"/>
          <w:lang w:val="en-US" w:eastAsia="zh-CN" w:bidi="ar-SA"/>
        </w:rPr>
      </w:pPr>
      <w:r>
        <w:rPr>
          <w:rFonts w:hint="eastAsia" w:cs="宋体" w:asciiTheme="minorEastAsia" w:hAnsiTheme="minorEastAsia" w:eastAsiaTheme="minorEastAsia"/>
          <w:kern w:val="1"/>
          <w:sz w:val="28"/>
          <w:szCs w:val="22"/>
          <w:lang w:val="en-US" w:eastAsia="zh-CN" w:bidi="ar-SA"/>
        </w:rPr>
        <w:t>备注：目录需添加连续页码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宋体" w:asciiTheme="minorEastAsia" w:hAnsiTheme="minorEastAsia"/>
          <w:sz w:val="28"/>
          <w:szCs w:val="28"/>
        </w:rPr>
      </w:pP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rPr>
        <w:sectPr>
          <w:endnotePr>
            <w:numFmt w:val="decimal"/>
          </w:endnotePr>
          <w:pgSz w:w="11907" w:h="16840"/>
          <w:pgMar w:top="1418" w:right="1287" w:bottom="936" w:left="1259" w:header="907" w:footer="654" w:gutter="0"/>
          <w:cols w:space="720" w:num="1"/>
          <w:titlePg/>
        </w:sectPr>
      </w:pPr>
    </w:p>
    <w:p>
      <w:pPr>
        <w:pStyle w:val="4"/>
        <w:spacing w:before="0" w:after="0" w:line="360" w:lineRule="auto"/>
        <w:jc w:val="center"/>
        <w:rPr>
          <w:rFonts w:cs="宋体" w:asciiTheme="minorEastAsia" w:hAnsiTheme="minorEastAsia" w:eastAsiaTheme="minorEastAsia"/>
          <w:sz w:val="28"/>
          <w:szCs w:val="28"/>
        </w:rPr>
      </w:pPr>
      <w:bookmarkStart w:id="542" w:name="_Toc14942_WPSOffice_Level1"/>
      <w:bookmarkEnd w:id="542"/>
      <w:bookmarkStart w:id="543" w:name="_Toc19279_WPSOffice_Level1"/>
      <w:bookmarkStart w:id="544" w:name="_Toc20446_WPSOffice_Level1"/>
      <w:bookmarkStart w:id="545" w:name="_Toc5888413"/>
      <w:r>
        <w:rPr>
          <w:rFonts w:hint="eastAsia" w:cs="宋体" w:asciiTheme="minorEastAsia" w:hAnsiTheme="minorEastAsia" w:eastAsiaTheme="minorEastAsia"/>
          <w:sz w:val="28"/>
          <w:szCs w:val="28"/>
        </w:rPr>
        <w:t>1.磋商函</w:t>
      </w:r>
      <w:bookmarkEnd w:id="543"/>
      <w:bookmarkEnd w:id="544"/>
      <w:bookmarkEnd w:id="545"/>
    </w:p>
    <w:p>
      <w:pPr>
        <w:spacing w:line="500" w:lineRule="exact"/>
        <w:ind w:firstLine="548"/>
        <w:rPr>
          <w:rFonts w:cs="宋体" w:asciiTheme="minorEastAsia" w:hAnsiTheme="minorEastAsia"/>
          <w:sz w:val="28"/>
          <w:szCs w:val="28"/>
        </w:rPr>
      </w:pPr>
      <w:r>
        <w:rPr>
          <w:rFonts w:hint="eastAsia" w:cs="宋体" w:asciiTheme="minorEastAsia" w:hAnsiTheme="minorEastAsia"/>
          <w:b/>
          <w:sz w:val="28"/>
          <w:szCs w:val="28"/>
        </w:rPr>
        <w:t>致：</w:t>
      </w:r>
      <w:r>
        <w:rPr>
          <w:rFonts w:hint="eastAsia" w:cs="宋体" w:asciiTheme="minorEastAsia" w:hAnsiTheme="minorEastAsia"/>
          <w:b/>
          <w:sz w:val="28"/>
          <w:szCs w:val="28"/>
          <w:lang w:eastAsia="zh-CN"/>
        </w:rPr>
        <w:t>万融国际项目管理有限公司</w:t>
      </w:r>
      <w:r>
        <w:rPr>
          <w:rFonts w:hint="eastAsia" w:cs="宋体" w:asciiTheme="minorEastAsia" w:hAnsiTheme="minorEastAsia"/>
          <w:sz w:val="28"/>
          <w:szCs w:val="28"/>
        </w:rPr>
        <w:t>根据贵单位</w:t>
      </w:r>
      <w:r>
        <w:rPr>
          <w:rFonts w:hint="eastAsia" w:cs="宋体" w:asciiTheme="minorEastAsia" w:hAnsiTheme="minorEastAsia"/>
          <w:sz w:val="28"/>
          <w:szCs w:val="28"/>
          <w:u w:val="single"/>
        </w:rPr>
        <w:t xml:space="preserve">       （项目名称）    </w:t>
      </w:r>
      <w:r>
        <w:rPr>
          <w:rFonts w:hint="eastAsia" w:cs="宋体" w:asciiTheme="minorEastAsia" w:hAnsiTheme="minorEastAsia"/>
          <w:sz w:val="28"/>
          <w:szCs w:val="28"/>
        </w:rPr>
        <w:t>项目</w:t>
      </w:r>
      <w:r>
        <w:rPr>
          <w:rFonts w:hint="eastAsia" w:cs="宋体" w:asciiTheme="minorEastAsia" w:hAnsiTheme="minorEastAsia"/>
          <w:sz w:val="28"/>
          <w:szCs w:val="28"/>
          <w:u w:val="single"/>
        </w:rPr>
        <w:t>（项目编号）</w:t>
      </w:r>
      <w:r>
        <w:rPr>
          <w:rFonts w:hint="eastAsia" w:cs="宋体" w:asciiTheme="minorEastAsia" w:hAnsiTheme="minorEastAsia"/>
          <w:sz w:val="28"/>
          <w:szCs w:val="28"/>
        </w:rPr>
        <w:t>的磋商公告，我方代表</w:t>
      </w:r>
      <w:r>
        <w:rPr>
          <w:rFonts w:hint="eastAsia" w:cs="宋体" w:asciiTheme="minorEastAsia" w:hAnsiTheme="minorEastAsia"/>
          <w:sz w:val="28"/>
          <w:szCs w:val="28"/>
          <w:u w:val="single"/>
        </w:rPr>
        <w:t xml:space="preserve">   （姓名、职务）   </w:t>
      </w:r>
      <w:r>
        <w:rPr>
          <w:rFonts w:hint="eastAsia" w:cs="宋体" w:asciiTheme="minorEastAsia" w:hAnsiTheme="minorEastAsia"/>
          <w:sz w:val="28"/>
          <w:szCs w:val="28"/>
        </w:rPr>
        <w:t>经正式授权并代表</w:t>
      </w:r>
      <w:r>
        <w:rPr>
          <w:rFonts w:hint="eastAsia" w:cs="宋体" w:asciiTheme="minorEastAsia" w:hAnsiTheme="minorEastAsia"/>
          <w:sz w:val="28"/>
          <w:szCs w:val="28"/>
          <w:u w:val="single"/>
        </w:rPr>
        <w:t xml:space="preserve">    （供应商名称）    </w:t>
      </w:r>
      <w:r>
        <w:rPr>
          <w:rFonts w:hint="eastAsia" w:cs="宋体" w:asciiTheme="minorEastAsia" w:hAnsiTheme="minorEastAsia"/>
          <w:sz w:val="28"/>
          <w:szCs w:val="28"/>
        </w:rPr>
        <w:t>就该项目进行磋商。</w:t>
      </w:r>
    </w:p>
    <w:p>
      <w:pPr>
        <w:spacing w:line="500" w:lineRule="exact"/>
        <w:ind w:firstLine="562"/>
        <w:rPr>
          <w:rFonts w:cs="宋体" w:asciiTheme="minorEastAsia" w:hAnsiTheme="minorEastAsia"/>
          <w:b/>
          <w:sz w:val="28"/>
          <w:szCs w:val="28"/>
        </w:rPr>
      </w:pPr>
      <w:r>
        <w:rPr>
          <w:rFonts w:hint="eastAsia" w:cs="宋体" w:asciiTheme="minorEastAsia" w:hAnsiTheme="minorEastAsia"/>
          <w:b/>
          <w:sz w:val="28"/>
          <w:szCs w:val="28"/>
        </w:rPr>
        <w:t>在此，我方郑重声明以下诸点，并负法律责任：</w:t>
      </w:r>
    </w:p>
    <w:p>
      <w:pPr>
        <w:pStyle w:val="45"/>
        <w:spacing w:line="500" w:lineRule="exact"/>
        <w:ind w:firstLine="560"/>
        <w:rPr>
          <w:rFonts w:cs="宋体" w:asciiTheme="minorEastAsia" w:hAnsiTheme="minorEastAsia"/>
          <w:b/>
          <w:sz w:val="28"/>
          <w:szCs w:val="28"/>
        </w:rPr>
      </w:pPr>
      <w:r>
        <w:rPr>
          <w:rFonts w:hint="eastAsia" w:cs="宋体" w:asciiTheme="minorEastAsia" w:hAnsiTheme="minorEastAsia"/>
          <w:sz w:val="28"/>
          <w:szCs w:val="28"/>
        </w:rPr>
        <w:t>1、我方所附磋商报价表中应提交和交付的货物/服务磋商总价为人民币：</w:t>
      </w:r>
      <w:r>
        <w:rPr>
          <w:rFonts w:hint="eastAsia" w:cs="宋体" w:asciiTheme="minorEastAsia" w:hAnsiTheme="minorEastAsia"/>
          <w:sz w:val="28"/>
          <w:szCs w:val="28"/>
          <w:u w:val="single"/>
        </w:rPr>
        <w:t>（同时用汉字大写和数字表示的磋商总价）</w:t>
      </w:r>
      <w:r>
        <w:rPr>
          <w:rFonts w:hint="eastAsia" w:cs="宋体" w:asciiTheme="minorEastAsia" w:hAnsiTheme="minorEastAsia"/>
          <w:sz w:val="28"/>
          <w:szCs w:val="28"/>
        </w:rPr>
        <w:t>。该报价一次报死，不受市场因素的影响。</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2</w:t>
      </w:r>
      <w:r>
        <w:rPr>
          <w:rFonts w:hint="eastAsia" w:cs="宋体" w:asciiTheme="minorEastAsia" w:hAnsiTheme="minorEastAsia"/>
          <w:sz w:val="28"/>
          <w:szCs w:val="28"/>
        </w:rPr>
        <w:t>、我方已详细审查全部竞争性磋商文件，完全理解并同意放弃对这方面有不明及误解质疑的权力。</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3</w:t>
      </w:r>
      <w:r>
        <w:rPr>
          <w:rFonts w:hint="eastAsia" w:cs="宋体" w:asciiTheme="minorEastAsia" w:hAnsiTheme="minorEastAsia"/>
          <w:sz w:val="28"/>
          <w:szCs w:val="28"/>
        </w:rPr>
        <w:t>、我方完全理解并同意竞争性磋商文件中有关没收磋商保证金、要求专业担保机构现行偿付和拒绝磋商的条款。</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4</w:t>
      </w:r>
      <w:r>
        <w:rPr>
          <w:rFonts w:hint="eastAsia" w:cs="宋体" w:asciiTheme="minorEastAsia" w:hAnsiTheme="minorEastAsia"/>
          <w:sz w:val="28"/>
          <w:szCs w:val="28"/>
        </w:rPr>
        <w:t>、我方同意按照要求提供磋商有关的一切数据或资料。</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5</w:t>
      </w:r>
      <w:r>
        <w:rPr>
          <w:rFonts w:hint="eastAsia" w:cs="宋体" w:asciiTheme="minorEastAsia" w:hAnsiTheme="minorEastAsia"/>
          <w:sz w:val="28"/>
          <w:szCs w:val="28"/>
        </w:rPr>
        <w:t>、我方将按竞争性磋商文件的规定履行合同责任和义务。</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6</w:t>
      </w:r>
      <w:r>
        <w:rPr>
          <w:rFonts w:hint="eastAsia" w:cs="宋体" w:asciiTheme="minorEastAsia" w:hAnsiTheme="minorEastAsia"/>
          <w:sz w:val="28"/>
          <w:szCs w:val="28"/>
        </w:rPr>
        <w:t>、我方完全理解最低报价不是成交的唯一条件，采购人有权选择质优价廉的货物/服务。</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7</w:t>
      </w:r>
      <w:r>
        <w:rPr>
          <w:rFonts w:hint="eastAsia" w:cs="宋体" w:asciiTheme="minorEastAsia" w:hAnsiTheme="minorEastAsia"/>
          <w:sz w:val="28"/>
          <w:szCs w:val="28"/>
        </w:rPr>
        <w:t>、我方同意按竞争性磋商文件规定，遵守贵方有关采购的各项规定。</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8</w:t>
      </w:r>
      <w:r>
        <w:rPr>
          <w:rFonts w:hint="eastAsia" w:cs="宋体" w:asciiTheme="minorEastAsia" w:hAnsiTheme="minorEastAsia"/>
          <w:sz w:val="28"/>
          <w:szCs w:val="28"/>
        </w:rPr>
        <w:t>、若我方被选为成交供应商，我方保证按有关规定向贵方支付磋商服务费。</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9</w:t>
      </w:r>
      <w:r>
        <w:rPr>
          <w:rFonts w:hint="eastAsia" w:cs="宋体" w:asciiTheme="minorEastAsia" w:hAnsiTheme="minorEastAsia"/>
          <w:sz w:val="28"/>
          <w:szCs w:val="28"/>
        </w:rPr>
        <w:t>、磋商有效期为自磋商日起</w:t>
      </w:r>
      <w:r>
        <w:rPr>
          <w:rFonts w:hint="eastAsia" w:cs="宋体" w:asciiTheme="minorEastAsia" w:hAnsiTheme="minorEastAsia"/>
          <w:sz w:val="28"/>
          <w:szCs w:val="28"/>
          <w:u w:val="single"/>
        </w:rPr>
        <w:t xml:space="preserve">  90  </w:t>
      </w:r>
      <w:r>
        <w:rPr>
          <w:rFonts w:hint="eastAsia" w:cs="宋体" w:asciiTheme="minorEastAsia" w:hAnsiTheme="minorEastAsia"/>
          <w:sz w:val="28"/>
          <w:szCs w:val="28"/>
        </w:rPr>
        <w:t>个日历日。</w:t>
      </w:r>
    </w:p>
    <w:p>
      <w:pPr>
        <w:spacing w:line="500" w:lineRule="exact"/>
        <w:ind w:firstLine="560"/>
        <w:rPr>
          <w:rFonts w:cs="宋体" w:asciiTheme="minorEastAsia" w:hAnsiTheme="minorEastAsia"/>
          <w:sz w:val="28"/>
          <w:szCs w:val="28"/>
        </w:rPr>
      </w:pPr>
      <w:r>
        <w:rPr>
          <w:rFonts w:cs="宋体" w:asciiTheme="minorEastAsia" w:hAnsiTheme="minorEastAsia"/>
          <w:sz w:val="28"/>
          <w:szCs w:val="28"/>
        </w:rPr>
        <w:t>10</w:t>
      </w:r>
      <w:r>
        <w:rPr>
          <w:rFonts w:hint="eastAsia" w:cs="宋体" w:asciiTheme="minorEastAsia" w:hAnsiTheme="minorEastAsia"/>
          <w:sz w:val="28"/>
          <w:szCs w:val="28"/>
        </w:rPr>
        <w:t>、所有关于本项目的函电，请按下列地址联系：</w:t>
      </w:r>
    </w:p>
    <w:p>
      <w:pPr>
        <w:rPr>
          <w:rFonts w:cs="宋体" w:asciiTheme="minorEastAsia" w:hAnsiTheme="minorEastAsia"/>
          <w:sz w:val="28"/>
          <w:szCs w:val="28"/>
        </w:rPr>
      </w:pPr>
      <w:r>
        <w:rPr>
          <w:rFonts w:hint="eastAsia" w:cs="宋体" w:asciiTheme="minorEastAsia" w:hAnsiTheme="minorEastAsia"/>
          <w:sz w:val="28"/>
          <w:szCs w:val="28"/>
        </w:rPr>
        <w:br w:type="page"/>
      </w:r>
    </w:p>
    <w:p>
      <w:pPr>
        <w:spacing w:line="500" w:lineRule="exact"/>
        <w:ind w:firstLine="560"/>
        <w:rPr>
          <w:rFonts w:cs="宋体" w:asciiTheme="minorEastAsia" w:hAnsiTheme="minorEastAsia"/>
          <w:sz w:val="28"/>
          <w:szCs w:val="28"/>
          <w:u w:val="single"/>
        </w:rPr>
      </w:pPr>
      <w:r>
        <w:rPr>
          <w:rFonts w:hint="eastAsia" w:cs="宋体" w:asciiTheme="minorEastAsia" w:hAnsiTheme="minorEastAsia"/>
          <w:sz w:val="28"/>
          <w:szCs w:val="28"/>
        </w:rPr>
        <w:t>供应商名称（公章）：</w:t>
      </w:r>
    </w:p>
    <w:p>
      <w:pPr>
        <w:spacing w:line="500" w:lineRule="exact"/>
        <w:ind w:firstLine="560"/>
        <w:rPr>
          <w:rFonts w:cs="宋体" w:asciiTheme="minorEastAsia" w:hAnsiTheme="minorEastAsia"/>
          <w:sz w:val="28"/>
          <w:szCs w:val="28"/>
          <w:u w:val="single"/>
        </w:rPr>
      </w:pPr>
      <w:r>
        <w:rPr>
          <w:rFonts w:hint="eastAsia" w:cs="宋体" w:asciiTheme="minorEastAsia" w:hAnsiTheme="minorEastAsia"/>
          <w:sz w:val="28"/>
          <w:szCs w:val="28"/>
        </w:rPr>
        <w:t>详 细 地 址：</w:t>
      </w:r>
    </w:p>
    <w:p>
      <w:pPr>
        <w:tabs>
          <w:tab w:val="left" w:pos="360"/>
        </w:tabs>
        <w:spacing w:line="500" w:lineRule="exact"/>
        <w:ind w:firstLine="560"/>
        <w:rPr>
          <w:rFonts w:cs="宋体" w:asciiTheme="minorEastAsia" w:hAnsiTheme="minorEastAsia"/>
          <w:sz w:val="28"/>
          <w:szCs w:val="28"/>
          <w:u w:val="single"/>
        </w:rPr>
      </w:pPr>
      <w:r>
        <w:rPr>
          <w:rFonts w:hint="eastAsia" w:cs="宋体" w:asciiTheme="minorEastAsia" w:hAnsiTheme="minorEastAsia"/>
          <w:sz w:val="28"/>
          <w:szCs w:val="28"/>
        </w:rPr>
        <w:t>邮 政 编 码：</w:t>
      </w:r>
    </w:p>
    <w:p>
      <w:pPr>
        <w:spacing w:line="500" w:lineRule="exact"/>
        <w:ind w:firstLine="560"/>
        <w:rPr>
          <w:rFonts w:cs="宋体" w:asciiTheme="minorEastAsia" w:hAnsiTheme="minorEastAsia"/>
          <w:sz w:val="28"/>
          <w:szCs w:val="28"/>
          <w:u w:val="single"/>
        </w:rPr>
      </w:pPr>
      <w:r>
        <w:rPr>
          <w:rFonts w:hint="eastAsia" w:cs="宋体" w:asciiTheme="minorEastAsia" w:hAnsiTheme="minorEastAsia"/>
          <w:sz w:val="28"/>
          <w:szCs w:val="28"/>
        </w:rPr>
        <w:t>电       话：</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传       真：</w:t>
      </w:r>
    </w:p>
    <w:p>
      <w:pPr>
        <w:tabs>
          <w:tab w:val="left" w:pos="360"/>
        </w:tabs>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电 子 邮 件：</w:t>
      </w:r>
    </w:p>
    <w:p>
      <w:pPr>
        <w:spacing w:line="500" w:lineRule="exact"/>
        <w:ind w:firstLine="560"/>
        <w:rPr>
          <w:rFonts w:cs="宋体" w:asciiTheme="minorEastAsia" w:hAnsiTheme="minorEastAsia"/>
          <w:sz w:val="28"/>
          <w:szCs w:val="28"/>
          <w:u w:val="single"/>
        </w:rPr>
      </w:pPr>
      <w:r>
        <w:rPr>
          <w:rFonts w:hint="eastAsia" w:cs="宋体" w:asciiTheme="minorEastAsia" w:hAnsiTheme="minorEastAsia"/>
          <w:sz w:val="28"/>
          <w:szCs w:val="28"/>
        </w:rPr>
        <w:t>开 户 银 行：</w:t>
      </w:r>
    </w:p>
    <w:p>
      <w:pPr>
        <w:spacing w:line="500" w:lineRule="exact"/>
        <w:ind w:firstLine="560"/>
        <w:rPr>
          <w:rFonts w:cs="宋体" w:asciiTheme="minorEastAsia" w:hAnsiTheme="minorEastAsia"/>
          <w:sz w:val="28"/>
          <w:szCs w:val="28"/>
        </w:rPr>
      </w:pPr>
      <w:r>
        <w:rPr>
          <w:rFonts w:hint="eastAsia" w:cs="宋体" w:asciiTheme="minorEastAsia" w:hAnsiTheme="minorEastAsia"/>
          <w:sz w:val="28"/>
          <w:szCs w:val="28"/>
        </w:rPr>
        <w:t>帐       号：</w:t>
      </w:r>
    </w:p>
    <w:p>
      <w:pPr>
        <w:spacing w:line="500" w:lineRule="exact"/>
        <w:rPr>
          <w:rFonts w:cs="宋体" w:asciiTheme="minorEastAsia" w:hAnsiTheme="minorEastAsia"/>
          <w:sz w:val="28"/>
          <w:szCs w:val="28"/>
        </w:rPr>
      </w:pPr>
    </w:p>
    <w:p>
      <w:pPr>
        <w:pStyle w:val="12"/>
        <w:spacing w:line="500" w:lineRule="exact"/>
        <w:rPr>
          <w:rFonts w:cs="宋体" w:asciiTheme="minorEastAsia" w:hAnsiTheme="minorEastAsia"/>
          <w:sz w:val="28"/>
          <w:szCs w:val="28"/>
        </w:rPr>
      </w:pPr>
    </w:p>
    <w:p>
      <w:pPr>
        <w:pStyle w:val="12"/>
        <w:spacing w:line="500" w:lineRule="exact"/>
        <w:rPr>
          <w:rFonts w:cs="宋体" w:asciiTheme="minorEastAsia" w:hAnsiTheme="minorEastAsia"/>
          <w:sz w:val="28"/>
          <w:szCs w:val="28"/>
        </w:rPr>
      </w:pPr>
    </w:p>
    <w:p>
      <w:pPr>
        <w:spacing w:line="500" w:lineRule="exact"/>
        <w:ind w:firstLine="4480"/>
        <w:rPr>
          <w:rFonts w:cs="宋体" w:asciiTheme="minorEastAsia" w:hAnsiTheme="minorEastAsia"/>
          <w:sz w:val="28"/>
          <w:szCs w:val="28"/>
        </w:rPr>
      </w:pPr>
      <w:r>
        <w:rPr>
          <w:rFonts w:hint="eastAsia" w:cs="宋体" w:asciiTheme="minorEastAsia" w:hAnsiTheme="minorEastAsia"/>
          <w:sz w:val="28"/>
          <w:szCs w:val="28"/>
        </w:rPr>
        <w:t>供应商授权代表签名：</w:t>
      </w:r>
    </w:p>
    <w:p>
      <w:pPr>
        <w:spacing w:line="500" w:lineRule="exact"/>
        <w:ind w:firstLine="5180"/>
        <w:rPr>
          <w:rFonts w:cs="宋体" w:asciiTheme="minorEastAsia" w:hAnsiTheme="minorEastAsia"/>
          <w:sz w:val="28"/>
          <w:szCs w:val="28"/>
          <w:u w:val="single"/>
        </w:rPr>
      </w:pPr>
      <w:r>
        <w:rPr>
          <w:rFonts w:hint="eastAsia" w:cs="宋体" w:asciiTheme="minorEastAsia" w:hAnsiTheme="minorEastAsia"/>
          <w:sz w:val="28"/>
          <w:szCs w:val="28"/>
        </w:rPr>
        <w:t>联系电话/手机：</w:t>
      </w:r>
    </w:p>
    <w:p>
      <w:pPr>
        <w:spacing w:line="500" w:lineRule="exact"/>
        <w:ind w:firstLine="6300" w:firstLineChars="2250"/>
        <w:rPr>
          <w:rFonts w:cs="宋体" w:asciiTheme="minorEastAsia" w:hAnsiTheme="minorEastAsia"/>
          <w:sz w:val="28"/>
          <w:szCs w:val="28"/>
        </w:rPr>
        <w:sectPr>
          <w:headerReference r:id="rId16" w:type="first"/>
          <w:footerReference r:id="rId18" w:type="first"/>
          <w:headerReference r:id="rId15" w:type="default"/>
          <w:footerReference r:id="rId17" w:type="default"/>
          <w:endnotePr>
            <w:numFmt w:val="decimal"/>
          </w:endnotePr>
          <w:pgSz w:w="11907" w:h="16840"/>
          <w:pgMar w:top="1418" w:right="992" w:bottom="1418" w:left="1418" w:header="851" w:footer="1021" w:gutter="0"/>
          <w:cols w:space="720" w:num="1"/>
          <w:titlePg/>
        </w:sectPr>
      </w:pPr>
      <w:r>
        <w:rPr>
          <w:rFonts w:hint="eastAsia" w:cs="宋体" w:asciiTheme="minorEastAsia" w:hAnsiTheme="minorEastAsia"/>
          <w:sz w:val="28"/>
          <w:szCs w:val="28"/>
        </w:rPr>
        <w:t xml:space="preserve">      年   月   日</w:t>
      </w:r>
      <w:bookmarkStart w:id="546" w:name="_Toc193187098"/>
      <w:bookmarkEnd w:id="546"/>
      <w:bookmarkStart w:id="547" w:name="_Toc193126882"/>
      <w:bookmarkEnd w:id="547"/>
      <w:bookmarkStart w:id="548" w:name="_Toc22293_WPSOffice_Level1"/>
      <w:bookmarkEnd w:id="548"/>
      <w:bookmarkStart w:id="549" w:name="_Toc188808834"/>
      <w:bookmarkEnd w:id="549"/>
      <w:bookmarkStart w:id="550" w:name="_Toc13865_WPSOffice_Level1"/>
      <w:bookmarkEnd w:id="550"/>
      <w:bookmarkStart w:id="551" w:name="_Toc194663919"/>
      <w:bookmarkEnd w:id="551"/>
      <w:bookmarkStart w:id="552" w:name="_Toc20841_WPSOffice_Level1"/>
      <w:bookmarkStart w:id="553" w:name="_Toc13247_WPSOffice_Level1"/>
      <w:bookmarkStart w:id="554" w:name="_Toc5888414"/>
    </w:p>
    <w:p>
      <w:pPr>
        <w:rPr>
          <w:rFonts w:asciiTheme="minorEastAsia" w:hAnsiTheme="minorEastAsia"/>
        </w:rPr>
      </w:pPr>
    </w:p>
    <w:bookmarkEnd w:id="552"/>
    <w:bookmarkEnd w:id="553"/>
    <w:bookmarkEnd w:id="554"/>
    <w:p>
      <w:pPr>
        <w:pStyle w:val="4"/>
        <w:spacing w:before="0" w:after="0" w:line="240" w:lineRule="auto"/>
        <w:rPr>
          <w:rFonts w:asciiTheme="minorEastAsia" w:hAnsiTheme="minorEastAsia" w:eastAsiaTheme="minorEastAsia"/>
          <w:sz w:val="28"/>
          <w:szCs w:val="28"/>
        </w:rPr>
      </w:pPr>
      <w:bookmarkStart w:id="555" w:name="_Toc5888420"/>
      <w:r>
        <w:rPr>
          <w:rFonts w:hint="eastAsia" w:asciiTheme="minorEastAsia" w:hAnsiTheme="minorEastAsia" w:eastAsiaTheme="minorEastAsia"/>
          <w:sz w:val="28"/>
          <w:szCs w:val="28"/>
        </w:rPr>
        <w:t>2.磋商报价一览表（格式）</w:t>
      </w:r>
    </w:p>
    <w:p>
      <w:pPr>
        <w:spacing w:line="480" w:lineRule="exact"/>
        <w:ind w:firstLine="723" w:firstLineChars="200"/>
        <w:jc w:val="center"/>
        <w:rPr>
          <w:rFonts w:asciiTheme="minorEastAsia" w:hAnsiTheme="minorEastAsia"/>
          <w:b/>
          <w:bCs/>
          <w:color w:val="000000"/>
          <w:sz w:val="36"/>
          <w:szCs w:val="21"/>
        </w:rPr>
      </w:pPr>
    </w:p>
    <w:p>
      <w:pPr>
        <w:spacing w:line="480" w:lineRule="exact"/>
        <w:ind w:firstLine="723" w:firstLineChars="200"/>
        <w:jc w:val="center"/>
        <w:rPr>
          <w:rFonts w:asciiTheme="minorEastAsia" w:hAnsiTheme="minorEastAsia"/>
          <w:b/>
          <w:bCs/>
          <w:color w:val="000000"/>
          <w:sz w:val="36"/>
          <w:szCs w:val="21"/>
        </w:rPr>
      </w:pPr>
      <w:r>
        <w:rPr>
          <w:rFonts w:hint="eastAsia" w:asciiTheme="minorEastAsia" w:hAnsiTheme="minorEastAsia"/>
          <w:b/>
          <w:bCs/>
          <w:color w:val="000000"/>
          <w:sz w:val="36"/>
          <w:szCs w:val="21"/>
        </w:rPr>
        <w:t>磋商报价一览表</w:t>
      </w:r>
    </w:p>
    <w:p>
      <w:pPr>
        <w:spacing w:line="48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 xml:space="preserve">供应商名称： </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 xml:space="preserve">      </w:t>
      </w:r>
    </w:p>
    <w:tbl>
      <w:tblPr>
        <w:tblStyle w:val="26"/>
        <w:tblW w:w="9158" w:type="dxa"/>
        <w:tblInd w:w="63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6"/>
        <w:gridCol w:w="3076"/>
        <w:gridCol w:w="2176"/>
        <w:gridCol w:w="1215"/>
        <w:gridCol w:w="121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608" w:hRule="atLeast"/>
        </w:trPr>
        <w:tc>
          <w:tcPr>
            <w:tcW w:w="1476" w:type="dxa"/>
            <w:vAlign w:val="center"/>
          </w:tcPr>
          <w:p>
            <w:pPr>
              <w:spacing w:line="480" w:lineRule="exact"/>
              <w:ind w:right="143" w:rightChars="68" w:firstLine="138" w:firstLineChars="49"/>
              <w:jc w:val="center"/>
              <w:rPr>
                <w:rFonts w:asciiTheme="minorEastAsia" w:hAnsiTheme="minorEastAsia"/>
                <w:b/>
                <w:sz w:val="28"/>
                <w:szCs w:val="28"/>
              </w:rPr>
            </w:pPr>
            <w:r>
              <w:rPr>
                <w:rFonts w:hint="eastAsia" w:asciiTheme="minorEastAsia" w:hAnsiTheme="minorEastAsia"/>
                <w:b/>
                <w:sz w:val="28"/>
                <w:szCs w:val="28"/>
              </w:rPr>
              <w:t>项目编号</w:t>
            </w:r>
          </w:p>
        </w:tc>
        <w:tc>
          <w:tcPr>
            <w:tcW w:w="3076" w:type="dxa"/>
            <w:vAlign w:val="center"/>
          </w:tcPr>
          <w:p>
            <w:pPr>
              <w:spacing w:line="480" w:lineRule="exact"/>
              <w:ind w:left="210" w:leftChars="100"/>
              <w:jc w:val="center"/>
              <w:rPr>
                <w:rFonts w:asciiTheme="minorEastAsia" w:hAnsiTheme="minorEastAsia"/>
                <w:b/>
                <w:sz w:val="28"/>
                <w:szCs w:val="28"/>
              </w:rPr>
            </w:pPr>
            <w:r>
              <w:rPr>
                <w:rFonts w:hint="eastAsia" w:asciiTheme="minorEastAsia" w:hAnsiTheme="minorEastAsia"/>
                <w:b/>
                <w:sz w:val="28"/>
                <w:szCs w:val="28"/>
              </w:rPr>
              <w:t>磋商总报价</w:t>
            </w:r>
          </w:p>
          <w:p>
            <w:pPr>
              <w:spacing w:line="480" w:lineRule="exact"/>
              <w:ind w:left="210" w:leftChars="100"/>
              <w:jc w:val="center"/>
              <w:rPr>
                <w:rFonts w:asciiTheme="minorEastAsia" w:hAnsiTheme="minorEastAsia"/>
                <w:b/>
                <w:sz w:val="28"/>
                <w:szCs w:val="28"/>
              </w:rPr>
            </w:pPr>
            <w:r>
              <w:rPr>
                <w:rFonts w:hint="eastAsia" w:asciiTheme="minorEastAsia" w:hAnsiTheme="minorEastAsia"/>
                <w:b/>
                <w:sz w:val="28"/>
                <w:szCs w:val="28"/>
              </w:rPr>
              <w:t>（人民币:元）</w:t>
            </w:r>
          </w:p>
        </w:tc>
        <w:tc>
          <w:tcPr>
            <w:tcW w:w="2176" w:type="dxa"/>
            <w:tcMar>
              <w:top w:w="57" w:type="dxa"/>
              <w:left w:w="28" w:type="dxa"/>
              <w:bottom w:w="57" w:type="dxa"/>
              <w:right w:w="28" w:type="dxa"/>
            </w:tcMar>
            <w:vAlign w:val="center"/>
          </w:tcPr>
          <w:p>
            <w:pPr>
              <w:spacing w:line="480" w:lineRule="exact"/>
              <w:jc w:val="center"/>
              <w:rPr>
                <w:rFonts w:hint="eastAsia" w:asciiTheme="minorEastAsia" w:hAnsiTheme="minorEastAsia"/>
                <w:b/>
                <w:sz w:val="28"/>
                <w:szCs w:val="28"/>
              </w:rPr>
            </w:pPr>
            <w:r>
              <w:rPr>
                <w:rFonts w:hint="eastAsia" w:asciiTheme="minorEastAsia" w:hAnsiTheme="minorEastAsia"/>
                <w:b/>
                <w:sz w:val="28"/>
                <w:szCs w:val="28"/>
              </w:rPr>
              <w:t>服务期</w:t>
            </w:r>
          </w:p>
          <w:p>
            <w:pPr>
              <w:spacing w:line="480" w:lineRule="exact"/>
              <w:jc w:val="center"/>
              <w:rPr>
                <w:rFonts w:hint="default" w:asciiTheme="minorEastAsia" w:hAnsiTheme="minorEastAsia" w:eastAsiaTheme="minorEastAsia"/>
                <w:b/>
                <w:sz w:val="28"/>
                <w:szCs w:val="28"/>
                <w:lang w:val="en-US" w:eastAsia="zh-CN"/>
              </w:rPr>
            </w:pPr>
            <w:r>
              <w:rPr>
                <w:rFonts w:hint="eastAsia" w:asciiTheme="minorEastAsia" w:hAnsiTheme="minorEastAsia"/>
                <w:b/>
                <w:sz w:val="28"/>
                <w:szCs w:val="28"/>
                <w:lang w:eastAsia="zh-CN"/>
              </w:rPr>
              <w:t>（</w:t>
            </w:r>
            <w:r>
              <w:rPr>
                <w:rFonts w:hint="eastAsia" w:asciiTheme="minorEastAsia" w:hAnsiTheme="minorEastAsia"/>
                <w:b/>
                <w:sz w:val="28"/>
                <w:szCs w:val="28"/>
                <w:lang w:val="en-US" w:eastAsia="zh-CN"/>
              </w:rPr>
              <w:t>日历日</w:t>
            </w:r>
            <w:r>
              <w:rPr>
                <w:rFonts w:hint="eastAsia" w:asciiTheme="minorEastAsia" w:hAnsiTheme="minorEastAsia"/>
                <w:b/>
                <w:sz w:val="28"/>
                <w:szCs w:val="28"/>
                <w:lang w:eastAsia="zh-CN"/>
              </w:rPr>
              <w:t>）</w:t>
            </w:r>
          </w:p>
        </w:tc>
        <w:tc>
          <w:tcPr>
            <w:tcW w:w="1215" w:type="dxa"/>
            <w:vAlign w:val="center"/>
          </w:tcPr>
          <w:p>
            <w:pPr>
              <w:spacing w:line="480" w:lineRule="exact"/>
              <w:jc w:val="center"/>
              <w:rPr>
                <w:rFonts w:hint="default" w:asciiTheme="minorEastAsia" w:hAnsiTheme="minorEastAsia" w:eastAsiaTheme="minorEastAsia"/>
                <w:b/>
                <w:sz w:val="28"/>
                <w:szCs w:val="28"/>
                <w:lang w:val="en-US" w:eastAsia="zh-CN"/>
              </w:rPr>
            </w:pPr>
            <w:r>
              <w:rPr>
                <w:rFonts w:hint="eastAsia" w:asciiTheme="minorEastAsia" w:hAnsiTheme="minorEastAsia"/>
                <w:b/>
                <w:sz w:val="28"/>
                <w:szCs w:val="28"/>
                <w:lang w:val="en-US" w:eastAsia="zh-CN"/>
              </w:rPr>
              <w:t>质量标准</w:t>
            </w:r>
          </w:p>
        </w:tc>
        <w:tc>
          <w:tcPr>
            <w:tcW w:w="1215" w:type="dxa"/>
            <w:vAlign w:val="center"/>
          </w:tcPr>
          <w:p>
            <w:pPr>
              <w:spacing w:line="480" w:lineRule="exact"/>
              <w:jc w:val="center"/>
              <w:rPr>
                <w:rFonts w:asciiTheme="minorEastAsia" w:hAnsiTheme="minorEastAsia"/>
                <w:b/>
                <w:sz w:val="28"/>
                <w:szCs w:val="28"/>
              </w:rPr>
            </w:pPr>
            <w:r>
              <w:rPr>
                <w:rFonts w:hint="eastAsia" w:asciiTheme="minorEastAsia" w:hAnsiTheme="minorEastAsia"/>
                <w:b/>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571" w:hRule="atLeast"/>
        </w:trPr>
        <w:tc>
          <w:tcPr>
            <w:tcW w:w="1476" w:type="dxa"/>
            <w:vMerge w:val="restart"/>
            <w:vAlign w:val="center"/>
          </w:tcPr>
          <w:p>
            <w:pPr>
              <w:spacing w:line="480" w:lineRule="exact"/>
              <w:ind w:left="210" w:leftChars="100"/>
              <w:jc w:val="center"/>
              <w:rPr>
                <w:rFonts w:asciiTheme="minorEastAsia" w:hAnsiTheme="minorEastAsia"/>
                <w:sz w:val="28"/>
                <w:szCs w:val="28"/>
              </w:rPr>
            </w:pPr>
          </w:p>
        </w:tc>
        <w:tc>
          <w:tcPr>
            <w:tcW w:w="3076" w:type="dxa"/>
            <w:vAlign w:val="center"/>
          </w:tcPr>
          <w:p>
            <w:pPr>
              <w:spacing w:line="480" w:lineRule="exact"/>
              <w:ind w:left="210" w:leftChars="100"/>
              <w:jc w:val="center"/>
              <w:rPr>
                <w:rFonts w:asciiTheme="minorEastAsia" w:hAnsiTheme="minorEastAsia"/>
                <w:sz w:val="28"/>
                <w:szCs w:val="28"/>
              </w:rPr>
            </w:pPr>
          </w:p>
        </w:tc>
        <w:tc>
          <w:tcPr>
            <w:tcW w:w="2176" w:type="dxa"/>
            <w:tcMar>
              <w:top w:w="57" w:type="dxa"/>
              <w:left w:w="28" w:type="dxa"/>
              <w:bottom w:w="57" w:type="dxa"/>
              <w:right w:w="28" w:type="dxa"/>
            </w:tcMar>
            <w:vAlign w:val="center"/>
          </w:tcPr>
          <w:p>
            <w:pPr>
              <w:spacing w:line="480" w:lineRule="exact"/>
              <w:ind w:left="210" w:leftChars="100"/>
              <w:jc w:val="center"/>
              <w:rPr>
                <w:rFonts w:asciiTheme="minorEastAsia" w:hAnsiTheme="minorEastAsia"/>
                <w:b/>
                <w:sz w:val="28"/>
                <w:szCs w:val="28"/>
              </w:rPr>
            </w:pPr>
          </w:p>
        </w:tc>
        <w:tc>
          <w:tcPr>
            <w:tcW w:w="1215" w:type="dxa"/>
            <w:vAlign w:val="center"/>
          </w:tcPr>
          <w:p>
            <w:pPr>
              <w:spacing w:line="480" w:lineRule="exact"/>
              <w:ind w:left="210" w:leftChars="100"/>
              <w:jc w:val="center"/>
              <w:rPr>
                <w:rFonts w:asciiTheme="minorEastAsia" w:hAnsiTheme="minorEastAsia"/>
                <w:b/>
                <w:sz w:val="28"/>
                <w:szCs w:val="28"/>
              </w:rPr>
            </w:pPr>
          </w:p>
        </w:tc>
        <w:tc>
          <w:tcPr>
            <w:tcW w:w="1215" w:type="dxa"/>
            <w:vAlign w:val="center"/>
          </w:tcPr>
          <w:p>
            <w:pPr>
              <w:spacing w:line="480" w:lineRule="exact"/>
              <w:ind w:left="210" w:leftChars="100"/>
              <w:jc w:val="center"/>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414" w:hRule="atLeast"/>
        </w:trPr>
        <w:tc>
          <w:tcPr>
            <w:tcW w:w="1476" w:type="dxa"/>
            <w:vMerge w:val="continue"/>
            <w:vAlign w:val="center"/>
          </w:tcPr>
          <w:p>
            <w:pPr>
              <w:spacing w:line="480" w:lineRule="exact"/>
              <w:ind w:left="210" w:leftChars="100"/>
              <w:jc w:val="center"/>
              <w:rPr>
                <w:rFonts w:asciiTheme="minorEastAsia" w:hAnsiTheme="minorEastAsia"/>
                <w:sz w:val="28"/>
                <w:szCs w:val="28"/>
              </w:rPr>
            </w:pPr>
          </w:p>
        </w:tc>
        <w:tc>
          <w:tcPr>
            <w:tcW w:w="7682" w:type="dxa"/>
            <w:gridSpan w:val="4"/>
            <w:vAlign w:val="center"/>
          </w:tcPr>
          <w:p>
            <w:pPr>
              <w:spacing w:line="480" w:lineRule="exact"/>
              <w:ind w:left="210" w:leftChars="100"/>
              <w:rPr>
                <w:rFonts w:hint="eastAsia" w:asciiTheme="minorEastAsia" w:hAnsiTheme="minorEastAsia"/>
                <w:sz w:val="28"/>
                <w:szCs w:val="28"/>
              </w:rPr>
            </w:pPr>
            <w:r>
              <w:rPr>
                <w:rFonts w:hint="eastAsia" w:asciiTheme="minorEastAsia" w:hAnsiTheme="minorEastAsia"/>
                <w:sz w:val="28"/>
                <w:szCs w:val="28"/>
              </w:rPr>
              <w:t>（大写）</w:t>
            </w:r>
          </w:p>
        </w:tc>
      </w:tr>
    </w:tbl>
    <w:p>
      <w:pPr>
        <w:spacing w:line="440" w:lineRule="exact"/>
        <w:ind w:firstLine="600" w:firstLineChars="250"/>
        <w:rPr>
          <w:rFonts w:asciiTheme="minorEastAsia" w:hAnsiTheme="minorEastAsia"/>
          <w:color w:val="000000"/>
          <w:sz w:val="24"/>
        </w:rPr>
      </w:pPr>
      <w:r>
        <w:rPr>
          <w:rFonts w:hint="eastAsia" w:asciiTheme="minorEastAsia" w:hAnsiTheme="minorEastAsia"/>
          <w:color w:val="000000"/>
          <w:sz w:val="24"/>
        </w:rPr>
        <w:t>注：1、本表价格应按磋商总价填写，同时应保证磋商响应文件的正、副本中仍有此表且一致。</w:t>
      </w:r>
    </w:p>
    <w:p>
      <w:pPr>
        <w:spacing w:line="440" w:lineRule="exact"/>
        <w:ind w:firstLine="960" w:firstLineChars="400"/>
        <w:rPr>
          <w:rFonts w:asciiTheme="minorEastAsia" w:hAnsiTheme="minorEastAsia"/>
          <w:color w:val="000000"/>
          <w:sz w:val="24"/>
        </w:rPr>
      </w:pPr>
      <w:r>
        <w:rPr>
          <w:rFonts w:hint="eastAsia" w:asciiTheme="minorEastAsia" w:hAnsiTheme="minorEastAsia"/>
          <w:color w:val="000000"/>
          <w:sz w:val="24"/>
        </w:rPr>
        <w:t xml:space="preserve"> 2、报</w:t>
      </w:r>
      <w:r>
        <w:rPr>
          <w:rFonts w:hint="eastAsia" w:asciiTheme="minorEastAsia" w:hAnsiTheme="minorEastAsia"/>
          <w:sz w:val="24"/>
        </w:rPr>
        <w:t>价可精确到小数点后两位。</w:t>
      </w:r>
    </w:p>
    <w:p>
      <w:pPr>
        <w:spacing w:line="440" w:lineRule="exact"/>
        <w:rPr>
          <w:rFonts w:asciiTheme="minorEastAsia" w:hAnsiTheme="minorEastAsia"/>
          <w:color w:val="000000"/>
          <w:sz w:val="24"/>
        </w:rPr>
      </w:pPr>
    </w:p>
    <w:p>
      <w:pPr>
        <w:spacing w:line="440" w:lineRule="exact"/>
        <w:rPr>
          <w:rFonts w:asciiTheme="minorEastAsia" w:hAnsiTheme="minorEastAsia"/>
          <w:color w:val="000000"/>
          <w:sz w:val="24"/>
        </w:rPr>
      </w:pPr>
    </w:p>
    <w:p>
      <w:pPr>
        <w:spacing w:line="440" w:lineRule="exact"/>
        <w:rPr>
          <w:rFonts w:asciiTheme="minorEastAsia" w:hAnsiTheme="minorEastAsia"/>
          <w:color w:val="000000"/>
          <w:sz w:val="24"/>
        </w:rPr>
      </w:pPr>
    </w:p>
    <w:p>
      <w:pPr>
        <w:spacing w:line="500" w:lineRule="exact"/>
        <w:ind w:firstLine="720" w:firstLineChars="300"/>
        <w:jc w:val="right"/>
        <w:rPr>
          <w:rFonts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（单位公章）</w:t>
      </w:r>
    </w:p>
    <w:p>
      <w:pPr>
        <w:spacing w:line="500" w:lineRule="exact"/>
        <w:ind w:firstLine="960" w:firstLineChars="400"/>
        <w:jc w:val="right"/>
        <w:rPr>
          <w:rFonts w:ascii="宋体" w:hAnsi="宋体" w:eastAsia="宋体" w:cs="宋体"/>
          <w:sz w:val="24"/>
          <w:szCs w:val="24"/>
        </w:rPr>
      </w:pPr>
      <w:r>
        <w:rPr>
          <w:rFonts w:hint="eastAsia" w:ascii="宋体" w:hAnsi="宋体" w:eastAsia="宋体" w:cs="宋体"/>
          <w:sz w:val="24"/>
          <w:szCs w:val="24"/>
        </w:rPr>
        <w:t>法定代表人或被授权人签字：</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spacing w:line="500" w:lineRule="exact"/>
        <w:ind w:firstLine="2400" w:firstLineChars="1000"/>
        <w:rPr>
          <w:rFonts w:ascii="宋体" w:hAnsi="宋体" w:eastAsia="宋体" w:cs="宋体"/>
          <w:sz w:val="24"/>
          <w:szCs w:val="24"/>
        </w:rPr>
      </w:pPr>
      <w:r>
        <w:rPr>
          <w:rFonts w:hint="eastAsia" w:ascii="宋体" w:hAnsi="宋体" w:eastAsia="宋体" w:cs="宋体"/>
          <w:sz w:val="24"/>
          <w:szCs w:val="24"/>
        </w:rPr>
        <w:t>日 期：</w:t>
      </w:r>
    </w:p>
    <w:p>
      <w:pPr>
        <w:pStyle w:val="5"/>
        <w:ind w:firstLine="480"/>
        <w:rPr>
          <w:rFonts w:ascii="宋体" w:hAnsi="宋体" w:eastAsia="宋体" w:cs="宋体"/>
          <w:sz w:val="24"/>
          <w:szCs w:val="24"/>
        </w:rPr>
      </w:pPr>
    </w:p>
    <w:p>
      <w:pPr>
        <w:spacing w:line="440" w:lineRule="exact"/>
        <w:rPr>
          <w:rFonts w:asciiTheme="minorEastAsia" w:hAnsiTheme="minorEastAsia"/>
          <w:color w:val="000000"/>
          <w:sz w:val="24"/>
        </w:rPr>
      </w:pPr>
    </w:p>
    <w:p>
      <w:pPr>
        <w:spacing w:line="440" w:lineRule="exact"/>
        <w:rPr>
          <w:rFonts w:asciiTheme="minorEastAsia" w:hAnsiTheme="minorEastAsia"/>
          <w:color w:val="000000"/>
          <w:sz w:val="24"/>
        </w:rPr>
      </w:pPr>
    </w:p>
    <w:p>
      <w:pPr>
        <w:spacing w:line="440" w:lineRule="exact"/>
        <w:rPr>
          <w:rFonts w:asciiTheme="minorEastAsia" w:hAnsiTheme="minorEastAsia"/>
          <w:color w:val="000000"/>
          <w:sz w:val="24"/>
        </w:rPr>
      </w:pPr>
    </w:p>
    <w:p>
      <w:pPr>
        <w:spacing w:line="440" w:lineRule="exact"/>
        <w:rPr>
          <w:rFonts w:asciiTheme="minorEastAsia" w:hAnsiTheme="minorEastAsia"/>
          <w:sz w:val="24"/>
        </w:rPr>
      </w:pPr>
    </w:p>
    <w:p>
      <w:pPr>
        <w:pStyle w:val="4"/>
        <w:spacing w:before="0" w:after="0" w:line="240" w:lineRule="auto"/>
        <w:rPr>
          <w:rFonts w:asciiTheme="minorEastAsia" w:hAnsiTheme="minorEastAsia" w:eastAsiaTheme="minorEastAsia"/>
          <w:sz w:val="28"/>
          <w:szCs w:val="28"/>
        </w:rPr>
        <w:sectPr>
          <w:headerReference r:id="rId19" w:type="default"/>
          <w:pgSz w:w="11907" w:h="16840"/>
          <w:pgMar w:top="936" w:right="1259" w:bottom="1418" w:left="1287" w:header="851" w:footer="1021" w:gutter="0"/>
          <w:cols w:space="720" w:num="1"/>
          <w:docGrid w:linePitch="312" w:charSpace="0"/>
        </w:sectPr>
      </w:pPr>
    </w:p>
    <w:p>
      <w:pPr>
        <w:spacing w:line="440" w:lineRule="exact"/>
        <w:jc w:val="center"/>
        <w:rPr>
          <w:rFonts w:hint="eastAsia" w:ascii="宋体" w:hAnsi="宋体" w:cs="宋体"/>
          <w:b/>
          <w:bCs/>
          <w:sz w:val="32"/>
          <w:szCs w:val="32"/>
        </w:rPr>
      </w:pPr>
      <w:r>
        <w:rPr>
          <w:rFonts w:hint="eastAsia" w:ascii="宋体" w:hAnsi="宋体" w:cs="宋体"/>
          <w:b/>
          <w:bCs/>
          <w:sz w:val="32"/>
          <w:szCs w:val="32"/>
        </w:rPr>
        <w:t>分项报价表</w:t>
      </w:r>
    </w:p>
    <w:p>
      <w:pPr>
        <w:spacing w:line="440" w:lineRule="exact"/>
        <w:rPr>
          <w:rFonts w:hint="eastAsia" w:ascii="宋体" w:hAnsi="宋体" w:cs="宋体"/>
          <w:sz w:val="28"/>
          <w:szCs w:val="28"/>
        </w:rPr>
      </w:pPr>
      <w:r>
        <w:rPr>
          <w:rFonts w:hint="eastAsia" w:ascii="宋体" w:hAnsi="宋体" w:cs="宋体"/>
          <w:sz w:val="28"/>
          <w:szCs w:val="28"/>
        </w:rPr>
        <w:t>1.分项报价表说明</w:t>
      </w:r>
    </w:p>
    <w:p>
      <w:pPr>
        <w:spacing w:line="440" w:lineRule="exact"/>
        <w:rPr>
          <w:rFonts w:hint="eastAsia" w:ascii="宋体" w:hAnsi="宋体" w:cs="宋体"/>
          <w:sz w:val="28"/>
          <w:szCs w:val="28"/>
        </w:rPr>
      </w:pPr>
      <w:r>
        <w:rPr>
          <w:rFonts w:hint="eastAsia" w:ascii="宋体" w:hAnsi="宋体" w:cs="宋体"/>
          <w:sz w:val="28"/>
          <w:szCs w:val="28"/>
        </w:rPr>
        <w:t>2.分项报价表</w:t>
      </w:r>
    </w:p>
    <w:p>
      <w:pPr>
        <w:spacing w:line="440" w:lineRule="exact"/>
        <w:ind w:firstLine="560" w:firstLineChars="200"/>
        <w:jc w:val="right"/>
        <w:rPr>
          <w:rFonts w:hint="eastAsia" w:ascii="宋体" w:hAnsi="宋体" w:cs="宋体"/>
          <w:sz w:val="28"/>
          <w:szCs w:val="28"/>
        </w:rPr>
      </w:pPr>
      <w:r>
        <w:rPr>
          <w:rFonts w:hint="eastAsia" w:ascii="宋体" w:hAnsi="宋体" w:cs="宋体"/>
          <w:sz w:val="28"/>
          <w:szCs w:val="28"/>
        </w:rPr>
        <w:t>单位：人民币元</w:t>
      </w:r>
    </w:p>
    <w:tbl>
      <w:tblPr>
        <w:tblStyle w:val="26"/>
        <w:tblW w:w="0" w:type="auto"/>
        <w:tblInd w:w="108" w:type="dxa"/>
        <w:tblLayout w:type="fixed"/>
        <w:tblCellMar>
          <w:top w:w="0" w:type="dxa"/>
          <w:left w:w="108" w:type="dxa"/>
          <w:bottom w:w="0" w:type="dxa"/>
          <w:right w:w="108" w:type="dxa"/>
        </w:tblCellMar>
      </w:tblPr>
      <w:tblGrid>
        <w:gridCol w:w="708"/>
        <w:gridCol w:w="2435"/>
        <w:gridCol w:w="1811"/>
        <w:gridCol w:w="1698"/>
        <w:gridCol w:w="2547"/>
        <w:gridCol w:w="1982"/>
        <w:gridCol w:w="1556"/>
        <w:gridCol w:w="1219"/>
      </w:tblGrid>
      <w:tr>
        <w:tblPrEx>
          <w:tblCellMar>
            <w:top w:w="0" w:type="dxa"/>
            <w:left w:w="108" w:type="dxa"/>
            <w:bottom w:w="0" w:type="dxa"/>
            <w:right w:w="108" w:type="dxa"/>
          </w:tblCellMar>
        </w:tblPrEx>
        <w:trPr>
          <w:trHeight w:val="688" w:hRule="atLeast"/>
        </w:trPr>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kern w:val="0"/>
                <w:sz w:val="28"/>
                <w:szCs w:val="28"/>
              </w:rPr>
            </w:pPr>
            <w:r>
              <w:rPr>
                <w:rFonts w:hint="eastAsia" w:ascii="宋体" w:hAnsi="宋体" w:cs="宋体"/>
                <w:b/>
                <w:kern w:val="0"/>
                <w:sz w:val="28"/>
                <w:szCs w:val="28"/>
              </w:rPr>
              <w:t>序号</w:t>
            </w:r>
          </w:p>
        </w:tc>
        <w:tc>
          <w:tcPr>
            <w:tcW w:w="24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 w:val="28"/>
                <w:szCs w:val="28"/>
              </w:rPr>
            </w:pPr>
            <w:r>
              <w:rPr>
                <w:rFonts w:hint="eastAsia" w:ascii="宋体" w:hAnsi="宋体" w:cs="宋体"/>
                <w:b/>
                <w:kern w:val="0"/>
                <w:sz w:val="28"/>
                <w:szCs w:val="28"/>
              </w:rPr>
              <w:t>名称</w:t>
            </w:r>
          </w:p>
        </w:tc>
        <w:tc>
          <w:tcPr>
            <w:tcW w:w="18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 w:val="28"/>
                <w:szCs w:val="28"/>
              </w:rPr>
            </w:pPr>
            <w:r>
              <w:rPr>
                <w:rFonts w:hint="eastAsia" w:ascii="宋体" w:hAnsi="宋体" w:cs="宋体"/>
                <w:b/>
                <w:sz w:val="28"/>
                <w:szCs w:val="28"/>
              </w:rPr>
              <w:t>品牌/型号</w:t>
            </w:r>
          </w:p>
        </w:tc>
        <w:tc>
          <w:tcPr>
            <w:tcW w:w="16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 w:val="28"/>
                <w:szCs w:val="28"/>
              </w:rPr>
            </w:pPr>
            <w:r>
              <w:rPr>
                <w:rFonts w:hint="eastAsia" w:ascii="宋体" w:hAnsi="宋体" w:cs="宋体"/>
                <w:b/>
                <w:kern w:val="0"/>
                <w:sz w:val="28"/>
                <w:szCs w:val="28"/>
              </w:rPr>
              <w:t>制造厂家</w:t>
            </w:r>
          </w:p>
        </w:tc>
        <w:tc>
          <w:tcPr>
            <w:tcW w:w="254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 w:val="28"/>
                <w:szCs w:val="28"/>
              </w:rPr>
            </w:pPr>
            <w:r>
              <w:rPr>
                <w:rFonts w:hint="eastAsia" w:ascii="宋体" w:hAnsi="宋体" w:cs="宋体"/>
                <w:b/>
                <w:kern w:val="0"/>
                <w:sz w:val="28"/>
                <w:szCs w:val="28"/>
              </w:rPr>
              <w:t>单位/数量</w:t>
            </w:r>
          </w:p>
        </w:tc>
        <w:tc>
          <w:tcPr>
            <w:tcW w:w="198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 w:val="28"/>
                <w:szCs w:val="28"/>
              </w:rPr>
            </w:pPr>
            <w:r>
              <w:rPr>
                <w:rFonts w:hint="eastAsia" w:ascii="宋体" w:hAnsi="宋体" w:cs="宋体"/>
                <w:b/>
                <w:kern w:val="0"/>
                <w:sz w:val="28"/>
                <w:szCs w:val="28"/>
              </w:rPr>
              <w:t>单价（元）</w:t>
            </w:r>
          </w:p>
        </w:tc>
        <w:tc>
          <w:tcPr>
            <w:tcW w:w="155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 w:val="28"/>
                <w:szCs w:val="28"/>
              </w:rPr>
            </w:pPr>
            <w:r>
              <w:rPr>
                <w:rFonts w:hint="eastAsia" w:ascii="宋体" w:hAnsi="宋体" w:cs="宋体"/>
                <w:b/>
                <w:kern w:val="0"/>
                <w:sz w:val="28"/>
                <w:szCs w:val="28"/>
              </w:rPr>
              <w:t>总价（元）</w:t>
            </w:r>
          </w:p>
        </w:tc>
        <w:tc>
          <w:tcPr>
            <w:tcW w:w="12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 w:val="28"/>
                <w:szCs w:val="28"/>
              </w:rPr>
            </w:pPr>
            <w:r>
              <w:rPr>
                <w:rFonts w:hint="eastAsia" w:ascii="宋体" w:hAnsi="宋体" w:cs="宋体"/>
                <w:b/>
                <w:kern w:val="0"/>
                <w:sz w:val="28"/>
                <w:szCs w:val="28"/>
              </w:rPr>
              <w:t>备注</w:t>
            </w:r>
          </w:p>
        </w:tc>
      </w:tr>
      <w:tr>
        <w:tblPrEx>
          <w:tblCellMar>
            <w:top w:w="0" w:type="dxa"/>
            <w:left w:w="108" w:type="dxa"/>
            <w:bottom w:w="0" w:type="dxa"/>
            <w:right w:w="108" w:type="dxa"/>
          </w:tblCellMar>
        </w:tblPrEx>
        <w:trPr>
          <w:trHeight w:val="588" w:hRule="atLeast"/>
        </w:trPr>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r>
              <w:rPr>
                <w:rFonts w:hint="eastAsia" w:ascii="宋体" w:hAnsi="宋体" w:cs="宋体"/>
                <w:kern w:val="0"/>
                <w:sz w:val="28"/>
                <w:szCs w:val="28"/>
              </w:rPr>
              <w:t>1</w:t>
            </w:r>
          </w:p>
        </w:tc>
        <w:tc>
          <w:tcPr>
            <w:tcW w:w="243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p>
        </w:tc>
        <w:tc>
          <w:tcPr>
            <w:tcW w:w="181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p>
        </w:tc>
        <w:tc>
          <w:tcPr>
            <w:tcW w:w="169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8"/>
                <w:szCs w:val="28"/>
              </w:rPr>
            </w:pPr>
          </w:p>
        </w:tc>
        <w:tc>
          <w:tcPr>
            <w:tcW w:w="254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8"/>
                <w:szCs w:val="28"/>
              </w:rPr>
            </w:pPr>
          </w:p>
        </w:tc>
        <w:tc>
          <w:tcPr>
            <w:tcW w:w="198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p>
        </w:tc>
        <w:tc>
          <w:tcPr>
            <w:tcW w:w="155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p>
        </w:tc>
        <w:tc>
          <w:tcPr>
            <w:tcW w:w="121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kern w:val="0"/>
                <w:sz w:val="28"/>
                <w:szCs w:val="28"/>
              </w:rPr>
            </w:pPr>
          </w:p>
        </w:tc>
      </w:tr>
      <w:tr>
        <w:tblPrEx>
          <w:tblCellMar>
            <w:top w:w="0" w:type="dxa"/>
            <w:left w:w="108" w:type="dxa"/>
            <w:bottom w:w="0" w:type="dxa"/>
            <w:right w:w="108" w:type="dxa"/>
          </w:tblCellMar>
        </w:tblPrEx>
        <w:trPr>
          <w:trHeight w:val="588" w:hRule="atLeast"/>
        </w:trPr>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r>
              <w:rPr>
                <w:rFonts w:hint="eastAsia" w:ascii="宋体" w:hAnsi="宋体" w:cs="宋体"/>
                <w:kern w:val="0"/>
                <w:sz w:val="28"/>
                <w:szCs w:val="28"/>
              </w:rPr>
              <w:t>2</w:t>
            </w:r>
          </w:p>
        </w:tc>
        <w:tc>
          <w:tcPr>
            <w:tcW w:w="243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p>
        </w:tc>
        <w:tc>
          <w:tcPr>
            <w:tcW w:w="181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p>
        </w:tc>
        <w:tc>
          <w:tcPr>
            <w:tcW w:w="169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8"/>
                <w:szCs w:val="28"/>
              </w:rPr>
            </w:pPr>
          </w:p>
        </w:tc>
        <w:tc>
          <w:tcPr>
            <w:tcW w:w="254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8"/>
                <w:szCs w:val="28"/>
              </w:rPr>
            </w:pPr>
          </w:p>
        </w:tc>
        <w:tc>
          <w:tcPr>
            <w:tcW w:w="198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p>
        </w:tc>
        <w:tc>
          <w:tcPr>
            <w:tcW w:w="155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p>
        </w:tc>
        <w:tc>
          <w:tcPr>
            <w:tcW w:w="121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kern w:val="0"/>
                <w:sz w:val="28"/>
                <w:szCs w:val="28"/>
              </w:rPr>
            </w:pPr>
          </w:p>
        </w:tc>
      </w:tr>
      <w:tr>
        <w:tblPrEx>
          <w:tblCellMar>
            <w:top w:w="0" w:type="dxa"/>
            <w:left w:w="108" w:type="dxa"/>
            <w:bottom w:w="0" w:type="dxa"/>
            <w:right w:w="108" w:type="dxa"/>
          </w:tblCellMar>
        </w:tblPrEx>
        <w:trPr>
          <w:trHeight w:val="588" w:hRule="atLeast"/>
        </w:trPr>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r>
              <w:rPr>
                <w:rFonts w:hint="eastAsia" w:ascii="宋体" w:hAnsi="宋体" w:cs="宋体"/>
                <w:kern w:val="0"/>
                <w:sz w:val="28"/>
                <w:szCs w:val="28"/>
              </w:rPr>
              <w:t>3</w:t>
            </w:r>
          </w:p>
        </w:tc>
        <w:tc>
          <w:tcPr>
            <w:tcW w:w="243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p>
        </w:tc>
        <w:tc>
          <w:tcPr>
            <w:tcW w:w="181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p>
        </w:tc>
        <w:tc>
          <w:tcPr>
            <w:tcW w:w="169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8"/>
                <w:szCs w:val="28"/>
              </w:rPr>
            </w:pPr>
          </w:p>
        </w:tc>
        <w:tc>
          <w:tcPr>
            <w:tcW w:w="254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8"/>
                <w:szCs w:val="28"/>
              </w:rPr>
            </w:pPr>
          </w:p>
        </w:tc>
        <w:tc>
          <w:tcPr>
            <w:tcW w:w="198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p>
        </w:tc>
        <w:tc>
          <w:tcPr>
            <w:tcW w:w="155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p>
        </w:tc>
        <w:tc>
          <w:tcPr>
            <w:tcW w:w="121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kern w:val="0"/>
                <w:sz w:val="28"/>
                <w:szCs w:val="28"/>
              </w:rPr>
            </w:pPr>
          </w:p>
        </w:tc>
      </w:tr>
      <w:tr>
        <w:tblPrEx>
          <w:tblCellMar>
            <w:top w:w="0" w:type="dxa"/>
            <w:left w:w="108" w:type="dxa"/>
            <w:bottom w:w="0" w:type="dxa"/>
            <w:right w:w="108" w:type="dxa"/>
          </w:tblCellMar>
        </w:tblPrEx>
        <w:trPr>
          <w:trHeight w:val="588" w:hRule="atLeast"/>
        </w:trPr>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r>
              <w:rPr>
                <w:rFonts w:hint="eastAsia" w:ascii="宋体" w:hAnsi="宋体" w:cs="宋体"/>
                <w:kern w:val="0"/>
                <w:sz w:val="28"/>
                <w:szCs w:val="28"/>
              </w:rPr>
              <w:t>4</w:t>
            </w:r>
          </w:p>
        </w:tc>
        <w:tc>
          <w:tcPr>
            <w:tcW w:w="243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p>
        </w:tc>
        <w:tc>
          <w:tcPr>
            <w:tcW w:w="181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p>
        </w:tc>
        <w:tc>
          <w:tcPr>
            <w:tcW w:w="16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p>
        </w:tc>
        <w:tc>
          <w:tcPr>
            <w:tcW w:w="254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p>
        </w:tc>
        <w:tc>
          <w:tcPr>
            <w:tcW w:w="198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p>
        </w:tc>
        <w:tc>
          <w:tcPr>
            <w:tcW w:w="155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p>
        </w:tc>
        <w:tc>
          <w:tcPr>
            <w:tcW w:w="121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kern w:val="0"/>
                <w:sz w:val="28"/>
                <w:szCs w:val="28"/>
              </w:rPr>
            </w:pPr>
          </w:p>
        </w:tc>
      </w:tr>
      <w:tr>
        <w:tblPrEx>
          <w:tblCellMar>
            <w:top w:w="0" w:type="dxa"/>
            <w:left w:w="108" w:type="dxa"/>
            <w:bottom w:w="0" w:type="dxa"/>
            <w:right w:w="108" w:type="dxa"/>
          </w:tblCellMar>
        </w:tblPrEx>
        <w:trPr>
          <w:trHeight w:val="588" w:hRule="atLeast"/>
        </w:trPr>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r>
              <w:rPr>
                <w:rFonts w:hint="eastAsia" w:ascii="宋体" w:hAnsi="宋体" w:cs="宋体"/>
                <w:kern w:val="0"/>
                <w:sz w:val="28"/>
                <w:szCs w:val="28"/>
              </w:rPr>
              <w:t>5</w:t>
            </w:r>
          </w:p>
        </w:tc>
        <w:tc>
          <w:tcPr>
            <w:tcW w:w="243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p>
        </w:tc>
        <w:tc>
          <w:tcPr>
            <w:tcW w:w="181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p>
        </w:tc>
        <w:tc>
          <w:tcPr>
            <w:tcW w:w="169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8"/>
                <w:szCs w:val="28"/>
              </w:rPr>
            </w:pPr>
          </w:p>
        </w:tc>
        <w:tc>
          <w:tcPr>
            <w:tcW w:w="254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8"/>
                <w:szCs w:val="28"/>
              </w:rPr>
            </w:pPr>
          </w:p>
        </w:tc>
        <w:tc>
          <w:tcPr>
            <w:tcW w:w="198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8"/>
                <w:szCs w:val="28"/>
              </w:rPr>
            </w:pPr>
          </w:p>
        </w:tc>
        <w:tc>
          <w:tcPr>
            <w:tcW w:w="15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8"/>
                <w:szCs w:val="28"/>
              </w:rPr>
            </w:pPr>
          </w:p>
        </w:tc>
        <w:tc>
          <w:tcPr>
            <w:tcW w:w="1219"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8"/>
                <w:szCs w:val="28"/>
              </w:rPr>
            </w:pPr>
          </w:p>
        </w:tc>
      </w:tr>
      <w:tr>
        <w:tblPrEx>
          <w:tblCellMar>
            <w:top w:w="0" w:type="dxa"/>
            <w:left w:w="108" w:type="dxa"/>
            <w:bottom w:w="0" w:type="dxa"/>
            <w:right w:w="108" w:type="dxa"/>
          </w:tblCellMar>
        </w:tblPrEx>
        <w:trPr>
          <w:trHeight w:val="688" w:hRule="atLeast"/>
        </w:trPr>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r>
              <w:rPr>
                <w:rFonts w:hint="eastAsia" w:ascii="宋体" w:hAnsi="宋体" w:cs="宋体"/>
                <w:kern w:val="0"/>
                <w:sz w:val="28"/>
                <w:szCs w:val="28"/>
              </w:rPr>
              <w:t>……</w:t>
            </w:r>
          </w:p>
        </w:tc>
        <w:tc>
          <w:tcPr>
            <w:tcW w:w="243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r>
              <w:rPr>
                <w:rFonts w:hint="eastAsia" w:ascii="宋体" w:hAnsi="宋体" w:cs="宋体"/>
                <w:kern w:val="0"/>
                <w:sz w:val="28"/>
                <w:szCs w:val="28"/>
              </w:rPr>
              <w:t>……</w:t>
            </w:r>
          </w:p>
        </w:tc>
        <w:tc>
          <w:tcPr>
            <w:tcW w:w="181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p>
        </w:tc>
        <w:tc>
          <w:tcPr>
            <w:tcW w:w="169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8"/>
                <w:szCs w:val="28"/>
              </w:rPr>
            </w:pPr>
          </w:p>
        </w:tc>
        <w:tc>
          <w:tcPr>
            <w:tcW w:w="254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8"/>
                <w:szCs w:val="28"/>
              </w:rPr>
            </w:pPr>
          </w:p>
        </w:tc>
        <w:tc>
          <w:tcPr>
            <w:tcW w:w="198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8"/>
                <w:szCs w:val="28"/>
              </w:rPr>
            </w:pPr>
          </w:p>
        </w:tc>
        <w:tc>
          <w:tcPr>
            <w:tcW w:w="155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8"/>
                <w:szCs w:val="28"/>
              </w:rPr>
            </w:pPr>
          </w:p>
        </w:tc>
        <w:tc>
          <w:tcPr>
            <w:tcW w:w="1219" w:type="dxa"/>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28"/>
                <w:szCs w:val="28"/>
              </w:rPr>
            </w:pPr>
          </w:p>
        </w:tc>
      </w:tr>
      <w:tr>
        <w:tblPrEx>
          <w:tblCellMar>
            <w:top w:w="0" w:type="dxa"/>
            <w:left w:w="108" w:type="dxa"/>
            <w:bottom w:w="0" w:type="dxa"/>
            <w:right w:w="108" w:type="dxa"/>
          </w:tblCellMar>
        </w:tblPrEx>
        <w:trPr>
          <w:trHeight w:val="598" w:hRule="atLeast"/>
        </w:trPr>
        <w:tc>
          <w:tcPr>
            <w:tcW w:w="11181"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r>
              <w:rPr>
                <w:rFonts w:hint="eastAsia" w:ascii="宋体" w:hAnsi="宋体" w:cs="宋体"/>
                <w:b/>
                <w:kern w:val="0"/>
                <w:sz w:val="28"/>
                <w:szCs w:val="28"/>
              </w:rPr>
              <w:t>合计报价</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8"/>
                <w:szCs w:val="28"/>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kern w:val="0"/>
                <w:sz w:val="28"/>
                <w:szCs w:val="28"/>
              </w:rPr>
            </w:pPr>
          </w:p>
        </w:tc>
      </w:tr>
    </w:tbl>
    <w:p>
      <w:pPr>
        <w:widowControl/>
        <w:ind w:right="105"/>
        <w:jc w:val="right"/>
        <w:rPr>
          <w:rFonts w:hint="eastAsia" w:ascii="宋体" w:hAnsi="宋体" w:cs="宋体"/>
          <w:kern w:val="0"/>
          <w:sz w:val="24"/>
        </w:rPr>
      </w:pPr>
    </w:p>
    <w:p>
      <w:pPr>
        <w:spacing w:line="440" w:lineRule="exact"/>
        <w:jc w:val="right"/>
        <w:rPr>
          <w:rFonts w:hint="eastAsia" w:ascii="宋体" w:hAnsi="宋体" w:cs="宋体"/>
          <w:sz w:val="28"/>
          <w:szCs w:val="28"/>
        </w:rPr>
      </w:pPr>
      <w:r>
        <w:rPr>
          <w:rFonts w:hint="eastAsia" w:ascii="宋体" w:hAnsi="宋体" w:cs="宋体"/>
          <w:sz w:val="28"/>
          <w:szCs w:val="28"/>
        </w:rPr>
        <w:t>投标供应商：</w:t>
      </w:r>
      <w:r>
        <w:rPr>
          <w:rFonts w:hint="eastAsia" w:ascii="宋体" w:hAnsi="宋体" w:cs="宋体"/>
          <w:sz w:val="28"/>
          <w:szCs w:val="28"/>
          <w:u w:val="single"/>
        </w:rPr>
        <w:t xml:space="preserve">                           </w:t>
      </w:r>
      <w:r>
        <w:rPr>
          <w:rFonts w:hint="eastAsia" w:ascii="宋体" w:hAnsi="宋体" w:cs="宋体"/>
          <w:sz w:val="28"/>
          <w:szCs w:val="28"/>
        </w:rPr>
        <w:t>（单位公章）</w:t>
      </w:r>
    </w:p>
    <w:p>
      <w:pPr>
        <w:spacing w:line="440" w:lineRule="exact"/>
        <w:jc w:val="right"/>
        <w:rPr>
          <w:rFonts w:hint="eastAsia"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（签字或盖章）</w:t>
      </w:r>
    </w:p>
    <w:p>
      <w:pPr>
        <w:spacing w:line="440" w:lineRule="exact"/>
        <w:jc w:val="right"/>
        <w:rPr>
          <w:rFonts w:hint="eastAsia" w:ascii="宋体" w:hAnsi="宋体" w:cs="宋体"/>
          <w:sz w:val="24"/>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5"/>
        <w:ind w:firstLine="480"/>
        <w:rPr>
          <w:rFonts w:hint="eastAsia" w:ascii="宋体" w:hAnsi="宋体" w:cs="宋体"/>
          <w:sz w:val="24"/>
        </w:rPr>
        <w:sectPr>
          <w:headerReference r:id="rId20" w:type="default"/>
          <w:footerReference r:id="rId21" w:type="default"/>
          <w:pgSz w:w="16838" w:h="11906" w:orient="landscape"/>
          <w:pgMar w:top="1701" w:right="1418" w:bottom="1418" w:left="1418" w:header="851" w:footer="992" w:gutter="0"/>
          <w:cols w:space="720" w:num="1"/>
          <w:docGrid w:linePitch="312" w:charSpace="0"/>
        </w:sectPr>
      </w:pPr>
    </w:p>
    <w:p>
      <w:pPr>
        <w:pStyle w:val="4"/>
        <w:spacing w:before="0" w:after="0" w:line="24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响应偏离表</w:t>
      </w:r>
    </w:p>
    <w:p>
      <w:pPr>
        <w:pStyle w:val="4"/>
        <w:spacing w:before="0" w:after="0" w:line="240" w:lineRule="auto"/>
        <w:rPr>
          <w:rFonts w:asciiTheme="minorEastAsia" w:hAnsiTheme="minorEastAsia" w:eastAsiaTheme="minorEastAsia"/>
          <w:sz w:val="28"/>
          <w:szCs w:val="28"/>
        </w:rPr>
      </w:pPr>
      <w:r>
        <w:rPr>
          <w:rFonts w:asciiTheme="minorEastAsia" w:hAnsiTheme="minorEastAsia" w:eastAsiaTheme="minorEastAsia"/>
          <w:sz w:val="28"/>
          <w:szCs w:val="28"/>
        </w:rPr>
        <w:t>3.1.</w:t>
      </w:r>
      <w:r>
        <w:rPr>
          <w:rFonts w:hint="eastAsia" w:asciiTheme="minorEastAsia" w:hAnsiTheme="minorEastAsia" w:eastAsiaTheme="minorEastAsia"/>
          <w:sz w:val="28"/>
          <w:szCs w:val="28"/>
        </w:rPr>
        <w:t>技术规格响应偏离表（格式）</w:t>
      </w:r>
    </w:p>
    <w:p>
      <w:pPr>
        <w:spacing w:line="480" w:lineRule="exact"/>
        <w:ind w:left="210" w:leftChars="100"/>
        <w:jc w:val="center"/>
        <w:rPr>
          <w:rFonts w:cs="仿宋_GB2312" w:asciiTheme="minorEastAsia" w:hAnsiTheme="minorEastAsia"/>
          <w:b/>
          <w:bCs/>
          <w:sz w:val="36"/>
          <w:szCs w:val="21"/>
        </w:rPr>
      </w:pPr>
      <w:r>
        <w:rPr>
          <w:rFonts w:hint="eastAsia" w:cs="仿宋_GB2312" w:asciiTheme="minorEastAsia" w:hAnsiTheme="minorEastAsia"/>
          <w:b/>
          <w:bCs/>
          <w:sz w:val="36"/>
          <w:szCs w:val="21"/>
        </w:rPr>
        <w:t>技术规格响应偏离表</w:t>
      </w:r>
    </w:p>
    <w:p>
      <w:pPr>
        <w:spacing w:line="480" w:lineRule="exact"/>
        <w:ind w:left="210" w:leftChars="100"/>
        <w:rPr>
          <w:rFonts w:cs="仿宋_GB2312" w:asciiTheme="minorEastAsia" w:hAnsiTheme="minorEastAsia"/>
          <w:sz w:val="28"/>
          <w:szCs w:val="28"/>
          <w:u w:val="single"/>
        </w:rPr>
      </w:pPr>
      <w:r>
        <w:rPr>
          <w:rFonts w:hint="eastAsia" w:cs="仿宋_GB2312" w:asciiTheme="minorEastAsia" w:hAnsiTheme="minorEastAsia"/>
          <w:sz w:val="28"/>
          <w:szCs w:val="28"/>
        </w:rPr>
        <w:t>投标人名称：</w:t>
      </w:r>
      <w:r>
        <w:rPr>
          <w:rFonts w:cs="仿宋_GB2312" w:asciiTheme="minorEastAsia" w:hAnsiTheme="minorEastAsia"/>
          <w:sz w:val="28"/>
          <w:szCs w:val="28"/>
        </w:rPr>
        <w:t xml:space="preserve">                   </w:t>
      </w:r>
      <w:r>
        <w:rPr>
          <w:rFonts w:hint="eastAsia" w:cs="仿宋_GB2312" w:asciiTheme="minorEastAsia" w:hAnsiTheme="minorEastAsia"/>
          <w:sz w:val="28"/>
          <w:szCs w:val="28"/>
        </w:rPr>
        <w:t>项目编号：</w:t>
      </w:r>
    </w:p>
    <w:tbl>
      <w:tblPr>
        <w:tblStyle w:val="26"/>
        <w:tblpPr w:leftFromText="180" w:rightFromText="180" w:vertAnchor="text" w:horzAnchor="page" w:tblpXSpec="center" w:tblpY="204"/>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883"/>
        <w:gridCol w:w="2659"/>
        <w:gridCol w:w="1689"/>
        <w:gridCol w:w="131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double" w:color="auto" w:sz="4" w:space="0"/>
            </w:tcBorders>
            <w:tcMar>
              <w:top w:w="57" w:type="dxa"/>
              <w:left w:w="28" w:type="dxa"/>
              <w:bottom w:w="57" w:type="dxa"/>
              <w:right w:w="28" w:type="dxa"/>
            </w:tcMar>
            <w:vAlign w:val="center"/>
          </w:tcPr>
          <w:p>
            <w:pPr>
              <w:spacing w:line="360" w:lineRule="exact"/>
              <w:ind w:left="40" w:leftChars="19"/>
              <w:jc w:val="center"/>
              <w:rPr>
                <w:rFonts w:cs="仿宋_GB2312" w:asciiTheme="minorEastAsia" w:hAnsiTheme="minorEastAsia"/>
                <w:b/>
                <w:sz w:val="28"/>
                <w:szCs w:val="28"/>
              </w:rPr>
            </w:pPr>
            <w:r>
              <w:rPr>
                <w:rFonts w:hint="eastAsia" w:cs="仿宋_GB2312" w:asciiTheme="minorEastAsia" w:hAnsiTheme="minorEastAsia"/>
                <w:b/>
                <w:sz w:val="28"/>
                <w:szCs w:val="28"/>
              </w:rPr>
              <w:t>序号</w:t>
            </w:r>
          </w:p>
        </w:tc>
        <w:tc>
          <w:tcPr>
            <w:tcW w:w="2883" w:type="dxa"/>
            <w:tcBorders>
              <w:top w:val="double" w:color="auto" w:sz="4" w:space="0"/>
            </w:tcBorders>
            <w:tcMar>
              <w:top w:w="57" w:type="dxa"/>
              <w:left w:w="28" w:type="dxa"/>
              <w:bottom w:w="57" w:type="dxa"/>
              <w:right w:w="28" w:type="dxa"/>
            </w:tcMar>
            <w:vAlign w:val="center"/>
          </w:tcPr>
          <w:p>
            <w:pPr>
              <w:spacing w:line="360" w:lineRule="exact"/>
              <w:ind w:left="210" w:leftChars="100"/>
              <w:jc w:val="center"/>
              <w:rPr>
                <w:rFonts w:cs="仿宋_GB2312" w:asciiTheme="minorEastAsia" w:hAnsiTheme="minorEastAsia"/>
                <w:b/>
                <w:sz w:val="28"/>
                <w:szCs w:val="28"/>
              </w:rPr>
            </w:pPr>
            <w:r>
              <w:rPr>
                <w:rFonts w:hint="eastAsia" w:cs="仿宋_GB2312" w:asciiTheme="minorEastAsia" w:hAnsiTheme="minorEastAsia"/>
                <w:b/>
                <w:sz w:val="28"/>
                <w:szCs w:val="28"/>
              </w:rPr>
              <w:t>招标文件</w:t>
            </w:r>
          </w:p>
          <w:p>
            <w:pPr>
              <w:spacing w:line="360" w:lineRule="exact"/>
              <w:ind w:left="210" w:leftChars="100"/>
              <w:jc w:val="center"/>
              <w:rPr>
                <w:rFonts w:cs="仿宋_GB2312" w:asciiTheme="minorEastAsia" w:hAnsiTheme="minorEastAsia"/>
                <w:b/>
                <w:sz w:val="28"/>
                <w:szCs w:val="28"/>
              </w:rPr>
            </w:pPr>
            <w:r>
              <w:rPr>
                <w:rFonts w:hint="eastAsia" w:cs="仿宋_GB2312" w:asciiTheme="minorEastAsia" w:hAnsiTheme="minorEastAsia"/>
                <w:b/>
                <w:sz w:val="28"/>
                <w:szCs w:val="28"/>
              </w:rPr>
              <w:t>技术需求</w:t>
            </w:r>
          </w:p>
        </w:tc>
        <w:tc>
          <w:tcPr>
            <w:tcW w:w="2659" w:type="dxa"/>
            <w:tcBorders>
              <w:top w:val="double" w:color="auto" w:sz="4" w:space="0"/>
            </w:tcBorders>
            <w:tcMar>
              <w:top w:w="57" w:type="dxa"/>
              <w:left w:w="28" w:type="dxa"/>
              <w:bottom w:w="57" w:type="dxa"/>
              <w:right w:w="28" w:type="dxa"/>
            </w:tcMar>
            <w:vAlign w:val="center"/>
          </w:tcPr>
          <w:p>
            <w:pPr>
              <w:spacing w:line="360" w:lineRule="exact"/>
              <w:jc w:val="center"/>
              <w:rPr>
                <w:rFonts w:cs="仿宋_GB2312" w:asciiTheme="minorEastAsia" w:hAnsiTheme="minorEastAsia"/>
                <w:b/>
                <w:sz w:val="28"/>
                <w:szCs w:val="28"/>
              </w:rPr>
            </w:pPr>
            <w:r>
              <w:rPr>
                <w:rFonts w:hint="eastAsia" w:cs="仿宋_GB2312" w:asciiTheme="minorEastAsia" w:hAnsiTheme="minorEastAsia"/>
                <w:b/>
                <w:sz w:val="28"/>
                <w:szCs w:val="28"/>
              </w:rPr>
              <w:t>投标文件配置、规格及主要技术参数</w:t>
            </w:r>
          </w:p>
        </w:tc>
        <w:tc>
          <w:tcPr>
            <w:tcW w:w="1689" w:type="dxa"/>
            <w:tcBorders>
              <w:top w:val="double" w:color="auto" w:sz="4" w:space="0"/>
            </w:tcBorders>
            <w:tcMar>
              <w:top w:w="57" w:type="dxa"/>
              <w:left w:w="28" w:type="dxa"/>
              <w:bottom w:w="57" w:type="dxa"/>
              <w:right w:w="28" w:type="dxa"/>
            </w:tcMar>
            <w:vAlign w:val="center"/>
          </w:tcPr>
          <w:p>
            <w:pPr>
              <w:spacing w:line="360" w:lineRule="exact"/>
              <w:jc w:val="center"/>
              <w:rPr>
                <w:rFonts w:cs="仿宋_GB2312" w:asciiTheme="minorEastAsia" w:hAnsiTheme="minorEastAsia"/>
                <w:b/>
                <w:sz w:val="28"/>
                <w:szCs w:val="28"/>
              </w:rPr>
            </w:pPr>
            <w:r>
              <w:rPr>
                <w:rFonts w:hint="eastAsia" w:cs="仿宋_GB2312" w:asciiTheme="minorEastAsia" w:hAnsiTheme="minorEastAsia"/>
                <w:b/>
                <w:sz w:val="28"/>
                <w:szCs w:val="28"/>
              </w:rPr>
              <w:t>偏离情况</w:t>
            </w:r>
          </w:p>
        </w:tc>
        <w:tc>
          <w:tcPr>
            <w:tcW w:w="1319" w:type="dxa"/>
            <w:tcBorders>
              <w:top w:val="double" w:color="auto" w:sz="4" w:space="0"/>
            </w:tcBorders>
            <w:tcMar>
              <w:top w:w="57" w:type="dxa"/>
              <w:left w:w="28" w:type="dxa"/>
              <w:bottom w:w="57" w:type="dxa"/>
              <w:right w:w="28" w:type="dxa"/>
            </w:tcMar>
            <w:vAlign w:val="center"/>
          </w:tcPr>
          <w:p>
            <w:pPr>
              <w:spacing w:line="360" w:lineRule="exact"/>
              <w:jc w:val="center"/>
              <w:rPr>
                <w:rFonts w:cs="仿宋_GB2312" w:asciiTheme="minorEastAsia" w:hAnsiTheme="minorEastAsia"/>
                <w:b/>
                <w:sz w:val="28"/>
                <w:szCs w:val="28"/>
              </w:rPr>
            </w:pPr>
            <w:r>
              <w:rPr>
                <w:rFonts w:hint="eastAsia" w:cs="仿宋_GB2312" w:asciiTheme="minorEastAsia" w:hAnsiTheme="minorEastAsia"/>
                <w:b/>
                <w:sz w:val="28"/>
                <w:szCs w:val="28"/>
              </w:rPr>
              <w:t>说</w:t>
            </w:r>
            <w:r>
              <w:rPr>
                <w:rFonts w:cs="仿宋_GB2312" w:asciiTheme="minorEastAsia" w:hAnsiTheme="minorEastAsia"/>
                <w:b/>
                <w:sz w:val="28"/>
                <w:szCs w:val="28"/>
              </w:rPr>
              <w:t xml:space="preserve"> </w:t>
            </w:r>
            <w:r>
              <w:rPr>
                <w:rFonts w:hint="eastAsia" w:cs="仿宋_GB2312" w:asciiTheme="minorEastAsia" w:hAnsiTheme="minorEastAsia"/>
                <w:b/>
                <w:sz w:val="28"/>
                <w:szCs w:val="28"/>
              </w:rPr>
              <w:t>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48"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48"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48"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bottom w:val="double" w:color="auto" w:sz="4" w:space="0"/>
            </w:tcBorders>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883" w:type="dxa"/>
            <w:tcBorders>
              <w:bottom w:val="double" w:color="auto" w:sz="4" w:space="0"/>
            </w:tcBorders>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2659" w:type="dxa"/>
            <w:tcBorders>
              <w:bottom w:val="double" w:color="auto" w:sz="4" w:space="0"/>
            </w:tcBorders>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c>
          <w:tcPr>
            <w:tcW w:w="1689" w:type="dxa"/>
            <w:tcBorders>
              <w:bottom w:val="double" w:color="auto" w:sz="4" w:space="0"/>
            </w:tcBorders>
            <w:tcMar>
              <w:top w:w="57" w:type="dxa"/>
              <w:left w:w="28" w:type="dxa"/>
              <w:bottom w:w="57" w:type="dxa"/>
              <w:right w:w="28" w:type="dxa"/>
            </w:tcMar>
            <w:vAlign w:val="center"/>
          </w:tcPr>
          <w:p>
            <w:pPr>
              <w:spacing w:line="480" w:lineRule="exact"/>
              <w:rPr>
                <w:rFonts w:cs="仿宋_GB2312" w:asciiTheme="minorEastAsia" w:hAnsiTheme="minorEastAsia"/>
                <w:sz w:val="28"/>
                <w:szCs w:val="28"/>
              </w:rPr>
            </w:pPr>
          </w:p>
        </w:tc>
        <w:tc>
          <w:tcPr>
            <w:tcW w:w="1319" w:type="dxa"/>
            <w:tcBorders>
              <w:bottom w:val="double" w:color="auto" w:sz="4" w:space="0"/>
            </w:tcBorders>
            <w:tcMar>
              <w:top w:w="57" w:type="dxa"/>
              <w:left w:w="28" w:type="dxa"/>
              <w:bottom w:w="57" w:type="dxa"/>
              <w:right w:w="28" w:type="dxa"/>
            </w:tcMar>
            <w:vAlign w:val="center"/>
          </w:tcPr>
          <w:p>
            <w:pPr>
              <w:spacing w:line="480" w:lineRule="exact"/>
              <w:ind w:left="210" w:leftChars="100"/>
              <w:rPr>
                <w:rFonts w:cs="仿宋_GB2312" w:asciiTheme="minorEastAsia" w:hAnsiTheme="minorEastAsia"/>
                <w:sz w:val="28"/>
                <w:szCs w:val="28"/>
              </w:rPr>
            </w:pPr>
          </w:p>
        </w:tc>
      </w:tr>
    </w:tbl>
    <w:p>
      <w:pPr>
        <w:spacing w:line="320" w:lineRule="exact"/>
        <w:rPr>
          <w:rFonts w:cs="仿宋_GB2312" w:asciiTheme="minorEastAsia" w:hAnsiTheme="minorEastAsia"/>
          <w:b/>
          <w:sz w:val="28"/>
          <w:szCs w:val="28"/>
        </w:rPr>
      </w:pPr>
    </w:p>
    <w:p>
      <w:pPr>
        <w:spacing w:line="320" w:lineRule="exact"/>
        <w:ind w:left="210" w:leftChars="100" w:firstLine="420" w:firstLineChars="200"/>
        <w:rPr>
          <w:rFonts w:cs="仿宋_GB2312" w:asciiTheme="minorEastAsia" w:hAnsiTheme="minorEastAsia"/>
        </w:rPr>
      </w:pPr>
    </w:p>
    <w:p>
      <w:pPr>
        <w:spacing w:line="500" w:lineRule="exact"/>
        <w:ind w:firstLine="720" w:firstLineChars="300"/>
        <w:jc w:val="right"/>
        <w:rPr>
          <w:rFonts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（单位公章）</w:t>
      </w:r>
    </w:p>
    <w:p>
      <w:pPr>
        <w:spacing w:line="500" w:lineRule="exact"/>
        <w:ind w:firstLine="960" w:firstLineChars="400"/>
        <w:jc w:val="right"/>
        <w:rPr>
          <w:rFonts w:ascii="宋体" w:hAnsi="宋体" w:eastAsia="宋体" w:cs="宋体"/>
          <w:sz w:val="24"/>
          <w:szCs w:val="24"/>
        </w:rPr>
      </w:pPr>
      <w:r>
        <w:rPr>
          <w:rFonts w:hint="eastAsia" w:ascii="宋体" w:hAnsi="宋体" w:eastAsia="宋体" w:cs="宋体"/>
          <w:sz w:val="24"/>
          <w:szCs w:val="24"/>
        </w:rPr>
        <w:t>法定代表人或被授权人签字：</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spacing w:line="500" w:lineRule="exact"/>
        <w:ind w:firstLine="2640" w:firstLineChars="1100"/>
        <w:rPr>
          <w:rFonts w:ascii="宋体" w:hAnsi="宋体" w:eastAsia="宋体" w:cs="宋体"/>
          <w:sz w:val="24"/>
          <w:szCs w:val="24"/>
        </w:rPr>
      </w:pPr>
      <w:r>
        <w:rPr>
          <w:rFonts w:hint="eastAsia" w:ascii="宋体" w:hAnsi="宋体" w:eastAsia="宋体" w:cs="宋体"/>
          <w:sz w:val="24"/>
          <w:szCs w:val="24"/>
        </w:rPr>
        <w:t>日 期：</w:t>
      </w:r>
    </w:p>
    <w:p>
      <w:pPr>
        <w:pStyle w:val="4"/>
        <w:spacing w:before="0" w:after="0" w:line="240" w:lineRule="auto"/>
        <w:rPr>
          <w:rFonts w:asciiTheme="minorEastAsia" w:hAnsiTheme="minorEastAsia" w:eastAsiaTheme="minorEastAsia"/>
          <w:sz w:val="28"/>
          <w:szCs w:val="28"/>
        </w:rPr>
      </w:pPr>
      <w:r>
        <w:rPr>
          <w:rFonts w:asciiTheme="minorEastAsia" w:hAnsiTheme="minorEastAsia" w:eastAsiaTheme="minorEastAsia"/>
          <w:sz w:val="28"/>
          <w:szCs w:val="28"/>
        </w:rPr>
        <w:br w:type="page"/>
      </w:r>
      <w:r>
        <w:rPr>
          <w:rFonts w:asciiTheme="minorEastAsia" w:hAnsiTheme="minorEastAsia" w:eastAsiaTheme="minorEastAsia"/>
          <w:sz w:val="28"/>
          <w:szCs w:val="28"/>
        </w:rPr>
        <w:t>3.2</w:t>
      </w:r>
      <w:r>
        <w:rPr>
          <w:rFonts w:hint="eastAsia" w:asciiTheme="minorEastAsia" w:hAnsiTheme="minorEastAsia" w:eastAsiaTheme="minorEastAsia"/>
          <w:sz w:val="28"/>
          <w:szCs w:val="28"/>
        </w:rPr>
        <w:t>.商务条款响应偏离表（格式）</w:t>
      </w:r>
    </w:p>
    <w:p>
      <w:pPr>
        <w:spacing w:line="480" w:lineRule="exact"/>
        <w:ind w:left="210" w:leftChars="100"/>
        <w:jc w:val="center"/>
        <w:rPr>
          <w:rFonts w:asciiTheme="minorEastAsia" w:hAnsiTheme="minorEastAsia"/>
          <w:b/>
          <w:bCs/>
          <w:sz w:val="36"/>
          <w:szCs w:val="21"/>
        </w:rPr>
      </w:pPr>
      <w:r>
        <w:rPr>
          <w:rFonts w:hint="eastAsia" w:asciiTheme="minorEastAsia" w:hAnsiTheme="minorEastAsia"/>
          <w:b/>
          <w:bCs/>
          <w:sz w:val="36"/>
          <w:szCs w:val="21"/>
        </w:rPr>
        <w:t>商务条款响应偏离表</w:t>
      </w:r>
    </w:p>
    <w:p>
      <w:pPr>
        <w:spacing w:line="480" w:lineRule="exact"/>
        <w:rPr>
          <w:rFonts w:asciiTheme="minorEastAsia" w:hAnsiTheme="minorEastAsia"/>
          <w:sz w:val="28"/>
          <w:szCs w:val="28"/>
        </w:rPr>
      </w:pPr>
      <w:r>
        <w:rPr>
          <w:rFonts w:hint="eastAsia" w:asciiTheme="minorEastAsia" w:hAnsiTheme="minorEastAsia"/>
          <w:sz w:val="28"/>
          <w:szCs w:val="28"/>
        </w:rPr>
        <w:t>供应商名称：</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项目编号：</w:t>
      </w:r>
      <w:r>
        <w:rPr>
          <w:rFonts w:hint="eastAsia" w:asciiTheme="minorEastAsia" w:hAnsiTheme="minorEastAsia"/>
          <w:sz w:val="28"/>
          <w:szCs w:val="28"/>
          <w:u w:val="single"/>
        </w:rPr>
        <w:t xml:space="preserve">             </w:t>
      </w:r>
    </w:p>
    <w:tbl>
      <w:tblPr>
        <w:tblStyle w:val="2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379"/>
        <w:gridCol w:w="1650"/>
        <w:gridCol w:w="14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320" w:lineRule="exact"/>
              <w:ind w:left="-97" w:leftChars="-46"/>
              <w:jc w:val="center"/>
              <w:rPr>
                <w:rFonts w:asciiTheme="minorEastAsia" w:hAnsiTheme="minorEastAsia"/>
                <w:b/>
                <w:sz w:val="28"/>
                <w:szCs w:val="28"/>
              </w:rPr>
            </w:pPr>
            <w:r>
              <w:rPr>
                <w:rFonts w:hint="eastAsia" w:asciiTheme="minorEastAsia" w:hAnsiTheme="minorEastAsia"/>
                <w:b/>
                <w:sz w:val="28"/>
                <w:szCs w:val="28"/>
              </w:rPr>
              <w:t>序号</w:t>
            </w:r>
          </w:p>
        </w:tc>
        <w:tc>
          <w:tcPr>
            <w:tcW w:w="2950" w:type="dxa"/>
            <w:tcMar>
              <w:top w:w="57" w:type="dxa"/>
              <w:left w:w="28" w:type="dxa"/>
              <w:bottom w:w="57" w:type="dxa"/>
              <w:right w:w="28" w:type="dxa"/>
            </w:tcMar>
            <w:vAlign w:val="center"/>
          </w:tcPr>
          <w:p>
            <w:pPr>
              <w:spacing w:line="320" w:lineRule="exact"/>
              <w:ind w:left="210" w:leftChars="100"/>
              <w:jc w:val="center"/>
              <w:rPr>
                <w:rFonts w:asciiTheme="minorEastAsia" w:hAnsiTheme="minorEastAsia"/>
                <w:b/>
                <w:sz w:val="28"/>
                <w:szCs w:val="28"/>
              </w:rPr>
            </w:pPr>
            <w:r>
              <w:rPr>
                <w:rFonts w:hint="eastAsia" w:asciiTheme="minorEastAsia" w:hAnsiTheme="minorEastAsia"/>
                <w:b/>
                <w:sz w:val="28"/>
                <w:szCs w:val="28"/>
              </w:rPr>
              <w:t>磋商文件</w:t>
            </w:r>
          </w:p>
          <w:p>
            <w:pPr>
              <w:spacing w:line="320" w:lineRule="exact"/>
              <w:ind w:left="210" w:leftChars="100"/>
              <w:jc w:val="center"/>
              <w:rPr>
                <w:rFonts w:asciiTheme="minorEastAsia" w:hAnsiTheme="minorEastAsia"/>
                <w:b/>
                <w:sz w:val="28"/>
                <w:szCs w:val="28"/>
              </w:rPr>
            </w:pPr>
            <w:r>
              <w:rPr>
                <w:rFonts w:hint="eastAsia" w:asciiTheme="minorEastAsia" w:hAnsiTheme="minorEastAsia"/>
                <w:b/>
                <w:sz w:val="28"/>
                <w:szCs w:val="28"/>
              </w:rPr>
              <w:t>商务要求</w:t>
            </w:r>
          </w:p>
        </w:tc>
        <w:tc>
          <w:tcPr>
            <w:tcW w:w="2379" w:type="dxa"/>
            <w:tcMar>
              <w:top w:w="57" w:type="dxa"/>
              <w:left w:w="28" w:type="dxa"/>
              <w:bottom w:w="57" w:type="dxa"/>
              <w:right w:w="28" w:type="dxa"/>
            </w:tcMar>
            <w:vAlign w:val="center"/>
          </w:tcPr>
          <w:p>
            <w:pPr>
              <w:spacing w:line="320" w:lineRule="exact"/>
              <w:ind w:left="210" w:leftChars="100"/>
              <w:jc w:val="center"/>
              <w:rPr>
                <w:rFonts w:asciiTheme="minorEastAsia" w:hAnsiTheme="minorEastAsia"/>
                <w:b/>
                <w:sz w:val="28"/>
                <w:szCs w:val="28"/>
              </w:rPr>
            </w:pPr>
            <w:r>
              <w:rPr>
                <w:rFonts w:hint="eastAsia" w:asciiTheme="minorEastAsia" w:hAnsiTheme="minorEastAsia"/>
                <w:b/>
                <w:sz w:val="28"/>
                <w:szCs w:val="28"/>
              </w:rPr>
              <w:t>磋商响应文件</w:t>
            </w:r>
          </w:p>
          <w:p>
            <w:pPr>
              <w:spacing w:line="320" w:lineRule="exact"/>
              <w:ind w:left="210" w:leftChars="100"/>
              <w:jc w:val="center"/>
              <w:rPr>
                <w:rFonts w:asciiTheme="minorEastAsia" w:hAnsiTheme="minorEastAsia"/>
                <w:b/>
                <w:sz w:val="28"/>
                <w:szCs w:val="28"/>
              </w:rPr>
            </w:pPr>
            <w:r>
              <w:rPr>
                <w:rFonts w:hint="eastAsia" w:asciiTheme="minorEastAsia" w:hAnsiTheme="minorEastAsia"/>
                <w:b/>
                <w:sz w:val="28"/>
                <w:szCs w:val="28"/>
              </w:rPr>
              <w:t>商务响应</w:t>
            </w:r>
          </w:p>
        </w:tc>
        <w:tc>
          <w:tcPr>
            <w:tcW w:w="1650" w:type="dxa"/>
            <w:tcMar>
              <w:top w:w="57" w:type="dxa"/>
              <w:left w:w="28" w:type="dxa"/>
              <w:bottom w:w="57" w:type="dxa"/>
              <w:right w:w="28" w:type="dxa"/>
            </w:tcMar>
            <w:vAlign w:val="center"/>
          </w:tcPr>
          <w:p>
            <w:pPr>
              <w:spacing w:line="320" w:lineRule="exact"/>
              <w:ind w:left="210" w:leftChars="100"/>
              <w:jc w:val="center"/>
              <w:rPr>
                <w:rFonts w:asciiTheme="minorEastAsia" w:hAnsiTheme="minorEastAsia"/>
                <w:b/>
                <w:sz w:val="28"/>
                <w:szCs w:val="28"/>
              </w:rPr>
            </w:pPr>
            <w:r>
              <w:rPr>
                <w:rFonts w:hint="eastAsia" w:asciiTheme="minorEastAsia" w:hAnsiTheme="minorEastAsia"/>
                <w:b/>
                <w:sz w:val="28"/>
                <w:szCs w:val="28"/>
              </w:rPr>
              <w:t>偏离情况</w:t>
            </w:r>
          </w:p>
        </w:tc>
        <w:tc>
          <w:tcPr>
            <w:tcW w:w="1438" w:type="dxa"/>
            <w:vAlign w:val="center"/>
          </w:tcPr>
          <w:p>
            <w:pPr>
              <w:spacing w:line="320" w:lineRule="exact"/>
              <w:ind w:left="210" w:leftChars="100"/>
              <w:jc w:val="center"/>
              <w:rPr>
                <w:rFonts w:asciiTheme="minorEastAsia" w:hAnsiTheme="minorEastAsia"/>
                <w:b/>
                <w:sz w:val="28"/>
                <w:szCs w:val="28"/>
              </w:rPr>
            </w:pPr>
            <w:r>
              <w:rPr>
                <w:rFonts w:hint="eastAsia" w:asciiTheme="minorEastAsia" w:hAnsiTheme="minorEastAsia"/>
                <w:b/>
                <w:sz w:val="28"/>
                <w:szCs w:val="28"/>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tcBorders>
              <w:bottom w:val="single" w:color="auto" w:sz="4" w:space="0"/>
            </w:tcBorders>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tcBorders>
              <w:bottom w:val="single" w:color="auto" w:sz="4" w:space="0"/>
            </w:tcBorders>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Borders>
              <w:bottom w:val="single" w:color="auto" w:sz="4" w:space="0"/>
            </w:tcBorders>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tcBorders>
              <w:bottom w:val="single" w:color="auto" w:sz="4" w:space="0"/>
            </w:tcBorders>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vAlign w:val="center"/>
          </w:tcPr>
          <w:p>
            <w:pPr>
              <w:spacing w:line="480" w:lineRule="exact"/>
              <w:ind w:left="210" w:leftChars="100"/>
              <w:rPr>
                <w:rFonts w:asciiTheme="minorEastAsia" w:hAnsi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Theme="minorEastAsia" w:hAnsiTheme="minorEastAsia"/>
                <w:sz w:val="28"/>
                <w:szCs w:val="28"/>
              </w:rPr>
            </w:pPr>
          </w:p>
        </w:tc>
        <w:tc>
          <w:tcPr>
            <w:tcW w:w="1438" w:type="dxa"/>
            <w:vAlign w:val="center"/>
          </w:tcPr>
          <w:p>
            <w:pPr>
              <w:spacing w:line="480" w:lineRule="exact"/>
              <w:ind w:left="210" w:leftChars="100"/>
              <w:rPr>
                <w:rFonts w:asciiTheme="minorEastAsia" w:hAnsiTheme="minorEastAsia"/>
                <w:sz w:val="28"/>
                <w:szCs w:val="28"/>
              </w:rPr>
            </w:pPr>
          </w:p>
        </w:tc>
      </w:tr>
    </w:tbl>
    <w:p>
      <w:pPr>
        <w:spacing w:line="480" w:lineRule="exact"/>
        <w:ind w:left="210" w:leftChars="100"/>
        <w:rPr>
          <w:rFonts w:asciiTheme="minorEastAsia" w:hAnsiTheme="minorEastAsia"/>
          <w:szCs w:val="21"/>
        </w:rPr>
      </w:pPr>
      <w:r>
        <w:rPr>
          <w:rFonts w:hint="eastAsia" w:asciiTheme="minorEastAsia" w:hAnsiTheme="minorEastAsia"/>
          <w:szCs w:val="21"/>
        </w:rPr>
        <w:t>注：如有漏报、瞒报竞争性磋商文件所要求的性能指标等将视为没有实质性响应竞争性磋商文件</w:t>
      </w:r>
    </w:p>
    <w:p>
      <w:pPr>
        <w:spacing w:line="480" w:lineRule="exact"/>
        <w:ind w:left="210" w:leftChars="100"/>
        <w:rPr>
          <w:rFonts w:asciiTheme="minorEastAsia" w:hAnsiTheme="minorEastAsia"/>
          <w:szCs w:val="21"/>
        </w:rPr>
      </w:pPr>
    </w:p>
    <w:p>
      <w:pPr>
        <w:spacing w:line="500" w:lineRule="exact"/>
        <w:ind w:firstLine="720" w:firstLineChars="300"/>
        <w:jc w:val="right"/>
        <w:rPr>
          <w:rFonts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（单位公章）</w:t>
      </w:r>
    </w:p>
    <w:p>
      <w:pPr>
        <w:spacing w:line="500" w:lineRule="exact"/>
        <w:ind w:firstLine="960" w:firstLineChars="400"/>
        <w:jc w:val="right"/>
        <w:rPr>
          <w:rFonts w:ascii="宋体" w:hAnsi="宋体" w:eastAsia="宋体" w:cs="宋体"/>
          <w:sz w:val="24"/>
          <w:szCs w:val="24"/>
        </w:rPr>
      </w:pPr>
      <w:r>
        <w:rPr>
          <w:rFonts w:hint="eastAsia" w:ascii="宋体" w:hAnsi="宋体" w:eastAsia="宋体" w:cs="宋体"/>
          <w:sz w:val="24"/>
          <w:szCs w:val="24"/>
        </w:rPr>
        <w:t>法定代表人或被授权人签字：</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spacing w:line="500" w:lineRule="exact"/>
        <w:ind w:firstLine="2640" w:firstLineChars="1100"/>
        <w:rPr>
          <w:rFonts w:ascii="宋体" w:hAnsi="宋体" w:eastAsia="宋体" w:cs="宋体"/>
          <w:sz w:val="24"/>
          <w:szCs w:val="24"/>
        </w:rPr>
      </w:pPr>
      <w:r>
        <w:rPr>
          <w:rFonts w:hint="eastAsia" w:ascii="宋体" w:hAnsi="宋体" w:eastAsia="宋体" w:cs="宋体"/>
          <w:sz w:val="24"/>
          <w:szCs w:val="24"/>
        </w:rPr>
        <w:t>日 期：</w:t>
      </w:r>
    </w:p>
    <w:p>
      <w:pPr>
        <w:pStyle w:val="5"/>
        <w:rPr>
          <w:rFonts w:asciiTheme="minorEastAsia" w:hAnsiTheme="minorEastAsia"/>
          <w:szCs w:val="32"/>
        </w:rPr>
      </w:pPr>
      <w:r>
        <w:rPr>
          <w:rFonts w:asciiTheme="minorEastAsia" w:hAnsiTheme="minorEastAsia"/>
        </w:rPr>
        <w:br w:type="page"/>
      </w:r>
    </w:p>
    <w:p>
      <w:pPr>
        <w:pStyle w:val="4"/>
        <w:spacing w:before="0" w:after="0" w:line="360" w:lineRule="auto"/>
        <w:jc w:val="both"/>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t>4、资格证明文件</w:t>
      </w:r>
      <w:bookmarkEnd w:id="555"/>
    </w:p>
    <w:p>
      <w:pPr>
        <w:spacing w:line="500" w:lineRule="exact"/>
        <w:ind w:firstLine="560"/>
        <w:rPr>
          <w:rFonts w:hint="eastAsia" w:cs="宋体" w:asciiTheme="minorEastAsia" w:hAnsiTheme="minorEastAsia"/>
          <w:sz w:val="28"/>
          <w:szCs w:val="28"/>
        </w:rPr>
      </w:pPr>
      <w:bookmarkStart w:id="556" w:name="_Toc5888428"/>
      <w:r>
        <w:rPr>
          <w:rFonts w:hint="eastAsia" w:cs="宋体" w:asciiTheme="minorEastAsia" w:hAnsiTheme="minorEastAsia"/>
          <w:sz w:val="28"/>
          <w:szCs w:val="28"/>
          <w:lang w:val="en-US" w:eastAsia="zh-CN"/>
        </w:rPr>
        <w:t>4</w:t>
      </w:r>
      <w:r>
        <w:rPr>
          <w:rFonts w:hint="eastAsia" w:cs="宋体" w:asciiTheme="minorEastAsia" w:hAnsiTheme="minorEastAsia"/>
          <w:sz w:val="28"/>
          <w:szCs w:val="28"/>
        </w:rPr>
        <w:t>.1.供应商应为具有独立承担民事责任的能力且具备向采购人提供相关货物和服务的企业法人、事业单位法人、其他组织。企业法人应提供具有统一社会信用代码的营业执照；事业单位法人应提供事业单位法人证等证明文件；其他组织应提供合法证明文件。</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.2.供应商提供法定代表人授权书及被授权人身份证，法定代表人直接投标只须提交其法人身份证明。</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3.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4.财务状况报告：提供2021年度或2022年度的财务审计报告（至少包括资产负债表和利润表，成立时间至提交投标文件截止时间不足一年的可提供成立后任意时段的资产负债表），或其基本存款账户开户银行出具的资信证明及基本存款账户开户许可证。</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.5.税收缴纳证明：提供上一年度至今已缴纳的至少连续三个月的纳税证明或完税证明，依法免税的单位应提供相关证明材料（复印件加盖供应商公章）。</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.6.社会保障资金缴纳证明：提供上一年度至今已缴存的至少连续三个月的社会保障资金缴存单据或社保机构开具的社会保险参保缴费情况证明，依法不需要缴纳社会保障资金的单位应提供相关证明材料。</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7.书面声明：提供《供应商书面声明函》（经查，参加本次政府采购活动前三年内在经营活动中没有重大违纪，以及未被列入失信被执行人、重大税收违法失信主体的供应商、政府采购严重违法失信行为记录名单的书面声明）。</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.8.单位负责人为同一人或者存在控股、管理关系的不同单位，不得参加同一项目的投标。</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.9.本项目专门面向中小企业采购（符合财库[2020]46号规定的供应商应提供中小微企业声明函）。</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.10.本项目不接受联合体投标。</w:t>
      </w:r>
    </w:p>
    <w:p>
      <w:pPr>
        <w:spacing w:line="500" w:lineRule="exact"/>
        <w:ind w:firstLine="560"/>
        <w:rPr>
          <w:rFonts w:hint="eastAsia" w:cs="宋体" w:asciiTheme="minorEastAsia" w:hAnsiTheme="minorEastAsia"/>
          <w:sz w:val="28"/>
          <w:szCs w:val="28"/>
        </w:rPr>
      </w:pP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.11.磋商保证金交纳凭证（银行汇（存）款回执单，复印件须加盖供应商公章）。</w:t>
      </w:r>
    </w:p>
    <w:p>
      <w:pPr>
        <w:rPr>
          <w:rFonts w:hint="eastAsia" w:cs="宋体" w:asciiTheme="minorEastAsia" w:hAnsiTheme="minorEastAsia"/>
          <w:b/>
          <w:bCs/>
          <w:sz w:val="28"/>
          <w:szCs w:val="28"/>
        </w:rPr>
      </w:pPr>
    </w:p>
    <w:p>
      <w:pPr>
        <w:rPr>
          <w:rFonts w:hint="eastAsia" w:cs="宋体" w:asciiTheme="minorEastAsia" w:hAnsiTheme="minorEastAsia"/>
          <w:b/>
          <w:bCs/>
          <w:sz w:val="28"/>
          <w:szCs w:val="28"/>
        </w:rPr>
      </w:pPr>
    </w:p>
    <w:p>
      <w:pPr>
        <w:rPr>
          <w:rFonts w:hint="eastAsia" w:cs="宋体" w:asciiTheme="minorEastAsia" w:hAnsiTheme="minorEastAsia"/>
          <w:b/>
          <w:bCs/>
          <w:sz w:val="28"/>
          <w:szCs w:val="28"/>
        </w:rPr>
      </w:pPr>
    </w:p>
    <w:p>
      <w:pPr>
        <w:rPr>
          <w:rFonts w:cs="宋体" w:asciiTheme="minorEastAsia" w:hAnsiTheme="minorEastAsia"/>
          <w:b/>
          <w:bCs/>
          <w:sz w:val="28"/>
          <w:szCs w:val="28"/>
        </w:rPr>
      </w:pPr>
      <w:r>
        <w:rPr>
          <w:rFonts w:hint="eastAsia" w:cs="宋体" w:asciiTheme="minorEastAsia" w:hAnsiTheme="minorEastAsia"/>
          <w:b/>
          <w:bCs/>
          <w:sz w:val="28"/>
          <w:szCs w:val="28"/>
        </w:rPr>
        <w:t>注：法定代表人资格证明书及法定代表人授权书格式详见附件一、附件二。</w:t>
      </w:r>
      <w:r>
        <w:rPr>
          <w:rFonts w:hint="eastAsia" w:cs="宋体" w:asciiTheme="minorEastAsia" w:hAnsiTheme="minorEastAsia"/>
          <w:b/>
          <w:bCs/>
          <w:sz w:val="28"/>
          <w:szCs w:val="28"/>
        </w:rPr>
        <w:br w:type="page"/>
      </w:r>
    </w:p>
    <w:p>
      <w:pPr>
        <w:ind w:firstLine="3092"/>
        <w:jc w:val="left"/>
        <w:rPr>
          <w:rFonts w:cs="宋体" w:asciiTheme="minorEastAsia" w:hAnsiTheme="minorEastAsia"/>
          <w:b/>
          <w:bCs/>
          <w:sz w:val="28"/>
          <w:szCs w:val="28"/>
        </w:rPr>
      </w:pPr>
      <w:bookmarkStart w:id="557" w:name="_Toc5888419"/>
      <w:r>
        <w:rPr>
          <w:rFonts w:hint="eastAsia" w:cs="宋体" w:asciiTheme="minorEastAsia" w:hAnsiTheme="minorEastAsia"/>
          <w:b/>
          <w:bCs/>
          <w:sz w:val="28"/>
          <w:szCs w:val="28"/>
        </w:rPr>
        <w:t>附件一、法定代表人资格证明书</w:t>
      </w:r>
      <w:bookmarkEnd w:id="557"/>
    </w:p>
    <w:tbl>
      <w:tblPr>
        <w:tblStyle w:val="26"/>
        <w:tblW w:w="9522" w:type="dxa"/>
        <w:jc w:val="center"/>
        <w:tblLayout w:type="fixed"/>
        <w:tblCellMar>
          <w:top w:w="0" w:type="dxa"/>
          <w:left w:w="10" w:type="dxa"/>
          <w:bottom w:w="0" w:type="dxa"/>
          <w:right w:w="10" w:type="dxa"/>
        </w:tblCellMar>
      </w:tblPr>
      <w:tblGrid>
        <w:gridCol w:w="1621"/>
        <w:gridCol w:w="2470"/>
        <w:gridCol w:w="1965"/>
        <w:gridCol w:w="1336"/>
        <w:gridCol w:w="2130"/>
      </w:tblGrid>
      <w:tr>
        <w:tblPrEx>
          <w:tblCellMar>
            <w:top w:w="0" w:type="dxa"/>
            <w:left w:w="10" w:type="dxa"/>
            <w:bottom w:w="0" w:type="dxa"/>
            <w:right w:w="10" w:type="dxa"/>
          </w:tblCellMar>
        </w:tblPrEx>
        <w:trPr>
          <w:trHeight w:val="414" w:hRule="atLeast"/>
          <w:jc w:val="center"/>
        </w:trPr>
        <w:tc>
          <w:tcPr>
            <w:tcW w:w="9522"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left"/>
              <w:rPr>
                <w:rFonts w:hint="eastAsia" w:cs="宋体" w:asciiTheme="minorEastAsia" w:hAnsiTheme="minorEastAsia" w:eastAsiaTheme="minorEastAsia"/>
                <w:bCs/>
                <w:sz w:val="28"/>
                <w:szCs w:val="28"/>
                <w:lang w:eastAsia="zh-CN"/>
              </w:rPr>
            </w:pPr>
            <w:r>
              <w:rPr>
                <w:rFonts w:hint="eastAsia" w:cs="宋体" w:asciiTheme="minorEastAsia" w:hAnsiTheme="minorEastAsia"/>
                <w:bCs/>
                <w:sz w:val="28"/>
                <w:szCs w:val="28"/>
              </w:rPr>
              <w:t>致：</w:t>
            </w:r>
            <w:r>
              <w:rPr>
                <w:rFonts w:hint="eastAsia" w:cs="宋体" w:asciiTheme="minorEastAsia" w:hAnsiTheme="minorEastAsia"/>
                <w:bCs/>
                <w:sz w:val="28"/>
                <w:szCs w:val="28"/>
                <w:lang w:eastAsia="zh-CN"/>
              </w:rPr>
              <w:t>万融国际项目管理有限公司</w:t>
            </w:r>
          </w:p>
        </w:tc>
      </w:tr>
      <w:tr>
        <w:tblPrEx>
          <w:tblCellMar>
            <w:top w:w="0" w:type="dxa"/>
            <w:left w:w="10" w:type="dxa"/>
            <w:bottom w:w="0" w:type="dxa"/>
            <w:right w:w="10" w:type="dxa"/>
          </w:tblCellMar>
        </w:tblPrEx>
        <w:trPr>
          <w:trHeight w:val="505" w:hRule="atLeast"/>
          <w:jc w:val="center"/>
        </w:trPr>
        <w:tc>
          <w:tcPr>
            <w:tcW w:w="16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项目名称</w:t>
            </w:r>
          </w:p>
        </w:tc>
        <w:tc>
          <w:tcPr>
            <w:tcW w:w="790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tc>
      </w:tr>
      <w:tr>
        <w:tblPrEx>
          <w:tblCellMar>
            <w:top w:w="0" w:type="dxa"/>
            <w:left w:w="10" w:type="dxa"/>
            <w:bottom w:w="0" w:type="dxa"/>
            <w:right w:w="10" w:type="dxa"/>
          </w:tblCellMar>
        </w:tblPrEx>
        <w:trPr>
          <w:trHeight w:val="428" w:hRule="atLeast"/>
          <w:jc w:val="center"/>
        </w:trPr>
        <w:tc>
          <w:tcPr>
            <w:tcW w:w="16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项目编号</w:t>
            </w:r>
          </w:p>
        </w:tc>
        <w:tc>
          <w:tcPr>
            <w:tcW w:w="790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tc>
      </w:tr>
      <w:tr>
        <w:tblPrEx>
          <w:tblCellMar>
            <w:top w:w="0" w:type="dxa"/>
            <w:left w:w="10" w:type="dxa"/>
            <w:bottom w:w="0" w:type="dxa"/>
            <w:right w:w="10" w:type="dxa"/>
          </w:tblCellMar>
        </w:tblPrEx>
        <w:trPr>
          <w:jc w:val="center"/>
        </w:trPr>
        <w:tc>
          <w:tcPr>
            <w:tcW w:w="16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权   限</w:t>
            </w:r>
          </w:p>
        </w:tc>
        <w:tc>
          <w:tcPr>
            <w:tcW w:w="790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cs="宋体" w:asciiTheme="minorEastAsia" w:hAnsiTheme="minorEastAsia"/>
                <w:bCs/>
                <w:sz w:val="28"/>
                <w:szCs w:val="28"/>
              </w:rPr>
            </w:pPr>
            <w:r>
              <w:rPr>
                <w:rFonts w:hint="eastAsia" w:cs="宋体" w:asciiTheme="minorEastAsia" w:hAnsiTheme="minorEastAsia"/>
                <w:bCs/>
                <w:sz w:val="28"/>
                <w:szCs w:val="28"/>
              </w:rPr>
              <w:t>办理本次采购项目的磋商、联系、洽谈、签约、执行等具体事务，签署全部有关文件、文书、协议及合同。</w:t>
            </w:r>
          </w:p>
        </w:tc>
      </w:tr>
      <w:tr>
        <w:tblPrEx>
          <w:tblCellMar>
            <w:top w:w="0" w:type="dxa"/>
            <w:left w:w="10" w:type="dxa"/>
            <w:bottom w:w="0" w:type="dxa"/>
            <w:right w:w="10" w:type="dxa"/>
          </w:tblCellMar>
        </w:tblPrEx>
        <w:trPr>
          <w:trHeight w:val="443" w:hRule="atLeast"/>
          <w:jc w:val="center"/>
        </w:trPr>
        <w:tc>
          <w:tcPr>
            <w:tcW w:w="16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有效期</w:t>
            </w:r>
          </w:p>
        </w:tc>
        <w:tc>
          <w:tcPr>
            <w:tcW w:w="790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cs="宋体" w:asciiTheme="minorEastAsia" w:hAnsiTheme="minorEastAsia"/>
                <w:bCs/>
                <w:sz w:val="28"/>
                <w:szCs w:val="28"/>
              </w:rPr>
            </w:pPr>
            <w:r>
              <w:rPr>
                <w:rFonts w:hint="eastAsia" w:cs="宋体" w:asciiTheme="minorEastAsia" w:hAnsiTheme="minorEastAsia"/>
                <w:bCs/>
                <w:sz w:val="28"/>
                <w:szCs w:val="28"/>
              </w:rPr>
              <w:t>自磋商之日起计算有效期为90 天</w:t>
            </w:r>
          </w:p>
        </w:tc>
      </w:tr>
      <w:tr>
        <w:tblPrEx>
          <w:tblCellMar>
            <w:top w:w="0" w:type="dxa"/>
            <w:left w:w="10" w:type="dxa"/>
            <w:bottom w:w="0" w:type="dxa"/>
            <w:right w:w="10" w:type="dxa"/>
          </w:tblCellMar>
        </w:tblPrEx>
        <w:trPr>
          <w:trHeight w:val="435" w:hRule="atLeast"/>
          <w:jc w:val="center"/>
        </w:trPr>
        <w:tc>
          <w:tcPr>
            <w:tcW w:w="162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企业</w:t>
            </w:r>
          </w:p>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信息</w:t>
            </w:r>
          </w:p>
        </w:tc>
        <w:tc>
          <w:tcPr>
            <w:tcW w:w="2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企 业 名 称</w:t>
            </w:r>
          </w:p>
        </w:tc>
        <w:tc>
          <w:tcPr>
            <w:tcW w:w="543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tc>
      </w:tr>
      <w:tr>
        <w:tblPrEx>
          <w:tblCellMar>
            <w:top w:w="0" w:type="dxa"/>
            <w:left w:w="10" w:type="dxa"/>
            <w:bottom w:w="0" w:type="dxa"/>
            <w:right w:w="10" w:type="dxa"/>
          </w:tblCellMar>
        </w:tblPrEx>
        <w:trPr>
          <w:trHeight w:val="426" w:hRule="atLeast"/>
          <w:jc w:val="center"/>
        </w:trPr>
        <w:tc>
          <w:tcPr>
            <w:tcW w:w="162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cs="宋体" w:asciiTheme="minorEastAsia" w:hAnsiTheme="minorEastAsia"/>
              </w:rPr>
            </w:pPr>
          </w:p>
        </w:tc>
        <w:tc>
          <w:tcPr>
            <w:tcW w:w="2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法 定 地 址</w:t>
            </w:r>
          </w:p>
        </w:tc>
        <w:tc>
          <w:tcPr>
            <w:tcW w:w="543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tc>
      </w:tr>
      <w:tr>
        <w:tblPrEx>
          <w:tblCellMar>
            <w:top w:w="0" w:type="dxa"/>
            <w:left w:w="10" w:type="dxa"/>
            <w:bottom w:w="0" w:type="dxa"/>
            <w:right w:w="10" w:type="dxa"/>
          </w:tblCellMar>
        </w:tblPrEx>
        <w:trPr>
          <w:trHeight w:val="404" w:hRule="atLeast"/>
          <w:jc w:val="center"/>
        </w:trPr>
        <w:tc>
          <w:tcPr>
            <w:tcW w:w="162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cs="宋体" w:asciiTheme="minorEastAsia" w:hAnsiTheme="minorEastAsia"/>
              </w:rPr>
            </w:pPr>
          </w:p>
        </w:tc>
        <w:tc>
          <w:tcPr>
            <w:tcW w:w="2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营业执照注册证号</w:t>
            </w:r>
          </w:p>
        </w:tc>
        <w:tc>
          <w:tcPr>
            <w:tcW w:w="543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tc>
      </w:tr>
      <w:tr>
        <w:tblPrEx>
          <w:tblCellMar>
            <w:top w:w="0" w:type="dxa"/>
            <w:left w:w="10" w:type="dxa"/>
            <w:bottom w:w="0" w:type="dxa"/>
            <w:right w:w="10" w:type="dxa"/>
          </w:tblCellMar>
        </w:tblPrEx>
        <w:trPr>
          <w:trHeight w:val="425" w:hRule="atLeast"/>
          <w:jc w:val="center"/>
        </w:trPr>
        <w:tc>
          <w:tcPr>
            <w:tcW w:w="162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cs="宋体" w:asciiTheme="minorEastAsia" w:hAnsiTheme="minorEastAsia"/>
              </w:rPr>
            </w:pPr>
          </w:p>
        </w:tc>
        <w:tc>
          <w:tcPr>
            <w:tcW w:w="2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工商登记机关</w:t>
            </w:r>
          </w:p>
        </w:tc>
        <w:tc>
          <w:tcPr>
            <w:tcW w:w="543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tc>
      </w:tr>
      <w:tr>
        <w:tblPrEx>
          <w:tblCellMar>
            <w:top w:w="0" w:type="dxa"/>
            <w:left w:w="10" w:type="dxa"/>
            <w:bottom w:w="0" w:type="dxa"/>
            <w:right w:w="10" w:type="dxa"/>
          </w:tblCellMar>
        </w:tblPrEx>
        <w:trPr>
          <w:trHeight w:val="417" w:hRule="atLeast"/>
          <w:jc w:val="center"/>
        </w:trPr>
        <w:tc>
          <w:tcPr>
            <w:tcW w:w="162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cs="宋体" w:asciiTheme="minorEastAsia" w:hAnsiTheme="minorEastAsia"/>
              </w:rPr>
            </w:pPr>
          </w:p>
        </w:tc>
        <w:tc>
          <w:tcPr>
            <w:tcW w:w="2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网    址</w:t>
            </w:r>
          </w:p>
        </w:tc>
        <w:tc>
          <w:tcPr>
            <w:tcW w:w="543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tc>
      </w:tr>
      <w:tr>
        <w:tblPrEx>
          <w:tblCellMar>
            <w:top w:w="0" w:type="dxa"/>
            <w:left w:w="10" w:type="dxa"/>
            <w:bottom w:w="0" w:type="dxa"/>
            <w:right w:w="10" w:type="dxa"/>
          </w:tblCellMar>
        </w:tblPrEx>
        <w:trPr>
          <w:trHeight w:val="408" w:hRule="atLeast"/>
          <w:jc w:val="center"/>
        </w:trPr>
        <w:tc>
          <w:tcPr>
            <w:tcW w:w="162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法定代</w:t>
            </w:r>
          </w:p>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表人</w:t>
            </w:r>
          </w:p>
        </w:tc>
        <w:tc>
          <w:tcPr>
            <w:tcW w:w="2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姓    名</w:t>
            </w:r>
          </w:p>
        </w:tc>
        <w:tc>
          <w:tcPr>
            <w:tcW w:w="19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cs="宋体" w:asciiTheme="minorEastAsia" w:hAnsiTheme="minorEastAsia"/>
                <w:bCs/>
                <w:sz w:val="28"/>
                <w:szCs w:val="28"/>
              </w:rPr>
            </w:pPr>
            <w:r>
              <w:rPr>
                <w:rFonts w:hint="eastAsia" w:cs="宋体" w:asciiTheme="minorEastAsia" w:hAnsiTheme="minorEastAsia"/>
                <w:bCs/>
                <w:sz w:val="28"/>
                <w:szCs w:val="28"/>
              </w:rPr>
              <w:t>性    别</w:t>
            </w: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tc>
      </w:tr>
      <w:tr>
        <w:tblPrEx>
          <w:tblCellMar>
            <w:top w:w="0" w:type="dxa"/>
            <w:left w:w="10" w:type="dxa"/>
            <w:bottom w:w="0" w:type="dxa"/>
            <w:right w:w="10" w:type="dxa"/>
          </w:tblCellMar>
        </w:tblPrEx>
        <w:trPr>
          <w:trHeight w:val="415" w:hRule="atLeast"/>
          <w:jc w:val="center"/>
        </w:trPr>
        <w:tc>
          <w:tcPr>
            <w:tcW w:w="162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cs="宋体" w:asciiTheme="minorEastAsia" w:hAnsiTheme="minorEastAsia"/>
              </w:rPr>
            </w:pPr>
          </w:p>
        </w:tc>
        <w:tc>
          <w:tcPr>
            <w:tcW w:w="2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职    务</w:t>
            </w:r>
          </w:p>
        </w:tc>
        <w:tc>
          <w:tcPr>
            <w:tcW w:w="19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cs="宋体" w:asciiTheme="minorEastAsia" w:hAnsiTheme="minorEastAsia"/>
                <w:bCs/>
                <w:sz w:val="28"/>
                <w:szCs w:val="28"/>
              </w:rPr>
            </w:pPr>
            <w:r>
              <w:rPr>
                <w:rFonts w:hint="eastAsia" w:cs="宋体" w:asciiTheme="minorEastAsia" w:hAnsiTheme="minorEastAsia"/>
                <w:bCs/>
                <w:sz w:val="28"/>
                <w:szCs w:val="28"/>
              </w:rPr>
              <w:t>联系电话</w:t>
            </w: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tc>
      </w:tr>
      <w:tr>
        <w:tblPrEx>
          <w:tblCellMar>
            <w:top w:w="0" w:type="dxa"/>
            <w:left w:w="10" w:type="dxa"/>
            <w:bottom w:w="0" w:type="dxa"/>
            <w:right w:w="10" w:type="dxa"/>
          </w:tblCellMar>
        </w:tblPrEx>
        <w:trPr>
          <w:trHeight w:val="390" w:hRule="atLeast"/>
          <w:jc w:val="center"/>
        </w:trPr>
        <w:tc>
          <w:tcPr>
            <w:tcW w:w="162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cs="宋体" w:asciiTheme="minorEastAsia" w:hAnsiTheme="minorEastAsia"/>
              </w:rPr>
            </w:pPr>
          </w:p>
        </w:tc>
        <w:tc>
          <w:tcPr>
            <w:tcW w:w="2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传    真</w:t>
            </w:r>
          </w:p>
        </w:tc>
        <w:tc>
          <w:tcPr>
            <w:tcW w:w="543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tc>
      </w:tr>
      <w:tr>
        <w:tblPrEx>
          <w:tblCellMar>
            <w:top w:w="0" w:type="dxa"/>
            <w:left w:w="10" w:type="dxa"/>
            <w:bottom w:w="0" w:type="dxa"/>
            <w:right w:w="10" w:type="dxa"/>
          </w:tblCellMar>
        </w:tblPrEx>
        <w:trPr>
          <w:trHeight w:val="390" w:hRule="atLeast"/>
          <w:jc w:val="center"/>
        </w:trPr>
        <w:tc>
          <w:tcPr>
            <w:tcW w:w="162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cs="宋体" w:asciiTheme="minorEastAsia" w:hAnsiTheme="minorEastAsia"/>
              </w:rPr>
            </w:pPr>
          </w:p>
        </w:tc>
        <w:tc>
          <w:tcPr>
            <w:tcW w:w="2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通讯地址</w:t>
            </w:r>
          </w:p>
        </w:tc>
        <w:tc>
          <w:tcPr>
            <w:tcW w:w="543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tc>
      </w:tr>
      <w:tr>
        <w:tblPrEx>
          <w:tblCellMar>
            <w:top w:w="0" w:type="dxa"/>
            <w:left w:w="10" w:type="dxa"/>
            <w:bottom w:w="0" w:type="dxa"/>
            <w:right w:w="10" w:type="dxa"/>
          </w:tblCellMar>
        </w:tblPrEx>
        <w:trPr>
          <w:trHeight w:val="4004" w:hRule="atLeast"/>
          <w:jc w:val="center"/>
        </w:trPr>
        <w:tc>
          <w:tcPr>
            <w:tcW w:w="9522"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cs="宋体" w:asciiTheme="minorEastAsia" w:hAnsiTheme="minorEastAsia"/>
                <w:bCs/>
                <w:sz w:val="28"/>
                <w:szCs w:val="28"/>
              </w:rPr>
            </w:pPr>
          </w:p>
          <w:p>
            <w:pPr>
              <w:spacing w:line="320" w:lineRule="exact"/>
              <w:rPr>
                <w:rFonts w:cs="宋体" w:asciiTheme="minorEastAsia" w:hAnsiTheme="minorEastAsia"/>
                <w:bCs/>
                <w:sz w:val="28"/>
                <w:szCs w:val="28"/>
              </w:rPr>
            </w:pPr>
          </w:p>
          <w:p>
            <w:pPr>
              <w:spacing w:line="320" w:lineRule="exact"/>
              <w:rPr>
                <w:rFonts w:cs="宋体" w:asciiTheme="minorEastAsia" w:hAnsiTheme="minorEastAsia"/>
                <w:bCs/>
                <w:sz w:val="28"/>
                <w:szCs w:val="28"/>
              </w:rPr>
            </w:pPr>
          </w:p>
          <w:p>
            <w:pPr>
              <w:spacing w:line="320" w:lineRule="exact"/>
              <w:rPr>
                <w:rFonts w:cs="宋体" w:asciiTheme="minorEastAsia" w:hAnsiTheme="minorEastAsia"/>
                <w:bCs/>
                <w:sz w:val="28"/>
                <w:szCs w:val="28"/>
              </w:rPr>
            </w:pPr>
          </w:p>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法定代表人身份证复印件</w:t>
            </w:r>
          </w:p>
          <w:p>
            <w:pPr>
              <w:spacing w:line="320" w:lineRule="exact"/>
              <w:jc w:val="center"/>
              <w:rPr>
                <w:rFonts w:cs="宋体" w:asciiTheme="minorEastAsia" w:hAnsiTheme="minorEastAsia"/>
                <w:bCs/>
                <w:sz w:val="28"/>
                <w:szCs w:val="28"/>
              </w:rPr>
            </w:pPr>
          </w:p>
          <w:p>
            <w:pPr>
              <w:spacing w:line="320" w:lineRule="exact"/>
              <w:jc w:val="center"/>
              <w:rPr>
                <w:rFonts w:cs="宋体" w:asciiTheme="minorEastAsia" w:hAnsiTheme="minorEastAsia"/>
                <w:bCs/>
                <w:sz w:val="28"/>
                <w:szCs w:val="28"/>
              </w:rPr>
            </w:pPr>
            <w:r>
              <w:rPr>
                <w:rFonts w:hint="eastAsia" w:cs="宋体" w:asciiTheme="minorEastAsia" w:hAnsiTheme="minorEastAsia"/>
                <w:bCs/>
                <w:sz w:val="28"/>
                <w:szCs w:val="28"/>
              </w:rPr>
              <w:t>二代身份证正、反两面都需复印</w:t>
            </w:r>
          </w:p>
          <w:p>
            <w:pPr>
              <w:spacing w:line="320" w:lineRule="exact"/>
              <w:jc w:val="center"/>
              <w:rPr>
                <w:rFonts w:cs="宋体" w:asciiTheme="minorEastAsia" w:hAnsiTheme="minorEastAsia"/>
                <w:bCs/>
                <w:sz w:val="28"/>
                <w:szCs w:val="28"/>
              </w:rPr>
            </w:pPr>
          </w:p>
        </w:tc>
      </w:tr>
      <w:tr>
        <w:tblPrEx>
          <w:tblCellMar>
            <w:top w:w="0" w:type="dxa"/>
            <w:left w:w="10" w:type="dxa"/>
            <w:bottom w:w="0" w:type="dxa"/>
            <w:right w:w="10" w:type="dxa"/>
          </w:tblCellMar>
        </w:tblPrEx>
        <w:trPr>
          <w:trHeight w:val="716" w:hRule="atLeast"/>
          <w:jc w:val="center"/>
        </w:trPr>
        <w:tc>
          <w:tcPr>
            <w:tcW w:w="9522"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cs="宋体" w:asciiTheme="minorEastAsia" w:hAnsiTheme="minorEastAsia"/>
                <w:bCs/>
                <w:sz w:val="28"/>
                <w:szCs w:val="28"/>
              </w:rPr>
            </w:pPr>
            <w:r>
              <w:rPr>
                <w:rFonts w:hint="eastAsia" w:cs="宋体" w:asciiTheme="minorEastAsia" w:hAnsiTheme="minorEastAsia"/>
                <w:bCs/>
                <w:sz w:val="28"/>
                <w:szCs w:val="28"/>
              </w:rPr>
              <w:t>法定代表人签字或盖章：</w:t>
            </w:r>
          </w:p>
        </w:tc>
      </w:tr>
    </w:tbl>
    <w:p>
      <w:pPr>
        <w:spacing w:line="320" w:lineRule="exact"/>
        <w:jc w:val="left"/>
        <w:rPr>
          <w:rFonts w:cs="宋体" w:asciiTheme="minorEastAsia" w:hAnsiTheme="minorEastAsia"/>
          <w:bCs/>
          <w:sz w:val="28"/>
          <w:szCs w:val="28"/>
        </w:rPr>
      </w:pPr>
    </w:p>
    <w:p>
      <w:pPr>
        <w:spacing w:line="320" w:lineRule="exact"/>
        <w:jc w:val="left"/>
        <w:rPr>
          <w:rFonts w:cs="宋体" w:asciiTheme="minorEastAsia" w:hAnsiTheme="minorEastAsia"/>
          <w:bCs/>
          <w:sz w:val="28"/>
          <w:szCs w:val="28"/>
        </w:rPr>
      </w:pPr>
    </w:p>
    <w:p>
      <w:pPr>
        <w:spacing w:line="320" w:lineRule="exact"/>
        <w:jc w:val="left"/>
        <w:rPr>
          <w:rFonts w:cs="宋体" w:asciiTheme="minorEastAsia" w:hAnsiTheme="minorEastAsia"/>
          <w:bCs/>
          <w:sz w:val="28"/>
          <w:szCs w:val="28"/>
        </w:rPr>
      </w:pPr>
    </w:p>
    <w:p>
      <w:pPr>
        <w:spacing w:line="320" w:lineRule="exact"/>
        <w:ind w:left="-89" w:leftChars="-110" w:hanging="142" w:hangingChars="51"/>
        <w:jc w:val="left"/>
        <w:rPr>
          <w:rFonts w:cs="宋体" w:asciiTheme="minorEastAsia" w:hAnsiTheme="minorEastAsia"/>
          <w:bCs/>
          <w:sz w:val="28"/>
          <w:szCs w:val="28"/>
        </w:rPr>
      </w:pPr>
      <w:r>
        <w:rPr>
          <w:rFonts w:hint="eastAsia" w:cs="宋体" w:asciiTheme="minorEastAsia" w:hAnsiTheme="minorEastAsia"/>
          <w:bCs/>
          <w:sz w:val="28"/>
          <w:szCs w:val="28"/>
        </w:rPr>
        <w:t>供应商名称：</w:t>
      </w:r>
      <w:r>
        <w:rPr>
          <w:rFonts w:hint="eastAsia" w:cs="宋体" w:asciiTheme="minorEastAsia" w:hAnsiTheme="minorEastAsia"/>
          <w:bCs/>
          <w:sz w:val="28"/>
          <w:szCs w:val="28"/>
          <w:u w:val="single"/>
        </w:rPr>
        <w:t xml:space="preserve">                </w:t>
      </w:r>
      <w:r>
        <w:rPr>
          <w:rFonts w:hint="eastAsia" w:cs="宋体" w:asciiTheme="minorEastAsia" w:hAnsiTheme="minorEastAsia"/>
          <w:bCs/>
          <w:sz w:val="28"/>
          <w:szCs w:val="28"/>
        </w:rPr>
        <w:t>（单位公章）        日 期：</w:t>
      </w:r>
    </w:p>
    <w:p>
      <w:pPr>
        <w:pStyle w:val="12"/>
        <w:rPr>
          <w:rFonts w:asciiTheme="minorEastAsia" w:hAnsiTheme="minorEastAsia"/>
        </w:rPr>
      </w:pPr>
    </w:p>
    <w:p>
      <w:pPr>
        <w:pStyle w:val="12"/>
        <w:rPr>
          <w:rFonts w:cs="宋体" w:asciiTheme="minorEastAsia" w:hAnsiTheme="minorEastAsia"/>
          <w:bCs/>
          <w:sz w:val="28"/>
          <w:szCs w:val="28"/>
        </w:rPr>
        <w:sectPr>
          <w:headerReference r:id="rId22" w:type="default"/>
          <w:endnotePr>
            <w:numFmt w:val="decimal"/>
          </w:endnotePr>
          <w:pgSz w:w="11907" w:h="16840"/>
          <w:pgMar w:top="1418" w:right="992" w:bottom="1418" w:left="1418" w:header="851" w:footer="1021" w:gutter="0"/>
          <w:cols w:space="720" w:num="1"/>
          <w:titlePg/>
        </w:sectPr>
      </w:pPr>
    </w:p>
    <w:p>
      <w:pPr>
        <w:ind w:firstLine="3092"/>
        <w:rPr>
          <w:rFonts w:cs="宋体" w:asciiTheme="minorEastAsia" w:hAnsiTheme="minorEastAsia"/>
          <w:b/>
          <w:bCs/>
          <w:sz w:val="28"/>
          <w:szCs w:val="28"/>
        </w:rPr>
      </w:pPr>
      <w:r>
        <w:rPr>
          <w:rFonts w:hint="eastAsia" w:cs="宋体" w:asciiTheme="minorEastAsia" w:hAnsiTheme="minorEastAsia"/>
          <w:b/>
          <w:bCs/>
          <w:sz w:val="28"/>
          <w:szCs w:val="28"/>
        </w:rPr>
        <w:t>附件二、法定代表人授权书</w:t>
      </w:r>
    </w:p>
    <w:tbl>
      <w:tblPr>
        <w:tblStyle w:val="26"/>
        <w:tblW w:w="9885" w:type="dxa"/>
        <w:jc w:val="center"/>
        <w:tblLayout w:type="fixed"/>
        <w:tblCellMar>
          <w:top w:w="0" w:type="dxa"/>
          <w:left w:w="10" w:type="dxa"/>
          <w:bottom w:w="0" w:type="dxa"/>
          <w:right w:w="10" w:type="dxa"/>
        </w:tblCellMar>
      </w:tblPr>
      <w:tblGrid>
        <w:gridCol w:w="1522"/>
        <w:gridCol w:w="1535"/>
        <w:gridCol w:w="1017"/>
        <w:gridCol w:w="868"/>
        <w:gridCol w:w="808"/>
        <w:gridCol w:w="1559"/>
        <w:gridCol w:w="2576"/>
      </w:tblGrid>
      <w:tr>
        <w:tblPrEx>
          <w:tblCellMar>
            <w:top w:w="0" w:type="dxa"/>
            <w:left w:w="10" w:type="dxa"/>
            <w:bottom w:w="0" w:type="dxa"/>
            <w:right w:w="10" w:type="dxa"/>
          </w:tblCellMar>
        </w:tblPrEx>
        <w:trPr>
          <w:jc w:val="center"/>
        </w:trPr>
        <w:tc>
          <w:tcPr>
            <w:tcW w:w="9885"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500" w:lineRule="exact"/>
              <w:jc w:val="left"/>
              <w:rPr>
                <w:rFonts w:hint="eastAsia" w:cs="宋体" w:asciiTheme="minorEastAsia" w:hAnsiTheme="minorEastAsia" w:eastAsiaTheme="minorEastAsia"/>
                <w:bCs/>
                <w:caps/>
                <w:sz w:val="28"/>
                <w:szCs w:val="28"/>
                <w:lang w:eastAsia="zh-CN"/>
              </w:rPr>
            </w:pPr>
            <w:r>
              <w:rPr>
                <w:rFonts w:hint="eastAsia" w:cs="宋体" w:asciiTheme="minorEastAsia" w:hAnsiTheme="minorEastAsia"/>
                <w:bCs/>
                <w:caps/>
                <w:sz w:val="28"/>
                <w:szCs w:val="28"/>
              </w:rPr>
              <w:t>致：</w:t>
            </w:r>
            <w:r>
              <w:rPr>
                <w:rFonts w:hint="eastAsia" w:cs="宋体" w:asciiTheme="minorEastAsia" w:hAnsiTheme="minorEastAsia"/>
                <w:bCs/>
                <w:caps/>
                <w:sz w:val="28"/>
                <w:szCs w:val="28"/>
                <w:lang w:eastAsia="zh-CN"/>
              </w:rPr>
              <w:t>万融国际项目管理有限公司</w:t>
            </w:r>
          </w:p>
        </w:tc>
      </w:tr>
      <w:tr>
        <w:tblPrEx>
          <w:tblCellMar>
            <w:top w:w="0" w:type="dxa"/>
            <w:left w:w="10" w:type="dxa"/>
            <w:bottom w:w="0" w:type="dxa"/>
            <w:right w:w="10" w:type="dxa"/>
          </w:tblCellMar>
        </w:tblPrEx>
        <w:trPr>
          <w:jc w:val="center"/>
        </w:trPr>
        <w:tc>
          <w:tcPr>
            <w:tcW w:w="152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被授</w:t>
            </w:r>
          </w:p>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权项</w:t>
            </w:r>
          </w:p>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目与</w:t>
            </w:r>
          </w:p>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内容</w:t>
            </w: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项目名称</w:t>
            </w:r>
          </w:p>
        </w:tc>
        <w:tc>
          <w:tcPr>
            <w:tcW w:w="6828"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500" w:lineRule="exact"/>
              <w:jc w:val="left"/>
              <w:rPr>
                <w:rFonts w:cs="宋体" w:asciiTheme="minorEastAsia" w:hAnsiTheme="minorEastAsia"/>
                <w:bCs/>
                <w:caps/>
                <w:sz w:val="28"/>
                <w:szCs w:val="28"/>
              </w:rPr>
            </w:pPr>
          </w:p>
        </w:tc>
      </w:tr>
      <w:tr>
        <w:tblPrEx>
          <w:tblCellMar>
            <w:top w:w="0" w:type="dxa"/>
            <w:left w:w="10" w:type="dxa"/>
            <w:bottom w:w="0" w:type="dxa"/>
            <w:right w:w="10" w:type="dxa"/>
          </w:tblCellMar>
        </w:tblPrEx>
        <w:trPr>
          <w:jc w:val="center"/>
        </w:trPr>
        <w:tc>
          <w:tcPr>
            <w:tcW w:w="152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cs="宋体" w:asciiTheme="minorEastAsia" w:hAnsiTheme="minorEastAsia"/>
              </w:rPr>
            </w:pP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项目编号</w:t>
            </w:r>
          </w:p>
        </w:tc>
        <w:tc>
          <w:tcPr>
            <w:tcW w:w="6828"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500" w:lineRule="exact"/>
              <w:ind w:firstLine="1400"/>
              <w:jc w:val="left"/>
              <w:rPr>
                <w:rFonts w:cs="宋体" w:asciiTheme="minorEastAsia" w:hAnsiTheme="minorEastAsia"/>
                <w:bCs/>
                <w:caps/>
                <w:sz w:val="28"/>
                <w:szCs w:val="28"/>
              </w:rPr>
            </w:pPr>
          </w:p>
        </w:tc>
      </w:tr>
      <w:tr>
        <w:tblPrEx>
          <w:tblCellMar>
            <w:top w:w="0" w:type="dxa"/>
            <w:left w:w="10" w:type="dxa"/>
            <w:bottom w:w="0" w:type="dxa"/>
            <w:right w:w="10" w:type="dxa"/>
          </w:tblCellMar>
        </w:tblPrEx>
        <w:trPr>
          <w:jc w:val="center"/>
        </w:trPr>
        <w:tc>
          <w:tcPr>
            <w:tcW w:w="152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cs="宋体" w:asciiTheme="minorEastAsia" w:hAnsiTheme="minorEastAsia"/>
              </w:rPr>
            </w:pP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授权范围</w:t>
            </w:r>
          </w:p>
        </w:tc>
        <w:tc>
          <w:tcPr>
            <w:tcW w:w="6828"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400" w:lineRule="exact"/>
              <w:jc w:val="left"/>
              <w:rPr>
                <w:rFonts w:cs="宋体" w:asciiTheme="minorEastAsia" w:hAnsiTheme="minorEastAsia"/>
                <w:bCs/>
                <w:caps/>
                <w:sz w:val="28"/>
                <w:szCs w:val="28"/>
              </w:rPr>
            </w:pPr>
            <w:r>
              <w:rPr>
                <w:rFonts w:hint="eastAsia" w:cs="宋体" w:asciiTheme="minorEastAsia" w:hAnsiTheme="minorEastAsia"/>
                <w:bCs/>
                <w:caps/>
                <w:sz w:val="28"/>
                <w:szCs w:val="28"/>
              </w:rPr>
              <w:t>全权办理本次采购项目的</w:t>
            </w:r>
            <w:r>
              <w:rPr>
                <w:rFonts w:hint="eastAsia" w:cs="宋体" w:asciiTheme="minorEastAsia" w:hAnsiTheme="minorEastAsia"/>
                <w:bCs/>
                <w:sz w:val="28"/>
                <w:szCs w:val="28"/>
              </w:rPr>
              <w:t>磋商</w:t>
            </w:r>
            <w:r>
              <w:rPr>
                <w:rFonts w:hint="eastAsia" w:cs="宋体" w:asciiTheme="minorEastAsia" w:hAnsiTheme="minorEastAsia"/>
                <w:bCs/>
                <w:caps/>
                <w:sz w:val="28"/>
                <w:szCs w:val="28"/>
              </w:rPr>
              <w:t>、联系、洽谈、签约、执行等具体事务，签署全部有关文件、文书、协议及合同。</w:t>
            </w:r>
          </w:p>
        </w:tc>
      </w:tr>
      <w:tr>
        <w:tblPrEx>
          <w:tblCellMar>
            <w:top w:w="0" w:type="dxa"/>
            <w:left w:w="10" w:type="dxa"/>
            <w:bottom w:w="0" w:type="dxa"/>
            <w:right w:w="10" w:type="dxa"/>
          </w:tblCellMar>
        </w:tblPrEx>
        <w:trPr>
          <w:jc w:val="center"/>
        </w:trPr>
        <w:tc>
          <w:tcPr>
            <w:tcW w:w="152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cs="宋体" w:asciiTheme="minorEastAsia" w:hAnsiTheme="minorEastAsia"/>
              </w:rPr>
            </w:pP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法律责任</w:t>
            </w:r>
          </w:p>
        </w:tc>
        <w:tc>
          <w:tcPr>
            <w:tcW w:w="6828"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400" w:lineRule="exact"/>
              <w:jc w:val="left"/>
              <w:rPr>
                <w:rFonts w:cs="宋体" w:asciiTheme="minorEastAsia" w:hAnsiTheme="minorEastAsia"/>
                <w:bCs/>
                <w:caps/>
                <w:sz w:val="28"/>
                <w:szCs w:val="28"/>
              </w:rPr>
            </w:pPr>
            <w:r>
              <w:rPr>
                <w:rFonts w:hint="eastAsia" w:cs="宋体" w:asciiTheme="minorEastAsia" w:hAnsiTheme="minorEastAsia"/>
                <w:bCs/>
                <w:caps/>
                <w:sz w:val="28"/>
                <w:szCs w:val="28"/>
              </w:rPr>
              <w:t>本公司对被授权人在本项目中的签名承担全部法律责任。</w:t>
            </w:r>
          </w:p>
        </w:tc>
      </w:tr>
      <w:tr>
        <w:tblPrEx>
          <w:tblCellMar>
            <w:top w:w="0" w:type="dxa"/>
            <w:left w:w="10" w:type="dxa"/>
            <w:bottom w:w="0" w:type="dxa"/>
            <w:right w:w="10" w:type="dxa"/>
          </w:tblCellMar>
        </w:tblPrEx>
        <w:trPr>
          <w:jc w:val="center"/>
        </w:trPr>
        <w:tc>
          <w:tcPr>
            <w:tcW w:w="152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cs="宋体" w:asciiTheme="minorEastAsia" w:hAnsiTheme="minorEastAsia"/>
              </w:rPr>
            </w:pP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授权期限</w:t>
            </w:r>
          </w:p>
        </w:tc>
        <w:tc>
          <w:tcPr>
            <w:tcW w:w="6828"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rPr>
                <w:rFonts w:cs="宋体" w:asciiTheme="minorEastAsia" w:hAnsiTheme="minorEastAsia"/>
                <w:bCs/>
                <w:caps/>
                <w:sz w:val="28"/>
                <w:szCs w:val="28"/>
              </w:rPr>
            </w:pPr>
            <w:r>
              <w:rPr>
                <w:rFonts w:hint="eastAsia" w:cs="宋体" w:asciiTheme="minorEastAsia" w:hAnsiTheme="minorEastAsia"/>
                <w:bCs/>
                <w:caps/>
                <w:sz w:val="28"/>
                <w:szCs w:val="28"/>
              </w:rPr>
              <w:t>本授权书自</w:t>
            </w:r>
            <w:r>
              <w:rPr>
                <w:rFonts w:hint="eastAsia" w:cs="宋体" w:asciiTheme="minorEastAsia" w:hAnsiTheme="minorEastAsia"/>
                <w:bCs/>
                <w:sz w:val="28"/>
                <w:szCs w:val="28"/>
              </w:rPr>
              <w:t>磋商</w:t>
            </w:r>
            <w:r>
              <w:rPr>
                <w:rFonts w:hint="eastAsia" w:cs="宋体" w:asciiTheme="minorEastAsia" w:hAnsiTheme="minorEastAsia"/>
                <w:bCs/>
                <w:caps/>
                <w:sz w:val="28"/>
                <w:szCs w:val="28"/>
              </w:rPr>
              <w:t>之日起计算有效期为90天</w:t>
            </w:r>
          </w:p>
        </w:tc>
      </w:tr>
      <w:tr>
        <w:tblPrEx>
          <w:tblCellMar>
            <w:top w:w="0" w:type="dxa"/>
            <w:left w:w="10" w:type="dxa"/>
            <w:bottom w:w="0" w:type="dxa"/>
            <w:right w:w="10" w:type="dxa"/>
          </w:tblCellMar>
        </w:tblPrEx>
        <w:trPr>
          <w:trHeight w:val="500" w:hRule="atLeast"/>
          <w:jc w:val="center"/>
        </w:trPr>
        <w:tc>
          <w:tcPr>
            <w:tcW w:w="152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企业信息</w:t>
            </w:r>
          </w:p>
        </w:tc>
        <w:tc>
          <w:tcPr>
            <w:tcW w:w="255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4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企 业 名 称</w:t>
            </w:r>
          </w:p>
        </w:tc>
        <w:tc>
          <w:tcPr>
            <w:tcW w:w="581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rPr>
                <w:rFonts w:cs="宋体" w:asciiTheme="minorEastAsia" w:hAnsiTheme="minorEastAsia"/>
                <w:bCs/>
                <w:caps/>
                <w:sz w:val="28"/>
                <w:szCs w:val="28"/>
              </w:rPr>
            </w:pPr>
          </w:p>
        </w:tc>
      </w:tr>
      <w:tr>
        <w:tblPrEx>
          <w:tblCellMar>
            <w:top w:w="0" w:type="dxa"/>
            <w:left w:w="10" w:type="dxa"/>
            <w:bottom w:w="0" w:type="dxa"/>
            <w:right w:w="10" w:type="dxa"/>
          </w:tblCellMar>
        </w:tblPrEx>
        <w:trPr>
          <w:trHeight w:val="500" w:hRule="atLeast"/>
          <w:jc w:val="center"/>
        </w:trPr>
        <w:tc>
          <w:tcPr>
            <w:tcW w:w="152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cs="宋体" w:asciiTheme="minorEastAsia" w:hAnsiTheme="minorEastAsia"/>
              </w:rPr>
            </w:pPr>
          </w:p>
        </w:tc>
        <w:tc>
          <w:tcPr>
            <w:tcW w:w="255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4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法 定 地 址</w:t>
            </w:r>
          </w:p>
        </w:tc>
        <w:tc>
          <w:tcPr>
            <w:tcW w:w="581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rPr>
                <w:rFonts w:cs="宋体" w:asciiTheme="minorEastAsia" w:hAnsiTheme="minorEastAsia"/>
                <w:bCs/>
                <w:caps/>
                <w:sz w:val="28"/>
                <w:szCs w:val="28"/>
              </w:rPr>
            </w:pPr>
          </w:p>
        </w:tc>
      </w:tr>
      <w:tr>
        <w:tblPrEx>
          <w:tblCellMar>
            <w:top w:w="0" w:type="dxa"/>
            <w:left w:w="10" w:type="dxa"/>
            <w:bottom w:w="0" w:type="dxa"/>
            <w:right w:w="10" w:type="dxa"/>
          </w:tblCellMar>
        </w:tblPrEx>
        <w:trPr>
          <w:trHeight w:val="500" w:hRule="atLeast"/>
          <w:jc w:val="center"/>
        </w:trPr>
        <w:tc>
          <w:tcPr>
            <w:tcW w:w="152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cs="宋体" w:asciiTheme="minorEastAsia" w:hAnsiTheme="minorEastAsia"/>
              </w:rPr>
            </w:pPr>
          </w:p>
        </w:tc>
        <w:tc>
          <w:tcPr>
            <w:tcW w:w="255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4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营业执照注册证号</w:t>
            </w:r>
          </w:p>
        </w:tc>
        <w:tc>
          <w:tcPr>
            <w:tcW w:w="581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rPr>
                <w:rFonts w:cs="宋体" w:asciiTheme="minorEastAsia" w:hAnsiTheme="minorEastAsia"/>
                <w:bCs/>
                <w:caps/>
                <w:sz w:val="28"/>
                <w:szCs w:val="28"/>
              </w:rPr>
            </w:pPr>
          </w:p>
        </w:tc>
      </w:tr>
      <w:tr>
        <w:tblPrEx>
          <w:tblCellMar>
            <w:top w:w="0" w:type="dxa"/>
            <w:left w:w="10" w:type="dxa"/>
            <w:bottom w:w="0" w:type="dxa"/>
            <w:right w:w="10" w:type="dxa"/>
          </w:tblCellMar>
        </w:tblPrEx>
        <w:trPr>
          <w:trHeight w:val="500" w:hRule="atLeast"/>
          <w:jc w:val="center"/>
        </w:trPr>
        <w:tc>
          <w:tcPr>
            <w:tcW w:w="152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法定</w:t>
            </w:r>
          </w:p>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代表人</w:t>
            </w: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姓名</w:t>
            </w:r>
          </w:p>
        </w:tc>
        <w:tc>
          <w:tcPr>
            <w:tcW w:w="269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性别</w:t>
            </w:r>
          </w:p>
        </w:tc>
        <w:tc>
          <w:tcPr>
            <w:tcW w:w="2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p>
        </w:tc>
      </w:tr>
      <w:tr>
        <w:tblPrEx>
          <w:tblCellMar>
            <w:top w:w="0" w:type="dxa"/>
            <w:left w:w="10" w:type="dxa"/>
            <w:bottom w:w="0" w:type="dxa"/>
            <w:right w:w="10" w:type="dxa"/>
          </w:tblCellMar>
        </w:tblPrEx>
        <w:trPr>
          <w:trHeight w:val="500" w:hRule="atLeast"/>
          <w:jc w:val="center"/>
        </w:trPr>
        <w:tc>
          <w:tcPr>
            <w:tcW w:w="152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cs="宋体" w:asciiTheme="minorEastAsia" w:hAnsiTheme="minorEastAsia"/>
              </w:rPr>
            </w:pP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职务</w:t>
            </w:r>
          </w:p>
        </w:tc>
        <w:tc>
          <w:tcPr>
            <w:tcW w:w="269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jc w:val="center"/>
              <w:rPr>
                <w:rFonts w:cs="宋体" w:asciiTheme="minorEastAsia" w:hAnsiTheme="minorEastAsia"/>
                <w:bCs/>
                <w:caps/>
                <w:sz w:val="28"/>
                <w:szCs w:val="28"/>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手机号码</w:t>
            </w:r>
          </w:p>
        </w:tc>
        <w:tc>
          <w:tcPr>
            <w:tcW w:w="2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rPr>
                <w:rFonts w:cs="宋体" w:asciiTheme="minorEastAsia" w:hAnsiTheme="minorEastAsia"/>
                <w:bCs/>
                <w:caps/>
                <w:sz w:val="28"/>
                <w:szCs w:val="28"/>
              </w:rPr>
            </w:pPr>
          </w:p>
        </w:tc>
      </w:tr>
      <w:tr>
        <w:tblPrEx>
          <w:tblCellMar>
            <w:top w:w="0" w:type="dxa"/>
            <w:left w:w="10" w:type="dxa"/>
            <w:bottom w:w="0" w:type="dxa"/>
            <w:right w:w="10" w:type="dxa"/>
          </w:tblCellMar>
        </w:tblPrEx>
        <w:trPr>
          <w:trHeight w:val="500" w:hRule="atLeast"/>
          <w:jc w:val="center"/>
        </w:trPr>
        <w:tc>
          <w:tcPr>
            <w:tcW w:w="152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被授权人</w:t>
            </w: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姓名</w:t>
            </w:r>
          </w:p>
        </w:tc>
        <w:tc>
          <w:tcPr>
            <w:tcW w:w="269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性别</w:t>
            </w:r>
          </w:p>
        </w:tc>
        <w:tc>
          <w:tcPr>
            <w:tcW w:w="2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p>
        </w:tc>
      </w:tr>
      <w:tr>
        <w:tblPrEx>
          <w:tblCellMar>
            <w:top w:w="0" w:type="dxa"/>
            <w:left w:w="10" w:type="dxa"/>
            <w:bottom w:w="0" w:type="dxa"/>
            <w:right w:w="10" w:type="dxa"/>
          </w:tblCellMar>
        </w:tblPrEx>
        <w:trPr>
          <w:trHeight w:val="500" w:hRule="atLeast"/>
          <w:jc w:val="center"/>
        </w:trPr>
        <w:tc>
          <w:tcPr>
            <w:tcW w:w="152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cs="宋体" w:asciiTheme="minorEastAsia" w:hAnsiTheme="minorEastAsia"/>
              </w:rPr>
            </w:pP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职务</w:t>
            </w:r>
          </w:p>
        </w:tc>
        <w:tc>
          <w:tcPr>
            <w:tcW w:w="269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jc w:val="center"/>
              <w:rPr>
                <w:rFonts w:cs="宋体" w:asciiTheme="minorEastAsia" w:hAnsiTheme="minorEastAsia"/>
                <w:bCs/>
                <w:caps/>
                <w:sz w:val="28"/>
                <w:szCs w:val="28"/>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手机号码</w:t>
            </w:r>
          </w:p>
        </w:tc>
        <w:tc>
          <w:tcPr>
            <w:tcW w:w="2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400" w:lineRule="exact"/>
              <w:rPr>
                <w:rFonts w:cs="宋体" w:asciiTheme="minorEastAsia" w:hAnsiTheme="minorEastAsia"/>
                <w:bCs/>
                <w:caps/>
                <w:sz w:val="28"/>
                <w:szCs w:val="28"/>
              </w:rPr>
            </w:pPr>
          </w:p>
        </w:tc>
      </w:tr>
      <w:tr>
        <w:tblPrEx>
          <w:tblCellMar>
            <w:top w:w="0" w:type="dxa"/>
            <w:left w:w="10" w:type="dxa"/>
            <w:bottom w:w="0" w:type="dxa"/>
            <w:right w:w="10" w:type="dxa"/>
          </w:tblCellMar>
        </w:tblPrEx>
        <w:trPr>
          <w:trHeight w:val="500" w:hRule="atLeast"/>
          <w:jc w:val="center"/>
        </w:trPr>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通讯地址</w:t>
            </w:r>
          </w:p>
        </w:tc>
        <w:tc>
          <w:tcPr>
            <w:tcW w:w="8363"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500" w:lineRule="exact"/>
              <w:jc w:val="left"/>
              <w:rPr>
                <w:rFonts w:cs="宋体" w:asciiTheme="minorEastAsia" w:hAnsiTheme="minorEastAsia"/>
                <w:bCs/>
                <w:caps/>
                <w:sz w:val="28"/>
                <w:szCs w:val="28"/>
              </w:rPr>
            </w:pPr>
          </w:p>
        </w:tc>
      </w:tr>
      <w:tr>
        <w:tblPrEx>
          <w:tblCellMar>
            <w:top w:w="0" w:type="dxa"/>
            <w:left w:w="10" w:type="dxa"/>
            <w:bottom w:w="0" w:type="dxa"/>
            <w:right w:w="10" w:type="dxa"/>
          </w:tblCellMar>
        </w:tblPrEx>
        <w:trPr>
          <w:trHeight w:val="3226" w:hRule="atLeast"/>
          <w:jc w:val="center"/>
        </w:trPr>
        <w:tc>
          <w:tcPr>
            <w:tcW w:w="494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法定代表人身份证复印件</w:t>
            </w:r>
          </w:p>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二代身份证正、反两面都需复印</w:t>
            </w:r>
          </w:p>
          <w:p>
            <w:pPr>
              <w:tabs>
                <w:tab w:val="right" w:leader="dot" w:pos="9022"/>
              </w:tabs>
              <w:spacing w:line="500" w:lineRule="exact"/>
              <w:jc w:val="center"/>
              <w:rPr>
                <w:rFonts w:cs="宋体" w:asciiTheme="minorEastAsia" w:hAnsiTheme="minorEastAsia"/>
                <w:bCs/>
                <w:caps/>
                <w:sz w:val="28"/>
                <w:szCs w:val="28"/>
              </w:rPr>
            </w:pPr>
          </w:p>
        </w:tc>
        <w:tc>
          <w:tcPr>
            <w:tcW w:w="494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被授权人身份证复印件</w:t>
            </w:r>
          </w:p>
          <w:p>
            <w:pPr>
              <w:tabs>
                <w:tab w:val="right" w:leader="dot" w:pos="9022"/>
              </w:tabs>
              <w:spacing w:line="500" w:lineRule="exact"/>
              <w:jc w:val="center"/>
              <w:rPr>
                <w:rFonts w:cs="宋体" w:asciiTheme="minorEastAsia" w:hAnsiTheme="minorEastAsia"/>
                <w:bCs/>
                <w:caps/>
                <w:sz w:val="28"/>
                <w:szCs w:val="28"/>
              </w:rPr>
            </w:pPr>
            <w:r>
              <w:rPr>
                <w:rFonts w:hint="eastAsia" w:cs="宋体" w:asciiTheme="minorEastAsia" w:hAnsiTheme="minorEastAsia"/>
                <w:bCs/>
                <w:caps/>
                <w:sz w:val="28"/>
                <w:szCs w:val="28"/>
              </w:rPr>
              <w:t>二代身份证正、反两面都需复印</w:t>
            </w:r>
          </w:p>
          <w:p>
            <w:pPr>
              <w:tabs>
                <w:tab w:val="right" w:leader="dot" w:pos="9022"/>
              </w:tabs>
              <w:spacing w:line="500" w:lineRule="exact"/>
              <w:jc w:val="center"/>
              <w:rPr>
                <w:rFonts w:cs="宋体" w:asciiTheme="minorEastAsia" w:hAnsiTheme="minorEastAsia"/>
                <w:bCs/>
                <w:caps/>
                <w:sz w:val="28"/>
                <w:szCs w:val="28"/>
              </w:rPr>
            </w:pPr>
          </w:p>
        </w:tc>
      </w:tr>
      <w:tr>
        <w:tblPrEx>
          <w:tblCellMar>
            <w:top w:w="0" w:type="dxa"/>
            <w:left w:w="10" w:type="dxa"/>
            <w:bottom w:w="0" w:type="dxa"/>
            <w:right w:w="10" w:type="dxa"/>
          </w:tblCellMar>
        </w:tblPrEx>
        <w:trPr>
          <w:trHeight w:val="566" w:hRule="atLeast"/>
          <w:jc w:val="center"/>
        </w:trPr>
        <w:tc>
          <w:tcPr>
            <w:tcW w:w="9885"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left"/>
              <w:rPr>
                <w:rFonts w:cs="宋体" w:asciiTheme="minorEastAsia" w:hAnsiTheme="minorEastAsia"/>
                <w:bCs/>
                <w:caps/>
                <w:sz w:val="28"/>
                <w:szCs w:val="28"/>
              </w:rPr>
            </w:pPr>
            <w:r>
              <w:rPr>
                <w:rFonts w:hint="eastAsia" w:cs="宋体" w:asciiTheme="minorEastAsia" w:hAnsiTheme="minorEastAsia"/>
                <w:bCs/>
                <w:caps/>
                <w:sz w:val="28"/>
                <w:szCs w:val="28"/>
              </w:rPr>
              <w:t>法定代表人及被授权人签字或盖章：</w:t>
            </w:r>
          </w:p>
        </w:tc>
      </w:tr>
    </w:tbl>
    <w:p>
      <w:pPr>
        <w:spacing w:line="480" w:lineRule="exact"/>
        <w:rPr>
          <w:rFonts w:cs="宋体" w:asciiTheme="minorEastAsia" w:hAnsiTheme="minorEastAsia"/>
          <w:bCs/>
          <w:sz w:val="28"/>
          <w:szCs w:val="28"/>
        </w:rPr>
      </w:pPr>
    </w:p>
    <w:p>
      <w:pPr>
        <w:spacing w:line="320" w:lineRule="exact"/>
        <w:rPr>
          <w:rFonts w:cs="宋体" w:asciiTheme="minorEastAsia" w:hAnsiTheme="minorEastAsia"/>
          <w:bCs/>
          <w:sz w:val="28"/>
          <w:szCs w:val="28"/>
        </w:rPr>
        <w:sectPr>
          <w:endnotePr>
            <w:numFmt w:val="decimal"/>
          </w:endnotePr>
          <w:pgSz w:w="11907" w:h="16840"/>
          <w:pgMar w:top="1418" w:right="992" w:bottom="1418" w:left="1418" w:header="851" w:footer="1021" w:gutter="0"/>
          <w:cols w:space="720" w:num="1"/>
          <w:titlePg/>
        </w:sectPr>
      </w:pPr>
      <w:r>
        <w:rPr>
          <w:rFonts w:hint="eastAsia" w:cs="宋体" w:asciiTheme="minorEastAsia" w:hAnsiTheme="minorEastAsia"/>
          <w:bCs/>
          <w:sz w:val="28"/>
          <w:szCs w:val="28"/>
        </w:rPr>
        <w:t>供应商名称：</w:t>
      </w:r>
      <w:r>
        <w:rPr>
          <w:rFonts w:hint="eastAsia" w:cs="宋体" w:asciiTheme="minorEastAsia" w:hAnsiTheme="minorEastAsia"/>
          <w:bCs/>
          <w:sz w:val="28"/>
          <w:szCs w:val="28"/>
          <w:u w:val="single"/>
        </w:rPr>
        <w:t xml:space="preserve">              </w:t>
      </w:r>
      <w:r>
        <w:rPr>
          <w:rFonts w:hint="eastAsia" w:cs="宋体" w:asciiTheme="minorEastAsia" w:hAnsiTheme="minorEastAsia"/>
          <w:bCs/>
          <w:sz w:val="28"/>
          <w:szCs w:val="28"/>
        </w:rPr>
        <w:t>（单位公章）         日 期：</w:t>
      </w:r>
    </w:p>
    <w:p>
      <w:pPr>
        <w:spacing w:line="460" w:lineRule="exact"/>
        <w:jc w:val="center"/>
        <w:rPr>
          <w:rFonts w:hint="eastAsia" w:cs="宋体" w:asciiTheme="minorEastAsia" w:hAnsiTheme="minorEastAsia" w:eastAsiaTheme="minorEastAsia"/>
          <w:b/>
          <w:bCs/>
          <w:kern w:val="1"/>
          <w:sz w:val="28"/>
          <w:szCs w:val="28"/>
          <w:lang w:val="en-US" w:eastAsia="zh-CN" w:bidi="ar-SA"/>
        </w:rPr>
      </w:pPr>
      <w:r>
        <w:rPr>
          <w:rFonts w:hint="eastAsia" w:cs="宋体" w:asciiTheme="minorEastAsia" w:hAnsiTheme="minorEastAsia" w:eastAsiaTheme="minorEastAsia"/>
          <w:b/>
          <w:bCs/>
          <w:kern w:val="1"/>
          <w:sz w:val="28"/>
          <w:szCs w:val="28"/>
          <w:lang w:val="en-US" w:eastAsia="zh-CN" w:bidi="ar-SA"/>
        </w:rPr>
        <w:t>5.技术响应</w:t>
      </w:r>
    </w:p>
    <w:p>
      <w:pPr>
        <w:pStyle w:val="25"/>
        <w:ind w:left="840" w:leftChars="400" w:firstLine="0" w:firstLineChars="0"/>
        <w:rPr>
          <w:rFonts w:cs="宋体" w:asciiTheme="minorEastAsia" w:hAnsiTheme="minorEastAsia"/>
          <w:b/>
          <w:bCs/>
          <w:sz w:val="36"/>
          <w:szCs w:val="36"/>
        </w:rPr>
      </w:pPr>
    </w:p>
    <w:p>
      <w:pPr>
        <w:pStyle w:val="25"/>
        <w:ind w:left="840" w:leftChars="400" w:firstLine="0" w:firstLineChars="0"/>
        <w:rPr>
          <w:rFonts w:cs="宋体" w:asciiTheme="minorEastAsia" w:hAnsiTheme="minorEastAsia"/>
          <w:b/>
          <w:bCs/>
          <w:sz w:val="36"/>
          <w:szCs w:val="36"/>
        </w:rPr>
      </w:pPr>
    </w:p>
    <w:p>
      <w:pPr>
        <w:pStyle w:val="25"/>
        <w:ind w:left="0" w:leftChars="0" w:firstLine="0" w:firstLineChars="0"/>
        <w:jc w:val="center"/>
        <w:rPr>
          <w:rFonts w:cs="宋体" w:asciiTheme="minorEastAsia" w:hAnsiTheme="minorEastAsia"/>
          <w:b/>
          <w:bCs/>
          <w:sz w:val="36"/>
          <w:szCs w:val="36"/>
        </w:rPr>
      </w:pPr>
    </w:p>
    <w:p>
      <w:pPr>
        <w:pStyle w:val="4"/>
        <w:spacing w:before="0" w:after="0" w:line="360" w:lineRule="auto"/>
        <w:jc w:val="center"/>
        <w:rPr>
          <w:rFonts w:cs="宋体" w:asciiTheme="minorEastAsia" w:hAnsiTheme="minorEastAsia" w:eastAsiaTheme="minorEastAsia"/>
          <w:sz w:val="36"/>
          <w:szCs w:val="36"/>
        </w:rPr>
      </w:pPr>
      <w:r>
        <w:rPr>
          <w:rFonts w:hint="eastAsia" w:cs="宋体" w:asciiTheme="minorEastAsia" w:hAnsiTheme="minorEastAsia" w:eastAsiaTheme="minorEastAsia"/>
          <w:sz w:val="36"/>
          <w:szCs w:val="36"/>
          <w:lang w:val="en-US" w:eastAsia="zh-CN"/>
        </w:rPr>
        <w:t xml:space="preserve">  </w:t>
      </w:r>
      <w:r>
        <w:rPr>
          <w:rFonts w:hint="eastAsia" w:cs="宋体" w:asciiTheme="minorEastAsia" w:hAnsiTheme="minorEastAsia" w:eastAsiaTheme="minorEastAsia"/>
          <w:sz w:val="36"/>
          <w:szCs w:val="36"/>
        </w:rPr>
        <w:t>（格式自拟）</w:t>
      </w:r>
    </w:p>
    <w:p>
      <w:pPr>
        <w:pStyle w:val="25"/>
        <w:ind w:left="840" w:leftChars="400" w:firstLine="0" w:firstLineChars="0"/>
        <w:rPr>
          <w:rFonts w:cs="宋体" w:asciiTheme="minorEastAsia" w:hAnsiTheme="minorEastAsia"/>
          <w:b/>
          <w:bCs/>
          <w:sz w:val="36"/>
          <w:szCs w:val="36"/>
        </w:rPr>
      </w:pPr>
    </w:p>
    <w:p>
      <w:pPr>
        <w:pStyle w:val="25"/>
        <w:ind w:left="840" w:leftChars="400" w:firstLine="0" w:firstLineChars="0"/>
        <w:rPr>
          <w:rFonts w:asciiTheme="minorEastAsia" w:hAnsiTheme="minorEastAsia"/>
          <w:color w:val="0000FF"/>
        </w:rPr>
      </w:pPr>
    </w:p>
    <w:p>
      <w:pPr>
        <w:pStyle w:val="25"/>
        <w:ind w:left="840" w:leftChars="400" w:firstLine="0" w:firstLineChars="0"/>
        <w:rPr>
          <w:rFonts w:asciiTheme="minorEastAsia" w:hAnsiTheme="minorEastAsia"/>
          <w:color w:val="0000FF"/>
        </w:rPr>
      </w:pPr>
    </w:p>
    <w:bookmarkEnd w:id="556"/>
    <w:p>
      <w:pPr>
        <w:rPr>
          <w:rFonts w:cs="宋体" w:asciiTheme="minorEastAsia" w:hAnsiTheme="minorEastAsia"/>
          <w:b/>
          <w:bCs/>
          <w:sz w:val="28"/>
          <w:szCs w:val="32"/>
        </w:rPr>
      </w:pPr>
      <w:bookmarkStart w:id="558" w:name="_Toc32388_WPSOffice_Level1"/>
      <w:bookmarkStart w:id="559" w:name="_Toc5888429"/>
      <w:r>
        <w:rPr>
          <w:rFonts w:hint="eastAsia" w:cs="宋体" w:asciiTheme="minorEastAsia" w:hAnsiTheme="minorEastAsia"/>
          <w:b/>
          <w:bCs/>
          <w:sz w:val="28"/>
          <w:szCs w:val="32"/>
        </w:rPr>
        <w:br w:type="page"/>
      </w:r>
    </w:p>
    <w:p>
      <w:pPr>
        <w:pStyle w:val="4"/>
        <w:spacing w:line="460" w:lineRule="exact"/>
        <w:rPr>
          <w:rFonts w:ascii="宋体" w:hAnsi="宋体" w:cs="宋体"/>
          <w:sz w:val="28"/>
          <w:szCs w:val="28"/>
        </w:rPr>
      </w:pPr>
      <w:r>
        <w:rPr>
          <w:rFonts w:hint="eastAsia" w:ascii="宋体" w:hAnsi="宋体" w:eastAsia="宋体" w:cs="宋体"/>
          <w:sz w:val="28"/>
          <w:szCs w:val="28"/>
          <w:lang w:val="en-US" w:eastAsia="zh-CN"/>
        </w:rPr>
        <w:t>6</w:t>
      </w:r>
      <w:r>
        <w:rPr>
          <w:rFonts w:hint="eastAsia" w:ascii="宋体" w:hAnsi="宋体" w:cs="宋体"/>
          <w:sz w:val="28"/>
          <w:szCs w:val="28"/>
        </w:rPr>
        <w:t>. 提供企业近三年市级</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县级</w:t>
      </w:r>
      <w:r>
        <w:rPr>
          <w:rFonts w:hint="eastAsia" w:ascii="宋体" w:hAnsi="宋体" w:cs="宋体"/>
          <w:sz w:val="28"/>
          <w:szCs w:val="28"/>
        </w:rPr>
        <w:t>公路信息化平台类似相关业绩（格式自拟）</w:t>
      </w:r>
    </w:p>
    <w:p>
      <w:pPr>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br w:type="page"/>
      </w:r>
    </w:p>
    <w:p>
      <w:pPr>
        <w:pStyle w:val="4"/>
        <w:spacing w:before="0" w:after="0" w:line="360" w:lineRule="auto"/>
        <w:jc w:val="both"/>
        <w:rPr>
          <w:rFonts w:hint="eastAsia" w:cs="宋体" w:asciiTheme="minorEastAsia" w:hAnsiTheme="minorEastAsia" w:eastAsiaTheme="minorEastAsia"/>
          <w:sz w:val="28"/>
          <w:szCs w:val="28"/>
          <w:lang w:val="en-US" w:eastAsia="zh-CN"/>
        </w:rPr>
        <w:sectPr>
          <w:headerReference r:id="rId24" w:type="first"/>
          <w:footerReference r:id="rId26" w:type="first"/>
          <w:headerReference r:id="rId23" w:type="default"/>
          <w:footerReference r:id="rId25" w:type="default"/>
          <w:endnotePr>
            <w:numFmt w:val="decimal"/>
          </w:endnotePr>
          <w:pgSz w:w="11907" w:h="16840"/>
          <w:pgMar w:top="1418" w:right="992" w:bottom="1418" w:left="1418" w:header="851" w:footer="1021" w:gutter="0"/>
          <w:cols w:space="720" w:num="1"/>
          <w:titlePg/>
        </w:sectPr>
      </w:pPr>
      <w:r>
        <w:rPr>
          <w:rFonts w:hint="eastAsia" w:cs="宋体" w:asciiTheme="minorEastAsia" w:hAnsiTheme="minorEastAsia" w:eastAsiaTheme="minorEastAsia"/>
          <w:sz w:val="28"/>
          <w:szCs w:val="28"/>
          <w:lang w:val="en-US" w:eastAsia="zh-CN"/>
        </w:rPr>
        <w:t>7．供应商认为有必要补充说明的事宜（格式自拟）</w:t>
      </w:r>
    </w:p>
    <w:p>
      <w:pPr>
        <w:pStyle w:val="4"/>
        <w:spacing w:before="0" w:after="0" w:line="360"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val="en-US" w:eastAsia="zh-CN"/>
        </w:rPr>
        <w:t>8</w:t>
      </w:r>
      <w:r>
        <w:rPr>
          <w:rFonts w:hint="eastAsia" w:cs="宋体" w:asciiTheme="minorEastAsia" w:hAnsiTheme="minorEastAsia" w:eastAsiaTheme="minorEastAsia"/>
          <w:sz w:val="28"/>
          <w:szCs w:val="28"/>
        </w:rPr>
        <w:t>.磋商声明书</w:t>
      </w:r>
      <w:bookmarkEnd w:id="558"/>
      <w:bookmarkEnd w:id="559"/>
    </w:p>
    <w:p>
      <w:pPr>
        <w:pStyle w:val="49"/>
        <w:spacing w:line="500" w:lineRule="exact"/>
        <w:ind w:firstLine="618"/>
        <w:rPr>
          <w:rFonts w:cs="宋体" w:asciiTheme="minorEastAsia" w:hAnsiTheme="minorEastAsia" w:eastAsiaTheme="minorEastAsia"/>
          <w:szCs w:val="28"/>
        </w:rPr>
      </w:pPr>
      <w:r>
        <w:rPr>
          <w:rFonts w:hint="eastAsia" w:cs="宋体" w:asciiTheme="minorEastAsia" w:hAnsiTheme="minorEastAsia" w:eastAsiaTheme="minorEastAsia"/>
          <w:szCs w:val="28"/>
        </w:rPr>
        <w:t>致：</w:t>
      </w:r>
      <w:r>
        <w:rPr>
          <w:rFonts w:hint="eastAsia" w:cs="宋体" w:asciiTheme="minorEastAsia" w:hAnsiTheme="minorEastAsia" w:eastAsiaTheme="minorEastAsia"/>
          <w:szCs w:val="28"/>
          <w:lang w:eastAsia="zh-CN"/>
        </w:rPr>
        <w:t>万融国际项目管理有限公司</w:t>
      </w:r>
      <w:r>
        <w:rPr>
          <w:rFonts w:hint="eastAsia" w:cs="宋体" w:asciiTheme="minorEastAsia" w:hAnsiTheme="minorEastAsia" w:eastAsiaTheme="minorEastAsia"/>
          <w:szCs w:val="28"/>
        </w:rPr>
        <w:t>我公司</w:t>
      </w:r>
      <w:r>
        <w:rPr>
          <w:rFonts w:hint="eastAsia" w:cs="宋体" w:asciiTheme="minorEastAsia" w:hAnsiTheme="minorEastAsia" w:eastAsiaTheme="minorEastAsia"/>
          <w:szCs w:val="28"/>
          <w:u w:val="single"/>
        </w:rPr>
        <w:t xml:space="preserve">     （供应商名称）     </w:t>
      </w:r>
      <w:r>
        <w:rPr>
          <w:rFonts w:hint="eastAsia" w:cs="宋体" w:asciiTheme="minorEastAsia" w:hAnsiTheme="minorEastAsia" w:eastAsiaTheme="minorEastAsia"/>
          <w:szCs w:val="28"/>
        </w:rPr>
        <w:t>，就参加</w:t>
      </w:r>
      <w:r>
        <w:rPr>
          <w:rFonts w:hint="eastAsia" w:cs="宋体" w:asciiTheme="minorEastAsia" w:hAnsiTheme="minorEastAsia" w:eastAsiaTheme="minorEastAsia"/>
          <w:szCs w:val="28"/>
          <w:u w:val="single"/>
        </w:rPr>
        <w:t xml:space="preserve">    （采购项目名称）    </w:t>
      </w:r>
      <w:r>
        <w:rPr>
          <w:rFonts w:hint="eastAsia" w:cs="宋体" w:asciiTheme="minorEastAsia" w:hAnsiTheme="minorEastAsia" w:eastAsiaTheme="minorEastAsia"/>
          <w:szCs w:val="28"/>
        </w:rPr>
        <w:t>（项目编号：）磋商事宜，在此郑重声明：</w:t>
      </w:r>
    </w:p>
    <w:p>
      <w:pPr>
        <w:pStyle w:val="49"/>
        <w:spacing w:line="500" w:lineRule="exact"/>
        <w:ind w:firstLine="618"/>
        <w:rPr>
          <w:rFonts w:cs="宋体" w:asciiTheme="minorEastAsia" w:hAnsiTheme="minorEastAsia" w:eastAsiaTheme="minorEastAsia"/>
          <w:szCs w:val="28"/>
        </w:rPr>
      </w:pPr>
      <w:r>
        <w:rPr>
          <w:rFonts w:hint="eastAsia" w:cs="宋体" w:asciiTheme="minorEastAsia" w:hAnsiTheme="minorEastAsia" w:eastAsiaTheme="minorEastAsia"/>
          <w:szCs w:val="28"/>
        </w:rPr>
        <w:t>1、我公司所提交的磋商响应文件全部真实有效；</w:t>
      </w:r>
    </w:p>
    <w:p>
      <w:pPr>
        <w:pStyle w:val="49"/>
        <w:spacing w:line="500" w:lineRule="exact"/>
        <w:ind w:firstLine="618"/>
        <w:rPr>
          <w:rFonts w:cs="宋体" w:asciiTheme="minorEastAsia" w:hAnsiTheme="minorEastAsia" w:eastAsiaTheme="minorEastAsia"/>
          <w:szCs w:val="28"/>
        </w:rPr>
      </w:pPr>
      <w:r>
        <w:rPr>
          <w:rFonts w:hint="eastAsia" w:cs="宋体" w:asciiTheme="minorEastAsia" w:hAnsiTheme="minorEastAsia" w:eastAsiaTheme="minorEastAsia"/>
          <w:szCs w:val="28"/>
        </w:rPr>
        <w:t>2、我公司近3年来无因安全事故、质量事故、磋商违规等不良记录被政府有关部门处罚期内的情形存在；</w:t>
      </w:r>
    </w:p>
    <w:p>
      <w:pPr>
        <w:pStyle w:val="49"/>
        <w:spacing w:line="500" w:lineRule="exact"/>
        <w:ind w:firstLine="618"/>
        <w:rPr>
          <w:rFonts w:cs="宋体" w:asciiTheme="minorEastAsia" w:hAnsiTheme="minorEastAsia" w:eastAsiaTheme="minorEastAsia"/>
          <w:szCs w:val="28"/>
        </w:rPr>
      </w:pPr>
      <w:r>
        <w:rPr>
          <w:rFonts w:hint="eastAsia" w:cs="宋体" w:asciiTheme="minorEastAsia" w:hAnsiTheme="minorEastAsia" w:eastAsiaTheme="minorEastAsia"/>
          <w:szCs w:val="28"/>
        </w:rPr>
        <w:t>3、我公司近3年来无违规违法经营受到责令停产（或停止经营）、吊销生产许可证（或经营许可证）、较大数额罚款等行政处罚的情形存在；</w:t>
      </w:r>
    </w:p>
    <w:p>
      <w:pPr>
        <w:pStyle w:val="49"/>
        <w:spacing w:line="500" w:lineRule="exact"/>
        <w:ind w:firstLine="618"/>
        <w:rPr>
          <w:rFonts w:cs="宋体" w:asciiTheme="minorEastAsia" w:hAnsiTheme="minorEastAsia" w:eastAsiaTheme="minorEastAsia"/>
          <w:szCs w:val="28"/>
        </w:rPr>
      </w:pPr>
      <w:r>
        <w:rPr>
          <w:rFonts w:hint="eastAsia" w:cs="宋体" w:asciiTheme="minorEastAsia" w:hAnsiTheme="minorEastAsia" w:eastAsiaTheme="minorEastAsia"/>
          <w:szCs w:val="28"/>
        </w:rPr>
        <w:t>4、我公司无企业财产被查封、冻结或处于破产状态或严重亏损状态等情形存在；</w:t>
      </w:r>
    </w:p>
    <w:p>
      <w:pPr>
        <w:pStyle w:val="49"/>
        <w:spacing w:line="500" w:lineRule="exact"/>
        <w:ind w:firstLine="618"/>
        <w:rPr>
          <w:rFonts w:cs="宋体" w:asciiTheme="minorEastAsia" w:hAnsiTheme="minorEastAsia" w:eastAsiaTheme="minorEastAsia"/>
          <w:szCs w:val="28"/>
        </w:rPr>
      </w:pPr>
      <w:r>
        <w:rPr>
          <w:rFonts w:hint="eastAsia" w:cs="宋体" w:asciiTheme="minorEastAsia" w:hAnsiTheme="minorEastAsia" w:eastAsiaTheme="minorEastAsia"/>
          <w:szCs w:val="28"/>
        </w:rPr>
        <w:t>5、我公司承诺在磋商过程中，保证不与其他单位围标、串标，不出让磋商资格，不采取不正当手段、排挤其他供应商，不向采购代理机构、评审委员会成员行贿。</w:t>
      </w:r>
    </w:p>
    <w:p>
      <w:pPr>
        <w:pStyle w:val="49"/>
        <w:spacing w:line="500" w:lineRule="exact"/>
        <w:ind w:firstLine="618"/>
        <w:rPr>
          <w:rFonts w:cs="宋体" w:asciiTheme="minorEastAsia" w:hAnsiTheme="minorEastAsia" w:eastAsiaTheme="minorEastAsia"/>
          <w:szCs w:val="28"/>
        </w:rPr>
      </w:pPr>
      <w:r>
        <w:rPr>
          <w:rFonts w:hint="eastAsia" w:cs="宋体" w:asciiTheme="minorEastAsia" w:hAnsiTheme="minorEastAsia" w:eastAsiaTheme="minorEastAsia"/>
          <w:szCs w:val="28"/>
        </w:rPr>
        <w:t>以上声明若违反，一经查实，本公司愿意接受政府有关部门的相应处罚，并愿意承担由此带来的法律后果。</w:t>
      </w:r>
    </w:p>
    <w:p>
      <w:pPr>
        <w:pStyle w:val="49"/>
        <w:spacing w:line="500" w:lineRule="exact"/>
        <w:ind w:firstLine="618"/>
        <w:rPr>
          <w:rFonts w:cs="宋体" w:asciiTheme="minorEastAsia" w:hAnsiTheme="minorEastAsia" w:eastAsiaTheme="minorEastAsia"/>
          <w:szCs w:val="28"/>
        </w:rPr>
      </w:pPr>
    </w:p>
    <w:p>
      <w:pPr>
        <w:pStyle w:val="49"/>
        <w:spacing w:line="500" w:lineRule="exact"/>
        <w:ind w:firstLine="478"/>
        <w:rPr>
          <w:rFonts w:cs="宋体" w:asciiTheme="minorEastAsia" w:hAnsiTheme="minorEastAsia" w:eastAsiaTheme="minorEastAsia"/>
          <w:szCs w:val="28"/>
        </w:rPr>
      </w:pPr>
      <w:r>
        <w:rPr>
          <w:rFonts w:hint="eastAsia" w:cs="宋体" w:asciiTheme="minorEastAsia" w:hAnsiTheme="minorEastAsia" w:eastAsiaTheme="minorEastAsia"/>
          <w:szCs w:val="28"/>
        </w:rPr>
        <w:t>特此声明！</w:t>
      </w:r>
    </w:p>
    <w:p>
      <w:pPr>
        <w:pStyle w:val="49"/>
        <w:spacing w:line="500" w:lineRule="exact"/>
        <w:ind w:firstLine="478"/>
        <w:rPr>
          <w:rFonts w:cs="宋体" w:asciiTheme="minorEastAsia" w:hAnsiTheme="minorEastAsia" w:eastAsiaTheme="minorEastAsia"/>
          <w:szCs w:val="28"/>
        </w:rPr>
      </w:pPr>
      <w:r>
        <w:rPr>
          <w:rFonts w:hint="eastAsia" w:cs="宋体" w:asciiTheme="minorEastAsia" w:hAnsiTheme="minorEastAsia" w:eastAsiaTheme="minorEastAsia"/>
          <w:szCs w:val="28"/>
        </w:rPr>
        <w:t>声  明  人：      （供应商名称、公章）</w:t>
      </w:r>
    </w:p>
    <w:p>
      <w:pPr>
        <w:pStyle w:val="49"/>
        <w:spacing w:line="500" w:lineRule="exact"/>
        <w:ind w:firstLine="478"/>
        <w:rPr>
          <w:rFonts w:cs="宋体" w:asciiTheme="minorEastAsia" w:hAnsiTheme="minorEastAsia" w:eastAsiaTheme="minorEastAsia"/>
          <w:szCs w:val="28"/>
        </w:rPr>
      </w:pPr>
      <w:r>
        <w:rPr>
          <w:rFonts w:hint="eastAsia" w:cs="宋体" w:asciiTheme="minorEastAsia" w:hAnsiTheme="minorEastAsia" w:eastAsiaTheme="minorEastAsia"/>
          <w:szCs w:val="28"/>
        </w:rPr>
        <w:t>法定代表人或被授权人：      （签字或盖章）</w:t>
      </w:r>
    </w:p>
    <w:p>
      <w:pPr>
        <w:pStyle w:val="49"/>
        <w:spacing w:line="500" w:lineRule="exact"/>
        <w:ind w:firstLine="478"/>
        <w:rPr>
          <w:rFonts w:cs="宋体" w:asciiTheme="minorEastAsia" w:hAnsiTheme="minorEastAsia" w:eastAsiaTheme="minorEastAsia"/>
          <w:szCs w:val="28"/>
          <w:u w:val="single"/>
        </w:rPr>
      </w:pPr>
      <w:r>
        <w:rPr>
          <w:rFonts w:hint="eastAsia" w:cs="宋体" w:asciiTheme="minorEastAsia" w:hAnsiTheme="minorEastAsia" w:eastAsiaTheme="minorEastAsia"/>
          <w:szCs w:val="28"/>
        </w:rPr>
        <w:t>日      期：</w:t>
      </w:r>
    </w:p>
    <w:p>
      <w:pPr>
        <w:pStyle w:val="49"/>
        <w:spacing w:line="500" w:lineRule="exact"/>
        <w:ind w:firstLine="0"/>
        <w:rPr>
          <w:rFonts w:cs="宋体" w:asciiTheme="minorEastAsia" w:hAnsiTheme="minorEastAsia" w:eastAsiaTheme="minorEastAsia"/>
          <w:szCs w:val="28"/>
          <w:u w:val="single"/>
        </w:rPr>
      </w:pPr>
    </w:p>
    <w:p>
      <w:pPr>
        <w:pStyle w:val="49"/>
        <w:spacing w:line="500" w:lineRule="exact"/>
        <w:rPr>
          <w:rFonts w:cs="宋体" w:asciiTheme="minorEastAsia" w:hAnsiTheme="minorEastAsia" w:eastAsiaTheme="minorEastAsia"/>
          <w:szCs w:val="28"/>
          <w:u w:val="single"/>
        </w:rPr>
        <w:sectPr>
          <w:endnotePr>
            <w:numFmt w:val="decimal"/>
          </w:endnotePr>
          <w:pgSz w:w="11907" w:h="16840"/>
          <w:pgMar w:top="1418" w:right="992" w:bottom="1418" w:left="1418" w:header="851" w:footer="1021" w:gutter="0"/>
          <w:cols w:space="720" w:num="1"/>
          <w:titlePg/>
        </w:sectPr>
      </w:pPr>
    </w:p>
    <w:p>
      <w:pPr>
        <w:pStyle w:val="4"/>
        <w:spacing w:before="0" w:after="0" w:line="360" w:lineRule="auto"/>
        <w:rPr>
          <w:rFonts w:cs="宋体" w:asciiTheme="minorEastAsia" w:hAnsiTheme="minorEastAsia" w:eastAsiaTheme="minorEastAsia"/>
          <w:sz w:val="28"/>
          <w:szCs w:val="28"/>
        </w:rPr>
      </w:pPr>
      <w:bookmarkStart w:id="560" w:name="_Toc23544_WPSOffice_Level1"/>
      <w:bookmarkStart w:id="561" w:name="_Toc14743_WPSOffice_Level1"/>
      <w:bookmarkStart w:id="562" w:name="_Toc2782_WPSOffice_Level1"/>
      <w:bookmarkStart w:id="563" w:name="_Toc5888431"/>
      <w:r>
        <w:rPr>
          <w:rFonts w:hint="eastAsia" w:cs="宋体" w:asciiTheme="minorEastAsia" w:hAnsiTheme="minorEastAsia" w:eastAsiaTheme="minorEastAsia"/>
          <w:sz w:val="28"/>
          <w:szCs w:val="28"/>
          <w:lang w:val="en-US" w:eastAsia="zh-CN"/>
        </w:rPr>
        <w:t>9</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《拒绝政府采购领域商业贿赂承诺书》（格式）</w:t>
      </w:r>
      <w:bookmarkEnd w:id="560"/>
      <w:bookmarkEnd w:id="561"/>
      <w:bookmarkEnd w:id="562"/>
    </w:p>
    <w:p>
      <w:pPr>
        <w:widowControl/>
        <w:spacing w:line="480" w:lineRule="exact"/>
        <w:jc w:val="center"/>
        <w:rPr>
          <w:rFonts w:cs="宋体" w:asciiTheme="minorEastAsia" w:hAnsiTheme="minorEastAsia"/>
          <w:b/>
          <w:bCs/>
          <w:sz w:val="28"/>
          <w:szCs w:val="28"/>
        </w:rPr>
      </w:pPr>
      <w:r>
        <w:rPr>
          <w:rFonts w:hint="eastAsia" w:cs="宋体" w:asciiTheme="minorEastAsia" w:hAnsiTheme="minorEastAsia"/>
          <w:b/>
          <w:bCs/>
          <w:sz w:val="28"/>
          <w:szCs w:val="28"/>
        </w:rPr>
        <w:t>陕西省政府采购供应商</w:t>
      </w:r>
    </w:p>
    <w:p>
      <w:pPr>
        <w:widowControl/>
        <w:spacing w:line="480" w:lineRule="exact"/>
        <w:jc w:val="center"/>
        <w:rPr>
          <w:rFonts w:cs="宋体" w:asciiTheme="minorEastAsia" w:hAnsiTheme="minorEastAsia"/>
          <w:b/>
          <w:bCs/>
          <w:sz w:val="28"/>
          <w:szCs w:val="28"/>
        </w:rPr>
      </w:pPr>
      <w:r>
        <w:rPr>
          <w:rFonts w:hint="eastAsia" w:cs="宋体" w:asciiTheme="minorEastAsia" w:hAnsiTheme="minorEastAsia"/>
          <w:b/>
          <w:bCs/>
          <w:sz w:val="28"/>
          <w:szCs w:val="28"/>
        </w:rPr>
        <w:t>拒绝政府采购领域商业贿赂承诺书</w:t>
      </w:r>
    </w:p>
    <w:p>
      <w:pPr>
        <w:widowControl/>
        <w:spacing w:line="520" w:lineRule="exact"/>
        <w:ind w:firstLine="708"/>
        <w:jc w:val="left"/>
        <w:rPr>
          <w:rFonts w:cs="宋体" w:asciiTheme="minorEastAsia" w:hAnsiTheme="minorEastAsia"/>
          <w:sz w:val="28"/>
          <w:szCs w:val="28"/>
        </w:rPr>
      </w:pPr>
      <w:r>
        <w:rPr>
          <w:rFonts w:hint="eastAsia" w:cs="宋体" w:asciiTheme="minorEastAsia" w:hAnsiTheme="minorEastAsia"/>
          <w:sz w:val="28"/>
          <w:szCs w:val="28"/>
        </w:rPr>
        <w:t>为响应党中央、国务院关于治理政府采购领域商业贿赂行为的号召，我单位在此庄严承诺：</w:t>
      </w:r>
    </w:p>
    <w:p>
      <w:pPr>
        <w:widowControl/>
        <w:numPr>
          <w:ilvl w:val="0"/>
          <w:numId w:val="6"/>
        </w:numPr>
        <w:spacing w:line="520" w:lineRule="exact"/>
        <w:ind w:firstLine="708"/>
        <w:jc w:val="left"/>
        <w:rPr>
          <w:rFonts w:cs="宋体" w:asciiTheme="minorEastAsia" w:hAnsiTheme="minorEastAsia"/>
          <w:sz w:val="28"/>
          <w:szCs w:val="28"/>
        </w:rPr>
      </w:pPr>
      <w:r>
        <w:rPr>
          <w:rFonts w:hint="eastAsia" w:cs="宋体" w:asciiTheme="minorEastAsia" w:hAnsiTheme="minorEastAsia"/>
          <w:sz w:val="28"/>
          <w:szCs w:val="28"/>
        </w:rPr>
        <w:t>在参与政府采购活动中遵纪守法、诚信经营、公平竞标。</w:t>
      </w:r>
    </w:p>
    <w:p>
      <w:pPr>
        <w:widowControl/>
        <w:numPr>
          <w:ilvl w:val="0"/>
          <w:numId w:val="6"/>
        </w:numPr>
        <w:spacing w:line="520" w:lineRule="exact"/>
        <w:ind w:firstLine="708"/>
        <w:jc w:val="left"/>
        <w:rPr>
          <w:rFonts w:cs="宋体" w:asciiTheme="minorEastAsia" w:hAnsiTheme="minorEastAsia"/>
          <w:sz w:val="28"/>
          <w:szCs w:val="28"/>
        </w:rPr>
      </w:pPr>
      <w:r>
        <w:rPr>
          <w:rFonts w:hint="eastAsia" w:cs="宋体" w:asciiTheme="minorEastAsia" w:hAnsiTheme="minorEastAsia"/>
          <w:sz w:val="28"/>
          <w:szCs w:val="28"/>
        </w:rPr>
        <w:t>不向采购人、采购代理机构和政府采购评审专家进行任何形式的商业贿赂以谋取交易机会。</w:t>
      </w:r>
    </w:p>
    <w:p>
      <w:pPr>
        <w:widowControl/>
        <w:numPr>
          <w:ilvl w:val="0"/>
          <w:numId w:val="6"/>
        </w:numPr>
        <w:spacing w:line="520" w:lineRule="exact"/>
        <w:ind w:firstLine="708"/>
        <w:jc w:val="left"/>
        <w:rPr>
          <w:rFonts w:cs="宋体" w:asciiTheme="minorEastAsia" w:hAnsiTheme="minorEastAsia"/>
          <w:sz w:val="28"/>
          <w:szCs w:val="28"/>
        </w:rPr>
      </w:pPr>
      <w:r>
        <w:rPr>
          <w:rFonts w:hint="eastAsia" w:cs="宋体" w:asciiTheme="minorEastAsia" w:hAnsiTheme="minorEastAsia"/>
          <w:sz w:val="28"/>
          <w:szCs w:val="28"/>
        </w:rPr>
        <w:t>不向政府采购代理机构和采购人提供虚假资质文件或采用虚假应标方式参与政府采购市场竞争并谋取中标、成交。</w:t>
      </w:r>
    </w:p>
    <w:p>
      <w:pPr>
        <w:widowControl/>
        <w:numPr>
          <w:ilvl w:val="0"/>
          <w:numId w:val="6"/>
        </w:numPr>
        <w:spacing w:line="520" w:lineRule="exact"/>
        <w:ind w:firstLine="708"/>
        <w:jc w:val="left"/>
        <w:rPr>
          <w:rFonts w:cs="宋体" w:asciiTheme="minorEastAsia" w:hAnsiTheme="minorEastAsia"/>
          <w:sz w:val="28"/>
          <w:szCs w:val="28"/>
        </w:rPr>
      </w:pPr>
      <w:r>
        <w:rPr>
          <w:rFonts w:hint="eastAsia" w:cs="宋体" w:asciiTheme="minorEastAsia" w:hAnsiTheme="minorEastAsia"/>
          <w:sz w:val="28"/>
          <w:szCs w:val="28"/>
        </w:rPr>
        <w:t>不采取“围标、陪标”等商业欺诈手段获得政府采购定单。</w:t>
      </w:r>
    </w:p>
    <w:p>
      <w:pPr>
        <w:widowControl/>
        <w:numPr>
          <w:ilvl w:val="0"/>
          <w:numId w:val="6"/>
        </w:numPr>
        <w:spacing w:line="520" w:lineRule="exact"/>
        <w:ind w:firstLine="708"/>
        <w:jc w:val="left"/>
        <w:rPr>
          <w:rFonts w:cs="宋体" w:asciiTheme="minorEastAsia" w:hAnsiTheme="minorEastAsia"/>
          <w:sz w:val="28"/>
          <w:szCs w:val="28"/>
        </w:rPr>
      </w:pPr>
      <w:r>
        <w:rPr>
          <w:rFonts w:hint="eastAsia" w:cs="宋体" w:asciiTheme="minorEastAsia" w:hAnsiTheme="minorEastAsia"/>
          <w:sz w:val="28"/>
          <w:szCs w:val="28"/>
        </w:rPr>
        <w:t>不采取不正当手段低毁、排挤其他供应商。</w:t>
      </w:r>
    </w:p>
    <w:p>
      <w:pPr>
        <w:widowControl/>
        <w:numPr>
          <w:ilvl w:val="0"/>
          <w:numId w:val="6"/>
        </w:numPr>
        <w:spacing w:line="520" w:lineRule="exact"/>
        <w:ind w:firstLine="708"/>
        <w:jc w:val="left"/>
        <w:rPr>
          <w:rFonts w:cs="宋体" w:asciiTheme="minorEastAsia" w:hAnsiTheme="minorEastAsia"/>
          <w:sz w:val="28"/>
          <w:szCs w:val="28"/>
        </w:rPr>
      </w:pPr>
      <w:r>
        <w:rPr>
          <w:rFonts w:hint="eastAsia" w:cs="宋体" w:asciiTheme="minorEastAsia" w:hAnsiTheme="minorEastAsia"/>
          <w:sz w:val="28"/>
          <w:szCs w:val="28"/>
        </w:rPr>
        <w:t>不在提供商品和服务时“偷梁换柱、以次充好”损害采购人的合法权益。</w:t>
      </w:r>
    </w:p>
    <w:p>
      <w:pPr>
        <w:widowControl/>
        <w:numPr>
          <w:ilvl w:val="0"/>
          <w:numId w:val="6"/>
        </w:numPr>
        <w:spacing w:line="520" w:lineRule="exact"/>
        <w:ind w:firstLine="708"/>
        <w:jc w:val="left"/>
        <w:rPr>
          <w:rFonts w:cs="宋体" w:asciiTheme="minorEastAsia" w:hAnsiTheme="minorEastAsia"/>
          <w:sz w:val="28"/>
          <w:szCs w:val="28"/>
        </w:rPr>
      </w:pPr>
      <w:r>
        <w:rPr>
          <w:rFonts w:hint="eastAsia" w:cs="宋体" w:asciiTheme="minorEastAsia" w:hAnsiTheme="minorEastAsia"/>
          <w:sz w:val="28"/>
          <w:szCs w:val="28"/>
        </w:rPr>
        <w:t>不与采购人、采购代理机构、政府采购评审专家或其它供应商恶意串通，进行质疑和投诉，维护政府采购市场秩序。</w:t>
      </w:r>
    </w:p>
    <w:p>
      <w:pPr>
        <w:widowControl/>
        <w:numPr>
          <w:ilvl w:val="0"/>
          <w:numId w:val="6"/>
        </w:numPr>
        <w:spacing w:line="520" w:lineRule="exact"/>
        <w:ind w:firstLine="708"/>
        <w:jc w:val="left"/>
        <w:rPr>
          <w:rFonts w:cs="宋体" w:asciiTheme="minorEastAsia" w:hAnsiTheme="minorEastAsia"/>
          <w:sz w:val="28"/>
          <w:szCs w:val="28"/>
        </w:rPr>
      </w:pPr>
      <w:r>
        <w:rPr>
          <w:rFonts w:hint="eastAsia" w:cs="宋体" w:asciiTheme="minorEastAsia" w:hAnsiTheme="minorEastAsia"/>
          <w:sz w:val="28"/>
          <w:szCs w:val="28"/>
        </w:rPr>
        <w:t>尊重和接受政府采购监督管理部门的监督和政府采购代理机构采购要求，承担因违约行为给采购人造成的损失。</w:t>
      </w:r>
    </w:p>
    <w:p>
      <w:pPr>
        <w:widowControl/>
        <w:numPr>
          <w:ilvl w:val="0"/>
          <w:numId w:val="6"/>
        </w:numPr>
        <w:spacing w:line="520" w:lineRule="exact"/>
        <w:ind w:firstLine="708"/>
        <w:jc w:val="left"/>
        <w:rPr>
          <w:rFonts w:cs="宋体" w:asciiTheme="minorEastAsia" w:hAnsiTheme="minorEastAsia"/>
          <w:sz w:val="28"/>
          <w:szCs w:val="28"/>
        </w:rPr>
      </w:pPr>
      <w:r>
        <w:rPr>
          <w:rFonts w:hint="eastAsia" w:cs="宋体" w:asciiTheme="minorEastAsia" w:hAnsiTheme="minorEastAsia"/>
          <w:sz w:val="28"/>
          <w:szCs w:val="28"/>
        </w:rPr>
        <w:t>不发生其他有悖于政府采购公开、公平、公正和诚信原则的行为。</w:t>
      </w:r>
    </w:p>
    <w:p>
      <w:pPr>
        <w:widowControl/>
        <w:spacing w:line="520" w:lineRule="exact"/>
        <w:jc w:val="left"/>
        <w:rPr>
          <w:rFonts w:cs="宋体" w:asciiTheme="minorEastAsia" w:hAnsiTheme="minorEastAsia"/>
          <w:sz w:val="28"/>
          <w:szCs w:val="28"/>
        </w:rPr>
      </w:pPr>
    </w:p>
    <w:p>
      <w:pPr>
        <w:widowControl/>
        <w:spacing w:line="520" w:lineRule="exact"/>
        <w:ind w:firstLine="1120" w:firstLineChars="400"/>
        <w:jc w:val="left"/>
        <w:rPr>
          <w:rFonts w:cs="宋体" w:asciiTheme="minorEastAsia" w:hAnsiTheme="minorEastAsia"/>
          <w:sz w:val="28"/>
          <w:szCs w:val="28"/>
        </w:rPr>
      </w:pPr>
      <w:r>
        <w:rPr>
          <w:rFonts w:hint="eastAsia" w:cs="宋体" w:asciiTheme="minorEastAsia" w:hAnsiTheme="minorEastAsia"/>
          <w:sz w:val="28"/>
          <w:szCs w:val="28"/>
        </w:rPr>
        <w:t>承诺单位：</w:t>
      </w:r>
      <w:r>
        <w:rPr>
          <w:rFonts w:hint="eastAsia" w:cs="宋体" w:asciiTheme="minorEastAsia" w:hAnsiTheme="minorEastAsia"/>
          <w:sz w:val="28"/>
          <w:szCs w:val="28"/>
          <w:u w:val="single"/>
        </w:rPr>
        <w:t>　　　　　　　　　　　</w:t>
      </w:r>
      <w:r>
        <w:rPr>
          <w:rFonts w:hint="eastAsia" w:cs="宋体" w:asciiTheme="minorEastAsia" w:hAnsiTheme="minorEastAsia"/>
          <w:sz w:val="28"/>
          <w:szCs w:val="28"/>
        </w:rPr>
        <w:t>（盖章）</w:t>
      </w:r>
    </w:p>
    <w:p>
      <w:pPr>
        <w:widowControl/>
        <w:spacing w:line="520" w:lineRule="exact"/>
        <w:ind w:firstLine="1120" w:firstLineChars="400"/>
        <w:jc w:val="left"/>
        <w:rPr>
          <w:rFonts w:cs="宋体" w:asciiTheme="minorEastAsia" w:hAnsiTheme="minorEastAsia"/>
          <w:sz w:val="28"/>
          <w:szCs w:val="28"/>
        </w:rPr>
      </w:pPr>
      <w:r>
        <w:rPr>
          <w:rFonts w:hint="eastAsia" w:cs="宋体" w:asciiTheme="minorEastAsia" w:hAnsiTheme="minorEastAsia"/>
          <w:sz w:val="28"/>
          <w:szCs w:val="28"/>
        </w:rPr>
        <w:t>全权代表：</w:t>
      </w:r>
      <w:r>
        <w:rPr>
          <w:rFonts w:hint="eastAsia" w:cs="宋体" w:asciiTheme="minorEastAsia" w:hAnsiTheme="minorEastAsia"/>
          <w:sz w:val="28"/>
          <w:szCs w:val="28"/>
          <w:u w:val="single"/>
        </w:rPr>
        <w:t>　　　　　　　　　　　</w:t>
      </w:r>
      <w:r>
        <w:rPr>
          <w:rFonts w:hint="eastAsia" w:cs="宋体" w:asciiTheme="minorEastAsia" w:hAnsiTheme="minorEastAsia"/>
          <w:sz w:val="28"/>
          <w:szCs w:val="28"/>
        </w:rPr>
        <w:t>（签字）</w:t>
      </w:r>
    </w:p>
    <w:p>
      <w:pPr>
        <w:widowControl/>
        <w:spacing w:line="520" w:lineRule="exact"/>
        <w:ind w:firstLine="1120" w:firstLineChars="400"/>
        <w:jc w:val="left"/>
        <w:rPr>
          <w:rFonts w:cs="宋体" w:asciiTheme="minorEastAsia" w:hAnsiTheme="minorEastAsia"/>
          <w:sz w:val="28"/>
          <w:szCs w:val="28"/>
        </w:rPr>
      </w:pPr>
      <w:r>
        <w:rPr>
          <w:rFonts w:hint="eastAsia" w:cs="宋体" w:asciiTheme="minorEastAsia" w:hAnsiTheme="minorEastAsia"/>
          <w:sz w:val="28"/>
          <w:szCs w:val="28"/>
        </w:rPr>
        <w:t>地　　址：</w:t>
      </w:r>
      <w:r>
        <w:rPr>
          <w:rFonts w:hint="eastAsia" w:cs="宋体" w:asciiTheme="minorEastAsia" w:hAnsiTheme="minorEastAsia"/>
          <w:sz w:val="28"/>
          <w:szCs w:val="28"/>
          <w:u w:val="single"/>
        </w:rPr>
        <w:t>　　　　　　　　　　　</w:t>
      </w:r>
    </w:p>
    <w:p>
      <w:pPr>
        <w:widowControl/>
        <w:spacing w:line="520" w:lineRule="exact"/>
        <w:ind w:firstLine="1120" w:firstLineChars="400"/>
        <w:jc w:val="left"/>
        <w:rPr>
          <w:rFonts w:cs="宋体" w:asciiTheme="minorEastAsia" w:hAnsiTheme="minorEastAsia"/>
          <w:sz w:val="28"/>
          <w:szCs w:val="28"/>
          <w:u w:val="single"/>
        </w:rPr>
      </w:pPr>
      <w:r>
        <w:rPr>
          <w:rFonts w:hint="eastAsia" w:cs="宋体" w:asciiTheme="minorEastAsia" w:hAnsiTheme="minorEastAsia"/>
          <w:sz w:val="28"/>
          <w:szCs w:val="28"/>
        </w:rPr>
        <w:t>邮　　编：</w:t>
      </w:r>
      <w:r>
        <w:rPr>
          <w:rFonts w:hint="eastAsia" w:cs="宋体" w:asciiTheme="minorEastAsia" w:hAnsiTheme="minorEastAsia"/>
          <w:sz w:val="28"/>
          <w:szCs w:val="28"/>
          <w:u w:val="single"/>
        </w:rPr>
        <w:t>　　　　　　　　　　　</w:t>
      </w:r>
    </w:p>
    <w:p>
      <w:pPr>
        <w:widowControl/>
        <w:spacing w:line="520" w:lineRule="exact"/>
        <w:ind w:firstLine="1120" w:firstLineChars="400"/>
        <w:jc w:val="left"/>
        <w:rPr>
          <w:rFonts w:cs="宋体" w:asciiTheme="minorEastAsia" w:hAnsiTheme="minorEastAsia"/>
          <w:sz w:val="28"/>
          <w:szCs w:val="28"/>
        </w:rPr>
      </w:pPr>
      <w:r>
        <w:rPr>
          <w:rFonts w:hint="eastAsia" w:cs="宋体" w:asciiTheme="minorEastAsia" w:hAnsiTheme="minorEastAsia"/>
          <w:sz w:val="28"/>
          <w:szCs w:val="28"/>
        </w:rPr>
        <w:t>电　　话：</w:t>
      </w:r>
      <w:r>
        <w:rPr>
          <w:rFonts w:hint="eastAsia" w:cs="宋体" w:asciiTheme="minorEastAsia" w:hAnsiTheme="minorEastAsia"/>
          <w:sz w:val="28"/>
          <w:szCs w:val="28"/>
          <w:u w:val="single"/>
        </w:rPr>
        <w:t>　　　　　　　　　　　</w:t>
      </w:r>
    </w:p>
    <w:p>
      <w:pPr>
        <w:spacing w:line="340" w:lineRule="exact"/>
        <w:ind w:firstLine="4200" w:firstLineChars="1500"/>
        <w:rPr>
          <w:rFonts w:hint="eastAsia" w:cs="宋体" w:asciiTheme="minorEastAsia" w:hAnsiTheme="minorEastAsia"/>
          <w:sz w:val="28"/>
          <w:szCs w:val="28"/>
          <w:lang w:val="en-US" w:eastAsia="zh-CN"/>
        </w:rPr>
      </w:pPr>
      <w:r>
        <w:rPr>
          <w:rFonts w:hint="eastAsia" w:cs="宋体" w:asciiTheme="minorEastAsia" w:hAnsiTheme="minorEastAsia"/>
          <w:sz w:val="28"/>
          <w:szCs w:val="28"/>
        </w:rPr>
        <w:t>年　　月　　日</w:t>
      </w:r>
      <w:r>
        <w:rPr>
          <w:rFonts w:hint="eastAsia" w:cs="宋体" w:asciiTheme="minorEastAsia" w:hAnsiTheme="minorEastAsia"/>
          <w:sz w:val="28"/>
          <w:szCs w:val="28"/>
          <w:lang w:val="en-US" w:eastAsia="zh-CN"/>
        </w:rPr>
        <w:t xml:space="preserve">       </w:t>
      </w:r>
      <w:bookmarkEnd w:id="563"/>
    </w:p>
    <w:p>
      <w:pPr>
        <w:pStyle w:val="25"/>
        <w:rPr>
          <w:rFonts w:hint="eastAsia" w:cs="宋体" w:asciiTheme="minorEastAsia" w:hAnsiTheme="minorEastAsia"/>
          <w:sz w:val="28"/>
          <w:szCs w:val="28"/>
          <w:lang w:val="en-US" w:eastAsia="zh-CN"/>
        </w:rPr>
      </w:pPr>
    </w:p>
    <w:p>
      <w:pPr>
        <w:pStyle w:val="4"/>
        <w:spacing w:before="0" w:after="0" w:line="360" w:lineRule="auto"/>
        <w:rPr>
          <w:rFonts w:ascii="宋体" w:hAnsi="宋体" w:eastAsia="宋体" w:cs="宋体"/>
          <w:sz w:val="28"/>
          <w:szCs w:val="28"/>
        </w:rPr>
      </w:pPr>
      <w:bookmarkStart w:id="564" w:name="_Toc458437960"/>
      <w:r>
        <w:rPr>
          <w:rFonts w:hint="eastAsia" w:ascii="宋体" w:hAnsi="宋体" w:cs="宋体"/>
          <w:sz w:val="28"/>
          <w:szCs w:val="28"/>
        </w:rPr>
        <w:t>1</w:t>
      </w:r>
      <w:r>
        <w:rPr>
          <w:rFonts w:hint="eastAsia" w:ascii="宋体" w:hAnsi="宋体" w:eastAsia="宋体" w:cs="宋体"/>
          <w:sz w:val="28"/>
          <w:szCs w:val="28"/>
          <w:lang w:val="en-US" w:eastAsia="zh-CN"/>
        </w:rPr>
        <w:t>0</w:t>
      </w:r>
      <w:r>
        <w:rPr>
          <w:rFonts w:hint="eastAsia" w:ascii="宋体" w:hAnsi="宋体" w:cs="宋体"/>
          <w:sz w:val="28"/>
          <w:szCs w:val="28"/>
        </w:rPr>
        <w:t>.</w:t>
      </w:r>
      <w:bookmarkEnd w:id="564"/>
      <w:r>
        <w:rPr>
          <w:rFonts w:hint="eastAsia" w:ascii="宋体" w:hAnsi="宋体" w:eastAsia="宋体" w:cs="宋体"/>
          <w:sz w:val="28"/>
          <w:szCs w:val="28"/>
        </w:rPr>
        <w:t>《中小企业声明函》及证明文件（若有）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中小企业声明函（货物）</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本公司（联合体）郑重声明，根据《政府采购促进中小企业发展管理办法》（财库﹝2020﹞46 号）的规定，本公司 （联合体）参加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（单位名称）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的</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（项目名称）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采购活动，提供的货物全部由符合政策要求的中小企业制造。相关企业 （含联合体中的中小企业、签订分包意向协议的中小企业） 的具体情况如下：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u w:val="none"/>
          <w:lang w:val="en-US" w:eastAsia="zh-CN"/>
        </w:rPr>
        <w:t xml:space="preserve">1. </w:t>
      </w:r>
      <w:r>
        <w:rPr>
          <w:rFonts w:hint="eastAsia" w:ascii="宋体" w:hAnsi="宋体" w:eastAsia="宋体" w:cs="宋体"/>
          <w:sz w:val="28"/>
          <w:szCs w:val="28"/>
          <w:u w:val="single"/>
        </w:rPr>
        <w:t>（标的名称）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，属于</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（采购文件中明确的所属行业） 行业</w:t>
      </w:r>
      <w:r>
        <w:rPr>
          <w:rFonts w:hint="eastAsia" w:ascii="宋体" w:hAnsi="宋体" w:eastAsia="宋体" w:cs="宋体"/>
          <w:sz w:val="28"/>
          <w:szCs w:val="28"/>
        </w:rPr>
        <w:t>；制造商为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（企业名称）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 万元，资产总额为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万元 ，属于</w:t>
      </w:r>
      <w:r>
        <w:rPr>
          <w:rFonts w:hint="eastAsia" w:ascii="宋体" w:hAnsi="宋体" w:eastAsia="宋体" w:cs="宋体"/>
          <w:sz w:val="28"/>
          <w:szCs w:val="28"/>
          <w:u w:val="single"/>
        </w:rPr>
        <w:t>（中型企业、小 型企业、微型企业）；</w:t>
      </w:r>
      <w:r>
        <w:rPr>
          <w:rFonts w:hint="eastAsia" w:ascii="宋体" w:hAnsi="宋体" w:eastAsia="宋体" w:cs="宋体"/>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2. </w:t>
      </w:r>
      <w:r>
        <w:rPr>
          <w:rFonts w:hint="eastAsia" w:ascii="宋体" w:hAnsi="宋体" w:eastAsia="宋体" w:cs="宋体"/>
          <w:sz w:val="28"/>
          <w:szCs w:val="28"/>
          <w:u w:val="single"/>
        </w:rPr>
        <w:t xml:space="preserve">（标的名称） </w:t>
      </w:r>
      <w:r>
        <w:rPr>
          <w:rFonts w:hint="eastAsia" w:ascii="宋体" w:hAnsi="宋体" w:eastAsia="宋体" w:cs="宋体"/>
          <w:sz w:val="28"/>
          <w:szCs w:val="28"/>
        </w:rPr>
        <w:t>，属于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（采购文件中明确的所属行业） 行业；</w:t>
      </w:r>
      <w:r>
        <w:rPr>
          <w:rFonts w:hint="eastAsia" w:ascii="宋体" w:hAnsi="宋体" w:eastAsia="宋体" w:cs="宋体"/>
          <w:sz w:val="28"/>
          <w:szCs w:val="28"/>
        </w:rPr>
        <w:t>制造商为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（企业名称）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万元，资产总额为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万元，属于</w:t>
      </w:r>
      <w:r>
        <w:rPr>
          <w:rFonts w:hint="eastAsia" w:ascii="宋体" w:hAnsi="宋体" w:eastAsia="宋体" w:cs="宋体"/>
          <w:sz w:val="28"/>
          <w:szCs w:val="28"/>
          <w:u w:val="single"/>
        </w:rPr>
        <w:t>（中型企业、小型 企业、微型企业）；</w:t>
      </w:r>
      <w:r>
        <w:rPr>
          <w:rFonts w:hint="eastAsia" w:ascii="宋体" w:hAnsi="宋体" w:eastAsia="宋体" w:cs="宋体"/>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以上企业，不属于大企业的分支机构，不存在控股股东为大企业的情形，也不存在与大企业的负责人为同一人的情形。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本企业对上述声明内容的真实性负责。如有虚假，将依 法承担相应责任。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0" w:firstLineChars="1500"/>
        <w:textAlignment w:val="auto"/>
        <w:rPr>
          <w:rFonts w:hint="eastAsia" w:ascii="宋体" w:hAnsi="宋体" w:eastAsia="宋体" w:cs="宋体"/>
          <w:sz w:val="28"/>
          <w:szCs w:val="28"/>
        </w:rPr>
      </w:pPr>
      <w:r>
        <w:rPr>
          <w:rFonts w:hint="eastAsia" w:ascii="宋体" w:hAnsi="宋体" w:eastAsia="宋体" w:cs="宋体"/>
          <w:sz w:val="28"/>
          <w:szCs w:val="28"/>
        </w:rPr>
        <w:t xml:space="preserve">企业名称（盖章）：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0" w:firstLineChars="1500"/>
        <w:textAlignment w:val="auto"/>
        <w:rPr>
          <w:rFonts w:hint="eastAsia" w:ascii="宋体" w:hAnsi="宋体" w:eastAsia="宋体" w:cs="宋体"/>
          <w:sz w:val="28"/>
          <w:szCs w:val="28"/>
        </w:rPr>
      </w:pPr>
      <w:r>
        <w:rPr>
          <w:rFonts w:hint="eastAsia" w:ascii="宋体" w:hAnsi="宋体" w:eastAsia="宋体" w:cs="宋体"/>
          <w:sz w:val="28"/>
          <w:szCs w:val="28"/>
        </w:rPr>
        <w:t>日 期：</w:t>
      </w:r>
    </w:p>
    <w:p>
      <w:pPr>
        <w:numPr>
          <w:ilvl w:val="0"/>
          <w:numId w:val="0"/>
        </w:numPr>
        <w:rPr>
          <w:rFonts w:hint="eastAsia" w:ascii="宋体" w:hAnsi="宋体" w:eastAsia="宋体" w:cs="宋体"/>
          <w:sz w:val="28"/>
          <w:szCs w:val="28"/>
        </w:rPr>
      </w:pPr>
    </w:p>
    <w:p>
      <w:pPr>
        <w:numPr>
          <w:ilvl w:val="0"/>
          <w:numId w:val="0"/>
        </w:numPr>
        <w:rPr>
          <w:rFonts w:hint="eastAsia" w:ascii="宋体" w:hAnsi="宋体" w:eastAsia="宋体" w:cs="宋体"/>
          <w:sz w:val="28"/>
          <w:szCs w:val="28"/>
        </w:rPr>
      </w:pPr>
    </w:p>
    <w:p>
      <w:pPr>
        <w:numPr>
          <w:ilvl w:val="0"/>
          <w:numId w:val="0"/>
        </w:numPr>
        <w:rPr>
          <w:rFonts w:hint="eastAsia" w:ascii="宋体" w:hAnsi="宋体" w:eastAsia="宋体" w:cs="宋体"/>
          <w:sz w:val="20"/>
          <w:szCs w:val="20"/>
        </w:rPr>
      </w:pPr>
      <w:r>
        <w:rPr>
          <w:rFonts w:hint="eastAsia" w:ascii="宋体" w:hAnsi="宋体" w:eastAsia="宋体" w:cs="宋体"/>
          <w:sz w:val="20"/>
          <w:szCs w:val="20"/>
        </w:rPr>
        <w:t>1从业人员、营业收入、资产总额填报上一年度数据，无上一年度数据的新成立企业可不填报。</w:t>
      </w:r>
    </w:p>
    <w:p>
      <w:pPr>
        <w:widowControl/>
        <w:spacing w:line="460" w:lineRule="exact"/>
        <w:jc w:val="left"/>
        <w:outlineLvl w:val="1"/>
        <w:rPr>
          <w:rFonts w:ascii="宋体" w:hAnsi="宋体" w:cs="宋体"/>
          <w:b/>
          <w:bCs/>
          <w:sz w:val="28"/>
          <w:szCs w:val="28"/>
        </w:rPr>
      </w:pPr>
      <w:r>
        <w:rPr>
          <w:rFonts w:hint="eastAsia" w:ascii="宋体" w:hAnsi="宋体" w:eastAsia="宋体" w:cs="宋体"/>
          <w:bCs/>
          <w:sz w:val="28"/>
          <w:szCs w:val="28"/>
        </w:rPr>
        <w:br w:type="page"/>
      </w:r>
      <w:r>
        <w:rPr>
          <w:rFonts w:hint="eastAsia" w:ascii="宋体" w:hAnsi="宋体" w:cs="宋体"/>
          <w:b/>
          <w:bCs/>
          <w:sz w:val="28"/>
          <w:szCs w:val="28"/>
        </w:rPr>
        <w:t>1</w:t>
      </w:r>
      <w:r>
        <w:rPr>
          <w:rFonts w:hint="eastAsia" w:ascii="宋体" w:hAnsi="宋体" w:cs="宋体"/>
          <w:b/>
          <w:bCs/>
          <w:sz w:val="28"/>
          <w:szCs w:val="28"/>
          <w:lang w:val="en-US" w:eastAsia="zh-CN"/>
        </w:rPr>
        <w:t>1</w:t>
      </w:r>
      <w:r>
        <w:rPr>
          <w:rFonts w:hint="eastAsia" w:ascii="宋体" w:hAnsi="宋体" w:cs="宋体"/>
          <w:b/>
          <w:bCs/>
          <w:sz w:val="28"/>
          <w:szCs w:val="28"/>
        </w:rPr>
        <w:t>．《残疾人福利性单位声明函》（若有）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sz w:val="32"/>
          <w:szCs w:val="32"/>
        </w:rPr>
      </w:pPr>
      <w:bookmarkStart w:id="565" w:name="OLE_LINK14"/>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sz w:val="32"/>
          <w:szCs w:val="32"/>
        </w:rPr>
      </w:pPr>
      <w:r>
        <w:rPr>
          <w:rFonts w:hint="eastAsia" w:ascii="宋体" w:hAnsi="宋体" w:cs="宋体"/>
          <w:b/>
          <w:sz w:val="32"/>
          <w:szCs w:val="32"/>
        </w:rPr>
        <w:t>残疾人福利性单位声明函</w:t>
      </w:r>
    </w:p>
    <w:bookmarkEnd w:id="565"/>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sz w:val="28"/>
          <w:szCs w:val="32"/>
        </w:rPr>
      </w:pPr>
      <w:r>
        <w:rPr>
          <w:rFonts w:hint="eastAsia" w:ascii="宋体" w:hAnsi="宋体" w:cs="宋体"/>
          <w:sz w:val="28"/>
          <w:szCs w:val="32"/>
        </w:rPr>
        <w:t xml:space="preserve"> </w:t>
      </w:r>
      <w:r>
        <w:rPr>
          <w:rFonts w:hint="eastAsia" w:ascii="宋体" w:hAnsi="宋体" w:cs="宋体"/>
          <w:sz w:val="28"/>
          <w:szCs w:val="32"/>
          <w:lang w:val="en-US" w:eastAsia="zh-CN"/>
        </w:rPr>
        <w:t xml:space="preserve">  </w:t>
      </w:r>
      <w:r>
        <w:rPr>
          <w:rFonts w:hint="eastAsia" w:ascii="宋体" w:hAnsi="宋体" w:cs="宋体"/>
          <w:sz w:val="28"/>
          <w:szCs w:val="3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auto"/>
        <w:ind w:firstLine="700" w:firstLineChars="250"/>
        <w:textAlignment w:val="auto"/>
        <w:rPr>
          <w:rFonts w:ascii="宋体" w:hAnsi="宋体" w:cs="宋体"/>
          <w:sz w:val="28"/>
          <w:szCs w:val="32"/>
        </w:rPr>
      </w:pPr>
      <w:r>
        <w:rPr>
          <w:rFonts w:hint="eastAsia" w:ascii="宋体" w:hAnsi="宋体" w:cs="宋体"/>
          <w:sz w:val="28"/>
          <w:szCs w:val="32"/>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8"/>
          <w:szCs w:val="32"/>
        </w:rPr>
      </w:pPr>
      <w:r>
        <w:rPr>
          <w:rFonts w:hint="eastAsia" w:ascii="宋体" w:hAnsi="宋体" w:cs="宋体"/>
          <w:sz w:val="28"/>
          <w:szCs w:val="32"/>
        </w:rPr>
        <w:t>单位名称（盖章）：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8"/>
          <w:szCs w:val="32"/>
        </w:rPr>
      </w:pPr>
      <w:r>
        <w:rPr>
          <w:rFonts w:hint="eastAsia" w:ascii="宋体" w:hAnsi="宋体" w:cs="宋体"/>
          <w:sz w:val="28"/>
          <w:szCs w:val="32"/>
        </w:rPr>
        <w:t xml:space="preserve">                         日  期：</w:t>
      </w:r>
    </w:p>
    <w:p>
      <w:pPr>
        <w:pStyle w:val="24"/>
      </w:pPr>
    </w:p>
    <w:sectPr>
      <w:headerReference r:id="rId28" w:type="first"/>
      <w:footerReference r:id="rId30" w:type="first"/>
      <w:headerReference r:id="rId27" w:type="default"/>
      <w:footerReference r:id="rId29" w:type="default"/>
      <w:endnotePr>
        <w:numFmt w:val="decimal"/>
      </w:endnotePr>
      <w:pgSz w:w="11907" w:h="16840"/>
      <w:pgMar w:top="1418" w:right="992" w:bottom="1418" w:left="1418" w:header="851"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00"/>
    <w:family w:val="roman"/>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b/>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80645</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6.35pt;height:10.35pt;width:9.05pt;mso-position-horizontal:center;mso-position-horizontal-relative:margin;mso-wrap-style:none;z-index:251659264;mso-width-relative:page;mso-height-relative:page;" filled="f" stroked="f" coordsize="21600,21600" o:gfxdata="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n2U3jWAAAABQEAAA8AAAAAAAAAAQAg&#10;AAAAIgAAAGRycy9kb3ducmV2LnhtbFBLAQIUABQAAAAIAIdO4kBM3dDm1wEAAKEDAAAOAAAAAAAA&#10;AAEAIAAAACUBAABkcnMvZTJvRG9jLnhtbFBLBQYAAAAABgAGAFkBAABuBQAAAAA=&#10;">
              <v:fill on="f" focussize="0,0"/>
              <v:stroke on="f" weight="1.25pt"/>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7026043"/>
      <w:docPartObj>
        <w:docPartGallery w:val="autotext"/>
      </w:docPartObj>
    </w:sdtPr>
    <w:sdtContent>
      <w:p>
        <w:pPr>
          <w:pStyle w:val="18"/>
          <w:jc w:val="center"/>
        </w:pPr>
        <w:r>
          <w:fldChar w:fldCharType="begin"/>
        </w:r>
        <w:r>
          <w:instrText xml:space="preserve">PAGE   \* MERGEFORMAT</w:instrText>
        </w:r>
        <w:r>
          <w:fldChar w:fldCharType="separate"/>
        </w:r>
        <w:r>
          <w:rPr>
            <w:lang w:val="zh-CN"/>
          </w:rPr>
          <w:t>54</w:t>
        </w:r>
        <w:r>
          <w:fldChar w:fldCharType="end"/>
        </w:r>
      </w:p>
    </w:sdtContent>
  </w:sdt>
  <w:p>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504036"/>
      <w:docPartObj>
        <w:docPartGallery w:val="autotext"/>
      </w:docPartObj>
    </w:sdtPr>
    <w:sdtContent>
      <w:p>
        <w:pPr>
          <w:pStyle w:val="18"/>
          <w:jc w:val="center"/>
        </w:pPr>
        <w:r>
          <w:fldChar w:fldCharType="begin"/>
        </w:r>
        <w:r>
          <w:instrText xml:space="preserve">PAGE   \* MERGEFORMAT</w:instrText>
        </w:r>
        <w:r>
          <w:fldChar w:fldCharType="separate"/>
        </w:r>
        <w:r>
          <w:rPr>
            <w:lang w:val="zh-CN"/>
          </w:rPr>
          <w:t>55</w:t>
        </w:r>
        <w:r>
          <w:fldChar w:fldCharType="end"/>
        </w:r>
      </w:p>
    </w:sdtContent>
  </w:sdt>
  <w:p>
    <w:pPr>
      <w:spacing w:line="280" w:lineRule="exact"/>
      <w:jc w:val="center"/>
      <w:rPr>
        <w:b/>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5471630"/>
      <w:docPartObj>
        <w:docPartGallery w:val="autotext"/>
      </w:docPartObj>
    </w:sdtPr>
    <w:sdtContent>
      <w:p>
        <w:pPr>
          <w:pStyle w:val="18"/>
          <w:jc w:val="center"/>
        </w:pPr>
        <w:r>
          <w:fldChar w:fldCharType="begin"/>
        </w:r>
        <w:r>
          <w:instrText xml:space="preserve">PAGE   \* MERGEFORMAT</w:instrText>
        </w:r>
        <w:r>
          <w:fldChar w:fldCharType="separate"/>
        </w:r>
        <w:r>
          <w:rPr>
            <w:lang w:val="zh-CN"/>
          </w:rPr>
          <w:t>59</w:t>
        </w:r>
        <w:r>
          <w:fldChar w:fldCharType="end"/>
        </w:r>
      </w:p>
    </w:sdtContent>
  </w:sdt>
  <w:p>
    <w:pPr>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3246750"/>
      <w:docPartObj>
        <w:docPartGallery w:val="autotext"/>
      </w:docPartObj>
    </w:sdtPr>
    <w:sdtContent>
      <w:p>
        <w:pPr>
          <w:pStyle w:val="18"/>
          <w:jc w:val="center"/>
        </w:pPr>
        <w:r>
          <w:fldChar w:fldCharType="begin"/>
        </w:r>
        <w:r>
          <w:instrText xml:space="preserve">PAGE   \* MERGEFORMAT</w:instrText>
        </w:r>
        <w:r>
          <w:fldChar w:fldCharType="separate"/>
        </w:r>
        <w:r>
          <w:rPr>
            <w:lang w:val="zh-CN"/>
          </w:rPr>
          <w:t>57</w:t>
        </w:r>
        <w:r>
          <w:fldChar w:fldCharType="end"/>
        </w:r>
      </w:p>
    </w:sdtContent>
  </w:sdt>
  <w:p>
    <w:pPr>
      <w:spacing w:line="280" w:lineRule="exact"/>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7552300"/>
      <w:docPartObj>
        <w:docPartGallery w:val="autotext"/>
      </w:docPartObj>
    </w:sdtPr>
    <w:sdtContent>
      <w:p>
        <w:pPr>
          <w:pStyle w:val="18"/>
          <w:jc w:val="center"/>
        </w:pPr>
        <w:r>
          <w:fldChar w:fldCharType="begin"/>
        </w:r>
        <w:r>
          <w:instrText xml:space="preserve">PAGE   \* MERGEFORMAT</w:instrText>
        </w:r>
        <w:r>
          <w:fldChar w:fldCharType="separate"/>
        </w:r>
        <w:r>
          <w:rPr>
            <w:lang w:val="zh-CN"/>
          </w:rPr>
          <w:t>1</w:t>
        </w:r>
        <w:r>
          <w:fldChar w:fldCharType="end"/>
        </w:r>
      </w:p>
    </w:sdtContent>
  </w:sdt>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4306580"/>
      <w:docPartObj>
        <w:docPartGallery w:val="autotext"/>
      </w:docPartObj>
    </w:sdtPr>
    <w:sdtContent>
      <w:p>
        <w:pPr>
          <w:pStyle w:val="18"/>
          <w:jc w:val="center"/>
        </w:pPr>
        <w:r>
          <w:fldChar w:fldCharType="begin"/>
        </w:r>
        <w:r>
          <w:instrText xml:space="preserve">PAGE   \* MERGEFORMAT</w:instrText>
        </w:r>
        <w:r>
          <w:fldChar w:fldCharType="separate"/>
        </w:r>
        <w:r>
          <w:rPr>
            <w:lang w:val="zh-CN"/>
          </w:rPr>
          <w:t>2</w:t>
        </w:r>
        <w:r>
          <w:fldChar w:fldCharType="end"/>
        </w:r>
      </w:p>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633729"/>
      <w:docPartObj>
        <w:docPartGallery w:val="autotext"/>
      </w:docPartObj>
    </w:sdtPr>
    <w:sdtContent>
      <w:p>
        <w:pPr>
          <w:pStyle w:val="18"/>
          <w:jc w:val="center"/>
        </w:pPr>
        <w:r>
          <w:fldChar w:fldCharType="begin"/>
        </w:r>
        <w:r>
          <w:instrText xml:space="preserve">PAGE   \* MERGEFORMAT</w:instrText>
        </w:r>
        <w:r>
          <w:fldChar w:fldCharType="separate"/>
        </w:r>
        <w:r>
          <w:rPr>
            <w:lang w:val="zh-CN"/>
          </w:rPr>
          <w:t>35</w:t>
        </w:r>
        <w:r>
          <w:fldChar w:fldCharType="end"/>
        </w:r>
      </w:p>
    </w:sdtContent>
  </w:sdt>
  <w:p>
    <w:pPr>
      <w:jc w:val="center"/>
      <w:rPr>
        <w: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3783608"/>
      <w:docPartObj>
        <w:docPartGallery w:val="autotext"/>
      </w:docPartObj>
    </w:sdtPr>
    <w:sdtContent>
      <w:p>
        <w:pPr>
          <w:pStyle w:val="18"/>
          <w:jc w:val="center"/>
        </w:pPr>
        <w:r>
          <w:fldChar w:fldCharType="begin"/>
        </w:r>
        <w:r>
          <w:instrText xml:space="preserve">PAGE   \* MERGEFORMAT</w:instrText>
        </w:r>
        <w:r>
          <w:fldChar w:fldCharType="separate"/>
        </w:r>
        <w:r>
          <w:rPr>
            <w:lang w:val="zh-CN"/>
          </w:rPr>
          <w:t>41</w:t>
        </w:r>
        <w:r>
          <w:fldChar w:fldCharType="end"/>
        </w:r>
      </w:p>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ascii="新宋体" w:hAnsi="新宋体" w:eastAsia="新宋体" w:cs="新宋体"/>
        <w:sz w:val="48"/>
        <w:szCs w:val="48"/>
      </w:rPr>
    </w:pPr>
    <w:r>
      <w:rPr>
        <w:sz w:val="48"/>
      </w:rPr>
      <w:pict>
        <v:shape id="文本框 36" o:spid="_x0000_s4097" o:spt="202" type="#_x0000_t202" style="position:absolute;left:0pt;margin-top:0pt;height:144pt;width:15.85pt;mso-position-horizontal:center;mso-position-horizontal-relative:margin;z-index:251660288;mso-width-relative:page;mso-height-relative:page;" filled="f" stroked="f" coordsize="21600,21600">
          <v:path/>
          <v:fill on="f" focussize="0,0"/>
          <v:stroke on="f" joinstyle="miter"/>
          <v:imagedata o:title=""/>
          <o:lock v:ext="edit"/>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7968654"/>
      <w:docPartObj>
        <w:docPartGallery w:val="autotext"/>
      </w:docPartObj>
    </w:sdtPr>
    <w:sdtContent>
      <w:p>
        <w:pPr>
          <w:pStyle w:val="18"/>
          <w:jc w:val="center"/>
        </w:pPr>
        <w:r>
          <w:fldChar w:fldCharType="begin"/>
        </w:r>
        <w:r>
          <w:instrText xml:space="preserve">PAGE   \* MERGEFORMAT</w:instrText>
        </w:r>
        <w:r>
          <w:fldChar w:fldCharType="separate"/>
        </w:r>
        <w:r>
          <w:rPr>
            <w:lang w:val="zh-CN"/>
          </w:rPr>
          <w:t>51</w:t>
        </w:r>
        <w:r>
          <w:fldChar w:fldCharType="end"/>
        </w:r>
      </w:p>
    </w:sdtContent>
  </w:sdt>
  <w:p>
    <w:pPr>
      <w:pStyle w:val="1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0237996"/>
      <w:docPartObj>
        <w:docPartGallery w:val="autotext"/>
      </w:docPartObj>
    </w:sdtPr>
    <w:sdtContent>
      <w:p>
        <w:pPr>
          <w:pStyle w:val="18"/>
          <w:jc w:val="center"/>
        </w:pPr>
        <w:r>
          <w:fldChar w:fldCharType="begin"/>
        </w:r>
        <w:r>
          <w:instrText xml:space="preserve">PAGE   \* MERGEFORMAT</w:instrText>
        </w:r>
        <w:r>
          <w:fldChar w:fldCharType="separate"/>
        </w:r>
        <w:r>
          <w:rPr>
            <w:lang w:val="zh-CN"/>
          </w:rPr>
          <w:t>52</w:t>
        </w:r>
        <w:r>
          <w:fldChar w:fldCharType="end"/>
        </w:r>
      </w:p>
    </w:sdtContent>
  </w:sdt>
  <w:p>
    <w:pPr>
      <w:pStyle w:val="18"/>
      <w:jc w:val="center"/>
      <w:rPr>
        <w:rStyle w:val="30"/>
        <w:rFonts w:ascii="宋体"/>
        <w:b/>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pPr>
    <w:r>
      <w:rPr>
        <w:rFonts w:hint="eastAsia" w:ascii="宋体" w:hAnsi="宋体"/>
        <w:b/>
        <w:szCs w:val="21"/>
        <w:u w:val="single"/>
      </w:rPr>
      <w:t>宝鸡市金台区蟠龙镇卫生院医用DR及影像系统采购项目               项目编号:ZBZB-2018-</w:t>
    </w:r>
    <w:r>
      <w:rPr>
        <w:rFonts w:hint="eastAsia" w:ascii="宋体" w:hAnsi="宋体" w:eastAsia="宋体"/>
        <w:b/>
        <w:szCs w:val="21"/>
        <w:u w:val="single"/>
      </w:rPr>
      <w:t>755</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jc w:val="left"/>
      <w:rPr>
        <w:rFonts w:ascii="宋体" w:hAnsi="宋体"/>
        <w:b/>
        <w:szCs w:val="21"/>
        <w:u w:val="single"/>
        <w:shd w:val="pct10" w:color="auto" w:fill="FFFFFF"/>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firstLine="422" w:firstLineChars="200"/>
      <w:rPr>
        <w:rFonts w:ascii="宋体" w:hAnsi="宋体" w:eastAsia="宋体" w:cs="宋体"/>
        <w:b/>
        <w:szCs w:val="21"/>
        <w:shd w:val="pct10" w:color="auto" w:fill="FFFFFF"/>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rPr>
        <w:rFonts w:ascii="宋体" w:hAnsi="宋体" w:eastAsia="宋体" w:cs="宋体"/>
        <w:b/>
        <w:szCs w:val="21"/>
        <w:u w:val="single"/>
        <w:shd w:val="pct10" w:color="auto" w:fill="FFFFFF"/>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rPr>
        <w:sz w:val="15"/>
        <w:szCs w:val="15"/>
      </w:rPr>
    </w:pPr>
    <w:r>
      <w:rPr>
        <w:rFonts w:hint="eastAsia" w:ascii="宋体" w:hAnsi="宋体" w:cs="宋体"/>
        <w:sz w:val="15"/>
        <w:szCs w:val="15"/>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jc w:val="left"/>
      <w:rPr>
        <w:rFonts w:ascii="宋体" w:hAnsi="宋体"/>
        <w:b/>
        <w:szCs w:val="21"/>
        <w:u w:val="single"/>
        <w:shd w:val="pct10" w:color="auto" w:fil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98782"/>
    <w:multiLevelType w:val="singleLevel"/>
    <w:tmpl w:val="AAF98782"/>
    <w:lvl w:ilvl="0" w:tentative="0">
      <w:start w:val="1"/>
      <w:numFmt w:val="decimal"/>
      <w:suff w:val="nothing"/>
      <w:lvlText w:val="%1、"/>
      <w:lvlJc w:val="left"/>
    </w:lvl>
  </w:abstractNum>
  <w:abstractNum w:abstractNumId="1">
    <w:nsid w:val="D9A51E89"/>
    <w:multiLevelType w:val="singleLevel"/>
    <w:tmpl w:val="D9A51E89"/>
    <w:lvl w:ilvl="0" w:tentative="0">
      <w:start w:val="4"/>
      <w:numFmt w:val="chineseCounting"/>
      <w:suff w:val="space"/>
      <w:lvlText w:val="第%1部分"/>
      <w:lvlJc w:val="left"/>
      <w:rPr>
        <w:rFonts w:hint="eastAsia"/>
      </w:rPr>
    </w:lvl>
  </w:abstractNum>
  <w:abstractNum w:abstractNumId="2">
    <w:nsid w:val="00000000"/>
    <w:multiLevelType w:val="singleLevel"/>
    <w:tmpl w:val="00000000"/>
    <w:lvl w:ilvl="0" w:tentative="0">
      <w:start w:val="2"/>
      <w:numFmt w:val="decimal"/>
      <w:lvlText w:val="%1."/>
      <w:lvlJc w:val="left"/>
      <w:pPr>
        <w:tabs>
          <w:tab w:val="left" w:pos="312"/>
        </w:tabs>
      </w:pPr>
    </w:lvl>
  </w:abstractNum>
  <w:abstractNum w:abstractNumId="3">
    <w:nsid w:val="00000003"/>
    <w:multiLevelType w:val="singleLevel"/>
    <w:tmpl w:val="00000003"/>
    <w:lvl w:ilvl="0" w:tentative="0">
      <w:start w:val="2"/>
      <w:numFmt w:val="decimal"/>
      <w:lvlText w:val="%1."/>
      <w:lvlJc w:val="left"/>
      <w:pPr>
        <w:tabs>
          <w:tab w:val="left" w:pos="312"/>
        </w:tabs>
      </w:pPr>
    </w:lvl>
  </w:abstractNum>
  <w:abstractNum w:abstractNumId="4">
    <w:nsid w:val="0000000A"/>
    <w:multiLevelType w:val="singleLevel"/>
    <w:tmpl w:val="0000000A"/>
    <w:lvl w:ilvl="0" w:tentative="0">
      <w:start w:val="1"/>
      <w:numFmt w:val="decimal"/>
      <w:suff w:val="nothing"/>
      <w:lvlText w:val="（%1）"/>
      <w:lvlJc w:val="left"/>
      <w:pPr>
        <w:tabs>
          <w:tab w:val="left" w:pos="0"/>
        </w:tabs>
      </w:pPr>
      <w:rPr>
        <w:rFonts w:cs="Times New Roman"/>
      </w:rPr>
    </w:lvl>
  </w:abstractNum>
  <w:abstractNum w:abstractNumId="5">
    <w:nsid w:val="05F35038"/>
    <w:multiLevelType w:val="singleLevel"/>
    <w:tmpl w:val="05F35038"/>
    <w:lvl w:ilvl="0" w:tentative="0">
      <w:start w:val="1"/>
      <w:numFmt w:val="decimal"/>
      <w:suff w:val="space"/>
      <w:lvlText w:val="%1."/>
      <w:lvlJc w:val="left"/>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hdrShapeDefaults>
    <o:shapelayout v:ext="edit">
      <o:idmap v:ext="edit" data="3,4"/>
    </o:shapelayout>
  </w:hdrShapeDefaults>
  <w:endnotePr>
    <w:numFmt w:val="decimal"/>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MmQwZDA0NmY4ZTdlNTJjMTMzNTAxZDY4YTgwNjcifQ=="/>
  </w:docVars>
  <w:rsids>
    <w:rsidRoot w:val="00A13057"/>
    <w:rsid w:val="00001C7B"/>
    <w:rsid w:val="00001DDE"/>
    <w:rsid w:val="00002CF9"/>
    <w:rsid w:val="00004375"/>
    <w:rsid w:val="00005733"/>
    <w:rsid w:val="0001340F"/>
    <w:rsid w:val="00013EF1"/>
    <w:rsid w:val="000146AB"/>
    <w:rsid w:val="00015E89"/>
    <w:rsid w:val="00017C8C"/>
    <w:rsid w:val="00021A37"/>
    <w:rsid w:val="00021CFF"/>
    <w:rsid w:val="000246EB"/>
    <w:rsid w:val="00024D26"/>
    <w:rsid w:val="000268A7"/>
    <w:rsid w:val="00027E8A"/>
    <w:rsid w:val="000301AB"/>
    <w:rsid w:val="00031774"/>
    <w:rsid w:val="000343C0"/>
    <w:rsid w:val="0003549D"/>
    <w:rsid w:val="00035FAE"/>
    <w:rsid w:val="00036F80"/>
    <w:rsid w:val="00040524"/>
    <w:rsid w:val="000419E5"/>
    <w:rsid w:val="0004262D"/>
    <w:rsid w:val="00042E98"/>
    <w:rsid w:val="00042EF1"/>
    <w:rsid w:val="0004365A"/>
    <w:rsid w:val="00045392"/>
    <w:rsid w:val="00046BEF"/>
    <w:rsid w:val="000474A9"/>
    <w:rsid w:val="00054BA1"/>
    <w:rsid w:val="00054E1F"/>
    <w:rsid w:val="00055137"/>
    <w:rsid w:val="00055452"/>
    <w:rsid w:val="00055BE1"/>
    <w:rsid w:val="000602BF"/>
    <w:rsid w:val="00061433"/>
    <w:rsid w:val="0006584D"/>
    <w:rsid w:val="00066187"/>
    <w:rsid w:val="000668A9"/>
    <w:rsid w:val="00070F6F"/>
    <w:rsid w:val="00076E47"/>
    <w:rsid w:val="000770E5"/>
    <w:rsid w:val="00082234"/>
    <w:rsid w:val="00082823"/>
    <w:rsid w:val="00082FD5"/>
    <w:rsid w:val="00083E0D"/>
    <w:rsid w:val="00084A08"/>
    <w:rsid w:val="0008592F"/>
    <w:rsid w:val="00086F53"/>
    <w:rsid w:val="00093AE5"/>
    <w:rsid w:val="00096175"/>
    <w:rsid w:val="000B1AEB"/>
    <w:rsid w:val="000B4C47"/>
    <w:rsid w:val="000B5494"/>
    <w:rsid w:val="000B698C"/>
    <w:rsid w:val="000B7337"/>
    <w:rsid w:val="000C09E9"/>
    <w:rsid w:val="000C13A5"/>
    <w:rsid w:val="000C1AE6"/>
    <w:rsid w:val="000C1F30"/>
    <w:rsid w:val="000C7BA5"/>
    <w:rsid w:val="000D13F1"/>
    <w:rsid w:val="000D1620"/>
    <w:rsid w:val="000D1E2E"/>
    <w:rsid w:val="000D44A5"/>
    <w:rsid w:val="000D4FC0"/>
    <w:rsid w:val="000D769D"/>
    <w:rsid w:val="000D7C7F"/>
    <w:rsid w:val="000E044E"/>
    <w:rsid w:val="000E3B0B"/>
    <w:rsid w:val="000E5747"/>
    <w:rsid w:val="000F162E"/>
    <w:rsid w:val="000F2445"/>
    <w:rsid w:val="000F2471"/>
    <w:rsid w:val="000F352E"/>
    <w:rsid w:val="000F555A"/>
    <w:rsid w:val="000F7BAA"/>
    <w:rsid w:val="00101B86"/>
    <w:rsid w:val="0010203E"/>
    <w:rsid w:val="00104658"/>
    <w:rsid w:val="00104749"/>
    <w:rsid w:val="00107F3E"/>
    <w:rsid w:val="00112874"/>
    <w:rsid w:val="00114893"/>
    <w:rsid w:val="001169ED"/>
    <w:rsid w:val="001179D4"/>
    <w:rsid w:val="00120136"/>
    <w:rsid w:val="00126DAA"/>
    <w:rsid w:val="00127865"/>
    <w:rsid w:val="00130FFE"/>
    <w:rsid w:val="00131098"/>
    <w:rsid w:val="00131238"/>
    <w:rsid w:val="00131B8A"/>
    <w:rsid w:val="00132CBF"/>
    <w:rsid w:val="00133AE3"/>
    <w:rsid w:val="001361E1"/>
    <w:rsid w:val="00137D20"/>
    <w:rsid w:val="0014333C"/>
    <w:rsid w:val="00143623"/>
    <w:rsid w:val="001436EF"/>
    <w:rsid w:val="001443B4"/>
    <w:rsid w:val="00145697"/>
    <w:rsid w:val="00145F45"/>
    <w:rsid w:val="0014665A"/>
    <w:rsid w:val="001473AB"/>
    <w:rsid w:val="001504FC"/>
    <w:rsid w:val="0015063E"/>
    <w:rsid w:val="00151199"/>
    <w:rsid w:val="00151E7F"/>
    <w:rsid w:val="001550AC"/>
    <w:rsid w:val="00155973"/>
    <w:rsid w:val="00155C0D"/>
    <w:rsid w:val="0016097E"/>
    <w:rsid w:val="001639F7"/>
    <w:rsid w:val="00163AD5"/>
    <w:rsid w:val="0016500B"/>
    <w:rsid w:val="001656CD"/>
    <w:rsid w:val="00165BC9"/>
    <w:rsid w:val="001663D7"/>
    <w:rsid w:val="001664C1"/>
    <w:rsid w:val="00170944"/>
    <w:rsid w:val="00173006"/>
    <w:rsid w:val="00174B09"/>
    <w:rsid w:val="0017512F"/>
    <w:rsid w:val="00176859"/>
    <w:rsid w:val="00176ED4"/>
    <w:rsid w:val="00177C34"/>
    <w:rsid w:val="001837B9"/>
    <w:rsid w:val="0018467E"/>
    <w:rsid w:val="00185887"/>
    <w:rsid w:val="001922A1"/>
    <w:rsid w:val="00193F95"/>
    <w:rsid w:val="00196AA2"/>
    <w:rsid w:val="00196F0B"/>
    <w:rsid w:val="001A2A65"/>
    <w:rsid w:val="001A6554"/>
    <w:rsid w:val="001A6F37"/>
    <w:rsid w:val="001B04D9"/>
    <w:rsid w:val="001B5099"/>
    <w:rsid w:val="001C53EC"/>
    <w:rsid w:val="001C7104"/>
    <w:rsid w:val="001D2EBC"/>
    <w:rsid w:val="001D729F"/>
    <w:rsid w:val="001E01E2"/>
    <w:rsid w:val="001E2542"/>
    <w:rsid w:val="001E2F50"/>
    <w:rsid w:val="001E36C9"/>
    <w:rsid w:val="001E4F70"/>
    <w:rsid w:val="001E542C"/>
    <w:rsid w:val="001E6CDD"/>
    <w:rsid w:val="001F36A9"/>
    <w:rsid w:val="001F3E4B"/>
    <w:rsid w:val="002015BD"/>
    <w:rsid w:val="0020568D"/>
    <w:rsid w:val="00206952"/>
    <w:rsid w:val="0021017E"/>
    <w:rsid w:val="00211285"/>
    <w:rsid w:val="0021210B"/>
    <w:rsid w:val="0021379F"/>
    <w:rsid w:val="0021391F"/>
    <w:rsid w:val="00213ADF"/>
    <w:rsid w:val="0021442A"/>
    <w:rsid w:val="00221F6E"/>
    <w:rsid w:val="00222B72"/>
    <w:rsid w:val="0022402B"/>
    <w:rsid w:val="0022663E"/>
    <w:rsid w:val="002300BB"/>
    <w:rsid w:val="00237ECF"/>
    <w:rsid w:val="00240585"/>
    <w:rsid w:val="00250541"/>
    <w:rsid w:val="00252DF9"/>
    <w:rsid w:val="00263F8E"/>
    <w:rsid w:val="002656F3"/>
    <w:rsid w:val="0026639A"/>
    <w:rsid w:val="00266560"/>
    <w:rsid w:val="002736D3"/>
    <w:rsid w:val="00273889"/>
    <w:rsid w:val="002741EA"/>
    <w:rsid w:val="00277508"/>
    <w:rsid w:val="00280091"/>
    <w:rsid w:val="00286239"/>
    <w:rsid w:val="002903F6"/>
    <w:rsid w:val="00291068"/>
    <w:rsid w:val="00293201"/>
    <w:rsid w:val="0029323E"/>
    <w:rsid w:val="002958D1"/>
    <w:rsid w:val="00296F90"/>
    <w:rsid w:val="00297076"/>
    <w:rsid w:val="00297552"/>
    <w:rsid w:val="002A1000"/>
    <w:rsid w:val="002A47F6"/>
    <w:rsid w:val="002A4C74"/>
    <w:rsid w:val="002A7499"/>
    <w:rsid w:val="002B016A"/>
    <w:rsid w:val="002B04F2"/>
    <w:rsid w:val="002B3A2A"/>
    <w:rsid w:val="002B535E"/>
    <w:rsid w:val="002B6553"/>
    <w:rsid w:val="002B6912"/>
    <w:rsid w:val="002B7667"/>
    <w:rsid w:val="002C0948"/>
    <w:rsid w:val="002C1459"/>
    <w:rsid w:val="002C289A"/>
    <w:rsid w:val="002C4734"/>
    <w:rsid w:val="002C5589"/>
    <w:rsid w:val="002D488F"/>
    <w:rsid w:val="002D6BF4"/>
    <w:rsid w:val="002E3115"/>
    <w:rsid w:val="002E4078"/>
    <w:rsid w:val="002E4426"/>
    <w:rsid w:val="002E53A9"/>
    <w:rsid w:val="002E695A"/>
    <w:rsid w:val="002F0316"/>
    <w:rsid w:val="002F0CED"/>
    <w:rsid w:val="002F6925"/>
    <w:rsid w:val="002F6C45"/>
    <w:rsid w:val="002F6D52"/>
    <w:rsid w:val="00301426"/>
    <w:rsid w:val="00303175"/>
    <w:rsid w:val="003075BF"/>
    <w:rsid w:val="00314667"/>
    <w:rsid w:val="003156EA"/>
    <w:rsid w:val="003203B3"/>
    <w:rsid w:val="00324EDD"/>
    <w:rsid w:val="00325A9A"/>
    <w:rsid w:val="00326715"/>
    <w:rsid w:val="00327594"/>
    <w:rsid w:val="003330E6"/>
    <w:rsid w:val="00334994"/>
    <w:rsid w:val="00335186"/>
    <w:rsid w:val="00337632"/>
    <w:rsid w:val="00337688"/>
    <w:rsid w:val="00337890"/>
    <w:rsid w:val="003413AD"/>
    <w:rsid w:val="0034360D"/>
    <w:rsid w:val="00345F59"/>
    <w:rsid w:val="00352559"/>
    <w:rsid w:val="0035320A"/>
    <w:rsid w:val="00354D28"/>
    <w:rsid w:val="0035656A"/>
    <w:rsid w:val="00356C37"/>
    <w:rsid w:val="0035753B"/>
    <w:rsid w:val="00361365"/>
    <w:rsid w:val="00361FAC"/>
    <w:rsid w:val="003623B0"/>
    <w:rsid w:val="003664B2"/>
    <w:rsid w:val="00366571"/>
    <w:rsid w:val="003718FE"/>
    <w:rsid w:val="0037221D"/>
    <w:rsid w:val="00374842"/>
    <w:rsid w:val="00376374"/>
    <w:rsid w:val="00376DC6"/>
    <w:rsid w:val="00377629"/>
    <w:rsid w:val="003810B0"/>
    <w:rsid w:val="003814B0"/>
    <w:rsid w:val="00382A43"/>
    <w:rsid w:val="003830CC"/>
    <w:rsid w:val="00384228"/>
    <w:rsid w:val="0038673C"/>
    <w:rsid w:val="0038754D"/>
    <w:rsid w:val="00392BB1"/>
    <w:rsid w:val="00392F8A"/>
    <w:rsid w:val="003938D9"/>
    <w:rsid w:val="003949BB"/>
    <w:rsid w:val="003A1A75"/>
    <w:rsid w:val="003A4DD9"/>
    <w:rsid w:val="003A5130"/>
    <w:rsid w:val="003A5997"/>
    <w:rsid w:val="003A664B"/>
    <w:rsid w:val="003B25E2"/>
    <w:rsid w:val="003B2789"/>
    <w:rsid w:val="003B46FC"/>
    <w:rsid w:val="003B4B39"/>
    <w:rsid w:val="003C39AE"/>
    <w:rsid w:val="003C60BB"/>
    <w:rsid w:val="003C71DA"/>
    <w:rsid w:val="003D1173"/>
    <w:rsid w:val="003D5B68"/>
    <w:rsid w:val="003D649F"/>
    <w:rsid w:val="003D7ED6"/>
    <w:rsid w:val="003E079F"/>
    <w:rsid w:val="003E1206"/>
    <w:rsid w:val="003E5107"/>
    <w:rsid w:val="003E60E0"/>
    <w:rsid w:val="003F16F5"/>
    <w:rsid w:val="003F68D6"/>
    <w:rsid w:val="003F7C6A"/>
    <w:rsid w:val="00400AFB"/>
    <w:rsid w:val="004027C6"/>
    <w:rsid w:val="00410AA2"/>
    <w:rsid w:val="004114EE"/>
    <w:rsid w:val="0041308D"/>
    <w:rsid w:val="0041446F"/>
    <w:rsid w:val="00416B1E"/>
    <w:rsid w:val="00416E23"/>
    <w:rsid w:val="00432460"/>
    <w:rsid w:val="00432A12"/>
    <w:rsid w:val="00432A38"/>
    <w:rsid w:val="004378E2"/>
    <w:rsid w:val="00442673"/>
    <w:rsid w:val="00446651"/>
    <w:rsid w:val="004478B7"/>
    <w:rsid w:val="00450E1B"/>
    <w:rsid w:val="00450F4D"/>
    <w:rsid w:val="00451ED9"/>
    <w:rsid w:val="0045364F"/>
    <w:rsid w:val="004544B7"/>
    <w:rsid w:val="00456B6B"/>
    <w:rsid w:val="00457A97"/>
    <w:rsid w:val="00460397"/>
    <w:rsid w:val="0046451F"/>
    <w:rsid w:val="00465590"/>
    <w:rsid w:val="0046732B"/>
    <w:rsid w:val="00472025"/>
    <w:rsid w:val="00472F92"/>
    <w:rsid w:val="00475811"/>
    <w:rsid w:val="00475821"/>
    <w:rsid w:val="004800FD"/>
    <w:rsid w:val="00480B7D"/>
    <w:rsid w:val="00481FE2"/>
    <w:rsid w:val="00482133"/>
    <w:rsid w:val="00485695"/>
    <w:rsid w:val="00490097"/>
    <w:rsid w:val="004900D9"/>
    <w:rsid w:val="004903FE"/>
    <w:rsid w:val="00492496"/>
    <w:rsid w:val="00492603"/>
    <w:rsid w:val="004934A3"/>
    <w:rsid w:val="00496B26"/>
    <w:rsid w:val="004A0EFF"/>
    <w:rsid w:val="004A3685"/>
    <w:rsid w:val="004A64A6"/>
    <w:rsid w:val="004A7530"/>
    <w:rsid w:val="004B178A"/>
    <w:rsid w:val="004B3C98"/>
    <w:rsid w:val="004B4D01"/>
    <w:rsid w:val="004C0647"/>
    <w:rsid w:val="004C2FB4"/>
    <w:rsid w:val="004C4741"/>
    <w:rsid w:val="004C4C2D"/>
    <w:rsid w:val="004C5C68"/>
    <w:rsid w:val="004C5CD2"/>
    <w:rsid w:val="004C7401"/>
    <w:rsid w:val="004C7E34"/>
    <w:rsid w:val="004D1385"/>
    <w:rsid w:val="004D1999"/>
    <w:rsid w:val="004D219A"/>
    <w:rsid w:val="004E31FB"/>
    <w:rsid w:val="004E5711"/>
    <w:rsid w:val="004E6DEA"/>
    <w:rsid w:val="004F202E"/>
    <w:rsid w:val="004F2A81"/>
    <w:rsid w:val="004F31AE"/>
    <w:rsid w:val="004F7272"/>
    <w:rsid w:val="004F7D2E"/>
    <w:rsid w:val="00501DD2"/>
    <w:rsid w:val="005031B2"/>
    <w:rsid w:val="005042C3"/>
    <w:rsid w:val="005047B0"/>
    <w:rsid w:val="00504A5C"/>
    <w:rsid w:val="0050609D"/>
    <w:rsid w:val="00506FAA"/>
    <w:rsid w:val="005077AC"/>
    <w:rsid w:val="005129C1"/>
    <w:rsid w:val="00520D79"/>
    <w:rsid w:val="00530843"/>
    <w:rsid w:val="00530D31"/>
    <w:rsid w:val="005316D2"/>
    <w:rsid w:val="00532150"/>
    <w:rsid w:val="005332DD"/>
    <w:rsid w:val="0053393C"/>
    <w:rsid w:val="005346AD"/>
    <w:rsid w:val="005346B2"/>
    <w:rsid w:val="00543C73"/>
    <w:rsid w:val="00550078"/>
    <w:rsid w:val="0055045E"/>
    <w:rsid w:val="00550732"/>
    <w:rsid w:val="00550E1F"/>
    <w:rsid w:val="00551AAF"/>
    <w:rsid w:val="0055505E"/>
    <w:rsid w:val="00555EC8"/>
    <w:rsid w:val="0055657E"/>
    <w:rsid w:val="00557AAD"/>
    <w:rsid w:val="005621B7"/>
    <w:rsid w:val="005626D8"/>
    <w:rsid w:val="00564530"/>
    <w:rsid w:val="0056549A"/>
    <w:rsid w:val="005673B8"/>
    <w:rsid w:val="00567B90"/>
    <w:rsid w:val="00570CF6"/>
    <w:rsid w:val="00571B91"/>
    <w:rsid w:val="00571D32"/>
    <w:rsid w:val="005726BA"/>
    <w:rsid w:val="00574395"/>
    <w:rsid w:val="00574F62"/>
    <w:rsid w:val="00577E58"/>
    <w:rsid w:val="00581C44"/>
    <w:rsid w:val="0058280B"/>
    <w:rsid w:val="005835B3"/>
    <w:rsid w:val="00584920"/>
    <w:rsid w:val="0058588E"/>
    <w:rsid w:val="00587972"/>
    <w:rsid w:val="00590A3F"/>
    <w:rsid w:val="00595C30"/>
    <w:rsid w:val="005A059E"/>
    <w:rsid w:val="005A2BF6"/>
    <w:rsid w:val="005A2FCD"/>
    <w:rsid w:val="005A3628"/>
    <w:rsid w:val="005A4043"/>
    <w:rsid w:val="005A7234"/>
    <w:rsid w:val="005A7712"/>
    <w:rsid w:val="005B0A69"/>
    <w:rsid w:val="005B4A1A"/>
    <w:rsid w:val="005B534D"/>
    <w:rsid w:val="005B6FB1"/>
    <w:rsid w:val="005C1305"/>
    <w:rsid w:val="005C36F8"/>
    <w:rsid w:val="005C4C48"/>
    <w:rsid w:val="005C75BA"/>
    <w:rsid w:val="005D00D6"/>
    <w:rsid w:val="005D08A7"/>
    <w:rsid w:val="005D0990"/>
    <w:rsid w:val="005D3C47"/>
    <w:rsid w:val="005D51C1"/>
    <w:rsid w:val="005D5451"/>
    <w:rsid w:val="005D5D1B"/>
    <w:rsid w:val="005D7677"/>
    <w:rsid w:val="005E0BBA"/>
    <w:rsid w:val="005E1142"/>
    <w:rsid w:val="005E2D43"/>
    <w:rsid w:val="005E6988"/>
    <w:rsid w:val="005F6DA1"/>
    <w:rsid w:val="00602B61"/>
    <w:rsid w:val="00605412"/>
    <w:rsid w:val="00605535"/>
    <w:rsid w:val="0060609E"/>
    <w:rsid w:val="00606CDE"/>
    <w:rsid w:val="00607ECE"/>
    <w:rsid w:val="00611656"/>
    <w:rsid w:val="00611675"/>
    <w:rsid w:val="006236F5"/>
    <w:rsid w:val="00631925"/>
    <w:rsid w:val="00631D4C"/>
    <w:rsid w:val="00633AC4"/>
    <w:rsid w:val="0063467A"/>
    <w:rsid w:val="006352ED"/>
    <w:rsid w:val="006438B6"/>
    <w:rsid w:val="0064688F"/>
    <w:rsid w:val="00646A59"/>
    <w:rsid w:val="00647060"/>
    <w:rsid w:val="006474B3"/>
    <w:rsid w:val="006503F4"/>
    <w:rsid w:val="00653308"/>
    <w:rsid w:val="0065345A"/>
    <w:rsid w:val="00653B6F"/>
    <w:rsid w:val="0066499C"/>
    <w:rsid w:val="00671798"/>
    <w:rsid w:val="00671A78"/>
    <w:rsid w:val="00671EB0"/>
    <w:rsid w:val="00675BFA"/>
    <w:rsid w:val="006764C0"/>
    <w:rsid w:val="00676BE8"/>
    <w:rsid w:val="00677297"/>
    <w:rsid w:val="0067758E"/>
    <w:rsid w:val="006809EF"/>
    <w:rsid w:val="006815E4"/>
    <w:rsid w:val="00684D7F"/>
    <w:rsid w:val="00685639"/>
    <w:rsid w:val="006874EA"/>
    <w:rsid w:val="00687C34"/>
    <w:rsid w:val="00687C86"/>
    <w:rsid w:val="00694898"/>
    <w:rsid w:val="006963C9"/>
    <w:rsid w:val="006A40E9"/>
    <w:rsid w:val="006A5BEA"/>
    <w:rsid w:val="006A69E0"/>
    <w:rsid w:val="006B479C"/>
    <w:rsid w:val="006B4D79"/>
    <w:rsid w:val="006B74CA"/>
    <w:rsid w:val="006C1BC3"/>
    <w:rsid w:val="006C294A"/>
    <w:rsid w:val="006C3F35"/>
    <w:rsid w:val="006C646A"/>
    <w:rsid w:val="006D037F"/>
    <w:rsid w:val="006D0BFD"/>
    <w:rsid w:val="006D6A7E"/>
    <w:rsid w:val="006D6CC0"/>
    <w:rsid w:val="006D6F38"/>
    <w:rsid w:val="006E1439"/>
    <w:rsid w:val="006E18AA"/>
    <w:rsid w:val="006E1C10"/>
    <w:rsid w:val="006E3005"/>
    <w:rsid w:val="006E6569"/>
    <w:rsid w:val="006F1396"/>
    <w:rsid w:val="006F18F8"/>
    <w:rsid w:val="006F57F0"/>
    <w:rsid w:val="006F6AE1"/>
    <w:rsid w:val="00700677"/>
    <w:rsid w:val="007012CD"/>
    <w:rsid w:val="007015D6"/>
    <w:rsid w:val="00703E02"/>
    <w:rsid w:val="0070497D"/>
    <w:rsid w:val="0070542D"/>
    <w:rsid w:val="00706497"/>
    <w:rsid w:val="007075B6"/>
    <w:rsid w:val="00714BBD"/>
    <w:rsid w:val="007159CA"/>
    <w:rsid w:val="0071758C"/>
    <w:rsid w:val="00717F8E"/>
    <w:rsid w:val="00720A51"/>
    <w:rsid w:val="00724FEB"/>
    <w:rsid w:val="00727BA6"/>
    <w:rsid w:val="0073045C"/>
    <w:rsid w:val="00732497"/>
    <w:rsid w:val="00732E4D"/>
    <w:rsid w:val="00733758"/>
    <w:rsid w:val="00733C6C"/>
    <w:rsid w:val="00736AF1"/>
    <w:rsid w:val="0074130C"/>
    <w:rsid w:val="007415BA"/>
    <w:rsid w:val="00741AB2"/>
    <w:rsid w:val="00744144"/>
    <w:rsid w:val="00747CB2"/>
    <w:rsid w:val="00747DA1"/>
    <w:rsid w:val="00756A66"/>
    <w:rsid w:val="00760C23"/>
    <w:rsid w:val="00771BBD"/>
    <w:rsid w:val="00771E13"/>
    <w:rsid w:val="007742EA"/>
    <w:rsid w:val="00775FB2"/>
    <w:rsid w:val="00781779"/>
    <w:rsid w:val="00785032"/>
    <w:rsid w:val="007850DF"/>
    <w:rsid w:val="007867CE"/>
    <w:rsid w:val="007870C0"/>
    <w:rsid w:val="00790697"/>
    <w:rsid w:val="00790897"/>
    <w:rsid w:val="00791D40"/>
    <w:rsid w:val="0079424A"/>
    <w:rsid w:val="00794817"/>
    <w:rsid w:val="007973F7"/>
    <w:rsid w:val="007A06C0"/>
    <w:rsid w:val="007A0D90"/>
    <w:rsid w:val="007A12E6"/>
    <w:rsid w:val="007A1983"/>
    <w:rsid w:val="007A5C16"/>
    <w:rsid w:val="007A7C73"/>
    <w:rsid w:val="007B211C"/>
    <w:rsid w:val="007B2B64"/>
    <w:rsid w:val="007B3061"/>
    <w:rsid w:val="007B496A"/>
    <w:rsid w:val="007B6850"/>
    <w:rsid w:val="007B7323"/>
    <w:rsid w:val="007B751D"/>
    <w:rsid w:val="007C124B"/>
    <w:rsid w:val="007C13D9"/>
    <w:rsid w:val="007C2095"/>
    <w:rsid w:val="007C3BFA"/>
    <w:rsid w:val="007C4669"/>
    <w:rsid w:val="007C4761"/>
    <w:rsid w:val="007C55DD"/>
    <w:rsid w:val="007C59F9"/>
    <w:rsid w:val="007D0852"/>
    <w:rsid w:val="007D10A5"/>
    <w:rsid w:val="007D392E"/>
    <w:rsid w:val="007D5B53"/>
    <w:rsid w:val="007D69DC"/>
    <w:rsid w:val="007E0CF9"/>
    <w:rsid w:val="007E3DBE"/>
    <w:rsid w:val="007E6D24"/>
    <w:rsid w:val="007E6E94"/>
    <w:rsid w:val="007E7CDE"/>
    <w:rsid w:val="007F7D1B"/>
    <w:rsid w:val="008031BE"/>
    <w:rsid w:val="00804325"/>
    <w:rsid w:val="008064A5"/>
    <w:rsid w:val="0080778E"/>
    <w:rsid w:val="00811230"/>
    <w:rsid w:val="00811DF2"/>
    <w:rsid w:val="008143DB"/>
    <w:rsid w:val="00814E0C"/>
    <w:rsid w:val="00817207"/>
    <w:rsid w:val="00820935"/>
    <w:rsid w:val="00821905"/>
    <w:rsid w:val="008226CB"/>
    <w:rsid w:val="00823B64"/>
    <w:rsid w:val="00823FF9"/>
    <w:rsid w:val="00835E94"/>
    <w:rsid w:val="00836188"/>
    <w:rsid w:val="00840C56"/>
    <w:rsid w:val="00842828"/>
    <w:rsid w:val="00843FCB"/>
    <w:rsid w:val="00845DBA"/>
    <w:rsid w:val="008541F8"/>
    <w:rsid w:val="008548C3"/>
    <w:rsid w:val="00855D61"/>
    <w:rsid w:val="00860141"/>
    <w:rsid w:val="008605E9"/>
    <w:rsid w:val="00861275"/>
    <w:rsid w:val="00862997"/>
    <w:rsid w:val="008639C1"/>
    <w:rsid w:val="00864F97"/>
    <w:rsid w:val="008676DF"/>
    <w:rsid w:val="00867CFE"/>
    <w:rsid w:val="00870973"/>
    <w:rsid w:val="00872F37"/>
    <w:rsid w:val="00875E12"/>
    <w:rsid w:val="00877E34"/>
    <w:rsid w:val="00880831"/>
    <w:rsid w:val="00883BEF"/>
    <w:rsid w:val="00886CEF"/>
    <w:rsid w:val="00891198"/>
    <w:rsid w:val="0089119C"/>
    <w:rsid w:val="00891AB2"/>
    <w:rsid w:val="00895BA3"/>
    <w:rsid w:val="008A12BD"/>
    <w:rsid w:val="008A6F57"/>
    <w:rsid w:val="008A778B"/>
    <w:rsid w:val="008B43A5"/>
    <w:rsid w:val="008B51F9"/>
    <w:rsid w:val="008B540B"/>
    <w:rsid w:val="008B5D72"/>
    <w:rsid w:val="008B65F1"/>
    <w:rsid w:val="008C1542"/>
    <w:rsid w:val="008C2160"/>
    <w:rsid w:val="008C2A08"/>
    <w:rsid w:val="008C2D2B"/>
    <w:rsid w:val="008C32BF"/>
    <w:rsid w:val="008D088E"/>
    <w:rsid w:val="008D214C"/>
    <w:rsid w:val="008D51CD"/>
    <w:rsid w:val="008E15F8"/>
    <w:rsid w:val="008E2106"/>
    <w:rsid w:val="008E4157"/>
    <w:rsid w:val="008E4B83"/>
    <w:rsid w:val="008E7538"/>
    <w:rsid w:val="008F0C9D"/>
    <w:rsid w:val="008F33E0"/>
    <w:rsid w:val="008F4A05"/>
    <w:rsid w:val="008F5B2F"/>
    <w:rsid w:val="008F635A"/>
    <w:rsid w:val="00900790"/>
    <w:rsid w:val="00903E4A"/>
    <w:rsid w:val="00903FF9"/>
    <w:rsid w:val="0090517B"/>
    <w:rsid w:val="00905269"/>
    <w:rsid w:val="00910569"/>
    <w:rsid w:val="00911E1B"/>
    <w:rsid w:val="00912DDF"/>
    <w:rsid w:val="009151CF"/>
    <w:rsid w:val="00917F30"/>
    <w:rsid w:val="00921AA5"/>
    <w:rsid w:val="00923911"/>
    <w:rsid w:val="0092510B"/>
    <w:rsid w:val="009275D4"/>
    <w:rsid w:val="00931890"/>
    <w:rsid w:val="009324D5"/>
    <w:rsid w:val="00933B66"/>
    <w:rsid w:val="00934620"/>
    <w:rsid w:val="00935064"/>
    <w:rsid w:val="00935A04"/>
    <w:rsid w:val="00941F0F"/>
    <w:rsid w:val="00942432"/>
    <w:rsid w:val="00942FBE"/>
    <w:rsid w:val="00947651"/>
    <w:rsid w:val="00953050"/>
    <w:rsid w:val="00957114"/>
    <w:rsid w:val="00963960"/>
    <w:rsid w:val="009663B1"/>
    <w:rsid w:val="0097173C"/>
    <w:rsid w:val="0097398B"/>
    <w:rsid w:val="009744FC"/>
    <w:rsid w:val="009752AF"/>
    <w:rsid w:val="00977882"/>
    <w:rsid w:val="00981D99"/>
    <w:rsid w:val="0098211C"/>
    <w:rsid w:val="00984BE0"/>
    <w:rsid w:val="009859D8"/>
    <w:rsid w:val="0098725D"/>
    <w:rsid w:val="00990EB6"/>
    <w:rsid w:val="00992B73"/>
    <w:rsid w:val="009942DA"/>
    <w:rsid w:val="009948D9"/>
    <w:rsid w:val="00997025"/>
    <w:rsid w:val="00997CC1"/>
    <w:rsid w:val="009A407D"/>
    <w:rsid w:val="009B0A8E"/>
    <w:rsid w:val="009B2053"/>
    <w:rsid w:val="009B212F"/>
    <w:rsid w:val="009B36C1"/>
    <w:rsid w:val="009B5115"/>
    <w:rsid w:val="009B5279"/>
    <w:rsid w:val="009B7B8E"/>
    <w:rsid w:val="009B7E38"/>
    <w:rsid w:val="009C06E2"/>
    <w:rsid w:val="009C2357"/>
    <w:rsid w:val="009C6C84"/>
    <w:rsid w:val="009D00B8"/>
    <w:rsid w:val="009D17CD"/>
    <w:rsid w:val="009D28BA"/>
    <w:rsid w:val="009D292E"/>
    <w:rsid w:val="009D3243"/>
    <w:rsid w:val="009D3301"/>
    <w:rsid w:val="009D4353"/>
    <w:rsid w:val="009D4E47"/>
    <w:rsid w:val="009D6CE1"/>
    <w:rsid w:val="009E18BC"/>
    <w:rsid w:val="009E2F4E"/>
    <w:rsid w:val="009E3CB6"/>
    <w:rsid w:val="009E4E16"/>
    <w:rsid w:val="009E6200"/>
    <w:rsid w:val="009E7842"/>
    <w:rsid w:val="009E7B41"/>
    <w:rsid w:val="009F00DA"/>
    <w:rsid w:val="009F2253"/>
    <w:rsid w:val="009F3E6D"/>
    <w:rsid w:val="009F78A6"/>
    <w:rsid w:val="00A00C2C"/>
    <w:rsid w:val="00A02368"/>
    <w:rsid w:val="00A031D2"/>
    <w:rsid w:val="00A03AC7"/>
    <w:rsid w:val="00A04522"/>
    <w:rsid w:val="00A04DF1"/>
    <w:rsid w:val="00A064BD"/>
    <w:rsid w:val="00A0673E"/>
    <w:rsid w:val="00A13057"/>
    <w:rsid w:val="00A13A46"/>
    <w:rsid w:val="00A16DF3"/>
    <w:rsid w:val="00A177B0"/>
    <w:rsid w:val="00A21376"/>
    <w:rsid w:val="00A222C6"/>
    <w:rsid w:val="00A24DA8"/>
    <w:rsid w:val="00A2565F"/>
    <w:rsid w:val="00A25BE3"/>
    <w:rsid w:val="00A262B9"/>
    <w:rsid w:val="00A26B7F"/>
    <w:rsid w:val="00A33ED1"/>
    <w:rsid w:val="00A35551"/>
    <w:rsid w:val="00A37D4B"/>
    <w:rsid w:val="00A37E7E"/>
    <w:rsid w:val="00A41484"/>
    <w:rsid w:val="00A43437"/>
    <w:rsid w:val="00A43688"/>
    <w:rsid w:val="00A43B90"/>
    <w:rsid w:val="00A44630"/>
    <w:rsid w:val="00A44725"/>
    <w:rsid w:val="00A4536F"/>
    <w:rsid w:val="00A45FFB"/>
    <w:rsid w:val="00A5022A"/>
    <w:rsid w:val="00A50FED"/>
    <w:rsid w:val="00A52D15"/>
    <w:rsid w:val="00A53C2B"/>
    <w:rsid w:val="00A55839"/>
    <w:rsid w:val="00A56B97"/>
    <w:rsid w:val="00A6042D"/>
    <w:rsid w:val="00A6099F"/>
    <w:rsid w:val="00A61AD0"/>
    <w:rsid w:val="00A639A5"/>
    <w:rsid w:val="00A668B9"/>
    <w:rsid w:val="00A676F4"/>
    <w:rsid w:val="00A67A11"/>
    <w:rsid w:val="00A71565"/>
    <w:rsid w:val="00A71B91"/>
    <w:rsid w:val="00A72867"/>
    <w:rsid w:val="00A74FAB"/>
    <w:rsid w:val="00A837A5"/>
    <w:rsid w:val="00A83DBC"/>
    <w:rsid w:val="00A854EE"/>
    <w:rsid w:val="00A86F21"/>
    <w:rsid w:val="00A8727D"/>
    <w:rsid w:val="00A92A46"/>
    <w:rsid w:val="00A93F22"/>
    <w:rsid w:val="00A94A5B"/>
    <w:rsid w:val="00A951DF"/>
    <w:rsid w:val="00A964EE"/>
    <w:rsid w:val="00A96DEB"/>
    <w:rsid w:val="00A97637"/>
    <w:rsid w:val="00A978E1"/>
    <w:rsid w:val="00AA0159"/>
    <w:rsid w:val="00AA5746"/>
    <w:rsid w:val="00AA774D"/>
    <w:rsid w:val="00AB025E"/>
    <w:rsid w:val="00AB14A9"/>
    <w:rsid w:val="00AB1C29"/>
    <w:rsid w:val="00AB2C11"/>
    <w:rsid w:val="00AB5669"/>
    <w:rsid w:val="00AB7DDF"/>
    <w:rsid w:val="00AC069F"/>
    <w:rsid w:val="00AC44BD"/>
    <w:rsid w:val="00AC4E99"/>
    <w:rsid w:val="00AC4F82"/>
    <w:rsid w:val="00AC54D7"/>
    <w:rsid w:val="00AC6491"/>
    <w:rsid w:val="00AD024D"/>
    <w:rsid w:val="00AD2B5A"/>
    <w:rsid w:val="00AD47DB"/>
    <w:rsid w:val="00AD7B1A"/>
    <w:rsid w:val="00AE208D"/>
    <w:rsid w:val="00AE2223"/>
    <w:rsid w:val="00AE3394"/>
    <w:rsid w:val="00AE3754"/>
    <w:rsid w:val="00AE6070"/>
    <w:rsid w:val="00AF352C"/>
    <w:rsid w:val="00AF3CE6"/>
    <w:rsid w:val="00AF4B69"/>
    <w:rsid w:val="00AF5A85"/>
    <w:rsid w:val="00AF7385"/>
    <w:rsid w:val="00B00B58"/>
    <w:rsid w:val="00B013EA"/>
    <w:rsid w:val="00B04CD3"/>
    <w:rsid w:val="00B04EC9"/>
    <w:rsid w:val="00B055C7"/>
    <w:rsid w:val="00B06014"/>
    <w:rsid w:val="00B06FD4"/>
    <w:rsid w:val="00B0764B"/>
    <w:rsid w:val="00B10071"/>
    <w:rsid w:val="00B109B7"/>
    <w:rsid w:val="00B16D8D"/>
    <w:rsid w:val="00B17161"/>
    <w:rsid w:val="00B22AA5"/>
    <w:rsid w:val="00B239BB"/>
    <w:rsid w:val="00B261C2"/>
    <w:rsid w:val="00B30BFA"/>
    <w:rsid w:val="00B31710"/>
    <w:rsid w:val="00B4006A"/>
    <w:rsid w:val="00B40959"/>
    <w:rsid w:val="00B43AD3"/>
    <w:rsid w:val="00B44C66"/>
    <w:rsid w:val="00B471DC"/>
    <w:rsid w:val="00B473F9"/>
    <w:rsid w:val="00B47B19"/>
    <w:rsid w:val="00B47C12"/>
    <w:rsid w:val="00B5095B"/>
    <w:rsid w:val="00B518A5"/>
    <w:rsid w:val="00B540C3"/>
    <w:rsid w:val="00B5487D"/>
    <w:rsid w:val="00B56EB2"/>
    <w:rsid w:val="00B63682"/>
    <w:rsid w:val="00B65877"/>
    <w:rsid w:val="00B67B86"/>
    <w:rsid w:val="00B7019F"/>
    <w:rsid w:val="00B717FD"/>
    <w:rsid w:val="00B7671B"/>
    <w:rsid w:val="00B83328"/>
    <w:rsid w:val="00B83C9A"/>
    <w:rsid w:val="00B87D41"/>
    <w:rsid w:val="00B956FB"/>
    <w:rsid w:val="00BA5DE0"/>
    <w:rsid w:val="00BA6020"/>
    <w:rsid w:val="00BA6630"/>
    <w:rsid w:val="00BA681F"/>
    <w:rsid w:val="00BB0FC7"/>
    <w:rsid w:val="00BB24EA"/>
    <w:rsid w:val="00BB31BD"/>
    <w:rsid w:val="00BB38BA"/>
    <w:rsid w:val="00BB4179"/>
    <w:rsid w:val="00BC24BC"/>
    <w:rsid w:val="00BC3584"/>
    <w:rsid w:val="00BC3827"/>
    <w:rsid w:val="00BC3DE3"/>
    <w:rsid w:val="00BC487B"/>
    <w:rsid w:val="00BD0368"/>
    <w:rsid w:val="00BD0B80"/>
    <w:rsid w:val="00BD1594"/>
    <w:rsid w:val="00BD3971"/>
    <w:rsid w:val="00BD4B83"/>
    <w:rsid w:val="00BE05E9"/>
    <w:rsid w:val="00BE0EA9"/>
    <w:rsid w:val="00BE1673"/>
    <w:rsid w:val="00BE2731"/>
    <w:rsid w:val="00BE5096"/>
    <w:rsid w:val="00BE5860"/>
    <w:rsid w:val="00BF03D5"/>
    <w:rsid w:val="00BF406B"/>
    <w:rsid w:val="00BF7D79"/>
    <w:rsid w:val="00C03988"/>
    <w:rsid w:val="00C069C7"/>
    <w:rsid w:val="00C12319"/>
    <w:rsid w:val="00C12ACA"/>
    <w:rsid w:val="00C14873"/>
    <w:rsid w:val="00C15DA7"/>
    <w:rsid w:val="00C21DCF"/>
    <w:rsid w:val="00C234A4"/>
    <w:rsid w:val="00C27C8D"/>
    <w:rsid w:val="00C342E3"/>
    <w:rsid w:val="00C42121"/>
    <w:rsid w:val="00C42197"/>
    <w:rsid w:val="00C426F2"/>
    <w:rsid w:val="00C43D92"/>
    <w:rsid w:val="00C46A22"/>
    <w:rsid w:val="00C504A0"/>
    <w:rsid w:val="00C54CDA"/>
    <w:rsid w:val="00C55057"/>
    <w:rsid w:val="00C603FA"/>
    <w:rsid w:val="00C62FEC"/>
    <w:rsid w:val="00C64630"/>
    <w:rsid w:val="00C64634"/>
    <w:rsid w:val="00C65E6E"/>
    <w:rsid w:val="00C67447"/>
    <w:rsid w:val="00C731CC"/>
    <w:rsid w:val="00C74113"/>
    <w:rsid w:val="00C7633B"/>
    <w:rsid w:val="00C80C05"/>
    <w:rsid w:val="00C85457"/>
    <w:rsid w:val="00C85BFE"/>
    <w:rsid w:val="00C87586"/>
    <w:rsid w:val="00C91AD0"/>
    <w:rsid w:val="00C930E0"/>
    <w:rsid w:val="00C9332C"/>
    <w:rsid w:val="00C93DBA"/>
    <w:rsid w:val="00C97A56"/>
    <w:rsid w:val="00CA1434"/>
    <w:rsid w:val="00CA3BF0"/>
    <w:rsid w:val="00CA45C6"/>
    <w:rsid w:val="00CA4AB0"/>
    <w:rsid w:val="00CA5BDD"/>
    <w:rsid w:val="00CB2EDF"/>
    <w:rsid w:val="00CB3E8E"/>
    <w:rsid w:val="00CB4011"/>
    <w:rsid w:val="00CB58E6"/>
    <w:rsid w:val="00CB5E68"/>
    <w:rsid w:val="00CC01DD"/>
    <w:rsid w:val="00CC184D"/>
    <w:rsid w:val="00CC3B1C"/>
    <w:rsid w:val="00CC3E6A"/>
    <w:rsid w:val="00CC46F0"/>
    <w:rsid w:val="00CC5B2B"/>
    <w:rsid w:val="00CC6605"/>
    <w:rsid w:val="00CC7C12"/>
    <w:rsid w:val="00CD1B80"/>
    <w:rsid w:val="00CD2AB9"/>
    <w:rsid w:val="00CD3C82"/>
    <w:rsid w:val="00CD69CF"/>
    <w:rsid w:val="00CD7DB5"/>
    <w:rsid w:val="00CE014A"/>
    <w:rsid w:val="00CE15D3"/>
    <w:rsid w:val="00CE2AE0"/>
    <w:rsid w:val="00CE34AC"/>
    <w:rsid w:val="00CE423E"/>
    <w:rsid w:val="00CE54EC"/>
    <w:rsid w:val="00CE5CB1"/>
    <w:rsid w:val="00CE5F4D"/>
    <w:rsid w:val="00CF1C70"/>
    <w:rsid w:val="00CF421B"/>
    <w:rsid w:val="00D01D11"/>
    <w:rsid w:val="00D028F3"/>
    <w:rsid w:val="00D05F36"/>
    <w:rsid w:val="00D05FF3"/>
    <w:rsid w:val="00D1117B"/>
    <w:rsid w:val="00D136B1"/>
    <w:rsid w:val="00D168EA"/>
    <w:rsid w:val="00D21A09"/>
    <w:rsid w:val="00D23568"/>
    <w:rsid w:val="00D23DDC"/>
    <w:rsid w:val="00D26A4B"/>
    <w:rsid w:val="00D306D4"/>
    <w:rsid w:val="00D30A09"/>
    <w:rsid w:val="00D31011"/>
    <w:rsid w:val="00D32CB8"/>
    <w:rsid w:val="00D340F7"/>
    <w:rsid w:val="00D346E0"/>
    <w:rsid w:val="00D352C8"/>
    <w:rsid w:val="00D3590D"/>
    <w:rsid w:val="00D369D1"/>
    <w:rsid w:val="00D5054C"/>
    <w:rsid w:val="00D50A77"/>
    <w:rsid w:val="00D50E01"/>
    <w:rsid w:val="00D62774"/>
    <w:rsid w:val="00D62BB7"/>
    <w:rsid w:val="00D64689"/>
    <w:rsid w:val="00D65ED0"/>
    <w:rsid w:val="00D6724B"/>
    <w:rsid w:val="00D70BBB"/>
    <w:rsid w:val="00D81BF8"/>
    <w:rsid w:val="00D822F4"/>
    <w:rsid w:val="00D82396"/>
    <w:rsid w:val="00D87BDC"/>
    <w:rsid w:val="00D90076"/>
    <w:rsid w:val="00D94BB7"/>
    <w:rsid w:val="00D94ED6"/>
    <w:rsid w:val="00D96A97"/>
    <w:rsid w:val="00D96BCA"/>
    <w:rsid w:val="00D96C11"/>
    <w:rsid w:val="00D97067"/>
    <w:rsid w:val="00DA078D"/>
    <w:rsid w:val="00DA4E90"/>
    <w:rsid w:val="00DA6406"/>
    <w:rsid w:val="00DA6A16"/>
    <w:rsid w:val="00DA7027"/>
    <w:rsid w:val="00DA762B"/>
    <w:rsid w:val="00DB0532"/>
    <w:rsid w:val="00DB0B83"/>
    <w:rsid w:val="00DB229E"/>
    <w:rsid w:val="00DB2931"/>
    <w:rsid w:val="00DB29D2"/>
    <w:rsid w:val="00DB34BF"/>
    <w:rsid w:val="00DB4891"/>
    <w:rsid w:val="00DB5202"/>
    <w:rsid w:val="00DB59B8"/>
    <w:rsid w:val="00DB69D3"/>
    <w:rsid w:val="00DC3B87"/>
    <w:rsid w:val="00DC7995"/>
    <w:rsid w:val="00DD1495"/>
    <w:rsid w:val="00DD34FA"/>
    <w:rsid w:val="00DD3B87"/>
    <w:rsid w:val="00DD49D0"/>
    <w:rsid w:val="00DD6B21"/>
    <w:rsid w:val="00DE597F"/>
    <w:rsid w:val="00DE6A64"/>
    <w:rsid w:val="00DF1455"/>
    <w:rsid w:val="00DF6735"/>
    <w:rsid w:val="00DF7D03"/>
    <w:rsid w:val="00E016D7"/>
    <w:rsid w:val="00E01C71"/>
    <w:rsid w:val="00E04180"/>
    <w:rsid w:val="00E04951"/>
    <w:rsid w:val="00E07EA1"/>
    <w:rsid w:val="00E10028"/>
    <w:rsid w:val="00E10498"/>
    <w:rsid w:val="00E115C2"/>
    <w:rsid w:val="00E11B46"/>
    <w:rsid w:val="00E24C51"/>
    <w:rsid w:val="00E27158"/>
    <w:rsid w:val="00E32051"/>
    <w:rsid w:val="00E33925"/>
    <w:rsid w:val="00E43FA6"/>
    <w:rsid w:val="00E4416B"/>
    <w:rsid w:val="00E44D79"/>
    <w:rsid w:val="00E46E64"/>
    <w:rsid w:val="00E50A06"/>
    <w:rsid w:val="00E51C7E"/>
    <w:rsid w:val="00E52463"/>
    <w:rsid w:val="00E539A1"/>
    <w:rsid w:val="00E543CD"/>
    <w:rsid w:val="00E55F00"/>
    <w:rsid w:val="00E6014E"/>
    <w:rsid w:val="00E607D7"/>
    <w:rsid w:val="00E638F8"/>
    <w:rsid w:val="00E654E5"/>
    <w:rsid w:val="00E66E47"/>
    <w:rsid w:val="00E72AE4"/>
    <w:rsid w:val="00E74836"/>
    <w:rsid w:val="00E76678"/>
    <w:rsid w:val="00E76FC4"/>
    <w:rsid w:val="00E77B49"/>
    <w:rsid w:val="00E844B5"/>
    <w:rsid w:val="00E85496"/>
    <w:rsid w:val="00E9025D"/>
    <w:rsid w:val="00E902BD"/>
    <w:rsid w:val="00E928E3"/>
    <w:rsid w:val="00E934D7"/>
    <w:rsid w:val="00E9474A"/>
    <w:rsid w:val="00E961C1"/>
    <w:rsid w:val="00E9644B"/>
    <w:rsid w:val="00E96588"/>
    <w:rsid w:val="00E97782"/>
    <w:rsid w:val="00EA219F"/>
    <w:rsid w:val="00EA3FC7"/>
    <w:rsid w:val="00EA5289"/>
    <w:rsid w:val="00EB0B16"/>
    <w:rsid w:val="00EB2CC6"/>
    <w:rsid w:val="00EB2F14"/>
    <w:rsid w:val="00EB3BF7"/>
    <w:rsid w:val="00EB41F8"/>
    <w:rsid w:val="00EB56B9"/>
    <w:rsid w:val="00EC1661"/>
    <w:rsid w:val="00EC5B45"/>
    <w:rsid w:val="00EC7D85"/>
    <w:rsid w:val="00ED2725"/>
    <w:rsid w:val="00ED412A"/>
    <w:rsid w:val="00EE44A3"/>
    <w:rsid w:val="00EE491B"/>
    <w:rsid w:val="00EF43E2"/>
    <w:rsid w:val="00EF4D92"/>
    <w:rsid w:val="00EF70EA"/>
    <w:rsid w:val="00F058C7"/>
    <w:rsid w:val="00F0624D"/>
    <w:rsid w:val="00F07C78"/>
    <w:rsid w:val="00F10A7C"/>
    <w:rsid w:val="00F2296B"/>
    <w:rsid w:val="00F2313D"/>
    <w:rsid w:val="00F2767A"/>
    <w:rsid w:val="00F3184D"/>
    <w:rsid w:val="00F3219B"/>
    <w:rsid w:val="00F328DE"/>
    <w:rsid w:val="00F3744E"/>
    <w:rsid w:val="00F410DD"/>
    <w:rsid w:val="00F44E78"/>
    <w:rsid w:val="00F45476"/>
    <w:rsid w:val="00F471CA"/>
    <w:rsid w:val="00F50019"/>
    <w:rsid w:val="00F50D74"/>
    <w:rsid w:val="00F51949"/>
    <w:rsid w:val="00F53970"/>
    <w:rsid w:val="00F5496D"/>
    <w:rsid w:val="00F576F6"/>
    <w:rsid w:val="00F6015A"/>
    <w:rsid w:val="00F63A75"/>
    <w:rsid w:val="00F65268"/>
    <w:rsid w:val="00F6548E"/>
    <w:rsid w:val="00F674AA"/>
    <w:rsid w:val="00F714B7"/>
    <w:rsid w:val="00F72611"/>
    <w:rsid w:val="00F74A57"/>
    <w:rsid w:val="00F74BDE"/>
    <w:rsid w:val="00F80D2A"/>
    <w:rsid w:val="00F82014"/>
    <w:rsid w:val="00F87212"/>
    <w:rsid w:val="00F900EC"/>
    <w:rsid w:val="00F908C6"/>
    <w:rsid w:val="00F91DC0"/>
    <w:rsid w:val="00F9257D"/>
    <w:rsid w:val="00F9487C"/>
    <w:rsid w:val="00F95FB9"/>
    <w:rsid w:val="00FA1356"/>
    <w:rsid w:val="00FA1745"/>
    <w:rsid w:val="00FA1986"/>
    <w:rsid w:val="00FA2B0F"/>
    <w:rsid w:val="00FA735D"/>
    <w:rsid w:val="00FB1ED4"/>
    <w:rsid w:val="00FB45FB"/>
    <w:rsid w:val="00FB525B"/>
    <w:rsid w:val="00FB734A"/>
    <w:rsid w:val="00FC1A1E"/>
    <w:rsid w:val="00FC2F6D"/>
    <w:rsid w:val="00FC2F6F"/>
    <w:rsid w:val="00FC335C"/>
    <w:rsid w:val="00FC4386"/>
    <w:rsid w:val="00FD0736"/>
    <w:rsid w:val="00FD419C"/>
    <w:rsid w:val="00FD52DE"/>
    <w:rsid w:val="00FD76C1"/>
    <w:rsid w:val="00FD79E8"/>
    <w:rsid w:val="00FE0CE8"/>
    <w:rsid w:val="00FE1366"/>
    <w:rsid w:val="00FE4E58"/>
    <w:rsid w:val="00FE7CBD"/>
    <w:rsid w:val="00FF0992"/>
    <w:rsid w:val="00FF0E3C"/>
    <w:rsid w:val="00FF1FCF"/>
    <w:rsid w:val="00FF3442"/>
    <w:rsid w:val="00FF36E5"/>
    <w:rsid w:val="00FF461A"/>
    <w:rsid w:val="00FF461C"/>
    <w:rsid w:val="00FF4B3A"/>
    <w:rsid w:val="011443A1"/>
    <w:rsid w:val="012651FB"/>
    <w:rsid w:val="012A6BDB"/>
    <w:rsid w:val="013E61E2"/>
    <w:rsid w:val="014A20CC"/>
    <w:rsid w:val="01501A4C"/>
    <w:rsid w:val="01666EB8"/>
    <w:rsid w:val="019D07A6"/>
    <w:rsid w:val="01A16193"/>
    <w:rsid w:val="01A77C4E"/>
    <w:rsid w:val="01B666C0"/>
    <w:rsid w:val="01C44238"/>
    <w:rsid w:val="01EC6B93"/>
    <w:rsid w:val="021D3647"/>
    <w:rsid w:val="022476BB"/>
    <w:rsid w:val="022B2C0A"/>
    <w:rsid w:val="02393082"/>
    <w:rsid w:val="023C54A4"/>
    <w:rsid w:val="02745C23"/>
    <w:rsid w:val="027F0F66"/>
    <w:rsid w:val="02A4476B"/>
    <w:rsid w:val="02AD4F8D"/>
    <w:rsid w:val="02DD7AD5"/>
    <w:rsid w:val="02E131FA"/>
    <w:rsid w:val="02FA2B86"/>
    <w:rsid w:val="032D29B2"/>
    <w:rsid w:val="033F79D3"/>
    <w:rsid w:val="03461A68"/>
    <w:rsid w:val="03597F60"/>
    <w:rsid w:val="03616C3D"/>
    <w:rsid w:val="036B01C4"/>
    <w:rsid w:val="03806F86"/>
    <w:rsid w:val="039773C3"/>
    <w:rsid w:val="03A25420"/>
    <w:rsid w:val="03AE4CDE"/>
    <w:rsid w:val="03C406EF"/>
    <w:rsid w:val="03C50542"/>
    <w:rsid w:val="03CA6F85"/>
    <w:rsid w:val="03D746CC"/>
    <w:rsid w:val="03EF5EB9"/>
    <w:rsid w:val="040922D5"/>
    <w:rsid w:val="0439561C"/>
    <w:rsid w:val="044F0706"/>
    <w:rsid w:val="0450736C"/>
    <w:rsid w:val="04622300"/>
    <w:rsid w:val="04874344"/>
    <w:rsid w:val="049A5681"/>
    <w:rsid w:val="049C4C87"/>
    <w:rsid w:val="04A642CD"/>
    <w:rsid w:val="04A71018"/>
    <w:rsid w:val="04AD3DAA"/>
    <w:rsid w:val="04BA3531"/>
    <w:rsid w:val="04D035F5"/>
    <w:rsid w:val="04E40D5A"/>
    <w:rsid w:val="04ED23F9"/>
    <w:rsid w:val="04FB7346"/>
    <w:rsid w:val="04FC3020"/>
    <w:rsid w:val="04FF212C"/>
    <w:rsid w:val="05126E79"/>
    <w:rsid w:val="052027CE"/>
    <w:rsid w:val="052C32A1"/>
    <w:rsid w:val="052C583D"/>
    <w:rsid w:val="052E6828"/>
    <w:rsid w:val="05745F2F"/>
    <w:rsid w:val="05852631"/>
    <w:rsid w:val="05964DD0"/>
    <w:rsid w:val="05BC354D"/>
    <w:rsid w:val="05F82B92"/>
    <w:rsid w:val="060043AE"/>
    <w:rsid w:val="0633197B"/>
    <w:rsid w:val="065273B5"/>
    <w:rsid w:val="06565D7C"/>
    <w:rsid w:val="067837D9"/>
    <w:rsid w:val="06856661"/>
    <w:rsid w:val="068C5C42"/>
    <w:rsid w:val="06993764"/>
    <w:rsid w:val="06C228DA"/>
    <w:rsid w:val="06DD56F0"/>
    <w:rsid w:val="06EE0BD4"/>
    <w:rsid w:val="07222102"/>
    <w:rsid w:val="072445B9"/>
    <w:rsid w:val="07391925"/>
    <w:rsid w:val="0747113B"/>
    <w:rsid w:val="075A189C"/>
    <w:rsid w:val="07610E7C"/>
    <w:rsid w:val="07700DBC"/>
    <w:rsid w:val="077D625E"/>
    <w:rsid w:val="07863085"/>
    <w:rsid w:val="078A2181"/>
    <w:rsid w:val="0792569A"/>
    <w:rsid w:val="07A74DDB"/>
    <w:rsid w:val="07C733D5"/>
    <w:rsid w:val="07E6312F"/>
    <w:rsid w:val="0810599E"/>
    <w:rsid w:val="084D0DC2"/>
    <w:rsid w:val="0858227F"/>
    <w:rsid w:val="085A1EEE"/>
    <w:rsid w:val="085D1644"/>
    <w:rsid w:val="08634780"/>
    <w:rsid w:val="08A2799E"/>
    <w:rsid w:val="090A6465"/>
    <w:rsid w:val="090A7334"/>
    <w:rsid w:val="094A667C"/>
    <w:rsid w:val="094C4E45"/>
    <w:rsid w:val="095B1740"/>
    <w:rsid w:val="097453C3"/>
    <w:rsid w:val="098B53D8"/>
    <w:rsid w:val="099E1F14"/>
    <w:rsid w:val="09A11D31"/>
    <w:rsid w:val="09A7320D"/>
    <w:rsid w:val="09C000DC"/>
    <w:rsid w:val="09C15C02"/>
    <w:rsid w:val="09CA6767"/>
    <w:rsid w:val="09CA6E4B"/>
    <w:rsid w:val="0A2E7241"/>
    <w:rsid w:val="0A563996"/>
    <w:rsid w:val="0A682522"/>
    <w:rsid w:val="0A6842D0"/>
    <w:rsid w:val="0A790811"/>
    <w:rsid w:val="0A933186"/>
    <w:rsid w:val="0ACB4F8A"/>
    <w:rsid w:val="0AD54F78"/>
    <w:rsid w:val="0ADA341F"/>
    <w:rsid w:val="0AE52F3A"/>
    <w:rsid w:val="0AF02C43"/>
    <w:rsid w:val="0AFC03FA"/>
    <w:rsid w:val="0B1B484C"/>
    <w:rsid w:val="0B1F0E32"/>
    <w:rsid w:val="0B28730C"/>
    <w:rsid w:val="0B3915BB"/>
    <w:rsid w:val="0B3E6C3B"/>
    <w:rsid w:val="0B5605CC"/>
    <w:rsid w:val="0B594CD8"/>
    <w:rsid w:val="0B7E5184"/>
    <w:rsid w:val="0B831701"/>
    <w:rsid w:val="0B865355"/>
    <w:rsid w:val="0B903ADE"/>
    <w:rsid w:val="0B912C63"/>
    <w:rsid w:val="0BD151AC"/>
    <w:rsid w:val="0BD45369"/>
    <w:rsid w:val="0BD47733"/>
    <w:rsid w:val="0BE46BAC"/>
    <w:rsid w:val="0C0B13B7"/>
    <w:rsid w:val="0C1741FF"/>
    <w:rsid w:val="0C265C27"/>
    <w:rsid w:val="0C7842D7"/>
    <w:rsid w:val="0C7C305E"/>
    <w:rsid w:val="0C833BF7"/>
    <w:rsid w:val="0C9C39DE"/>
    <w:rsid w:val="0CA2623D"/>
    <w:rsid w:val="0CA60E61"/>
    <w:rsid w:val="0CC23E2E"/>
    <w:rsid w:val="0D0604B9"/>
    <w:rsid w:val="0D0F6AD1"/>
    <w:rsid w:val="0D596ABA"/>
    <w:rsid w:val="0D655B60"/>
    <w:rsid w:val="0D757A07"/>
    <w:rsid w:val="0D9D24E2"/>
    <w:rsid w:val="0DA56811"/>
    <w:rsid w:val="0DA87805"/>
    <w:rsid w:val="0DB22432"/>
    <w:rsid w:val="0DC0261F"/>
    <w:rsid w:val="0DE03A53"/>
    <w:rsid w:val="0DE57EBA"/>
    <w:rsid w:val="0DEB55E0"/>
    <w:rsid w:val="0DFB5282"/>
    <w:rsid w:val="0E063882"/>
    <w:rsid w:val="0E0D361F"/>
    <w:rsid w:val="0E1B7FD7"/>
    <w:rsid w:val="0E1E2B7E"/>
    <w:rsid w:val="0E52151F"/>
    <w:rsid w:val="0E702E57"/>
    <w:rsid w:val="0E796AAB"/>
    <w:rsid w:val="0E8B73B1"/>
    <w:rsid w:val="0E8C4A21"/>
    <w:rsid w:val="0EA43DC6"/>
    <w:rsid w:val="0EDC6323"/>
    <w:rsid w:val="0F017A6B"/>
    <w:rsid w:val="0F03326D"/>
    <w:rsid w:val="0F083A37"/>
    <w:rsid w:val="0F1467D4"/>
    <w:rsid w:val="0F23294A"/>
    <w:rsid w:val="0F2B060B"/>
    <w:rsid w:val="0F304E28"/>
    <w:rsid w:val="0F4313EC"/>
    <w:rsid w:val="0F4D159A"/>
    <w:rsid w:val="0F631888"/>
    <w:rsid w:val="0F6E4181"/>
    <w:rsid w:val="0F81684C"/>
    <w:rsid w:val="0F8C1821"/>
    <w:rsid w:val="0F912E8A"/>
    <w:rsid w:val="0FC9487A"/>
    <w:rsid w:val="0FDE2E10"/>
    <w:rsid w:val="0FF24D67"/>
    <w:rsid w:val="1013696E"/>
    <w:rsid w:val="10180E21"/>
    <w:rsid w:val="101978A8"/>
    <w:rsid w:val="10264A11"/>
    <w:rsid w:val="10401898"/>
    <w:rsid w:val="104230C2"/>
    <w:rsid w:val="104D01F0"/>
    <w:rsid w:val="106B2FA8"/>
    <w:rsid w:val="106D0892"/>
    <w:rsid w:val="107457F5"/>
    <w:rsid w:val="10856DB0"/>
    <w:rsid w:val="10870248"/>
    <w:rsid w:val="10945E1E"/>
    <w:rsid w:val="10967DE9"/>
    <w:rsid w:val="109A2FDC"/>
    <w:rsid w:val="109F1479"/>
    <w:rsid w:val="10A428DE"/>
    <w:rsid w:val="10AD0074"/>
    <w:rsid w:val="10E25268"/>
    <w:rsid w:val="10FE773C"/>
    <w:rsid w:val="1119116A"/>
    <w:rsid w:val="113F741D"/>
    <w:rsid w:val="114670F8"/>
    <w:rsid w:val="114A0BD3"/>
    <w:rsid w:val="114B7927"/>
    <w:rsid w:val="11763BE0"/>
    <w:rsid w:val="11AB7A3D"/>
    <w:rsid w:val="11B0158F"/>
    <w:rsid w:val="11BB562D"/>
    <w:rsid w:val="11C11655"/>
    <w:rsid w:val="11D87F8D"/>
    <w:rsid w:val="11E76422"/>
    <w:rsid w:val="11E956F5"/>
    <w:rsid w:val="12033415"/>
    <w:rsid w:val="121456D5"/>
    <w:rsid w:val="122676F1"/>
    <w:rsid w:val="122D4DAA"/>
    <w:rsid w:val="123527D6"/>
    <w:rsid w:val="1236499F"/>
    <w:rsid w:val="123E0EF8"/>
    <w:rsid w:val="123F2509"/>
    <w:rsid w:val="12411FD6"/>
    <w:rsid w:val="1246545E"/>
    <w:rsid w:val="12520957"/>
    <w:rsid w:val="12597320"/>
    <w:rsid w:val="125D75D4"/>
    <w:rsid w:val="1270562D"/>
    <w:rsid w:val="12933EBA"/>
    <w:rsid w:val="12955E7E"/>
    <w:rsid w:val="129A5602"/>
    <w:rsid w:val="129E60FC"/>
    <w:rsid w:val="12AB7A04"/>
    <w:rsid w:val="12C12E10"/>
    <w:rsid w:val="12CD386A"/>
    <w:rsid w:val="12E07C52"/>
    <w:rsid w:val="12E12BAC"/>
    <w:rsid w:val="130701D5"/>
    <w:rsid w:val="131E2317"/>
    <w:rsid w:val="132D01A7"/>
    <w:rsid w:val="134A3EE5"/>
    <w:rsid w:val="13516249"/>
    <w:rsid w:val="136977A7"/>
    <w:rsid w:val="137052C2"/>
    <w:rsid w:val="13705FDE"/>
    <w:rsid w:val="13B64F28"/>
    <w:rsid w:val="13BB4F30"/>
    <w:rsid w:val="13D12EE6"/>
    <w:rsid w:val="13D50C28"/>
    <w:rsid w:val="13E057DC"/>
    <w:rsid w:val="13F67382"/>
    <w:rsid w:val="141434E0"/>
    <w:rsid w:val="143376FC"/>
    <w:rsid w:val="14380635"/>
    <w:rsid w:val="143C2A55"/>
    <w:rsid w:val="14541660"/>
    <w:rsid w:val="146F2E2A"/>
    <w:rsid w:val="14714917"/>
    <w:rsid w:val="14726477"/>
    <w:rsid w:val="14771CDF"/>
    <w:rsid w:val="149F6058"/>
    <w:rsid w:val="14A5769C"/>
    <w:rsid w:val="14A64372"/>
    <w:rsid w:val="14D9469E"/>
    <w:rsid w:val="14F54579"/>
    <w:rsid w:val="14FD5ADC"/>
    <w:rsid w:val="15214F05"/>
    <w:rsid w:val="15263243"/>
    <w:rsid w:val="152767F8"/>
    <w:rsid w:val="15302DB8"/>
    <w:rsid w:val="153A4E05"/>
    <w:rsid w:val="15650F7D"/>
    <w:rsid w:val="159702CF"/>
    <w:rsid w:val="15A028F5"/>
    <w:rsid w:val="15A563D8"/>
    <w:rsid w:val="15A86CC3"/>
    <w:rsid w:val="15AF6E5F"/>
    <w:rsid w:val="15B5150B"/>
    <w:rsid w:val="15BE6ADA"/>
    <w:rsid w:val="15DA0777"/>
    <w:rsid w:val="15F14576"/>
    <w:rsid w:val="15F33733"/>
    <w:rsid w:val="15F829AC"/>
    <w:rsid w:val="16107AA5"/>
    <w:rsid w:val="161201F3"/>
    <w:rsid w:val="161D655F"/>
    <w:rsid w:val="16266269"/>
    <w:rsid w:val="162E0DF3"/>
    <w:rsid w:val="164E6A70"/>
    <w:rsid w:val="16695541"/>
    <w:rsid w:val="166C078C"/>
    <w:rsid w:val="166C3F8F"/>
    <w:rsid w:val="169A32FE"/>
    <w:rsid w:val="169E2AE1"/>
    <w:rsid w:val="16A53511"/>
    <w:rsid w:val="16B82D3B"/>
    <w:rsid w:val="16B91C62"/>
    <w:rsid w:val="16C10D44"/>
    <w:rsid w:val="16C620A5"/>
    <w:rsid w:val="16CF62B3"/>
    <w:rsid w:val="16E6586E"/>
    <w:rsid w:val="16F41248"/>
    <w:rsid w:val="16F75359"/>
    <w:rsid w:val="17107FB0"/>
    <w:rsid w:val="171A3B87"/>
    <w:rsid w:val="171C4696"/>
    <w:rsid w:val="1720791B"/>
    <w:rsid w:val="172A799B"/>
    <w:rsid w:val="172B6C29"/>
    <w:rsid w:val="176F57CF"/>
    <w:rsid w:val="17B35623"/>
    <w:rsid w:val="17B46DA6"/>
    <w:rsid w:val="17C613F6"/>
    <w:rsid w:val="17ED7592"/>
    <w:rsid w:val="17FD24FB"/>
    <w:rsid w:val="18011497"/>
    <w:rsid w:val="180C5D42"/>
    <w:rsid w:val="18290656"/>
    <w:rsid w:val="182A30E6"/>
    <w:rsid w:val="185C25CD"/>
    <w:rsid w:val="185C36C6"/>
    <w:rsid w:val="18750965"/>
    <w:rsid w:val="189629CB"/>
    <w:rsid w:val="189746FE"/>
    <w:rsid w:val="18B2372D"/>
    <w:rsid w:val="18B37CA3"/>
    <w:rsid w:val="18B80FB4"/>
    <w:rsid w:val="18CF1E5E"/>
    <w:rsid w:val="18D40EC0"/>
    <w:rsid w:val="18E159A8"/>
    <w:rsid w:val="18F03E0E"/>
    <w:rsid w:val="18F41B50"/>
    <w:rsid w:val="18F64AA4"/>
    <w:rsid w:val="19051B2C"/>
    <w:rsid w:val="19202945"/>
    <w:rsid w:val="19263CD4"/>
    <w:rsid w:val="197A6855"/>
    <w:rsid w:val="197F61D0"/>
    <w:rsid w:val="1980101B"/>
    <w:rsid w:val="19807EFE"/>
    <w:rsid w:val="199D432D"/>
    <w:rsid w:val="19A5181B"/>
    <w:rsid w:val="19C749DB"/>
    <w:rsid w:val="19D043A9"/>
    <w:rsid w:val="19E51499"/>
    <w:rsid w:val="19F01230"/>
    <w:rsid w:val="1A1348E4"/>
    <w:rsid w:val="1A1D0E49"/>
    <w:rsid w:val="1A2226ED"/>
    <w:rsid w:val="1A361E78"/>
    <w:rsid w:val="1A4259D1"/>
    <w:rsid w:val="1A554870"/>
    <w:rsid w:val="1A654388"/>
    <w:rsid w:val="1A697E26"/>
    <w:rsid w:val="1A701100"/>
    <w:rsid w:val="1A75281D"/>
    <w:rsid w:val="1A952EBF"/>
    <w:rsid w:val="1A9F789A"/>
    <w:rsid w:val="1AAB412E"/>
    <w:rsid w:val="1AB31035"/>
    <w:rsid w:val="1AB71175"/>
    <w:rsid w:val="1ABA2925"/>
    <w:rsid w:val="1ABC7451"/>
    <w:rsid w:val="1ACC7D99"/>
    <w:rsid w:val="1ACE3AFF"/>
    <w:rsid w:val="1AEB0FE0"/>
    <w:rsid w:val="1AEC6857"/>
    <w:rsid w:val="1AF04599"/>
    <w:rsid w:val="1AF60A5A"/>
    <w:rsid w:val="1AF8706E"/>
    <w:rsid w:val="1B2D4769"/>
    <w:rsid w:val="1B424584"/>
    <w:rsid w:val="1B663AED"/>
    <w:rsid w:val="1B6678C8"/>
    <w:rsid w:val="1BA46D39"/>
    <w:rsid w:val="1BA71985"/>
    <w:rsid w:val="1BBC447B"/>
    <w:rsid w:val="1BEC7A9D"/>
    <w:rsid w:val="1BF105C9"/>
    <w:rsid w:val="1BFB4C41"/>
    <w:rsid w:val="1C2838BF"/>
    <w:rsid w:val="1C2C3343"/>
    <w:rsid w:val="1C340D5E"/>
    <w:rsid w:val="1C365D8E"/>
    <w:rsid w:val="1C5A0DE8"/>
    <w:rsid w:val="1C622EAD"/>
    <w:rsid w:val="1C69015F"/>
    <w:rsid w:val="1C8B6560"/>
    <w:rsid w:val="1C964CCC"/>
    <w:rsid w:val="1C9F2536"/>
    <w:rsid w:val="1CA22D81"/>
    <w:rsid w:val="1CBC0BD7"/>
    <w:rsid w:val="1CC932F4"/>
    <w:rsid w:val="1CD425E2"/>
    <w:rsid w:val="1CD6462C"/>
    <w:rsid w:val="1CD85CB8"/>
    <w:rsid w:val="1D181DAD"/>
    <w:rsid w:val="1D197394"/>
    <w:rsid w:val="1D3408FB"/>
    <w:rsid w:val="1D6E6F07"/>
    <w:rsid w:val="1D74163C"/>
    <w:rsid w:val="1D954F84"/>
    <w:rsid w:val="1DA44A30"/>
    <w:rsid w:val="1DC83DE3"/>
    <w:rsid w:val="1DFB128B"/>
    <w:rsid w:val="1E1B7B7F"/>
    <w:rsid w:val="1E260F5D"/>
    <w:rsid w:val="1E2825DB"/>
    <w:rsid w:val="1E5310C7"/>
    <w:rsid w:val="1E615359"/>
    <w:rsid w:val="1E6A3387"/>
    <w:rsid w:val="1E727B44"/>
    <w:rsid w:val="1E76670A"/>
    <w:rsid w:val="1E7D4C1A"/>
    <w:rsid w:val="1E911BEF"/>
    <w:rsid w:val="1EA47C73"/>
    <w:rsid w:val="1ED402D9"/>
    <w:rsid w:val="1EDA2927"/>
    <w:rsid w:val="1EDD4E34"/>
    <w:rsid w:val="1EEA4BB7"/>
    <w:rsid w:val="1EEC2DF9"/>
    <w:rsid w:val="1EEC4699"/>
    <w:rsid w:val="1F1F369F"/>
    <w:rsid w:val="1F461580"/>
    <w:rsid w:val="1F834AFE"/>
    <w:rsid w:val="1F9F0226"/>
    <w:rsid w:val="1FAD2A59"/>
    <w:rsid w:val="1FC13959"/>
    <w:rsid w:val="1FC42E9D"/>
    <w:rsid w:val="1FCF29CF"/>
    <w:rsid w:val="1FD73D6A"/>
    <w:rsid w:val="1FFB6682"/>
    <w:rsid w:val="200D7401"/>
    <w:rsid w:val="202B157C"/>
    <w:rsid w:val="202F4F42"/>
    <w:rsid w:val="203820EA"/>
    <w:rsid w:val="20561F1B"/>
    <w:rsid w:val="20655740"/>
    <w:rsid w:val="206E1790"/>
    <w:rsid w:val="20822BBE"/>
    <w:rsid w:val="20B0636F"/>
    <w:rsid w:val="20B06F8B"/>
    <w:rsid w:val="20D60A69"/>
    <w:rsid w:val="20E51814"/>
    <w:rsid w:val="20E95D13"/>
    <w:rsid w:val="20F01CAE"/>
    <w:rsid w:val="20F46465"/>
    <w:rsid w:val="20F60F67"/>
    <w:rsid w:val="20FB4DBD"/>
    <w:rsid w:val="20FC3A77"/>
    <w:rsid w:val="21191420"/>
    <w:rsid w:val="21276408"/>
    <w:rsid w:val="214B07EA"/>
    <w:rsid w:val="215341E5"/>
    <w:rsid w:val="21555156"/>
    <w:rsid w:val="215876BE"/>
    <w:rsid w:val="215D225D"/>
    <w:rsid w:val="217A4D61"/>
    <w:rsid w:val="218D2B42"/>
    <w:rsid w:val="219B28C5"/>
    <w:rsid w:val="21A90CDF"/>
    <w:rsid w:val="21AB4186"/>
    <w:rsid w:val="21AE09DD"/>
    <w:rsid w:val="21C07E10"/>
    <w:rsid w:val="21C912AC"/>
    <w:rsid w:val="21E169EA"/>
    <w:rsid w:val="21F05116"/>
    <w:rsid w:val="224617EF"/>
    <w:rsid w:val="22521696"/>
    <w:rsid w:val="22576CAC"/>
    <w:rsid w:val="228A2D71"/>
    <w:rsid w:val="22A160E7"/>
    <w:rsid w:val="22A61E66"/>
    <w:rsid w:val="22F83907"/>
    <w:rsid w:val="22FA4F96"/>
    <w:rsid w:val="231237F0"/>
    <w:rsid w:val="23446460"/>
    <w:rsid w:val="23476D20"/>
    <w:rsid w:val="23720241"/>
    <w:rsid w:val="2374288F"/>
    <w:rsid w:val="237F79BD"/>
    <w:rsid w:val="2383244E"/>
    <w:rsid w:val="238A10F1"/>
    <w:rsid w:val="23A91789"/>
    <w:rsid w:val="23CA592E"/>
    <w:rsid w:val="23E12CD1"/>
    <w:rsid w:val="23F07156"/>
    <w:rsid w:val="23F52C20"/>
    <w:rsid w:val="24083577"/>
    <w:rsid w:val="240F7DFF"/>
    <w:rsid w:val="24151BA3"/>
    <w:rsid w:val="24175A98"/>
    <w:rsid w:val="24275EEE"/>
    <w:rsid w:val="242A5635"/>
    <w:rsid w:val="246408F0"/>
    <w:rsid w:val="247C4CEF"/>
    <w:rsid w:val="248340A5"/>
    <w:rsid w:val="248A5117"/>
    <w:rsid w:val="24BE3012"/>
    <w:rsid w:val="24D35B8B"/>
    <w:rsid w:val="24DE608A"/>
    <w:rsid w:val="24E703A6"/>
    <w:rsid w:val="24F3089A"/>
    <w:rsid w:val="24F75B5A"/>
    <w:rsid w:val="2510775C"/>
    <w:rsid w:val="25137802"/>
    <w:rsid w:val="251C1E65"/>
    <w:rsid w:val="25205A7B"/>
    <w:rsid w:val="252E1F46"/>
    <w:rsid w:val="257635E8"/>
    <w:rsid w:val="25800831"/>
    <w:rsid w:val="2580651A"/>
    <w:rsid w:val="259C4F4E"/>
    <w:rsid w:val="25AC4C5F"/>
    <w:rsid w:val="25B817F9"/>
    <w:rsid w:val="25BA659F"/>
    <w:rsid w:val="25DB0584"/>
    <w:rsid w:val="25F411F9"/>
    <w:rsid w:val="25F428E9"/>
    <w:rsid w:val="25F77C7F"/>
    <w:rsid w:val="263D02FD"/>
    <w:rsid w:val="266876DA"/>
    <w:rsid w:val="26695E5D"/>
    <w:rsid w:val="26776C6B"/>
    <w:rsid w:val="2685203A"/>
    <w:rsid w:val="26977FBF"/>
    <w:rsid w:val="26981CD4"/>
    <w:rsid w:val="26B6575C"/>
    <w:rsid w:val="26B90781"/>
    <w:rsid w:val="26C71AEB"/>
    <w:rsid w:val="26CC132C"/>
    <w:rsid w:val="26CF1507"/>
    <w:rsid w:val="26DD1E76"/>
    <w:rsid w:val="26E72CF4"/>
    <w:rsid w:val="26EC030B"/>
    <w:rsid w:val="26F31699"/>
    <w:rsid w:val="272156D1"/>
    <w:rsid w:val="273B0DCC"/>
    <w:rsid w:val="2762237B"/>
    <w:rsid w:val="278C22A7"/>
    <w:rsid w:val="278D2F87"/>
    <w:rsid w:val="27B84691"/>
    <w:rsid w:val="27C60B5C"/>
    <w:rsid w:val="27CB1E72"/>
    <w:rsid w:val="27E6478F"/>
    <w:rsid w:val="27FD3E57"/>
    <w:rsid w:val="280E2D78"/>
    <w:rsid w:val="28292E99"/>
    <w:rsid w:val="282F1B4A"/>
    <w:rsid w:val="284B2E0F"/>
    <w:rsid w:val="284F5F17"/>
    <w:rsid w:val="28567B91"/>
    <w:rsid w:val="286876AF"/>
    <w:rsid w:val="28AB0C22"/>
    <w:rsid w:val="28AF0C54"/>
    <w:rsid w:val="28DB0637"/>
    <w:rsid w:val="28DD537A"/>
    <w:rsid w:val="28E82D54"/>
    <w:rsid w:val="292D674F"/>
    <w:rsid w:val="295108F9"/>
    <w:rsid w:val="298C1931"/>
    <w:rsid w:val="29957CC3"/>
    <w:rsid w:val="29AC4353"/>
    <w:rsid w:val="29B502AC"/>
    <w:rsid w:val="29EB32BC"/>
    <w:rsid w:val="2A1367AF"/>
    <w:rsid w:val="2A1A518F"/>
    <w:rsid w:val="2A1A728F"/>
    <w:rsid w:val="2A292424"/>
    <w:rsid w:val="2A375D41"/>
    <w:rsid w:val="2A457629"/>
    <w:rsid w:val="2A475858"/>
    <w:rsid w:val="2A5311F6"/>
    <w:rsid w:val="2A8D1A1A"/>
    <w:rsid w:val="2A952A67"/>
    <w:rsid w:val="2ACD2201"/>
    <w:rsid w:val="2AE5610E"/>
    <w:rsid w:val="2AE636CE"/>
    <w:rsid w:val="2AF824D0"/>
    <w:rsid w:val="2AFE23BA"/>
    <w:rsid w:val="2B093073"/>
    <w:rsid w:val="2B16703F"/>
    <w:rsid w:val="2B204A27"/>
    <w:rsid w:val="2B4C102F"/>
    <w:rsid w:val="2B4F6C25"/>
    <w:rsid w:val="2B5B5A8E"/>
    <w:rsid w:val="2B7D7783"/>
    <w:rsid w:val="2B9F5F29"/>
    <w:rsid w:val="2BBC5144"/>
    <w:rsid w:val="2BDF3C68"/>
    <w:rsid w:val="2BE36287"/>
    <w:rsid w:val="2BE42183"/>
    <w:rsid w:val="2BE634C1"/>
    <w:rsid w:val="2C274699"/>
    <w:rsid w:val="2C3F3C29"/>
    <w:rsid w:val="2C571C43"/>
    <w:rsid w:val="2CA97EA8"/>
    <w:rsid w:val="2CAC2DE6"/>
    <w:rsid w:val="2CC3566A"/>
    <w:rsid w:val="2CE01447"/>
    <w:rsid w:val="2CF510EE"/>
    <w:rsid w:val="2D343CBB"/>
    <w:rsid w:val="2D353C66"/>
    <w:rsid w:val="2D43330F"/>
    <w:rsid w:val="2D4728AF"/>
    <w:rsid w:val="2D4B38B1"/>
    <w:rsid w:val="2D525C3B"/>
    <w:rsid w:val="2D7E3C87"/>
    <w:rsid w:val="2D847DA7"/>
    <w:rsid w:val="2DA2601A"/>
    <w:rsid w:val="2DAA1BDC"/>
    <w:rsid w:val="2DAC00B7"/>
    <w:rsid w:val="2DB80F46"/>
    <w:rsid w:val="2DD22CBC"/>
    <w:rsid w:val="2DF7663E"/>
    <w:rsid w:val="2E1E1189"/>
    <w:rsid w:val="2E2F6D2F"/>
    <w:rsid w:val="2E314855"/>
    <w:rsid w:val="2E625B1F"/>
    <w:rsid w:val="2E7F121C"/>
    <w:rsid w:val="2E9F2106"/>
    <w:rsid w:val="2ECA25D8"/>
    <w:rsid w:val="2ED66ACC"/>
    <w:rsid w:val="2EDA582A"/>
    <w:rsid w:val="2EFD551D"/>
    <w:rsid w:val="2F146F23"/>
    <w:rsid w:val="2F397E65"/>
    <w:rsid w:val="2F47498F"/>
    <w:rsid w:val="2F503401"/>
    <w:rsid w:val="2F5E6D2E"/>
    <w:rsid w:val="2F601896"/>
    <w:rsid w:val="2F724220"/>
    <w:rsid w:val="2F8135BA"/>
    <w:rsid w:val="2F825A3A"/>
    <w:rsid w:val="2FAC01A2"/>
    <w:rsid w:val="2FAC155E"/>
    <w:rsid w:val="2FD0231D"/>
    <w:rsid w:val="2FDE7170"/>
    <w:rsid w:val="2FE242D2"/>
    <w:rsid w:val="2FF409E7"/>
    <w:rsid w:val="302570AB"/>
    <w:rsid w:val="302D77EA"/>
    <w:rsid w:val="303A501C"/>
    <w:rsid w:val="303B0F31"/>
    <w:rsid w:val="305F38FB"/>
    <w:rsid w:val="30770327"/>
    <w:rsid w:val="309A4933"/>
    <w:rsid w:val="30AB5CDA"/>
    <w:rsid w:val="30C10112"/>
    <w:rsid w:val="30DC0173"/>
    <w:rsid w:val="30F01958"/>
    <w:rsid w:val="30F05416"/>
    <w:rsid w:val="31172428"/>
    <w:rsid w:val="31357CC0"/>
    <w:rsid w:val="313E5D03"/>
    <w:rsid w:val="31466B3D"/>
    <w:rsid w:val="314932A7"/>
    <w:rsid w:val="315A3932"/>
    <w:rsid w:val="318555E4"/>
    <w:rsid w:val="318F600C"/>
    <w:rsid w:val="31941071"/>
    <w:rsid w:val="319F3F74"/>
    <w:rsid w:val="31CF291F"/>
    <w:rsid w:val="31D021BE"/>
    <w:rsid w:val="31DC27E3"/>
    <w:rsid w:val="31DC63AE"/>
    <w:rsid w:val="31DC73B4"/>
    <w:rsid w:val="31DD1506"/>
    <w:rsid w:val="31E54BBE"/>
    <w:rsid w:val="31EC7411"/>
    <w:rsid w:val="320374D7"/>
    <w:rsid w:val="321A2132"/>
    <w:rsid w:val="322301DC"/>
    <w:rsid w:val="32327D02"/>
    <w:rsid w:val="323567C2"/>
    <w:rsid w:val="3264344B"/>
    <w:rsid w:val="327C185A"/>
    <w:rsid w:val="32845543"/>
    <w:rsid w:val="32B85FBA"/>
    <w:rsid w:val="32DB1CA9"/>
    <w:rsid w:val="32DC5071"/>
    <w:rsid w:val="32F453AB"/>
    <w:rsid w:val="33093FF2"/>
    <w:rsid w:val="330C0334"/>
    <w:rsid w:val="33167CFF"/>
    <w:rsid w:val="33171828"/>
    <w:rsid w:val="331C1677"/>
    <w:rsid w:val="333107F5"/>
    <w:rsid w:val="33414BBC"/>
    <w:rsid w:val="336C1921"/>
    <w:rsid w:val="337B25A0"/>
    <w:rsid w:val="337C54AD"/>
    <w:rsid w:val="337D06A9"/>
    <w:rsid w:val="337E4B6F"/>
    <w:rsid w:val="33AC6B35"/>
    <w:rsid w:val="33BB353F"/>
    <w:rsid w:val="33CC204B"/>
    <w:rsid w:val="33D942AB"/>
    <w:rsid w:val="33F407B6"/>
    <w:rsid w:val="33F96D31"/>
    <w:rsid w:val="34155CA0"/>
    <w:rsid w:val="343B7E9C"/>
    <w:rsid w:val="344A2B14"/>
    <w:rsid w:val="344C1A5E"/>
    <w:rsid w:val="345814E8"/>
    <w:rsid w:val="34643AA5"/>
    <w:rsid w:val="34655954"/>
    <w:rsid w:val="3469450D"/>
    <w:rsid w:val="346D0636"/>
    <w:rsid w:val="346E05B1"/>
    <w:rsid w:val="3470650D"/>
    <w:rsid w:val="34A25E30"/>
    <w:rsid w:val="34B5061B"/>
    <w:rsid w:val="34E012F0"/>
    <w:rsid w:val="34E24AFB"/>
    <w:rsid w:val="352949E1"/>
    <w:rsid w:val="3570640E"/>
    <w:rsid w:val="3579545F"/>
    <w:rsid w:val="357C0EB5"/>
    <w:rsid w:val="357F67EE"/>
    <w:rsid w:val="35874B0D"/>
    <w:rsid w:val="358D2CB9"/>
    <w:rsid w:val="358D569A"/>
    <w:rsid w:val="35B44BB1"/>
    <w:rsid w:val="35C0497C"/>
    <w:rsid w:val="35C42453"/>
    <w:rsid w:val="35F920FC"/>
    <w:rsid w:val="360E2CB0"/>
    <w:rsid w:val="361E6007"/>
    <w:rsid w:val="362266D8"/>
    <w:rsid w:val="36245BE2"/>
    <w:rsid w:val="365437D6"/>
    <w:rsid w:val="365C268B"/>
    <w:rsid w:val="3680659E"/>
    <w:rsid w:val="36807EED"/>
    <w:rsid w:val="36826596"/>
    <w:rsid w:val="368B493D"/>
    <w:rsid w:val="36954142"/>
    <w:rsid w:val="369A30A2"/>
    <w:rsid w:val="36A93ABC"/>
    <w:rsid w:val="36BB0910"/>
    <w:rsid w:val="36BD5B41"/>
    <w:rsid w:val="36CA6A16"/>
    <w:rsid w:val="36CB28D9"/>
    <w:rsid w:val="36DB4549"/>
    <w:rsid w:val="36E83F1F"/>
    <w:rsid w:val="36F67248"/>
    <w:rsid w:val="37052810"/>
    <w:rsid w:val="37177FCA"/>
    <w:rsid w:val="372E4027"/>
    <w:rsid w:val="374028EC"/>
    <w:rsid w:val="37C114DB"/>
    <w:rsid w:val="37DE0D9D"/>
    <w:rsid w:val="37E24755"/>
    <w:rsid w:val="37F0752F"/>
    <w:rsid w:val="380D00E1"/>
    <w:rsid w:val="381B0506"/>
    <w:rsid w:val="381B3F7A"/>
    <w:rsid w:val="384F74E4"/>
    <w:rsid w:val="388E4E9B"/>
    <w:rsid w:val="38975BFC"/>
    <w:rsid w:val="38C0729E"/>
    <w:rsid w:val="38C22C79"/>
    <w:rsid w:val="38C70290"/>
    <w:rsid w:val="38CC58A6"/>
    <w:rsid w:val="38F21661"/>
    <w:rsid w:val="38FD705B"/>
    <w:rsid w:val="39014BAE"/>
    <w:rsid w:val="392C54F2"/>
    <w:rsid w:val="395F5D54"/>
    <w:rsid w:val="39872B7F"/>
    <w:rsid w:val="399A2704"/>
    <w:rsid w:val="39A23B30"/>
    <w:rsid w:val="39A479F5"/>
    <w:rsid w:val="39A52F16"/>
    <w:rsid w:val="39AD7684"/>
    <w:rsid w:val="39BF20A0"/>
    <w:rsid w:val="39BF540B"/>
    <w:rsid w:val="39CA42A5"/>
    <w:rsid w:val="39E16F8D"/>
    <w:rsid w:val="39E22891"/>
    <w:rsid w:val="3A094288"/>
    <w:rsid w:val="3A1679DA"/>
    <w:rsid w:val="3A1A0F67"/>
    <w:rsid w:val="3A1C60D6"/>
    <w:rsid w:val="3A281202"/>
    <w:rsid w:val="3A2A7FC3"/>
    <w:rsid w:val="3A384FCA"/>
    <w:rsid w:val="3A4E37F2"/>
    <w:rsid w:val="3A53088C"/>
    <w:rsid w:val="3A6719C0"/>
    <w:rsid w:val="3A756673"/>
    <w:rsid w:val="3A8C79E3"/>
    <w:rsid w:val="3A9B7C26"/>
    <w:rsid w:val="3AA06FEA"/>
    <w:rsid w:val="3AA57B47"/>
    <w:rsid w:val="3AA8173B"/>
    <w:rsid w:val="3AB678FE"/>
    <w:rsid w:val="3ACD7D7B"/>
    <w:rsid w:val="3AD251B2"/>
    <w:rsid w:val="3ADB2718"/>
    <w:rsid w:val="3ADF0E53"/>
    <w:rsid w:val="3AEF3ACE"/>
    <w:rsid w:val="3AF15A98"/>
    <w:rsid w:val="3AFC6B6F"/>
    <w:rsid w:val="3B044408"/>
    <w:rsid w:val="3B461B5F"/>
    <w:rsid w:val="3B8149DC"/>
    <w:rsid w:val="3BA1126C"/>
    <w:rsid w:val="3BB9317F"/>
    <w:rsid w:val="3BD335CC"/>
    <w:rsid w:val="3BEB0739"/>
    <w:rsid w:val="3BFD5F5A"/>
    <w:rsid w:val="3C053902"/>
    <w:rsid w:val="3C2B0000"/>
    <w:rsid w:val="3C326368"/>
    <w:rsid w:val="3C37709C"/>
    <w:rsid w:val="3C386D5C"/>
    <w:rsid w:val="3C545D58"/>
    <w:rsid w:val="3C5B54DA"/>
    <w:rsid w:val="3C68233C"/>
    <w:rsid w:val="3C6D55F2"/>
    <w:rsid w:val="3C7249B6"/>
    <w:rsid w:val="3C7F631D"/>
    <w:rsid w:val="3C846829"/>
    <w:rsid w:val="3CAA1B3E"/>
    <w:rsid w:val="3CAF5C0A"/>
    <w:rsid w:val="3CB13731"/>
    <w:rsid w:val="3CC154A2"/>
    <w:rsid w:val="3CDE7A31"/>
    <w:rsid w:val="3CDF0B2B"/>
    <w:rsid w:val="3CE84C78"/>
    <w:rsid w:val="3D0C0967"/>
    <w:rsid w:val="3D1465E4"/>
    <w:rsid w:val="3D37784B"/>
    <w:rsid w:val="3D474095"/>
    <w:rsid w:val="3D4D4685"/>
    <w:rsid w:val="3D5F13DF"/>
    <w:rsid w:val="3D615732"/>
    <w:rsid w:val="3D7D03C8"/>
    <w:rsid w:val="3D877FA8"/>
    <w:rsid w:val="3DC470D3"/>
    <w:rsid w:val="3DE559F5"/>
    <w:rsid w:val="3DF018DA"/>
    <w:rsid w:val="3DFA0D95"/>
    <w:rsid w:val="3DFA4FA3"/>
    <w:rsid w:val="3E110C74"/>
    <w:rsid w:val="3E12061C"/>
    <w:rsid w:val="3E1C0BF4"/>
    <w:rsid w:val="3E315FAE"/>
    <w:rsid w:val="3E484DCE"/>
    <w:rsid w:val="3E6D7B2B"/>
    <w:rsid w:val="3E8344E4"/>
    <w:rsid w:val="3E835835"/>
    <w:rsid w:val="3E950E30"/>
    <w:rsid w:val="3EB71949"/>
    <w:rsid w:val="3ED915CF"/>
    <w:rsid w:val="3EDF5FA5"/>
    <w:rsid w:val="3EF26FD2"/>
    <w:rsid w:val="3F0B4C4E"/>
    <w:rsid w:val="3F286941"/>
    <w:rsid w:val="3F39662D"/>
    <w:rsid w:val="3F426872"/>
    <w:rsid w:val="3F5900B0"/>
    <w:rsid w:val="3F5B4644"/>
    <w:rsid w:val="3F870779"/>
    <w:rsid w:val="3F887E02"/>
    <w:rsid w:val="3FA01D38"/>
    <w:rsid w:val="3FAA26B9"/>
    <w:rsid w:val="3FB00B32"/>
    <w:rsid w:val="3FCB6E92"/>
    <w:rsid w:val="3FE1257F"/>
    <w:rsid w:val="3FF02DCC"/>
    <w:rsid w:val="3FFB6830"/>
    <w:rsid w:val="40080673"/>
    <w:rsid w:val="400F7574"/>
    <w:rsid w:val="401F20E8"/>
    <w:rsid w:val="40497D6F"/>
    <w:rsid w:val="404B5C4A"/>
    <w:rsid w:val="40550877"/>
    <w:rsid w:val="40710D05"/>
    <w:rsid w:val="40765F16"/>
    <w:rsid w:val="407C39FC"/>
    <w:rsid w:val="408305B0"/>
    <w:rsid w:val="40A11D0E"/>
    <w:rsid w:val="40A435AC"/>
    <w:rsid w:val="40B05E22"/>
    <w:rsid w:val="40B24E46"/>
    <w:rsid w:val="40B557B9"/>
    <w:rsid w:val="40BE37B3"/>
    <w:rsid w:val="40D6431E"/>
    <w:rsid w:val="40E1210B"/>
    <w:rsid w:val="40F00E4A"/>
    <w:rsid w:val="41054182"/>
    <w:rsid w:val="4107126B"/>
    <w:rsid w:val="411F6999"/>
    <w:rsid w:val="41230975"/>
    <w:rsid w:val="41305D95"/>
    <w:rsid w:val="413B5CBF"/>
    <w:rsid w:val="41884FF2"/>
    <w:rsid w:val="41AD1F26"/>
    <w:rsid w:val="41C7444A"/>
    <w:rsid w:val="41E37F5C"/>
    <w:rsid w:val="41E55C2A"/>
    <w:rsid w:val="420B38E3"/>
    <w:rsid w:val="420E5181"/>
    <w:rsid w:val="421D3616"/>
    <w:rsid w:val="422B1C1E"/>
    <w:rsid w:val="423147C9"/>
    <w:rsid w:val="42526E57"/>
    <w:rsid w:val="42805697"/>
    <w:rsid w:val="42867A6B"/>
    <w:rsid w:val="42A42315"/>
    <w:rsid w:val="42A94EAA"/>
    <w:rsid w:val="42CB1CE0"/>
    <w:rsid w:val="43076557"/>
    <w:rsid w:val="430E6AD2"/>
    <w:rsid w:val="43292D4B"/>
    <w:rsid w:val="43562E9B"/>
    <w:rsid w:val="4359067E"/>
    <w:rsid w:val="43716328"/>
    <w:rsid w:val="437454B8"/>
    <w:rsid w:val="43754D8C"/>
    <w:rsid w:val="43770B04"/>
    <w:rsid w:val="439A528D"/>
    <w:rsid w:val="439D67BD"/>
    <w:rsid w:val="439E068D"/>
    <w:rsid w:val="43AA435A"/>
    <w:rsid w:val="43D634B0"/>
    <w:rsid w:val="43E206AE"/>
    <w:rsid w:val="44245604"/>
    <w:rsid w:val="44306BA9"/>
    <w:rsid w:val="4449065B"/>
    <w:rsid w:val="444A1A18"/>
    <w:rsid w:val="44627B9D"/>
    <w:rsid w:val="446E0159"/>
    <w:rsid w:val="449905D1"/>
    <w:rsid w:val="44A712E6"/>
    <w:rsid w:val="44CF0F0A"/>
    <w:rsid w:val="44E54B93"/>
    <w:rsid w:val="45066DEA"/>
    <w:rsid w:val="451C51EF"/>
    <w:rsid w:val="451F7124"/>
    <w:rsid w:val="452256FD"/>
    <w:rsid w:val="454C0551"/>
    <w:rsid w:val="45513181"/>
    <w:rsid w:val="45532AFD"/>
    <w:rsid w:val="456D77C7"/>
    <w:rsid w:val="4577128F"/>
    <w:rsid w:val="45907B5B"/>
    <w:rsid w:val="459C4852"/>
    <w:rsid w:val="45AC718B"/>
    <w:rsid w:val="45D24718"/>
    <w:rsid w:val="45D247CA"/>
    <w:rsid w:val="45D70EA3"/>
    <w:rsid w:val="45DE01FB"/>
    <w:rsid w:val="45DE1476"/>
    <w:rsid w:val="46182566"/>
    <w:rsid w:val="461A0599"/>
    <w:rsid w:val="4650368C"/>
    <w:rsid w:val="4652360C"/>
    <w:rsid w:val="46537607"/>
    <w:rsid w:val="46574DD6"/>
    <w:rsid w:val="465B470D"/>
    <w:rsid w:val="4666239A"/>
    <w:rsid w:val="466F1F67"/>
    <w:rsid w:val="467632F5"/>
    <w:rsid w:val="467D4684"/>
    <w:rsid w:val="469517D4"/>
    <w:rsid w:val="46B463A9"/>
    <w:rsid w:val="46B66E6C"/>
    <w:rsid w:val="46BF2EEE"/>
    <w:rsid w:val="46DC103C"/>
    <w:rsid w:val="46EB08A6"/>
    <w:rsid w:val="46EC5FB5"/>
    <w:rsid w:val="470038DD"/>
    <w:rsid w:val="47107C02"/>
    <w:rsid w:val="47290367"/>
    <w:rsid w:val="472F6688"/>
    <w:rsid w:val="473967C5"/>
    <w:rsid w:val="47411B55"/>
    <w:rsid w:val="47431429"/>
    <w:rsid w:val="475A6CB7"/>
    <w:rsid w:val="47604C12"/>
    <w:rsid w:val="476A6AC0"/>
    <w:rsid w:val="476D0F70"/>
    <w:rsid w:val="4771702F"/>
    <w:rsid w:val="47777325"/>
    <w:rsid w:val="478415DD"/>
    <w:rsid w:val="478A0B74"/>
    <w:rsid w:val="479B74B7"/>
    <w:rsid w:val="47A143A2"/>
    <w:rsid w:val="47A73950"/>
    <w:rsid w:val="47BE546E"/>
    <w:rsid w:val="47BE6C39"/>
    <w:rsid w:val="47DC187E"/>
    <w:rsid w:val="47DE1152"/>
    <w:rsid w:val="47E05CF2"/>
    <w:rsid w:val="47E377CC"/>
    <w:rsid w:val="47E56507"/>
    <w:rsid w:val="48006081"/>
    <w:rsid w:val="483C2E76"/>
    <w:rsid w:val="487157B9"/>
    <w:rsid w:val="488717E9"/>
    <w:rsid w:val="48966868"/>
    <w:rsid w:val="48995230"/>
    <w:rsid w:val="489A7384"/>
    <w:rsid w:val="489C5A47"/>
    <w:rsid w:val="48A303B6"/>
    <w:rsid w:val="48AD483A"/>
    <w:rsid w:val="48C6778A"/>
    <w:rsid w:val="48DA0226"/>
    <w:rsid w:val="48EE1869"/>
    <w:rsid w:val="48F33F10"/>
    <w:rsid w:val="48FC1DCD"/>
    <w:rsid w:val="490746D8"/>
    <w:rsid w:val="491C5119"/>
    <w:rsid w:val="49456888"/>
    <w:rsid w:val="49553696"/>
    <w:rsid w:val="497334BE"/>
    <w:rsid w:val="49A62DC0"/>
    <w:rsid w:val="49B84DE2"/>
    <w:rsid w:val="49BA6EF9"/>
    <w:rsid w:val="49C227B1"/>
    <w:rsid w:val="49C25E90"/>
    <w:rsid w:val="49CA2B89"/>
    <w:rsid w:val="49D85AFB"/>
    <w:rsid w:val="49DA240D"/>
    <w:rsid w:val="49DF5C72"/>
    <w:rsid w:val="49FE5ADB"/>
    <w:rsid w:val="4A0408AD"/>
    <w:rsid w:val="4A094CEA"/>
    <w:rsid w:val="4A152ADF"/>
    <w:rsid w:val="4A1900E9"/>
    <w:rsid w:val="4A1E0406"/>
    <w:rsid w:val="4A3D77E4"/>
    <w:rsid w:val="4A572642"/>
    <w:rsid w:val="4A58222E"/>
    <w:rsid w:val="4A637F68"/>
    <w:rsid w:val="4A6F5E39"/>
    <w:rsid w:val="4A793F21"/>
    <w:rsid w:val="4AB4263E"/>
    <w:rsid w:val="4ABC62D4"/>
    <w:rsid w:val="4ACC3E2B"/>
    <w:rsid w:val="4AEE3DA2"/>
    <w:rsid w:val="4AF75F0A"/>
    <w:rsid w:val="4AF77174"/>
    <w:rsid w:val="4AF80F9A"/>
    <w:rsid w:val="4B06222A"/>
    <w:rsid w:val="4B4F7EC3"/>
    <w:rsid w:val="4B543CB7"/>
    <w:rsid w:val="4B5A1437"/>
    <w:rsid w:val="4BBD24CC"/>
    <w:rsid w:val="4BE56F53"/>
    <w:rsid w:val="4BF8469F"/>
    <w:rsid w:val="4C035DFD"/>
    <w:rsid w:val="4C1A4723"/>
    <w:rsid w:val="4C1E052A"/>
    <w:rsid w:val="4C2A6304"/>
    <w:rsid w:val="4C3468A5"/>
    <w:rsid w:val="4C426D69"/>
    <w:rsid w:val="4C547C35"/>
    <w:rsid w:val="4C564E4E"/>
    <w:rsid w:val="4C6F4A6E"/>
    <w:rsid w:val="4C7049F4"/>
    <w:rsid w:val="4C8524E4"/>
    <w:rsid w:val="4CAC181F"/>
    <w:rsid w:val="4CB13B07"/>
    <w:rsid w:val="4CBB38E9"/>
    <w:rsid w:val="4CBC3A7A"/>
    <w:rsid w:val="4CC21042"/>
    <w:rsid w:val="4CDE12DC"/>
    <w:rsid w:val="4CE33643"/>
    <w:rsid w:val="4CE97F67"/>
    <w:rsid w:val="4CF74C52"/>
    <w:rsid w:val="4CF82D92"/>
    <w:rsid w:val="4CFB09F8"/>
    <w:rsid w:val="4D0F55F5"/>
    <w:rsid w:val="4D3330A5"/>
    <w:rsid w:val="4D7B4D60"/>
    <w:rsid w:val="4D8A5497"/>
    <w:rsid w:val="4DA632C6"/>
    <w:rsid w:val="4DA6353E"/>
    <w:rsid w:val="4DB50819"/>
    <w:rsid w:val="4DB73489"/>
    <w:rsid w:val="4DCB3AF2"/>
    <w:rsid w:val="4DCD6E17"/>
    <w:rsid w:val="4DDC25D7"/>
    <w:rsid w:val="4DEC62CE"/>
    <w:rsid w:val="4E2B2C17"/>
    <w:rsid w:val="4E330C3B"/>
    <w:rsid w:val="4E400145"/>
    <w:rsid w:val="4E6A438F"/>
    <w:rsid w:val="4E724CEA"/>
    <w:rsid w:val="4E797E26"/>
    <w:rsid w:val="4E8A0F30"/>
    <w:rsid w:val="4E8A2033"/>
    <w:rsid w:val="4E987EE7"/>
    <w:rsid w:val="4EB5593F"/>
    <w:rsid w:val="4EC956B6"/>
    <w:rsid w:val="4ED44768"/>
    <w:rsid w:val="4ED51044"/>
    <w:rsid w:val="4ED80FF1"/>
    <w:rsid w:val="4EEB003B"/>
    <w:rsid w:val="4EF641FB"/>
    <w:rsid w:val="4F024A2A"/>
    <w:rsid w:val="4F035F78"/>
    <w:rsid w:val="4F073684"/>
    <w:rsid w:val="4F162D10"/>
    <w:rsid w:val="4F1749C6"/>
    <w:rsid w:val="4F196FB8"/>
    <w:rsid w:val="4F351E33"/>
    <w:rsid w:val="4F351EFE"/>
    <w:rsid w:val="4F430882"/>
    <w:rsid w:val="4F5453BB"/>
    <w:rsid w:val="4F77022A"/>
    <w:rsid w:val="4F9667B6"/>
    <w:rsid w:val="4FA57265"/>
    <w:rsid w:val="4FA83DE9"/>
    <w:rsid w:val="4FBF58DF"/>
    <w:rsid w:val="4FDB1D88"/>
    <w:rsid w:val="4FDE045B"/>
    <w:rsid w:val="4FE24CD5"/>
    <w:rsid w:val="50012607"/>
    <w:rsid w:val="5021187F"/>
    <w:rsid w:val="50263CB6"/>
    <w:rsid w:val="5032028D"/>
    <w:rsid w:val="504878CE"/>
    <w:rsid w:val="50582591"/>
    <w:rsid w:val="507C3A0C"/>
    <w:rsid w:val="507E1724"/>
    <w:rsid w:val="509A1EB3"/>
    <w:rsid w:val="50B12EEA"/>
    <w:rsid w:val="50B67155"/>
    <w:rsid w:val="510B2A49"/>
    <w:rsid w:val="514A7052"/>
    <w:rsid w:val="5164091A"/>
    <w:rsid w:val="516969B3"/>
    <w:rsid w:val="516B21ED"/>
    <w:rsid w:val="516F2B57"/>
    <w:rsid w:val="51711E0D"/>
    <w:rsid w:val="518F3A9F"/>
    <w:rsid w:val="51954F77"/>
    <w:rsid w:val="51B56CE5"/>
    <w:rsid w:val="51B61003"/>
    <w:rsid w:val="51B66D6C"/>
    <w:rsid w:val="51BC5B2A"/>
    <w:rsid w:val="51D57A6A"/>
    <w:rsid w:val="51DA1C15"/>
    <w:rsid w:val="51E25CE3"/>
    <w:rsid w:val="5206262F"/>
    <w:rsid w:val="520E1DA6"/>
    <w:rsid w:val="520E7D88"/>
    <w:rsid w:val="52426781"/>
    <w:rsid w:val="524C50B0"/>
    <w:rsid w:val="525E65C1"/>
    <w:rsid w:val="526528AA"/>
    <w:rsid w:val="52781F26"/>
    <w:rsid w:val="528A42C9"/>
    <w:rsid w:val="528A5513"/>
    <w:rsid w:val="52984367"/>
    <w:rsid w:val="529C44B2"/>
    <w:rsid w:val="52DC6832"/>
    <w:rsid w:val="52F42171"/>
    <w:rsid w:val="52FA4256"/>
    <w:rsid w:val="532552B8"/>
    <w:rsid w:val="53282C81"/>
    <w:rsid w:val="53432167"/>
    <w:rsid w:val="53466863"/>
    <w:rsid w:val="535A3C65"/>
    <w:rsid w:val="53637E07"/>
    <w:rsid w:val="53643F5E"/>
    <w:rsid w:val="536A3A41"/>
    <w:rsid w:val="53794425"/>
    <w:rsid w:val="53A341A5"/>
    <w:rsid w:val="53B11E10"/>
    <w:rsid w:val="53B42001"/>
    <w:rsid w:val="53C30866"/>
    <w:rsid w:val="53E00BED"/>
    <w:rsid w:val="53ED118E"/>
    <w:rsid w:val="53F268CE"/>
    <w:rsid w:val="53FF0DCE"/>
    <w:rsid w:val="540E0C09"/>
    <w:rsid w:val="5433223F"/>
    <w:rsid w:val="543446C5"/>
    <w:rsid w:val="5452714F"/>
    <w:rsid w:val="54555902"/>
    <w:rsid w:val="54770964"/>
    <w:rsid w:val="54BB5C9C"/>
    <w:rsid w:val="54CC4F98"/>
    <w:rsid w:val="54D933CD"/>
    <w:rsid w:val="54E3249D"/>
    <w:rsid w:val="54ED0C26"/>
    <w:rsid w:val="54F93A6F"/>
    <w:rsid w:val="54FC01BE"/>
    <w:rsid w:val="55183D6B"/>
    <w:rsid w:val="55184B50"/>
    <w:rsid w:val="551C1FC6"/>
    <w:rsid w:val="55255F0F"/>
    <w:rsid w:val="5548064E"/>
    <w:rsid w:val="555369CE"/>
    <w:rsid w:val="55620180"/>
    <w:rsid w:val="55B910E0"/>
    <w:rsid w:val="560A4CFE"/>
    <w:rsid w:val="56215531"/>
    <w:rsid w:val="5625491E"/>
    <w:rsid w:val="56326745"/>
    <w:rsid w:val="56344410"/>
    <w:rsid w:val="567C59FA"/>
    <w:rsid w:val="56840B5C"/>
    <w:rsid w:val="56952843"/>
    <w:rsid w:val="56997B26"/>
    <w:rsid w:val="569D042A"/>
    <w:rsid w:val="569E44D7"/>
    <w:rsid w:val="56B67741"/>
    <w:rsid w:val="56EE66DB"/>
    <w:rsid w:val="56F3629C"/>
    <w:rsid w:val="570375C9"/>
    <w:rsid w:val="5706231D"/>
    <w:rsid w:val="571132F2"/>
    <w:rsid w:val="571561AB"/>
    <w:rsid w:val="571D7433"/>
    <w:rsid w:val="574065EE"/>
    <w:rsid w:val="574972C4"/>
    <w:rsid w:val="575256B8"/>
    <w:rsid w:val="57532D67"/>
    <w:rsid w:val="575E22AF"/>
    <w:rsid w:val="575E5E0B"/>
    <w:rsid w:val="57717AAB"/>
    <w:rsid w:val="577A31F7"/>
    <w:rsid w:val="579B3F7E"/>
    <w:rsid w:val="579D62ED"/>
    <w:rsid w:val="57A00E2D"/>
    <w:rsid w:val="57A80093"/>
    <w:rsid w:val="57C230F2"/>
    <w:rsid w:val="57D22476"/>
    <w:rsid w:val="57DE6F4C"/>
    <w:rsid w:val="57E00F16"/>
    <w:rsid w:val="57E917B3"/>
    <w:rsid w:val="57F47740"/>
    <w:rsid w:val="58190EFF"/>
    <w:rsid w:val="5822508B"/>
    <w:rsid w:val="584251C8"/>
    <w:rsid w:val="586631C9"/>
    <w:rsid w:val="586C125B"/>
    <w:rsid w:val="58797B0F"/>
    <w:rsid w:val="587C3899"/>
    <w:rsid w:val="589521CA"/>
    <w:rsid w:val="58A41022"/>
    <w:rsid w:val="58AB5080"/>
    <w:rsid w:val="58CC64EF"/>
    <w:rsid w:val="58E04BAF"/>
    <w:rsid w:val="58E63666"/>
    <w:rsid w:val="58F37843"/>
    <w:rsid w:val="590A7AD2"/>
    <w:rsid w:val="590A7F3D"/>
    <w:rsid w:val="59170968"/>
    <w:rsid w:val="591A7A71"/>
    <w:rsid w:val="591C0BD6"/>
    <w:rsid w:val="59246BE1"/>
    <w:rsid w:val="59283BAC"/>
    <w:rsid w:val="59327716"/>
    <w:rsid w:val="595B6559"/>
    <w:rsid w:val="59621264"/>
    <w:rsid w:val="59746121"/>
    <w:rsid w:val="598802E5"/>
    <w:rsid w:val="59A32DD2"/>
    <w:rsid w:val="59AC1E0A"/>
    <w:rsid w:val="59AF5201"/>
    <w:rsid w:val="59D514B4"/>
    <w:rsid w:val="5A28649D"/>
    <w:rsid w:val="5A2C0443"/>
    <w:rsid w:val="5A7D2A4C"/>
    <w:rsid w:val="5A821E11"/>
    <w:rsid w:val="5A94237B"/>
    <w:rsid w:val="5A9575CD"/>
    <w:rsid w:val="5A9658BC"/>
    <w:rsid w:val="5AAB7FC9"/>
    <w:rsid w:val="5AB85ACC"/>
    <w:rsid w:val="5ABA1CF0"/>
    <w:rsid w:val="5ABD465D"/>
    <w:rsid w:val="5ABF3065"/>
    <w:rsid w:val="5AD14B46"/>
    <w:rsid w:val="5AD32F5C"/>
    <w:rsid w:val="5AD73DEA"/>
    <w:rsid w:val="5AEE1AF4"/>
    <w:rsid w:val="5AF13B20"/>
    <w:rsid w:val="5AFC6B2F"/>
    <w:rsid w:val="5B0B6B1F"/>
    <w:rsid w:val="5B0E18F6"/>
    <w:rsid w:val="5B1F3B03"/>
    <w:rsid w:val="5B706361"/>
    <w:rsid w:val="5B8A0A2A"/>
    <w:rsid w:val="5B93261C"/>
    <w:rsid w:val="5BA30865"/>
    <w:rsid w:val="5BD3008F"/>
    <w:rsid w:val="5BD41273"/>
    <w:rsid w:val="5BE340C8"/>
    <w:rsid w:val="5BED177B"/>
    <w:rsid w:val="5C3034C2"/>
    <w:rsid w:val="5C4573B2"/>
    <w:rsid w:val="5C6A5252"/>
    <w:rsid w:val="5C986CFA"/>
    <w:rsid w:val="5CA32EFF"/>
    <w:rsid w:val="5CAA1CD6"/>
    <w:rsid w:val="5CBF2525"/>
    <w:rsid w:val="5CC20AD1"/>
    <w:rsid w:val="5CE943C9"/>
    <w:rsid w:val="5CED4E44"/>
    <w:rsid w:val="5D155BE0"/>
    <w:rsid w:val="5D302B4D"/>
    <w:rsid w:val="5D322125"/>
    <w:rsid w:val="5D3B555E"/>
    <w:rsid w:val="5D3C1953"/>
    <w:rsid w:val="5D5348B5"/>
    <w:rsid w:val="5D5C38A7"/>
    <w:rsid w:val="5D69161B"/>
    <w:rsid w:val="5D851155"/>
    <w:rsid w:val="5D953179"/>
    <w:rsid w:val="5D964551"/>
    <w:rsid w:val="5D973E01"/>
    <w:rsid w:val="5DA37DD3"/>
    <w:rsid w:val="5DA50348"/>
    <w:rsid w:val="5DA64206"/>
    <w:rsid w:val="5DBA573B"/>
    <w:rsid w:val="5DD23255"/>
    <w:rsid w:val="5DEF0299"/>
    <w:rsid w:val="5E0301A7"/>
    <w:rsid w:val="5E096AA5"/>
    <w:rsid w:val="5E207A5A"/>
    <w:rsid w:val="5E233D0F"/>
    <w:rsid w:val="5E2451F2"/>
    <w:rsid w:val="5E254B43"/>
    <w:rsid w:val="5E3E49DB"/>
    <w:rsid w:val="5E4E4E2C"/>
    <w:rsid w:val="5E4F2952"/>
    <w:rsid w:val="5E6C52B2"/>
    <w:rsid w:val="5E6D0F5F"/>
    <w:rsid w:val="5E896B02"/>
    <w:rsid w:val="5E994914"/>
    <w:rsid w:val="5E9A0D0C"/>
    <w:rsid w:val="5EC155FD"/>
    <w:rsid w:val="5ED30E8D"/>
    <w:rsid w:val="5ED66BCF"/>
    <w:rsid w:val="5EE93564"/>
    <w:rsid w:val="5F1013CB"/>
    <w:rsid w:val="5F275E5B"/>
    <w:rsid w:val="5F475CDD"/>
    <w:rsid w:val="5F5B57C1"/>
    <w:rsid w:val="5F6710D6"/>
    <w:rsid w:val="5F6D4FE9"/>
    <w:rsid w:val="5F6F1569"/>
    <w:rsid w:val="5F702B80"/>
    <w:rsid w:val="5F906D7E"/>
    <w:rsid w:val="5FB23198"/>
    <w:rsid w:val="5FCB425A"/>
    <w:rsid w:val="5FD654FD"/>
    <w:rsid w:val="5FF834DF"/>
    <w:rsid w:val="5FF90FB6"/>
    <w:rsid w:val="60093841"/>
    <w:rsid w:val="600E46C1"/>
    <w:rsid w:val="60210924"/>
    <w:rsid w:val="6045400C"/>
    <w:rsid w:val="606049A2"/>
    <w:rsid w:val="6065014E"/>
    <w:rsid w:val="6065645C"/>
    <w:rsid w:val="606E79B5"/>
    <w:rsid w:val="609D30EB"/>
    <w:rsid w:val="60A01243"/>
    <w:rsid w:val="60A10301"/>
    <w:rsid w:val="60DA7EC3"/>
    <w:rsid w:val="60ED42DD"/>
    <w:rsid w:val="60ED6CA4"/>
    <w:rsid w:val="60FB46CB"/>
    <w:rsid w:val="60FE69B5"/>
    <w:rsid w:val="610E1C03"/>
    <w:rsid w:val="61135EB8"/>
    <w:rsid w:val="61187099"/>
    <w:rsid w:val="61595B96"/>
    <w:rsid w:val="616677E4"/>
    <w:rsid w:val="61720E31"/>
    <w:rsid w:val="61852D39"/>
    <w:rsid w:val="61921F01"/>
    <w:rsid w:val="61D9547D"/>
    <w:rsid w:val="61D96F5C"/>
    <w:rsid w:val="61DE2022"/>
    <w:rsid w:val="61F545EC"/>
    <w:rsid w:val="61F733E7"/>
    <w:rsid w:val="620A18F0"/>
    <w:rsid w:val="623A4581"/>
    <w:rsid w:val="624B0270"/>
    <w:rsid w:val="62510507"/>
    <w:rsid w:val="62717E41"/>
    <w:rsid w:val="6285474B"/>
    <w:rsid w:val="628B4DC5"/>
    <w:rsid w:val="62A73CB9"/>
    <w:rsid w:val="62B62F9F"/>
    <w:rsid w:val="62CF347D"/>
    <w:rsid w:val="632C5010"/>
    <w:rsid w:val="635F7B1D"/>
    <w:rsid w:val="636B37C7"/>
    <w:rsid w:val="637C7D45"/>
    <w:rsid w:val="6388461A"/>
    <w:rsid w:val="638A464A"/>
    <w:rsid w:val="63985936"/>
    <w:rsid w:val="639A3569"/>
    <w:rsid w:val="63AD43A2"/>
    <w:rsid w:val="63B40013"/>
    <w:rsid w:val="63F85FA3"/>
    <w:rsid w:val="64015286"/>
    <w:rsid w:val="6418776D"/>
    <w:rsid w:val="641C33CA"/>
    <w:rsid w:val="643F0D32"/>
    <w:rsid w:val="64442C88"/>
    <w:rsid w:val="64494A2C"/>
    <w:rsid w:val="646709F5"/>
    <w:rsid w:val="64746C6E"/>
    <w:rsid w:val="647A6441"/>
    <w:rsid w:val="64844B71"/>
    <w:rsid w:val="64AA4BF6"/>
    <w:rsid w:val="64B815E6"/>
    <w:rsid w:val="64CB0C4E"/>
    <w:rsid w:val="64FF4B89"/>
    <w:rsid w:val="650049A6"/>
    <w:rsid w:val="65005A23"/>
    <w:rsid w:val="6502427A"/>
    <w:rsid w:val="650556E5"/>
    <w:rsid w:val="654B3E73"/>
    <w:rsid w:val="65573919"/>
    <w:rsid w:val="655E2142"/>
    <w:rsid w:val="65644F35"/>
    <w:rsid w:val="656754D8"/>
    <w:rsid w:val="656B62C3"/>
    <w:rsid w:val="656E5DB3"/>
    <w:rsid w:val="65A705FE"/>
    <w:rsid w:val="65B7117E"/>
    <w:rsid w:val="65C84B00"/>
    <w:rsid w:val="65D379C4"/>
    <w:rsid w:val="65E451A4"/>
    <w:rsid w:val="65EB12B8"/>
    <w:rsid w:val="66000516"/>
    <w:rsid w:val="66265500"/>
    <w:rsid w:val="663568D1"/>
    <w:rsid w:val="666B4E1E"/>
    <w:rsid w:val="668D027E"/>
    <w:rsid w:val="66A17B48"/>
    <w:rsid w:val="66B43C9A"/>
    <w:rsid w:val="66CB3266"/>
    <w:rsid w:val="66D165FA"/>
    <w:rsid w:val="66EF082E"/>
    <w:rsid w:val="67265FFB"/>
    <w:rsid w:val="67636E23"/>
    <w:rsid w:val="67726FED"/>
    <w:rsid w:val="67752EAC"/>
    <w:rsid w:val="67760F4F"/>
    <w:rsid w:val="67770763"/>
    <w:rsid w:val="67896ED4"/>
    <w:rsid w:val="67B3323A"/>
    <w:rsid w:val="67B93B82"/>
    <w:rsid w:val="67CC259C"/>
    <w:rsid w:val="680C0CB3"/>
    <w:rsid w:val="681749C1"/>
    <w:rsid w:val="682E2E3D"/>
    <w:rsid w:val="683567A2"/>
    <w:rsid w:val="68705450"/>
    <w:rsid w:val="68815DFE"/>
    <w:rsid w:val="68894764"/>
    <w:rsid w:val="688E4077"/>
    <w:rsid w:val="689A0DB9"/>
    <w:rsid w:val="68AA16FB"/>
    <w:rsid w:val="68BF628B"/>
    <w:rsid w:val="68D46DEE"/>
    <w:rsid w:val="68D572FD"/>
    <w:rsid w:val="68D807A4"/>
    <w:rsid w:val="68F972F6"/>
    <w:rsid w:val="690031C6"/>
    <w:rsid w:val="6908207B"/>
    <w:rsid w:val="69124CA8"/>
    <w:rsid w:val="69340B79"/>
    <w:rsid w:val="693845EE"/>
    <w:rsid w:val="6939141D"/>
    <w:rsid w:val="69444673"/>
    <w:rsid w:val="69753973"/>
    <w:rsid w:val="698C4A5A"/>
    <w:rsid w:val="69981651"/>
    <w:rsid w:val="699C109C"/>
    <w:rsid w:val="69EB71DC"/>
    <w:rsid w:val="69EF332B"/>
    <w:rsid w:val="6A072332"/>
    <w:rsid w:val="6A4439C0"/>
    <w:rsid w:val="6A4E304F"/>
    <w:rsid w:val="6A5B6FB7"/>
    <w:rsid w:val="6A7F3B86"/>
    <w:rsid w:val="6A85448C"/>
    <w:rsid w:val="6A8C56DA"/>
    <w:rsid w:val="6A915F5F"/>
    <w:rsid w:val="6AC63F9C"/>
    <w:rsid w:val="6AD40467"/>
    <w:rsid w:val="6AE757CE"/>
    <w:rsid w:val="6B3D32AF"/>
    <w:rsid w:val="6B4168A5"/>
    <w:rsid w:val="6B4F6715"/>
    <w:rsid w:val="6B52630A"/>
    <w:rsid w:val="6B660F02"/>
    <w:rsid w:val="6B67326E"/>
    <w:rsid w:val="6B745B64"/>
    <w:rsid w:val="6B761D3E"/>
    <w:rsid w:val="6B767D32"/>
    <w:rsid w:val="6BA77929"/>
    <w:rsid w:val="6BAB4DBC"/>
    <w:rsid w:val="6BBB33F3"/>
    <w:rsid w:val="6BC8789F"/>
    <w:rsid w:val="6BD81C08"/>
    <w:rsid w:val="6BDB75D3"/>
    <w:rsid w:val="6BE853C0"/>
    <w:rsid w:val="6BE956D3"/>
    <w:rsid w:val="6BF126D2"/>
    <w:rsid w:val="6BF447F4"/>
    <w:rsid w:val="6BF72459"/>
    <w:rsid w:val="6C00488C"/>
    <w:rsid w:val="6C27569F"/>
    <w:rsid w:val="6C3867D3"/>
    <w:rsid w:val="6C3F3982"/>
    <w:rsid w:val="6C550A0C"/>
    <w:rsid w:val="6C560CAF"/>
    <w:rsid w:val="6C58430D"/>
    <w:rsid w:val="6C697426"/>
    <w:rsid w:val="6C702411"/>
    <w:rsid w:val="6C7E4F0E"/>
    <w:rsid w:val="6C81675E"/>
    <w:rsid w:val="6C8E0AE9"/>
    <w:rsid w:val="6CC32969"/>
    <w:rsid w:val="6CEF53EE"/>
    <w:rsid w:val="6D2700D5"/>
    <w:rsid w:val="6D282002"/>
    <w:rsid w:val="6D366913"/>
    <w:rsid w:val="6D3671B7"/>
    <w:rsid w:val="6D392725"/>
    <w:rsid w:val="6D473750"/>
    <w:rsid w:val="6D500D6C"/>
    <w:rsid w:val="6D88378A"/>
    <w:rsid w:val="6D9114D9"/>
    <w:rsid w:val="6D9825C8"/>
    <w:rsid w:val="6DA12FED"/>
    <w:rsid w:val="6DD051E7"/>
    <w:rsid w:val="6DDB4B4E"/>
    <w:rsid w:val="6DE067E2"/>
    <w:rsid w:val="6DFC5F78"/>
    <w:rsid w:val="6E1374F8"/>
    <w:rsid w:val="6E510E67"/>
    <w:rsid w:val="6E596016"/>
    <w:rsid w:val="6E5A6BD0"/>
    <w:rsid w:val="6E5D0773"/>
    <w:rsid w:val="6E8421A4"/>
    <w:rsid w:val="6E944F17"/>
    <w:rsid w:val="6E9F340B"/>
    <w:rsid w:val="6EB014AD"/>
    <w:rsid w:val="6EB36DC1"/>
    <w:rsid w:val="6EEE31FF"/>
    <w:rsid w:val="6EF54EEB"/>
    <w:rsid w:val="6EFC61F3"/>
    <w:rsid w:val="6F1A6664"/>
    <w:rsid w:val="6F3D6CFC"/>
    <w:rsid w:val="6F410855"/>
    <w:rsid w:val="6F694FA1"/>
    <w:rsid w:val="6F6A75EB"/>
    <w:rsid w:val="6FA26D85"/>
    <w:rsid w:val="6FA82C4E"/>
    <w:rsid w:val="6FB3461C"/>
    <w:rsid w:val="6FD3332A"/>
    <w:rsid w:val="6FFD45AE"/>
    <w:rsid w:val="70076BE8"/>
    <w:rsid w:val="701D01BA"/>
    <w:rsid w:val="702C23C1"/>
    <w:rsid w:val="70354243"/>
    <w:rsid w:val="70392106"/>
    <w:rsid w:val="704801A2"/>
    <w:rsid w:val="704C75BA"/>
    <w:rsid w:val="70533446"/>
    <w:rsid w:val="706406DD"/>
    <w:rsid w:val="70765DB7"/>
    <w:rsid w:val="709B06D9"/>
    <w:rsid w:val="709C42D2"/>
    <w:rsid w:val="709F5073"/>
    <w:rsid w:val="70AB4A1A"/>
    <w:rsid w:val="70CC12B3"/>
    <w:rsid w:val="70D02DB2"/>
    <w:rsid w:val="70E04B95"/>
    <w:rsid w:val="70E62A30"/>
    <w:rsid w:val="71081A4A"/>
    <w:rsid w:val="710C314C"/>
    <w:rsid w:val="7129483F"/>
    <w:rsid w:val="71470ADE"/>
    <w:rsid w:val="715212B7"/>
    <w:rsid w:val="7157392D"/>
    <w:rsid w:val="717E0039"/>
    <w:rsid w:val="719E35B7"/>
    <w:rsid w:val="71A47151"/>
    <w:rsid w:val="71A62431"/>
    <w:rsid w:val="71B4042F"/>
    <w:rsid w:val="71B57DFF"/>
    <w:rsid w:val="71C0420A"/>
    <w:rsid w:val="71D76C79"/>
    <w:rsid w:val="721D1932"/>
    <w:rsid w:val="721E3F11"/>
    <w:rsid w:val="721E62BD"/>
    <w:rsid w:val="725007FC"/>
    <w:rsid w:val="725A2BF1"/>
    <w:rsid w:val="7260273C"/>
    <w:rsid w:val="72812A24"/>
    <w:rsid w:val="72940CDD"/>
    <w:rsid w:val="72A76461"/>
    <w:rsid w:val="72AB22DD"/>
    <w:rsid w:val="72AB4FB2"/>
    <w:rsid w:val="72AF7718"/>
    <w:rsid w:val="72CF4120"/>
    <w:rsid w:val="72E346C8"/>
    <w:rsid w:val="72E856AD"/>
    <w:rsid w:val="72ED47BB"/>
    <w:rsid w:val="72F061AD"/>
    <w:rsid w:val="731A2D07"/>
    <w:rsid w:val="732225A7"/>
    <w:rsid w:val="732459FB"/>
    <w:rsid w:val="73421F7A"/>
    <w:rsid w:val="73574536"/>
    <w:rsid w:val="735822FD"/>
    <w:rsid w:val="73685746"/>
    <w:rsid w:val="736A259F"/>
    <w:rsid w:val="73702CF6"/>
    <w:rsid w:val="737142A0"/>
    <w:rsid w:val="7393173C"/>
    <w:rsid w:val="739D610B"/>
    <w:rsid w:val="73AA445A"/>
    <w:rsid w:val="73B52718"/>
    <w:rsid w:val="73C80D84"/>
    <w:rsid w:val="73D52FCF"/>
    <w:rsid w:val="73D836E1"/>
    <w:rsid w:val="73E90041"/>
    <w:rsid w:val="73ED07EB"/>
    <w:rsid w:val="73F1702B"/>
    <w:rsid w:val="73F55911"/>
    <w:rsid w:val="7442400C"/>
    <w:rsid w:val="744A1535"/>
    <w:rsid w:val="74561E88"/>
    <w:rsid w:val="74582216"/>
    <w:rsid w:val="74C2753A"/>
    <w:rsid w:val="74FC053B"/>
    <w:rsid w:val="750556C0"/>
    <w:rsid w:val="751A5610"/>
    <w:rsid w:val="752612C1"/>
    <w:rsid w:val="7535559D"/>
    <w:rsid w:val="753F6EDE"/>
    <w:rsid w:val="75C86DBF"/>
    <w:rsid w:val="75CF4594"/>
    <w:rsid w:val="75F12A2A"/>
    <w:rsid w:val="75FA4745"/>
    <w:rsid w:val="760539AD"/>
    <w:rsid w:val="760A11E0"/>
    <w:rsid w:val="76130365"/>
    <w:rsid w:val="76327877"/>
    <w:rsid w:val="76364BD5"/>
    <w:rsid w:val="763D2C34"/>
    <w:rsid w:val="764E3F42"/>
    <w:rsid w:val="766C0F0C"/>
    <w:rsid w:val="766E141F"/>
    <w:rsid w:val="76701BCD"/>
    <w:rsid w:val="7674673D"/>
    <w:rsid w:val="7692428D"/>
    <w:rsid w:val="76987AD3"/>
    <w:rsid w:val="769F13A8"/>
    <w:rsid w:val="76D25E19"/>
    <w:rsid w:val="76D87530"/>
    <w:rsid w:val="77103E58"/>
    <w:rsid w:val="771E660D"/>
    <w:rsid w:val="771E6AE2"/>
    <w:rsid w:val="772C579E"/>
    <w:rsid w:val="77304C77"/>
    <w:rsid w:val="77585F7B"/>
    <w:rsid w:val="775F37AE"/>
    <w:rsid w:val="77666E30"/>
    <w:rsid w:val="7769462C"/>
    <w:rsid w:val="776E4D9F"/>
    <w:rsid w:val="77732DB5"/>
    <w:rsid w:val="77770110"/>
    <w:rsid w:val="77784C58"/>
    <w:rsid w:val="7780103A"/>
    <w:rsid w:val="77886504"/>
    <w:rsid w:val="778B2AB3"/>
    <w:rsid w:val="77A6318B"/>
    <w:rsid w:val="77A745BD"/>
    <w:rsid w:val="77DE0B76"/>
    <w:rsid w:val="77E14B67"/>
    <w:rsid w:val="77E258D5"/>
    <w:rsid w:val="77F04406"/>
    <w:rsid w:val="780325FE"/>
    <w:rsid w:val="781C7A0D"/>
    <w:rsid w:val="78322C70"/>
    <w:rsid w:val="78782D79"/>
    <w:rsid w:val="78904211"/>
    <w:rsid w:val="789F0878"/>
    <w:rsid w:val="78D83818"/>
    <w:rsid w:val="78DB50B6"/>
    <w:rsid w:val="78E31044"/>
    <w:rsid w:val="792F7D7F"/>
    <w:rsid w:val="7936053E"/>
    <w:rsid w:val="796440D1"/>
    <w:rsid w:val="798120EB"/>
    <w:rsid w:val="79870D9A"/>
    <w:rsid w:val="798A10D7"/>
    <w:rsid w:val="799165C8"/>
    <w:rsid w:val="799440C3"/>
    <w:rsid w:val="79AF1920"/>
    <w:rsid w:val="79BF0CDA"/>
    <w:rsid w:val="79D8637F"/>
    <w:rsid w:val="79DA3A26"/>
    <w:rsid w:val="7A12267E"/>
    <w:rsid w:val="7A3E76AA"/>
    <w:rsid w:val="7A5944E4"/>
    <w:rsid w:val="7A59570F"/>
    <w:rsid w:val="7A7414B5"/>
    <w:rsid w:val="7A815037"/>
    <w:rsid w:val="7A8F16C3"/>
    <w:rsid w:val="7AAD2A82"/>
    <w:rsid w:val="7AB75F2D"/>
    <w:rsid w:val="7AB84DBF"/>
    <w:rsid w:val="7AD97CFF"/>
    <w:rsid w:val="7ADD5115"/>
    <w:rsid w:val="7AE2272C"/>
    <w:rsid w:val="7AEA593B"/>
    <w:rsid w:val="7B14665D"/>
    <w:rsid w:val="7B224999"/>
    <w:rsid w:val="7B4E6013"/>
    <w:rsid w:val="7B59093F"/>
    <w:rsid w:val="7B686CFF"/>
    <w:rsid w:val="7B7648D0"/>
    <w:rsid w:val="7B874E3B"/>
    <w:rsid w:val="7B89704B"/>
    <w:rsid w:val="7B900603"/>
    <w:rsid w:val="7B9104CA"/>
    <w:rsid w:val="7B9A0697"/>
    <w:rsid w:val="7BBA0741"/>
    <w:rsid w:val="7BBB2152"/>
    <w:rsid w:val="7BC262E0"/>
    <w:rsid w:val="7BDD485D"/>
    <w:rsid w:val="7C10501E"/>
    <w:rsid w:val="7C1A110D"/>
    <w:rsid w:val="7C1C1F33"/>
    <w:rsid w:val="7C1E4212"/>
    <w:rsid w:val="7C4A3D07"/>
    <w:rsid w:val="7C5A0918"/>
    <w:rsid w:val="7C607091"/>
    <w:rsid w:val="7C725D31"/>
    <w:rsid w:val="7C785652"/>
    <w:rsid w:val="7CA66D27"/>
    <w:rsid w:val="7CAB5F75"/>
    <w:rsid w:val="7CB127EF"/>
    <w:rsid w:val="7CB63E70"/>
    <w:rsid w:val="7CCA063B"/>
    <w:rsid w:val="7CCD11BA"/>
    <w:rsid w:val="7CD13769"/>
    <w:rsid w:val="7CD30048"/>
    <w:rsid w:val="7CD37C5E"/>
    <w:rsid w:val="7CF130FA"/>
    <w:rsid w:val="7CFF0000"/>
    <w:rsid w:val="7D056BA5"/>
    <w:rsid w:val="7D0B4845"/>
    <w:rsid w:val="7D2F100A"/>
    <w:rsid w:val="7D4567B7"/>
    <w:rsid w:val="7D456FA2"/>
    <w:rsid w:val="7D637428"/>
    <w:rsid w:val="7D643A5A"/>
    <w:rsid w:val="7D695389"/>
    <w:rsid w:val="7D6F4586"/>
    <w:rsid w:val="7D816191"/>
    <w:rsid w:val="7D9129B7"/>
    <w:rsid w:val="7D983576"/>
    <w:rsid w:val="7D995817"/>
    <w:rsid w:val="7DA939D5"/>
    <w:rsid w:val="7DB016BA"/>
    <w:rsid w:val="7DCA118F"/>
    <w:rsid w:val="7DED635A"/>
    <w:rsid w:val="7DEE13E8"/>
    <w:rsid w:val="7DF20F7A"/>
    <w:rsid w:val="7DFF35F5"/>
    <w:rsid w:val="7E01376B"/>
    <w:rsid w:val="7E0A2F5A"/>
    <w:rsid w:val="7E194762"/>
    <w:rsid w:val="7E2F0B62"/>
    <w:rsid w:val="7E373FAD"/>
    <w:rsid w:val="7E42088D"/>
    <w:rsid w:val="7E696CC0"/>
    <w:rsid w:val="7E780B47"/>
    <w:rsid w:val="7EAA4C49"/>
    <w:rsid w:val="7EB27F74"/>
    <w:rsid w:val="7EC927C4"/>
    <w:rsid w:val="7ED405DD"/>
    <w:rsid w:val="7ED92CB4"/>
    <w:rsid w:val="7EF42C97"/>
    <w:rsid w:val="7EFB200E"/>
    <w:rsid w:val="7F0416F9"/>
    <w:rsid w:val="7F192045"/>
    <w:rsid w:val="7F204931"/>
    <w:rsid w:val="7F2F7F0A"/>
    <w:rsid w:val="7F7B6CAB"/>
    <w:rsid w:val="7F9113D3"/>
    <w:rsid w:val="7FB64187"/>
    <w:rsid w:val="7FC372CA"/>
    <w:rsid w:val="7FC553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uiPriority="99"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99"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Times New Roman" w:eastAsiaTheme="minorEastAsia"/>
      <w:kern w:val="1"/>
      <w:sz w:val="21"/>
      <w:szCs w:val="22"/>
      <w:lang w:val="en-US" w:eastAsia="zh-CN" w:bidi="ar-SA"/>
    </w:rPr>
  </w:style>
  <w:style w:type="paragraph" w:styleId="3">
    <w:name w:val="heading 1"/>
    <w:basedOn w:val="1"/>
    <w:next w:val="1"/>
    <w:link w:val="59"/>
    <w:qFormat/>
    <w:uiPriority w:val="0"/>
    <w:pPr>
      <w:keepNext/>
      <w:keepLines/>
      <w:spacing w:before="340" w:after="330" w:line="578" w:lineRule="auto"/>
      <w:outlineLvl w:val="0"/>
    </w:pPr>
    <w:rPr>
      <w:b/>
      <w:bCs/>
      <w:sz w:val="44"/>
      <w:szCs w:val="44"/>
    </w:rPr>
  </w:style>
  <w:style w:type="paragraph" w:styleId="4">
    <w:name w:val="heading 2"/>
    <w:basedOn w:val="1"/>
    <w:next w:val="5"/>
    <w:link w:val="61"/>
    <w:qFormat/>
    <w:uiPriority w:val="0"/>
    <w:pPr>
      <w:keepNext/>
      <w:keepLines/>
      <w:spacing w:before="260" w:after="260" w:line="415" w:lineRule="auto"/>
      <w:outlineLvl w:val="1"/>
    </w:pPr>
    <w:rPr>
      <w:rFonts w:ascii="Calibri Light" w:hAnsi="Calibri Light" w:eastAsia="Calibri Light"/>
      <w:b/>
      <w:bCs/>
      <w:sz w:val="32"/>
      <w:szCs w:val="32"/>
    </w:rPr>
  </w:style>
  <w:style w:type="paragraph" w:styleId="6">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7">
    <w:name w:val="heading 4"/>
    <w:basedOn w:val="1"/>
    <w:next w:val="1"/>
    <w:unhideWhenUsed/>
    <w:qFormat/>
    <w:uiPriority w:val="0"/>
    <w:pPr>
      <w:keepNext/>
      <w:keepLines/>
      <w:jc w:val="left"/>
      <w:outlineLvl w:val="3"/>
    </w:pPr>
    <w:rPr>
      <w:rFonts w:hint="eastAsia" w:ascii="Arial" w:hAnsi="Arial" w:eastAsia="宋体"/>
      <w:b/>
      <w:sz w:val="32"/>
    </w:rPr>
  </w:style>
  <w:style w:type="paragraph" w:styleId="8">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Body Text 21"/>
    <w:basedOn w:val="1"/>
    <w:next w:val="1"/>
    <w:qFormat/>
    <w:uiPriority w:val="0"/>
    <w:pPr>
      <w:widowControl/>
      <w:spacing w:after="120" w:line="480" w:lineRule="auto"/>
    </w:pPr>
    <w:rPr>
      <w:rFonts w:ascii="Times New Roman" w:hAnsi="Times New Roman"/>
    </w:rPr>
  </w:style>
  <w:style w:type="paragraph" w:styleId="5">
    <w:name w:val="Normal Indent"/>
    <w:basedOn w:val="1"/>
    <w:link w:val="101"/>
    <w:qFormat/>
    <w:uiPriority w:val="0"/>
    <w:pPr>
      <w:ind w:firstLine="420"/>
    </w:pPr>
  </w:style>
  <w:style w:type="paragraph" w:styleId="9">
    <w:name w:val="Document Map"/>
    <w:basedOn w:val="1"/>
    <w:link w:val="53"/>
    <w:semiHidden/>
    <w:unhideWhenUsed/>
    <w:qFormat/>
    <w:uiPriority w:val="99"/>
    <w:rPr>
      <w:rFonts w:ascii="宋体" w:eastAsia="宋体"/>
      <w:sz w:val="18"/>
      <w:szCs w:val="18"/>
    </w:rPr>
  </w:style>
  <w:style w:type="paragraph" w:styleId="10">
    <w:name w:val="toa heading"/>
    <w:basedOn w:val="1"/>
    <w:next w:val="1"/>
    <w:qFormat/>
    <w:uiPriority w:val="0"/>
    <w:pPr>
      <w:widowControl/>
      <w:jc w:val="left"/>
    </w:pPr>
    <w:rPr>
      <w:rFonts w:hint="eastAsia" w:ascii="Arial" w:hAnsi="Arial" w:eastAsia="宋体" w:cs="Times New Roman"/>
      <w:kern w:val="0"/>
      <w:sz w:val="24"/>
    </w:rPr>
  </w:style>
  <w:style w:type="paragraph" w:styleId="11">
    <w:name w:val="annotation text"/>
    <w:basedOn w:val="1"/>
    <w:link w:val="98"/>
    <w:qFormat/>
    <w:uiPriority w:val="0"/>
    <w:pPr>
      <w:jc w:val="left"/>
    </w:pPr>
    <w:rPr>
      <w:rFonts w:ascii="Times New Roman" w:hAnsi="Times New Roman" w:eastAsia="宋体"/>
      <w:kern w:val="2"/>
      <w:szCs w:val="24"/>
    </w:rPr>
  </w:style>
  <w:style w:type="paragraph" w:styleId="12">
    <w:name w:val="Body Text"/>
    <w:basedOn w:val="1"/>
    <w:next w:val="1"/>
    <w:qFormat/>
    <w:uiPriority w:val="99"/>
    <w:pPr>
      <w:spacing w:after="120"/>
    </w:pPr>
  </w:style>
  <w:style w:type="paragraph" w:styleId="13">
    <w:name w:val="Body Text Indent"/>
    <w:basedOn w:val="1"/>
    <w:next w:val="14"/>
    <w:qFormat/>
    <w:uiPriority w:val="0"/>
    <w:pPr>
      <w:ind w:left="420" w:leftChars="200"/>
    </w:pPr>
  </w:style>
  <w:style w:type="paragraph" w:styleId="14">
    <w:name w:val="envelope return"/>
    <w:basedOn w:val="1"/>
    <w:qFormat/>
    <w:uiPriority w:val="0"/>
    <w:pPr>
      <w:snapToGrid w:val="0"/>
    </w:pPr>
    <w:rPr>
      <w:rFonts w:ascii="Arial" w:hAnsi="Arial"/>
    </w:rPr>
  </w:style>
  <w:style w:type="paragraph" w:styleId="15">
    <w:name w:val="Plain Text"/>
    <w:basedOn w:val="1"/>
    <w:link w:val="65"/>
    <w:qFormat/>
    <w:uiPriority w:val="0"/>
    <w:rPr>
      <w:rFonts w:ascii="宋体" w:hAnsi="Courier New" w:eastAsia="宋体"/>
      <w:kern w:val="2"/>
      <w:szCs w:val="20"/>
    </w:rPr>
  </w:style>
  <w:style w:type="paragraph" w:styleId="16">
    <w:name w:val="Date"/>
    <w:basedOn w:val="1"/>
    <w:next w:val="1"/>
    <w:qFormat/>
    <w:uiPriority w:val="0"/>
    <w:pPr>
      <w:ind w:left="100" w:leftChars="2500"/>
    </w:pPr>
  </w:style>
  <w:style w:type="paragraph" w:styleId="17">
    <w:name w:val="Balloon Text"/>
    <w:basedOn w:val="1"/>
    <w:link w:val="52"/>
    <w:semiHidden/>
    <w:unhideWhenUsed/>
    <w:qFormat/>
    <w:uiPriority w:val="99"/>
    <w:rPr>
      <w:sz w:val="18"/>
      <w:szCs w:val="18"/>
    </w:rPr>
  </w:style>
  <w:style w:type="paragraph" w:styleId="18">
    <w:name w:val="footer"/>
    <w:basedOn w:val="1"/>
    <w:link w:val="66"/>
    <w:qFormat/>
    <w:uiPriority w:val="99"/>
    <w:pPr>
      <w:tabs>
        <w:tab w:val="center" w:pos="4153"/>
        <w:tab w:val="right" w:pos="8306"/>
      </w:tabs>
    </w:pPr>
    <w:rPr>
      <w:sz w:val="18"/>
      <w:szCs w:val="18"/>
    </w:rPr>
  </w:style>
  <w:style w:type="paragraph" w:styleId="19">
    <w:name w:val="header"/>
    <w:basedOn w:val="1"/>
    <w:link w:val="64"/>
    <w:qFormat/>
    <w:uiPriority w:val="0"/>
    <w:pPr>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sz w:val="18"/>
      <w:szCs w:val="18"/>
    </w:rPr>
  </w:style>
  <w:style w:type="paragraph" w:styleId="20">
    <w:name w:val="toc 1"/>
    <w:basedOn w:val="1"/>
    <w:next w:val="1"/>
    <w:unhideWhenUsed/>
    <w:qFormat/>
    <w:uiPriority w:val="39"/>
  </w:style>
  <w:style w:type="paragraph" w:styleId="21">
    <w:name w:val="toc 2"/>
    <w:basedOn w:val="1"/>
    <w:next w:val="1"/>
    <w:unhideWhenUsed/>
    <w:qFormat/>
    <w:uiPriority w:val="39"/>
    <w:pPr>
      <w:ind w:left="420" w:leftChars="200"/>
    </w:pPr>
  </w:style>
  <w:style w:type="paragraph" w:styleId="22">
    <w:name w:val="Body Text 2"/>
    <w:basedOn w:val="1"/>
    <w:unhideWhenUsed/>
    <w:qFormat/>
    <w:uiPriority w:val="99"/>
    <w:rPr>
      <w:sz w:val="28"/>
    </w:rPr>
  </w:style>
  <w:style w:type="paragraph" w:styleId="23">
    <w:name w:val="Normal (Web)"/>
    <w:basedOn w:val="1"/>
    <w:qFormat/>
    <w:uiPriority w:val="99"/>
    <w:pPr>
      <w:spacing w:beforeAutospacing="1" w:afterAutospacing="1"/>
      <w:jc w:val="left"/>
    </w:pPr>
    <w:rPr>
      <w:kern w:val="0"/>
      <w:sz w:val="24"/>
    </w:rPr>
  </w:style>
  <w:style w:type="paragraph" w:styleId="24">
    <w:name w:val="Body Text First Indent"/>
    <w:basedOn w:val="12"/>
    <w:next w:val="25"/>
    <w:qFormat/>
    <w:uiPriority w:val="0"/>
    <w:pPr>
      <w:ind w:firstLine="420" w:firstLineChars="100"/>
    </w:pPr>
    <w:rPr>
      <w:rFonts w:eastAsia="仿宋_GB2312"/>
      <w:sz w:val="28"/>
    </w:rPr>
  </w:style>
  <w:style w:type="paragraph" w:styleId="25">
    <w:name w:val="Body Text First Indent 2"/>
    <w:basedOn w:val="13"/>
    <w:next w:val="24"/>
    <w:link w:val="103"/>
    <w:qFormat/>
    <w:uiPriority w:val="0"/>
    <w:pPr>
      <w:ind w:firstLine="420" w:firstLineChars="200"/>
    </w:pPr>
  </w:style>
  <w:style w:type="table" w:styleId="27">
    <w:name w:val="Table Grid"/>
    <w:basedOn w:val="2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bCs/>
    </w:rPr>
  </w:style>
  <w:style w:type="character" w:styleId="30">
    <w:name w:val="page number"/>
    <w:qFormat/>
    <w:uiPriority w:val="0"/>
  </w:style>
  <w:style w:type="character" w:styleId="31">
    <w:name w:val="FollowedHyperlink"/>
    <w:basedOn w:val="28"/>
    <w:semiHidden/>
    <w:unhideWhenUsed/>
    <w:qFormat/>
    <w:uiPriority w:val="99"/>
    <w:rPr>
      <w:color w:val="800080"/>
      <w:u w:val="none"/>
    </w:rPr>
  </w:style>
  <w:style w:type="character" w:styleId="32">
    <w:name w:val="Emphasis"/>
    <w:basedOn w:val="28"/>
    <w:qFormat/>
    <w:uiPriority w:val="99"/>
  </w:style>
  <w:style w:type="character" w:styleId="33">
    <w:name w:val="HTML Definition"/>
    <w:basedOn w:val="28"/>
    <w:semiHidden/>
    <w:unhideWhenUsed/>
    <w:qFormat/>
    <w:uiPriority w:val="99"/>
    <w:rPr>
      <w:i/>
      <w:iCs/>
    </w:rPr>
  </w:style>
  <w:style w:type="character" w:styleId="34">
    <w:name w:val="HTML Typewriter"/>
    <w:basedOn w:val="28"/>
    <w:semiHidden/>
    <w:unhideWhenUsed/>
    <w:qFormat/>
    <w:uiPriority w:val="99"/>
    <w:rPr>
      <w:rFonts w:ascii="monospace" w:hAnsi="monospace" w:eastAsia="monospace" w:cs="monospace"/>
      <w:sz w:val="20"/>
    </w:rPr>
  </w:style>
  <w:style w:type="character" w:styleId="35">
    <w:name w:val="HTML Acronym"/>
    <w:basedOn w:val="28"/>
    <w:semiHidden/>
    <w:unhideWhenUsed/>
    <w:qFormat/>
    <w:uiPriority w:val="99"/>
  </w:style>
  <w:style w:type="character" w:styleId="36">
    <w:name w:val="HTML Variable"/>
    <w:basedOn w:val="28"/>
    <w:semiHidden/>
    <w:unhideWhenUsed/>
    <w:qFormat/>
    <w:uiPriority w:val="99"/>
  </w:style>
  <w:style w:type="character" w:styleId="37">
    <w:name w:val="Hyperlink"/>
    <w:basedOn w:val="28"/>
    <w:unhideWhenUsed/>
    <w:qFormat/>
    <w:uiPriority w:val="99"/>
    <w:rPr>
      <w:color w:val="0000FF" w:themeColor="hyperlink"/>
      <w:u w:val="single"/>
      <w14:textFill>
        <w14:solidFill>
          <w14:schemeClr w14:val="hlink"/>
        </w14:solidFill>
      </w14:textFill>
    </w:rPr>
  </w:style>
  <w:style w:type="character" w:styleId="38">
    <w:name w:val="HTML Code"/>
    <w:basedOn w:val="28"/>
    <w:semiHidden/>
    <w:unhideWhenUsed/>
    <w:qFormat/>
    <w:uiPriority w:val="99"/>
    <w:rPr>
      <w:rFonts w:hint="default" w:ascii="Consolas" w:hAnsi="Consolas" w:eastAsia="Consolas" w:cs="Consolas"/>
      <w:color w:val="C7254E"/>
      <w:sz w:val="21"/>
      <w:szCs w:val="21"/>
      <w:shd w:val="clear" w:color="auto" w:fill="F9F2F4"/>
    </w:rPr>
  </w:style>
  <w:style w:type="character" w:styleId="39">
    <w:name w:val="annotation reference"/>
    <w:qFormat/>
    <w:uiPriority w:val="0"/>
    <w:rPr>
      <w:sz w:val="21"/>
      <w:szCs w:val="21"/>
    </w:rPr>
  </w:style>
  <w:style w:type="character" w:styleId="40">
    <w:name w:val="HTML Cite"/>
    <w:basedOn w:val="28"/>
    <w:semiHidden/>
    <w:unhideWhenUsed/>
    <w:qFormat/>
    <w:uiPriority w:val="99"/>
  </w:style>
  <w:style w:type="character" w:styleId="41">
    <w:name w:val="HTML Keyboard"/>
    <w:basedOn w:val="28"/>
    <w:semiHidden/>
    <w:unhideWhenUsed/>
    <w:qFormat/>
    <w:uiPriority w:val="99"/>
    <w:rPr>
      <w:rFonts w:ascii="Consolas" w:hAnsi="Consolas" w:eastAsia="Consolas" w:cs="Consolas"/>
      <w:color w:val="FFFFFF"/>
      <w:sz w:val="21"/>
      <w:szCs w:val="21"/>
      <w:shd w:val="clear" w:color="auto" w:fill="333333"/>
    </w:rPr>
  </w:style>
  <w:style w:type="character" w:styleId="42">
    <w:name w:val="HTML Sample"/>
    <w:basedOn w:val="28"/>
    <w:semiHidden/>
    <w:unhideWhenUsed/>
    <w:qFormat/>
    <w:uiPriority w:val="99"/>
    <w:rPr>
      <w:rFonts w:hint="default" w:ascii="Consolas" w:hAnsi="Consolas" w:eastAsia="Consolas" w:cs="Consolas"/>
      <w:sz w:val="21"/>
      <w:szCs w:val="21"/>
    </w:rPr>
  </w:style>
  <w:style w:type="paragraph" w:customStyle="1" w:styleId="43">
    <w:name w:val="列出段落1"/>
    <w:basedOn w:val="1"/>
    <w:qFormat/>
    <w:uiPriority w:val="34"/>
    <w:pPr>
      <w:ind w:firstLine="420" w:firstLineChars="200"/>
    </w:pPr>
    <w:rPr>
      <w:rFonts w:ascii="Times New Roman" w:hAnsi="Times New Roman" w:eastAsia="宋体"/>
      <w:szCs w:val="21"/>
    </w:rPr>
  </w:style>
  <w:style w:type="paragraph" w:customStyle="1" w:styleId="4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批注文字1"/>
    <w:qFormat/>
    <w:uiPriority w:val="0"/>
    <w:pPr>
      <w:widowControl w:val="0"/>
    </w:pPr>
    <w:rPr>
      <w:rFonts w:ascii="Calibri" w:hAnsi="Calibri" w:cs="Times New Roman" w:eastAsiaTheme="minorEastAsia"/>
      <w:kern w:val="1"/>
      <w:sz w:val="21"/>
      <w:szCs w:val="22"/>
      <w:lang w:val="en-US" w:eastAsia="zh-CN" w:bidi="ar-SA"/>
    </w:rPr>
  </w:style>
  <w:style w:type="paragraph" w:customStyle="1" w:styleId="46">
    <w:name w:val="WPSOffice手动目录 1"/>
    <w:qFormat/>
    <w:uiPriority w:val="0"/>
    <w:rPr>
      <w:rFonts w:ascii="Calibri" w:hAnsi="Calibri" w:cs="Times New Roman" w:eastAsiaTheme="minorEastAsia"/>
      <w:lang w:val="en-US" w:eastAsia="zh-CN" w:bidi="ar-SA"/>
    </w:rPr>
  </w:style>
  <w:style w:type="paragraph" w:styleId="47">
    <w:name w:val="List Paragraph"/>
    <w:basedOn w:val="1"/>
    <w:qFormat/>
    <w:uiPriority w:val="99"/>
    <w:pPr>
      <w:ind w:firstLine="420"/>
    </w:pPr>
  </w:style>
  <w:style w:type="paragraph" w:customStyle="1" w:styleId="48">
    <w:name w:val="p15"/>
    <w:link w:val="54"/>
    <w:qFormat/>
    <w:uiPriority w:val="99"/>
    <w:pPr>
      <w:jc w:val="both"/>
    </w:pPr>
    <w:rPr>
      <w:rFonts w:ascii="Calibri" w:hAnsi="Calibri" w:cs="Times New Roman" w:eastAsiaTheme="minorEastAsia"/>
      <w:kern w:val="1"/>
      <w:sz w:val="21"/>
      <w:szCs w:val="21"/>
      <w:lang w:val="en-US" w:eastAsia="zh-CN" w:bidi="ar-SA"/>
    </w:rPr>
  </w:style>
  <w:style w:type="paragraph" w:customStyle="1" w:styleId="49">
    <w:name w:val="09正文_wh"/>
    <w:qFormat/>
    <w:uiPriority w:val="0"/>
    <w:pPr>
      <w:spacing w:line="300" w:lineRule="auto"/>
      <w:ind w:firstLine="200"/>
      <w:jc w:val="both"/>
    </w:pPr>
    <w:rPr>
      <w:rFonts w:ascii="Times New Roman" w:hAnsi="Times New Roman" w:eastAsia="宋体" w:cs="Times New Roman"/>
      <w:sz w:val="28"/>
      <w:szCs w:val="22"/>
      <w:lang w:val="en-US" w:eastAsia="zh-CN" w:bidi="ar-SA"/>
    </w:rPr>
  </w:style>
  <w:style w:type="character" w:customStyle="1" w:styleId="50">
    <w:name w:val="font11"/>
    <w:qFormat/>
    <w:uiPriority w:val="0"/>
    <w:rPr>
      <w:rFonts w:hint="eastAsia" w:ascii="微软雅黑" w:hAnsi="微软雅黑" w:eastAsia="微软雅黑" w:cs="微软雅黑"/>
      <w:color w:val="000000"/>
      <w:sz w:val="20"/>
      <w:szCs w:val="20"/>
      <w:u w:val="none"/>
    </w:rPr>
  </w:style>
  <w:style w:type="paragraph" w:customStyle="1" w:styleId="51">
    <w:name w:val="Char1 Char Char Char"/>
    <w:basedOn w:val="1"/>
    <w:qFormat/>
    <w:uiPriority w:val="0"/>
    <w:rPr>
      <w:rFonts w:ascii="Tahoma" w:hAnsi="Tahoma" w:eastAsia="宋体"/>
      <w:kern w:val="2"/>
      <w:sz w:val="30"/>
      <w:szCs w:val="30"/>
    </w:rPr>
  </w:style>
  <w:style w:type="character" w:customStyle="1" w:styleId="52">
    <w:name w:val="批注框文本 字符"/>
    <w:basedOn w:val="28"/>
    <w:link w:val="17"/>
    <w:semiHidden/>
    <w:qFormat/>
    <w:uiPriority w:val="99"/>
    <w:rPr>
      <w:rFonts w:eastAsiaTheme="minorEastAsia"/>
      <w:kern w:val="1"/>
      <w:sz w:val="18"/>
      <w:szCs w:val="18"/>
    </w:rPr>
  </w:style>
  <w:style w:type="character" w:customStyle="1" w:styleId="53">
    <w:name w:val="文档结构图 字符"/>
    <w:basedOn w:val="28"/>
    <w:link w:val="9"/>
    <w:semiHidden/>
    <w:qFormat/>
    <w:uiPriority w:val="99"/>
    <w:rPr>
      <w:rFonts w:ascii="宋体"/>
      <w:kern w:val="1"/>
      <w:sz w:val="18"/>
      <w:szCs w:val="18"/>
    </w:rPr>
  </w:style>
  <w:style w:type="character" w:customStyle="1" w:styleId="54">
    <w:name w:val="p15 Char"/>
    <w:link w:val="48"/>
    <w:qFormat/>
    <w:uiPriority w:val="99"/>
    <w:rPr>
      <w:rFonts w:eastAsiaTheme="minorEastAsia"/>
      <w:kern w:val="1"/>
      <w:sz w:val="21"/>
      <w:szCs w:val="21"/>
    </w:rPr>
  </w:style>
  <w:style w:type="paragraph" w:customStyle="1" w:styleId="55">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56">
    <w:name w:val="列出段落2"/>
    <w:basedOn w:val="1"/>
    <w:qFormat/>
    <w:uiPriority w:val="99"/>
    <w:pPr>
      <w:ind w:firstLine="420" w:firstLineChars="200"/>
    </w:pPr>
  </w:style>
  <w:style w:type="paragraph" w:customStyle="1" w:styleId="57">
    <w:name w:val="正文 New"/>
    <w:qFormat/>
    <w:uiPriority w:val="99"/>
    <w:pPr>
      <w:widowControl w:val="0"/>
      <w:jc w:val="both"/>
    </w:pPr>
    <w:rPr>
      <w:rFonts w:ascii="Calibri" w:hAnsi="Calibri" w:eastAsia="微软雅黑" w:cs="Times New Roman"/>
      <w:lang w:val="en-US" w:eastAsia="zh-CN" w:bidi="ar-SA"/>
    </w:rPr>
  </w:style>
  <w:style w:type="paragraph" w:customStyle="1" w:styleId="58">
    <w:name w:val="title1"/>
    <w:basedOn w:val="1"/>
    <w:qFormat/>
    <w:uiPriority w:val="0"/>
    <w:pPr>
      <w:spacing w:before="100"/>
      <w:jc w:val="left"/>
    </w:pPr>
    <w:rPr>
      <w:b/>
      <w:kern w:val="0"/>
      <w:sz w:val="15"/>
      <w:szCs w:val="15"/>
    </w:rPr>
  </w:style>
  <w:style w:type="character" w:customStyle="1" w:styleId="59">
    <w:name w:val="标题 1 字符"/>
    <w:basedOn w:val="28"/>
    <w:link w:val="3"/>
    <w:qFormat/>
    <w:uiPriority w:val="0"/>
    <w:rPr>
      <w:rFonts w:ascii="Calibri" w:hAnsi="Calibri" w:eastAsiaTheme="minorEastAsia"/>
      <w:b/>
      <w:bCs/>
      <w:kern w:val="1"/>
      <w:sz w:val="44"/>
      <w:szCs w:val="44"/>
    </w:rPr>
  </w:style>
  <w:style w:type="paragraph" w:customStyle="1" w:styleId="60">
    <w:name w:val="标准"/>
    <w:basedOn w:val="1"/>
    <w:qFormat/>
    <w:uiPriority w:val="0"/>
    <w:pPr>
      <w:spacing w:line="360" w:lineRule="auto"/>
      <w:ind w:firstLine="200" w:firstLineChars="200"/>
    </w:pPr>
    <w:rPr>
      <w:rFonts w:ascii="Times New Roman" w:hAnsi="Times New Roman" w:eastAsia="宋体" w:cs="宋体"/>
      <w:kern w:val="2"/>
      <w:szCs w:val="20"/>
    </w:rPr>
  </w:style>
  <w:style w:type="character" w:customStyle="1" w:styleId="61">
    <w:name w:val="标题 2 字符"/>
    <w:link w:val="4"/>
    <w:qFormat/>
    <w:uiPriority w:val="0"/>
    <w:rPr>
      <w:rFonts w:ascii="Arial" w:hAnsi="Arial" w:eastAsia="黑体" w:cs="Times New Roman"/>
      <w:b/>
      <w:bCs/>
      <w:kern w:val="2"/>
      <w:sz w:val="32"/>
      <w:szCs w:val="32"/>
    </w:rPr>
  </w:style>
  <w:style w:type="character" w:customStyle="1" w:styleId="62">
    <w:name w:val="纯文本 Char"/>
    <w:qFormat/>
    <w:uiPriority w:val="0"/>
    <w:rPr>
      <w:rFonts w:ascii="宋体" w:hAnsi="Courier New" w:eastAsia="宋体" w:cs="Times New Roman"/>
      <w:kern w:val="2"/>
      <w:sz w:val="21"/>
    </w:rPr>
  </w:style>
  <w:style w:type="character" w:customStyle="1" w:styleId="63">
    <w:name w:val="apple-converted-space"/>
    <w:basedOn w:val="28"/>
    <w:qFormat/>
    <w:uiPriority w:val="0"/>
    <w:rPr>
      <w:rFonts w:ascii="Calibri" w:hAnsi="Calibri" w:eastAsia="宋体" w:cs="Times New Roman"/>
    </w:rPr>
  </w:style>
  <w:style w:type="character" w:customStyle="1" w:styleId="64">
    <w:name w:val="页眉 字符"/>
    <w:link w:val="19"/>
    <w:qFormat/>
    <w:uiPriority w:val="0"/>
    <w:rPr>
      <w:rFonts w:ascii="Times New Roman" w:hAnsi="Times New Roman" w:eastAsia="宋体" w:cs="Times New Roman"/>
      <w:sz w:val="18"/>
      <w:szCs w:val="18"/>
    </w:rPr>
  </w:style>
  <w:style w:type="character" w:customStyle="1" w:styleId="65">
    <w:name w:val="纯文本 字符"/>
    <w:link w:val="15"/>
    <w:semiHidden/>
    <w:qFormat/>
    <w:uiPriority w:val="99"/>
    <w:rPr>
      <w:rFonts w:ascii="宋体" w:hAnsi="Courier New" w:eastAsia="宋体" w:cs="Courier New"/>
      <w:kern w:val="2"/>
      <w:sz w:val="21"/>
      <w:szCs w:val="21"/>
    </w:rPr>
  </w:style>
  <w:style w:type="character" w:customStyle="1" w:styleId="66">
    <w:name w:val="页脚 字符"/>
    <w:link w:val="18"/>
    <w:qFormat/>
    <w:uiPriority w:val="99"/>
    <w:rPr>
      <w:rFonts w:ascii="Times New Roman" w:hAnsi="Times New Roman" w:eastAsia="宋体" w:cs="Times New Roman"/>
      <w:sz w:val="18"/>
      <w:szCs w:val="18"/>
    </w:rPr>
  </w:style>
  <w:style w:type="character" w:customStyle="1" w:styleId="67">
    <w:name w:val="number"/>
    <w:basedOn w:val="28"/>
    <w:qFormat/>
    <w:uiPriority w:val="0"/>
    <w:rPr>
      <w:color w:val="FF8833"/>
      <w:sz w:val="18"/>
      <w:szCs w:val="18"/>
    </w:rPr>
  </w:style>
  <w:style w:type="character" w:customStyle="1" w:styleId="68">
    <w:name w:val="span-long"/>
    <w:basedOn w:val="28"/>
    <w:qFormat/>
    <w:uiPriority w:val="0"/>
  </w:style>
  <w:style w:type="character" w:customStyle="1" w:styleId="69">
    <w:name w:val="button"/>
    <w:basedOn w:val="28"/>
    <w:qFormat/>
    <w:uiPriority w:val="0"/>
  </w:style>
  <w:style w:type="character" w:customStyle="1" w:styleId="70">
    <w:name w:val="phone"/>
    <w:basedOn w:val="28"/>
    <w:qFormat/>
    <w:uiPriority w:val="0"/>
    <w:rPr>
      <w:color w:val="FF8833"/>
      <w:sz w:val="18"/>
      <w:szCs w:val="18"/>
    </w:rPr>
  </w:style>
  <w:style w:type="character" w:customStyle="1" w:styleId="71">
    <w:name w:val="stclosebtn"/>
    <w:basedOn w:val="28"/>
    <w:qFormat/>
    <w:uiPriority w:val="0"/>
  </w:style>
  <w:style w:type="character" w:customStyle="1" w:styleId="72">
    <w:name w:val="proollist"/>
    <w:basedOn w:val="28"/>
    <w:qFormat/>
    <w:uiPriority w:val="0"/>
  </w:style>
  <w:style w:type="character" w:customStyle="1" w:styleId="73">
    <w:name w:val="input-direction"/>
    <w:basedOn w:val="28"/>
    <w:qFormat/>
    <w:uiPriority w:val="0"/>
    <w:rPr>
      <w:color w:val="FF6600"/>
    </w:rPr>
  </w:style>
  <w:style w:type="character" w:customStyle="1" w:styleId="74">
    <w:name w:val="beforeinfotext"/>
    <w:basedOn w:val="28"/>
    <w:qFormat/>
    <w:uiPriority w:val="0"/>
    <w:rPr>
      <w:color w:val="666666"/>
    </w:rPr>
  </w:style>
  <w:style w:type="character" w:customStyle="1" w:styleId="75">
    <w:name w:val="active6"/>
    <w:basedOn w:val="28"/>
    <w:qFormat/>
    <w:uiPriority w:val="0"/>
    <w:rPr>
      <w:color w:val="00FF00"/>
      <w:shd w:val="clear" w:color="auto" w:fill="000000"/>
    </w:rPr>
  </w:style>
  <w:style w:type="character" w:customStyle="1" w:styleId="76">
    <w:name w:val="hilite5"/>
    <w:basedOn w:val="28"/>
    <w:qFormat/>
    <w:uiPriority w:val="0"/>
    <w:rPr>
      <w:color w:val="FFFFFF"/>
      <w:shd w:val="clear" w:color="auto" w:fill="666677"/>
    </w:rPr>
  </w:style>
  <w:style w:type="character" w:customStyle="1" w:styleId="77">
    <w:name w:val="tmpztreemove_arrow"/>
    <w:basedOn w:val="28"/>
    <w:qFormat/>
    <w:uiPriority w:val="0"/>
  </w:style>
  <w:style w:type="character" w:customStyle="1" w:styleId="78">
    <w:name w:val="hilite6"/>
    <w:basedOn w:val="28"/>
    <w:qFormat/>
    <w:uiPriority w:val="0"/>
    <w:rPr>
      <w:color w:val="FFFFFF"/>
      <w:shd w:val="clear" w:color="auto" w:fill="666677"/>
    </w:rPr>
  </w:style>
  <w:style w:type="character" w:customStyle="1" w:styleId="79">
    <w:name w:val="active4"/>
    <w:basedOn w:val="28"/>
    <w:qFormat/>
    <w:uiPriority w:val="0"/>
    <w:rPr>
      <w:color w:val="00FF00"/>
      <w:shd w:val="clear" w:color="auto" w:fill="000000"/>
    </w:rPr>
  </w:style>
  <w:style w:type="character" w:customStyle="1" w:styleId="80">
    <w:name w:val="button2"/>
    <w:basedOn w:val="28"/>
    <w:qFormat/>
    <w:uiPriority w:val="0"/>
  </w:style>
  <w:style w:type="character" w:customStyle="1" w:styleId="81">
    <w:name w:val="hilite"/>
    <w:basedOn w:val="28"/>
    <w:qFormat/>
    <w:uiPriority w:val="0"/>
    <w:rPr>
      <w:color w:val="FFFFFF"/>
      <w:shd w:val="clear" w:color="auto" w:fill="666677"/>
    </w:rPr>
  </w:style>
  <w:style w:type="character" w:customStyle="1" w:styleId="82">
    <w:name w:val="active"/>
    <w:basedOn w:val="28"/>
    <w:qFormat/>
    <w:uiPriority w:val="0"/>
    <w:rPr>
      <w:color w:val="00FF00"/>
      <w:shd w:val="clear" w:color="auto" w:fill="000000"/>
    </w:rPr>
  </w:style>
  <w:style w:type="paragraph" w:customStyle="1" w:styleId="83">
    <w:name w:val="title11"/>
    <w:basedOn w:val="1"/>
    <w:qFormat/>
    <w:uiPriority w:val="0"/>
    <w:pPr>
      <w:spacing w:before="150"/>
      <w:jc w:val="left"/>
    </w:pPr>
    <w:rPr>
      <w:b/>
      <w:bCs/>
      <w:kern w:val="0"/>
      <w:sz w:val="22"/>
    </w:rPr>
  </w:style>
  <w:style w:type="paragraph" w:customStyle="1" w:styleId="84">
    <w:name w:val="title13"/>
    <w:basedOn w:val="1"/>
    <w:qFormat/>
    <w:uiPriority w:val="0"/>
    <w:pPr>
      <w:spacing w:before="150"/>
      <w:jc w:val="left"/>
    </w:pPr>
    <w:rPr>
      <w:b/>
      <w:bCs/>
      <w:kern w:val="0"/>
      <w:sz w:val="22"/>
    </w:rPr>
  </w:style>
  <w:style w:type="character" w:customStyle="1" w:styleId="85">
    <w:name w:val="hour_am"/>
    <w:basedOn w:val="28"/>
    <w:qFormat/>
    <w:uiPriority w:val="0"/>
  </w:style>
  <w:style w:type="character" w:customStyle="1" w:styleId="86">
    <w:name w:val="hour_pm"/>
    <w:basedOn w:val="28"/>
    <w:qFormat/>
    <w:uiPriority w:val="0"/>
  </w:style>
  <w:style w:type="character" w:customStyle="1" w:styleId="87">
    <w:name w:val="hover3"/>
    <w:basedOn w:val="28"/>
    <w:qFormat/>
    <w:uiPriority w:val="0"/>
    <w:rPr>
      <w:shd w:val="clear" w:color="auto" w:fill="EEEEEE"/>
    </w:rPr>
  </w:style>
  <w:style w:type="character" w:customStyle="1" w:styleId="88">
    <w:name w:val="old"/>
    <w:basedOn w:val="28"/>
    <w:qFormat/>
    <w:uiPriority w:val="0"/>
    <w:rPr>
      <w:color w:val="999999"/>
    </w:rPr>
  </w:style>
  <w:style w:type="character" w:customStyle="1" w:styleId="89">
    <w:name w:val="glyphicon4"/>
    <w:basedOn w:val="28"/>
    <w:qFormat/>
    <w:uiPriority w:val="0"/>
  </w:style>
  <w:style w:type="character" w:customStyle="1" w:styleId="90">
    <w:name w:val="indent"/>
    <w:basedOn w:val="28"/>
    <w:qFormat/>
    <w:uiPriority w:val="0"/>
  </w:style>
  <w:style w:type="character" w:customStyle="1" w:styleId="91">
    <w:name w:val="font71"/>
    <w:basedOn w:val="28"/>
    <w:qFormat/>
    <w:uiPriority w:val="0"/>
    <w:rPr>
      <w:rFonts w:hint="eastAsia" w:ascii="宋体" w:hAnsi="宋体" w:eastAsia="宋体" w:cs="宋体"/>
      <w:color w:val="000000"/>
      <w:sz w:val="20"/>
      <w:szCs w:val="20"/>
      <w:u w:val="single"/>
    </w:rPr>
  </w:style>
  <w:style w:type="character" w:customStyle="1" w:styleId="92">
    <w:name w:val="font01"/>
    <w:basedOn w:val="28"/>
    <w:qFormat/>
    <w:uiPriority w:val="0"/>
    <w:rPr>
      <w:rFonts w:ascii="Arial" w:hAnsi="Arial" w:cs="Arial"/>
      <w:color w:val="000000"/>
      <w:sz w:val="20"/>
      <w:szCs w:val="20"/>
      <w:u w:val="none"/>
    </w:rPr>
  </w:style>
  <w:style w:type="character" w:customStyle="1" w:styleId="93">
    <w:name w:val="font61"/>
    <w:basedOn w:val="28"/>
    <w:qFormat/>
    <w:uiPriority w:val="0"/>
    <w:rPr>
      <w:rFonts w:hint="eastAsia" w:ascii="宋体" w:hAnsi="宋体" w:eastAsia="宋体" w:cs="宋体"/>
      <w:color w:val="000000"/>
      <w:sz w:val="20"/>
      <w:szCs w:val="20"/>
      <w:u w:val="single"/>
    </w:rPr>
  </w:style>
  <w:style w:type="character" w:customStyle="1" w:styleId="94">
    <w:name w:val="font41"/>
    <w:basedOn w:val="28"/>
    <w:qFormat/>
    <w:uiPriority w:val="0"/>
    <w:rPr>
      <w:rFonts w:hint="eastAsia" w:ascii="宋体" w:hAnsi="宋体" w:eastAsia="宋体" w:cs="宋体"/>
      <w:color w:val="000000"/>
      <w:sz w:val="20"/>
      <w:szCs w:val="20"/>
      <w:u w:val="single"/>
    </w:rPr>
  </w:style>
  <w:style w:type="character" w:customStyle="1" w:styleId="95">
    <w:name w:val="font51"/>
    <w:basedOn w:val="28"/>
    <w:qFormat/>
    <w:uiPriority w:val="0"/>
    <w:rPr>
      <w:rFonts w:hint="eastAsia" w:ascii="宋体" w:hAnsi="宋体" w:eastAsia="宋体" w:cs="宋体"/>
      <w:color w:val="000000"/>
      <w:sz w:val="20"/>
      <w:szCs w:val="20"/>
      <w:u w:val="single"/>
    </w:rPr>
  </w:style>
  <w:style w:type="character" w:customStyle="1" w:styleId="96">
    <w:name w:val="font21"/>
    <w:basedOn w:val="28"/>
    <w:qFormat/>
    <w:uiPriority w:val="0"/>
    <w:rPr>
      <w:rFonts w:hint="default" w:ascii="Calibri" w:hAnsi="Calibri" w:cs="Calibri"/>
      <w:color w:val="000000"/>
      <w:sz w:val="22"/>
      <w:szCs w:val="22"/>
      <w:u w:val="none"/>
    </w:rPr>
  </w:style>
  <w:style w:type="table" w:customStyle="1" w:styleId="97">
    <w:name w:val="Table Normal"/>
    <w:semiHidden/>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character" w:customStyle="1" w:styleId="98">
    <w:name w:val="批注文字 字符"/>
    <w:link w:val="11"/>
    <w:qFormat/>
    <w:uiPriority w:val="0"/>
    <w:rPr>
      <w:kern w:val="2"/>
      <w:sz w:val="21"/>
      <w:szCs w:val="24"/>
    </w:rPr>
  </w:style>
  <w:style w:type="character" w:customStyle="1" w:styleId="99">
    <w:name w:val="批注文字 字符1"/>
    <w:basedOn w:val="28"/>
    <w:semiHidden/>
    <w:qFormat/>
    <w:uiPriority w:val="99"/>
    <w:rPr>
      <w:rFonts w:ascii="Calibri" w:hAnsi="Calibri" w:eastAsiaTheme="minorEastAsia"/>
      <w:kern w:val="1"/>
      <w:sz w:val="21"/>
      <w:szCs w:val="22"/>
    </w:rPr>
  </w:style>
  <w:style w:type="paragraph" w:customStyle="1" w:styleId="100">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101">
    <w:name w:val="正文缩进 字符"/>
    <w:link w:val="5"/>
    <w:qFormat/>
    <w:uiPriority w:val="0"/>
    <w:rPr>
      <w:rFonts w:ascii="Calibri" w:hAnsi="Calibri" w:eastAsiaTheme="minorEastAsia"/>
      <w:kern w:val="1"/>
      <w:sz w:val="21"/>
      <w:szCs w:val="22"/>
    </w:rPr>
  </w:style>
  <w:style w:type="paragraph" w:customStyle="1" w:styleId="102">
    <w:name w:val="默认段落字体 Para Char Char Char Char"/>
    <w:basedOn w:val="1"/>
    <w:qFormat/>
    <w:uiPriority w:val="0"/>
    <w:rPr>
      <w:rFonts w:ascii="Times New Roman" w:hAnsi="Times New Roman" w:eastAsia="宋体"/>
      <w:kern w:val="2"/>
      <w:sz w:val="28"/>
      <w:szCs w:val="20"/>
    </w:rPr>
  </w:style>
  <w:style w:type="character" w:customStyle="1" w:styleId="103">
    <w:name w:val="正文首行缩进 2 字符"/>
    <w:basedOn w:val="28"/>
    <w:link w:val="25"/>
    <w:qFormat/>
    <w:uiPriority w:val="0"/>
    <w:rPr>
      <w:rFonts w:ascii="Calibri" w:hAnsi="Calibri" w:eastAsiaTheme="minorEastAsia"/>
      <w:kern w:val="1"/>
      <w:sz w:val="21"/>
      <w:szCs w:val="22"/>
    </w:rPr>
  </w:style>
  <w:style w:type="paragraph" w:customStyle="1" w:styleId="104">
    <w:name w:val="列出段落3"/>
    <w:basedOn w:val="1"/>
    <w:qFormat/>
    <w:uiPriority w:val="0"/>
    <w:pPr>
      <w:ind w:firstLine="420" w:firstLineChars="200"/>
    </w:pPr>
    <w:rPr>
      <w:rFonts w:ascii="宋体" w:hAnsi="Times New Roman" w:eastAsia="宋体"/>
      <w:kern w:val="0"/>
      <w:sz w:val="24"/>
      <w:szCs w:val="20"/>
    </w:rPr>
  </w:style>
  <w:style w:type="paragraph" w:customStyle="1" w:styleId="105">
    <w:name w:val="正文-公1"/>
    <w:basedOn w:val="1"/>
    <w:qFormat/>
    <w:uiPriority w:val="0"/>
    <w:pPr>
      <w:jc w:val="left"/>
    </w:pPr>
    <w:rPr>
      <w:rFonts w:ascii="Times New Roman" w:hAnsi="Times New Roman" w:eastAsia="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Times New Roman"/>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6E9E26-61D4-4AE4-BE86-1278A6959AC3}">
  <ds:schemaRefs/>
</ds:datastoreItem>
</file>

<file path=docProps/app.xml><?xml version="1.0" encoding="utf-8"?>
<Properties xmlns="http://schemas.openxmlformats.org/officeDocument/2006/extended-properties" xmlns:vt="http://schemas.openxmlformats.org/officeDocument/2006/docPropsVTypes">
  <Template>Normal</Template>
  <Pages>90</Pages>
  <Words>42682</Words>
  <Characters>46378</Characters>
  <Lines>205</Lines>
  <Paragraphs>57</Paragraphs>
  <TotalTime>3</TotalTime>
  <ScaleCrop>false</ScaleCrop>
  <LinksUpToDate>false</LinksUpToDate>
  <CharactersWithSpaces>47912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2019-09-10T00:33:00Z</dcterms:created>
  <dc:creator>Administrator</dc:creator>
  <cp:lastModifiedBy>简兵华</cp:lastModifiedBy>
  <cp:lastPrinted>2021-09-18T07:47:00Z</cp:lastPrinted>
  <dcterms:modified xsi:type="dcterms:W3CDTF">2023-07-03T08:13:49Z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12CB2DA462774543884CDBE63C5020F7_13</vt:lpwstr>
  </property>
  <property fmtid="{D5CDD505-2E9C-101B-9397-08002B2CF9AE}" pid="4" name="commondata">
    <vt:lpwstr>eyJoZGlkIjoiM2Q2MmQwZDA0NmY4ZTdlNTJjMTMzNTAxZDY4YTgwNjcifQ==</vt:lpwstr>
  </property>
</Properties>
</file>