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exact"/>
        <w:ind w:firstLine="723" w:firstLineChars="200"/>
        <w:jc w:val="right"/>
        <w:rPr>
          <w:rFonts w:hint="eastAsia" w:ascii="黑体" w:hAnsi="黑体" w:eastAsia="黑体" w:cs="黑体"/>
          <w:b/>
          <w:color w:val="auto"/>
          <w:sz w:val="36"/>
          <w:szCs w:val="36"/>
          <w:highlight w:val="none"/>
          <w:bdr w:val="single" w:color="auto" w:sz="4" w:space="0"/>
          <w:shd w:val="pct10" w:color="auto" w:fill="FFFFFF"/>
        </w:rPr>
      </w:pPr>
      <w:r>
        <w:rPr>
          <w:rFonts w:hint="eastAsia" w:ascii="黑体" w:hAnsi="黑体" w:eastAsia="黑体" w:cs="黑体"/>
          <w:b/>
          <w:color w:val="auto"/>
          <w:sz w:val="36"/>
          <w:szCs w:val="36"/>
          <w:highlight w:val="none"/>
          <w:bdr w:val="single" w:color="auto" w:sz="4" w:space="0"/>
          <w:shd w:val="pct10" w:color="auto" w:fill="FFFFFF"/>
        </w:rPr>
        <w:t>政府采购项目</w:t>
      </w:r>
    </w:p>
    <w:p>
      <w:pPr>
        <w:autoSpaceDE w:val="0"/>
        <w:autoSpaceDN w:val="0"/>
        <w:adjustRightInd w:val="0"/>
        <w:snapToGrid w:val="0"/>
        <w:spacing w:line="360" w:lineRule="auto"/>
        <w:jc w:val="left"/>
        <w:rPr>
          <w:rFonts w:hint="eastAsia" w:ascii="黑体" w:hAnsi="黑体" w:eastAsia="黑体" w:cs="黑体"/>
          <w:b/>
          <w:bCs/>
          <w:color w:val="auto"/>
          <w:sz w:val="32"/>
          <w:szCs w:val="32"/>
          <w:highlight w:val="none"/>
          <w:lang w:eastAsia="zh-CN"/>
        </w:rPr>
      </w:pPr>
      <w:r>
        <w:rPr>
          <w:rFonts w:hint="eastAsia" w:ascii="黑体" w:hAnsi="黑体" w:eastAsia="黑体" w:cs="黑体"/>
          <w:b/>
          <w:bCs/>
          <w:color w:val="auto"/>
          <w:sz w:val="32"/>
          <w:szCs w:val="32"/>
          <w:highlight w:val="none"/>
          <w:lang w:val="zh-CN"/>
        </w:rPr>
        <w:t>项目编号：</w:t>
      </w:r>
      <w:r>
        <w:rPr>
          <w:rFonts w:hint="eastAsia" w:ascii="黑体" w:hAnsi="黑体" w:eastAsia="黑体" w:cs="黑体"/>
          <w:b/>
          <w:bCs/>
          <w:color w:val="auto"/>
          <w:sz w:val="32"/>
          <w:szCs w:val="32"/>
          <w:highlight w:val="none"/>
          <w:lang w:eastAsia="zh-CN"/>
        </w:rPr>
        <w:t>SHJS2022(056)号</w:t>
      </w:r>
    </w:p>
    <w:p>
      <w:pPr>
        <w:spacing w:line="360" w:lineRule="auto"/>
        <w:jc w:val="center"/>
        <w:rPr>
          <w:rFonts w:hint="eastAsia" w:ascii="黑体" w:hAnsi="黑体" w:eastAsia="黑体" w:cs="黑体"/>
          <w:b/>
          <w:bCs/>
          <w:color w:val="auto"/>
          <w:sz w:val="56"/>
          <w:szCs w:val="56"/>
          <w:highlight w:val="none"/>
        </w:rPr>
      </w:pPr>
    </w:p>
    <w:p>
      <w:pPr>
        <w:spacing w:line="240" w:lineRule="auto"/>
        <w:ind w:firstLine="281" w:firstLineChars="50"/>
        <w:jc w:val="center"/>
        <w:rPr>
          <w:rFonts w:hint="eastAsia" w:ascii="黑体" w:hAnsi="黑体" w:eastAsia="黑体" w:cs="黑体"/>
          <w:b/>
          <w:bCs/>
          <w:color w:val="auto"/>
          <w:sz w:val="56"/>
          <w:szCs w:val="56"/>
          <w:highlight w:val="none"/>
          <w:lang w:val="en-US" w:eastAsia="zh-CN"/>
        </w:rPr>
      </w:pPr>
      <w:r>
        <w:rPr>
          <w:rFonts w:hint="eastAsia" w:ascii="黑体" w:hAnsi="黑体" w:eastAsia="黑体" w:cs="黑体"/>
          <w:b/>
          <w:bCs/>
          <w:color w:val="auto"/>
          <w:sz w:val="56"/>
          <w:szCs w:val="56"/>
          <w:highlight w:val="none"/>
          <w:lang w:val="en-US" w:eastAsia="zh-CN"/>
        </w:rPr>
        <w:t>宝鸡市金台区代家湾小学教学楼室内外粉刷工程</w:t>
      </w:r>
    </w:p>
    <w:p>
      <w:pPr>
        <w:tabs>
          <w:tab w:val="left" w:pos="5754"/>
        </w:tabs>
        <w:spacing w:line="360" w:lineRule="auto"/>
        <w:ind w:firstLine="281" w:firstLineChars="50"/>
        <w:jc w:val="left"/>
        <w:rPr>
          <w:rFonts w:hint="eastAsia" w:ascii="黑体" w:hAnsi="黑体" w:eastAsia="黑体" w:cs="黑体"/>
          <w:b/>
          <w:bCs/>
          <w:color w:val="auto"/>
          <w:sz w:val="56"/>
          <w:szCs w:val="56"/>
          <w:highlight w:val="none"/>
          <w:lang w:eastAsia="zh-CN"/>
        </w:rPr>
      </w:pPr>
      <w:r>
        <w:rPr>
          <w:rFonts w:hint="eastAsia" w:ascii="黑体" w:hAnsi="黑体" w:eastAsia="黑体" w:cs="黑体"/>
          <w:b/>
          <w:bCs/>
          <w:color w:val="auto"/>
          <w:sz w:val="56"/>
          <w:szCs w:val="56"/>
          <w:highlight w:val="none"/>
          <w:lang w:eastAsia="zh-CN"/>
        </w:rPr>
        <w:tab/>
      </w:r>
    </w:p>
    <w:p>
      <w:pPr>
        <w:pStyle w:val="5"/>
        <w:rPr>
          <w:rFonts w:hint="eastAsia" w:ascii="黑体" w:hAnsi="黑体" w:eastAsia="黑体" w:cs="黑体"/>
          <w:color w:val="auto"/>
          <w:highlight w:val="none"/>
        </w:rPr>
      </w:pPr>
    </w:p>
    <w:p>
      <w:pPr>
        <w:spacing w:line="360" w:lineRule="auto"/>
        <w:ind w:firstLine="281" w:firstLineChars="50"/>
        <w:jc w:val="center"/>
        <w:rPr>
          <w:rFonts w:hint="eastAsia" w:ascii="黑体" w:hAnsi="黑体" w:eastAsia="黑体" w:cs="黑体"/>
          <w:b/>
          <w:bCs/>
          <w:color w:val="auto"/>
          <w:spacing w:val="4"/>
          <w:sz w:val="56"/>
          <w:szCs w:val="56"/>
          <w:highlight w:val="none"/>
        </w:rPr>
      </w:pPr>
      <w:r>
        <w:rPr>
          <w:rFonts w:hint="eastAsia" w:ascii="黑体" w:hAnsi="黑体" w:eastAsia="黑体" w:cs="黑体"/>
          <w:b/>
          <w:bCs/>
          <w:color w:val="auto"/>
          <w:sz w:val="56"/>
          <w:szCs w:val="56"/>
          <w:highlight w:val="none"/>
        </w:rPr>
        <w:t>竞争性磋商</w:t>
      </w:r>
      <w:r>
        <w:rPr>
          <w:rFonts w:hint="eastAsia" w:ascii="黑体" w:hAnsi="黑体" w:eastAsia="黑体" w:cs="黑体"/>
          <w:b/>
          <w:bCs/>
          <w:color w:val="auto"/>
          <w:spacing w:val="4"/>
          <w:sz w:val="56"/>
          <w:szCs w:val="56"/>
          <w:highlight w:val="none"/>
        </w:rPr>
        <w:t>文件</w:t>
      </w:r>
    </w:p>
    <w:p>
      <w:pPr>
        <w:spacing w:line="360" w:lineRule="auto"/>
        <w:rPr>
          <w:rFonts w:hint="eastAsia" w:ascii="黑体" w:hAnsi="黑体" w:eastAsia="黑体" w:cs="黑体"/>
          <w:b/>
          <w:bCs/>
          <w:color w:val="auto"/>
          <w:spacing w:val="4"/>
          <w:highlight w:val="none"/>
        </w:rPr>
      </w:pPr>
    </w:p>
    <w:p>
      <w:pPr>
        <w:spacing w:line="360" w:lineRule="auto"/>
        <w:rPr>
          <w:rFonts w:hint="eastAsia" w:ascii="黑体" w:hAnsi="黑体" w:eastAsia="黑体" w:cs="黑体"/>
          <w:b/>
          <w:bCs/>
          <w:color w:val="auto"/>
          <w:spacing w:val="4"/>
          <w:highlight w:val="none"/>
        </w:rPr>
      </w:pPr>
    </w:p>
    <w:p>
      <w:pPr>
        <w:pStyle w:val="14"/>
        <w:ind w:firstLine="280"/>
        <w:rPr>
          <w:rFonts w:hint="eastAsia" w:ascii="黑体" w:hAnsi="黑体" w:eastAsia="黑体" w:cs="黑体"/>
          <w:b/>
          <w:bCs/>
          <w:color w:val="auto"/>
          <w:highlight w:val="none"/>
        </w:rPr>
      </w:pPr>
    </w:p>
    <w:p>
      <w:pPr>
        <w:tabs>
          <w:tab w:val="left" w:pos="5670"/>
        </w:tabs>
        <w:autoSpaceDE w:val="0"/>
        <w:autoSpaceDN w:val="0"/>
        <w:adjustRightInd w:val="0"/>
        <w:snapToGrid w:val="0"/>
        <w:spacing w:line="360" w:lineRule="auto"/>
        <w:ind w:firstLine="2249" w:firstLineChars="700"/>
        <w:rPr>
          <w:rFonts w:hint="eastAsia" w:ascii="黑体" w:hAnsi="黑体" w:eastAsia="黑体" w:cs="黑体"/>
          <w:b/>
          <w:bCs/>
          <w:color w:val="auto"/>
          <w:sz w:val="32"/>
          <w:szCs w:val="32"/>
          <w:highlight w:val="none"/>
          <w:lang w:val="zh-CN"/>
        </w:rPr>
      </w:pPr>
    </w:p>
    <w:p>
      <w:pPr>
        <w:rPr>
          <w:rFonts w:hint="eastAsia" w:ascii="黑体" w:hAnsi="黑体" w:eastAsia="黑体" w:cs="黑体"/>
          <w:b/>
          <w:bCs/>
          <w:color w:val="auto"/>
          <w:sz w:val="32"/>
          <w:szCs w:val="32"/>
          <w:highlight w:val="none"/>
          <w:lang w:val="zh-CN"/>
        </w:rPr>
      </w:pPr>
    </w:p>
    <w:p>
      <w:pPr>
        <w:pStyle w:val="10"/>
        <w:rPr>
          <w:rFonts w:hint="eastAsia" w:ascii="黑体" w:hAnsi="黑体" w:eastAsia="黑体" w:cs="黑体"/>
          <w:lang w:val="zh-CN"/>
        </w:rPr>
      </w:pPr>
    </w:p>
    <w:p>
      <w:pPr>
        <w:tabs>
          <w:tab w:val="left" w:pos="5670"/>
        </w:tabs>
        <w:autoSpaceDE w:val="0"/>
        <w:autoSpaceDN w:val="0"/>
        <w:adjustRightInd w:val="0"/>
        <w:snapToGrid w:val="0"/>
        <w:spacing w:line="360" w:lineRule="auto"/>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lang w:val="zh-CN"/>
        </w:rPr>
        <w:t>采购单位：宝鸡市金台区代家湾小学（</w:t>
      </w:r>
      <w:r>
        <w:rPr>
          <w:rFonts w:hint="eastAsia" w:ascii="黑体" w:hAnsi="黑体" w:eastAsia="黑体" w:cs="黑体"/>
          <w:b/>
          <w:bCs/>
          <w:color w:val="auto"/>
          <w:sz w:val="32"/>
          <w:szCs w:val="32"/>
          <w:highlight w:val="none"/>
          <w:lang w:val="en-US" w:eastAsia="zh-CN"/>
        </w:rPr>
        <w:t>公章</w:t>
      </w:r>
      <w:r>
        <w:rPr>
          <w:rFonts w:hint="eastAsia" w:ascii="黑体" w:hAnsi="黑体" w:eastAsia="黑体" w:cs="黑体"/>
          <w:b/>
          <w:bCs/>
          <w:color w:val="auto"/>
          <w:sz w:val="32"/>
          <w:szCs w:val="32"/>
          <w:highlight w:val="none"/>
          <w:lang w:val="zh-CN"/>
        </w:rPr>
        <w:t>）</w:t>
      </w:r>
    </w:p>
    <w:p>
      <w:pPr>
        <w:tabs>
          <w:tab w:val="left" w:pos="5670"/>
        </w:tabs>
        <w:autoSpaceDE w:val="0"/>
        <w:autoSpaceDN w:val="0"/>
        <w:adjustRightInd w:val="0"/>
        <w:snapToGrid w:val="0"/>
        <w:spacing w:line="360" w:lineRule="auto"/>
        <w:ind w:firstLine="1928" w:firstLineChars="600"/>
        <w:jc w:val="center"/>
        <w:rPr>
          <w:rFonts w:hint="eastAsia" w:ascii="黑体" w:hAnsi="黑体" w:eastAsia="黑体" w:cs="黑体"/>
          <w:b/>
          <w:bCs/>
          <w:color w:val="auto"/>
          <w:sz w:val="32"/>
          <w:szCs w:val="32"/>
          <w:highlight w:val="none"/>
        </w:rPr>
      </w:pPr>
    </w:p>
    <w:p>
      <w:pPr>
        <w:tabs>
          <w:tab w:val="left" w:pos="5670"/>
        </w:tabs>
        <w:autoSpaceDE w:val="0"/>
        <w:autoSpaceDN w:val="0"/>
        <w:adjustRightInd w:val="0"/>
        <w:snapToGrid w:val="0"/>
        <w:spacing w:line="360" w:lineRule="auto"/>
        <w:jc w:val="center"/>
        <w:rPr>
          <w:rFonts w:hint="eastAsia"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采购</w:t>
      </w:r>
      <w:r>
        <w:rPr>
          <w:rFonts w:hint="eastAsia" w:ascii="黑体" w:hAnsi="黑体" w:eastAsia="黑体" w:cs="黑体"/>
          <w:b/>
          <w:bCs/>
          <w:color w:val="auto"/>
          <w:sz w:val="32"/>
          <w:szCs w:val="32"/>
          <w:highlight w:val="none"/>
        </w:rPr>
        <w:t>代理</w:t>
      </w:r>
      <w:r>
        <w:rPr>
          <w:rFonts w:hint="eastAsia" w:ascii="黑体" w:hAnsi="黑体" w:eastAsia="黑体" w:cs="黑体"/>
          <w:b/>
          <w:bCs/>
          <w:color w:val="auto"/>
          <w:sz w:val="32"/>
          <w:szCs w:val="32"/>
          <w:highlight w:val="none"/>
          <w:lang w:val="en-US" w:eastAsia="zh-CN"/>
        </w:rPr>
        <w:t>机构</w:t>
      </w:r>
      <w:r>
        <w:rPr>
          <w:rFonts w:hint="eastAsia" w:ascii="黑体" w:hAnsi="黑体" w:eastAsia="黑体" w:cs="黑体"/>
          <w:b/>
          <w:bCs/>
          <w:color w:val="auto"/>
          <w:sz w:val="32"/>
          <w:szCs w:val="32"/>
          <w:highlight w:val="none"/>
        </w:rPr>
        <w:t>：</w:t>
      </w:r>
      <w:r>
        <w:rPr>
          <w:rFonts w:hint="eastAsia" w:ascii="黑体" w:hAnsi="黑体" w:eastAsia="黑体" w:cs="黑体"/>
          <w:b/>
          <w:bCs/>
          <w:color w:val="auto"/>
          <w:sz w:val="32"/>
          <w:szCs w:val="32"/>
          <w:highlight w:val="none"/>
          <w:lang w:val="zh-CN"/>
        </w:rPr>
        <w:t>圣弘建设股份有限公司（</w:t>
      </w:r>
      <w:r>
        <w:rPr>
          <w:rFonts w:hint="eastAsia" w:ascii="黑体" w:hAnsi="黑体" w:eastAsia="黑体" w:cs="黑体"/>
          <w:b/>
          <w:bCs/>
          <w:color w:val="auto"/>
          <w:sz w:val="32"/>
          <w:szCs w:val="32"/>
          <w:highlight w:val="none"/>
          <w:lang w:val="en-US" w:eastAsia="zh-CN"/>
        </w:rPr>
        <w:t>公章</w:t>
      </w:r>
      <w:r>
        <w:rPr>
          <w:rFonts w:hint="eastAsia" w:ascii="黑体" w:hAnsi="黑体" w:eastAsia="黑体" w:cs="黑体"/>
          <w:b/>
          <w:bCs/>
          <w:color w:val="auto"/>
          <w:sz w:val="32"/>
          <w:szCs w:val="32"/>
          <w:highlight w:val="none"/>
          <w:lang w:val="zh-CN"/>
        </w:rPr>
        <w:t>）</w:t>
      </w:r>
    </w:p>
    <w:p>
      <w:pPr>
        <w:pStyle w:val="10"/>
        <w:rPr>
          <w:rFonts w:hint="eastAsia" w:ascii="黑体" w:hAnsi="黑体" w:eastAsia="黑体" w:cs="黑体"/>
          <w:b/>
          <w:bCs/>
          <w:color w:val="auto"/>
          <w:sz w:val="32"/>
          <w:szCs w:val="32"/>
          <w:highlight w:val="none"/>
          <w:lang w:val="zh-CN"/>
        </w:rPr>
      </w:pPr>
    </w:p>
    <w:p>
      <w:pPr>
        <w:rPr>
          <w:rFonts w:hint="eastAsia" w:ascii="黑体" w:hAnsi="黑体" w:eastAsia="黑体" w:cs="黑体"/>
          <w:lang w:val="zh-CN"/>
        </w:rPr>
      </w:pPr>
    </w:p>
    <w:p>
      <w:pPr>
        <w:tabs>
          <w:tab w:val="left" w:pos="5460"/>
        </w:tabs>
        <w:autoSpaceDE w:val="0"/>
        <w:autoSpaceDN w:val="0"/>
        <w:adjustRightInd w:val="0"/>
        <w:snapToGrid w:val="0"/>
        <w:spacing w:line="360" w:lineRule="auto"/>
        <w:ind w:firstLine="3855" w:firstLineChars="1200"/>
        <w:jc w:val="both"/>
        <w:rPr>
          <w:rFonts w:hint="eastAsia" w:ascii="黑体" w:hAnsi="黑体" w:eastAsia="黑体" w:cs="黑体"/>
          <w:b/>
          <w:bCs/>
          <w:color w:val="auto"/>
          <w:sz w:val="32"/>
          <w:szCs w:val="32"/>
          <w:highlight w:val="none"/>
          <w:lang w:val="zh-CN"/>
        </w:rPr>
        <w:sectPr>
          <w:headerReference r:id="rId4" w:type="first"/>
          <w:headerReference r:id="rId3" w:type="default"/>
          <w:footerReference r:id="rId5" w:type="default"/>
          <w:pgSz w:w="11849" w:h="16781"/>
          <w:pgMar w:top="1440" w:right="1080" w:bottom="1440" w:left="1080" w:header="720" w:footer="720" w:gutter="0"/>
          <w:pgNumType w:fmt="decimal" w:start="1"/>
          <w:cols w:space="720" w:num="1"/>
          <w:titlePg/>
          <w:rtlGutter w:val="0"/>
          <w:docGrid w:linePitch="312" w:charSpace="0"/>
        </w:sectPr>
      </w:pPr>
      <w:r>
        <w:rPr>
          <w:rFonts w:hint="eastAsia" w:ascii="黑体" w:hAnsi="黑体" w:eastAsia="黑体" w:cs="黑体"/>
          <w:b/>
          <w:bCs/>
          <w:color w:val="auto"/>
          <w:sz w:val="32"/>
          <w:szCs w:val="32"/>
          <w:highlight w:val="none"/>
          <w:lang w:val="zh-CN"/>
        </w:rPr>
        <w:t>二〇二二年</w:t>
      </w:r>
      <w:r>
        <w:rPr>
          <w:rFonts w:hint="eastAsia" w:ascii="黑体" w:hAnsi="黑体" w:eastAsia="黑体" w:cs="黑体"/>
          <w:b/>
          <w:bCs/>
          <w:color w:val="auto"/>
          <w:sz w:val="32"/>
          <w:szCs w:val="32"/>
          <w:highlight w:val="none"/>
          <w:lang w:val="en-US" w:eastAsia="zh-CN"/>
        </w:rPr>
        <w:t>七</w:t>
      </w:r>
      <w:r>
        <w:rPr>
          <w:rFonts w:hint="eastAsia" w:ascii="黑体" w:hAnsi="黑体" w:eastAsia="黑体" w:cs="黑体"/>
          <w:b/>
          <w:bCs/>
          <w:color w:val="auto"/>
          <w:sz w:val="32"/>
          <w:szCs w:val="32"/>
          <w:highlight w:val="none"/>
          <w:lang w:val="zh-CN"/>
        </w:rPr>
        <w:t>月</w:t>
      </w:r>
    </w:p>
    <w:p>
      <w:pPr>
        <w:tabs>
          <w:tab w:val="left" w:pos="5460"/>
        </w:tabs>
        <w:autoSpaceDE w:val="0"/>
        <w:autoSpaceDN w:val="0"/>
        <w:adjustRightInd w:val="0"/>
        <w:snapToGrid w:val="0"/>
        <w:spacing w:line="360" w:lineRule="auto"/>
        <w:jc w:val="center"/>
        <w:rPr>
          <w:rFonts w:hint="eastAsia" w:ascii="黑体" w:hAnsi="黑体" w:eastAsia="黑体" w:cs="黑体"/>
          <w:b/>
          <w:bCs/>
          <w:color w:val="auto"/>
          <w:kern w:val="44"/>
          <w:sz w:val="44"/>
          <w:szCs w:val="44"/>
          <w:lang w:val="zh-CN"/>
        </w:rPr>
      </w:pPr>
      <w:r>
        <w:rPr>
          <w:rFonts w:hint="eastAsia" w:ascii="黑体" w:hAnsi="黑体" w:eastAsia="黑体" w:cs="黑体"/>
          <w:b/>
          <w:bCs/>
          <w:color w:val="auto"/>
          <w:kern w:val="44"/>
          <w:sz w:val="44"/>
          <w:szCs w:val="44"/>
          <w:lang w:val="zh-CN"/>
        </w:rPr>
        <w:t>温馨提示</w:t>
      </w:r>
    </w:p>
    <w:p>
      <w:pPr>
        <w:pStyle w:val="7"/>
        <w:rPr>
          <w:rFonts w:hint="eastAsia" w:ascii="黑体" w:hAnsi="黑体" w:eastAsia="黑体" w:cs="黑体"/>
          <w:color w:val="auto"/>
          <w:highlight w:val="none"/>
          <w:lang w:val="zh-CN"/>
        </w:rPr>
      </w:pPr>
    </w:p>
    <w:p>
      <w:pPr>
        <w:spacing w:line="480" w:lineRule="auto"/>
        <w:ind w:firstLine="560" w:firstLineChars="200"/>
        <w:rPr>
          <w:rFonts w:hint="eastAsia" w:ascii="黑体" w:hAnsi="黑体" w:eastAsia="黑体" w:cs="黑体"/>
          <w:color w:val="auto"/>
          <w:szCs w:val="28"/>
        </w:rPr>
      </w:pPr>
      <w:r>
        <w:rPr>
          <w:rFonts w:hint="eastAsia" w:ascii="黑体" w:hAnsi="黑体" w:eastAsia="黑体" w:cs="黑体"/>
          <w:color w:val="auto"/>
          <w:szCs w:val="28"/>
        </w:rPr>
        <w:t>1、请您仔细阅读磋商文件并正确理解磋商文件中各项具体要求。</w:t>
      </w:r>
    </w:p>
    <w:p>
      <w:pPr>
        <w:spacing w:line="480" w:lineRule="auto"/>
        <w:ind w:firstLine="560" w:firstLineChars="200"/>
        <w:rPr>
          <w:rFonts w:hint="eastAsia" w:ascii="黑体" w:hAnsi="黑体" w:eastAsia="黑体" w:cs="黑体"/>
          <w:color w:val="auto"/>
          <w:szCs w:val="28"/>
        </w:rPr>
      </w:pPr>
      <w:r>
        <w:rPr>
          <w:rFonts w:hint="eastAsia" w:ascii="黑体" w:hAnsi="黑体" w:eastAsia="黑体" w:cs="黑体"/>
          <w:color w:val="auto"/>
          <w:szCs w:val="28"/>
        </w:rPr>
        <w:t>2、</w:t>
      </w:r>
      <w:r>
        <w:rPr>
          <w:rFonts w:hint="eastAsia" w:ascii="黑体" w:hAnsi="黑体" w:eastAsia="黑体" w:cs="黑体"/>
          <w:color w:val="auto"/>
          <w:szCs w:val="28"/>
          <w:lang w:val="en-US" w:eastAsia="zh-CN"/>
        </w:rPr>
        <w:t>本项目采用电子化投标方式磋商，供应商须使用数字认证证书（CA锁）对电子磋商响应文件进行签章、加密、递交、开标时解密以及二次报价等相关招投标事宜。开标时供应商须携带数字认证证书（CA锁），如因供应商自身原因未携带数字认证证书（CA锁）造成无法解密磋商响应文件，按无效投标对待。</w:t>
      </w:r>
    </w:p>
    <w:p>
      <w:pPr>
        <w:spacing w:line="480" w:lineRule="auto"/>
        <w:ind w:firstLine="560" w:firstLineChars="200"/>
        <w:rPr>
          <w:rFonts w:hint="eastAsia" w:ascii="黑体" w:hAnsi="黑体" w:eastAsia="黑体" w:cs="黑体"/>
          <w:color w:val="auto"/>
          <w:szCs w:val="28"/>
        </w:rPr>
      </w:pPr>
      <w:r>
        <w:rPr>
          <w:rFonts w:hint="eastAsia" w:ascii="黑体" w:hAnsi="黑体" w:eastAsia="黑体" w:cs="黑体"/>
          <w:color w:val="auto"/>
          <w:szCs w:val="28"/>
          <w:lang w:val="en-US" w:eastAsia="zh-CN"/>
        </w:rPr>
        <w:t>3</w:t>
      </w:r>
      <w:r>
        <w:rPr>
          <w:rFonts w:hint="eastAsia" w:ascii="黑体" w:hAnsi="黑体" w:eastAsia="黑体" w:cs="黑体"/>
          <w:color w:val="auto"/>
          <w:szCs w:val="28"/>
        </w:rPr>
        <w:t>、请您确保磋商保证金凭证已办理。</w:t>
      </w:r>
    </w:p>
    <w:p>
      <w:pPr>
        <w:spacing w:line="480" w:lineRule="auto"/>
        <w:ind w:firstLine="560" w:firstLineChars="200"/>
        <w:rPr>
          <w:rFonts w:hint="eastAsia" w:ascii="黑体" w:hAnsi="黑体" w:eastAsia="黑体" w:cs="黑体"/>
          <w:color w:val="auto"/>
          <w:szCs w:val="28"/>
        </w:rPr>
      </w:pPr>
      <w:r>
        <w:rPr>
          <w:rFonts w:hint="eastAsia" w:ascii="黑体" w:hAnsi="黑体" w:eastAsia="黑体" w:cs="黑体"/>
          <w:color w:val="auto"/>
          <w:szCs w:val="28"/>
          <w:lang w:val="en-US" w:eastAsia="zh-CN"/>
        </w:rPr>
        <w:t>4</w:t>
      </w:r>
      <w:r>
        <w:rPr>
          <w:rFonts w:hint="eastAsia" w:ascii="黑体" w:hAnsi="黑体" w:eastAsia="黑体" w:cs="黑体"/>
          <w:color w:val="auto"/>
          <w:szCs w:val="28"/>
        </w:rPr>
        <w:t>、请您严格按照磋商时间参加磋商会议，勿忘携带相关证件，到达磋商地点后及时到签到处签字。</w:t>
      </w:r>
    </w:p>
    <w:p>
      <w:pPr>
        <w:spacing w:line="480" w:lineRule="auto"/>
        <w:ind w:firstLine="560" w:firstLineChars="200"/>
        <w:rPr>
          <w:rFonts w:hint="eastAsia" w:ascii="黑体" w:hAnsi="黑体" w:eastAsia="黑体" w:cs="黑体"/>
          <w:color w:val="auto"/>
          <w:szCs w:val="28"/>
        </w:rPr>
      </w:pPr>
      <w:r>
        <w:rPr>
          <w:rFonts w:hint="eastAsia" w:ascii="黑体" w:hAnsi="黑体" w:eastAsia="黑体" w:cs="黑体"/>
          <w:color w:val="auto"/>
          <w:szCs w:val="28"/>
          <w:lang w:val="en-US" w:eastAsia="zh-CN"/>
        </w:rPr>
        <w:t>5</w:t>
      </w:r>
      <w:r>
        <w:rPr>
          <w:rFonts w:hint="eastAsia" w:ascii="黑体" w:hAnsi="黑体" w:eastAsia="黑体" w:cs="黑体"/>
          <w:color w:val="auto"/>
          <w:szCs w:val="28"/>
        </w:rPr>
        <w:t>、咨询其他问题，请与我们的工作人员联系，竭诚为您服务。</w:t>
      </w:r>
    </w:p>
    <w:p>
      <w:pPr>
        <w:spacing w:line="480" w:lineRule="auto"/>
        <w:ind w:firstLine="700" w:firstLineChars="250"/>
        <w:rPr>
          <w:rFonts w:hint="eastAsia" w:ascii="黑体" w:hAnsi="黑体" w:eastAsia="黑体" w:cs="黑体"/>
          <w:color w:val="auto"/>
          <w:szCs w:val="28"/>
          <w:lang w:eastAsia="zh-CN"/>
        </w:rPr>
      </w:pPr>
      <w:r>
        <w:rPr>
          <w:rFonts w:hint="eastAsia" w:ascii="黑体" w:hAnsi="黑体" w:eastAsia="黑体" w:cs="黑体"/>
          <w:color w:val="auto"/>
          <w:szCs w:val="28"/>
        </w:rPr>
        <w:t>代理机构：</w:t>
      </w:r>
      <w:r>
        <w:rPr>
          <w:rFonts w:hint="eastAsia" w:ascii="黑体" w:hAnsi="黑体" w:eastAsia="黑体" w:cs="黑体"/>
          <w:color w:val="auto"/>
          <w:szCs w:val="28"/>
          <w:lang w:eastAsia="zh-CN"/>
        </w:rPr>
        <w:t>圣弘建设股份有限公司</w:t>
      </w:r>
    </w:p>
    <w:p>
      <w:pPr>
        <w:spacing w:line="480" w:lineRule="auto"/>
        <w:ind w:firstLine="140" w:firstLineChars="50"/>
        <w:rPr>
          <w:rFonts w:hint="eastAsia" w:ascii="黑体" w:hAnsi="黑体" w:eastAsia="黑体" w:cs="黑体"/>
          <w:color w:val="auto"/>
          <w:szCs w:val="28"/>
        </w:rPr>
      </w:pPr>
      <w:r>
        <w:rPr>
          <w:rFonts w:hint="eastAsia" w:ascii="黑体" w:hAnsi="黑体" w:eastAsia="黑体" w:cs="黑体"/>
          <w:color w:val="auto"/>
          <w:szCs w:val="28"/>
        </w:rPr>
        <w:t>　　地　　址：宝鸡市金台区行政东路三迪金融中心8楼</w:t>
      </w:r>
    </w:p>
    <w:p>
      <w:pPr>
        <w:spacing w:line="480" w:lineRule="auto"/>
        <w:ind w:firstLine="840" w:firstLineChars="300"/>
        <w:rPr>
          <w:rFonts w:hint="eastAsia" w:ascii="黑体" w:hAnsi="黑体" w:eastAsia="黑体" w:cs="黑体"/>
          <w:color w:val="auto"/>
          <w:szCs w:val="28"/>
          <w:lang w:val="en-US" w:eastAsia="zh-CN"/>
        </w:rPr>
      </w:pPr>
      <w:r>
        <w:rPr>
          <w:rFonts w:hint="eastAsia" w:ascii="黑体" w:hAnsi="黑体" w:eastAsia="黑体" w:cs="黑体"/>
          <w:color w:val="auto"/>
          <w:szCs w:val="28"/>
        </w:rPr>
        <w:t>联系方式：</w:t>
      </w:r>
      <w:r>
        <w:rPr>
          <w:rFonts w:hint="eastAsia" w:ascii="黑体" w:hAnsi="黑体" w:eastAsia="黑体" w:cs="黑体"/>
          <w:color w:val="auto"/>
          <w:szCs w:val="28"/>
          <w:lang w:val="en-US" w:eastAsia="zh-CN"/>
        </w:rPr>
        <w:t>刘女</w:t>
      </w:r>
      <w:r>
        <w:rPr>
          <w:rFonts w:hint="eastAsia" w:ascii="黑体" w:hAnsi="黑体" w:eastAsia="黑体" w:cs="黑体"/>
          <w:color w:val="auto"/>
          <w:szCs w:val="28"/>
        </w:rPr>
        <w:t>士</w:t>
      </w:r>
      <w:r>
        <w:rPr>
          <w:rFonts w:hint="eastAsia" w:ascii="黑体" w:hAnsi="黑体" w:eastAsia="黑体" w:cs="黑体"/>
          <w:color w:val="auto"/>
          <w:szCs w:val="28"/>
          <w:lang w:val="en-US" w:eastAsia="zh-CN"/>
        </w:rPr>
        <w:t>13319179094</w:t>
      </w:r>
    </w:p>
    <w:p>
      <w:pPr>
        <w:spacing w:line="360" w:lineRule="auto"/>
        <w:ind w:firstLine="1303" w:firstLineChars="543"/>
        <w:rPr>
          <w:rFonts w:hint="eastAsia" w:ascii="黑体" w:hAnsi="黑体" w:eastAsia="黑体" w:cs="黑体"/>
          <w:color w:val="auto"/>
          <w:spacing w:val="4"/>
          <w:sz w:val="24"/>
          <w:szCs w:val="24"/>
        </w:rPr>
      </w:pPr>
      <w:r>
        <w:rPr>
          <w:rFonts w:hint="eastAsia" w:ascii="黑体" w:hAnsi="黑体" w:eastAsia="黑体" w:cs="黑体"/>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740410</wp:posOffset>
                </wp:positionV>
                <wp:extent cx="5532755" cy="793115"/>
                <wp:effectExtent l="4445" t="4445" r="10160" b="10160"/>
                <wp:wrapSquare wrapText="bothSides"/>
                <wp:docPr id="14" name="文本框 14"/>
                <wp:cNvGraphicFramePr/>
                <a:graphic xmlns:a="http://schemas.openxmlformats.org/drawingml/2006/main">
                  <a:graphicData uri="http://schemas.microsoft.com/office/word/2010/wordprocessingShape">
                    <wps:wsp>
                      <wps:cNvSpPr txBox="1"/>
                      <wps:spPr>
                        <a:xfrm>
                          <a:off x="0" y="0"/>
                          <a:ext cx="5532755" cy="793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left"/>
                              <w:rPr>
                                <w:rFonts w:ascii="宋体" w:hAnsi="宋体"/>
                                <w:b/>
                                <w:sz w:val="24"/>
                              </w:rPr>
                            </w:pPr>
                            <w:r>
                              <w:rPr>
                                <w:rFonts w:hint="eastAsia" w:ascii="宋体" w:hAnsi="宋体"/>
                                <w:b/>
                                <w:sz w:val="24"/>
                              </w:rPr>
                              <w:t>温馨提示：购买磋商文件后，请仔细阅读，特别注意粗体及划线部分，如有疑问请来电咨询。</w:t>
                            </w:r>
                          </w:p>
                        </w:txbxContent>
                      </wps:txbx>
                      <wps:bodyPr upright="1"/>
                    </wps:wsp>
                  </a:graphicData>
                </a:graphic>
              </wp:anchor>
            </w:drawing>
          </mc:Choice>
          <mc:Fallback>
            <w:pict>
              <v:shape id="_x0000_s1026" o:spid="_x0000_s1026" o:spt="202" type="#_x0000_t202" style="position:absolute;left:0pt;margin-left:11.25pt;margin-top:58.3pt;height:62.45pt;width:435.65pt;mso-wrap-distance-bottom:0pt;mso-wrap-distance-left:9pt;mso-wrap-distance-right:9pt;mso-wrap-distance-top:0pt;z-index:251661312;mso-width-relative:page;mso-height-relative:page;" fillcolor="#FFFFFF" filled="t" stroked="t" coordsize="21600,21600" o:gfxdata="UEsDBAoAAAAAAIdO4kAAAAAAAAAAAAAAAAAEAAAAZHJzL1BLAwQUAAAACACHTuJAxgcHCdkAAAAK&#10;AQAADwAAAGRycy9kb3ducmV2LnhtbE2PwU7DMBBE70j8g7VIXBB1krZpGuL0gASCGxRUrm68TSLi&#10;dbDdtPw9ywmOO/M0O1NtznYQE/rQO1KQzhIQSI0zPbUK3t8ebgsQIWoyenCECr4xwKa+vKh0adyJ&#10;XnHaxlZwCIVSK+hiHEspQ9Oh1WHmRiT2Ds5bHfn0rTRenzjcDjJLklxa3RN/6PSI9x02n9ujVVAs&#10;nqaP8Dx/2TX5YVjHm9X0+OWVur5KkzsQEc/xD4bf+lwdau60d0cyQQwKsmzJJOtpnoNgoFjPecue&#10;nUW6BFlX8v+E+gdQSwMEFAAAAAgAh07iQDOBA+0MAgAAOAQAAA4AAABkcnMvZTJvRG9jLnhtbK1T&#10;zY7TMBC+I/EOlu80bZewbNR0JSjlggBp4QFc20ks+U8et0lfAN6AExfuPFefg7HT7f6whx42B2c8&#10;/vzNzDfjxfVgNNnJAMrZms4mU0qk5U4o29b0+7f1q7eUQGRWMO2srOleAr1evnyx6H0l565zWshA&#10;kMRC1fuadjH6qiiAd9IwmDgvLR42LhgWcRvaQgTWI7vRxXw6fVP0LggfHJcA6F2Nh/TIGM4hdE2j&#10;uFw5vjXSxpE1SM0ilgSd8kCXOdumkTx+aRqQkeiaYqUxrxgE7U1ai+WCVW1gvlP8mAI7J4VHNRmm&#10;LAY9Ua1YZGQb1H9URvHgwDVxwp0pxkKyIljFbPpIm5uOeZlrQanBn0SH56Pln3dfA1ECJ+E1JZYZ&#10;7Pjh18/D77+HPz8I+lCg3kOFuBuPyDi8cwOCb/2AzlT30AST/lgRwXOUd3+SVw6RcHSW5cX8siwp&#10;4Xh2eXUxm5WJpri77QPEj9IZkoyaBmxfVpXtPkEcobeQFAycVmKttM6b0G7e60B2DFu9zt+R/QFM&#10;W9LX9KqcpzwYzm+Dc4Om8agB2DbHe3AD7hNP8/cUcUpsxaAbE8gMCcYqo6IM2eokEx+sIHHvUWaL&#10;z4umZIwUlGiJrzFZGRmZ0ucgUTttUcLUorEVyYrDZkCaZG6c2GPbtj6otkNJc+MyHAcqa38c/jSx&#10;9/eZ9O7B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gcHCdkAAAAKAQAADwAAAAAAAAABACAA&#10;AAAiAAAAZHJzL2Rvd25yZXYueG1sUEsBAhQAFAAAAAgAh07iQDOBA+0MAgAAOAQAAA4AAAAAAAAA&#10;AQAgAAAAKAEAAGRycy9lMm9Eb2MueG1sUEsFBgAAAAAGAAYAWQEAAKYFAAAAAA==&#10;">
                <v:fill on="t" focussize="0,0"/>
                <v:stroke color="#000000" joinstyle="miter"/>
                <v:imagedata o:title=""/>
                <o:lock v:ext="edit" aspectratio="f"/>
                <v:textbox>
                  <w:txbxContent>
                    <w:p>
                      <w:pPr>
                        <w:spacing w:line="480" w:lineRule="auto"/>
                        <w:jc w:val="left"/>
                        <w:rPr>
                          <w:rFonts w:ascii="宋体" w:hAnsi="宋体"/>
                          <w:b/>
                          <w:sz w:val="24"/>
                        </w:rPr>
                      </w:pPr>
                      <w:r>
                        <w:rPr>
                          <w:rFonts w:hint="eastAsia" w:ascii="宋体" w:hAnsi="宋体"/>
                          <w:b/>
                          <w:sz w:val="24"/>
                        </w:rPr>
                        <w:t>温馨提示：购买磋商文件后，请仔细阅读，特别注意粗体及划线部分，如有疑问请来电咨询。</w:t>
                      </w:r>
                    </w:p>
                  </w:txbxContent>
                </v:textbox>
                <w10:wrap type="square"/>
              </v:shape>
            </w:pict>
          </mc:Fallback>
        </mc:AlternateContent>
      </w:r>
    </w:p>
    <w:p>
      <w:pPr>
        <w:pStyle w:val="14"/>
        <w:ind w:firstLine="248"/>
        <w:rPr>
          <w:rFonts w:hint="eastAsia" w:ascii="黑体" w:hAnsi="黑体" w:eastAsia="黑体" w:cs="黑体"/>
          <w:color w:val="auto"/>
          <w:spacing w:val="4"/>
          <w:sz w:val="24"/>
          <w:szCs w:val="24"/>
        </w:rPr>
      </w:pPr>
    </w:p>
    <w:p>
      <w:pPr>
        <w:pStyle w:val="14"/>
        <w:ind w:firstLine="248"/>
        <w:rPr>
          <w:rFonts w:hint="eastAsia" w:ascii="黑体" w:hAnsi="黑体" w:eastAsia="黑体" w:cs="黑体"/>
          <w:color w:val="auto"/>
          <w:spacing w:val="4"/>
          <w:sz w:val="24"/>
          <w:szCs w:val="24"/>
        </w:rPr>
      </w:pPr>
    </w:p>
    <w:p>
      <w:pPr>
        <w:pStyle w:val="14"/>
        <w:ind w:firstLine="248"/>
        <w:rPr>
          <w:rFonts w:hint="eastAsia" w:ascii="黑体" w:hAnsi="黑体" w:eastAsia="黑体" w:cs="黑体"/>
          <w:color w:val="auto"/>
          <w:spacing w:val="4"/>
          <w:sz w:val="24"/>
          <w:szCs w:val="24"/>
        </w:rPr>
      </w:pPr>
    </w:p>
    <w:p>
      <w:pPr>
        <w:pStyle w:val="14"/>
        <w:ind w:firstLine="248"/>
        <w:rPr>
          <w:rFonts w:hint="eastAsia" w:ascii="黑体" w:hAnsi="黑体" w:eastAsia="黑体" w:cs="黑体"/>
          <w:color w:val="auto"/>
          <w:spacing w:val="4"/>
          <w:sz w:val="24"/>
          <w:szCs w:val="24"/>
        </w:rPr>
      </w:pPr>
    </w:p>
    <w:p>
      <w:pPr>
        <w:pStyle w:val="14"/>
        <w:ind w:firstLine="248"/>
        <w:rPr>
          <w:rFonts w:hint="eastAsia" w:ascii="黑体" w:hAnsi="黑体" w:eastAsia="黑体" w:cs="黑体"/>
          <w:color w:val="auto"/>
          <w:spacing w:val="4"/>
          <w:sz w:val="24"/>
          <w:szCs w:val="24"/>
        </w:rPr>
      </w:pPr>
    </w:p>
    <w:p>
      <w:pPr>
        <w:spacing w:line="360" w:lineRule="auto"/>
        <w:ind w:firstLine="2432" w:firstLineChars="543"/>
        <w:rPr>
          <w:rFonts w:hint="eastAsia" w:ascii="黑体" w:hAnsi="黑体" w:eastAsia="黑体" w:cs="黑体"/>
          <w:color w:val="auto"/>
          <w:spacing w:val="4"/>
          <w:sz w:val="44"/>
          <w:highlight w:val="none"/>
        </w:rPr>
      </w:pPr>
    </w:p>
    <w:p>
      <w:pPr>
        <w:spacing w:line="480" w:lineRule="auto"/>
        <w:ind w:firstLine="2442" w:firstLineChars="543"/>
        <w:rPr>
          <w:rFonts w:hint="eastAsia" w:ascii="黑体" w:hAnsi="黑体" w:eastAsia="黑体" w:cs="黑体"/>
          <w:color w:val="auto"/>
          <w:spacing w:val="4"/>
          <w:sz w:val="44"/>
          <w:highlight w:val="none"/>
        </w:rPr>
      </w:pPr>
      <w:r>
        <w:rPr>
          <w:rFonts w:hint="eastAsia" w:ascii="黑体" w:hAnsi="黑体" w:eastAsia="黑体" w:cs="黑体"/>
          <w:b/>
          <w:bCs/>
          <w:color w:val="auto"/>
          <w:spacing w:val="4"/>
          <w:sz w:val="44"/>
          <w:highlight w:val="none"/>
        </w:rPr>
        <w:t>竞争性磋商文件目录</w:t>
      </w:r>
    </w:p>
    <w:p>
      <w:pPr>
        <w:pStyle w:val="20"/>
        <w:tabs>
          <w:tab w:val="right" w:leader="dot" w:pos="9689"/>
        </w:tabs>
        <w:spacing w:line="480" w:lineRule="auto"/>
      </w:pPr>
      <w:r>
        <w:rPr>
          <w:rFonts w:hint="eastAsia" w:ascii="黑体" w:hAnsi="黑体" w:eastAsia="黑体" w:cs="黑体"/>
          <w:color w:val="auto"/>
          <w:spacing w:val="4"/>
          <w:sz w:val="32"/>
          <w:highlight w:val="none"/>
        </w:rPr>
        <w:fldChar w:fldCharType="begin"/>
      </w:r>
      <w:r>
        <w:rPr>
          <w:rFonts w:hint="eastAsia" w:ascii="黑体" w:hAnsi="黑体" w:eastAsia="黑体" w:cs="黑体"/>
          <w:color w:val="auto"/>
          <w:spacing w:val="4"/>
          <w:sz w:val="32"/>
          <w:highlight w:val="none"/>
        </w:rPr>
        <w:instrText xml:space="preserve">TOC \o "1-1" \h \u </w:instrText>
      </w:r>
      <w:r>
        <w:rPr>
          <w:rFonts w:hint="eastAsia" w:ascii="黑体" w:hAnsi="黑体" w:eastAsia="黑体" w:cs="黑体"/>
          <w:color w:val="auto"/>
          <w:spacing w:val="4"/>
          <w:sz w:val="32"/>
          <w:highlight w:val="none"/>
        </w:rPr>
        <w:fldChar w:fldCharType="separate"/>
      </w:r>
      <w:r>
        <w:rPr>
          <w:rFonts w:hint="eastAsia" w:ascii="黑体" w:hAnsi="黑体" w:eastAsia="黑体" w:cs="黑体"/>
          <w:color w:val="auto"/>
          <w:spacing w:val="4"/>
          <w:highlight w:val="none"/>
        </w:rPr>
        <w:fldChar w:fldCharType="begin"/>
      </w:r>
      <w:r>
        <w:rPr>
          <w:rFonts w:hint="eastAsia" w:ascii="黑体" w:hAnsi="黑体" w:eastAsia="黑体" w:cs="黑体"/>
          <w:spacing w:val="4"/>
          <w:highlight w:val="none"/>
        </w:rPr>
        <w:instrText xml:space="preserve"> HYPERLINK \l _Toc5201 </w:instrText>
      </w:r>
      <w:r>
        <w:rPr>
          <w:rFonts w:hint="eastAsia" w:ascii="黑体" w:hAnsi="黑体" w:eastAsia="黑体" w:cs="黑体"/>
          <w:spacing w:val="4"/>
          <w:highlight w:val="none"/>
        </w:rPr>
        <w:fldChar w:fldCharType="separate"/>
      </w:r>
      <w:r>
        <w:rPr>
          <w:rFonts w:hint="eastAsia" w:ascii="黑体" w:hAnsi="黑体" w:eastAsia="黑体" w:cs="黑体"/>
          <w:bCs/>
          <w:szCs w:val="44"/>
          <w:highlight w:val="none"/>
        </w:rPr>
        <w:t>第一章  竞争性磋商</w:t>
      </w:r>
      <w:r>
        <w:rPr>
          <w:rFonts w:hint="eastAsia" w:ascii="黑体" w:hAnsi="黑体" w:eastAsia="黑体" w:cs="黑体"/>
          <w:bCs/>
          <w:szCs w:val="44"/>
          <w:highlight w:val="none"/>
          <w:lang w:eastAsia="zh-CN"/>
        </w:rPr>
        <w:t>公告</w:t>
      </w:r>
      <w:r>
        <w:tab/>
      </w:r>
      <w:r>
        <w:fldChar w:fldCharType="begin"/>
      </w:r>
      <w:r>
        <w:instrText xml:space="preserve"> PAGEREF _Toc5201 \h </w:instrText>
      </w:r>
      <w:r>
        <w:fldChar w:fldCharType="separate"/>
      </w:r>
      <w:r>
        <w:t>3</w:t>
      </w:r>
      <w:r>
        <w:fldChar w:fldCharType="end"/>
      </w:r>
      <w:r>
        <w:rPr>
          <w:rFonts w:hint="eastAsia" w:ascii="黑体" w:hAnsi="黑体" w:eastAsia="黑体" w:cs="黑体"/>
          <w:color w:val="auto"/>
          <w:spacing w:val="4"/>
          <w:highlight w:val="none"/>
        </w:rPr>
        <w:fldChar w:fldCharType="end"/>
      </w:r>
    </w:p>
    <w:p>
      <w:pPr>
        <w:pStyle w:val="20"/>
        <w:tabs>
          <w:tab w:val="right" w:leader="dot" w:pos="9689"/>
        </w:tabs>
        <w:spacing w:line="480" w:lineRule="auto"/>
      </w:pPr>
      <w:r>
        <w:rPr>
          <w:rFonts w:hint="eastAsia" w:ascii="黑体" w:hAnsi="黑体" w:eastAsia="黑体" w:cs="黑体"/>
          <w:color w:val="auto"/>
          <w:spacing w:val="4"/>
          <w:highlight w:val="none"/>
        </w:rPr>
        <w:fldChar w:fldCharType="begin"/>
      </w:r>
      <w:r>
        <w:rPr>
          <w:rFonts w:hint="eastAsia" w:ascii="黑体" w:hAnsi="黑体" w:eastAsia="黑体" w:cs="黑体"/>
          <w:spacing w:val="4"/>
          <w:highlight w:val="none"/>
        </w:rPr>
        <w:instrText xml:space="preserve"> HYPERLINK \l _Toc2509 </w:instrText>
      </w:r>
      <w:r>
        <w:rPr>
          <w:rFonts w:hint="eastAsia" w:ascii="黑体" w:hAnsi="黑体" w:eastAsia="黑体" w:cs="黑体"/>
          <w:spacing w:val="4"/>
          <w:highlight w:val="none"/>
        </w:rPr>
        <w:fldChar w:fldCharType="separate"/>
      </w:r>
      <w:r>
        <w:rPr>
          <w:rFonts w:hint="eastAsia" w:ascii="黑体" w:hAnsi="黑体" w:eastAsia="黑体" w:cs="黑体"/>
          <w:bCs/>
          <w:szCs w:val="44"/>
          <w:highlight w:val="none"/>
        </w:rPr>
        <w:t>第二章  竞争性磋商须知</w:t>
      </w:r>
      <w:r>
        <w:tab/>
      </w:r>
      <w:r>
        <w:fldChar w:fldCharType="begin"/>
      </w:r>
      <w:r>
        <w:instrText xml:space="preserve"> PAGEREF _Toc2509 \h </w:instrText>
      </w:r>
      <w:r>
        <w:fldChar w:fldCharType="separate"/>
      </w:r>
      <w:r>
        <w:t>7</w:t>
      </w:r>
      <w:r>
        <w:fldChar w:fldCharType="end"/>
      </w:r>
      <w:r>
        <w:rPr>
          <w:rFonts w:hint="eastAsia" w:ascii="黑体" w:hAnsi="黑体" w:eastAsia="黑体" w:cs="黑体"/>
          <w:color w:val="auto"/>
          <w:spacing w:val="4"/>
          <w:highlight w:val="none"/>
        </w:rPr>
        <w:fldChar w:fldCharType="end"/>
      </w:r>
    </w:p>
    <w:p>
      <w:pPr>
        <w:pStyle w:val="20"/>
        <w:tabs>
          <w:tab w:val="right" w:leader="dot" w:pos="9689"/>
        </w:tabs>
        <w:spacing w:line="480" w:lineRule="auto"/>
      </w:pPr>
      <w:r>
        <w:rPr>
          <w:rFonts w:hint="eastAsia" w:ascii="黑体" w:hAnsi="黑体" w:eastAsia="黑体" w:cs="黑体"/>
          <w:color w:val="auto"/>
          <w:spacing w:val="4"/>
          <w:highlight w:val="none"/>
        </w:rPr>
        <w:fldChar w:fldCharType="begin"/>
      </w:r>
      <w:r>
        <w:rPr>
          <w:rFonts w:hint="eastAsia" w:ascii="黑体" w:hAnsi="黑体" w:eastAsia="黑体" w:cs="黑体"/>
          <w:spacing w:val="4"/>
          <w:highlight w:val="none"/>
        </w:rPr>
        <w:instrText xml:space="preserve"> HYPERLINK \l _Toc7531 </w:instrText>
      </w:r>
      <w:r>
        <w:rPr>
          <w:rFonts w:hint="eastAsia" w:ascii="黑体" w:hAnsi="黑体" w:eastAsia="黑体" w:cs="黑体"/>
          <w:spacing w:val="4"/>
          <w:highlight w:val="none"/>
        </w:rPr>
        <w:fldChar w:fldCharType="separate"/>
      </w:r>
      <w:r>
        <w:rPr>
          <w:rFonts w:hint="eastAsia" w:ascii="黑体" w:hAnsi="黑体" w:eastAsia="黑体" w:cs="黑体"/>
          <w:bCs/>
          <w:kern w:val="2"/>
          <w:szCs w:val="44"/>
          <w:lang w:eastAsia="zh-CN"/>
        </w:rPr>
        <w:t xml:space="preserve">第三章 </w:t>
      </w:r>
      <w:r>
        <w:rPr>
          <w:rFonts w:hint="eastAsia" w:ascii="黑体" w:hAnsi="黑体" w:eastAsia="黑体" w:cs="黑体"/>
          <w:bCs/>
          <w:kern w:val="2"/>
          <w:szCs w:val="44"/>
          <w:highlight w:val="none"/>
          <w:lang w:eastAsia="zh-CN"/>
        </w:rPr>
        <w:t>工程量清单</w:t>
      </w:r>
      <w:r>
        <w:tab/>
      </w:r>
      <w:r>
        <w:fldChar w:fldCharType="begin"/>
      </w:r>
      <w:r>
        <w:instrText xml:space="preserve"> PAGEREF _Toc7531 \h </w:instrText>
      </w:r>
      <w:r>
        <w:fldChar w:fldCharType="separate"/>
      </w:r>
      <w:r>
        <w:t>32</w:t>
      </w:r>
      <w:r>
        <w:fldChar w:fldCharType="end"/>
      </w:r>
      <w:r>
        <w:rPr>
          <w:rFonts w:hint="eastAsia" w:ascii="黑体" w:hAnsi="黑体" w:eastAsia="黑体" w:cs="黑体"/>
          <w:color w:val="auto"/>
          <w:spacing w:val="4"/>
          <w:highlight w:val="none"/>
        </w:rPr>
        <w:fldChar w:fldCharType="end"/>
      </w:r>
    </w:p>
    <w:p>
      <w:pPr>
        <w:pStyle w:val="20"/>
        <w:tabs>
          <w:tab w:val="right" w:leader="dot" w:pos="9689"/>
        </w:tabs>
        <w:spacing w:line="480" w:lineRule="auto"/>
      </w:pPr>
      <w:r>
        <w:rPr>
          <w:rFonts w:hint="eastAsia" w:ascii="黑体" w:hAnsi="黑体" w:eastAsia="黑体" w:cs="黑体"/>
          <w:color w:val="auto"/>
          <w:spacing w:val="4"/>
          <w:highlight w:val="none"/>
        </w:rPr>
        <w:fldChar w:fldCharType="begin"/>
      </w:r>
      <w:r>
        <w:rPr>
          <w:rFonts w:hint="eastAsia" w:ascii="黑体" w:hAnsi="黑体" w:eastAsia="黑体" w:cs="黑体"/>
          <w:spacing w:val="4"/>
          <w:highlight w:val="none"/>
        </w:rPr>
        <w:instrText xml:space="preserve"> HYPERLINK \l _Toc28749 </w:instrText>
      </w:r>
      <w:r>
        <w:rPr>
          <w:rFonts w:hint="eastAsia" w:ascii="黑体" w:hAnsi="黑体" w:eastAsia="黑体" w:cs="黑体"/>
          <w:spacing w:val="4"/>
          <w:highlight w:val="none"/>
        </w:rPr>
        <w:fldChar w:fldCharType="separate"/>
      </w:r>
      <w:r>
        <w:rPr>
          <w:rFonts w:hint="eastAsia" w:ascii="黑体" w:hAnsi="黑体" w:eastAsia="黑体" w:cs="黑体"/>
          <w:bCs/>
          <w:kern w:val="2"/>
          <w:szCs w:val="44"/>
        </w:rPr>
        <w:t xml:space="preserve">第四章 </w:t>
      </w:r>
      <w:r>
        <w:rPr>
          <w:rFonts w:hint="eastAsia" w:ascii="黑体" w:hAnsi="黑体" w:eastAsia="黑体" w:cs="黑体"/>
          <w:bCs/>
          <w:kern w:val="2"/>
          <w:szCs w:val="44"/>
          <w:highlight w:val="none"/>
        </w:rPr>
        <w:t>商务要求</w:t>
      </w:r>
      <w:r>
        <w:tab/>
      </w:r>
      <w:r>
        <w:fldChar w:fldCharType="begin"/>
      </w:r>
      <w:r>
        <w:instrText xml:space="preserve"> PAGEREF _Toc28749 \h </w:instrText>
      </w:r>
      <w:r>
        <w:fldChar w:fldCharType="separate"/>
      </w:r>
      <w:r>
        <w:t>40</w:t>
      </w:r>
      <w:r>
        <w:fldChar w:fldCharType="end"/>
      </w:r>
      <w:r>
        <w:rPr>
          <w:rFonts w:hint="eastAsia" w:ascii="黑体" w:hAnsi="黑体" w:eastAsia="黑体" w:cs="黑体"/>
          <w:color w:val="auto"/>
          <w:spacing w:val="4"/>
          <w:highlight w:val="none"/>
        </w:rPr>
        <w:fldChar w:fldCharType="end"/>
      </w:r>
    </w:p>
    <w:p>
      <w:pPr>
        <w:pStyle w:val="20"/>
        <w:tabs>
          <w:tab w:val="right" w:leader="dot" w:pos="9689"/>
        </w:tabs>
        <w:spacing w:line="480" w:lineRule="auto"/>
      </w:pPr>
      <w:r>
        <w:rPr>
          <w:rFonts w:hint="eastAsia" w:ascii="黑体" w:hAnsi="黑体" w:eastAsia="黑体" w:cs="黑体"/>
          <w:color w:val="auto"/>
          <w:spacing w:val="4"/>
          <w:highlight w:val="none"/>
        </w:rPr>
        <w:fldChar w:fldCharType="begin"/>
      </w:r>
      <w:r>
        <w:rPr>
          <w:rFonts w:hint="eastAsia" w:ascii="黑体" w:hAnsi="黑体" w:eastAsia="黑体" w:cs="黑体"/>
          <w:spacing w:val="4"/>
          <w:highlight w:val="none"/>
        </w:rPr>
        <w:instrText xml:space="preserve"> HYPERLINK \l _Toc20647 </w:instrText>
      </w:r>
      <w:r>
        <w:rPr>
          <w:rFonts w:hint="eastAsia" w:ascii="黑体" w:hAnsi="黑体" w:eastAsia="黑体" w:cs="黑体"/>
          <w:spacing w:val="4"/>
          <w:highlight w:val="none"/>
        </w:rPr>
        <w:fldChar w:fldCharType="separate"/>
      </w:r>
      <w:r>
        <w:rPr>
          <w:rFonts w:hint="eastAsia" w:ascii="黑体" w:hAnsi="黑体" w:eastAsia="黑体" w:cs="黑体"/>
          <w:highlight w:val="none"/>
        </w:rPr>
        <w:t>第五章 合同条款</w:t>
      </w:r>
      <w:r>
        <w:tab/>
      </w:r>
      <w:r>
        <w:fldChar w:fldCharType="begin"/>
      </w:r>
      <w:r>
        <w:instrText xml:space="preserve"> PAGEREF _Toc20647 \h </w:instrText>
      </w:r>
      <w:r>
        <w:fldChar w:fldCharType="separate"/>
      </w:r>
      <w:r>
        <w:t>42</w:t>
      </w:r>
      <w:r>
        <w:fldChar w:fldCharType="end"/>
      </w:r>
      <w:r>
        <w:rPr>
          <w:rFonts w:hint="eastAsia" w:ascii="黑体" w:hAnsi="黑体" w:eastAsia="黑体" w:cs="黑体"/>
          <w:color w:val="auto"/>
          <w:spacing w:val="4"/>
          <w:highlight w:val="none"/>
        </w:rPr>
        <w:fldChar w:fldCharType="end"/>
      </w:r>
    </w:p>
    <w:p>
      <w:pPr>
        <w:pStyle w:val="20"/>
        <w:tabs>
          <w:tab w:val="right" w:leader="dot" w:pos="9689"/>
        </w:tabs>
        <w:spacing w:line="480" w:lineRule="auto"/>
      </w:pPr>
      <w:r>
        <w:rPr>
          <w:rFonts w:hint="eastAsia" w:ascii="黑体" w:hAnsi="黑体" w:eastAsia="黑体" w:cs="黑体"/>
          <w:color w:val="auto"/>
          <w:spacing w:val="4"/>
          <w:highlight w:val="none"/>
        </w:rPr>
        <w:fldChar w:fldCharType="begin"/>
      </w:r>
      <w:r>
        <w:rPr>
          <w:rFonts w:hint="eastAsia" w:ascii="黑体" w:hAnsi="黑体" w:eastAsia="黑体" w:cs="黑体"/>
          <w:spacing w:val="4"/>
          <w:highlight w:val="none"/>
        </w:rPr>
        <w:instrText xml:space="preserve"> HYPERLINK \l _Toc24072 </w:instrText>
      </w:r>
      <w:r>
        <w:rPr>
          <w:rFonts w:hint="eastAsia" w:ascii="黑体" w:hAnsi="黑体" w:eastAsia="黑体" w:cs="黑体"/>
          <w:spacing w:val="4"/>
          <w:highlight w:val="none"/>
        </w:rPr>
        <w:fldChar w:fldCharType="separate"/>
      </w:r>
      <w:r>
        <w:rPr>
          <w:rFonts w:hint="eastAsia" w:ascii="黑体" w:hAnsi="黑体" w:eastAsia="黑体" w:cs="黑体"/>
          <w:highlight w:val="none"/>
        </w:rPr>
        <w:t xml:space="preserve">第六章 </w:t>
      </w:r>
      <w:r>
        <w:rPr>
          <w:rFonts w:hint="eastAsia" w:ascii="黑体" w:hAnsi="黑体" w:eastAsia="黑体" w:cs="黑体"/>
          <w:highlight w:val="none"/>
          <w:lang w:val="en-US" w:eastAsia="zh-CN"/>
        </w:rPr>
        <w:t>磋商响应文件组成部分</w:t>
      </w:r>
      <w:r>
        <w:tab/>
      </w:r>
      <w:r>
        <w:fldChar w:fldCharType="begin"/>
      </w:r>
      <w:r>
        <w:instrText xml:space="preserve"> PAGEREF _Toc24072 \h </w:instrText>
      </w:r>
      <w:r>
        <w:fldChar w:fldCharType="separate"/>
      </w:r>
      <w:r>
        <w:t>57</w:t>
      </w:r>
      <w:r>
        <w:fldChar w:fldCharType="end"/>
      </w:r>
      <w:r>
        <w:rPr>
          <w:rFonts w:hint="eastAsia" w:ascii="黑体" w:hAnsi="黑体" w:eastAsia="黑体" w:cs="黑体"/>
          <w:color w:val="auto"/>
          <w:spacing w:val="4"/>
          <w:highlight w:val="none"/>
        </w:rPr>
        <w:fldChar w:fldCharType="end"/>
      </w:r>
    </w:p>
    <w:p>
      <w:pPr>
        <w:spacing w:line="480" w:lineRule="auto"/>
        <w:ind w:firstLine="1491" w:firstLineChars="518"/>
        <w:jc w:val="left"/>
        <w:rPr>
          <w:rFonts w:hint="eastAsia" w:ascii="黑体" w:hAnsi="黑体" w:eastAsia="黑体" w:cs="黑体"/>
          <w:color w:val="auto"/>
          <w:spacing w:val="4"/>
          <w:sz w:val="32"/>
          <w:highlight w:val="none"/>
        </w:rPr>
      </w:pPr>
      <w:r>
        <w:rPr>
          <w:rFonts w:hint="eastAsia" w:ascii="黑体" w:hAnsi="黑体" w:eastAsia="黑体" w:cs="黑体"/>
          <w:color w:val="auto"/>
          <w:spacing w:val="4"/>
          <w:highlight w:val="none"/>
        </w:rPr>
        <w:fldChar w:fldCharType="end"/>
      </w:r>
    </w:p>
    <w:p>
      <w:pPr>
        <w:spacing w:line="360" w:lineRule="auto"/>
        <w:ind w:firstLine="656" w:firstLineChars="200"/>
        <w:rPr>
          <w:rFonts w:hint="eastAsia" w:ascii="黑体" w:hAnsi="黑体" w:eastAsia="黑体" w:cs="黑体"/>
          <w:color w:val="auto"/>
          <w:spacing w:val="4"/>
          <w:sz w:val="32"/>
          <w:highlight w:val="none"/>
        </w:rPr>
      </w:pPr>
    </w:p>
    <w:p>
      <w:pPr>
        <w:spacing w:line="360" w:lineRule="auto"/>
        <w:ind w:firstLine="656" w:firstLineChars="200"/>
        <w:rPr>
          <w:rFonts w:hint="eastAsia" w:ascii="黑体" w:hAnsi="黑体" w:eastAsia="黑体" w:cs="黑体"/>
          <w:color w:val="auto"/>
          <w:spacing w:val="4"/>
          <w:sz w:val="32"/>
          <w:highlight w:val="none"/>
        </w:rPr>
      </w:pPr>
    </w:p>
    <w:p>
      <w:pPr>
        <w:spacing w:line="360" w:lineRule="auto"/>
        <w:ind w:firstLine="656" w:firstLineChars="200"/>
        <w:rPr>
          <w:rFonts w:hint="eastAsia" w:ascii="黑体" w:hAnsi="黑体" w:eastAsia="黑体" w:cs="黑体"/>
          <w:color w:val="auto"/>
          <w:spacing w:val="4"/>
          <w:sz w:val="32"/>
          <w:highlight w:val="none"/>
        </w:rPr>
      </w:pPr>
    </w:p>
    <w:p>
      <w:pPr>
        <w:spacing w:line="360" w:lineRule="auto"/>
        <w:ind w:firstLine="656" w:firstLineChars="200"/>
        <w:rPr>
          <w:rFonts w:hint="eastAsia" w:ascii="黑体" w:hAnsi="黑体" w:eastAsia="黑体" w:cs="黑体"/>
          <w:color w:val="auto"/>
          <w:spacing w:val="4"/>
          <w:sz w:val="32"/>
          <w:highlight w:val="none"/>
        </w:rPr>
      </w:pPr>
    </w:p>
    <w:p>
      <w:pPr>
        <w:spacing w:line="360" w:lineRule="auto"/>
        <w:rPr>
          <w:rFonts w:hint="eastAsia" w:ascii="黑体" w:hAnsi="黑体" w:eastAsia="黑体" w:cs="黑体"/>
          <w:color w:val="auto"/>
          <w:spacing w:val="4"/>
          <w:sz w:val="32"/>
          <w:highlight w:val="none"/>
        </w:rPr>
      </w:pPr>
    </w:p>
    <w:p>
      <w:pPr>
        <w:spacing w:line="360" w:lineRule="auto"/>
        <w:rPr>
          <w:rFonts w:hint="eastAsia" w:ascii="黑体" w:hAnsi="黑体" w:eastAsia="黑体" w:cs="黑体"/>
          <w:color w:val="auto"/>
          <w:spacing w:val="4"/>
          <w:sz w:val="32"/>
          <w:highlight w:val="none"/>
        </w:rPr>
      </w:pPr>
    </w:p>
    <w:p>
      <w:pPr>
        <w:spacing w:line="360" w:lineRule="auto"/>
        <w:rPr>
          <w:rFonts w:hint="eastAsia" w:ascii="黑体" w:hAnsi="黑体" w:eastAsia="黑体" w:cs="黑体"/>
          <w:color w:val="auto"/>
          <w:spacing w:val="4"/>
          <w:sz w:val="32"/>
          <w:highlight w:val="none"/>
        </w:rPr>
      </w:pPr>
    </w:p>
    <w:p>
      <w:pPr>
        <w:spacing w:line="360" w:lineRule="auto"/>
        <w:rPr>
          <w:rFonts w:hint="eastAsia" w:ascii="黑体" w:hAnsi="黑体" w:eastAsia="黑体" w:cs="黑体"/>
          <w:color w:val="auto"/>
          <w:spacing w:val="4"/>
          <w:sz w:val="32"/>
          <w:highlight w:val="none"/>
        </w:rPr>
      </w:pPr>
    </w:p>
    <w:p>
      <w:pPr>
        <w:spacing w:line="360" w:lineRule="auto"/>
        <w:rPr>
          <w:rFonts w:hint="eastAsia" w:ascii="黑体" w:hAnsi="黑体" w:eastAsia="黑体" w:cs="黑体"/>
          <w:color w:val="auto"/>
          <w:spacing w:val="4"/>
          <w:sz w:val="32"/>
          <w:highlight w:val="none"/>
        </w:rPr>
      </w:pPr>
    </w:p>
    <w:p>
      <w:pPr>
        <w:jc w:val="center"/>
        <w:outlineLvl w:val="0"/>
        <w:rPr>
          <w:rFonts w:hint="eastAsia" w:ascii="黑体" w:hAnsi="黑体" w:eastAsia="黑体" w:cs="黑体"/>
          <w:b/>
          <w:bCs/>
          <w:color w:val="auto"/>
          <w:sz w:val="44"/>
          <w:szCs w:val="44"/>
          <w:highlight w:val="none"/>
          <w:lang w:eastAsia="zh-CN"/>
        </w:rPr>
      </w:pPr>
      <w:r>
        <w:rPr>
          <w:rFonts w:hint="eastAsia" w:ascii="黑体" w:hAnsi="黑体" w:eastAsia="黑体" w:cs="黑体"/>
          <w:color w:val="auto"/>
          <w:sz w:val="44"/>
          <w:szCs w:val="44"/>
          <w:highlight w:val="none"/>
        </w:rPr>
        <w:br w:type="page"/>
      </w:r>
      <w:bookmarkStart w:id="0" w:name="_Toc5201"/>
      <w:r>
        <w:rPr>
          <w:rFonts w:hint="eastAsia" w:ascii="黑体" w:hAnsi="黑体" w:eastAsia="黑体" w:cs="黑体"/>
          <w:b/>
          <w:bCs/>
          <w:color w:val="auto"/>
          <w:sz w:val="44"/>
          <w:szCs w:val="44"/>
          <w:highlight w:val="none"/>
        </w:rPr>
        <w:t>第一章  竞争性磋商</w:t>
      </w:r>
      <w:r>
        <w:rPr>
          <w:rFonts w:hint="eastAsia" w:ascii="黑体" w:hAnsi="黑体" w:eastAsia="黑体" w:cs="黑体"/>
          <w:b/>
          <w:bCs/>
          <w:color w:val="auto"/>
          <w:sz w:val="44"/>
          <w:szCs w:val="44"/>
          <w:highlight w:val="none"/>
          <w:lang w:eastAsia="zh-CN"/>
        </w:rPr>
        <w:t>公告</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600" w:lineRule="atLeast"/>
        <w:ind w:left="0" w:right="0" w:firstLine="0"/>
        <w:jc w:val="center"/>
        <w:textAlignment w:val="baseline"/>
        <w:rPr>
          <w:rFonts w:ascii="Helvetica" w:hAnsi="Helvetica" w:eastAsia="Helvetica" w:cs="Helvetica"/>
          <w:b/>
          <w:bCs/>
          <w:i w:val="0"/>
          <w:iCs w:val="0"/>
          <w:caps w:val="0"/>
          <w:color w:val="333333"/>
          <w:spacing w:val="0"/>
          <w:sz w:val="30"/>
          <w:szCs w:val="30"/>
        </w:rPr>
      </w:pPr>
      <w:r>
        <w:rPr>
          <w:rFonts w:hint="default" w:ascii="Helvetica" w:hAnsi="Helvetica" w:eastAsia="Helvetica" w:cs="Helvetica"/>
          <w:b/>
          <w:bCs/>
          <w:i w:val="0"/>
          <w:iCs w:val="0"/>
          <w:caps w:val="0"/>
          <w:color w:val="333333"/>
          <w:spacing w:val="0"/>
          <w:sz w:val="30"/>
          <w:szCs w:val="30"/>
          <w:shd w:val="clear" w:fill="FFFFFF"/>
          <w:vertAlign w:val="baseline"/>
        </w:rPr>
        <w:t>宝鸡市金台区代家湾小学教学楼室内外粉刷工程竞争性磋商公告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0" w:lineRule="atLeast"/>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240" w:lineRule="auto"/>
        <w:ind w:left="0" w:right="0" w:firstLine="480"/>
        <w:jc w:val="both"/>
        <w:textAlignment w:val="baseline"/>
        <w:rPr>
          <w:sz w:val="21"/>
          <w:szCs w:val="21"/>
        </w:rPr>
      </w:pPr>
      <w:r>
        <w:rPr>
          <w:rFonts w:ascii="微软雅黑" w:hAnsi="微软雅黑" w:eastAsia="微软雅黑" w:cs="微软雅黑"/>
          <w:i w:val="0"/>
          <w:iCs w:val="0"/>
          <w:caps w:val="0"/>
          <w:color w:val="333333"/>
          <w:spacing w:val="0"/>
          <w:sz w:val="21"/>
          <w:szCs w:val="21"/>
          <w:shd w:val="clear" w:fill="FFFFFF"/>
          <w:vertAlign w:val="baseline"/>
        </w:rPr>
        <w:t>宝鸡金台区代家湾小学教学楼室内外粉刷工程</w:t>
      </w:r>
      <w:r>
        <w:rPr>
          <w:rFonts w:hint="eastAsia" w:ascii="微软雅黑" w:hAnsi="微软雅黑" w:eastAsia="微软雅黑" w:cs="微软雅黑"/>
          <w:i w:val="0"/>
          <w:iCs w:val="0"/>
          <w:caps w:val="0"/>
          <w:color w:val="333333"/>
          <w:spacing w:val="0"/>
          <w:sz w:val="21"/>
          <w:szCs w:val="21"/>
          <w:shd w:val="clear" w:fill="FFFFFF"/>
          <w:vertAlign w:val="baseline"/>
        </w:rPr>
        <w:t>采购项目的潜在供应商应在在全国公共资源交易平台（陕西省·宝鸡市）宝鸡市公共资源交易中心（http://bj.sxggzyjy.cn/）下载获取采购文件及现场登记。获取采购文件，并于 2022年08月08日 09时00分 （北京时间）前提交响应文件。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项目编号：SHJS2022(056)号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项目名称：宝鸡金台区代家湾小学教学楼室内外粉刷工程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采购方式：竞争性磋商</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预算金额：1,180,626.92元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合同包1(宝鸡市金台区代家湾小学教学楼室内外粉刷工程):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合同包预算金额：1,180,626.92元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合同包最高限价：1,175,972.53元</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39"/>
        <w:gridCol w:w="1504"/>
        <w:gridCol w:w="2326"/>
        <w:gridCol w:w="1038"/>
        <w:gridCol w:w="1415"/>
        <w:gridCol w:w="1503"/>
        <w:gridCol w:w="1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品目预算(元)</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其他建筑物、构筑物修缮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宝鸡市金台区代家湾小学教学楼室内外粉刷工程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sz w:val="21"/>
                <w:szCs w:val="21"/>
              </w:rPr>
            </w:pPr>
            <w:r>
              <w:rPr>
                <w:rFonts w:ascii="宋体" w:hAnsi="宋体" w:eastAsia="宋体" w:cs="宋体"/>
                <w:kern w:val="0"/>
                <w:sz w:val="21"/>
                <w:szCs w:val="21"/>
                <w:vertAlign w:val="baseline"/>
                <w:lang w:val="en-US" w:eastAsia="zh-CN" w:bidi="ar"/>
              </w:rPr>
              <w:t>1,180,626.92</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sz w:val="21"/>
                <w:szCs w:val="21"/>
              </w:rPr>
            </w:pPr>
            <w:r>
              <w:rPr>
                <w:rFonts w:ascii="宋体" w:hAnsi="宋体" w:eastAsia="宋体" w:cs="宋体"/>
                <w:kern w:val="0"/>
                <w:sz w:val="21"/>
                <w:szCs w:val="21"/>
                <w:vertAlign w:val="baseline"/>
                <w:lang w:val="en-US" w:eastAsia="zh-CN" w:bidi="ar"/>
              </w:rPr>
              <w:t>1,175,972.53</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合同履行期限：自合同签订之日起18日历天完成</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合同包1(宝鸡市金台区代家湾小学教学楼室内外粉刷工程)落实政府采购政策需满足的资格要求如下: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（1）《财政部国家发展改革委关于印发〈节能产品政府采购实施意见〉的通知》（财库〔2004〕185号）； （2）《国务院办公厅关于建立政府强制采购节能产品制度的通知》（国办发〔2007〕51号）； （3）《财政部环保总局关于环境标志产品政府采购实施的意见》（财库〔2006〕90号）； （4）《政府采购促进中小企业发展管理办法》（财库〔2020〕46号）、《财政部关于进一步加大政府采购支持中小企业力度的通知》（财库〔2022〕19号）； （5）《财政部 司法部关于政府采购支持监狱企业发展有关问题的通知》（财库〔2014〕68号）； （6）《三部门联合发布关于促进残疾人就业政府采购政策的通知》（财库〔2017〕141号）； （7）《财政部发展改革委生态环境部市场监管总局关于调整优化节能产品、环境标志产品政府采购执行机制的通知》（财库〔2019〕9号）；（8）《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合同包1(宝鸡市金台区代家湾小学教学楼室内外粉刷工程)特定资格要求如下: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（1）供应商须是具有独立承担民事责任能力的法人、其他组织或自然人，并出具合法有效的营业执照或事业单位法人证书等国家规定的相关证明，自然人参与的提供其身份证明；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（2）供应商须提供近3年中其中1年的财务审计报告（至少包括资产负债表和利润表，成立时间至提交磋商响应文件截止时间不足一年的可提供成立后任意时段的资产负债表）；</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（3）供应商须提供近1年已缴存的至少一个月的社会保险参保缴费情况证明，依法不需要缴纳社会保障资金的单位应提供相关证明材料；</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（4）供应商须提供近1年已缴纳的至少一个月的纳税证明或完税证明，依法免税的单位应提供相关证明材料；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5）供应商不得为“信用中国”网站（www.creditchina.gov.cn）中列入失信被执行人和严重失信主体名单的供应商，不得为中国政府采购网（www.ccgp.gov.cn）政府采购严重违法失信行为记录名单中被财政部门禁止参加政府采购活动的供应商；</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（6）单位负责人为同一人或者存在直接控股、管理关系的不同供应商，不得参加同一合同项下的政府采购活动（通过“国家企业信用信息公示系统”查询的打印件或截图，加盖供应商公章）；</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（7）供应商须提供企业开具的近三年在政府采购经营活动中无重大违法记录声明;</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8）供应商须授权合法的人员参加磋商全过程，其中法定代表人直接参加磋商的，须出具法定代表人资格证明书及身份证，并与营业执照上信息一致；法定代表人授权代表参加磋商的，须出具法定代表人资格证明书、授权书及被授权代表身份证、近三个月职工基本养老保险个人账户证明（缴纳单位应与投标供应商一致）；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（9）供应商须提供具有履行合同所必需的设备和专业技术能力的承诺书；</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（10）供应商须在陕西省政府采购网（http://www.ccgp-shaanxi.gov.cn/），按照“供应商注册注意事项”要求，完成注册审核（注册公示截图加盖供应商公章）；</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11）供应商须具备建筑工程施工总承包三级（含三级）及以上资质，具有有效的安全生产许可证；拟派项目经理具有建筑工程专业二级及以上注册建造师执业资格，并持有有效的安全生产考核合格证，且无在建项目（提供项目经理无在建承诺函），提供“陕西省建筑市场监管与诚信信息一体化平台中的企业及项目经理相关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750" w:lineRule="atLeast"/>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时间： 2022年07月27日 至 2022年08月02日 ，每天上午 09:00:00 至 12:00:00 ，下午 12:00:00 至 17:00:00 （北京时间,法定节假日除外）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地点：在全国公共资源交易平台（陕西省·宝鸡市）宝鸡市公共资源交易中心（http://bj.sxggzyjy.cn/）下载获取采购文件及现场登记。</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售价： 500元</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截止时间： 2022年08月08日 09时00分00秒 （北京时间）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地点：在线提交及宝鸡市公共资源交易中心五楼第9开标室纸质文件提交</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时间： 2022年08月08日 09时00分00秒 （北京时间）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地点：全国公共资源交易平台（陕西省·宝鸡市）宝鸡市公共资源交易中心（http://bj.sxggzyjy.cn/）</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kern w:val="0"/>
          <w:sz w:val="21"/>
          <w:szCs w:val="21"/>
          <w:shd w:val="clear" w:fill="FFFFFF"/>
          <w:vertAlign w:val="baseline"/>
          <w:lang w:val="en-US" w:eastAsia="zh-CN" w:bidi="ar"/>
        </w:rPr>
        <w:t>1、本项目有意向投标供应商须登录全国公共资源交易平台（陕西省·宝鸡市）宝鸡市公共资源交易中心（http://bj.sxggzyjy.cn/），交易平台〖首页〉电子交易平台〉企业端〗后，在〖招标公告/出让公告〗模块中选择有意向的项目点击“我要投标”，并打印回执单。在发售时间内2022年07月27日至2022年08月02日09:00:00-17:00:00（双休日及法定节假日除外）持网上确认单、介绍信、本人身份证原件及复印件加盖单位公章至宝鸡市行政东路三迪金融中心8楼801室进行确认及磋商文件获取。购买成功后即可从〖我的项目〉项目流程〉交易文件下载〗中下载电子磋商文件（*.SXSZF格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kern w:val="0"/>
          <w:sz w:val="21"/>
          <w:szCs w:val="21"/>
          <w:shd w:val="clear" w:fill="FFFFFF"/>
          <w:vertAlign w:val="baseline"/>
          <w:lang w:val="en-US" w:eastAsia="zh-CN" w:bidi="ar"/>
        </w:rPr>
        <w:t>2、供应商在网上填写单位信息（单位名称、营业执照相关信息）时应与磋商文件要求及后期上传的电子磋商响应文件中相关信息一致，否则造成资格审查不通过的后果自负；</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kern w:val="0"/>
          <w:sz w:val="21"/>
          <w:szCs w:val="21"/>
          <w:shd w:val="clear" w:fill="FFFFFF"/>
          <w:vertAlign w:val="baseline"/>
          <w:lang w:val="en-US" w:eastAsia="zh-CN" w:bidi="ar"/>
        </w:rPr>
        <w:t>3、未完成网上投标或未经采购代理公司交费确认或未在规定时间内在平台上下载电子磋商文件的，导致无法完成后续流程的责任自负；</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kern w:val="0"/>
          <w:sz w:val="21"/>
          <w:szCs w:val="21"/>
          <w:shd w:val="clear" w:fill="FFFFFF"/>
          <w:vertAlign w:val="baseline"/>
          <w:lang w:val="en-US" w:eastAsia="zh-CN" w:bidi="ar"/>
        </w:rPr>
        <w:t>4、如有技术性问题，请先翻阅操作手册或致电软件开发商，技术支持热线：4009980000；</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kern w:val="0"/>
          <w:sz w:val="21"/>
          <w:szCs w:val="21"/>
          <w:shd w:val="clear" w:fill="FFFFFF"/>
          <w:vertAlign w:val="baseline"/>
          <w:lang w:val="en-US" w:eastAsia="zh-CN" w:bidi="ar"/>
        </w:rPr>
        <w:t>注意事项：供应商应随时留意可能发布的变更公告，当澄清或修改的内容影响响应文件编制时，将在交易平台上同步发布答疑文件，此时供应商应从“项目流程”答疑文件下载、下载最新发布的答疑文件。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b w:val="0"/>
          <w:bCs w:val="0"/>
          <w:sz w:val="21"/>
          <w:szCs w:val="21"/>
        </w:rPr>
      </w:pPr>
      <w:r>
        <w:rPr>
          <w:rStyle w:val="28"/>
          <w:b/>
          <w:bCs/>
          <w:i w:val="0"/>
          <w:iCs w:val="0"/>
          <w:caps w:val="0"/>
          <w:color w:val="333333"/>
          <w:spacing w:val="0"/>
          <w:sz w:val="21"/>
          <w:szCs w:val="21"/>
          <w:shd w:val="clear" w:fill="FFFFFF"/>
          <w:vertAlign w:val="baseline"/>
        </w:rPr>
        <w:t>八、凡对本次采购提出询问，请按以下方式联系。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1.采购人信息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名称：宝鸡市金台区代家湾小学</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地址：宝鸡市金台区代家湾小学</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联系方式：13609279111</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名称：圣弘建设股份有限公司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地址：宝鸡市金台区行政东路三迪金融中心8楼801室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联系方式：13319179094</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项目联系人：刘女士</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电话：13319179094</w:t>
      </w:r>
    </w:p>
    <w:p>
      <w:pPr>
        <w:widowControl/>
        <w:tabs>
          <w:tab w:val="center" w:pos="4466"/>
          <w:tab w:val="right" w:pos="8479"/>
        </w:tabs>
        <w:spacing w:line="360" w:lineRule="auto"/>
        <w:ind w:right="78" w:rightChars="28"/>
        <w:jc w:val="center"/>
        <w:rPr>
          <w:rFonts w:hint="eastAsia" w:ascii="黑体" w:hAnsi="黑体" w:eastAsia="黑体" w:cs="黑体"/>
          <w:color w:val="auto"/>
          <w:sz w:val="44"/>
          <w:szCs w:val="44"/>
          <w:highlight w:val="none"/>
        </w:rPr>
      </w:pPr>
      <w:r>
        <w:rPr>
          <w:rFonts w:hint="eastAsia" w:ascii="黑体" w:hAnsi="黑体" w:eastAsia="黑体" w:cs="黑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140970</wp:posOffset>
                </wp:positionH>
                <wp:positionV relativeFrom="paragraph">
                  <wp:posOffset>360680</wp:posOffset>
                </wp:positionV>
                <wp:extent cx="5824855" cy="690245"/>
                <wp:effectExtent l="5080" t="4445" r="18415" b="10160"/>
                <wp:wrapSquare wrapText="bothSides"/>
                <wp:docPr id="1" name="Text Box 14"/>
                <wp:cNvGraphicFramePr/>
                <a:graphic xmlns:a="http://schemas.openxmlformats.org/drawingml/2006/main">
                  <a:graphicData uri="http://schemas.microsoft.com/office/word/2010/wordprocessingShape">
                    <wps:wsp>
                      <wps:cNvSpPr txBox="1"/>
                      <wps:spPr>
                        <a:xfrm>
                          <a:off x="0" y="0"/>
                          <a:ext cx="5824855" cy="690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left"/>
                              <w:rPr>
                                <w:rFonts w:ascii="宋体" w:hAnsi="宋体"/>
                                <w:b/>
                                <w:sz w:val="24"/>
                              </w:rPr>
                            </w:pPr>
                            <w:r>
                              <w:rPr>
                                <w:rFonts w:hint="eastAsia" w:ascii="宋体" w:hAnsi="宋体"/>
                                <w:b/>
                                <w:sz w:val="24"/>
                              </w:rPr>
                              <w:t>温馨提示：购买磋商文件后，请仔细阅读，特别注意粗体及划线部分，如有疑问请来电咨询。</w:t>
                            </w:r>
                          </w:p>
                        </w:txbxContent>
                      </wps:txbx>
                      <wps:bodyPr wrap="square" upright="1"/>
                    </wps:wsp>
                  </a:graphicData>
                </a:graphic>
              </wp:anchor>
            </w:drawing>
          </mc:Choice>
          <mc:Fallback>
            <w:pict>
              <v:shape id="Text Box 14" o:spid="_x0000_s1026" o:spt="202" type="#_x0000_t202" style="position:absolute;left:0pt;margin-left:11.1pt;margin-top:28.4pt;height:54.35pt;width:458.65pt;mso-wrap-distance-bottom:0pt;mso-wrap-distance-left:9pt;mso-wrap-distance-right:9pt;mso-wrap-distance-top:0pt;z-index:251659264;mso-width-relative:page;mso-height-relative:page;" fillcolor="#FFFFFF" filled="t" stroked="t" coordsize="21600,21600" o:gfxdata="UEsDBAoAAAAAAIdO4kAAAAAAAAAAAAAAAAAEAAAAZHJzL1BLAwQUAAAACACHTuJApyExrdgAAAAJ&#10;AQAADwAAAGRycy9kb3ducmV2LnhtbE2PwU7DMBBE70j8g7VIXBB1mpLQhDg9IIHgVkpVrm6yTSLs&#10;dbDdtPw9ywmOq3mafVOtztaICX0YHCmYzxIQSI1rB+oUbN+fbpcgQtTUauMIFXxjgFV9eVHpsnUn&#10;esNpEzvBJRRKraCPcSylDE2PVoeZG5E4OzhvdeTTd7L1+sTl1sg0SXJp9UD8odcjPvbYfG6OVsHy&#10;7mX6CK+L9a7JD6aIN/fT85dX6vpqnjyAiHiOfzD86rM61Oy0d0dqgzAK0jRlUkGW8wLOi0WRgdgz&#10;mGcZyLqS/xfUP1BLAwQUAAAACACHTuJAD33xhwUCAABEBAAADgAAAGRycy9lMm9Eb2MueG1srVPL&#10;jtswDLwX6D8Iujd2gmSRNeIs0KbppWgL7PYDGFm2BehVUYmdvy8lp9lHe8ihPsgUNRqSQ2rzMBrN&#10;TjKgcrbm81nJmbTCNcp2Nf/5tP+w5gwj2Aa0s7LmZ4n8Yfv+3WbwlVy43ulGBkYkFqvB17yP0VdF&#10;gaKXBnDmvLR02LpgINI2dEUTYCB2o4tFWd4VgwuND05IRPLupkN+YQy3ELq2VULunDgaaePEGqSG&#10;SCVhrzzybc62baWI39sWZWS65lRpzCsFIfuQ1mK7gaoL4HslLinALSm8qcmAshT0SrWDCOwY1F9U&#10;Rong0LVxJpwppkKyIlTFvHyjzWMPXuZaSGr0V9Hx/9GKb6cfgamGJoEzC4Ya/iTHyD66kc2XSZ7B&#10;Y0WoR0+4OJI/QS9+JGeqemyDSX+qh9E5iXu+ipvYBDlX68VyvVpxJujs7r5cLFeJpni+7QPGL9IZ&#10;loyaB2pe1hROXzFO0D+QFAydVs1eaZ03oTt80oGdgBq9z9+F/RVMWzbU/H61SHkATW9LU0Om8aQA&#10;2i7He3UDXxKX+fsXcUpsB9hPCWSGBIPKqChDtnoJzWfbsHj2pLKlx8VTMkY2nGlJbzFZGRlB6VuQ&#10;pJ22JGFq0dSKZMXxMBJNMg+uOVPbBppvKu/XEQLFPPqgup4Ezm3Ml2m4cicuDyFN78t9DvH8+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hMa3YAAAACQEAAA8AAAAAAAAAAQAgAAAAIgAAAGRy&#10;cy9kb3ducmV2LnhtbFBLAQIUABQAAAAIAIdO4kAPffGHBQIAAEQEAAAOAAAAAAAAAAEAIAAAACcB&#10;AABkcnMvZTJvRG9jLnhtbFBLBQYAAAAABgAGAFkBAACeBQAAAAA=&#10;">
                <v:fill on="t" focussize="0,0"/>
                <v:stroke color="#000000" joinstyle="miter"/>
                <v:imagedata o:title=""/>
                <o:lock v:ext="edit" aspectratio="f"/>
                <v:textbox>
                  <w:txbxContent>
                    <w:p>
                      <w:pPr>
                        <w:spacing w:line="480" w:lineRule="auto"/>
                        <w:jc w:val="left"/>
                        <w:rPr>
                          <w:rFonts w:ascii="宋体" w:hAnsi="宋体"/>
                          <w:b/>
                          <w:sz w:val="24"/>
                        </w:rPr>
                      </w:pPr>
                      <w:r>
                        <w:rPr>
                          <w:rFonts w:hint="eastAsia" w:ascii="宋体" w:hAnsi="宋体"/>
                          <w:b/>
                          <w:sz w:val="24"/>
                        </w:rPr>
                        <w:t>温馨提示：购买磋商文件后，请仔细阅读，特别注意粗体及划线部分，如有疑问请来电咨询。</w:t>
                      </w:r>
                    </w:p>
                  </w:txbxContent>
                </v:textbox>
                <w10:wrap type="square"/>
              </v:shape>
            </w:pict>
          </mc:Fallback>
        </mc:AlternateContent>
      </w:r>
    </w:p>
    <w:p>
      <w:pPr>
        <w:widowControl/>
        <w:tabs>
          <w:tab w:val="center" w:pos="4466"/>
          <w:tab w:val="right" w:pos="8479"/>
        </w:tabs>
        <w:spacing w:line="360" w:lineRule="auto"/>
        <w:ind w:right="78" w:rightChars="28"/>
        <w:jc w:val="center"/>
        <w:outlineLvl w:val="0"/>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br w:type="page"/>
      </w:r>
      <w:bookmarkStart w:id="1" w:name="_Toc2509"/>
      <w:r>
        <w:rPr>
          <w:rFonts w:hint="eastAsia" w:ascii="黑体" w:hAnsi="黑体" w:eastAsia="黑体" w:cs="黑体"/>
          <w:b/>
          <w:bCs/>
          <w:color w:val="auto"/>
          <w:sz w:val="44"/>
          <w:szCs w:val="44"/>
          <w:highlight w:val="none"/>
        </w:rPr>
        <w:t>第二章  竞争性磋商须知</w:t>
      </w:r>
      <w:bookmarkEnd w:id="1"/>
    </w:p>
    <w:p>
      <w:pPr>
        <w:pStyle w:val="2"/>
        <w:spacing w:before="0" w:after="0" w:line="240" w:lineRule="auto"/>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一、供应商须知前附表</w:t>
      </w:r>
    </w:p>
    <w:tbl>
      <w:tblPr>
        <w:tblStyle w:val="24"/>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959"/>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eastAsia" w:ascii="黑体" w:hAnsi="黑体" w:eastAsia="黑体" w:cs="黑体"/>
                <w:b/>
                <w:color w:val="auto"/>
                <w:sz w:val="24"/>
                <w:highlight w:val="none"/>
              </w:rPr>
            </w:pPr>
            <w:r>
              <w:rPr>
                <w:rFonts w:hint="eastAsia" w:ascii="黑体" w:hAnsi="黑体" w:eastAsia="黑体" w:cs="黑体"/>
                <w:b/>
                <w:color w:val="auto"/>
                <w:sz w:val="24"/>
                <w:highlight w:val="none"/>
              </w:rPr>
              <w:t>序号</w:t>
            </w:r>
          </w:p>
        </w:tc>
        <w:tc>
          <w:tcPr>
            <w:tcW w:w="1959" w:type="dxa"/>
            <w:noWrap w:val="0"/>
            <w:vAlign w:val="center"/>
          </w:tcPr>
          <w:p>
            <w:pPr>
              <w:jc w:val="center"/>
              <w:rPr>
                <w:rFonts w:hint="eastAsia" w:ascii="黑体" w:hAnsi="黑体" w:eastAsia="黑体" w:cs="黑体"/>
                <w:b/>
                <w:color w:val="auto"/>
                <w:sz w:val="24"/>
                <w:highlight w:val="none"/>
              </w:rPr>
            </w:pPr>
            <w:r>
              <w:rPr>
                <w:rFonts w:hint="eastAsia" w:ascii="黑体" w:hAnsi="黑体" w:eastAsia="黑体" w:cs="黑体"/>
                <w:b/>
                <w:color w:val="auto"/>
                <w:sz w:val="24"/>
                <w:highlight w:val="none"/>
              </w:rPr>
              <w:t>条款名称</w:t>
            </w:r>
          </w:p>
        </w:tc>
        <w:tc>
          <w:tcPr>
            <w:tcW w:w="6975" w:type="dxa"/>
            <w:noWrap w:val="0"/>
            <w:vAlign w:val="top"/>
          </w:tcPr>
          <w:p>
            <w:pPr>
              <w:jc w:val="center"/>
              <w:rPr>
                <w:rFonts w:hint="eastAsia" w:ascii="黑体" w:hAnsi="黑体" w:eastAsia="黑体" w:cs="黑体"/>
                <w:b/>
                <w:color w:val="auto"/>
                <w:sz w:val="24"/>
                <w:highlight w:val="none"/>
              </w:rPr>
            </w:pPr>
            <w:r>
              <w:rPr>
                <w:rFonts w:hint="eastAsia" w:ascii="黑体" w:hAnsi="黑体" w:eastAsia="黑体" w:cs="黑体"/>
                <w:b/>
                <w:color w:val="auto"/>
                <w:sz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799" w:type="dxa"/>
            <w:noWrap w:val="0"/>
            <w:vAlign w:val="center"/>
          </w:tcPr>
          <w:p>
            <w:pPr>
              <w:numPr>
                <w:ilvl w:val="0"/>
                <w:numId w:val="0"/>
              </w:numPr>
              <w:ind w:leftChars="0" w:firstLine="240" w:firstLineChars="100"/>
              <w:jc w:val="both"/>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w:t>
            </w:r>
          </w:p>
        </w:tc>
        <w:tc>
          <w:tcPr>
            <w:tcW w:w="1959"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采购人</w:t>
            </w:r>
          </w:p>
        </w:tc>
        <w:tc>
          <w:tcPr>
            <w:tcW w:w="6975" w:type="dxa"/>
            <w:noWrap w:val="0"/>
            <w:vAlign w:val="top"/>
          </w:tcPr>
          <w:p>
            <w:pPr>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名  称：宝鸡市金台区代家湾小学</w:t>
            </w:r>
          </w:p>
          <w:p>
            <w:pPr>
              <w:spacing w:line="460" w:lineRule="exact"/>
              <w:rPr>
                <w:rFonts w:hint="default"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eastAsia="zh-CN"/>
              </w:rPr>
              <w:t>联系人：</w:t>
            </w:r>
            <w:r>
              <w:rPr>
                <w:rFonts w:hint="eastAsia" w:ascii="黑体" w:hAnsi="黑体" w:eastAsia="黑体" w:cs="黑体"/>
                <w:color w:val="auto"/>
                <w:sz w:val="24"/>
                <w:szCs w:val="24"/>
                <w:highlight w:val="none"/>
                <w:lang w:val="en-US" w:eastAsia="zh-CN"/>
              </w:rPr>
              <w:t>党先生</w:t>
            </w:r>
          </w:p>
          <w:p>
            <w:pPr>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联系地址：宝鸡市金台区代家湾小学</w:t>
            </w:r>
          </w:p>
          <w:p>
            <w:pPr>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联系电话：13609279111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firstLine="240" w:firstLineChars="100"/>
              <w:jc w:val="both"/>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w:t>
            </w:r>
          </w:p>
        </w:tc>
        <w:tc>
          <w:tcPr>
            <w:tcW w:w="1959"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采购代理机构</w:t>
            </w:r>
          </w:p>
        </w:tc>
        <w:tc>
          <w:tcPr>
            <w:tcW w:w="6975" w:type="dxa"/>
            <w:noWrap w:val="0"/>
            <w:vAlign w:val="top"/>
          </w:tcPr>
          <w:p>
            <w:pPr>
              <w:spacing w:line="460" w:lineRule="exact"/>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名称：圣弘建设股份有限公司</w:t>
            </w:r>
          </w:p>
          <w:p>
            <w:pPr>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eastAsia="zh-CN"/>
              </w:rPr>
              <w:t>地址：</w:t>
            </w:r>
            <w:r>
              <w:rPr>
                <w:rFonts w:hint="eastAsia" w:ascii="黑体" w:hAnsi="黑体" w:eastAsia="黑体" w:cs="黑体"/>
                <w:color w:val="auto"/>
                <w:sz w:val="24"/>
                <w:szCs w:val="24"/>
                <w:highlight w:val="none"/>
                <w:lang w:val="en-US" w:eastAsia="zh-CN"/>
              </w:rPr>
              <w:t>宝鸡市</w:t>
            </w:r>
            <w:r>
              <w:rPr>
                <w:rFonts w:hint="eastAsia" w:ascii="黑体" w:hAnsi="黑体" w:eastAsia="黑体" w:cs="黑体"/>
                <w:color w:val="auto"/>
                <w:sz w:val="24"/>
                <w:szCs w:val="24"/>
                <w:highlight w:val="none"/>
                <w:lang w:eastAsia="zh-CN"/>
              </w:rPr>
              <w:t>行政东路三迪金融中心</w:t>
            </w:r>
            <w:r>
              <w:rPr>
                <w:rFonts w:hint="eastAsia" w:ascii="黑体" w:hAnsi="黑体" w:eastAsia="黑体" w:cs="黑体"/>
                <w:color w:val="auto"/>
                <w:sz w:val="24"/>
                <w:szCs w:val="24"/>
                <w:highlight w:val="none"/>
                <w:lang w:val="en-US" w:eastAsia="zh-CN"/>
              </w:rPr>
              <w:t>8楼</w:t>
            </w:r>
          </w:p>
          <w:p>
            <w:pPr>
              <w:spacing w:line="460" w:lineRule="exact"/>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项目联系人：</w:t>
            </w:r>
            <w:r>
              <w:rPr>
                <w:rFonts w:hint="eastAsia" w:ascii="黑体" w:hAnsi="黑体" w:eastAsia="黑体" w:cs="黑体"/>
                <w:color w:val="auto"/>
                <w:sz w:val="24"/>
                <w:szCs w:val="24"/>
                <w:highlight w:val="none"/>
                <w:lang w:val="en-US" w:eastAsia="zh-CN"/>
              </w:rPr>
              <w:t>刘</w:t>
            </w:r>
            <w:r>
              <w:rPr>
                <w:rFonts w:hint="eastAsia" w:ascii="黑体" w:hAnsi="黑体" w:eastAsia="黑体" w:cs="黑体"/>
                <w:color w:val="auto"/>
                <w:sz w:val="24"/>
                <w:szCs w:val="24"/>
                <w:highlight w:val="none"/>
                <w:lang w:eastAsia="zh-CN"/>
              </w:rPr>
              <w:t>女士</w:t>
            </w:r>
          </w:p>
          <w:p>
            <w:pPr>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eastAsia="zh-CN"/>
              </w:rPr>
              <w:t>电 话：</w:t>
            </w:r>
            <w:r>
              <w:rPr>
                <w:rFonts w:hint="eastAsia" w:ascii="黑体" w:hAnsi="黑体" w:eastAsia="黑体" w:cs="黑体"/>
                <w:color w:val="auto"/>
                <w:sz w:val="24"/>
                <w:szCs w:val="24"/>
                <w:highlight w:val="none"/>
                <w:lang w:val="en-US" w:eastAsia="zh-CN"/>
              </w:rPr>
              <w:t>13319179094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u w:val="none" w:color="auto"/>
              </w:rPr>
              <w:t>监督管理机构</w:t>
            </w:r>
          </w:p>
        </w:tc>
        <w:tc>
          <w:tcPr>
            <w:tcW w:w="6975" w:type="dxa"/>
            <w:noWrap w:val="0"/>
            <w:vAlign w:val="top"/>
          </w:tcPr>
          <w:p>
            <w:pPr>
              <w:pageBreakBefore w:val="0"/>
              <w:wordWrap/>
              <w:topLinePunct w:val="0"/>
              <w:bidi w:val="0"/>
              <w:spacing w:line="365" w:lineRule="auto"/>
              <w:textAlignment w:val="auto"/>
              <w:rPr>
                <w:rFonts w:hint="default" w:ascii="黑体" w:hAnsi="黑体" w:eastAsia="黑体" w:cs="黑体"/>
                <w:color w:val="auto"/>
                <w:sz w:val="24"/>
                <w:szCs w:val="24"/>
                <w:highlight w:val="none"/>
                <w:lang w:val="en-US"/>
              </w:rPr>
            </w:pPr>
            <w:r>
              <w:rPr>
                <w:rFonts w:hint="eastAsia" w:ascii="黑体" w:hAnsi="黑体" w:eastAsia="黑体" w:cs="黑体"/>
                <w:color w:val="auto"/>
                <w:sz w:val="24"/>
                <w:szCs w:val="24"/>
                <w:highlight w:val="none"/>
                <w:lang w:val="en-US" w:eastAsia="zh-CN"/>
              </w:rPr>
              <w:t>宝鸡市金台区财政局 金台区教育体育局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u w:val="none" w:color="auto"/>
              </w:rPr>
              <w:t>项目名称</w:t>
            </w:r>
          </w:p>
        </w:tc>
        <w:tc>
          <w:tcPr>
            <w:tcW w:w="6975" w:type="dxa"/>
            <w:noWrap w:val="0"/>
            <w:vAlign w:val="top"/>
          </w:tcPr>
          <w:p>
            <w:pPr>
              <w:pageBreakBefore w:val="0"/>
              <w:wordWrap/>
              <w:topLinePunct w:val="0"/>
              <w:bidi w:val="0"/>
              <w:spacing w:line="365" w:lineRule="auto"/>
              <w:textAlignment w:val="auto"/>
              <w:rPr>
                <w:rFonts w:hint="eastAsia" w:ascii="黑体" w:hAnsi="黑体" w:eastAsia="黑体" w:cs="黑体"/>
                <w:color w:val="auto"/>
                <w:sz w:val="24"/>
                <w:szCs w:val="24"/>
                <w:highlight w:val="none"/>
                <w:lang w:eastAsia="zh-CN"/>
              </w:rPr>
            </w:pPr>
            <w:r>
              <w:rPr>
                <w:rFonts w:hint="eastAsia" w:ascii="黑体" w:hAnsi="黑体" w:eastAsia="黑体" w:cs="黑体"/>
                <w:b w:val="0"/>
                <w:bCs/>
                <w:color w:val="auto"/>
                <w:sz w:val="24"/>
                <w:szCs w:val="24"/>
                <w:highlight w:val="none"/>
                <w:u w:val="none" w:color="FF0000"/>
                <w:lang w:val="en-US" w:eastAsia="zh-CN"/>
              </w:rPr>
              <w:t>宝鸡市金台区代家湾小学教学楼室内外粉刷工程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u w:val="none" w:color="auto"/>
              </w:rPr>
              <w:t>项目编号</w:t>
            </w:r>
          </w:p>
        </w:tc>
        <w:tc>
          <w:tcPr>
            <w:tcW w:w="6975" w:type="dxa"/>
            <w:noWrap w:val="0"/>
            <w:vAlign w:val="top"/>
          </w:tcPr>
          <w:p>
            <w:pPr>
              <w:pageBreakBefore w:val="0"/>
              <w:wordWrap/>
              <w:topLinePunct w:val="0"/>
              <w:bidi w:val="0"/>
              <w:spacing w:line="365" w:lineRule="auto"/>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u w:val="none" w:color="auto"/>
                <w:lang w:val="en-US" w:eastAsia="zh-CN"/>
              </w:rPr>
              <w:t>SHJS2022(056)号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w:t>
            </w:r>
          </w:p>
        </w:tc>
        <w:tc>
          <w:tcPr>
            <w:tcW w:w="1959" w:type="dxa"/>
            <w:noWrap w:val="0"/>
            <w:vAlign w:val="center"/>
          </w:tcPr>
          <w:p>
            <w:pPr>
              <w:pageBreakBefore w:val="0"/>
              <w:wordWrap/>
              <w:topLinePunct w:val="0"/>
              <w:bidi w:val="0"/>
              <w:spacing w:line="365" w:lineRule="auto"/>
              <w:ind w:firstLine="480" w:firstLineChars="200"/>
              <w:jc w:val="left"/>
              <w:textAlignment w:val="auto"/>
              <w:rPr>
                <w:rFonts w:hint="eastAsia" w:ascii="黑体" w:hAnsi="黑体" w:eastAsia="黑体" w:cs="黑体"/>
                <w:color w:val="auto"/>
                <w:sz w:val="24"/>
                <w:szCs w:val="24"/>
                <w:highlight w:val="none"/>
                <w:u w:val="none" w:color="auto"/>
                <w:lang w:val="en-US" w:eastAsia="zh-CN"/>
              </w:rPr>
            </w:pPr>
            <w:r>
              <w:rPr>
                <w:rFonts w:hint="eastAsia" w:ascii="黑体" w:hAnsi="黑体" w:eastAsia="黑体" w:cs="黑体"/>
                <w:color w:val="auto"/>
                <w:sz w:val="24"/>
                <w:szCs w:val="24"/>
                <w:highlight w:val="none"/>
                <w:u w:val="none" w:color="auto"/>
                <w:lang w:val="en-US" w:eastAsia="zh-CN"/>
              </w:rPr>
              <w:t>资金性质</w:t>
            </w:r>
          </w:p>
        </w:tc>
        <w:tc>
          <w:tcPr>
            <w:tcW w:w="6975" w:type="dxa"/>
            <w:noWrap w:val="0"/>
            <w:vAlign w:val="top"/>
          </w:tcPr>
          <w:p>
            <w:pPr>
              <w:pageBreakBefore w:val="0"/>
              <w:wordWrap/>
              <w:topLinePunct w:val="0"/>
              <w:bidi w:val="0"/>
              <w:spacing w:line="365" w:lineRule="auto"/>
              <w:jc w:val="left"/>
              <w:textAlignment w:val="auto"/>
              <w:rPr>
                <w:rFonts w:hint="eastAsia" w:ascii="黑体" w:hAnsi="黑体" w:eastAsia="黑体" w:cs="黑体"/>
                <w:color w:val="auto"/>
                <w:sz w:val="24"/>
                <w:szCs w:val="24"/>
                <w:highlight w:val="none"/>
                <w:u w:val="none" w:color="auto"/>
                <w:lang w:val="en-US" w:eastAsia="zh-CN"/>
              </w:rPr>
            </w:pPr>
            <w:r>
              <w:rPr>
                <w:rFonts w:hint="eastAsia" w:ascii="黑体" w:hAnsi="黑体" w:eastAsia="黑体" w:cs="黑体"/>
                <w:color w:val="auto"/>
                <w:sz w:val="24"/>
                <w:szCs w:val="24"/>
                <w:highlight w:val="none"/>
                <w:u w:val="none" w:color="auto"/>
                <w:lang w:val="en-US"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w:t>
            </w:r>
          </w:p>
        </w:tc>
        <w:tc>
          <w:tcPr>
            <w:tcW w:w="1959" w:type="dxa"/>
            <w:noWrap w:val="0"/>
            <w:vAlign w:val="center"/>
          </w:tcPr>
          <w:p>
            <w:pPr>
              <w:pageBreakBefore w:val="0"/>
              <w:wordWrap/>
              <w:topLinePunct w:val="0"/>
              <w:bidi w:val="0"/>
              <w:spacing w:line="365" w:lineRule="auto"/>
              <w:ind w:firstLine="480" w:firstLineChars="200"/>
              <w:jc w:val="left"/>
              <w:textAlignment w:val="auto"/>
              <w:rPr>
                <w:rFonts w:hint="eastAsia" w:ascii="黑体" w:hAnsi="黑体" w:eastAsia="黑体" w:cs="黑体"/>
                <w:color w:val="auto"/>
                <w:sz w:val="24"/>
                <w:szCs w:val="24"/>
                <w:highlight w:val="none"/>
                <w:u w:val="none" w:color="auto"/>
                <w:lang w:val="en-US" w:eastAsia="zh-CN"/>
              </w:rPr>
            </w:pPr>
            <w:r>
              <w:rPr>
                <w:rFonts w:hint="eastAsia" w:ascii="黑体" w:hAnsi="黑体" w:eastAsia="黑体" w:cs="黑体"/>
                <w:color w:val="auto"/>
                <w:sz w:val="24"/>
                <w:szCs w:val="24"/>
                <w:highlight w:val="none"/>
                <w:u w:val="none" w:color="auto"/>
                <w:lang w:val="en-US" w:eastAsia="zh-CN"/>
              </w:rPr>
              <w:t>项目预算</w:t>
            </w:r>
          </w:p>
          <w:p>
            <w:pPr>
              <w:pageBreakBefore w:val="0"/>
              <w:wordWrap/>
              <w:topLinePunct w:val="0"/>
              <w:bidi w:val="0"/>
              <w:spacing w:line="365" w:lineRule="auto"/>
              <w:ind w:firstLine="480" w:firstLineChars="200"/>
              <w:jc w:val="left"/>
              <w:textAlignment w:val="auto"/>
              <w:rPr>
                <w:rFonts w:hint="default" w:eastAsia="黑体"/>
                <w:lang w:val="en-US" w:eastAsia="zh-CN"/>
              </w:rPr>
            </w:pPr>
            <w:r>
              <w:rPr>
                <w:rFonts w:hint="eastAsia" w:ascii="黑体" w:hAnsi="黑体" w:eastAsia="黑体" w:cs="黑体"/>
                <w:color w:val="auto"/>
                <w:sz w:val="24"/>
                <w:szCs w:val="24"/>
                <w:highlight w:val="none"/>
                <w:u w:val="none" w:color="auto"/>
                <w:lang w:val="en-US" w:eastAsia="zh-CN"/>
              </w:rPr>
              <w:t>最高限价</w:t>
            </w:r>
          </w:p>
        </w:tc>
        <w:tc>
          <w:tcPr>
            <w:tcW w:w="6975" w:type="dxa"/>
            <w:noWrap w:val="0"/>
            <w:vAlign w:val="center"/>
          </w:tcPr>
          <w:p>
            <w:pPr>
              <w:pageBreakBefore w:val="0"/>
              <w:wordWrap/>
              <w:topLinePunct w:val="0"/>
              <w:bidi w:val="0"/>
              <w:spacing w:line="365" w:lineRule="auto"/>
              <w:jc w:val="left"/>
              <w:textAlignment w:val="auto"/>
              <w:rPr>
                <w:rFonts w:hint="eastAsia" w:ascii="黑体" w:hAnsi="黑体" w:eastAsia="黑体" w:cs="黑体"/>
                <w:color w:val="auto"/>
                <w:sz w:val="24"/>
                <w:szCs w:val="24"/>
                <w:highlight w:val="none"/>
                <w:u w:val="none" w:color="auto"/>
                <w:lang w:val="en-US" w:eastAsia="zh-CN"/>
              </w:rPr>
            </w:pPr>
            <w:r>
              <w:rPr>
                <w:rFonts w:hint="eastAsia" w:ascii="黑体" w:hAnsi="黑体" w:eastAsia="黑体" w:cs="黑体"/>
                <w:color w:val="auto"/>
                <w:sz w:val="24"/>
                <w:szCs w:val="24"/>
                <w:highlight w:val="none"/>
                <w:u w:val="none" w:color="auto"/>
                <w:lang w:val="en-US" w:eastAsia="zh-CN"/>
              </w:rPr>
              <w:t>1180626.92元</w:t>
            </w:r>
          </w:p>
          <w:p>
            <w:pPr>
              <w:pageBreakBefore w:val="0"/>
              <w:wordWrap/>
              <w:topLinePunct w:val="0"/>
              <w:bidi w:val="0"/>
              <w:spacing w:line="365" w:lineRule="auto"/>
              <w:jc w:val="left"/>
              <w:textAlignment w:val="auto"/>
              <w:rPr>
                <w:rFonts w:hint="eastAsia"/>
                <w:lang w:val="en-US" w:eastAsia="zh-CN"/>
              </w:rPr>
            </w:pPr>
            <w:r>
              <w:rPr>
                <w:rFonts w:hint="eastAsia" w:ascii="黑体" w:hAnsi="黑体" w:eastAsia="黑体" w:cs="黑体"/>
                <w:color w:val="auto"/>
                <w:sz w:val="24"/>
                <w:szCs w:val="24"/>
                <w:highlight w:val="none"/>
                <w:u w:val="none" w:color="auto"/>
                <w:lang w:val="en-US" w:eastAsia="zh-CN"/>
              </w:rPr>
              <w:t>1175972.53元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8</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u w:val="none" w:color="auto"/>
              </w:rPr>
              <w:t>项目用途</w:t>
            </w:r>
          </w:p>
        </w:tc>
        <w:tc>
          <w:tcPr>
            <w:tcW w:w="6975" w:type="dxa"/>
            <w:noWrap w:val="0"/>
            <w:vAlign w:val="center"/>
          </w:tcPr>
          <w:p>
            <w:pPr>
              <w:pageBreakBefore w:val="0"/>
              <w:wordWrap/>
              <w:topLinePunct w:val="0"/>
              <w:bidi w:val="0"/>
              <w:spacing w:line="365" w:lineRule="auto"/>
              <w:jc w:val="both"/>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b w:val="0"/>
                <w:bCs/>
                <w:color w:val="auto"/>
                <w:sz w:val="24"/>
                <w:szCs w:val="24"/>
                <w:highlight w:val="none"/>
                <w:u w:val="none" w:color="FF0000"/>
                <w:lang w:val="en-US" w:eastAsia="zh-CN"/>
              </w:rPr>
              <w:t>公用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9</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u w:val="none" w:color="auto"/>
              </w:rPr>
              <w:t>采购内容和要求</w:t>
            </w:r>
          </w:p>
        </w:tc>
        <w:tc>
          <w:tcPr>
            <w:tcW w:w="6975" w:type="dxa"/>
            <w:noWrap w:val="0"/>
            <w:vAlign w:val="center"/>
          </w:tcPr>
          <w:p>
            <w:pPr>
              <w:pStyle w:val="23"/>
              <w:keepNext w:val="0"/>
              <w:keepLines w:val="0"/>
              <w:pageBreakBefore w:val="0"/>
              <w:widowControl/>
              <w:suppressLineNumbers w:val="0"/>
              <w:wordWrap/>
              <w:topLinePunct w:val="0"/>
              <w:bidi w:val="0"/>
              <w:spacing w:line="365" w:lineRule="auto"/>
              <w:textAlignment w:val="auto"/>
              <w:rPr>
                <w:rFonts w:hint="eastAsia" w:ascii="黑体" w:hAnsi="黑体" w:eastAsia="黑体" w:cs="黑体"/>
                <w:color w:val="auto"/>
                <w:sz w:val="24"/>
                <w:szCs w:val="24"/>
                <w:highlight w:val="none"/>
                <w:lang w:val="en-US"/>
              </w:rPr>
            </w:pPr>
            <w:r>
              <w:rPr>
                <w:rFonts w:hint="eastAsia" w:ascii="黑体" w:hAnsi="黑体" w:eastAsia="黑体" w:cs="黑体"/>
                <w:color w:val="auto"/>
                <w:sz w:val="24"/>
                <w:szCs w:val="24"/>
                <w:highlight w:val="none"/>
              </w:rPr>
              <w:t>详见</w:t>
            </w:r>
            <w:r>
              <w:rPr>
                <w:rFonts w:hint="eastAsia" w:ascii="黑体" w:hAnsi="黑体" w:eastAsia="黑体" w:cs="黑体"/>
                <w:b w:val="0"/>
                <w:bCs/>
                <w:color w:val="auto"/>
                <w:sz w:val="24"/>
                <w:szCs w:val="24"/>
                <w:highlight w:val="none"/>
                <w:u w:val="none" w:color="FF0000"/>
                <w:lang w:val="en-US" w:eastAsia="zh-CN"/>
              </w:rPr>
              <w:t>磋商文件工程量清单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firstLine="240" w:firstLineChars="10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10</w:t>
            </w:r>
          </w:p>
        </w:tc>
        <w:tc>
          <w:tcPr>
            <w:tcW w:w="1959" w:type="dxa"/>
            <w:noWrap w:val="0"/>
            <w:vAlign w:val="center"/>
          </w:tcPr>
          <w:p>
            <w:pPr>
              <w:spacing w:line="480" w:lineRule="exact"/>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w:t>
            </w:r>
          </w:p>
        </w:tc>
        <w:tc>
          <w:tcPr>
            <w:tcW w:w="6975" w:type="dxa"/>
            <w:noWrap w:val="0"/>
            <w:vAlign w:val="top"/>
          </w:tcPr>
          <w:p>
            <w:pPr>
              <w:spacing w:line="42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响应</w:t>
            </w:r>
            <w:r>
              <w:rPr>
                <w:rFonts w:hint="eastAsia" w:ascii="黑体" w:hAnsi="黑体" w:eastAsia="黑体" w:cs="黑体"/>
                <w:color w:val="auto"/>
                <w:sz w:val="24"/>
                <w:highlight w:val="none"/>
              </w:rPr>
              <w:fldChar w:fldCharType="begin"/>
            </w:r>
            <w:r>
              <w:rPr>
                <w:rFonts w:hint="eastAsia" w:ascii="黑体" w:hAnsi="黑体" w:eastAsia="黑体" w:cs="黑体"/>
                <w:color w:val="auto"/>
                <w:sz w:val="24"/>
                <w:highlight w:val="none"/>
              </w:rPr>
              <w:instrText xml:space="preserve"> HYPERLINK "http://baike.baidu.com/view/8707.htm" \t "_blank" </w:instrText>
            </w:r>
            <w:r>
              <w:rPr>
                <w:rFonts w:hint="eastAsia" w:ascii="黑体" w:hAnsi="黑体" w:eastAsia="黑体" w:cs="黑体"/>
                <w:color w:val="auto"/>
                <w:sz w:val="24"/>
                <w:highlight w:val="none"/>
              </w:rPr>
              <w:fldChar w:fldCharType="separate"/>
            </w:r>
            <w:r>
              <w:rPr>
                <w:rFonts w:hint="eastAsia" w:ascii="黑体" w:hAnsi="黑体" w:eastAsia="黑体" w:cs="黑体"/>
                <w:color w:val="auto"/>
                <w:sz w:val="24"/>
                <w:highlight w:val="none"/>
              </w:rPr>
              <w:t>磋商</w:t>
            </w:r>
            <w:r>
              <w:rPr>
                <w:rFonts w:hint="eastAsia" w:ascii="黑体" w:hAnsi="黑体" w:eastAsia="黑体" w:cs="黑体"/>
                <w:color w:val="auto"/>
                <w:sz w:val="24"/>
                <w:highlight w:val="none"/>
              </w:rPr>
              <w:fldChar w:fldCharType="end"/>
            </w:r>
            <w:r>
              <w:rPr>
                <w:rFonts w:hint="eastAsia" w:ascii="黑体" w:hAnsi="黑体" w:eastAsia="黑体" w:cs="黑体"/>
                <w:color w:val="auto"/>
                <w:sz w:val="24"/>
                <w:highlight w:val="none"/>
              </w:rPr>
              <w:t>并且符合竞争性磋商文件规定资格条件和参加磋商竞争的法人。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firstLine="240" w:firstLineChars="10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11</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供应商资格要求</w:t>
            </w:r>
          </w:p>
        </w:tc>
        <w:tc>
          <w:tcPr>
            <w:tcW w:w="6975" w:type="dxa"/>
            <w:noWrap w:val="0"/>
            <w:vAlign w:val="top"/>
          </w:tcPr>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384" w:right="0" w:firstLine="0"/>
              <w:jc w:val="both"/>
              <w:rPr>
                <w:rFonts w:hint="eastAsia" w:ascii="黑体" w:hAnsi="黑体" w:eastAsia="黑体" w:cs="黑体"/>
                <w:color w:val="auto"/>
                <w:highlight w:val="none"/>
              </w:rPr>
            </w:pPr>
            <w:r>
              <w:rPr>
                <w:rFonts w:hint="eastAsia" w:ascii="黑体" w:hAnsi="黑体" w:eastAsia="黑体" w:cs="黑体"/>
                <w:i w:val="0"/>
                <w:iCs w:val="0"/>
                <w:caps w:val="0"/>
                <w:color w:val="auto"/>
                <w:spacing w:val="0"/>
                <w:sz w:val="24"/>
                <w:szCs w:val="24"/>
                <w:shd w:val="clear" w:fill="FFFFFF"/>
              </w:rPr>
              <w:t>（1）供应商须是具有独立承担民事责任能力的法人、其他组织或自然人，并出具合法有效的营业执照或事业单位法人证书等国家规定的相关证明，自然人参与的提供其身份证明； </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（2）供应商须提供</w:t>
            </w:r>
            <w:r>
              <w:rPr>
                <w:rFonts w:hint="eastAsia" w:ascii="黑体" w:hAnsi="黑体" w:eastAsia="黑体" w:cs="黑体"/>
                <w:i w:val="0"/>
                <w:iCs w:val="0"/>
                <w:caps w:val="0"/>
                <w:color w:val="auto"/>
                <w:spacing w:val="0"/>
                <w:sz w:val="24"/>
                <w:szCs w:val="24"/>
                <w:shd w:val="clear" w:fill="FFFFFF"/>
                <w:lang w:val="en-US" w:eastAsia="zh-CN"/>
              </w:rPr>
              <w:t>近3年中其中1年的</w:t>
            </w:r>
            <w:r>
              <w:rPr>
                <w:rFonts w:hint="eastAsia" w:ascii="黑体" w:hAnsi="黑体" w:eastAsia="黑体" w:cs="黑体"/>
                <w:i w:val="0"/>
                <w:iCs w:val="0"/>
                <w:caps w:val="0"/>
                <w:color w:val="auto"/>
                <w:spacing w:val="0"/>
                <w:sz w:val="24"/>
                <w:szCs w:val="24"/>
                <w:shd w:val="clear" w:fill="FFFFFF"/>
              </w:rPr>
              <w:t>财务审计报告（至少包括资产负债表和利润表，成立时间至提交磋商响应文件截止时间不足一年的可提供成立后任意时段的资产负债表）；</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（3）供应商须提供</w:t>
            </w:r>
            <w:r>
              <w:rPr>
                <w:rFonts w:hint="eastAsia" w:ascii="黑体" w:hAnsi="黑体" w:eastAsia="黑体" w:cs="黑体"/>
                <w:i w:val="0"/>
                <w:iCs w:val="0"/>
                <w:caps w:val="0"/>
                <w:color w:val="auto"/>
                <w:spacing w:val="0"/>
                <w:sz w:val="24"/>
                <w:szCs w:val="24"/>
                <w:shd w:val="clear" w:fill="FFFFFF"/>
                <w:lang w:val="en-US" w:eastAsia="zh-CN"/>
              </w:rPr>
              <w:t>近1年</w:t>
            </w:r>
            <w:r>
              <w:rPr>
                <w:rFonts w:hint="eastAsia" w:ascii="黑体" w:hAnsi="黑体" w:eastAsia="黑体" w:cs="黑体"/>
                <w:i w:val="0"/>
                <w:iCs w:val="0"/>
                <w:caps w:val="0"/>
                <w:color w:val="auto"/>
                <w:spacing w:val="0"/>
                <w:sz w:val="24"/>
                <w:szCs w:val="24"/>
                <w:shd w:val="clear" w:fill="FFFFFF"/>
              </w:rPr>
              <w:t>已缴存的至少一个月的社会保险参保缴费情况证明，依法不需要缴纳社会保障资金的单位应提供相关证明材料；</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（4）供应商须提供</w:t>
            </w:r>
            <w:r>
              <w:rPr>
                <w:rFonts w:hint="eastAsia" w:ascii="黑体" w:hAnsi="黑体" w:eastAsia="黑体" w:cs="黑体"/>
                <w:i w:val="0"/>
                <w:iCs w:val="0"/>
                <w:caps w:val="0"/>
                <w:color w:val="auto"/>
                <w:spacing w:val="0"/>
                <w:sz w:val="24"/>
                <w:szCs w:val="24"/>
                <w:shd w:val="clear" w:fill="FFFFFF"/>
                <w:lang w:val="en-US" w:eastAsia="zh-CN"/>
              </w:rPr>
              <w:t>近1年</w:t>
            </w:r>
            <w:r>
              <w:rPr>
                <w:rFonts w:hint="eastAsia" w:ascii="黑体" w:hAnsi="黑体" w:eastAsia="黑体" w:cs="黑体"/>
                <w:i w:val="0"/>
                <w:iCs w:val="0"/>
                <w:caps w:val="0"/>
                <w:color w:val="auto"/>
                <w:spacing w:val="0"/>
                <w:sz w:val="24"/>
                <w:szCs w:val="24"/>
                <w:shd w:val="clear" w:fill="FFFFFF"/>
              </w:rPr>
              <w:t>已缴纳的至少一个月的纳税证明或完税证明，依法免税的单位应提供相关证明材料；</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（5）供应商不得为“信用中国”网站（www.creditchina.gov.cn）中列入失信被执行人和</w:t>
            </w:r>
            <w:r>
              <w:rPr>
                <w:rFonts w:hint="eastAsia" w:ascii="黑体" w:hAnsi="黑体" w:eastAsia="黑体" w:cs="黑体"/>
                <w:i w:val="0"/>
                <w:iCs w:val="0"/>
                <w:caps w:val="0"/>
                <w:color w:val="auto"/>
                <w:spacing w:val="0"/>
                <w:sz w:val="24"/>
                <w:szCs w:val="24"/>
                <w:shd w:val="clear" w:fill="FFFFFF"/>
                <w:lang w:eastAsia="zh-CN"/>
              </w:rPr>
              <w:t>严重失信主体名单</w:t>
            </w:r>
            <w:r>
              <w:rPr>
                <w:rFonts w:hint="eastAsia" w:ascii="黑体" w:hAnsi="黑体" w:eastAsia="黑体" w:cs="黑体"/>
                <w:i w:val="0"/>
                <w:iCs w:val="0"/>
                <w:caps w:val="0"/>
                <w:color w:val="auto"/>
                <w:spacing w:val="0"/>
                <w:sz w:val="24"/>
                <w:szCs w:val="24"/>
                <w:shd w:val="clear" w:fill="FFFFFF"/>
              </w:rPr>
              <w:t>的供应商，不得为中国政府采购网（www.ccgp.gov.cn）政府采购严重违法失信行为记录名单中被财政部门禁止参加政府采购活动的供应商；</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（6）单位负责人为同一人或者存在直接控股、管理关系的不同供应商，不得参加同一合同项下的政府采购活动（通过“国家企业信用信息公示系统”查询的打印件或截图，加盖供应商公章）；</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（7）供应商须提供企业开具的近三年在政府采购经营活动中无重大违法记录声明;</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8）供应商须授权合法的人员参加磋商全过程，其中法定代表人直接参加磋商的，须出具法定代表人资格证明书及身份证，并与营业执照上信息一致；法定代表人授权代表参加磋商的，须出具法定代表人资格证明书、授权书及被授权代表身份证、近三个月职工基本养老保险个人账户证明（缴纳单位应与投标供应商一致）； </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（9）供应商须提供具有履行合同所必需的设备和专业技术能力的承诺书；</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（10）供应商须在陕西省政府采购网（http://www.ccgp-shaanxi.gov.cn/），按照“供应商注册注意事项”要求，完成注册审核（注册公示截图加盖供应商公章）；</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（11）供应商须具备建筑工程施工总承包</w:t>
            </w:r>
            <w:r>
              <w:rPr>
                <w:rFonts w:hint="eastAsia" w:ascii="黑体" w:hAnsi="黑体" w:eastAsia="黑体" w:cs="黑体"/>
                <w:i w:val="0"/>
                <w:iCs w:val="0"/>
                <w:caps w:val="0"/>
                <w:color w:val="auto"/>
                <w:spacing w:val="0"/>
                <w:sz w:val="24"/>
                <w:szCs w:val="24"/>
                <w:shd w:val="clear" w:fill="FFFFFF"/>
                <w:lang w:val="en-US" w:eastAsia="zh-CN"/>
              </w:rPr>
              <w:t>三</w:t>
            </w:r>
            <w:r>
              <w:rPr>
                <w:rFonts w:hint="eastAsia" w:ascii="黑体" w:hAnsi="黑体" w:eastAsia="黑体" w:cs="黑体"/>
                <w:i w:val="0"/>
                <w:iCs w:val="0"/>
                <w:caps w:val="0"/>
                <w:color w:val="auto"/>
                <w:spacing w:val="0"/>
                <w:sz w:val="24"/>
                <w:szCs w:val="24"/>
                <w:shd w:val="clear" w:fill="FFFFFF"/>
              </w:rPr>
              <w:t>级（含</w:t>
            </w:r>
            <w:r>
              <w:rPr>
                <w:rFonts w:hint="eastAsia" w:ascii="黑体" w:hAnsi="黑体" w:eastAsia="黑体" w:cs="黑体"/>
                <w:i w:val="0"/>
                <w:iCs w:val="0"/>
                <w:caps w:val="0"/>
                <w:color w:val="auto"/>
                <w:spacing w:val="0"/>
                <w:sz w:val="24"/>
                <w:szCs w:val="24"/>
                <w:shd w:val="clear" w:fill="FFFFFF"/>
                <w:lang w:val="en-US" w:eastAsia="zh-CN"/>
              </w:rPr>
              <w:t>三</w:t>
            </w:r>
            <w:r>
              <w:rPr>
                <w:rFonts w:hint="eastAsia" w:ascii="黑体" w:hAnsi="黑体" w:eastAsia="黑体" w:cs="黑体"/>
                <w:i w:val="0"/>
                <w:iCs w:val="0"/>
                <w:caps w:val="0"/>
                <w:color w:val="auto"/>
                <w:spacing w:val="0"/>
                <w:sz w:val="24"/>
                <w:szCs w:val="24"/>
                <w:shd w:val="clear" w:fill="FFFFFF"/>
              </w:rPr>
              <w:t>级）及以上资质，具有有效的安全生产许可证；拟派项目经理具有建筑工程专业二级及以上注册建造师执业资格，并持有有效的安全生产考核合格证，且无在建项目（提供项目经理无在建承诺函），提供“陕西省建筑市场监管与诚信信息一体化平台中的企业及项目经理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12</w:t>
            </w:r>
          </w:p>
        </w:tc>
        <w:tc>
          <w:tcPr>
            <w:tcW w:w="1959" w:type="dxa"/>
            <w:shd w:val="clear" w:color="auto" w:fill="FFFFFF" w:themeFill="background1"/>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工期</w:t>
            </w:r>
            <w:r>
              <w:rPr>
                <w:rFonts w:hint="eastAsia" w:ascii="黑体" w:hAnsi="黑体" w:eastAsia="黑体" w:cs="黑体"/>
                <w:color w:val="auto"/>
                <w:sz w:val="24"/>
                <w:highlight w:val="none"/>
              </w:rPr>
              <w:t>、地点</w:t>
            </w:r>
          </w:p>
        </w:tc>
        <w:tc>
          <w:tcPr>
            <w:tcW w:w="6975" w:type="dxa"/>
            <w:shd w:val="clear" w:color="auto" w:fill="FFFFFF" w:themeFill="background1"/>
            <w:noWrap w:val="0"/>
            <w:vAlign w:val="top"/>
          </w:tcPr>
          <w:p>
            <w:pPr>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工期：自合同签订之日起18日历天内完成。</w:t>
            </w:r>
          </w:p>
          <w:p>
            <w:pPr>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lang w:val="en-US" w:eastAsia="zh-CN"/>
              </w:rPr>
              <w:t>地点</w:t>
            </w:r>
            <w:r>
              <w:rPr>
                <w:rFonts w:hint="eastAsia" w:ascii="黑体" w:hAnsi="黑体" w:eastAsia="黑体" w:cs="黑体"/>
                <w:color w:val="auto"/>
                <w:sz w:val="24"/>
                <w:szCs w:val="24"/>
                <w:highlight w:val="none"/>
                <w:lang w:val="zh-CN" w:eastAsia="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13</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竞争性磋商文件发售</w:t>
            </w:r>
          </w:p>
        </w:tc>
        <w:tc>
          <w:tcPr>
            <w:tcW w:w="6975" w:type="dxa"/>
            <w:noWrap w:val="0"/>
            <w:vAlign w:val="top"/>
          </w:tcPr>
          <w:p>
            <w:pPr>
              <w:pStyle w:val="56"/>
              <w:spacing w:line="460" w:lineRule="exact"/>
              <w:ind w:left="240" w:hanging="240" w:hangingChars="1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发售时间</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lang w:val="en-US" w:eastAsia="zh-CN"/>
              </w:rPr>
              <w:t>2022年07月27日至2022年08月02日</w:t>
            </w:r>
            <w:r>
              <w:rPr>
                <w:rFonts w:hint="eastAsia" w:ascii="黑体" w:hAnsi="黑体" w:eastAsia="黑体" w:cs="黑体"/>
                <w:color w:val="auto"/>
                <w:sz w:val="24"/>
                <w:szCs w:val="24"/>
                <w:highlight w:val="none"/>
                <w:lang w:eastAsia="zh-CN"/>
              </w:rPr>
              <w:t>9:00</w:t>
            </w:r>
            <w:r>
              <w:rPr>
                <w:rFonts w:hint="eastAsia" w:ascii="黑体" w:hAnsi="黑体" w:eastAsia="黑体" w:cs="黑体"/>
                <w:color w:val="auto"/>
                <w:sz w:val="24"/>
                <w:szCs w:val="24"/>
                <w:highlight w:val="none"/>
                <w:lang w:val="en-US" w:eastAsia="zh-CN"/>
              </w:rPr>
              <w:t>-</w:t>
            </w:r>
            <w:r>
              <w:rPr>
                <w:rFonts w:hint="eastAsia" w:ascii="黑体" w:hAnsi="黑体" w:eastAsia="黑体" w:cs="黑体"/>
                <w:color w:val="auto"/>
                <w:sz w:val="24"/>
                <w:szCs w:val="24"/>
                <w:highlight w:val="none"/>
                <w:lang w:eastAsia="zh-CN"/>
              </w:rPr>
              <w:t>17:00止</w:t>
            </w:r>
            <w:r>
              <w:rPr>
                <w:rFonts w:hint="eastAsia" w:ascii="黑体" w:hAnsi="黑体" w:eastAsia="黑体" w:cs="黑体"/>
                <w:color w:val="auto"/>
                <w:sz w:val="24"/>
                <w:szCs w:val="24"/>
                <w:highlight w:val="none"/>
              </w:rPr>
              <w:t>（双休日及法定节假日除外）。</w:t>
            </w:r>
          </w:p>
          <w:p>
            <w:pPr>
              <w:pStyle w:val="56"/>
              <w:spacing w:line="460" w:lineRule="exact"/>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rPr>
              <w:t>发售地点：</w:t>
            </w:r>
            <w:r>
              <w:rPr>
                <w:rFonts w:hint="eastAsia" w:ascii="黑体" w:hAnsi="黑体" w:eastAsia="黑体" w:cs="黑体"/>
                <w:color w:val="auto"/>
                <w:sz w:val="24"/>
                <w:szCs w:val="24"/>
                <w:highlight w:val="none"/>
                <w:lang w:eastAsia="zh-CN"/>
              </w:rPr>
              <w:t>在线获取。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14</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联合体磋商</w:t>
            </w:r>
          </w:p>
        </w:tc>
        <w:tc>
          <w:tcPr>
            <w:tcW w:w="6975" w:type="dxa"/>
            <w:noWrap w:val="0"/>
            <w:vAlign w:val="top"/>
          </w:tcPr>
          <w:p>
            <w:pPr>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15</w:t>
            </w:r>
          </w:p>
        </w:tc>
        <w:tc>
          <w:tcPr>
            <w:tcW w:w="1959" w:type="dxa"/>
            <w:noWrap w:val="0"/>
            <w:vAlign w:val="center"/>
          </w:tcPr>
          <w:p>
            <w:pPr>
              <w:spacing w:line="460" w:lineRule="exact"/>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现场勘查、标前答疑会</w:t>
            </w:r>
          </w:p>
        </w:tc>
        <w:tc>
          <w:tcPr>
            <w:tcW w:w="6975" w:type="dxa"/>
            <w:noWrap w:val="0"/>
            <w:vAlign w:val="center"/>
          </w:tcPr>
          <w:p>
            <w:pPr>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不</w:t>
            </w:r>
            <w:r>
              <w:rPr>
                <w:rFonts w:hint="eastAsia" w:ascii="黑体" w:hAnsi="黑体" w:eastAsia="黑体" w:cs="黑体"/>
                <w:color w:val="auto"/>
                <w:sz w:val="24"/>
                <w:highlight w:val="none"/>
                <w:lang w:eastAsia="zh-CN"/>
              </w:rPr>
              <w:t>统一</w:t>
            </w:r>
            <w:r>
              <w:rPr>
                <w:rFonts w:hint="eastAsia" w:ascii="黑体" w:hAnsi="黑体" w:eastAsia="黑体" w:cs="黑体"/>
                <w:color w:val="auto"/>
                <w:sz w:val="24"/>
                <w:highlight w:val="none"/>
              </w:rPr>
              <w:t>组织。供应商认为有必要可自行勘查，并承担所有费用及风险。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16</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供应商对竞争性磋商文件提出质疑的时间</w:t>
            </w:r>
          </w:p>
        </w:tc>
        <w:tc>
          <w:tcPr>
            <w:tcW w:w="6975" w:type="dxa"/>
            <w:noWrap w:val="0"/>
            <w:vAlign w:val="top"/>
          </w:tcPr>
          <w:p>
            <w:pPr>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rPr>
              <w:t>可在</w:t>
            </w:r>
            <w:r>
              <w:rPr>
                <w:rFonts w:hint="eastAsia" w:ascii="黑体" w:hAnsi="黑体" w:eastAsia="黑体" w:cs="黑体"/>
                <w:color w:val="auto"/>
                <w:sz w:val="24"/>
                <w:szCs w:val="24"/>
                <w:highlight w:val="none"/>
                <w:lang w:eastAsia="zh-CN"/>
              </w:rPr>
              <w:t>领取磋商文件之日起或</w:t>
            </w:r>
            <w:r>
              <w:rPr>
                <w:rFonts w:hint="eastAsia" w:ascii="黑体" w:hAnsi="黑体" w:eastAsia="黑体" w:cs="黑体"/>
                <w:color w:val="auto"/>
                <w:sz w:val="24"/>
                <w:szCs w:val="24"/>
                <w:highlight w:val="none"/>
              </w:rPr>
              <w:t>本项目</w:t>
            </w:r>
            <w:r>
              <w:rPr>
                <w:rFonts w:hint="eastAsia" w:ascii="黑体" w:hAnsi="黑体" w:eastAsia="黑体" w:cs="黑体"/>
                <w:color w:val="auto"/>
                <w:sz w:val="24"/>
                <w:szCs w:val="24"/>
                <w:highlight w:val="none"/>
                <w:lang w:eastAsia="zh-CN"/>
              </w:rPr>
              <w:t>磋商</w:t>
            </w:r>
            <w:r>
              <w:rPr>
                <w:rFonts w:hint="eastAsia" w:ascii="黑体" w:hAnsi="黑体" w:eastAsia="黑体" w:cs="黑体"/>
                <w:color w:val="auto"/>
                <w:sz w:val="24"/>
                <w:szCs w:val="24"/>
                <w:highlight w:val="none"/>
              </w:rPr>
              <w:t>公告期限届满之日起七个工作日内，以书面形式向采购代理机构一次性提出，</w:t>
            </w:r>
            <w:r>
              <w:rPr>
                <w:rFonts w:hint="eastAsia" w:ascii="黑体" w:hAnsi="黑体" w:eastAsia="黑体" w:cs="黑体"/>
                <w:color w:val="auto"/>
                <w:sz w:val="24"/>
                <w:highlight w:val="none"/>
              </w:rPr>
              <w:t>在此之后提出的质疑无效</w:t>
            </w:r>
            <w:r>
              <w:rPr>
                <w:rFonts w:hint="eastAsia" w:ascii="黑体" w:hAnsi="黑体" w:eastAsia="黑体" w:cs="黑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17</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构成竞争性磋商文件的其他文件</w:t>
            </w:r>
          </w:p>
        </w:tc>
        <w:tc>
          <w:tcPr>
            <w:tcW w:w="6975" w:type="dxa"/>
            <w:noWrap w:val="0"/>
            <w:vAlign w:val="top"/>
          </w:tcPr>
          <w:p>
            <w:pPr>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竞争性磋商文件的澄清、修改及有关补充通知</w:t>
            </w:r>
            <w:r>
              <w:rPr>
                <w:rFonts w:hint="eastAsia" w:ascii="黑体" w:hAnsi="黑体" w:eastAsia="黑体" w:cs="黑体"/>
                <w:color w:val="auto"/>
                <w:sz w:val="24"/>
                <w:highlight w:val="none"/>
                <w:lang w:eastAsia="zh-CN"/>
              </w:rPr>
              <w:t>均</w:t>
            </w:r>
            <w:r>
              <w:rPr>
                <w:rFonts w:hint="eastAsia" w:ascii="黑体" w:hAnsi="黑体" w:eastAsia="黑体" w:cs="黑体"/>
                <w:color w:val="auto"/>
                <w:sz w:val="24"/>
                <w:highlight w:val="none"/>
              </w:rPr>
              <w:t>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18</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磋商响应文件提交截止时间及磋商时间和地点</w:t>
            </w:r>
          </w:p>
        </w:tc>
        <w:tc>
          <w:tcPr>
            <w:tcW w:w="6975" w:type="dxa"/>
            <w:noWrap w:val="0"/>
            <w:vAlign w:val="top"/>
          </w:tcPr>
          <w:p>
            <w:pPr>
              <w:spacing w:line="360" w:lineRule="auto"/>
              <w:rPr>
                <w:rFonts w:hint="eastAsia" w:ascii="黑体" w:hAnsi="黑体" w:eastAsia="黑体" w:cs="黑体"/>
                <w:i w:val="0"/>
                <w:iCs w:val="0"/>
                <w:caps w:val="0"/>
                <w:color w:val="auto"/>
                <w:spacing w:val="0"/>
                <w:kern w:val="0"/>
                <w:sz w:val="24"/>
                <w:szCs w:val="24"/>
                <w:highlight w:val="none"/>
                <w:shd w:val="clear" w:fill="FFFFFF"/>
                <w:lang w:val="en-US" w:eastAsia="zh-CN" w:bidi="ar-SA"/>
              </w:rPr>
            </w:pPr>
            <w:r>
              <w:rPr>
                <w:rFonts w:hint="eastAsia" w:ascii="黑体" w:hAnsi="黑体" w:eastAsia="黑体" w:cs="黑体"/>
                <w:color w:val="auto"/>
                <w:sz w:val="24"/>
                <w:szCs w:val="24"/>
                <w:highlight w:val="none"/>
                <w:lang w:val="en-US" w:eastAsia="zh-CN"/>
              </w:rPr>
              <w:t>1、磋商响应文件提交截止时间：</w:t>
            </w:r>
            <w:r>
              <w:rPr>
                <w:rFonts w:hint="eastAsia" w:ascii="黑体" w:hAnsi="黑体" w:eastAsia="黑体" w:cs="黑体"/>
                <w:i w:val="0"/>
                <w:iCs w:val="0"/>
                <w:caps w:val="0"/>
                <w:color w:val="auto"/>
                <w:spacing w:val="0"/>
                <w:kern w:val="0"/>
                <w:sz w:val="24"/>
                <w:szCs w:val="24"/>
                <w:highlight w:val="none"/>
                <w:shd w:val="clear" w:fill="FFFFFF"/>
                <w:lang w:val="en-US" w:eastAsia="zh-CN" w:bidi="ar-SA"/>
              </w:rPr>
              <w:t>2022年08月08日09时00分</w:t>
            </w:r>
          </w:p>
          <w:p>
            <w:pPr>
              <w:spacing w:line="360" w:lineRule="auto"/>
              <w:rPr>
                <w:rFonts w:hint="eastAsia" w:ascii="黑体" w:hAnsi="黑体" w:eastAsia="黑体" w:cs="黑体"/>
                <w:i w:val="0"/>
                <w:iCs w:val="0"/>
                <w:caps w:val="0"/>
                <w:color w:val="auto"/>
                <w:spacing w:val="0"/>
                <w:kern w:val="0"/>
                <w:sz w:val="24"/>
                <w:szCs w:val="24"/>
                <w:highlight w:val="none"/>
                <w:shd w:val="clear" w:fill="FFFFFF"/>
                <w:lang w:val="en-US" w:eastAsia="zh-CN" w:bidi="ar-SA"/>
              </w:rPr>
            </w:pPr>
            <w:r>
              <w:rPr>
                <w:rFonts w:hint="eastAsia" w:ascii="黑体" w:hAnsi="黑体" w:eastAsia="黑体" w:cs="黑体"/>
                <w:i w:val="0"/>
                <w:iCs w:val="0"/>
                <w:caps w:val="0"/>
                <w:color w:val="auto"/>
                <w:spacing w:val="0"/>
                <w:kern w:val="0"/>
                <w:sz w:val="24"/>
                <w:szCs w:val="24"/>
                <w:highlight w:val="none"/>
                <w:shd w:val="clear" w:fill="FFFFFF"/>
                <w:lang w:val="en-US" w:eastAsia="zh-CN" w:bidi="ar-SA"/>
              </w:rPr>
              <w:t>2、磋商时间：2022年08月08日09时00分</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5" w:lineRule="auto"/>
              <w:ind w:right="0"/>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i w:val="0"/>
                <w:iCs w:val="0"/>
                <w:caps w:val="0"/>
                <w:color w:val="auto"/>
                <w:spacing w:val="0"/>
                <w:kern w:val="0"/>
                <w:sz w:val="24"/>
                <w:szCs w:val="24"/>
                <w:highlight w:val="none"/>
                <w:shd w:val="clear" w:fill="FFFFFF"/>
                <w:lang w:val="en-US" w:eastAsia="zh-CN" w:bidi="ar-SA"/>
              </w:rPr>
              <w:t xml:space="preserve">3、磋商响应文件提交及磋商地点：宝鸡市公共资源交易中心五楼第9开标室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19</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磋商响应有效期</w:t>
            </w:r>
          </w:p>
        </w:tc>
        <w:tc>
          <w:tcPr>
            <w:tcW w:w="6975" w:type="dxa"/>
            <w:noWrap w:val="0"/>
            <w:vAlign w:val="top"/>
          </w:tcPr>
          <w:p>
            <w:pPr>
              <w:spacing w:line="460" w:lineRule="exact"/>
              <w:rPr>
                <w:rFonts w:hint="eastAsia" w:ascii="黑体" w:hAnsi="黑体" w:eastAsia="黑体" w:cs="黑体"/>
                <w:color w:val="auto"/>
                <w:sz w:val="24"/>
                <w:highlight w:val="none"/>
              </w:rPr>
            </w:pPr>
            <w:r>
              <w:rPr>
                <w:rFonts w:hint="eastAsia" w:ascii="黑体" w:hAnsi="黑体" w:eastAsia="黑体" w:cs="黑体"/>
                <w:color w:val="auto"/>
                <w:spacing w:val="-4"/>
                <w:sz w:val="24"/>
                <w:highlight w:val="none"/>
              </w:rPr>
              <w:t>自磋商之日起</w:t>
            </w:r>
            <w:r>
              <w:rPr>
                <w:rFonts w:hint="eastAsia" w:ascii="黑体" w:hAnsi="黑体" w:eastAsia="黑体" w:cs="黑体"/>
                <w:color w:val="auto"/>
                <w:spacing w:val="-4"/>
                <w:sz w:val="24"/>
                <w:highlight w:val="none"/>
                <w:lang w:val="en-US" w:eastAsia="zh-CN"/>
              </w:rPr>
              <w:t>计</w:t>
            </w:r>
            <w:r>
              <w:rPr>
                <w:rFonts w:hint="eastAsia" w:ascii="黑体" w:hAnsi="黑体" w:eastAsia="黑体" w:cs="黑体"/>
                <w:color w:val="auto"/>
                <w:spacing w:val="-4"/>
                <w:sz w:val="24"/>
                <w:highlight w:val="none"/>
              </w:rPr>
              <w:t>算90日历日。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20</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磋商担保</w:t>
            </w:r>
          </w:p>
        </w:tc>
        <w:tc>
          <w:tcPr>
            <w:tcW w:w="6975" w:type="dxa"/>
            <w:noWrap w:val="0"/>
            <w:vAlign w:val="top"/>
          </w:tcPr>
          <w:p>
            <w:pPr>
              <w:spacing w:line="460" w:lineRule="exact"/>
              <w:rPr>
                <w:rFonts w:hint="eastAsia" w:ascii="黑体" w:hAnsi="黑体" w:eastAsia="黑体" w:cs="黑体"/>
                <w:color w:val="auto"/>
                <w:spacing w:val="-4"/>
                <w:sz w:val="24"/>
                <w:szCs w:val="24"/>
                <w:lang w:val="en-US" w:eastAsia="zh-CN"/>
              </w:rPr>
            </w:pPr>
            <w:r>
              <w:rPr>
                <w:rFonts w:hint="eastAsia" w:ascii="黑体" w:hAnsi="黑体" w:eastAsia="黑体" w:cs="黑体"/>
                <w:color w:val="auto"/>
                <w:spacing w:val="-4"/>
                <w:sz w:val="24"/>
                <w:szCs w:val="24"/>
                <w:lang w:val="en-US" w:eastAsia="zh-CN"/>
              </w:rPr>
              <w:t>磋商</w:t>
            </w:r>
            <w:r>
              <w:rPr>
                <w:rFonts w:hint="eastAsia" w:ascii="黑体" w:hAnsi="黑体" w:eastAsia="黑体" w:cs="黑体"/>
                <w:color w:val="auto"/>
                <w:spacing w:val="-4"/>
                <w:sz w:val="24"/>
                <w:szCs w:val="24"/>
                <w:lang w:eastAsia="zh-CN"/>
              </w:rPr>
              <w:t>保证金金额：</w:t>
            </w:r>
            <w:r>
              <w:rPr>
                <w:rFonts w:hint="eastAsia" w:ascii="黑体" w:hAnsi="黑体" w:eastAsia="黑体" w:cs="黑体"/>
                <w:color w:val="auto"/>
                <w:spacing w:val="-4"/>
                <w:sz w:val="24"/>
                <w:szCs w:val="24"/>
                <w:lang w:val="en-US" w:eastAsia="zh-CN"/>
              </w:rPr>
              <w:tab/>
            </w:r>
          </w:p>
          <w:p>
            <w:pPr>
              <w:spacing w:line="460" w:lineRule="exact"/>
              <w:rPr>
                <w:rFonts w:hint="eastAsia" w:ascii="黑体" w:hAnsi="黑体" w:eastAsia="黑体" w:cs="黑体"/>
                <w:color w:val="auto"/>
                <w:spacing w:val="-4"/>
                <w:sz w:val="24"/>
                <w:szCs w:val="24"/>
                <w:lang w:val="en-US" w:eastAsia="zh-CN"/>
              </w:rPr>
            </w:pPr>
            <w:r>
              <w:rPr>
                <w:rFonts w:hint="eastAsia" w:ascii="黑体" w:hAnsi="黑体" w:eastAsia="黑体" w:cs="黑体"/>
                <w:color w:val="auto"/>
                <w:spacing w:val="-4"/>
                <w:sz w:val="24"/>
                <w:szCs w:val="24"/>
                <w:lang w:val="en-US" w:eastAsia="zh-CN"/>
              </w:rPr>
              <w:t>磋商保证金：人民币贰万元整（20000.00元）</w:t>
            </w:r>
          </w:p>
          <w:p>
            <w:pPr>
              <w:spacing w:line="460" w:lineRule="exact"/>
              <w:rPr>
                <w:rFonts w:hint="eastAsia" w:ascii="黑体" w:hAnsi="黑体" w:eastAsia="黑体" w:cs="黑体"/>
                <w:color w:val="auto"/>
                <w:spacing w:val="-4"/>
                <w:sz w:val="24"/>
                <w:szCs w:val="24"/>
              </w:rPr>
            </w:pPr>
            <w:r>
              <w:rPr>
                <w:rFonts w:hint="eastAsia" w:ascii="黑体" w:hAnsi="黑体" w:eastAsia="黑体" w:cs="黑体"/>
                <w:color w:val="auto"/>
                <w:spacing w:val="-4"/>
                <w:sz w:val="24"/>
                <w:szCs w:val="24"/>
              </w:rPr>
              <w:t>投标保证金的形式：银行保函或基本户转账</w:t>
            </w:r>
          </w:p>
          <w:p>
            <w:pPr>
              <w:spacing w:line="460" w:lineRule="exact"/>
              <w:rPr>
                <w:rFonts w:hint="eastAsia" w:ascii="黑体" w:hAnsi="黑体" w:eastAsia="黑体" w:cs="黑体"/>
                <w:color w:val="auto"/>
                <w:spacing w:val="-4"/>
                <w:sz w:val="24"/>
                <w:szCs w:val="24"/>
                <w:lang w:eastAsia="zh-CN"/>
              </w:rPr>
            </w:pPr>
            <w:r>
              <w:rPr>
                <w:rFonts w:hint="eastAsia" w:ascii="黑体" w:hAnsi="黑体" w:eastAsia="黑体" w:cs="黑体"/>
                <w:color w:val="auto"/>
                <w:spacing w:val="-4"/>
                <w:sz w:val="24"/>
                <w:szCs w:val="24"/>
                <w:lang w:eastAsia="zh-CN"/>
              </w:rPr>
              <w:t>投标保证金账户</w:t>
            </w:r>
            <w:r>
              <w:rPr>
                <w:rFonts w:hint="eastAsia" w:ascii="黑体" w:hAnsi="黑体" w:eastAsia="黑体" w:cs="黑体"/>
                <w:color w:val="auto"/>
                <w:spacing w:val="-4"/>
                <w:sz w:val="24"/>
                <w:szCs w:val="24"/>
              </w:rPr>
              <w:t>名称：</w:t>
            </w:r>
            <w:r>
              <w:rPr>
                <w:rFonts w:hint="eastAsia" w:ascii="黑体" w:hAnsi="黑体" w:eastAsia="黑体" w:cs="黑体"/>
                <w:color w:val="auto"/>
                <w:spacing w:val="-4"/>
                <w:sz w:val="24"/>
                <w:szCs w:val="24"/>
                <w:lang w:val="zh-CN" w:eastAsia="zh-CN"/>
              </w:rPr>
              <w:t>宝鸡市公共资源交易中心保证金专户</w:t>
            </w:r>
          </w:p>
          <w:p>
            <w:pPr>
              <w:spacing w:line="460" w:lineRule="exact"/>
              <w:rPr>
                <w:rFonts w:hint="eastAsia" w:ascii="黑体" w:hAnsi="黑体" w:eastAsia="黑体" w:cs="黑体"/>
                <w:color w:val="auto"/>
                <w:spacing w:val="-4"/>
                <w:sz w:val="24"/>
                <w:szCs w:val="24"/>
                <w:lang w:val="zh-CN" w:eastAsia="zh-CN"/>
              </w:rPr>
            </w:pPr>
            <w:r>
              <w:rPr>
                <w:rFonts w:hint="eastAsia" w:ascii="黑体" w:hAnsi="黑体" w:eastAsia="黑体" w:cs="黑体"/>
                <w:color w:val="auto"/>
                <w:spacing w:val="-4"/>
                <w:sz w:val="24"/>
                <w:szCs w:val="24"/>
              </w:rPr>
              <w:t>开  户</w:t>
            </w:r>
            <w:r>
              <w:rPr>
                <w:rFonts w:hint="eastAsia" w:ascii="黑体" w:hAnsi="黑体" w:eastAsia="黑体" w:cs="黑体"/>
                <w:color w:val="auto"/>
                <w:spacing w:val="-4"/>
                <w:sz w:val="24"/>
                <w:szCs w:val="24"/>
                <w:lang w:val="zh-CN" w:eastAsia="zh-CN"/>
              </w:rPr>
              <w:t xml:space="preserve">  行：长安银行股份有限公司宝鸡分行营业部</w:t>
            </w:r>
          </w:p>
          <w:p>
            <w:pPr>
              <w:spacing w:line="460" w:lineRule="exact"/>
              <w:rPr>
                <w:rFonts w:hint="eastAsia" w:ascii="黑体" w:hAnsi="黑体" w:eastAsia="黑体" w:cs="黑体"/>
                <w:color w:val="auto"/>
                <w:spacing w:val="-4"/>
                <w:sz w:val="24"/>
                <w:szCs w:val="24"/>
                <w:lang w:val="zh-CN" w:eastAsia="zh-CN"/>
              </w:rPr>
            </w:pPr>
            <w:r>
              <w:rPr>
                <w:rFonts w:hint="eastAsia" w:ascii="黑体" w:hAnsi="黑体" w:eastAsia="黑体" w:cs="黑体"/>
                <w:color w:val="auto"/>
                <w:spacing w:val="-4"/>
                <w:sz w:val="24"/>
                <w:szCs w:val="24"/>
                <w:lang w:val="zh-CN" w:eastAsia="zh-CN"/>
              </w:rPr>
              <w:t>帐      号：80602000142101980602120</w:t>
            </w:r>
          </w:p>
          <w:p>
            <w:pPr>
              <w:spacing w:line="460" w:lineRule="exact"/>
              <w:rPr>
                <w:rFonts w:hint="eastAsia" w:ascii="黑体" w:hAnsi="黑体" w:eastAsia="黑体" w:cs="黑体"/>
                <w:color w:val="auto"/>
                <w:spacing w:val="-4"/>
                <w:sz w:val="24"/>
                <w:szCs w:val="24"/>
              </w:rPr>
            </w:pPr>
            <w:r>
              <w:rPr>
                <w:rFonts w:hint="eastAsia" w:ascii="黑体" w:hAnsi="黑体" w:eastAsia="黑体" w:cs="黑体"/>
                <w:color w:val="auto"/>
                <w:spacing w:val="-4"/>
                <w:sz w:val="24"/>
                <w:szCs w:val="24"/>
              </w:rPr>
              <w:t>1、银行保函</w:t>
            </w:r>
          </w:p>
          <w:p>
            <w:pPr>
              <w:spacing w:line="460" w:lineRule="exact"/>
              <w:rPr>
                <w:rFonts w:hint="eastAsia" w:ascii="黑体" w:hAnsi="黑体" w:eastAsia="黑体" w:cs="黑体"/>
                <w:color w:val="auto"/>
                <w:spacing w:val="-4"/>
                <w:sz w:val="24"/>
                <w:szCs w:val="24"/>
              </w:rPr>
            </w:pPr>
            <w:r>
              <w:rPr>
                <w:rFonts w:hint="eastAsia" w:ascii="黑体" w:hAnsi="黑体" w:eastAsia="黑体" w:cs="黑体"/>
                <w:color w:val="auto"/>
                <w:spacing w:val="-4"/>
                <w:sz w:val="24"/>
                <w:szCs w:val="24"/>
              </w:rPr>
              <w:t>必须为</w:t>
            </w:r>
            <w:r>
              <w:rPr>
                <w:rFonts w:hint="eastAsia" w:ascii="黑体" w:hAnsi="黑体" w:eastAsia="黑体" w:cs="黑体"/>
                <w:color w:val="auto"/>
                <w:spacing w:val="-4"/>
                <w:sz w:val="24"/>
                <w:szCs w:val="24"/>
                <w:lang w:eastAsia="zh-CN"/>
              </w:rPr>
              <w:t>供应商</w:t>
            </w:r>
            <w:r>
              <w:rPr>
                <w:rFonts w:hint="eastAsia" w:ascii="黑体" w:hAnsi="黑体" w:eastAsia="黑体" w:cs="黑体"/>
                <w:color w:val="auto"/>
                <w:spacing w:val="-4"/>
                <w:sz w:val="24"/>
                <w:szCs w:val="24"/>
              </w:rPr>
              <w:t>基本账户开户银行出具的银行保函，将银行保函及“基本账户开户许可证或基本存款账户信息”附在</w:t>
            </w:r>
            <w:r>
              <w:rPr>
                <w:rFonts w:hint="eastAsia" w:ascii="黑体" w:hAnsi="黑体" w:eastAsia="黑体" w:cs="黑体"/>
                <w:color w:val="auto"/>
                <w:spacing w:val="-4"/>
                <w:sz w:val="24"/>
                <w:szCs w:val="24"/>
                <w:lang w:val="en-US" w:eastAsia="zh-CN"/>
              </w:rPr>
              <w:t>磋商响应</w:t>
            </w:r>
            <w:r>
              <w:rPr>
                <w:rFonts w:hint="eastAsia" w:ascii="黑体" w:hAnsi="黑体" w:eastAsia="黑体" w:cs="黑体"/>
                <w:color w:val="auto"/>
                <w:spacing w:val="-4"/>
                <w:sz w:val="24"/>
                <w:szCs w:val="24"/>
              </w:rPr>
              <w:t>文件中，作为保证金缴纳凭证。若</w:t>
            </w:r>
            <w:r>
              <w:rPr>
                <w:rFonts w:hint="eastAsia" w:ascii="黑体" w:hAnsi="黑体" w:eastAsia="黑体" w:cs="黑体"/>
                <w:color w:val="auto"/>
                <w:spacing w:val="-4"/>
                <w:sz w:val="24"/>
                <w:szCs w:val="24"/>
                <w:lang w:eastAsia="zh-CN"/>
              </w:rPr>
              <w:t>代理机构</w:t>
            </w:r>
            <w:r>
              <w:rPr>
                <w:rFonts w:hint="eastAsia" w:ascii="黑体" w:hAnsi="黑体" w:eastAsia="黑体" w:cs="黑体"/>
                <w:color w:val="auto"/>
                <w:spacing w:val="-4"/>
                <w:sz w:val="24"/>
                <w:szCs w:val="24"/>
              </w:rPr>
              <w:t>未在</w:t>
            </w:r>
            <w:r>
              <w:rPr>
                <w:rFonts w:hint="eastAsia" w:ascii="黑体" w:hAnsi="黑体" w:eastAsia="黑体" w:cs="黑体"/>
                <w:color w:val="auto"/>
                <w:spacing w:val="-4"/>
                <w:sz w:val="24"/>
                <w:szCs w:val="24"/>
                <w:lang w:eastAsia="zh-CN"/>
              </w:rPr>
              <w:t>磋商担</w:t>
            </w:r>
            <w:r>
              <w:rPr>
                <w:rFonts w:hint="eastAsia" w:ascii="黑体" w:hAnsi="黑体" w:eastAsia="黑体" w:cs="黑体"/>
                <w:color w:val="auto"/>
                <w:spacing w:val="-4"/>
                <w:sz w:val="24"/>
                <w:szCs w:val="24"/>
              </w:rPr>
              <w:t>保递交截止时间收到有效担保函的，或未在</w:t>
            </w:r>
            <w:r>
              <w:rPr>
                <w:rFonts w:hint="eastAsia" w:ascii="黑体" w:hAnsi="黑体" w:eastAsia="黑体" w:cs="黑体"/>
                <w:color w:val="auto"/>
                <w:spacing w:val="-4"/>
                <w:sz w:val="24"/>
                <w:szCs w:val="24"/>
                <w:lang w:eastAsia="zh-CN"/>
              </w:rPr>
              <w:t>响应</w:t>
            </w:r>
            <w:r>
              <w:rPr>
                <w:rFonts w:hint="eastAsia" w:ascii="黑体" w:hAnsi="黑体" w:eastAsia="黑体" w:cs="黑体"/>
                <w:color w:val="auto"/>
                <w:spacing w:val="-4"/>
                <w:sz w:val="24"/>
                <w:szCs w:val="24"/>
              </w:rPr>
              <w:t>文件中附投标担保函的，其</w:t>
            </w:r>
            <w:r>
              <w:rPr>
                <w:rFonts w:hint="eastAsia" w:ascii="黑体" w:hAnsi="黑体" w:eastAsia="黑体" w:cs="黑体"/>
                <w:color w:val="auto"/>
                <w:spacing w:val="-4"/>
                <w:sz w:val="24"/>
                <w:szCs w:val="24"/>
                <w:lang w:eastAsia="zh-CN"/>
              </w:rPr>
              <w:t>磋商</w:t>
            </w:r>
            <w:r>
              <w:rPr>
                <w:rFonts w:hint="eastAsia" w:ascii="黑体" w:hAnsi="黑体" w:eastAsia="黑体" w:cs="黑体"/>
                <w:color w:val="auto"/>
                <w:spacing w:val="-4"/>
                <w:sz w:val="24"/>
                <w:szCs w:val="24"/>
              </w:rPr>
              <w:t>将被拒绝。</w:t>
            </w:r>
          </w:p>
          <w:p>
            <w:pPr>
              <w:spacing w:line="460" w:lineRule="exact"/>
              <w:rPr>
                <w:rFonts w:hint="eastAsia" w:ascii="黑体" w:hAnsi="黑体" w:eastAsia="黑体" w:cs="黑体"/>
                <w:color w:val="auto"/>
                <w:spacing w:val="-4"/>
                <w:sz w:val="24"/>
                <w:szCs w:val="24"/>
              </w:rPr>
            </w:pPr>
            <w:r>
              <w:rPr>
                <w:rFonts w:hint="eastAsia" w:ascii="黑体" w:hAnsi="黑体" w:eastAsia="黑体" w:cs="黑体"/>
                <w:color w:val="auto"/>
                <w:spacing w:val="-4"/>
                <w:sz w:val="24"/>
                <w:szCs w:val="24"/>
              </w:rPr>
              <w:t>2、基本户转账</w:t>
            </w:r>
          </w:p>
          <w:p>
            <w:pPr>
              <w:spacing w:line="460" w:lineRule="exact"/>
              <w:rPr>
                <w:rFonts w:hint="eastAsia" w:ascii="黑体" w:hAnsi="黑体" w:eastAsia="黑体" w:cs="黑体"/>
                <w:color w:val="auto"/>
                <w:spacing w:val="-4"/>
                <w:sz w:val="24"/>
                <w:szCs w:val="24"/>
              </w:rPr>
            </w:pPr>
            <w:r>
              <w:rPr>
                <w:rFonts w:hint="eastAsia" w:ascii="黑体" w:hAnsi="黑体" w:eastAsia="黑体" w:cs="黑体"/>
                <w:color w:val="auto"/>
                <w:spacing w:val="-4"/>
                <w:sz w:val="24"/>
                <w:szCs w:val="24"/>
              </w:rPr>
              <w:t>必须为</w:t>
            </w:r>
            <w:r>
              <w:rPr>
                <w:rFonts w:hint="eastAsia" w:ascii="黑体" w:hAnsi="黑体" w:eastAsia="黑体" w:cs="黑体"/>
                <w:color w:val="auto"/>
                <w:spacing w:val="-4"/>
                <w:sz w:val="24"/>
                <w:szCs w:val="24"/>
                <w:lang w:eastAsia="zh-CN"/>
              </w:rPr>
              <w:t>供应商</w:t>
            </w:r>
            <w:r>
              <w:rPr>
                <w:rFonts w:hint="eastAsia" w:ascii="黑体" w:hAnsi="黑体" w:eastAsia="黑体" w:cs="黑体"/>
                <w:color w:val="auto"/>
                <w:spacing w:val="-4"/>
                <w:sz w:val="24"/>
                <w:szCs w:val="24"/>
              </w:rPr>
              <w:t>基本账户以转账形式在</w:t>
            </w:r>
            <w:r>
              <w:rPr>
                <w:rFonts w:hint="eastAsia" w:ascii="黑体" w:hAnsi="黑体" w:eastAsia="黑体" w:cs="黑体"/>
                <w:color w:val="auto"/>
                <w:spacing w:val="-4"/>
                <w:sz w:val="24"/>
                <w:szCs w:val="24"/>
                <w:lang w:val="en-US" w:eastAsia="zh-CN"/>
              </w:rPr>
              <w:t>磋商</w:t>
            </w:r>
            <w:r>
              <w:rPr>
                <w:rFonts w:hint="eastAsia" w:ascii="黑体" w:hAnsi="黑体" w:eastAsia="黑体" w:cs="黑体"/>
                <w:color w:val="auto"/>
                <w:spacing w:val="-4"/>
                <w:sz w:val="24"/>
                <w:szCs w:val="24"/>
              </w:rPr>
              <w:t>截止时间前到达上述账号（以资金到账时间为确认保证金缴纳完毕时间），未按规定时间前或</w:t>
            </w:r>
            <w:r>
              <w:rPr>
                <w:rFonts w:hint="eastAsia" w:ascii="黑体" w:hAnsi="黑体" w:eastAsia="黑体" w:cs="黑体"/>
                <w:color w:val="auto"/>
                <w:spacing w:val="-4"/>
                <w:sz w:val="24"/>
                <w:szCs w:val="24"/>
                <w:lang w:val="en-US" w:eastAsia="zh-CN"/>
              </w:rPr>
              <w:t>未</w:t>
            </w:r>
            <w:r>
              <w:rPr>
                <w:rFonts w:hint="eastAsia" w:ascii="黑体" w:hAnsi="黑体" w:eastAsia="黑体" w:cs="黑体"/>
                <w:color w:val="auto"/>
                <w:spacing w:val="-4"/>
                <w:sz w:val="24"/>
                <w:szCs w:val="24"/>
              </w:rPr>
              <w:t>按额</w:t>
            </w:r>
            <w:r>
              <w:rPr>
                <w:rFonts w:hint="eastAsia" w:ascii="黑体" w:hAnsi="黑体" w:eastAsia="黑体" w:cs="黑体"/>
                <w:color w:val="auto"/>
                <w:spacing w:val="-4"/>
                <w:sz w:val="24"/>
                <w:szCs w:val="24"/>
                <w:lang w:val="en-US" w:eastAsia="zh-CN"/>
              </w:rPr>
              <w:t>度</w:t>
            </w:r>
            <w:r>
              <w:rPr>
                <w:rFonts w:hint="eastAsia" w:ascii="黑体" w:hAnsi="黑体" w:eastAsia="黑体" w:cs="黑体"/>
                <w:color w:val="auto"/>
                <w:spacing w:val="-4"/>
                <w:sz w:val="24"/>
                <w:szCs w:val="24"/>
              </w:rPr>
              <w:t>汇到指定账户的将否决其投标。投标保证金转账完成后，将“转账凭证”附在</w:t>
            </w:r>
            <w:r>
              <w:rPr>
                <w:rFonts w:hint="eastAsia" w:ascii="黑体" w:hAnsi="黑体" w:eastAsia="黑体" w:cs="黑体"/>
                <w:color w:val="auto"/>
                <w:spacing w:val="-4"/>
                <w:sz w:val="24"/>
                <w:szCs w:val="24"/>
                <w:lang w:val="en-US" w:eastAsia="zh-CN"/>
              </w:rPr>
              <w:t>磋商响应</w:t>
            </w:r>
            <w:r>
              <w:rPr>
                <w:rFonts w:hint="eastAsia" w:ascii="黑体" w:hAnsi="黑体" w:eastAsia="黑体" w:cs="黑体"/>
                <w:color w:val="auto"/>
                <w:spacing w:val="-4"/>
                <w:sz w:val="24"/>
                <w:szCs w:val="24"/>
              </w:rPr>
              <w:t>文件中，作为保证金缴纳的凭证。</w:t>
            </w:r>
          </w:p>
          <w:p>
            <w:pPr>
              <w:spacing w:line="360" w:lineRule="auto"/>
              <w:rPr>
                <w:rFonts w:hint="eastAsia" w:ascii="黑体" w:hAnsi="黑体" w:eastAsia="黑体" w:cs="黑体"/>
                <w:b/>
                <w:color w:val="auto"/>
                <w:sz w:val="24"/>
                <w:highlight w:val="none"/>
              </w:rPr>
            </w:pPr>
            <w:r>
              <w:rPr>
                <w:rFonts w:hint="eastAsia" w:ascii="黑体" w:hAnsi="黑体" w:eastAsia="黑体" w:cs="黑体"/>
                <w:color w:val="auto"/>
                <w:spacing w:val="-4"/>
                <w:sz w:val="24"/>
                <w:szCs w:val="24"/>
                <w:lang w:val="en-US" w:eastAsia="zh-CN"/>
              </w:rPr>
              <w:t>注：</w:t>
            </w:r>
            <w:r>
              <w:rPr>
                <w:rFonts w:hint="eastAsia" w:ascii="黑体" w:hAnsi="黑体" w:eastAsia="黑体" w:cs="黑体"/>
                <w:color w:val="auto"/>
                <w:spacing w:val="-4"/>
                <w:sz w:val="24"/>
                <w:szCs w:val="24"/>
              </w:rPr>
              <w:t>转账时必须备注：</w:t>
            </w:r>
            <w:r>
              <w:rPr>
                <w:rFonts w:hint="eastAsia" w:ascii="黑体" w:hAnsi="黑体" w:eastAsia="黑体" w:cs="黑体"/>
                <w:i w:val="0"/>
                <w:caps w:val="0"/>
                <w:color w:val="auto"/>
                <w:spacing w:val="0"/>
                <w:sz w:val="24"/>
                <w:szCs w:val="24"/>
                <w:shd w:val="clear" w:fill="FFFFFF"/>
                <w:lang w:eastAsia="zh-CN"/>
              </w:rPr>
              <w:t>宝鸡市金台区代家湾小学教学楼室内外粉刷工程</w:t>
            </w:r>
            <w:r>
              <w:rPr>
                <w:rFonts w:hint="eastAsia" w:ascii="黑体" w:hAnsi="黑体" w:eastAsia="黑体" w:cs="黑体"/>
                <w:color w:val="auto"/>
                <w:spacing w:val="-4"/>
                <w:sz w:val="24"/>
                <w:szCs w:val="24"/>
                <w:lang w:val="zh-CN" w:eastAsia="zh-CN"/>
              </w:rPr>
              <w:t>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21</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备选磋商方案</w:t>
            </w:r>
          </w:p>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和报价</w:t>
            </w:r>
          </w:p>
        </w:tc>
        <w:tc>
          <w:tcPr>
            <w:tcW w:w="6975" w:type="dxa"/>
            <w:noWrap w:val="0"/>
            <w:vAlign w:val="center"/>
          </w:tcPr>
          <w:p>
            <w:pPr>
              <w:tabs>
                <w:tab w:val="left" w:pos="7013"/>
              </w:tabs>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不接受备选磋商方案和多个报价。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22</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盖章签字</w:t>
            </w:r>
          </w:p>
        </w:tc>
        <w:tc>
          <w:tcPr>
            <w:tcW w:w="6975" w:type="dxa"/>
            <w:noWrap w:val="0"/>
            <w:vAlign w:val="center"/>
          </w:tcPr>
          <w:p>
            <w:pPr>
              <w:tabs>
                <w:tab w:val="left" w:pos="7013"/>
              </w:tabs>
              <w:spacing w:line="46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供应商</w:t>
            </w:r>
            <w:r>
              <w:rPr>
                <w:rFonts w:hint="eastAsia" w:ascii="黑体" w:hAnsi="黑体" w:eastAsia="黑体" w:cs="黑体"/>
                <w:color w:val="auto"/>
                <w:sz w:val="24"/>
                <w:highlight w:val="none"/>
              </w:rPr>
              <w:t>必须按照竞争性磋商文件的规定和要求在竞争性磋商响应文件中指定的页面落款处加盖公章（鲜章）并由法定代表人或被授权人签字（或盖章），其余页面逐页加盖</w:t>
            </w:r>
            <w:r>
              <w:rPr>
                <w:rFonts w:hint="eastAsia" w:ascii="黑体" w:hAnsi="黑体" w:eastAsia="黑体" w:cs="黑体"/>
                <w:color w:val="auto"/>
                <w:sz w:val="24"/>
                <w:highlight w:val="none"/>
                <w:lang w:eastAsia="zh-CN"/>
              </w:rPr>
              <w:t>供应商</w:t>
            </w:r>
            <w:r>
              <w:rPr>
                <w:rFonts w:hint="eastAsia" w:ascii="黑体" w:hAnsi="黑体" w:eastAsia="黑体" w:cs="黑体"/>
                <w:color w:val="auto"/>
                <w:sz w:val="24"/>
                <w:highlight w:val="none"/>
              </w:rPr>
              <w:t>公章（鲜章），否则将作为无效磋商处理。竞争性磋商文件凡是要求法定代表人签字或盖章之处，非法人单位的负责人均参照执行。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23</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竞争性磋商</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rPr>
              <w:t>文件的</w:t>
            </w:r>
            <w:r>
              <w:rPr>
                <w:rFonts w:hint="eastAsia" w:ascii="黑体" w:hAnsi="黑体" w:eastAsia="黑体" w:cs="黑体"/>
                <w:color w:val="auto"/>
                <w:sz w:val="24"/>
                <w:highlight w:val="none"/>
                <w:lang w:eastAsia="zh-CN"/>
              </w:rPr>
              <w:t>递交</w:t>
            </w:r>
          </w:p>
        </w:tc>
        <w:tc>
          <w:tcPr>
            <w:tcW w:w="6975" w:type="dxa"/>
            <w:noWrap w:val="0"/>
            <w:vAlign w:val="center"/>
          </w:tcPr>
          <w:p>
            <w:pPr>
              <w:spacing w:line="480" w:lineRule="exact"/>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lang w:val="en-US" w:eastAsia="zh-CN"/>
              </w:rPr>
              <w:t>1）</w:t>
            </w:r>
            <w:r>
              <w:rPr>
                <w:rFonts w:hint="eastAsia" w:ascii="黑体" w:hAnsi="黑体" w:eastAsia="黑体" w:cs="黑体"/>
                <w:color w:val="auto"/>
                <w:sz w:val="24"/>
                <w:highlight w:val="none"/>
                <w:lang w:eastAsia="zh-CN"/>
              </w:rPr>
              <w:t>本项目采用电子化投标与纸质投标并行的方式，供应商须将与</w:t>
            </w:r>
            <w:r>
              <w:rPr>
                <w:rFonts w:hint="eastAsia" w:ascii="黑体" w:hAnsi="黑体" w:eastAsia="黑体" w:cs="黑体"/>
                <w:color w:val="auto"/>
                <w:sz w:val="24"/>
                <w:highlight w:val="none"/>
              </w:rPr>
              <w:t>电子磋商响应文件（ *.SXSTF ）内容一致的</w:t>
            </w:r>
            <w:r>
              <w:rPr>
                <w:rFonts w:hint="eastAsia" w:ascii="黑体" w:hAnsi="黑体" w:eastAsia="黑体" w:cs="黑体"/>
                <w:color w:val="auto"/>
                <w:sz w:val="24"/>
                <w:highlight w:val="none"/>
                <w:lang w:eastAsia="zh-CN"/>
              </w:rPr>
              <w:t>纸质</w:t>
            </w:r>
            <w:r>
              <w:rPr>
                <w:rFonts w:hint="eastAsia" w:ascii="黑体" w:hAnsi="黑体" w:eastAsia="黑体" w:cs="黑体"/>
                <w:color w:val="auto"/>
                <w:sz w:val="24"/>
                <w:highlight w:val="none"/>
              </w:rPr>
              <w:t>磋商响应文件</w:t>
            </w:r>
            <w:r>
              <w:rPr>
                <w:rFonts w:hint="eastAsia" w:ascii="黑体" w:hAnsi="黑体" w:eastAsia="黑体" w:cs="黑体"/>
                <w:color w:val="auto"/>
                <w:sz w:val="24"/>
                <w:highlight w:val="none"/>
                <w:lang w:eastAsia="zh-CN"/>
              </w:rPr>
              <w:t>在响应文件递交截止时间前送至磋商地点。</w:t>
            </w:r>
          </w:p>
          <w:p>
            <w:pPr>
              <w:spacing w:line="480" w:lineRule="exact"/>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lang w:eastAsia="zh-CN"/>
              </w:rPr>
              <w:t>须提供纸质磋商响应文件正本一份，副本二份。磋商响应文件均须各自</w:t>
            </w:r>
            <w:r>
              <w:rPr>
                <w:rFonts w:hint="eastAsia" w:ascii="黑体" w:hAnsi="黑体" w:eastAsia="黑体" w:cs="黑体"/>
                <w:color w:val="auto"/>
                <w:sz w:val="24"/>
                <w:highlight w:val="none"/>
                <w:lang w:val="en-US" w:eastAsia="zh-CN"/>
              </w:rPr>
              <w:t>胶装</w:t>
            </w:r>
            <w:r>
              <w:rPr>
                <w:rFonts w:hint="eastAsia" w:ascii="黑体" w:hAnsi="黑体" w:eastAsia="黑体" w:cs="黑体"/>
                <w:color w:val="auto"/>
                <w:sz w:val="24"/>
                <w:highlight w:val="none"/>
                <w:lang w:eastAsia="zh-CN"/>
              </w:rPr>
              <w:t>成册并编制目录和页码。所有文件</w:t>
            </w:r>
            <w:r>
              <w:rPr>
                <w:rFonts w:hint="eastAsia" w:ascii="黑体" w:hAnsi="黑体" w:eastAsia="黑体" w:cs="黑体"/>
                <w:color w:val="auto"/>
                <w:sz w:val="24"/>
                <w:highlight w:val="none"/>
              </w:rPr>
              <w:t>密封在一个标袋中</w:t>
            </w:r>
            <w:r>
              <w:rPr>
                <w:rFonts w:hint="eastAsia" w:ascii="黑体" w:hAnsi="黑体" w:eastAsia="黑体" w:cs="黑体"/>
                <w:color w:val="auto"/>
                <w:sz w:val="24"/>
                <w:highlight w:val="none"/>
                <w:lang w:eastAsia="zh-CN"/>
              </w:rPr>
              <w:t>并在标袋上</w:t>
            </w:r>
            <w:r>
              <w:rPr>
                <w:rFonts w:hint="eastAsia" w:ascii="黑体" w:hAnsi="黑体" w:eastAsia="黑体" w:cs="黑体"/>
                <w:color w:val="auto"/>
                <w:sz w:val="24"/>
                <w:highlight w:val="none"/>
              </w:rPr>
              <w:t>标明</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highlight w:val="none"/>
              </w:rPr>
              <w:t>名称</w:t>
            </w:r>
            <w:r>
              <w:rPr>
                <w:rFonts w:hint="eastAsia" w:ascii="黑体" w:hAnsi="黑体" w:eastAsia="黑体" w:cs="黑体"/>
                <w:color w:val="auto"/>
                <w:sz w:val="24"/>
                <w:highlight w:val="none"/>
                <w:lang w:eastAsia="zh-CN"/>
              </w:rPr>
              <w:t>。</w:t>
            </w:r>
          </w:p>
          <w:p>
            <w:pPr>
              <w:spacing w:before="0" w:after="0" w:line="360" w:lineRule="auto"/>
              <w:rPr>
                <w:rFonts w:hint="eastAsia" w:ascii="黑体" w:hAnsi="黑体" w:eastAsia="黑体" w:cs="黑体"/>
                <w:color w:val="auto"/>
                <w:highlight w:val="none"/>
              </w:rPr>
            </w:pP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电子磋商响应文件可于提交响应文件截止时间前任意时段登录全国公共资源交易平台（陕西省·宝鸡市）网站[电子交易平台-企业端]进行提交，逾期系统将拒绝接收。提交时，</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highlight w:val="none"/>
              </w:rPr>
              <w:t>应登录全国公共资源交易中心平台（陕西省·宝鸡市），选择[“首页&gt;电子交易平台&gt;企业端&gt;我的项目”，点击[项目流程]，在打开的[项目管理]对话框中选择[上传响应文件]，上传加密的电子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rPr>
              <w:t>响应文件（*.SXSTF），上传成功后，电子化平台将予以记录。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24</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szCs w:val="24"/>
                <w:lang w:val="en-US" w:eastAsia="zh-CN"/>
              </w:rPr>
              <w:t>电</w:t>
            </w:r>
            <w:r>
              <w:rPr>
                <w:rFonts w:hint="eastAsia" w:ascii="黑体" w:hAnsi="黑体" w:eastAsia="黑体" w:cs="黑体"/>
                <w:color w:val="auto"/>
                <w:sz w:val="24"/>
                <w:highlight w:val="none"/>
                <w:lang w:val="en-US" w:eastAsia="zh-CN"/>
              </w:rPr>
              <w:t>子响应文件的</w:t>
            </w:r>
            <w:r>
              <w:rPr>
                <w:rFonts w:hint="eastAsia" w:ascii="黑体" w:hAnsi="黑体" w:eastAsia="黑体" w:cs="黑体"/>
                <w:color w:val="auto"/>
                <w:sz w:val="24"/>
                <w:highlight w:val="none"/>
                <w:lang w:eastAsia="zh-CN"/>
              </w:rPr>
              <w:t>制作和签署</w:t>
            </w:r>
          </w:p>
        </w:tc>
        <w:tc>
          <w:tcPr>
            <w:tcW w:w="6975" w:type="dxa"/>
            <w:noWrap w:val="0"/>
            <w:vAlign w:val="center"/>
          </w:tcPr>
          <w:p>
            <w:pPr>
              <w:spacing w:before="0" w:after="0" w:line="360" w:lineRule="auto"/>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eastAsia="zh-CN"/>
              </w:rPr>
              <w:t>编制电子</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lang w:eastAsia="zh-CN"/>
              </w:rPr>
              <w:t>文件时，应使用最新发布的电子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文件及专用制作工具进行编制。并使用数字认证证书（CA）对电子</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lang w:eastAsia="zh-CN"/>
              </w:rPr>
              <w:t>文件进行签署、加密、递交及开标时解密及二次报</w:t>
            </w:r>
            <w:r>
              <w:rPr>
                <w:rFonts w:hint="eastAsia" w:ascii="黑体" w:hAnsi="黑体" w:eastAsia="黑体" w:cs="黑体"/>
                <w:color w:val="auto"/>
                <w:sz w:val="24"/>
                <w:highlight w:val="none"/>
                <w:lang w:val="en-US" w:eastAsia="zh-CN"/>
              </w:rPr>
              <w:t>价</w:t>
            </w:r>
            <w:r>
              <w:rPr>
                <w:rFonts w:hint="eastAsia" w:ascii="黑体" w:hAnsi="黑体" w:eastAsia="黑体" w:cs="黑体"/>
                <w:color w:val="auto"/>
                <w:sz w:val="24"/>
                <w:highlight w:val="none"/>
                <w:lang w:eastAsia="zh-CN"/>
              </w:rPr>
              <w:t>等相关操作。</w:t>
            </w:r>
          </w:p>
          <w:p>
            <w:pPr>
              <w:spacing w:before="0" w:after="0" w:line="360" w:lineRule="auto"/>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val="en-US" w:eastAsia="zh-CN"/>
              </w:rPr>
              <w:t>1、</w:t>
            </w:r>
            <w:r>
              <w:rPr>
                <w:rFonts w:hint="eastAsia" w:ascii="黑体" w:hAnsi="黑体" w:eastAsia="黑体" w:cs="黑体"/>
                <w:color w:val="auto"/>
                <w:sz w:val="24"/>
                <w:highlight w:val="none"/>
                <w:lang w:eastAsia="zh-CN"/>
              </w:rPr>
              <w:t>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文件下载</w:t>
            </w:r>
          </w:p>
          <w:p>
            <w:pPr>
              <w:spacing w:before="0" w:after="0" w:line="360" w:lineRule="auto"/>
              <w:ind w:firstLine="480" w:firstLineChars="200"/>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eastAsia="zh-CN"/>
              </w:rPr>
              <w:t>供应商登录全国公共资源交易平台（陕西省·宝鸡市）网站[电子交易平台-企业端]后，在[我的项目]中点击“项目流程-交易文件下载”下载电子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文件（*.SXSZF）；注意：该项目如有变更文件，则应点击“项目流程&gt;答疑文件下载”下载更新后的电子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文件（*.SXSCF），使用旧版电子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文件制作的电子</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lang w:eastAsia="zh-CN"/>
              </w:rPr>
              <w:t>文件，系统将拒绝接收。</w:t>
            </w:r>
          </w:p>
          <w:p>
            <w:pPr>
              <w:spacing w:before="0" w:after="0" w:line="360" w:lineRule="auto"/>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lang w:eastAsia="zh-CN"/>
              </w:rPr>
              <w:t>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文件需要使用专用软件打开、浏览</w:t>
            </w:r>
          </w:p>
          <w:p>
            <w:pPr>
              <w:spacing w:before="0" w:after="0" w:line="360" w:lineRule="auto"/>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eastAsia="zh-CN"/>
              </w:rPr>
              <w:t>供应商登录全国公共资源交易平台（陕西省·宝鸡市）网站[服务指南-下载专区]免费下载《陕西省公共资源交易平台政府采购电子标书制作工具(V8.0.0.2)》，并升级至最新版本，使用该客户端可以打开电子</w:t>
            </w:r>
            <w:r>
              <w:rPr>
                <w:rFonts w:hint="eastAsia" w:ascii="黑体" w:hAnsi="黑体" w:eastAsia="黑体" w:cs="黑体"/>
                <w:color w:val="auto"/>
                <w:sz w:val="24"/>
                <w:highlight w:val="none"/>
                <w:lang w:val="en-US" w:eastAsia="zh-CN"/>
              </w:rPr>
              <w:t>磋商</w:t>
            </w:r>
            <w:r>
              <w:rPr>
                <w:rFonts w:hint="eastAsia" w:ascii="黑体" w:hAnsi="黑体" w:eastAsia="黑体" w:cs="黑体"/>
                <w:color w:val="auto"/>
                <w:sz w:val="24"/>
                <w:highlight w:val="none"/>
                <w:lang w:eastAsia="zh-CN"/>
              </w:rPr>
              <w:t>文件。软件操作手册详见全国公共资源交易平台（陕西省·宝鸡市）网站[服务指南-下载专区]中的《陕西省公共资源交易（政府采购类）</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lang w:eastAsia="zh-CN"/>
              </w:rPr>
              <w:t>文件制作软件操作手册》；</w:t>
            </w:r>
          </w:p>
          <w:p>
            <w:pPr>
              <w:spacing w:before="0" w:after="0" w:line="360" w:lineRule="auto"/>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lang w:eastAsia="zh-CN"/>
              </w:rPr>
              <w:t>制作电子</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lang w:eastAsia="zh-CN"/>
              </w:rPr>
              <w:t>文件</w:t>
            </w:r>
          </w:p>
          <w:p>
            <w:pPr>
              <w:spacing w:before="0" w:after="0" w:line="360" w:lineRule="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eastAsia="zh-CN"/>
              </w:rPr>
              <w:t>电子</w:t>
            </w:r>
            <w:r>
              <w:rPr>
                <w:rFonts w:hint="eastAsia" w:ascii="黑体" w:hAnsi="黑体" w:eastAsia="黑体" w:cs="黑体"/>
                <w:color w:val="auto"/>
                <w:sz w:val="24"/>
                <w:highlight w:val="none"/>
                <w:lang w:val="en-US" w:eastAsia="zh-CN"/>
              </w:rPr>
              <w:t>响应</w:t>
            </w:r>
            <w:r>
              <w:rPr>
                <w:rFonts w:hint="eastAsia" w:ascii="黑体" w:hAnsi="黑体" w:eastAsia="黑体" w:cs="黑体"/>
                <w:color w:val="auto"/>
                <w:sz w:val="24"/>
                <w:highlight w:val="none"/>
                <w:lang w:eastAsia="zh-CN"/>
              </w:rPr>
              <w:t>文件同样需要使用上述软件进行编制。在编制过程中，如有技术性问题，请先翻阅操作手册或致电软件开发商，技术支持热线：4009280095、4009980000；</w:t>
            </w:r>
          </w:p>
          <w:p>
            <w:pPr>
              <w:tabs>
                <w:tab w:val="left" w:pos="7013"/>
              </w:tabs>
              <w:spacing w:line="460" w:lineRule="exact"/>
              <w:rPr>
                <w:rFonts w:hint="eastAsia" w:ascii="黑体" w:hAnsi="黑体" w:eastAsia="黑体" w:cs="黑体"/>
                <w:color w:val="auto"/>
                <w:sz w:val="24"/>
                <w:highlight w:val="none"/>
                <w:lang w:eastAsia="zh-CN"/>
              </w:rPr>
            </w:pPr>
            <w:r>
              <w:rPr>
                <w:rFonts w:hint="eastAsia" w:ascii="黑体" w:hAnsi="黑体" w:eastAsia="黑体" w:cs="黑体"/>
                <w:b/>
                <w:bCs/>
                <w:color w:val="auto"/>
                <w:kern w:val="2"/>
                <w:sz w:val="24"/>
                <w:szCs w:val="21"/>
                <w:lang w:val="en-US" w:eastAsia="zh-CN" w:bidi="ar-SA"/>
              </w:rPr>
              <w:t>注：如未按照上述要求进行响应文件制作和签署的均视其为无效响应文件。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25</w:t>
            </w:r>
          </w:p>
        </w:tc>
        <w:tc>
          <w:tcPr>
            <w:tcW w:w="1959" w:type="dxa"/>
            <w:noWrap w:val="0"/>
            <w:vAlign w:val="center"/>
          </w:tcPr>
          <w:p>
            <w:pPr>
              <w:pageBreakBefore w:val="0"/>
              <w:wordWrap/>
              <w:topLinePunct w:val="0"/>
              <w:bidi w:val="0"/>
              <w:spacing w:line="365" w:lineRule="auto"/>
              <w:jc w:val="center"/>
              <w:textAlignment w:val="auto"/>
              <w:rPr>
                <w:rFonts w:hint="eastAsia" w:ascii="黑体" w:hAnsi="黑体" w:eastAsia="黑体" w:cs="黑体"/>
                <w:b/>
                <w:bCs/>
                <w:color w:val="auto"/>
                <w:sz w:val="24"/>
                <w:highlight w:val="none"/>
              </w:rPr>
            </w:pPr>
            <w:r>
              <w:rPr>
                <w:rFonts w:hint="eastAsia" w:ascii="黑体" w:hAnsi="黑体" w:eastAsia="黑体" w:cs="黑体"/>
                <w:color w:val="auto"/>
                <w:sz w:val="24"/>
                <w:highlight w:val="none"/>
                <w:lang w:val="en-US" w:eastAsia="zh-CN"/>
              </w:rPr>
              <w:t>无效文件说明</w:t>
            </w:r>
          </w:p>
        </w:tc>
        <w:tc>
          <w:tcPr>
            <w:tcW w:w="6975" w:type="dxa"/>
            <w:noWrap w:val="0"/>
            <w:vAlign w:val="center"/>
          </w:tcPr>
          <w:p>
            <w:pPr>
              <w:pageBreakBefore w:val="0"/>
              <w:wordWrap/>
              <w:topLinePunct w:val="0"/>
              <w:autoSpaceDE w:val="0"/>
              <w:autoSpaceDN w:val="0"/>
              <w:bidi w:val="0"/>
              <w:adjustRightInd w:val="0"/>
              <w:snapToGrid w:val="0"/>
              <w:spacing w:line="360" w:lineRule="auto"/>
              <w:textAlignment w:val="auto"/>
              <w:rPr>
                <w:rFonts w:hint="eastAsia" w:ascii="黑体" w:hAnsi="黑体" w:eastAsia="黑体" w:cs="黑体"/>
                <w:b/>
                <w:color w:val="auto"/>
                <w:sz w:val="24"/>
                <w:szCs w:val="22"/>
              </w:rPr>
            </w:pPr>
            <w:r>
              <w:rPr>
                <w:rFonts w:hint="eastAsia" w:ascii="黑体" w:hAnsi="黑体" w:eastAsia="黑体" w:cs="黑体"/>
                <w:b/>
                <w:color w:val="auto"/>
                <w:sz w:val="24"/>
                <w:szCs w:val="22"/>
              </w:rPr>
              <w:t>在开标环节出现下列情况之一的，其</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文件视为无效文件：</w:t>
            </w:r>
          </w:p>
          <w:p>
            <w:pPr>
              <w:pageBreakBefore w:val="0"/>
              <w:wordWrap/>
              <w:topLinePunct w:val="0"/>
              <w:autoSpaceDE w:val="0"/>
              <w:autoSpaceDN w:val="0"/>
              <w:bidi w:val="0"/>
              <w:adjustRightInd w:val="0"/>
              <w:snapToGrid w:val="0"/>
              <w:spacing w:line="360" w:lineRule="auto"/>
              <w:textAlignment w:val="auto"/>
              <w:rPr>
                <w:rFonts w:hint="eastAsia" w:ascii="黑体" w:hAnsi="黑体" w:eastAsia="黑体" w:cs="黑体"/>
                <w:b/>
                <w:color w:val="auto"/>
                <w:sz w:val="24"/>
                <w:szCs w:val="22"/>
              </w:rPr>
            </w:pPr>
            <w:r>
              <w:rPr>
                <w:rFonts w:hint="eastAsia" w:ascii="黑体" w:hAnsi="黑体" w:eastAsia="黑体" w:cs="黑体"/>
                <w:b/>
                <w:color w:val="auto"/>
                <w:sz w:val="24"/>
                <w:szCs w:val="22"/>
                <w:lang w:val="en-US" w:eastAsia="zh-CN"/>
              </w:rPr>
              <w:t>1、供应商</w:t>
            </w:r>
            <w:r>
              <w:rPr>
                <w:rFonts w:hint="eastAsia" w:ascii="黑体" w:hAnsi="黑体" w:eastAsia="黑体" w:cs="黑体"/>
                <w:b/>
                <w:color w:val="auto"/>
                <w:sz w:val="24"/>
                <w:szCs w:val="22"/>
              </w:rPr>
              <w:t>在规定时间内</w:t>
            </w:r>
            <w:r>
              <w:rPr>
                <w:rFonts w:hint="eastAsia" w:ascii="黑体" w:hAnsi="黑体" w:eastAsia="黑体" w:cs="黑体"/>
                <w:b/>
                <w:color w:val="auto"/>
                <w:sz w:val="24"/>
                <w:szCs w:val="22"/>
                <w:lang w:eastAsia="zh-CN"/>
              </w:rPr>
              <w:t>未</w:t>
            </w:r>
            <w:r>
              <w:rPr>
                <w:rFonts w:hint="eastAsia" w:ascii="黑体" w:hAnsi="黑体" w:eastAsia="黑体" w:cs="黑体"/>
                <w:b/>
                <w:color w:val="auto"/>
                <w:sz w:val="24"/>
                <w:szCs w:val="22"/>
              </w:rPr>
              <w:t>对电子</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文件进行解密的；</w:t>
            </w:r>
          </w:p>
          <w:p>
            <w:pPr>
              <w:pageBreakBefore w:val="0"/>
              <w:wordWrap/>
              <w:topLinePunct w:val="0"/>
              <w:autoSpaceDE w:val="0"/>
              <w:autoSpaceDN w:val="0"/>
              <w:bidi w:val="0"/>
              <w:adjustRightInd w:val="0"/>
              <w:snapToGrid w:val="0"/>
              <w:spacing w:line="360" w:lineRule="auto"/>
              <w:textAlignment w:val="auto"/>
              <w:rPr>
                <w:rFonts w:hint="eastAsia" w:ascii="黑体" w:hAnsi="黑体" w:eastAsia="黑体" w:cs="黑体"/>
                <w:b/>
                <w:color w:val="auto"/>
                <w:sz w:val="24"/>
                <w:szCs w:val="22"/>
              </w:rPr>
            </w:pPr>
            <w:r>
              <w:rPr>
                <w:rFonts w:hint="eastAsia" w:ascii="黑体" w:hAnsi="黑体" w:eastAsia="黑体" w:cs="黑体"/>
                <w:b/>
                <w:color w:val="auto"/>
                <w:sz w:val="24"/>
                <w:szCs w:val="22"/>
                <w:lang w:val="en-US" w:eastAsia="zh-CN"/>
              </w:rPr>
              <w:t>2、</w:t>
            </w:r>
            <w:r>
              <w:rPr>
                <w:rFonts w:hint="eastAsia" w:ascii="黑体" w:hAnsi="黑体" w:eastAsia="黑体" w:cs="黑体"/>
                <w:b/>
                <w:color w:val="auto"/>
                <w:sz w:val="24"/>
                <w:szCs w:val="22"/>
              </w:rPr>
              <w:t>上传的电子</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文件无法打开的；</w:t>
            </w:r>
          </w:p>
          <w:p>
            <w:pPr>
              <w:pageBreakBefore w:val="0"/>
              <w:wordWrap/>
              <w:topLinePunct w:val="0"/>
              <w:autoSpaceDE w:val="0"/>
              <w:autoSpaceDN w:val="0"/>
              <w:bidi w:val="0"/>
              <w:adjustRightInd w:val="0"/>
              <w:snapToGrid w:val="0"/>
              <w:spacing w:line="360" w:lineRule="auto"/>
              <w:textAlignment w:val="auto"/>
              <w:rPr>
                <w:rFonts w:hint="eastAsia" w:ascii="黑体" w:hAnsi="黑体" w:eastAsia="黑体" w:cs="黑体"/>
                <w:b/>
                <w:color w:val="auto"/>
                <w:sz w:val="24"/>
                <w:szCs w:val="22"/>
              </w:rPr>
            </w:pPr>
            <w:r>
              <w:rPr>
                <w:rFonts w:hint="eastAsia" w:ascii="黑体" w:hAnsi="黑体" w:eastAsia="黑体" w:cs="黑体"/>
                <w:b/>
                <w:color w:val="auto"/>
                <w:sz w:val="24"/>
                <w:szCs w:val="22"/>
                <w:lang w:val="en-US" w:eastAsia="zh-CN"/>
              </w:rPr>
              <w:t>3、</w:t>
            </w:r>
            <w:r>
              <w:rPr>
                <w:rFonts w:hint="eastAsia" w:ascii="黑体" w:hAnsi="黑体" w:eastAsia="黑体" w:cs="黑体"/>
                <w:b/>
                <w:color w:val="auto"/>
                <w:sz w:val="24"/>
                <w:szCs w:val="22"/>
              </w:rPr>
              <w:t>法律法规规定的其他无效情形。</w:t>
            </w:r>
          </w:p>
          <w:p>
            <w:pPr>
              <w:pageBreakBefore w:val="0"/>
              <w:wordWrap/>
              <w:topLinePunct w:val="0"/>
              <w:autoSpaceDE w:val="0"/>
              <w:autoSpaceDN w:val="0"/>
              <w:bidi w:val="0"/>
              <w:adjustRightInd w:val="0"/>
              <w:snapToGrid w:val="0"/>
              <w:spacing w:line="360" w:lineRule="auto"/>
              <w:textAlignment w:val="auto"/>
              <w:rPr>
                <w:rFonts w:hint="eastAsia" w:ascii="黑体" w:hAnsi="黑体" w:eastAsia="黑体" w:cs="黑体"/>
                <w:b/>
                <w:color w:val="auto"/>
                <w:sz w:val="24"/>
                <w:szCs w:val="22"/>
              </w:rPr>
            </w:pPr>
            <w:r>
              <w:rPr>
                <w:rFonts w:hint="eastAsia" w:ascii="黑体" w:hAnsi="黑体" w:eastAsia="黑体" w:cs="黑体"/>
                <w:b/>
                <w:color w:val="auto"/>
                <w:sz w:val="24"/>
                <w:szCs w:val="22"/>
                <w:lang w:val="en-US" w:eastAsia="zh-CN"/>
              </w:rPr>
              <w:t>4、供应商</w:t>
            </w:r>
            <w:r>
              <w:rPr>
                <w:rFonts w:hint="eastAsia" w:ascii="黑体" w:hAnsi="黑体" w:eastAsia="黑体" w:cs="黑体"/>
                <w:b/>
                <w:color w:val="auto"/>
                <w:sz w:val="24"/>
                <w:szCs w:val="22"/>
              </w:rPr>
              <w:t>拒绝对电子</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文件进行解密的；</w:t>
            </w:r>
          </w:p>
          <w:p>
            <w:pPr>
              <w:pageBreakBefore w:val="0"/>
              <w:wordWrap/>
              <w:topLinePunct w:val="0"/>
              <w:autoSpaceDE w:val="0"/>
              <w:autoSpaceDN w:val="0"/>
              <w:bidi w:val="0"/>
              <w:adjustRightInd w:val="0"/>
              <w:snapToGrid w:val="0"/>
              <w:spacing w:line="360" w:lineRule="auto"/>
              <w:textAlignment w:val="auto"/>
              <w:rPr>
                <w:rFonts w:hint="eastAsia" w:ascii="黑体" w:hAnsi="黑体" w:eastAsia="黑体" w:cs="黑体"/>
                <w:b/>
                <w:color w:val="auto"/>
                <w:sz w:val="24"/>
                <w:szCs w:val="22"/>
              </w:rPr>
            </w:pPr>
            <w:r>
              <w:rPr>
                <w:rFonts w:hint="eastAsia" w:ascii="黑体" w:hAnsi="黑体" w:eastAsia="黑体" w:cs="黑体"/>
                <w:b/>
                <w:color w:val="auto"/>
                <w:sz w:val="24"/>
                <w:szCs w:val="22"/>
                <w:lang w:val="en-US" w:eastAsia="zh-CN"/>
              </w:rPr>
              <w:t>5、</w:t>
            </w:r>
            <w:r>
              <w:rPr>
                <w:rFonts w:hint="eastAsia" w:ascii="黑体" w:hAnsi="黑体" w:eastAsia="黑体" w:cs="黑体"/>
                <w:b/>
                <w:color w:val="auto"/>
                <w:sz w:val="24"/>
                <w:szCs w:val="22"/>
              </w:rPr>
              <w:t>因</w:t>
            </w:r>
            <w:r>
              <w:rPr>
                <w:rFonts w:hint="eastAsia" w:ascii="黑体" w:hAnsi="黑体" w:eastAsia="黑体" w:cs="黑体"/>
                <w:b/>
                <w:color w:val="auto"/>
                <w:sz w:val="24"/>
                <w:szCs w:val="22"/>
                <w:lang w:val="en-US" w:eastAsia="zh-CN"/>
              </w:rPr>
              <w:t>供应商</w:t>
            </w:r>
            <w:r>
              <w:rPr>
                <w:rFonts w:hint="eastAsia" w:ascii="黑体" w:hAnsi="黑体" w:eastAsia="黑体" w:cs="黑体"/>
                <w:b/>
                <w:color w:val="auto"/>
                <w:sz w:val="24"/>
                <w:szCs w:val="22"/>
              </w:rPr>
              <w:t>自身原因（如未带CA锁、或所带CA锁与制作电子</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文件使用的CA锁不一致、或沿用旧版</w:t>
            </w:r>
            <w:r>
              <w:rPr>
                <w:rFonts w:hint="eastAsia" w:ascii="黑体" w:hAnsi="黑体" w:eastAsia="黑体" w:cs="黑体"/>
                <w:b/>
                <w:color w:val="auto"/>
                <w:sz w:val="24"/>
                <w:szCs w:val="22"/>
                <w:lang w:val="en-US" w:eastAsia="zh-CN"/>
              </w:rPr>
              <w:t>磋商</w:t>
            </w:r>
            <w:r>
              <w:rPr>
                <w:rFonts w:hint="eastAsia" w:ascii="黑体" w:hAnsi="黑体" w:eastAsia="黑体" w:cs="黑体"/>
                <w:b/>
                <w:color w:val="auto"/>
                <w:sz w:val="24"/>
                <w:szCs w:val="22"/>
              </w:rPr>
              <w:t>文件编制</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文件等情形），导致在规定时间内无法解密</w:t>
            </w:r>
            <w:r>
              <w:rPr>
                <w:rFonts w:hint="eastAsia" w:ascii="黑体" w:hAnsi="黑体" w:eastAsia="黑体" w:cs="黑体"/>
                <w:b/>
                <w:color w:val="auto"/>
                <w:sz w:val="24"/>
                <w:szCs w:val="22"/>
                <w:lang w:val="en-US" w:eastAsia="zh-CN"/>
              </w:rPr>
              <w:t>响应</w:t>
            </w:r>
            <w:r>
              <w:rPr>
                <w:rFonts w:hint="eastAsia" w:ascii="黑体" w:hAnsi="黑体" w:eastAsia="黑体" w:cs="黑体"/>
                <w:b/>
                <w:color w:val="auto"/>
                <w:sz w:val="24"/>
                <w:szCs w:val="22"/>
              </w:rPr>
              <w:t>文件的；</w:t>
            </w:r>
          </w:p>
          <w:p>
            <w:pPr>
              <w:pageBreakBefore w:val="0"/>
              <w:wordWrap/>
              <w:topLinePunct w:val="0"/>
              <w:autoSpaceDE w:val="0"/>
              <w:autoSpaceDN w:val="0"/>
              <w:bidi w:val="0"/>
              <w:adjustRightInd w:val="0"/>
              <w:snapToGrid w:val="0"/>
              <w:spacing w:line="360" w:lineRule="auto"/>
              <w:ind w:firstLine="482" w:firstLineChars="200"/>
              <w:textAlignment w:val="auto"/>
              <w:rPr>
                <w:rFonts w:hint="eastAsia" w:ascii="黑体" w:hAnsi="黑体" w:eastAsia="黑体" w:cs="黑体"/>
                <w:b/>
                <w:color w:val="auto"/>
                <w:sz w:val="24"/>
                <w:szCs w:val="22"/>
                <w:lang w:eastAsia="zh-CN"/>
              </w:rPr>
            </w:pPr>
            <w:r>
              <w:rPr>
                <w:rFonts w:hint="eastAsia" w:ascii="黑体" w:hAnsi="黑体" w:eastAsia="黑体" w:cs="黑体"/>
                <w:b/>
                <w:color w:val="auto"/>
                <w:sz w:val="24"/>
                <w:szCs w:val="22"/>
              </w:rPr>
              <w:t>特殊情形下的应急处置</w:t>
            </w:r>
            <w:r>
              <w:rPr>
                <w:rFonts w:hint="eastAsia" w:ascii="黑体" w:hAnsi="黑体" w:eastAsia="黑体" w:cs="黑体"/>
                <w:b/>
                <w:color w:val="auto"/>
                <w:sz w:val="24"/>
                <w:szCs w:val="22"/>
                <w:lang w:eastAsia="zh-CN"/>
              </w:rPr>
              <w:t>：</w:t>
            </w:r>
          </w:p>
          <w:p>
            <w:pPr>
              <w:pageBreakBefore w:val="0"/>
              <w:wordWrap/>
              <w:topLinePunct w:val="0"/>
              <w:autoSpaceDE w:val="0"/>
              <w:autoSpaceDN w:val="0"/>
              <w:bidi w:val="0"/>
              <w:adjustRightInd w:val="0"/>
              <w:snapToGrid w:val="0"/>
              <w:spacing w:line="360" w:lineRule="auto"/>
              <w:ind w:firstLine="482" w:firstLineChars="200"/>
              <w:textAlignment w:val="auto"/>
              <w:rPr>
                <w:rFonts w:hint="eastAsia" w:ascii="黑体" w:hAnsi="黑体" w:eastAsia="黑体" w:cs="黑体"/>
                <w:b/>
                <w:bCs/>
                <w:color w:val="auto"/>
                <w:kern w:val="2"/>
                <w:sz w:val="24"/>
                <w:szCs w:val="24"/>
                <w:highlight w:val="none"/>
              </w:rPr>
            </w:pPr>
            <w:r>
              <w:rPr>
                <w:rFonts w:hint="eastAsia" w:ascii="黑体" w:hAnsi="黑体" w:eastAsia="黑体" w:cs="黑体"/>
                <w:b/>
                <w:color w:val="auto"/>
                <w:sz w:val="24"/>
                <w:szCs w:val="24"/>
              </w:rPr>
              <w:t>在开标、评审过程中，如因停电、断网、电子化系统故障等特殊原因导致电子化开、评标无法正常进行时，将</w:t>
            </w:r>
            <w:r>
              <w:rPr>
                <w:rFonts w:hint="eastAsia" w:ascii="黑体" w:hAnsi="黑体" w:eastAsia="黑体" w:cs="黑体"/>
                <w:b/>
                <w:color w:val="auto"/>
                <w:sz w:val="24"/>
                <w:szCs w:val="24"/>
                <w:lang w:eastAsia="zh-CN"/>
              </w:rPr>
              <w:t>延后</w:t>
            </w:r>
            <w:r>
              <w:rPr>
                <w:rFonts w:hint="eastAsia" w:ascii="黑体" w:hAnsi="黑体" w:eastAsia="黑体" w:cs="黑体"/>
                <w:b/>
                <w:color w:val="auto"/>
                <w:sz w:val="24"/>
                <w:szCs w:val="24"/>
              </w:rPr>
              <w:t>开展后续</w:t>
            </w:r>
            <w:r>
              <w:rPr>
                <w:rFonts w:hint="eastAsia" w:ascii="黑体" w:hAnsi="黑体" w:eastAsia="黑体" w:cs="黑体"/>
                <w:b/>
                <w:color w:val="auto"/>
                <w:sz w:val="24"/>
                <w:szCs w:val="24"/>
                <w:lang w:val="en-US" w:eastAsia="zh-CN"/>
              </w:rPr>
              <w:t>招标</w:t>
            </w:r>
            <w:r>
              <w:rPr>
                <w:rFonts w:hint="eastAsia" w:ascii="黑体" w:hAnsi="黑体" w:eastAsia="黑体" w:cs="黑体"/>
                <w:b/>
                <w:color w:val="auto"/>
                <w:sz w:val="24"/>
                <w:szCs w:val="24"/>
              </w:rPr>
              <w:t>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9" w:type="dxa"/>
            <w:noWrap w:val="0"/>
            <w:vAlign w:val="center"/>
          </w:tcPr>
          <w:p>
            <w:pPr>
              <w:numPr>
                <w:ilvl w:val="0"/>
                <w:numId w:val="0"/>
              </w:numPr>
              <w:ind w:left="0" w:leftChars="0" w:firstLine="0" w:firstLine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26</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评标办法及标准</w:t>
            </w:r>
          </w:p>
        </w:tc>
        <w:tc>
          <w:tcPr>
            <w:tcW w:w="6975" w:type="dxa"/>
            <w:noWrap w:val="0"/>
            <w:vAlign w:val="center"/>
          </w:tcPr>
          <w:p>
            <w:pPr>
              <w:pStyle w:val="56"/>
              <w:spacing w:line="460" w:lineRule="exact"/>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rPr>
              <w:t>详见竞争性磋商文件第二章。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99" w:type="dxa"/>
            <w:noWrap w:val="0"/>
            <w:vAlign w:val="center"/>
          </w:tcPr>
          <w:p>
            <w:pPr>
              <w:numPr>
                <w:ilvl w:val="0"/>
                <w:numId w:val="0"/>
              </w:numPr>
              <w:ind w:leftChars="0"/>
              <w:jc w:val="both"/>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27</w:t>
            </w:r>
          </w:p>
        </w:tc>
        <w:tc>
          <w:tcPr>
            <w:tcW w:w="1959" w:type="dxa"/>
            <w:noWrap w:val="0"/>
            <w:vAlign w:val="center"/>
          </w:tcPr>
          <w:p>
            <w:pPr>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其它事项</w:t>
            </w:r>
          </w:p>
        </w:tc>
        <w:tc>
          <w:tcPr>
            <w:tcW w:w="6975" w:type="dxa"/>
            <w:noWrap w:val="0"/>
            <w:vAlign w:val="center"/>
          </w:tcPr>
          <w:p>
            <w:pPr>
              <w:pStyle w:val="56"/>
              <w:spacing w:line="460" w:lineRule="exact"/>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rPr>
              <w:t>本次采购、磋商报价、评审和合同授予均以项目为单位，供应商必须就一个完整项目进行响应。成交供应商与采购人在成交通知书发出30天内签订合同，不及时签订视为自动放弃。非经采购人同意，本项目不允许成交后另行转包或者分包。成交人无正当理由不得放弃中标。</w:t>
            </w:r>
            <w:r>
              <w:rPr>
                <w:rFonts w:hint="eastAsia" w:ascii="黑体" w:hAnsi="黑体" w:eastAsia="黑体" w:cs="黑体"/>
                <w:color w:val="auto"/>
                <w:sz w:val="24"/>
                <w:szCs w:val="24"/>
                <w:highlight w:val="none"/>
              </w:rPr>
              <w:t>因自身原因拒绝签订政府采购合同的或者未按合同约定进行履约的，成交人不得参加对该项目重新开展的</w:t>
            </w:r>
            <w:r>
              <w:rPr>
                <w:rFonts w:hint="eastAsia" w:ascii="黑体" w:hAnsi="黑体" w:eastAsia="黑体" w:cs="黑体"/>
                <w:color w:val="auto"/>
                <w:sz w:val="24"/>
                <w:szCs w:val="24"/>
                <w:highlight w:val="none"/>
                <w:lang w:eastAsia="zh-CN"/>
              </w:rPr>
              <w:t>采购</w:t>
            </w:r>
            <w:r>
              <w:rPr>
                <w:rFonts w:hint="eastAsia" w:ascii="黑体" w:hAnsi="黑体" w:eastAsia="黑体" w:cs="黑体"/>
                <w:color w:val="auto"/>
                <w:sz w:val="24"/>
                <w:szCs w:val="24"/>
                <w:highlight w:val="none"/>
              </w:rPr>
              <w:t>活动。</w:t>
            </w:r>
          </w:p>
        </w:tc>
      </w:tr>
    </w:tbl>
    <w:p>
      <w:pPr>
        <w:pStyle w:val="23"/>
        <w:keepNext w:val="0"/>
        <w:keepLines w:val="0"/>
        <w:pageBreakBefore w:val="0"/>
        <w:widowControl/>
        <w:suppressLineNumbers w:val="0"/>
        <w:wordWrap/>
        <w:topLinePunct w:val="0"/>
        <w:bidi w:val="0"/>
        <w:spacing w:before="0" w:beforeAutospacing="0" w:after="0" w:afterAutospacing="0" w:line="365" w:lineRule="auto"/>
        <w:ind w:right="0"/>
        <w:textAlignment w:val="auto"/>
        <w:outlineLvl w:val="1"/>
        <w:rPr>
          <w:rFonts w:hint="eastAsia" w:ascii="黑体" w:hAnsi="黑体" w:eastAsia="黑体" w:cs="黑体"/>
          <w:b/>
          <w:bCs/>
          <w:color w:val="auto"/>
          <w:kern w:val="2"/>
          <w:sz w:val="24"/>
          <w:szCs w:val="24"/>
          <w:highlight w:val="none"/>
          <w:lang w:val="en-US" w:eastAsia="zh-CN" w:bidi="ar-SA"/>
        </w:rPr>
      </w:pPr>
      <w:bookmarkStart w:id="2" w:name="_Toc7453872"/>
      <w:r>
        <w:rPr>
          <w:rFonts w:hint="eastAsia" w:ascii="黑体" w:hAnsi="黑体" w:eastAsia="黑体" w:cs="黑体"/>
          <w:b/>
          <w:bCs/>
          <w:color w:val="auto"/>
          <w:kern w:val="2"/>
          <w:sz w:val="24"/>
          <w:szCs w:val="24"/>
          <w:highlight w:val="none"/>
          <w:lang w:val="en-US" w:eastAsia="zh-CN" w:bidi="ar-SA"/>
        </w:rPr>
        <w:t>二、项目说明</w:t>
      </w:r>
      <w:bookmarkEnd w:id="2"/>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1、本项目说明详见供应商须知前附表。</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2、本项目按照《中华人民共和国政府采购法》等有关法律、行政法规和部门规章，通过竞争性磋商方式择优选定成交供应商。</w:t>
      </w:r>
    </w:p>
    <w:p>
      <w:pPr>
        <w:pStyle w:val="23"/>
        <w:keepNext w:val="0"/>
        <w:keepLines w:val="0"/>
        <w:pageBreakBefore w:val="0"/>
        <w:widowControl/>
        <w:suppressLineNumbers w:val="0"/>
        <w:wordWrap/>
        <w:topLinePunct w:val="0"/>
        <w:bidi w:val="0"/>
        <w:spacing w:before="0" w:beforeAutospacing="0" w:after="0" w:afterAutospacing="0" w:line="365" w:lineRule="auto"/>
        <w:ind w:right="0"/>
        <w:textAlignment w:val="auto"/>
        <w:outlineLvl w:val="1"/>
        <w:rPr>
          <w:rFonts w:hint="eastAsia" w:ascii="黑体" w:hAnsi="黑体" w:eastAsia="黑体" w:cs="黑体"/>
          <w:color w:val="auto"/>
          <w:kern w:val="2"/>
          <w:sz w:val="24"/>
          <w:szCs w:val="24"/>
          <w:highlight w:val="none"/>
          <w:lang w:val="en-US" w:eastAsia="zh-CN" w:bidi="ar-SA"/>
        </w:rPr>
      </w:pPr>
      <w:bookmarkStart w:id="3" w:name="_Toc7453873"/>
      <w:bookmarkStart w:id="4" w:name="_Toc458848734"/>
      <w:bookmarkStart w:id="5" w:name="_Toc458848967"/>
      <w:bookmarkStart w:id="6" w:name="_Toc458848819"/>
      <w:r>
        <w:rPr>
          <w:rFonts w:hint="eastAsia" w:ascii="黑体" w:hAnsi="黑体" w:eastAsia="黑体" w:cs="黑体"/>
          <w:b/>
          <w:bCs/>
          <w:color w:val="auto"/>
          <w:kern w:val="2"/>
          <w:sz w:val="24"/>
          <w:szCs w:val="24"/>
          <w:highlight w:val="none"/>
          <w:lang w:val="en-US" w:eastAsia="zh-CN" w:bidi="ar-SA"/>
        </w:rPr>
        <w:t>三、竞争性磋商文件</w:t>
      </w:r>
      <w:bookmarkEnd w:id="3"/>
      <w:bookmarkEnd w:id="4"/>
      <w:bookmarkEnd w:id="5"/>
      <w:bookmarkEnd w:id="6"/>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1、竞争性磋商文件适用：仅适用于本次竞争性磋商文件所述项目。</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2、竞争性磋商文件购买：供应商须从采购代理机构处购买竞争性磋商文件，竞争性磋商文件售后不退，供应商自行转让或复制的竞争性磋商文件视为无效竞争性磋商文件。供应商名称与登记购买竞争性磋商文件的单位名称不一致的，将作为无效响应处理。</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3、竞争性磋商文件组成：包括竞争性磋商文件目录前六章。</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4、供应商应详细阅读和充分理解竞争性磋商文件所有的事项、格式、条款和规范要求等，在竞争性磋商响应文件中对竞争性磋商文件的各方面都做出实质性的响应，否则将导致响应无效。</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5、竞争性磋商文件的澄清或修改：</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5-1、提交磋商响应文件截止时间前，采购人、采购代理机构可以以书面形式对竞争性磋商文件进行必要的澄清或修改，但不得改变采购标的和资格条件。澄清或修改的内容均为竞争性磋商文件的组成部分，并对采购人及供应商起约束作用。澄清或修改的内容可能影响响应文件编制的，都将于提交磋商响应文件截止时间5日前以书面形式发送给所有参加磋商的供应商；不足5个日历日的，采购人、采购代理机构顺延递交竞争性磋商响应文件的截止时间。</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 xml:space="preserve">  5-2、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6、供应商若对磋商文件有任何疑问，可以以书面形式（纸质版加盖公章，下同）向采购代理机构提出询问。否则，视为同意磋商文件的一切条款和要求并承担由此引起的一切法律责任。凡因供应商对磋商文件阅读不深、理解不透、误解、疏漏、或因市场行情了解不清造成的后果和风险均由供应商自负。</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7、供应商认为竞争性磋商文件使自己的权益受到损害的，在收到竞争性磋商文件之日起七个工作日内，以书面形式向采购代理机构提出质疑，逾期提出的无效，因此带来的一切不利后果由供应商自负。</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8、在磋商截止时间前，根据采购工作进展实际情况，采购人可酌情延长递交竞争性磋商响应文件的截止时间，若延长将另行以书面形式通知各供应商。采购代理机构和供应商的权利和义务将受到新的截止期的约束。</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9、竞争性磋商文件的解释权归采购代理机构，如发现竞争性磋商文件内容与现行法律法规不相符的情况，以现行法律法规为准。</w:t>
      </w:r>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10、现场勘查、标前答疑会：见须知前附表。</w:t>
      </w:r>
    </w:p>
    <w:p>
      <w:pPr>
        <w:pStyle w:val="23"/>
        <w:keepNext w:val="0"/>
        <w:keepLines w:val="0"/>
        <w:pageBreakBefore w:val="0"/>
        <w:widowControl/>
        <w:suppressLineNumbers w:val="0"/>
        <w:wordWrap/>
        <w:topLinePunct w:val="0"/>
        <w:bidi w:val="0"/>
        <w:spacing w:before="0" w:beforeAutospacing="0" w:after="0" w:afterAutospacing="0" w:line="365" w:lineRule="auto"/>
        <w:ind w:right="0"/>
        <w:textAlignment w:val="auto"/>
        <w:outlineLvl w:val="1"/>
        <w:rPr>
          <w:rFonts w:hint="eastAsia" w:ascii="黑体" w:hAnsi="黑体" w:eastAsia="黑体" w:cs="黑体"/>
          <w:b/>
          <w:bCs/>
          <w:i w:val="0"/>
          <w:iCs w:val="0"/>
          <w:caps w:val="0"/>
          <w:color w:val="auto"/>
          <w:spacing w:val="0"/>
          <w:sz w:val="24"/>
          <w:szCs w:val="24"/>
          <w:highlight w:val="none"/>
          <w:shd w:val="clear" w:fill="FFFFFF"/>
        </w:rPr>
      </w:pPr>
      <w:bookmarkStart w:id="7" w:name="_Toc458848735"/>
      <w:bookmarkStart w:id="8" w:name="_Toc7453874"/>
      <w:bookmarkStart w:id="9" w:name="_Toc458848820"/>
      <w:bookmarkStart w:id="10" w:name="_Toc458848968"/>
      <w:r>
        <w:rPr>
          <w:rFonts w:hint="eastAsia" w:ascii="黑体" w:hAnsi="黑体" w:eastAsia="黑体" w:cs="黑体"/>
          <w:b/>
          <w:bCs/>
          <w:i w:val="0"/>
          <w:iCs w:val="0"/>
          <w:caps w:val="0"/>
          <w:color w:val="auto"/>
          <w:spacing w:val="0"/>
          <w:sz w:val="24"/>
          <w:szCs w:val="24"/>
          <w:highlight w:val="none"/>
          <w:shd w:val="clear" w:fill="FFFFFF"/>
        </w:rPr>
        <w:t>四、竞争性磋商响应文件</w:t>
      </w:r>
      <w:bookmarkEnd w:id="7"/>
      <w:bookmarkEnd w:id="8"/>
      <w:bookmarkEnd w:id="9"/>
      <w:bookmarkEnd w:id="10"/>
    </w:p>
    <w:p>
      <w:pPr>
        <w:pStyle w:val="23"/>
        <w:keepNext w:val="0"/>
        <w:keepLines w:val="0"/>
        <w:pageBreakBefore w:val="0"/>
        <w:widowControl/>
        <w:suppressLineNumbers w:val="0"/>
        <w:wordWrap/>
        <w:topLinePunct w:val="0"/>
        <w:bidi w:val="0"/>
        <w:spacing w:before="0" w:beforeAutospacing="0" w:after="0" w:afterAutospacing="0" w:line="365" w:lineRule="auto"/>
        <w:ind w:right="0"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1、供应商资格要求</w:t>
      </w:r>
    </w:p>
    <w:p>
      <w:pPr>
        <w:pStyle w:val="23"/>
        <w:keepNext w:val="0"/>
        <w:keepLines w:val="0"/>
        <w:pageBreakBefore w:val="0"/>
        <w:widowControl/>
        <w:suppressLineNumbers w:val="0"/>
        <w:wordWrap/>
        <w:topLinePunct w:val="0"/>
        <w:bidi w:val="0"/>
        <w:spacing w:before="0" w:beforeAutospacing="0" w:after="0" w:afterAutospacing="0" w:line="365" w:lineRule="auto"/>
        <w:ind w:right="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（1）供应商须是具有独立承担民事责任能力的法人、其他组织或自然人，并出具合法有效的营业执照或事业单位法人证书等国家规定的相关证明，自然人参与的提供其身份证明； </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（2）供应商须提供近3年中其中1年的财务审计报告（至少包括资产负债表和利润表，成立时间至提交磋商响应文件截止时间不足一年的可提供成立后任意时段的资产负债表）；</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（3）供应商须提供近1年已缴存的至少一个月的社会保险参保缴费情况证明，依法不需要缴纳社会保障资金的单位应提供相关证明材料；</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（4）供应商须提供近1年已缴纳的至少一个月的纳税证明或完税证明，依法免税的单位应提供相关证明材料；</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5）供应商不得为“信用中国”网站（www.creditchina.gov.cn）中列入失信被执行人和严重失信主体名单的供应商，不得为中国政府采购网（www.ccgp.gov.cn）政府采购严重违法失信行为记录名单中被财政部门禁止参加政府采购活动的供应商；</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（6）单位负责人为同一人或者存在直接控股、管理关系的不同供应商，不得参加同一合同项下的政府采购活动（通过“国家企业信用信息公示系统”查询的打印件或截图，加盖供应商公章）；</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（7）供应商须提供企业开具的近三年在政府采购经营活动中无重大违法记录声明;</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8）供应商须授权合法的人员参加磋商全过程，其中法定代表人直接参加磋商的，须出具法定代表人资格证明书及身份证，并与营业执照上信息一致；法定代表人授权代表参加磋商的，须出具法定代表人资格证明书、授权书及被授权代表身份证、近三个月职工基本养老保险个人账户证明（缴纳单位应与投标供应商一致）； </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（9）供应商须提供具有履行合同所必需的设备和专业技术能力的承诺书；</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（10）供应商须在陕西省政府采购网（http://www.ccgp-shaanxi.gov.cn/），按照“供应商注册注意事项”要求，完成注册审核（注册公示截图加盖供应商公章）；</w:t>
      </w:r>
      <w:r>
        <w:rPr>
          <w:rFonts w:hint="eastAsia" w:ascii="黑体" w:hAnsi="黑体" w:eastAsia="黑体" w:cs="黑体"/>
          <w:color w:val="auto"/>
          <w:kern w:val="2"/>
          <w:sz w:val="24"/>
          <w:szCs w:val="24"/>
          <w:highlight w:val="none"/>
          <w:lang w:val="en-US" w:eastAsia="zh-CN" w:bidi="ar-SA"/>
        </w:rPr>
        <w:br w:type="textWrapping"/>
      </w:r>
      <w:r>
        <w:rPr>
          <w:rFonts w:hint="eastAsia" w:ascii="黑体" w:hAnsi="黑体" w:eastAsia="黑体" w:cs="黑体"/>
          <w:color w:val="auto"/>
          <w:kern w:val="2"/>
          <w:sz w:val="24"/>
          <w:szCs w:val="24"/>
          <w:highlight w:val="none"/>
          <w:lang w:val="en-US" w:eastAsia="zh-CN" w:bidi="ar-SA"/>
        </w:rPr>
        <w:t>（11）供应商须具备建筑工程施工总承包三级（含三级）及以上资质，具有有效的安全生产许可证；拟派项目经理具有建筑工程专业二级及以上注册建造师执业资格，并持有有效的安全生产考核合格证，且无在建项目（提供项目经理无在建承诺函），提供“陕西省建筑市场监管与诚信信息一体化平台中的企业及项目经理相关信息；</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2、合格供应商</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依照《中华人民共和国公司法》合法注册的法人或其他组织、符合《中华人民共和国政府采购法》</w:t>
      </w:r>
      <w:bookmarkStart w:id="11" w:name="OLE_LINK8"/>
      <w:r>
        <w:rPr>
          <w:rFonts w:hint="eastAsia" w:ascii="黑体" w:hAnsi="黑体" w:eastAsia="黑体" w:cs="黑体"/>
          <w:color w:val="auto"/>
          <w:sz w:val="24"/>
          <w:szCs w:val="24"/>
          <w:highlight w:val="none"/>
        </w:rPr>
        <w:t>及其实施条例等有关法律法规的规定</w:t>
      </w:r>
      <w:bookmarkEnd w:id="11"/>
      <w:r>
        <w:rPr>
          <w:rFonts w:hint="eastAsia" w:ascii="黑体" w:hAnsi="黑体" w:eastAsia="黑体" w:cs="黑体"/>
          <w:color w:val="auto"/>
          <w:sz w:val="24"/>
          <w:szCs w:val="24"/>
          <w:highlight w:val="none"/>
        </w:rPr>
        <w:t>并满足本项目资格条件。不符合上述规定的供应商，磋商响应无效。</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3、供应商信用信息：</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1、信用信息查询渠道</w:t>
      </w:r>
      <w:r>
        <w:rPr>
          <w:rFonts w:hint="eastAsia" w:ascii="黑体" w:hAnsi="黑体" w:eastAsia="黑体" w:cs="黑体"/>
          <w:color w:val="auto"/>
          <w:sz w:val="24"/>
          <w:szCs w:val="24"/>
          <w:highlight w:val="none"/>
          <w:lang w:eastAsia="zh-CN"/>
        </w:rPr>
        <w:t>由采购人及采购代理机构</w:t>
      </w:r>
      <w:r>
        <w:rPr>
          <w:rFonts w:hint="eastAsia" w:ascii="黑体" w:hAnsi="黑体" w:eastAsia="黑体" w:cs="黑体"/>
          <w:color w:val="auto"/>
          <w:sz w:val="24"/>
          <w:szCs w:val="24"/>
          <w:highlight w:val="none"/>
        </w:rPr>
        <w:t>通过“信用中国”网站（www.creditchina.gov.cn）、中国政府采购网（www.ccgp.gov.cn）等渠道查询</w:t>
      </w:r>
      <w:r>
        <w:rPr>
          <w:rFonts w:hint="eastAsia" w:ascii="黑体" w:hAnsi="黑体" w:eastAsia="黑体" w:cs="黑体"/>
          <w:color w:val="auto"/>
          <w:sz w:val="24"/>
          <w:szCs w:val="24"/>
          <w:highlight w:val="none"/>
          <w:lang w:eastAsia="zh-CN"/>
        </w:rPr>
        <w:t>核实</w:t>
      </w:r>
      <w:r>
        <w:rPr>
          <w:rFonts w:hint="eastAsia" w:ascii="黑体" w:hAnsi="黑体" w:eastAsia="黑体" w:cs="黑体"/>
          <w:color w:val="auto"/>
          <w:sz w:val="24"/>
          <w:szCs w:val="24"/>
          <w:highlight w:val="none"/>
        </w:rPr>
        <w:t>相关主体信用记录。</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2、信用信息查询</w:t>
      </w:r>
      <w:r>
        <w:rPr>
          <w:rFonts w:hint="eastAsia" w:ascii="黑体" w:hAnsi="黑体" w:eastAsia="黑体" w:cs="黑体"/>
          <w:color w:val="auto"/>
          <w:sz w:val="24"/>
          <w:szCs w:val="24"/>
          <w:highlight w:val="none"/>
          <w:lang w:eastAsia="zh-CN"/>
        </w:rPr>
        <w:t>时间</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eastAsia="zh-CN"/>
        </w:rPr>
        <w:t>公告发布之日起至磋商响应文件递交截止时间前</w:t>
      </w:r>
      <w:r>
        <w:rPr>
          <w:rFonts w:hint="eastAsia" w:ascii="黑体" w:hAnsi="黑体" w:eastAsia="黑体" w:cs="黑体"/>
          <w:color w:val="auto"/>
          <w:sz w:val="24"/>
          <w:szCs w:val="24"/>
          <w:highlight w:val="none"/>
        </w:rPr>
        <w:t>。</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3信用信息的使用规则：</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a、对列入失信被执行人、</w:t>
      </w:r>
      <w:r>
        <w:rPr>
          <w:rFonts w:hint="eastAsia" w:ascii="黑体" w:hAnsi="黑体" w:eastAsia="黑体" w:cs="黑体"/>
          <w:color w:val="auto"/>
          <w:sz w:val="24"/>
          <w:szCs w:val="24"/>
          <w:lang w:eastAsia="zh-CN"/>
        </w:rPr>
        <w:t>严重失信主体名单</w:t>
      </w:r>
      <w:r>
        <w:rPr>
          <w:rFonts w:hint="eastAsia" w:ascii="黑体" w:hAnsi="黑体" w:eastAsia="黑体" w:cs="黑体"/>
          <w:color w:val="auto"/>
          <w:sz w:val="24"/>
          <w:szCs w:val="24"/>
          <w:highlight w:val="none"/>
        </w:rPr>
        <w:t>、政府采购严重违法失信行为记录名单及其他不符合《政府采购法》第二十二条规定条件的</w:t>
      </w:r>
      <w:r>
        <w:rPr>
          <w:rFonts w:hint="eastAsia" w:ascii="黑体" w:hAnsi="黑体" w:eastAsia="黑体" w:cs="黑体"/>
          <w:color w:val="auto"/>
          <w:sz w:val="24"/>
          <w:szCs w:val="24"/>
          <w:highlight w:val="none"/>
          <w:lang w:eastAsia="zh-CN"/>
        </w:rPr>
        <w:t>供应商</w:t>
      </w:r>
      <w:r>
        <w:rPr>
          <w:rFonts w:hint="eastAsia" w:ascii="黑体" w:hAnsi="黑体" w:eastAsia="黑体" w:cs="黑体"/>
          <w:color w:val="auto"/>
          <w:sz w:val="24"/>
          <w:szCs w:val="24"/>
          <w:highlight w:val="none"/>
        </w:rPr>
        <w:t>，应当拒绝其参与政府采购活动。</w:t>
      </w:r>
    </w:p>
    <w:p>
      <w:pPr>
        <w:pageBreakBefore w:val="0"/>
        <w:wordWrap/>
        <w:topLinePunct w:val="0"/>
        <w:autoSpaceDE/>
        <w:autoSpaceDN/>
        <w:bidi w:val="0"/>
        <w:spacing w:line="365" w:lineRule="auto"/>
        <w:ind w:firstLine="480" w:firstLineChars="200"/>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4"/>
          <w:szCs w:val="24"/>
          <w:highlight w:val="none"/>
        </w:rPr>
        <w:t>b、采购人及</w:t>
      </w:r>
      <w:r>
        <w:rPr>
          <w:rFonts w:hint="eastAsia" w:ascii="黑体" w:hAnsi="黑体" w:eastAsia="黑体" w:cs="黑体"/>
          <w:color w:val="auto"/>
          <w:sz w:val="24"/>
          <w:szCs w:val="24"/>
          <w:highlight w:val="none"/>
          <w:lang w:eastAsia="zh-CN"/>
        </w:rPr>
        <w:t>采购</w:t>
      </w:r>
      <w:r>
        <w:rPr>
          <w:rFonts w:hint="eastAsia" w:ascii="黑体" w:hAnsi="黑体" w:eastAsia="黑体" w:cs="黑体"/>
          <w:color w:val="auto"/>
          <w:sz w:val="24"/>
          <w:szCs w:val="24"/>
          <w:highlight w:val="none"/>
        </w:rPr>
        <w:t>组织机构应当妥善保管相关主体信用信息，不得用于政府采购以外事项。</w:t>
      </w:r>
    </w:p>
    <w:p>
      <w:pPr>
        <w:spacing w:line="480" w:lineRule="exact"/>
        <w:ind w:firstLine="470" w:firstLineChars="196"/>
        <w:rPr>
          <w:rFonts w:hint="eastAsia" w:ascii="黑体" w:hAnsi="黑体" w:eastAsia="黑体" w:cs="黑体"/>
          <w:color w:val="auto"/>
          <w:sz w:val="24"/>
          <w:szCs w:val="24"/>
        </w:rPr>
      </w:pPr>
      <w:r>
        <w:rPr>
          <w:rFonts w:hint="eastAsia" w:ascii="黑体" w:hAnsi="黑体" w:eastAsia="黑体" w:cs="黑体"/>
          <w:color w:val="auto"/>
          <w:sz w:val="24"/>
          <w:szCs w:val="24"/>
        </w:rPr>
        <w:t>3-4、特别说明：</w:t>
      </w:r>
    </w:p>
    <w:p>
      <w:pPr>
        <w:spacing w:line="480" w:lineRule="exact"/>
        <w:ind w:firstLine="470" w:firstLineChars="196"/>
        <w:rPr>
          <w:rFonts w:hint="eastAsia" w:ascii="黑体" w:hAnsi="黑体" w:eastAsia="黑体" w:cs="黑体"/>
          <w:color w:val="auto"/>
          <w:sz w:val="24"/>
          <w:szCs w:val="24"/>
        </w:rPr>
      </w:pPr>
      <w:r>
        <w:rPr>
          <w:rFonts w:hint="eastAsia" w:ascii="黑体" w:hAnsi="黑体" w:eastAsia="黑体" w:cs="黑体"/>
          <w:color w:val="auto"/>
          <w:sz w:val="24"/>
          <w:szCs w:val="24"/>
        </w:rPr>
        <w:t>（1）</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如在成交通知书发出前出现违法失信行为，招标人仍有权利提请磋商小组取消其成交资格；</w:t>
      </w:r>
    </w:p>
    <w:p>
      <w:pPr>
        <w:spacing w:line="480" w:lineRule="exact"/>
        <w:ind w:firstLine="470" w:firstLineChars="196"/>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rPr>
        <w:t>（2）</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在磋商响应文件中已出具的信用查询结果并不能取代招标人或招标代理机构在评审前进行复查。</w:t>
      </w:r>
    </w:p>
    <w:p>
      <w:pPr>
        <w:pageBreakBefore w:val="0"/>
        <w:wordWrap/>
        <w:topLinePunct w:val="0"/>
        <w:autoSpaceDE/>
        <w:autoSpaceDN/>
        <w:bidi w:val="0"/>
        <w:spacing w:line="365" w:lineRule="auto"/>
        <w:ind w:firstLine="482" w:firstLineChars="200"/>
        <w:textAlignment w:val="auto"/>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 xml:space="preserve">4、竞争性磋商响应文件的组成： </w:t>
      </w:r>
    </w:p>
    <w:p>
      <w:pPr>
        <w:spacing w:line="480" w:lineRule="exact"/>
        <w:ind w:firstLine="470" w:firstLineChars="196"/>
        <w:rPr>
          <w:rFonts w:hint="eastAsia" w:ascii="黑体" w:hAnsi="黑体" w:eastAsia="黑体" w:cs="黑体"/>
          <w:color w:val="auto"/>
          <w:sz w:val="24"/>
          <w:szCs w:val="24"/>
          <w:lang w:val="en-US" w:eastAsia="zh-CN"/>
        </w:rPr>
      </w:pPr>
      <w:bookmarkStart w:id="12" w:name="_Toc35442385"/>
      <w:r>
        <w:rPr>
          <w:rFonts w:hint="eastAsia" w:ascii="黑体" w:hAnsi="黑体" w:eastAsia="黑体" w:cs="黑体"/>
          <w:color w:val="auto"/>
          <w:sz w:val="24"/>
          <w:szCs w:val="24"/>
          <w:lang w:val="en-US" w:eastAsia="zh-CN"/>
        </w:rPr>
        <w:t>4-1．响应文件格式</w:t>
      </w:r>
    </w:p>
    <w:p>
      <w:pPr>
        <w:spacing w:line="480" w:lineRule="exact"/>
        <w:ind w:firstLine="470" w:firstLineChars="196"/>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4-2．资质证明文件</w:t>
      </w:r>
    </w:p>
    <w:p>
      <w:pPr>
        <w:spacing w:line="480" w:lineRule="exact"/>
        <w:ind w:firstLine="470" w:firstLineChars="196"/>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4-3. 符合性证明文件</w:t>
      </w:r>
    </w:p>
    <w:p>
      <w:pPr>
        <w:spacing w:line="480" w:lineRule="exact"/>
        <w:ind w:firstLine="470" w:firstLineChars="196"/>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4-4</w:t>
      </w:r>
      <w:r>
        <w:rPr>
          <w:rFonts w:hint="eastAsia" w:ascii="黑体" w:hAnsi="黑体" w:eastAsia="黑体" w:cs="黑体"/>
          <w:color w:val="auto"/>
          <w:sz w:val="24"/>
          <w:szCs w:val="24"/>
        </w:rPr>
        <w:t>．</w:t>
      </w:r>
      <w:r>
        <w:rPr>
          <w:rFonts w:hint="eastAsia" w:ascii="黑体" w:hAnsi="黑体" w:eastAsia="黑体" w:cs="黑体"/>
          <w:color w:val="auto"/>
          <w:sz w:val="24"/>
          <w:szCs w:val="24"/>
          <w:lang w:val="en-US" w:eastAsia="zh-CN"/>
        </w:rPr>
        <w:t>响应方案</w:t>
      </w:r>
    </w:p>
    <w:bookmarkEnd w:id="12"/>
    <w:p>
      <w:pPr>
        <w:spacing w:line="480" w:lineRule="exact"/>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5、竞争性磋商响应文件编写说明</w:t>
      </w:r>
    </w:p>
    <w:p>
      <w:pPr>
        <w:spacing w:line="480" w:lineRule="exact"/>
        <w:ind w:firstLine="480" w:firstLineChars="20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5-1、竞争性磋商响应文件应当按照竞争性磋商文件给定的格式编制，格式之外的可自行编写。否则，将作为无效响应处理。</w:t>
      </w:r>
    </w:p>
    <w:p>
      <w:pPr>
        <w:spacing w:line="480" w:lineRule="exact"/>
        <w:ind w:firstLine="480" w:firstLineChars="200"/>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5-2、</w:t>
      </w:r>
      <w:r>
        <w:rPr>
          <w:rFonts w:hint="eastAsia" w:ascii="黑体" w:hAnsi="黑体" w:eastAsia="黑体" w:cs="黑体"/>
          <w:bCs/>
          <w:color w:val="auto"/>
          <w:sz w:val="24"/>
          <w:szCs w:val="24"/>
          <w:highlight w:val="none"/>
        </w:rPr>
        <w:t>供应商必须按照</w:t>
      </w:r>
      <w:r>
        <w:rPr>
          <w:rFonts w:hint="eastAsia" w:ascii="黑体" w:hAnsi="黑体" w:eastAsia="黑体" w:cs="黑体"/>
          <w:color w:val="auto"/>
          <w:sz w:val="24"/>
          <w:szCs w:val="24"/>
          <w:highlight w:val="none"/>
        </w:rPr>
        <w:t>竞争性磋商文件</w:t>
      </w:r>
      <w:r>
        <w:rPr>
          <w:rFonts w:hint="eastAsia" w:ascii="黑体" w:hAnsi="黑体" w:eastAsia="黑体" w:cs="黑体"/>
          <w:bCs/>
          <w:color w:val="auto"/>
          <w:sz w:val="24"/>
          <w:szCs w:val="24"/>
          <w:highlight w:val="none"/>
        </w:rPr>
        <w:t>的规定和要求由法定代表人或被授权人签字（或盖章），并逐页加盖供应商公章（鲜章），如有遗漏，将作为无</w:t>
      </w:r>
      <w:r>
        <w:rPr>
          <w:rFonts w:hint="eastAsia" w:ascii="黑体" w:hAnsi="黑体" w:eastAsia="黑体" w:cs="黑体"/>
          <w:color w:val="auto"/>
          <w:sz w:val="24"/>
          <w:szCs w:val="24"/>
          <w:highlight w:val="none"/>
        </w:rPr>
        <w:t>效磋商响应处理</w:t>
      </w:r>
      <w:r>
        <w:rPr>
          <w:rFonts w:hint="eastAsia" w:ascii="黑体" w:hAnsi="黑体" w:eastAsia="黑体" w:cs="黑体"/>
          <w:bCs/>
          <w:color w:val="auto"/>
          <w:sz w:val="24"/>
          <w:szCs w:val="24"/>
          <w:highlight w:val="none"/>
        </w:rPr>
        <w:t>。</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w:t>
      </w: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、竞争性磋商响应文件</w:t>
      </w:r>
      <w:r>
        <w:rPr>
          <w:rFonts w:hint="eastAsia" w:ascii="黑体" w:hAnsi="黑体" w:eastAsia="黑体" w:cs="黑体"/>
          <w:color w:val="auto"/>
          <w:sz w:val="24"/>
          <w:szCs w:val="24"/>
          <w:highlight w:val="none"/>
          <w:lang w:val="en-US" w:eastAsia="zh-CN"/>
        </w:rPr>
        <w:t>因内容表达不清</w:t>
      </w:r>
      <w:r>
        <w:rPr>
          <w:rFonts w:hint="eastAsia" w:ascii="黑体" w:hAnsi="黑体" w:eastAsia="黑体" w:cs="黑体"/>
          <w:color w:val="auto"/>
          <w:sz w:val="24"/>
          <w:szCs w:val="24"/>
          <w:highlight w:val="none"/>
        </w:rPr>
        <w:t>、印章或证明材料内容模糊难辨等导致的不利后果由供应商自行承担。</w:t>
      </w:r>
    </w:p>
    <w:p>
      <w:pPr>
        <w:spacing w:line="480" w:lineRule="exact"/>
        <w:ind w:firstLine="482" w:firstLineChars="200"/>
        <w:rPr>
          <w:rFonts w:hint="eastAsia" w:ascii="黑体" w:hAnsi="黑体" w:eastAsia="黑体" w:cs="黑体"/>
          <w:b/>
          <w:bCs/>
          <w:color w:val="auto"/>
          <w:kern w:val="2"/>
          <w:sz w:val="24"/>
          <w:szCs w:val="24"/>
          <w:shd w:val="clear" w:color="auto" w:fill="FFFFFF"/>
          <w:lang w:val="en-US" w:eastAsia="zh-CN" w:bidi="ar-SA"/>
        </w:rPr>
      </w:pPr>
      <w:r>
        <w:rPr>
          <w:rFonts w:hint="eastAsia" w:ascii="黑体" w:hAnsi="黑体" w:eastAsia="黑体" w:cs="黑体"/>
          <w:b/>
          <w:bCs/>
          <w:color w:val="auto"/>
          <w:kern w:val="2"/>
          <w:sz w:val="24"/>
          <w:szCs w:val="24"/>
          <w:shd w:val="clear" w:color="auto" w:fill="FFFFFF"/>
          <w:lang w:val="en-US" w:eastAsia="zh-CN" w:bidi="ar-SA"/>
        </w:rPr>
        <w:t>6、磋商响应文件的制作和签署</w:t>
      </w:r>
    </w:p>
    <w:p>
      <w:pPr>
        <w:spacing w:line="480" w:lineRule="exact"/>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6-1、</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lang w:val="en-US" w:eastAsia="zh-CN"/>
        </w:rPr>
        <w:t>登录全国公共资源交易平台（陕西省·宝鸡市）网站[服务指南-下载专区]免费下载《政府采购电子标书制作工具》。编制电子响应文件时，应使用最新发布的电子磋商文件及专用制作工具进行编制。并使用数字认证证书（CA）对响应文件进行签署、加密、递交、开标时解密以及二次报价等相关操作。电子磋商响应文件在编制过程中，如有技术性问题，请先翻阅操作手册或致电软件开发商，技术支持热线：4009980000。</w:t>
      </w:r>
    </w:p>
    <w:p>
      <w:pPr>
        <w:spacing w:line="480" w:lineRule="exact"/>
        <w:ind w:firstLine="480" w:firstLineChars="200"/>
        <w:rPr>
          <w:rFonts w:hint="eastAsia" w:ascii="黑体" w:hAnsi="黑体" w:eastAsia="黑体" w:cs="黑体"/>
          <w:color w:val="auto"/>
          <w:sz w:val="24"/>
          <w:szCs w:val="24"/>
          <w:lang w:val="zh-CN" w:eastAsia="zh-CN"/>
        </w:rPr>
      </w:pPr>
      <w:r>
        <w:rPr>
          <w:rFonts w:hint="eastAsia" w:ascii="黑体" w:hAnsi="黑体" w:eastAsia="黑体" w:cs="黑体"/>
          <w:color w:val="auto"/>
          <w:sz w:val="24"/>
          <w:szCs w:val="24"/>
          <w:lang w:val="zh-CN" w:eastAsia="zh-CN"/>
        </w:rPr>
        <w:t>注：该项目如有变更文件，则应点击“项目流程答疑文件下载”下载更新后的电子招标文件（*.SXSCF），使用旧版电子招标文件制作的电子响应文件，系统将拒绝接收。</w:t>
      </w:r>
    </w:p>
    <w:p>
      <w:pPr>
        <w:spacing w:line="480" w:lineRule="exact"/>
        <w:ind w:firstLine="480" w:firstLineChars="200"/>
        <w:rPr>
          <w:rFonts w:hint="eastAsia" w:ascii="黑体" w:hAnsi="黑体" w:eastAsia="黑体" w:cs="黑体"/>
          <w:color w:val="auto"/>
          <w:sz w:val="24"/>
          <w:szCs w:val="24"/>
          <w:lang w:val="en-US"/>
        </w:rPr>
      </w:pPr>
      <w:r>
        <w:rPr>
          <w:rFonts w:hint="eastAsia" w:ascii="黑体" w:hAnsi="黑体" w:eastAsia="黑体" w:cs="黑体"/>
          <w:color w:val="auto"/>
          <w:sz w:val="24"/>
          <w:szCs w:val="24"/>
          <w:lang w:val="en-US" w:eastAsia="zh-CN"/>
        </w:rPr>
        <w:t>6-2、</w:t>
      </w:r>
      <w:r>
        <w:rPr>
          <w:rFonts w:hint="eastAsia" w:ascii="黑体" w:hAnsi="黑体" w:eastAsia="黑体" w:cs="黑体"/>
          <w:color w:val="auto"/>
          <w:sz w:val="24"/>
          <w:szCs w:val="24"/>
        </w:rPr>
        <w:t>磋商现场</w:t>
      </w:r>
      <w:r>
        <w:rPr>
          <w:rFonts w:hint="eastAsia" w:ascii="黑体" w:hAnsi="黑体" w:eastAsia="黑体" w:cs="黑体"/>
          <w:color w:val="auto"/>
          <w:sz w:val="24"/>
          <w:szCs w:val="24"/>
          <w:lang w:eastAsia="zh-CN"/>
        </w:rPr>
        <w:t>须</w:t>
      </w:r>
      <w:r>
        <w:rPr>
          <w:rFonts w:hint="eastAsia" w:ascii="黑体" w:hAnsi="黑体" w:eastAsia="黑体" w:cs="黑体"/>
          <w:color w:val="auto"/>
          <w:sz w:val="24"/>
          <w:szCs w:val="24"/>
        </w:rPr>
        <w:t>递交与电子磋商响应文件（ *.SXSTF ）内容一致的</w:t>
      </w:r>
      <w:r>
        <w:rPr>
          <w:rFonts w:hint="eastAsia" w:ascii="黑体" w:hAnsi="黑体" w:eastAsia="黑体" w:cs="黑体"/>
          <w:color w:val="auto"/>
          <w:sz w:val="24"/>
          <w:szCs w:val="24"/>
          <w:lang w:eastAsia="zh-CN"/>
        </w:rPr>
        <w:t>纸质</w:t>
      </w:r>
      <w:r>
        <w:rPr>
          <w:rFonts w:hint="eastAsia" w:ascii="黑体" w:hAnsi="黑体" w:eastAsia="黑体" w:cs="黑体"/>
          <w:color w:val="auto"/>
          <w:sz w:val="24"/>
          <w:szCs w:val="24"/>
        </w:rPr>
        <w:t>磋商响应文件正本一份，副本二份。</w:t>
      </w:r>
      <w:r>
        <w:rPr>
          <w:rFonts w:hint="eastAsia" w:ascii="黑体" w:hAnsi="黑体" w:eastAsia="黑体" w:cs="黑体"/>
          <w:color w:val="auto"/>
          <w:sz w:val="24"/>
          <w:szCs w:val="24"/>
          <w:lang w:val="en-US" w:eastAsia="zh-CN"/>
        </w:rPr>
        <w:t>纸质</w:t>
      </w:r>
      <w:r>
        <w:rPr>
          <w:rFonts w:hint="eastAsia" w:ascii="黑体" w:hAnsi="黑体" w:eastAsia="黑体" w:cs="黑体"/>
          <w:color w:val="auto"/>
          <w:sz w:val="24"/>
          <w:szCs w:val="24"/>
          <w:lang w:eastAsia="zh-CN"/>
        </w:rPr>
        <w:t>磋商响应文件一律采用书籍（胶装）方式装订，</w:t>
      </w:r>
      <w:r>
        <w:rPr>
          <w:rFonts w:hint="eastAsia" w:ascii="黑体" w:hAnsi="黑体" w:eastAsia="黑体" w:cs="黑体"/>
          <w:color w:val="auto"/>
          <w:sz w:val="24"/>
          <w:szCs w:val="24"/>
        </w:rPr>
        <w:t>按照竞争性磋商文件的规定和要求由法定代表人或被授权人签字（或盖章），并逐页加盖</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公章，</w:t>
      </w:r>
      <w:r>
        <w:rPr>
          <w:rFonts w:hint="eastAsia" w:ascii="黑体" w:hAnsi="黑体" w:eastAsia="黑体" w:cs="黑体"/>
          <w:color w:val="auto"/>
          <w:sz w:val="24"/>
          <w:szCs w:val="24"/>
          <w:lang w:eastAsia="zh-CN"/>
        </w:rPr>
        <w:t>所有</w:t>
      </w:r>
      <w:r>
        <w:rPr>
          <w:rFonts w:hint="eastAsia" w:ascii="黑体" w:hAnsi="黑体" w:eastAsia="黑体" w:cs="黑体"/>
          <w:color w:val="auto"/>
          <w:sz w:val="24"/>
          <w:szCs w:val="24"/>
          <w:lang w:val="en-US" w:eastAsia="zh-CN"/>
        </w:rPr>
        <w:t>响应</w:t>
      </w:r>
      <w:r>
        <w:rPr>
          <w:rFonts w:hint="eastAsia" w:ascii="黑体" w:hAnsi="黑体" w:eastAsia="黑体" w:cs="黑体"/>
          <w:color w:val="auto"/>
          <w:sz w:val="24"/>
          <w:szCs w:val="24"/>
          <w:lang w:eastAsia="zh-CN"/>
        </w:rPr>
        <w:t>文件</w:t>
      </w:r>
      <w:r>
        <w:rPr>
          <w:rFonts w:hint="eastAsia" w:ascii="黑体" w:hAnsi="黑体" w:eastAsia="黑体" w:cs="黑体"/>
          <w:color w:val="auto"/>
          <w:sz w:val="24"/>
          <w:szCs w:val="24"/>
        </w:rPr>
        <w:t>密封在一个标袋中</w:t>
      </w:r>
      <w:r>
        <w:rPr>
          <w:rFonts w:hint="eastAsia" w:ascii="黑体" w:hAnsi="黑体" w:eastAsia="黑体" w:cs="黑体"/>
          <w:color w:val="auto"/>
          <w:sz w:val="24"/>
          <w:szCs w:val="24"/>
          <w:lang w:eastAsia="zh-CN"/>
        </w:rPr>
        <w:t>并在标袋上</w:t>
      </w:r>
      <w:r>
        <w:rPr>
          <w:rFonts w:hint="eastAsia" w:ascii="黑体" w:hAnsi="黑体" w:eastAsia="黑体" w:cs="黑体"/>
          <w:color w:val="auto"/>
          <w:sz w:val="24"/>
          <w:szCs w:val="24"/>
        </w:rPr>
        <w:t>标明</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名称</w:t>
      </w:r>
      <w:r>
        <w:rPr>
          <w:rFonts w:hint="eastAsia" w:ascii="黑体" w:hAnsi="黑体" w:eastAsia="黑体" w:cs="黑体"/>
          <w:color w:val="auto"/>
          <w:sz w:val="24"/>
          <w:szCs w:val="24"/>
          <w:lang w:eastAsia="zh-CN"/>
        </w:rPr>
        <w:t>。</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7、竞争性磋商响应文件的计量单位</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竞争性磋商响应文件中所使用的计量单位，除有特殊要求外，均采用国家法定计量单位。</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8、磋商报价</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8-1、磋商货币：人民币</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单位：元（保留小数点后两位）。</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8-2、</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要按报价表内容填写名称、</w:t>
      </w:r>
      <w:r>
        <w:rPr>
          <w:rFonts w:hint="eastAsia" w:ascii="黑体" w:hAnsi="黑体" w:eastAsia="黑体" w:cs="黑体"/>
          <w:color w:val="auto"/>
          <w:sz w:val="24"/>
          <w:szCs w:val="24"/>
          <w:lang w:val="en-US" w:eastAsia="zh-CN"/>
        </w:rPr>
        <w:t>工</w:t>
      </w:r>
      <w:r>
        <w:rPr>
          <w:rFonts w:hint="eastAsia" w:ascii="黑体" w:hAnsi="黑体" w:eastAsia="黑体" w:cs="黑体"/>
          <w:color w:val="auto"/>
          <w:sz w:val="24"/>
          <w:szCs w:val="24"/>
          <w:lang w:eastAsia="zh-CN"/>
        </w:rPr>
        <w:t>期</w:t>
      </w:r>
      <w:r>
        <w:rPr>
          <w:rFonts w:hint="eastAsia" w:ascii="黑体" w:hAnsi="黑体" w:eastAsia="黑体" w:cs="黑体"/>
          <w:color w:val="auto"/>
          <w:sz w:val="24"/>
          <w:szCs w:val="24"/>
        </w:rPr>
        <w:t>、</w:t>
      </w:r>
      <w:r>
        <w:rPr>
          <w:rFonts w:hint="eastAsia" w:ascii="黑体" w:hAnsi="黑体" w:eastAsia="黑体" w:cs="黑体"/>
          <w:color w:val="auto"/>
          <w:sz w:val="24"/>
          <w:szCs w:val="24"/>
          <w:lang w:val="en-US" w:eastAsia="zh-CN"/>
        </w:rPr>
        <w:t>磋商报</w:t>
      </w:r>
      <w:r>
        <w:rPr>
          <w:rFonts w:hint="eastAsia" w:ascii="黑体" w:hAnsi="黑体" w:eastAsia="黑体" w:cs="黑体"/>
          <w:color w:val="auto"/>
          <w:sz w:val="24"/>
          <w:szCs w:val="24"/>
        </w:rPr>
        <w:t>价等内容，并由法定代表人或被授权人签署。</w:t>
      </w:r>
    </w:p>
    <w:p>
      <w:pPr>
        <w:pStyle w:val="47"/>
        <w:tabs>
          <w:tab w:val="left" w:pos="1860"/>
          <w:tab w:val="center" w:pos="4680"/>
        </w:tabs>
        <w:spacing w:line="540" w:lineRule="exact"/>
        <w:ind w:firstLine="482" w:firstLineChars="200"/>
        <w:jc w:val="both"/>
        <w:rPr>
          <w:rFonts w:hint="eastAsia" w:ascii="黑体" w:hAnsi="黑体" w:eastAsia="黑体" w:cs="黑体"/>
          <w:b/>
          <w:bCs/>
          <w:color w:val="auto"/>
          <w:kern w:val="2"/>
          <w:sz w:val="24"/>
          <w:szCs w:val="24"/>
          <w:lang w:val="en-US" w:eastAsia="zh-CN" w:bidi="ar-SA"/>
        </w:rPr>
      </w:pPr>
      <w:r>
        <w:rPr>
          <w:rFonts w:hint="eastAsia" w:ascii="黑体" w:hAnsi="黑体" w:eastAsia="黑体" w:cs="黑体"/>
          <w:color w:val="auto"/>
          <w:sz w:val="24"/>
          <w:szCs w:val="24"/>
          <w:highlight w:val="none"/>
        </w:rPr>
        <w:t>8-3、</w:t>
      </w:r>
      <w:r>
        <w:rPr>
          <w:rFonts w:hint="eastAsia" w:ascii="黑体" w:hAnsi="黑体" w:eastAsia="黑体" w:cs="黑体"/>
          <w:b/>
          <w:bCs/>
          <w:color w:val="auto"/>
          <w:kern w:val="2"/>
          <w:sz w:val="24"/>
          <w:szCs w:val="24"/>
          <w:lang w:val="en-US" w:eastAsia="zh-CN" w:bidi="ar-SA"/>
        </w:rPr>
        <w:t>磋商报价应是竞争性磋商响应文件所确定的磋商范围内的全部工作内容的价格体现，包括本项目所涉及的人员、设备及其他相关伴随费用的全部费用。</w:t>
      </w:r>
    </w:p>
    <w:p>
      <w:pPr>
        <w:spacing w:line="480" w:lineRule="exact"/>
        <w:ind w:firstLine="482" w:firstLineChars="200"/>
        <w:rPr>
          <w:rFonts w:hint="eastAsia" w:ascii="黑体" w:hAnsi="黑体" w:eastAsia="黑体" w:cs="黑体"/>
          <w:color w:val="auto"/>
          <w:sz w:val="24"/>
          <w:szCs w:val="24"/>
          <w:highlight w:val="none"/>
        </w:rPr>
      </w:pPr>
      <w:r>
        <w:rPr>
          <w:rFonts w:hint="eastAsia" w:ascii="黑体" w:hAnsi="黑体" w:eastAsia="黑体" w:cs="黑体"/>
          <w:b/>
          <w:bCs/>
          <w:color w:val="auto"/>
          <w:kern w:val="2"/>
          <w:sz w:val="24"/>
          <w:szCs w:val="24"/>
          <w:lang w:val="en-US" w:eastAsia="zh-CN" w:bidi="ar-SA"/>
        </w:rPr>
        <w:t>注：磋商报价（首轮）超过或等于最高限价的，响应无效，按废标处理;二轮报价超过首轮报价的，响应无效，按废标处理。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8-4、供应商所报的磋商价在合同执行过程中是固定不变的，不得以任何理由予以变更。任何包含价格调整要求的磋商，将被认为是非响应性磋商而予以拒绝。</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8</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rPr>
        <w:t>凡磋商文件要求或允许磋商中进行报价的各项费用项目，若磋商报价时未报，采购人将按这些费用已包含在磋商报价中对待。</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8-6、</w:t>
      </w:r>
      <w:r>
        <w:rPr>
          <w:rFonts w:hint="eastAsia" w:ascii="黑体" w:hAnsi="黑体" w:eastAsia="黑体" w:cs="黑体"/>
          <w:color w:val="auto"/>
          <w:sz w:val="24"/>
          <w:szCs w:val="24"/>
          <w:highlight w:val="none"/>
        </w:rPr>
        <w:t>供应商的最终报价应是本采购项目全部内容的所有费用。</w:t>
      </w:r>
      <w:r>
        <w:rPr>
          <w:rFonts w:hint="eastAsia" w:ascii="黑体" w:hAnsi="黑体" w:eastAsia="黑体" w:cs="黑体"/>
          <w:color w:val="auto"/>
          <w:sz w:val="24"/>
          <w:szCs w:val="24"/>
          <w:highlight w:val="none"/>
          <w:lang w:val="zh-CN" w:eastAsia="zh-CN"/>
        </w:rPr>
        <w:t>供应商在磋商报价时应综合考虑施工机械进出场、施工现场材料堆放、施工材料二次倒运、建设期间交通组织和安全保险、生活费、税费等因素，将其纳入报价当中，</w:t>
      </w:r>
      <w:r>
        <w:rPr>
          <w:rFonts w:hint="eastAsia" w:ascii="黑体" w:hAnsi="黑体" w:eastAsia="黑体" w:cs="黑体"/>
          <w:color w:val="auto"/>
          <w:sz w:val="24"/>
          <w:szCs w:val="24"/>
          <w:highlight w:val="none"/>
        </w:rPr>
        <w:t>采购人不再单独支付其他任何费用。</w:t>
      </w:r>
    </w:p>
    <w:p>
      <w:pPr>
        <w:spacing w:line="480" w:lineRule="exact"/>
        <w:outlineLvl w:val="1"/>
        <w:rPr>
          <w:rFonts w:hint="eastAsia" w:ascii="黑体" w:hAnsi="黑体" w:eastAsia="黑体" w:cs="黑体"/>
          <w:b/>
          <w:bCs/>
          <w:color w:val="auto"/>
          <w:sz w:val="24"/>
          <w:szCs w:val="24"/>
          <w:highlight w:val="none"/>
        </w:rPr>
      </w:pPr>
      <w:bookmarkStart w:id="13" w:name="_Toc458848821"/>
      <w:bookmarkStart w:id="14" w:name="_Toc7453875"/>
      <w:bookmarkStart w:id="15" w:name="_Toc458848969"/>
      <w:bookmarkStart w:id="16" w:name="_Toc458848736"/>
      <w:r>
        <w:rPr>
          <w:rFonts w:hint="eastAsia" w:ascii="黑体" w:hAnsi="黑体" w:eastAsia="黑体" w:cs="黑体"/>
          <w:b/>
          <w:bCs/>
          <w:color w:val="auto"/>
          <w:sz w:val="24"/>
          <w:szCs w:val="24"/>
          <w:highlight w:val="none"/>
        </w:rPr>
        <w:t>五、磋商担保</w:t>
      </w:r>
      <w:bookmarkEnd w:id="13"/>
      <w:bookmarkEnd w:id="14"/>
      <w:bookmarkEnd w:id="15"/>
      <w:bookmarkEnd w:id="16"/>
    </w:p>
    <w:p>
      <w:pPr>
        <w:spacing w:line="480" w:lineRule="exact"/>
        <w:ind w:firstLine="470" w:firstLineChars="196"/>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1、担保方式：见供应商须知前附表。</w:t>
      </w:r>
    </w:p>
    <w:p>
      <w:pPr>
        <w:spacing w:line="480" w:lineRule="exact"/>
        <w:ind w:firstLine="470" w:firstLineChars="196"/>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2、磋商担保递交截止时间：见供应商须知前附表。</w:t>
      </w:r>
    </w:p>
    <w:p>
      <w:pPr>
        <w:spacing w:line="480" w:lineRule="exact"/>
        <w:ind w:firstLine="470" w:firstLineChars="196"/>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3、若采购代理机构未在磋商担保递交截止时间</w:t>
      </w:r>
      <w:r>
        <w:rPr>
          <w:rFonts w:hint="eastAsia" w:ascii="黑体" w:hAnsi="黑体" w:eastAsia="黑体" w:cs="黑体"/>
          <w:color w:val="auto"/>
          <w:sz w:val="24"/>
          <w:szCs w:val="24"/>
          <w:highlight w:val="none"/>
          <w:lang w:eastAsia="zh-CN"/>
        </w:rPr>
        <w:t>查询</w:t>
      </w:r>
      <w:r>
        <w:rPr>
          <w:rFonts w:hint="eastAsia" w:ascii="黑体" w:hAnsi="黑体" w:eastAsia="黑体" w:cs="黑体"/>
          <w:color w:val="auto"/>
          <w:sz w:val="24"/>
          <w:szCs w:val="24"/>
          <w:highlight w:val="none"/>
        </w:rPr>
        <w:t xml:space="preserve">到足额磋商保证金或者有效磋商担保函的，其磋商将被拒绝。 </w:t>
      </w:r>
    </w:p>
    <w:p>
      <w:pPr>
        <w:spacing w:line="480" w:lineRule="exact"/>
        <w:ind w:firstLine="480" w:firstLineChars="200"/>
        <w:rPr>
          <w:rFonts w:hint="eastAsia" w:ascii="黑体" w:hAnsi="黑体" w:eastAsia="黑体" w:cs="黑体"/>
          <w:color w:val="auto"/>
          <w:sz w:val="24"/>
          <w:szCs w:val="24"/>
        </w:rPr>
      </w:pPr>
      <w:bookmarkStart w:id="17" w:name="_Toc458848822"/>
      <w:bookmarkStart w:id="18" w:name="_Toc458848737"/>
      <w:bookmarkStart w:id="19" w:name="_Toc7453876"/>
      <w:bookmarkStart w:id="20" w:name="_Toc458848970"/>
      <w:r>
        <w:rPr>
          <w:rFonts w:hint="eastAsia" w:ascii="黑体" w:hAnsi="黑体" w:eastAsia="黑体" w:cs="黑体"/>
          <w:color w:val="auto"/>
          <w:sz w:val="24"/>
          <w:szCs w:val="24"/>
          <w:lang w:eastAsia="zh-CN"/>
        </w:rPr>
        <w:t>4、</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lang w:eastAsia="zh-CN"/>
        </w:rPr>
        <w:t>参加磋商时，必须以</w:t>
      </w:r>
      <w:r>
        <w:rPr>
          <w:rFonts w:hint="eastAsia" w:ascii="黑体" w:hAnsi="黑体" w:eastAsia="黑体" w:cs="黑体"/>
          <w:color w:val="auto"/>
          <w:sz w:val="24"/>
          <w:szCs w:val="24"/>
        </w:rPr>
        <w:t>竞争性磋商文件规定的方式提交磋商担保，并作为其磋商响应的一部分。若未在磋商担保递交截止时间</w:t>
      </w:r>
      <w:r>
        <w:rPr>
          <w:rFonts w:hint="eastAsia" w:ascii="黑体" w:hAnsi="黑体" w:eastAsia="黑体" w:cs="黑体"/>
          <w:color w:val="auto"/>
          <w:sz w:val="24"/>
          <w:szCs w:val="24"/>
          <w:lang w:eastAsia="zh-CN"/>
        </w:rPr>
        <w:t>查询到</w:t>
      </w:r>
      <w:r>
        <w:rPr>
          <w:rFonts w:hint="eastAsia" w:ascii="黑体" w:hAnsi="黑体" w:eastAsia="黑体" w:cs="黑体"/>
          <w:color w:val="auto"/>
          <w:sz w:val="24"/>
          <w:szCs w:val="24"/>
        </w:rPr>
        <w:t>到足额磋商保证金或</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不能自行证明其足额缴纳</w:t>
      </w:r>
      <w:r>
        <w:rPr>
          <w:rFonts w:hint="eastAsia" w:ascii="黑体" w:hAnsi="黑体" w:eastAsia="黑体" w:cs="黑体"/>
          <w:color w:val="auto"/>
          <w:sz w:val="24"/>
          <w:szCs w:val="24"/>
          <w:lang w:eastAsia="zh-CN"/>
        </w:rPr>
        <w:t>磋商</w:t>
      </w:r>
      <w:r>
        <w:rPr>
          <w:rFonts w:hint="eastAsia" w:ascii="黑体" w:hAnsi="黑体" w:eastAsia="黑体" w:cs="黑体"/>
          <w:color w:val="auto"/>
          <w:sz w:val="24"/>
          <w:szCs w:val="24"/>
        </w:rPr>
        <w:t>保证金的，</w:t>
      </w:r>
      <w:r>
        <w:rPr>
          <w:rFonts w:hint="eastAsia" w:ascii="黑体" w:hAnsi="黑体" w:eastAsia="黑体" w:cs="黑体"/>
          <w:color w:val="auto"/>
          <w:sz w:val="24"/>
          <w:szCs w:val="24"/>
          <w:lang w:eastAsia="zh-CN"/>
        </w:rPr>
        <w:t>或</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未在</w:t>
      </w:r>
      <w:r>
        <w:rPr>
          <w:rFonts w:hint="eastAsia" w:ascii="黑体" w:hAnsi="黑体" w:eastAsia="黑体" w:cs="黑体"/>
          <w:color w:val="auto"/>
          <w:sz w:val="24"/>
          <w:szCs w:val="24"/>
          <w:lang w:eastAsia="zh-CN"/>
        </w:rPr>
        <w:t>响应文件</w:t>
      </w:r>
      <w:r>
        <w:rPr>
          <w:rFonts w:hint="eastAsia" w:ascii="黑体" w:hAnsi="黑体" w:eastAsia="黑体" w:cs="黑体"/>
          <w:color w:val="auto"/>
          <w:sz w:val="24"/>
          <w:szCs w:val="24"/>
        </w:rPr>
        <w:t>中附</w:t>
      </w:r>
      <w:r>
        <w:rPr>
          <w:rFonts w:hint="eastAsia" w:ascii="黑体" w:hAnsi="黑体" w:eastAsia="黑体" w:cs="黑体"/>
          <w:color w:val="auto"/>
          <w:sz w:val="24"/>
          <w:szCs w:val="24"/>
          <w:lang w:eastAsia="zh-CN"/>
        </w:rPr>
        <w:t>银行汇（存）款回执单或担保机构出具的担保函，</w:t>
      </w:r>
      <w:r>
        <w:rPr>
          <w:rFonts w:hint="eastAsia" w:ascii="黑体" w:hAnsi="黑体" w:eastAsia="黑体" w:cs="黑体"/>
          <w:color w:val="auto"/>
          <w:sz w:val="24"/>
          <w:szCs w:val="24"/>
        </w:rPr>
        <w:t>其磋商响应文件无效。</w:t>
      </w:r>
    </w:p>
    <w:p>
      <w:pPr>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5</w:t>
      </w:r>
      <w:r>
        <w:rPr>
          <w:rFonts w:hint="eastAsia" w:ascii="黑体" w:hAnsi="黑体" w:eastAsia="黑体" w:cs="黑体"/>
          <w:color w:val="auto"/>
          <w:sz w:val="24"/>
          <w:szCs w:val="24"/>
        </w:rPr>
        <w:t>、退还磋商保证金：</w:t>
      </w:r>
    </w:p>
    <w:p>
      <w:pPr>
        <w:spacing w:line="480" w:lineRule="exact"/>
        <w:ind w:firstLine="482" w:firstLineChars="200"/>
        <w:rPr>
          <w:rFonts w:hint="eastAsia" w:ascii="黑体" w:hAnsi="黑体" w:eastAsia="黑体" w:cs="黑体"/>
          <w:b/>
          <w:color w:val="auto"/>
          <w:sz w:val="24"/>
          <w:szCs w:val="24"/>
          <w:u w:val="single"/>
        </w:rPr>
      </w:pPr>
      <w:r>
        <w:rPr>
          <w:rFonts w:hint="eastAsia" w:ascii="黑体" w:hAnsi="黑体" w:eastAsia="黑体" w:cs="黑体"/>
          <w:b/>
          <w:color w:val="auto"/>
          <w:sz w:val="24"/>
          <w:szCs w:val="24"/>
        </w:rPr>
        <w:t>（1）</w:t>
      </w:r>
      <w:r>
        <w:rPr>
          <w:rFonts w:hint="eastAsia" w:ascii="黑体" w:hAnsi="黑体" w:eastAsia="黑体" w:cs="黑体"/>
          <w:b/>
          <w:color w:val="auto"/>
          <w:sz w:val="24"/>
          <w:szCs w:val="24"/>
          <w:u w:val="single"/>
        </w:rPr>
        <w:t>在磋商截止时间前撤回已提交磋商响应文件的</w:t>
      </w:r>
      <w:r>
        <w:rPr>
          <w:rFonts w:hint="eastAsia" w:ascii="黑体" w:hAnsi="黑体" w:eastAsia="黑体" w:cs="黑体"/>
          <w:b/>
          <w:color w:val="auto"/>
          <w:sz w:val="24"/>
          <w:szCs w:val="24"/>
          <w:u w:val="single"/>
          <w:lang w:val="en-US" w:eastAsia="zh-CN"/>
        </w:rPr>
        <w:t>供应商</w:t>
      </w:r>
      <w:r>
        <w:rPr>
          <w:rFonts w:hint="eastAsia" w:ascii="黑体" w:hAnsi="黑体" w:eastAsia="黑体" w:cs="黑体"/>
          <w:b/>
          <w:color w:val="auto"/>
          <w:sz w:val="24"/>
          <w:szCs w:val="24"/>
          <w:u w:val="single"/>
        </w:rPr>
        <w:t>的磋商保证金，将在招标代理机构收到</w:t>
      </w:r>
      <w:r>
        <w:rPr>
          <w:rFonts w:hint="eastAsia" w:ascii="黑体" w:hAnsi="黑体" w:eastAsia="黑体" w:cs="黑体"/>
          <w:b/>
          <w:color w:val="auto"/>
          <w:sz w:val="24"/>
          <w:szCs w:val="24"/>
          <w:u w:val="single"/>
          <w:lang w:val="en-US" w:eastAsia="zh-CN"/>
        </w:rPr>
        <w:t>供应商</w:t>
      </w:r>
      <w:r>
        <w:rPr>
          <w:rFonts w:hint="eastAsia" w:ascii="黑体" w:hAnsi="黑体" w:eastAsia="黑体" w:cs="黑体"/>
          <w:b/>
          <w:color w:val="auto"/>
          <w:sz w:val="24"/>
          <w:szCs w:val="24"/>
          <w:u w:val="single"/>
        </w:rPr>
        <w:t>书面撤回通知之日起5个工作日内退还。</w:t>
      </w:r>
    </w:p>
    <w:p>
      <w:pPr>
        <w:spacing w:line="480" w:lineRule="exact"/>
        <w:ind w:firstLine="482" w:firstLineChars="200"/>
        <w:rPr>
          <w:rFonts w:hint="eastAsia" w:ascii="黑体" w:hAnsi="黑体" w:eastAsia="黑体" w:cs="黑体"/>
          <w:b/>
          <w:color w:val="auto"/>
          <w:sz w:val="24"/>
          <w:szCs w:val="24"/>
        </w:rPr>
      </w:pPr>
      <w:r>
        <w:rPr>
          <w:rFonts w:hint="eastAsia" w:ascii="黑体" w:hAnsi="黑体" w:eastAsia="黑体" w:cs="黑体"/>
          <w:b/>
          <w:color w:val="auto"/>
          <w:sz w:val="24"/>
          <w:szCs w:val="24"/>
        </w:rPr>
        <w:t>（2）</w:t>
      </w:r>
      <w:r>
        <w:rPr>
          <w:rFonts w:hint="eastAsia" w:ascii="黑体" w:hAnsi="黑体" w:eastAsia="黑体" w:cs="黑体"/>
          <w:b/>
          <w:color w:val="auto"/>
          <w:sz w:val="24"/>
          <w:szCs w:val="24"/>
          <w:u w:val="single"/>
        </w:rPr>
        <w:t>所有未成交人的磋商保证金，将在成交通知书发出后5个工作日内退还。</w:t>
      </w:r>
    </w:p>
    <w:p>
      <w:pPr>
        <w:spacing w:line="480" w:lineRule="exact"/>
        <w:ind w:firstLine="482" w:firstLineChars="200"/>
        <w:rPr>
          <w:rFonts w:hint="eastAsia" w:ascii="黑体" w:hAnsi="黑体" w:eastAsia="黑体" w:cs="黑体"/>
          <w:b/>
          <w:color w:val="auto"/>
          <w:spacing w:val="-4"/>
          <w:sz w:val="24"/>
          <w:szCs w:val="24"/>
          <w:u w:val="single"/>
        </w:rPr>
      </w:pPr>
      <w:r>
        <w:rPr>
          <w:rFonts w:hint="eastAsia" w:ascii="黑体" w:hAnsi="黑体" w:eastAsia="黑体" w:cs="黑体"/>
          <w:b/>
          <w:color w:val="auto"/>
          <w:sz w:val="24"/>
          <w:szCs w:val="24"/>
        </w:rPr>
        <w:t>（3）</w:t>
      </w:r>
      <w:r>
        <w:rPr>
          <w:rFonts w:hint="eastAsia" w:ascii="黑体" w:hAnsi="黑体" w:eastAsia="黑体" w:cs="黑体"/>
          <w:b/>
          <w:color w:val="auto"/>
          <w:spacing w:val="-4"/>
          <w:sz w:val="24"/>
          <w:szCs w:val="24"/>
          <w:u w:val="single"/>
        </w:rPr>
        <w:t>成交的</w:t>
      </w:r>
      <w:r>
        <w:rPr>
          <w:rFonts w:hint="eastAsia" w:ascii="黑体" w:hAnsi="黑体" w:eastAsia="黑体" w:cs="黑体"/>
          <w:b/>
          <w:color w:val="auto"/>
          <w:spacing w:val="-4"/>
          <w:sz w:val="24"/>
          <w:szCs w:val="24"/>
          <w:u w:val="single"/>
          <w:lang w:val="en-US" w:eastAsia="zh-CN"/>
        </w:rPr>
        <w:t>供应商</w:t>
      </w:r>
      <w:r>
        <w:rPr>
          <w:rFonts w:hint="eastAsia" w:ascii="黑体" w:hAnsi="黑体" w:eastAsia="黑体" w:cs="黑体"/>
          <w:b/>
          <w:color w:val="auto"/>
          <w:spacing w:val="-4"/>
          <w:sz w:val="24"/>
          <w:szCs w:val="24"/>
          <w:u w:val="single"/>
        </w:rPr>
        <w:t>的磋商保证金在签订合同后，执合同予以</w:t>
      </w:r>
      <w:r>
        <w:rPr>
          <w:rFonts w:hint="eastAsia" w:ascii="黑体" w:hAnsi="黑体" w:eastAsia="黑体" w:cs="黑体"/>
          <w:b/>
          <w:color w:val="auto"/>
          <w:sz w:val="24"/>
          <w:szCs w:val="24"/>
          <w:u w:val="single"/>
        </w:rPr>
        <w:t>5个工作日内</w:t>
      </w:r>
      <w:r>
        <w:rPr>
          <w:rFonts w:hint="eastAsia" w:ascii="黑体" w:hAnsi="黑体" w:eastAsia="黑体" w:cs="黑体"/>
          <w:b/>
          <w:color w:val="auto"/>
          <w:spacing w:val="-4"/>
          <w:sz w:val="24"/>
          <w:szCs w:val="24"/>
          <w:u w:val="single"/>
        </w:rPr>
        <w:t>退还。</w:t>
      </w:r>
    </w:p>
    <w:p>
      <w:pPr>
        <w:tabs>
          <w:tab w:val="left" w:pos="2700"/>
        </w:tabs>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、如磋商发生下列情况之一时，磋商保证金将不予退还：</w:t>
      </w:r>
    </w:p>
    <w:p>
      <w:pPr>
        <w:tabs>
          <w:tab w:val="left" w:pos="2700"/>
        </w:tabs>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-1、</w:t>
      </w:r>
      <w:r>
        <w:rPr>
          <w:rFonts w:hint="eastAsia" w:ascii="黑体" w:hAnsi="黑体" w:eastAsia="黑体" w:cs="黑体"/>
          <w:color w:val="auto"/>
          <w:sz w:val="24"/>
          <w:szCs w:val="24"/>
          <w:u w:val="single"/>
          <w:lang w:val="en-US" w:eastAsia="zh-CN"/>
        </w:rPr>
        <w:t>供应商</w:t>
      </w:r>
      <w:r>
        <w:rPr>
          <w:rFonts w:hint="eastAsia" w:ascii="黑体" w:hAnsi="黑体" w:eastAsia="黑体" w:cs="黑体"/>
          <w:color w:val="auto"/>
          <w:sz w:val="24"/>
          <w:szCs w:val="24"/>
          <w:u w:val="single"/>
        </w:rPr>
        <w:t>提供虚假资质谋取成交的；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-2、</w:t>
      </w:r>
      <w:r>
        <w:rPr>
          <w:rFonts w:hint="eastAsia" w:ascii="黑体" w:hAnsi="黑体" w:eastAsia="黑体" w:cs="黑体"/>
          <w:color w:val="auto"/>
          <w:sz w:val="24"/>
          <w:szCs w:val="24"/>
          <w:u w:val="single"/>
          <w:lang w:val="en-US" w:eastAsia="zh-CN"/>
        </w:rPr>
        <w:t>供应商</w:t>
      </w:r>
      <w:r>
        <w:rPr>
          <w:rFonts w:hint="eastAsia" w:ascii="黑体" w:hAnsi="黑体" w:eastAsia="黑体" w:cs="黑体"/>
          <w:color w:val="auto"/>
          <w:sz w:val="24"/>
          <w:szCs w:val="24"/>
          <w:u w:val="single"/>
        </w:rPr>
        <w:t>有围标、串标现象，经查证属实的；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-3、</w:t>
      </w:r>
      <w:r>
        <w:rPr>
          <w:rFonts w:hint="eastAsia" w:ascii="黑体" w:hAnsi="黑体" w:eastAsia="黑体" w:cs="黑体"/>
          <w:color w:val="auto"/>
          <w:sz w:val="24"/>
          <w:szCs w:val="24"/>
          <w:u w:val="single"/>
          <w:lang w:val="en-US" w:eastAsia="zh-CN"/>
        </w:rPr>
        <w:t>供应商</w:t>
      </w:r>
      <w:r>
        <w:rPr>
          <w:rFonts w:hint="eastAsia" w:ascii="黑体" w:hAnsi="黑体" w:eastAsia="黑体" w:cs="黑体"/>
          <w:color w:val="auto"/>
          <w:sz w:val="24"/>
          <w:szCs w:val="24"/>
          <w:u w:val="single"/>
        </w:rPr>
        <w:t>在竞争性磋商文件规定的磋商响应有效期内撤回磋商响应文件的；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-4、</w:t>
      </w:r>
      <w:r>
        <w:rPr>
          <w:rFonts w:hint="eastAsia" w:ascii="黑体" w:hAnsi="黑体" w:eastAsia="黑体" w:cs="黑体"/>
          <w:color w:val="auto"/>
          <w:sz w:val="24"/>
          <w:szCs w:val="24"/>
          <w:u w:val="single"/>
          <w:lang w:val="en-US" w:eastAsia="zh-CN"/>
        </w:rPr>
        <w:t>供应商</w:t>
      </w:r>
      <w:r>
        <w:rPr>
          <w:rFonts w:hint="eastAsia" w:ascii="黑体" w:hAnsi="黑体" w:eastAsia="黑体" w:cs="黑体"/>
          <w:color w:val="auto"/>
          <w:sz w:val="24"/>
          <w:szCs w:val="24"/>
          <w:u w:val="single"/>
        </w:rPr>
        <w:t>自行放弃磋商资格而未在磋商会议前一个工作日内以书面形式告知招标代理机构的；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-5、</w:t>
      </w:r>
      <w:r>
        <w:rPr>
          <w:rFonts w:hint="eastAsia" w:ascii="黑体" w:hAnsi="黑体" w:eastAsia="黑体" w:cs="黑体"/>
          <w:color w:val="auto"/>
          <w:sz w:val="24"/>
          <w:szCs w:val="24"/>
          <w:u w:val="single"/>
          <w:lang w:val="en-US" w:eastAsia="zh-CN"/>
        </w:rPr>
        <w:t>供应商</w:t>
      </w:r>
      <w:r>
        <w:rPr>
          <w:rFonts w:hint="eastAsia" w:ascii="黑体" w:hAnsi="黑体" w:eastAsia="黑体" w:cs="黑体"/>
          <w:color w:val="auto"/>
          <w:sz w:val="24"/>
          <w:szCs w:val="24"/>
          <w:u w:val="single"/>
        </w:rPr>
        <w:t>自行放弃成交资格的；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-6、</w:t>
      </w:r>
      <w:r>
        <w:rPr>
          <w:rFonts w:hint="eastAsia" w:ascii="黑体" w:hAnsi="黑体" w:eastAsia="黑体" w:cs="黑体"/>
          <w:color w:val="auto"/>
          <w:sz w:val="24"/>
          <w:szCs w:val="24"/>
          <w:u w:val="single"/>
        </w:rPr>
        <w:t>成交人不在规定的时效内领取《成交通知书》的；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-7、</w:t>
      </w:r>
      <w:r>
        <w:rPr>
          <w:rFonts w:hint="eastAsia" w:ascii="黑体" w:hAnsi="黑体" w:eastAsia="黑体" w:cs="黑体"/>
          <w:color w:val="auto"/>
          <w:sz w:val="24"/>
          <w:szCs w:val="24"/>
          <w:u w:val="single"/>
        </w:rPr>
        <w:t>成交人不按规定支付招标服务费的；</w:t>
      </w:r>
    </w:p>
    <w:p>
      <w:pPr>
        <w:spacing w:line="480" w:lineRule="exact"/>
        <w:ind w:firstLine="480" w:firstLineChars="200"/>
        <w:rPr>
          <w:rFonts w:hint="eastAsia" w:ascii="黑体" w:hAnsi="黑体" w:eastAsia="黑体" w:cs="黑体"/>
          <w:color w:val="auto"/>
          <w:sz w:val="24"/>
          <w:szCs w:val="24"/>
          <w:u w:val="single"/>
        </w:rPr>
      </w:pP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rPr>
        <w:t>-8、</w:t>
      </w:r>
      <w:r>
        <w:rPr>
          <w:rFonts w:hint="eastAsia" w:ascii="黑体" w:hAnsi="黑体" w:eastAsia="黑体" w:cs="黑体"/>
          <w:color w:val="auto"/>
          <w:sz w:val="24"/>
          <w:szCs w:val="24"/>
          <w:u w:val="single"/>
        </w:rPr>
        <w:t>成交人因自身原因未能在规定期限内与招标人签订合同的。</w:t>
      </w:r>
    </w:p>
    <w:p>
      <w:pPr>
        <w:spacing w:line="480" w:lineRule="exact"/>
        <w:ind w:firstLine="480" w:firstLineChars="200"/>
        <w:rPr>
          <w:rFonts w:hint="eastAsia" w:ascii="黑体" w:hAnsi="黑体" w:eastAsia="黑体" w:cs="黑体"/>
        </w:rPr>
      </w:pPr>
      <w:r>
        <w:rPr>
          <w:rFonts w:hint="eastAsia" w:ascii="黑体" w:hAnsi="黑体" w:eastAsia="黑体" w:cs="黑体"/>
          <w:color w:val="auto"/>
          <w:sz w:val="24"/>
          <w:szCs w:val="24"/>
          <w:lang w:val="en-US" w:eastAsia="zh-CN"/>
        </w:rPr>
        <w:t>6-9、供应商无故不参加磋商活动的。</w:t>
      </w:r>
    </w:p>
    <w:p>
      <w:pPr>
        <w:pStyle w:val="2"/>
        <w:spacing w:before="0" w:after="0" w:line="480" w:lineRule="exact"/>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六、磋商响应</w:t>
      </w:r>
      <w:bookmarkEnd w:id="17"/>
      <w:bookmarkEnd w:id="18"/>
      <w:bookmarkEnd w:id="19"/>
      <w:bookmarkEnd w:id="20"/>
    </w:p>
    <w:p>
      <w:pPr>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1、磋商响应文件的提交：</w:t>
      </w:r>
    </w:p>
    <w:p>
      <w:pPr>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1-1、</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应在磋商截止时间前将</w:t>
      </w:r>
      <w:r>
        <w:rPr>
          <w:rFonts w:hint="eastAsia" w:ascii="黑体" w:hAnsi="黑体" w:eastAsia="黑体" w:cs="黑体"/>
          <w:color w:val="auto"/>
          <w:sz w:val="24"/>
          <w:szCs w:val="24"/>
          <w:lang w:val="en-US" w:eastAsia="zh-CN"/>
        </w:rPr>
        <w:t>磋商</w:t>
      </w:r>
      <w:r>
        <w:rPr>
          <w:rFonts w:hint="eastAsia" w:ascii="黑体" w:hAnsi="黑体" w:eastAsia="黑体" w:cs="黑体"/>
          <w:color w:val="auto"/>
          <w:sz w:val="24"/>
          <w:szCs w:val="24"/>
        </w:rPr>
        <w:t>响应文件</w:t>
      </w:r>
      <w:r>
        <w:rPr>
          <w:rFonts w:hint="eastAsia" w:ascii="黑体" w:hAnsi="黑体" w:eastAsia="黑体" w:cs="黑体"/>
          <w:color w:val="auto"/>
          <w:sz w:val="24"/>
          <w:szCs w:val="24"/>
          <w:lang w:eastAsia="zh-CN"/>
        </w:rPr>
        <w:t>上传</w:t>
      </w:r>
      <w:r>
        <w:rPr>
          <w:rFonts w:hint="eastAsia" w:ascii="黑体" w:hAnsi="黑体" w:eastAsia="黑体" w:cs="黑体"/>
          <w:color w:val="auto"/>
          <w:sz w:val="24"/>
          <w:szCs w:val="24"/>
        </w:rPr>
        <w:t>至</w:t>
      </w:r>
      <w:r>
        <w:rPr>
          <w:rFonts w:hint="eastAsia" w:ascii="黑体" w:hAnsi="黑体" w:eastAsia="黑体" w:cs="黑体"/>
          <w:color w:val="auto"/>
          <w:sz w:val="24"/>
          <w:szCs w:val="24"/>
          <w:lang w:eastAsia="zh-CN"/>
        </w:rPr>
        <w:t>交易平台</w:t>
      </w:r>
      <w:r>
        <w:rPr>
          <w:rFonts w:hint="eastAsia" w:ascii="黑体" w:hAnsi="黑体" w:eastAsia="黑体" w:cs="黑体"/>
          <w:color w:val="auto"/>
          <w:sz w:val="24"/>
          <w:szCs w:val="24"/>
        </w:rPr>
        <w:t>；</w:t>
      </w:r>
    </w:p>
    <w:p>
      <w:pPr>
        <w:spacing w:line="480" w:lineRule="exact"/>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1-2、磋商</w:t>
      </w:r>
      <w:r>
        <w:rPr>
          <w:rFonts w:hint="eastAsia" w:ascii="黑体" w:hAnsi="黑体" w:eastAsia="黑体" w:cs="黑体"/>
          <w:color w:val="auto"/>
          <w:sz w:val="24"/>
          <w:szCs w:val="24"/>
          <w:lang w:val="zh-CN" w:eastAsia="zh-CN"/>
        </w:rPr>
        <w:t>响应文件可于提交磋商响应文件截止时间前任意时段登录全国公共资源交易平台 （</w:t>
      </w:r>
      <w:r>
        <w:rPr>
          <w:rFonts w:hint="eastAsia" w:ascii="黑体" w:hAnsi="黑体" w:eastAsia="黑体" w:cs="黑体"/>
          <w:color w:val="auto"/>
          <w:sz w:val="24"/>
          <w:szCs w:val="24"/>
          <w:lang w:val="en-US" w:eastAsia="zh-CN"/>
        </w:rPr>
        <w:t>陕西省·宝鸡市</w:t>
      </w:r>
      <w:r>
        <w:rPr>
          <w:rFonts w:hint="eastAsia" w:ascii="黑体" w:hAnsi="黑体" w:eastAsia="黑体" w:cs="黑体"/>
          <w:color w:val="auto"/>
          <w:sz w:val="24"/>
          <w:szCs w:val="24"/>
          <w:lang w:val="zh-CN" w:eastAsia="zh-CN"/>
        </w:rPr>
        <w:t>）网站[电子交易平台-企业端]进行提交，逾期系统将拒绝接收。提交时，</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lang w:val="zh-CN" w:eastAsia="zh-CN"/>
        </w:rPr>
        <w:t>应登录全国公共资源交易中心平台（陕西省</w:t>
      </w:r>
      <w:r>
        <w:rPr>
          <w:rFonts w:hint="eastAsia" w:ascii="黑体" w:hAnsi="黑体" w:eastAsia="黑体" w:cs="黑体"/>
          <w:color w:val="auto"/>
          <w:sz w:val="24"/>
          <w:szCs w:val="24"/>
          <w:lang w:val="en-US" w:eastAsia="zh-CN"/>
        </w:rPr>
        <w:t>.宝鸡市</w:t>
      </w:r>
      <w:r>
        <w:rPr>
          <w:rFonts w:hint="eastAsia" w:ascii="黑体" w:hAnsi="黑体" w:eastAsia="黑体" w:cs="黑体"/>
          <w:color w:val="auto"/>
          <w:sz w:val="24"/>
          <w:szCs w:val="24"/>
          <w:lang w:val="zh-CN" w:eastAsia="zh-CN"/>
        </w:rPr>
        <w:t>），选择[“首页&gt;电子交易平台&gt;企业端&gt;我的项目]”，点击[项目流程]，在打开的[项目管理]对话框中选择[上传响应文件]，上传加密的电子响应文件（*.SXSTF），上传成功后，电子化平台将予以记录。逾期上传的将被拒绝接收。</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r>
        <w:rPr>
          <w:rFonts w:hint="eastAsia" w:ascii="黑体" w:hAnsi="黑体" w:eastAsia="黑体" w:cs="黑体"/>
          <w:bCs/>
          <w:color w:val="auto"/>
          <w:sz w:val="24"/>
          <w:szCs w:val="24"/>
          <w:highlight w:val="none"/>
        </w:rPr>
        <w:t>竞争性磋商</w:t>
      </w:r>
      <w:r>
        <w:rPr>
          <w:rFonts w:hint="eastAsia" w:ascii="黑体" w:hAnsi="黑体" w:eastAsia="黑体" w:cs="黑体"/>
          <w:color w:val="auto"/>
          <w:sz w:val="24"/>
          <w:szCs w:val="24"/>
          <w:highlight w:val="none"/>
        </w:rPr>
        <w:t>响应文件的补充、修改与撤回：</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2-1、</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在</w:t>
      </w:r>
      <w:r>
        <w:rPr>
          <w:rFonts w:hint="eastAsia" w:ascii="黑体" w:hAnsi="黑体" w:eastAsia="黑体" w:cs="黑体"/>
          <w:color w:val="auto"/>
          <w:sz w:val="24"/>
          <w:szCs w:val="24"/>
          <w:lang w:val="en-US" w:eastAsia="zh-CN"/>
        </w:rPr>
        <w:t>提交</w:t>
      </w:r>
      <w:r>
        <w:rPr>
          <w:rFonts w:hint="eastAsia" w:ascii="黑体" w:hAnsi="黑体" w:eastAsia="黑体" w:cs="黑体"/>
          <w:color w:val="auto"/>
          <w:sz w:val="24"/>
          <w:szCs w:val="24"/>
        </w:rPr>
        <w:t>响应文件后，磋商截止时间前，可以修改或撤回其响应文件，并在规定的磋商截止期之前，将修改或撤回的响应文件</w:t>
      </w:r>
      <w:r>
        <w:rPr>
          <w:rFonts w:hint="eastAsia" w:ascii="黑体" w:hAnsi="黑体" w:eastAsia="黑体" w:cs="黑体"/>
          <w:color w:val="auto"/>
          <w:sz w:val="24"/>
          <w:szCs w:val="24"/>
          <w:lang w:eastAsia="zh-CN"/>
        </w:rPr>
        <w:t>上传</w:t>
      </w:r>
      <w:r>
        <w:rPr>
          <w:rFonts w:hint="eastAsia" w:ascii="黑体" w:hAnsi="黑体" w:eastAsia="黑体" w:cs="黑体"/>
          <w:color w:val="auto"/>
          <w:sz w:val="24"/>
          <w:szCs w:val="24"/>
        </w:rPr>
        <w:t>到</w:t>
      </w:r>
      <w:r>
        <w:rPr>
          <w:rFonts w:hint="eastAsia" w:ascii="黑体" w:hAnsi="黑体" w:eastAsia="黑体" w:cs="黑体"/>
          <w:color w:val="auto"/>
          <w:sz w:val="24"/>
          <w:szCs w:val="24"/>
          <w:lang w:eastAsia="zh-CN"/>
        </w:rPr>
        <w:t>交易平台，逾期递交的响应文件将不予受理</w:t>
      </w:r>
      <w:r>
        <w:rPr>
          <w:rFonts w:hint="eastAsia" w:ascii="黑体" w:hAnsi="黑体" w:eastAsia="黑体" w:cs="黑体"/>
          <w:color w:val="auto"/>
          <w:sz w:val="24"/>
          <w:szCs w:val="24"/>
        </w:rPr>
        <w:t>。</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、磋商截止时间之后，供应商不得补充、修改竞争性磋商响应文件；</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、在磋商截止时间至磋商响应有效期满之前，供应商不得撤回其竞争性磋商响应文件，否则其磋商保证金将不予退还，提供磋商担保的供应商将由专业担保机构先行偿付采购人损失。</w:t>
      </w:r>
    </w:p>
    <w:p>
      <w:pPr>
        <w:spacing w:line="480" w:lineRule="exact"/>
        <w:ind w:firstLine="480" w:firstLineChars="200"/>
        <w:rPr>
          <w:rFonts w:hint="eastAsia" w:ascii="黑体" w:hAnsi="黑体" w:eastAsia="黑体" w:cs="黑体"/>
          <w:color w:val="auto"/>
          <w:kern w:val="0"/>
          <w:sz w:val="24"/>
          <w:szCs w:val="24"/>
          <w:highlight w:val="none"/>
        </w:rPr>
      </w:pPr>
      <w:r>
        <w:rPr>
          <w:rFonts w:hint="eastAsia" w:ascii="黑体" w:hAnsi="黑体" w:eastAsia="黑体" w:cs="黑体"/>
          <w:color w:val="auto"/>
          <w:sz w:val="24"/>
          <w:szCs w:val="24"/>
          <w:highlight w:val="none"/>
        </w:rPr>
        <w:t>3</w:t>
      </w:r>
      <w:r>
        <w:rPr>
          <w:rFonts w:hint="eastAsia" w:ascii="黑体" w:hAnsi="黑体" w:eastAsia="黑体" w:cs="黑体"/>
          <w:color w:val="auto"/>
          <w:kern w:val="0"/>
          <w:sz w:val="24"/>
          <w:szCs w:val="24"/>
          <w:highlight w:val="none"/>
        </w:rPr>
        <w:t>、竞争性磋商响应有效期：</w:t>
      </w:r>
    </w:p>
    <w:p>
      <w:pPr>
        <w:pStyle w:val="42"/>
        <w:spacing w:line="480" w:lineRule="exact"/>
        <w:ind w:firstLine="48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3-1、自提交磋商响应文件的截止之日起90个日历日。竞争性磋商响应有效期短于竞争性磋商文件规定的磋商响应有效期，按无效竞争性磋商响应处理。成交单位的竞争性磋商有效期延长至合同执行完毕。</w:t>
      </w:r>
    </w:p>
    <w:p>
      <w:pPr>
        <w:pStyle w:val="42"/>
        <w:spacing w:line="480" w:lineRule="exact"/>
        <w:ind w:firstLine="48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3-2、在原有有效期结束前，采购代理机构可要求供应商延长竞争性磋商响应有效期。拒绝延长有效期的供应商有权收回磋商保证金，但不得参与该项目后续采购活动。同意延长有效期的供应商应相应延长磋商担保的有效期，但不得修改竞争性磋商响应文件的实质性内容。 </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sz w:val="24"/>
          <w:szCs w:val="24"/>
          <w:highlight w:val="none"/>
        </w:rPr>
        <w:t>4、供应商</w:t>
      </w:r>
      <w:r>
        <w:rPr>
          <w:rFonts w:hint="eastAsia" w:ascii="黑体" w:hAnsi="黑体" w:eastAsia="黑体" w:cs="黑体"/>
          <w:color w:val="auto"/>
          <w:kern w:val="2"/>
          <w:sz w:val="24"/>
          <w:szCs w:val="24"/>
          <w:highlight w:val="none"/>
        </w:rPr>
        <w:t>有下列情形之一的，属于恶意串通，对其依照《中华人民共和国政府采购法》第七十七条第一款的规定追究法律责任，响应无效：</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4-1、供应商直接或者间接从采购人或采购代理机构处获得其他供应商的相关情况并修改其磋商响应文件；</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4-2、供应商按照采购人或采购代理机构的授意撤换、修改磋商响应文件；</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4-3、供应商之间协商报价、技术方案等磋商响应文件的实质性内容；</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4-4、属于同一集团、协会、商会等组织成员的供应商按照该组织要求协同参加政府采购活动；</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4-5、供应商之间事先约定由某一特定供应商成交；</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4-6、供应商之间商定部分供应商放弃参加政府采购活动或放弃成交；</w:t>
      </w:r>
    </w:p>
    <w:p>
      <w:pPr>
        <w:pStyle w:val="42"/>
        <w:spacing w:line="480" w:lineRule="exact"/>
        <w:ind w:firstLine="480"/>
        <w:rPr>
          <w:rFonts w:hint="eastAsia" w:ascii="黑体" w:hAnsi="黑体" w:eastAsia="黑体" w:cs="黑体"/>
          <w:color w:val="auto"/>
          <w:kern w:val="2"/>
          <w:sz w:val="24"/>
          <w:szCs w:val="24"/>
          <w:highlight w:val="none"/>
          <w:lang w:eastAsia="zh-CN"/>
        </w:rPr>
      </w:pPr>
      <w:r>
        <w:rPr>
          <w:rFonts w:hint="eastAsia" w:ascii="黑体" w:hAnsi="黑体" w:eastAsia="黑体" w:cs="黑体"/>
          <w:color w:val="auto"/>
          <w:kern w:val="2"/>
          <w:sz w:val="24"/>
          <w:szCs w:val="24"/>
          <w:highlight w:val="none"/>
        </w:rPr>
        <w:t>4-7、供应商相互之间，为谋求特定供应商成交或排斥其他供应商的其他串通行为。</w:t>
      </w:r>
    </w:p>
    <w:p>
      <w:pPr>
        <w:pStyle w:val="42"/>
        <w:spacing w:line="480" w:lineRule="exact"/>
        <w:ind w:firstLine="480"/>
        <w:rPr>
          <w:rFonts w:hint="eastAsia" w:ascii="黑体" w:hAnsi="黑体" w:eastAsia="黑体" w:cs="黑体"/>
          <w:color w:val="auto"/>
          <w:sz w:val="24"/>
          <w:szCs w:val="24"/>
          <w:highlight w:val="none"/>
        </w:rPr>
      </w:pPr>
      <w:r>
        <w:rPr>
          <w:rFonts w:hint="eastAsia" w:ascii="黑体" w:hAnsi="黑体" w:eastAsia="黑体" w:cs="黑体"/>
          <w:color w:val="auto"/>
          <w:kern w:val="2"/>
          <w:sz w:val="24"/>
          <w:szCs w:val="24"/>
          <w:highlight w:val="none"/>
        </w:rPr>
        <w:t>5、有下列情形之一的，视为供应商串通磋商，其响应无效：</w:t>
      </w:r>
    </w:p>
    <w:p>
      <w:pPr>
        <w:pStyle w:val="42"/>
        <w:spacing w:line="480" w:lineRule="exact"/>
        <w:ind w:firstLine="480"/>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rPr>
        <w:t>5-1、不同供应商的磋商响应文件由同一单位或者个人编制；</w:t>
      </w:r>
    </w:p>
    <w:p>
      <w:pPr>
        <w:pStyle w:val="42"/>
        <w:spacing w:line="480" w:lineRule="exact"/>
        <w:ind w:firstLine="480"/>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rPr>
        <w:t>5-2、不同供应商委托同一单位或者个人办理磋商事宜；</w:t>
      </w:r>
    </w:p>
    <w:p>
      <w:pPr>
        <w:pStyle w:val="42"/>
        <w:spacing w:line="480" w:lineRule="exact"/>
        <w:ind w:firstLine="480"/>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rPr>
        <w:t>5-3、不同供应商的磋商响应文件载明的项目管理成员或者联系人为同一人；</w:t>
      </w:r>
    </w:p>
    <w:p>
      <w:pPr>
        <w:pStyle w:val="42"/>
        <w:spacing w:line="480" w:lineRule="exact"/>
        <w:ind w:firstLine="480"/>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rPr>
        <w:t>5-4、不同供应商的磋商响应文件异常一致或者磋商报价呈现规律性差异；</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rPr>
        <w:t>5-5、</w:t>
      </w:r>
      <w:r>
        <w:rPr>
          <w:rFonts w:hint="eastAsia" w:ascii="黑体" w:hAnsi="黑体" w:eastAsia="黑体" w:cs="黑体"/>
          <w:color w:val="auto"/>
          <w:sz w:val="24"/>
          <w:szCs w:val="24"/>
          <w:highlight w:val="none"/>
          <w:lang w:val="en-US" w:eastAsia="zh-CN"/>
        </w:rPr>
        <w:t>不同供应商的磋商保证金从同一单位或者个人的账户转出。</w:t>
      </w:r>
      <w:bookmarkStart w:id="21" w:name="_Toc458848823"/>
      <w:bookmarkStart w:id="22" w:name="_Toc458848971"/>
      <w:bookmarkStart w:id="23" w:name="_Toc458848738"/>
      <w:bookmarkStart w:id="24" w:name="_Toc7453877"/>
    </w:p>
    <w:p>
      <w:pPr>
        <w:spacing w:line="480" w:lineRule="exact"/>
        <w:outlineLvl w:val="1"/>
        <w:rPr>
          <w:rFonts w:hint="eastAsia" w:ascii="黑体" w:hAnsi="黑体" w:eastAsia="黑体" w:cs="黑体"/>
          <w:b/>
          <w:bCs/>
          <w:color w:val="auto"/>
          <w:kern w:val="0"/>
          <w:sz w:val="24"/>
          <w:szCs w:val="24"/>
          <w:highlight w:val="none"/>
        </w:rPr>
      </w:pPr>
      <w:r>
        <w:rPr>
          <w:rFonts w:hint="eastAsia" w:ascii="黑体" w:hAnsi="黑体" w:eastAsia="黑体" w:cs="黑体"/>
          <w:b/>
          <w:bCs/>
          <w:color w:val="auto"/>
          <w:kern w:val="0"/>
          <w:sz w:val="24"/>
          <w:szCs w:val="24"/>
          <w:highlight w:val="none"/>
        </w:rPr>
        <w:t>七、磋商</w:t>
      </w:r>
      <w:bookmarkEnd w:id="21"/>
      <w:bookmarkEnd w:id="22"/>
      <w:bookmarkEnd w:id="23"/>
      <w:r>
        <w:rPr>
          <w:rFonts w:hint="eastAsia" w:ascii="黑体" w:hAnsi="黑体" w:eastAsia="黑体" w:cs="黑体"/>
          <w:b/>
          <w:bCs/>
          <w:color w:val="auto"/>
          <w:kern w:val="0"/>
          <w:sz w:val="24"/>
          <w:szCs w:val="24"/>
          <w:highlight w:val="none"/>
        </w:rPr>
        <w:t>、评审及定标</w:t>
      </w:r>
      <w:bookmarkEnd w:id="24"/>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1、磋商</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1-1、采购代理机构按竞争性磋商文件规定的时间、地点组织磋商。所有</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2"/>
          <w:sz w:val="24"/>
          <w:szCs w:val="24"/>
          <w:lang w:val="en-US" w:eastAsia="zh-CN" w:bidi="ar-SA"/>
        </w:rPr>
        <w:t>应按时参加磋商会议，必须由法定代表人或其授权委托代理人出席开标会议，现场须提供法定代表人身份证原件或法人授权书及委托代理人身份证原件。</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1-2、磋商会议由采购代理机构主持。主持人宣读磋商会议开始，并宣读会场纪律，宣布按时递交响应文件的</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2"/>
          <w:sz w:val="24"/>
          <w:szCs w:val="24"/>
          <w:lang w:val="en-US" w:eastAsia="zh-CN" w:bidi="ar-SA"/>
        </w:rPr>
        <w:t>名单。</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1-3、开标时，</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2"/>
          <w:sz w:val="24"/>
          <w:szCs w:val="24"/>
          <w:lang w:val="en-US" w:eastAsia="zh-CN" w:bidi="ar-SA"/>
        </w:rPr>
        <w:t>须使用电子响应文件加密时所用的数字认证证书（CA 锁）在磋商会议现场根据主持人的要求在规定的时间内自行解密电子响应文件（超过系统默认解密时间未解密成功的视为解密失败，其响应文件按无效文件处理）。</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1-4、响应文件的加密和解密应当使用同一CA 锁证书，解密文件时应当使用加密</w:t>
      </w:r>
    </w:p>
    <w:p>
      <w:pPr>
        <w:spacing w:line="440" w:lineRule="exact"/>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电子响应文件的 CA 锁证书进行解密；由此导致无法解密电子响应文件造成的后果，由</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2"/>
          <w:sz w:val="24"/>
          <w:szCs w:val="24"/>
          <w:lang w:val="en-US" w:eastAsia="zh-CN" w:bidi="ar-SA"/>
        </w:rPr>
        <w:t>自行承担。</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1-5、在磋商环节出现下列情况之一的，其磋商响应文件视为无效文件：</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（1）</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2"/>
          <w:sz w:val="24"/>
          <w:szCs w:val="24"/>
          <w:lang w:val="en-US" w:eastAsia="zh-CN" w:bidi="ar-SA"/>
        </w:rPr>
        <w:t>在规定时间内未对电子响应文件进行解密的；</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（2）上传的电子响应文件无法打开的；</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（3）供应商拒绝对电子响应文件进行解密的；</w:t>
      </w:r>
    </w:p>
    <w:p>
      <w:pPr>
        <w:spacing w:line="440" w:lineRule="exact"/>
        <w:ind w:firstLine="480" w:firstLineChars="200"/>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（4）因</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2"/>
          <w:sz w:val="24"/>
          <w:szCs w:val="24"/>
          <w:lang w:val="en-US" w:eastAsia="zh-CN" w:bidi="ar-SA"/>
        </w:rPr>
        <w:t>自身原因（如未带CA锁、或所带CA锁与制作电子投标文件使用的CA锁不一致、或沿用旧版磋商文件编制响应文件等情形），导致在规定时间内无法解密响应文件的；</w:t>
      </w:r>
    </w:p>
    <w:p>
      <w:pPr>
        <w:spacing w:line="440" w:lineRule="exact"/>
        <w:ind w:firstLine="480" w:firstLineChars="200"/>
        <w:rPr>
          <w:rFonts w:hint="eastAsia" w:ascii="黑体" w:hAnsi="黑体" w:eastAsia="黑体" w:cs="黑体"/>
          <w:lang w:val="en-US" w:eastAsia="zh-CN"/>
        </w:rPr>
      </w:pPr>
      <w:r>
        <w:rPr>
          <w:rFonts w:hint="eastAsia" w:ascii="黑体" w:hAnsi="黑体" w:eastAsia="黑体" w:cs="黑体"/>
          <w:color w:val="auto"/>
          <w:kern w:val="2"/>
          <w:sz w:val="24"/>
          <w:szCs w:val="24"/>
          <w:lang w:val="en-US" w:eastAsia="zh-CN" w:bidi="ar-SA"/>
        </w:rPr>
        <w:t>1-6、供应商代表对磋商过程有疑义的，以及认为采购人、采购代理机构相关工作人员有需要回避的情形的，应当场提出询问或回避申请。</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2、评审</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2-1、磋商小组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bookmarkStart w:id="25" w:name="OLE_LINK4"/>
      <w:bookmarkStart w:id="26" w:name="OLE_LINK14"/>
      <w:r>
        <w:rPr>
          <w:rFonts w:hint="eastAsia" w:ascii="黑体" w:hAnsi="黑体" w:eastAsia="黑体" w:cs="黑体"/>
          <w:color w:val="auto"/>
          <w:sz w:val="24"/>
          <w:szCs w:val="24"/>
          <w:highlight w:val="none"/>
        </w:rPr>
        <w:t>采购代理机构根据《中华人民共和国政府采购法》及其实施条例、《政府采购竞争性磋商采购方式管理暂行办法》的通知（财库【2014】214号）等规定，依法组建磋商小组。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（2）采购人派一名代表进入磋商小组，并向采购代理机构出具授权函。</w:t>
      </w:r>
      <w:bookmarkEnd w:id="25"/>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（3）磋商小组应推荐一名评审专家担任评审组长，并由评审组长牵头组织该项目评审工作，采购人</w:t>
      </w:r>
      <w:r>
        <w:rPr>
          <w:rFonts w:hint="eastAsia" w:ascii="黑体" w:hAnsi="黑体" w:eastAsia="黑体" w:cs="黑体"/>
          <w:color w:val="auto"/>
          <w:sz w:val="24"/>
          <w:szCs w:val="24"/>
          <w:highlight w:val="none"/>
          <w:lang w:eastAsia="zh-CN"/>
        </w:rPr>
        <w:t>代表</w:t>
      </w:r>
      <w:r>
        <w:rPr>
          <w:rFonts w:hint="eastAsia" w:ascii="黑体" w:hAnsi="黑体" w:eastAsia="黑体" w:cs="黑体"/>
          <w:color w:val="auto"/>
          <w:sz w:val="24"/>
          <w:szCs w:val="24"/>
          <w:highlight w:val="none"/>
        </w:rPr>
        <w:t>不得担任评审组长。</w:t>
      </w:r>
    </w:p>
    <w:bookmarkEnd w:id="26"/>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（4）磋商小组成员应当遵守并履行下列职责义务：</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a、遵纪守法，客观、公正、认真负责地履行职责，根据磋商文件规定的评审程序、评审方法和评审标准审查磋商响应文件；</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b、资格审查、符合性审查、评价磋商响应文件是否符合磋商文件的商务、技术等实质性要求；</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c、要求供应商对磋商响应文件有关事项作出澄清或者说明；</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d、对磋商响应文件进行比较和评价；</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e、推荐成交候选单位名单，对磋商意见承担个人责任；</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f、拟定磋商结果；</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g、对磋商过程及各供应商的商业机密予以保密；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h、向财政部门报告在评审过程中发现的供应商的违法违规行为；</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i、配合采购人、采购代理机构答复各供应商提出的质疑；</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j、配合各部门的投诉处理和监督检查工作。</w:t>
      </w:r>
    </w:p>
    <w:p>
      <w:pPr>
        <w:spacing w:line="48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2-2、在政府采购活动中，采购人员及相关人员（包括磋商小组）与供应商有下列利害关系之一的，应当回避：</w:t>
      </w:r>
    </w:p>
    <w:p>
      <w:pPr>
        <w:spacing w:line="48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（1）参加采购活动前3年内与供应商存在劳动关系；</w:t>
      </w:r>
    </w:p>
    <w:p>
      <w:pPr>
        <w:spacing w:line="48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（2）参加采购活动前3年内担任供应商的董事、监事；</w:t>
      </w:r>
    </w:p>
    <w:p>
      <w:pPr>
        <w:spacing w:line="48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（3）参加采购活动前3年内是供应商的控股股东或者实际控制人；</w:t>
      </w:r>
    </w:p>
    <w:p>
      <w:pPr>
        <w:spacing w:line="48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（4）与供应商的法定代表人或者负责人有夫妻、直系血亲、三代以内旁系血亲或者近姻亲关系；</w:t>
      </w:r>
    </w:p>
    <w:p>
      <w:pPr>
        <w:spacing w:line="48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（5）与供应商有其他可能影响政府采购活动公平、公正进行的关系。</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2-3、磋商原则：坚持公平、公正、科学、择优原则，禁止不正当竞争。</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2-4、评审办法：本次</w:t>
      </w:r>
      <w:r>
        <w:rPr>
          <w:rFonts w:hint="eastAsia" w:ascii="黑体" w:hAnsi="黑体" w:eastAsia="黑体" w:cs="黑体"/>
          <w:color w:val="auto"/>
          <w:sz w:val="24"/>
          <w:szCs w:val="24"/>
          <w:highlight w:val="none"/>
          <w:lang w:eastAsia="zh-CN"/>
        </w:rPr>
        <w:t>磋商</w:t>
      </w:r>
      <w:r>
        <w:rPr>
          <w:rFonts w:hint="eastAsia" w:ascii="黑体" w:hAnsi="黑体" w:eastAsia="黑体" w:cs="黑体"/>
          <w:color w:val="auto"/>
          <w:sz w:val="24"/>
          <w:szCs w:val="24"/>
          <w:highlight w:val="none"/>
        </w:rPr>
        <w:t>采用综合评分法（详见本节评分标准）。</w:t>
      </w:r>
    </w:p>
    <w:p>
      <w:pPr>
        <w:spacing w:line="480" w:lineRule="exact"/>
        <w:ind w:firstLine="482" w:firstLineChars="200"/>
        <w:rPr>
          <w:rFonts w:hint="eastAsia" w:ascii="黑体" w:hAnsi="黑体" w:eastAsia="黑体" w:cs="黑体"/>
          <w:color w:val="auto"/>
          <w:sz w:val="24"/>
          <w:szCs w:val="24"/>
          <w:highlight w:val="none"/>
        </w:rPr>
      </w:pPr>
      <w:r>
        <w:rPr>
          <w:rFonts w:hint="eastAsia" w:ascii="黑体" w:hAnsi="黑体" w:eastAsia="黑体" w:cs="黑体"/>
          <w:b/>
          <w:color w:val="auto"/>
          <w:sz w:val="24"/>
          <w:szCs w:val="24"/>
          <w:highlight w:val="none"/>
        </w:rPr>
        <w:t>2-5、磋商工作程序：</w:t>
      </w:r>
      <w:r>
        <w:rPr>
          <w:rFonts w:hint="eastAsia" w:ascii="黑体" w:hAnsi="黑体" w:eastAsia="黑体" w:cs="黑体"/>
          <w:color w:val="auto"/>
          <w:sz w:val="24"/>
          <w:szCs w:val="24"/>
          <w:highlight w:val="none"/>
          <w:lang w:eastAsia="zh-CN"/>
        </w:rPr>
        <w:t>以</w:t>
      </w:r>
      <w:r>
        <w:rPr>
          <w:rFonts w:hint="eastAsia" w:ascii="黑体" w:hAnsi="黑体" w:eastAsia="黑体" w:cs="黑体"/>
          <w:color w:val="auto"/>
          <w:sz w:val="24"/>
          <w:szCs w:val="24"/>
          <w:highlight w:val="none"/>
        </w:rPr>
        <w:t>资格审查、符合性审查、澄清、评价、推荐成交候选人的工作程序进行评审。</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2-5-1、资格审查</w:t>
      </w:r>
    </w:p>
    <w:p>
      <w:pPr>
        <w:spacing w:line="336" w:lineRule="auto"/>
        <w:ind w:firstLine="482" w:firstLineChars="200"/>
        <w:rPr>
          <w:rFonts w:hint="eastAsia" w:ascii="黑体" w:hAnsi="黑体" w:eastAsia="黑体" w:cs="黑体"/>
          <w:b/>
          <w:bCs/>
          <w:color w:val="auto"/>
          <w:kern w:val="2"/>
          <w:sz w:val="24"/>
          <w:szCs w:val="24"/>
          <w:highlight w:val="none"/>
          <w:lang w:val="en-US" w:eastAsia="zh-CN" w:bidi="ar-SA"/>
        </w:rPr>
      </w:pPr>
      <w:r>
        <w:rPr>
          <w:rFonts w:hint="eastAsia" w:ascii="黑体" w:hAnsi="黑体" w:eastAsia="黑体" w:cs="黑体"/>
          <w:b/>
          <w:bCs/>
          <w:color w:val="auto"/>
          <w:kern w:val="2"/>
          <w:sz w:val="24"/>
          <w:szCs w:val="24"/>
          <w:highlight w:val="none"/>
          <w:lang w:val="en-US" w:eastAsia="zh-CN" w:bidi="ar-SA"/>
        </w:rPr>
        <w:t>由采购人</w:t>
      </w:r>
      <w:r>
        <w:rPr>
          <w:rFonts w:hint="eastAsia" w:ascii="黑体" w:hAnsi="黑体" w:eastAsia="黑体" w:cs="黑体"/>
          <w:b/>
          <w:color w:val="auto"/>
          <w:sz w:val="24"/>
          <w:szCs w:val="24"/>
          <w:lang w:val="en-US" w:eastAsia="zh-CN"/>
        </w:rPr>
        <w:t>依法对供应商的资格进行审查, 审查合格的供应商方可进入下一评审阶段。缺项或一项不符合要求即不合格，不合格的供应商其响应无效。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384" w:right="0" w:firstLine="0"/>
        <w:jc w:val="both"/>
        <w:rPr>
          <w:rFonts w:hint="eastAsia" w:ascii="黑体" w:hAnsi="黑体" w:eastAsia="黑体" w:cs="黑体"/>
          <w:i w:val="0"/>
          <w:iCs w:val="0"/>
          <w:caps w:val="0"/>
          <w:color w:val="auto"/>
          <w:spacing w:val="0"/>
          <w:sz w:val="22"/>
          <w:szCs w:val="22"/>
          <w:shd w:val="clear" w:fill="FFFFFF"/>
        </w:rPr>
      </w:pPr>
      <w:r>
        <w:rPr>
          <w:rFonts w:hint="eastAsia" w:ascii="黑体" w:hAnsi="黑体" w:eastAsia="黑体" w:cs="黑体"/>
          <w:i w:val="0"/>
          <w:iCs w:val="0"/>
          <w:caps w:val="0"/>
          <w:color w:val="auto"/>
          <w:spacing w:val="0"/>
          <w:sz w:val="22"/>
          <w:szCs w:val="22"/>
          <w:shd w:val="clear" w:fill="FFFFFF"/>
        </w:rPr>
        <w:t>（</w:t>
      </w:r>
      <w:r>
        <w:rPr>
          <w:rFonts w:hint="eastAsia" w:ascii="黑体" w:hAnsi="黑体" w:eastAsia="黑体" w:cs="黑体"/>
          <w:i w:val="0"/>
          <w:iCs w:val="0"/>
          <w:caps w:val="0"/>
          <w:color w:val="auto"/>
          <w:spacing w:val="0"/>
          <w:sz w:val="24"/>
          <w:szCs w:val="24"/>
          <w:shd w:val="clear" w:fill="FFFFFF"/>
        </w:rPr>
        <w:t>1）供应商须是具有独立承担民事责任能力的法人、其他组织或自然人，并出具合法有效的营业执照或事业单位法人证书等国家规定的相关证明，自然人参与的提供其身份证明； </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（2）供应商须提供</w:t>
      </w:r>
      <w:r>
        <w:rPr>
          <w:rFonts w:hint="eastAsia" w:ascii="黑体" w:hAnsi="黑体" w:eastAsia="黑体" w:cs="黑体"/>
          <w:i w:val="0"/>
          <w:iCs w:val="0"/>
          <w:caps w:val="0"/>
          <w:color w:val="auto"/>
          <w:spacing w:val="0"/>
          <w:sz w:val="24"/>
          <w:szCs w:val="24"/>
          <w:shd w:val="clear" w:fill="FFFFFF"/>
          <w:lang w:val="en-US" w:eastAsia="zh-CN"/>
        </w:rPr>
        <w:t>近3年中其中1年的</w:t>
      </w:r>
      <w:r>
        <w:rPr>
          <w:rFonts w:hint="eastAsia" w:ascii="黑体" w:hAnsi="黑体" w:eastAsia="黑体" w:cs="黑体"/>
          <w:i w:val="0"/>
          <w:iCs w:val="0"/>
          <w:caps w:val="0"/>
          <w:color w:val="auto"/>
          <w:spacing w:val="0"/>
          <w:sz w:val="24"/>
          <w:szCs w:val="24"/>
          <w:shd w:val="clear" w:fill="FFFFFF"/>
        </w:rPr>
        <w:t>财务审计报告（至少包括资产负债表和利润表，成立时间至提交磋商响应文件截止时间不足一年的可提供成立后任意时段的资产负债表）；</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（3）供应商须提供</w:t>
      </w:r>
      <w:r>
        <w:rPr>
          <w:rFonts w:hint="eastAsia" w:ascii="黑体" w:hAnsi="黑体" w:eastAsia="黑体" w:cs="黑体"/>
          <w:i w:val="0"/>
          <w:iCs w:val="0"/>
          <w:caps w:val="0"/>
          <w:color w:val="auto"/>
          <w:spacing w:val="0"/>
          <w:sz w:val="24"/>
          <w:szCs w:val="24"/>
          <w:shd w:val="clear" w:fill="FFFFFF"/>
          <w:lang w:val="en-US" w:eastAsia="zh-CN"/>
        </w:rPr>
        <w:t>近1年</w:t>
      </w:r>
      <w:r>
        <w:rPr>
          <w:rFonts w:hint="eastAsia" w:ascii="黑体" w:hAnsi="黑体" w:eastAsia="黑体" w:cs="黑体"/>
          <w:i w:val="0"/>
          <w:iCs w:val="0"/>
          <w:caps w:val="0"/>
          <w:color w:val="auto"/>
          <w:spacing w:val="0"/>
          <w:sz w:val="24"/>
          <w:szCs w:val="24"/>
          <w:shd w:val="clear" w:fill="FFFFFF"/>
        </w:rPr>
        <w:t>已缴存的至少一个月的社会保险参保缴费情况证明，依法不需要缴纳社会保障资金的单位应提供相关证明材料；</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（4）供应商须提供</w:t>
      </w:r>
      <w:r>
        <w:rPr>
          <w:rFonts w:hint="eastAsia" w:ascii="黑体" w:hAnsi="黑体" w:eastAsia="黑体" w:cs="黑体"/>
          <w:i w:val="0"/>
          <w:iCs w:val="0"/>
          <w:caps w:val="0"/>
          <w:color w:val="auto"/>
          <w:spacing w:val="0"/>
          <w:sz w:val="24"/>
          <w:szCs w:val="24"/>
          <w:shd w:val="clear" w:fill="FFFFFF"/>
          <w:lang w:val="en-US" w:eastAsia="zh-CN"/>
        </w:rPr>
        <w:t>近1年</w:t>
      </w:r>
      <w:r>
        <w:rPr>
          <w:rFonts w:hint="eastAsia" w:ascii="黑体" w:hAnsi="黑体" w:eastAsia="黑体" w:cs="黑体"/>
          <w:i w:val="0"/>
          <w:iCs w:val="0"/>
          <w:caps w:val="0"/>
          <w:color w:val="auto"/>
          <w:spacing w:val="0"/>
          <w:sz w:val="24"/>
          <w:szCs w:val="24"/>
          <w:shd w:val="clear" w:fill="FFFFFF"/>
        </w:rPr>
        <w:t>已缴纳的至少一个月的纳税证明或完税证明，依法免税的单位应提供相关证明材料；</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（5）供应商不得为“信用中国”网站（www.creditchina.gov.cn）中列入失信被执行人和</w:t>
      </w:r>
      <w:r>
        <w:rPr>
          <w:rFonts w:hint="eastAsia" w:ascii="黑体" w:hAnsi="黑体" w:eastAsia="黑体" w:cs="黑体"/>
          <w:i w:val="0"/>
          <w:iCs w:val="0"/>
          <w:caps w:val="0"/>
          <w:color w:val="auto"/>
          <w:spacing w:val="0"/>
          <w:sz w:val="24"/>
          <w:szCs w:val="24"/>
          <w:shd w:val="clear" w:fill="FFFFFF"/>
          <w:lang w:eastAsia="zh-CN"/>
        </w:rPr>
        <w:t>严重失信主体名单</w:t>
      </w:r>
      <w:r>
        <w:rPr>
          <w:rFonts w:hint="eastAsia" w:ascii="黑体" w:hAnsi="黑体" w:eastAsia="黑体" w:cs="黑体"/>
          <w:i w:val="0"/>
          <w:iCs w:val="0"/>
          <w:caps w:val="0"/>
          <w:color w:val="auto"/>
          <w:spacing w:val="0"/>
          <w:sz w:val="24"/>
          <w:szCs w:val="24"/>
          <w:shd w:val="clear" w:fill="FFFFFF"/>
        </w:rPr>
        <w:t>的供应商，不得为中国政府采购网（www.ccgp.gov.cn）政府采购严重违法失信行为记录名单中被财政部门禁止参加政府采购活动的供应商；</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（6）单位负责人为同一人或者存在直接控股、管理关系的不同供应商，不得参加同一合同项下的政府采购活动（通过“国家企业信用信息公示系统”查询的打印件或截图，加盖供应商公章）；</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（7）供应商须提供企业开具的近三年在政府采购经营活动中无重大违法记录声明;</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8）供应商须授权合法的人员参加磋商全过程，其中法定代表人直接参加磋商的，须出具法定代表人资格证明书及身份证，并与营业执照上信息一致；法定代表人授权代表参加磋商的，须出具法定代表人资格证明书、授权书及被授权代表身份证、近三个月职工基本养老保险个人账户证明（缴纳单位应与投标供应商一致）； </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（9）供应商须提供具有履行合同所必需的设备和专业技术能力的承诺书；</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（10）供应商须在陕西省政府采购网（http://www.ccgp-shaanxi.gov.cn/），按照“供应商注册注意事项”要求，完成注册审核（注册公示截图加盖供应商公章）；</w:t>
      </w:r>
      <w:r>
        <w:rPr>
          <w:rFonts w:hint="eastAsia" w:ascii="黑体" w:hAnsi="黑体" w:eastAsia="黑体" w:cs="黑体"/>
          <w:i w:val="0"/>
          <w:iCs w:val="0"/>
          <w:caps w:val="0"/>
          <w:color w:val="auto"/>
          <w:spacing w:val="0"/>
          <w:sz w:val="24"/>
          <w:szCs w:val="24"/>
          <w:shd w:val="clear" w:fill="FFFFFF"/>
        </w:rPr>
        <w:br w:type="textWrapping"/>
      </w:r>
      <w:r>
        <w:rPr>
          <w:rFonts w:hint="eastAsia" w:ascii="黑体" w:hAnsi="黑体" w:eastAsia="黑体" w:cs="黑体"/>
          <w:i w:val="0"/>
          <w:iCs w:val="0"/>
          <w:caps w:val="0"/>
          <w:color w:val="auto"/>
          <w:spacing w:val="0"/>
          <w:sz w:val="24"/>
          <w:szCs w:val="24"/>
          <w:shd w:val="clear" w:fill="FFFFFF"/>
        </w:rPr>
        <w:t>（11）供应商须具备建筑工程施工总承包</w:t>
      </w:r>
      <w:r>
        <w:rPr>
          <w:rFonts w:hint="eastAsia" w:ascii="黑体" w:hAnsi="黑体" w:eastAsia="黑体" w:cs="黑体"/>
          <w:i w:val="0"/>
          <w:iCs w:val="0"/>
          <w:caps w:val="0"/>
          <w:color w:val="auto"/>
          <w:spacing w:val="0"/>
          <w:sz w:val="24"/>
          <w:szCs w:val="24"/>
          <w:shd w:val="clear" w:fill="FFFFFF"/>
          <w:lang w:val="en-US" w:eastAsia="zh-CN"/>
        </w:rPr>
        <w:t>三</w:t>
      </w:r>
      <w:r>
        <w:rPr>
          <w:rFonts w:hint="eastAsia" w:ascii="黑体" w:hAnsi="黑体" w:eastAsia="黑体" w:cs="黑体"/>
          <w:i w:val="0"/>
          <w:iCs w:val="0"/>
          <w:caps w:val="0"/>
          <w:color w:val="auto"/>
          <w:spacing w:val="0"/>
          <w:sz w:val="24"/>
          <w:szCs w:val="24"/>
          <w:shd w:val="clear" w:fill="FFFFFF"/>
        </w:rPr>
        <w:t>级（含</w:t>
      </w:r>
      <w:r>
        <w:rPr>
          <w:rFonts w:hint="eastAsia" w:ascii="黑体" w:hAnsi="黑体" w:eastAsia="黑体" w:cs="黑体"/>
          <w:i w:val="0"/>
          <w:iCs w:val="0"/>
          <w:caps w:val="0"/>
          <w:color w:val="auto"/>
          <w:spacing w:val="0"/>
          <w:sz w:val="24"/>
          <w:szCs w:val="24"/>
          <w:shd w:val="clear" w:fill="FFFFFF"/>
          <w:lang w:val="en-US" w:eastAsia="zh-CN"/>
        </w:rPr>
        <w:t>三</w:t>
      </w:r>
      <w:r>
        <w:rPr>
          <w:rFonts w:hint="eastAsia" w:ascii="黑体" w:hAnsi="黑体" w:eastAsia="黑体" w:cs="黑体"/>
          <w:i w:val="0"/>
          <w:iCs w:val="0"/>
          <w:caps w:val="0"/>
          <w:color w:val="auto"/>
          <w:spacing w:val="0"/>
          <w:sz w:val="24"/>
          <w:szCs w:val="24"/>
          <w:shd w:val="clear" w:fill="FFFFFF"/>
        </w:rPr>
        <w:t>级）及以上资质，具有有效的安全生产许可证；拟派项目经理具有建筑工程专业二级及以上注册建造师执业资格，并持有有效的安全生产考核合格证，且无在建项目（提供项目经理无在建承诺函），提供“陕西省建筑市场监管与诚信信息一体化平台中的企业及项目经理相关信息；</w:t>
      </w:r>
    </w:p>
    <w:p>
      <w:pPr>
        <w:pStyle w:val="42"/>
        <w:spacing w:line="480" w:lineRule="exact"/>
        <w:ind w:firstLine="480"/>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2-5-2、符合性审查</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kern w:val="2"/>
          <w:sz w:val="24"/>
          <w:szCs w:val="24"/>
          <w:highlight w:val="none"/>
          <w:lang w:val="en-US" w:eastAsia="zh-CN"/>
        </w:rPr>
        <w:t>依</w:t>
      </w:r>
      <w:r>
        <w:rPr>
          <w:rFonts w:hint="eastAsia" w:ascii="黑体" w:hAnsi="黑体" w:eastAsia="黑体" w:cs="黑体"/>
          <w:color w:val="auto"/>
          <w:sz w:val="24"/>
          <w:szCs w:val="24"/>
          <w:highlight w:val="none"/>
          <w:lang w:val="en-US" w:eastAsia="zh-CN"/>
        </w:rPr>
        <w:t>据磋商文件的规定，对资格审查合格者磋商响应文件的有效性，完整性和对磋商文件的响应程度进行审查，以确定是否对磋商文件的实质性内容做出响应，包含但不限于以下内容，未通过审查的按无效投标处理：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（1）供应商名称与登记领取磋商文件的单位名称</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一致；</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）磋商响应文件</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按照磋商文件的要求盖章签字；</w:t>
      </w:r>
    </w:p>
    <w:p>
      <w:pPr>
        <w:spacing w:line="480" w:lineRule="exact"/>
        <w:ind w:firstLine="480" w:firstLineChars="200"/>
        <w:rPr>
          <w:rFonts w:hint="eastAsia" w:ascii="黑体" w:hAnsi="黑体" w:eastAsia="黑体" w:cs="黑体"/>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lang w:val="en-US" w:eastAsia="zh-CN"/>
        </w:rPr>
        <w:t>磋商保证金是否按要求提交；</w:t>
      </w:r>
    </w:p>
    <w:p>
      <w:pPr>
        <w:spacing w:line="480" w:lineRule="exact"/>
        <w:ind w:firstLine="480" w:firstLineChars="200"/>
        <w:rPr>
          <w:rFonts w:hint="eastAsia" w:ascii="黑体" w:hAnsi="黑体" w:eastAsia="黑体" w:cs="黑体"/>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4</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eastAsia="zh-CN"/>
        </w:rPr>
        <w:t>磋商响应</w:t>
      </w:r>
      <w:r>
        <w:rPr>
          <w:rFonts w:hint="eastAsia" w:ascii="黑体" w:hAnsi="黑体" w:eastAsia="黑体" w:cs="黑体"/>
          <w:color w:val="auto"/>
          <w:sz w:val="24"/>
          <w:szCs w:val="24"/>
          <w:highlight w:val="none"/>
        </w:rPr>
        <w:t>内容是否有重大缺漏项；</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）磋商报价</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超过</w:t>
      </w:r>
      <w:r>
        <w:rPr>
          <w:rFonts w:hint="eastAsia" w:ascii="黑体" w:hAnsi="黑体" w:eastAsia="黑体" w:cs="黑体"/>
          <w:color w:val="auto"/>
          <w:sz w:val="24"/>
          <w:szCs w:val="24"/>
          <w:highlight w:val="none"/>
          <w:lang w:eastAsia="zh-CN"/>
        </w:rPr>
        <w:t>采购预算或最高限价</w:t>
      </w:r>
      <w:r>
        <w:rPr>
          <w:rFonts w:hint="eastAsia" w:ascii="黑体" w:hAnsi="黑体" w:eastAsia="黑体" w:cs="黑体"/>
          <w:color w:val="auto"/>
          <w:sz w:val="24"/>
          <w:szCs w:val="24"/>
          <w:highlight w:val="none"/>
        </w:rPr>
        <w:t>；</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6</w:t>
      </w:r>
      <w:r>
        <w:rPr>
          <w:rFonts w:hint="eastAsia" w:ascii="黑体" w:hAnsi="黑体" w:eastAsia="黑体" w:cs="黑体"/>
          <w:color w:val="auto"/>
          <w:sz w:val="24"/>
          <w:szCs w:val="24"/>
          <w:highlight w:val="none"/>
        </w:rPr>
        <w:t>）磋商有效期</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符合磋商文件的要求；</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7</w:t>
      </w:r>
      <w:r>
        <w:rPr>
          <w:rFonts w:hint="eastAsia" w:ascii="黑体" w:hAnsi="黑体" w:eastAsia="黑体" w:cs="黑体"/>
          <w:color w:val="auto"/>
          <w:sz w:val="24"/>
          <w:szCs w:val="24"/>
          <w:highlight w:val="none"/>
        </w:rPr>
        <w:t>）对磋商文件商务要求</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作出明确且实质性响应；</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8</w:t>
      </w:r>
      <w:r>
        <w:rPr>
          <w:rFonts w:hint="eastAsia" w:ascii="黑体" w:hAnsi="黑体" w:eastAsia="黑体" w:cs="黑体"/>
          <w:color w:val="auto"/>
          <w:sz w:val="24"/>
          <w:szCs w:val="24"/>
          <w:highlight w:val="none"/>
        </w:rPr>
        <w:t>）对磋商文件</w:t>
      </w:r>
      <w:r>
        <w:rPr>
          <w:rFonts w:hint="eastAsia" w:ascii="黑体" w:hAnsi="黑体" w:eastAsia="黑体" w:cs="黑体"/>
          <w:color w:val="auto"/>
          <w:sz w:val="24"/>
          <w:szCs w:val="24"/>
          <w:highlight w:val="none"/>
          <w:lang w:eastAsia="zh-CN"/>
        </w:rPr>
        <w:t>其他</w:t>
      </w:r>
      <w:r>
        <w:rPr>
          <w:rFonts w:hint="eastAsia" w:ascii="黑体" w:hAnsi="黑体" w:eastAsia="黑体" w:cs="黑体"/>
          <w:color w:val="auto"/>
          <w:sz w:val="24"/>
          <w:szCs w:val="24"/>
          <w:highlight w:val="none"/>
        </w:rPr>
        <w:t>要求</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 xml:space="preserve">作出明确且实质性响应； </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9</w:t>
      </w:r>
      <w:r>
        <w:rPr>
          <w:rFonts w:hint="eastAsia" w:ascii="黑体" w:hAnsi="黑体" w:eastAsia="黑体" w:cs="黑体"/>
          <w:color w:val="auto"/>
          <w:sz w:val="24"/>
          <w:szCs w:val="24"/>
          <w:highlight w:val="none"/>
        </w:rPr>
        <w:t>）磋商响应文件</w:t>
      </w:r>
      <w:r>
        <w:rPr>
          <w:rFonts w:hint="eastAsia" w:ascii="黑体" w:hAnsi="黑体" w:eastAsia="黑体" w:cs="黑体"/>
          <w:color w:val="auto"/>
          <w:sz w:val="24"/>
          <w:szCs w:val="24"/>
          <w:highlight w:val="none"/>
          <w:lang w:val="en-US" w:eastAsia="zh-CN"/>
        </w:rPr>
        <w:t>是否</w:t>
      </w:r>
      <w:r>
        <w:rPr>
          <w:rFonts w:hint="eastAsia" w:ascii="黑体" w:hAnsi="黑体" w:eastAsia="黑体" w:cs="黑体"/>
          <w:color w:val="auto"/>
          <w:sz w:val="24"/>
          <w:szCs w:val="24"/>
          <w:highlight w:val="none"/>
        </w:rPr>
        <w:t>含有采购人不能接受的附</w:t>
      </w:r>
      <w:r>
        <w:rPr>
          <w:rFonts w:hint="eastAsia" w:ascii="黑体" w:hAnsi="黑体" w:eastAsia="黑体" w:cs="黑体"/>
          <w:color w:val="auto"/>
          <w:sz w:val="24"/>
          <w:szCs w:val="24"/>
          <w:highlight w:val="none"/>
          <w:lang w:val="en-US" w:eastAsia="zh-CN"/>
        </w:rPr>
        <w:t>加</w:t>
      </w:r>
      <w:r>
        <w:rPr>
          <w:rFonts w:hint="eastAsia" w:ascii="黑体" w:hAnsi="黑体" w:eastAsia="黑体" w:cs="黑体"/>
          <w:color w:val="auto"/>
          <w:sz w:val="24"/>
          <w:szCs w:val="24"/>
          <w:highlight w:val="none"/>
        </w:rPr>
        <w:t>条件；</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10</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是否含有</w:t>
      </w:r>
      <w:r>
        <w:rPr>
          <w:rFonts w:hint="eastAsia" w:ascii="黑体" w:hAnsi="黑体" w:eastAsia="黑体" w:cs="黑体"/>
          <w:color w:val="auto"/>
          <w:sz w:val="24"/>
          <w:szCs w:val="24"/>
          <w:highlight w:val="none"/>
        </w:rPr>
        <w:t>法律、法规和磋商文件规定的其他无效响应情形。</w:t>
      </w:r>
    </w:p>
    <w:p>
      <w:pPr>
        <w:overflowPunct w:val="0"/>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2-5-3、竞争性磋商响应文件的澄清：</w:t>
      </w:r>
    </w:p>
    <w:p>
      <w:pPr>
        <w:overflowPunct w:val="0"/>
        <w:adjustRightInd w:val="0"/>
        <w:snapToGrid w:val="0"/>
        <w:spacing w:line="480" w:lineRule="exact"/>
        <w:ind w:firstLine="360" w:firstLineChars="1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overflowPunct w:val="0"/>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（2）书写错误的评审标准：</w:t>
      </w:r>
    </w:p>
    <w:p>
      <w:pPr>
        <w:overflowPunct w:val="0"/>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磋商小组在评审过程中，发现竞争性磋商响应文件出现下列情况之一者，按以下原则修正：</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a、磋商响应文件有关内容与“磋商报价一览表”不一致的，以“磋商报价一览表”为准；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b、大写金额与小写金额不一致的，以大写金额为准；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c、单价金额小数点或者百分比有明显错位的，以“磋商报价一览表”的总价为准，并修改单价；</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d、总价金额与按单价汇总金额不一致的，以单价乘以数量的计算结果为准；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e、磋商响应文件图表与文字不符时，以文字为准；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f、磋商响应文件正本与副本不符时，以正本为准；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g、对不同文字文本磋商响应文件的解释发生异议的，以中文文本为准；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h、多处内容交叉不符时，以磋商小组评审结果为准。</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注：按上述方法修正的内容（其中，同时出现上述a至d两种以上不一致的，按上述规定的顺序修正），经供应商确认后产生约束力，供应商不确认的，其磋商响应无效。</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磋商小组认为供应商的报价明显低于其他通过符合性审查供应商的报价，有可能影响工程质量或者不能诚信履约的，应当要求其在评审现场合理的时间内提供书面说明，必要时提交相关证明材料；供应商不能证明其报价合理性的，磋商小组应当将其作为无效磋商响应处理。</w:t>
      </w:r>
    </w:p>
    <w:p>
      <w:pPr>
        <w:spacing w:line="480" w:lineRule="exact"/>
        <w:ind w:firstLine="465"/>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2-5-4、评议：</w:t>
      </w:r>
    </w:p>
    <w:p>
      <w:pPr>
        <w:spacing w:line="480" w:lineRule="exact"/>
        <w:ind w:firstLine="465"/>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（1）磋商小组评审竞争性磋商响应文件响应性及符合性只根据竞争性磋商响应文件本身的内容，而不寻求其他外部证据。</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b w:val="0"/>
          <w:bCs w:val="0"/>
          <w:color w:val="auto"/>
          <w:sz w:val="24"/>
          <w:szCs w:val="24"/>
          <w:highlight w:val="none"/>
        </w:rPr>
        <w:t>（2）磋商小组所有成员应当集中与单一</w:t>
      </w:r>
      <w:r>
        <w:rPr>
          <w:rFonts w:hint="eastAsia" w:ascii="黑体" w:hAnsi="黑体" w:eastAsia="黑体" w:cs="黑体"/>
          <w:b w:val="0"/>
          <w:bCs w:val="0"/>
          <w:color w:val="auto"/>
          <w:sz w:val="24"/>
          <w:szCs w:val="24"/>
          <w:highlight w:val="none"/>
          <w:lang w:eastAsia="zh-CN"/>
        </w:rPr>
        <w:t>供应商</w:t>
      </w:r>
      <w:r>
        <w:rPr>
          <w:rFonts w:hint="eastAsia" w:ascii="黑体" w:hAnsi="黑体" w:eastAsia="黑体" w:cs="黑体"/>
          <w:b w:val="0"/>
          <w:bCs w:val="0"/>
          <w:color w:val="auto"/>
          <w:sz w:val="24"/>
          <w:szCs w:val="24"/>
          <w:highlight w:val="none"/>
        </w:rPr>
        <w:t>分别进行磋商，并给予所有参加磋商的</w:t>
      </w:r>
      <w:r>
        <w:rPr>
          <w:rFonts w:hint="eastAsia" w:ascii="黑体" w:hAnsi="黑体" w:eastAsia="黑体" w:cs="黑体"/>
          <w:b w:val="0"/>
          <w:bCs w:val="0"/>
          <w:color w:val="auto"/>
          <w:sz w:val="24"/>
          <w:szCs w:val="24"/>
          <w:highlight w:val="none"/>
          <w:lang w:eastAsia="zh-CN"/>
        </w:rPr>
        <w:t>供应商</w:t>
      </w:r>
      <w:r>
        <w:rPr>
          <w:rFonts w:hint="eastAsia" w:ascii="黑体" w:hAnsi="黑体" w:eastAsia="黑体" w:cs="黑体"/>
          <w:b w:val="0"/>
          <w:bCs w:val="0"/>
          <w:color w:val="auto"/>
          <w:sz w:val="24"/>
          <w:szCs w:val="24"/>
          <w:highlight w:val="none"/>
        </w:rPr>
        <w:t>平等的磋商机会</w:t>
      </w:r>
      <w:r>
        <w:rPr>
          <w:rFonts w:hint="eastAsia" w:ascii="黑体" w:hAnsi="黑体" w:eastAsia="黑体" w:cs="黑体"/>
          <w:color w:val="auto"/>
          <w:sz w:val="24"/>
          <w:szCs w:val="24"/>
          <w:highlight w:val="none"/>
        </w:rPr>
        <w:t>。</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（3）在磋商过程中，磋商小组可以根据磋商文件和磋商情况实质性变动采购需求中的技术、服务要求以及合同草案条款，但不得变动磋商文件中的其他内容。实质性变动的内容，须经采购人代表确认。</w:t>
      </w:r>
    </w:p>
    <w:p>
      <w:pPr>
        <w:spacing w:line="44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（4）磋商结束后，磋商小组应当要求所有实质性响应的</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4"/>
        </w:rPr>
        <w:t>在规定时间内提交最后报价。</w:t>
      </w:r>
      <w:r>
        <w:rPr>
          <w:rFonts w:hint="eastAsia" w:ascii="黑体" w:hAnsi="黑体" w:eastAsia="黑体" w:cs="黑体"/>
          <w:b/>
          <w:bCs/>
          <w:color w:val="auto"/>
          <w:sz w:val="24"/>
          <w:szCs w:val="24"/>
          <w:highlight w:val="none"/>
          <w:lang w:val="en-US" w:eastAsia="zh-CN"/>
        </w:rPr>
        <w:t>供应商须用数字认证证书（CA主锁）登陆系统进行最后报价，</w:t>
      </w:r>
      <w:r>
        <w:rPr>
          <w:rFonts w:hint="eastAsia" w:ascii="黑体" w:hAnsi="黑体" w:eastAsia="黑体" w:cs="黑体"/>
          <w:b w:val="0"/>
          <w:bCs w:val="0"/>
          <w:color w:val="auto"/>
          <w:sz w:val="24"/>
          <w:szCs w:val="24"/>
          <w:highlight w:val="none"/>
          <w:lang w:val="en-US" w:eastAsia="zh-CN"/>
        </w:rPr>
        <w:t>系统按照评标规则自动计分。</w:t>
      </w:r>
    </w:p>
    <w:p>
      <w:pPr>
        <w:spacing w:line="480" w:lineRule="exact"/>
        <w:ind w:firstLine="465"/>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评审采取逐项分步评审方式，每一步评审不符合者，按无效投标处理，不进入下一步评审。经磋商确定最终采购需求和提交最后报价后，由磋商小组采用综合评分法对提交最后报价的供应商的响应文件和最后报价进行综合评分。</w:t>
      </w:r>
    </w:p>
    <w:p>
      <w:pPr>
        <w:overflowPunct w:val="0"/>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（6）其他需说明的情况：</w:t>
      </w:r>
    </w:p>
    <w:p>
      <w:pPr>
        <w:overflowPunct w:val="0"/>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a、对于竞争性磋商响应文件中不构成实质性偏差的小的不正规、不一致或不规则，采购人可以接受，但这种接受不能损害或影响任何供应商的相对排序；</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b、最低报价不是成交的唯一条件；</w:t>
      </w:r>
    </w:p>
    <w:p>
      <w:pPr>
        <w:overflowPunct w:val="0"/>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c、如果磋商响应实质上没有响应竞争性磋商文件的要求，其磋商响应将被拒绝，供应商不得通过修正或撤</w:t>
      </w:r>
      <w:r>
        <w:rPr>
          <w:rFonts w:hint="eastAsia" w:ascii="黑体" w:hAnsi="黑体" w:eastAsia="黑体" w:cs="黑体"/>
          <w:color w:val="auto"/>
          <w:sz w:val="24"/>
          <w:szCs w:val="24"/>
          <w:highlight w:val="none"/>
          <w:lang w:val="en-US" w:eastAsia="zh-CN"/>
        </w:rPr>
        <w:t>销</w:t>
      </w:r>
      <w:r>
        <w:rPr>
          <w:rFonts w:hint="eastAsia" w:ascii="黑体" w:hAnsi="黑体" w:eastAsia="黑体" w:cs="黑体"/>
          <w:color w:val="auto"/>
          <w:sz w:val="24"/>
          <w:szCs w:val="24"/>
          <w:highlight w:val="none"/>
        </w:rPr>
        <w:t>不合要求的偏离或保留从而使其磋商响应成为实质上响应的磋商响应。</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d、无论磋商的结果如何，磋商期间一切费用</w:t>
      </w:r>
      <w:r>
        <w:rPr>
          <w:rFonts w:hint="eastAsia" w:ascii="黑体" w:hAnsi="黑体" w:eastAsia="黑体" w:cs="黑体"/>
          <w:color w:val="auto"/>
          <w:sz w:val="24"/>
          <w:szCs w:val="24"/>
          <w:highlight w:val="none"/>
          <w:lang w:val="en-US" w:eastAsia="zh-CN"/>
        </w:rPr>
        <w:t>由供应商</w:t>
      </w:r>
      <w:r>
        <w:rPr>
          <w:rFonts w:hint="eastAsia" w:ascii="黑体" w:hAnsi="黑体" w:eastAsia="黑体" w:cs="黑体"/>
          <w:color w:val="auto"/>
          <w:sz w:val="24"/>
          <w:szCs w:val="24"/>
          <w:highlight w:val="none"/>
        </w:rPr>
        <w:t>自理。</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2-6、评分标准</w:t>
      </w:r>
    </w:p>
    <w:tbl>
      <w:tblPr>
        <w:tblStyle w:val="24"/>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017"/>
        <w:gridCol w:w="7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9" w:type="dxa"/>
            <w:noWrap w:val="0"/>
            <w:vAlign w:val="center"/>
          </w:tcPr>
          <w:p>
            <w:pPr>
              <w:spacing w:line="480" w:lineRule="exact"/>
              <w:ind w:left="-157" w:leftChars="-56" w:right="-126" w:rightChars="-45"/>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评审分项</w:t>
            </w:r>
          </w:p>
        </w:tc>
        <w:tc>
          <w:tcPr>
            <w:tcW w:w="1017" w:type="dxa"/>
            <w:noWrap w:val="0"/>
            <w:vAlign w:val="center"/>
          </w:tcPr>
          <w:p>
            <w:pPr>
              <w:spacing w:line="480" w:lineRule="exact"/>
              <w:ind w:left="-157" w:leftChars="-56" w:right="-126" w:rightChars="-45"/>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分项分值</w:t>
            </w:r>
          </w:p>
        </w:tc>
        <w:tc>
          <w:tcPr>
            <w:tcW w:w="7449" w:type="dxa"/>
            <w:noWrap w:val="0"/>
            <w:vAlign w:val="center"/>
          </w:tcPr>
          <w:p>
            <w:pPr>
              <w:spacing w:line="420" w:lineRule="exact"/>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noWrap w:val="0"/>
            <w:vAlign w:val="center"/>
          </w:tcPr>
          <w:p>
            <w:pPr>
              <w:widowControl/>
              <w:spacing w:line="480" w:lineRule="exact"/>
              <w:ind w:right="-34"/>
              <w:jc w:val="center"/>
              <w:textAlignment w:val="bottom"/>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磋商</w:t>
            </w:r>
          </w:p>
          <w:p>
            <w:pPr>
              <w:widowControl/>
              <w:spacing w:line="480" w:lineRule="exact"/>
              <w:ind w:right="-34"/>
              <w:jc w:val="center"/>
              <w:textAlignment w:val="bottom"/>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lang w:val="en-US" w:eastAsia="zh-CN"/>
              </w:rPr>
              <w:t>报价</w:t>
            </w:r>
          </w:p>
        </w:tc>
        <w:tc>
          <w:tcPr>
            <w:tcW w:w="1017" w:type="dxa"/>
            <w:noWrap w:val="0"/>
            <w:vAlign w:val="center"/>
          </w:tcPr>
          <w:p>
            <w:pPr>
              <w:spacing w:line="480" w:lineRule="exact"/>
              <w:ind w:left="-157" w:leftChars="-56" w:right="-126" w:rightChars="-45"/>
              <w:jc w:val="center"/>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lang w:val="en-US" w:eastAsia="zh-CN"/>
              </w:rPr>
              <w:t>40</w:t>
            </w:r>
            <w:r>
              <w:rPr>
                <w:rFonts w:hint="eastAsia" w:ascii="黑体" w:hAnsi="黑体" w:eastAsia="黑体" w:cs="黑体"/>
                <w:color w:val="auto"/>
                <w:sz w:val="24"/>
                <w:szCs w:val="24"/>
                <w:highlight w:val="none"/>
              </w:rPr>
              <w:t>分</w:t>
            </w:r>
          </w:p>
        </w:tc>
        <w:tc>
          <w:tcPr>
            <w:tcW w:w="7449" w:type="dxa"/>
            <w:noWrap w:val="0"/>
            <w:vAlign w:val="center"/>
          </w:tcPr>
          <w:p>
            <w:pPr>
              <w:overflowPunct w:val="0"/>
              <w:adjustRightInd w:val="0"/>
              <w:snapToGrid w:val="0"/>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采用低价优先法计算，即满足</w:t>
            </w:r>
            <w:r>
              <w:rPr>
                <w:rFonts w:hint="eastAsia" w:ascii="黑体" w:hAnsi="黑体" w:eastAsia="黑体" w:cs="黑体"/>
                <w:color w:val="auto"/>
                <w:sz w:val="24"/>
                <w:szCs w:val="24"/>
                <w:highlight w:val="none"/>
                <w:lang w:eastAsia="zh-CN"/>
              </w:rPr>
              <w:t>磋商文件</w:t>
            </w:r>
            <w:r>
              <w:rPr>
                <w:rFonts w:hint="eastAsia" w:ascii="黑体" w:hAnsi="黑体" w:eastAsia="黑体" w:cs="黑体"/>
                <w:color w:val="auto"/>
                <w:sz w:val="24"/>
                <w:szCs w:val="24"/>
                <w:highlight w:val="none"/>
              </w:rPr>
              <w:t>要求且最终报价最低的</w:t>
            </w:r>
            <w:r>
              <w:rPr>
                <w:rFonts w:hint="eastAsia" w:ascii="黑体" w:hAnsi="黑体" w:eastAsia="黑体" w:cs="黑体"/>
                <w:color w:val="auto"/>
                <w:sz w:val="24"/>
                <w:szCs w:val="24"/>
                <w:highlight w:val="none"/>
                <w:lang w:eastAsia="zh-CN"/>
              </w:rPr>
              <w:t>供应商</w:t>
            </w:r>
            <w:r>
              <w:rPr>
                <w:rFonts w:hint="eastAsia" w:ascii="黑体" w:hAnsi="黑体" w:eastAsia="黑体" w:cs="黑体"/>
                <w:color w:val="auto"/>
                <w:sz w:val="24"/>
                <w:szCs w:val="24"/>
                <w:highlight w:val="none"/>
              </w:rPr>
              <w:t>的报价为评标基准价，其价格得分为满分</w:t>
            </w:r>
            <w:r>
              <w:rPr>
                <w:rFonts w:hint="eastAsia" w:ascii="黑体" w:hAnsi="黑体" w:eastAsia="黑体" w:cs="黑体"/>
                <w:color w:val="auto"/>
                <w:sz w:val="24"/>
                <w:szCs w:val="24"/>
                <w:highlight w:val="none"/>
                <w:lang w:val="en-US" w:eastAsia="zh-CN"/>
              </w:rPr>
              <w:t>40</w:t>
            </w:r>
            <w:r>
              <w:rPr>
                <w:rFonts w:hint="eastAsia" w:ascii="黑体" w:hAnsi="黑体" w:eastAsia="黑体" w:cs="黑体"/>
                <w:color w:val="auto"/>
                <w:sz w:val="24"/>
                <w:szCs w:val="24"/>
                <w:highlight w:val="none"/>
              </w:rPr>
              <w:t>分。</w:t>
            </w:r>
          </w:p>
          <w:p>
            <w:pPr>
              <w:overflowPunct w:val="0"/>
              <w:adjustRightInd w:val="0"/>
              <w:snapToGrid w:val="0"/>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其他</w:t>
            </w:r>
            <w:r>
              <w:rPr>
                <w:rFonts w:hint="eastAsia" w:ascii="黑体" w:hAnsi="黑体" w:eastAsia="黑体" w:cs="黑体"/>
                <w:color w:val="auto"/>
                <w:sz w:val="24"/>
                <w:szCs w:val="24"/>
                <w:highlight w:val="none"/>
                <w:lang w:eastAsia="zh-CN"/>
              </w:rPr>
              <w:t>供应商</w:t>
            </w:r>
            <w:r>
              <w:rPr>
                <w:rFonts w:hint="eastAsia" w:ascii="黑体" w:hAnsi="黑体" w:eastAsia="黑体" w:cs="黑体"/>
                <w:color w:val="auto"/>
                <w:sz w:val="24"/>
                <w:szCs w:val="24"/>
                <w:highlight w:val="none"/>
              </w:rPr>
              <w:t>的报价得分统一按照下列公式计算：</w:t>
            </w:r>
          </w:p>
          <w:p>
            <w:pPr>
              <w:overflowPunct w:val="0"/>
              <w:adjustRightInd w:val="0"/>
              <w:snapToGrid w:val="0"/>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报价得分=（评标基准价/</w:t>
            </w:r>
            <w:r>
              <w:rPr>
                <w:rFonts w:hint="eastAsia" w:ascii="黑体" w:hAnsi="黑体" w:eastAsia="黑体" w:cs="黑体"/>
                <w:color w:val="auto"/>
                <w:sz w:val="24"/>
                <w:szCs w:val="24"/>
                <w:highlight w:val="none"/>
                <w:lang w:eastAsia="zh-CN"/>
              </w:rPr>
              <w:t>磋商</w:t>
            </w:r>
            <w:r>
              <w:rPr>
                <w:rFonts w:hint="eastAsia" w:ascii="黑体" w:hAnsi="黑体" w:eastAsia="黑体" w:cs="黑体"/>
                <w:color w:val="auto"/>
                <w:sz w:val="24"/>
                <w:szCs w:val="24"/>
                <w:highlight w:val="none"/>
              </w:rPr>
              <w:t>报价）×</w:t>
            </w:r>
            <w:r>
              <w:rPr>
                <w:rFonts w:hint="eastAsia" w:ascii="黑体" w:hAnsi="黑体" w:eastAsia="黑体" w:cs="黑体"/>
                <w:color w:val="auto"/>
                <w:sz w:val="24"/>
                <w:szCs w:val="24"/>
                <w:highlight w:val="none"/>
                <w:lang w:eastAsia="zh-CN"/>
              </w:rPr>
              <w:t>价格权重</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100</w:t>
            </w:r>
            <w:r>
              <w:rPr>
                <w:rFonts w:hint="eastAsia" w:ascii="黑体" w:hAnsi="黑体" w:eastAsia="黑体" w:cs="黑体"/>
                <w:color w:val="auto"/>
                <w:sz w:val="24"/>
                <w:szCs w:val="24"/>
                <w:highlight w:val="none"/>
              </w:rPr>
              <w:t>注：（1）根据《</w:t>
            </w:r>
            <w:r>
              <w:rPr>
                <w:rFonts w:hint="eastAsia" w:ascii="黑体" w:hAnsi="黑体" w:eastAsia="黑体" w:cs="黑体"/>
                <w:color w:val="auto"/>
                <w:sz w:val="24"/>
                <w:szCs w:val="24"/>
                <w:highlight w:val="none"/>
                <w:lang w:val="en-US" w:eastAsia="zh-CN"/>
              </w:rPr>
              <w:t>政府采购促进中小企业发展管理办法</w:t>
            </w:r>
            <w:r>
              <w:rPr>
                <w:rFonts w:hint="eastAsia" w:ascii="黑体" w:hAnsi="黑体" w:eastAsia="黑体" w:cs="黑体"/>
                <w:color w:val="auto"/>
                <w:sz w:val="24"/>
                <w:szCs w:val="24"/>
                <w:highlight w:val="none"/>
              </w:rPr>
              <w:t>》的相关规定，对小型和微型企业的价格给予</w:t>
            </w: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%的扣除，用扣除后的价格参与评审。</w:t>
            </w:r>
          </w:p>
          <w:p>
            <w:pPr>
              <w:overflowPunct w:val="0"/>
              <w:adjustRightInd w:val="0"/>
              <w:snapToGrid w:val="0"/>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（2）根据《财政部民政部中国残疾人联合会关于促进残疾人就业政府采购政策的通知》（财库〔2017〕141号）的规定，对符合条件的残疾人福利性单位设备的价格给予</w:t>
            </w: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%的扣除，用扣除后的价格参与评审。</w:t>
            </w:r>
          </w:p>
          <w:p>
            <w:pPr>
              <w:spacing w:line="360" w:lineRule="auto"/>
              <w:rPr>
                <w:rFonts w:hint="eastAsia" w:ascii="黑体" w:hAnsi="黑体" w:eastAsia="黑体" w:cs="黑体"/>
                <w:color w:val="auto"/>
                <w:sz w:val="24"/>
                <w:szCs w:val="24"/>
                <w:highlight w:val="none"/>
              </w:rPr>
            </w:pPr>
            <w:r>
              <w:rPr>
                <w:rFonts w:hint="eastAsia" w:ascii="黑体" w:hAnsi="黑体" w:eastAsia="黑体" w:cs="黑体"/>
                <w:color w:val="auto"/>
                <w:spacing w:val="6"/>
                <w:sz w:val="24"/>
                <w:szCs w:val="24"/>
                <w:highlight w:val="none"/>
              </w:rPr>
              <w:t>小型、微型企业和监狱企业级符合财政部、民政部、中国残疾人联合会关于促进残疾人就业政府采购政策的通知，以上政策同时具备的仅对其进行一次</w:t>
            </w:r>
            <w:r>
              <w:rPr>
                <w:rFonts w:hint="eastAsia" w:ascii="黑体" w:hAnsi="黑体" w:eastAsia="黑体" w:cs="黑体"/>
                <w:color w:val="auto"/>
                <w:spacing w:val="6"/>
                <w:sz w:val="24"/>
                <w:szCs w:val="24"/>
                <w:highlight w:val="none"/>
                <w:lang w:val="en-US" w:eastAsia="zh-CN"/>
              </w:rPr>
              <w:t>3</w:t>
            </w:r>
            <w:r>
              <w:rPr>
                <w:rFonts w:hint="eastAsia" w:ascii="黑体" w:hAnsi="黑体" w:eastAsia="黑体" w:cs="黑体"/>
                <w:color w:val="auto"/>
                <w:spacing w:val="6"/>
                <w:sz w:val="24"/>
                <w:szCs w:val="24"/>
                <w:highlight w:val="none"/>
              </w:rPr>
              <w:t>%的价格扣除，不重复扣除。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0" w:hRule="atLeast"/>
          <w:jc w:val="center"/>
        </w:trPr>
        <w:tc>
          <w:tcPr>
            <w:tcW w:w="1079" w:type="dxa"/>
            <w:noWrap w:val="0"/>
            <w:vAlign w:val="center"/>
          </w:tcPr>
          <w:p>
            <w:pPr>
              <w:widowControl/>
              <w:spacing w:line="480" w:lineRule="exact"/>
              <w:ind w:right="-34"/>
              <w:jc w:val="center"/>
              <w:textAlignment w:val="bottom"/>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技术</w:t>
            </w:r>
          </w:p>
          <w:p>
            <w:pPr>
              <w:widowControl/>
              <w:spacing w:line="480" w:lineRule="exact"/>
              <w:ind w:right="-34" w:rightChars="0"/>
              <w:jc w:val="center"/>
              <w:textAlignment w:val="bottom"/>
              <w:rPr>
                <w:rFonts w:hint="eastAsia" w:ascii="黑体" w:hAnsi="黑体" w:eastAsia="黑体" w:cs="黑体"/>
                <w:color w:val="FF0000"/>
                <w:sz w:val="24"/>
                <w:szCs w:val="24"/>
                <w:highlight w:val="none"/>
                <w:lang w:val="en-US" w:eastAsia="zh-CN"/>
              </w:rPr>
            </w:pPr>
            <w:r>
              <w:rPr>
                <w:rFonts w:hint="eastAsia" w:ascii="黑体" w:hAnsi="黑体" w:eastAsia="黑体" w:cs="黑体"/>
                <w:color w:val="auto"/>
                <w:sz w:val="24"/>
                <w:szCs w:val="24"/>
                <w:highlight w:val="none"/>
                <w:lang w:val="en-US" w:eastAsia="zh-CN"/>
              </w:rPr>
              <w:t>响应</w:t>
            </w:r>
          </w:p>
        </w:tc>
        <w:tc>
          <w:tcPr>
            <w:tcW w:w="1017" w:type="dxa"/>
            <w:noWrap w:val="0"/>
            <w:vAlign w:val="center"/>
          </w:tcPr>
          <w:p>
            <w:pPr>
              <w:widowControl/>
              <w:spacing w:line="480" w:lineRule="exact"/>
              <w:ind w:right="-34" w:rightChars="0"/>
              <w:jc w:val="center"/>
              <w:textAlignment w:val="bottom"/>
              <w:rPr>
                <w:rFonts w:hint="eastAsia" w:ascii="黑体" w:hAnsi="黑体" w:eastAsia="黑体" w:cs="黑体"/>
                <w:color w:val="FF0000"/>
                <w:sz w:val="24"/>
                <w:szCs w:val="24"/>
                <w:highlight w:val="none"/>
                <w:lang w:val="en-US" w:eastAsia="zh-CN"/>
              </w:rPr>
            </w:pPr>
            <w:r>
              <w:rPr>
                <w:rFonts w:hint="eastAsia" w:ascii="黑体" w:hAnsi="黑体" w:eastAsia="黑体" w:cs="黑体"/>
                <w:color w:val="auto"/>
                <w:sz w:val="24"/>
                <w:szCs w:val="24"/>
                <w:highlight w:val="none"/>
                <w:lang w:val="en-US" w:eastAsia="zh-CN"/>
              </w:rPr>
              <w:t>54分</w:t>
            </w:r>
          </w:p>
        </w:tc>
        <w:tc>
          <w:tcPr>
            <w:tcW w:w="7449" w:type="dxa"/>
            <w:noWrap w:val="0"/>
            <w:vAlign w:val="center"/>
          </w:tcPr>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w:t>
            </w:r>
            <w:r>
              <w:rPr>
                <w:rFonts w:hint="eastAsia" w:ascii="黑体" w:hAnsi="黑体" w:eastAsia="黑体" w:cs="黑体"/>
                <w:color w:val="auto"/>
                <w:sz w:val="24"/>
                <w:szCs w:val="24"/>
              </w:rPr>
              <w:t>项目经理和主要技术、管理人员的配备</w:t>
            </w:r>
            <w:r>
              <w:rPr>
                <w:rFonts w:hint="eastAsia" w:ascii="黑体" w:hAnsi="黑体" w:eastAsia="黑体" w:cs="黑体"/>
                <w:color w:val="auto"/>
                <w:sz w:val="24"/>
                <w:szCs w:val="24"/>
                <w:lang w:eastAsia="zh-CN"/>
              </w:rPr>
              <w:t>赋分</w:t>
            </w:r>
            <w:r>
              <w:rPr>
                <w:rFonts w:hint="eastAsia" w:ascii="黑体" w:hAnsi="黑体" w:eastAsia="黑体" w:cs="黑体"/>
                <w:sz w:val="24"/>
                <w:szCs w:val="24"/>
                <w:highlight w:val="none"/>
                <w:lang w:val="en-US" w:eastAsia="zh-CN"/>
              </w:rPr>
              <w:t>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2、施工方案和方法赋分1-6分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3、工期和进度计划赋分1-6分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4、质量保证体系与措施赋分1-6分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5、主要机具、设备和劳动力的配置赋分1-6分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6、安全文明施工措施的合理性、科学性赋分1-6分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7、工期保证措施的合理性、科学性赋分1-6分</w:t>
            </w:r>
          </w:p>
          <w:p>
            <w:pPr>
              <w:spacing w:line="480" w:lineRule="exac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8、施工部署和现场平面布置赋分1-6分</w:t>
            </w:r>
          </w:p>
          <w:p>
            <w:pPr>
              <w:spacing w:line="480" w:lineRule="exact"/>
              <w:rPr>
                <w:rFonts w:hint="eastAsia" w:ascii="黑体" w:hAnsi="黑体" w:eastAsia="黑体" w:cs="黑体"/>
                <w:color w:val="FF0000"/>
                <w:spacing w:val="6"/>
                <w:sz w:val="24"/>
                <w:szCs w:val="24"/>
                <w:highlight w:val="none"/>
              </w:rPr>
            </w:pPr>
            <w:r>
              <w:rPr>
                <w:rFonts w:hint="eastAsia" w:ascii="黑体" w:hAnsi="黑体" w:eastAsia="黑体" w:cs="黑体"/>
                <w:sz w:val="24"/>
                <w:szCs w:val="24"/>
                <w:highlight w:val="none"/>
                <w:lang w:val="en-US" w:eastAsia="zh-CN"/>
              </w:rPr>
              <w:t>9、采用新技术、新工艺对提高质量、缩短工期、降低造价等的可行性赋分1-6分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dxa"/>
            <w:noWrap w:val="0"/>
            <w:vAlign w:val="center"/>
          </w:tcPr>
          <w:p>
            <w:pPr>
              <w:widowControl/>
              <w:spacing w:line="480" w:lineRule="exact"/>
              <w:ind w:right="-34" w:rightChars="0"/>
              <w:jc w:val="center"/>
              <w:textAlignment w:val="bottom"/>
              <w:rPr>
                <w:rFonts w:hint="eastAsia" w:ascii="黑体" w:hAnsi="黑体" w:eastAsia="黑体" w:cs="黑体"/>
                <w:color w:val="FF0000"/>
                <w:sz w:val="24"/>
                <w:szCs w:val="24"/>
                <w:highlight w:val="none"/>
                <w:lang w:val="en-US" w:eastAsia="zh-CN"/>
              </w:rPr>
            </w:pPr>
            <w:r>
              <w:rPr>
                <w:rFonts w:hint="eastAsia" w:ascii="黑体" w:hAnsi="黑体" w:eastAsia="黑体" w:cs="黑体"/>
                <w:color w:val="auto"/>
                <w:sz w:val="24"/>
                <w:szCs w:val="24"/>
                <w:highlight w:val="none"/>
                <w:lang w:val="en-US" w:eastAsia="zh-CN"/>
              </w:rPr>
              <w:t>业绩</w:t>
            </w:r>
          </w:p>
        </w:tc>
        <w:tc>
          <w:tcPr>
            <w:tcW w:w="1017" w:type="dxa"/>
            <w:noWrap w:val="0"/>
            <w:vAlign w:val="center"/>
          </w:tcPr>
          <w:p>
            <w:pPr>
              <w:widowControl/>
              <w:spacing w:line="480" w:lineRule="exact"/>
              <w:ind w:right="-34" w:rightChars="0"/>
              <w:jc w:val="center"/>
              <w:textAlignment w:val="bottom"/>
              <w:rPr>
                <w:rFonts w:hint="eastAsia" w:ascii="黑体" w:hAnsi="黑体" w:eastAsia="黑体" w:cs="黑体"/>
                <w:color w:val="FF0000"/>
                <w:sz w:val="24"/>
                <w:szCs w:val="24"/>
                <w:highlight w:val="none"/>
                <w:lang w:val="en-US" w:eastAsia="zh-CN"/>
              </w:rPr>
            </w:pPr>
            <w:r>
              <w:rPr>
                <w:rFonts w:hint="eastAsia" w:ascii="黑体" w:hAnsi="黑体" w:eastAsia="黑体" w:cs="黑体"/>
                <w:color w:val="auto"/>
                <w:sz w:val="24"/>
                <w:szCs w:val="24"/>
                <w:highlight w:val="none"/>
                <w:lang w:val="en-US" w:eastAsia="zh-CN"/>
              </w:rPr>
              <w:t>6分</w:t>
            </w:r>
          </w:p>
        </w:tc>
        <w:tc>
          <w:tcPr>
            <w:tcW w:w="7449" w:type="dxa"/>
            <w:noWrap w:val="0"/>
            <w:vAlign w:val="center"/>
          </w:tcPr>
          <w:p>
            <w:pPr>
              <w:spacing w:line="480" w:lineRule="exact"/>
              <w:rPr>
                <w:rFonts w:hint="eastAsia" w:ascii="黑体" w:hAnsi="黑体" w:eastAsia="黑体" w:cs="黑体"/>
                <w:sz w:val="18"/>
                <w:szCs w:val="18"/>
                <w:highlight w:val="none"/>
                <w:lang w:val="en-US" w:eastAsia="zh-CN"/>
              </w:rPr>
            </w:pPr>
            <w:r>
              <w:rPr>
                <w:rFonts w:hint="eastAsia" w:ascii="黑体" w:hAnsi="黑体" w:eastAsia="黑体" w:cs="黑体"/>
                <w:sz w:val="24"/>
                <w:szCs w:val="24"/>
                <w:highlight w:val="none"/>
                <w:lang w:val="en-US" w:eastAsia="zh-CN"/>
              </w:rPr>
              <w:t>提供2019年7月1日至今类似项目业绩（房屋修缮、维修类合同金额≥100万元），每份计2分，计满6分为止。（以成交或中标通知书及合同协议书为准）</w:t>
            </w:r>
          </w:p>
          <w:p>
            <w:pPr>
              <w:spacing w:line="480" w:lineRule="exact"/>
              <w:rPr>
                <w:rFonts w:hint="default"/>
                <w:lang w:val="en-US"/>
              </w:rPr>
            </w:pPr>
            <w:r>
              <w:rPr>
                <w:rFonts w:hint="eastAsia" w:ascii="黑体" w:hAnsi="黑体" w:eastAsia="黑体" w:cs="黑体"/>
                <w:sz w:val="24"/>
                <w:szCs w:val="24"/>
                <w:highlight w:val="none"/>
                <w:lang w:val="en-US" w:eastAsia="zh-CN"/>
              </w:rPr>
              <w:t>注:以合同或协议书签订时间为准。</w:t>
            </w:r>
          </w:p>
        </w:tc>
      </w:tr>
    </w:tbl>
    <w:p>
      <w:pPr>
        <w:widowControl/>
        <w:autoSpaceDE w:val="0"/>
        <w:autoSpaceDN w:val="0"/>
        <w:spacing w:line="480" w:lineRule="exact"/>
        <w:textAlignment w:val="bottom"/>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注：1）评委打分超过得分界限或未按本方法赋分时，该评委的打分按废票处理。</w:t>
      </w:r>
    </w:p>
    <w:p>
      <w:pPr>
        <w:widowControl/>
        <w:autoSpaceDE w:val="0"/>
        <w:autoSpaceDN w:val="0"/>
        <w:spacing w:line="480" w:lineRule="exact"/>
        <w:ind w:firstLine="480" w:firstLineChars="200"/>
        <w:textAlignment w:val="bottom"/>
        <w:rPr>
          <w:rFonts w:hint="eastAsia" w:ascii="黑体" w:hAnsi="黑体" w:eastAsia="黑体" w:cs="黑体"/>
          <w:b/>
          <w:bCs/>
          <w:color w:val="auto"/>
          <w:sz w:val="24"/>
          <w:szCs w:val="24"/>
          <w:highlight w:val="none"/>
        </w:rPr>
      </w:pPr>
      <w:r>
        <w:rPr>
          <w:rFonts w:hint="eastAsia" w:ascii="黑体" w:hAnsi="黑体" w:eastAsia="黑体" w:cs="黑体"/>
          <w:color w:val="auto"/>
          <w:sz w:val="24"/>
          <w:szCs w:val="24"/>
          <w:highlight w:val="none"/>
        </w:rPr>
        <w:t>2）各种计算数字均保留两位小数，第三位“四舍五入”。</w:t>
      </w:r>
    </w:p>
    <w:p>
      <w:pPr>
        <w:spacing w:line="480" w:lineRule="exact"/>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3）特殊情况处理：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a、若出现综合得分相同的，最后磋商报价得分高者为第一成交候选供应商，若综合评分和最后磋商报价的得分均相同的，技术得分高者为第一成交候选供应商，若上述两项得分相同，则由全体磋商小组成员无记名投票，得票高者为第一成交候选供应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b、当供应商某评分项出现未报、漏报或零报价时，该分项得零分，并不参与磋商报价分的计算。</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c、评议过程中，若出现本评分方法以外的特殊情况时，将暂停评审，待磋商小组商榷后再进行复会。</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2-7、政府采购政策评分标准</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2-7-1、小微企业的价格评分标准</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根据财政部《关于印发&lt;政府采购促进中小企业发展管理办法&gt;的通知》(财库〔2020〕46号的规定，符合条件的中小企业，享受政府采购扶持政策。</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 中小企业：指在中华人民共和国境内依法设立，依据国务院批准的中小企业划分标准确定的中型企业、小型企业和微型企业，但与大企业的负责人为同一人，或者与大企业存在直接控股、管理关系的除外。</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2享受政府采购扶持政策的供应商，应当符合以下条件：</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 xml:space="preserve">①在货物采购项目中，货物由中小企业制造，即货物由中小企业生产且使用该中小企业商号或者注册商标；供应商提供的货物既有中小企业制造货物，也有大型企业制造货物的，不享受中小企业扶持政策。 </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②在工程采购项目中，工程由中小企业承建，即工程施工单位为中小企业；</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 xml:space="preserve">③在服务采购项目中，服务由中小企业承接，即提供服务的人员为中小企业依照《中华人民共和国劳动合同法》订立劳动合同的从业人员； </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④提供中小企业的声明函，不提供或提供有瑕疵的，在评审时不享受政府采购优惠政策。</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3 投标单位投标产品是小微企业制造的，其产品报价给予 6％的扣除，用扣除后的价格参与投标报价计算。小微企业参与政府采购服务类项目时，报价给予 6％的扣除，用扣除后的价格参与投标报价计算。小微企业参与政府采购工程类项目时，报价给予 3％的扣除，用扣除后的价格参与投标报价计算，采用综合评估法但未采用低价优先法计算价格分的，评标时在采用原报价进行评分的基础上增加其价格得分的3%作为其价格分。</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-7-2、监狱企业的价格评分标准</w:t>
      </w:r>
    </w:p>
    <w:p>
      <w:pPr>
        <w:spacing w:line="500" w:lineRule="exact"/>
        <w:ind w:firstLine="480" w:firstLineChars="200"/>
        <w:rPr>
          <w:rFonts w:hint="eastAsia" w:ascii="黑体" w:hAnsi="黑体" w:eastAsia="黑体" w:cs="黑体"/>
          <w:color w:val="auto"/>
          <w:sz w:val="24"/>
          <w:szCs w:val="24"/>
          <w:highlight w:val="none"/>
          <w:lang w:val="en-US" w:eastAsia="en-US"/>
        </w:rPr>
      </w:pPr>
      <w:r>
        <w:rPr>
          <w:rFonts w:hint="eastAsia" w:ascii="黑体" w:hAnsi="黑体" w:eastAsia="黑体" w:cs="黑体"/>
          <w:color w:val="auto"/>
          <w:sz w:val="24"/>
          <w:szCs w:val="24"/>
          <w:highlight w:val="none"/>
          <w:lang w:val="en-US" w:eastAsia="en-US"/>
        </w:rPr>
        <w:t>根据财库[2014]68 号《财政部司法部关于政府采购支持监狱企业发展有关问题的通知》规定，符合条件的监狱企业，享受政府采购扶持政策。投标</w:t>
      </w:r>
      <w:r>
        <w:rPr>
          <w:rFonts w:hint="eastAsia" w:ascii="黑体" w:hAnsi="黑体" w:eastAsia="黑体" w:cs="黑体"/>
          <w:color w:val="auto"/>
          <w:sz w:val="24"/>
          <w:szCs w:val="24"/>
          <w:highlight w:val="none"/>
          <w:lang w:val="en-US" w:eastAsia="zh-CN"/>
        </w:rPr>
        <w:t>供应商</w:t>
      </w:r>
      <w:r>
        <w:rPr>
          <w:rFonts w:hint="eastAsia" w:ascii="黑体" w:hAnsi="黑体" w:eastAsia="黑体" w:cs="黑体"/>
          <w:color w:val="auto"/>
          <w:sz w:val="24"/>
          <w:szCs w:val="24"/>
          <w:highlight w:val="none"/>
          <w:lang w:val="en-US" w:eastAsia="en-US"/>
        </w:rPr>
        <w:t>投标产品是监狱企业制造的，其产品报价给予一定比例的扣除，其产品报价给予 6％的扣除，用扣除后的价格参与</w:t>
      </w:r>
      <w:r>
        <w:rPr>
          <w:rFonts w:hint="eastAsia" w:ascii="黑体" w:hAnsi="黑体" w:eastAsia="黑体" w:cs="黑体"/>
          <w:color w:val="auto"/>
          <w:sz w:val="24"/>
          <w:szCs w:val="24"/>
          <w:highlight w:val="none"/>
          <w:lang w:val="en-US" w:eastAsia="zh-CN"/>
        </w:rPr>
        <w:t>磋商</w:t>
      </w:r>
      <w:r>
        <w:rPr>
          <w:rFonts w:hint="eastAsia" w:ascii="黑体" w:hAnsi="黑体" w:eastAsia="黑体" w:cs="黑体"/>
          <w:color w:val="auto"/>
          <w:sz w:val="24"/>
          <w:szCs w:val="24"/>
          <w:highlight w:val="none"/>
          <w:lang w:val="en-US" w:eastAsia="en-US"/>
        </w:rPr>
        <w:t>报价计算，如同时属于小型、微型企业的，其享受的价格不重复计算。</w:t>
      </w:r>
    </w:p>
    <w:p>
      <w:pPr>
        <w:spacing w:line="480" w:lineRule="exact"/>
        <w:ind w:firstLine="600" w:firstLineChars="25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-7-3、残疾人福利性单位的价格评分标准</w:t>
      </w:r>
    </w:p>
    <w:p>
      <w:pPr>
        <w:spacing w:line="500" w:lineRule="exact"/>
        <w:ind w:firstLine="480" w:firstLineChars="200"/>
        <w:rPr>
          <w:rFonts w:hint="eastAsia" w:ascii="黑体" w:hAnsi="黑体" w:eastAsia="黑体" w:cs="黑体"/>
          <w:color w:val="auto"/>
          <w:sz w:val="24"/>
          <w:szCs w:val="24"/>
          <w:highlight w:val="none"/>
          <w:lang w:val="en-US" w:eastAsia="en-US"/>
        </w:rPr>
      </w:pPr>
      <w:r>
        <w:rPr>
          <w:rFonts w:hint="eastAsia" w:ascii="黑体" w:hAnsi="黑体" w:eastAsia="黑体" w:cs="黑体"/>
          <w:color w:val="auto"/>
          <w:sz w:val="24"/>
          <w:szCs w:val="24"/>
          <w:highlight w:val="none"/>
          <w:lang w:val="en-US" w:eastAsia="en-US"/>
        </w:rPr>
        <w:t>投标</w:t>
      </w:r>
      <w:r>
        <w:rPr>
          <w:rFonts w:hint="eastAsia" w:ascii="黑体" w:hAnsi="黑体" w:eastAsia="黑体" w:cs="黑体"/>
          <w:color w:val="auto"/>
          <w:sz w:val="24"/>
          <w:szCs w:val="24"/>
          <w:highlight w:val="none"/>
          <w:lang w:val="en-US" w:eastAsia="zh-CN"/>
        </w:rPr>
        <w:t>供应商</w:t>
      </w:r>
      <w:r>
        <w:rPr>
          <w:rFonts w:hint="eastAsia" w:ascii="黑体" w:hAnsi="黑体" w:eastAsia="黑体" w:cs="黑体"/>
          <w:color w:val="auto"/>
          <w:sz w:val="24"/>
          <w:szCs w:val="24"/>
          <w:highlight w:val="none"/>
          <w:lang w:val="en-US" w:eastAsia="en-US"/>
        </w:rPr>
        <w:t>投标产品是残疾人福利性单位的，其产品报价给予一定比例的扣除，其产品报价给予 6％的扣除，用扣除后的价格参与投标报价计算。残疾人福利性单位同时属于小型、微型企业的，其享受的价格优惠不重复计算。</w:t>
      </w:r>
    </w:p>
    <w:p>
      <w:pPr>
        <w:spacing w:line="480" w:lineRule="exact"/>
        <w:ind w:firstLine="597" w:firstLineChars="24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-7-4、节能产品、环境标志产品政策</w:t>
      </w:r>
    </w:p>
    <w:p>
      <w:pPr>
        <w:spacing w:line="500" w:lineRule="exact"/>
        <w:ind w:firstLine="480" w:firstLineChars="200"/>
        <w:rPr>
          <w:rFonts w:hint="eastAsia" w:ascii="黑体" w:hAnsi="黑体" w:eastAsia="黑体" w:cs="黑体"/>
          <w:color w:val="auto"/>
          <w:sz w:val="24"/>
          <w:szCs w:val="24"/>
          <w:highlight w:val="none"/>
          <w:lang w:val="en-US" w:eastAsia="en-US"/>
        </w:rPr>
      </w:pPr>
      <w:r>
        <w:rPr>
          <w:rFonts w:hint="eastAsia" w:ascii="黑体" w:hAnsi="黑体" w:eastAsia="黑体" w:cs="黑体"/>
          <w:color w:val="auto"/>
          <w:sz w:val="24"/>
          <w:szCs w:val="24"/>
          <w:highlight w:val="none"/>
          <w:lang w:val="en-US" w:eastAsia="en-US"/>
        </w:rPr>
        <w:t>（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pPr>
        <w:spacing w:line="500" w:lineRule="exact"/>
        <w:ind w:firstLine="480" w:firstLineChars="200"/>
        <w:rPr>
          <w:rFonts w:hint="eastAsia" w:ascii="黑体" w:hAnsi="黑体" w:eastAsia="黑体" w:cs="黑体"/>
          <w:color w:val="auto"/>
          <w:sz w:val="24"/>
          <w:szCs w:val="24"/>
          <w:highlight w:val="none"/>
          <w:lang w:val="en-US" w:eastAsia="en-US"/>
        </w:rPr>
      </w:pPr>
      <w:r>
        <w:rPr>
          <w:rFonts w:hint="eastAsia" w:ascii="黑体" w:hAnsi="黑体" w:eastAsia="黑体" w:cs="黑体"/>
          <w:color w:val="auto"/>
          <w:sz w:val="24"/>
          <w:szCs w:val="24"/>
          <w:highlight w:val="none"/>
          <w:lang w:val="en-US" w:eastAsia="en-US"/>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lang w:val="en-US" w:eastAsia="zh-CN"/>
        </w:rPr>
        <w:t>2-8、</w:t>
      </w:r>
      <w:r>
        <w:rPr>
          <w:rFonts w:hint="eastAsia" w:ascii="黑体" w:hAnsi="黑体" w:eastAsia="黑体" w:cs="黑体"/>
          <w:b/>
          <w:color w:val="auto"/>
          <w:sz w:val="24"/>
          <w:szCs w:val="24"/>
          <w:highlight w:val="none"/>
        </w:rPr>
        <w:t>落实政府采购信用融资有关政策要求</w:t>
      </w:r>
    </w:p>
    <w:p>
      <w:pPr>
        <w:spacing w:line="480" w:lineRule="exact"/>
        <w:ind w:firstLine="480" w:firstLineChars="200"/>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pPr>
        <w:spacing w:line="480" w:lineRule="exact"/>
        <w:ind w:firstLine="482" w:firstLineChars="200"/>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3、定标</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3-1、定标程序</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磋商小组依据磋商文件的要求，对供应商进行认真评审。经过评审、澄清、磋商、最后报价等程序后，从响应文件满足磋商文件全部实质性要求的供应商中，按照评审得分由高到低顺序推荐3名以上成交候选供应商，并编写评审报告。</w:t>
      </w:r>
    </w:p>
    <w:p>
      <w:pPr>
        <w:spacing w:line="480" w:lineRule="exac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（2）</w:t>
      </w:r>
      <w:bookmarkStart w:id="27" w:name="OLE_LINK12"/>
      <w:r>
        <w:rPr>
          <w:rFonts w:hint="eastAsia" w:ascii="黑体" w:hAnsi="黑体" w:eastAsia="黑体" w:cs="黑体"/>
          <w:color w:val="auto"/>
          <w:sz w:val="24"/>
          <w:szCs w:val="24"/>
          <w:highlight w:val="none"/>
        </w:rPr>
        <w:t>磋商小组成员应当在评审报告上签字，对自己的评审意见承担法律责任。磋商小组成员对评审报告有异议的，磋商小组按照少数服从多数的原则推荐成交候选人，采购程序继续进行。对评审报告有异议的磋商小组成员，应当在评审报告上签署不同意见并说明理由，否则视为同意评审报告。</w:t>
      </w:r>
    </w:p>
    <w:bookmarkEnd w:id="27"/>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采购代理机构应当自评审结束之日起2个工作日内将评审报告送交采购人。采购人在收到评审报告5个工作日内，根据磋商小组提交的评审报告和推荐的成交候选供应商，按照排序由高到低的原则确定成交供应商。确定结果后，采购人向采购代理机构出具《成交复函》。采购人逾期未确定成交供应商且不提出异议的，视为确定评审报告推荐的排名第一的供应商为成交供应商。</w:t>
      </w:r>
    </w:p>
    <w:p>
      <w:pPr>
        <w:adjustRightInd w:val="0"/>
        <w:snapToGrid w:val="0"/>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（4）</w:t>
      </w:r>
      <w:r>
        <w:rPr>
          <w:rFonts w:hint="eastAsia" w:ascii="黑体" w:hAnsi="黑体" w:eastAsia="黑体" w:cs="黑体"/>
          <w:color w:val="auto"/>
          <w:sz w:val="24"/>
          <w:szCs w:val="24"/>
          <w:lang w:val="en-US" w:eastAsia="zh-CN"/>
        </w:rPr>
        <w:t>采购</w:t>
      </w:r>
      <w:r>
        <w:rPr>
          <w:rFonts w:hint="eastAsia" w:ascii="黑体" w:hAnsi="黑体" w:eastAsia="黑体" w:cs="黑体"/>
          <w:color w:val="auto"/>
          <w:sz w:val="24"/>
          <w:szCs w:val="24"/>
        </w:rPr>
        <w:t>代理机构接到</w:t>
      </w:r>
      <w:r>
        <w:rPr>
          <w:rFonts w:hint="eastAsia" w:ascii="黑体" w:hAnsi="黑体" w:eastAsia="黑体" w:cs="黑体"/>
          <w:color w:val="auto"/>
          <w:sz w:val="24"/>
          <w:szCs w:val="24"/>
          <w:lang w:val="en-US" w:eastAsia="zh-CN"/>
        </w:rPr>
        <w:t>采购</w:t>
      </w:r>
      <w:r>
        <w:rPr>
          <w:rFonts w:hint="eastAsia" w:ascii="黑体" w:hAnsi="黑体" w:eastAsia="黑体" w:cs="黑体"/>
          <w:color w:val="auto"/>
          <w:sz w:val="24"/>
          <w:szCs w:val="24"/>
        </w:rPr>
        <w:t>人的《成交复函》后，在2个工作日内，将成交结果在</w:t>
      </w:r>
      <w:r>
        <w:rPr>
          <w:rFonts w:hint="eastAsia" w:ascii="黑体" w:hAnsi="黑体" w:eastAsia="黑体" w:cs="黑体"/>
          <w:color w:val="auto"/>
          <w:sz w:val="24"/>
          <w:szCs w:val="24"/>
          <w:lang w:val="en-US" w:eastAsia="zh-CN"/>
        </w:rPr>
        <w:t>陕西省政府采购网</w:t>
      </w:r>
      <w:r>
        <w:rPr>
          <w:rFonts w:hint="eastAsia" w:ascii="黑体" w:hAnsi="黑体" w:eastAsia="黑体" w:cs="黑体"/>
          <w:color w:val="auto"/>
          <w:sz w:val="24"/>
          <w:szCs w:val="24"/>
          <w:lang w:eastAsia="zh-CN"/>
        </w:rPr>
        <w:t>及</w:t>
      </w:r>
      <w:r>
        <w:rPr>
          <w:rFonts w:hint="eastAsia" w:ascii="黑体" w:hAnsi="黑体" w:eastAsia="黑体" w:cs="黑体"/>
          <w:color w:val="auto"/>
          <w:sz w:val="24"/>
          <w:szCs w:val="24"/>
        </w:rPr>
        <w:t>陕西省公共资源交易中心</w:t>
      </w:r>
      <w:r>
        <w:rPr>
          <w:rFonts w:hint="eastAsia" w:ascii="黑体" w:hAnsi="黑体" w:eastAsia="黑体" w:cs="黑体"/>
          <w:color w:val="auto"/>
          <w:sz w:val="24"/>
          <w:szCs w:val="24"/>
          <w:lang w:eastAsia="zh-CN"/>
        </w:rPr>
        <w:t>网</w:t>
      </w:r>
      <w:r>
        <w:rPr>
          <w:rFonts w:hint="eastAsia" w:ascii="黑体" w:hAnsi="黑体" w:eastAsia="黑体" w:cs="黑体"/>
          <w:color w:val="auto"/>
          <w:sz w:val="24"/>
          <w:szCs w:val="24"/>
        </w:rPr>
        <w:t>发布公告，</w:t>
      </w:r>
      <w:r>
        <w:rPr>
          <w:rFonts w:hint="eastAsia" w:ascii="黑体" w:hAnsi="黑体" w:eastAsia="黑体" w:cs="黑体"/>
          <w:color w:val="auto"/>
          <w:sz w:val="24"/>
          <w:szCs w:val="24"/>
          <w:lang w:eastAsia="zh-CN"/>
        </w:rPr>
        <w:t>结果</w:t>
      </w:r>
      <w:r>
        <w:rPr>
          <w:rFonts w:hint="eastAsia" w:ascii="黑体" w:hAnsi="黑体" w:eastAsia="黑体" w:cs="黑体"/>
          <w:color w:val="auto"/>
          <w:sz w:val="24"/>
          <w:szCs w:val="24"/>
        </w:rPr>
        <w:t>公告</w:t>
      </w:r>
      <w:r>
        <w:rPr>
          <w:rFonts w:hint="eastAsia" w:ascii="黑体" w:hAnsi="黑体" w:eastAsia="黑体" w:cs="黑体"/>
          <w:color w:val="auto"/>
          <w:sz w:val="24"/>
          <w:szCs w:val="24"/>
          <w:lang w:eastAsia="zh-CN"/>
        </w:rPr>
        <w:t>公示期</w:t>
      </w:r>
      <w:r>
        <w:rPr>
          <w:rFonts w:hint="eastAsia" w:ascii="黑体" w:hAnsi="黑体" w:eastAsia="黑体" w:cs="黑体"/>
          <w:color w:val="auto"/>
          <w:sz w:val="24"/>
          <w:szCs w:val="24"/>
        </w:rPr>
        <w:t>1个工作日。</w:t>
      </w:r>
    </w:p>
    <w:p>
      <w:pPr>
        <w:tabs>
          <w:tab w:val="left" w:pos="2700"/>
        </w:tabs>
        <w:spacing w:line="48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3-2、成交人确定后，</w:t>
      </w:r>
      <w:r>
        <w:rPr>
          <w:rFonts w:hint="eastAsia" w:ascii="黑体" w:hAnsi="黑体" w:eastAsia="黑体" w:cs="黑体"/>
          <w:color w:val="auto"/>
          <w:sz w:val="24"/>
          <w:szCs w:val="24"/>
          <w:lang w:val="en-US" w:eastAsia="zh-CN"/>
        </w:rPr>
        <w:t>采购</w:t>
      </w:r>
      <w:r>
        <w:rPr>
          <w:rFonts w:hint="eastAsia" w:ascii="黑体" w:hAnsi="黑体" w:eastAsia="黑体" w:cs="黑体"/>
          <w:color w:val="auto"/>
          <w:sz w:val="24"/>
          <w:szCs w:val="24"/>
        </w:rPr>
        <w:t>人和</w:t>
      </w:r>
      <w:r>
        <w:rPr>
          <w:rFonts w:hint="eastAsia" w:ascii="黑体" w:hAnsi="黑体" w:eastAsia="黑体" w:cs="黑体"/>
          <w:color w:val="auto"/>
          <w:sz w:val="24"/>
          <w:szCs w:val="24"/>
          <w:lang w:val="en-US" w:eastAsia="zh-CN"/>
        </w:rPr>
        <w:t>采购</w:t>
      </w:r>
      <w:r>
        <w:rPr>
          <w:rFonts w:hint="eastAsia" w:ascii="黑体" w:hAnsi="黑体" w:eastAsia="黑体" w:cs="黑体"/>
          <w:color w:val="auto"/>
          <w:sz w:val="24"/>
          <w:szCs w:val="24"/>
        </w:rPr>
        <w:t>代理机构对未成交原因不作任何解释，</w:t>
      </w:r>
    </w:p>
    <w:p>
      <w:pPr>
        <w:spacing w:line="480" w:lineRule="exact"/>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4、磋商无效的情形：</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4-1、未按照磋商文件的规定提交磋商保证金的；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4-2、磋商响应文件未按磋商文件要求签署、盖章的；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4-3、不具备磋商文件中规定的资格要求的；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4-4、报价超过磋商文件中规定的预算金额的；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4-5、磋商响应文件含有采购人不能接受的附加条件的；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4-6、提供虚假材料谋取成交的；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4-7、采取不正当手段诋毁、排挤其他供应商的；</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4-8、法律、法规和磋商文件规定的其他无效情形。</w:t>
      </w:r>
    </w:p>
    <w:p>
      <w:pPr>
        <w:spacing w:line="480" w:lineRule="exact"/>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5、成交通知书</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5-1、成交通知书由采购代理机构向成交人发出，成交供应商应在接到采购代理机构通知之日起七日内领取成交通知书。未在规定时间内领取成交通知书的，磋商保证金不予退还。</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5-2、成交通知书发出后，采购人不得违法改变成交结果，成交人无正当理由不得</w:t>
      </w:r>
      <w:r>
        <w:rPr>
          <w:rFonts w:hint="eastAsia" w:ascii="黑体" w:hAnsi="黑体" w:eastAsia="黑体" w:cs="黑体"/>
          <w:color w:val="auto"/>
          <w:sz w:val="24"/>
          <w:szCs w:val="24"/>
          <w:highlight w:val="none"/>
          <w:lang w:eastAsia="zh-CN"/>
        </w:rPr>
        <w:t>放</w:t>
      </w:r>
      <w:r>
        <w:rPr>
          <w:rFonts w:hint="eastAsia" w:ascii="黑体" w:hAnsi="黑体" w:eastAsia="黑体" w:cs="黑体"/>
          <w:color w:val="auto"/>
          <w:sz w:val="24"/>
          <w:szCs w:val="24"/>
          <w:highlight w:val="none"/>
        </w:rPr>
        <w:t>弃成交。</w:t>
      </w:r>
    </w:p>
    <w:p>
      <w:pPr>
        <w:pStyle w:val="2"/>
        <w:spacing w:before="0" w:after="0" w:line="480" w:lineRule="exact"/>
        <w:rPr>
          <w:rFonts w:hint="eastAsia" w:ascii="黑体" w:hAnsi="黑体" w:eastAsia="黑体" w:cs="黑体"/>
          <w:color w:val="auto"/>
          <w:sz w:val="24"/>
          <w:szCs w:val="24"/>
          <w:highlight w:val="none"/>
        </w:rPr>
      </w:pPr>
      <w:bookmarkStart w:id="28" w:name="_Toc7453879"/>
      <w:r>
        <w:rPr>
          <w:rFonts w:hint="eastAsia" w:ascii="黑体" w:hAnsi="黑体" w:eastAsia="黑体" w:cs="黑体"/>
          <w:color w:val="auto"/>
          <w:sz w:val="24"/>
          <w:szCs w:val="24"/>
          <w:highlight w:val="none"/>
          <w:lang w:eastAsia="zh-CN"/>
        </w:rPr>
        <w:t>八</w:t>
      </w:r>
      <w:r>
        <w:rPr>
          <w:rFonts w:hint="eastAsia" w:ascii="黑体" w:hAnsi="黑体" w:eastAsia="黑体" w:cs="黑体"/>
          <w:color w:val="auto"/>
          <w:sz w:val="24"/>
          <w:szCs w:val="24"/>
          <w:highlight w:val="none"/>
        </w:rPr>
        <w:t>、合同</w:t>
      </w:r>
      <w:bookmarkEnd w:id="28"/>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成交供应商在收到成交通知书后三十（30）个日历日内，应按竞争性磋商文件的要求与采购人签订合同。成交供应商因自身原因不按规定与采购人签订合同，则采购人将废除授标，磋商保证金不予退还。给采购人造成损失超过磋商保证金额的，还应当对超过部分予以赔偿，并依法承担相应法律责任；</w:t>
      </w:r>
    </w:p>
    <w:p>
      <w:pPr>
        <w:adjustRightInd w:val="0"/>
        <w:snapToGrid w:val="0"/>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成交供应商因不可抗力或者自身原因不能履行政府采购合同的，采购人可以与排位在成交供应商之后第一位的成交候选供应商签订政府采购合同，以此类推，也可以重新开展采购活动。因自身原因拒绝签订采购合同的或者未按合同约定进行履约的，成交人不得参加对该项目重新开展的招标活动。</w:t>
      </w:r>
    </w:p>
    <w:p>
      <w:pPr>
        <w:adjustRightInd w:val="0"/>
        <w:snapToGrid w:val="0"/>
        <w:spacing w:line="480" w:lineRule="exact"/>
        <w:ind w:firstLine="480" w:firstLineChars="200"/>
        <w:rPr>
          <w:rFonts w:hint="eastAsia" w:ascii="黑体" w:hAnsi="黑体" w:eastAsia="黑体" w:cs="黑体"/>
          <w:b/>
          <w:color w:val="auto"/>
          <w:sz w:val="24"/>
          <w:szCs w:val="24"/>
          <w:highlight w:val="none"/>
        </w:rPr>
      </w:pPr>
      <w:r>
        <w:rPr>
          <w:rFonts w:hint="eastAsia" w:ascii="黑体" w:hAnsi="黑体" w:eastAsia="黑体" w:cs="黑体"/>
          <w:color w:val="auto"/>
          <w:sz w:val="24"/>
          <w:szCs w:val="24"/>
          <w:highlight w:val="none"/>
        </w:rPr>
        <w:t>3、成交通知书将是合同的重要组成部分。竞争性磋商文件、成交供应商的竞争性磋商响应文件及评议过程中有关的澄清文件均作为合同附件。</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4、成交后，成交人应按照合同约定履行义务，完成</w:t>
      </w:r>
      <w:r>
        <w:rPr>
          <w:rFonts w:hint="eastAsia" w:ascii="黑体" w:hAnsi="黑体" w:eastAsia="黑体" w:cs="黑体"/>
          <w:color w:val="auto"/>
          <w:sz w:val="24"/>
          <w:szCs w:val="24"/>
          <w:highlight w:val="none"/>
          <w:lang w:eastAsia="zh-CN"/>
        </w:rPr>
        <w:t>磋商</w:t>
      </w:r>
      <w:r>
        <w:rPr>
          <w:rFonts w:hint="eastAsia" w:ascii="黑体" w:hAnsi="黑体" w:eastAsia="黑体" w:cs="黑体"/>
          <w:color w:val="auto"/>
          <w:sz w:val="24"/>
          <w:szCs w:val="24"/>
          <w:highlight w:val="none"/>
        </w:rPr>
        <w:t>项目的</w:t>
      </w:r>
      <w:r>
        <w:rPr>
          <w:rFonts w:hint="eastAsia" w:ascii="黑体" w:hAnsi="黑体" w:eastAsia="黑体" w:cs="黑体"/>
          <w:color w:val="auto"/>
          <w:sz w:val="24"/>
          <w:szCs w:val="24"/>
          <w:highlight w:val="none"/>
          <w:lang w:eastAsia="zh-CN"/>
        </w:rPr>
        <w:t>供货</w:t>
      </w:r>
      <w:r>
        <w:rPr>
          <w:rFonts w:hint="eastAsia" w:ascii="黑体" w:hAnsi="黑体" w:eastAsia="黑体" w:cs="黑体"/>
          <w:color w:val="auto"/>
          <w:sz w:val="24"/>
          <w:szCs w:val="24"/>
          <w:highlight w:val="none"/>
        </w:rPr>
        <w:t>。成交人不得向他人转让成交项目，也不得将成交项目肢解后分别向他人转让。成交人按照合同约定或者经采购人同意，成交人可以将成交项目的部分非主体、非关键性工作分包给他人完成。接受分包的供应商应当具备相应的资格条件，并不得再次分包。分包履行的，成交人就采购项目和分包项目向采购人负责，分包供应商就分包项目承担责任。中小企业根据《</w:t>
      </w:r>
      <w:r>
        <w:rPr>
          <w:rFonts w:hint="eastAsia" w:ascii="黑体" w:hAnsi="黑体" w:eastAsia="黑体" w:cs="黑体"/>
          <w:color w:val="auto"/>
          <w:sz w:val="24"/>
          <w:szCs w:val="24"/>
          <w:highlight w:val="none"/>
          <w:lang w:eastAsia="zh-CN"/>
        </w:rPr>
        <w:t>政府采购促进中小企业发展管理办法</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eastAsia="zh-CN"/>
        </w:rPr>
        <w:t>财库(2020)46号</w:t>
      </w:r>
      <w:r>
        <w:rPr>
          <w:rFonts w:hint="eastAsia" w:ascii="黑体" w:hAnsi="黑体" w:eastAsia="黑体" w:cs="黑体"/>
          <w:color w:val="auto"/>
          <w:sz w:val="24"/>
          <w:szCs w:val="24"/>
          <w:highlight w:val="none"/>
        </w:rPr>
        <w:t>）规定的政策获取政府采购合同后，小型、微型企业不得分包或转包给大型、中型企业，中型企业不得分包或转包给大型企业。</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5、所签订的合同不得对磋商文件确定的事项和成交人磋商响应文件作实质性修改。</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6、采购人需追加与合同标的相同的</w:t>
      </w:r>
      <w:r>
        <w:rPr>
          <w:rFonts w:hint="eastAsia" w:ascii="黑体" w:hAnsi="黑体" w:eastAsia="黑体" w:cs="黑体"/>
          <w:color w:val="auto"/>
          <w:sz w:val="24"/>
          <w:szCs w:val="24"/>
          <w:highlight w:val="none"/>
          <w:lang w:eastAsia="zh-CN"/>
        </w:rPr>
        <w:t>货物</w:t>
      </w:r>
      <w:r>
        <w:rPr>
          <w:rFonts w:hint="eastAsia" w:ascii="黑体" w:hAnsi="黑体" w:eastAsia="黑体" w:cs="黑体"/>
          <w:color w:val="auto"/>
          <w:sz w:val="24"/>
          <w:szCs w:val="24"/>
          <w:highlight w:val="none"/>
        </w:rPr>
        <w:t>，在不改变合同其他条款的前提下，可以与供应商协商签订补充合同，但所有补充合同的采购金额不得超过原合同采购金额的百分之十。</w:t>
      </w:r>
    </w:p>
    <w:p>
      <w:pPr>
        <w:pStyle w:val="2"/>
        <w:spacing w:before="0" w:after="0" w:line="480" w:lineRule="exact"/>
        <w:rPr>
          <w:rFonts w:hint="eastAsia" w:ascii="黑体" w:hAnsi="黑体" w:eastAsia="黑体" w:cs="黑体"/>
          <w:color w:val="auto"/>
          <w:kern w:val="0"/>
          <w:sz w:val="24"/>
          <w:szCs w:val="24"/>
          <w:highlight w:val="none"/>
        </w:rPr>
      </w:pPr>
      <w:bookmarkStart w:id="29" w:name="_Toc7453880"/>
      <w:bookmarkStart w:id="30" w:name="_Toc493074178"/>
      <w:bookmarkStart w:id="31" w:name="_Toc493247321"/>
      <w:r>
        <w:rPr>
          <w:rFonts w:hint="eastAsia" w:ascii="黑体" w:hAnsi="黑体" w:eastAsia="黑体" w:cs="黑体"/>
          <w:color w:val="auto"/>
          <w:kern w:val="0"/>
          <w:sz w:val="24"/>
          <w:szCs w:val="24"/>
          <w:highlight w:val="none"/>
          <w:lang w:eastAsia="zh-CN"/>
        </w:rPr>
        <w:t>九</w:t>
      </w:r>
      <w:r>
        <w:rPr>
          <w:rFonts w:hint="eastAsia" w:ascii="黑体" w:hAnsi="黑体" w:eastAsia="黑体" w:cs="黑体"/>
          <w:color w:val="auto"/>
          <w:kern w:val="0"/>
          <w:sz w:val="24"/>
          <w:szCs w:val="24"/>
          <w:highlight w:val="none"/>
        </w:rPr>
        <w:t>、合同的履约</w:t>
      </w:r>
      <w:bookmarkEnd w:id="29"/>
      <w:bookmarkEnd w:id="30"/>
      <w:bookmarkEnd w:id="31"/>
    </w:p>
    <w:p>
      <w:pPr>
        <w:spacing w:line="480" w:lineRule="exact"/>
        <w:ind w:firstLine="480" w:firstLineChars="200"/>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lang w:val="en-US" w:eastAsia="zh-CN"/>
        </w:rPr>
        <w:t>1</w:t>
      </w:r>
      <w:r>
        <w:rPr>
          <w:rFonts w:hint="eastAsia" w:ascii="黑体" w:hAnsi="黑体" w:eastAsia="黑体" w:cs="黑体"/>
          <w:color w:val="auto"/>
          <w:kern w:val="0"/>
          <w:sz w:val="24"/>
          <w:szCs w:val="24"/>
          <w:highlight w:val="none"/>
        </w:rPr>
        <w:t>、确定成交单位后，成交供应商因自身原因未按程序签订合同，采购人将取消其成交资格，同时报请监督机构备案，没收其保证金。在此情况下，采购人可按评审结果顺序将合同授予下一成交候选人或重新采购。</w:t>
      </w:r>
    </w:p>
    <w:p>
      <w:pPr>
        <w:spacing w:line="480" w:lineRule="exact"/>
        <w:ind w:firstLine="480" w:firstLineChars="200"/>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lang w:val="en-US" w:eastAsia="zh-CN"/>
        </w:rPr>
        <w:t>2</w:t>
      </w:r>
      <w:r>
        <w:rPr>
          <w:rFonts w:hint="eastAsia" w:ascii="黑体" w:hAnsi="黑体" w:eastAsia="黑体" w:cs="黑体"/>
          <w:color w:val="auto"/>
          <w:kern w:val="0"/>
          <w:sz w:val="24"/>
          <w:szCs w:val="24"/>
          <w:highlight w:val="none"/>
        </w:rPr>
        <w:t>、成交供应商签订合同后，持合同到采购代理机构办理保证金退付手续。</w:t>
      </w:r>
    </w:p>
    <w:p>
      <w:pPr>
        <w:pStyle w:val="2"/>
        <w:spacing w:before="0" w:after="0" w:line="480" w:lineRule="exact"/>
        <w:rPr>
          <w:rFonts w:hint="eastAsia" w:ascii="黑体" w:hAnsi="黑体" w:eastAsia="黑体" w:cs="黑体"/>
          <w:color w:val="auto"/>
          <w:sz w:val="24"/>
          <w:szCs w:val="24"/>
          <w:highlight w:val="none"/>
        </w:rPr>
      </w:pPr>
      <w:bookmarkStart w:id="32" w:name="_Toc7453881"/>
      <w:r>
        <w:rPr>
          <w:rFonts w:hint="eastAsia" w:ascii="黑体" w:hAnsi="黑体" w:eastAsia="黑体" w:cs="黑体"/>
          <w:color w:val="auto"/>
          <w:sz w:val="24"/>
          <w:szCs w:val="24"/>
          <w:highlight w:val="none"/>
        </w:rPr>
        <w:t>十、招标服务费</w:t>
      </w:r>
      <w:bookmarkEnd w:id="32"/>
    </w:p>
    <w:p>
      <w:pPr>
        <w:spacing w:line="480" w:lineRule="exact"/>
        <w:ind w:firstLine="480" w:firstLineChars="200"/>
        <w:rPr>
          <w:rFonts w:hint="eastAsia" w:ascii="黑体" w:hAnsi="黑体" w:eastAsia="黑体" w:cs="黑体"/>
          <w:color w:val="auto"/>
          <w:kern w:val="0"/>
          <w:sz w:val="24"/>
          <w:szCs w:val="24"/>
          <w:highlight w:val="none"/>
        </w:rPr>
      </w:pPr>
      <w:bookmarkStart w:id="33" w:name="_Toc494556652"/>
      <w:bookmarkStart w:id="34" w:name="_Toc458848826"/>
      <w:bookmarkStart w:id="35" w:name="_Toc458848741"/>
      <w:bookmarkStart w:id="36" w:name="_Toc7453882"/>
      <w:bookmarkStart w:id="37" w:name="_Toc458848827"/>
      <w:bookmarkStart w:id="38" w:name="_Toc458848742"/>
      <w:bookmarkStart w:id="39" w:name="_Toc493247324"/>
      <w:r>
        <w:rPr>
          <w:rFonts w:hint="eastAsia" w:ascii="黑体" w:hAnsi="黑体" w:eastAsia="黑体" w:cs="黑体"/>
          <w:color w:val="auto"/>
          <w:kern w:val="0"/>
          <w:sz w:val="24"/>
          <w:szCs w:val="24"/>
          <w:highlight w:val="none"/>
          <w:lang w:val="en-US" w:eastAsia="zh-CN"/>
        </w:rPr>
        <w:t>1.依据国家计委关于印发《招标代理服务费管理暂行办法》的通知《招标代理服务费管理暂行办法》（计价格【2002】1980号）和国家发展改革委员会办公厅颁布的《关于招标代理服务收费的有关问题的通知》（发改办价格【2003】857号）的标准下浮10%计取，</w:t>
      </w:r>
      <w:r>
        <w:rPr>
          <w:rFonts w:hint="eastAsia" w:ascii="黑体" w:hAnsi="黑体" w:eastAsia="黑体" w:cs="黑体"/>
          <w:color w:val="auto"/>
          <w:kern w:val="0"/>
          <w:sz w:val="24"/>
          <w:szCs w:val="24"/>
          <w:highlight w:val="none"/>
          <w:lang w:eastAsia="zh-CN"/>
        </w:rPr>
        <w:t>在本采购</w:t>
      </w:r>
      <w:r>
        <w:rPr>
          <w:rFonts w:hint="eastAsia" w:ascii="黑体" w:hAnsi="黑体" w:eastAsia="黑体" w:cs="黑体"/>
          <w:color w:val="auto"/>
          <w:kern w:val="0"/>
          <w:sz w:val="24"/>
          <w:szCs w:val="24"/>
          <w:highlight w:val="none"/>
        </w:rPr>
        <w:t>项目</w:t>
      </w:r>
      <w:r>
        <w:rPr>
          <w:rFonts w:hint="eastAsia" w:ascii="黑体" w:hAnsi="黑体" w:eastAsia="黑体" w:cs="黑体"/>
          <w:color w:val="auto"/>
          <w:kern w:val="0"/>
          <w:sz w:val="24"/>
          <w:szCs w:val="24"/>
          <w:highlight w:val="none"/>
          <w:lang w:eastAsia="zh-CN"/>
        </w:rPr>
        <w:t>成交</w:t>
      </w:r>
      <w:r>
        <w:rPr>
          <w:rFonts w:hint="eastAsia" w:ascii="黑体" w:hAnsi="黑体" w:eastAsia="黑体" w:cs="黑体"/>
          <w:color w:val="auto"/>
          <w:kern w:val="0"/>
          <w:sz w:val="24"/>
          <w:szCs w:val="24"/>
          <w:highlight w:val="none"/>
        </w:rPr>
        <w:t>结果公示期满后七日内,由</w:t>
      </w:r>
      <w:r>
        <w:rPr>
          <w:rFonts w:hint="eastAsia" w:ascii="黑体" w:hAnsi="黑体" w:eastAsia="黑体" w:cs="黑体"/>
          <w:color w:val="auto"/>
          <w:kern w:val="0"/>
          <w:sz w:val="24"/>
          <w:szCs w:val="24"/>
          <w:highlight w:val="none"/>
          <w:lang w:eastAsia="zh-CN"/>
        </w:rPr>
        <w:t>成交</w:t>
      </w:r>
      <w:r>
        <w:rPr>
          <w:rFonts w:hint="eastAsia" w:ascii="黑体" w:hAnsi="黑体" w:eastAsia="黑体" w:cs="黑体"/>
          <w:color w:val="auto"/>
          <w:kern w:val="0"/>
          <w:sz w:val="24"/>
          <w:szCs w:val="24"/>
          <w:highlight w:val="none"/>
        </w:rPr>
        <w:t>单位一次性向采购代理机构缴纳服务费。该项费用</w:t>
      </w:r>
      <w:r>
        <w:rPr>
          <w:rFonts w:hint="eastAsia" w:ascii="黑体" w:hAnsi="黑体" w:eastAsia="黑体" w:cs="黑体"/>
          <w:color w:val="auto"/>
          <w:kern w:val="0"/>
          <w:sz w:val="24"/>
          <w:szCs w:val="24"/>
          <w:highlight w:val="none"/>
          <w:lang w:eastAsia="zh-CN"/>
        </w:rPr>
        <w:t>成交</w:t>
      </w:r>
      <w:r>
        <w:rPr>
          <w:rFonts w:hint="eastAsia" w:ascii="黑体" w:hAnsi="黑体" w:eastAsia="黑体" w:cs="黑体"/>
          <w:color w:val="auto"/>
          <w:kern w:val="0"/>
          <w:sz w:val="24"/>
          <w:szCs w:val="24"/>
          <w:highlight w:val="none"/>
        </w:rPr>
        <w:t>人应充分考虑并包含在</w:t>
      </w:r>
      <w:r>
        <w:rPr>
          <w:rFonts w:hint="eastAsia" w:ascii="黑体" w:hAnsi="黑体" w:eastAsia="黑体" w:cs="黑体"/>
          <w:color w:val="auto"/>
          <w:kern w:val="0"/>
          <w:sz w:val="24"/>
          <w:szCs w:val="24"/>
          <w:highlight w:val="none"/>
          <w:lang w:eastAsia="zh-CN"/>
        </w:rPr>
        <w:t>磋商</w:t>
      </w:r>
      <w:r>
        <w:rPr>
          <w:rFonts w:hint="eastAsia" w:ascii="黑体" w:hAnsi="黑体" w:eastAsia="黑体" w:cs="黑体"/>
          <w:color w:val="auto"/>
          <w:kern w:val="0"/>
          <w:sz w:val="24"/>
          <w:szCs w:val="24"/>
          <w:highlight w:val="none"/>
        </w:rPr>
        <w:t>报价内，采购人不再单独列项支付。</w:t>
      </w:r>
    </w:p>
    <w:p>
      <w:pPr>
        <w:spacing w:line="480" w:lineRule="exact"/>
        <w:ind w:firstLine="480" w:firstLineChars="200"/>
        <w:rPr>
          <w:rFonts w:hint="eastAsia" w:ascii="黑体" w:hAnsi="黑体" w:eastAsia="黑体" w:cs="黑体"/>
          <w:color w:val="auto"/>
          <w:kern w:val="0"/>
          <w:sz w:val="24"/>
          <w:szCs w:val="24"/>
          <w:highlight w:val="none"/>
          <w:lang w:val="en-US" w:eastAsia="zh-CN"/>
        </w:rPr>
      </w:pPr>
      <w:r>
        <w:rPr>
          <w:rFonts w:hint="eastAsia" w:ascii="黑体" w:hAnsi="黑体" w:eastAsia="黑体" w:cs="黑体"/>
          <w:color w:val="auto"/>
          <w:kern w:val="0"/>
          <w:sz w:val="24"/>
          <w:szCs w:val="24"/>
          <w:highlight w:val="none"/>
          <w:lang w:val="en-US" w:eastAsia="zh-CN"/>
        </w:rPr>
        <w:t>2.本项目专家评审费在本项目成交结果公示期满后七日内,由成交单位一次性向采购代理机构缴纳，采购人不再单独列项支付。</w:t>
      </w:r>
    </w:p>
    <w:p>
      <w:pPr>
        <w:pStyle w:val="2"/>
        <w:spacing w:before="0" w:after="0" w:line="480" w:lineRule="exac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十</w:t>
      </w:r>
      <w:r>
        <w:rPr>
          <w:rFonts w:hint="eastAsia" w:ascii="黑体" w:hAnsi="黑体" w:eastAsia="黑体" w:cs="黑体"/>
          <w:color w:val="auto"/>
          <w:sz w:val="24"/>
          <w:szCs w:val="24"/>
          <w:highlight w:val="none"/>
          <w:lang w:eastAsia="zh-CN"/>
        </w:rPr>
        <w:t>一</w:t>
      </w:r>
      <w:r>
        <w:rPr>
          <w:rFonts w:hint="eastAsia" w:ascii="黑体" w:hAnsi="黑体" w:eastAsia="黑体" w:cs="黑体"/>
          <w:color w:val="auto"/>
          <w:sz w:val="24"/>
          <w:szCs w:val="24"/>
          <w:highlight w:val="none"/>
        </w:rPr>
        <w:t>、</w:t>
      </w:r>
      <w:bookmarkEnd w:id="33"/>
      <w:bookmarkEnd w:id="34"/>
      <w:bookmarkEnd w:id="35"/>
      <w:r>
        <w:rPr>
          <w:rFonts w:hint="eastAsia" w:ascii="黑体" w:hAnsi="黑体" w:eastAsia="黑体" w:cs="黑体"/>
          <w:color w:val="auto"/>
          <w:sz w:val="24"/>
          <w:szCs w:val="24"/>
          <w:highlight w:val="none"/>
        </w:rPr>
        <w:t>重新开展采购活动</w:t>
      </w:r>
      <w:bookmarkEnd w:id="36"/>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如果发生下列情况之一的，采购人或采购代理机构将按《政府采购竞争性磋商采购方式管理暂行办法》等有关规定终止竞争性磋商采购活动，发布项目终止公告并说明原因，重新开展采购活动：</w:t>
      </w:r>
    </w:p>
    <w:p>
      <w:pPr>
        <w:spacing w:line="480" w:lineRule="exact"/>
        <w:ind w:firstLine="240" w:firstLineChars="1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（1）因情况变化，不再符合规定的竞争性磋商采购方式适用情形的；</w:t>
      </w:r>
    </w:p>
    <w:p>
      <w:pPr>
        <w:spacing w:line="480" w:lineRule="exact"/>
        <w:ind w:firstLine="240" w:firstLineChars="1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（2）出现影响采购公正的违法、违规行为的；</w:t>
      </w:r>
    </w:p>
    <w:p>
      <w:pPr>
        <w:spacing w:line="480" w:lineRule="exact"/>
        <w:ind w:firstLine="240" w:firstLineChars="1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（3）磋商小组三分之二以上的专家认定所有磋商报价存在价格不实的现象；</w:t>
      </w:r>
    </w:p>
    <w:p>
      <w:pPr>
        <w:spacing w:line="480" w:lineRule="exact"/>
        <w:ind w:firstLine="240" w:firstLineChars="1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除《政府采购竞争性磋商采购方式管理暂行办法》（财库〔2014〕214号）除本办法第二十一条第三款规定及《财政部关于政府采购竞争性磋商采购方式管理暂行办法有关问题的补充通知》（财库〔2015〕124号）规定的情形外，在采购过程中符合要求的供应商或者报价未超过采购预算的供应商不足3家的。</w:t>
      </w:r>
    </w:p>
    <w:p>
      <w:pPr>
        <w:pStyle w:val="2"/>
        <w:spacing w:before="0" w:after="0" w:line="480" w:lineRule="exact"/>
        <w:rPr>
          <w:rFonts w:hint="eastAsia" w:ascii="黑体" w:hAnsi="黑体" w:eastAsia="黑体" w:cs="黑体"/>
          <w:color w:val="auto"/>
          <w:sz w:val="24"/>
          <w:szCs w:val="24"/>
          <w:highlight w:val="none"/>
        </w:rPr>
      </w:pPr>
      <w:bookmarkStart w:id="40" w:name="_Toc7453883"/>
      <w:r>
        <w:rPr>
          <w:rFonts w:hint="eastAsia" w:ascii="黑体" w:hAnsi="黑体" w:eastAsia="黑体" w:cs="黑体"/>
          <w:color w:val="auto"/>
          <w:sz w:val="24"/>
          <w:szCs w:val="24"/>
          <w:highlight w:val="none"/>
        </w:rPr>
        <w:t>十</w:t>
      </w:r>
      <w:r>
        <w:rPr>
          <w:rFonts w:hint="eastAsia" w:ascii="黑体" w:hAnsi="黑体" w:eastAsia="黑体" w:cs="黑体"/>
          <w:color w:val="auto"/>
          <w:sz w:val="24"/>
          <w:szCs w:val="24"/>
          <w:highlight w:val="none"/>
          <w:lang w:eastAsia="zh-CN"/>
        </w:rPr>
        <w:t>二</w:t>
      </w:r>
      <w:r>
        <w:rPr>
          <w:rFonts w:hint="eastAsia" w:ascii="黑体" w:hAnsi="黑体" w:eastAsia="黑体" w:cs="黑体"/>
          <w:color w:val="auto"/>
          <w:sz w:val="24"/>
          <w:szCs w:val="24"/>
          <w:highlight w:val="none"/>
        </w:rPr>
        <w:t>、询问、质疑与投诉</w:t>
      </w:r>
      <w:bookmarkEnd w:id="37"/>
      <w:bookmarkEnd w:id="38"/>
      <w:bookmarkEnd w:id="39"/>
      <w:bookmarkEnd w:id="40"/>
    </w:p>
    <w:p>
      <w:pPr>
        <w:spacing w:line="520" w:lineRule="exact"/>
        <w:ind w:firstLine="480" w:firstLineChars="200"/>
        <w:rPr>
          <w:rFonts w:hint="eastAsia" w:ascii="黑体" w:hAnsi="黑体" w:eastAsia="黑体" w:cs="黑体"/>
          <w:color w:val="auto"/>
          <w:sz w:val="24"/>
          <w:szCs w:val="24"/>
          <w:highlight w:val="none"/>
        </w:rPr>
      </w:pPr>
      <w:bookmarkStart w:id="41" w:name="_Toc458848743"/>
      <w:bookmarkStart w:id="42" w:name="_Toc7453884"/>
      <w:bookmarkStart w:id="43" w:name="_Toc493247325"/>
      <w:bookmarkStart w:id="44" w:name="_Toc458848828"/>
      <w:r>
        <w:rPr>
          <w:rFonts w:hint="eastAsia" w:ascii="黑体" w:hAnsi="黑体" w:eastAsia="黑体" w:cs="黑体"/>
          <w:color w:val="auto"/>
          <w:sz w:val="24"/>
          <w:szCs w:val="24"/>
          <w:highlight w:val="none"/>
        </w:rPr>
        <w:t>1.询问</w:t>
      </w:r>
    </w:p>
    <w:p>
      <w:pPr>
        <w:spacing w:line="520" w:lineRule="exact"/>
        <w:ind w:firstLine="480" w:firstLineChars="200"/>
        <w:rPr>
          <w:rFonts w:hint="eastAsia" w:ascii="黑体" w:hAnsi="黑体" w:eastAsia="黑体" w:cs="黑体"/>
          <w:color w:val="auto"/>
          <w:sz w:val="24"/>
          <w:szCs w:val="22"/>
          <w:highlight w:val="none"/>
        </w:rPr>
      </w:pPr>
      <w:r>
        <w:rPr>
          <w:rFonts w:hint="eastAsia" w:ascii="黑体" w:hAnsi="黑体" w:eastAsia="黑体" w:cs="黑体"/>
          <w:color w:val="auto"/>
          <w:sz w:val="24"/>
          <w:szCs w:val="22"/>
          <w:highlight w:val="none"/>
        </w:rPr>
        <w:t>供应商对政府采购活动事项有疑问的，可以向采购代理机构或采购人提出询问。采购代理机构或采购人将在3个工作日内对投标供应商依法提出的询问作出答复。</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2"/>
          <w:highlight w:val="none"/>
        </w:rPr>
        <w:t>供应商</w:t>
      </w:r>
      <w:r>
        <w:rPr>
          <w:rFonts w:hint="eastAsia" w:ascii="黑体" w:hAnsi="黑体" w:eastAsia="黑体" w:cs="黑体"/>
          <w:color w:val="auto"/>
          <w:sz w:val="24"/>
          <w:szCs w:val="24"/>
          <w:highlight w:val="none"/>
        </w:rPr>
        <w:t>提出的询问超出采购人对采购代理机构委托授权范围的，采购代理机构将告知</w:t>
      </w:r>
      <w:r>
        <w:rPr>
          <w:rFonts w:hint="eastAsia" w:ascii="黑体" w:hAnsi="黑体" w:eastAsia="黑体" w:cs="黑体"/>
          <w:color w:val="auto"/>
          <w:sz w:val="24"/>
          <w:szCs w:val="22"/>
          <w:highlight w:val="none"/>
        </w:rPr>
        <w:t>投标供应商</w:t>
      </w:r>
      <w:r>
        <w:rPr>
          <w:rFonts w:hint="eastAsia" w:ascii="黑体" w:hAnsi="黑体" w:eastAsia="黑体" w:cs="黑体"/>
          <w:color w:val="auto"/>
          <w:sz w:val="24"/>
          <w:szCs w:val="24"/>
          <w:highlight w:val="none"/>
        </w:rPr>
        <w:t>向采购人提出。</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2.质疑和投诉</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2"/>
          <w:highlight w:val="none"/>
        </w:rPr>
        <w:t>供应商</w:t>
      </w:r>
      <w:r>
        <w:rPr>
          <w:rFonts w:hint="eastAsia" w:ascii="黑体" w:hAnsi="黑体" w:eastAsia="黑体" w:cs="黑体"/>
          <w:color w:val="auto"/>
          <w:sz w:val="24"/>
          <w:szCs w:val="24"/>
          <w:highlight w:val="none"/>
        </w:rPr>
        <w:t>认为磋商文件、磋商过程使自身的合法权益受到损害，可以在知道或者应当知道其自身权益收到损害之日起七个工作日，以书面形式（纸质版加盖公章）向采购代理机构或采购人提出质疑。</w:t>
      </w:r>
      <w:r>
        <w:rPr>
          <w:rFonts w:hint="eastAsia" w:ascii="黑体" w:hAnsi="黑体" w:eastAsia="黑体" w:cs="黑体"/>
          <w:color w:val="auto"/>
          <w:sz w:val="24"/>
          <w:szCs w:val="22"/>
          <w:highlight w:val="none"/>
        </w:rPr>
        <w:t>供应商</w:t>
      </w:r>
      <w:r>
        <w:rPr>
          <w:rFonts w:hint="eastAsia" w:ascii="黑体" w:hAnsi="黑体" w:eastAsia="黑体" w:cs="黑体"/>
          <w:color w:val="auto"/>
          <w:sz w:val="24"/>
          <w:szCs w:val="24"/>
          <w:highlight w:val="none"/>
        </w:rPr>
        <w:t>认为磋商结果使自身的合法权益受到损害，可以在磋商结束后7日内前，以书面形式（纸质版加盖公章）向采购代理机构或采购人提出质疑。</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2.1、质疑书应当包括以下主要内容：被质疑项目名称、项目编号、标段、竞争性磋商公告/中标公告发布时间、质疑事项、证据材料、法律依据（具体条款）、质疑人有效联系方式等。</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2.2、质疑书应当由法定代表人签字并加盖公章，公章不得以合同章或其他印章代替。质疑人可以委托代理人办理质疑事项，代理人办理质疑事项时，除提交质疑书外，还应当提交质疑人的授权委托书及代理人的有效身份证明，授权委托书应当载明委托代理的具体权限和事项。</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2.3.有下列情形之一的，属于无效质疑，采购代理机构和采购人不予受理：</w:t>
      </w:r>
    </w:p>
    <w:p>
      <w:pPr>
        <w:spacing w:line="520" w:lineRule="exact"/>
        <w:ind w:firstLine="480" w:firstLineChars="200"/>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（1）质疑人不是参与本次政府采购项目的</w:t>
      </w:r>
      <w:r>
        <w:rPr>
          <w:rFonts w:hint="eastAsia" w:ascii="黑体" w:hAnsi="黑体" w:eastAsia="黑体" w:cs="黑体"/>
          <w:color w:val="auto"/>
          <w:sz w:val="24"/>
          <w:szCs w:val="24"/>
          <w:highlight w:val="none"/>
          <w:lang w:eastAsia="zh-CN"/>
        </w:rPr>
        <w:t>供应商</w:t>
      </w:r>
      <w:r>
        <w:rPr>
          <w:rFonts w:hint="eastAsia" w:ascii="黑体" w:hAnsi="黑体" w:eastAsia="黑体" w:cs="黑体"/>
          <w:color w:val="auto"/>
          <w:sz w:val="24"/>
          <w:szCs w:val="24"/>
          <w:highlight w:val="none"/>
        </w:rPr>
        <w:t>/或潜在</w:t>
      </w:r>
      <w:r>
        <w:rPr>
          <w:rFonts w:hint="eastAsia" w:ascii="黑体" w:hAnsi="黑体" w:eastAsia="黑体" w:cs="黑体"/>
          <w:color w:val="auto"/>
          <w:sz w:val="24"/>
          <w:szCs w:val="24"/>
          <w:highlight w:val="none"/>
          <w:lang w:eastAsia="zh-CN"/>
        </w:rPr>
        <w:t>供应商；</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（2）质疑人与质疑事项不存在利害关系的；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（3）未在法定期限内提出质疑的；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（4）质疑未以书面形式提出，或质疑书主要内容构成不完整的；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（5）质疑书没有合法有效的签字、盖章或授权的；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（6）以非法手段取得证据、材料的；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（7）质疑答复后，同一质疑人就同一事项再次提出质疑的；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（8）不符合法律、法规、规章和监管机构规定的其他条件的。</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2.4、采购代理机构或采购人将在收到书面质疑后7个工作日内做出答复，并以书面形式通知质疑人和其他有关投标单位。</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2.5、质疑人对采购代理机构或采购人的答复不满意，以及采购代理机构或采购人未在规定时间内做出答复的，可以在答复期满后15个工作日内按照《政府采购质疑和投诉办法》（财政部94号令）相关规定向政府采购监管机构提出投诉。投标供应商投诉的事项不得超出已质疑事项的范围。</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2.6、对捏造事实、提供虚假材料进行质疑、投诉的行为予以严肃处理：</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依据《政府采购质疑和投诉办法》（财政部94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2.7、对捏造事实诬告陷害他人、诽谤他人的法律适用：</w:t>
      </w:r>
    </w:p>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bookmarkEnd w:id="41"/>
    <w:bookmarkEnd w:id="42"/>
    <w:bookmarkEnd w:id="43"/>
    <w:bookmarkEnd w:id="44"/>
    <w:p>
      <w:pPr>
        <w:spacing w:line="52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《中华人民共和国刑法》第246条【侮辱罪、诽谤罪】以暴力或者其他方法公然侮辱他人或者捏造事实诽谤他人，情节严重的，处三年以下有期徒刑、拘役、管制或者</w:t>
      </w:r>
      <w:r>
        <w:rPr>
          <w:rFonts w:hint="eastAsia" w:ascii="黑体" w:hAnsi="黑体" w:eastAsia="黑体" w:cs="黑体"/>
          <w:color w:val="auto"/>
          <w:sz w:val="24"/>
          <w:szCs w:val="24"/>
          <w:highlight w:val="none"/>
          <w:lang w:eastAsia="zh-CN"/>
        </w:rPr>
        <w:t>剥</w:t>
      </w:r>
      <w:r>
        <w:rPr>
          <w:rFonts w:hint="eastAsia" w:ascii="黑体" w:hAnsi="黑体" w:eastAsia="黑体" w:cs="黑体"/>
          <w:color w:val="auto"/>
          <w:sz w:val="24"/>
          <w:szCs w:val="24"/>
          <w:highlight w:val="none"/>
        </w:rPr>
        <w:t>夺政治权利。</w:t>
      </w:r>
    </w:p>
    <w:p>
      <w:pPr>
        <w:pStyle w:val="2"/>
        <w:spacing w:before="0" w:after="0" w:line="480" w:lineRule="exac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十</w:t>
      </w:r>
      <w:r>
        <w:rPr>
          <w:rFonts w:hint="eastAsia" w:ascii="黑体" w:hAnsi="黑体" w:eastAsia="黑体" w:cs="黑体"/>
          <w:color w:val="auto"/>
          <w:sz w:val="24"/>
          <w:szCs w:val="24"/>
          <w:highlight w:val="none"/>
          <w:lang w:eastAsia="zh-CN"/>
        </w:rPr>
        <w:t>三</w:t>
      </w:r>
      <w:r>
        <w:rPr>
          <w:rFonts w:hint="eastAsia" w:ascii="黑体" w:hAnsi="黑体" w:eastAsia="黑体" w:cs="黑体"/>
          <w:color w:val="auto"/>
          <w:sz w:val="24"/>
          <w:szCs w:val="24"/>
          <w:highlight w:val="none"/>
        </w:rPr>
        <w:t>、拒绝商业贿赂</w:t>
      </w:r>
    </w:p>
    <w:p>
      <w:pPr>
        <w:spacing w:line="48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1、遵照陕西省财政厅的规定，采购人、采购代理机构、供应商和评审专家在磋商活动中，都要签订相应的《拒绝政府采购领域商业贿赂承诺书》，并对违反承诺的行为承担全部责任。</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rPr>
        <w:t>2、供应商必须填写一份《拒绝政府采购领域商业贿赂承诺书》（附件）并附在磋商响应文</w:t>
      </w:r>
      <w:r>
        <w:rPr>
          <w:rFonts w:hint="eastAsia" w:ascii="黑体" w:hAnsi="黑体" w:eastAsia="黑体" w:cs="黑体"/>
          <w:color w:val="auto"/>
          <w:sz w:val="24"/>
          <w:highlight w:val="none"/>
        </w:rPr>
        <w:t>件中。</w:t>
      </w:r>
    </w:p>
    <w:p>
      <w:pPr>
        <w:pStyle w:val="10"/>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p>
    <w:p>
      <w:pPr>
        <w:pStyle w:val="10"/>
        <w:rPr>
          <w:rFonts w:hint="eastAsia" w:ascii="黑体" w:hAnsi="黑体" w:eastAsia="黑体" w:cs="黑体"/>
          <w:color w:val="auto"/>
          <w:sz w:val="24"/>
          <w:highlight w:val="none"/>
        </w:rPr>
      </w:pPr>
    </w:p>
    <w:p>
      <w:pPr>
        <w:rPr>
          <w:rFonts w:hint="eastAsia" w:ascii="黑体" w:hAnsi="黑体" w:eastAsia="黑体" w:cs="黑体"/>
        </w:rPr>
        <w:sectPr>
          <w:footerReference r:id="rId7" w:type="first"/>
          <w:footerReference r:id="rId6" w:type="default"/>
          <w:pgSz w:w="11849" w:h="16781"/>
          <w:pgMar w:top="1440" w:right="1080" w:bottom="1440" w:left="1080" w:header="720" w:footer="720" w:gutter="0"/>
          <w:pgNumType w:fmt="decimal" w:start="1"/>
          <w:cols w:space="720" w:num="1"/>
          <w:rtlGutter w:val="0"/>
          <w:docGrid w:linePitch="312" w:charSpace="0"/>
        </w:sectPr>
      </w:pPr>
    </w:p>
    <w:p>
      <w:pPr>
        <w:pStyle w:val="3"/>
        <w:numPr>
          <w:ilvl w:val="0"/>
          <w:numId w:val="1"/>
        </w:numPr>
        <w:shd w:val="clear" w:fill="FFFFFF" w:themeFill="background1"/>
        <w:spacing w:before="0" w:after="0"/>
        <w:jc w:val="center"/>
        <w:outlineLvl w:val="0"/>
        <w:rPr>
          <w:rFonts w:hint="eastAsia" w:ascii="黑体" w:hAnsi="黑体" w:eastAsia="黑体" w:cs="黑体"/>
          <w:b/>
          <w:bCs/>
          <w:color w:val="auto"/>
          <w:kern w:val="2"/>
          <w:sz w:val="44"/>
          <w:szCs w:val="44"/>
          <w:highlight w:val="none"/>
          <w:lang w:eastAsia="zh-CN"/>
        </w:rPr>
      </w:pPr>
      <w:r>
        <w:rPr>
          <w:rFonts w:hint="eastAsia" w:ascii="黑体" w:hAnsi="黑体" w:eastAsia="黑体" w:cs="黑体"/>
          <w:b/>
          <w:bCs/>
          <w:color w:val="auto"/>
          <w:kern w:val="2"/>
          <w:sz w:val="44"/>
          <w:szCs w:val="44"/>
          <w:highlight w:val="none"/>
          <w:lang w:val="en-US" w:eastAsia="zh-CN"/>
        </w:rPr>
        <w:t xml:space="preserve"> </w:t>
      </w:r>
      <w:bookmarkStart w:id="45" w:name="_Toc7531"/>
      <w:r>
        <w:rPr>
          <w:rFonts w:hint="eastAsia" w:ascii="黑体" w:hAnsi="黑体" w:eastAsia="黑体" w:cs="黑体"/>
          <w:b/>
          <w:bCs/>
          <w:color w:val="auto"/>
          <w:kern w:val="2"/>
          <w:sz w:val="44"/>
          <w:szCs w:val="44"/>
          <w:highlight w:val="none"/>
          <w:lang w:eastAsia="zh-CN"/>
        </w:rPr>
        <w:t>工程量清单</w:t>
      </w:r>
      <w:bookmarkEnd w:id="45"/>
      <w:bookmarkStart w:id="46" w:name="_Toc7453886"/>
    </w:p>
    <w:p>
      <w:pPr>
        <w:spacing w:before="136" w:line="225" w:lineRule="auto"/>
        <w:jc w:val="center"/>
        <w:rPr>
          <w:rFonts w:hint="eastAsia" w:ascii="黑体" w:hAnsi="黑体" w:eastAsia="黑体" w:cs="黑体"/>
          <w:spacing w:val="6"/>
          <w:sz w:val="36"/>
          <w:szCs w:val="36"/>
        </w:rPr>
      </w:pPr>
      <w:r>
        <w:rPr>
          <w:rFonts w:hint="eastAsia" w:ascii="黑体" w:hAnsi="黑体" w:eastAsia="黑体" w:cs="黑体"/>
          <w:spacing w:val="6"/>
          <w:sz w:val="36"/>
          <w:szCs w:val="36"/>
        </w:rPr>
        <w:t>宝鸡市金台区代家湾小学教学楼室内外粉刷工程</w:t>
      </w:r>
    </w:p>
    <w:p>
      <w:pPr>
        <w:spacing w:before="136" w:line="225" w:lineRule="auto"/>
        <w:ind w:left="3542"/>
        <w:jc w:val="both"/>
        <w:rPr>
          <w:rFonts w:hint="eastAsia" w:ascii="黑体" w:hAnsi="黑体" w:eastAsia="黑体" w:cs="黑体"/>
          <w:sz w:val="36"/>
          <w:szCs w:val="36"/>
        </w:rPr>
      </w:pPr>
      <w:r>
        <w:rPr>
          <w:rFonts w:hint="eastAsia" w:ascii="黑体" w:hAnsi="黑体" w:eastAsia="黑体" w:cs="黑体"/>
          <w:spacing w:val="6"/>
          <w:sz w:val="36"/>
          <w:szCs w:val="36"/>
        </w:rPr>
        <w:t>编制说</w:t>
      </w:r>
      <w:r>
        <w:rPr>
          <w:rFonts w:hint="eastAsia" w:ascii="黑体" w:hAnsi="黑体" w:eastAsia="黑体" w:cs="黑体"/>
          <w:spacing w:val="5"/>
          <w:sz w:val="36"/>
          <w:szCs w:val="36"/>
        </w:rPr>
        <w:t>明</w:t>
      </w:r>
    </w:p>
    <w:p>
      <w:pPr>
        <w:spacing w:before="209" w:line="417" w:lineRule="auto"/>
        <w:ind w:left="22" w:firstLine="498"/>
        <w:rPr>
          <w:rFonts w:hint="eastAsia" w:ascii="黑体" w:hAnsi="黑体" w:eastAsia="黑体" w:cs="黑体"/>
          <w:sz w:val="24"/>
          <w:szCs w:val="24"/>
        </w:rPr>
      </w:pPr>
      <w:r>
        <w:rPr>
          <w:rFonts w:hint="eastAsia" w:ascii="黑体" w:hAnsi="黑体" w:eastAsia="黑体" w:cs="黑体"/>
          <w:spacing w:val="10"/>
          <w:sz w:val="24"/>
          <w:szCs w:val="24"/>
        </w:rPr>
        <w:t>1、</w:t>
      </w:r>
      <w:r>
        <w:rPr>
          <w:rFonts w:hint="eastAsia" w:ascii="黑体" w:hAnsi="黑体" w:eastAsia="黑体" w:cs="黑体"/>
          <w:spacing w:val="9"/>
          <w:sz w:val="24"/>
          <w:szCs w:val="24"/>
        </w:rPr>
        <w:t>依</w:t>
      </w:r>
      <w:r>
        <w:rPr>
          <w:rFonts w:hint="eastAsia" w:ascii="黑体" w:hAnsi="黑体" w:eastAsia="黑体" w:cs="黑体"/>
          <w:spacing w:val="5"/>
          <w:sz w:val="24"/>
          <w:szCs w:val="24"/>
        </w:rPr>
        <w:t>据2009年《陕西省建设工程工程量清单计价规则》、2009年《陕西</w:t>
      </w:r>
      <w:r>
        <w:rPr>
          <w:rFonts w:hint="eastAsia" w:ascii="黑体" w:hAnsi="黑体" w:eastAsia="黑体" w:cs="黑体"/>
          <w:sz w:val="24"/>
          <w:szCs w:val="24"/>
        </w:rPr>
        <w:t xml:space="preserve"> </w:t>
      </w:r>
      <w:r>
        <w:rPr>
          <w:rFonts w:hint="eastAsia" w:ascii="黑体" w:hAnsi="黑体" w:eastAsia="黑体" w:cs="黑体"/>
          <w:spacing w:val="10"/>
          <w:sz w:val="24"/>
          <w:szCs w:val="24"/>
        </w:rPr>
        <w:t>省建设工</w:t>
      </w:r>
      <w:r>
        <w:rPr>
          <w:rFonts w:hint="eastAsia" w:ascii="黑体" w:hAnsi="黑体" w:eastAsia="黑体" w:cs="黑体"/>
          <w:spacing w:val="8"/>
          <w:sz w:val="24"/>
          <w:szCs w:val="24"/>
        </w:rPr>
        <w:t>程</w:t>
      </w:r>
      <w:r>
        <w:rPr>
          <w:rFonts w:hint="eastAsia" w:ascii="黑体" w:hAnsi="黑体" w:eastAsia="黑体" w:cs="黑体"/>
          <w:spacing w:val="5"/>
          <w:sz w:val="24"/>
          <w:szCs w:val="24"/>
        </w:rPr>
        <w:t>工程量清单计价费率》、2009年《陕西省建筑、装饰、安装、市政、</w:t>
      </w:r>
      <w:r>
        <w:rPr>
          <w:rFonts w:hint="eastAsia" w:ascii="黑体" w:hAnsi="黑体" w:eastAsia="黑体" w:cs="黑体"/>
          <w:sz w:val="24"/>
          <w:szCs w:val="24"/>
        </w:rPr>
        <w:t xml:space="preserve"> </w:t>
      </w:r>
      <w:r>
        <w:rPr>
          <w:rFonts w:hint="eastAsia" w:ascii="黑体" w:hAnsi="黑体" w:eastAsia="黑体" w:cs="黑体"/>
          <w:spacing w:val="6"/>
          <w:sz w:val="24"/>
          <w:szCs w:val="24"/>
        </w:rPr>
        <w:t>园林绿化</w:t>
      </w:r>
      <w:r>
        <w:rPr>
          <w:rFonts w:hint="eastAsia" w:ascii="黑体" w:hAnsi="黑体" w:eastAsia="黑体" w:cs="黑体"/>
          <w:spacing w:val="3"/>
          <w:sz w:val="24"/>
          <w:szCs w:val="24"/>
        </w:rPr>
        <w:t>工程价目表》、2009年《陕西省建筑工程施工机械台班价目表》、2009</w:t>
      </w:r>
      <w:r>
        <w:rPr>
          <w:rFonts w:hint="eastAsia" w:ascii="黑体" w:hAnsi="黑体" w:eastAsia="黑体" w:cs="黑体"/>
          <w:spacing w:val="10"/>
          <w:sz w:val="24"/>
          <w:szCs w:val="24"/>
        </w:rPr>
        <w:t>年《陕西省建设工程消耗量定额勘误及补充定额》、2004年《陕西省建筑、</w:t>
      </w:r>
      <w:r>
        <w:rPr>
          <w:rFonts w:hint="eastAsia" w:ascii="黑体" w:hAnsi="黑体" w:eastAsia="黑体" w:cs="黑体"/>
          <w:spacing w:val="2"/>
          <w:sz w:val="24"/>
          <w:szCs w:val="24"/>
        </w:rPr>
        <w:t>装</w:t>
      </w:r>
      <w:r>
        <w:rPr>
          <w:rFonts w:hint="eastAsia" w:ascii="黑体" w:hAnsi="黑体" w:eastAsia="黑体" w:cs="黑体"/>
          <w:spacing w:val="12"/>
          <w:sz w:val="24"/>
          <w:szCs w:val="24"/>
        </w:rPr>
        <w:t>饰</w:t>
      </w:r>
      <w:r>
        <w:rPr>
          <w:rFonts w:hint="eastAsia" w:ascii="黑体" w:hAnsi="黑体" w:eastAsia="黑体" w:cs="黑体"/>
          <w:spacing w:val="7"/>
          <w:sz w:val="24"/>
          <w:szCs w:val="24"/>
        </w:rPr>
        <w:t>工</w:t>
      </w:r>
      <w:r>
        <w:rPr>
          <w:rFonts w:hint="eastAsia" w:ascii="黑体" w:hAnsi="黑体" w:eastAsia="黑体" w:cs="黑体"/>
          <w:spacing w:val="6"/>
          <w:sz w:val="24"/>
          <w:szCs w:val="24"/>
        </w:rPr>
        <w:t>程消耗量定额》、2004年《陕西省安装工程消耗量定额》、2004年《陕西</w:t>
      </w:r>
      <w:r>
        <w:rPr>
          <w:rFonts w:hint="eastAsia" w:ascii="黑体" w:hAnsi="黑体" w:eastAsia="黑体" w:cs="黑体"/>
          <w:spacing w:val="16"/>
          <w:sz w:val="24"/>
          <w:szCs w:val="24"/>
        </w:rPr>
        <w:t>省</w:t>
      </w:r>
      <w:r>
        <w:rPr>
          <w:rFonts w:hint="eastAsia" w:ascii="黑体" w:hAnsi="黑体" w:eastAsia="黑体" w:cs="黑体"/>
          <w:spacing w:val="8"/>
          <w:sz w:val="24"/>
          <w:szCs w:val="24"/>
        </w:rPr>
        <w:t>市政、园林绿化工程消耗量定额》 、陕建发[2017]270号、陕建发[2019]45</w:t>
      </w:r>
      <w:r>
        <w:rPr>
          <w:rFonts w:hint="eastAsia" w:ascii="黑体" w:hAnsi="黑体" w:eastAsia="黑体" w:cs="黑体"/>
          <w:spacing w:val="4"/>
          <w:sz w:val="24"/>
          <w:szCs w:val="24"/>
        </w:rPr>
        <w:t>号、陕建发【2019】1246</w:t>
      </w:r>
      <w:r>
        <w:rPr>
          <w:rFonts w:hint="eastAsia" w:ascii="黑体" w:hAnsi="黑体" w:eastAsia="黑体" w:cs="黑体"/>
          <w:spacing w:val="2"/>
          <w:sz w:val="24"/>
          <w:szCs w:val="24"/>
        </w:rPr>
        <w:t>号、陕建发【2020】1097号、陕建发[2021]1097号文</w:t>
      </w:r>
      <w:r>
        <w:rPr>
          <w:rFonts w:hint="eastAsia" w:ascii="黑体" w:hAnsi="黑体" w:eastAsia="黑体" w:cs="黑体"/>
          <w:spacing w:val="13"/>
          <w:sz w:val="24"/>
          <w:szCs w:val="24"/>
        </w:rPr>
        <w:t>件</w:t>
      </w:r>
      <w:r>
        <w:rPr>
          <w:rFonts w:hint="eastAsia" w:ascii="黑体" w:hAnsi="黑体" w:eastAsia="黑体" w:cs="黑体"/>
          <w:spacing w:val="8"/>
          <w:sz w:val="24"/>
          <w:szCs w:val="24"/>
        </w:rPr>
        <w:t>及其相关配套文件编制。</w:t>
      </w:r>
    </w:p>
    <w:p>
      <w:pPr>
        <w:spacing w:line="417" w:lineRule="auto"/>
        <w:ind w:left="25" w:right="80" w:firstLine="480"/>
        <w:rPr>
          <w:rFonts w:hint="eastAsia" w:ascii="黑体" w:hAnsi="黑体" w:eastAsia="黑体" w:cs="黑体"/>
          <w:sz w:val="24"/>
          <w:szCs w:val="24"/>
        </w:rPr>
      </w:pPr>
      <w:r>
        <w:rPr>
          <w:rFonts w:hint="eastAsia" w:ascii="黑体" w:hAnsi="黑体" w:eastAsia="黑体" w:cs="黑体"/>
          <w:spacing w:val="19"/>
          <w:sz w:val="24"/>
          <w:szCs w:val="24"/>
        </w:rPr>
        <w:t>2</w:t>
      </w:r>
      <w:r>
        <w:rPr>
          <w:rFonts w:hint="eastAsia" w:ascii="黑体" w:hAnsi="黑体" w:eastAsia="黑体" w:cs="黑体"/>
          <w:spacing w:val="10"/>
          <w:sz w:val="24"/>
          <w:szCs w:val="24"/>
        </w:rPr>
        <w:t>、规费执行《陕西省住房和城乡建设厅关于建筑施工安全生产责任保险费</w:t>
      </w:r>
      <w:r>
        <w:rPr>
          <w:rFonts w:hint="eastAsia" w:ascii="黑体" w:hAnsi="黑体" w:eastAsia="黑体" w:cs="黑体"/>
          <w:sz w:val="24"/>
          <w:szCs w:val="24"/>
        </w:rPr>
        <w:t xml:space="preserve"> </w:t>
      </w:r>
      <w:r>
        <w:rPr>
          <w:rFonts w:hint="eastAsia" w:ascii="黑体" w:hAnsi="黑体" w:eastAsia="黑体" w:cs="黑体"/>
          <w:spacing w:val="5"/>
          <w:sz w:val="24"/>
          <w:szCs w:val="24"/>
        </w:rPr>
        <w:t>用计价的通知》陕建发【2020】1097号文件</w:t>
      </w:r>
      <w:r>
        <w:rPr>
          <w:rFonts w:hint="eastAsia" w:ascii="黑体" w:hAnsi="黑体" w:eastAsia="黑体" w:cs="黑体"/>
          <w:spacing w:val="3"/>
          <w:sz w:val="24"/>
          <w:szCs w:val="24"/>
        </w:rPr>
        <w:t>；</w:t>
      </w:r>
    </w:p>
    <w:p>
      <w:pPr>
        <w:spacing w:before="1" w:line="417" w:lineRule="auto"/>
        <w:ind w:left="24" w:right="80" w:firstLine="483"/>
        <w:rPr>
          <w:rFonts w:hint="eastAsia" w:ascii="黑体" w:hAnsi="黑体" w:eastAsia="黑体" w:cs="黑体"/>
          <w:sz w:val="24"/>
          <w:szCs w:val="24"/>
        </w:rPr>
      </w:pPr>
      <w:r>
        <w:rPr>
          <w:rFonts w:hint="eastAsia" w:ascii="黑体" w:hAnsi="黑体" w:eastAsia="黑体" w:cs="黑体"/>
          <w:spacing w:val="14"/>
          <w:sz w:val="24"/>
          <w:szCs w:val="24"/>
        </w:rPr>
        <w:t>3</w:t>
      </w:r>
      <w:r>
        <w:rPr>
          <w:rFonts w:hint="eastAsia" w:ascii="黑体" w:hAnsi="黑体" w:eastAsia="黑体" w:cs="黑体"/>
          <w:spacing w:val="10"/>
          <w:sz w:val="24"/>
          <w:szCs w:val="24"/>
        </w:rPr>
        <w:t>、人工费执行《关于调整房屋建筑和市政基础设施工程工程量清单计价综</w:t>
      </w:r>
      <w:r>
        <w:rPr>
          <w:rFonts w:hint="eastAsia" w:ascii="黑体" w:hAnsi="黑体" w:eastAsia="黑体" w:cs="黑体"/>
          <w:sz w:val="24"/>
          <w:szCs w:val="24"/>
        </w:rPr>
        <w:t xml:space="preserve"> </w:t>
      </w:r>
      <w:r>
        <w:rPr>
          <w:rFonts w:hint="eastAsia" w:ascii="黑体" w:hAnsi="黑体" w:eastAsia="黑体" w:cs="黑体"/>
          <w:spacing w:val="5"/>
          <w:sz w:val="24"/>
          <w:szCs w:val="24"/>
        </w:rPr>
        <w:t>合</w:t>
      </w:r>
      <w:r>
        <w:rPr>
          <w:rFonts w:hint="eastAsia" w:ascii="黑体" w:hAnsi="黑体" w:eastAsia="黑体" w:cs="黑体"/>
          <w:spacing w:val="3"/>
          <w:sz w:val="24"/>
          <w:szCs w:val="24"/>
        </w:rPr>
        <w:t>人工单价的通知》陕建发【2021】1097号文件中规定的综合人工单价 136 元/</w:t>
      </w:r>
      <w:r>
        <w:rPr>
          <w:rFonts w:hint="eastAsia" w:ascii="黑体" w:hAnsi="黑体" w:eastAsia="黑体" w:cs="黑体"/>
          <w:sz w:val="24"/>
          <w:szCs w:val="24"/>
        </w:rPr>
        <w:t xml:space="preserve"> </w:t>
      </w:r>
      <w:r>
        <w:rPr>
          <w:rFonts w:hint="eastAsia" w:ascii="黑体" w:hAnsi="黑体" w:eastAsia="黑体" w:cs="黑体"/>
          <w:spacing w:val="1"/>
          <w:sz w:val="24"/>
          <w:szCs w:val="24"/>
        </w:rPr>
        <w:t>工日，装饰人工单价 146 元/工日。</w:t>
      </w:r>
    </w:p>
    <w:p>
      <w:pPr>
        <w:spacing w:line="418" w:lineRule="auto"/>
        <w:ind w:left="22" w:right="80" w:firstLine="480"/>
        <w:rPr>
          <w:rFonts w:hint="eastAsia" w:ascii="黑体" w:hAnsi="黑体" w:eastAsia="黑体" w:cs="黑体"/>
          <w:sz w:val="24"/>
          <w:szCs w:val="24"/>
        </w:rPr>
      </w:pPr>
      <w:r>
        <w:rPr>
          <w:rFonts w:hint="eastAsia" w:ascii="黑体" w:hAnsi="黑体" w:eastAsia="黑体" w:cs="黑体"/>
          <w:spacing w:val="20"/>
          <w:sz w:val="24"/>
          <w:szCs w:val="24"/>
        </w:rPr>
        <w:t>4</w:t>
      </w:r>
      <w:r>
        <w:rPr>
          <w:rFonts w:hint="eastAsia" w:ascii="黑体" w:hAnsi="黑体" w:eastAsia="黑体" w:cs="黑体"/>
          <w:spacing w:val="12"/>
          <w:sz w:val="24"/>
          <w:szCs w:val="24"/>
        </w:rPr>
        <w:t>、</w:t>
      </w:r>
      <w:r>
        <w:rPr>
          <w:rFonts w:hint="eastAsia" w:ascii="黑体" w:hAnsi="黑体" w:eastAsia="黑体" w:cs="黑体"/>
          <w:spacing w:val="10"/>
          <w:sz w:val="24"/>
          <w:szCs w:val="24"/>
        </w:rPr>
        <w:t>本次工程量依据宝鸡市城乡建筑设计院设计《代家湾小学教学楼室内外</w:t>
      </w:r>
      <w:r>
        <w:rPr>
          <w:rFonts w:hint="eastAsia" w:ascii="黑体" w:hAnsi="黑体" w:eastAsia="黑体" w:cs="黑体"/>
          <w:spacing w:val="-4"/>
          <w:sz w:val="24"/>
          <w:szCs w:val="24"/>
        </w:rPr>
        <w:t>粉刷工程》</w:t>
      </w:r>
      <w:r>
        <w:rPr>
          <w:rFonts w:hint="eastAsia" w:ascii="黑体" w:hAnsi="黑体" w:eastAsia="黑体" w:cs="黑体"/>
          <w:spacing w:val="-3"/>
          <w:sz w:val="24"/>
          <w:szCs w:val="24"/>
        </w:rPr>
        <w:t>2</w:t>
      </w:r>
      <w:r>
        <w:rPr>
          <w:rFonts w:hint="eastAsia" w:ascii="黑体" w:hAnsi="黑体" w:eastAsia="黑体" w:cs="黑体"/>
          <w:spacing w:val="-2"/>
          <w:sz w:val="24"/>
          <w:szCs w:val="24"/>
        </w:rPr>
        <w:t>022 年 7 月版计取。</w:t>
      </w:r>
    </w:p>
    <w:p>
      <w:pPr>
        <w:spacing w:line="417" w:lineRule="auto"/>
        <w:ind w:left="22" w:right="80" w:firstLine="485"/>
        <w:rPr>
          <w:rFonts w:hint="eastAsia" w:ascii="黑体" w:hAnsi="黑体" w:eastAsia="黑体" w:cs="黑体"/>
          <w:sz w:val="24"/>
          <w:szCs w:val="24"/>
        </w:rPr>
      </w:pPr>
      <w:r>
        <w:rPr>
          <w:rFonts w:hint="eastAsia" w:ascii="黑体" w:hAnsi="黑体" w:eastAsia="黑体" w:cs="黑体"/>
          <w:spacing w:val="10"/>
          <w:sz w:val="24"/>
          <w:szCs w:val="24"/>
        </w:rPr>
        <w:t>5、本项目改造内容：①南、北教学楼外墙+南、北教学楼走廊外墙+小二</w:t>
      </w:r>
      <w:r>
        <w:rPr>
          <w:rFonts w:hint="eastAsia" w:ascii="黑体" w:hAnsi="黑体" w:eastAsia="黑体" w:cs="黑体"/>
          <w:spacing w:val="7"/>
          <w:sz w:val="24"/>
          <w:szCs w:val="24"/>
        </w:rPr>
        <w:t>楼</w:t>
      </w:r>
      <w:r>
        <w:rPr>
          <w:rFonts w:hint="eastAsia" w:ascii="黑体" w:hAnsi="黑体" w:eastAsia="黑体" w:cs="黑体"/>
          <w:spacing w:val="6"/>
          <w:sz w:val="24"/>
          <w:szCs w:val="24"/>
        </w:rPr>
        <w:t>外墙改造</w:t>
      </w:r>
      <w:r>
        <w:rPr>
          <w:rFonts w:hint="eastAsia" w:ascii="黑体" w:hAnsi="黑体" w:eastAsia="黑体" w:cs="黑体"/>
          <w:spacing w:val="3"/>
          <w:sz w:val="24"/>
          <w:szCs w:val="24"/>
        </w:rPr>
        <w:t>，喷真石漆 9420.54 ㎡；②南教学楼内墙面，南、北教学楼楼道天棚面</w:t>
      </w:r>
      <w:r>
        <w:rPr>
          <w:rFonts w:hint="eastAsia" w:ascii="黑体" w:hAnsi="黑体" w:eastAsia="黑体" w:cs="黑体"/>
          <w:sz w:val="24"/>
          <w:szCs w:val="24"/>
        </w:rPr>
        <w:t xml:space="preserve"> </w:t>
      </w:r>
      <w:r>
        <w:rPr>
          <w:rFonts w:hint="eastAsia" w:ascii="黑体" w:hAnsi="黑体" w:eastAsia="黑体" w:cs="黑体"/>
          <w:spacing w:val="1"/>
          <w:sz w:val="24"/>
          <w:szCs w:val="24"/>
        </w:rPr>
        <w:t>刷乳胶漆共 7167.18 ㎡</w:t>
      </w:r>
      <w:r>
        <w:rPr>
          <w:rFonts w:hint="eastAsia" w:ascii="黑体" w:hAnsi="黑体" w:eastAsia="黑体" w:cs="黑体"/>
          <w:sz w:val="24"/>
          <w:szCs w:val="24"/>
        </w:rPr>
        <w:t>；③落水管换新 370m；⑤楼顶防护栏杆喷真石漆182.4</w:t>
      </w:r>
      <w:r>
        <w:rPr>
          <w:rFonts w:hint="eastAsia" w:ascii="黑体" w:hAnsi="黑体" w:eastAsia="黑体" w:cs="黑体"/>
          <w:spacing w:val="2"/>
          <w:sz w:val="24"/>
          <w:szCs w:val="24"/>
        </w:rPr>
        <w:t>㎡</w:t>
      </w:r>
      <w:r>
        <w:rPr>
          <w:rFonts w:hint="eastAsia" w:ascii="黑体" w:hAnsi="黑体" w:eastAsia="黑体" w:cs="黑体"/>
          <w:spacing w:val="1"/>
          <w:sz w:val="24"/>
          <w:szCs w:val="24"/>
        </w:rPr>
        <w:t>。</w:t>
      </w:r>
    </w:p>
    <w:p>
      <w:pPr>
        <w:spacing w:line="418" w:lineRule="auto"/>
        <w:ind w:left="22" w:right="80" w:firstLine="482"/>
        <w:rPr>
          <w:rFonts w:hint="eastAsia" w:ascii="黑体" w:hAnsi="黑体" w:eastAsia="黑体" w:cs="黑体"/>
          <w:sz w:val="24"/>
          <w:szCs w:val="24"/>
        </w:rPr>
      </w:pPr>
      <w:r>
        <w:rPr>
          <w:rFonts w:hint="eastAsia" w:ascii="黑体" w:hAnsi="黑体" w:eastAsia="黑体" w:cs="黑体"/>
          <w:spacing w:val="-1"/>
          <w:sz w:val="24"/>
          <w:szCs w:val="24"/>
        </w:rPr>
        <w:t>6、主要材</w:t>
      </w:r>
      <w:r>
        <w:rPr>
          <w:rFonts w:hint="eastAsia" w:ascii="黑体" w:hAnsi="黑体" w:eastAsia="黑体" w:cs="黑体"/>
          <w:sz w:val="24"/>
          <w:szCs w:val="24"/>
        </w:rPr>
        <w:t>料价格依据《陕西工程造价信息》(2022年第6期) 及部分市</w:t>
      </w:r>
      <w:r>
        <w:rPr>
          <w:rFonts w:hint="eastAsia" w:ascii="黑体" w:hAnsi="黑体" w:eastAsia="黑体" w:cs="黑体"/>
          <w:spacing w:val="4"/>
          <w:sz w:val="24"/>
          <w:szCs w:val="24"/>
        </w:rPr>
        <w:t>场价</w:t>
      </w:r>
      <w:r>
        <w:rPr>
          <w:rFonts w:hint="eastAsia" w:ascii="黑体" w:hAnsi="黑体" w:eastAsia="黑体" w:cs="黑体"/>
          <w:spacing w:val="3"/>
          <w:sz w:val="24"/>
          <w:szCs w:val="24"/>
        </w:rPr>
        <w:t>。</w:t>
      </w:r>
    </w:p>
    <w:p>
      <w:pPr>
        <w:ind w:firstLine="476" w:firstLineChars="200"/>
        <w:jc w:val="left"/>
        <w:sectPr>
          <w:headerReference r:id="rId8" w:type="default"/>
          <w:footerReference r:id="rId9" w:type="default"/>
          <w:pgSz w:w="11849" w:h="16781"/>
          <w:pgMar w:top="1440" w:right="1083" w:bottom="1440" w:left="1083" w:header="720" w:footer="720" w:gutter="0"/>
          <w:pgNumType w:fmt="decimal"/>
          <w:cols w:space="0" w:num="1"/>
          <w:rtlGutter w:val="0"/>
          <w:docGrid w:linePitch="0" w:charSpace="0"/>
        </w:sectPr>
      </w:pPr>
      <w:r>
        <w:rPr>
          <w:rFonts w:hint="eastAsia" w:ascii="黑体" w:hAnsi="黑体" w:eastAsia="黑体" w:cs="黑体"/>
          <w:spacing w:val="-1"/>
          <w:sz w:val="24"/>
          <w:szCs w:val="24"/>
        </w:rPr>
        <w:t>7、工程计价软件：工程量清单云平台V6.3.0版本。</w:t>
      </w:r>
    </w:p>
    <w:p>
      <w:pPr>
        <w:pStyle w:val="4"/>
        <w:rPr>
          <w:rFonts w:hint="eastAsia"/>
          <w:lang w:val="en-US" w:eastAsia="zh-CN"/>
        </w:rPr>
        <w:sectPr>
          <w:pgSz w:w="11849" w:h="16781"/>
          <w:pgMar w:top="1440" w:right="1083" w:bottom="1440" w:left="1083" w:header="720" w:footer="720" w:gutter="0"/>
          <w:pgNumType w:fmt="decimal"/>
          <w:cols w:space="0" w:num="1"/>
          <w:rtlGutter w:val="0"/>
          <w:docGrid w:linePitch="0" w:charSpace="0"/>
        </w:sectPr>
      </w:pPr>
      <w:r>
        <w:rPr>
          <w:rFonts w:hint="eastAsia"/>
          <w:lang w:val="en-US" w:eastAsia="zh-CN"/>
        </w:rPr>
        <w:drawing>
          <wp:inline distT="0" distB="0" distL="114300" distR="114300">
            <wp:extent cx="6142990" cy="8682990"/>
            <wp:effectExtent l="0" t="0" r="10160" b="3810"/>
            <wp:docPr id="13" name="图片 13" descr="宝鸡市金台区代家湾小学教学楼室内外粉刷工程-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宝鸡市金台区代家湾小学教学楼室内外粉刷工程-清单_00"/>
                    <pic:cNvPicPr>
                      <a:picLocks noChangeAspect="1"/>
                    </pic:cNvPicPr>
                  </pic:nvPicPr>
                  <pic:blipFill>
                    <a:blip r:embed="rId22"/>
                    <a:stretch>
                      <a:fillRect/>
                    </a:stretch>
                  </pic:blipFill>
                  <pic:spPr>
                    <a:xfrm>
                      <a:off x="0" y="0"/>
                      <a:ext cx="6142990" cy="8682990"/>
                    </a:xfrm>
                    <a:prstGeom prst="rect">
                      <a:avLst/>
                    </a:prstGeom>
                  </pic:spPr>
                </pic:pic>
              </a:graphicData>
            </a:graphic>
          </wp:inline>
        </w:drawing>
      </w:r>
      <w:r>
        <w:rPr>
          <w:rFonts w:hint="eastAsia"/>
          <w:lang w:val="en-US" w:eastAsia="zh-CN"/>
        </w:rPr>
        <w:drawing>
          <wp:inline distT="0" distB="0" distL="114300" distR="114300">
            <wp:extent cx="6142990" cy="8682990"/>
            <wp:effectExtent l="0" t="0" r="10160" b="3810"/>
            <wp:docPr id="12" name="图片 12" descr="宝鸡市金台区代家湾小学教学楼室内外粉刷工程-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宝鸡市金台区代家湾小学教学楼室内外粉刷工程-清单_01"/>
                    <pic:cNvPicPr>
                      <a:picLocks noChangeAspect="1"/>
                    </pic:cNvPicPr>
                  </pic:nvPicPr>
                  <pic:blipFill>
                    <a:blip r:embed="rId23"/>
                    <a:stretch>
                      <a:fillRect/>
                    </a:stretch>
                  </pic:blipFill>
                  <pic:spPr>
                    <a:xfrm>
                      <a:off x="0" y="0"/>
                      <a:ext cx="6142990" cy="8682990"/>
                    </a:xfrm>
                    <a:prstGeom prst="rect">
                      <a:avLst/>
                    </a:prstGeom>
                  </pic:spPr>
                </pic:pic>
              </a:graphicData>
            </a:graphic>
          </wp:inline>
        </w:drawing>
      </w:r>
      <w:r>
        <w:rPr>
          <w:rFonts w:hint="eastAsia"/>
          <w:lang w:val="en-US" w:eastAsia="zh-CN"/>
        </w:rPr>
        <w:drawing>
          <wp:inline distT="0" distB="0" distL="114300" distR="114300">
            <wp:extent cx="6142990" cy="8682990"/>
            <wp:effectExtent l="0" t="0" r="10160" b="3810"/>
            <wp:docPr id="11" name="图片 11" descr="宝鸡市金台区代家湾小学教学楼室内外粉刷工程-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宝鸡市金台区代家湾小学教学楼室内外粉刷工程-清单_02"/>
                    <pic:cNvPicPr>
                      <a:picLocks noChangeAspect="1"/>
                    </pic:cNvPicPr>
                  </pic:nvPicPr>
                  <pic:blipFill>
                    <a:blip r:embed="rId24"/>
                    <a:stretch>
                      <a:fillRect/>
                    </a:stretch>
                  </pic:blipFill>
                  <pic:spPr>
                    <a:xfrm>
                      <a:off x="0" y="0"/>
                      <a:ext cx="6142990" cy="8682990"/>
                    </a:xfrm>
                    <a:prstGeom prst="rect">
                      <a:avLst/>
                    </a:prstGeom>
                  </pic:spPr>
                </pic:pic>
              </a:graphicData>
            </a:graphic>
          </wp:inline>
        </w:drawing>
      </w:r>
      <w:r>
        <w:rPr>
          <w:rFonts w:hint="eastAsia"/>
          <w:lang w:val="en-US" w:eastAsia="zh-CN"/>
        </w:rPr>
        <w:drawing>
          <wp:inline distT="0" distB="0" distL="114300" distR="114300">
            <wp:extent cx="6142990" cy="8682990"/>
            <wp:effectExtent l="0" t="0" r="10160" b="3810"/>
            <wp:docPr id="10" name="图片 10" descr="宝鸡市金台区代家湾小学教学楼室内外粉刷工程-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宝鸡市金台区代家湾小学教学楼室内外粉刷工程-清单_03"/>
                    <pic:cNvPicPr>
                      <a:picLocks noChangeAspect="1"/>
                    </pic:cNvPicPr>
                  </pic:nvPicPr>
                  <pic:blipFill>
                    <a:blip r:embed="rId25"/>
                    <a:stretch>
                      <a:fillRect/>
                    </a:stretch>
                  </pic:blipFill>
                  <pic:spPr>
                    <a:xfrm>
                      <a:off x="0" y="0"/>
                      <a:ext cx="6142990" cy="8682990"/>
                    </a:xfrm>
                    <a:prstGeom prst="rect">
                      <a:avLst/>
                    </a:prstGeom>
                  </pic:spPr>
                </pic:pic>
              </a:graphicData>
            </a:graphic>
          </wp:inline>
        </w:drawing>
      </w:r>
      <w:r>
        <w:rPr>
          <w:rFonts w:hint="eastAsia"/>
          <w:lang w:val="en-US" w:eastAsia="zh-CN"/>
        </w:rPr>
        <w:drawing>
          <wp:inline distT="0" distB="0" distL="114300" distR="114300">
            <wp:extent cx="6142990" cy="8682990"/>
            <wp:effectExtent l="0" t="0" r="10160" b="3810"/>
            <wp:docPr id="9" name="图片 9" descr="宝鸡市金台区代家湾小学教学楼室内外粉刷工程-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宝鸡市金台区代家湾小学教学楼室内外粉刷工程-清单_04"/>
                    <pic:cNvPicPr>
                      <a:picLocks noChangeAspect="1"/>
                    </pic:cNvPicPr>
                  </pic:nvPicPr>
                  <pic:blipFill>
                    <a:blip r:embed="rId26"/>
                    <a:stretch>
                      <a:fillRect/>
                    </a:stretch>
                  </pic:blipFill>
                  <pic:spPr>
                    <a:xfrm>
                      <a:off x="0" y="0"/>
                      <a:ext cx="6142990" cy="8682990"/>
                    </a:xfrm>
                    <a:prstGeom prst="rect">
                      <a:avLst/>
                    </a:prstGeom>
                  </pic:spPr>
                </pic:pic>
              </a:graphicData>
            </a:graphic>
          </wp:inline>
        </w:drawing>
      </w:r>
      <w:r>
        <w:rPr>
          <w:rFonts w:hint="eastAsia"/>
          <w:lang w:val="en-US" w:eastAsia="zh-CN"/>
        </w:rPr>
        <w:drawing>
          <wp:inline distT="0" distB="0" distL="114300" distR="114300">
            <wp:extent cx="6142990" cy="8682990"/>
            <wp:effectExtent l="0" t="0" r="10160" b="3810"/>
            <wp:docPr id="7" name="图片 7" descr="宝鸡市金台区代家湾小学教学楼室内外粉刷工程-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宝鸡市金台区代家湾小学教学楼室内外粉刷工程-清单_05"/>
                    <pic:cNvPicPr>
                      <a:picLocks noChangeAspect="1"/>
                    </pic:cNvPicPr>
                  </pic:nvPicPr>
                  <pic:blipFill>
                    <a:blip r:embed="rId27"/>
                    <a:stretch>
                      <a:fillRect/>
                    </a:stretch>
                  </pic:blipFill>
                  <pic:spPr>
                    <a:xfrm>
                      <a:off x="0" y="0"/>
                      <a:ext cx="6142990" cy="8682990"/>
                    </a:xfrm>
                    <a:prstGeom prst="rect">
                      <a:avLst/>
                    </a:prstGeom>
                  </pic:spPr>
                </pic:pic>
              </a:graphicData>
            </a:graphic>
          </wp:inline>
        </w:drawing>
      </w:r>
      <w:r>
        <w:rPr>
          <w:rFonts w:hint="eastAsia"/>
          <w:lang w:val="en-US" w:eastAsia="zh-CN"/>
        </w:rPr>
        <w:drawing>
          <wp:inline distT="0" distB="0" distL="114300" distR="114300">
            <wp:extent cx="6142990" cy="8682990"/>
            <wp:effectExtent l="0" t="0" r="10160" b="3810"/>
            <wp:docPr id="2" name="图片 2" descr="宝鸡市金台区代家湾小学教学楼室内外粉刷工程-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宝鸡市金台区代家湾小学教学楼室内外粉刷工程-清单_06"/>
                    <pic:cNvPicPr>
                      <a:picLocks noChangeAspect="1"/>
                    </pic:cNvPicPr>
                  </pic:nvPicPr>
                  <pic:blipFill>
                    <a:blip r:embed="rId28"/>
                    <a:stretch>
                      <a:fillRect/>
                    </a:stretch>
                  </pic:blipFill>
                  <pic:spPr>
                    <a:xfrm>
                      <a:off x="0" y="0"/>
                      <a:ext cx="6142990" cy="8682990"/>
                    </a:xfrm>
                    <a:prstGeom prst="rect">
                      <a:avLst/>
                    </a:prstGeom>
                  </pic:spPr>
                </pic:pic>
              </a:graphicData>
            </a:graphic>
          </wp:inline>
        </w:drawing>
      </w:r>
    </w:p>
    <w:p>
      <w:pPr>
        <w:pStyle w:val="3"/>
        <w:numPr>
          <w:ilvl w:val="0"/>
          <w:numId w:val="2"/>
        </w:numPr>
        <w:spacing w:before="0" w:after="0"/>
        <w:jc w:val="center"/>
        <w:rPr>
          <w:rFonts w:hint="eastAsia" w:ascii="黑体" w:hAnsi="黑体" w:eastAsia="黑体" w:cs="黑体"/>
          <w:b/>
          <w:bCs/>
          <w:color w:val="auto"/>
          <w:kern w:val="2"/>
          <w:sz w:val="44"/>
          <w:szCs w:val="44"/>
          <w:highlight w:val="none"/>
        </w:rPr>
      </w:pPr>
      <w:r>
        <w:rPr>
          <w:rFonts w:hint="eastAsia" w:ascii="黑体" w:hAnsi="黑体" w:eastAsia="黑体" w:cs="黑体"/>
          <w:b/>
          <w:bCs/>
          <w:color w:val="auto"/>
          <w:kern w:val="2"/>
          <w:sz w:val="44"/>
          <w:szCs w:val="44"/>
          <w:highlight w:val="none"/>
          <w:lang w:val="en-US" w:eastAsia="zh-CN"/>
        </w:rPr>
        <w:t xml:space="preserve"> </w:t>
      </w:r>
      <w:bookmarkStart w:id="47" w:name="_Toc28749"/>
      <w:r>
        <w:rPr>
          <w:rFonts w:hint="eastAsia" w:ascii="黑体" w:hAnsi="黑体" w:eastAsia="黑体" w:cs="黑体"/>
          <w:b/>
          <w:bCs/>
          <w:color w:val="auto"/>
          <w:kern w:val="2"/>
          <w:sz w:val="44"/>
          <w:szCs w:val="44"/>
          <w:highlight w:val="none"/>
        </w:rPr>
        <w:t>商务要求</w:t>
      </w:r>
      <w:bookmarkEnd w:id="46"/>
      <w:bookmarkEnd w:id="47"/>
    </w:p>
    <w:p>
      <w:pPr>
        <w:numPr>
          <w:ilvl w:val="0"/>
          <w:numId w:val="3"/>
        </w:numPr>
        <w:spacing w:before="0" w:after="0" w:line="360" w:lineRule="auto"/>
        <w:jc w:val="both"/>
        <w:outlineLvl w:val="9"/>
        <w:rPr>
          <w:rFonts w:hint="eastAsia" w:ascii="黑体" w:hAnsi="黑体" w:eastAsia="黑体" w:cs="黑体"/>
          <w:color w:val="auto"/>
          <w:sz w:val="24"/>
          <w:highlight w:val="none"/>
        </w:rPr>
      </w:pPr>
      <w:bookmarkStart w:id="48" w:name="_Toc459142238"/>
      <w:bookmarkStart w:id="49" w:name="_Toc459125993"/>
      <w:bookmarkStart w:id="50" w:name="_Toc7453887"/>
      <w:bookmarkStart w:id="51" w:name="_Toc459049903"/>
      <w:bookmarkStart w:id="52" w:name="_Toc459049734"/>
      <w:r>
        <w:rPr>
          <w:rFonts w:hint="eastAsia" w:ascii="黑体" w:hAnsi="黑体" w:eastAsia="黑体" w:cs="黑体"/>
          <w:color w:val="auto"/>
          <w:sz w:val="24"/>
          <w:highlight w:val="none"/>
          <w:lang w:eastAsia="zh-CN"/>
        </w:rPr>
        <w:t>最高限价、</w:t>
      </w:r>
      <w:r>
        <w:rPr>
          <w:rFonts w:hint="eastAsia" w:ascii="黑体" w:hAnsi="黑体" w:eastAsia="黑体" w:cs="黑体"/>
          <w:color w:val="auto"/>
          <w:sz w:val="24"/>
          <w:highlight w:val="none"/>
        </w:rPr>
        <w:t>工期</w:t>
      </w: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lang w:val="en-US" w:eastAsia="zh-CN"/>
        </w:rPr>
        <w:t>质量</w:t>
      </w:r>
      <w:r>
        <w:rPr>
          <w:rFonts w:hint="eastAsia" w:ascii="黑体" w:hAnsi="黑体" w:eastAsia="黑体" w:cs="黑体"/>
          <w:color w:val="auto"/>
          <w:sz w:val="24"/>
          <w:highlight w:val="none"/>
        </w:rPr>
        <w:t>：</w:t>
      </w:r>
    </w:p>
    <w:p>
      <w:pPr>
        <w:snapToGrid w:val="0"/>
        <w:spacing w:line="48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1、本项目最高限价：1175972.53元（超出该价为无效报价）。</w:t>
      </w:r>
    </w:p>
    <w:p>
      <w:pPr>
        <w:snapToGrid w:val="0"/>
        <w:spacing w:line="48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2、工 期：自合同签订之日起18日历天内完成。</w:t>
      </w:r>
    </w:p>
    <w:p>
      <w:pPr>
        <w:snapToGrid w:val="0"/>
        <w:spacing w:line="480" w:lineRule="exact"/>
        <w:ind w:firstLine="480" w:firstLineChars="200"/>
        <w:rPr>
          <w:rFonts w:hint="default"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3、质量：合格。</w:t>
      </w:r>
    </w:p>
    <w:p>
      <w:pPr>
        <w:adjustRightInd w:val="0"/>
        <w:snapToGrid w:val="0"/>
        <w:spacing w:line="360" w:lineRule="auto"/>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二、运输、施工：</w:t>
      </w:r>
    </w:p>
    <w:p>
      <w:pPr>
        <w:adjustRightInd w:val="0"/>
        <w:snapToGrid w:val="0"/>
        <w:spacing w:line="360" w:lineRule="auto"/>
        <w:ind w:firstLine="480" w:firstLineChars="200"/>
        <w:outlineLvl w:val="9"/>
        <w:rPr>
          <w:rFonts w:hint="eastAsia" w:ascii="黑体" w:hAnsi="黑体" w:eastAsia="黑体" w:cs="黑体"/>
          <w:color w:val="auto"/>
          <w:sz w:val="24"/>
          <w:highlight w:val="none"/>
        </w:rPr>
      </w:pPr>
      <w:bookmarkStart w:id="53" w:name="_Toc167712841"/>
      <w:bookmarkStart w:id="54" w:name="_Toc167715236"/>
      <w:bookmarkStart w:id="55" w:name="_Toc167714039"/>
      <w:r>
        <w:rPr>
          <w:rFonts w:hint="eastAsia" w:ascii="黑体" w:hAnsi="黑体" w:eastAsia="黑体" w:cs="黑体"/>
          <w:color w:val="auto"/>
          <w:sz w:val="24"/>
          <w:highlight w:val="none"/>
        </w:rPr>
        <w:t>成交人负责</w:t>
      </w:r>
      <w:r>
        <w:rPr>
          <w:rFonts w:hint="eastAsia" w:ascii="黑体" w:hAnsi="黑体" w:eastAsia="黑体" w:cs="黑体"/>
          <w:color w:val="auto"/>
          <w:sz w:val="24"/>
          <w:highlight w:val="none"/>
          <w:lang w:eastAsia="zh-CN"/>
        </w:rPr>
        <w:t>材料</w:t>
      </w:r>
      <w:r>
        <w:rPr>
          <w:rFonts w:hint="eastAsia" w:ascii="黑体" w:hAnsi="黑体" w:eastAsia="黑体" w:cs="黑体"/>
          <w:color w:val="auto"/>
          <w:sz w:val="24"/>
          <w:highlight w:val="none"/>
        </w:rPr>
        <w:t>的运输、</w:t>
      </w:r>
      <w:r>
        <w:rPr>
          <w:rFonts w:hint="eastAsia" w:ascii="黑体" w:hAnsi="黑体" w:eastAsia="黑体" w:cs="黑体"/>
          <w:color w:val="auto"/>
          <w:sz w:val="24"/>
          <w:highlight w:val="none"/>
          <w:lang w:eastAsia="zh-CN"/>
        </w:rPr>
        <w:t>施工</w:t>
      </w:r>
      <w:r>
        <w:rPr>
          <w:rFonts w:hint="eastAsia" w:ascii="黑体" w:hAnsi="黑体" w:eastAsia="黑体" w:cs="黑体"/>
          <w:color w:val="auto"/>
          <w:sz w:val="24"/>
          <w:highlight w:val="none"/>
        </w:rPr>
        <w:t>及其他伴随服务。</w:t>
      </w:r>
      <w:bookmarkEnd w:id="53"/>
      <w:bookmarkEnd w:id="54"/>
      <w:bookmarkEnd w:id="55"/>
    </w:p>
    <w:p>
      <w:pPr>
        <w:pStyle w:val="2"/>
        <w:rPr>
          <w:rFonts w:hint="eastAsia" w:ascii="黑体" w:hAnsi="黑体" w:eastAsia="黑体" w:cs="黑体"/>
          <w:color w:val="auto"/>
          <w:sz w:val="24"/>
          <w:highlight w:val="none"/>
        </w:rPr>
      </w:pPr>
      <w:r>
        <w:rPr>
          <w:rFonts w:hint="eastAsia" w:ascii="黑体" w:hAnsi="黑体" w:eastAsia="黑体" w:cs="黑体"/>
          <w:b w:val="0"/>
          <w:bCs w:val="0"/>
          <w:color w:val="auto"/>
          <w:sz w:val="24"/>
          <w:szCs w:val="22"/>
          <w:highlight w:val="none"/>
          <w:lang w:eastAsia="zh-CN"/>
        </w:rPr>
        <w:t>三、</w:t>
      </w:r>
      <w:r>
        <w:rPr>
          <w:rFonts w:hint="eastAsia" w:ascii="黑体" w:hAnsi="黑体" w:eastAsia="黑体" w:cs="黑体"/>
          <w:b w:val="0"/>
          <w:bCs w:val="0"/>
          <w:color w:val="auto"/>
          <w:sz w:val="24"/>
          <w:szCs w:val="22"/>
          <w:highlight w:val="none"/>
        </w:rPr>
        <w:t>付款方式</w:t>
      </w:r>
      <w:r>
        <w:rPr>
          <w:rFonts w:hint="eastAsia" w:ascii="黑体" w:hAnsi="黑体" w:eastAsia="黑体" w:cs="黑体"/>
          <w:color w:val="auto"/>
          <w:sz w:val="24"/>
          <w:highlight w:val="none"/>
        </w:rPr>
        <w:t>：</w:t>
      </w:r>
    </w:p>
    <w:p>
      <w:pPr>
        <w:pStyle w:val="2"/>
        <w:ind w:firstLine="480" w:firstLineChars="200"/>
        <w:rPr>
          <w:rFonts w:hint="default" w:ascii="黑体" w:hAnsi="黑体" w:eastAsia="黑体" w:cs="黑体"/>
          <w:b w:val="0"/>
          <w:color w:val="auto"/>
          <w:kern w:val="2"/>
          <w:sz w:val="24"/>
          <w:highlight w:val="none"/>
          <w:lang w:val="en-US" w:eastAsia="zh-CN" w:bidi="ar-SA"/>
        </w:rPr>
      </w:pPr>
      <w:r>
        <w:rPr>
          <w:rFonts w:hint="eastAsia" w:ascii="黑体" w:hAnsi="黑体" w:eastAsia="黑体" w:cs="黑体"/>
          <w:b w:val="0"/>
          <w:color w:val="auto"/>
          <w:kern w:val="2"/>
          <w:sz w:val="24"/>
          <w:highlight w:val="none"/>
          <w:lang w:val="en-US" w:eastAsia="zh-CN" w:bidi="ar-SA"/>
        </w:rPr>
        <w:t>工程进度</w:t>
      </w:r>
      <w:r>
        <w:rPr>
          <w:rFonts w:hint="eastAsia" w:ascii="黑体" w:hAnsi="黑体" w:cs="黑体"/>
          <w:b w:val="0"/>
          <w:color w:val="auto"/>
          <w:kern w:val="2"/>
          <w:sz w:val="24"/>
          <w:highlight w:val="none"/>
          <w:lang w:val="en-US" w:eastAsia="zh-CN" w:bidi="ar-SA"/>
        </w:rPr>
        <w:t>至</w:t>
      </w:r>
      <w:r>
        <w:rPr>
          <w:rFonts w:hint="eastAsia" w:ascii="黑体" w:hAnsi="黑体" w:eastAsia="黑体" w:cs="黑体"/>
          <w:b w:val="0"/>
          <w:color w:val="auto"/>
          <w:kern w:val="2"/>
          <w:sz w:val="24"/>
          <w:highlight w:val="none"/>
          <w:lang w:val="en-US" w:eastAsia="zh-CN" w:bidi="ar-SA"/>
        </w:rPr>
        <w:t>50%时支付给成交单位合同价款的50%，验收合格后付至合同价款的80%，审计结束付至合同价款的97%，剩余3%质保期</w:t>
      </w:r>
      <w:r>
        <w:rPr>
          <w:rFonts w:hint="eastAsia" w:ascii="黑体" w:hAnsi="黑体" w:cs="黑体"/>
          <w:b w:val="0"/>
          <w:color w:val="auto"/>
          <w:kern w:val="2"/>
          <w:sz w:val="24"/>
          <w:highlight w:val="none"/>
          <w:lang w:val="en-US" w:eastAsia="zh-CN" w:bidi="ar-SA"/>
        </w:rPr>
        <w:t>满一年</w:t>
      </w:r>
      <w:r>
        <w:rPr>
          <w:rFonts w:hint="eastAsia" w:ascii="黑体" w:hAnsi="黑体" w:eastAsia="黑体" w:cs="黑体"/>
          <w:b w:val="0"/>
          <w:color w:val="auto"/>
          <w:kern w:val="2"/>
          <w:sz w:val="24"/>
          <w:highlight w:val="none"/>
          <w:lang w:val="en-US" w:eastAsia="zh-CN" w:bidi="ar-SA"/>
        </w:rPr>
        <w:t>后7个工作日内无息退还给成交单位。</w:t>
      </w:r>
    </w:p>
    <w:p>
      <w:pPr>
        <w:adjustRightInd w:val="0"/>
        <w:snapToGrid w:val="0"/>
        <w:spacing w:line="360" w:lineRule="auto"/>
        <w:outlineLvl w:val="9"/>
        <w:rPr>
          <w:rFonts w:hint="eastAsia" w:ascii="黑体" w:hAnsi="黑体" w:eastAsia="黑体" w:cs="黑体"/>
          <w:color w:val="auto"/>
          <w:sz w:val="24"/>
          <w:szCs w:val="22"/>
          <w:highlight w:val="none"/>
          <w:lang w:eastAsia="zh-CN"/>
        </w:rPr>
      </w:pPr>
      <w:r>
        <w:rPr>
          <w:rFonts w:hint="eastAsia" w:ascii="黑体" w:hAnsi="黑体" w:eastAsia="黑体" w:cs="黑体"/>
          <w:color w:val="auto"/>
          <w:sz w:val="24"/>
          <w:szCs w:val="22"/>
          <w:highlight w:val="none"/>
          <w:lang w:eastAsia="zh-CN"/>
        </w:rPr>
        <w:t>四、施工要求：</w:t>
      </w:r>
    </w:p>
    <w:p>
      <w:pPr>
        <w:snapToGrid w:val="0"/>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1、成交人在施工期间应严格遵守国家、省、市有关防火、爆破和施工安全以及文明施工、深夜施工、环卫和城管等规定，建立规章制度和防护措施, 应按安全施工的要求，采取严格科学的安全措施，确保施工安全和第三者的安全，确保工程质量和生产安全。否则，由此造成的经济和法律责任均由成交人负责。</w:t>
      </w:r>
    </w:p>
    <w:p>
      <w:pPr>
        <w:snapToGrid w:val="0"/>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2、成交人应配合项目建设进度,向采购人提供施工组织计划、进度计划和施工作业计划，并签订施工安全责任书。</w:t>
      </w:r>
    </w:p>
    <w:p>
      <w:pPr>
        <w:snapToGrid w:val="0"/>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3、采购人只提供电源、水源。成交人在施工期间不得破坏原有建筑。</w:t>
      </w:r>
    </w:p>
    <w:p>
      <w:pPr>
        <w:snapToGrid w:val="0"/>
        <w:spacing w:line="48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五</w:t>
      </w:r>
      <w:r>
        <w:rPr>
          <w:rFonts w:hint="eastAsia" w:ascii="黑体" w:hAnsi="黑体" w:eastAsia="黑体" w:cs="黑体"/>
          <w:color w:val="auto"/>
          <w:sz w:val="24"/>
          <w:highlight w:val="none"/>
        </w:rPr>
        <w:t>、验收：</w:t>
      </w:r>
    </w:p>
    <w:p>
      <w:pPr>
        <w:pStyle w:val="22"/>
        <w:shd w:val="clear" w:color="auto"/>
        <w:spacing w:line="480" w:lineRule="exact"/>
        <w:rPr>
          <w:rFonts w:hint="eastAsia" w:ascii="黑体" w:hAnsi="黑体" w:eastAsia="黑体" w:cs="黑体"/>
          <w:color w:val="auto"/>
          <w:highlight w:val="none"/>
        </w:rPr>
      </w:pPr>
      <w:r>
        <w:rPr>
          <w:rFonts w:hint="eastAsia" w:ascii="黑体" w:hAnsi="黑体" w:eastAsia="黑体" w:cs="黑体"/>
          <w:color w:val="auto"/>
          <w:highlight w:val="none"/>
        </w:rPr>
        <w:t xml:space="preserve">    1、验收流程</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（1）项目在竣工后，成交人应向采购人提交工程竣工报告，申请工程竣工验收，并将施工过程中相关资料提交采购人。</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（2）采购人收到工程竣工报告后，对符合竣工验收要求的工程，组织相关单位和其他有关方面的专家组成验收组共同验收，签署工程竣工验收意见。</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（3）验收合格后，采购人出具《工程竣工验收报告》，并在</w:t>
      </w:r>
      <w:r>
        <w:rPr>
          <w:rFonts w:hint="eastAsia" w:ascii="黑体" w:hAnsi="黑体" w:eastAsia="黑体" w:cs="黑体"/>
          <w:color w:val="auto"/>
          <w:sz w:val="24"/>
          <w:highlight w:val="none"/>
          <w:lang w:eastAsia="zh-CN"/>
        </w:rPr>
        <w:t>相关</w:t>
      </w:r>
      <w:r>
        <w:rPr>
          <w:rFonts w:hint="eastAsia" w:ascii="黑体" w:hAnsi="黑体" w:eastAsia="黑体" w:cs="黑体"/>
          <w:color w:val="auto"/>
          <w:sz w:val="24"/>
          <w:highlight w:val="none"/>
        </w:rPr>
        <w:t>行政主管部门备案。</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（4）验收不合格的成交单位，必须在接到通知后7个日历日内确保工程通过验收。如接到通知后7个日历日内验收仍不合格，采购人可提出索赔或取消其施工合同。</w:t>
      </w:r>
    </w:p>
    <w:p>
      <w:pPr>
        <w:snapToGrid w:val="0"/>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2、验收标准按照国家、行业有关规范和要求执行。</w:t>
      </w:r>
    </w:p>
    <w:p>
      <w:pPr>
        <w:snapToGrid w:val="0"/>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3、成交人承诺完全达到国家有关部门验收标准，并全部通过验收为交付使用的基本条件，验收过程中的一切费用由成交供应商承担。</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4、验收依据</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（1）合同文本及合同补充文件（条款）。 </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（2）磋商文件。</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（3）磋商响应文件。</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（4）工程量清单。</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（5）工程施工质量验收统一标准。</w:t>
      </w:r>
    </w:p>
    <w:p>
      <w:pPr>
        <w:spacing w:line="48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六</w:t>
      </w:r>
      <w:r>
        <w:rPr>
          <w:rFonts w:hint="eastAsia" w:ascii="黑体" w:hAnsi="黑体" w:eastAsia="黑体" w:cs="黑体"/>
          <w:color w:val="auto"/>
          <w:sz w:val="24"/>
          <w:highlight w:val="none"/>
        </w:rPr>
        <w:t>、违约责任</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1、按《</w:t>
      </w:r>
      <w:r>
        <w:rPr>
          <w:rFonts w:hint="eastAsia" w:ascii="黑体" w:hAnsi="黑体" w:eastAsia="黑体" w:cs="黑体"/>
          <w:color w:val="auto"/>
          <w:sz w:val="24"/>
          <w:highlight w:val="none"/>
          <w:lang w:eastAsia="zh-CN"/>
        </w:rPr>
        <w:t>中华人民共和国民法典</w:t>
      </w:r>
      <w:r>
        <w:rPr>
          <w:rFonts w:hint="eastAsia" w:ascii="黑体" w:hAnsi="黑体" w:eastAsia="黑体" w:cs="黑体"/>
          <w:color w:val="auto"/>
          <w:sz w:val="24"/>
          <w:highlight w:val="none"/>
        </w:rPr>
        <w:t>》中的相关条款执行。</w:t>
      </w:r>
    </w:p>
    <w:p>
      <w:pPr>
        <w:spacing w:line="48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2、未按合同要求提供工程质量或工程质量不能满足技术要求，采购人有权终止合同，并对供方违约行为进行追究，同时按《政府采购法》的有关规定进行处罚。</w:t>
      </w:r>
    </w:p>
    <w:p>
      <w:pPr>
        <w:spacing w:line="480" w:lineRule="exact"/>
        <w:rPr>
          <w:rFonts w:hint="eastAsia" w:ascii="黑体" w:hAnsi="黑体" w:eastAsia="黑体" w:cs="黑体"/>
          <w:b/>
          <w:color w:val="auto"/>
          <w:sz w:val="24"/>
          <w:highlight w:val="none"/>
        </w:rPr>
      </w:pPr>
    </w:p>
    <w:p>
      <w:pPr>
        <w:spacing w:line="480" w:lineRule="exact"/>
        <w:rPr>
          <w:rFonts w:hint="eastAsia" w:ascii="黑体" w:hAnsi="黑体" w:eastAsia="黑体" w:cs="黑体"/>
          <w:b/>
          <w:color w:val="auto"/>
          <w:sz w:val="24"/>
          <w:highlight w:val="none"/>
        </w:rPr>
      </w:pPr>
    </w:p>
    <w:p>
      <w:pPr>
        <w:spacing w:line="480" w:lineRule="exact"/>
        <w:jc w:val="center"/>
        <w:rPr>
          <w:rFonts w:hint="eastAsia" w:ascii="黑体" w:hAnsi="黑体" w:eastAsia="黑体" w:cs="黑体"/>
          <w:color w:val="auto"/>
          <w:sz w:val="40"/>
          <w:szCs w:val="40"/>
          <w:highlight w:val="none"/>
        </w:rPr>
      </w:pPr>
      <w:r>
        <w:rPr>
          <w:rFonts w:hint="eastAsia" w:ascii="黑体" w:hAnsi="黑体" w:eastAsia="黑体" w:cs="黑体"/>
          <w:b/>
          <w:color w:val="auto"/>
          <w:sz w:val="36"/>
          <w:szCs w:val="24"/>
          <w:highlight w:val="none"/>
        </w:rPr>
        <w:t>注：商务要求为实质性要求，不得负偏离。</w:t>
      </w:r>
    </w:p>
    <w:p>
      <w:pPr>
        <w:pStyle w:val="42"/>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黑体" w:eastAsia="黑体" w:cs="黑体"/>
          <w:color w:val="auto"/>
          <w:sz w:val="24"/>
          <w:szCs w:val="24"/>
          <w:highlight w:val="none"/>
          <w:lang w:val="en-US" w:eastAsia="zh-CN"/>
        </w:rPr>
      </w:pPr>
    </w:p>
    <w:p>
      <w:pPr>
        <w:adjustRightInd w:val="0"/>
        <w:spacing w:line="360" w:lineRule="auto"/>
        <w:ind w:firstLine="560" w:firstLineChars="200"/>
        <w:rPr>
          <w:rFonts w:hint="eastAsia" w:ascii="黑体" w:hAnsi="黑体" w:eastAsia="黑体" w:cs="黑体"/>
          <w:b w:val="0"/>
          <w:bCs w:val="0"/>
          <w:color w:val="auto"/>
          <w:szCs w:val="24"/>
          <w:highlight w:val="none"/>
          <w:lang w:val="en-US" w:eastAsia="zh-CN"/>
        </w:rPr>
      </w:pPr>
    </w:p>
    <w:p>
      <w:pPr>
        <w:pStyle w:val="3"/>
        <w:spacing w:before="0" w:after="0" w:line="360" w:lineRule="auto"/>
        <w:jc w:val="center"/>
        <w:rPr>
          <w:rFonts w:hint="eastAsia" w:ascii="黑体" w:hAnsi="黑体" w:eastAsia="黑体" w:cs="黑体"/>
          <w:color w:val="auto"/>
          <w:highlight w:val="none"/>
        </w:rPr>
      </w:pPr>
      <w:r>
        <w:rPr>
          <w:rFonts w:hint="eastAsia" w:ascii="黑体" w:hAnsi="黑体" w:eastAsia="黑体" w:cs="黑体"/>
          <w:color w:val="auto"/>
          <w:highlight w:val="none"/>
        </w:rPr>
        <w:br w:type="page"/>
      </w:r>
      <w:bookmarkStart w:id="56" w:name="_Toc20647"/>
      <w:r>
        <w:rPr>
          <w:rFonts w:hint="eastAsia" w:ascii="黑体" w:hAnsi="黑体" w:eastAsia="黑体" w:cs="黑体"/>
          <w:color w:val="auto"/>
          <w:highlight w:val="none"/>
        </w:rPr>
        <w:t>第五章 合同条款</w:t>
      </w:r>
      <w:bookmarkEnd w:id="48"/>
      <w:bookmarkEnd w:id="49"/>
      <w:bookmarkEnd w:id="50"/>
      <w:bookmarkEnd w:id="51"/>
      <w:bookmarkEnd w:id="52"/>
      <w:bookmarkEnd w:id="56"/>
    </w:p>
    <w:p>
      <w:pPr>
        <w:bidi w:val="0"/>
        <w:jc w:val="center"/>
        <w:rPr>
          <w:rFonts w:hint="eastAsia" w:ascii="黑体" w:hAnsi="黑体" w:eastAsia="黑体" w:cs="黑体"/>
          <w:b/>
          <w:bCs/>
          <w:color w:val="auto"/>
          <w:sz w:val="36"/>
          <w:szCs w:val="36"/>
          <w:highlight w:val="none"/>
        </w:rPr>
      </w:pPr>
      <w:bookmarkStart w:id="57" w:name="_Toc7453889"/>
      <w:r>
        <w:rPr>
          <w:rFonts w:hint="eastAsia" w:ascii="黑体" w:hAnsi="黑体" w:eastAsia="黑体" w:cs="黑体"/>
          <w:b/>
          <w:bCs/>
          <w:color w:val="auto"/>
          <w:sz w:val="32"/>
          <w:szCs w:val="28"/>
          <w:highlight w:val="none"/>
        </w:rPr>
        <w:t>（参考格式）</w:t>
      </w:r>
    </w:p>
    <w:p>
      <w:pPr>
        <w:widowControl/>
        <w:spacing w:line="560" w:lineRule="exact"/>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 xml:space="preserve">第一部分  协议书   </w:t>
      </w:r>
    </w:p>
    <w:p>
      <w:pPr>
        <w:widowControl/>
        <w:spacing w:line="560" w:lineRule="exact"/>
        <w:ind w:left="554"/>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使用《陕西省建设工程施工合同》（示范文本）格式 </w:t>
      </w:r>
    </w:p>
    <w:p>
      <w:pPr>
        <w:widowControl/>
        <w:spacing w:line="560" w:lineRule="exact"/>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 xml:space="preserve">第二部分  通用条款  </w:t>
      </w:r>
    </w:p>
    <w:p>
      <w:pPr>
        <w:widowControl/>
        <w:spacing w:line="560" w:lineRule="exact"/>
        <w:ind w:left="54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使用《陕西省建设工程施工合同》（示范文本） </w:t>
      </w:r>
    </w:p>
    <w:p>
      <w:pPr>
        <w:widowControl/>
        <w:spacing w:line="560" w:lineRule="exact"/>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 xml:space="preserve">第三部分  专用条款  </w:t>
      </w:r>
    </w:p>
    <w:p>
      <w:pPr>
        <w:widowControl/>
        <w:spacing w:line="560" w:lineRule="exact"/>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使用《陕西省建设工程施工合同》（示范文本）格式。内容结合工程特点和建设单位实际自行拟定。</w:t>
      </w:r>
    </w:p>
    <w:p>
      <w:pPr>
        <w:widowControl/>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br w:type="page"/>
      </w:r>
    </w:p>
    <w:p>
      <w:pPr>
        <w:widowControl/>
        <w:jc w:val="center"/>
        <w:rPr>
          <w:rFonts w:hint="eastAsia" w:ascii="黑体" w:hAnsi="黑体" w:eastAsia="黑体" w:cs="黑体"/>
          <w:color w:val="auto"/>
          <w:sz w:val="24"/>
          <w:szCs w:val="24"/>
          <w:highlight w:val="none"/>
        </w:rPr>
      </w:pPr>
    </w:p>
    <w:p>
      <w:pPr>
        <w:widowControl/>
        <w:jc w:val="center"/>
        <w:rPr>
          <w:rFonts w:hint="eastAsia" w:ascii="黑体" w:hAnsi="黑体" w:eastAsia="黑体" w:cs="黑体"/>
          <w:bCs/>
          <w:color w:val="auto"/>
          <w:sz w:val="52"/>
          <w:szCs w:val="52"/>
          <w:highlight w:val="none"/>
        </w:rPr>
      </w:pPr>
      <w:r>
        <w:rPr>
          <w:rFonts w:hint="eastAsia" w:ascii="黑体" w:hAnsi="黑体" w:eastAsia="黑体" w:cs="黑体"/>
          <w:bCs/>
          <w:color w:val="auto"/>
          <w:sz w:val="52"/>
          <w:szCs w:val="52"/>
          <w:highlight w:val="none"/>
        </w:rPr>
        <w:t>陕西省建设工程施工合同</w:t>
      </w:r>
    </w:p>
    <w:p>
      <w:pPr>
        <w:widowControl/>
        <w:jc w:val="center"/>
        <w:rPr>
          <w:rFonts w:hint="eastAsia" w:ascii="黑体" w:hAnsi="黑体" w:eastAsia="黑体" w:cs="黑体"/>
          <w:b/>
          <w:bCs/>
          <w:color w:val="auto"/>
          <w:sz w:val="36"/>
          <w:szCs w:val="36"/>
          <w:highlight w:val="none"/>
        </w:rPr>
      </w:pPr>
    </w:p>
    <w:p>
      <w:pPr>
        <w:widowControl/>
        <w:jc w:val="cente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rPr>
        <w:t>（示范文本）</w:t>
      </w: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pStyle w:val="10"/>
        <w:rPr>
          <w:rFonts w:hint="eastAsia" w:ascii="黑体" w:hAnsi="黑体" w:eastAsia="黑体" w:cs="黑体"/>
          <w:color w:val="auto"/>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ind w:firstLine="200"/>
        <w:jc w:val="center"/>
        <w:rPr>
          <w:rFonts w:hint="eastAsia" w:ascii="黑体" w:hAnsi="黑体" w:eastAsia="黑体" w:cs="黑体"/>
          <w:b/>
          <w:bCs/>
          <w:color w:val="auto"/>
          <w:sz w:val="32"/>
          <w:szCs w:val="32"/>
          <w:highlight w:val="none"/>
        </w:rPr>
      </w:pPr>
    </w:p>
    <w:p>
      <w:pPr>
        <w:widowControl/>
        <w:jc w:val="cente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lang w:val="zh-CN"/>
        </w:rPr>
        <mc:AlternateContent>
          <mc:Choice Requires="wps">
            <w:drawing>
              <wp:anchor distT="0" distB="0" distL="114300" distR="114300" simplePos="0" relativeHeight="251660288" behindDoc="0" locked="0" layoutInCell="1" allowOverlap="1">
                <wp:simplePos x="0" y="0"/>
                <wp:positionH relativeFrom="column">
                  <wp:posOffset>4371975</wp:posOffset>
                </wp:positionH>
                <wp:positionV relativeFrom="paragraph">
                  <wp:posOffset>81280</wp:posOffset>
                </wp:positionV>
                <wp:extent cx="685800" cy="594360"/>
                <wp:effectExtent l="4445" t="4445" r="10795" b="10795"/>
                <wp:wrapNone/>
                <wp:docPr id="3" name="矩形 3"/>
                <wp:cNvGraphicFramePr/>
                <a:graphic xmlns:a="http://schemas.openxmlformats.org/drawingml/2006/main">
                  <a:graphicData uri="http://schemas.microsoft.com/office/word/2010/wordprocessingShape">
                    <wps:wsp>
                      <wps:cNvSpPr/>
                      <wps:spPr>
                        <a:xfrm>
                          <a:off x="0" y="0"/>
                          <a:ext cx="685800" cy="594360"/>
                        </a:xfrm>
                        <a:prstGeom prst="rect">
                          <a:avLst/>
                        </a:prstGeom>
                        <a:noFill/>
                        <a:ln w="9525" cap="flat" cmpd="sng">
                          <a:solidFill>
                            <a:srgbClr val="FFFFFF"/>
                          </a:solidFill>
                          <a:prstDash val="solid"/>
                          <a:miter/>
                          <a:headEnd type="none" w="med" len="med"/>
                          <a:tailEnd type="none" w="med" len="med"/>
                        </a:ln>
                      </wps:spPr>
                      <wps:txbx>
                        <w:txbxContent>
                          <w:p>
                            <w:pPr>
                              <w:rPr>
                                <w:rFonts w:hint="eastAsia" w:hAnsi="宋体"/>
                                <w:b/>
                                <w:sz w:val="44"/>
                                <w:szCs w:val="44"/>
                              </w:rPr>
                            </w:pPr>
                            <w:r>
                              <w:rPr>
                                <w:rFonts w:hint="eastAsia" w:hAnsi="宋体"/>
                                <w:b/>
                                <w:sz w:val="44"/>
                                <w:szCs w:val="44"/>
                              </w:rPr>
                              <w:t>制</w:t>
                            </w:r>
                          </w:p>
                        </w:txbxContent>
                      </wps:txbx>
                      <wps:bodyPr upright="1"/>
                    </wps:wsp>
                  </a:graphicData>
                </a:graphic>
              </wp:anchor>
            </w:drawing>
          </mc:Choice>
          <mc:Fallback>
            <w:pict>
              <v:rect id="_x0000_s1026" o:spid="_x0000_s1026" o:spt="1" style="position:absolute;left:0pt;margin-left:344.25pt;margin-top:6.4pt;height:46.8pt;width:54pt;z-index:251660288;mso-width-relative:page;mso-height-relative:page;" filled="f" stroked="t" coordsize="21600,21600" o:gfxdata="UEsDBAoAAAAAAIdO4kAAAAAAAAAAAAAAAAAEAAAAZHJzL1BLAwQUAAAACACHTuJAQJv4rNkAAAAK&#10;AQAADwAAAGRycy9kb3ducmV2LnhtbE2PwU7DMBBE70j8g7VIXCrqtECahjg9ICEhwYUWoR7deBsH&#10;7HUUu2nL17Oc4LgzT7Mz1erknRhxiF0gBbNpBgKpCaajVsH75ummABGTJqNdIFRwxgir+vKi0qUJ&#10;R3rDcZ1awSEUS63AptSXUsbGotdxGnok9vZh8DrxObTSDPrI4d7JeZbl0uuO+IPVPT5abL7WB6/g&#10;c8SWXiebD7twL+e4vX3+nvRbpa6vZtkDiISn9AfDb32uDjV32oUDmSicgrwo7hllY84TGFgscxZ2&#10;LGT5Hci6kv8n1D9QSwMEFAAAAAgAh07iQDsSIz38AQAA/wMAAA4AAABkcnMvZTJvRG9jLnhtbK1T&#10;S44TMRDdI3EHy3vS+ZAo00pnFoSwQTDSwAEcf7ot+SeXk+6cBokdh+A4iGtQdocMDJss6IW77Cq/&#10;qveqvLkfrCEnGUF719DZZEqJdNwL7dqGfv60f7WmBBJzghnvZEPPEuj99uWLTR9qOfedN0JGgiAO&#10;6j40tEsp1FUFvJOWwcQH6dCpfLQs4Ta2lYisR3Rrqvl0uqp6H0WInksAPN2NTnpBjLcAeqU0lzvP&#10;j1a6NKJGaVhCStDpAHRbqlVK8vRRKZCJmIYi01RWTIL2Ia/VdsPqNrLQaX4pgd1SwjNOlmmHSa9Q&#10;O5YYOUb9D5TVPHrwKk24t9VIpCiCLGbTZ9o8dizIwgWlhnAVHf4fLP9weohEi4YuKHHMYsN/fvn2&#10;4/tXssja9AFqDHkMD/GyAzQz0UFFm/9IgQxFz/NVTzkkwvFwtV6up6g0R9fy7vViVfSuni6HCOmd&#10;9JZko6ER21VUZKf3kDAhhv4Oybmc32tjSsuMI31D75bzJcIzHEOF7UfTBqQCri0w4I0W+Uq+DLE9&#10;vDGRnBiOwr58mSGm+Css59sx6Ma44hqHxOokswis7iQTb50g6RxQLoevhOZirBSUGImPKlslMjFt&#10;bonEIozDWrLco8DZSsNhQJhsHrw4Y5+OIeq2Q6VmpfTswbkoJC4znAfvz30BfXq32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m/is2QAAAAoBAAAPAAAAAAAAAAEAIAAAACIAAABkcnMvZG93bnJl&#10;di54bWxQSwECFAAUAAAACACHTuJAOxIjPfwBAAD/AwAADgAAAAAAAAABACAAAAAoAQAAZHJzL2Uy&#10;b0RvYy54bWxQSwUGAAAAAAYABgBZAQAAlgUAAAAA&#10;">
                <v:fill on="f" focussize="0,0"/>
                <v:stroke color="#FFFFFF" joinstyle="miter"/>
                <v:imagedata o:title=""/>
                <o:lock v:ext="edit" aspectratio="f"/>
                <v:textbox>
                  <w:txbxContent>
                    <w:p>
                      <w:pPr>
                        <w:rPr>
                          <w:rFonts w:hint="eastAsia" w:hAnsi="宋体"/>
                          <w:b/>
                          <w:sz w:val="44"/>
                          <w:szCs w:val="44"/>
                        </w:rPr>
                      </w:pPr>
                      <w:r>
                        <w:rPr>
                          <w:rFonts w:hint="eastAsia" w:hAnsi="宋体"/>
                          <w:b/>
                          <w:sz w:val="44"/>
                          <w:szCs w:val="44"/>
                        </w:rPr>
                        <w:t>制</w:t>
                      </w:r>
                    </w:p>
                  </w:txbxContent>
                </v:textbox>
              </v:rect>
            </w:pict>
          </mc:Fallback>
        </mc:AlternateContent>
      </w:r>
      <w:r>
        <w:rPr>
          <w:rFonts w:hint="eastAsia" w:ascii="黑体" w:hAnsi="黑体" w:eastAsia="黑体" w:cs="黑体"/>
          <w:b/>
          <w:bCs/>
          <w:color w:val="auto"/>
          <w:spacing w:val="143"/>
          <w:sz w:val="36"/>
          <w:szCs w:val="36"/>
          <w:highlight w:val="none"/>
        </w:rPr>
        <w:t>陕西省建设</w:t>
      </w:r>
      <w:r>
        <w:rPr>
          <w:rFonts w:hint="eastAsia" w:ascii="黑体" w:hAnsi="黑体" w:eastAsia="黑体" w:cs="黑体"/>
          <w:b/>
          <w:bCs/>
          <w:color w:val="auto"/>
          <w:spacing w:val="1"/>
          <w:sz w:val="36"/>
          <w:szCs w:val="36"/>
          <w:highlight w:val="none"/>
        </w:rPr>
        <w:t>厅</w:t>
      </w:r>
    </w:p>
    <w:p>
      <w:pPr>
        <w:widowControl/>
        <w:jc w:val="center"/>
        <w:rPr>
          <w:rFonts w:hint="eastAsia" w:ascii="黑体" w:hAnsi="黑体" w:eastAsia="黑体" w:cs="黑体"/>
          <w:b/>
          <w:bCs/>
          <w:color w:val="auto"/>
          <w:sz w:val="36"/>
          <w:szCs w:val="36"/>
          <w:highlight w:val="none"/>
        </w:rPr>
      </w:pPr>
      <w:r>
        <w:rPr>
          <w:rFonts w:hint="eastAsia" w:ascii="黑体" w:hAnsi="黑体" w:eastAsia="黑体" w:cs="黑体"/>
          <w:b/>
          <w:bCs/>
          <w:color w:val="auto"/>
          <w:spacing w:val="7"/>
          <w:w w:val="96"/>
          <w:sz w:val="36"/>
          <w:szCs w:val="36"/>
          <w:highlight w:val="none"/>
        </w:rPr>
        <w:t>陕西省工商行政管理</w:t>
      </w:r>
      <w:r>
        <w:rPr>
          <w:rFonts w:hint="eastAsia" w:ascii="黑体" w:hAnsi="黑体" w:eastAsia="黑体" w:cs="黑体"/>
          <w:b/>
          <w:bCs/>
          <w:color w:val="auto"/>
          <w:w w:val="96"/>
          <w:sz w:val="36"/>
          <w:szCs w:val="36"/>
          <w:highlight w:val="none"/>
        </w:rPr>
        <w:t>局</w:t>
      </w:r>
    </w:p>
    <w:p>
      <w:pPr>
        <w:widowControl/>
        <w:jc w:val="center"/>
        <w:rPr>
          <w:rFonts w:hint="eastAsia"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t xml:space="preserve">  年   月   日</w:t>
      </w:r>
    </w:p>
    <w:p>
      <w:pPr>
        <w:widowControl/>
        <w:jc w:val="center"/>
        <w:rPr>
          <w:rFonts w:hint="eastAsia" w:ascii="黑体" w:hAnsi="黑体" w:eastAsia="黑体" w:cs="黑体"/>
          <w:bCs/>
          <w:color w:val="auto"/>
          <w:sz w:val="36"/>
          <w:szCs w:val="36"/>
          <w:highlight w:val="none"/>
        </w:rPr>
      </w:pPr>
    </w:p>
    <w:p>
      <w:pPr>
        <w:widowControl/>
        <w:jc w:val="center"/>
        <w:rPr>
          <w:rFonts w:hint="eastAsia" w:ascii="黑体" w:hAnsi="黑体" w:eastAsia="黑体" w:cs="黑体"/>
          <w:bCs/>
          <w:color w:val="auto"/>
          <w:sz w:val="36"/>
          <w:szCs w:val="36"/>
          <w:highlight w:val="none"/>
        </w:rPr>
      </w:pPr>
    </w:p>
    <w:p>
      <w:pPr>
        <w:pStyle w:val="10"/>
        <w:rPr>
          <w:rFonts w:hint="eastAsia" w:ascii="黑体" w:hAnsi="黑体" w:eastAsia="黑体" w:cs="黑体"/>
          <w:bCs/>
          <w:color w:val="auto"/>
          <w:sz w:val="36"/>
          <w:szCs w:val="36"/>
          <w:highlight w:val="none"/>
        </w:rPr>
      </w:pPr>
    </w:p>
    <w:p>
      <w:pPr>
        <w:rPr>
          <w:rFonts w:hint="eastAsia" w:ascii="黑体" w:hAnsi="黑体" w:eastAsia="黑体" w:cs="黑体"/>
          <w:color w:val="auto"/>
          <w:highlight w:val="none"/>
        </w:rPr>
      </w:pPr>
    </w:p>
    <w:p>
      <w:pPr>
        <w:jc w:val="center"/>
        <w:rPr>
          <w:rFonts w:hint="eastAsia" w:ascii="黑体" w:hAnsi="黑体" w:eastAsia="黑体" w:cs="黑体"/>
          <w:bCs/>
          <w:color w:val="auto"/>
          <w:sz w:val="36"/>
          <w:szCs w:val="36"/>
          <w:highlight w:val="none"/>
        </w:rPr>
      </w:pPr>
      <w:r>
        <w:rPr>
          <w:rFonts w:hint="eastAsia" w:ascii="黑体" w:hAnsi="黑体" w:eastAsia="黑体" w:cs="黑体"/>
          <w:bCs/>
          <w:color w:val="auto"/>
          <w:sz w:val="36"/>
          <w:szCs w:val="36"/>
          <w:highlight w:val="none"/>
        </w:rPr>
        <w:br w:type="page"/>
      </w:r>
      <w:r>
        <w:rPr>
          <w:rFonts w:hint="eastAsia" w:ascii="黑体" w:hAnsi="黑体" w:eastAsia="黑体" w:cs="黑体"/>
          <w:bCs/>
          <w:color w:val="auto"/>
          <w:sz w:val="36"/>
          <w:szCs w:val="36"/>
          <w:highlight w:val="none"/>
        </w:rPr>
        <w:t>第一部分  协议书</w:t>
      </w:r>
    </w:p>
    <w:p>
      <w:pPr>
        <w:widowControl/>
        <w:spacing w:line="360" w:lineRule="auto"/>
        <w:ind w:firstLine="480" w:firstLineChars="200"/>
        <w:jc w:val="left"/>
        <w:rPr>
          <w:rFonts w:hint="eastAsia" w:ascii="黑体" w:hAnsi="黑体" w:eastAsia="黑体" w:cs="黑体"/>
          <w:color w:val="auto"/>
          <w:sz w:val="24"/>
          <w:highlight w:val="none"/>
        </w:rPr>
      </w:pPr>
    </w:p>
    <w:p>
      <w:pPr>
        <w:widowControl/>
        <w:spacing w:line="360" w:lineRule="auto"/>
        <w:ind w:firstLine="480" w:firstLineChars="200"/>
        <w:jc w:val="left"/>
        <w:rPr>
          <w:rFonts w:hint="eastAsia" w:ascii="黑体" w:hAnsi="黑体" w:eastAsia="黑体" w:cs="黑体"/>
          <w:color w:val="auto"/>
          <w:sz w:val="24"/>
          <w:szCs w:val="22"/>
          <w:highlight w:val="none"/>
          <w:u w:val="single"/>
          <w:lang w:val="en-US" w:eastAsia="zh-CN"/>
        </w:rPr>
      </w:pPr>
      <w:r>
        <w:rPr>
          <w:rFonts w:hint="eastAsia" w:ascii="黑体" w:hAnsi="黑体" w:eastAsia="黑体" w:cs="黑体"/>
          <w:color w:val="auto"/>
          <w:sz w:val="24"/>
          <w:highlight w:val="none"/>
        </w:rPr>
        <w:t>发包人（全称）：</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rPr>
        <w:t>_____________________________________</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none"/>
          <w:lang w:val="en-US" w:eastAsia="zh-CN"/>
        </w:rPr>
        <w:t xml:space="preserve"> </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承包人（全称）：________________________________________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依照《</w:t>
      </w:r>
      <w:r>
        <w:rPr>
          <w:rFonts w:hint="eastAsia" w:ascii="黑体" w:hAnsi="黑体" w:eastAsia="黑体" w:cs="黑体"/>
          <w:color w:val="auto"/>
          <w:sz w:val="24"/>
          <w:highlight w:val="none"/>
          <w:lang w:eastAsia="zh-CN"/>
        </w:rPr>
        <w:t>中华人民共和国民法典</w:t>
      </w:r>
      <w:r>
        <w:rPr>
          <w:rFonts w:hint="eastAsia" w:ascii="黑体" w:hAnsi="黑体" w:eastAsia="黑体" w:cs="黑体"/>
          <w:color w:val="auto"/>
          <w:sz w:val="24"/>
          <w:highlight w:val="none"/>
        </w:rPr>
        <w:t>》、《中华人民共和国建筑法》及其他有关法律、行政法规，遵循平等、自愿、公平和诚实信用的原则，双方就本建设工程施工协商一致，订立本合同。</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一、工程概况</w:t>
      </w:r>
    </w:p>
    <w:p>
      <w:pPr>
        <w:widowControl/>
        <w:spacing w:line="360" w:lineRule="auto"/>
        <w:ind w:firstLine="480" w:firstLineChars="200"/>
        <w:jc w:val="left"/>
        <w:rPr>
          <w:rFonts w:hint="eastAsia"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rPr>
        <w:t>工程名称：</w:t>
      </w:r>
      <w:r>
        <w:rPr>
          <w:rFonts w:hint="eastAsia" w:ascii="黑体" w:hAnsi="黑体" w:eastAsia="黑体" w:cs="黑体"/>
          <w:color w:val="auto"/>
          <w:sz w:val="24"/>
          <w:highlight w:val="none"/>
          <w:u w:val="single"/>
          <w:lang w:val="en-US" w:eastAsia="zh-CN"/>
        </w:rPr>
        <w:t xml:space="preserve">                                  </w:t>
      </w:r>
    </w:p>
    <w:p>
      <w:pPr>
        <w:widowControl/>
        <w:spacing w:line="360" w:lineRule="auto"/>
        <w:ind w:firstLine="480" w:firstLineChars="200"/>
        <w:jc w:val="left"/>
        <w:rPr>
          <w:rFonts w:hint="eastAsia"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rPr>
        <w:t>工程地点：</w:t>
      </w:r>
      <w:r>
        <w:rPr>
          <w:rFonts w:hint="eastAsia" w:ascii="黑体" w:hAnsi="黑体" w:eastAsia="黑体" w:cs="黑体"/>
          <w:color w:val="auto"/>
          <w:sz w:val="24"/>
          <w:highlight w:val="none"/>
          <w:u w:val="single"/>
          <w:lang w:val="en-US" w:eastAsia="zh-CN"/>
        </w:rPr>
        <w:t xml:space="preserve">                                  </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群体工程应附承包人承揽工程项目一览表（附件1）</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工程立项文号：_______________________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资金来源：_______________________________________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二、工程承包范围</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承包范围：___________________________________________________________</w:t>
      </w:r>
    </w:p>
    <w:p>
      <w:pPr>
        <w:widowControl/>
        <w:spacing w:line="360" w:lineRule="auto"/>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________________________________________________________________________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不包括的工程范围：_______________________________________________</w:t>
      </w:r>
    </w:p>
    <w:p>
      <w:pPr>
        <w:widowControl/>
        <w:spacing w:line="360" w:lineRule="auto"/>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________________________________________________________________________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三、合同工期：</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总日历天数_________________天</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开工日期：____________________________________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竣工日期：____________________________________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四、质量标准</w:t>
      </w:r>
    </w:p>
    <w:p>
      <w:pPr>
        <w:widowControl/>
        <w:spacing w:line="360" w:lineRule="auto"/>
        <w:ind w:firstLine="480" w:firstLineChars="200"/>
        <w:jc w:val="left"/>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rPr>
        <w:t>工程质量标准：</w:t>
      </w:r>
      <w:r>
        <w:rPr>
          <w:rFonts w:hint="eastAsia" w:ascii="黑体" w:hAnsi="黑体" w:eastAsia="黑体" w:cs="黑体"/>
          <w:color w:val="auto"/>
          <w:sz w:val="24"/>
          <w:highlight w:val="none"/>
          <w:lang w:eastAsia="zh-CN"/>
        </w:rPr>
        <w:t>合格</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五、合同价款</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1、合同总价（大写）：_______________________________________（人民币）元</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（小写）￥：_____________________________________元</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（其中：工程预留金__________________元，零星工作费__________________元，安全防护、文明施工措施费________________________元，工程分包和材料购置费______________元，总承包服务费__________________元。)</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2、综合单价：详见承包人的报价书。</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六、组成合同的文件</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组成本合同的文件包括：</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1、本合同协议书</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2、本合同专用条款</w:t>
      </w:r>
    </w:p>
    <w:p>
      <w:pPr>
        <w:widowControl/>
        <w:spacing w:line="360" w:lineRule="auto"/>
        <w:ind w:firstLine="480" w:firstLineChars="200"/>
        <w:jc w:val="left"/>
        <w:rPr>
          <w:rFonts w:hint="eastAsia" w:ascii="黑体" w:hAnsi="黑体" w:eastAsia="黑体" w:cs="黑体"/>
          <w:b/>
          <w:bCs/>
          <w:color w:val="auto"/>
          <w:sz w:val="24"/>
          <w:highlight w:val="none"/>
        </w:rPr>
      </w:pPr>
      <w:r>
        <w:rPr>
          <w:rFonts w:hint="eastAsia" w:ascii="黑体" w:hAnsi="黑体" w:eastAsia="黑体" w:cs="黑体"/>
          <w:color w:val="auto"/>
          <w:sz w:val="24"/>
          <w:highlight w:val="none"/>
        </w:rPr>
        <w:t>3、本合同通用条款</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4、中标通知书</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5、投标书、工程报价单或预算书及其附件</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6、招标文件、答疑纪要及工程量清单</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7、图纸</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8、标准、规范及有关技术文件</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双方为履行本合同的有关洽商、变更等书面协议、文件，视为本合同的组成部分。</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七、本协议书中有关词语含义与本合同第二部分《通用条款》中赋予的定义相同。</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八、承包人按照合同约定进行施工、竣工并在质量保修期内承担工程质量保修责任。</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九、发包人按照合同约定的期限和方式支付合同价款及其他应当支付的款项。</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十、合同生效</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合同订立时间：________年__________月__________日</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合同订立地点：________________________________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本合同双方约定________________________________后生效。</w:t>
      </w:r>
    </w:p>
    <w:p>
      <w:pPr>
        <w:widowControl/>
        <w:spacing w:line="360" w:lineRule="auto"/>
        <w:ind w:firstLine="480" w:firstLineChars="200"/>
        <w:jc w:val="left"/>
        <w:rPr>
          <w:rFonts w:hint="eastAsia" w:ascii="黑体" w:hAnsi="黑体" w:eastAsia="黑体" w:cs="黑体"/>
          <w:color w:val="auto"/>
          <w:sz w:val="24"/>
          <w:highlight w:val="none"/>
        </w:rPr>
      </w:pP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发包人：（公章）_________        承包人：（公章）______________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地址：_________________          地址：______________________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邮政编码：_____________          邮政编码：___________________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法定代表人：___________          法定代表人：_____________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委托代理人：___________          委托代理人：_________________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电话：________________           电话：__________________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传真：_________________          传真：________________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开户银行：______________         开户银行：_____________</w:t>
      </w:r>
    </w:p>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帐号：_______________            帐号：_____________________</w:t>
      </w:r>
    </w:p>
    <w:p>
      <w:pPr>
        <w:widowControl/>
        <w:ind w:firstLine="560" w:firstLineChars="200"/>
        <w:jc w:val="left"/>
        <w:rPr>
          <w:rFonts w:hint="eastAsia" w:ascii="黑体" w:hAnsi="黑体" w:eastAsia="黑体" w:cs="黑体"/>
          <w:color w:val="auto"/>
          <w:sz w:val="28"/>
          <w:highlight w:val="none"/>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trPr>
        <w:tc>
          <w:tcPr>
            <w:tcW w:w="9582"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建设行政管理部门备案意见：</w:t>
            </w:r>
          </w:p>
          <w:p>
            <w:pPr>
              <w:widowControl/>
              <w:ind w:firstLine="560" w:firstLineChars="200"/>
              <w:jc w:val="left"/>
              <w:rPr>
                <w:rFonts w:hint="eastAsia" w:ascii="黑体" w:hAnsi="黑体" w:eastAsia="黑体" w:cs="黑体"/>
                <w:bCs/>
                <w:color w:val="auto"/>
                <w:sz w:val="28"/>
                <w:highlight w:val="none"/>
              </w:rPr>
            </w:pPr>
          </w:p>
          <w:p>
            <w:pPr>
              <w:widowControl/>
              <w:ind w:firstLine="560" w:firstLineChars="200"/>
              <w:jc w:val="left"/>
              <w:rPr>
                <w:rFonts w:hint="eastAsia" w:ascii="黑体" w:hAnsi="黑体" w:eastAsia="黑体" w:cs="黑体"/>
                <w:bCs/>
                <w:color w:val="auto"/>
                <w:sz w:val="28"/>
                <w:highlight w:val="none"/>
              </w:rPr>
            </w:pPr>
          </w:p>
          <w:p>
            <w:pPr>
              <w:widowControl/>
              <w:ind w:firstLine="560" w:firstLineChars="200"/>
              <w:jc w:val="left"/>
              <w:rPr>
                <w:rFonts w:hint="eastAsia" w:ascii="黑体" w:hAnsi="黑体" w:eastAsia="黑体" w:cs="黑体"/>
                <w:bCs/>
                <w:color w:val="auto"/>
                <w:sz w:val="28"/>
                <w:highlight w:val="none"/>
              </w:rPr>
            </w:pPr>
          </w:p>
          <w:p>
            <w:pPr>
              <w:widowControl/>
              <w:ind w:firstLine="560" w:firstLineChars="200"/>
              <w:jc w:val="left"/>
              <w:rPr>
                <w:rFonts w:hint="eastAsia" w:ascii="黑体" w:hAnsi="黑体" w:eastAsia="黑体" w:cs="黑体"/>
                <w:bCs/>
                <w:color w:val="auto"/>
                <w:sz w:val="28"/>
                <w:highlight w:val="none"/>
              </w:rPr>
            </w:pPr>
          </w:p>
        </w:tc>
      </w:tr>
    </w:tbl>
    <w:p>
      <w:pPr>
        <w:widowControl/>
        <w:ind w:firstLine="602" w:firstLineChars="200"/>
        <w:jc w:val="center"/>
        <w:rPr>
          <w:rFonts w:hint="eastAsia" w:ascii="黑体" w:hAnsi="黑体" w:eastAsia="黑体" w:cs="黑体"/>
          <w:b/>
          <w:bCs/>
          <w:color w:val="auto"/>
          <w:sz w:val="30"/>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rPr>
          <w:rFonts w:hint="eastAsia" w:ascii="黑体" w:hAnsi="黑体" w:eastAsia="黑体" w:cs="黑体"/>
          <w:bCs/>
          <w:color w:val="auto"/>
          <w:sz w:val="36"/>
          <w:szCs w:val="36"/>
          <w:highlight w:val="none"/>
        </w:rPr>
      </w:pPr>
    </w:p>
    <w:p>
      <w:pPr>
        <w:outlineLvl w:val="9"/>
        <w:rPr>
          <w:rFonts w:hint="eastAsia" w:ascii="黑体" w:hAnsi="黑体" w:eastAsia="黑体" w:cs="黑体"/>
        </w:rPr>
      </w:pPr>
    </w:p>
    <w:p>
      <w:pPr>
        <w:rPr>
          <w:rFonts w:hint="eastAsia" w:ascii="黑体" w:hAnsi="黑体" w:eastAsia="黑体" w:cs="黑体"/>
          <w:bCs/>
          <w:color w:val="auto"/>
          <w:sz w:val="36"/>
          <w:szCs w:val="36"/>
          <w:highlight w:val="none"/>
        </w:rPr>
      </w:pPr>
    </w:p>
    <w:p>
      <w:pPr>
        <w:pStyle w:val="10"/>
        <w:rPr>
          <w:rFonts w:hint="eastAsia" w:ascii="黑体" w:hAnsi="黑体" w:eastAsia="黑体" w:cs="黑体"/>
        </w:rPr>
      </w:pPr>
    </w:p>
    <w:p>
      <w:pPr>
        <w:outlineLvl w:val="9"/>
        <w:rPr>
          <w:rFonts w:hint="eastAsia" w:ascii="黑体" w:hAnsi="黑体" w:eastAsia="黑体" w:cs="黑体"/>
        </w:rPr>
      </w:pPr>
    </w:p>
    <w:p>
      <w:pPr>
        <w:rPr>
          <w:rFonts w:hint="eastAsia" w:ascii="黑体" w:hAnsi="黑体" w:eastAsia="黑体" w:cs="黑体"/>
          <w:bCs/>
          <w:color w:val="auto"/>
          <w:sz w:val="36"/>
          <w:szCs w:val="36"/>
          <w:highlight w:val="none"/>
        </w:rPr>
      </w:pPr>
    </w:p>
    <w:p>
      <w:pPr>
        <w:widowControl/>
        <w:spacing w:line="360" w:lineRule="auto"/>
        <w:jc w:val="center"/>
        <w:rPr>
          <w:rFonts w:hint="eastAsia" w:ascii="黑体" w:hAnsi="黑体" w:eastAsia="黑体" w:cs="黑体"/>
          <w:color w:val="auto"/>
          <w:sz w:val="36"/>
          <w:highlight w:val="none"/>
        </w:rPr>
      </w:pPr>
      <w:r>
        <w:rPr>
          <w:rFonts w:hint="eastAsia" w:ascii="黑体" w:hAnsi="黑体" w:eastAsia="黑体" w:cs="黑体"/>
          <w:color w:val="auto"/>
          <w:sz w:val="36"/>
          <w:highlight w:val="none"/>
        </w:rPr>
        <w:t>第二部分   通用条款</w:t>
      </w:r>
    </w:p>
    <w:p>
      <w:pPr>
        <w:widowControl/>
        <w:spacing w:line="360" w:lineRule="auto"/>
        <w:jc w:val="center"/>
        <w:rPr>
          <w:rFonts w:hint="eastAsia" w:ascii="黑体" w:hAnsi="黑体" w:eastAsia="黑体" w:cs="黑体"/>
          <w:color w:val="auto"/>
          <w:sz w:val="36"/>
          <w:highlight w:val="none"/>
        </w:rPr>
      </w:pPr>
      <w:r>
        <w:rPr>
          <w:rFonts w:hint="eastAsia" w:ascii="黑体" w:hAnsi="黑体" w:eastAsia="黑体" w:cs="黑体"/>
          <w:color w:val="auto"/>
          <w:sz w:val="36"/>
          <w:highlight w:val="none"/>
        </w:rPr>
        <w:t>（省略）</w:t>
      </w:r>
    </w:p>
    <w:p>
      <w:pPr>
        <w:widowControl/>
        <w:spacing w:line="360" w:lineRule="auto"/>
        <w:jc w:val="center"/>
        <w:rPr>
          <w:rFonts w:hint="eastAsia" w:ascii="黑体" w:hAnsi="黑体" w:eastAsia="黑体" w:cs="黑体"/>
          <w:color w:val="auto"/>
          <w:sz w:val="36"/>
          <w:highlight w:val="none"/>
        </w:rPr>
      </w:pPr>
      <w:r>
        <w:rPr>
          <w:rFonts w:hint="eastAsia" w:ascii="黑体" w:hAnsi="黑体" w:eastAsia="黑体" w:cs="黑体"/>
          <w:color w:val="auto"/>
          <w:sz w:val="36"/>
          <w:highlight w:val="none"/>
        </w:rPr>
        <w:t>第三部分  专用条款</w:t>
      </w:r>
    </w:p>
    <w:p>
      <w:pPr>
        <w:widowControl/>
        <w:spacing w:line="360" w:lineRule="auto"/>
        <w:ind w:firstLine="480" w:firstLineChars="200"/>
        <w:rPr>
          <w:rFonts w:hint="eastAsia" w:ascii="黑体" w:hAnsi="黑体" w:eastAsia="黑体" w:cs="黑体"/>
          <w:color w:val="auto"/>
          <w:sz w:val="24"/>
          <w:highlight w:val="none"/>
        </w:rPr>
      </w:pP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一、词语定义及合同文件</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2、合同文件及解释顺序</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合同文件组成及解释顺序：</w:t>
      </w:r>
      <w:r>
        <w:rPr>
          <w:rFonts w:hint="eastAsia" w:ascii="黑体" w:hAnsi="黑体" w:eastAsia="黑体" w:cs="黑体"/>
          <w:color w:val="auto"/>
          <w:sz w:val="24"/>
          <w:highlight w:val="none"/>
          <w:u w:val="single"/>
        </w:rPr>
        <w:t>本合同协议书；本合同专用条款；本合同通用条款；中标通知书、招标文件及其附件；投标文件及其附件；图纸及答疑纪要；工程建设标准；规范及有关技术文件；工程量清单；工程量清单报价表。</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3、语言文字和适用法律、标准及规范</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3.1本合同除使用汉语外，还使用</w:t>
      </w:r>
      <w:r>
        <w:rPr>
          <w:rFonts w:hint="eastAsia" w:ascii="黑体" w:hAnsi="黑体" w:eastAsia="黑体" w:cs="黑体"/>
          <w:color w:val="auto"/>
          <w:sz w:val="24"/>
          <w:highlight w:val="none"/>
          <w:u w:val="single"/>
        </w:rPr>
        <w:t xml:space="preserve">  －－－  </w:t>
      </w:r>
      <w:r>
        <w:rPr>
          <w:rFonts w:hint="eastAsia" w:ascii="黑体" w:hAnsi="黑体" w:eastAsia="黑体" w:cs="黑体"/>
          <w:color w:val="auto"/>
          <w:sz w:val="24"/>
          <w:highlight w:val="none"/>
        </w:rPr>
        <w:t>语言文字。</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3.2适用法律和法规</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需要明示的法律、行政法规：</w:t>
      </w:r>
      <w:r>
        <w:rPr>
          <w:rFonts w:hint="eastAsia" w:ascii="黑体" w:hAnsi="黑体" w:eastAsia="黑体" w:cs="黑体"/>
          <w:color w:val="auto"/>
          <w:sz w:val="24"/>
          <w:highlight w:val="none"/>
          <w:u w:val="single"/>
        </w:rPr>
        <w:t>《中华人民共和国建筑法》；《</w:t>
      </w:r>
      <w:r>
        <w:rPr>
          <w:rFonts w:hint="eastAsia" w:ascii="黑体" w:hAnsi="黑体" w:eastAsia="黑体" w:cs="黑体"/>
          <w:color w:val="auto"/>
          <w:sz w:val="24"/>
          <w:highlight w:val="none"/>
          <w:u w:val="single"/>
          <w:lang w:eastAsia="zh-CN"/>
        </w:rPr>
        <w:t>中华人民共和国民法典</w:t>
      </w:r>
      <w:r>
        <w:rPr>
          <w:rFonts w:hint="eastAsia" w:ascii="黑体" w:hAnsi="黑体" w:eastAsia="黑体" w:cs="黑体"/>
          <w:color w:val="auto"/>
          <w:sz w:val="24"/>
          <w:highlight w:val="none"/>
          <w:u w:val="single"/>
        </w:rPr>
        <w:t>》；《中华人民共和国招标投标法》。</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3.3适用标准、规范</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适用标准、规范的名称：</w:t>
      </w:r>
      <w:r>
        <w:rPr>
          <w:rFonts w:hint="eastAsia" w:ascii="黑体" w:hAnsi="黑体" w:eastAsia="黑体" w:cs="黑体"/>
          <w:color w:val="auto"/>
          <w:sz w:val="24"/>
          <w:highlight w:val="none"/>
          <w:lang w:eastAsia="zh-CN"/>
        </w:rPr>
        <w:t>《建筑施工测量标准》（</w:t>
      </w:r>
      <w:r>
        <w:rPr>
          <w:rFonts w:hint="eastAsia" w:ascii="黑体" w:hAnsi="黑体" w:eastAsia="黑体" w:cs="黑体"/>
          <w:color w:val="auto"/>
          <w:sz w:val="24"/>
          <w:highlight w:val="none"/>
          <w:lang w:val="en-US" w:eastAsia="zh-CN"/>
        </w:rPr>
        <w:t>JGJ/T 408-2017</w:t>
      </w:r>
      <w:r>
        <w:rPr>
          <w:rFonts w:hint="eastAsia" w:ascii="黑体" w:hAnsi="黑体" w:eastAsia="黑体" w:cs="黑体"/>
          <w:color w:val="auto"/>
          <w:sz w:val="24"/>
          <w:highlight w:val="none"/>
          <w:lang w:eastAsia="zh-CN"/>
        </w:rPr>
        <w:t>）、《建筑地面工程施工验收规范》（</w:t>
      </w:r>
      <w:r>
        <w:rPr>
          <w:rFonts w:hint="eastAsia" w:ascii="黑体" w:hAnsi="黑体" w:eastAsia="黑体" w:cs="黑体"/>
          <w:color w:val="auto"/>
          <w:sz w:val="24"/>
          <w:highlight w:val="none"/>
          <w:lang w:val="en-US" w:eastAsia="zh-CN"/>
        </w:rPr>
        <w:t>GB 50209-2010</w:t>
      </w:r>
      <w:r>
        <w:rPr>
          <w:rFonts w:hint="eastAsia" w:ascii="黑体" w:hAnsi="黑体" w:eastAsia="黑体" w:cs="黑体"/>
          <w:color w:val="auto"/>
          <w:sz w:val="24"/>
          <w:highlight w:val="none"/>
          <w:lang w:eastAsia="zh-CN"/>
        </w:rPr>
        <w:t>）等相关标准、规范</w:t>
      </w:r>
      <w:r>
        <w:rPr>
          <w:rFonts w:hint="eastAsia" w:ascii="黑体" w:hAnsi="黑体" w:eastAsia="黑体" w:cs="黑体"/>
          <w:color w:val="auto"/>
          <w:sz w:val="24"/>
          <w:highlight w:val="none"/>
        </w:rPr>
        <w:t>。</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发包人提供标准、规范的时间：</w:t>
      </w:r>
      <w:r>
        <w:rPr>
          <w:rFonts w:hint="eastAsia" w:ascii="黑体" w:hAnsi="黑体" w:eastAsia="黑体" w:cs="黑体"/>
          <w:color w:val="auto"/>
          <w:sz w:val="24"/>
          <w:highlight w:val="none"/>
          <w:u w:val="single"/>
        </w:rPr>
        <w:t xml:space="preserve">   无    </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国内没有相应标准、规范时的约定：</w:t>
      </w:r>
      <w:r>
        <w:rPr>
          <w:rFonts w:hint="eastAsia" w:ascii="黑体" w:hAnsi="黑体" w:eastAsia="黑体" w:cs="黑体"/>
          <w:color w:val="auto"/>
          <w:sz w:val="24"/>
          <w:highlight w:val="none"/>
          <w:u w:val="single"/>
        </w:rPr>
        <w:t xml:space="preserve"> 执行通用条款及相关规定。</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4、图纸</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4.1发包人向承包人提供图纸日期和套数：</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 施工图   套。</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发包人对图纸的保密要求：</w:t>
      </w:r>
      <w:r>
        <w:rPr>
          <w:rFonts w:hint="eastAsia" w:ascii="黑体" w:hAnsi="黑体" w:eastAsia="黑体" w:cs="黑体"/>
          <w:color w:val="auto"/>
          <w:sz w:val="24"/>
          <w:highlight w:val="none"/>
          <w:u w:val="single"/>
        </w:rPr>
        <w:t xml:space="preserve">   无。  </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使用国外图纸的要求及费用承担：</w:t>
      </w:r>
      <w:r>
        <w:rPr>
          <w:rFonts w:hint="eastAsia" w:ascii="黑体" w:hAnsi="黑体" w:eastAsia="黑体" w:cs="黑体"/>
          <w:color w:val="auto"/>
          <w:sz w:val="24"/>
          <w:highlight w:val="none"/>
          <w:u w:val="single"/>
        </w:rPr>
        <w:t xml:space="preserve">   无。 </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二、双方一般权利和义务</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5、工程师</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5.2监理单位委派的工程师</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姓名：____________________职务：_________________________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发包人委托的职权：</w:t>
      </w:r>
      <w:r>
        <w:rPr>
          <w:rFonts w:hint="eastAsia" w:ascii="黑体" w:hAnsi="黑体" w:eastAsia="黑体" w:cs="黑体"/>
          <w:color w:val="auto"/>
          <w:sz w:val="24"/>
          <w:highlight w:val="none"/>
          <w:u w:val="single"/>
        </w:rPr>
        <w:t>工程质量、进度、造价三控制。</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需要取得发包人批准才能行使的职权：______________________________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5.4发包人派驻的工程师</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姓名:_________职务：___________职权：___________________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5.6不实行监理的，工程师的职权：________________________</w:t>
      </w:r>
    </w:p>
    <w:p>
      <w:pPr>
        <w:widowControl/>
        <w:spacing w:line="360" w:lineRule="auto"/>
        <w:ind w:firstLine="480" w:firstLineChars="200"/>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rPr>
        <w:t>7、</w:t>
      </w:r>
      <w:r>
        <w:rPr>
          <w:rFonts w:hint="eastAsia" w:ascii="黑体" w:hAnsi="黑体" w:eastAsia="黑体" w:cs="黑体"/>
          <w:color w:val="auto"/>
          <w:sz w:val="24"/>
          <w:highlight w:val="none"/>
          <w:lang w:eastAsia="zh-CN"/>
        </w:rPr>
        <w:t>项目负责人</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姓名：_________________职务：___________________________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8、发包人工作</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8.1发包人应按约定的时间和要求完成以下工作：</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 xml:space="preserve">   （1）施工场地具备施工条件的要求及完成的时间：</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（2）将施工所需的水、电、电讯线路接至施工场地的时间、地点和供应要求：</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w:t>
      </w:r>
      <w:r>
        <w:rPr>
          <w:rFonts w:hint="eastAsia" w:ascii="黑体" w:hAnsi="黑体" w:eastAsia="黑体" w:cs="黑体"/>
          <w:color w:val="auto"/>
          <w:sz w:val="24"/>
          <w:highlight w:val="none"/>
        </w:rPr>
        <w:t>；其计量和计价方法为：</w:t>
      </w:r>
      <w:r>
        <w:rPr>
          <w:rFonts w:hint="eastAsia" w:ascii="黑体" w:hAnsi="黑体" w:eastAsia="黑体" w:cs="黑体"/>
          <w:color w:val="auto"/>
          <w:sz w:val="24"/>
          <w:highlight w:val="none"/>
          <w:u w:val="single"/>
        </w:rPr>
        <w:t xml:space="preserve">  双方协商。</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（3）施工场地与公共道路的通道开通时间和要求：</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日前。</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（4）工程地质和地下管线资料的提供时间：</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日前</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（5）由发包人办理的施工所需证件、批件的名称和完成时间：</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（6）水准点与座标控制点交验要求：</w:t>
      </w:r>
      <w:r>
        <w:rPr>
          <w:rFonts w:hint="eastAsia" w:ascii="黑体" w:hAnsi="黑体" w:eastAsia="黑体" w:cs="黑体"/>
          <w:color w:val="auto"/>
          <w:sz w:val="24"/>
          <w:highlight w:val="none"/>
          <w:u w:val="single"/>
        </w:rPr>
        <w:t>符合施工条件，方便施工。</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（7）图纸会审和设计交底时间：</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日前。</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（8）协调处理施工场地周围地下管线和邻近建筑物、构筑物（含文物保护建筑）、古树名木的保护工作：</w:t>
      </w:r>
      <w:r>
        <w:rPr>
          <w:rFonts w:hint="eastAsia" w:ascii="黑体" w:hAnsi="黑体" w:eastAsia="黑体" w:cs="黑体"/>
          <w:color w:val="auto"/>
          <w:sz w:val="24"/>
          <w:highlight w:val="none"/>
          <w:u w:val="single"/>
        </w:rPr>
        <w:t>发包人提供相关资料，由承包人实施保护，费用发包人承担；由承包人人为原因造成的损失由承包人负责费用。</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（9）双方约定发包人应做的其他工作：</w:t>
      </w:r>
      <w:r>
        <w:rPr>
          <w:rFonts w:hint="eastAsia" w:ascii="黑体" w:hAnsi="黑体" w:eastAsia="黑体" w:cs="黑体"/>
          <w:color w:val="auto"/>
          <w:sz w:val="24"/>
          <w:highlight w:val="none"/>
          <w:u w:val="single"/>
        </w:rPr>
        <w:t xml:space="preserve">  无  </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8.2发包人委托承包人办理的工作：</w:t>
      </w:r>
      <w:r>
        <w:rPr>
          <w:rFonts w:hint="eastAsia" w:ascii="黑体" w:hAnsi="黑体" w:eastAsia="黑体" w:cs="黑体"/>
          <w:color w:val="auto"/>
          <w:sz w:val="24"/>
          <w:highlight w:val="none"/>
          <w:u w:val="single"/>
        </w:rPr>
        <w:t xml:space="preserve"> 双方协商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9、承包人工作</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9.1承包人应按约定时间和要求，完成以下工作：</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u w:val="single"/>
        </w:rPr>
        <w:t>施工组织设计的实施，工程进度计划，材料供应计划等。</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（1）需由设计资质等级和业务范围允许的承包人完成的设计文件提交时间：</w:t>
      </w:r>
      <w:r>
        <w:rPr>
          <w:rFonts w:hint="eastAsia" w:ascii="黑体" w:hAnsi="黑体" w:eastAsia="黑体" w:cs="黑体"/>
          <w:color w:val="auto"/>
          <w:sz w:val="24"/>
          <w:highlight w:val="none"/>
          <w:u w:val="single"/>
        </w:rPr>
        <w:t xml:space="preserve">  无  </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 xml:space="preserve">    （2）应提供计划、报表的名称及完成时间</w:t>
      </w:r>
      <w:r>
        <w:rPr>
          <w:rFonts w:hint="eastAsia" w:ascii="黑体" w:hAnsi="黑体" w:eastAsia="黑体" w:cs="黑体"/>
          <w:color w:val="auto"/>
          <w:sz w:val="24"/>
          <w:highlight w:val="none"/>
          <w:u w:val="single"/>
        </w:rPr>
        <w:t>：每月25日前提交下月工程进度计划，材料供应计划。</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（3）承担施工安全保卫工作及非夜间施工照明的责任和要求：执行通用条款及相关规定符合文明施工条件。</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（4）向发包人提供的办公和生活房屋及设施的要求：</w:t>
      </w:r>
      <w:r>
        <w:rPr>
          <w:rFonts w:hint="eastAsia" w:ascii="黑体" w:hAnsi="黑体" w:eastAsia="黑体" w:cs="黑体"/>
          <w:color w:val="auto"/>
          <w:sz w:val="24"/>
          <w:highlight w:val="none"/>
          <w:u w:val="single"/>
        </w:rPr>
        <w:t>向发包人和监理单位提供现场办公和生活用房屋及设施2间（不低于30平方米）。</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 xml:space="preserve">    （5）需承包人办理的有关施工场地交通、环卫和施工噪音管理等手续：</w:t>
      </w:r>
      <w:r>
        <w:rPr>
          <w:rFonts w:hint="eastAsia" w:ascii="黑体" w:hAnsi="黑体" w:eastAsia="黑体" w:cs="黑体"/>
          <w:color w:val="auto"/>
          <w:sz w:val="24"/>
          <w:highlight w:val="none"/>
          <w:u w:val="single"/>
        </w:rPr>
        <w:t>执行通用条款规定，符合城管、环卫、环保部门规定，并办理相关手续。</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 xml:space="preserve">   （6）已完工程成品保护的特殊要求及费用承担：</w:t>
      </w:r>
      <w:r>
        <w:rPr>
          <w:rFonts w:hint="eastAsia" w:ascii="黑体" w:hAnsi="黑体" w:eastAsia="黑体" w:cs="黑体"/>
          <w:color w:val="auto"/>
          <w:sz w:val="24"/>
          <w:highlight w:val="none"/>
          <w:u w:val="single"/>
        </w:rPr>
        <w:t>工程竣工验收前由承包人保护，工程竣工验收后由发包人保护，费用各自承担。</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 xml:space="preserve">   （7）施工场地周围地下管线和邻近建筑物、构筑物（含文物保护建筑）、古树名木的保护要求及费用承担：</w:t>
      </w:r>
      <w:r>
        <w:rPr>
          <w:rFonts w:hint="eastAsia" w:ascii="黑体" w:hAnsi="黑体" w:eastAsia="黑体" w:cs="黑体"/>
          <w:color w:val="auto"/>
          <w:sz w:val="24"/>
          <w:highlight w:val="none"/>
          <w:u w:val="single"/>
        </w:rPr>
        <w:t>发包人同相关自老，由承包人实施保护，费用发包人承担；由承包人人为原因造成的损失由承包人负担费用。</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 xml:space="preserve">   （8）施工场地清洁卫生的要求：</w:t>
      </w:r>
      <w:r>
        <w:rPr>
          <w:rFonts w:hint="eastAsia" w:ascii="黑体" w:hAnsi="黑体" w:eastAsia="黑体" w:cs="黑体"/>
          <w:color w:val="auto"/>
          <w:sz w:val="24"/>
          <w:highlight w:val="none"/>
          <w:u w:val="single"/>
        </w:rPr>
        <w:t>执行《通用条款》规定，符合环卫部门规定，文明施工。</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（9）双方约定承包人应做的其他工作：</w:t>
      </w:r>
      <w:r>
        <w:rPr>
          <w:rFonts w:hint="eastAsia" w:ascii="黑体" w:hAnsi="黑体" w:eastAsia="黑体" w:cs="黑体"/>
          <w:color w:val="auto"/>
          <w:sz w:val="24"/>
          <w:highlight w:val="none"/>
          <w:u w:val="single"/>
        </w:rPr>
        <w:t>协调并处理好施工现场周边及邻里关系。</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三、施工组织设计和工期</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10、进度计划</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10.1承包人提供施工组织设计（施工方案）和进度计划的时间：</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日前。</w:t>
      </w:r>
      <w:r>
        <w:rPr>
          <w:rFonts w:hint="eastAsia" w:ascii="黑体" w:hAnsi="黑体" w:eastAsia="黑体" w:cs="黑体"/>
          <w:color w:val="auto"/>
          <w:sz w:val="24"/>
          <w:highlight w:val="none"/>
        </w:rPr>
        <w:t xml:space="preserve">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监理工程师确认的时间：</w:t>
      </w:r>
      <w:r>
        <w:rPr>
          <w:rFonts w:hint="eastAsia" w:ascii="黑体" w:hAnsi="黑体" w:eastAsia="黑体" w:cs="黑体"/>
          <w:color w:val="auto"/>
          <w:sz w:val="24"/>
          <w:highlight w:val="none"/>
          <w:u w:val="single"/>
          <w:lang w:eastAsia="zh-CN"/>
        </w:rPr>
        <w:t>202</w:t>
      </w:r>
      <w:r>
        <w:rPr>
          <w:rFonts w:hint="eastAsia" w:ascii="黑体" w:hAnsi="黑体" w:eastAsia="黑体" w:cs="黑体"/>
          <w:color w:val="auto"/>
          <w:sz w:val="24"/>
          <w:highlight w:val="none"/>
          <w:u w:val="single"/>
          <w:lang w:val="en-US" w:eastAsia="zh-CN"/>
        </w:rPr>
        <w:t>2</w:t>
      </w:r>
      <w:r>
        <w:rPr>
          <w:rFonts w:hint="eastAsia" w:ascii="黑体" w:hAnsi="黑体" w:eastAsia="黑体" w:cs="黑体"/>
          <w:color w:val="auto"/>
          <w:sz w:val="24"/>
          <w:highlight w:val="none"/>
          <w:u w:val="single"/>
          <w:lang w:eastAsia="zh-CN"/>
        </w:rPr>
        <w:t>年</w:t>
      </w:r>
      <w:r>
        <w:rPr>
          <w:rFonts w:hint="eastAsia" w:ascii="黑体" w:hAnsi="黑体" w:eastAsia="黑体" w:cs="黑体"/>
          <w:color w:val="auto"/>
          <w:sz w:val="24"/>
          <w:highlight w:val="none"/>
          <w:u w:val="single"/>
        </w:rPr>
        <w:t xml:space="preserve"> 月 日前</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10.2群体工程中有关进度计划的要求：</w:t>
      </w:r>
      <w:r>
        <w:rPr>
          <w:rFonts w:hint="eastAsia" w:ascii="黑体" w:hAnsi="黑体" w:eastAsia="黑体" w:cs="黑体"/>
          <w:color w:val="auto"/>
          <w:sz w:val="24"/>
          <w:highlight w:val="none"/>
          <w:u w:val="single"/>
        </w:rPr>
        <w:t>符合审定的施工组织设计规定</w:t>
      </w:r>
      <w:r>
        <w:rPr>
          <w:rFonts w:hint="eastAsia" w:ascii="黑体" w:hAnsi="黑体" w:eastAsia="黑体" w:cs="黑体"/>
          <w:color w:val="auto"/>
          <w:sz w:val="24"/>
          <w:highlight w:val="none"/>
        </w:rPr>
        <w:t>。</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13、工期延误</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13.1双方约定工期顺延的其他情况：</w:t>
      </w:r>
      <w:r>
        <w:rPr>
          <w:rFonts w:hint="eastAsia" w:ascii="黑体" w:hAnsi="黑体" w:eastAsia="黑体" w:cs="黑体"/>
          <w:color w:val="auto"/>
          <w:sz w:val="24"/>
          <w:highlight w:val="none"/>
          <w:u w:val="single"/>
        </w:rPr>
        <w:t>因发包人或自然灾害原因致使工期延迟，工期按实际天数顺延；因承包人原因致使工期延误，按实际延误天数每天罚款200元人民币。最高不超过工程总造价的百分之五（5%）。</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四、质量与检验</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17、隐蔽工程和中间验收</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17.1双方约定中间验收部位：</w:t>
      </w:r>
      <w:r>
        <w:rPr>
          <w:rFonts w:hint="eastAsia" w:ascii="黑体" w:hAnsi="黑体" w:eastAsia="黑体" w:cs="黑体"/>
          <w:color w:val="auto"/>
          <w:sz w:val="24"/>
          <w:highlight w:val="none"/>
          <w:u w:val="single"/>
        </w:rPr>
        <w:t xml:space="preserve">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19、工程试车</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19.5试车费用的承担：</w:t>
      </w:r>
      <w:r>
        <w:rPr>
          <w:rFonts w:hint="eastAsia" w:ascii="黑体" w:hAnsi="黑体" w:eastAsia="黑体" w:cs="黑体"/>
          <w:color w:val="auto"/>
          <w:sz w:val="24"/>
          <w:highlight w:val="none"/>
          <w:u w:val="single"/>
        </w:rPr>
        <w:t xml:space="preserve">   无   </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五、安全防护、文明施工</w:t>
      </w:r>
    </w:p>
    <w:p>
      <w:pPr>
        <w:widowControl/>
        <w:spacing w:line="360" w:lineRule="auto"/>
        <w:ind w:firstLine="597" w:firstLineChars="249"/>
        <w:rPr>
          <w:rFonts w:hint="eastAsia" w:ascii="黑体" w:hAnsi="黑体" w:eastAsia="黑体" w:cs="黑体"/>
          <w:color w:val="auto"/>
          <w:sz w:val="24"/>
          <w:highlight w:val="none"/>
        </w:rPr>
      </w:pPr>
      <w:r>
        <w:rPr>
          <w:rFonts w:hint="eastAsia" w:ascii="黑体" w:hAnsi="黑体" w:eastAsia="黑体" w:cs="黑体"/>
          <w:color w:val="auto"/>
          <w:sz w:val="24"/>
          <w:highlight w:val="none"/>
        </w:rPr>
        <w:t>执行《通用条款》全部条款和国家及省、市关于文明施工的相关规定。</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六、合同价款</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26、合同价款约定</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26.2本合同价款采用</w:t>
      </w:r>
      <w:r>
        <w:rPr>
          <w:rFonts w:hint="eastAsia" w:ascii="黑体" w:hAnsi="黑体" w:eastAsia="黑体" w:cs="黑体"/>
          <w:color w:val="auto"/>
          <w:sz w:val="24"/>
          <w:highlight w:val="none"/>
          <w:u w:val="single"/>
        </w:rPr>
        <w:t>_  固定综合单价_ _</w:t>
      </w:r>
      <w:r>
        <w:rPr>
          <w:rFonts w:hint="eastAsia" w:ascii="黑体" w:hAnsi="黑体" w:eastAsia="黑体" w:cs="黑体"/>
          <w:color w:val="auto"/>
          <w:sz w:val="24"/>
          <w:highlight w:val="none"/>
        </w:rPr>
        <w:t>方式确定。</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（1）采用固定总价合同：</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（2）采用固定综合单价合同，综合单价中包括的风险范围：</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____________________________________________________________________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风险范围以外综合单价调整方法：_______________________________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（3）采用可调价格合同，合同价款调整方法：____________________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27、合同价款调整</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27.1双方约定合同价款的其他调整因素：_________________________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28、工程预付款</w:t>
      </w:r>
    </w:p>
    <w:p>
      <w:pPr>
        <w:widowControl/>
        <w:spacing w:line="360" w:lineRule="auto"/>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发包人向承包人预付工程款的时间和金额或占合同价款总额的比例： _______________________________________________________________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扣回工程款的时间、比例：_____________________________________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全防护、文明施工措施费用的比例和时间：__________________________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29、工程量确认</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29.1承包人向工程师提交已完工程量报告的时间：____________________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30、工程进度款结算与支付</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双方约定的工程进度款支付的方式、时间和比例是：___________________</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七、材料设备供应</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31、发包人供应材料设备</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31.4发包人供应的材料设备与一览表不符时，双方约定发包人承担责任如下：</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（1）材料设备单价与一览表不符：</w:t>
      </w:r>
      <w:r>
        <w:rPr>
          <w:rFonts w:hint="eastAsia" w:ascii="黑体" w:hAnsi="黑体" w:eastAsia="黑体" w:cs="黑体"/>
          <w:color w:val="auto"/>
          <w:sz w:val="24"/>
          <w:highlight w:val="none"/>
          <w:u w:val="single"/>
        </w:rPr>
        <w:t xml:space="preserve">  双方协商解决  </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（2）材料设备的品种、规格、型号、质量等级与一览表不符：</w:t>
      </w:r>
      <w:r>
        <w:rPr>
          <w:rFonts w:hint="eastAsia" w:ascii="黑体" w:hAnsi="黑体" w:eastAsia="黑体" w:cs="黑体"/>
          <w:color w:val="auto"/>
          <w:sz w:val="24"/>
          <w:highlight w:val="none"/>
          <w:u w:val="single"/>
        </w:rPr>
        <w:t>执行合同条款规定。</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（3）承包人可代为调剂串换的材料：</w:t>
      </w:r>
      <w:r>
        <w:rPr>
          <w:rFonts w:hint="eastAsia" w:ascii="黑体" w:hAnsi="黑体" w:eastAsia="黑体" w:cs="黑体"/>
          <w:color w:val="auto"/>
          <w:sz w:val="24"/>
          <w:highlight w:val="none"/>
          <w:u w:val="single"/>
        </w:rPr>
        <w:t xml:space="preserve">  执行合同条款规定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（4）到货地点与一览表不符：</w:t>
      </w:r>
      <w:r>
        <w:rPr>
          <w:rFonts w:hint="eastAsia" w:ascii="黑体" w:hAnsi="黑体" w:eastAsia="黑体" w:cs="黑体"/>
          <w:color w:val="auto"/>
          <w:sz w:val="24"/>
          <w:highlight w:val="none"/>
          <w:u w:val="single"/>
        </w:rPr>
        <w:t xml:space="preserve">  执行合同条款规定。</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（5）供应数量与一览表不符：</w:t>
      </w:r>
      <w:r>
        <w:rPr>
          <w:rFonts w:hint="eastAsia" w:ascii="黑体" w:hAnsi="黑体" w:eastAsia="黑体" w:cs="黑体"/>
          <w:color w:val="auto"/>
          <w:sz w:val="24"/>
          <w:highlight w:val="none"/>
          <w:u w:val="single"/>
        </w:rPr>
        <w:t xml:space="preserve">  执行合同条款规定。</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（6）到货时间与一览表不符：</w:t>
      </w:r>
      <w:r>
        <w:rPr>
          <w:rFonts w:hint="eastAsia" w:ascii="黑体" w:hAnsi="黑体" w:eastAsia="黑体" w:cs="黑体"/>
          <w:color w:val="auto"/>
          <w:sz w:val="24"/>
          <w:highlight w:val="none"/>
          <w:u w:val="single"/>
        </w:rPr>
        <w:t xml:space="preserve">  执行合同条款规定</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31.6发包人供应材料设备的结算方法：</w:t>
      </w:r>
      <w:r>
        <w:rPr>
          <w:rFonts w:hint="eastAsia" w:ascii="黑体" w:hAnsi="黑体" w:eastAsia="黑体" w:cs="黑体"/>
          <w:color w:val="auto"/>
          <w:sz w:val="24"/>
          <w:highlight w:val="none"/>
          <w:u w:val="single"/>
        </w:rPr>
        <w:t>按招标文件规定价格从当月进度款中扣除。</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32、承包人采购材料设备</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32.1承包人采购材料设备的约定：</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u w:val="single"/>
        </w:rPr>
        <w:t>_承包人采购材料材料设备在采购前10日内向发包人提供材料设备样品。质量指标，各种相关技术参数，由发包人认质认价后批量采购。</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八、工程变更</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b/>
          <w:color w:val="auto"/>
          <w:sz w:val="24"/>
          <w:highlight w:val="none"/>
        </w:rPr>
        <w:t xml:space="preserve"> </w:t>
      </w:r>
      <w:r>
        <w:rPr>
          <w:rFonts w:hint="eastAsia" w:ascii="黑体" w:hAnsi="黑体" w:eastAsia="黑体" w:cs="黑体"/>
          <w:color w:val="auto"/>
          <w:sz w:val="24"/>
          <w:highlight w:val="none"/>
        </w:rPr>
        <w:t xml:space="preserve">  工程设计变更以设计院出具书面报告由发包人认可认准。</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九、竣工验收与结算</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36、竣工验收</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36.1承包人提供竣工图的约定：</w:t>
      </w:r>
      <w:r>
        <w:rPr>
          <w:rFonts w:hint="eastAsia" w:ascii="黑体" w:hAnsi="黑体" w:eastAsia="黑体" w:cs="黑体"/>
          <w:color w:val="auto"/>
          <w:sz w:val="24"/>
          <w:highlight w:val="none"/>
          <w:u w:val="single"/>
        </w:rPr>
        <w:t>提供竣工图纸及竣工资料文件三套。</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36.6中间交工工程的范围和竣工时间：</w:t>
      </w:r>
      <w:r>
        <w:rPr>
          <w:rFonts w:hint="eastAsia" w:ascii="黑体" w:hAnsi="黑体" w:eastAsia="黑体" w:cs="黑体"/>
          <w:color w:val="auto"/>
          <w:sz w:val="24"/>
          <w:highlight w:val="none"/>
          <w:u w:val="single"/>
        </w:rPr>
        <w:t xml:space="preserve">  执行合同条款规定。</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37、竣工结算</w:t>
      </w:r>
    </w:p>
    <w:p>
      <w:pPr>
        <w:widowControl/>
        <w:spacing w:line="360" w:lineRule="auto"/>
        <w:ind w:firstLine="600" w:firstLineChars="25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结算审查期限：</w:t>
      </w:r>
      <w:r>
        <w:rPr>
          <w:rFonts w:hint="eastAsia" w:ascii="黑体" w:hAnsi="黑体" w:eastAsia="黑体" w:cs="黑体"/>
          <w:color w:val="auto"/>
          <w:sz w:val="24"/>
          <w:highlight w:val="none"/>
          <w:u w:val="single"/>
        </w:rPr>
        <w:t xml:space="preserve"> 全部资料提交后6个月内完成审计。</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十、违约、索赔和争议</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39、违约</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39.1本合同中关于发包人违约的具体责任如下：</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本合同通用条款第28.1条约定发包人违约应承担的违约责任：</w:t>
      </w:r>
      <w:r>
        <w:rPr>
          <w:rFonts w:hint="eastAsia" w:ascii="黑体" w:hAnsi="黑体" w:eastAsia="黑体" w:cs="黑体"/>
          <w:color w:val="auto"/>
          <w:sz w:val="24"/>
          <w:highlight w:val="none"/>
          <w:u w:val="single"/>
        </w:rPr>
        <w:t>执行合同通用条款。</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本合同通用条款第30.5款约定发包人违约应承担的违约责任：</w:t>
      </w:r>
      <w:r>
        <w:rPr>
          <w:rFonts w:hint="eastAsia" w:ascii="黑体" w:hAnsi="黑体" w:eastAsia="黑体" w:cs="黑体"/>
          <w:color w:val="auto"/>
          <w:sz w:val="24"/>
          <w:highlight w:val="none"/>
          <w:u w:val="single"/>
        </w:rPr>
        <w:t>执行合同通用条款。</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本合同通用条款第37.6款约定发包人违约应承担的违约责任：</w:t>
      </w:r>
      <w:r>
        <w:rPr>
          <w:rFonts w:hint="eastAsia" w:ascii="黑体" w:hAnsi="黑体" w:eastAsia="黑体" w:cs="黑体"/>
          <w:color w:val="auto"/>
          <w:sz w:val="24"/>
          <w:highlight w:val="none"/>
          <w:u w:val="single"/>
        </w:rPr>
        <w:t>执行合同通用条款。</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双方约定的发包人其他违约责任：</w:t>
      </w:r>
      <w:r>
        <w:rPr>
          <w:rFonts w:hint="eastAsia" w:ascii="黑体" w:hAnsi="黑体" w:eastAsia="黑体" w:cs="黑体"/>
          <w:color w:val="auto"/>
          <w:sz w:val="24"/>
          <w:highlight w:val="none"/>
          <w:u w:val="single"/>
        </w:rPr>
        <w:t>执行合同通用条款。</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39.2本合同中关于承包人违约的具体责任如下：</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本合同通用条款第14.2款约定承包人违约承担的违约责任</w:t>
      </w:r>
      <w:r>
        <w:rPr>
          <w:rFonts w:hint="eastAsia" w:ascii="黑体" w:hAnsi="黑体" w:eastAsia="黑体" w:cs="黑体"/>
          <w:color w:val="auto"/>
          <w:sz w:val="24"/>
          <w:highlight w:val="none"/>
          <w:u w:val="single"/>
        </w:rPr>
        <w:t>：因承包人原因致使工期延误，按实际延误天数每天罚款200元人民币，最高不超过工程总造价的百分之五（5%）。</w:t>
      </w:r>
    </w:p>
    <w:p>
      <w:pPr>
        <w:widowControl/>
        <w:spacing w:line="360" w:lineRule="auto"/>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本合同通用条款第15.1款约定承包人违约应承担的违约责任：</w:t>
      </w:r>
      <w:r>
        <w:rPr>
          <w:rFonts w:hint="eastAsia" w:ascii="黑体" w:hAnsi="黑体" w:eastAsia="黑体" w:cs="黑体"/>
          <w:color w:val="auto"/>
          <w:sz w:val="24"/>
          <w:highlight w:val="none"/>
          <w:u w:val="single"/>
        </w:rPr>
        <w:t>竣工工程质量达不到“合格”标准时，由承包人返还发包人已支付的全部工程费用，并处工程合同造价30%的罚金作为补偿。</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双方约定的承包人其他违约责任：</w:t>
      </w:r>
      <w:r>
        <w:rPr>
          <w:rFonts w:hint="eastAsia" w:ascii="黑体" w:hAnsi="黑体" w:eastAsia="黑体" w:cs="黑体"/>
          <w:color w:val="auto"/>
          <w:sz w:val="24"/>
          <w:highlight w:val="none"/>
          <w:u w:val="single"/>
        </w:rPr>
        <w:t xml:space="preserve">  执行合同通用条款。</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41、争议</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41.1双方当事人约定，在履行合同过程中产生争议时：</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（1）请</w:t>
      </w:r>
      <w:r>
        <w:rPr>
          <w:rFonts w:hint="eastAsia" w:ascii="黑体" w:hAnsi="黑体" w:eastAsia="黑体" w:cs="黑体"/>
          <w:color w:val="auto"/>
          <w:sz w:val="24"/>
          <w:highlight w:val="none"/>
          <w:u w:val="single"/>
        </w:rPr>
        <w:t>_建设管理部门_</w:t>
      </w:r>
      <w:r>
        <w:rPr>
          <w:rFonts w:hint="eastAsia" w:ascii="黑体" w:hAnsi="黑体" w:eastAsia="黑体" w:cs="黑体"/>
          <w:color w:val="auto"/>
          <w:sz w:val="24"/>
          <w:highlight w:val="none"/>
        </w:rPr>
        <w:t>调解；</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（2）合同争议调解不成的，按下列第</w:t>
      </w:r>
      <w:r>
        <w:rPr>
          <w:rFonts w:hint="eastAsia" w:ascii="黑体" w:hAnsi="黑体" w:eastAsia="黑体" w:cs="黑体"/>
          <w:color w:val="auto"/>
          <w:sz w:val="24"/>
          <w:highlight w:val="none"/>
          <w:u w:val="single"/>
        </w:rPr>
        <w:t>__（1）__</w:t>
      </w:r>
      <w:r>
        <w:rPr>
          <w:rFonts w:hint="eastAsia" w:ascii="黑体" w:hAnsi="黑体" w:eastAsia="黑体" w:cs="黑体"/>
          <w:color w:val="auto"/>
          <w:sz w:val="24"/>
          <w:highlight w:val="none"/>
        </w:rPr>
        <w:t>种方式解决：</w:t>
      </w:r>
    </w:p>
    <w:p>
      <w:pPr>
        <w:widowControl/>
        <w:spacing w:line="360" w:lineRule="auto"/>
        <w:ind w:firstLine="720" w:firstLineChars="3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1）提交 </w:t>
      </w:r>
      <w:r>
        <w:rPr>
          <w:rFonts w:hint="eastAsia" w:ascii="黑体" w:hAnsi="黑体" w:eastAsia="黑体" w:cs="黑体"/>
          <w:color w:val="auto"/>
          <w:sz w:val="24"/>
          <w:highlight w:val="none"/>
          <w:u w:val="single"/>
        </w:rPr>
        <w:t>_宝鸡市_</w:t>
      </w:r>
      <w:r>
        <w:rPr>
          <w:rFonts w:hint="eastAsia" w:ascii="黑体" w:hAnsi="黑体" w:eastAsia="黑体" w:cs="黑体"/>
          <w:color w:val="auto"/>
          <w:sz w:val="24"/>
          <w:highlight w:val="none"/>
        </w:rPr>
        <w:t>仲裁委员会申请仲裁；</w:t>
      </w:r>
    </w:p>
    <w:p>
      <w:pPr>
        <w:widowControl/>
        <w:spacing w:line="360" w:lineRule="auto"/>
        <w:ind w:firstLine="720" w:firstLineChars="300"/>
        <w:rPr>
          <w:rFonts w:hint="eastAsia" w:ascii="黑体" w:hAnsi="黑体" w:eastAsia="黑体" w:cs="黑体"/>
          <w:color w:val="auto"/>
          <w:sz w:val="24"/>
          <w:highlight w:val="none"/>
        </w:rPr>
      </w:pPr>
      <w:r>
        <w:rPr>
          <w:rFonts w:hint="eastAsia" w:ascii="黑体" w:hAnsi="黑体" w:eastAsia="黑体" w:cs="黑体"/>
          <w:color w:val="auto"/>
          <w:sz w:val="24"/>
          <w:highlight w:val="none"/>
        </w:rPr>
        <w:t>2）依法向____________人民法院提起诉讼。</w:t>
      </w:r>
    </w:p>
    <w:p>
      <w:pPr>
        <w:widowControl/>
        <w:spacing w:line="360" w:lineRule="auto"/>
        <w:ind w:firstLine="482" w:firstLineChars="200"/>
        <w:rPr>
          <w:rFonts w:hint="eastAsia" w:ascii="黑体" w:hAnsi="黑体" w:eastAsia="黑体" w:cs="黑体"/>
          <w:b/>
          <w:color w:val="auto"/>
          <w:sz w:val="24"/>
          <w:highlight w:val="none"/>
        </w:rPr>
      </w:pPr>
      <w:r>
        <w:rPr>
          <w:rFonts w:hint="eastAsia" w:ascii="黑体" w:hAnsi="黑体" w:eastAsia="黑体" w:cs="黑体"/>
          <w:b/>
          <w:color w:val="auto"/>
          <w:sz w:val="24"/>
          <w:highlight w:val="none"/>
        </w:rPr>
        <w:t>十一、其他</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42、工程分包</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42.1本工程发包人同意承包人分包的专业工程：</w:t>
      </w:r>
      <w:r>
        <w:rPr>
          <w:rFonts w:hint="eastAsia" w:ascii="黑体" w:hAnsi="黑体" w:eastAsia="黑体" w:cs="黑体"/>
          <w:color w:val="auto"/>
          <w:sz w:val="24"/>
          <w:highlight w:val="none"/>
          <w:u w:val="single"/>
        </w:rPr>
        <w:t xml:space="preserve">  无  </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分包施工单位为：</w:t>
      </w:r>
      <w:r>
        <w:rPr>
          <w:rFonts w:hint="eastAsia" w:ascii="黑体" w:hAnsi="黑体" w:eastAsia="黑体" w:cs="黑体"/>
          <w:color w:val="auto"/>
          <w:sz w:val="24"/>
          <w:highlight w:val="none"/>
          <w:u w:val="single"/>
        </w:rPr>
        <w:t xml:space="preserve">  无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43、不可抗力</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43.1双方关于不可抗力的约定：</w:t>
      </w:r>
      <w:r>
        <w:rPr>
          <w:rFonts w:hint="eastAsia" w:ascii="黑体" w:hAnsi="黑体" w:eastAsia="黑体" w:cs="黑体"/>
          <w:color w:val="auto"/>
          <w:sz w:val="24"/>
          <w:highlight w:val="none"/>
          <w:u w:val="single"/>
        </w:rPr>
        <w:t xml:space="preserve">  按国家相关规定执行。</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44、保险</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44.6本工程双方约定投保内容如下：</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（1）发包人投保内容：</w:t>
      </w:r>
      <w:r>
        <w:rPr>
          <w:rFonts w:hint="eastAsia" w:ascii="黑体" w:hAnsi="黑体" w:eastAsia="黑体" w:cs="黑体"/>
          <w:color w:val="auto"/>
          <w:sz w:val="24"/>
          <w:highlight w:val="none"/>
          <w:u w:val="single"/>
        </w:rPr>
        <w:t xml:space="preserve">  现场工程师意外伤害险。</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发包人委托承包人办理的保险事项：</w:t>
      </w:r>
      <w:r>
        <w:rPr>
          <w:rFonts w:hint="eastAsia" w:ascii="黑体" w:hAnsi="黑体" w:eastAsia="黑体" w:cs="黑体"/>
          <w:color w:val="auto"/>
          <w:sz w:val="24"/>
          <w:highlight w:val="none"/>
          <w:u w:val="single"/>
        </w:rPr>
        <w:t xml:space="preserve">  无  </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（2）承包人投保内容：</w:t>
      </w:r>
      <w:r>
        <w:rPr>
          <w:rFonts w:hint="eastAsia" w:ascii="黑体" w:hAnsi="黑体" w:eastAsia="黑体" w:cs="黑体"/>
          <w:color w:val="auto"/>
          <w:sz w:val="24"/>
          <w:highlight w:val="none"/>
          <w:u w:val="single"/>
        </w:rPr>
        <w:t xml:space="preserve"> 施工现场一切险种 </w:t>
      </w:r>
      <w:r>
        <w:rPr>
          <w:rFonts w:hint="eastAsia" w:ascii="黑体" w:hAnsi="黑体" w:eastAsia="黑体" w:cs="黑体"/>
          <w:color w:val="auto"/>
          <w:sz w:val="24"/>
          <w:highlight w:val="none"/>
        </w:rPr>
        <w:t>。</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45、担保</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45.3本工程双方约定担保事项如下：</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（1）发包人向承包人提供支付担保，担保方式为：____________________，担保金额：______________________，担保有效期：________________________。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（2）承包人向发包人提供履约担保，担保方式为：___________________，担保金额：____________________，担保有效期：______________________。</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（3）双方约定的其他担保事项：</w:t>
      </w:r>
      <w:r>
        <w:rPr>
          <w:rFonts w:hint="eastAsia" w:ascii="黑体" w:hAnsi="黑体" w:eastAsia="黑体" w:cs="黑体"/>
          <w:color w:val="auto"/>
          <w:sz w:val="24"/>
          <w:highlight w:val="none"/>
          <w:u w:val="single"/>
        </w:rPr>
        <w:t xml:space="preserve">  无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50、合同份数</w:t>
      </w:r>
    </w:p>
    <w:p>
      <w:pPr>
        <w:widowControl/>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50.2双方约定合同副本份数：</w:t>
      </w:r>
      <w:r>
        <w:rPr>
          <w:rFonts w:hint="eastAsia" w:ascii="黑体" w:hAnsi="黑体" w:eastAsia="黑体" w:cs="黑体"/>
          <w:color w:val="auto"/>
          <w:sz w:val="24"/>
          <w:highlight w:val="none"/>
          <w:u w:val="single"/>
        </w:rPr>
        <w:t xml:space="preserve">  正本贰份，副本  份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51、补充条款</w:t>
      </w:r>
    </w:p>
    <w:p>
      <w:pPr>
        <w:widowControl/>
        <w:spacing w:line="400" w:lineRule="auto"/>
        <w:ind w:firstLine="480" w:firstLineChars="200"/>
        <w:rPr>
          <w:rFonts w:hint="eastAsia" w:ascii="黑体" w:hAnsi="黑体" w:eastAsia="黑体" w:cs="黑体"/>
          <w:color w:val="auto"/>
          <w:sz w:val="24"/>
          <w:highlight w:val="none"/>
        </w:rPr>
      </w:pPr>
    </w:p>
    <w:p>
      <w:pPr>
        <w:pStyle w:val="23"/>
        <w:spacing w:before="0" w:beforeAutospacing="0" w:after="0" w:afterAutospacing="0" w:line="400" w:lineRule="auto"/>
        <w:ind w:firstLine="480" w:firstLineChars="200"/>
        <w:jc w:val="both"/>
        <w:rPr>
          <w:rFonts w:hint="eastAsia" w:ascii="黑体" w:hAnsi="黑体" w:eastAsia="黑体" w:cs="黑体"/>
          <w:color w:val="auto"/>
          <w:highlight w:val="none"/>
        </w:rPr>
        <w:sectPr>
          <w:pgSz w:w="11849" w:h="16781"/>
          <w:pgMar w:top="1440" w:right="1083" w:bottom="1440" w:left="1083" w:header="720" w:footer="720" w:gutter="0"/>
          <w:pgNumType w:fmt="decimal"/>
          <w:cols w:space="0" w:num="1"/>
          <w:rtlGutter w:val="0"/>
          <w:docGrid w:linePitch="0" w:charSpace="0"/>
        </w:sectPr>
      </w:pPr>
      <w:r>
        <w:rPr>
          <w:rFonts w:hint="eastAsia" w:ascii="黑体" w:hAnsi="黑体" w:eastAsia="黑体" w:cs="黑体"/>
          <w:color w:val="auto"/>
          <w:highlight w:val="none"/>
        </w:rPr>
        <w:t>附件3：工程质量保修书</w:t>
      </w:r>
    </w:p>
    <w:p>
      <w:pPr>
        <w:pStyle w:val="23"/>
        <w:spacing w:before="0" w:beforeAutospacing="0" w:after="0" w:afterAutospacing="0" w:line="300" w:lineRule="auto"/>
        <w:jc w:val="both"/>
        <w:rPr>
          <w:rFonts w:hint="eastAsia" w:ascii="黑体" w:hAnsi="黑体" w:eastAsia="黑体" w:cs="黑体"/>
          <w:color w:val="auto"/>
          <w:sz w:val="21"/>
          <w:szCs w:val="18"/>
          <w:highlight w:val="none"/>
        </w:rPr>
      </w:pPr>
    </w:p>
    <w:p>
      <w:pPr>
        <w:pStyle w:val="23"/>
        <w:spacing w:before="0" w:beforeAutospacing="0" w:after="0" w:afterAutospacing="0" w:line="300" w:lineRule="auto"/>
        <w:jc w:val="both"/>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附件1：</w:t>
      </w:r>
    </w:p>
    <w:p>
      <w:pPr>
        <w:pStyle w:val="23"/>
        <w:spacing w:before="0" w:beforeAutospacing="0" w:after="0" w:afterAutospacing="0" w:line="300" w:lineRule="auto"/>
        <w:jc w:val="center"/>
        <w:rPr>
          <w:rFonts w:hint="eastAsia" w:ascii="黑体" w:hAnsi="黑体" w:eastAsia="黑体" w:cs="黑体"/>
          <w:b/>
          <w:bCs/>
          <w:color w:val="auto"/>
          <w:sz w:val="36"/>
          <w:szCs w:val="18"/>
          <w:highlight w:val="none"/>
        </w:rPr>
      </w:pPr>
      <w:r>
        <w:rPr>
          <w:rFonts w:hint="eastAsia" w:ascii="黑体" w:hAnsi="黑体" w:eastAsia="黑体" w:cs="黑体"/>
          <w:b/>
          <w:bCs/>
          <w:color w:val="auto"/>
          <w:sz w:val="36"/>
          <w:szCs w:val="18"/>
          <w:highlight w:val="none"/>
        </w:rPr>
        <w:t>承包人承揽工程项目一览表</w:t>
      </w:r>
    </w:p>
    <w:tbl>
      <w:tblPr>
        <w:tblStyle w:val="24"/>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747"/>
        <w:gridCol w:w="749"/>
        <w:gridCol w:w="753"/>
        <w:gridCol w:w="550"/>
        <w:gridCol w:w="1050"/>
        <w:gridCol w:w="1535"/>
        <w:gridCol w:w="1226"/>
        <w:gridCol w:w="900"/>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单位工程名称</w:t>
            </w: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建设</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规模</w:t>
            </w: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建筑</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面积</w:t>
            </w: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结构</w:t>
            </w: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层数</w:t>
            </w: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跨度</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（米）</w:t>
            </w: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设备安装内容</w:t>
            </w: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工程造价（元）</w:t>
            </w: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开工</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日期</w:t>
            </w: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竣工</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79"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38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278"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531"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76"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20"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55"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43" w:type="pct"/>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bl>
    <w:p>
      <w:pPr>
        <w:pStyle w:val="23"/>
        <w:spacing w:before="0" w:beforeAutospacing="0" w:after="0" w:afterAutospacing="0" w:line="300" w:lineRule="auto"/>
        <w:jc w:val="both"/>
        <w:rPr>
          <w:rFonts w:hint="eastAsia" w:ascii="黑体" w:hAnsi="黑体" w:eastAsia="黑体" w:cs="黑体"/>
          <w:color w:val="auto"/>
          <w:sz w:val="21"/>
          <w:szCs w:val="18"/>
          <w:highlight w:val="none"/>
        </w:rPr>
        <w:sectPr>
          <w:headerReference r:id="rId10" w:type="first"/>
          <w:pgSz w:w="11849" w:h="16781"/>
          <w:pgMar w:top="1440" w:right="1083" w:bottom="1440" w:left="1083" w:header="720" w:footer="720" w:gutter="0"/>
          <w:pgNumType w:fmt="decimal"/>
          <w:cols w:space="0" w:num="1"/>
          <w:rtlGutter w:val="0"/>
          <w:docGrid w:linePitch="0" w:charSpace="0"/>
        </w:sectPr>
      </w:pPr>
    </w:p>
    <w:p>
      <w:pPr>
        <w:pStyle w:val="23"/>
        <w:spacing w:before="0" w:beforeAutospacing="0" w:after="0" w:afterAutospacing="0" w:line="300" w:lineRule="auto"/>
        <w:jc w:val="both"/>
        <w:rPr>
          <w:rFonts w:hint="eastAsia" w:ascii="黑体" w:hAnsi="黑体" w:eastAsia="黑体" w:cs="黑体"/>
          <w:color w:val="auto"/>
          <w:sz w:val="21"/>
          <w:szCs w:val="18"/>
          <w:highlight w:val="none"/>
        </w:rPr>
      </w:pPr>
    </w:p>
    <w:p>
      <w:pPr>
        <w:pStyle w:val="23"/>
        <w:spacing w:before="0" w:beforeAutospacing="0" w:after="0" w:afterAutospacing="0" w:line="300" w:lineRule="auto"/>
        <w:jc w:val="both"/>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附件2：</w:t>
      </w:r>
    </w:p>
    <w:p>
      <w:pPr>
        <w:pStyle w:val="23"/>
        <w:spacing w:before="0" w:beforeAutospacing="0" w:after="0" w:afterAutospacing="0" w:line="300" w:lineRule="auto"/>
        <w:jc w:val="center"/>
        <w:rPr>
          <w:rFonts w:hint="eastAsia" w:ascii="黑体" w:hAnsi="黑体" w:eastAsia="黑体" w:cs="黑体"/>
          <w:bCs/>
          <w:color w:val="auto"/>
          <w:sz w:val="36"/>
          <w:szCs w:val="18"/>
          <w:highlight w:val="none"/>
        </w:rPr>
      </w:pPr>
      <w:r>
        <w:rPr>
          <w:rFonts w:hint="eastAsia" w:ascii="黑体" w:hAnsi="黑体" w:eastAsia="黑体" w:cs="黑体"/>
          <w:bCs/>
          <w:color w:val="auto"/>
          <w:sz w:val="36"/>
          <w:szCs w:val="18"/>
          <w:highlight w:val="none"/>
        </w:rPr>
        <w:t>发包供应材料设备一览表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406"/>
        <w:gridCol w:w="712"/>
        <w:gridCol w:w="426"/>
        <w:gridCol w:w="619"/>
        <w:gridCol w:w="632"/>
        <w:gridCol w:w="886"/>
        <w:gridCol w:w="886"/>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序号</w:t>
            </w: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材料设备品种</w:t>
            </w: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规格</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型号</w:t>
            </w: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单位</w:t>
            </w: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数量</w:t>
            </w: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单价</w:t>
            </w: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质量</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等级</w:t>
            </w: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供应</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时间</w:t>
            </w: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送达</w:t>
            </w:r>
          </w:p>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地点</w:t>
            </w: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r>
              <w:rPr>
                <w:rFonts w:hint="eastAsia" w:ascii="黑体" w:hAnsi="黑体" w:eastAsia="黑体" w:cs="黑体"/>
                <w:color w:val="auto"/>
                <w:sz w:val="21"/>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23"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right"/>
              <w:rPr>
                <w:rFonts w:hint="eastAsia" w:ascii="黑体" w:hAnsi="黑体" w:eastAsia="黑体" w:cs="黑体"/>
                <w:color w:val="auto"/>
                <w:sz w:val="21"/>
                <w:szCs w:val="18"/>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71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42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19"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632"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c>
          <w:tcPr>
            <w:tcW w:w="886" w:type="dxa"/>
            <w:tcBorders>
              <w:top w:val="single" w:color="auto" w:sz="4" w:space="0"/>
              <w:left w:val="single" w:color="auto" w:sz="4" w:space="0"/>
              <w:bottom w:val="single" w:color="auto" w:sz="4" w:space="0"/>
              <w:right w:val="single" w:color="auto" w:sz="4" w:space="0"/>
            </w:tcBorders>
            <w:noWrap w:val="0"/>
            <w:vAlign w:val="center"/>
          </w:tcPr>
          <w:p>
            <w:pPr>
              <w:pStyle w:val="23"/>
              <w:spacing w:before="0" w:beforeAutospacing="0" w:after="0" w:afterAutospacing="0"/>
              <w:jc w:val="center"/>
              <w:rPr>
                <w:rFonts w:hint="eastAsia" w:ascii="黑体" w:hAnsi="黑体" w:eastAsia="黑体" w:cs="黑体"/>
                <w:color w:val="auto"/>
                <w:sz w:val="21"/>
                <w:szCs w:val="18"/>
                <w:highlight w:val="none"/>
              </w:rPr>
            </w:pPr>
          </w:p>
        </w:tc>
      </w:tr>
    </w:tbl>
    <w:p>
      <w:pPr>
        <w:pStyle w:val="23"/>
        <w:spacing w:before="0" w:beforeAutospacing="0" w:after="0" w:afterAutospacing="0" w:line="300" w:lineRule="auto"/>
        <w:jc w:val="both"/>
        <w:rPr>
          <w:rFonts w:hint="eastAsia" w:ascii="黑体" w:hAnsi="黑体" w:eastAsia="黑体" w:cs="黑体"/>
          <w:color w:val="auto"/>
          <w:szCs w:val="18"/>
          <w:highlight w:val="none"/>
        </w:rPr>
      </w:pPr>
      <w:r>
        <w:rPr>
          <w:rFonts w:hint="eastAsia" w:ascii="黑体" w:hAnsi="黑体" w:eastAsia="黑体" w:cs="黑体"/>
          <w:color w:val="auto"/>
          <w:szCs w:val="18"/>
          <w:highlight w:val="none"/>
        </w:rPr>
        <w:br w:type="page"/>
      </w:r>
      <w:r>
        <w:rPr>
          <w:rFonts w:hint="eastAsia" w:ascii="黑体" w:hAnsi="黑体" w:eastAsia="黑体" w:cs="黑体"/>
          <w:color w:val="auto"/>
          <w:szCs w:val="18"/>
          <w:highlight w:val="none"/>
        </w:rPr>
        <w:t>附件3：</w:t>
      </w:r>
    </w:p>
    <w:p>
      <w:pPr>
        <w:widowControl/>
        <w:spacing w:line="360" w:lineRule="auto"/>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工程质量保修书</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发包人(全称)： ________________________________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承包人(全称)： ________________________________</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为保证________________________________________（工程名称）在合理使用期限内正常使用，发包人、承包人协商一致签订工程质量保修书。承包人在质量保修期内按照有关管理规定及双方约定承担工程质量保修责任。</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一、工程质量保修范围和内容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质量保修范围：具体质量保修内容双方约定如下：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本工程合同规定工程范围内由承包人的所有工程内容为工程质量保修范围的内容。</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二、质量保修期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双方根据《建设工程质量管理条例》及有关规定，约定本工程的质量保修期如下： 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1.地基基础工程和主体结构工程为设计文件规定的该工程合理使用年限； 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2.屋面防水工程、有防水要求的卫生间、房间和外墙面的防渗漏</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rPr>
        <w:t>年； 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3.装修工程为</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rPr>
        <w:t>年； 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4.电气管线、给排水管道、设备安装工程为 </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rPr>
        <w:t>年；</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5.供热与供冷系统为</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rPr>
        <w:t>个采暖期、供冷期；</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6.小区内的给排水设施、道路等配套工程为</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rPr>
        <w:t>年； 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7.其他工程保修期限约定如下：</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rPr>
        <w:t>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质量保修期自工程竣工验收合格之日起计算。</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三、质量保修责任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1、属于保修范围和内容的项目，承包人应在接到修理通知之日后7天内派人修理。承包人不在约定期限内派人修理，发包人可委托其他人员修理，保修费用从质量保修金内扣除。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2、发生须紧急抢修事故（如上水跑水、暖气漏水漏气、燃气漏气等），承包人接到事故通知后，应立即到达事故现场抢修。非承包人施工质量引起的事故，抢修费用由发包人承担。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3、在国家规定的工程合理使用期限内，承包人确保地基基础工程和主体结构的质量。因承包人原因致使工程在合理使用期限内造成人身和财产损害的，承包人应承担损害赔偿责任。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四、质量保修金的支付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本工程约定的工程质量保修金为施工合同价款的_______________%。 </w:t>
      </w:r>
    </w:p>
    <w:p>
      <w:pPr>
        <w:widowControl/>
        <w:spacing w:line="360" w:lineRule="auto"/>
        <w:ind w:firstLine="600" w:firstLineChars="250"/>
        <w:rPr>
          <w:rFonts w:hint="eastAsia" w:ascii="黑体" w:hAnsi="黑体" w:eastAsia="黑体" w:cs="黑体"/>
          <w:color w:val="auto"/>
          <w:sz w:val="24"/>
          <w:highlight w:val="none"/>
        </w:rPr>
      </w:pPr>
      <w:r>
        <w:rPr>
          <w:rFonts w:hint="eastAsia" w:ascii="黑体" w:hAnsi="黑体" w:eastAsia="黑体" w:cs="黑体"/>
          <w:color w:val="auto"/>
          <w:sz w:val="24"/>
          <w:highlight w:val="none"/>
        </w:rPr>
        <w:t>本工程双方约定承包人向发包人支付工程质量保修金金额为________（大写）。质量保修金银行利率为</w:t>
      </w:r>
      <w:r>
        <w:rPr>
          <w:rFonts w:hint="eastAsia" w:ascii="黑体" w:hAnsi="黑体" w:eastAsia="黑体" w:cs="黑体"/>
          <w:color w:val="auto"/>
          <w:sz w:val="24"/>
          <w:highlight w:val="none"/>
          <w:u w:val="single"/>
        </w:rPr>
        <w:t>_无_</w:t>
      </w:r>
      <w:r>
        <w:rPr>
          <w:rFonts w:hint="eastAsia" w:ascii="黑体" w:hAnsi="黑体" w:eastAsia="黑体" w:cs="黑体"/>
          <w:color w:val="auto"/>
          <w:sz w:val="24"/>
          <w:highlight w:val="none"/>
        </w:rPr>
        <w:t xml:space="preserve">。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五、质量保修金的返还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发包人在质量保修期满后14天内，将剩余保修金和利息返还承包人。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六、其他 </w:t>
      </w:r>
    </w:p>
    <w:p>
      <w:pPr>
        <w:widowControl/>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双方约定的其他工程质量保修事项：</w:t>
      </w:r>
      <w:r>
        <w:rPr>
          <w:rFonts w:hint="eastAsia" w:ascii="黑体" w:hAnsi="黑体" w:eastAsia="黑体" w:cs="黑体"/>
          <w:color w:val="auto"/>
          <w:sz w:val="24"/>
          <w:highlight w:val="none"/>
          <w:u w:val="single"/>
        </w:rPr>
        <w:t xml:space="preserve">  无  。</w:t>
      </w: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本工程质量保修作书为施工合同的附件，由施工合同发包人、承包人双方共同签订。</w:t>
      </w:r>
    </w:p>
    <w:p>
      <w:pPr>
        <w:widowControl/>
        <w:spacing w:line="360" w:lineRule="auto"/>
        <w:ind w:firstLine="480" w:firstLineChars="200"/>
        <w:rPr>
          <w:rFonts w:hint="eastAsia" w:ascii="黑体" w:hAnsi="黑体" w:eastAsia="黑体" w:cs="黑体"/>
          <w:color w:val="auto"/>
          <w:sz w:val="24"/>
          <w:highlight w:val="none"/>
        </w:rPr>
      </w:pPr>
    </w:p>
    <w:p>
      <w:pPr>
        <w:widowControl/>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w:t>
      </w:r>
    </w:p>
    <w:p>
      <w:pPr>
        <w:widowControl/>
        <w:spacing w:line="360" w:lineRule="auto"/>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发 包 人（公章）：_______________  承 包 人（公章）：________________</w:t>
      </w:r>
    </w:p>
    <w:p>
      <w:pPr>
        <w:widowControl/>
        <w:spacing w:line="360" w:lineRule="auto"/>
        <w:ind w:firstLine="480" w:firstLineChars="200"/>
        <w:outlineLvl w:val="9"/>
        <w:rPr>
          <w:rFonts w:hint="eastAsia" w:ascii="黑体" w:hAnsi="黑体" w:eastAsia="黑体" w:cs="黑体"/>
          <w:color w:val="auto"/>
          <w:sz w:val="24"/>
          <w:highlight w:val="none"/>
        </w:rPr>
      </w:pPr>
    </w:p>
    <w:p>
      <w:pPr>
        <w:widowControl/>
        <w:spacing w:line="360" w:lineRule="auto"/>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法定代表人（签字）：_____________  法定代表人（签字）：______________</w:t>
      </w:r>
    </w:p>
    <w:p>
      <w:pPr>
        <w:widowControl/>
        <w:spacing w:line="360" w:lineRule="auto"/>
        <w:ind w:firstLine="480" w:firstLineChars="200"/>
        <w:outlineLvl w:val="9"/>
        <w:rPr>
          <w:rFonts w:hint="eastAsia" w:ascii="黑体" w:hAnsi="黑体" w:eastAsia="黑体" w:cs="黑体"/>
          <w:color w:val="auto"/>
          <w:sz w:val="24"/>
          <w:highlight w:val="none"/>
        </w:rPr>
      </w:pPr>
    </w:p>
    <w:p>
      <w:pPr>
        <w:spacing w:before="0" w:after="0" w:line="480" w:lineRule="auto"/>
        <w:jc w:val="center"/>
        <w:outlineLvl w:val="9"/>
        <w:rPr>
          <w:rFonts w:hint="eastAsia" w:ascii="黑体" w:hAnsi="黑体" w:eastAsia="黑体" w:cs="黑体"/>
          <w:color w:val="auto"/>
          <w:sz w:val="24"/>
          <w:highlight w:val="none"/>
        </w:rPr>
      </w:pPr>
      <w:bookmarkStart w:id="58" w:name="_Toc18015"/>
      <w:r>
        <w:rPr>
          <w:rFonts w:hint="eastAsia" w:ascii="黑体" w:hAnsi="黑体" w:eastAsia="黑体" w:cs="黑体"/>
          <w:color w:val="auto"/>
          <w:sz w:val="24"/>
          <w:highlight w:val="none"/>
        </w:rPr>
        <w:t>_____年_____月_____日                 _____ 年_____月_____日</w:t>
      </w:r>
      <w:bookmarkEnd w:id="58"/>
    </w:p>
    <w:p>
      <w:pPr>
        <w:adjustRightInd w:val="0"/>
        <w:snapToGrid w:val="0"/>
        <w:spacing w:line="360" w:lineRule="auto"/>
        <w:ind w:firstLine="475" w:firstLineChars="198"/>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br w:type="page"/>
      </w:r>
    </w:p>
    <w:p>
      <w:pPr>
        <w:pStyle w:val="3"/>
        <w:spacing w:before="0" w:after="0" w:line="480" w:lineRule="auto"/>
        <w:jc w:val="center"/>
        <w:rPr>
          <w:rFonts w:hint="eastAsia" w:ascii="黑体" w:hAnsi="黑体" w:eastAsia="黑体" w:cs="黑体"/>
          <w:color w:val="auto"/>
          <w:highlight w:val="none"/>
          <w:lang w:val="en-US" w:eastAsia="zh-CN"/>
        </w:rPr>
      </w:pPr>
      <w:bookmarkStart w:id="59" w:name="_Toc24072"/>
      <w:r>
        <w:rPr>
          <w:rFonts w:hint="eastAsia" w:ascii="黑体" w:hAnsi="黑体" w:eastAsia="黑体" w:cs="黑体"/>
          <w:color w:val="auto"/>
          <w:highlight w:val="none"/>
        </w:rPr>
        <w:t xml:space="preserve">第六章 </w:t>
      </w:r>
      <w:bookmarkEnd w:id="57"/>
      <w:r>
        <w:rPr>
          <w:rFonts w:hint="eastAsia" w:ascii="黑体" w:hAnsi="黑体" w:eastAsia="黑体" w:cs="黑体"/>
          <w:color w:val="auto"/>
          <w:highlight w:val="none"/>
          <w:lang w:val="en-US" w:eastAsia="zh-CN"/>
        </w:rPr>
        <w:t>磋商响应文件组成部分</w:t>
      </w:r>
      <w:bookmarkEnd w:id="59"/>
    </w:p>
    <w:p>
      <w:pPr>
        <w:spacing w:line="480" w:lineRule="auto"/>
        <w:jc w:val="both"/>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一、</w:t>
      </w:r>
      <w:r>
        <w:rPr>
          <w:rFonts w:hint="eastAsia" w:ascii="黑体" w:hAnsi="黑体" w:eastAsia="黑体" w:cs="黑体"/>
          <w:b/>
          <w:bCs/>
          <w:sz w:val="32"/>
          <w:szCs w:val="32"/>
          <w:lang w:val="en-US" w:eastAsia="zh-CN"/>
        </w:rPr>
        <w:t>响应</w:t>
      </w:r>
      <w:r>
        <w:rPr>
          <w:rFonts w:hint="eastAsia" w:ascii="黑体" w:hAnsi="黑体" w:eastAsia="黑体" w:cs="黑体"/>
          <w:b/>
          <w:bCs/>
          <w:sz w:val="32"/>
          <w:szCs w:val="32"/>
          <w:lang w:eastAsia="zh-CN"/>
        </w:rPr>
        <w:t>文件格式</w:t>
      </w:r>
    </w:p>
    <w:p>
      <w:pPr>
        <w:spacing w:line="480" w:lineRule="auto"/>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二、资质证明文件</w:t>
      </w:r>
    </w:p>
    <w:p>
      <w:pPr>
        <w:spacing w:line="480" w:lineRule="auto"/>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三、符合性证明文件</w:t>
      </w:r>
    </w:p>
    <w:p>
      <w:pPr>
        <w:spacing w:line="480" w:lineRule="auto"/>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四、响应方案</w:t>
      </w:r>
    </w:p>
    <w:p>
      <w:pPr>
        <w:spacing w:line="360" w:lineRule="auto"/>
        <w:ind w:firstLine="4003" w:firstLineChars="1246"/>
        <w:rPr>
          <w:rFonts w:hint="eastAsia" w:ascii="黑体" w:hAnsi="黑体" w:eastAsia="黑体" w:cs="黑体"/>
          <w:b/>
          <w:color w:val="auto"/>
          <w:sz w:val="32"/>
          <w:szCs w:val="32"/>
          <w:highlight w:val="none"/>
        </w:rPr>
      </w:pPr>
    </w:p>
    <w:p>
      <w:pPr>
        <w:spacing w:line="360" w:lineRule="auto"/>
        <w:ind w:firstLine="4003" w:firstLineChars="1246"/>
        <w:rPr>
          <w:rFonts w:hint="eastAsia" w:ascii="黑体" w:hAnsi="黑体" w:eastAsia="黑体" w:cs="黑体"/>
          <w:b/>
          <w:color w:val="auto"/>
          <w:sz w:val="32"/>
          <w:szCs w:val="32"/>
          <w:highlight w:val="none"/>
        </w:rPr>
      </w:pPr>
    </w:p>
    <w:p>
      <w:pPr>
        <w:spacing w:line="360" w:lineRule="auto"/>
        <w:ind w:firstLine="4003" w:firstLineChars="1246"/>
        <w:rPr>
          <w:rFonts w:hint="eastAsia" w:ascii="黑体" w:hAnsi="黑体" w:eastAsia="黑体" w:cs="黑体"/>
          <w:b/>
          <w:color w:val="auto"/>
          <w:sz w:val="32"/>
          <w:szCs w:val="32"/>
          <w:highlight w:val="none"/>
        </w:rPr>
      </w:pPr>
    </w:p>
    <w:p>
      <w:pPr>
        <w:pStyle w:val="41"/>
        <w:rPr>
          <w:rFonts w:hint="eastAsia" w:ascii="黑体" w:hAnsi="黑体" w:eastAsia="黑体" w:cs="黑体"/>
          <w:b/>
          <w:color w:val="auto"/>
          <w:sz w:val="32"/>
          <w:szCs w:val="32"/>
          <w:highlight w:val="none"/>
        </w:rPr>
      </w:pPr>
    </w:p>
    <w:p>
      <w:pPr>
        <w:pStyle w:val="41"/>
        <w:rPr>
          <w:rFonts w:hint="eastAsia" w:ascii="黑体" w:hAnsi="黑体" w:eastAsia="黑体" w:cs="黑体"/>
          <w:b/>
          <w:color w:val="auto"/>
          <w:sz w:val="32"/>
          <w:szCs w:val="32"/>
          <w:highlight w:val="none"/>
        </w:rPr>
      </w:pPr>
    </w:p>
    <w:p>
      <w:pPr>
        <w:pStyle w:val="41"/>
        <w:rPr>
          <w:rFonts w:hint="eastAsia" w:ascii="黑体" w:hAnsi="黑体" w:eastAsia="黑体" w:cs="黑体"/>
          <w:b/>
          <w:color w:val="auto"/>
          <w:sz w:val="32"/>
          <w:szCs w:val="32"/>
          <w:highlight w:val="none"/>
        </w:rPr>
      </w:pPr>
    </w:p>
    <w:p>
      <w:pPr>
        <w:pStyle w:val="41"/>
        <w:ind w:left="0" w:leftChars="0" w:firstLine="0" w:firstLineChars="0"/>
        <w:rPr>
          <w:rFonts w:hint="eastAsia" w:ascii="黑体" w:hAnsi="黑体" w:eastAsia="黑体" w:cs="黑体"/>
          <w:b/>
          <w:color w:val="auto"/>
          <w:sz w:val="32"/>
          <w:szCs w:val="32"/>
          <w:highlight w:val="none"/>
        </w:rPr>
      </w:pPr>
    </w:p>
    <w:p>
      <w:pPr>
        <w:pStyle w:val="41"/>
        <w:rPr>
          <w:rFonts w:hint="eastAsia" w:ascii="黑体" w:hAnsi="黑体" w:eastAsia="黑体" w:cs="黑体"/>
          <w:b/>
          <w:color w:val="auto"/>
          <w:sz w:val="32"/>
          <w:szCs w:val="32"/>
          <w:highlight w:val="none"/>
        </w:rPr>
      </w:pPr>
    </w:p>
    <w:p>
      <w:pPr>
        <w:pStyle w:val="41"/>
        <w:rPr>
          <w:rFonts w:hint="eastAsia" w:ascii="黑体" w:hAnsi="黑体" w:eastAsia="黑体" w:cs="黑体"/>
          <w:b/>
          <w:color w:val="auto"/>
          <w:sz w:val="32"/>
          <w:szCs w:val="32"/>
          <w:highlight w:val="none"/>
        </w:rPr>
      </w:pPr>
    </w:p>
    <w:p>
      <w:pPr>
        <w:spacing w:line="360" w:lineRule="auto"/>
        <w:ind w:firstLine="4003" w:firstLineChars="1246"/>
        <w:rPr>
          <w:rFonts w:hint="eastAsia" w:ascii="黑体" w:hAnsi="黑体" w:eastAsia="黑体" w:cs="黑体"/>
          <w:b/>
          <w:color w:val="auto"/>
          <w:sz w:val="32"/>
          <w:szCs w:val="32"/>
          <w:highlight w:val="none"/>
        </w:rPr>
      </w:pPr>
    </w:p>
    <w:p>
      <w:pPr>
        <w:spacing w:line="360" w:lineRule="auto"/>
        <w:jc w:val="both"/>
        <w:rPr>
          <w:rFonts w:hint="eastAsia" w:ascii="黑体" w:hAnsi="黑体" w:eastAsia="黑体" w:cs="黑体"/>
          <w:b/>
          <w:bCs/>
          <w:sz w:val="24"/>
          <w:szCs w:val="18"/>
          <w:lang w:val="en-US" w:eastAsia="zh-CN"/>
        </w:rPr>
      </w:pPr>
    </w:p>
    <w:p>
      <w:pPr>
        <w:spacing w:line="360" w:lineRule="auto"/>
        <w:jc w:val="both"/>
        <w:rPr>
          <w:rFonts w:hint="eastAsia" w:ascii="黑体" w:hAnsi="黑体" w:eastAsia="黑体" w:cs="黑体"/>
          <w:b/>
          <w:bCs/>
          <w:color w:val="auto"/>
          <w:sz w:val="24"/>
          <w:szCs w:val="22"/>
          <w:highlight w:val="none"/>
        </w:rPr>
      </w:pPr>
      <w:r>
        <w:rPr>
          <w:rFonts w:hint="eastAsia" w:ascii="黑体" w:hAnsi="黑体" w:eastAsia="黑体" w:cs="黑体"/>
          <w:b/>
          <w:bCs/>
          <w:sz w:val="24"/>
          <w:szCs w:val="18"/>
          <w:lang w:val="en-US" w:eastAsia="zh-CN"/>
        </w:rPr>
        <w:t>注：</w:t>
      </w:r>
      <w:r>
        <w:rPr>
          <w:rFonts w:hint="eastAsia" w:ascii="黑体" w:hAnsi="黑体" w:eastAsia="黑体" w:cs="黑体"/>
          <w:b/>
          <w:bCs/>
          <w:color w:val="auto"/>
          <w:sz w:val="24"/>
          <w:szCs w:val="22"/>
          <w:highlight w:val="none"/>
          <w:lang w:val="en-US" w:eastAsia="zh-CN"/>
        </w:rPr>
        <w:t>响应</w:t>
      </w:r>
      <w:r>
        <w:rPr>
          <w:rFonts w:hint="eastAsia" w:ascii="黑体" w:hAnsi="黑体" w:eastAsia="黑体" w:cs="黑体"/>
          <w:b/>
          <w:bCs/>
          <w:color w:val="auto"/>
          <w:sz w:val="24"/>
          <w:szCs w:val="22"/>
          <w:highlight w:val="none"/>
        </w:rPr>
        <w:t>文件编制说明</w:t>
      </w:r>
    </w:p>
    <w:p>
      <w:pPr>
        <w:spacing w:line="360" w:lineRule="auto"/>
        <w:ind w:left="280" w:leftChars="100" w:firstLine="361" w:firstLineChars="150"/>
        <w:rPr>
          <w:rFonts w:hint="eastAsia" w:ascii="黑体" w:hAnsi="黑体" w:eastAsia="黑体" w:cs="黑体"/>
          <w:b/>
          <w:bCs/>
          <w:color w:val="auto"/>
          <w:szCs w:val="24"/>
          <w:highlight w:val="none"/>
        </w:rPr>
      </w:pPr>
      <w:r>
        <w:rPr>
          <w:rFonts w:hint="eastAsia" w:ascii="黑体" w:hAnsi="黑体" w:eastAsia="黑体" w:cs="黑体"/>
          <w:b/>
          <w:bCs/>
          <w:color w:val="auto"/>
          <w:sz w:val="24"/>
          <w:szCs w:val="22"/>
          <w:highlight w:val="none"/>
          <w:lang w:val="en-US" w:eastAsia="zh-CN"/>
        </w:rPr>
        <w:t>1</w:t>
      </w:r>
      <w:r>
        <w:rPr>
          <w:rFonts w:hint="eastAsia" w:ascii="黑体" w:hAnsi="黑体" w:eastAsia="黑体" w:cs="黑体"/>
          <w:b/>
          <w:bCs/>
          <w:color w:val="auto"/>
          <w:sz w:val="24"/>
          <w:szCs w:val="22"/>
          <w:highlight w:val="none"/>
        </w:rPr>
        <w:t>、</w:t>
      </w:r>
      <w:r>
        <w:rPr>
          <w:rFonts w:hint="eastAsia" w:ascii="黑体" w:hAnsi="黑体" w:eastAsia="黑体" w:cs="黑体"/>
          <w:b/>
          <w:bCs/>
          <w:color w:val="auto"/>
          <w:sz w:val="24"/>
          <w:szCs w:val="22"/>
          <w:highlight w:val="none"/>
          <w:lang w:val="en-US" w:eastAsia="zh-CN"/>
        </w:rPr>
        <w:t>响应</w:t>
      </w:r>
      <w:r>
        <w:rPr>
          <w:rFonts w:hint="eastAsia" w:ascii="黑体" w:hAnsi="黑体" w:eastAsia="黑体" w:cs="黑体"/>
          <w:b/>
          <w:bCs/>
          <w:color w:val="auto"/>
          <w:sz w:val="24"/>
          <w:szCs w:val="22"/>
          <w:highlight w:val="none"/>
        </w:rPr>
        <w:t>文件的编制应按照样本格式提供的内容，做出逐一明确的答复；</w:t>
      </w:r>
      <w:r>
        <w:rPr>
          <w:rFonts w:hint="eastAsia" w:ascii="黑体" w:hAnsi="黑体" w:eastAsia="黑体" w:cs="黑体"/>
          <w:b/>
          <w:bCs/>
          <w:color w:val="auto"/>
          <w:sz w:val="24"/>
          <w:szCs w:val="22"/>
          <w:highlight w:val="none"/>
          <w:lang w:val="en-US" w:eastAsia="zh-CN"/>
        </w:rPr>
        <w:t>供应商</w:t>
      </w:r>
      <w:r>
        <w:rPr>
          <w:rFonts w:hint="eastAsia" w:ascii="黑体" w:hAnsi="黑体" w:eastAsia="黑体" w:cs="黑体"/>
          <w:b/>
          <w:bCs/>
          <w:color w:val="auto"/>
          <w:sz w:val="24"/>
          <w:szCs w:val="22"/>
          <w:highlight w:val="none"/>
        </w:rPr>
        <w:t>认为有必要，还可以做其它补充说明。</w:t>
      </w:r>
      <w:r>
        <w:rPr>
          <w:rFonts w:hint="eastAsia" w:ascii="黑体" w:hAnsi="黑体" w:eastAsia="黑体" w:cs="黑体"/>
          <w:b/>
          <w:bCs/>
          <w:color w:val="auto"/>
          <w:sz w:val="24"/>
          <w:szCs w:val="22"/>
          <w:highlight w:val="none"/>
        </w:rPr>
        <w:cr/>
      </w:r>
      <w:r>
        <w:rPr>
          <w:rFonts w:hint="eastAsia" w:ascii="黑体" w:hAnsi="黑体" w:eastAsia="黑体" w:cs="黑体"/>
          <w:b/>
          <w:bCs/>
          <w:color w:val="auto"/>
          <w:sz w:val="24"/>
          <w:szCs w:val="22"/>
          <w:highlight w:val="none"/>
        </w:rPr>
        <w:t xml:space="preserve">   </w:t>
      </w:r>
      <w:r>
        <w:rPr>
          <w:rFonts w:hint="eastAsia" w:ascii="黑体" w:hAnsi="黑体" w:eastAsia="黑体" w:cs="黑体"/>
          <w:b/>
          <w:bCs/>
          <w:color w:val="auto"/>
          <w:sz w:val="24"/>
          <w:szCs w:val="22"/>
          <w:highlight w:val="none"/>
          <w:lang w:val="en-US" w:eastAsia="zh-CN"/>
        </w:rPr>
        <w:t>2</w:t>
      </w:r>
      <w:r>
        <w:rPr>
          <w:rFonts w:hint="eastAsia" w:ascii="黑体" w:hAnsi="黑体" w:eastAsia="黑体" w:cs="黑体"/>
          <w:b/>
          <w:bCs/>
          <w:color w:val="auto"/>
          <w:sz w:val="24"/>
          <w:szCs w:val="22"/>
          <w:highlight w:val="none"/>
        </w:rPr>
        <w:t>、</w:t>
      </w:r>
      <w:r>
        <w:rPr>
          <w:rFonts w:hint="eastAsia" w:ascii="黑体" w:hAnsi="黑体" w:eastAsia="黑体" w:cs="黑体"/>
          <w:b/>
          <w:bCs/>
          <w:color w:val="auto"/>
          <w:sz w:val="24"/>
          <w:szCs w:val="22"/>
          <w:highlight w:val="none"/>
          <w:lang w:val="en-US" w:eastAsia="zh-CN"/>
        </w:rPr>
        <w:t>供应商</w:t>
      </w:r>
      <w:r>
        <w:rPr>
          <w:rFonts w:hint="eastAsia" w:ascii="黑体" w:hAnsi="黑体" w:eastAsia="黑体" w:cs="黑体"/>
          <w:b/>
          <w:bCs/>
          <w:color w:val="auto"/>
          <w:sz w:val="24"/>
          <w:szCs w:val="22"/>
          <w:highlight w:val="none"/>
        </w:rPr>
        <w:t>必须按照</w:t>
      </w:r>
      <w:r>
        <w:rPr>
          <w:rFonts w:hint="eastAsia" w:ascii="黑体" w:hAnsi="黑体" w:eastAsia="黑体" w:cs="黑体"/>
          <w:b/>
          <w:bCs/>
          <w:color w:val="auto"/>
          <w:sz w:val="24"/>
          <w:szCs w:val="22"/>
          <w:highlight w:val="none"/>
          <w:lang w:val="en-US" w:eastAsia="zh-CN"/>
        </w:rPr>
        <w:t>磋商</w:t>
      </w:r>
      <w:r>
        <w:rPr>
          <w:rFonts w:hint="eastAsia" w:ascii="黑体" w:hAnsi="黑体" w:eastAsia="黑体" w:cs="黑体"/>
          <w:b/>
          <w:bCs/>
          <w:color w:val="auto"/>
          <w:sz w:val="24"/>
          <w:szCs w:val="22"/>
          <w:highlight w:val="none"/>
        </w:rPr>
        <w:t>文件的规定和要求由法定代表人或被授权人签字（或盖章），并加盖</w:t>
      </w:r>
      <w:r>
        <w:rPr>
          <w:rFonts w:hint="eastAsia" w:ascii="黑体" w:hAnsi="黑体" w:eastAsia="黑体" w:cs="黑体"/>
          <w:b/>
          <w:bCs/>
          <w:color w:val="auto"/>
          <w:sz w:val="24"/>
          <w:szCs w:val="22"/>
          <w:highlight w:val="none"/>
          <w:lang w:val="en-US" w:eastAsia="zh-CN"/>
        </w:rPr>
        <w:t>供应商</w:t>
      </w:r>
      <w:r>
        <w:rPr>
          <w:rFonts w:hint="eastAsia" w:ascii="黑体" w:hAnsi="黑体" w:eastAsia="黑体" w:cs="黑体"/>
          <w:b/>
          <w:bCs/>
          <w:color w:val="auto"/>
          <w:sz w:val="24"/>
          <w:szCs w:val="22"/>
          <w:highlight w:val="none"/>
        </w:rPr>
        <w:t>公章。</w:t>
      </w:r>
    </w:p>
    <w:p>
      <w:pPr>
        <w:pStyle w:val="10"/>
        <w:rPr>
          <w:rFonts w:hint="eastAsia" w:ascii="黑体" w:hAnsi="黑体" w:eastAsia="黑体" w:cs="黑体"/>
          <w:color w:val="auto"/>
          <w:sz w:val="24"/>
          <w:highlight w:val="none"/>
        </w:rPr>
      </w:pPr>
    </w:p>
    <w:p>
      <w:pPr>
        <w:pStyle w:val="10"/>
        <w:rPr>
          <w:rFonts w:hint="eastAsia" w:ascii="黑体" w:hAnsi="黑体" w:eastAsia="黑体" w:cs="黑体"/>
          <w:color w:val="auto"/>
          <w:sz w:val="24"/>
          <w:highlight w:val="none"/>
        </w:rPr>
      </w:pPr>
    </w:p>
    <w:p>
      <w:pPr>
        <w:pStyle w:val="10"/>
        <w:rPr>
          <w:rFonts w:hint="eastAsia" w:ascii="黑体" w:hAnsi="黑体" w:eastAsia="黑体" w:cs="黑体"/>
          <w:color w:val="auto"/>
          <w:sz w:val="24"/>
          <w:highlight w:val="none"/>
        </w:rPr>
      </w:pPr>
    </w:p>
    <w:p>
      <w:pPr>
        <w:pStyle w:val="10"/>
        <w:rPr>
          <w:rFonts w:hint="eastAsia" w:ascii="黑体" w:hAnsi="黑体" w:eastAsia="黑体" w:cs="黑体"/>
          <w:color w:val="auto"/>
          <w:sz w:val="24"/>
          <w:highlight w:val="none"/>
        </w:rPr>
      </w:pPr>
    </w:p>
    <w:p>
      <w:pPr>
        <w:pStyle w:val="2"/>
        <w:spacing w:before="0" w:after="0" w:line="240" w:lineRule="auto"/>
        <w:rPr>
          <w:rFonts w:hint="eastAsia" w:ascii="黑体" w:hAnsi="黑体" w:eastAsia="黑体" w:cs="黑体"/>
          <w:sz w:val="28"/>
          <w:szCs w:val="28"/>
          <w:lang w:val="en-US" w:eastAsia="zh-CN"/>
        </w:rPr>
      </w:pPr>
      <w:bookmarkStart w:id="60" w:name="_Toc30377"/>
      <w:r>
        <w:rPr>
          <w:rFonts w:hint="eastAsia" w:ascii="黑体" w:hAnsi="黑体" w:eastAsia="黑体" w:cs="黑体"/>
          <w:lang w:val="en-US" w:eastAsia="zh-CN"/>
        </w:rPr>
        <w:t>一、磋商响应文件格式</w:t>
      </w:r>
      <w:bookmarkEnd w:id="60"/>
    </w:p>
    <w:p>
      <w:pPr>
        <w:outlineLvl w:val="9"/>
        <w:rPr>
          <w:rFonts w:hint="eastAsia" w:ascii="黑体" w:hAnsi="黑体" w:eastAsia="黑体" w:cs="黑体"/>
          <w:b/>
          <w:bCs/>
          <w:sz w:val="28"/>
          <w:szCs w:val="28"/>
          <w:lang w:val="en-US" w:eastAsia="zh-CN"/>
        </w:rPr>
      </w:pPr>
    </w:p>
    <w:p>
      <w:pPr>
        <w:outlineLvl w:val="9"/>
        <w:rPr>
          <w:rFonts w:hint="eastAsia" w:ascii="黑体" w:hAnsi="黑体" w:eastAsia="黑体" w:cs="黑体"/>
          <w:b/>
          <w:bCs/>
          <w:color w:val="auto"/>
          <w:sz w:val="32"/>
          <w:szCs w:val="32"/>
          <w:highlight w:val="none"/>
        </w:rPr>
      </w:pPr>
      <w:r>
        <w:rPr>
          <w:rFonts w:hint="eastAsia" w:ascii="黑体" w:hAnsi="黑体" w:eastAsia="黑体" w:cs="黑体"/>
          <w:b/>
          <w:bCs/>
          <w:sz w:val="28"/>
          <w:szCs w:val="28"/>
          <w:lang w:val="en-US" w:eastAsia="zh-CN"/>
        </w:rPr>
        <w:t>1.封面</w:t>
      </w:r>
    </w:p>
    <w:p>
      <w:pPr>
        <w:jc w:val="right"/>
        <w:rPr>
          <w:rFonts w:hint="eastAsia" w:ascii="黑体" w:hAnsi="黑体" w:eastAsia="黑体" w:cs="黑体"/>
          <w:b/>
          <w:color w:val="auto"/>
          <w:sz w:val="36"/>
          <w:szCs w:val="36"/>
          <w:highlight w:val="none"/>
          <w:bdr w:val="single" w:color="auto" w:sz="4" w:space="0"/>
          <w:shd w:val="pct10" w:color="auto" w:fill="FFFFFF"/>
        </w:rPr>
      </w:pPr>
      <w:r>
        <w:rPr>
          <w:rFonts w:hint="eastAsia" w:ascii="黑体" w:hAnsi="黑体" w:eastAsia="黑体" w:cs="黑体"/>
          <w:b/>
          <w:color w:val="auto"/>
          <w:sz w:val="36"/>
          <w:szCs w:val="36"/>
          <w:highlight w:val="none"/>
        </w:rPr>
        <w:t xml:space="preserve">       </w:t>
      </w:r>
      <w:r>
        <w:rPr>
          <w:rFonts w:hint="eastAsia" w:ascii="黑体" w:hAnsi="黑体" w:eastAsia="黑体" w:cs="黑体"/>
          <w:b/>
          <w:color w:val="auto"/>
          <w:sz w:val="36"/>
          <w:szCs w:val="36"/>
          <w:highlight w:val="none"/>
          <w:bdr w:val="single" w:color="auto" w:sz="4" w:space="0"/>
          <w:shd w:val="pct10" w:color="auto" w:fill="FFFFFF"/>
        </w:rPr>
        <w:t>政府采购项目</w:t>
      </w:r>
    </w:p>
    <w:p>
      <w:pPr>
        <w:rPr>
          <w:rFonts w:hint="eastAsia" w:ascii="黑体" w:hAnsi="黑体" w:eastAsia="黑体" w:cs="黑体"/>
          <w:b/>
          <w:color w:val="auto"/>
          <w:sz w:val="36"/>
          <w:szCs w:val="36"/>
          <w:highlight w:val="none"/>
        </w:rPr>
      </w:pPr>
      <w:r>
        <w:rPr>
          <w:rFonts w:hint="eastAsia" w:ascii="黑体" w:hAnsi="黑体" w:eastAsia="黑体" w:cs="黑体"/>
          <w:b/>
          <w:color w:val="auto"/>
          <w:sz w:val="36"/>
          <w:szCs w:val="36"/>
          <w:highlight w:val="none"/>
        </w:rPr>
        <w:t xml:space="preserve"> </w:t>
      </w:r>
    </w:p>
    <w:p>
      <w:pPr>
        <w:autoSpaceDE w:val="0"/>
        <w:autoSpaceDN w:val="0"/>
        <w:adjustRightInd w:val="0"/>
        <w:snapToGrid w:val="0"/>
        <w:spacing w:line="360" w:lineRule="auto"/>
        <w:jc w:val="left"/>
        <w:rPr>
          <w:rFonts w:hint="eastAsia" w:ascii="黑体" w:hAnsi="黑体" w:eastAsia="黑体" w:cs="黑体"/>
          <w:b/>
          <w:bCs/>
          <w:color w:val="auto"/>
          <w:sz w:val="30"/>
          <w:szCs w:val="30"/>
          <w:highlight w:val="none"/>
          <w:lang w:eastAsia="zh-CN"/>
        </w:rPr>
      </w:pPr>
      <w:r>
        <w:rPr>
          <w:rFonts w:hint="eastAsia" w:ascii="黑体" w:hAnsi="黑体" w:eastAsia="黑体" w:cs="黑体"/>
          <w:b/>
          <w:color w:val="auto"/>
          <w:sz w:val="36"/>
          <w:szCs w:val="36"/>
          <w:highlight w:val="none"/>
        </w:rPr>
        <w:t>文件编号:</w:t>
      </w:r>
      <w:r>
        <w:rPr>
          <w:rFonts w:hint="eastAsia" w:ascii="黑体" w:hAnsi="黑体" w:eastAsia="黑体" w:cs="黑体"/>
          <w:b/>
          <w:color w:val="auto"/>
          <w:sz w:val="36"/>
          <w:szCs w:val="36"/>
          <w:highlight w:val="none"/>
          <w:lang w:eastAsia="zh-CN"/>
        </w:rPr>
        <w:t>SHJS2022(056)号</w:t>
      </w:r>
    </w:p>
    <w:p>
      <w:pPr>
        <w:rPr>
          <w:rFonts w:hint="eastAsia" w:ascii="黑体" w:hAnsi="黑体" w:eastAsia="黑体" w:cs="黑体"/>
          <w:b/>
          <w:color w:val="auto"/>
          <w:sz w:val="36"/>
          <w:szCs w:val="36"/>
          <w:highlight w:val="none"/>
        </w:rPr>
      </w:pPr>
      <w:r>
        <w:rPr>
          <w:rFonts w:hint="eastAsia" w:ascii="黑体" w:hAnsi="黑体" w:eastAsia="黑体" w:cs="黑体"/>
          <w:b/>
          <w:color w:val="auto"/>
          <w:sz w:val="36"/>
          <w:szCs w:val="36"/>
          <w:highlight w:val="none"/>
        </w:rPr>
        <w:t xml:space="preserve"> </w:t>
      </w:r>
    </w:p>
    <w:p>
      <w:pPr>
        <w:pStyle w:val="41"/>
        <w:ind w:left="0" w:leftChars="0" w:firstLine="0" w:firstLineChars="0"/>
        <w:jc w:val="center"/>
        <w:rPr>
          <w:rFonts w:hint="eastAsia" w:ascii="黑体" w:hAnsi="黑体" w:eastAsia="黑体" w:cs="黑体"/>
          <w:color w:val="auto"/>
          <w:sz w:val="56"/>
          <w:szCs w:val="56"/>
          <w:highlight w:val="none"/>
        </w:rPr>
      </w:pPr>
      <w:r>
        <w:rPr>
          <w:rFonts w:hint="eastAsia" w:ascii="黑体" w:hAnsi="黑体" w:eastAsia="黑体" w:cs="黑体"/>
          <w:b/>
          <w:bCs/>
          <w:color w:val="auto"/>
          <w:sz w:val="56"/>
          <w:szCs w:val="56"/>
          <w:highlight w:val="none"/>
          <w:lang w:eastAsia="zh-CN"/>
        </w:rPr>
        <w:t xml:space="preserve"> 宝鸡市金台区代家湾小学教学楼室内外粉刷工程 </w:t>
      </w:r>
    </w:p>
    <w:p>
      <w:pPr>
        <w:spacing w:before="120" w:beforeLines="50" w:line="800" w:lineRule="exact"/>
        <w:ind w:right="-109" w:rightChars="-39" w:firstLine="2960" w:firstLineChars="388"/>
        <w:rPr>
          <w:rFonts w:hint="eastAsia" w:ascii="黑体" w:hAnsi="黑体" w:eastAsia="黑体" w:cs="黑体"/>
          <w:b/>
          <w:bCs/>
          <w:color w:val="auto"/>
          <w:spacing w:val="20"/>
          <w:kern w:val="0"/>
          <w:sz w:val="72"/>
          <w:szCs w:val="72"/>
          <w:highlight w:val="none"/>
        </w:rPr>
      </w:pPr>
    </w:p>
    <w:p>
      <w:pPr>
        <w:spacing w:before="120" w:beforeLines="50" w:line="800" w:lineRule="exact"/>
        <w:ind w:right="-1165" w:rightChars="-416" w:firstLine="2960" w:firstLineChars="388"/>
        <w:rPr>
          <w:rFonts w:hint="eastAsia" w:ascii="黑体" w:hAnsi="黑体" w:eastAsia="黑体" w:cs="黑体"/>
          <w:b/>
          <w:bCs/>
          <w:color w:val="auto"/>
          <w:spacing w:val="20"/>
          <w:kern w:val="0"/>
          <w:sz w:val="72"/>
          <w:szCs w:val="72"/>
          <w:highlight w:val="none"/>
        </w:rPr>
      </w:pPr>
    </w:p>
    <w:p>
      <w:pPr>
        <w:spacing w:before="120" w:beforeLines="50" w:line="800" w:lineRule="exact"/>
        <w:ind w:right="-1165" w:rightChars="-416" w:firstLine="2960" w:firstLineChars="388"/>
        <w:rPr>
          <w:rFonts w:hint="eastAsia" w:ascii="黑体" w:hAnsi="黑体" w:eastAsia="黑体" w:cs="黑体"/>
          <w:b/>
          <w:bCs/>
          <w:color w:val="auto"/>
          <w:spacing w:val="20"/>
          <w:kern w:val="0"/>
          <w:sz w:val="72"/>
          <w:szCs w:val="72"/>
          <w:highlight w:val="none"/>
        </w:rPr>
      </w:pPr>
    </w:p>
    <w:p>
      <w:pPr>
        <w:spacing w:before="120" w:beforeLines="50" w:line="800" w:lineRule="exact"/>
        <w:ind w:right="-1165" w:rightChars="-416" w:firstLine="2288" w:firstLineChars="300"/>
        <w:rPr>
          <w:rFonts w:hint="eastAsia" w:ascii="黑体" w:hAnsi="黑体" w:eastAsia="黑体" w:cs="黑体"/>
          <w:b/>
          <w:bCs/>
          <w:color w:val="auto"/>
          <w:spacing w:val="20"/>
          <w:kern w:val="0"/>
          <w:sz w:val="72"/>
          <w:szCs w:val="72"/>
          <w:highlight w:val="none"/>
        </w:rPr>
      </w:pPr>
      <w:r>
        <w:rPr>
          <w:rFonts w:hint="eastAsia" w:ascii="黑体" w:hAnsi="黑体" w:eastAsia="黑体" w:cs="黑体"/>
          <w:b/>
          <w:bCs/>
          <w:color w:val="auto"/>
          <w:spacing w:val="20"/>
          <w:kern w:val="0"/>
          <w:sz w:val="72"/>
          <w:szCs w:val="72"/>
          <w:highlight w:val="none"/>
        </w:rPr>
        <w:t>磋商响应文件</w:t>
      </w:r>
    </w:p>
    <w:p>
      <w:pPr>
        <w:rPr>
          <w:rFonts w:hint="eastAsia" w:ascii="黑体" w:hAnsi="黑体" w:eastAsia="黑体" w:cs="黑体"/>
          <w:color w:val="auto"/>
          <w:sz w:val="32"/>
          <w:highlight w:val="none"/>
        </w:rPr>
      </w:pPr>
    </w:p>
    <w:p>
      <w:pPr>
        <w:spacing w:before="168" w:beforeLines="70"/>
        <w:rPr>
          <w:rFonts w:hint="eastAsia" w:ascii="黑体" w:hAnsi="黑体" w:eastAsia="黑体" w:cs="黑体"/>
          <w:b/>
          <w:color w:val="auto"/>
          <w:spacing w:val="8"/>
          <w:szCs w:val="28"/>
          <w:highlight w:val="none"/>
        </w:rPr>
      </w:pPr>
    </w:p>
    <w:p>
      <w:pPr>
        <w:spacing w:before="168" w:beforeLines="70"/>
        <w:rPr>
          <w:rFonts w:hint="eastAsia" w:ascii="黑体" w:hAnsi="黑体" w:eastAsia="黑体" w:cs="黑体"/>
          <w:b/>
          <w:color w:val="auto"/>
          <w:spacing w:val="8"/>
          <w:szCs w:val="28"/>
          <w:highlight w:val="none"/>
        </w:rPr>
      </w:pPr>
    </w:p>
    <w:p>
      <w:pPr>
        <w:spacing w:before="168" w:beforeLines="70"/>
        <w:ind w:firstLine="2080" w:firstLineChars="700"/>
        <w:rPr>
          <w:rFonts w:hint="eastAsia" w:ascii="黑体" w:hAnsi="黑体" w:eastAsia="黑体" w:cs="黑体"/>
          <w:b/>
          <w:color w:val="auto"/>
          <w:spacing w:val="8"/>
          <w:szCs w:val="28"/>
          <w:highlight w:val="none"/>
        </w:rPr>
      </w:pPr>
    </w:p>
    <w:p>
      <w:pPr>
        <w:spacing w:beforeLines="70" w:line="360" w:lineRule="auto"/>
        <w:ind w:firstLine="1634" w:firstLineChars="550"/>
        <w:rPr>
          <w:rFonts w:hint="eastAsia" w:ascii="黑体" w:hAnsi="黑体" w:eastAsia="黑体" w:cs="黑体"/>
          <w:b/>
          <w:bCs/>
          <w:color w:val="auto"/>
          <w:spacing w:val="8"/>
          <w:sz w:val="28"/>
          <w:szCs w:val="28"/>
          <w:highlight w:val="none"/>
          <w:u w:val="single"/>
          <w:lang w:val="en-US" w:eastAsia="zh-CN"/>
        </w:rPr>
      </w:pPr>
      <w:r>
        <w:rPr>
          <w:rFonts w:hint="eastAsia" w:ascii="黑体" w:hAnsi="黑体" w:eastAsia="黑体" w:cs="黑体"/>
          <w:b/>
          <w:color w:val="auto"/>
          <w:spacing w:val="8"/>
          <w:sz w:val="28"/>
          <w:szCs w:val="28"/>
          <w:highlight w:val="none"/>
          <w:lang w:eastAsia="zh-CN"/>
        </w:rPr>
        <w:t>投标供应商</w:t>
      </w:r>
      <w:r>
        <w:rPr>
          <w:rFonts w:hint="eastAsia" w:ascii="黑体" w:hAnsi="黑体" w:eastAsia="黑体" w:cs="黑体"/>
          <w:b/>
          <w:color w:val="auto"/>
          <w:spacing w:val="8"/>
          <w:sz w:val="28"/>
          <w:szCs w:val="28"/>
          <w:highlight w:val="none"/>
        </w:rPr>
        <w:t>：</w:t>
      </w:r>
      <w:r>
        <w:rPr>
          <w:rFonts w:hint="eastAsia" w:ascii="黑体" w:hAnsi="黑体" w:eastAsia="黑体" w:cs="黑体"/>
          <w:b/>
          <w:color w:val="auto"/>
          <w:spacing w:val="8"/>
          <w:sz w:val="28"/>
          <w:szCs w:val="28"/>
          <w:highlight w:val="none"/>
          <w:u w:val="single"/>
          <w:lang w:val="en-US" w:eastAsia="zh-CN"/>
        </w:rPr>
        <w:t xml:space="preserve">               </w:t>
      </w:r>
      <w:r>
        <w:rPr>
          <w:rFonts w:hint="eastAsia" w:ascii="黑体" w:hAnsi="黑体" w:eastAsia="黑体" w:cs="黑体"/>
          <w:b/>
          <w:color w:val="auto"/>
          <w:spacing w:val="8"/>
          <w:sz w:val="28"/>
          <w:szCs w:val="28"/>
          <w:highlight w:val="none"/>
          <w:u w:val="none"/>
          <w:lang w:val="en-US" w:eastAsia="zh-CN"/>
        </w:rPr>
        <w:t>（加盖公章）</w:t>
      </w:r>
    </w:p>
    <w:p>
      <w:pPr>
        <w:spacing w:line="360" w:lineRule="auto"/>
        <w:ind w:firstLine="1661" w:firstLineChars="591"/>
        <w:rPr>
          <w:rFonts w:hint="eastAsia" w:ascii="黑体" w:hAnsi="黑体" w:eastAsia="黑体" w:cs="黑体"/>
          <w:b/>
          <w:color w:val="auto"/>
          <w:sz w:val="28"/>
          <w:szCs w:val="28"/>
          <w:highlight w:val="none"/>
        </w:rPr>
      </w:pPr>
    </w:p>
    <w:p>
      <w:pPr>
        <w:spacing w:line="360" w:lineRule="auto"/>
        <w:ind w:firstLine="1661" w:firstLineChars="591"/>
        <w:rPr>
          <w:rFonts w:hint="eastAsia" w:ascii="黑体" w:hAnsi="黑体" w:eastAsia="黑体" w:cs="黑体"/>
          <w:b/>
          <w:color w:val="auto"/>
          <w:sz w:val="32"/>
          <w:szCs w:val="32"/>
          <w:highlight w:val="none"/>
        </w:rPr>
      </w:pPr>
      <w:r>
        <w:rPr>
          <w:rFonts w:hint="eastAsia" w:ascii="黑体" w:hAnsi="黑体" w:eastAsia="黑体" w:cs="黑体"/>
          <w:b/>
          <w:color w:val="auto"/>
          <w:sz w:val="28"/>
          <w:szCs w:val="28"/>
          <w:highlight w:val="none"/>
          <w:lang w:val="en-US" w:eastAsia="zh-CN"/>
        </w:rPr>
        <w:t>日       期</w:t>
      </w:r>
      <w:r>
        <w:rPr>
          <w:rFonts w:hint="eastAsia" w:ascii="黑体" w:hAnsi="黑体" w:eastAsia="黑体" w:cs="黑体"/>
          <w:b/>
          <w:color w:val="auto"/>
          <w:sz w:val="28"/>
          <w:szCs w:val="28"/>
          <w:highlight w:val="none"/>
        </w:rPr>
        <w:t>：</w:t>
      </w:r>
      <w:r>
        <w:rPr>
          <w:rFonts w:hint="eastAsia" w:ascii="黑体" w:hAnsi="黑体" w:eastAsia="黑体" w:cs="黑体"/>
          <w:b/>
          <w:color w:val="auto"/>
          <w:sz w:val="32"/>
          <w:szCs w:val="32"/>
          <w:highlight w:val="none"/>
          <w:u w:val="single"/>
          <w:lang w:val="en-US" w:eastAsia="zh-CN"/>
        </w:rPr>
        <w:t xml:space="preserve">               </w:t>
      </w:r>
      <w:r>
        <w:rPr>
          <w:rFonts w:hint="eastAsia" w:ascii="黑体" w:hAnsi="黑体" w:eastAsia="黑体" w:cs="黑体"/>
          <w:b/>
          <w:color w:val="FFFFFF" w:themeColor="background1"/>
          <w:sz w:val="32"/>
          <w:szCs w:val="32"/>
          <w:highlight w:val="none"/>
          <w:u w:val="single"/>
          <w:lang w:val="en-US" w:eastAsia="zh-CN"/>
          <w14:textFill>
            <w14:solidFill>
              <w14:schemeClr w14:val="bg1"/>
            </w14:solidFill>
          </w14:textFill>
        </w:rPr>
        <w:t xml:space="preserve">。  </w:t>
      </w:r>
      <w:r>
        <w:rPr>
          <w:rFonts w:hint="eastAsia" w:ascii="黑体" w:hAnsi="黑体" w:eastAsia="黑体" w:cs="黑体"/>
          <w:b/>
          <w:color w:val="auto"/>
          <w:sz w:val="32"/>
          <w:szCs w:val="32"/>
          <w:highlight w:val="none"/>
          <w:u w:val="single"/>
          <w:lang w:val="en-US" w:eastAsia="zh-CN"/>
        </w:rPr>
        <w:t xml:space="preserve">   </w:t>
      </w:r>
      <w:r>
        <w:rPr>
          <w:rFonts w:hint="eastAsia" w:ascii="黑体" w:hAnsi="黑体" w:eastAsia="黑体" w:cs="黑体"/>
          <w:b/>
          <w:color w:val="auto"/>
          <w:szCs w:val="28"/>
          <w:highlight w:val="none"/>
          <w:u w:val="single"/>
        </w:rPr>
        <w:t xml:space="preserve">                         </w:t>
      </w:r>
      <w:bookmarkStart w:id="61" w:name="_Toc167591492"/>
      <w:bookmarkStart w:id="62" w:name="_Toc167591043"/>
      <w:bookmarkStart w:id="63" w:name="_Toc167849360"/>
      <w:bookmarkStart w:id="64" w:name="_Toc169846776"/>
      <w:bookmarkStart w:id="65" w:name="_Toc193187097"/>
      <w:bookmarkStart w:id="66" w:name="_Toc154482479"/>
      <w:bookmarkStart w:id="67" w:name="_Toc169846873"/>
      <w:bookmarkStart w:id="68" w:name="_Toc188808833"/>
      <w:bookmarkStart w:id="69" w:name="_Toc170980552"/>
      <w:bookmarkStart w:id="70" w:name="_Toc173549978"/>
      <w:bookmarkStart w:id="71" w:name="_Toc169838532"/>
      <w:bookmarkStart w:id="72" w:name="_Toc193126881"/>
      <w:bookmarkStart w:id="73" w:name="_Toc194663918"/>
      <w:bookmarkStart w:id="74" w:name="_Toc175032437"/>
      <w:bookmarkStart w:id="75" w:name="_Toc167590775"/>
      <w:bookmarkStart w:id="76" w:name="_Toc175033592"/>
      <w:bookmarkStart w:id="77" w:name="_Toc167591330"/>
      <w:bookmarkStart w:id="78" w:name="_Toc170980453"/>
      <w:bookmarkStart w:id="79" w:name="_Toc167591144"/>
    </w:p>
    <w:p>
      <w:pPr>
        <w:pStyle w:val="2"/>
        <w:rPr>
          <w:rFonts w:hint="eastAsia" w:ascii="黑体" w:hAnsi="黑体" w:eastAsia="黑体" w:cs="黑体"/>
          <w:lang w:val="en-US" w:eastAsia="zh-CN"/>
        </w:rPr>
      </w:pPr>
      <w:bookmarkStart w:id="80" w:name="_Toc19175"/>
      <w:r>
        <w:rPr>
          <w:rFonts w:hint="eastAsia" w:ascii="黑体" w:hAnsi="黑体" w:eastAsia="黑体" w:cs="黑体"/>
          <w:lang w:val="en-US" w:eastAsia="zh-CN"/>
        </w:rPr>
        <w:t>二、资质证明文件</w:t>
      </w:r>
      <w:bookmarkEnd w:id="80"/>
    </w:p>
    <w:p>
      <w:pPr>
        <w:spacing w:line="360" w:lineRule="auto"/>
        <w:outlineLvl w:val="9"/>
        <w:rPr>
          <w:rFonts w:hint="eastAsia" w:ascii="黑体" w:hAnsi="黑体" w:eastAsia="黑体" w:cs="黑体"/>
          <w:b w:val="0"/>
          <w:bCs w:val="0"/>
          <w:sz w:val="28"/>
          <w:szCs w:val="28"/>
          <w:highlight w:val="none"/>
          <w:lang w:val="en-US" w:eastAsia="zh-CN"/>
        </w:rPr>
      </w:pPr>
      <w:bookmarkStart w:id="99" w:name="_GoBack"/>
      <w:r>
        <w:rPr>
          <w:rFonts w:hint="eastAsia" w:ascii="黑体" w:hAnsi="黑体" w:eastAsia="黑体" w:cs="黑体"/>
          <w:b w:val="0"/>
          <w:bCs w:val="0"/>
          <w:sz w:val="28"/>
          <w:szCs w:val="28"/>
          <w:highlight w:val="none"/>
          <w:lang w:val="en-US" w:eastAsia="zh-CN"/>
        </w:rPr>
        <w:t>1.营业执照等主体资格证明文件</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2.财务状况报告</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3.社保缴纳证明</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4.税收缴纳证明</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5.信用记录</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6.控股管理关系</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7.书面声明（格式见附表一）</w:t>
      </w:r>
    </w:p>
    <w:p>
      <w:pPr>
        <w:spacing w:line="360" w:lineRule="auto"/>
        <w:outlineLvl w:val="9"/>
        <w:rPr>
          <w:rFonts w:hint="eastAsia"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val="en-US" w:eastAsia="zh-CN"/>
        </w:rPr>
        <w:t>8.法定代表人授权委托书（格式见附表二）</w:t>
      </w:r>
    </w:p>
    <w:bookmarkEnd w:id="99"/>
    <w:p>
      <w:pPr>
        <w:spacing w:line="360" w:lineRule="auto"/>
        <w:outlineLvl w:val="9"/>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9.所必需的设备和专业技术能力的承诺书（格式见附表三）</w:t>
      </w:r>
    </w:p>
    <w:p>
      <w:pPr>
        <w:spacing w:line="360" w:lineRule="auto"/>
        <w:outlineLvl w:val="9"/>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10.陕西省政府采购网注册信息</w:t>
      </w:r>
    </w:p>
    <w:p>
      <w:pPr>
        <w:spacing w:line="360" w:lineRule="auto"/>
        <w:outlineLvl w:val="9"/>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11.特定资质证明及人员资料</w:t>
      </w:r>
    </w:p>
    <w:p>
      <w:pPr>
        <w:rPr>
          <w:rFonts w:hint="eastAsia" w:ascii="黑体" w:hAnsi="黑体" w:eastAsia="黑体" w:cs="黑体"/>
          <w:b/>
          <w:color w:val="FF0000"/>
          <w:sz w:val="30"/>
          <w:szCs w:val="30"/>
          <w:highlight w:val="none"/>
          <w:lang w:val="en-US" w:eastAsia="zh-CN"/>
        </w:rPr>
      </w:pP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Pr>
        <w:rPr>
          <w:rFonts w:hint="eastAsia" w:ascii="黑体" w:hAnsi="黑体" w:eastAsia="黑体" w:cs="黑体"/>
          <w:b/>
          <w:bCs/>
          <w:color w:val="auto"/>
          <w:sz w:val="24"/>
          <w:szCs w:val="22"/>
          <w:lang w:val="en-US" w:eastAsia="zh-CN"/>
        </w:rPr>
      </w:pPr>
      <w:r>
        <w:rPr>
          <w:rFonts w:hint="eastAsia" w:ascii="黑体" w:hAnsi="黑体" w:eastAsia="黑体" w:cs="黑体"/>
          <w:b/>
          <w:bCs/>
          <w:color w:val="auto"/>
          <w:sz w:val="24"/>
          <w:szCs w:val="22"/>
          <w:lang w:val="en-US" w:eastAsia="zh-CN"/>
        </w:rPr>
        <w:br w:type="page"/>
      </w:r>
    </w:p>
    <w:p>
      <w:pPr>
        <w:pStyle w:val="7"/>
        <w:ind w:firstLine="0"/>
        <w:jc w:val="both"/>
        <w:outlineLvl w:val="9"/>
        <w:rPr>
          <w:rFonts w:hint="eastAsia" w:ascii="黑体" w:hAnsi="黑体" w:eastAsia="黑体" w:cs="黑体"/>
          <w:b/>
          <w:bCs/>
          <w:color w:val="auto"/>
          <w:kern w:val="2"/>
          <w:sz w:val="24"/>
          <w:szCs w:val="22"/>
          <w:lang w:val="en-US" w:eastAsia="zh-CN" w:bidi="ar-SA"/>
        </w:rPr>
      </w:pPr>
      <w:bookmarkStart w:id="81" w:name="_Toc455077546"/>
      <w:r>
        <w:rPr>
          <w:rFonts w:hint="eastAsia" w:ascii="黑体" w:hAnsi="黑体" w:eastAsia="黑体" w:cs="黑体"/>
          <w:b/>
          <w:bCs/>
          <w:color w:val="auto"/>
          <w:kern w:val="2"/>
          <w:sz w:val="24"/>
          <w:szCs w:val="22"/>
          <w:lang w:val="en-US" w:eastAsia="zh-CN" w:bidi="ar-SA"/>
        </w:rPr>
        <w:t>附表一：</w:t>
      </w:r>
    </w:p>
    <w:p>
      <w:pPr>
        <w:pStyle w:val="7"/>
        <w:ind w:firstLine="0"/>
        <w:jc w:val="center"/>
        <w:outlineLvl w:val="9"/>
        <w:rPr>
          <w:rFonts w:hint="eastAsia" w:ascii="黑体" w:hAnsi="黑体" w:eastAsia="黑体" w:cs="黑体"/>
          <w:b/>
          <w:color w:val="auto"/>
          <w:sz w:val="28"/>
          <w:szCs w:val="28"/>
          <w:highlight w:val="none"/>
          <w:lang w:eastAsia="zh-CN"/>
        </w:rPr>
      </w:pPr>
      <w:r>
        <w:rPr>
          <w:rFonts w:hint="eastAsia" w:ascii="黑体" w:hAnsi="黑体" w:eastAsia="黑体" w:cs="黑体"/>
          <w:b/>
          <w:color w:val="auto"/>
          <w:sz w:val="28"/>
          <w:szCs w:val="28"/>
          <w:highlight w:val="none"/>
          <w:lang w:eastAsia="zh-CN"/>
        </w:rPr>
        <w:t>无重大违法记录声明</w:t>
      </w:r>
      <w:bookmarkEnd w:id="81"/>
    </w:p>
    <w:p>
      <w:pPr>
        <w:spacing w:line="360" w:lineRule="auto"/>
        <w:ind w:firstLine="240" w:firstLineChars="100"/>
        <w:outlineLvl w:val="9"/>
        <w:rPr>
          <w:rFonts w:hint="eastAsia" w:ascii="黑体" w:hAnsi="黑体" w:eastAsia="黑体" w:cs="黑体"/>
          <w:color w:val="auto"/>
          <w:sz w:val="24"/>
          <w:highlight w:val="none"/>
        </w:rPr>
      </w:pPr>
    </w:p>
    <w:p>
      <w:pPr>
        <w:spacing w:line="360" w:lineRule="auto"/>
        <w:outlineLvl w:val="9"/>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rPr>
        <w:t>致：</w:t>
      </w:r>
      <w:r>
        <w:rPr>
          <w:rFonts w:hint="eastAsia" w:ascii="黑体" w:hAnsi="黑体" w:eastAsia="黑体" w:cs="黑体"/>
          <w:color w:val="auto"/>
          <w:sz w:val="24"/>
          <w:highlight w:val="none"/>
          <w:lang w:eastAsia="zh-CN"/>
        </w:rPr>
        <w:t>圣弘建设股份有限公司</w:t>
      </w:r>
    </w:p>
    <w:p>
      <w:pPr>
        <w:spacing w:line="360" w:lineRule="auto"/>
        <w:ind w:firstLine="480" w:firstLineChars="200"/>
        <w:outlineLvl w:val="9"/>
        <w:rPr>
          <w:rFonts w:hint="eastAsia"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u w:val="single"/>
          <w:lang w:val="en-US" w:eastAsia="zh-CN"/>
        </w:rPr>
        <w:t xml:space="preserve">   </w:t>
      </w:r>
    </w:p>
    <w:p>
      <w:pPr>
        <w:spacing w:line="360" w:lineRule="auto"/>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（供应商名称）郑重声明，我方参加贵公司组织的</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项目（项目编号</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）的</w:t>
      </w:r>
      <w:r>
        <w:rPr>
          <w:rFonts w:hint="eastAsia" w:ascii="黑体" w:hAnsi="黑体" w:eastAsia="黑体" w:cs="黑体"/>
          <w:color w:val="auto"/>
          <w:sz w:val="24"/>
          <w:highlight w:val="none"/>
          <w:lang w:eastAsia="zh-CN"/>
        </w:rPr>
        <w:t>采购</w:t>
      </w:r>
      <w:r>
        <w:rPr>
          <w:rFonts w:hint="eastAsia" w:ascii="黑体" w:hAnsi="黑体" w:eastAsia="黑体" w:cs="黑体"/>
          <w:color w:val="auto"/>
          <w:sz w:val="24"/>
          <w:highlight w:val="none"/>
        </w:rPr>
        <w:t>活动前三年内无重大违法活动记录，符合《中华人民共和国政府采购法》规定的供应商资格条件。我方对此声明负全部法律责任。</w:t>
      </w:r>
    </w:p>
    <w:p>
      <w:pPr>
        <w:spacing w:line="360" w:lineRule="auto"/>
        <w:ind w:firstLine="240" w:firstLineChars="1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特此声明。</w:t>
      </w:r>
    </w:p>
    <w:p>
      <w:pPr>
        <w:spacing w:line="360" w:lineRule="auto"/>
        <w:jc w:val="left"/>
        <w:outlineLvl w:val="9"/>
        <w:rPr>
          <w:rFonts w:hint="eastAsia" w:ascii="黑体" w:hAnsi="黑体" w:eastAsia="黑体" w:cs="黑体"/>
          <w:color w:val="auto"/>
          <w:sz w:val="20"/>
          <w:szCs w:val="15"/>
          <w:highlight w:val="none"/>
        </w:rPr>
      </w:pPr>
    </w:p>
    <w:p>
      <w:pPr>
        <w:spacing w:line="360" w:lineRule="auto"/>
        <w:jc w:val="left"/>
        <w:outlineLvl w:val="9"/>
        <w:rPr>
          <w:rFonts w:hint="eastAsia" w:ascii="黑体" w:hAnsi="黑体" w:eastAsia="黑体" w:cs="黑体"/>
          <w:color w:val="auto"/>
          <w:sz w:val="20"/>
          <w:szCs w:val="15"/>
          <w:highlight w:val="none"/>
        </w:rPr>
      </w:pPr>
      <w:r>
        <w:rPr>
          <w:rFonts w:hint="eastAsia" w:ascii="黑体" w:hAnsi="黑体" w:eastAsia="黑体" w:cs="黑体"/>
          <w:color w:val="auto"/>
          <w:sz w:val="20"/>
          <w:szCs w:val="15"/>
          <w:highlight w:val="none"/>
        </w:rPr>
        <w:t>注：成立不足三年的供应商提供自成立之日起至开标之日止的无重大违法记录声明。</w:t>
      </w:r>
    </w:p>
    <w:p>
      <w:pPr>
        <w:spacing w:line="360" w:lineRule="auto"/>
        <w:ind w:firstLine="4759" w:firstLineChars="1983"/>
        <w:outlineLvl w:val="9"/>
        <w:rPr>
          <w:rFonts w:hint="eastAsia" w:ascii="黑体" w:hAnsi="黑体" w:eastAsia="黑体" w:cs="黑体"/>
          <w:color w:val="auto"/>
          <w:sz w:val="24"/>
          <w:szCs w:val="28"/>
          <w:highlight w:val="none"/>
        </w:rPr>
      </w:pPr>
    </w:p>
    <w:p>
      <w:pPr>
        <w:spacing w:line="360" w:lineRule="auto"/>
        <w:ind w:firstLine="4759" w:firstLineChars="1983"/>
        <w:outlineLvl w:val="9"/>
        <w:rPr>
          <w:rFonts w:hint="eastAsia" w:ascii="黑体" w:hAnsi="黑体" w:eastAsia="黑体" w:cs="黑体"/>
          <w:color w:val="auto"/>
          <w:sz w:val="24"/>
          <w:szCs w:val="28"/>
          <w:highlight w:val="none"/>
        </w:rPr>
      </w:pP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供应商全称(盖章)：</w:t>
      </w: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法定代表人或授权代表人(</w:t>
      </w:r>
      <w:r>
        <w:rPr>
          <w:rFonts w:hint="eastAsia" w:ascii="黑体" w:hAnsi="黑体" w:eastAsia="黑体" w:cs="黑体"/>
          <w:color w:val="auto"/>
          <w:sz w:val="24"/>
          <w:highlight w:val="none"/>
        </w:rPr>
        <w:t>签字或盖章</w:t>
      </w:r>
      <w:r>
        <w:rPr>
          <w:rFonts w:hint="eastAsia" w:ascii="黑体" w:hAnsi="黑体" w:eastAsia="黑体" w:cs="黑体"/>
          <w:color w:val="auto"/>
          <w:sz w:val="24"/>
          <w:szCs w:val="28"/>
          <w:highlight w:val="none"/>
        </w:rPr>
        <w:t>)：</w:t>
      </w: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日  期：</w:t>
      </w:r>
    </w:p>
    <w:p>
      <w:pPr>
        <w:spacing w:line="360" w:lineRule="auto"/>
        <w:outlineLvl w:val="9"/>
        <w:rPr>
          <w:rFonts w:hint="eastAsia" w:ascii="黑体" w:hAnsi="黑体" w:eastAsia="黑体" w:cs="黑体"/>
          <w:color w:val="auto"/>
          <w:highlight w:val="none"/>
        </w:rPr>
      </w:pPr>
    </w:p>
    <w:p>
      <w:pPr>
        <w:jc w:val="both"/>
        <w:outlineLvl w:val="9"/>
        <w:rPr>
          <w:rFonts w:hint="eastAsia" w:ascii="黑体" w:hAnsi="黑体" w:eastAsia="黑体" w:cs="黑体"/>
          <w:b/>
          <w:color w:val="auto"/>
          <w:sz w:val="32"/>
          <w:szCs w:val="28"/>
          <w:highlight w:val="none"/>
          <w:lang w:eastAsia="zh-CN"/>
        </w:rPr>
      </w:pPr>
      <w:r>
        <w:rPr>
          <w:rFonts w:hint="eastAsia" w:ascii="黑体" w:hAnsi="黑体" w:eastAsia="黑体" w:cs="黑体"/>
          <w:color w:val="auto"/>
          <w:sz w:val="28"/>
          <w:szCs w:val="28"/>
          <w:highlight w:val="none"/>
          <w:lang w:eastAsia="zh-CN"/>
        </w:rPr>
        <w:br w:type="page"/>
      </w:r>
    </w:p>
    <w:p>
      <w:pPr>
        <w:spacing w:line="480" w:lineRule="exact"/>
        <w:jc w:val="both"/>
        <w:rPr>
          <w:rFonts w:hint="eastAsia" w:ascii="黑体" w:hAnsi="黑体" w:eastAsia="黑体" w:cs="黑体"/>
          <w:b/>
          <w:bCs/>
          <w:color w:val="auto"/>
          <w:sz w:val="24"/>
          <w:szCs w:val="22"/>
          <w:lang w:val="en-US" w:eastAsia="zh-CN"/>
        </w:rPr>
      </w:pPr>
      <w:r>
        <w:rPr>
          <w:rFonts w:hint="eastAsia" w:ascii="黑体" w:hAnsi="黑体" w:eastAsia="黑体" w:cs="黑体"/>
          <w:b/>
          <w:bCs/>
          <w:color w:val="auto"/>
          <w:sz w:val="24"/>
          <w:szCs w:val="22"/>
          <w:lang w:val="en-US" w:eastAsia="zh-CN"/>
        </w:rPr>
        <w:t>附表二：</w:t>
      </w:r>
    </w:p>
    <w:p>
      <w:pPr>
        <w:spacing w:line="480" w:lineRule="exact"/>
        <w:ind w:left="280" w:leftChars="100"/>
        <w:jc w:val="center"/>
        <w:rPr>
          <w:rFonts w:hint="eastAsia" w:ascii="黑体" w:hAnsi="黑体" w:eastAsia="黑体" w:cs="黑体"/>
          <w:b/>
          <w:bCs/>
          <w:color w:val="auto"/>
          <w:sz w:val="24"/>
          <w:szCs w:val="22"/>
        </w:rPr>
      </w:pPr>
      <w:r>
        <w:rPr>
          <w:rFonts w:hint="eastAsia" w:ascii="黑体" w:hAnsi="黑体" w:eastAsia="黑体" w:cs="黑体"/>
          <w:b/>
          <w:bCs/>
          <w:color w:val="auto"/>
          <w:sz w:val="24"/>
          <w:szCs w:val="22"/>
          <w:lang w:val="en-US" w:eastAsia="zh-CN"/>
        </w:rPr>
        <w:t>8</w:t>
      </w:r>
      <w:r>
        <w:rPr>
          <w:rFonts w:hint="eastAsia" w:ascii="黑体" w:hAnsi="黑体" w:eastAsia="黑体" w:cs="黑体"/>
          <w:b/>
          <w:bCs/>
          <w:color w:val="auto"/>
          <w:sz w:val="24"/>
          <w:szCs w:val="22"/>
        </w:rPr>
        <w:t>-1法定代表人资格证明书</w:t>
      </w:r>
    </w:p>
    <w:tbl>
      <w:tblPr>
        <w:tblStyle w:val="24"/>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1965"/>
        <w:gridCol w:w="1336"/>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3" w:type="dxa"/>
            <w:gridSpan w:val="5"/>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lang w:eastAsia="zh-CN"/>
              </w:rPr>
            </w:pPr>
            <w:r>
              <w:rPr>
                <w:rFonts w:hint="eastAsia" w:ascii="黑体" w:hAnsi="黑体" w:eastAsia="黑体" w:cs="黑体"/>
                <w:bCs/>
                <w:caps/>
                <w:color w:val="auto"/>
                <w:sz w:val="22"/>
                <w:szCs w:val="22"/>
              </w:rPr>
              <w:t>致：</w:t>
            </w:r>
            <w:r>
              <w:rPr>
                <w:rFonts w:hint="eastAsia" w:ascii="黑体" w:hAnsi="黑体" w:eastAsia="黑体" w:cs="黑体"/>
                <w:bCs/>
                <w:caps/>
                <w:color w:val="auto"/>
                <w:sz w:val="22"/>
                <w:szCs w:val="22"/>
                <w:lang w:eastAsia="zh-CN"/>
              </w:rPr>
              <w:t>圣弘建设股份有限公司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项目名称</w:t>
            </w:r>
          </w:p>
        </w:tc>
        <w:tc>
          <w:tcPr>
            <w:tcW w:w="7502" w:type="dxa"/>
            <w:gridSpan w:val="4"/>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文件编号</w:t>
            </w:r>
          </w:p>
        </w:tc>
        <w:tc>
          <w:tcPr>
            <w:tcW w:w="7502" w:type="dxa"/>
            <w:gridSpan w:val="4"/>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权   限</w:t>
            </w:r>
          </w:p>
        </w:tc>
        <w:tc>
          <w:tcPr>
            <w:tcW w:w="7502" w:type="dxa"/>
            <w:gridSpan w:val="4"/>
            <w:noWrap w:val="0"/>
            <w:vAlign w:val="center"/>
          </w:tcPr>
          <w:p>
            <w:pPr>
              <w:tabs>
                <w:tab w:val="right" w:leader="dot" w:pos="9022"/>
              </w:tabs>
              <w:autoSpaceDE w:val="0"/>
              <w:autoSpaceDN w:val="0"/>
              <w:adjustRightInd w:val="0"/>
              <w:spacing w:line="4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办理本次</w:t>
            </w:r>
            <w:r>
              <w:rPr>
                <w:rFonts w:hint="eastAsia" w:ascii="黑体" w:hAnsi="黑体" w:eastAsia="黑体" w:cs="黑体"/>
                <w:bCs/>
                <w:caps/>
                <w:color w:val="auto"/>
                <w:sz w:val="22"/>
                <w:szCs w:val="22"/>
                <w:lang w:val="en-US" w:eastAsia="zh-CN"/>
              </w:rPr>
              <w:t>采购</w:t>
            </w:r>
            <w:r>
              <w:rPr>
                <w:rFonts w:hint="eastAsia" w:ascii="黑体" w:hAnsi="黑体" w:eastAsia="黑体" w:cs="黑体"/>
                <w:bCs/>
                <w:caps/>
                <w:color w:val="auto"/>
                <w:sz w:val="22"/>
                <w:szCs w:val="22"/>
              </w:rPr>
              <w:t>项目的磋商、联系、洽谈、签约、执行等具体事务，签署全部有关文件、文书、协议及合同。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有效期</w:t>
            </w:r>
          </w:p>
        </w:tc>
        <w:tc>
          <w:tcPr>
            <w:tcW w:w="7502" w:type="dxa"/>
            <w:gridSpan w:val="4"/>
            <w:noWrap w:val="0"/>
            <w:vAlign w:val="center"/>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color w:val="auto"/>
                <w:sz w:val="22"/>
                <w:szCs w:val="22"/>
              </w:rPr>
              <w:t>自提交磋商响应文件的截止之日起90个日历日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pPr>
              <w:tabs>
                <w:tab w:val="right" w:leader="dot" w:pos="9022"/>
              </w:tabs>
              <w:autoSpaceDE w:val="0"/>
              <w:autoSpaceDN w:val="0"/>
              <w:adjustRightInd w:val="0"/>
              <w:spacing w:line="500" w:lineRule="exact"/>
              <w:ind w:firstLine="220" w:firstLineChars="100"/>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企业</w:t>
            </w:r>
          </w:p>
          <w:p>
            <w:pPr>
              <w:tabs>
                <w:tab w:val="right" w:leader="dot" w:pos="9022"/>
              </w:tabs>
              <w:autoSpaceDE w:val="0"/>
              <w:autoSpaceDN w:val="0"/>
              <w:adjustRightInd w:val="0"/>
              <w:spacing w:line="500" w:lineRule="exact"/>
              <w:ind w:firstLine="220" w:firstLineChars="100"/>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信息</w:t>
            </w:r>
          </w:p>
        </w:tc>
        <w:tc>
          <w:tcPr>
            <w:tcW w:w="2470"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 xml:space="preserve">企 业 名 称 </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 定 地 址</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统一社会信用代码</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spacing w:line="5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工商登记机关</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spacing w:line="5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网        址</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法定代</w:t>
            </w: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表人</w:t>
            </w:r>
          </w:p>
        </w:tc>
        <w:tc>
          <w:tcPr>
            <w:tcW w:w="2470" w:type="dxa"/>
            <w:noWrap w:val="0"/>
            <w:vAlign w:val="top"/>
          </w:tcPr>
          <w:p>
            <w:pPr>
              <w:tabs>
                <w:tab w:val="right" w:leader="dot" w:pos="9022"/>
              </w:tabs>
              <w:autoSpaceDE w:val="0"/>
              <w:autoSpaceDN w:val="0"/>
              <w:adjustRightInd w:val="0"/>
              <w:spacing w:line="500" w:lineRule="exact"/>
              <w:ind w:firstLine="220" w:firstLineChars="100"/>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姓    名</w:t>
            </w:r>
          </w:p>
        </w:tc>
        <w:tc>
          <w:tcPr>
            <w:tcW w:w="1965"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36"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性    别</w:t>
            </w:r>
          </w:p>
        </w:tc>
        <w:tc>
          <w:tcPr>
            <w:tcW w:w="1731"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autoSpaceDE w:val="0"/>
              <w:autoSpaceDN w:val="0"/>
              <w:adjustRightInd w:val="0"/>
              <w:spacing w:line="500" w:lineRule="exact"/>
              <w:ind w:firstLine="220" w:firstLineChars="100"/>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职    务</w:t>
            </w:r>
          </w:p>
        </w:tc>
        <w:tc>
          <w:tcPr>
            <w:tcW w:w="1965"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36"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联系电话</w:t>
            </w:r>
          </w:p>
        </w:tc>
        <w:tc>
          <w:tcPr>
            <w:tcW w:w="1731"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autoSpaceDE w:val="0"/>
              <w:autoSpaceDN w:val="0"/>
              <w:adjustRightInd w:val="0"/>
              <w:spacing w:line="500" w:lineRule="exact"/>
              <w:ind w:firstLine="220" w:firstLineChars="100"/>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传    真</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2470" w:type="dxa"/>
            <w:noWrap w:val="0"/>
            <w:vAlign w:val="top"/>
          </w:tcPr>
          <w:p>
            <w:pPr>
              <w:tabs>
                <w:tab w:val="right" w:leader="dot" w:pos="9022"/>
              </w:tabs>
              <w:autoSpaceDE w:val="0"/>
              <w:autoSpaceDN w:val="0"/>
              <w:adjustRightInd w:val="0"/>
              <w:spacing w:line="500" w:lineRule="exact"/>
              <w:ind w:firstLine="220" w:firstLineChars="100"/>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通讯地址</w:t>
            </w:r>
          </w:p>
        </w:tc>
        <w:tc>
          <w:tcPr>
            <w:tcW w:w="5032" w:type="dxa"/>
            <w:gridSpan w:val="3"/>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9123" w:type="dxa"/>
            <w:gridSpan w:val="5"/>
            <w:noWrap w:val="0"/>
            <w:vAlign w:val="top"/>
          </w:tcPr>
          <w:p>
            <w:pPr>
              <w:tabs>
                <w:tab w:val="right" w:leader="dot" w:pos="9022"/>
              </w:tabs>
              <w:autoSpaceDE w:val="0"/>
              <w:autoSpaceDN w:val="0"/>
              <w:adjustRightInd w:val="0"/>
              <w:spacing w:line="500" w:lineRule="exact"/>
              <w:jc w:val="both"/>
              <w:rPr>
                <w:rFonts w:hint="eastAsia" w:ascii="黑体" w:hAnsi="黑体" w:eastAsia="黑体" w:cs="黑体"/>
                <w:bCs/>
                <w:caps/>
                <w:color w:val="auto"/>
                <w:sz w:val="22"/>
                <w:szCs w:val="22"/>
              </w:rPr>
            </w:pP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法定代表人身份证正反面复印件</w:t>
            </w:r>
          </w:p>
          <w:p>
            <w:pPr>
              <w:tabs>
                <w:tab w:val="right" w:leader="dot" w:pos="9022"/>
              </w:tabs>
              <w:autoSpaceDE w:val="0"/>
              <w:autoSpaceDN w:val="0"/>
              <w:adjustRightInd w:val="0"/>
              <w:spacing w:line="500" w:lineRule="exact"/>
              <w:jc w:val="center"/>
              <w:rPr>
                <w:rFonts w:hint="eastAsia" w:ascii="黑体" w:hAnsi="黑体" w:eastAsia="黑体" w:cs="黑体"/>
                <w:color w:val="auto"/>
                <w:spacing w:val="-4"/>
                <w:sz w:val="22"/>
                <w:szCs w:val="22"/>
              </w:rPr>
            </w:pP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9123" w:type="dxa"/>
            <w:gridSpan w:val="5"/>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法定代表人签字及盖章：</w:t>
            </w:r>
          </w:p>
        </w:tc>
      </w:tr>
    </w:tbl>
    <w:p>
      <w:pPr>
        <w:spacing w:line="480" w:lineRule="exact"/>
        <w:rPr>
          <w:rFonts w:hint="eastAsia" w:ascii="黑体" w:hAnsi="黑体" w:eastAsia="黑体" w:cs="黑体"/>
          <w:b/>
          <w:bCs/>
          <w:color w:val="auto"/>
          <w:sz w:val="24"/>
          <w:szCs w:val="22"/>
        </w:rPr>
      </w:pP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2"/>
        </w:rPr>
        <w:t>名称：</w:t>
      </w:r>
      <w:r>
        <w:rPr>
          <w:rFonts w:hint="eastAsia" w:ascii="黑体" w:hAnsi="黑体" w:eastAsia="黑体" w:cs="黑体"/>
          <w:color w:val="auto"/>
          <w:sz w:val="24"/>
          <w:szCs w:val="22"/>
          <w:u w:val="single"/>
        </w:rPr>
        <w:t xml:space="preserve">                   </w:t>
      </w:r>
      <w:r>
        <w:rPr>
          <w:rFonts w:hint="eastAsia" w:ascii="黑体" w:hAnsi="黑体" w:eastAsia="黑体" w:cs="黑体"/>
          <w:color w:val="auto"/>
          <w:sz w:val="24"/>
          <w:szCs w:val="22"/>
        </w:rPr>
        <w:t>（</w:t>
      </w: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sz w:val="24"/>
          <w:szCs w:val="22"/>
        </w:rPr>
        <w:t>单位公章）      日 期：</w:t>
      </w:r>
    </w:p>
    <w:p>
      <w:pPr>
        <w:spacing w:line="480" w:lineRule="exact"/>
        <w:ind w:left="280" w:leftChars="100"/>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lang w:val="en-US" w:eastAsia="zh-CN"/>
        </w:rPr>
        <w:br w:type="page"/>
      </w:r>
      <w:r>
        <w:rPr>
          <w:rFonts w:hint="eastAsia" w:ascii="黑体" w:hAnsi="黑体" w:eastAsia="黑体" w:cs="黑体"/>
          <w:b/>
          <w:bCs/>
          <w:color w:val="auto"/>
          <w:sz w:val="24"/>
          <w:szCs w:val="24"/>
          <w:lang w:val="en-US" w:eastAsia="zh-CN"/>
        </w:rPr>
        <w:t>8</w:t>
      </w:r>
      <w:r>
        <w:rPr>
          <w:rFonts w:hint="eastAsia" w:ascii="黑体" w:hAnsi="黑体" w:eastAsia="黑体" w:cs="黑体"/>
          <w:b/>
          <w:bCs/>
          <w:color w:val="auto"/>
          <w:sz w:val="24"/>
          <w:szCs w:val="24"/>
        </w:rPr>
        <w:t>-2、法定代表人授权委托书</w:t>
      </w:r>
    </w:p>
    <w:tbl>
      <w:tblPr>
        <w:tblStyle w:val="2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1015"/>
        <w:gridCol w:w="544"/>
        <w:gridCol w:w="1559"/>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9" w:type="dxa"/>
            <w:gridSpan w:val="7"/>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lang w:eastAsia="zh-CN"/>
              </w:rPr>
            </w:pPr>
            <w:r>
              <w:rPr>
                <w:rFonts w:hint="eastAsia" w:ascii="黑体" w:hAnsi="黑体" w:eastAsia="黑体" w:cs="黑体"/>
                <w:bCs/>
                <w:caps/>
                <w:color w:val="auto"/>
                <w:sz w:val="22"/>
                <w:szCs w:val="22"/>
              </w:rPr>
              <w:t>致：</w:t>
            </w:r>
            <w:r>
              <w:rPr>
                <w:rFonts w:hint="eastAsia" w:ascii="黑体" w:hAnsi="黑体" w:eastAsia="黑体" w:cs="黑体"/>
                <w:bCs/>
                <w:caps/>
                <w:color w:val="auto"/>
                <w:sz w:val="22"/>
                <w:szCs w:val="22"/>
                <w:lang w:eastAsia="zh-CN"/>
              </w:rPr>
              <w:t>圣弘建设股份有限公司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被授</w:t>
            </w: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权项</w:t>
            </w: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目与</w:t>
            </w: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内容</w:t>
            </w:r>
          </w:p>
        </w:tc>
        <w:tc>
          <w:tcPr>
            <w:tcW w:w="1355"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项目名称</w:t>
            </w:r>
          </w:p>
        </w:tc>
        <w:tc>
          <w:tcPr>
            <w:tcW w:w="6212" w:type="dxa"/>
            <w:gridSpan w:val="5"/>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55"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文件编号</w:t>
            </w:r>
          </w:p>
        </w:tc>
        <w:tc>
          <w:tcPr>
            <w:tcW w:w="6212" w:type="dxa"/>
            <w:gridSpan w:val="5"/>
            <w:noWrap w:val="0"/>
            <w:vAlign w:val="top"/>
          </w:tcPr>
          <w:p>
            <w:pPr>
              <w:tabs>
                <w:tab w:val="right" w:leader="dot" w:pos="9022"/>
              </w:tabs>
              <w:autoSpaceDE w:val="0"/>
              <w:autoSpaceDN w:val="0"/>
              <w:adjustRightInd w:val="0"/>
              <w:spacing w:line="500" w:lineRule="exact"/>
              <w:ind w:firstLine="1100" w:firstLineChars="500"/>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55"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授权范围</w:t>
            </w:r>
          </w:p>
        </w:tc>
        <w:tc>
          <w:tcPr>
            <w:tcW w:w="6212" w:type="dxa"/>
            <w:gridSpan w:val="5"/>
            <w:noWrap w:val="0"/>
            <w:vAlign w:val="top"/>
          </w:tcPr>
          <w:p>
            <w:pPr>
              <w:tabs>
                <w:tab w:val="right" w:leader="dot" w:pos="9022"/>
              </w:tabs>
              <w:autoSpaceDE w:val="0"/>
              <w:autoSpaceDN w:val="0"/>
              <w:adjustRightInd w:val="0"/>
              <w:spacing w:line="4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全权办理本次采购项目的磋商、联系、洽谈、签约、执行等具体事务，签署全部有关文件、文书、协议及合同。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55"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法律责任</w:t>
            </w:r>
          </w:p>
        </w:tc>
        <w:tc>
          <w:tcPr>
            <w:tcW w:w="6212" w:type="dxa"/>
            <w:gridSpan w:val="5"/>
            <w:noWrap w:val="0"/>
            <w:vAlign w:val="top"/>
          </w:tcPr>
          <w:p>
            <w:pPr>
              <w:tabs>
                <w:tab w:val="right" w:leader="dot" w:pos="9022"/>
              </w:tabs>
              <w:autoSpaceDE w:val="0"/>
              <w:autoSpaceDN w:val="0"/>
              <w:adjustRightInd w:val="0"/>
              <w:spacing w:line="4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本公司对被授权人在本项目中的签名承担全部法律责任。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55" w:type="dxa"/>
            <w:noWrap w:val="0"/>
            <w:vAlign w:val="center"/>
          </w:tcPr>
          <w:p>
            <w:pPr>
              <w:tabs>
                <w:tab w:val="right" w:leader="dot" w:pos="9022"/>
              </w:tabs>
              <w:autoSpaceDE w:val="0"/>
              <w:autoSpaceDN w:val="0"/>
              <w:adjustRightInd w:val="0"/>
              <w:spacing w:line="5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授权期限</w:t>
            </w:r>
          </w:p>
        </w:tc>
        <w:tc>
          <w:tcPr>
            <w:tcW w:w="6212" w:type="dxa"/>
            <w:gridSpan w:val="5"/>
            <w:noWrap w:val="0"/>
            <w:vAlign w:val="center"/>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本授权书</w:t>
            </w:r>
            <w:r>
              <w:rPr>
                <w:rFonts w:hint="eastAsia" w:ascii="黑体" w:hAnsi="黑体" w:eastAsia="黑体" w:cs="黑体"/>
                <w:color w:val="auto"/>
                <w:sz w:val="22"/>
                <w:szCs w:val="22"/>
              </w:rPr>
              <w:t>自提交磋商响应文件的截止之日起90个日历日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企业信息</w:t>
            </w:r>
          </w:p>
        </w:tc>
        <w:tc>
          <w:tcPr>
            <w:tcW w:w="2489" w:type="dxa"/>
            <w:gridSpan w:val="2"/>
            <w:noWrap w:val="0"/>
            <w:vAlign w:val="top"/>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 xml:space="preserve">企 业 名 称 </w:t>
            </w:r>
          </w:p>
        </w:tc>
        <w:tc>
          <w:tcPr>
            <w:tcW w:w="5078" w:type="dxa"/>
            <w:gridSpan w:val="4"/>
            <w:noWrap w:val="0"/>
            <w:vAlign w:val="center"/>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2489" w:type="dxa"/>
            <w:gridSpan w:val="2"/>
            <w:noWrap w:val="0"/>
            <w:vAlign w:val="top"/>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 定 地 址</w:t>
            </w:r>
          </w:p>
        </w:tc>
        <w:tc>
          <w:tcPr>
            <w:tcW w:w="5078" w:type="dxa"/>
            <w:gridSpan w:val="4"/>
            <w:noWrap w:val="0"/>
            <w:vAlign w:val="center"/>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2489" w:type="dxa"/>
            <w:gridSpan w:val="2"/>
            <w:noWrap w:val="0"/>
            <w:vAlign w:val="top"/>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统一社会信用代码</w:t>
            </w:r>
          </w:p>
        </w:tc>
        <w:tc>
          <w:tcPr>
            <w:tcW w:w="5078" w:type="dxa"/>
            <w:gridSpan w:val="4"/>
            <w:noWrap w:val="0"/>
            <w:vAlign w:val="center"/>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pPr>
              <w:tabs>
                <w:tab w:val="right" w:leader="dot" w:pos="9022"/>
              </w:tabs>
              <w:autoSpaceDE w:val="0"/>
              <w:autoSpaceDN w:val="0"/>
              <w:adjustRightInd w:val="0"/>
              <w:spacing w:line="500" w:lineRule="exac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法定代表人</w:t>
            </w:r>
          </w:p>
        </w:tc>
        <w:tc>
          <w:tcPr>
            <w:tcW w:w="1355"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姓名</w:t>
            </w:r>
          </w:p>
        </w:tc>
        <w:tc>
          <w:tcPr>
            <w:tcW w:w="2693" w:type="dxa"/>
            <w:gridSpan w:val="3"/>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1559"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性    别</w:t>
            </w:r>
          </w:p>
        </w:tc>
        <w:tc>
          <w:tcPr>
            <w:tcW w:w="1960"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55"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职务</w:t>
            </w:r>
          </w:p>
        </w:tc>
        <w:tc>
          <w:tcPr>
            <w:tcW w:w="2693" w:type="dxa"/>
            <w:gridSpan w:val="3"/>
            <w:noWrap w:val="0"/>
            <w:vAlign w:val="center"/>
          </w:tcPr>
          <w:p>
            <w:pPr>
              <w:tabs>
                <w:tab w:val="right" w:leader="dot" w:pos="9022"/>
              </w:tabs>
              <w:autoSpaceDE w:val="0"/>
              <w:autoSpaceDN w:val="0"/>
              <w:adjustRightInd w:val="0"/>
              <w:spacing w:line="400" w:lineRule="exact"/>
              <w:jc w:val="center"/>
              <w:rPr>
                <w:rFonts w:hint="eastAsia" w:ascii="黑体" w:hAnsi="黑体" w:eastAsia="黑体" w:cs="黑体"/>
                <w:bCs/>
                <w:caps/>
                <w:color w:val="auto"/>
                <w:sz w:val="22"/>
                <w:szCs w:val="22"/>
              </w:rPr>
            </w:pPr>
          </w:p>
        </w:tc>
        <w:tc>
          <w:tcPr>
            <w:tcW w:w="1559" w:type="dxa"/>
            <w:noWrap w:val="0"/>
            <w:vAlign w:val="center"/>
          </w:tcPr>
          <w:p>
            <w:pPr>
              <w:tabs>
                <w:tab w:val="right" w:leader="dot" w:pos="9022"/>
              </w:tabs>
              <w:autoSpaceDE w:val="0"/>
              <w:autoSpaceDN w:val="0"/>
              <w:adjustRightInd w:val="0"/>
              <w:spacing w:line="4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手机号码</w:t>
            </w:r>
          </w:p>
        </w:tc>
        <w:tc>
          <w:tcPr>
            <w:tcW w:w="1960" w:type="dxa"/>
            <w:noWrap w:val="0"/>
            <w:vAlign w:val="center"/>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被授权人</w:t>
            </w:r>
          </w:p>
        </w:tc>
        <w:tc>
          <w:tcPr>
            <w:tcW w:w="1355"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姓名</w:t>
            </w:r>
          </w:p>
        </w:tc>
        <w:tc>
          <w:tcPr>
            <w:tcW w:w="2693" w:type="dxa"/>
            <w:gridSpan w:val="3"/>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c>
          <w:tcPr>
            <w:tcW w:w="1559"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性    别</w:t>
            </w:r>
          </w:p>
        </w:tc>
        <w:tc>
          <w:tcPr>
            <w:tcW w:w="1960"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c>
          <w:tcPr>
            <w:tcW w:w="1355" w:type="dxa"/>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职务</w:t>
            </w:r>
          </w:p>
        </w:tc>
        <w:tc>
          <w:tcPr>
            <w:tcW w:w="2693" w:type="dxa"/>
            <w:gridSpan w:val="3"/>
            <w:noWrap w:val="0"/>
            <w:vAlign w:val="center"/>
          </w:tcPr>
          <w:p>
            <w:pPr>
              <w:tabs>
                <w:tab w:val="right" w:leader="dot" w:pos="9022"/>
              </w:tabs>
              <w:autoSpaceDE w:val="0"/>
              <w:autoSpaceDN w:val="0"/>
              <w:adjustRightInd w:val="0"/>
              <w:spacing w:line="400" w:lineRule="exact"/>
              <w:jc w:val="center"/>
              <w:rPr>
                <w:rFonts w:hint="eastAsia" w:ascii="黑体" w:hAnsi="黑体" w:eastAsia="黑体" w:cs="黑体"/>
                <w:bCs/>
                <w:caps/>
                <w:color w:val="auto"/>
                <w:sz w:val="22"/>
                <w:szCs w:val="22"/>
              </w:rPr>
            </w:pPr>
          </w:p>
        </w:tc>
        <w:tc>
          <w:tcPr>
            <w:tcW w:w="1559" w:type="dxa"/>
            <w:noWrap w:val="0"/>
            <w:vAlign w:val="center"/>
          </w:tcPr>
          <w:p>
            <w:pPr>
              <w:tabs>
                <w:tab w:val="right" w:leader="dot" w:pos="9022"/>
              </w:tabs>
              <w:autoSpaceDE w:val="0"/>
              <w:autoSpaceDN w:val="0"/>
              <w:adjustRightInd w:val="0"/>
              <w:spacing w:line="4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手机号码</w:t>
            </w:r>
          </w:p>
        </w:tc>
        <w:tc>
          <w:tcPr>
            <w:tcW w:w="1960" w:type="dxa"/>
            <w:noWrap w:val="0"/>
            <w:vAlign w:val="top"/>
          </w:tcPr>
          <w:p>
            <w:pPr>
              <w:tabs>
                <w:tab w:val="right" w:leader="dot" w:pos="9022"/>
              </w:tabs>
              <w:autoSpaceDE w:val="0"/>
              <w:autoSpaceDN w:val="0"/>
              <w:adjustRightInd w:val="0"/>
              <w:spacing w:line="400" w:lineRule="exac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02" w:type="dxa"/>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通讯地址</w:t>
            </w:r>
          </w:p>
        </w:tc>
        <w:tc>
          <w:tcPr>
            <w:tcW w:w="7567" w:type="dxa"/>
            <w:gridSpan w:val="6"/>
            <w:noWrap w:val="0"/>
            <w:vAlign w:val="top"/>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1" w:hRule="atLeast"/>
          <w:jc w:val="center"/>
        </w:trPr>
        <w:tc>
          <w:tcPr>
            <w:tcW w:w="5206" w:type="dxa"/>
            <w:gridSpan w:val="4"/>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法定代表人身份证正反面复印件</w:t>
            </w: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（粘贴处）</w:t>
            </w:r>
          </w:p>
        </w:tc>
        <w:tc>
          <w:tcPr>
            <w:tcW w:w="4063" w:type="dxa"/>
            <w:gridSpan w:val="3"/>
            <w:noWrap w:val="0"/>
            <w:vAlign w:val="center"/>
          </w:tcPr>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被授权人身份证正反面复印件</w:t>
            </w:r>
          </w:p>
          <w:p>
            <w:pPr>
              <w:tabs>
                <w:tab w:val="right" w:leader="dot" w:pos="9022"/>
              </w:tabs>
              <w:autoSpaceDE w:val="0"/>
              <w:autoSpaceDN w:val="0"/>
              <w:adjustRightInd w:val="0"/>
              <w:spacing w:line="500" w:lineRule="exact"/>
              <w:jc w:val="center"/>
              <w:rPr>
                <w:rFonts w:hint="eastAsia" w:ascii="黑体" w:hAnsi="黑体" w:eastAsia="黑体" w:cs="黑体"/>
                <w:bCs/>
                <w:caps/>
                <w:color w:val="auto"/>
                <w:sz w:val="22"/>
                <w:szCs w:val="22"/>
              </w:rPr>
            </w:pPr>
            <w:r>
              <w:rPr>
                <w:rFonts w:hint="eastAsia" w:ascii="黑体" w:hAnsi="黑体" w:eastAsia="黑体" w:cs="黑体"/>
                <w:bCs/>
                <w:caps/>
                <w:color w:val="auto"/>
                <w:sz w:val="22"/>
                <w:szCs w:val="22"/>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269" w:type="dxa"/>
            <w:gridSpan w:val="7"/>
            <w:tcBorders>
              <w:bottom w:val="single" w:color="auto" w:sz="4" w:space="0"/>
            </w:tcBorders>
            <w:noWrap w:val="0"/>
            <w:vAlign w:val="center"/>
          </w:tcPr>
          <w:p>
            <w:pPr>
              <w:tabs>
                <w:tab w:val="right" w:leader="dot" w:pos="9022"/>
              </w:tabs>
              <w:autoSpaceDE w:val="0"/>
              <w:autoSpaceDN w:val="0"/>
              <w:adjustRightInd w:val="0"/>
              <w:spacing w:line="500" w:lineRule="exact"/>
              <w:jc w:val="left"/>
              <w:rPr>
                <w:rFonts w:hint="eastAsia" w:ascii="黑体" w:hAnsi="黑体" w:eastAsia="黑体" w:cs="黑体"/>
                <w:bCs/>
                <w:caps/>
                <w:color w:val="auto"/>
                <w:sz w:val="24"/>
                <w:szCs w:val="24"/>
              </w:rPr>
            </w:pPr>
            <w:r>
              <w:rPr>
                <w:rFonts w:hint="eastAsia" w:ascii="黑体" w:hAnsi="黑体" w:eastAsia="黑体" w:cs="黑体"/>
                <w:bCs/>
                <w:caps/>
                <w:color w:val="auto"/>
                <w:sz w:val="22"/>
                <w:szCs w:val="22"/>
              </w:rPr>
              <w:t>法定代表人及被授权人签字或盖章：</w:t>
            </w:r>
          </w:p>
        </w:tc>
      </w:tr>
    </w:tbl>
    <w:p>
      <w:pPr>
        <w:spacing w:line="360" w:lineRule="auto"/>
        <w:rPr>
          <w:rFonts w:hint="eastAsia" w:ascii="黑体" w:hAnsi="黑体" w:eastAsia="黑体" w:cs="黑体"/>
          <w:bCs/>
          <w:caps/>
          <w:color w:val="auto"/>
          <w:sz w:val="24"/>
          <w:szCs w:val="24"/>
        </w:rPr>
        <w:sectPr>
          <w:headerReference r:id="rId12" w:type="first"/>
          <w:footerReference r:id="rId14" w:type="first"/>
          <w:headerReference r:id="rId11" w:type="default"/>
          <w:footerReference r:id="rId13" w:type="default"/>
          <w:pgSz w:w="11905" w:h="16838"/>
          <w:pgMar w:top="1417" w:right="1134" w:bottom="1417" w:left="1304" w:header="935" w:footer="10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黑体" w:hAnsi="黑体" w:eastAsia="黑体" w:cs="黑体"/>
          <w:color w:val="auto"/>
          <w:sz w:val="24"/>
          <w:highlight w:val="none"/>
          <w:lang w:val="en-US" w:eastAsia="zh-CN"/>
        </w:rPr>
        <w:t>供应商</w:t>
      </w:r>
      <w:r>
        <w:rPr>
          <w:rFonts w:hint="eastAsia" w:ascii="黑体" w:hAnsi="黑体" w:eastAsia="黑体" w:cs="黑体"/>
          <w:bCs/>
          <w:caps/>
          <w:color w:val="auto"/>
          <w:sz w:val="24"/>
          <w:szCs w:val="24"/>
        </w:rPr>
        <w:t>名称：</w:t>
      </w:r>
      <w:r>
        <w:rPr>
          <w:rFonts w:hint="eastAsia" w:ascii="黑体" w:hAnsi="黑体" w:eastAsia="黑体" w:cs="黑体"/>
          <w:bCs/>
          <w:caps/>
          <w:color w:val="auto"/>
          <w:sz w:val="24"/>
          <w:szCs w:val="24"/>
          <w:u w:val="single"/>
        </w:rPr>
        <w:t xml:space="preserve">             </w:t>
      </w:r>
      <w:r>
        <w:rPr>
          <w:rFonts w:hint="eastAsia" w:ascii="黑体" w:hAnsi="黑体" w:eastAsia="黑体" w:cs="黑体"/>
          <w:bCs/>
          <w:caps/>
          <w:color w:val="auto"/>
          <w:sz w:val="24"/>
          <w:szCs w:val="24"/>
        </w:rPr>
        <w:t>（</w:t>
      </w:r>
      <w:r>
        <w:rPr>
          <w:rFonts w:hint="eastAsia" w:ascii="黑体" w:hAnsi="黑体" w:eastAsia="黑体" w:cs="黑体"/>
          <w:color w:val="auto"/>
          <w:sz w:val="24"/>
          <w:highlight w:val="none"/>
          <w:lang w:val="en-US" w:eastAsia="zh-CN"/>
        </w:rPr>
        <w:t>供应商</w:t>
      </w:r>
      <w:r>
        <w:rPr>
          <w:rFonts w:hint="eastAsia" w:ascii="黑体" w:hAnsi="黑体" w:eastAsia="黑体" w:cs="黑体"/>
          <w:bCs/>
          <w:caps/>
          <w:color w:val="auto"/>
          <w:sz w:val="24"/>
          <w:szCs w:val="24"/>
        </w:rPr>
        <w:t xml:space="preserve">单位公章）     日 期： </w:t>
      </w:r>
    </w:p>
    <w:p>
      <w:pPr>
        <w:spacing w:line="360" w:lineRule="auto"/>
        <w:jc w:val="left"/>
        <w:rPr>
          <w:rFonts w:hint="default" w:ascii="黑体" w:hAnsi="黑体" w:eastAsia="黑体" w:cs="黑体"/>
          <w:b/>
          <w:kern w:val="2"/>
          <w:sz w:val="24"/>
          <w:szCs w:val="24"/>
          <w:highlight w:val="none"/>
          <w:lang w:val="en-US" w:eastAsia="zh-CN" w:bidi="ar"/>
        </w:rPr>
      </w:pPr>
      <w:r>
        <w:rPr>
          <w:rFonts w:hint="eastAsia" w:ascii="黑体" w:hAnsi="黑体" w:eastAsia="黑体" w:cs="黑体"/>
          <w:b/>
          <w:kern w:val="2"/>
          <w:sz w:val="24"/>
          <w:szCs w:val="24"/>
          <w:highlight w:val="none"/>
          <w:lang w:val="en-US" w:eastAsia="zh-CN" w:bidi="ar"/>
        </w:rPr>
        <w:t>附表三：</w:t>
      </w:r>
    </w:p>
    <w:p>
      <w:pPr>
        <w:spacing w:line="360" w:lineRule="auto"/>
        <w:jc w:val="left"/>
        <w:rPr>
          <w:rFonts w:hint="eastAsia" w:ascii="黑体" w:hAnsi="黑体" w:eastAsia="黑体" w:cs="黑体"/>
          <w:b/>
          <w:kern w:val="2"/>
          <w:sz w:val="28"/>
          <w:szCs w:val="28"/>
          <w:highlight w:val="none"/>
          <w:lang w:val="en-US" w:eastAsia="zh-CN" w:bidi="ar"/>
        </w:rPr>
      </w:pPr>
      <w:r>
        <w:rPr>
          <w:rFonts w:hint="eastAsia" w:ascii="黑体" w:hAnsi="黑体" w:eastAsia="黑体" w:cs="黑体"/>
          <w:b/>
          <w:kern w:val="2"/>
          <w:sz w:val="28"/>
          <w:szCs w:val="28"/>
          <w:highlight w:val="none"/>
          <w:lang w:val="en-US" w:eastAsia="zh-CN" w:bidi="ar"/>
        </w:rPr>
        <w:t>格式</w:t>
      </w:r>
    </w:p>
    <w:p>
      <w:pPr>
        <w:spacing w:line="360" w:lineRule="auto"/>
        <w:jc w:val="center"/>
        <w:rPr>
          <w:rFonts w:hint="eastAsia" w:ascii="黑体" w:hAnsi="黑体" w:eastAsia="黑体" w:cs="黑体"/>
          <w:b/>
          <w:kern w:val="2"/>
          <w:sz w:val="28"/>
          <w:szCs w:val="28"/>
          <w:highlight w:val="none"/>
          <w:lang w:eastAsia="zh-CN"/>
        </w:rPr>
      </w:pPr>
      <w:r>
        <w:rPr>
          <w:rFonts w:hint="eastAsia" w:ascii="黑体" w:hAnsi="黑体" w:eastAsia="黑体" w:cs="黑体"/>
          <w:b/>
          <w:kern w:val="2"/>
          <w:sz w:val="28"/>
          <w:szCs w:val="28"/>
          <w:highlight w:val="none"/>
          <w:lang w:bidi="ar"/>
        </w:rPr>
        <w:t>具备履行合同所必需的设备和专业技术能力的承诺书</w:t>
      </w:r>
    </w:p>
    <w:p>
      <w:pPr>
        <w:spacing w:line="360" w:lineRule="auto"/>
        <w:rPr>
          <w:rFonts w:hint="eastAsia" w:ascii="黑体" w:hAnsi="黑体" w:eastAsia="黑体" w:cs="黑体"/>
          <w:kern w:val="2"/>
          <w:sz w:val="24"/>
          <w:szCs w:val="24"/>
          <w:highlight w:val="none"/>
          <w:lang w:bidi="ar"/>
        </w:rPr>
      </w:pPr>
    </w:p>
    <w:p>
      <w:pPr>
        <w:keepNext w:val="0"/>
        <w:keepLines w:val="0"/>
        <w:widowControl/>
        <w:suppressLineNumbers w:val="0"/>
        <w:wordWrap w:val="0"/>
        <w:adjustRightInd w:val="0"/>
        <w:snapToGrid w:val="0"/>
        <w:spacing w:before="0" w:beforeLines="0" w:beforeAutospacing="0" w:after="0" w:afterLines="0" w:afterAutospacing="0" w:line="480" w:lineRule="auto"/>
        <w:ind w:left="0" w:leftChars="0" w:right="0" w:rightChars="0" w:firstLine="0" w:firstLineChars="0"/>
        <w:jc w:val="left"/>
        <w:rPr>
          <w:rFonts w:hint="eastAsia" w:ascii="黑体" w:hAnsi="黑体" w:eastAsia="黑体" w:cs="黑体"/>
          <w:b w:val="0"/>
          <w:i w:val="0"/>
          <w:color w:val="000000"/>
          <w:spacing w:val="0"/>
          <w:kern w:val="0"/>
          <w:sz w:val="24"/>
          <w:szCs w:val="24"/>
          <w:highlight w:val="none"/>
          <w:u w:val="single"/>
        </w:rPr>
      </w:pPr>
      <w:r>
        <w:rPr>
          <w:rFonts w:hint="eastAsia" w:ascii="黑体" w:hAnsi="黑体" w:eastAsia="黑体" w:cs="黑体"/>
          <w:kern w:val="2"/>
          <w:sz w:val="24"/>
          <w:szCs w:val="24"/>
          <w:highlight w:val="none"/>
          <w:lang w:bidi="ar"/>
        </w:rPr>
        <w:t>致：</w:t>
      </w:r>
      <w:r>
        <w:rPr>
          <w:rFonts w:hint="eastAsia" w:ascii="黑体" w:hAnsi="黑体" w:eastAsia="黑体" w:cs="黑体"/>
          <w:b w:val="0"/>
          <w:i w:val="0"/>
          <w:color w:val="000000"/>
          <w:spacing w:val="0"/>
          <w:kern w:val="0"/>
          <w:sz w:val="24"/>
          <w:szCs w:val="24"/>
          <w:highlight w:val="none"/>
          <w:u w:val="single"/>
          <w:lang w:val="en-US" w:eastAsia="zh-CN" w:bidi="ar"/>
        </w:rPr>
        <w:t xml:space="preserve">                 （采购人）</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 xml:space="preserve">   我公司（</w:t>
      </w:r>
      <w:r>
        <w:rPr>
          <w:rFonts w:hint="eastAsia" w:ascii="黑体" w:hAnsi="黑体" w:eastAsia="黑体" w:cs="黑体"/>
          <w:kern w:val="2"/>
          <w:sz w:val="24"/>
          <w:szCs w:val="24"/>
          <w:highlight w:val="none"/>
          <w:u w:val="single"/>
          <w:lang w:val="en-US" w:eastAsia="zh-CN" w:bidi="ar"/>
        </w:rPr>
        <w:t>投标人名称</w:t>
      </w:r>
      <w:r>
        <w:rPr>
          <w:rFonts w:hint="eastAsia" w:ascii="黑体" w:hAnsi="黑体" w:eastAsia="黑体" w:cs="黑体"/>
          <w:kern w:val="2"/>
          <w:sz w:val="24"/>
          <w:szCs w:val="24"/>
          <w:highlight w:val="none"/>
          <w:lang w:bidi="ar"/>
        </w:rPr>
        <w:t>）参加贵方组织的</w:t>
      </w:r>
      <w:r>
        <w:rPr>
          <w:rFonts w:hint="eastAsia" w:ascii="黑体" w:hAnsi="黑体" w:eastAsia="黑体" w:cs="黑体"/>
          <w:kern w:val="2"/>
          <w:sz w:val="24"/>
          <w:szCs w:val="24"/>
          <w:highlight w:val="none"/>
          <w:u w:val="single"/>
          <w:lang w:val="en-US" w:eastAsia="zh-CN" w:bidi="ar"/>
        </w:rPr>
        <w:t>项目名称及编号</w:t>
      </w:r>
      <w:r>
        <w:rPr>
          <w:rFonts w:hint="eastAsia" w:ascii="黑体" w:hAnsi="黑体" w:eastAsia="黑体" w:cs="黑体"/>
          <w:kern w:val="2"/>
          <w:sz w:val="24"/>
          <w:szCs w:val="24"/>
          <w:highlight w:val="none"/>
          <w:lang w:bidi="ar"/>
        </w:rPr>
        <w:t>的</w:t>
      </w:r>
      <w:r>
        <w:rPr>
          <w:rFonts w:hint="eastAsia" w:ascii="黑体" w:hAnsi="黑体" w:eastAsia="黑体" w:cs="黑体"/>
          <w:kern w:val="2"/>
          <w:sz w:val="24"/>
          <w:szCs w:val="24"/>
          <w:highlight w:val="none"/>
          <w:lang w:val="en-US" w:eastAsia="zh-CN" w:bidi="ar"/>
        </w:rPr>
        <w:t>采购</w:t>
      </w:r>
      <w:r>
        <w:rPr>
          <w:rFonts w:hint="eastAsia" w:ascii="黑体" w:hAnsi="黑体" w:eastAsia="黑体" w:cs="黑体"/>
          <w:kern w:val="2"/>
          <w:sz w:val="24"/>
          <w:szCs w:val="24"/>
          <w:highlight w:val="none"/>
          <w:lang w:bidi="ar"/>
        </w:rPr>
        <w:t xml:space="preserve">活动，如我方获得中标资格，我方保证具备履行合同所必需的设备和专业技术能力，并承诺如下：     </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 xml:space="preserve">（一）具有独立承担民事责任的能力；  </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 xml:space="preserve">（二）具有良好的商业信誉和健全的财务会计制度； </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 xml:space="preserve">（三）具有履行合同所必需的设备和专业技术能力； </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w:t>
      </w:r>
      <w:r>
        <w:rPr>
          <w:rFonts w:hint="eastAsia" w:ascii="黑体" w:hAnsi="黑体" w:eastAsia="黑体" w:cs="黑体"/>
          <w:kern w:val="2"/>
          <w:sz w:val="24"/>
          <w:szCs w:val="24"/>
          <w:highlight w:val="none"/>
          <w:lang w:val="en-US" w:eastAsia="zh-CN" w:bidi="ar"/>
        </w:rPr>
        <w:t>四</w:t>
      </w:r>
      <w:r>
        <w:rPr>
          <w:rFonts w:hint="eastAsia" w:ascii="黑体" w:hAnsi="黑体" w:eastAsia="黑体" w:cs="黑体"/>
          <w:kern w:val="2"/>
          <w:sz w:val="24"/>
          <w:szCs w:val="24"/>
          <w:highlight w:val="none"/>
          <w:lang w:bidi="ar"/>
        </w:rPr>
        <w:t>）</w:t>
      </w:r>
      <w:r>
        <w:rPr>
          <w:rFonts w:hint="eastAsia" w:ascii="黑体" w:hAnsi="黑体" w:eastAsia="黑体" w:cs="黑体"/>
          <w:kern w:val="2"/>
          <w:sz w:val="24"/>
          <w:szCs w:val="24"/>
          <w:highlight w:val="none"/>
          <w:lang w:val="en-US" w:eastAsia="zh-CN" w:bidi="ar"/>
        </w:rPr>
        <w:t>具有</w:t>
      </w:r>
      <w:r>
        <w:rPr>
          <w:rFonts w:hint="eastAsia" w:ascii="黑体" w:hAnsi="黑体" w:eastAsia="黑体" w:cs="黑体"/>
          <w:kern w:val="2"/>
          <w:sz w:val="24"/>
          <w:szCs w:val="24"/>
          <w:highlight w:val="none"/>
          <w:lang w:bidi="ar"/>
        </w:rPr>
        <w:t xml:space="preserve">履行法律、行政法规规定的其他条件。 </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w:t>
      </w:r>
      <w:r>
        <w:rPr>
          <w:rFonts w:hint="eastAsia" w:ascii="黑体" w:hAnsi="黑体" w:eastAsia="黑体" w:cs="黑体"/>
          <w:kern w:val="2"/>
          <w:sz w:val="24"/>
          <w:szCs w:val="24"/>
          <w:highlight w:val="none"/>
          <w:lang w:val="en-US" w:eastAsia="zh-CN" w:bidi="ar"/>
        </w:rPr>
        <w:t>五</w:t>
      </w:r>
      <w:r>
        <w:rPr>
          <w:rFonts w:hint="eastAsia" w:ascii="黑体" w:hAnsi="黑体" w:eastAsia="黑体" w:cs="黑体"/>
          <w:kern w:val="2"/>
          <w:sz w:val="24"/>
          <w:szCs w:val="24"/>
          <w:highlight w:val="none"/>
          <w:lang w:bidi="ar"/>
        </w:rPr>
        <w:t>）我公司已完全了解本</w:t>
      </w:r>
      <w:r>
        <w:rPr>
          <w:rFonts w:hint="eastAsia" w:ascii="黑体" w:hAnsi="黑体" w:eastAsia="黑体" w:cs="黑体"/>
          <w:kern w:val="2"/>
          <w:sz w:val="24"/>
          <w:szCs w:val="24"/>
          <w:highlight w:val="none"/>
          <w:lang w:val="en-US" w:eastAsia="zh-CN" w:bidi="ar"/>
        </w:rPr>
        <w:t>项目磋商</w:t>
      </w:r>
      <w:r>
        <w:rPr>
          <w:rFonts w:hint="eastAsia" w:ascii="黑体" w:hAnsi="黑体" w:eastAsia="黑体" w:cs="黑体"/>
          <w:kern w:val="2"/>
          <w:sz w:val="24"/>
          <w:szCs w:val="24"/>
          <w:highlight w:val="none"/>
          <w:lang w:bidi="ar"/>
        </w:rPr>
        <w:t xml:space="preserve">文件中规定的技术要求和商务条款。 </w:t>
      </w:r>
    </w:p>
    <w:p>
      <w:pPr>
        <w:spacing w:line="360" w:lineRule="auto"/>
        <w:ind w:firstLine="420"/>
        <w:rPr>
          <w:rFonts w:hint="eastAsia" w:ascii="黑体" w:hAnsi="黑体" w:eastAsia="黑体" w:cs="黑体"/>
          <w:kern w:val="2"/>
          <w:sz w:val="24"/>
          <w:szCs w:val="24"/>
          <w:highlight w:val="none"/>
          <w:lang w:bidi="ar"/>
        </w:rPr>
      </w:pPr>
    </w:p>
    <w:p>
      <w:pPr>
        <w:spacing w:line="360" w:lineRule="auto"/>
        <w:ind w:firstLine="420"/>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 xml:space="preserve">如违反以上承诺，本公司愿承担一切法律责任。 </w:t>
      </w:r>
    </w:p>
    <w:p>
      <w:pPr>
        <w:spacing w:line="360" w:lineRule="auto"/>
        <w:rPr>
          <w:rFonts w:hint="eastAsia" w:ascii="黑体" w:hAnsi="黑体" w:eastAsia="黑体" w:cs="黑体"/>
          <w:kern w:val="2"/>
          <w:sz w:val="24"/>
          <w:szCs w:val="24"/>
          <w:highlight w:val="none"/>
        </w:rPr>
      </w:pPr>
      <w:r>
        <w:rPr>
          <w:rFonts w:hint="eastAsia" w:ascii="黑体" w:hAnsi="黑体" w:eastAsia="黑体" w:cs="黑体"/>
          <w:kern w:val="2"/>
          <w:sz w:val="24"/>
          <w:szCs w:val="24"/>
          <w:highlight w:val="none"/>
          <w:lang w:bidi="ar"/>
        </w:rPr>
        <w:t xml:space="preserve"> </w:t>
      </w:r>
    </w:p>
    <w:p>
      <w:pPr>
        <w:spacing w:line="360" w:lineRule="auto"/>
        <w:ind w:firstLine="480" w:firstLineChars="200"/>
        <w:rPr>
          <w:rFonts w:hint="default" w:hAnsi="宋体" w:cs="宋体"/>
          <w:kern w:val="2"/>
          <w:sz w:val="24"/>
          <w:szCs w:val="24"/>
          <w:highlight w:val="none"/>
          <w:lang w:bidi="ar"/>
        </w:rPr>
      </w:pPr>
    </w:p>
    <w:p>
      <w:pPr>
        <w:spacing w:line="360" w:lineRule="auto"/>
        <w:ind w:firstLine="480" w:firstLineChars="200"/>
        <w:rPr>
          <w:rFonts w:hint="default" w:hAnsi="宋体" w:cs="宋体"/>
          <w:kern w:val="2"/>
          <w:sz w:val="24"/>
          <w:szCs w:val="24"/>
          <w:highlight w:val="none"/>
          <w:lang w:bidi="ar"/>
        </w:rPr>
      </w:pPr>
    </w:p>
    <w:p>
      <w:pPr>
        <w:spacing w:line="360" w:lineRule="auto"/>
        <w:ind w:firstLine="480" w:firstLineChars="200"/>
        <w:rPr>
          <w:rFonts w:hint="default" w:hAnsi="宋体" w:cs="宋体"/>
          <w:kern w:val="2"/>
          <w:sz w:val="24"/>
          <w:szCs w:val="24"/>
          <w:highlight w:val="none"/>
          <w:lang w:bidi="ar"/>
        </w:rPr>
      </w:pP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供应商全称(</w:t>
      </w:r>
      <w:r>
        <w:rPr>
          <w:rFonts w:hint="eastAsia" w:ascii="黑体" w:hAnsi="黑体" w:eastAsia="黑体" w:cs="黑体"/>
          <w:color w:val="auto"/>
          <w:sz w:val="24"/>
          <w:szCs w:val="28"/>
          <w:highlight w:val="none"/>
          <w:lang w:val="en-US" w:eastAsia="zh-CN"/>
        </w:rPr>
        <w:t>加盖公章</w:t>
      </w:r>
      <w:r>
        <w:rPr>
          <w:rFonts w:hint="eastAsia" w:ascii="黑体" w:hAnsi="黑体" w:eastAsia="黑体" w:cs="黑体"/>
          <w:color w:val="auto"/>
          <w:sz w:val="24"/>
          <w:szCs w:val="28"/>
          <w:highlight w:val="none"/>
        </w:rPr>
        <w:t>)：</w:t>
      </w: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法定代表人或授权代表人(</w:t>
      </w:r>
      <w:r>
        <w:rPr>
          <w:rFonts w:hint="eastAsia" w:ascii="黑体" w:hAnsi="黑体" w:eastAsia="黑体" w:cs="黑体"/>
          <w:color w:val="auto"/>
          <w:sz w:val="24"/>
          <w:highlight w:val="none"/>
        </w:rPr>
        <w:t>签字或盖章</w:t>
      </w:r>
      <w:r>
        <w:rPr>
          <w:rFonts w:hint="eastAsia" w:ascii="黑体" w:hAnsi="黑体" w:eastAsia="黑体" w:cs="黑体"/>
          <w:color w:val="auto"/>
          <w:sz w:val="24"/>
          <w:szCs w:val="28"/>
          <w:highlight w:val="none"/>
        </w:rPr>
        <w:t>)：</w:t>
      </w:r>
    </w:p>
    <w:p>
      <w:pPr>
        <w:rPr>
          <w:rFonts w:hint="default" w:eastAsia="黑体"/>
          <w:lang w:val="en-US" w:eastAsia="zh-CN"/>
        </w:rPr>
        <w:sectPr>
          <w:pgSz w:w="11850" w:h="16783"/>
          <w:pgMar w:top="1440" w:right="1077" w:bottom="1440" w:left="1077" w:header="851" w:footer="992" w:gutter="0"/>
          <w:pgNumType w:fmt="decimal"/>
          <w:cols w:space="720" w:num="1"/>
          <w:docGrid w:linePitch="312" w:charSpace="0"/>
        </w:sectPr>
      </w:pPr>
      <w:r>
        <w:rPr>
          <w:rFonts w:hint="eastAsia" w:ascii="黑体" w:hAnsi="黑体" w:eastAsia="黑体" w:cs="黑体"/>
          <w:color w:val="auto"/>
          <w:sz w:val="24"/>
          <w:szCs w:val="28"/>
          <w:highlight w:val="none"/>
          <w:lang w:val="en-US" w:eastAsia="zh-CN"/>
        </w:rPr>
        <w:t>日 期：年   月  日</w:t>
      </w:r>
    </w:p>
    <w:p>
      <w:pPr>
        <w:jc w:val="both"/>
        <w:outlineLvl w:val="1"/>
        <w:rPr>
          <w:rFonts w:hint="eastAsia" w:ascii="黑体" w:hAnsi="黑体" w:eastAsia="黑体" w:cs="黑体"/>
          <w:b/>
          <w:color w:val="auto"/>
          <w:sz w:val="32"/>
          <w:szCs w:val="28"/>
          <w:highlight w:val="none"/>
          <w:lang w:eastAsia="zh-CN"/>
        </w:rPr>
      </w:pPr>
      <w:r>
        <w:rPr>
          <w:rFonts w:hint="eastAsia" w:ascii="黑体" w:hAnsi="黑体" w:eastAsia="黑体" w:cs="黑体"/>
          <w:b/>
          <w:color w:val="auto"/>
          <w:sz w:val="32"/>
          <w:szCs w:val="28"/>
          <w:highlight w:val="none"/>
          <w:lang w:eastAsia="zh-CN"/>
        </w:rPr>
        <w:t>三、符合性证明文件</w:t>
      </w:r>
    </w:p>
    <w:p>
      <w:pPr>
        <w:spacing w:line="360" w:lineRule="auto"/>
        <w:jc w:val="both"/>
        <w:outlineLvl w:val="9"/>
        <w:rPr>
          <w:rFonts w:hint="eastAsia" w:ascii="黑体" w:hAnsi="黑体" w:eastAsia="黑体" w:cs="黑体"/>
          <w:b/>
          <w:bCs/>
          <w:color w:val="auto"/>
          <w:sz w:val="16"/>
          <w:szCs w:val="16"/>
          <w:highlight w:val="none"/>
          <w:lang w:val="en-US" w:eastAsia="zh-CN"/>
        </w:rPr>
      </w:pPr>
    </w:p>
    <w:p>
      <w:pPr>
        <w:spacing w:line="360" w:lineRule="auto"/>
        <w:jc w:val="both"/>
        <w:outlineLvl w:val="2"/>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lang w:val="en-US" w:eastAsia="zh-CN"/>
        </w:rPr>
        <w:t>1、响应</w:t>
      </w:r>
      <w:r>
        <w:rPr>
          <w:rFonts w:hint="eastAsia" w:ascii="黑体" w:hAnsi="黑体" w:eastAsia="黑体" w:cs="黑体"/>
          <w:b/>
          <w:bCs/>
          <w:color w:val="auto"/>
          <w:sz w:val="32"/>
          <w:szCs w:val="32"/>
          <w:highlight w:val="none"/>
        </w:rPr>
        <w:t>函</w:t>
      </w:r>
    </w:p>
    <w:p>
      <w:pPr>
        <w:spacing w:line="360" w:lineRule="auto"/>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致：</w:t>
      </w:r>
      <w:bookmarkStart w:id="82" w:name="_Hlt520356243"/>
      <w:bookmarkEnd w:id="82"/>
      <w:bookmarkStart w:id="83" w:name="_Hlt520355938"/>
      <w:bookmarkEnd w:id="83"/>
      <w:r>
        <w:rPr>
          <w:rFonts w:hint="eastAsia" w:ascii="黑体" w:hAnsi="黑体" w:eastAsia="黑体" w:cs="黑体"/>
          <w:color w:val="auto"/>
          <w:sz w:val="24"/>
          <w:highlight w:val="none"/>
          <w:lang w:eastAsia="zh-CN"/>
        </w:rPr>
        <w:t>圣弘建设股份有限公司</w:t>
      </w:r>
    </w:p>
    <w:p>
      <w:pPr>
        <w:tabs>
          <w:tab w:val="left" w:pos="3500"/>
          <w:tab w:val="left" w:pos="3700"/>
        </w:tabs>
        <w:spacing w:line="360" w:lineRule="auto"/>
        <w:ind w:firstLine="480" w:firstLineChars="200"/>
        <w:outlineLvl w:val="9"/>
        <w:rPr>
          <w:rFonts w:hint="eastAsia" w:ascii="黑体" w:hAnsi="黑体" w:eastAsia="黑体" w:cs="黑体"/>
          <w:bCs/>
          <w:color w:val="auto"/>
          <w:sz w:val="24"/>
          <w:highlight w:val="none"/>
        </w:rPr>
      </w:pPr>
      <w:bookmarkStart w:id="84" w:name="_Toc7447441"/>
      <w:bookmarkStart w:id="85" w:name="_Toc403027470"/>
      <w:r>
        <w:rPr>
          <w:rFonts w:hint="eastAsia" w:ascii="黑体" w:hAnsi="黑体" w:eastAsia="黑体" w:cs="黑体"/>
          <w:bCs/>
          <w:color w:val="auto"/>
          <w:sz w:val="24"/>
          <w:highlight w:val="none"/>
        </w:rPr>
        <w:t>1、我方具备本项目竞争性磋商文件中规定的资格条件。</w:t>
      </w:r>
    </w:p>
    <w:p>
      <w:pPr>
        <w:spacing w:line="360" w:lineRule="auto"/>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2、根据你方出售的</w:t>
      </w:r>
      <w:r>
        <w:rPr>
          <w:rFonts w:hint="eastAsia" w:ascii="黑体" w:hAnsi="黑体" w:eastAsia="黑体" w:cs="黑体"/>
          <w:b/>
          <w:color w:val="auto"/>
          <w:sz w:val="24"/>
          <w:highlight w:val="none"/>
          <w:u w:val="single"/>
        </w:rPr>
        <w:t xml:space="preserve">           </w:t>
      </w:r>
      <w:r>
        <w:rPr>
          <w:rFonts w:hint="eastAsia" w:ascii="黑体" w:hAnsi="黑体" w:eastAsia="黑体" w:cs="黑体"/>
          <w:color w:val="auto"/>
          <w:sz w:val="24"/>
          <w:highlight w:val="none"/>
        </w:rPr>
        <w:t>项目竞争性磋商文件，经研究上述竞争性磋商响应文件的磋商须知、合同条款、图纸、工程建设标准、工程量清单和答疑纪要及其它有关文件后，我方愿以(大写)</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人民币（RMB￥</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元）的磋商报价承包上述工程的施工、竣工，并承担任何质量缺陷保修责任。</w:t>
      </w:r>
    </w:p>
    <w:p>
      <w:pPr>
        <w:spacing w:line="360" w:lineRule="auto"/>
        <w:ind w:firstLine="480" w:firstLineChars="200"/>
        <w:outlineLvl w:val="9"/>
        <w:rPr>
          <w:rFonts w:hint="eastAsia" w:ascii="黑体" w:hAnsi="黑体" w:eastAsia="黑体" w:cs="黑体"/>
          <w:b/>
          <w:color w:val="auto"/>
          <w:sz w:val="24"/>
          <w:highlight w:val="none"/>
        </w:rPr>
      </w:pPr>
      <w:r>
        <w:rPr>
          <w:rFonts w:hint="eastAsia" w:ascii="黑体" w:hAnsi="黑体" w:eastAsia="黑体" w:cs="黑体"/>
          <w:color w:val="auto"/>
          <w:sz w:val="24"/>
          <w:highlight w:val="none"/>
        </w:rPr>
        <w:t>3、我方已详细审阅全部磋商响应文件，确认无误。提交</w:t>
      </w:r>
      <w:r>
        <w:rPr>
          <w:rFonts w:hint="eastAsia" w:ascii="黑体" w:hAnsi="黑体" w:eastAsia="黑体" w:cs="黑体"/>
          <w:color w:val="auto"/>
          <w:sz w:val="24"/>
          <w:highlight w:val="none"/>
          <w:lang w:val="en-US" w:eastAsia="zh-CN"/>
        </w:rPr>
        <w:t>纸质版</w:t>
      </w:r>
      <w:r>
        <w:rPr>
          <w:rFonts w:hint="eastAsia" w:ascii="黑体" w:hAnsi="黑体" w:eastAsia="黑体" w:cs="黑体"/>
          <w:color w:val="auto"/>
          <w:sz w:val="24"/>
          <w:highlight w:val="none"/>
        </w:rPr>
        <w:t>磋商响应文件正本</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rPr>
        <w:t>份，副本</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rPr>
        <w:t>份，</w:t>
      </w:r>
      <w:r>
        <w:rPr>
          <w:rFonts w:hint="eastAsia" w:ascii="黑体" w:hAnsi="黑体" w:eastAsia="黑体" w:cs="黑体"/>
          <w:color w:val="auto"/>
          <w:sz w:val="24"/>
          <w:highlight w:val="none"/>
          <w:lang w:val="en-US" w:eastAsia="zh-CN"/>
        </w:rPr>
        <w:t>提交至交易平台</w:t>
      </w:r>
      <w:r>
        <w:rPr>
          <w:rFonts w:hint="eastAsia" w:ascii="黑体" w:hAnsi="黑体" w:eastAsia="黑体" w:cs="黑体"/>
          <w:color w:val="auto"/>
          <w:sz w:val="24"/>
          <w:highlight w:val="none"/>
        </w:rPr>
        <w:t>电子文件</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rPr>
        <w:t>份。</w:t>
      </w:r>
    </w:p>
    <w:p>
      <w:pPr>
        <w:spacing w:line="540" w:lineRule="exact"/>
        <w:ind w:firstLine="480" w:firstLineChars="200"/>
        <w:outlineLvl w:val="9"/>
        <w:rPr>
          <w:rFonts w:hint="eastAsia" w:ascii="黑体" w:hAnsi="黑体" w:eastAsia="黑体" w:cs="黑体"/>
          <w:b/>
          <w:color w:val="auto"/>
          <w:sz w:val="24"/>
          <w:highlight w:val="none"/>
        </w:rPr>
      </w:pPr>
      <w:r>
        <w:rPr>
          <w:rFonts w:hint="eastAsia" w:ascii="黑体" w:hAnsi="黑体" w:eastAsia="黑体" w:cs="黑体"/>
          <w:color w:val="auto"/>
          <w:sz w:val="24"/>
          <w:highlight w:val="none"/>
        </w:rPr>
        <w:t>4、我方保证上述磋商报价不低于我单位工程施工的成本价。</w:t>
      </w:r>
    </w:p>
    <w:p>
      <w:pPr>
        <w:spacing w:line="540" w:lineRule="exact"/>
        <w:ind w:firstLine="480" w:firstLineChars="200"/>
        <w:outlineLvl w:val="9"/>
        <w:rPr>
          <w:rFonts w:hint="eastAsia" w:ascii="黑体" w:hAnsi="黑体" w:eastAsia="黑体" w:cs="黑体"/>
          <w:b/>
          <w:color w:val="auto"/>
          <w:sz w:val="24"/>
          <w:highlight w:val="none"/>
        </w:rPr>
      </w:pPr>
      <w:r>
        <w:rPr>
          <w:rFonts w:hint="eastAsia" w:ascii="黑体" w:hAnsi="黑体" w:eastAsia="黑体" w:cs="黑体"/>
          <w:color w:val="auto"/>
          <w:sz w:val="24"/>
          <w:highlight w:val="none"/>
        </w:rPr>
        <w:t>5、</w:t>
      </w:r>
      <w:r>
        <w:rPr>
          <w:rFonts w:hint="eastAsia" w:ascii="黑体" w:hAnsi="黑体" w:eastAsia="黑体" w:cs="黑体"/>
          <w:color w:val="auto"/>
          <w:spacing w:val="-4"/>
          <w:sz w:val="24"/>
          <w:highlight w:val="none"/>
        </w:rPr>
        <w:t>若我方成交，我方保证按磋商工期</w:t>
      </w:r>
      <w:r>
        <w:rPr>
          <w:rFonts w:hint="eastAsia" w:ascii="黑体" w:hAnsi="黑体" w:eastAsia="黑体" w:cs="黑体"/>
          <w:color w:val="auto"/>
          <w:spacing w:val="-4"/>
          <w:sz w:val="24"/>
          <w:highlight w:val="none"/>
          <w:u w:val="single"/>
        </w:rPr>
        <w:t xml:space="preserve">       </w:t>
      </w:r>
      <w:r>
        <w:rPr>
          <w:rFonts w:hint="eastAsia" w:ascii="黑体" w:hAnsi="黑体" w:eastAsia="黑体" w:cs="黑体"/>
          <w:color w:val="auto"/>
          <w:spacing w:val="-4"/>
          <w:sz w:val="24"/>
          <w:highlight w:val="none"/>
        </w:rPr>
        <w:t>日历天。</w:t>
      </w:r>
    </w:p>
    <w:p>
      <w:pPr>
        <w:spacing w:line="540" w:lineRule="exact"/>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6、</w:t>
      </w:r>
      <w:r>
        <w:rPr>
          <w:rFonts w:hint="eastAsia" w:ascii="黑体" w:hAnsi="黑体" w:eastAsia="黑体" w:cs="黑体"/>
          <w:color w:val="auto"/>
          <w:spacing w:val="-4"/>
          <w:sz w:val="24"/>
          <w:highlight w:val="none"/>
        </w:rPr>
        <w:t>若我方成交</w:t>
      </w:r>
      <w:r>
        <w:rPr>
          <w:rFonts w:hint="eastAsia" w:ascii="黑体" w:hAnsi="黑体" w:eastAsia="黑体" w:cs="黑体"/>
          <w:color w:val="auto"/>
          <w:sz w:val="24"/>
          <w:highlight w:val="none"/>
        </w:rPr>
        <w:t>，我方保证工程质量</w:t>
      </w:r>
      <w:r>
        <w:rPr>
          <w:rFonts w:hint="eastAsia" w:ascii="黑体" w:hAnsi="黑体" w:eastAsia="黑体" w:cs="黑体"/>
          <w:color w:val="auto"/>
          <w:sz w:val="24"/>
          <w:highlight w:val="none"/>
          <w:lang w:eastAsia="zh-CN"/>
        </w:rPr>
        <w:t>标准</w:t>
      </w:r>
      <w:r>
        <w:rPr>
          <w:rFonts w:hint="eastAsia" w:ascii="黑体" w:hAnsi="黑体" w:eastAsia="黑体" w:cs="黑体"/>
          <w:color w:val="auto"/>
          <w:sz w:val="24"/>
          <w:highlight w:val="none"/>
        </w:rPr>
        <w:t>达到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rPr>
        <w:t>本工程项目经理</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w:t>
      </w:r>
    </w:p>
    <w:p>
      <w:pPr>
        <w:spacing w:line="540" w:lineRule="exact"/>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7、若我方成交，我方保证安全文明施工达到文明工地标准。</w:t>
      </w:r>
    </w:p>
    <w:p>
      <w:pPr>
        <w:spacing w:line="540" w:lineRule="exact"/>
        <w:ind w:firstLine="480" w:firstLineChars="2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8、</w:t>
      </w:r>
      <w:r>
        <w:rPr>
          <w:rFonts w:hint="eastAsia" w:ascii="黑体" w:hAnsi="黑体" w:eastAsia="黑体" w:cs="黑体"/>
          <w:bCs/>
          <w:caps/>
          <w:color w:val="auto"/>
          <w:sz w:val="24"/>
          <w:highlight w:val="none"/>
        </w:rPr>
        <w:t>磋商有效期为自提交磋商响应文件的截止之日起90个日历日。</w:t>
      </w:r>
    </w:p>
    <w:p>
      <w:pPr>
        <w:spacing w:line="540" w:lineRule="exact"/>
        <w:ind w:firstLine="480" w:firstLineChars="200"/>
        <w:outlineLvl w:val="9"/>
        <w:rPr>
          <w:rFonts w:hint="eastAsia" w:ascii="黑体" w:hAnsi="黑体" w:eastAsia="黑体" w:cs="黑体"/>
          <w:b/>
          <w:color w:val="auto"/>
          <w:sz w:val="24"/>
          <w:highlight w:val="none"/>
        </w:rPr>
      </w:pPr>
      <w:r>
        <w:rPr>
          <w:rFonts w:hint="eastAsia" w:ascii="黑体" w:hAnsi="黑体" w:eastAsia="黑体" w:cs="黑体"/>
          <w:color w:val="auto"/>
          <w:sz w:val="24"/>
          <w:highlight w:val="none"/>
        </w:rPr>
        <w:t>9、在合同协议书正式签署生效之前，你方的竞争性磋商文件、答疑纪要、成交通知书和本竞争性磋商响应文件</w:t>
      </w:r>
      <w:r>
        <w:rPr>
          <w:rFonts w:hint="eastAsia" w:ascii="黑体" w:hAnsi="黑体" w:eastAsia="黑体" w:cs="黑体"/>
          <w:color w:val="auto"/>
          <w:spacing w:val="-6"/>
          <w:sz w:val="24"/>
          <w:highlight w:val="none"/>
        </w:rPr>
        <w:t>将构成我们约束双方之间共同遵守的文件，对双方具有约束力。</w:t>
      </w:r>
    </w:p>
    <w:p>
      <w:pPr>
        <w:spacing w:line="540" w:lineRule="exact"/>
        <w:ind w:firstLine="480" w:firstLineChars="200"/>
        <w:outlineLvl w:val="9"/>
        <w:rPr>
          <w:rFonts w:hint="eastAsia" w:ascii="黑体" w:hAnsi="黑体" w:eastAsia="黑体" w:cs="黑体"/>
          <w:b/>
          <w:color w:val="auto"/>
          <w:sz w:val="24"/>
          <w:highlight w:val="none"/>
        </w:rPr>
      </w:pPr>
      <w:r>
        <w:rPr>
          <w:rFonts w:hint="eastAsia" w:ascii="黑体" w:hAnsi="黑体" w:eastAsia="黑体" w:cs="黑体"/>
          <w:color w:val="auto"/>
          <w:sz w:val="24"/>
          <w:highlight w:val="none"/>
        </w:rPr>
        <w:t>10、</w:t>
      </w:r>
      <w:r>
        <w:rPr>
          <w:rFonts w:hint="eastAsia" w:ascii="黑体" w:hAnsi="黑体" w:eastAsia="黑体" w:cs="黑体"/>
          <w:color w:val="auto"/>
          <w:spacing w:val="-16"/>
          <w:sz w:val="24"/>
          <w:highlight w:val="none"/>
        </w:rPr>
        <w:t>我方已提交了</w:t>
      </w:r>
      <w:r>
        <w:rPr>
          <w:rFonts w:hint="eastAsia" w:ascii="黑体" w:hAnsi="黑体" w:eastAsia="黑体" w:cs="黑体"/>
          <w:color w:val="auto"/>
          <w:spacing w:val="-16"/>
          <w:sz w:val="24"/>
          <w:highlight w:val="none"/>
          <w:u w:val="single"/>
        </w:rPr>
        <w:t xml:space="preserve">          </w:t>
      </w:r>
      <w:r>
        <w:rPr>
          <w:rFonts w:hint="eastAsia" w:ascii="黑体" w:hAnsi="黑体" w:eastAsia="黑体" w:cs="黑体"/>
          <w:color w:val="auto"/>
          <w:spacing w:val="-16"/>
          <w:sz w:val="24"/>
          <w:highlight w:val="none"/>
        </w:rPr>
        <w:t>元人民币作为磋商保证金。</w:t>
      </w:r>
    </w:p>
    <w:p>
      <w:pPr>
        <w:spacing w:line="540" w:lineRule="exact"/>
        <w:ind w:firstLine="480" w:firstLineChars="200"/>
        <w:outlineLvl w:val="9"/>
        <w:rPr>
          <w:rFonts w:hint="eastAsia" w:ascii="黑体" w:hAnsi="黑体" w:eastAsia="黑体" w:cs="黑体"/>
          <w:b/>
          <w:color w:val="auto"/>
          <w:sz w:val="24"/>
          <w:highlight w:val="none"/>
        </w:rPr>
      </w:pPr>
      <w:r>
        <w:rPr>
          <w:rFonts w:hint="eastAsia" w:ascii="黑体" w:hAnsi="黑体" w:eastAsia="黑体" w:cs="黑体"/>
          <w:color w:val="auto"/>
          <w:sz w:val="24"/>
          <w:highlight w:val="none"/>
        </w:rPr>
        <w:t>11、我方理解你方不负担我们的任何</w:t>
      </w:r>
      <w:r>
        <w:rPr>
          <w:rFonts w:hint="eastAsia" w:ascii="黑体" w:hAnsi="黑体" w:eastAsia="黑体" w:cs="黑体"/>
          <w:color w:val="auto"/>
          <w:spacing w:val="-16"/>
          <w:sz w:val="24"/>
          <w:highlight w:val="none"/>
        </w:rPr>
        <w:t>磋商</w:t>
      </w:r>
      <w:r>
        <w:rPr>
          <w:rFonts w:hint="eastAsia" w:ascii="黑体" w:hAnsi="黑体" w:eastAsia="黑体" w:cs="黑体"/>
          <w:color w:val="auto"/>
          <w:sz w:val="24"/>
          <w:highlight w:val="none"/>
        </w:rPr>
        <w:t>费用，我方不要求你方对未成交原因作任何解释，也不退回竞争性磋商响应文件。</w:t>
      </w:r>
    </w:p>
    <w:p>
      <w:pPr>
        <w:spacing w:line="540" w:lineRule="exact"/>
        <w:ind w:firstLine="400" w:firstLineChars="200"/>
        <w:outlineLvl w:val="9"/>
        <w:rPr>
          <w:rFonts w:hint="eastAsia" w:ascii="黑体" w:hAnsi="黑体" w:eastAsia="黑体" w:cs="黑体"/>
          <w:color w:val="auto"/>
          <w:sz w:val="24"/>
          <w:highlight w:val="none"/>
        </w:rPr>
      </w:pPr>
      <w:r>
        <w:rPr>
          <w:rFonts w:hint="eastAsia" w:ascii="黑体" w:hAnsi="黑体" w:eastAsia="黑体" w:cs="黑体"/>
          <w:color w:val="auto"/>
          <w:spacing w:val="-20"/>
          <w:sz w:val="24"/>
          <w:highlight w:val="none"/>
        </w:rPr>
        <w:t>注</w:t>
      </w:r>
      <w:r>
        <w:rPr>
          <w:rFonts w:hint="eastAsia" w:ascii="黑体" w:hAnsi="黑体" w:eastAsia="黑体" w:cs="黑体"/>
          <w:color w:val="auto"/>
          <w:sz w:val="24"/>
          <w:highlight w:val="none"/>
        </w:rPr>
        <w:t>：磋商报价应与清单的报价汇总表数字一致。精确到元.角.分。</w:t>
      </w:r>
    </w:p>
    <w:p>
      <w:pPr>
        <w:spacing w:line="360" w:lineRule="auto"/>
        <w:ind w:firstLine="1200" w:firstLineChars="5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供  </w:t>
      </w:r>
      <w:r>
        <w:rPr>
          <w:rFonts w:hint="eastAsia" w:ascii="黑体" w:hAnsi="黑体" w:eastAsia="黑体" w:cs="黑体"/>
          <w:color w:val="auto"/>
          <w:sz w:val="24"/>
          <w:highlight w:val="none"/>
          <w:lang w:val="en-US" w:eastAsia="zh-CN"/>
        </w:rPr>
        <w:t xml:space="preserve"> </w:t>
      </w:r>
      <w:r>
        <w:rPr>
          <w:rFonts w:hint="eastAsia" w:ascii="黑体" w:hAnsi="黑体" w:eastAsia="黑体" w:cs="黑体"/>
          <w:color w:val="auto"/>
          <w:sz w:val="24"/>
          <w:highlight w:val="none"/>
        </w:rPr>
        <w:t>应  商：</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（盖章）   </w:t>
      </w:r>
    </w:p>
    <w:p>
      <w:pPr>
        <w:spacing w:line="360" w:lineRule="auto"/>
        <w:ind w:firstLine="1200" w:firstLineChars="5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单 位 地 址：</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lang w:val="en-US" w:eastAsia="zh-CN"/>
        </w:rPr>
        <w:t xml:space="preserve">        </w:t>
      </w:r>
      <w:r>
        <w:rPr>
          <w:rFonts w:hint="eastAsia" w:ascii="黑体" w:hAnsi="黑体" w:eastAsia="黑体" w:cs="黑体"/>
          <w:color w:val="auto"/>
          <w:sz w:val="24"/>
          <w:highlight w:val="none"/>
          <w:u w:val="single"/>
        </w:rPr>
        <w:t xml:space="preserve">                                          </w:t>
      </w:r>
    </w:p>
    <w:p>
      <w:pPr>
        <w:spacing w:line="360" w:lineRule="auto"/>
        <w:ind w:firstLine="1200" w:firstLineChars="500"/>
        <w:outlineLvl w:val="9"/>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法定代表人或被授权人：</w:t>
      </w:r>
      <w:r>
        <w:rPr>
          <w:rFonts w:hint="eastAsia" w:ascii="黑体" w:hAnsi="黑体" w:eastAsia="黑体" w:cs="黑体"/>
          <w:color w:val="auto"/>
          <w:sz w:val="24"/>
          <w:highlight w:val="none"/>
          <w:u w:val="single"/>
        </w:rPr>
        <w:t xml:space="preserve">                （签字或盖章）</w:t>
      </w:r>
    </w:p>
    <w:p>
      <w:pPr>
        <w:spacing w:line="360" w:lineRule="auto"/>
        <w:ind w:firstLine="1200" w:firstLineChars="500"/>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电</w:t>
      </w:r>
      <w:r>
        <w:rPr>
          <w:rFonts w:hint="eastAsia" w:ascii="黑体" w:hAnsi="黑体" w:eastAsia="黑体" w:cs="黑体"/>
          <w:color w:val="auto"/>
          <w:sz w:val="24"/>
          <w:highlight w:val="none"/>
          <w:lang w:val="en-US" w:eastAsia="zh-CN"/>
        </w:rPr>
        <w:t xml:space="preserve">       </w:t>
      </w:r>
      <w:r>
        <w:rPr>
          <w:rFonts w:hint="eastAsia" w:ascii="黑体" w:hAnsi="黑体" w:eastAsia="黑体" w:cs="黑体"/>
          <w:color w:val="auto"/>
          <w:sz w:val="24"/>
          <w:highlight w:val="none"/>
        </w:rPr>
        <w:t>话：</w:t>
      </w:r>
      <w:r>
        <w:rPr>
          <w:rFonts w:hint="eastAsia" w:ascii="黑体" w:hAnsi="黑体" w:eastAsia="黑体" w:cs="黑体"/>
          <w:color w:val="auto"/>
          <w:sz w:val="24"/>
          <w:highlight w:val="none"/>
          <w:lang w:val="en-US" w:eastAsia="zh-CN"/>
        </w:rPr>
        <w:t xml:space="preserve">          </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w:t>
      </w:r>
    </w:p>
    <w:p>
      <w:pPr>
        <w:spacing w:line="360" w:lineRule="auto"/>
        <w:ind w:firstLine="1200" w:firstLineChars="500"/>
        <w:outlineLvl w:val="9"/>
        <w:rPr>
          <w:rFonts w:hint="eastAsia" w:ascii="黑体" w:hAnsi="黑体" w:eastAsia="黑体" w:cs="黑体"/>
          <w:bCs/>
          <w:caps/>
          <w:color w:val="auto"/>
          <w:sz w:val="24"/>
          <w:szCs w:val="24"/>
          <w:highlight w:val="none"/>
        </w:rPr>
      </w:pPr>
      <w:r>
        <w:rPr>
          <w:rFonts w:hint="eastAsia" w:ascii="黑体" w:hAnsi="黑体" w:eastAsia="黑体" w:cs="黑体"/>
          <w:color w:val="auto"/>
          <w:sz w:val="24"/>
          <w:highlight w:val="none"/>
        </w:rPr>
        <w:t xml:space="preserve">日       期：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年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月</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日</w:t>
      </w:r>
      <w:r>
        <w:rPr>
          <w:rFonts w:hint="eastAsia" w:ascii="黑体" w:hAnsi="黑体" w:eastAsia="黑体" w:cs="黑体"/>
          <w:b/>
          <w:bCs/>
          <w:color w:val="auto"/>
          <w:sz w:val="28"/>
          <w:szCs w:val="28"/>
          <w:highlight w:val="none"/>
          <w:lang w:eastAsia="zh-CN"/>
        </w:rPr>
        <w:br w:type="page"/>
      </w:r>
      <w:bookmarkEnd w:id="84"/>
      <w:bookmarkEnd w:id="85"/>
    </w:p>
    <w:p>
      <w:pPr>
        <w:jc w:val="both"/>
        <w:outlineLvl w:val="2"/>
        <w:rPr>
          <w:rFonts w:hint="eastAsia" w:ascii="黑体" w:hAnsi="黑体" w:eastAsia="黑体" w:cs="黑体"/>
          <w:b/>
          <w:bCs/>
          <w:color w:val="auto"/>
          <w:sz w:val="28"/>
          <w:szCs w:val="28"/>
          <w:highlight w:val="none"/>
        </w:rPr>
      </w:pPr>
      <w:bookmarkStart w:id="86" w:name="_Toc7447442"/>
      <w:r>
        <w:rPr>
          <w:rFonts w:hint="eastAsia" w:ascii="黑体" w:hAnsi="黑体" w:eastAsia="黑体" w:cs="黑体"/>
          <w:b/>
          <w:bCs/>
          <w:color w:val="auto"/>
          <w:sz w:val="28"/>
          <w:szCs w:val="28"/>
          <w:highlight w:val="none"/>
          <w:lang w:val="en-US" w:eastAsia="zh-CN"/>
        </w:rPr>
        <w:t>2、第一次磋商报价表</w:t>
      </w:r>
      <w:r>
        <w:rPr>
          <w:rFonts w:hint="eastAsia" w:ascii="黑体" w:hAnsi="黑体" w:eastAsia="黑体" w:cs="黑体"/>
          <w:b/>
          <w:bCs/>
          <w:color w:val="auto"/>
          <w:sz w:val="28"/>
          <w:szCs w:val="28"/>
          <w:highlight w:val="none"/>
        </w:rPr>
        <w:t xml:space="preserve"> </w:t>
      </w:r>
      <w:bookmarkEnd w:id="86"/>
    </w:p>
    <w:p>
      <w:pPr>
        <w:pStyle w:val="15"/>
        <w:spacing w:line="360" w:lineRule="auto"/>
        <w:outlineLvl w:val="9"/>
        <w:rPr>
          <w:rFonts w:hint="eastAsia" w:ascii="黑体" w:hAnsi="黑体" w:eastAsia="黑体" w:cs="黑体"/>
          <w:color w:val="auto"/>
          <w:sz w:val="24"/>
          <w:highlight w:val="none"/>
        </w:rPr>
      </w:pPr>
    </w:p>
    <w:p>
      <w:pPr>
        <w:pStyle w:val="15"/>
        <w:spacing w:line="360" w:lineRule="auto"/>
        <w:outlineLvl w:val="9"/>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val="en-US" w:eastAsia="zh-CN"/>
        </w:rPr>
        <w:t>项目</w:t>
      </w:r>
      <w:r>
        <w:rPr>
          <w:rFonts w:hint="eastAsia" w:ascii="黑体" w:hAnsi="黑体" w:eastAsia="黑体" w:cs="黑体"/>
          <w:color w:val="auto"/>
          <w:sz w:val="24"/>
          <w:highlight w:val="none"/>
        </w:rPr>
        <w:t>编号：</w:t>
      </w:r>
      <w:r>
        <w:rPr>
          <w:rFonts w:hint="eastAsia" w:ascii="黑体" w:hAnsi="黑体" w:eastAsia="黑体" w:cs="黑体"/>
          <w:color w:val="auto"/>
          <w:sz w:val="24"/>
          <w:highlight w:val="none"/>
          <w:u w:val="single"/>
          <w:lang w:eastAsia="zh-CN"/>
        </w:rPr>
        <w:t xml:space="preserve">                          </w:t>
      </w:r>
    </w:p>
    <w:p>
      <w:pPr>
        <w:pStyle w:val="15"/>
        <w:spacing w:line="360" w:lineRule="auto"/>
        <w:outlineLvl w:val="9"/>
        <w:rPr>
          <w:rFonts w:hint="eastAsia" w:ascii="黑体" w:hAnsi="黑体" w:eastAsia="黑体" w:cs="黑体"/>
          <w:color w:val="auto"/>
          <w:sz w:val="24"/>
          <w:highlight w:val="none"/>
          <w:u w:val="single"/>
          <w:lang w:eastAsia="zh-CN"/>
        </w:rPr>
      </w:pPr>
      <w:r>
        <w:rPr>
          <w:rFonts w:hint="eastAsia" w:ascii="黑体" w:hAnsi="黑体" w:eastAsia="黑体" w:cs="黑体"/>
          <w:color w:val="auto"/>
          <w:sz w:val="24"/>
          <w:highlight w:val="none"/>
        </w:rPr>
        <w:t>项目名称：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lang w:eastAsia="zh-CN"/>
        </w:rPr>
        <w:t xml:space="preserve"> </w:t>
      </w:r>
      <w:r>
        <w:rPr>
          <w:rFonts w:hint="eastAsia" w:ascii="黑体" w:hAnsi="黑体" w:eastAsia="黑体" w:cs="黑体"/>
          <w:color w:val="auto"/>
          <w:sz w:val="24"/>
          <w:highlight w:val="none"/>
          <w:u w:val="single"/>
        </w:rPr>
        <w:t xml:space="preserve">                     </w:t>
      </w:r>
    </w:p>
    <w:p>
      <w:pPr>
        <w:pStyle w:val="15"/>
        <w:spacing w:line="360" w:lineRule="auto"/>
        <w:outlineLvl w:val="9"/>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rPr>
        <w:t>供 应 商：</w:t>
      </w:r>
      <w:r>
        <w:rPr>
          <w:rFonts w:hint="eastAsia" w:ascii="黑体" w:hAnsi="黑体" w:eastAsia="黑体" w:cs="黑体"/>
          <w:color w:val="auto"/>
          <w:sz w:val="24"/>
          <w:highlight w:val="none"/>
          <w:u w:val="single"/>
        </w:rPr>
        <w:t xml:space="preserve">                    </w:t>
      </w:r>
    </w:p>
    <w:p>
      <w:pPr>
        <w:spacing w:line="360" w:lineRule="auto"/>
        <w:jc w:val="right"/>
        <w:outlineLvl w:val="9"/>
        <w:rPr>
          <w:rFonts w:hint="eastAsia" w:ascii="黑体" w:hAnsi="黑体" w:eastAsia="黑体" w:cs="黑体"/>
          <w:bCs/>
          <w:color w:val="auto"/>
          <w:kern w:val="2"/>
          <w:sz w:val="32"/>
          <w:szCs w:val="32"/>
          <w:highlight w:val="none"/>
        </w:rPr>
      </w:pPr>
      <w:r>
        <w:rPr>
          <w:rFonts w:hint="eastAsia" w:ascii="黑体" w:hAnsi="黑体" w:eastAsia="黑体" w:cs="黑体"/>
          <w:color w:val="auto"/>
          <w:sz w:val="24"/>
          <w:highlight w:val="none"/>
        </w:rPr>
        <w:t>单位 ：元（保留小数点后两位）</w:t>
      </w:r>
    </w:p>
    <w:tbl>
      <w:tblPr>
        <w:tblStyle w:val="24"/>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7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2245" w:type="dxa"/>
            <w:noWrap w:val="0"/>
            <w:vAlign w:val="top"/>
          </w:tcPr>
          <w:p>
            <w:pPr>
              <w:pStyle w:val="47"/>
              <w:tabs>
                <w:tab w:val="left" w:pos="1860"/>
                <w:tab w:val="center" w:pos="4680"/>
              </w:tabs>
              <w:spacing w:line="540" w:lineRule="exact"/>
              <w:outlineLvl w:val="9"/>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磋商总价</w:t>
            </w:r>
          </w:p>
          <w:p>
            <w:pPr>
              <w:pStyle w:val="47"/>
              <w:tabs>
                <w:tab w:val="left" w:pos="1860"/>
                <w:tab w:val="center" w:pos="4680"/>
              </w:tabs>
              <w:spacing w:line="540" w:lineRule="exact"/>
              <w:outlineLvl w:val="9"/>
              <w:rPr>
                <w:rFonts w:hint="eastAsia" w:ascii="黑体" w:hAnsi="黑体" w:eastAsia="黑体" w:cs="黑体"/>
                <w:color w:val="auto"/>
                <w:sz w:val="24"/>
                <w:szCs w:val="24"/>
                <w:highlight w:val="none"/>
              </w:rPr>
            </w:pPr>
            <w:r>
              <w:rPr>
                <w:rFonts w:hint="eastAsia" w:ascii="黑体" w:hAnsi="黑体" w:eastAsia="黑体" w:cs="黑体"/>
                <w:b w:val="0"/>
                <w:color w:val="auto"/>
                <w:sz w:val="24"/>
                <w:szCs w:val="24"/>
                <w:highlight w:val="none"/>
              </w:rPr>
              <w:t>（人民币:元）</w:t>
            </w:r>
          </w:p>
        </w:tc>
        <w:tc>
          <w:tcPr>
            <w:tcW w:w="7060" w:type="dxa"/>
            <w:noWrap w:val="0"/>
            <w:vAlign w:val="top"/>
          </w:tcPr>
          <w:p>
            <w:pPr>
              <w:pStyle w:val="47"/>
              <w:tabs>
                <w:tab w:val="left" w:pos="1860"/>
                <w:tab w:val="center" w:pos="4680"/>
              </w:tabs>
              <w:spacing w:line="540" w:lineRule="exact"/>
              <w:jc w:val="both"/>
              <w:outlineLvl w:val="9"/>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大  写：</w:t>
            </w:r>
          </w:p>
          <w:p>
            <w:pPr>
              <w:pStyle w:val="47"/>
              <w:tabs>
                <w:tab w:val="left" w:pos="1860"/>
                <w:tab w:val="center" w:pos="4680"/>
              </w:tabs>
              <w:spacing w:line="540" w:lineRule="exact"/>
              <w:jc w:val="both"/>
              <w:outlineLvl w:val="9"/>
              <w:rPr>
                <w:rFonts w:hint="eastAsia" w:ascii="黑体" w:hAnsi="黑体" w:eastAsia="黑体" w:cs="黑体"/>
                <w:color w:val="auto"/>
                <w:sz w:val="24"/>
                <w:szCs w:val="24"/>
                <w:highlight w:val="none"/>
              </w:rPr>
            </w:pPr>
            <w:r>
              <w:rPr>
                <w:rFonts w:hint="eastAsia" w:ascii="黑体" w:hAnsi="黑体" w:eastAsia="黑体" w:cs="黑体"/>
                <w:b w:val="0"/>
                <w:color w:val="auto"/>
                <w:sz w:val="24"/>
                <w:szCs w:val="24"/>
                <w:highlight w:val="none"/>
              </w:rPr>
              <w:t>小  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2245" w:type="dxa"/>
            <w:noWrap w:val="0"/>
            <w:vAlign w:val="top"/>
          </w:tcPr>
          <w:p>
            <w:pPr>
              <w:pStyle w:val="47"/>
              <w:tabs>
                <w:tab w:val="left" w:pos="1860"/>
                <w:tab w:val="center" w:pos="4680"/>
              </w:tabs>
              <w:spacing w:line="540" w:lineRule="exact"/>
              <w:outlineLvl w:val="9"/>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工期</w:t>
            </w:r>
          </w:p>
          <w:p>
            <w:pPr>
              <w:pStyle w:val="47"/>
              <w:tabs>
                <w:tab w:val="left" w:pos="1860"/>
                <w:tab w:val="center" w:pos="4680"/>
              </w:tabs>
              <w:spacing w:line="540" w:lineRule="exact"/>
              <w:outlineLvl w:val="9"/>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（日历</w:t>
            </w:r>
            <w:r>
              <w:rPr>
                <w:rFonts w:hint="eastAsia" w:ascii="黑体" w:hAnsi="黑体" w:eastAsia="黑体" w:cs="黑体"/>
                <w:b w:val="0"/>
                <w:color w:val="auto"/>
                <w:sz w:val="24"/>
                <w:szCs w:val="24"/>
                <w:highlight w:val="none"/>
                <w:lang w:eastAsia="zh-CN"/>
              </w:rPr>
              <w:t>天</w:t>
            </w:r>
            <w:r>
              <w:rPr>
                <w:rFonts w:hint="eastAsia" w:ascii="黑体" w:hAnsi="黑体" w:eastAsia="黑体" w:cs="黑体"/>
                <w:b w:val="0"/>
                <w:color w:val="auto"/>
                <w:sz w:val="24"/>
                <w:szCs w:val="24"/>
                <w:highlight w:val="none"/>
              </w:rPr>
              <w:t>）</w:t>
            </w:r>
          </w:p>
        </w:tc>
        <w:tc>
          <w:tcPr>
            <w:tcW w:w="7060" w:type="dxa"/>
            <w:noWrap w:val="0"/>
            <w:vAlign w:val="top"/>
          </w:tcPr>
          <w:p>
            <w:pPr>
              <w:pStyle w:val="47"/>
              <w:tabs>
                <w:tab w:val="left" w:pos="1860"/>
                <w:tab w:val="center" w:pos="4680"/>
              </w:tabs>
              <w:spacing w:line="540" w:lineRule="exact"/>
              <w:jc w:val="both"/>
              <w:outlineLvl w:val="9"/>
              <w:rPr>
                <w:rFonts w:hint="eastAsia" w:ascii="黑体" w:hAnsi="黑体" w:eastAsia="黑体" w:cs="黑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45" w:type="dxa"/>
            <w:noWrap w:val="0"/>
            <w:vAlign w:val="top"/>
          </w:tcPr>
          <w:p>
            <w:pPr>
              <w:pStyle w:val="47"/>
              <w:tabs>
                <w:tab w:val="left" w:pos="1860"/>
                <w:tab w:val="center" w:pos="4680"/>
              </w:tabs>
              <w:spacing w:line="540" w:lineRule="exact"/>
              <w:outlineLvl w:val="9"/>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项目经理</w:t>
            </w:r>
          </w:p>
        </w:tc>
        <w:tc>
          <w:tcPr>
            <w:tcW w:w="7060" w:type="dxa"/>
            <w:noWrap w:val="0"/>
            <w:vAlign w:val="top"/>
          </w:tcPr>
          <w:p>
            <w:pPr>
              <w:pStyle w:val="47"/>
              <w:tabs>
                <w:tab w:val="left" w:pos="1860"/>
                <w:tab w:val="center" w:pos="4680"/>
              </w:tabs>
              <w:spacing w:line="540" w:lineRule="exact"/>
              <w:jc w:val="both"/>
              <w:outlineLvl w:val="9"/>
              <w:rPr>
                <w:rFonts w:hint="eastAsia" w:ascii="黑体" w:hAnsi="黑体" w:eastAsia="黑体" w:cs="黑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45" w:type="dxa"/>
            <w:noWrap w:val="0"/>
            <w:vAlign w:val="top"/>
          </w:tcPr>
          <w:p>
            <w:pPr>
              <w:pStyle w:val="47"/>
              <w:tabs>
                <w:tab w:val="left" w:pos="1860"/>
                <w:tab w:val="center" w:pos="4680"/>
              </w:tabs>
              <w:spacing w:line="540" w:lineRule="exact"/>
              <w:outlineLvl w:val="9"/>
              <w:rPr>
                <w:rFonts w:hint="eastAsia" w:ascii="黑体" w:hAnsi="黑体" w:eastAsia="黑体" w:cs="黑体"/>
                <w:b w:val="0"/>
                <w:color w:val="auto"/>
                <w:sz w:val="24"/>
                <w:szCs w:val="24"/>
                <w:highlight w:val="none"/>
                <w:lang w:eastAsia="zh-CN"/>
              </w:rPr>
            </w:pPr>
            <w:r>
              <w:rPr>
                <w:rFonts w:hint="eastAsia" w:ascii="黑体" w:hAnsi="黑体" w:eastAsia="黑体" w:cs="黑体"/>
                <w:b w:val="0"/>
                <w:color w:val="auto"/>
                <w:sz w:val="24"/>
                <w:szCs w:val="24"/>
                <w:highlight w:val="none"/>
              </w:rPr>
              <w:t>质量</w:t>
            </w:r>
            <w:r>
              <w:rPr>
                <w:rFonts w:hint="eastAsia" w:ascii="黑体" w:hAnsi="黑体" w:eastAsia="黑体" w:cs="黑体"/>
                <w:b w:val="0"/>
                <w:color w:val="auto"/>
                <w:sz w:val="24"/>
                <w:szCs w:val="24"/>
                <w:highlight w:val="none"/>
                <w:lang w:eastAsia="zh-CN"/>
              </w:rPr>
              <w:t>标准</w:t>
            </w:r>
          </w:p>
        </w:tc>
        <w:tc>
          <w:tcPr>
            <w:tcW w:w="7060" w:type="dxa"/>
            <w:noWrap w:val="0"/>
            <w:vAlign w:val="top"/>
          </w:tcPr>
          <w:p>
            <w:pPr>
              <w:pStyle w:val="47"/>
              <w:tabs>
                <w:tab w:val="left" w:pos="1860"/>
                <w:tab w:val="center" w:pos="4680"/>
              </w:tabs>
              <w:spacing w:line="540" w:lineRule="exact"/>
              <w:jc w:val="both"/>
              <w:outlineLvl w:val="9"/>
              <w:rPr>
                <w:rFonts w:hint="eastAsia" w:ascii="黑体" w:hAnsi="黑体" w:eastAsia="黑体" w:cs="黑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9305" w:type="dxa"/>
            <w:gridSpan w:val="2"/>
            <w:noWrap w:val="0"/>
            <w:vAlign w:val="top"/>
          </w:tcPr>
          <w:p>
            <w:pPr>
              <w:pStyle w:val="47"/>
              <w:tabs>
                <w:tab w:val="left" w:pos="1860"/>
                <w:tab w:val="center" w:pos="4680"/>
              </w:tabs>
              <w:spacing w:line="540" w:lineRule="exact"/>
              <w:jc w:val="both"/>
              <w:outlineLvl w:val="9"/>
              <w:rPr>
                <w:rFonts w:hint="eastAsia" w:ascii="黑体" w:hAnsi="黑体" w:eastAsia="黑体" w:cs="黑体"/>
                <w:color w:val="auto"/>
                <w:sz w:val="24"/>
                <w:szCs w:val="24"/>
                <w:highlight w:val="none"/>
              </w:rPr>
            </w:pPr>
            <w:r>
              <w:rPr>
                <w:rFonts w:hint="eastAsia" w:ascii="黑体" w:hAnsi="黑体" w:eastAsia="黑体" w:cs="黑体"/>
                <w:b/>
                <w:i w:val="0"/>
                <w:color w:val="auto"/>
                <w:kern w:val="0"/>
                <w:sz w:val="20"/>
                <w:szCs w:val="20"/>
                <w:highlight w:val="none"/>
                <w:u w:val="none"/>
                <w:lang w:val="en-US" w:eastAsia="zh-CN" w:bidi="ar"/>
              </w:rPr>
              <w:t>备注：</w:t>
            </w:r>
            <w:r>
              <w:rPr>
                <w:rFonts w:hint="eastAsia" w:ascii="黑体" w:hAnsi="黑体" w:eastAsia="黑体" w:cs="黑体"/>
                <w:b/>
                <w:bCs/>
                <w:color w:val="auto"/>
                <w:kern w:val="2"/>
                <w:sz w:val="20"/>
                <w:szCs w:val="20"/>
                <w:lang w:val="en-US" w:eastAsia="zh-CN" w:bidi="ar-SA"/>
              </w:rPr>
              <w:t>磋商报价应是竞争性磋商响应文件所确定的磋商范围内的全部工作内容的价格体现，包括本项目所涉及的人员、设备及其他相关伴随费用的全部费用。</w:t>
            </w:r>
          </w:p>
        </w:tc>
      </w:tr>
    </w:tbl>
    <w:p>
      <w:pPr>
        <w:spacing w:before="194" w:beforeLines="50"/>
        <w:ind w:left="423" w:hanging="470" w:hangingChars="196"/>
        <w:jc w:val="left"/>
        <w:rPr>
          <w:rFonts w:hint="eastAsia" w:ascii="黑体" w:hAnsi="黑体" w:eastAsia="黑体" w:cs="黑体"/>
          <w:color w:val="auto"/>
          <w:sz w:val="24"/>
          <w:szCs w:val="24"/>
          <w:highlight w:val="none"/>
        </w:rPr>
      </w:pPr>
      <w:bookmarkStart w:id="87" w:name="_Toc433961643"/>
      <w:bookmarkStart w:id="88" w:name="_Toc7447443"/>
    </w:p>
    <w:p>
      <w:pPr>
        <w:spacing w:before="194" w:beforeLines="50"/>
        <w:ind w:left="423" w:hanging="431" w:hangingChars="196"/>
        <w:jc w:val="left"/>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说明： 1、报价应按总报价填写，精确到小数点后两位，大小写不一致时，以大写为准；</w:t>
      </w:r>
    </w:p>
    <w:p>
      <w:pPr>
        <w:spacing w:before="194" w:beforeLines="50"/>
        <w:ind w:firstLine="660" w:firstLineChars="300"/>
        <w:jc w:val="left"/>
        <w:rPr>
          <w:rFonts w:hint="eastAsia" w:ascii="黑体" w:hAnsi="黑体" w:eastAsia="黑体" w:cs="黑体"/>
          <w:color w:val="auto"/>
          <w:sz w:val="24"/>
          <w:szCs w:val="24"/>
          <w:highlight w:val="none"/>
        </w:rPr>
      </w:pPr>
      <w:r>
        <w:rPr>
          <w:rFonts w:hint="eastAsia" w:ascii="黑体" w:hAnsi="黑体" w:eastAsia="黑体" w:cs="黑体"/>
          <w:color w:val="auto"/>
          <w:sz w:val="22"/>
          <w:szCs w:val="22"/>
          <w:highlight w:val="none"/>
        </w:rPr>
        <w:t>2、本表所列各项数据与</w:t>
      </w:r>
      <w:r>
        <w:rPr>
          <w:rFonts w:hint="eastAsia" w:ascii="黑体" w:hAnsi="黑体" w:eastAsia="黑体" w:cs="黑体"/>
          <w:color w:val="auto"/>
          <w:sz w:val="22"/>
          <w:szCs w:val="22"/>
          <w:highlight w:val="none"/>
          <w:lang w:eastAsia="zh-CN"/>
        </w:rPr>
        <w:t>磋商响应文件</w:t>
      </w:r>
      <w:r>
        <w:rPr>
          <w:rFonts w:hint="eastAsia" w:ascii="黑体" w:hAnsi="黑体" w:eastAsia="黑体" w:cs="黑体"/>
          <w:color w:val="auto"/>
          <w:sz w:val="22"/>
          <w:szCs w:val="22"/>
          <w:highlight w:val="none"/>
        </w:rPr>
        <w:t>其地方表述不一致时，以本表为准。</w:t>
      </w:r>
    </w:p>
    <w:p>
      <w:pPr>
        <w:spacing w:line="360" w:lineRule="auto"/>
        <w:outlineLvl w:val="9"/>
        <w:rPr>
          <w:rFonts w:hint="eastAsia" w:ascii="黑体" w:hAnsi="黑体" w:eastAsia="黑体" w:cs="黑体"/>
          <w:color w:val="auto"/>
          <w:sz w:val="24"/>
          <w:szCs w:val="28"/>
          <w:highlight w:val="none"/>
        </w:rPr>
      </w:pPr>
    </w:p>
    <w:p>
      <w:pPr>
        <w:spacing w:line="360" w:lineRule="auto"/>
        <w:outlineLvl w:val="9"/>
        <w:rPr>
          <w:rFonts w:hint="eastAsia" w:ascii="黑体" w:hAnsi="黑体" w:eastAsia="黑体" w:cs="黑体"/>
          <w:color w:val="auto"/>
          <w:sz w:val="24"/>
          <w:szCs w:val="28"/>
          <w:highlight w:val="none"/>
        </w:rPr>
      </w:pP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供应商全称(盖章)：</w:t>
      </w: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法定代表人或授权代表人(</w:t>
      </w:r>
      <w:r>
        <w:rPr>
          <w:rFonts w:hint="eastAsia" w:ascii="黑体" w:hAnsi="黑体" w:eastAsia="黑体" w:cs="黑体"/>
          <w:color w:val="auto"/>
          <w:sz w:val="24"/>
          <w:highlight w:val="none"/>
        </w:rPr>
        <w:t>签字或盖章</w:t>
      </w:r>
      <w:r>
        <w:rPr>
          <w:rFonts w:hint="eastAsia" w:ascii="黑体" w:hAnsi="黑体" w:eastAsia="黑体" w:cs="黑体"/>
          <w:color w:val="auto"/>
          <w:sz w:val="24"/>
          <w:szCs w:val="28"/>
          <w:highlight w:val="none"/>
        </w:rPr>
        <w:t>)：</w:t>
      </w:r>
    </w:p>
    <w:p>
      <w:pPr>
        <w:spacing w:line="360" w:lineRule="auto"/>
        <w:outlineLvl w:val="9"/>
        <w:rPr>
          <w:rFonts w:hint="eastAsia" w:ascii="黑体" w:hAnsi="黑体" w:eastAsia="黑体" w:cs="黑体"/>
          <w:color w:val="auto"/>
          <w:sz w:val="24"/>
          <w:szCs w:val="28"/>
          <w:highlight w:val="none"/>
        </w:rPr>
      </w:pPr>
      <w:r>
        <w:rPr>
          <w:rFonts w:hint="eastAsia" w:ascii="黑体" w:hAnsi="黑体" w:eastAsia="黑体" w:cs="黑体"/>
          <w:color w:val="auto"/>
          <w:sz w:val="24"/>
          <w:szCs w:val="28"/>
          <w:highlight w:val="none"/>
        </w:rPr>
        <w:t>日  期：</w:t>
      </w:r>
    </w:p>
    <w:p>
      <w:pPr>
        <w:pStyle w:val="42"/>
        <w:spacing w:line="360" w:lineRule="auto"/>
        <w:ind w:firstLineChars="71"/>
        <w:jc w:val="both"/>
        <w:outlineLvl w:val="9"/>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br w:type="page"/>
      </w:r>
      <w:bookmarkEnd w:id="87"/>
      <w:bookmarkEnd w:id="88"/>
      <w:bookmarkStart w:id="89" w:name="_Toc65"/>
      <w:bookmarkStart w:id="90" w:name="_Toc7447444"/>
    </w:p>
    <w:p>
      <w:pPr>
        <w:pStyle w:val="42"/>
        <w:numPr>
          <w:ilvl w:val="0"/>
          <w:numId w:val="0"/>
        </w:numPr>
        <w:spacing w:line="360" w:lineRule="auto"/>
        <w:jc w:val="both"/>
        <w:outlineLvl w:val="2"/>
        <w:rPr>
          <w:rFonts w:hint="eastAsia" w:ascii="黑体" w:hAnsi="黑体" w:eastAsia="黑体" w:cs="黑体"/>
          <w:b/>
          <w:color w:val="auto"/>
          <w:highlight w:val="none"/>
          <w:lang w:val="en-US" w:eastAsia="zh-CN"/>
        </w:rPr>
      </w:pPr>
      <w:r>
        <w:rPr>
          <w:rFonts w:hint="eastAsia" w:ascii="黑体" w:hAnsi="黑体" w:eastAsia="黑体" w:cs="黑体"/>
          <w:b/>
          <w:color w:val="auto"/>
          <w:highlight w:val="none"/>
          <w:lang w:val="en-US" w:eastAsia="zh-CN"/>
        </w:rPr>
        <w:t>3、分项报价表</w:t>
      </w: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i w:val="0"/>
          <w:caps w:val="0"/>
          <w:color w:val="auto"/>
          <w:spacing w:val="0"/>
          <w:kern w:val="0"/>
          <w:sz w:val="32"/>
          <w:szCs w:val="32"/>
          <w:shd w:val="clear" w:fill="FFFFFF"/>
          <w:lang w:val="en-US" w:eastAsia="zh-CN" w:bidi="ar"/>
        </w:rPr>
        <w:t>宝鸡市金台区代家湾小学教学楼室内外粉刷工程</w:t>
      </w: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843" w:firstLineChars="300"/>
        <w:jc w:val="both"/>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编制单位：</w:t>
      </w:r>
      <w:r>
        <w:rPr>
          <w:rFonts w:hint="eastAsia" w:ascii="黑体" w:hAnsi="黑体" w:eastAsia="黑体" w:cs="黑体"/>
          <w:b/>
          <w:color w:val="auto"/>
          <w:kern w:val="2"/>
          <w:sz w:val="28"/>
          <w:szCs w:val="28"/>
          <w:highlight w:val="none"/>
          <w:u w:val="single"/>
          <w:lang w:val="en-US" w:eastAsia="zh-CN" w:bidi="ar-SA"/>
        </w:rPr>
        <w:t xml:space="preserve">                          </w:t>
      </w:r>
      <w:r>
        <w:rPr>
          <w:rFonts w:hint="eastAsia" w:ascii="黑体" w:hAnsi="黑体" w:eastAsia="黑体" w:cs="黑体"/>
          <w:b/>
          <w:color w:val="auto"/>
          <w:kern w:val="2"/>
          <w:sz w:val="28"/>
          <w:szCs w:val="28"/>
          <w:highlight w:val="none"/>
          <w:lang w:val="en-US" w:eastAsia="zh-CN" w:bidi="ar-SA"/>
        </w:rPr>
        <w:t xml:space="preserve"> (单位盖章)</w:t>
      </w: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pStyle w:val="10"/>
        <w:shd w:val="clear" w:color="auto" w:fill="FFFFFF"/>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843" w:firstLineChars="300"/>
        <w:jc w:val="both"/>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法定代表人</w:t>
      </w:r>
    </w:p>
    <w:p>
      <w:pPr>
        <w:shd w:val="clear" w:color="auto" w:fill="FFFFFF"/>
        <w:tabs>
          <w:tab w:val="left" w:pos="8100"/>
        </w:tabs>
        <w:spacing w:line="320" w:lineRule="exact"/>
        <w:ind w:firstLine="843" w:firstLineChars="300"/>
        <w:jc w:val="both"/>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 xml:space="preserve">或其授权人： </w:t>
      </w:r>
      <w:r>
        <w:rPr>
          <w:rFonts w:hint="eastAsia" w:ascii="黑体" w:hAnsi="黑体" w:eastAsia="黑体" w:cs="黑体"/>
          <w:b/>
          <w:color w:val="auto"/>
          <w:kern w:val="2"/>
          <w:sz w:val="28"/>
          <w:szCs w:val="28"/>
          <w:highlight w:val="none"/>
          <w:u w:val="single"/>
          <w:lang w:val="en-US" w:eastAsia="zh-CN" w:bidi="ar-SA"/>
        </w:rPr>
        <w:t xml:space="preserve">                       </w:t>
      </w:r>
      <w:r>
        <w:rPr>
          <w:rFonts w:hint="eastAsia" w:ascii="黑体" w:hAnsi="黑体" w:eastAsia="黑体" w:cs="黑体"/>
          <w:b/>
          <w:color w:val="auto"/>
          <w:kern w:val="2"/>
          <w:sz w:val="28"/>
          <w:szCs w:val="28"/>
          <w:highlight w:val="none"/>
          <w:lang w:val="en-US" w:eastAsia="zh-CN" w:bidi="ar-SA"/>
        </w:rPr>
        <w:t>(签字或盖章)</w:t>
      </w: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 xml:space="preserve">  </w:t>
      </w:r>
    </w:p>
    <w:p>
      <w:pPr>
        <w:shd w:val="clear" w:color="auto" w:fill="FFFFFF"/>
        <w:spacing w:line="320" w:lineRule="exact"/>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562" w:firstLineChars="200"/>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562" w:firstLineChars="200"/>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843" w:firstLineChars="300"/>
        <w:jc w:val="both"/>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编  制  人：</w:t>
      </w:r>
      <w:r>
        <w:rPr>
          <w:rFonts w:hint="eastAsia" w:ascii="黑体" w:hAnsi="黑体" w:eastAsia="黑体" w:cs="黑体"/>
          <w:b/>
          <w:color w:val="auto"/>
          <w:kern w:val="2"/>
          <w:sz w:val="28"/>
          <w:szCs w:val="28"/>
          <w:highlight w:val="none"/>
          <w:u w:val="single"/>
          <w:lang w:val="en-US" w:eastAsia="zh-CN" w:bidi="ar-SA"/>
        </w:rPr>
        <w:t xml:space="preserve">                 </w:t>
      </w:r>
      <w:r>
        <w:rPr>
          <w:rFonts w:hint="eastAsia" w:ascii="黑体" w:hAnsi="黑体" w:eastAsia="黑体" w:cs="黑体"/>
          <w:b/>
          <w:color w:val="auto"/>
          <w:kern w:val="2"/>
          <w:sz w:val="28"/>
          <w:szCs w:val="28"/>
          <w:highlight w:val="none"/>
          <w:lang w:val="en-US" w:eastAsia="zh-CN" w:bidi="ar-SA"/>
        </w:rPr>
        <w:t xml:space="preserve"> (造价人员签字盖专用章)</w:t>
      </w:r>
    </w:p>
    <w:p>
      <w:pPr>
        <w:shd w:val="clear" w:color="auto" w:fill="FFFFFF"/>
        <w:spacing w:line="320" w:lineRule="exact"/>
        <w:ind w:firstLine="562" w:firstLineChars="200"/>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562" w:firstLineChars="200"/>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562" w:firstLineChars="200"/>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562" w:firstLineChars="200"/>
        <w:jc w:val="center"/>
        <w:rPr>
          <w:rFonts w:hint="eastAsia" w:ascii="黑体" w:hAnsi="黑体" w:eastAsia="黑体" w:cs="黑体"/>
          <w:b/>
          <w:color w:val="auto"/>
          <w:kern w:val="2"/>
          <w:sz w:val="28"/>
          <w:szCs w:val="28"/>
          <w:highlight w:val="none"/>
          <w:lang w:val="en-US" w:eastAsia="zh-CN" w:bidi="ar-SA"/>
        </w:rPr>
      </w:pPr>
    </w:p>
    <w:p>
      <w:pPr>
        <w:shd w:val="clear" w:color="auto" w:fill="FFFFFF"/>
        <w:spacing w:line="320" w:lineRule="exact"/>
        <w:ind w:firstLine="843" w:firstLineChars="300"/>
        <w:jc w:val="both"/>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复  核  人：</w:t>
      </w:r>
      <w:r>
        <w:rPr>
          <w:rFonts w:hint="eastAsia" w:ascii="黑体" w:hAnsi="黑体" w:eastAsia="黑体" w:cs="黑体"/>
          <w:b/>
          <w:color w:val="auto"/>
          <w:kern w:val="2"/>
          <w:sz w:val="28"/>
          <w:szCs w:val="28"/>
          <w:highlight w:val="none"/>
          <w:u w:val="single"/>
          <w:lang w:val="en-US" w:eastAsia="zh-CN" w:bidi="ar-SA"/>
        </w:rPr>
        <w:t xml:space="preserve">                   </w:t>
      </w:r>
      <w:r>
        <w:rPr>
          <w:rFonts w:hint="eastAsia" w:ascii="黑体" w:hAnsi="黑体" w:eastAsia="黑体" w:cs="黑体"/>
          <w:b/>
          <w:color w:val="auto"/>
          <w:kern w:val="2"/>
          <w:sz w:val="28"/>
          <w:szCs w:val="28"/>
          <w:highlight w:val="none"/>
          <w:lang w:val="en-US" w:eastAsia="zh-CN" w:bidi="ar-SA"/>
        </w:rPr>
        <w:t>(造价人员签字盖专用章)</w:t>
      </w:r>
    </w:p>
    <w:p>
      <w:pPr>
        <w:shd w:val="clear" w:color="auto" w:fill="FFFFFF"/>
        <w:jc w:val="both"/>
        <w:rPr>
          <w:rFonts w:hint="eastAsia" w:ascii="黑体" w:hAnsi="黑体" w:eastAsia="黑体" w:cs="黑体"/>
          <w:b/>
          <w:color w:val="auto"/>
          <w:kern w:val="2"/>
          <w:sz w:val="28"/>
          <w:szCs w:val="28"/>
          <w:highlight w:val="none"/>
          <w:lang w:val="en-US" w:eastAsia="zh-CN" w:bidi="ar-SA"/>
        </w:rPr>
      </w:pPr>
    </w:p>
    <w:p>
      <w:pPr>
        <w:shd w:val="clear" w:color="auto" w:fill="FFFFFF"/>
        <w:tabs>
          <w:tab w:val="left" w:pos="2564"/>
          <w:tab w:val="center" w:pos="4213"/>
        </w:tabs>
        <w:jc w:val="center"/>
        <w:outlineLvl w:val="9"/>
        <w:rPr>
          <w:rFonts w:hint="eastAsia" w:ascii="黑体" w:hAnsi="黑体" w:eastAsia="黑体" w:cs="黑体"/>
          <w:b/>
          <w:color w:val="auto"/>
          <w:kern w:val="2"/>
          <w:sz w:val="28"/>
          <w:szCs w:val="28"/>
          <w:highlight w:val="none"/>
          <w:lang w:val="en-US" w:eastAsia="zh-CN" w:bidi="ar-SA"/>
        </w:rPr>
      </w:pPr>
    </w:p>
    <w:p>
      <w:pPr>
        <w:outlineLvl w:val="9"/>
        <w:rPr>
          <w:rFonts w:hint="eastAsia" w:ascii="黑体" w:hAnsi="黑体" w:eastAsia="黑体" w:cs="黑体"/>
          <w:b/>
          <w:color w:val="auto"/>
          <w:kern w:val="2"/>
          <w:sz w:val="28"/>
          <w:szCs w:val="28"/>
          <w:highlight w:val="none"/>
          <w:lang w:val="en-US" w:eastAsia="zh-CN" w:bidi="ar-SA"/>
        </w:rPr>
      </w:pPr>
    </w:p>
    <w:p>
      <w:pPr>
        <w:rPr>
          <w:rFonts w:hint="eastAsia" w:ascii="黑体" w:hAnsi="黑体" w:eastAsia="黑体" w:cs="黑体"/>
          <w:lang w:val="en-US" w:eastAsia="zh-CN"/>
        </w:rPr>
      </w:pPr>
    </w:p>
    <w:p>
      <w:pPr>
        <w:shd w:val="clear" w:color="auto" w:fill="FFFFFF"/>
        <w:tabs>
          <w:tab w:val="left" w:pos="2564"/>
          <w:tab w:val="center" w:pos="4213"/>
        </w:tabs>
        <w:jc w:val="center"/>
        <w:rPr>
          <w:rFonts w:hint="eastAsia" w:ascii="黑体" w:hAnsi="黑体" w:eastAsia="黑体" w:cs="黑体"/>
          <w:b/>
          <w:color w:val="auto"/>
          <w:kern w:val="2"/>
          <w:sz w:val="28"/>
          <w:szCs w:val="28"/>
          <w:highlight w:val="none"/>
          <w:lang w:val="en-US" w:eastAsia="zh-CN" w:bidi="ar-SA"/>
        </w:rPr>
      </w:pPr>
    </w:p>
    <w:p>
      <w:pPr>
        <w:shd w:val="clear" w:color="auto" w:fill="FFFFFF"/>
        <w:tabs>
          <w:tab w:val="left" w:pos="2564"/>
          <w:tab w:val="center" w:pos="4213"/>
        </w:tabs>
        <w:jc w:val="center"/>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编制时间：  年   月   日</w:t>
      </w:r>
    </w:p>
    <w:p>
      <w:pPr>
        <w:shd w:val="clear" w:color="auto" w:fill="FFFFFF"/>
        <w:tabs>
          <w:tab w:val="left" w:pos="2564"/>
          <w:tab w:val="center" w:pos="4213"/>
        </w:tabs>
        <w:jc w:val="center"/>
        <w:rPr>
          <w:rFonts w:hint="eastAsia" w:ascii="黑体" w:hAnsi="黑体" w:eastAsia="黑体" w:cs="黑体"/>
          <w:b/>
          <w:color w:val="auto"/>
          <w:kern w:val="2"/>
          <w:sz w:val="28"/>
          <w:szCs w:val="28"/>
          <w:highlight w:val="none"/>
          <w:lang w:val="en-US" w:eastAsia="zh-CN" w:bidi="ar-SA"/>
        </w:rPr>
      </w:pPr>
    </w:p>
    <w:p>
      <w:pPr>
        <w:shd w:val="clear" w:color="auto" w:fill="FFFFFF"/>
        <w:jc w:val="center"/>
        <w:rPr>
          <w:rFonts w:hint="eastAsia" w:ascii="黑体" w:hAnsi="黑体" w:eastAsia="黑体" w:cs="黑体"/>
          <w:b/>
          <w:color w:val="auto"/>
          <w:kern w:val="2"/>
          <w:sz w:val="28"/>
          <w:szCs w:val="28"/>
          <w:highlight w:val="none"/>
          <w:lang w:val="en-US" w:eastAsia="zh-CN" w:bidi="ar-SA"/>
        </w:rPr>
      </w:pPr>
    </w:p>
    <w:p>
      <w:pPr>
        <w:shd w:val="clear" w:color="auto" w:fill="FFFFFF"/>
        <w:jc w:val="center"/>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复核时间：   年   月   日</w:t>
      </w:r>
    </w:p>
    <w:p>
      <w:pPr>
        <w:numPr>
          <w:ilvl w:val="2"/>
          <w:numId w:val="0"/>
        </w:numPr>
        <w:spacing w:line="500" w:lineRule="exact"/>
        <w:jc w:val="both"/>
        <w:outlineLvl w:val="9"/>
        <w:rPr>
          <w:rFonts w:hint="eastAsia" w:ascii="黑体" w:hAnsi="黑体" w:eastAsia="黑体" w:cs="黑体"/>
          <w:color w:val="auto"/>
          <w:sz w:val="32"/>
          <w:szCs w:val="32"/>
          <w:highlight w:val="none"/>
        </w:rPr>
      </w:pPr>
    </w:p>
    <w:p>
      <w:pPr>
        <w:pStyle w:val="42"/>
        <w:numPr>
          <w:ilvl w:val="0"/>
          <w:numId w:val="0"/>
        </w:numPr>
        <w:spacing w:line="360" w:lineRule="auto"/>
        <w:jc w:val="both"/>
        <w:outlineLvl w:val="9"/>
        <w:rPr>
          <w:rFonts w:hint="eastAsia" w:ascii="黑体" w:hAnsi="黑体" w:eastAsia="黑体" w:cs="黑体"/>
          <w:b/>
          <w:color w:val="auto"/>
          <w:highlight w:val="none"/>
          <w:lang w:val="en-US" w:eastAsia="zh-CN"/>
        </w:rPr>
      </w:pPr>
    </w:p>
    <w:p>
      <w:pPr>
        <w:rPr>
          <w:rFonts w:hint="eastAsia" w:ascii="黑体" w:hAnsi="黑体" w:eastAsia="黑体" w:cs="黑体"/>
          <w:b/>
          <w:color w:val="auto"/>
          <w:highlight w:val="none"/>
          <w:lang w:val="en-US" w:eastAsia="zh-CN"/>
        </w:rPr>
      </w:pPr>
      <w:r>
        <w:rPr>
          <w:rFonts w:hint="eastAsia" w:ascii="黑体" w:hAnsi="黑体" w:eastAsia="黑体" w:cs="黑体"/>
          <w:b/>
          <w:color w:val="auto"/>
          <w:highlight w:val="none"/>
          <w:lang w:val="en-US" w:eastAsia="zh-CN"/>
        </w:rPr>
        <w:br w:type="page"/>
      </w:r>
    </w:p>
    <w:p>
      <w:pPr>
        <w:pStyle w:val="42"/>
        <w:spacing w:line="360" w:lineRule="auto"/>
        <w:ind w:firstLineChars="71"/>
        <w:jc w:val="both"/>
        <w:outlineLvl w:val="2"/>
        <w:rPr>
          <w:rFonts w:hint="eastAsia" w:ascii="黑体" w:hAnsi="黑体" w:eastAsia="黑体" w:cs="黑体"/>
          <w:b/>
          <w:color w:val="auto"/>
          <w:highlight w:val="none"/>
          <w:lang w:val="en-US" w:eastAsia="zh-CN"/>
        </w:rPr>
      </w:pPr>
      <w:r>
        <w:rPr>
          <w:rFonts w:hint="eastAsia" w:ascii="黑体" w:hAnsi="黑体" w:eastAsia="黑体" w:cs="黑体"/>
          <w:b/>
          <w:color w:val="auto"/>
          <w:highlight w:val="none"/>
          <w:lang w:val="en-US" w:eastAsia="zh-CN"/>
        </w:rPr>
        <w:t>4、磋商保证金缴纳凭证</w:t>
      </w:r>
      <w:bookmarkEnd w:id="89"/>
    </w:p>
    <w:bookmarkEnd w:id="90"/>
    <w:p>
      <w:pPr>
        <w:widowControl/>
        <w:spacing w:line="360" w:lineRule="auto"/>
        <w:jc w:val="left"/>
        <w:outlineLvl w:val="2"/>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lang w:val="en-US" w:eastAsia="zh-CN"/>
        </w:rPr>
        <w:t>提供磋商保证金缴纳凭证复印件或扫描件，加盖供应商公章</w:t>
      </w:r>
      <w:r>
        <w:rPr>
          <w:rFonts w:hint="eastAsia" w:ascii="黑体" w:hAnsi="黑体" w:eastAsia="黑体" w:cs="黑体"/>
          <w:color w:val="auto"/>
          <w:sz w:val="24"/>
          <w:highlight w:val="none"/>
          <w:lang w:eastAsia="zh-CN"/>
        </w:rPr>
        <w:t>）</w:t>
      </w:r>
      <w:r>
        <w:rPr>
          <w:rFonts w:hint="eastAsia" w:ascii="黑体" w:hAnsi="黑体" w:eastAsia="黑体" w:cs="黑体"/>
          <w:color w:val="auto"/>
          <w:sz w:val="24"/>
          <w:highlight w:val="none"/>
        </w:rPr>
        <w:br w:type="page"/>
      </w:r>
      <w:r>
        <w:rPr>
          <w:rFonts w:hint="eastAsia" w:ascii="黑体" w:hAnsi="黑体" w:eastAsia="黑体" w:cs="黑体"/>
          <w:b/>
          <w:bCs/>
          <w:color w:val="auto"/>
          <w:sz w:val="28"/>
          <w:szCs w:val="21"/>
          <w:highlight w:val="none"/>
          <w:lang w:val="en-US" w:eastAsia="zh-CN"/>
        </w:rPr>
        <w:t>5、供应商承诺书</w:t>
      </w:r>
    </w:p>
    <w:p>
      <w:pPr>
        <w:widowControl/>
        <w:spacing w:line="360" w:lineRule="auto"/>
        <w:ind w:firstLine="3373" w:firstLineChars="1200"/>
        <w:rPr>
          <w:rFonts w:hint="eastAsia" w:ascii="黑体" w:hAnsi="黑体" w:eastAsia="黑体" w:cs="黑体"/>
          <w:b/>
          <w:bCs/>
          <w:color w:val="auto"/>
          <w:kern w:val="0"/>
          <w:sz w:val="28"/>
          <w:szCs w:val="28"/>
          <w:highlight w:val="none"/>
        </w:rPr>
      </w:pPr>
      <w:r>
        <w:rPr>
          <w:rFonts w:hint="eastAsia" w:ascii="黑体" w:hAnsi="黑体" w:eastAsia="黑体" w:cs="黑体"/>
          <w:b/>
          <w:bCs/>
          <w:color w:val="auto"/>
          <w:kern w:val="0"/>
          <w:sz w:val="28"/>
          <w:szCs w:val="28"/>
          <w:highlight w:val="none"/>
        </w:rPr>
        <w:t>陕西省政府采购</w:t>
      </w:r>
      <w:r>
        <w:rPr>
          <w:rFonts w:hint="eastAsia" w:ascii="黑体" w:hAnsi="黑体" w:eastAsia="黑体" w:cs="黑体"/>
          <w:b/>
          <w:bCs/>
          <w:color w:val="auto"/>
          <w:kern w:val="0"/>
          <w:sz w:val="28"/>
          <w:szCs w:val="28"/>
          <w:highlight w:val="none"/>
          <w:lang w:val="en-US" w:eastAsia="zh-CN"/>
        </w:rPr>
        <w:t>供应商</w:t>
      </w:r>
    </w:p>
    <w:p>
      <w:pPr>
        <w:widowControl/>
        <w:spacing w:line="360" w:lineRule="auto"/>
        <w:jc w:val="center"/>
        <w:rPr>
          <w:rFonts w:hint="eastAsia" w:ascii="黑体" w:hAnsi="黑体" w:eastAsia="黑体" w:cs="黑体"/>
          <w:b/>
          <w:bCs/>
          <w:color w:val="auto"/>
          <w:kern w:val="0"/>
          <w:sz w:val="28"/>
          <w:szCs w:val="28"/>
          <w:highlight w:val="none"/>
        </w:rPr>
      </w:pPr>
      <w:r>
        <w:rPr>
          <w:rFonts w:hint="eastAsia" w:ascii="黑体" w:hAnsi="黑体" w:eastAsia="黑体" w:cs="黑体"/>
          <w:b/>
          <w:bCs/>
          <w:color w:val="auto"/>
          <w:kern w:val="0"/>
          <w:sz w:val="28"/>
          <w:szCs w:val="28"/>
          <w:highlight w:val="none"/>
        </w:rPr>
        <w:t>拒绝政府采购领域商业贿赂承诺书</w:t>
      </w:r>
    </w:p>
    <w:p>
      <w:pPr>
        <w:jc w:val="center"/>
        <w:outlineLvl w:val="9"/>
        <w:rPr>
          <w:rFonts w:hint="eastAsia" w:ascii="黑体" w:hAnsi="黑体" w:eastAsia="黑体" w:cs="黑体"/>
          <w:b/>
          <w:bCs/>
          <w:color w:val="auto"/>
          <w:sz w:val="28"/>
          <w:szCs w:val="28"/>
          <w:highlight w:val="none"/>
        </w:rPr>
      </w:pPr>
    </w:p>
    <w:p>
      <w:pPr>
        <w:pStyle w:val="49"/>
        <w:spacing w:line="360" w:lineRule="auto"/>
        <w:ind w:left="239" w:firstLine="470"/>
        <w:jc w:val="left"/>
        <w:outlineLvl w:val="9"/>
        <w:rPr>
          <w:rFonts w:hint="eastAsia" w:ascii="黑体" w:hAnsi="黑体" w:eastAsia="黑体" w:cs="黑体"/>
          <w:color w:val="auto"/>
          <w:sz w:val="24"/>
          <w:szCs w:val="24"/>
          <w:highlight w:val="none"/>
        </w:rPr>
      </w:pP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为响应党中央、国务院关于治理政府采购领域商业贿赂行为的号召，我公司在此庄严承诺：</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1、在参与政府采购活动中遵纪守法、诚信经营、公平竞标。</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2、不向政府采购人、采购代理机构和政府采购评审专家进行任何形式的商业贿赂以谋取交易机会。</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3、不向政府采购代理机构和采购人提供虚假资质文件或采用虚假应标方式参与政府采购市场竞争并谋取中标、成交。</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4、不采取“围标、陪标”等商业欺诈手段获得政府采购定单。</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5、不采取不正当手段诋毁、排挤其他供应商。</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6、不在提供商品和服务时“偷梁换柱、以次充好”损害采购人的合法权益。</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7、不与采购人、采购代理机构政府采购评审专家或其它供应商恶意串通，进行质疑和投诉，维护政府采购市场秩序。</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8、尊重和接受政府采购监督管理部门的监督和政府采购代理机构招标采购要求，承担因违约行为给采购人造成的损失。</w:t>
      </w:r>
    </w:p>
    <w:p>
      <w:pPr>
        <w:pStyle w:val="49"/>
        <w:spacing w:line="360" w:lineRule="auto"/>
        <w:ind w:firstLine="480" w:firstLineChars="200"/>
        <w:jc w:val="left"/>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9、不发生其他有悖于政府采购公开、公平、公正和诚信原则的行为。</w:t>
      </w:r>
    </w:p>
    <w:p>
      <w:pPr>
        <w:pStyle w:val="49"/>
        <w:spacing w:line="360" w:lineRule="auto"/>
        <w:jc w:val="left"/>
        <w:outlineLvl w:val="9"/>
        <w:rPr>
          <w:rFonts w:hint="eastAsia" w:ascii="黑体" w:hAnsi="黑体" w:eastAsia="黑体" w:cs="黑体"/>
          <w:color w:val="auto"/>
          <w:sz w:val="24"/>
          <w:szCs w:val="24"/>
          <w:highlight w:val="none"/>
        </w:rPr>
      </w:pPr>
    </w:p>
    <w:p>
      <w:pPr>
        <w:pStyle w:val="49"/>
        <w:spacing w:line="360" w:lineRule="auto"/>
        <w:jc w:val="left"/>
        <w:outlineLvl w:val="9"/>
        <w:rPr>
          <w:rFonts w:hint="eastAsia" w:ascii="黑体" w:hAnsi="黑体" w:eastAsia="黑体" w:cs="黑体"/>
          <w:color w:val="auto"/>
          <w:sz w:val="24"/>
          <w:szCs w:val="24"/>
          <w:highlight w:val="none"/>
        </w:rPr>
      </w:pPr>
    </w:p>
    <w:p>
      <w:pPr>
        <w:spacing w:line="360" w:lineRule="auto"/>
        <w:ind w:firstLine="480" w:firstLineChars="200"/>
        <w:jc w:val="left"/>
        <w:outlineLvl w:val="9"/>
        <w:rPr>
          <w:rFonts w:hint="eastAsia" w:ascii="黑体" w:hAnsi="黑体" w:eastAsia="黑体" w:cs="黑体"/>
          <w:color w:val="auto"/>
          <w:kern w:val="0"/>
          <w:sz w:val="24"/>
          <w:szCs w:val="24"/>
          <w:highlight w:val="none"/>
          <w:lang w:val="en-US" w:eastAsia="zh-CN" w:bidi="ar-SA"/>
        </w:rPr>
      </w:pPr>
      <w:r>
        <w:rPr>
          <w:rFonts w:hint="eastAsia" w:ascii="黑体" w:hAnsi="黑体" w:eastAsia="黑体" w:cs="黑体"/>
          <w:color w:val="auto"/>
          <w:kern w:val="0"/>
          <w:sz w:val="24"/>
          <w:szCs w:val="24"/>
          <w:highlight w:val="none"/>
          <w:lang w:val="en-US" w:eastAsia="zh-CN" w:bidi="ar-SA"/>
        </w:rPr>
        <w:t xml:space="preserve"> 承诺单位：　</w:t>
      </w:r>
      <w:r>
        <w:rPr>
          <w:rFonts w:hint="eastAsia" w:ascii="黑体" w:hAnsi="黑体" w:eastAsia="黑体" w:cs="黑体"/>
          <w:color w:val="auto"/>
          <w:kern w:val="0"/>
          <w:szCs w:val="24"/>
          <w:highlight w:val="none"/>
          <w:u w:val="single"/>
        </w:rPr>
        <w:t>　                 　</w:t>
      </w:r>
      <w:r>
        <w:rPr>
          <w:rFonts w:hint="eastAsia" w:ascii="黑体" w:hAnsi="黑体" w:eastAsia="黑体" w:cs="黑体"/>
          <w:color w:val="auto"/>
          <w:kern w:val="0"/>
          <w:sz w:val="24"/>
          <w:szCs w:val="24"/>
          <w:highlight w:val="none"/>
          <w:lang w:val="en-US" w:eastAsia="zh-CN" w:bidi="ar-SA"/>
        </w:rPr>
        <w:t>（加盖公章）</w:t>
      </w:r>
    </w:p>
    <w:p>
      <w:pPr>
        <w:widowControl w:val="0"/>
        <w:numPr>
          <w:ilvl w:val="0"/>
          <w:numId w:val="0"/>
        </w:numPr>
        <w:spacing w:line="360" w:lineRule="auto"/>
        <w:jc w:val="center"/>
        <w:outlineLvl w:val="9"/>
        <w:rPr>
          <w:rFonts w:hint="eastAsia" w:ascii="黑体" w:hAnsi="黑体" w:eastAsia="黑体" w:cs="黑体"/>
          <w:b/>
          <w:bCs/>
          <w:color w:val="auto"/>
          <w:sz w:val="28"/>
          <w:szCs w:val="28"/>
          <w:highlight w:val="none"/>
          <w:lang w:eastAsia="zh-CN"/>
        </w:rPr>
      </w:pPr>
      <w:bookmarkStart w:id="91" w:name="_Toc7447450"/>
    </w:p>
    <w:p>
      <w:pPr>
        <w:spacing w:line="360" w:lineRule="auto"/>
        <w:ind w:firstLine="720" w:firstLineChars="300"/>
        <w:rPr>
          <w:rFonts w:hint="eastAsia" w:ascii="黑体" w:hAnsi="黑体" w:eastAsia="黑体" w:cs="黑体"/>
          <w:color w:val="auto"/>
          <w:kern w:val="0"/>
          <w:sz w:val="24"/>
          <w:szCs w:val="24"/>
          <w:highlight w:val="none"/>
          <w:lang w:val="en-US" w:eastAsia="zh-CN" w:bidi="ar-SA"/>
        </w:rPr>
        <w:sectPr>
          <w:pgSz w:w="11905" w:h="16838"/>
          <w:pgMar w:top="1417" w:right="1134" w:bottom="1417" w:left="1304" w:header="935" w:footer="10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黑体" w:hAnsi="黑体" w:eastAsia="黑体" w:cs="黑体"/>
          <w:color w:val="auto"/>
          <w:kern w:val="0"/>
          <w:sz w:val="24"/>
          <w:szCs w:val="24"/>
          <w:highlight w:val="none"/>
          <w:lang w:val="en-US" w:eastAsia="zh-CN" w:bidi="ar-SA"/>
        </w:rPr>
        <w:t xml:space="preserve">日 期：年　　月　　日 </w:t>
      </w:r>
    </w:p>
    <w:bookmarkEnd w:id="91"/>
    <w:p>
      <w:pPr>
        <w:spacing w:line="360" w:lineRule="auto"/>
        <w:jc w:val="both"/>
        <w:outlineLvl w:val="2"/>
        <w:rPr>
          <w:rFonts w:hint="eastAsia" w:ascii="黑体" w:hAnsi="黑体" w:eastAsia="黑体" w:cs="黑体"/>
          <w:color w:val="auto"/>
          <w:sz w:val="28"/>
          <w:szCs w:val="28"/>
          <w:highlight w:val="none"/>
        </w:rPr>
      </w:pPr>
      <w:bookmarkStart w:id="92" w:name="_Toc7447451"/>
      <w:r>
        <w:rPr>
          <w:rFonts w:hint="eastAsia" w:ascii="黑体" w:hAnsi="黑体" w:eastAsia="黑体" w:cs="黑体"/>
          <w:b/>
          <w:bCs/>
          <w:color w:val="auto"/>
          <w:sz w:val="28"/>
          <w:szCs w:val="28"/>
          <w:highlight w:val="none"/>
          <w:lang w:val="en-US" w:eastAsia="zh-CN"/>
        </w:rPr>
        <w:t>6、</w:t>
      </w:r>
      <w:r>
        <w:rPr>
          <w:rFonts w:hint="eastAsia" w:ascii="黑体" w:hAnsi="黑体" w:eastAsia="黑体" w:cs="黑体"/>
          <w:b/>
          <w:bCs/>
          <w:color w:val="auto"/>
          <w:sz w:val="28"/>
          <w:szCs w:val="28"/>
          <w:highlight w:val="none"/>
        </w:rPr>
        <w:t>商务</w:t>
      </w:r>
      <w:r>
        <w:rPr>
          <w:rFonts w:hint="eastAsia" w:ascii="黑体" w:hAnsi="黑体" w:eastAsia="黑体" w:cs="黑体"/>
          <w:b/>
          <w:bCs/>
          <w:color w:val="auto"/>
          <w:sz w:val="28"/>
          <w:szCs w:val="28"/>
          <w:highlight w:val="none"/>
          <w:lang w:eastAsia="zh-CN"/>
        </w:rPr>
        <w:t>响应</w:t>
      </w:r>
      <w:r>
        <w:rPr>
          <w:rFonts w:hint="eastAsia" w:ascii="黑体" w:hAnsi="黑体" w:eastAsia="黑体" w:cs="黑体"/>
          <w:b/>
          <w:bCs/>
          <w:color w:val="auto"/>
          <w:sz w:val="28"/>
          <w:szCs w:val="28"/>
          <w:highlight w:val="none"/>
        </w:rPr>
        <w:t>表</w:t>
      </w:r>
      <w:bookmarkEnd w:id="92"/>
    </w:p>
    <w:p>
      <w:pPr>
        <w:pStyle w:val="15"/>
        <w:spacing w:line="360" w:lineRule="auto"/>
        <w:outlineLvl w:val="9"/>
        <w:rPr>
          <w:rFonts w:hint="eastAsia" w:ascii="黑体" w:hAnsi="黑体" w:eastAsia="黑体" w:cs="黑体"/>
          <w:color w:val="auto"/>
          <w:sz w:val="24"/>
          <w:highlight w:val="none"/>
        </w:rPr>
      </w:pPr>
    </w:p>
    <w:p>
      <w:pPr>
        <w:pStyle w:val="15"/>
        <w:spacing w:line="360" w:lineRule="auto"/>
        <w:outlineLvl w:val="9"/>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val="en-US" w:eastAsia="zh-CN"/>
        </w:rPr>
        <w:t>项目</w:t>
      </w:r>
      <w:r>
        <w:rPr>
          <w:rFonts w:hint="eastAsia" w:ascii="黑体" w:hAnsi="黑体" w:eastAsia="黑体" w:cs="黑体"/>
          <w:color w:val="auto"/>
          <w:sz w:val="24"/>
          <w:highlight w:val="none"/>
        </w:rPr>
        <w:t>编号：</w:t>
      </w:r>
      <w:r>
        <w:rPr>
          <w:rFonts w:hint="eastAsia" w:ascii="黑体" w:hAnsi="黑体" w:eastAsia="黑体" w:cs="黑体"/>
          <w:color w:val="auto"/>
          <w:sz w:val="24"/>
          <w:highlight w:val="none"/>
          <w:u w:val="single"/>
        </w:rPr>
        <w:t xml:space="preserve">______  </w:t>
      </w:r>
      <w:r>
        <w:rPr>
          <w:rFonts w:hint="eastAsia" w:ascii="黑体" w:hAnsi="黑体" w:eastAsia="黑体" w:cs="黑体"/>
          <w:color w:val="auto"/>
          <w:sz w:val="24"/>
          <w:highlight w:val="none"/>
          <w:u w:val="single"/>
          <w:lang w:eastAsia="zh-CN"/>
        </w:rPr>
        <w:t xml:space="preserve"> </w:t>
      </w:r>
      <w:r>
        <w:rPr>
          <w:rFonts w:hint="eastAsia" w:ascii="黑体" w:hAnsi="黑体" w:eastAsia="黑体" w:cs="黑体"/>
          <w:color w:val="auto"/>
          <w:sz w:val="24"/>
          <w:highlight w:val="none"/>
          <w:u w:val="none"/>
          <w:lang w:eastAsia="zh-CN"/>
        </w:rPr>
        <w:t xml:space="preserve">            </w:t>
      </w:r>
      <w:r>
        <w:rPr>
          <w:rFonts w:hint="eastAsia" w:ascii="黑体" w:hAnsi="黑体" w:eastAsia="黑体" w:cs="黑体"/>
          <w:color w:val="auto"/>
          <w:sz w:val="24"/>
          <w:highlight w:val="none"/>
          <w:u w:val="single"/>
          <w:lang w:eastAsia="zh-CN"/>
        </w:rPr>
        <w:t xml:space="preserve">             </w:t>
      </w:r>
    </w:p>
    <w:p>
      <w:pPr>
        <w:pStyle w:val="15"/>
        <w:spacing w:line="360" w:lineRule="auto"/>
        <w:outlineLvl w:val="9"/>
        <w:rPr>
          <w:rFonts w:hint="eastAsia" w:ascii="黑体" w:hAnsi="黑体" w:eastAsia="黑体" w:cs="黑体"/>
          <w:color w:val="auto"/>
          <w:sz w:val="24"/>
          <w:highlight w:val="none"/>
          <w:u w:val="single"/>
          <w:lang w:eastAsia="zh-CN"/>
        </w:rPr>
      </w:pPr>
      <w:r>
        <w:rPr>
          <w:rFonts w:hint="eastAsia" w:ascii="黑体" w:hAnsi="黑体" w:eastAsia="黑体" w:cs="黑体"/>
          <w:color w:val="auto"/>
          <w:sz w:val="24"/>
          <w:highlight w:val="none"/>
        </w:rPr>
        <w:t>项目名称：</w:t>
      </w:r>
      <w:r>
        <w:rPr>
          <w:rFonts w:hint="eastAsia" w:ascii="黑体" w:hAnsi="黑体" w:eastAsia="黑体" w:cs="黑体"/>
          <w:color w:val="auto"/>
          <w:sz w:val="24"/>
          <w:highlight w:val="none"/>
          <w:u w:val="single"/>
        </w:rPr>
        <w:t xml:space="preserve"> ______     </w:t>
      </w:r>
      <w:r>
        <w:rPr>
          <w:rFonts w:hint="eastAsia" w:ascii="黑体" w:hAnsi="黑体" w:eastAsia="黑体" w:cs="黑体"/>
          <w:color w:val="auto"/>
          <w:sz w:val="24"/>
          <w:highlight w:val="none"/>
          <w:u w:val="single"/>
          <w:lang w:eastAsia="zh-CN"/>
        </w:rPr>
        <w:t xml:space="preserve"> </w:t>
      </w:r>
      <w:r>
        <w:rPr>
          <w:rFonts w:hint="eastAsia" w:ascii="黑体" w:hAnsi="黑体" w:eastAsia="黑体" w:cs="黑体"/>
          <w:color w:val="auto"/>
          <w:sz w:val="24"/>
          <w:highlight w:val="none"/>
          <w:u w:val="single"/>
        </w:rPr>
        <w:t xml:space="preserve">                     </w:t>
      </w:r>
    </w:p>
    <w:p>
      <w:pPr>
        <w:pStyle w:val="15"/>
        <w:spacing w:line="360" w:lineRule="auto"/>
        <w:outlineLvl w:val="9"/>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rPr>
        <w:t>供 应 商：</w:t>
      </w:r>
      <w:r>
        <w:rPr>
          <w:rFonts w:hint="eastAsia" w:ascii="黑体" w:hAnsi="黑体" w:eastAsia="黑体" w:cs="黑体"/>
          <w:color w:val="auto"/>
          <w:sz w:val="24"/>
          <w:highlight w:val="none"/>
          <w:u w:val="single"/>
        </w:rPr>
        <w:t xml:space="preserve">______                    </w:t>
      </w:r>
    </w:p>
    <w:tbl>
      <w:tblPr>
        <w:tblStyle w:val="24"/>
        <w:tblW w:w="912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72"/>
        <w:gridCol w:w="1825"/>
        <w:gridCol w:w="2416"/>
        <w:gridCol w:w="3154"/>
        <w:gridCol w:w="9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2" w:hRule="atLeast"/>
          <w:jc w:val="center"/>
        </w:trPr>
        <w:tc>
          <w:tcPr>
            <w:tcW w:w="772" w:type="dxa"/>
            <w:noWrap w:val="0"/>
            <w:vAlign w:val="center"/>
          </w:tcPr>
          <w:p>
            <w:pPr>
              <w:spacing w:line="360" w:lineRule="auto"/>
              <w:jc w:val="center"/>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序号</w:t>
            </w:r>
          </w:p>
        </w:tc>
        <w:tc>
          <w:tcPr>
            <w:tcW w:w="1825" w:type="dxa"/>
            <w:noWrap w:val="0"/>
            <w:vAlign w:val="center"/>
          </w:tcPr>
          <w:p>
            <w:pPr>
              <w:spacing w:line="360" w:lineRule="auto"/>
              <w:jc w:val="center"/>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磋商</w:t>
            </w:r>
            <w:r>
              <w:rPr>
                <w:rFonts w:hint="eastAsia" w:ascii="黑体" w:hAnsi="黑体" w:eastAsia="黑体" w:cs="黑体"/>
                <w:color w:val="auto"/>
                <w:sz w:val="24"/>
                <w:highlight w:val="none"/>
              </w:rPr>
              <w:t>文件条目号</w:t>
            </w:r>
          </w:p>
        </w:tc>
        <w:tc>
          <w:tcPr>
            <w:tcW w:w="2416" w:type="dxa"/>
            <w:noWrap w:val="0"/>
            <w:vAlign w:val="center"/>
          </w:tcPr>
          <w:p>
            <w:pPr>
              <w:spacing w:line="360" w:lineRule="auto"/>
              <w:jc w:val="center"/>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磋商</w:t>
            </w:r>
            <w:r>
              <w:rPr>
                <w:rFonts w:hint="eastAsia" w:ascii="黑体" w:hAnsi="黑体" w:eastAsia="黑体" w:cs="黑体"/>
                <w:color w:val="auto"/>
                <w:sz w:val="24"/>
                <w:highlight w:val="none"/>
              </w:rPr>
              <w:t>文件商务要求</w:t>
            </w:r>
          </w:p>
        </w:tc>
        <w:tc>
          <w:tcPr>
            <w:tcW w:w="3154" w:type="dxa"/>
            <w:noWrap w:val="0"/>
            <w:vAlign w:val="center"/>
          </w:tcPr>
          <w:p>
            <w:pPr>
              <w:spacing w:line="360" w:lineRule="auto"/>
              <w:jc w:val="center"/>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lang w:eastAsia="zh-CN"/>
              </w:rPr>
              <w:t>磋商响应</w:t>
            </w:r>
            <w:r>
              <w:rPr>
                <w:rFonts w:hint="eastAsia" w:ascii="黑体" w:hAnsi="黑体" w:eastAsia="黑体" w:cs="黑体"/>
                <w:color w:val="auto"/>
                <w:sz w:val="24"/>
                <w:highlight w:val="none"/>
              </w:rPr>
              <w:t>文件商务响应描述</w:t>
            </w:r>
          </w:p>
        </w:tc>
        <w:tc>
          <w:tcPr>
            <w:tcW w:w="960" w:type="dxa"/>
            <w:noWrap w:val="0"/>
            <w:vAlign w:val="center"/>
          </w:tcPr>
          <w:p>
            <w:pPr>
              <w:spacing w:line="360" w:lineRule="auto"/>
              <w:jc w:val="center"/>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偏离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1825"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2416"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3154"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960" w:type="dxa"/>
            <w:noWrap w:val="0"/>
            <w:vAlign w:val="center"/>
          </w:tcPr>
          <w:p>
            <w:pPr>
              <w:spacing w:line="360" w:lineRule="auto"/>
              <w:jc w:val="center"/>
              <w:outlineLvl w:val="9"/>
              <w:rPr>
                <w:rFonts w:hint="eastAsia" w:ascii="黑体" w:hAnsi="黑体" w:eastAsia="黑体" w:cs="黑体"/>
                <w:b/>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98" w:hRule="atLeast"/>
          <w:jc w:val="center"/>
        </w:trPr>
        <w:tc>
          <w:tcPr>
            <w:tcW w:w="772"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1825"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2416"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3154"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960" w:type="dxa"/>
            <w:noWrap w:val="0"/>
            <w:vAlign w:val="center"/>
          </w:tcPr>
          <w:p>
            <w:pPr>
              <w:spacing w:line="360" w:lineRule="auto"/>
              <w:jc w:val="center"/>
              <w:outlineLvl w:val="9"/>
              <w:rPr>
                <w:rFonts w:hint="eastAsia" w:ascii="黑体" w:hAnsi="黑体" w:eastAsia="黑体" w:cs="黑体"/>
                <w:b/>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1825"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2416"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3154"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960" w:type="dxa"/>
            <w:noWrap w:val="0"/>
            <w:vAlign w:val="center"/>
          </w:tcPr>
          <w:p>
            <w:pPr>
              <w:spacing w:line="360" w:lineRule="auto"/>
              <w:jc w:val="center"/>
              <w:outlineLvl w:val="9"/>
              <w:rPr>
                <w:rFonts w:hint="eastAsia" w:ascii="黑体" w:hAnsi="黑体" w:eastAsia="黑体" w:cs="黑体"/>
                <w:b/>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1825"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2416"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3154" w:type="dxa"/>
            <w:noWrap w:val="0"/>
            <w:vAlign w:val="center"/>
          </w:tcPr>
          <w:p>
            <w:pPr>
              <w:spacing w:line="360" w:lineRule="auto"/>
              <w:jc w:val="center"/>
              <w:outlineLvl w:val="9"/>
              <w:rPr>
                <w:rFonts w:hint="eastAsia" w:ascii="黑体" w:hAnsi="黑体" w:eastAsia="黑体" w:cs="黑体"/>
                <w:color w:val="auto"/>
                <w:sz w:val="24"/>
                <w:highlight w:val="none"/>
              </w:rPr>
            </w:pPr>
          </w:p>
        </w:tc>
        <w:tc>
          <w:tcPr>
            <w:tcW w:w="960" w:type="dxa"/>
            <w:noWrap w:val="0"/>
            <w:vAlign w:val="center"/>
          </w:tcPr>
          <w:p>
            <w:pPr>
              <w:spacing w:line="360" w:lineRule="auto"/>
              <w:jc w:val="center"/>
              <w:outlineLvl w:val="9"/>
              <w:rPr>
                <w:rFonts w:hint="eastAsia" w:ascii="黑体" w:hAnsi="黑体" w:eastAsia="黑体" w:cs="黑体"/>
                <w:b/>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4" w:hRule="atLeast"/>
          <w:jc w:val="center"/>
        </w:trPr>
        <w:tc>
          <w:tcPr>
            <w:tcW w:w="772" w:type="dxa"/>
            <w:noWrap w:val="0"/>
            <w:vAlign w:val="center"/>
          </w:tcPr>
          <w:p>
            <w:pPr>
              <w:spacing w:line="360" w:lineRule="auto"/>
              <w:jc w:val="center"/>
              <w:outlineLvl w:val="9"/>
              <w:rPr>
                <w:rFonts w:hint="eastAsia" w:ascii="黑体" w:hAnsi="黑体" w:eastAsia="黑体" w:cs="黑体"/>
                <w:color w:val="auto"/>
                <w:sz w:val="24"/>
                <w:highlight w:val="none"/>
              </w:rPr>
            </w:pPr>
            <w:r>
              <w:rPr>
                <w:rFonts w:hint="eastAsia" w:ascii="黑体" w:hAnsi="黑体" w:eastAsia="黑体" w:cs="黑体"/>
                <w:color w:val="auto"/>
                <w:sz w:val="24"/>
                <w:highlight w:val="none"/>
              </w:rPr>
              <w:t>备注</w:t>
            </w:r>
          </w:p>
        </w:tc>
        <w:tc>
          <w:tcPr>
            <w:tcW w:w="8355" w:type="dxa"/>
            <w:gridSpan w:val="4"/>
            <w:noWrap w:val="0"/>
            <w:vAlign w:val="center"/>
          </w:tcPr>
          <w:p>
            <w:pPr>
              <w:spacing w:line="360" w:lineRule="auto"/>
              <w:jc w:val="center"/>
              <w:outlineLvl w:val="9"/>
              <w:rPr>
                <w:rFonts w:hint="eastAsia" w:ascii="黑体" w:hAnsi="黑体" w:eastAsia="黑体" w:cs="黑体"/>
                <w:b/>
                <w:color w:val="auto"/>
                <w:sz w:val="24"/>
                <w:highlight w:val="none"/>
              </w:rPr>
            </w:pPr>
          </w:p>
        </w:tc>
      </w:tr>
    </w:tbl>
    <w:p>
      <w:pPr>
        <w:autoSpaceDE w:val="0"/>
        <w:autoSpaceDN w:val="0"/>
        <w:adjustRightInd w:val="0"/>
        <w:spacing w:line="360" w:lineRule="auto"/>
        <w:outlineLvl w:val="9"/>
        <w:rPr>
          <w:rFonts w:hint="eastAsia" w:ascii="黑体" w:hAnsi="黑体" w:eastAsia="黑体" w:cs="黑体"/>
          <w:color w:val="auto"/>
          <w:sz w:val="21"/>
          <w:szCs w:val="22"/>
          <w:highlight w:val="none"/>
        </w:rPr>
      </w:pPr>
      <w:r>
        <w:rPr>
          <w:rFonts w:hint="eastAsia" w:ascii="黑体" w:hAnsi="黑体" w:eastAsia="黑体" w:cs="黑体"/>
          <w:color w:val="auto"/>
          <w:sz w:val="21"/>
          <w:szCs w:val="22"/>
          <w:highlight w:val="none"/>
        </w:rPr>
        <w:t>注：1、</w:t>
      </w:r>
      <w:r>
        <w:rPr>
          <w:rFonts w:hint="eastAsia" w:ascii="黑体" w:hAnsi="黑体" w:eastAsia="黑体" w:cs="黑体"/>
          <w:color w:val="auto"/>
          <w:sz w:val="21"/>
          <w:szCs w:val="16"/>
          <w:highlight w:val="none"/>
        </w:rPr>
        <w:t>商务合同条款各条目是对</w:t>
      </w:r>
      <w:r>
        <w:rPr>
          <w:rFonts w:hint="eastAsia" w:ascii="黑体" w:hAnsi="黑体" w:eastAsia="黑体" w:cs="黑体"/>
          <w:color w:val="auto"/>
          <w:sz w:val="21"/>
          <w:szCs w:val="16"/>
          <w:highlight w:val="none"/>
          <w:lang w:eastAsia="zh-CN"/>
        </w:rPr>
        <w:t>供应商</w:t>
      </w:r>
      <w:r>
        <w:rPr>
          <w:rFonts w:hint="eastAsia" w:ascii="黑体" w:hAnsi="黑体" w:eastAsia="黑体" w:cs="黑体"/>
          <w:color w:val="auto"/>
          <w:sz w:val="21"/>
          <w:szCs w:val="16"/>
          <w:highlight w:val="none"/>
        </w:rPr>
        <w:t>提出的最低要求，将作为</w:t>
      </w:r>
      <w:r>
        <w:rPr>
          <w:rFonts w:hint="eastAsia" w:ascii="黑体" w:hAnsi="黑体" w:eastAsia="黑体" w:cs="黑体"/>
          <w:color w:val="auto"/>
          <w:sz w:val="21"/>
          <w:szCs w:val="16"/>
          <w:highlight w:val="none"/>
          <w:lang w:eastAsia="zh-CN"/>
        </w:rPr>
        <w:t>采购</w:t>
      </w:r>
      <w:r>
        <w:rPr>
          <w:rFonts w:hint="eastAsia" w:ascii="黑体" w:hAnsi="黑体" w:eastAsia="黑体" w:cs="黑体"/>
          <w:color w:val="auto"/>
          <w:sz w:val="21"/>
          <w:szCs w:val="16"/>
          <w:highlight w:val="none"/>
        </w:rPr>
        <w:t>人与</w:t>
      </w:r>
      <w:r>
        <w:rPr>
          <w:rFonts w:hint="eastAsia" w:ascii="黑体" w:hAnsi="黑体" w:eastAsia="黑体" w:cs="黑体"/>
          <w:color w:val="auto"/>
          <w:sz w:val="21"/>
          <w:szCs w:val="16"/>
          <w:highlight w:val="none"/>
          <w:lang w:eastAsia="zh-CN"/>
        </w:rPr>
        <w:t>成交</w:t>
      </w:r>
      <w:r>
        <w:rPr>
          <w:rFonts w:hint="eastAsia" w:ascii="黑体" w:hAnsi="黑体" w:eastAsia="黑体" w:cs="黑体"/>
          <w:color w:val="auto"/>
          <w:sz w:val="21"/>
          <w:szCs w:val="16"/>
          <w:highlight w:val="none"/>
        </w:rPr>
        <w:t>人签定合同的基本要求。</w:t>
      </w:r>
    </w:p>
    <w:p>
      <w:pPr>
        <w:pStyle w:val="15"/>
        <w:spacing w:line="360" w:lineRule="auto"/>
        <w:ind w:firstLine="420" w:firstLineChars="200"/>
        <w:outlineLvl w:val="9"/>
        <w:rPr>
          <w:rFonts w:hint="eastAsia" w:ascii="黑体" w:hAnsi="黑体" w:eastAsia="黑体" w:cs="黑体"/>
          <w:color w:val="auto"/>
          <w:sz w:val="21"/>
          <w:szCs w:val="16"/>
          <w:highlight w:val="none"/>
        </w:rPr>
      </w:pPr>
      <w:r>
        <w:rPr>
          <w:rFonts w:hint="eastAsia" w:ascii="黑体" w:hAnsi="黑体" w:eastAsia="黑体" w:cs="黑体"/>
          <w:color w:val="auto"/>
          <w:sz w:val="21"/>
          <w:szCs w:val="16"/>
          <w:highlight w:val="none"/>
        </w:rPr>
        <w:t>2、凡是</w:t>
      </w:r>
      <w:r>
        <w:rPr>
          <w:rFonts w:hint="eastAsia" w:ascii="黑体" w:hAnsi="黑体" w:eastAsia="黑体" w:cs="黑体"/>
          <w:color w:val="auto"/>
          <w:sz w:val="21"/>
          <w:szCs w:val="16"/>
          <w:highlight w:val="none"/>
          <w:lang w:eastAsia="zh-CN"/>
        </w:rPr>
        <w:t>磋商响应文件</w:t>
      </w:r>
      <w:r>
        <w:rPr>
          <w:rFonts w:hint="eastAsia" w:ascii="黑体" w:hAnsi="黑体" w:eastAsia="黑体" w:cs="黑体"/>
          <w:color w:val="auto"/>
          <w:sz w:val="21"/>
          <w:szCs w:val="16"/>
          <w:highlight w:val="none"/>
        </w:rPr>
        <w:t>的商务条款与</w:t>
      </w:r>
      <w:r>
        <w:rPr>
          <w:rFonts w:hint="eastAsia" w:ascii="黑体" w:hAnsi="黑体" w:eastAsia="黑体" w:cs="黑体"/>
          <w:color w:val="auto"/>
          <w:sz w:val="21"/>
          <w:szCs w:val="16"/>
          <w:highlight w:val="none"/>
          <w:lang w:eastAsia="zh-CN"/>
        </w:rPr>
        <w:t>磋商</w:t>
      </w:r>
      <w:r>
        <w:rPr>
          <w:rFonts w:hint="eastAsia" w:ascii="黑体" w:hAnsi="黑体" w:eastAsia="黑体" w:cs="黑体"/>
          <w:color w:val="auto"/>
          <w:sz w:val="21"/>
          <w:szCs w:val="16"/>
          <w:highlight w:val="none"/>
        </w:rPr>
        <w:t>文件的商务条款之间存在负偏离（即不能满足</w:t>
      </w:r>
      <w:r>
        <w:rPr>
          <w:rFonts w:hint="eastAsia" w:ascii="黑体" w:hAnsi="黑体" w:eastAsia="黑体" w:cs="黑体"/>
          <w:color w:val="auto"/>
          <w:sz w:val="21"/>
          <w:szCs w:val="16"/>
          <w:highlight w:val="none"/>
          <w:lang w:eastAsia="zh-CN"/>
        </w:rPr>
        <w:t>磋商</w:t>
      </w:r>
      <w:r>
        <w:rPr>
          <w:rFonts w:hint="eastAsia" w:ascii="黑体" w:hAnsi="黑体" w:eastAsia="黑体" w:cs="黑体"/>
          <w:color w:val="auto"/>
          <w:sz w:val="21"/>
          <w:szCs w:val="16"/>
          <w:highlight w:val="none"/>
        </w:rPr>
        <w:t>文件要求）的，</w:t>
      </w:r>
      <w:r>
        <w:rPr>
          <w:rFonts w:hint="eastAsia" w:ascii="黑体" w:hAnsi="黑体" w:eastAsia="黑体" w:cs="黑体"/>
          <w:color w:val="auto"/>
          <w:sz w:val="21"/>
          <w:szCs w:val="16"/>
          <w:highlight w:val="none"/>
          <w:lang w:eastAsia="zh-CN"/>
        </w:rPr>
        <w:t>按废标处理</w:t>
      </w:r>
      <w:r>
        <w:rPr>
          <w:rFonts w:hint="eastAsia" w:ascii="黑体" w:hAnsi="黑体" w:eastAsia="黑体" w:cs="黑体"/>
          <w:color w:val="auto"/>
          <w:sz w:val="21"/>
          <w:szCs w:val="16"/>
          <w:highlight w:val="none"/>
        </w:rPr>
        <w:t>。</w:t>
      </w:r>
    </w:p>
    <w:p>
      <w:pPr>
        <w:pStyle w:val="15"/>
        <w:spacing w:line="360" w:lineRule="auto"/>
        <w:outlineLvl w:val="9"/>
        <w:rPr>
          <w:rFonts w:hint="eastAsia" w:ascii="黑体" w:hAnsi="黑体" w:eastAsia="黑体" w:cs="黑体"/>
          <w:color w:val="auto"/>
          <w:sz w:val="24"/>
          <w:highlight w:val="none"/>
        </w:rPr>
      </w:pPr>
    </w:p>
    <w:p>
      <w:pPr>
        <w:spacing w:line="360" w:lineRule="auto"/>
        <w:ind w:firstLine="4759" w:firstLineChars="1983"/>
        <w:outlineLvl w:val="9"/>
        <w:rPr>
          <w:rFonts w:hint="eastAsia" w:ascii="黑体" w:hAnsi="黑体" w:eastAsia="黑体" w:cs="黑体"/>
          <w:color w:val="auto"/>
          <w:sz w:val="24"/>
          <w:szCs w:val="28"/>
          <w:highlight w:val="none"/>
        </w:rPr>
      </w:pPr>
    </w:p>
    <w:p>
      <w:pPr>
        <w:spacing w:line="360" w:lineRule="auto"/>
        <w:ind w:left="280" w:leftChars="100"/>
        <w:rPr>
          <w:rFonts w:hint="eastAsia" w:ascii="黑体" w:hAnsi="黑体" w:eastAsia="黑体" w:cs="黑体"/>
          <w:color w:val="auto"/>
          <w:sz w:val="24"/>
          <w:szCs w:val="22"/>
          <w:highlight w:val="none"/>
        </w:rPr>
      </w:pPr>
      <w:r>
        <w:rPr>
          <w:rFonts w:hint="eastAsia" w:ascii="黑体" w:hAnsi="黑体" w:eastAsia="黑体" w:cs="黑体"/>
          <w:color w:val="auto"/>
          <w:sz w:val="24"/>
          <w:szCs w:val="22"/>
          <w:highlight w:val="none"/>
          <w:u w:val="none"/>
          <w:lang w:val="en-US" w:eastAsia="zh-CN"/>
        </w:rPr>
        <w:t>供应商</w:t>
      </w:r>
      <w:r>
        <w:rPr>
          <w:rFonts w:hint="eastAsia" w:ascii="黑体" w:hAnsi="黑体" w:eastAsia="黑体" w:cs="黑体"/>
          <w:color w:val="auto"/>
          <w:sz w:val="24"/>
          <w:szCs w:val="22"/>
          <w:highlight w:val="none"/>
          <w:u w:val="none"/>
          <w:lang w:eastAsia="zh-CN"/>
        </w:rPr>
        <w:t>名称：</w:t>
      </w:r>
      <w:r>
        <w:rPr>
          <w:rFonts w:hint="eastAsia" w:ascii="黑体" w:hAnsi="黑体" w:eastAsia="黑体" w:cs="黑体"/>
          <w:color w:val="auto"/>
          <w:sz w:val="24"/>
          <w:szCs w:val="22"/>
          <w:highlight w:val="none"/>
          <w:u w:val="none"/>
        </w:rPr>
        <w:t xml:space="preserve"> </w:t>
      </w:r>
      <w:r>
        <w:rPr>
          <w:rFonts w:hint="eastAsia" w:ascii="黑体" w:hAnsi="黑体" w:eastAsia="黑体" w:cs="黑体"/>
          <w:color w:val="auto"/>
          <w:sz w:val="24"/>
          <w:szCs w:val="22"/>
          <w:highlight w:val="none"/>
          <w:u w:val="single"/>
        </w:rPr>
        <w:t xml:space="preserve">                      </w:t>
      </w:r>
      <w:r>
        <w:rPr>
          <w:rFonts w:hint="eastAsia" w:ascii="黑体" w:hAnsi="黑体" w:eastAsia="黑体" w:cs="黑体"/>
          <w:color w:val="auto"/>
          <w:sz w:val="24"/>
          <w:szCs w:val="22"/>
          <w:highlight w:val="none"/>
        </w:rPr>
        <w:t>（</w:t>
      </w:r>
      <w:r>
        <w:rPr>
          <w:rFonts w:hint="eastAsia" w:ascii="黑体" w:hAnsi="黑体" w:eastAsia="黑体" w:cs="黑体"/>
          <w:color w:val="auto"/>
          <w:sz w:val="24"/>
          <w:szCs w:val="22"/>
          <w:highlight w:val="none"/>
          <w:lang w:val="en-US" w:eastAsia="zh-CN"/>
        </w:rPr>
        <w:t>加盖公章</w:t>
      </w:r>
      <w:r>
        <w:rPr>
          <w:rFonts w:hint="eastAsia" w:ascii="黑体" w:hAnsi="黑体" w:eastAsia="黑体" w:cs="黑体"/>
          <w:color w:val="auto"/>
          <w:sz w:val="24"/>
          <w:szCs w:val="22"/>
          <w:highlight w:val="none"/>
        </w:rPr>
        <w:t xml:space="preserve">） </w:t>
      </w:r>
    </w:p>
    <w:p>
      <w:pPr>
        <w:spacing w:line="360" w:lineRule="auto"/>
        <w:ind w:firstLine="240" w:firstLineChars="100"/>
        <w:rPr>
          <w:rFonts w:hint="eastAsia" w:ascii="黑体" w:hAnsi="黑体" w:eastAsia="黑体" w:cs="黑体"/>
          <w:color w:val="auto"/>
          <w:sz w:val="24"/>
          <w:szCs w:val="22"/>
          <w:highlight w:val="none"/>
        </w:rPr>
      </w:pPr>
    </w:p>
    <w:p>
      <w:pPr>
        <w:spacing w:line="360" w:lineRule="auto"/>
        <w:ind w:firstLine="240" w:firstLineChars="100"/>
        <w:rPr>
          <w:rFonts w:hint="eastAsia" w:ascii="黑体" w:hAnsi="黑体" w:eastAsia="黑体" w:cs="黑体"/>
          <w:color w:val="auto"/>
          <w:highlight w:val="none"/>
          <w:u w:val="single"/>
        </w:rPr>
      </w:pPr>
      <w:r>
        <w:rPr>
          <w:rFonts w:hint="eastAsia" w:ascii="黑体" w:hAnsi="黑体" w:eastAsia="黑体" w:cs="黑体"/>
          <w:color w:val="auto"/>
          <w:sz w:val="24"/>
          <w:szCs w:val="22"/>
          <w:highlight w:val="none"/>
        </w:rPr>
        <w:t>日</w:t>
      </w:r>
      <w:r>
        <w:rPr>
          <w:rFonts w:hint="eastAsia" w:ascii="黑体" w:hAnsi="黑体" w:eastAsia="黑体" w:cs="黑体"/>
          <w:color w:val="auto"/>
          <w:sz w:val="24"/>
          <w:szCs w:val="22"/>
          <w:highlight w:val="none"/>
          <w:lang w:val="en-US" w:eastAsia="zh-CN"/>
        </w:rPr>
        <w:t xml:space="preserve">  </w:t>
      </w:r>
      <w:r>
        <w:rPr>
          <w:rFonts w:hint="eastAsia" w:ascii="黑体" w:hAnsi="黑体" w:eastAsia="黑体" w:cs="黑体"/>
          <w:color w:val="auto"/>
          <w:sz w:val="24"/>
          <w:szCs w:val="22"/>
          <w:highlight w:val="none"/>
        </w:rPr>
        <w:t xml:space="preserve"> 期：</w:t>
      </w:r>
      <w:r>
        <w:rPr>
          <w:rFonts w:hint="eastAsia" w:ascii="黑体" w:hAnsi="黑体" w:eastAsia="黑体" w:cs="黑体"/>
          <w:color w:val="auto"/>
          <w:sz w:val="24"/>
          <w:szCs w:val="22"/>
          <w:highlight w:val="none"/>
          <w:lang w:val="en-US" w:eastAsia="zh-CN"/>
        </w:rPr>
        <w:t xml:space="preserve">    年   月    日</w:t>
      </w:r>
      <w:r>
        <w:rPr>
          <w:rFonts w:hint="eastAsia" w:ascii="黑体" w:hAnsi="黑体" w:eastAsia="黑体" w:cs="黑体"/>
          <w:color w:val="auto"/>
          <w:sz w:val="24"/>
          <w:szCs w:val="22"/>
          <w:highlight w:val="none"/>
        </w:rPr>
        <w:t xml:space="preserve">  </w:t>
      </w:r>
      <w:r>
        <w:rPr>
          <w:rFonts w:hint="eastAsia" w:ascii="黑体" w:hAnsi="黑体" w:eastAsia="黑体" w:cs="黑体"/>
          <w:color w:val="auto"/>
          <w:highlight w:val="none"/>
          <w:u w:val="single"/>
        </w:rPr>
        <w:t xml:space="preserve">         </w:t>
      </w:r>
    </w:p>
    <w:p>
      <w:pPr>
        <w:spacing w:line="360" w:lineRule="auto"/>
        <w:outlineLvl w:val="9"/>
        <w:rPr>
          <w:rFonts w:hint="eastAsia" w:ascii="黑体" w:hAnsi="黑体" w:eastAsia="黑体" w:cs="黑体"/>
          <w:color w:val="auto"/>
          <w:sz w:val="24"/>
          <w:szCs w:val="28"/>
          <w:highlight w:val="none"/>
        </w:rPr>
      </w:pPr>
    </w:p>
    <w:p>
      <w:pPr>
        <w:numPr>
          <w:ilvl w:val="0"/>
          <w:numId w:val="4"/>
        </w:numPr>
        <w:ind w:left="0" w:firstLine="0"/>
        <w:jc w:val="both"/>
        <w:outlineLvl w:val="1"/>
        <w:rPr>
          <w:rFonts w:hint="eastAsia" w:ascii="黑体" w:hAnsi="黑体" w:eastAsia="黑体" w:cs="黑体"/>
          <w:b/>
          <w:bCs/>
          <w:color w:val="auto"/>
          <w:sz w:val="28"/>
          <w:szCs w:val="28"/>
          <w:highlight w:val="none"/>
          <w:lang w:eastAsia="zh-CN"/>
        </w:rPr>
      </w:pPr>
      <w:bookmarkStart w:id="93" w:name="_Toc7447452"/>
      <w:r>
        <w:rPr>
          <w:rFonts w:hint="eastAsia" w:ascii="黑体" w:hAnsi="黑体" w:eastAsia="黑体" w:cs="黑体"/>
          <w:color w:val="auto"/>
          <w:sz w:val="28"/>
          <w:szCs w:val="28"/>
          <w:highlight w:val="none"/>
          <w:lang w:eastAsia="zh-CN"/>
        </w:rPr>
        <w:br w:type="page"/>
      </w:r>
      <w:bookmarkEnd w:id="93"/>
      <w:bookmarkStart w:id="94" w:name="_Toc7447453"/>
      <w:r>
        <w:rPr>
          <w:rFonts w:hint="eastAsia" w:ascii="黑体" w:hAnsi="黑体" w:eastAsia="黑体" w:cs="黑体"/>
          <w:b/>
          <w:bCs/>
          <w:color w:val="auto"/>
          <w:sz w:val="28"/>
          <w:szCs w:val="28"/>
          <w:highlight w:val="none"/>
          <w:lang w:eastAsia="zh-CN"/>
        </w:rPr>
        <w:t>响应方案</w:t>
      </w:r>
      <w:bookmarkEnd w:id="94"/>
    </w:p>
    <w:p>
      <w:pPr>
        <w:pStyle w:val="41"/>
        <w:ind w:left="0" w:leftChars="0" w:firstLine="0" w:firstLineChars="0"/>
        <w:rPr>
          <w:rFonts w:hint="eastAsia" w:ascii="黑体" w:hAnsi="黑体" w:eastAsia="黑体" w:cs="黑体"/>
          <w:color w:val="auto"/>
          <w:kern w:val="2"/>
          <w:sz w:val="28"/>
          <w:szCs w:val="28"/>
          <w:highlight w:val="none"/>
          <w:lang w:val="en-US" w:eastAsia="en-US" w:bidi="ar-SA"/>
        </w:rPr>
      </w:pPr>
      <w:bookmarkStart w:id="95" w:name="_Toc7447454"/>
    </w:p>
    <w:p>
      <w:pPr>
        <w:pStyle w:val="42"/>
        <w:numPr>
          <w:ilvl w:val="0"/>
          <w:numId w:val="0"/>
        </w:numPr>
        <w:spacing w:line="360" w:lineRule="auto"/>
        <w:outlineLvl w:val="2"/>
        <w:rPr>
          <w:rFonts w:hint="eastAsia" w:ascii="黑体" w:hAnsi="黑体" w:eastAsia="黑体" w:cs="黑体"/>
          <w:b/>
          <w:bCs/>
          <w:color w:val="auto"/>
          <w:szCs w:val="28"/>
          <w:highlight w:val="none"/>
          <w:lang w:eastAsia="zh-CN"/>
        </w:rPr>
      </w:pPr>
      <w:r>
        <w:rPr>
          <w:rFonts w:hint="eastAsia" w:ascii="黑体" w:hAnsi="黑体" w:eastAsia="黑体" w:cs="黑体"/>
          <w:b/>
          <w:bCs/>
          <w:color w:val="auto"/>
          <w:szCs w:val="28"/>
          <w:highlight w:val="none"/>
          <w:lang w:val="en-US" w:eastAsia="zh-CN"/>
        </w:rPr>
        <w:t>1、</w:t>
      </w:r>
      <w:r>
        <w:rPr>
          <w:rFonts w:hint="eastAsia" w:ascii="黑体" w:hAnsi="黑体" w:eastAsia="黑体" w:cs="黑体"/>
          <w:b/>
          <w:bCs/>
          <w:color w:val="auto"/>
          <w:szCs w:val="28"/>
          <w:highlight w:val="none"/>
          <w:lang w:eastAsia="zh-CN"/>
        </w:rPr>
        <w:t>供应商概况及其性质</w:t>
      </w:r>
    </w:p>
    <w:tbl>
      <w:tblPr>
        <w:tblStyle w:val="24"/>
        <w:tblW w:w="883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488"/>
        <w:gridCol w:w="941"/>
        <w:gridCol w:w="948"/>
        <w:gridCol w:w="1330"/>
        <w:gridCol w:w="1670"/>
        <w:gridCol w:w="1513"/>
        <w:gridCol w:w="9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95" w:hRule="atLeast"/>
          <w:jc w:val="center"/>
        </w:trPr>
        <w:tc>
          <w:tcPr>
            <w:tcW w:w="1488" w:type="dxa"/>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sz w:val="24"/>
                <w:highlight w:val="none"/>
                <w:lang w:val="en-US" w:eastAsia="zh-CN"/>
              </w:rPr>
              <w:t>供应商</w:t>
            </w:r>
            <w:r>
              <w:rPr>
                <w:rFonts w:hint="eastAsia" w:ascii="黑体" w:hAnsi="黑体" w:eastAsia="黑体" w:cs="黑体"/>
                <w:color w:val="auto"/>
                <w:kern w:val="0"/>
                <w:sz w:val="24"/>
                <w:szCs w:val="24"/>
                <w:highlight w:val="none"/>
              </w:rPr>
              <w:t>名称</w:t>
            </w:r>
          </w:p>
        </w:tc>
        <w:tc>
          <w:tcPr>
            <w:tcW w:w="7351" w:type="dxa"/>
            <w:gridSpan w:val="6"/>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1" w:hRule="atLeast"/>
          <w:jc w:val="center"/>
        </w:trPr>
        <w:tc>
          <w:tcPr>
            <w:tcW w:w="1488" w:type="dxa"/>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注册地址</w:t>
            </w:r>
          </w:p>
        </w:tc>
        <w:tc>
          <w:tcPr>
            <w:tcW w:w="3219" w:type="dxa"/>
            <w:gridSpan w:val="3"/>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670" w:type="dxa"/>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邮政编码</w:t>
            </w:r>
          </w:p>
        </w:tc>
        <w:tc>
          <w:tcPr>
            <w:tcW w:w="2462" w:type="dxa"/>
            <w:gridSpan w:val="2"/>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2" w:hRule="atLeast"/>
          <w:jc w:val="center"/>
        </w:trPr>
        <w:tc>
          <w:tcPr>
            <w:tcW w:w="1488" w:type="dxa"/>
            <w:vMerge w:val="restart"/>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联系方式</w:t>
            </w:r>
          </w:p>
        </w:tc>
        <w:tc>
          <w:tcPr>
            <w:tcW w:w="941" w:type="dxa"/>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联系人</w:t>
            </w:r>
          </w:p>
        </w:tc>
        <w:tc>
          <w:tcPr>
            <w:tcW w:w="2278" w:type="dxa"/>
            <w:gridSpan w:val="2"/>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670" w:type="dxa"/>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电话</w:t>
            </w:r>
          </w:p>
        </w:tc>
        <w:tc>
          <w:tcPr>
            <w:tcW w:w="2462" w:type="dxa"/>
            <w:gridSpan w:val="2"/>
            <w:vAlign w:val="center"/>
          </w:tcPr>
          <w:p>
            <w:pPr>
              <w:keepNext/>
              <w:keepLines/>
              <w:autoSpaceDE w:val="0"/>
              <w:autoSpaceDN w:val="0"/>
              <w:adjustRightInd w:val="0"/>
              <w:spacing w:line="400" w:lineRule="exact"/>
              <w:jc w:val="center"/>
              <w:rPr>
                <w:rFonts w:hint="eastAsia" w:ascii="黑体" w:hAnsi="黑体" w:eastAsia="黑体" w:cs="黑体"/>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488" w:type="dxa"/>
            <w:vMerge w:val="continue"/>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941"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传真</w:t>
            </w:r>
          </w:p>
        </w:tc>
        <w:tc>
          <w:tcPr>
            <w:tcW w:w="2278"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670"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网址</w:t>
            </w:r>
          </w:p>
        </w:tc>
        <w:tc>
          <w:tcPr>
            <w:tcW w:w="2462"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3" w:hRule="atLeast"/>
          <w:jc w:val="center"/>
        </w:trPr>
        <w:tc>
          <w:tcPr>
            <w:tcW w:w="1488"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法定代表人</w:t>
            </w:r>
          </w:p>
        </w:tc>
        <w:tc>
          <w:tcPr>
            <w:tcW w:w="941"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姓名</w:t>
            </w:r>
          </w:p>
        </w:tc>
        <w:tc>
          <w:tcPr>
            <w:tcW w:w="2278"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670"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513"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电话</w:t>
            </w:r>
          </w:p>
        </w:tc>
        <w:tc>
          <w:tcPr>
            <w:tcW w:w="949" w:type="dxa"/>
            <w:vAlign w:val="center"/>
          </w:tcPr>
          <w:p>
            <w:pPr>
              <w:autoSpaceDE w:val="0"/>
              <w:autoSpaceDN w:val="0"/>
              <w:adjustRightInd w:val="0"/>
              <w:spacing w:line="400" w:lineRule="exact"/>
              <w:jc w:val="center"/>
              <w:rPr>
                <w:rFonts w:hint="eastAsia" w:ascii="黑体" w:hAnsi="黑体" w:eastAsia="黑体" w:cs="黑体"/>
                <w:b/>
                <w:bCs/>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488"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lang w:eastAsia="zh-CN"/>
              </w:rPr>
              <w:t>项目</w:t>
            </w:r>
            <w:r>
              <w:rPr>
                <w:rFonts w:hint="eastAsia" w:ascii="黑体" w:hAnsi="黑体" w:eastAsia="黑体" w:cs="黑体"/>
                <w:color w:val="auto"/>
                <w:kern w:val="0"/>
                <w:sz w:val="24"/>
                <w:szCs w:val="24"/>
                <w:highlight w:val="none"/>
              </w:rPr>
              <w:t>负责人</w:t>
            </w:r>
          </w:p>
        </w:tc>
        <w:tc>
          <w:tcPr>
            <w:tcW w:w="941"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姓名</w:t>
            </w:r>
          </w:p>
        </w:tc>
        <w:tc>
          <w:tcPr>
            <w:tcW w:w="2278"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670"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1513"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电话</w:t>
            </w:r>
          </w:p>
        </w:tc>
        <w:tc>
          <w:tcPr>
            <w:tcW w:w="949" w:type="dxa"/>
            <w:vAlign w:val="center"/>
          </w:tcPr>
          <w:p>
            <w:pPr>
              <w:autoSpaceDE w:val="0"/>
              <w:autoSpaceDN w:val="0"/>
              <w:adjustRightInd w:val="0"/>
              <w:spacing w:line="400" w:lineRule="exact"/>
              <w:jc w:val="center"/>
              <w:rPr>
                <w:rFonts w:hint="eastAsia" w:ascii="黑体" w:hAnsi="黑体" w:eastAsia="黑体" w:cs="黑体"/>
                <w:b/>
                <w:bCs/>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1" w:hRule="atLeast"/>
          <w:jc w:val="center"/>
        </w:trPr>
        <w:tc>
          <w:tcPr>
            <w:tcW w:w="1488"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成立时间</w:t>
            </w:r>
          </w:p>
        </w:tc>
        <w:tc>
          <w:tcPr>
            <w:tcW w:w="1889"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3000"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开户银行</w:t>
            </w:r>
          </w:p>
        </w:tc>
        <w:tc>
          <w:tcPr>
            <w:tcW w:w="2462" w:type="dxa"/>
            <w:gridSpan w:val="2"/>
            <w:vAlign w:val="center"/>
          </w:tcPr>
          <w:p>
            <w:pPr>
              <w:autoSpaceDE w:val="0"/>
              <w:autoSpaceDN w:val="0"/>
              <w:adjustRightInd w:val="0"/>
              <w:spacing w:line="400" w:lineRule="exact"/>
              <w:jc w:val="center"/>
              <w:rPr>
                <w:rFonts w:hint="eastAsia" w:ascii="黑体" w:hAnsi="黑体" w:eastAsia="黑体" w:cs="黑体"/>
                <w:b/>
                <w:bCs/>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2" w:hRule="atLeast"/>
          <w:jc w:val="center"/>
        </w:trPr>
        <w:tc>
          <w:tcPr>
            <w:tcW w:w="1488"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营业执照号</w:t>
            </w:r>
          </w:p>
        </w:tc>
        <w:tc>
          <w:tcPr>
            <w:tcW w:w="1889"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p>
        </w:tc>
        <w:tc>
          <w:tcPr>
            <w:tcW w:w="3000" w:type="dxa"/>
            <w:gridSpan w:val="2"/>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账号</w:t>
            </w:r>
          </w:p>
        </w:tc>
        <w:tc>
          <w:tcPr>
            <w:tcW w:w="2462" w:type="dxa"/>
            <w:gridSpan w:val="2"/>
            <w:vAlign w:val="center"/>
          </w:tcPr>
          <w:p>
            <w:pPr>
              <w:autoSpaceDE w:val="0"/>
              <w:autoSpaceDN w:val="0"/>
              <w:adjustRightInd w:val="0"/>
              <w:spacing w:line="400" w:lineRule="exact"/>
              <w:jc w:val="center"/>
              <w:rPr>
                <w:rFonts w:hint="eastAsia" w:ascii="黑体" w:hAnsi="黑体" w:eastAsia="黑体" w:cs="黑体"/>
                <w:b/>
                <w:bCs/>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992" w:hRule="atLeast"/>
          <w:jc w:val="center"/>
        </w:trPr>
        <w:tc>
          <w:tcPr>
            <w:tcW w:w="1488" w:type="dxa"/>
            <w:vAlign w:val="center"/>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经营范围</w:t>
            </w:r>
          </w:p>
        </w:tc>
        <w:tc>
          <w:tcPr>
            <w:tcW w:w="7351" w:type="dxa"/>
            <w:gridSpan w:val="6"/>
            <w:vAlign w:val="center"/>
          </w:tcPr>
          <w:p>
            <w:pPr>
              <w:autoSpaceDE w:val="0"/>
              <w:autoSpaceDN w:val="0"/>
              <w:adjustRightInd w:val="0"/>
              <w:spacing w:line="400" w:lineRule="exact"/>
              <w:rPr>
                <w:rFonts w:hint="eastAsia" w:ascii="黑体" w:hAnsi="黑体" w:eastAsia="黑体" w:cs="黑体"/>
                <w:b/>
                <w:bCs/>
                <w:color w:val="auto"/>
                <w:kern w:val="0"/>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561" w:hRule="atLeast"/>
          <w:jc w:val="center"/>
        </w:trPr>
        <w:tc>
          <w:tcPr>
            <w:tcW w:w="1488" w:type="dxa"/>
            <w:vAlign w:val="top"/>
          </w:tcPr>
          <w:p>
            <w:pPr>
              <w:autoSpaceDE w:val="0"/>
              <w:autoSpaceDN w:val="0"/>
              <w:adjustRightInd w:val="0"/>
              <w:spacing w:line="400" w:lineRule="exact"/>
              <w:jc w:val="center"/>
              <w:rPr>
                <w:rFonts w:hint="eastAsia" w:ascii="黑体" w:hAnsi="黑体" w:eastAsia="黑体" w:cs="黑体"/>
                <w:color w:val="auto"/>
                <w:kern w:val="0"/>
                <w:sz w:val="24"/>
                <w:szCs w:val="24"/>
                <w:highlight w:val="none"/>
              </w:rPr>
            </w:pPr>
            <w:r>
              <w:rPr>
                <w:rFonts w:hint="eastAsia" w:ascii="黑体" w:hAnsi="黑体" w:eastAsia="黑体" w:cs="黑体"/>
                <w:color w:val="auto"/>
                <w:kern w:val="0"/>
                <w:sz w:val="24"/>
                <w:szCs w:val="24"/>
                <w:highlight w:val="none"/>
              </w:rPr>
              <w:t>备注</w:t>
            </w:r>
          </w:p>
        </w:tc>
        <w:tc>
          <w:tcPr>
            <w:tcW w:w="7351" w:type="dxa"/>
            <w:gridSpan w:val="6"/>
            <w:vAlign w:val="top"/>
          </w:tcPr>
          <w:p>
            <w:pPr>
              <w:autoSpaceDE w:val="0"/>
              <w:autoSpaceDN w:val="0"/>
              <w:adjustRightInd w:val="0"/>
              <w:spacing w:line="400" w:lineRule="exact"/>
              <w:jc w:val="left"/>
              <w:rPr>
                <w:rFonts w:hint="eastAsia" w:ascii="黑体" w:hAnsi="黑体" w:eastAsia="黑体" w:cs="黑体"/>
                <w:color w:val="auto"/>
                <w:kern w:val="0"/>
                <w:sz w:val="24"/>
                <w:szCs w:val="24"/>
                <w:highlight w:val="none"/>
              </w:rPr>
            </w:pPr>
          </w:p>
        </w:tc>
      </w:tr>
    </w:tbl>
    <w:p>
      <w:pPr>
        <w:rPr>
          <w:rFonts w:hint="eastAsia" w:ascii="黑体" w:hAnsi="黑体" w:eastAsia="黑体" w:cs="黑体"/>
          <w:color w:val="auto"/>
          <w:highlight w:val="none"/>
        </w:rPr>
      </w:pPr>
    </w:p>
    <w:p>
      <w:pPr>
        <w:spacing w:line="360" w:lineRule="auto"/>
        <w:ind w:firstLine="470" w:firstLineChars="196"/>
        <w:rPr>
          <w:rFonts w:hint="eastAsia" w:ascii="黑体" w:hAnsi="黑体" w:eastAsia="黑体" w:cs="黑体"/>
          <w:bCs/>
          <w:color w:val="auto"/>
          <w:sz w:val="24"/>
          <w:szCs w:val="22"/>
          <w:highlight w:val="none"/>
        </w:rPr>
      </w:pPr>
      <w:r>
        <w:rPr>
          <w:rFonts w:hint="eastAsia" w:ascii="黑体" w:hAnsi="黑体" w:eastAsia="黑体" w:cs="黑体"/>
          <w:bCs/>
          <w:color w:val="auto"/>
          <w:sz w:val="24"/>
          <w:szCs w:val="22"/>
          <w:highlight w:val="none"/>
          <w:lang w:val="en-US" w:eastAsia="zh-CN"/>
        </w:rPr>
        <w:t>供应商</w:t>
      </w:r>
      <w:r>
        <w:rPr>
          <w:rFonts w:hint="eastAsia" w:ascii="黑体" w:hAnsi="黑体" w:eastAsia="黑体" w:cs="黑体"/>
          <w:bCs/>
          <w:color w:val="auto"/>
          <w:sz w:val="24"/>
          <w:szCs w:val="22"/>
          <w:highlight w:val="none"/>
        </w:rPr>
        <w:t>名称:</w:t>
      </w:r>
      <w:r>
        <w:rPr>
          <w:rFonts w:hint="eastAsia" w:ascii="黑体" w:hAnsi="黑体" w:eastAsia="黑体" w:cs="黑体"/>
          <w:bCs/>
          <w:color w:val="auto"/>
          <w:sz w:val="24"/>
          <w:szCs w:val="22"/>
          <w:highlight w:val="none"/>
          <w:u w:val="single"/>
        </w:rPr>
        <w:t xml:space="preserve">                    </w:t>
      </w:r>
      <w:r>
        <w:rPr>
          <w:rFonts w:hint="eastAsia" w:ascii="黑体" w:hAnsi="黑体" w:eastAsia="黑体" w:cs="黑体"/>
          <w:bCs/>
          <w:color w:val="auto"/>
          <w:sz w:val="24"/>
          <w:szCs w:val="22"/>
          <w:highlight w:val="none"/>
        </w:rPr>
        <w:t>（加盖公章）</w:t>
      </w:r>
    </w:p>
    <w:p>
      <w:pPr>
        <w:spacing w:line="360" w:lineRule="auto"/>
        <w:ind w:firstLine="470" w:firstLineChars="196"/>
        <w:rPr>
          <w:rFonts w:hint="eastAsia" w:ascii="黑体" w:hAnsi="黑体" w:eastAsia="黑体" w:cs="黑体"/>
          <w:b/>
          <w:bCs/>
          <w:color w:val="auto"/>
          <w:sz w:val="24"/>
          <w:szCs w:val="24"/>
          <w:highlight w:val="none"/>
        </w:rPr>
      </w:pPr>
      <w:r>
        <w:rPr>
          <w:rFonts w:hint="eastAsia" w:ascii="黑体" w:hAnsi="黑体" w:eastAsia="黑体" w:cs="黑体"/>
          <w:bCs/>
          <w:color w:val="auto"/>
          <w:sz w:val="24"/>
          <w:szCs w:val="22"/>
          <w:highlight w:val="none"/>
        </w:rPr>
        <w:t>日   期：     年    月    日</w:t>
      </w:r>
    </w:p>
    <w:p>
      <w:pPr>
        <w:pStyle w:val="42"/>
        <w:spacing w:line="360" w:lineRule="auto"/>
        <w:ind w:firstLine="131" w:firstLineChars="62"/>
        <w:jc w:val="left"/>
        <w:outlineLvl w:val="9"/>
        <w:rPr>
          <w:rFonts w:hint="eastAsia" w:ascii="黑体" w:hAnsi="黑体" w:eastAsia="黑体" w:cs="黑体"/>
          <w:b/>
          <w:bCs/>
          <w:color w:val="auto"/>
          <w:sz w:val="21"/>
          <w:szCs w:val="21"/>
          <w:highlight w:val="none"/>
          <w:lang w:eastAsia="zh-CN"/>
        </w:rPr>
      </w:pPr>
      <w:r>
        <w:rPr>
          <w:rFonts w:hint="eastAsia" w:ascii="黑体" w:hAnsi="黑体" w:eastAsia="黑体" w:cs="黑体"/>
          <w:b/>
          <w:bCs/>
          <w:color w:val="auto"/>
          <w:sz w:val="21"/>
          <w:szCs w:val="21"/>
          <w:highlight w:val="none"/>
          <w:lang w:eastAsia="zh-CN"/>
        </w:rPr>
        <w:t>注：后附下列资料</w:t>
      </w:r>
    </w:p>
    <w:p>
      <w:pPr>
        <w:pStyle w:val="42"/>
        <w:spacing w:line="360" w:lineRule="auto"/>
        <w:ind w:firstLine="131" w:firstLineChars="62"/>
        <w:jc w:val="left"/>
        <w:outlineLvl w:val="9"/>
        <w:rPr>
          <w:rFonts w:hint="eastAsia"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1.中小企业声明函（如适用，请提供，格式见附件一）；</w:t>
      </w:r>
    </w:p>
    <w:p>
      <w:pPr>
        <w:pStyle w:val="42"/>
        <w:spacing w:line="360" w:lineRule="auto"/>
        <w:ind w:firstLine="131" w:firstLineChars="62"/>
        <w:jc w:val="left"/>
        <w:outlineLvl w:val="9"/>
        <w:rPr>
          <w:rFonts w:hint="eastAsia"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2.残疾人福利性单位声明函（如适用，请提供，格式见附件二）；</w:t>
      </w:r>
    </w:p>
    <w:p>
      <w:pPr>
        <w:pStyle w:val="42"/>
        <w:spacing w:line="360" w:lineRule="auto"/>
        <w:ind w:firstLine="131" w:firstLineChars="62"/>
        <w:jc w:val="left"/>
        <w:outlineLvl w:val="9"/>
        <w:rPr>
          <w:rFonts w:hint="eastAsia"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3.监狱企业证明文件（如适用，请提供证明材料）；</w:t>
      </w:r>
    </w:p>
    <w:p>
      <w:pPr>
        <w:pStyle w:val="42"/>
        <w:spacing w:line="360" w:lineRule="auto"/>
        <w:ind w:firstLine="131" w:firstLineChars="62"/>
        <w:jc w:val="left"/>
        <w:outlineLvl w:val="9"/>
        <w:rPr>
          <w:rFonts w:hint="eastAsia"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4.节能产品和环境标志产品证明材料（如适用，请提供证明材料）；</w:t>
      </w:r>
    </w:p>
    <w:p>
      <w:pPr>
        <w:pStyle w:val="42"/>
        <w:spacing w:line="360" w:lineRule="auto"/>
        <w:ind w:firstLine="131" w:firstLineChars="62"/>
        <w:jc w:val="left"/>
        <w:outlineLvl w:val="9"/>
        <w:rPr>
          <w:rFonts w:hint="eastAsia" w:ascii="黑体" w:hAnsi="黑体" w:eastAsia="黑体" w:cs="黑体"/>
          <w:b/>
          <w:bCs/>
          <w:color w:val="auto"/>
          <w:sz w:val="21"/>
          <w:szCs w:val="21"/>
          <w:highlight w:val="none"/>
        </w:rPr>
        <w:sectPr>
          <w:headerReference r:id="rId16" w:type="first"/>
          <w:footerReference r:id="rId18" w:type="first"/>
          <w:headerReference r:id="rId15" w:type="default"/>
          <w:footerReference r:id="rId17" w:type="default"/>
          <w:pgSz w:w="11905" w:h="16838"/>
          <w:pgMar w:top="1417" w:right="1134" w:bottom="1417" w:left="1304" w:header="935" w:footer="1020" w:gutter="567"/>
          <w:pgBorders>
            <w:top w:val="none" w:sz="0" w:space="0"/>
            <w:left w:val="none" w:sz="0" w:space="0"/>
            <w:bottom w:val="none" w:sz="0" w:space="0"/>
            <w:right w:val="none" w:sz="0" w:space="0"/>
          </w:pgBorders>
          <w:pgNumType w:fmt="decimal"/>
          <w:cols w:space="0" w:num="1"/>
          <w:titlePg/>
          <w:rtlGutter w:val="0"/>
          <w:docGrid w:linePitch="312" w:charSpace="0"/>
        </w:sectPr>
      </w:pPr>
      <w:r>
        <w:rPr>
          <w:rFonts w:hint="eastAsia" w:ascii="黑体" w:hAnsi="黑体" w:eastAsia="黑体" w:cs="黑体"/>
          <w:b/>
          <w:bCs/>
          <w:color w:val="auto"/>
          <w:sz w:val="21"/>
          <w:szCs w:val="21"/>
          <w:highlight w:val="none"/>
        </w:rPr>
        <w:t>5.</w:t>
      </w:r>
      <w:r>
        <w:rPr>
          <w:rFonts w:hint="eastAsia" w:ascii="黑体" w:hAnsi="黑体" w:eastAsia="黑体" w:cs="黑体"/>
          <w:b/>
          <w:bCs/>
          <w:color w:val="auto"/>
          <w:sz w:val="21"/>
          <w:szCs w:val="21"/>
          <w:highlight w:val="none"/>
          <w:lang w:val="en-US" w:eastAsia="zh-CN"/>
        </w:rPr>
        <w:t>供应商认为有必要的</w:t>
      </w:r>
      <w:r>
        <w:rPr>
          <w:rFonts w:hint="eastAsia" w:ascii="黑体" w:hAnsi="黑体" w:eastAsia="黑体" w:cs="黑体"/>
          <w:b/>
          <w:bCs/>
          <w:color w:val="auto"/>
          <w:sz w:val="21"/>
          <w:szCs w:val="21"/>
          <w:highlight w:val="none"/>
        </w:rPr>
        <w:t>其他资料。</w:t>
      </w:r>
    </w:p>
    <w:bookmarkEnd w:id="95"/>
    <w:p>
      <w:pPr>
        <w:spacing w:line="360" w:lineRule="auto"/>
        <w:ind w:firstLine="562" w:firstLineChars="200"/>
        <w:jc w:val="both"/>
        <w:outlineLvl w:val="2"/>
        <w:rPr>
          <w:rFonts w:hint="eastAsia" w:ascii="黑体" w:hAnsi="黑体" w:eastAsia="黑体" w:cs="黑体"/>
          <w:b/>
          <w:bCs/>
          <w:color w:val="auto"/>
          <w:sz w:val="28"/>
          <w:szCs w:val="28"/>
          <w:highlight w:val="none"/>
          <w:lang w:eastAsia="zh-CN"/>
        </w:rPr>
      </w:pPr>
      <w:r>
        <w:rPr>
          <w:rFonts w:hint="eastAsia" w:ascii="黑体" w:hAnsi="黑体" w:eastAsia="黑体" w:cs="黑体"/>
          <w:b/>
          <w:bCs/>
          <w:color w:val="auto"/>
          <w:sz w:val="28"/>
          <w:szCs w:val="28"/>
          <w:highlight w:val="none"/>
          <w:lang w:eastAsia="zh-CN"/>
        </w:rPr>
        <w:t>附件一：《小微企业声明函》（若有）</w:t>
      </w:r>
    </w:p>
    <w:p>
      <w:pPr>
        <w:spacing w:line="360" w:lineRule="auto"/>
        <w:ind w:firstLine="482" w:firstLineChars="200"/>
        <w:jc w:val="center"/>
        <w:outlineLvl w:val="9"/>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lang w:eastAsia="zh-CN"/>
        </w:rPr>
        <w:t>（</w:t>
      </w:r>
      <w:r>
        <w:rPr>
          <w:rFonts w:hint="eastAsia" w:ascii="黑体" w:hAnsi="黑体" w:eastAsia="黑体" w:cs="黑体"/>
          <w:b/>
          <w:bCs/>
          <w:color w:val="auto"/>
          <w:sz w:val="24"/>
          <w:szCs w:val="24"/>
          <w:highlight w:val="none"/>
          <w:lang w:val="en-US" w:eastAsia="zh-CN"/>
        </w:rPr>
        <w:t>1</w:t>
      </w:r>
      <w:r>
        <w:rPr>
          <w:rFonts w:hint="eastAsia" w:ascii="黑体" w:hAnsi="黑体" w:eastAsia="黑体" w:cs="黑体"/>
          <w:b/>
          <w:bCs/>
          <w:color w:val="auto"/>
          <w:sz w:val="24"/>
          <w:szCs w:val="24"/>
          <w:highlight w:val="none"/>
          <w:lang w:eastAsia="zh-CN"/>
        </w:rPr>
        <w:t>）</w:t>
      </w:r>
      <w:r>
        <w:rPr>
          <w:rFonts w:hint="eastAsia" w:ascii="黑体" w:hAnsi="黑体" w:eastAsia="黑体" w:cs="黑体"/>
          <w:b/>
          <w:bCs/>
          <w:color w:val="auto"/>
          <w:sz w:val="24"/>
          <w:szCs w:val="24"/>
          <w:highlight w:val="none"/>
        </w:rPr>
        <w:t>中小企业声明函</w:t>
      </w:r>
    </w:p>
    <w:p>
      <w:pPr>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（本公司（联合体）郑重声明，根据《政府采购促进中小企业发展管理办法》（财库﹝2020﹞46 号）的规定，本公司 （联合体）参加</w:t>
      </w:r>
      <w:r>
        <w:rPr>
          <w:rFonts w:hint="eastAsia" w:ascii="黑体" w:hAnsi="黑体" w:eastAsia="黑体" w:cs="黑体"/>
          <w:color w:val="auto"/>
          <w:sz w:val="24"/>
          <w:szCs w:val="24"/>
          <w:highlight w:val="none"/>
          <w:u w:val="single"/>
        </w:rPr>
        <w:t>（单位名称）</w:t>
      </w:r>
      <w:r>
        <w:rPr>
          <w:rFonts w:hint="eastAsia" w:ascii="黑体" w:hAnsi="黑体" w:eastAsia="黑体" w:cs="黑体"/>
          <w:color w:val="auto"/>
          <w:sz w:val="24"/>
          <w:szCs w:val="24"/>
          <w:highlight w:val="none"/>
        </w:rPr>
        <w:t>的</w:t>
      </w:r>
      <w:r>
        <w:rPr>
          <w:rFonts w:hint="eastAsia" w:ascii="黑体" w:hAnsi="黑体" w:eastAsia="黑体" w:cs="黑体"/>
          <w:color w:val="auto"/>
          <w:sz w:val="24"/>
          <w:szCs w:val="24"/>
          <w:highlight w:val="none"/>
          <w:u w:val="single"/>
        </w:rPr>
        <w:t>（项目名称）</w:t>
      </w:r>
      <w:r>
        <w:rPr>
          <w:rFonts w:hint="eastAsia" w:ascii="黑体" w:hAnsi="黑体" w:eastAsia="黑体" w:cs="黑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1.</w:t>
      </w:r>
      <w:r>
        <w:rPr>
          <w:rFonts w:hint="eastAsia" w:ascii="黑体" w:hAnsi="黑体" w:eastAsia="黑体" w:cs="黑体"/>
          <w:color w:val="auto"/>
          <w:sz w:val="24"/>
          <w:szCs w:val="24"/>
          <w:highlight w:val="none"/>
          <w:u w:val="single"/>
        </w:rPr>
        <w:t xml:space="preserve"> （标的名称） </w:t>
      </w:r>
      <w:r>
        <w:rPr>
          <w:rFonts w:hint="eastAsia" w:ascii="黑体" w:hAnsi="黑体" w:eastAsia="黑体" w:cs="黑体"/>
          <w:color w:val="auto"/>
          <w:sz w:val="24"/>
          <w:szCs w:val="24"/>
          <w:highlight w:val="none"/>
        </w:rPr>
        <w:t>，属于</w:t>
      </w:r>
      <w:r>
        <w:rPr>
          <w:rFonts w:hint="eastAsia" w:ascii="黑体" w:hAnsi="黑体" w:eastAsia="黑体" w:cs="黑体"/>
          <w:color w:val="auto"/>
          <w:sz w:val="24"/>
          <w:szCs w:val="24"/>
          <w:highlight w:val="none"/>
          <w:u w:val="single"/>
        </w:rPr>
        <w:t>（采购文件中明确的所属行业）</w:t>
      </w:r>
      <w:r>
        <w:rPr>
          <w:rFonts w:hint="eastAsia" w:ascii="黑体" w:hAnsi="黑体" w:eastAsia="黑体" w:cs="黑体"/>
          <w:color w:val="auto"/>
          <w:sz w:val="24"/>
          <w:szCs w:val="24"/>
          <w:highlight w:val="none"/>
        </w:rPr>
        <w:t>承建（承接）企业为</w:t>
      </w:r>
      <w:r>
        <w:rPr>
          <w:rFonts w:hint="eastAsia" w:ascii="黑体" w:hAnsi="黑体" w:eastAsia="黑体" w:cs="黑体"/>
          <w:color w:val="auto"/>
          <w:sz w:val="24"/>
          <w:szCs w:val="24"/>
          <w:highlight w:val="none"/>
          <w:u w:val="single"/>
        </w:rPr>
        <w:t>（企业名称）</w:t>
      </w:r>
      <w:r>
        <w:rPr>
          <w:rFonts w:hint="eastAsia" w:ascii="黑体" w:hAnsi="黑体" w:eastAsia="黑体" w:cs="黑体"/>
          <w:color w:val="auto"/>
          <w:sz w:val="24"/>
          <w:szCs w:val="24"/>
          <w:highlight w:val="none"/>
        </w:rPr>
        <w:t>，从业人员</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人，营业收入为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万元，资产总额为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万元 ，属于（</w:t>
      </w:r>
      <w:r>
        <w:rPr>
          <w:rFonts w:hint="eastAsia" w:ascii="黑体" w:hAnsi="黑体" w:eastAsia="黑体" w:cs="黑体"/>
          <w:color w:val="auto"/>
          <w:sz w:val="24"/>
          <w:szCs w:val="24"/>
          <w:highlight w:val="none"/>
          <w:u w:val="single"/>
        </w:rPr>
        <w:t>中型企业、 小型企业、微型企业</w:t>
      </w:r>
      <w:r>
        <w:rPr>
          <w:rFonts w:hint="eastAsia" w:ascii="黑体" w:hAnsi="黑体" w:eastAsia="黑体" w:cs="黑体"/>
          <w:color w:val="auto"/>
          <w:sz w:val="24"/>
          <w:szCs w:val="24"/>
          <w:highlight w:val="none"/>
        </w:rPr>
        <w:t>）；</w:t>
      </w:r>
    </w:p>
    <w:p>
      <w:pPr>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2.</w:t>
      </w:r>
      <w:r>
        <w:rPr>
          <w:rFonts w:hint="eastAsia" w:ascii="黑体" w:hAnsi="黑体" w:eastAsia="黑体" w:cs="黑体"/>
          <w:color w:val="auto"/>
          <w:sz w:val="24"/>
          <w:szCs w:val="24"/>
          <w:highlight w:val="none"/>
          <w:u w:val="single"/>
        </w:rPr>
        <w:t xml:space="preserve"> （标的名称） </w:t>
      </w:r>
      <w:r>
        <w:rPr>
          <w:rFonts w:hint="eastAsia" w:ascii="黑体" w:hAnsi="黑体" w:eastAsia="黑体" w:cs="黑体"/>
          <w:color w:val="auto"/>
          <w:sz w:val="24"/>
          <w:szCs w:val="24"/>
          <w:highlight w:val="none"/>
        </w:rPr>
        <w:t>，属于</w:t>
      </w:r>
      <w:r>
        <w:rPr>
          <w:rFonts w:hint="eastAsia" w:ascii="黑体" w:hAnsi="黑体" w:eastAsia="黑体" w:cs="黑体"/>
          <w:color w:val="auto"/>
          <w:sz w:val="24"/>
          <w:szCs w:val="24"/>
          <w:highlight w:val="none"/>
          <w:u w:val="single"/>
        </w:rPr>
        <w:t>（采购文件中明确的所属行业）</w:t>
      </w:r>
      <w:r>
        <w:rPr>
          <w:rFonts w:hint="eastAsia" w:ascii="黑体" w:hAnsi="黑体" w:eastAsia="黑体" w:cs="黑体"/>
          <w:color w:val="auto"/>
          <w:sz w:val="24"/>
          <w:szCs w:val="24"/>
          <w:highlight w:val="none"/>
        </w:rPr>
        <w:t>；承建（承接）企业为</w:t>
      </w:r>
      <w:r>
        <w:rPr>
          <w:rFonts w:hint="eastAsia" w:ascii="黑体" w:hAnsi="黑体" w:eastAsia="黑体" w:cs="黑体"/>
          <w:color w:val="auto"/>
          <w:sz w:val="24"/>
          <w:szCs w:val="24"/>
          <w:highlight w:val="none"/>
          <w:u w:val="single"/>
        </w:rPr>
        <w:t>（企业名称）</w:t>
      </w:r>
      <w:r>
        <w:rPr>
          <w:rFonts w:hint="eastAsia" w:ascii="黑体" w:hAnsi="黑体" w:eastAsia="黑体" w:cs="黑体"/>
          <w:color w:val="auto"/>
          <w:sz w:val="24"/>
          <w:szCs w:val="24"/>
          <w:highlight w:val="none"/>
        </w:rPr>
        <w:t>，从业人员</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人，营业收入为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万元，资产总额为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万元，属于（</w:t>
      </w:r>
      <w:r>
        <w:rPr>
          <w:rFonts w:hint="eastAsia" w:ascii="黑体" w:hAnsi="黑体" w:eastAsia="黑体" w:cs="黑体"/>
          <w:color w:val="auto"/>
          <w:sz w:val="24"/>
          <w:szCs w:val="24"/>
          <w:highlight w:val="none"/>
          <w:u w:val="single"/>
        </w:rPr>
        <w:t>中型企业、 小型企业、微型企业</w:t>
      </w:r>
      <w:r>
        <w:rPr>
          <w:rFonts w:hint="eastAsia" w:ascii="黑体" w:hAnsi="黑体" w:eastAsia="黑体" w:cs="黑体"/>
          <w:color w:val="auto"/>
          <w:sz w:val="24"/>
          <w:szCs w:val="24"/>
          <w:highlight w:val="none"/>
        </w:rPr>
        <w:t>）；</w:t>
      </w:r>
    </w:p>
    <w:p>
      <w:pPr>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 </w:t>
      </w:r>
    </w:p>
    <w:p>
      <w:pPr>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以上企业，不属于大企业的分支机构，不存在控股股东为大企业的情形，也不存在与大企业的负责人为同一人的情形。 </w:t>
      </w:r>
    </w:p>
    <w:p>
      <w:pPr>
        <w:spacing w:line="360" w:lineRule="auto"/>
        <w:ind w:firstLine="480" w:firstLineChars="200"/>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本企业对上述声明内容的真实性负责。如有虚假，将依法承担相应责任。 </w:t>
      </w:r>
    </w:p>
    <w:p>
      <w:pPr>
        <w:spacing w:before="156" w:beforeLines="50" w:after="156" w:afterLines="50" w:line="360" w:lineRule="auto"/>
        <w:rPr>
          <w:rFonts w:hint="eastAsia" w:ascii="黑体" w:hAnsi="黑体" w:eastAsia="黑体" w:cs="黑体"/>
          <w:color w:val="auto"/>
          <w:spacing w:val="4"/>
          <w:sz w:val="24"/>
          <w:szCs w:val="24"/>
          <w:highlight w:val="none"/>
        </w:rPr>
      </w:pPr>
      <w:r>
        <w:rPr>
          <w:rFonts w:hint="eastAsia" w:ascii="黑体" w:hAnsi="黑体" w:eastAsia="黑体" w:cs="黑体"/>
          <w:color w:val="auto"/>
          <w:spacing w:val="4"/>
          <w:sz w:val="24"/>
          <w:szCs w:val="24"/>
          <w:highlight w:val="none"/>
        </w:rPr>
        <w:t xml:space="preserve"> </w:t>
      </w:r>
      <w:r>
        <w:rPr>
          <w:rFonts w:hint="eastAsia" w:ascii="黑体" w:hAnsi="黑体" w:eastAsia="黑体" w:cs="黑体"/>
          <w:color w:val="auto"/>
          <w:spacing w:val="4"/>
          <w:sz w:val="24"/>
          <w:szCs w:val="24"/>
          <w:highlight w:val="none"/>
          <w:lang w:val="en-US" w:eastAsia="zh-CN"/>
        </w:rPr>
        <w:t xml:space="preserve">                                   </w:t>
      </w:r>
      <w:r>
        <w:rPr>
          <w:rFonts w:hint="eastAsia" w:ascii="黑体" w:hAnsi="黑体" w:eastAsia="黑体" w:cs="黑体"/>
          <w:color w:val="auto"/>
          <w:spacing w:val="4"/>
          <w:sz w:val="24"/>
          <w:szCs w:val="24"/>
          <w:highlight w:val="none"/>
        </w:rPr>
        <w:t xml:space="preserve"> </w:t>
      </w:r>
      <w:r>
        <w:rPr>
          <w:rFonts w:hint="eastAsia" w:ascii="黑体" w:hAnsi="黑体" w:eastAsia="黑体" w:cs="黑体"/>
          <w:color w:val="auto"/>
          <w:spacing w:val="4"/>
          <w:sz w:val="24"/>
          <w:szCs w:val="24"/>
          <w:highlight w:val="none"/>
          <w:lang w:eastAsia="zh-CN"/>
        </w:rPr>
        <w:t>投标单位</w:t>
      </w:r>
      <w:r>
        <w:rPr>
          <w:rFonts w:hint="eastAsia" w:ascii="黑体" w:hAnsi="黑体" w:eastAsia="黑体" w:cs="黑体"/>
          <w:color w:val="auto"/>
          <w:spacing w:val="4"/>
          <w:sz w:val="24"/>
          <w:szCs w:val="24"/>
          <w:highlight w:val="none"/>
        </w:rPr>
        <w:t>名称：</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单位公章）</w:t>
      </w:r>
    </w:p>
    <w:p>
      <w:pPr>
        <w:adjustRightInd w:val="0"/>
        <w:snapToGrid w:val="0"/>
        <w:spacing w:line="360" w:lineRule="auto"/>
        <w:ind w:right="42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日</w:t>
      </w: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期：    年   月   日</w:t>
      </w:r>
    </w:p>
    <w:p>
      <w:pPr>
        <w:spacing w:line="480" w:lineRule="exact"/>
        <w:rPr>
          <w:rFonts w:hint="eastAsia" w:ascii="黑体" w:hAnsi="黑体" w:eastAsia="黑体" w:cs="黑体"/>
          <w:color w:val="auto"/>
          <w:sz w:val="28"/>
          <w:szCs w:val="28"/>
          <w:highlight w:val="none"/>
        </w:rPr>
      </w:pPr>
    </w:p>
    <w:p>
      <w:pPr>
        <w:outlineLvl w:val="9"/>
        <w:rPr>
          <w:rFonts w:hint="eastAsia" w:ascii="黑体" w:hAnsi="黑体" w:eastAsia="黑体" w:cs="黑体"/>
          <w:color w:val="auto"/>
          <w:sz w:val="28"/>
          <w:szCs w:val="28"/>
          <w:highlight w:val="none"/>
        </w:rPr>
      </w:pPr>
    </w:p>
    <w:p>
      <w:pPr>
        <w:rPr>
          <w:rFonts w:hint="eastAsia" w:ascii="黑体" w:hAnsi="黑体" w:eastAsia="黑体" w:cs="黑体"/>
        </w:rPr>
      </w:pPr>
    </w:p>
    <w:p>
      <w:pPr>
        <w:rPr>
          <w:rFonts w:hint="eastAsia" w:ascii="黑体" w:hAnsi="黑体" w:eastAsia="黑体" w:cs="黑体"/>
          <w:sz w:val="21"/>
          <w:szCs w:val="22"/>
        </w:rPr>
      </w:pPr>
      <w:r>
        <w:rPr>
          <w:rFonts w:hint="eastAsia" w:ascii="黑体" w:hAnsi="黑体" w:eastAsia="黑体" w:cs="黑体"/>
          <w:sz w:val="21"/>
          <w:szCs w:val="22"/>
        </w:rPr>
        <w:t>从业人员、营业收入、资产总额填报上一年度数据，无上一年度数据的新成立企业可不填报。</w:t>
      </w:r>
    </w:p>
    <w:p>
      <w:pPr>
        <w:outlineLvl w:val="9"/>
        <w:rPr>
          <w:rFonts w:hint="eastAsia" w:ascii="黑体" w:hAnsi="黑体" w:eastAsia="黑体" w:cs="黑体"/>
        </w:rPr>
      </w:pPr>
    </w:p>
    <w:p>
      <w:pPr>
        <w:rPr>
          <w:rFonts w:hint="eastAsia" w:ascii="黑体" w:hAnsi="黑体" w:eastAsia="黑体" w:cs="黑体"/>
          <w:b/>
          <w:color w:val="auto"/>
          <w:sz w:val="28"/>
          <w:szCs w:val="28"/>
          <w:highlight w:val="none"/>
          <w:lang w:eastAsia="zh-CN"/>
        </w:rPr>
      </w:pPr>
      <w:r>
        <w:rPr>
          <w:rFonts w:hint="eastAsia" w:ascii="黑体" w:hAnsi="黑体" w:eastAsia="黑体" w:cs="黑体"/>
          <w:b/>
          <w:color w:val="auto"/>
          <w:sz w:val="28"/>
          <w:szCs w:val="28"/>
          <w:highlight w:val="none"/>
          <w:lang w:eastAsia="zh-CN"/>
        </w:rPr>
        <w:br w:type="page"/>
      </w:r>
    </w:p>
    <w:p>
      <w:pPr>
        <w:pStyle w:val="42"/>
        <w:spacing w:line="360" w:lineRule="auto"/>
        <w:ind w:firstLine="174" w:firstLineChars="62"/>
        <w:jc w:val="both"/>
        <w:outlineLvl w:val="2"/>
        <w:rPr>
          <w:rFonts w:hint="eastAsia" w:ascii="黑体" w:hAnsi="黑体" w:eastAsia="黑体" w:cs="黑体"/>
          <w:b/>
          <w:bCs/>
          <w:color w:val="auto"/>
          <w:szCs w:val="28"/>
          <w:highlight w:val="none"/>
          <w:lang w:val="en-US" w:eastAsia="zh-CN"/>
        </w:rPr>
      </w:pPr>
      <w:r>
        <w:rPr>
          <w:rFonts w:hint="eastAsia" w:ascii="黑体" w:hAnsi="黑体" w:eastAsia="黑体" w:cs="黑体"/>
          <w:b/>
          <w:bCs/>
          <w:color w:val="auto"/>
          <w:szCs w:val="28"/>
          <w:highlight w:val="none"/>
          <w:lang w:val="en-US" w:eastAsia="zh-CN"/>
        </w:rPr>
        <w:t>附件二：《残疾人福利性单位声明函》（若有）</w:t>
      </w:r>
    </w:p>
    <w:p>
      <w:pPr>
        <w:spacing w:line="500" w:lineRule="exact"/>
        <w:jc w:val="center"/>
        <w:outlineLvl w:val="9"/>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残疾人福利性单位声明函</w:t>
      </w:r>
    </w:p>
    <w:p>
      <w:pPr>
        <w:spacing w:line="500" w:lineRule="exact"/>
        <w:jc w:val="center"/>
        <w:outlineLvl w:val="9"/>
        <w:rPr>
          <w:rFonts w:hint="eastAsia" w:ascii="黑体" w:hAnsi="黑体" w:eastAsia="黑体" w:cs="黑体"/>
          <w:b/>
          <w:color w:val="auto"/>
          <w:sz w:val="28"/>
          <w:szCs w:val="28"/>
          <w:highlight w:val="none"/>
        </w:rPr>
      </w:pPr>
    </w:p>
    <w:p>
      <w:pPr>
        <w:spacing w:line="360" w:lineRule="auto"/>
        <w:ind w:firstLine="480" w:firstLineChars="20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6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本单位对上述声明的真实性负责。如有虚假，将依法承担相应责任。</w:t>
      </w:r>
    </w:p>
    <w:p>
      <w:pPr>
        <w:spacing w:line="360" w:lineRule="auto"/>
        <w:jc w:val="center"/>
        <w:rPr>
          <w:rFonts w:hint="eastAsia" w:ascii="黑体" w:hAnsi="黑体" w:eastAsia="黑体" w:cs="黑体"/>
          <w:color w:val="auto"/>
          <w:sz w:val="24"/>
          <w:szCs w:val="24"/>
          <w:highlight w:val="none"/>
        </w:rPr>
      </w:pPr>
    </w:p>
    <w:p>
      <w:pPr>
        <w:pStyle w:val="41"/>
        <w:rPr>
          <w:rFonts w:hint="eastAsia" w:ascii="黑体" w:hAnsi="黑体" w:eastAsia="黑体" w:cs="黑体"/>
          <w:sz w:val="24"/>
          <w:szCs w:val="24"/>
        </w:rPr>
      </w:pPr>
    </w:p>
    <w:p>
      <w:pPr>
        <w:spacing w:before="156" w:beforeLines="50" w:after="156" w:afterLines="50" w:line="360" w:lineRule="auto"/>
        <w:ind w:firstLine="4216" w:firstLineChars="1700"/>
        <w:rPr>
          <w:rFonts w:hint="eastAsia" w:ascii="黑体" w:hAnsi="黑体" w:eastAsia="黑体" w:cs="黑体"/>
          <w:color w:val="auto"/>
          <w:spacing w:val="4"/>
          <w:sz w:val="24"/>
          <w:szCs w:val="24"/>
          <w:highlight w:val="none"/>
        </w:rPr>
      </w:pPr>
      <w:r>
        <w:rPr>
          <w:rFonts w:hint="eastAsia" w:ascii="黑体" w:hAnsi="黑体" w:eastAsia="黑体" w:cs="黑体"/>
          <w:color w:val="auto"/>
          <w:spacing w:val="4"/>
          <w:sz w:val="24"/>
          <w:szCs w:val="24"/>
          <w:highlight w:val="none"/>
          <w:lang w:eastAsia="zh-CN"/>
        </w:rPr>
        <w:t>投标单位</w:t>
      </w:r>
      <w:r>
        <w:rPr>
          <w:rFonts w:hint="eastAsia" w:ascii="黑体" w:hAnsi="黑体" w:eastAsia="黑体" w:cs="黑体"/>
          <w:color w:val="auto"/>
          <w:spacing w:val="4"/>
          <w:sz w:val="24"/>
          <w:szCs w:val="24"/>
          <w:highlight w:val="none"/>
        </w:rPr>
        <w:t>名称：</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单位公章）</w:t>
      </w:r>
    </w:p>
    <w:p>
      <w:pPr>
        <w:adjustRightInd w:val="0"/>
        <w:snapToGrid w:val="0"/>
        <w:spacing w:line="360" w:lineRule="auto"/>
        <w:ind w:right="42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日</w:t>
      </w: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rPr>
        <w:t>期：    年   月   日</w:t>
      </w:r>
    </w:p>
    <w:p>
      <w:pPr>
        <w:widowControl/>
        <w:jc w:val="left"/>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1"/>
        <w:rPr>
          <w:rFonts w:hint="eastAsia" w:ascii="黑体" w:hAnsi="黑体" w:eastAsia="黑体" w:cs="黑体"/>
          <w:b/>
          <w:color w:val="auto"/>
          <w:sz w:val="44"/>
          <w:szCs w:val="44"/>
          <w:highlight w:val="none"/>
          <w:lang w:val="en-US" w:eastAsia="zh-CN"/>
        </w:rPr>
      </w:pPr>
    </w:p>
    <w:p>
      <w:pPr>
        <w:pStyle w:val="42"/>
        <w:spacing w:line="360" w:lineRule="auto"/>
        <w:ind w:left="0" w:leftChars="0" w:firstLine="0" w:firstLineChars="0"/>
        <w:outlineLvl w:val="2"/>
        <w:rPr>
          <w:rFonts w:hint="eastAsia" w:ascii="黑体" w:hAnsi="黑体" w:eastAsia="黑体" w:cs="黑体"/>
          <w:b/>
          <w:bCs/>
          <w:color w:val="auto"/>
          <w:szCs w:val="28"/>
          <w:highlight w:val="none"/>
          <w:lang w:eastAsia="zh-CN"/>
        </w:rPr>
      </w:pPr>
      <w:bookmarkStart w:id="96" w:name="_Toc23813"/>
      <w:r>
        <w:rPr>
          <w:rFonts w:hint="eastAsia" w:ascii="黑体" w:hAnsi="黑体" w:eastAsia="黑体" w:cs="黑体"/>
          <w:b/>
          <w:bCs/>
          <w:color w:val="auto"/>
          <w:szCs w:val="28"/>
          <w:highlight w:val="none"/>
          <w:lang w:val="en-US" w:eastAsia="zh-CN"/>
        </w:rPr>
        <w:t>2.</w:t>
      </w:r>
      <w:r>
        <w:rPr>
          <w:rFonts w:hint="eastAsia" w:ascii="黑体" w:hAnsi="黑体" w:eastAsia="黑体" w:cs="黑体"/>
          <w:b/>
          <w:bCs/>
          <w:color w:val="auto"/>
          <w:szCs w:val="28"/>
          <w:highlight w:val="none"/>
          <w:lang w:eastAsia="zh-CN"/>
        </w:rPr>
        <w:t>技术文件</w:t>
      </w:r>
      <w:bookmarkEnd w:id="96"/>
    </w:p>
    <w:p>
      <w:pPr>
        <w:spacing w:line="360" w:lineRule="auto"/>
        <w:jc w:val="center"/>
        <w:outlineLvl w:val="9"/>
        <w:rPr>
          <w:rFonts w:hint="eastAsia" w:ascii="黑体" w:hAnsi="黑体" w:eastAsia="黑体" w:cs="黑体"/>
          <w:b/>
          <w:bCs/>
          <w:color w:val="auto"/>
          <w:sz w:val="28"/>
          <w:szCs w:val="28"/>
          <w:highlight w:val="none"/>
        </w:rPr>
      </w:pPr>
      <w:bookmarkStart w:id="97" w:name="_Toc11620"/>
      <w:r>
        <w:rPr>
          <w:rFonts w:hint="eastAsia" w:ascii="黑体" w:hAnsi="黑体" w:eastAsia="黑体" w:cs="黑体"/>
          <w:b/>
          <w:bCs/>
          <w:color w:val="auto"/>
          <w:sz w:val="28"/>
          <w:szCs w:val="28"/>
          <w:highlight w:val="none"/>
        </w:rPr>
        <w:t>（</w:t>
      </w:r>
      <w:r>
        <w:rPr>
          <w:rFonts w:hint="eastAsia" w:ascii="黑体" w:hAnsi="黑体" w:eastAsia="黑体" w:cs="黑体"/>
          <w:b/>
          <w:bCs/>
          <w:color w:val="auto"/>
          <w:sz w:val="28"/>
          <w:szCs w:val="28"/>
          <w:highlight w:val="none"/>
          <w:lang w:val="en-US" w:eastAsia="zh-CN"/>
        </w:rPr>
        <w:t>供应商</w:t>
      </w:r>
      <w:r>
        <w:rPr>
          <w:rFonts w:hint="eastAsia" w:ascii="黑体" w:hAnsi="黑体" w:eastAsia="黑体" w:cs="黑体"/>
          <w:b/>
          <w:bCs/>
          <w:color w:val="auto"/>
          <w:sz w:val="28"/>
          <w:szCs w:val="28"/>
          <w:highlight w:val="none"/>
          <w:lang w:eastAsia="zh-CN"/>
        </w:rPr>
        <w:t>根据评标办法细则格式自拟、自行阐述</w:t>
      </w:r>
      <w:r>
        <w:rPr>
          <w:rFonts w:hint="eastAsia" w:ascii="黑体" w:hAnsi="黑体" w:eastAsia="黑体" w:cs="黑体"/>
          <w:b/>
          <w:bCs/>
          <w:color w:val="auto"/>
          <w:sz w:val="28"/>
          <w:szCs w:val="28"/>
          <w:highlight w:val="none"/>
        </w:rPr>
        <w:t>）</w:t>
      </w:r>
      <w:bookmarkEnd w:id="97"/>
    </w:p>
    <w:p>
      <w:pPr>
        <w:pStyle w:val="41"/>
        <w:rPr>
          <w:rFonts w:hint="eastAsia" w:ascii="黑体" w:hAnsi="黑体" w:eastAsia="黑体" w:cs="黑体"/>
          <w:b/>
          <w:color w:val="auto"/>
          <w:sz w:val="44"/>
          <w:szCs w:val="44"/>
          <w:highlight w:val="none"/>
        </w:rPr>
      </w:pPr>
    </w:p>
    <w:p>
      <w:pPr>
        <w:pStyle w:val="7"/>
        <w:numPr>
          <w:ilvl w:val="0"/>
          <w:numId w:val="0"/>
        </w:numPr>
        <w:rPr>
          <w:rFonts w:hint="eastAsia" w:ascii="黑体" w:hAnsi="黑体" w:eastAsia="黑体" w:cs="黑体"/>
          <w:lang w:val="en-US" w:eastAsia="zh-CN"/>
        </w:rPr>
      </w:pPr>
    </w:p>
    <w:p>
      <w:pPr>
        <w:rPr>
          <w:rFonts w:hint="eastAsia" w:ascii="黑体" w:hAnsi="黑体" w:eastAsia="黑体" w:cs="黑体"/>
          <w:b/>
          <w:color w:val="auto"/>
          <w:highlight w:val="none"/>
          <w:lang w:val="en-US" w:eastAsia="zh-CN"/>
        </w:rPr>
      </w:pPr>
    </w:p>
    <w:p>
      <w:pPr>
        <w:spacing w:line="360" w:lineRule="auto"/>
        <w:rPr>
          <w:rFonts w:hint="eastAsia" w:ascii="黑体" w:hAnsi="黑体" w:eastAsia="黑体" w:cs="黑体"/>
          <w:b/>
          <w:color w:val="auto"/>
          <w:highlight w:val="none"/>
          <w:lang w:val="en-US" w:eastAsia="zh-CN"/>
        </w:rPr>
      </w:pPr>
    </w:p>
    <w:p>
      <w:pPr>
        <w:numPr>
          <w:ilvl w:val="0"/>
          <w:numId w:val="0"/>
        </w:numPr>
        <w:spacing w:line="360" w:lineRule="auto"/>
        <w:jc w:val="left"/>
        <w:outlineLvl w:val="2"/>
        <w:rPr>
          <w:rFonts w:hint="eastAsia" w:ascii="黑体" w:hAnsi="黑体" w:eastAsia="黑体" w:cs="黑体"/>
          <w:color w:val="auto"/>
          <w:highlight w:val="none"/>
        </w:rPr>
      </w:pPr>
      <w:r>
        <w:rPr>
          <w:rFonts w:hint="eastAsia" w:ascii="黑体" w:hAnsi="黑体" w:eastAsia="黑体" w:cs="黑体"/>
          <w:b/>
          <w:color w:val="auto"/>
          <w:highlight w:val="none"/>
          <w:lang w:val="en-US" w:eastAsia="zh-CN"/>
        </w:rPr>
        <w:br w:type="page"/>
      </w:r>
      <w:bookmarkStart w:id="98" w:name="_Toc7761"/>
      <w:r>
        <w:rPr>
          <w:rFonts w:hint="eastAsia" w:ascii="黑体" w:hAnsi="黑体" w:eastAsia="黑体" w:cs="黑体"/>
          <w:b/>
          <w:bCs/>
          <w:color w:val="auto"/>
          <w:kern w:val="2"/>
          <w:sz w:val="28"/>
          <w:szCs w:val="28"/>
          <w:highlight w:val="none"/>
          <w:lang w:val="en-US" w:eastAsia="zh-CN" w:bidi="ar-SA"/>
        </w:rPr>
        <w:t>3</w:t>
      </w:r>
      <w:r>
        <w:rPr>
          <w:rFonts w:hint="eastAsia" w:ascii="黑体" w:hAnsi="黑体" w:eastAsia="黑体" w:cs="黑体"/>
          <w:b/>
          <w:color w:val="auto"/>
          <w:highlight w:val="none"/>
        </w:rPr>
        <w:t>.</w:t>
      </w:r>
      <w:r>
        <w:rPr>
          <w:rFonts w:hint="eastAsia" w:ascii="黑体" w:hAnsi="黑体" w:eastAsia="黑体" w:cs="黑体"/>
          <w:b/>
          <w:bCs/>
          <w:color w:val="auto"/>
          <w:kern w:val="2"/>
          <w:sz w:val="28"/>
          <w:szCs w:val="28"/>
          <w:highlight w:val="none"/>
          <w:lang w:val="zh-CN" w:eastAsia="zh-CN" w:bidi="ar-SA"/>
        </w:rPr>
        <w:t>提供20</w:t>
      </w:r>
      <w:r>
        <w:rPr>
          <w:rFonts w:hint="eastAsia" w:ascii="黑体" w:hAnsi="黑体" w:eastAsia="黑体" w:cs="黑体"/>
          <w:b/>
          <w:bCs/>
          <w:color w:val="auto"/>
          <w:kern w:val="2"/>
          <w:sz w:val="28"/>
          <w:szCs w:val="28"/>
          <w:highlight w:val="none"/>
          <w:lang w:val="en-US" w:eastAsia="zh-CN" w:bidi="ar-SA"/>
        </w:rPr>
        <w:t>19</w:t>
      </w:r>
      <w:r>
        <w:rPr>
          <w:rFonts w:hint="eastAsia" w:ascii="黑体" w:hAnsi="黑体" w:eastAsia="黑体" w:cs="黑体"/>
          <w:b/>
          <w:bCs/>
          <w:color w:val="auto"/>
          <w:kern w:val="2"/>
          <w:sz w:val="28"/>
          <w:szCs w:val="28"/>
          <w:highlight w:val="none"/>
          <w:lang w:val="zh-CN" w:eastAsia="zh-CN" w:bidi="ar-SA"/>
        </w:rPr>
        <w:t>年</w:t>
      </w:r>
      <w:r>
        <w:rPr>
          <w:rFonts w:hint="eastAsia" w:ascii="黑体" w:hAnsi="黑体" w:eastAsia="黑体" w:cs="黑体"/>
          <w:b/>
          <w:bCs/>
          <w:color w:val="auto"/>
          <w:kern w:val="2"/>
          <w:sz w:val="28"/>
          <w:szCs w:val="28"/>
          <w:highlight w:val="none"/>
          <w:lang w:val="en-US" w:eastAsia="zh-CN" w:bidi="ar-SA"/>
        </w:rPr>
        <w:t>7月1日</w:t>
      </w:r>
      <w:r>
        <w:rPr>
          <w:rFonts w:hint="eastAsia" w:ascii="黑体" w:hAnsi="黑体" w:eastAsia="黑体" w:cs="黑体"/>
          <w:b/>
          <w:bCs/>
          <w:color w:val="auto"/>
          <w:kern w:val="2"/>
          <w:sz w:val="28"/>
          <w:szCs w:val="28"/>
          <w:highlight w:val="none"/>
          <w:lang w:val="zh-CN" w:eastAsia="zh-CN" w:bidi="ar-SA"/>
        </w:rPr>
        <w:t>至今</w:t>
      </w:r>
      <w:r>
        <w:rPr>
          <w:rFonts w:hint="eastAsia" w:ascii="黑体" w:hAnsi="黑体" w:eastAsia="黑体" w:cs="黑体"/>
          <w:b/>
          <w:bCs/>
          <w:color w:val="auto"/>
          <w:kern w:val="2"/>
          <w:sz w:val="28"/>
          <w:szCs w:val="28"/>
          <w:highlight w:val="none"/>
          <w:lang w:val="en-US" w:eastAsia="zh-CN" w:bidi="ar-SA"/>
        </w:rPr>
        <w:t>完成的类似业绩证明材料</w:t>
      </w:r>
      <w:bookmarkEnd w:id="98"/>
    </w:p>
    <w:p>
      <w:pPr>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41"/>
        <w:spacing w:line="360" w:lineRule="auto"/>
        <w:ind w:left="0" w:leftChars="0" w:firstLine="0" w:firstLineChars="0"/>
        <w:rPr>
          <w:rFonts w:hint="eastAsia" w:ascii="黑体" w:hAnsi="黑体" w:eastAsia="黑体" w:cs="黑体"/>
          <w:b w:val="0"/>
          <w:bCs w:val="0"/>
          <w:sz w:val="24"/>
          <w:szCs w:val="24"/>
          <w:highlight w:val="none"/>
          <w:lang w:val="en-US" w:eastAsia="zh-CN"/>
        </w:rPr>
      </w:pPr>
    </w:p>
    <w:sectPr>
      <w:headerReference r:id="rId19" w:type="default"/>
      <w:footerReference r:id="rId20" w:type="default"/>
      <w:pgSz w:w="11849" w:h="16781"/>
      <w:pgMar w:top="1440" w:right="1083" w:bottom="1440" w:left="1083" w:header="720" w:footer="72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Arial Unicode MS">
    <w:altName w:val="宋体"/>
    <w:panose1 w:val="020B0604020202020204"/>
    <w:charset w:val="86"/>
    <w:family w:val="roman"/>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panose1 w:val="020B0504020202030204"/>
    <w:charset w:val="00"/>
    <w:family w:val="auto"/>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jc w:val="center"/>
      <w:rPr>
        <w:rFonts w:hint="eastAsia" w:ascii="宋体" w:hAnsi="宋体"/>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jc w:val="center"/>
      <w:rPr>
        <w:rFonts w:hint="eastAsia" w:ascii="宋体" w:hAnsi="宋体"/>
        <w:b/>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rPr>
        <w:rFonts w:hint="eastAsia" w:hAnsi="宋体"/>
        <w:b/>
        <w:u w:val="single"/>
      </w:rPr>
      <w:t xml:space="preserve"> </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16535" cy="2800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6535" cy="280035"/>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28</w:t>
                          </w:r>
                          <w:r>
                            <w:rPr>
                              <w:rFonts w:hint="eastAsia"/>
                              <w:sz w:val="18"/>
                              <w:lang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22.05pt;width:17.05pt;mso-position-horizontal:center;mso-position-horizontal-relative:margin;mso-wrap-style:none;z-index:251661312;mso-width-relative:page;mso-height-relative:page;" filled="f" stroked="f" coordsize="21600,21600" o:gfxdata="UEsDBAoAAAAAAIdO4kAAAAAAAAAAAAAAAAAEAAAAZHJzL1BLAwQUAAAACACHTuJAG64FodEAAAAD&#10;AQAADwAAAGRycy9kb3ducmV2LnhtbE2PMU/DMBCFdyT+g3VIbNQJrWiVxulQiYWtBSF1c+NrHGGf&#10;I9tNk3/PwQLLPZ3e6b3v6t3knRgxpj6QgnJRgEBqg+mpU/Dx/vq0AZGyJqNdIFQwY4Jdc39X68qE&#10;Gx1wPOZOcAilSiuwOQ+VlKm16HVahAGJvUuIXmdeYydN1DcO904+F8WL9LonbrB6wL3F9ut49QrW&#10;02fAIeEeT5exjbafN+5tVurxoSy2IDJO+e8YfvAZHRpmOocrmSScAn4k/072lqsSxFnBilU2tfzP&#10;3nwDUEsDBBQAAAAIAIdO4kAmr0G4zAEAAJcDAAAOAAAAZHJzL2Uyb0RvYy54bWytU0tu2zAQ3Rfo&#10;HQjuY8oOEhiC5aCFkaJA0RZIcwCaoiwC/IFDW/IF2ht01U33PZfP0SElOb9NFtlQo+HozXtvRqub&#10;3mhykAGUsxWdzwpKpBWuVnZX0fsftxdLSiByW3PtrKzoUQK9Wb9/t+p8KReudbqWgSCIhbLzFW1j&#10;9CVjIFppOMyclxYvGxcMj/gadqwOvEN0o9miKK5Z50LtgxMSALOb4ZKOiOE1gK5plJAbJ/ZG2jig&#10;Bql5REnQKg90ndk2jRTxW9OAjERXFJXGfGITjLfpZOsVL3eB+1aJkQJ/DYVnmgxXFpueoTY8crIP&#10;6gWUUSI4cE2cCWfYICQ7girmxTNv7lruZdaCVoM/mw5vByu+Hr4HouqK4tgtNzjw0+9fpz//Tn9/&#10;kmWyp/NQYtWdx7rYf3Q9Ls2UB0wm1X0TTHqiHoL3aO7xbK7sIxGYXMyvry6vKBF4tVgWBcaIzh4+&#10;9gHiJ+kMSUFFA84uW8oPXyAOpVNJ6mXdrdI6z0/bJwnETBmWmA8MUxT7bT/K2br6iGo6HHtFLW45&#10;JfqzRVfThkxBmILtFOx9ULsWqc0zL/Af9hFJZG6pwwA7NsZ5ZXXjbqWFePyeqx7+p/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64FodEAAAADAQAADwAAAAAAAAABACAAAAAiAAAAZHJzL2Rvd25y&#10;ZXYueG1sUEsBAhQAFAAAAAgAh07iQCavQbjMAQAAlwMAAA4AAAAAAAAAAQAgAAAAIAEAAGRycy9l&#10;Mm9Eb2MueG1sUEsFBgAAAAAGAAYAWQEAAF4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28</w:t>
                    </w:r>
                    <w:r>
                      <w:rPr>
                        <w:rFonts w:hint="eastAsia"/>
                        <w:sz w:val="18"/>
                        <w:lang w:eastAsia="zh-CN"/>
                      </w:rP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ascii="宋体" w:hAnsi="宋体"/>
        <w:b/>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81305" cy="1587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81305" cy="158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5pt;width:22.15pt;mso-position-horizontal:center;mso-position-horizontal-relative:margin;z-index:251664384;mso-width-relative:page;mso-height-relative:page;" filled="f" stroked="f" coordsize="21600,21600" o:gfxdata="UEsDBAoAAAAAAIdO4kAAAAAAAAAAAAAAAAAEAAAAZHJzL1BLAwQUAAAACACHTuJAneWgdNMAAAAD&#10;AQAADwAAAGRycy9kb3ducmV2LnhtbE2PS0/DMBCE70j8B2uRuFE7pSAU4vTA48ajFJDg5sRLEmGv&#10;I3uTln+P4QKXlUYzmvm2Wu+9EzPGNATSUCwUCKQ22IE6DS/PtycXIBIbssYFQg1fmGBdHx5UprRh&#10;R084b7kTuYRSaTT0zGMpZWp79CYtwoiUvY8QveEsYydtNLtc7p1cKnUuvRkoL/RmxKse28/t5DW4&#10;txTvGsXv83V3z5tHOb3eFA9aHx8V6hIE457/wvCDn9GhzkxNmMgm4TTkR/j3Zm+1OgXRaFieKZB1&#10;Jf+z199QSwMEFAAAAAgAh07iQKQMPCo2AgAAYwQAAA4AAABkcnMvZTJvRG9jLnhtbK1UzW4TMRC+&#10;I/EOlu90k1QtJeqmCo2KkCpaqSDOjtebtWR7jO10tzwAvAEnLtx5rjwHn3ezLRQOPXBxZuf/+2Ym&#10;p2edNexWhajJlXx6MOFMOUmVdpuSf3h/8eKEs5iEq4Qhp0p+pyI/Wzx/dtr6uZpRQ6ZSgSGJi/PW&#10;l7xJyc+LIspGWREPyCsHY03BioTPsCmqIFpkt6aYTSbHRUuh8oGkihHa1WDk+4zhKQmprrVUK5Jb&#10;q1wasgZlRAKk2Ggf+aLvtq6VTFd1HVVipuRAmvoXRSCv81ssTsV8E4RvtNy3IJ7SwiNMVmiHovep&#10;ViIJtg36r1RWy0CR6nQgyRYDkJ4RoJhOHnFz0wiveiygOvp70uP/Syvf3V4HpitswivOnLCY+O7b&#10;1933n7sfXxh0IKj1cQ6/Gw/P1L2mDs6jPkKZcXd1sPkXiBjsoPfunl7VJSahnJ1MDydHnEmYpkcn&#10;L496+ouHYB9ieqPIsiyUPGB6Pani9jImNALX0SXXcnShjeknaBxrS358iJR/WBBhHAIzhKHVLKVu&#10;3e1xram6A6xAw2ZELy80il+KmK5FwCoACY4lXeGpDaEI7SXOGgqf/6XP/pgQrJy1WK2Sx09bERRn&#10;5q3D7PIejkIYhfUouK09J2zrFGfoZS8iICQzinUg+xE3tMxVYBJOolbJ0yiep2HBcYNSLZe909YH&#10;vWmGAGyeF+nS3XiZywyELbeJat2znCkaeNkzh93ryd/fSV7u3797r4f/hs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eWgdNMAAAADAQAADwAAAAAAAAABACAAAAAiAAAAZHJzL2Rvd25yZXYueG1s&#10;UEsBAhQAFAAAAAgAh07iQKQMPCo2AgAAYwQAAA4AAAAAAAAAAQAgAAAAIgEAAGRycy9lMm9Eb2Mu&#10;eG1sUEsFBgAAAAAGAAYAWQEAAMoFAAAAAA==&#10;">
              <v:fill on="f" focussize="0,0"/>
              <v:stroke on="f" weight="0.5pt"/>
              <v:imagedata o:title=""/>
              <o:lock v:ext="edit" aspectratio="f"/>
              <v:textbox inset="0mm,0mm,0mm,0mm">
                <w:txbxContent>
                  <w:p>
                    <w:pPr>
                      <w:pStyle w:val="18"/>
                    </w:pPr>
                    <w:r>
                      <w:fldChar w:fldCharType="begin"/>
                    </w:r>
                    <w:r>
                      <w:instrText xml:space="preserve"> PAGE  \* MERGEFORMAT </w:instrText>
                    </w:r>
                    <w:r>
                      <w:fldChar w:fldCharType="separate"/>
                    </w:r>
                    <w:r>
                      <w:t>48</w:t>
                    </w:r>
                    <w:r>
                      <w:fldChar w:fldCharType="end"/>
                    </w:r>
                  </w:p>
                </w:txbxContent>
              </v:textbox>
            </v:shape>
          </w:pict>
        </mc:Fallback>
      </mc:AlternateContent>
    </w:r>
  </w:p>
  <w:p>
    <w:pPr>
      <w:spacing w:line="280" w:lineRule="exact"/>
      <w:jc w:val="left"/>
      <w:rPr>
        <w:rFonts w:hint="eastAsia" w:ascii="楷体" w:hAnsi="楷体" w:eastAsia="楷体" w:cs="楷体"/>
        <w:b/>
        <w:sz w:val="18"/>
        <w:szCs w:val="18"/>
        <w:u w:val="single"/>
        <w:lang w:val="en-US"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ascii="楷体" w:hAnsi="楷体" w:eastAsia="楷体" w:cs="楷体"/>
        <w:b/>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46</w:t>
                    </w:r>
                    <w:r>
                      <w:fldChar w:fldCharType="end"/>
                    </w:r>
                  </w:p>
                </w:txbxContent>
              </v:textbox>
            </v:shape>
          </w:pict>
        </mc:Fallback>
      </mc:AlternateContent>
    </w:r>
  </w:p>
  <w:p>
    <w:pPr>
      <w:pStyle w:val="18"/>
      <w:tabs>
        <w:tab w:val="left" w:pos="8415"/>
        <w:tab w:val="clear" w:pos="4153"/>
      </w:tabs>
      <w:rPr>
        <w:rFonts w:hint="eastAsia" w:ascii="楷体" w:hAnsi="楷体" w:eastAsia="楷体" w:cs="楷体"/>
        <w:b/>
        <w:sz w:val="18"/>
        <w:szCs w:val="18"/>
        <w:u w:val="single"/>
        <w:lang w:val="en-US"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eastAsia" w:ascii="宋体" w:hAnsi="宋体" w:eastAsia="宋体" w:cs="宋体"/>
        <w:b/>
        <w:sz w:val="18"/>
        <w:szCs w:val="18"/>
        <w:u w:val="single"/>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ascii="宋体" w:hAnsi="宋体" w:eastAsia="宋体" w:cs="宋体"/>
        <w:b/>
        <w:sz w:val="18"/>
        <w:szCs w:val="18"/>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9555"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249555" cy="1828800"/>
                      </a:xfrm>
                      <a:prstGeom prst="rect">
                        <a:avLst/>
                      </a:prstGeom>
                      <a:noFill/>
                      <a:ln>
                        <a:noFill/>
                      </a:ln>
                    </wps:spPr>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vert="horz" wrap="square" lIns="0" tIns="0" rIns="0" bIns="0" anchor="t" upright="0">
                      <a:spAutoFit/>
                    </wps:bodyPr>
                  </wps:wsp>
                </a:graphicData>
              </a:graphic>
            </wp:anchor>
          </w:drawing>
        </mc:Choice>
        <mc:Fallback>
          <w:pict>
            <v:shape id="文本框 5" o:spid="_x0000_s1026" o:spt="202" type="#_x0000_t202" style="position:absolute;left:0pt;margin-top:0pt;height:144pt;width:19.65pt;mso-position-horizontal:center;mso-position-horizontal-relative:margin;z-index:251660288;mso-width-relative:page;mso-height-relative:page;" filled="f" stroked="f" coordsize="21600,21600" o:gfxdata="UEsDBAoAAAAAAIdO4kAAAAAAAAAAAAAAAAAEAAAAZHJzL1BLAwQUAAAACACHTuJAswxL99MAAAAE&#10;AQAADwAAAGRycy9kb3ducmV2LnhtbE2PMU/DMBCFdyT+g3VIXVBrO5WqNI3TAcHSjcLSzY2vSVT7&#10;HMVuEvrrMSywnPT0nt77rtzPzrIRh9B5UiBXAhhS7U1HjYLPj7dlDixETUZbT6jgCwPsq8eHUhfG&#10;T/SO4zE2LJVQKLSCNsa+4DzULTodVr5HSt7FD07HJIeGm0FPqdxZngmx4U53lBZa3eNLi/X1eHMK&#10;NvNr/3zYYjbdazvS6S5lRKnU4kmKHbCIc/wLww9+QocqMZ39jUxgVkF6JP7e5K23a2BnBVmeC+BV&#10;yf/DV99QSwMEFAAAAAgAh07iQFqhyk7hAQAAsQMAAA4AAABkcnMvZTJvRG9jLnhtbK1TzY7TMBC+&#10;I/EOlu80abVFJWq6AlWLkBAgLTyA6ziNpfiHGadJeQB4A05cuPNcfQ7GTtNldy974OKMZ8Yz3/fN&#10;ZH09mJYdFKB2tuTzWc6ZstJV2u5L/uXzzYsVZxiErUTrrCr5USG/3jx/tu59oRaucW2lgFERi0Xv&#10;S96E4IssQ9koI3DmvLIUrB0YEegK+6wC0VN102aLPH+Z9Q4qD04qRPJuxyA/V4SnFHR1raXaOtkZ&#10;ZcNYFVQrAlHCRnvkm4S2rpUMH+saVWBtyYlpSCc1IXsXz2yzFsUehG+0PEMQT4HwgJMR2lLTS6mt&#10;CIJ1oB+VMlqCQ1eHmXQmG4kkRYjFPH+gzW0jvEpcSGr0F9Hx/5WVHw6fgOmq5FecWWFo4KefP06/&#10;/px+f2fLKE/vsaCsW095YXjjBlqayY/kjKyHGkz8Eh9GcRL3eBFXDYFJci6uXi2XS84khearxWqV&#10;J/Wzu9ceMLxVzrBolBxoeElTcXiPgZBQ6pQSm1l3o9s2DbC19xyUGD1ZhD5CjFYYdsOZz85VR6JD&#10;fwH1aRx846ynHSg5fu0EKM7ad5ZEjgszGTAZu8kQVtLTkgfOOg9636TlikDQv+4CoUugY+ux3xkR&#10;TTJxOW9dXJV/7ynr7k/b/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DEv30wAAAAQBAAAPAAAA&#10;AAAAAAEAIAAAACIAAABkcnMvZG93bnJldi54bWxQSwECFAAUAAAACACHTuJAWqHKTuEBAACxAwAA&#10;DgAAAAAAAAABACAAAAAiAQAAZHJzL2Uyb0RvYy54bWxQSwUGAAAAAAYABgBZAQAAdQUAAAAA&#10;">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480" w:lineRule="exact"/>
      <w:rPr>
        <w:rFonts w:hint="eastAsia" w:ascii="黑体" w:hAnsi="黑体" w:eastAsia="黑体"/>
        <w:bCs/>
        <w:color w:val="000000"/>
        <w:sz w:val="20"/>
        <w:szCs w:val="36"/>
        <w:u w:val="single"/>
        <w:lang w:eastAsia="zh-CN"/>
      </w:rPr>
    </w:pPr>
    <w:r>
      <w:rPr>
        <w:rFonts w:hint="eastAsia" w:ascii="宋体" w:hAnsi="宋体" w:cs="宋体"/>
        <w:b w:val="0"/>
        <w:bCs/>
        <w:sz w:val="18"/>
        <w:szCs w:val="18"/>
        <w:highlight w:val="none"/>
        <w:u w:val="single"/>
        <w:lang w:val="en-US" w:eastAsia="zh-CN"/>
      </w:rPr>
      <w:t>宝鸡市金台区代家湾小学教学楼室内外粉刷工程</w:t>
    </w:r>
    <w:r>
      <w:rPr>
        <w:rFonts w:hint="eastAsia" w:ascii="宋体" w:hAnsi="宋体" w:cs="宋体"/>
        <w:b w:val="0"/>
        <w:bCs/>
        <w:sz w:val="18"/>
        <w:szCs w:val="18"/>
        <w:u w:val="single"/>
      </w:rPr>
      <w:t xml:space="preserve">  </w:t>
    </w:r>
    <w:r>
      <w:rPr>
        <w:rFonts w:ascii="宋体" w:hAnsi="宋体" w:cs="宋体"/>
        <w:b w:val="0"/>
        <w:bCs/>
        <w:sz w:val="18"/>
        <w:szCs w:val="18"/>
        <w:u w:val="single"/>
      </w:rPr>
      <w:t xml:space="preserve"> </w:t>
    </w:r>
    <w:r>
      <w:rPr>
        <w:rFonts w:hint="eastAsia" w:ascii="宋体" w:hAnsi="宋体" w:cs="宋体"/>
        <w:b w:val="0"/>
        <w:bCs/>
        <w:sz w:val="18"/>
        <w:szCs w:val="18"/>
        <w:u w:val="single"/>
        <w:lang w:val="en-US" w:eastAsia="zh-CN"/>
      </w:rPr>
      <w:t xml:space="preserve">                                  项目</w:t>
    </w:r>
    <w:r>
      <w:rPr>
        <w:rFonts w:hint="eastAsia" w:ascii="宋体" w:hAnsi="宋体" w:cs="宋体"/>
        <w:b w:val="0"/>
        <w:bCs/>
        <w:sz w:val="18"/>
        <w:szCs w:val="18"/>
        <w:highlight w:val="none"/>
        <w:u w:val="single"/>
      </w:rPr>
      <w:t>编号</w:t>
    </w:r>
    <w:r>
      <w:rPr>
        <w:rFonts w:ascii="宋体" w:hAnsi="宋体" w:cs="宋体"/>
        <w:b w:val="0"/>
        <w:bCs/>
        <w:sz w:val="18"/>
        <w:szCs w:val="18"/>
        <w:highlight w:val="none"/>
        <w:u w:val="single"/>
      </w:rPr>
      <w:t>:</w:t>
    </w:r>
    <w:r>
      <w:rPr>
        <w:rFonts w:hint="eastAsia" w:ascii="宋体" w:hAnsi="宋体" w:cs="宋体"/>
        <w:b w:val="0"/>
        <w:bCs/>
        <w:sz w:val="18"/>
        <w:szCs w:val="18"/>
        <w:highlight w:val="none"/>
        <w:u w:val="single"/>
        <w:lang w:eastAsia="zh-CN"/>
      </w:rPr>
      <w:t>SHJS2022(056)号</w:t>
    </w:r>
  </w:p>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480" w:lineRule="exact"/>
      <w:rPr>
        <w:rFonts w:hint="eastAsia" w:ascii="宋体" w:hAnsi="宋体" w:cs="宋体"/>
        <w:b w:val="0"/>
        <w:bCs/>
        <w:sz w:val="18"/>
        <w:szCs w:val="18"/>
        <w:highlight w:val="none"/>
        <w:u w:val="single"/>
        <w:lang w:val="en-US" w:eastAsia="zh-CN"/>
      </w:rPr>
    </w:pPr>
  </w:p>
  <w:p>
    <w:pPr>
      <w:pBdr>
        <w:bottom w:val="none" w:color="auto" w:sz="0" w:space="0"/>
      </w:pBdr>
      <w:spacing w:line="480" w:lineRule="exact"/>
      <w:rPr>
        <w:rFonts w:hint="eastAsia" w:ascii="黑体" w:hAnsi="黑体" w:eastAsia="黑体"/>
        <w:bCs/>
        <w:color w:val="000000"/>
        <w:sz w:val="20"/>
        <w:szCs w:val="36"/>
        <w:u w:val="single"/>
        <w:lang w:eastAsia="zh-CN"/>
      </w:rPr>
    </w:pPr>
    <w:r>
      <w:rPr>
        <w:rFonts w:hint="eastAsia" w:ascii="宋体" w:hAnsi="宋体" w:cs="宋体"/>
        <w:b w:val="0"/>
        <w:bCs/>
        <w:sz w:val="18"/>
        <w:szCs w:val="18"/>
        <w:highlight w:val="none"/>
        <w:u w:val="single"/>
        <w:lang w:val="en-US" w:eastAsia="zh-CN"/>
      </w:rPr>
      <w:t>宝鸡市金台区代家湾小学教学楼室内外粉刷工程</w:t>
    </w:r>
    <w:r>
      <w:rPr>
        <w:rFonts w:hint="eastAsia" w:ascii="宋体" w:hAnsi="宋体" w:cs="宋体"/>
        <w:b w:val="0"/>
        <w:bCs/>
        <w:sz w:val="18"/>
        <w:szCs w:val="18"/>
        <w:u w:val="single"/>
      </w:rPr>
      <w:t xml:space="preserve">  </w:t>
    </w:r>
    <w:r>
      <w:rPr>
        <w:rFonts w:ascii="宋体" w:hAnsi="宋体" w:cs="宋体"/>
        <w:b w:val="0"/>
        <w:bCs/>
        <w:sz w:val="18"/>
        <w:szCs w:val="18"/>
        <w:u w:val="single"/>
      </w:rPr>
      <w:t xml:space="preserve"> </w:t>
    </w:r>
    <w:r>
      <w:rPr>
        <w:rFonts w:hint="eastAsia" w:ascii="宋体" w:hAnsi="宋体" w:cs="宋体"/>
        <w:b w:val="0"/>
        <w:bCs/>
        <w:sz w:val="18"/>
        <w:szCs w:val="18"/>
        <w:u w:val="single"/>
        <w:lang w:val="en-US" w:eastAsia="zh-CN"/>
      </w:rPr>
      <w:t xml:space="preserve">                                    项目</w:t>
    </w:r>
    <w:r>
      <w:rPr>
        <w:rFonts w:hint="eastAsia" w:ascii="宋体" w:hAnsi="宋体" w:cs="宋体"/>
        <w:b w:val="0"/>
        <w:bCs/>
        <w:sz w:val="18"/>
        <w:szCs w:val="18"/>
        <w:highlight w:val="none"/>
        <w:u w:val="single"/>
      </w:rPr>
      <w:t>编号</w:t>
    </w:r>
    <w:r>
      <w:rPr>
        <w:rFonts w:ascii="宋体" w:hAnsi="宋体" w:cs="宋体"/>
        <w:b w:val="0"/>
        <w:bCs/>
        <w:sz w:val="18"/>
        <w:szCs w:val="18"/>
        <w:highlight w:val="none"/>
        <w:u w:val="single"/>
      </w:rPr>
      <w:t>:</w:t>
    </w:r>
    <w:r>
      <w:rPr>
        <w:rFonts w:hint="eastAsia" w:ascii="宋体" w:hAnsi="宋体" w:cs="宋体"/>
        <w:b w:val="0"/>
        <w:bCs/>
        <w:sz w:val="18"/>
        <w:szCs w:val="18"/>
        <w:highlight w:val="none"/>
        <w:u w:val="single"/>
        <w:lang w:eastAsia="zh-CN"/>
      </w:rPr>
      <w:t>SHJS2022(056)号</w:t>
    </w:r>
  </w:p>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480" w:lineRule="exact"/>
      <w:rPr>
        <w:rFonts w:hint="default" w:ascii="宋体" w:hAnsi="宋体" w:cs="宋体"/>
        <w:b w:val="0"/>
        <w:bCs/>
        <w:sz w:val="16"/>
        <w:szCs w:val="16"/>
        <w:u w:val="single"/>
        <w:lang w:val="en-US" w:eastAsia="zh-CN"/>
      </w:rPr>
    </w:pPr>
    <w:r>
      <w:rPr>
        <w:rFonts w:hint="eastAsia" w:ascii="宋体" w:hAnsi="宋体" w:cs="宋体"/>
        <w:b w:val="0"/>
        <w:bCs/>
        <w:sz w:val="16"/>
        <w:szCs w:val="16"/>
        <w:u w:val="single"/>
        <w:lang w:eastAsia="zh-CN"/>
      </w:rPr>
      <w:t>宝鸡市金台区代家湾小学教学楼室内外粉刷工程</w:t>
    </w:r>
    <w:r>
      <w:rPr>
        <w:rFonts w:hint="eastAsia" w:ascii="宋体" w:hAnsi="宋体" w:cs="宋体"/>
        <w:b w:val="0"/>
        <w:bCs/>
        <w:sz w:val="16"/>
        <w:szCs w:val="16"/>
        <w:u w:val="single"/>
        <w:lang w:val="en-US" w:eastAsia="zh-CN"/>
      </w:rPr>
      <w:t xml:space="preserve">  </w:t>
    </w:r>
    <w:r>
      <w:rPr>
        <w:rFonts w:ascii="宋体" w:hAnsi="宋体" w:cs="宋体"/>
        <w:b w:val="0"/>
        <w:bCs/>
        <w:sz w:val="16"/>
        <w:szCs w:val="16"/>
        <w:u w:val="single"/>
      </w:rPr>
      <w:t xml:space="preserve">   </w:t>
    </w:r>
    <w:r>
      <w:rPr>
        <w:rFonts w:hint="eastAsia" w:ascii="宋体" w:hAnsi="宋体" w:cs="宋体"/>
        <w:b w:val="0"/>
        <w:bCs/>
        <w:sz w:val="16"/>
        <w:szCs w:val="16"/>
        <w:u w:val="single"/>
        <w:lang w:val="en-US" w:eastAsia="zh-CN"/>
      </w:rPr>
      <w:t xml:space="preserve">                                              项目</w:t>
    </w:r>
    <w:r>
      <w:rPr>
        <w:rFonts w:hint="eastAsia" w:ascii="宋体" w:hAnsi="宋体" w:cs="宋体"/>
        <w:b w:val="0"/>
        <w:bCs/>
        <w:sz w:val="16"/>
        <w:szCs w:val="16"/>
        <w:highlight w:val="none"/>
        <w:u w:val="single"/>
      </w:rPr>
      <w:t>编号</w:t>
    </w:r>
    <w:r>
      <w:rPr>
        <w:rFonts w:ascii="宋体" w:hAnsi="宋体" w:cs="宋体"/>
        <w:b w:val="0"/>
        <w:bCs/>
        <w:sz w:val="16"/>
        <w:szCs w:val="16"/>
        <w:highlight w:val="none"/>
        <w:u w:val="single"/>
      </w:rPr>
      <w:t>:</w:t>
    </w:r>
    <w:r>
      <w:rPr>
        <w:rFonts w:hint="eastAsia" w:ascii="宋体" w:hAnsi="宋体" w:cs="宋体"/>
        <w:b w:val="0"/>
        <w:bCs/>
        <w:sz w:val="16"/>
        <w:szCs w:val="16"/>
        <w:u w:val="single"/>
        <w:lang w:eastAsia="zh-CN"/>
      </w:rPr>
      <w:t>SHJS2022(056)号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480" w:lineRule="exact"/>
      <w:jc w:val="left"/>
      <w:rPr>
        <w:rFonts w:hint="eastAsia" w:ascii="宋体" w:hAnsi="宋体" w:cs="宋体"/>
        <w:b w:val="0"/>
        <w:bCs/>
        <w:sz w:val="16"/>
        <w:szCs w:val="16"/>
        <w:highlight w:val="none"/>
        <w:u w:val="single"/>
        <w:lang w:eastAsia="zh-CN"/>
      </w:rPr>
    </w:pPr>
    <w:r>
      <w:rPr>
        <w:rFonts w:hint="eastAsia" w:ascii="宋体" w:hAnsi="宋体" w:cs="宋体"/>
        <w:b w:val="0"/>
        <w:bCs/>
        <w:sz w:val="16"/>
        <w:szCs w:val="16"/>
        <w:highlight w:val="none"/>
        <w:u w:val="single"/>
        <w:lang w:eastAsia="zh-CN"/>
      </w:rPr>
      <w:t>宝鸡市金台区代家湾小学教学楼室内外粉刷工程</w:t>
    </w:r>
    <w:r>
      <w:rPr>
        <w:rFonts w:hint="eastAsia" w:ascii="宋体" w:hAnsi="宋体" w:cs="宋体"/>
        <w:b w:val="0"/>
        <w:bCs/>
        <w:sz w:val="16"/>
        <w:szCs w:val="16"/>
        <w:highlight w:val="none"/>
        <w:u w:val="single"/>
        <w:lang w:val="en-US" w:eastAsia="zh-CN"/>
      </w:rPr>
      <w:t xml:space="preserve"> </w:t>
    </w:r>
    <w:r>
      <w:rPr>
        <w:rFonts w:ascii="宋体" w:hAnsi="宋体" w:cs="宋体"/>
        <w:b w:val="0"/>
        <w:bCs/>
        <w:sz w:val="16"/>
        <w:szCs w:val="16"/>
        <w:u w:val="single"/>
      </w:rPr>
      <w:t xml:space="preserve">  </w:t>
    </w:r>
    <w:r>
      <w:rPr>
        <w:rFonts w:hint="eastAsia" w:ascii="宋体" w:hAnsi="宋体" w:cs="宋体"/>
        <w:b w:val="0"/>
        <w:bCs/>
        <w:sz w:val="16"/>
        <w:szCs w:val="16"/>
        <w:u w:val="single"/>
        <w:lang w:val="en-US" w:eastAsia="zh-CN"/>
      </w:rPr>
      <w:t xml:space="preserve">                                </w:t>
    </w:r>
    <w:r>
      <w:rPr>
        <w:rFonts w:hint="eastAsia" w:ascii="宋体" w:hAnsi="宋体" w:cs="宋体"/>
        <w:b w:val="0"/>
        <w:bCs/>
        <w:sz w:val="16"/>
        <w:szCs w:val="16"/>
        <w:highlight w:val="none"/>
        <w:u w:val="single"/>
      </w:rPr>
      <w:t>文件编号</w:t>
    </w:r>
    <w:r>
      <w:rPr>
        <w:rFonts w:hint="eastAsia" w:ascii="宋体" w:hAnsi="宋体" w:cs="宋体"/>
        <w:b w:val="0"/>
        <w:bCs/>
        <w:sz w:val="16"/>
        <w:szCs w:val="16"/>
        <w:highlight w:val="none"/>
        <w:u w:val="single"/>
        <w:lang w:eastAsia="zh-CN"/>
      </w:rPr>
      <w:t>:SHJS2022(056)号(035)号(010)号</w:t>
    </w:r>
  </w:p>
  <w:p>
    <w:pPr>
      <w:pStyle w:val="45"/>
      <w:ind w:left="0" w:leftChars="0" w:firstLine="0" w:firstLineChars="0"/>
      <w:jc w:val="left"/>
    </w:pPr>
    <w:r>
      <w:rPr>
        <w:rFonts w:hint="eastAsia" w:ascii="黑体" w:hAnsi="黑体" w:eastAsia="黑体" w:cs="黑体"/>
        <w:b w:val="0"/>
        <w:bCs w:val="0"/>
        <w:color w:val="auto"/>
        <w:sz w:val="21"/>
        <w:szCs w:val="21"/>
        <w:u w:val="single"/>
        <w:lang w:val="en-US" w:eastAsia="zh-CN"/>
      </w:rPr>
      <w:t xml:space="preserve">                                                                  </w:t>
    </w:r>
    <w:r>
      <w:rPr>
        <w:rFonts w:hint="eastAsia" w:ascii="黑体" w:hAnsi="黑体" w:eastAsia="黑体" w:cs="黑体"/>
        <w:b w:val="0"/>
        <w:bCs w:val="0"/>
        <w:color w:val="auto"/>
        <w:sz w:val="21"/>
        <w:szCs w:val="21"/>
        <w:u w:val="single"/>
        <w:lang w:eastAsia="zh-CN"/>
      </w:rPr>
      <w:t xml:space="preserve"> </w:t>
    </w:r>
    <w:r>
      <w:rPr>
        <w:rFonts w:hint="eastAsia" w:ascii="黑体" w:hAnsi="黑体" w:eastAsia="黑体" w:cs="黑体"/>
        <w:b w:val="0"/>
        <w:bCs w:val="0"/>
        <w:color w:val="auto"/>
        <w:sz w:val="21"/>
        <w:szCs w:val="21"/>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jc w:val="left"/>
      <w:rPr>
        <w:rFonts w:hint="eastAsia"/>
        <w:u w:val="non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jc w:val="left"/>
      <w:rPr>
        <w:rFonts w:hint="eastAsia" w:ascii="宋体" w:hAnsi="宋体" w:eastAsia="宋体" w:cs="宋体"/>
        <w:b/>
        <w:sz w:val="18"/>
        <w:szCs w:val="18"/>
        <w:u w:val="single"/>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jc w:val="left"/>
      <w:rPr>
        <w:rFonts w:hint="eastAsia"/>
        <w:u w:val="non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rPr>
        <w:rFonts w:hint="eastAsia" w:ascii="宋体" w:hAnsi="宋体" w:eastAsia="宋体" w:cs="宋体"/>
        <w:b/>
        <w:sz w:val="18"/>
        <w:szCs w:val="18"/>
        <w:u w:val="single"/>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480" w:lineRule="exact"/>
      <w:rPr>
        <w:rFonts w:hint="default" w:ascii="宋体" w:hAnsi="宋体" w:cs="宋体"/>
        <w:b w:val="0"/>
        <w:bCs/>
        <w:sz w:val="16"/>
        <w:szCs w:val="16"/>
        <w:u w:val="single"/>
        <w:lang w:val="en-US" w:eastAsia="zh-CN"/>
      </w:rPr>
    </w:pPr>
    <w:r>
      <w:rPr>
        <w:rFonts w:hint="eastAsia" w:ascii="宋体" w:hAnsi="宋体" w:cs="宋体"/>
        <w:b w:val="0"/>
        <w:bCs/>
        <w:sz w:val="16"/>
        <w:szCs w:val="16"/>
        <w:u w:val="single"/>
        <w:lang w:eastAsia="zh-CN"/>
      </w:rPr>
      <w:t>宝鸡市金台区代家湾小学教学楼室内外粉刷工程</w:t>
    </w:r>
    <w:r>
      <w:rPr>
        <w:rFonts w:hint="eastAsia" w:ascii="宋体" w:hAnsi="宋体" w:cs="宋体"/>
        <w:b w:val="0"/>
        <w:bCs/>
        <w:sz w:val="16"/>
        <w:szCs w:val="16"/>
        <w:u w:val="single"/>
        <w:lang w:val="en-US" w:eastAsia="zh-CN"/>
      </w:rPr>
      <w:t xml:space="preserve">  </w:t>
    </w:r>
    <w:r>
      <w:rPr>
        <w:rFonts w:ascii="宋体" w:hAnsi="宋体" w:cs="宋体"/>
        <w:b w:val="0"/>
        <w:bCs/>
        <w:sz w:val="16"/>
        <w:szCs w:val="16"/>
        <w:u w:val="single"/>
      </w:rPr>
      <w:t xml:space="preserve">   </w:t>
    </w:r>
    <w:r>
      <w:rPr>
        <w:rFonts w:hint="eastAsia" w:ascii="宋体" w:hAnsi="宋体" w:cs="宋体"/>
        <w:b w:val="0"/>
        <w:bCs/>
        <w:sz w:val="16"/>
        <w:szCs w:val="16"/>
        <w:u w:val="single"/>
        <w:lang w:val="en-US" w:eastAsia="zh-CN"/>
      </w:rPr>
      <w:t xml:space="preserve">                                                项目</w:t>
    </w:r>
    <w:r>
      <w:rPr>
        <w:rFonts w:hint="eastAsia" w:ascii="宋体" w:hAnsi="宋体" w:cs="宋体"/>
        <w:b w:val="0"/>
        <w:bCs/>
        <w:sz w:val="16"/>
        <w:szCs w:val="16"/>
        <w:highlight w:val="none"/>
        <w:u w:val="single"/>
      </w:rPr>
      <w:t>编号</w:t>
    </w:r>
    <w:r>
      <w:rPr>
        <w:rFonts w:ascii="宋体" w:hAnsi="宋体" w:cs="宋体"/>
        <w:b w:val="0"/>
        <w:bCs/>
        <w:sz w:val="16"/>
        <w:szCs w:val="16"/>
        <w:highlight w:val="none"/>
        <w:u w:val="single"/>
      </w:rPr>
      <w:t>:</w:t>
    </w:r>
    <w:r>
      <w:rPr>
        <w:rFonts w:hint="eastAsia" w:ascii="宋体" w:hAnsi="宋体" w:cs="宋体"/>
        <w:b w:val="0"/>
        <w:bCs/>
        <w:sz w:val="16"/>
        <w:szCs w:val="16"/>
        <w:u w:val="single"/>
        <w:lang w:eastAsia="zh-CN"/>
      </w:rPr>
      <w:t>SHJS2022(056)号</w:t>
    </w:r>
  </w:p>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F1E840"/>
    <w:multiLevelType w:val="singleLevel"/>
    <w:tmpl w:val="CAF1E840"/>
    <w:lvl w:ilvl="0" w:tentative="0">
      <w:start w:val="1"/>
      <w:numFmt w:val="chineseCounting"/>
      <w:suff w:val="nothing"/>
      <w:lvlText w:val="%1、"/>
      <w:lvlJc w:val="left"/>
      <w:rPr>
        <w:rFonts w:hint="eastAsia"/>
      </w:rPr>
    </w:lvl>
  </w:abstractNum>
  <w:abstractNum w:abstractNumId="1">
    <w:nsid w:val="FB91BD51"/>
    <w:multiLevelType w:val="singleLevel"/>
    <w:tmpl w:val="FB91BD51"/>
    <w:lvl w:ilvl="0" w:tentative="0">
      <w:start w:val="3"/>
      <w:numFmt w:val="chineseCounting"/>
      <w:suff w:val="space"/>
      <w:lvlText w:val="第%1章"/>
      <w:lvlJc w:val="left"/>
      <w:rPr>
        <w:rFonts w:hint="eastAsia"/>
      </w:rPr>
    </w:lvl>
  </w:abstractNum>
  <w:abstractNum w:abstractNumId="2">
    <w:nsid w:val="1695A40C"/>
    <w:multiLevelType w:val="singleLevel"/>
    <w:tmpl w:val="1695A40C"/>
    <w:lvl w:ilvl="0" w:tentative="0">
      <w:start w:val="4"/>
      <w:numFmt w:val="chineseCounting"/>
      <w:suff w:val="nothing"/>
      <w:lvlText w:val="%1、"/>
      <w:lvlJc w:val="left"/>
      <w:rPr>
        <w:rFonts w:hint="eastAsia"/>
      </w:rPr>
    </w:lvl>
  </w:abstractNum>
  <w:abstractNum w:abstractNumId="3">
    <w:nsid w:val="220058AD"/>
    <w:multiLevelType w:val="singleLevel"/>
    <w:tmpl w:val="220058AD"/>
    <w:lvl w:ilvl="0" w:tentative="0">
      <w:start w:val="4"/>
      <w:numFmt w:val="chineseCounting"/>
      <w:suff w:val="space"/>
      <w:lvlText w:val="第%1章"/>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1MDI1MzdkYzAzOWVkY2IyNGM1ZTFmZjFjYzhmY2IifQ=="/>
  </w:docVars>
  <w:rsids>
    <w:rsidRoot w:val="00172A27"/>
    <w:rsid w:val="000327F6"/>
    <w:rsid w:val="00045065"/>
    <w:rsid w:val="000A5622"/>
    <w:rsid w:val="000B6C73"/>
    <w:rsid w:val="000C2BD6"/>
    <w:rsid w:val="000C4415"/>
    <w:rsid w:val="000E174D"/>
    <w:rsid w:val="00100064"/>
    <w:rsid w:val="00115AAC"/>
    <w:rsid w:val="0011644B"/>
    <w:rsid w:val="00122C37"/>
    <w:rsid w:val="00171711"/>
    <w:rsid w:val="00185B7D"/>
    <w:rsid w:val="0019698F"/>
    <w:rsid w:val="001B22D4"/>
    <w:rsid w:val="001C06FB"/>
    <w:rsid w:val="001C1ABD"/>
    <w:rsid w:val="001D2BD3"/>
    <w:rsid w:val="001D426C"/>
    <w:rsid w:val="001E4660"/>
    <w:rsid w:val="0020267C"/>
    <w:rsid w:val="002033ED"/>
    <w:rsid w:val="00207591"/>
    <w:rsid w:val="00226DAE"/>
    <w:rsid w:val="002535DB"/>
    <w:rsid w:val="0027327C"/>
    <w:rsid w:val="002A34CB"/>
    <w:rsid w:val="002B4F45"/>
    <w:rsid w:val="002F0354"/>
    <w:rsid w:val="002F2353"/>
    <w:rsid w:val="003002FF"/>
    <w:rsid w:val="00343467"/>
    <w:rsid w:val="003C12E5"/>
    <w:rsid w:val="003D6B36"/>
    <w:rsid w:val="004154A2"/>
    <w:rsid w:val="0042300E"/>
    <w:rsid w:val="004240D3"/>
    <w:rsid w:val="00440BD6"/>
    <w:rsid w:val="0049673E"/>
    <w:rsid w:val="004A2CEB"/>
    <w:rsid w:val="004B0F3F"/>
    <w:rsid w:val="0050445E"/>
    <w:rsid w:val="005212ED"/>
    <w:rsid w:val="005322C2"/>
    <w:rsid w:val="005614EC"/>
    <w:rsid w:val="00561A71"/>
    <w:rsid w:val="005644F0"/>
    <w:rsid w:val="00593135"/>
    <w:rsid w:val="00593DC2"/>
    <w:rsid w:val="005D40F4"/>
    <w:rsid w:val="005D4C63"/>
    <w:rsid w:val="005E6C89"/>
    <w:rsid w:val="005E73F8"/>
    <w:rsid w:val="00696295"/>
    <w:rsid w:val="006D228F"/>
    <w:rsid w:val="006D7968"/>
    <w:rsid w:val="0071157D"/>
    <w:rsid w:val="00716C3B"/>
    <w:rsid w:val="00717621"/>
    <w:rsid w:val="00773939"/>
    <w:rsid w:val="007807AC"/>
    <w:rsid w:val="007848F5"/>
    <w:rsid w:val="0078569D"/>
    <w:rsid w:val="007F0790"/>
    <w:rsid w:val="007F728E"/>
    <w:rsid w:val="0080580E"/>
    <w:rsid w:val="00815F66"/>
    <w:rsid w:val="008233A0"/>
    <w:rsid w:val="00827953"/>
    <w:rsid w:val="00841734"/>
    <w:rsid w:val="00852266"/>
    <w:rsid w:val="008540C9"/>
    <w:rsid w:val="008624DE"/>
    <w:rsid w:val="00873D7C"/>
    <w:rsid w:val="008A5B2E"/>
    <w:rsid w:val="008C0B23"/>
    <w:rsid w:val="008C4A57"/>
    <w:rsid w:val="008F2B4E"/>
    <w:rsid w:val="0090097E"/>
    <w:rsid w:val="00953321"/>
    <w:rsid w:val="00987446"/>
    <w:rsid w:val="009D02D1"/>
    <w:rsid w:val="009E68AC"/>
    <w:rsid w:val="00A3396F"/>
    <w:rsid w:val="00A33C3E"/>
    <w:rsid w:val="00A54F18"/>
    <w:rsid w:val="00A64246"/>
    <w:rsid w:val="00A77550"/>
    <w:rsid w:val="00A83DDA"/>
    <w:rsid w:val="00A948D4"/>
    <w:rsid w:val="00AB4B44"/>
    <w:rsid w:val="00AD2ECE"/>
    <w:rsid w:val="00AF4AE0"/>
    <w:rsid w:val="00AF5B67"/>
    <w:rsid w:val="00B04B38"/>
    <w:rsid w:val="00B11373"/>
    <w:rsid w:val="00B12E38"/>
    <w:rsid w:val="00B5117E"/>
    <w:rsid w:val="00B83327"/>
    <w:rsid w:val="00B8680E"/>
    <w:rsid w:val="00BA0FA9"/>
    <w:rsid w:val="00BC3A6C"/>
    <w:rsid w:val="00C45AF9"/>
    <w:rsid w:val="00C577DE"/>
    <w:rsid w:val="00C62A64"/>
    <w:rsid w:val="00C77016"/>
    <w:rsid w:val="00CA303A"/>
    <w:rsid w:val="00CB5577"/>
    <w:rsid w:val="00CC7B04"/>
    <w:rsid w:val="00CF2944"/>
    <w:rsid w:val="00D061D0"/>
    <w:rsid w:val="00D11DA0"/>
    <w:rsid w:val="00D52F63"/>
    <w:rsid w:val="00D533F8"/>
    <w:rsid w:val="00D86811"/>
    <w:rsid w:val="00D97E9A"/>
    <w:rsid w:val="00DA2E3D"/>
    <w:rsid w:val="00DB5E90"/>
    <w:rsid w:val="00DC01F9"/>
    <w:rsid w:val="00E17760"/>
    <w:rsid w:val="00E17F64"/>
    <w:rsid w:val="00E255C8"/>
    <w:rsid w:val="00EA5DF1"/>
    <w:rsid w:val="00EB4222"/>
    <w:rsid w:val="00EC5246"/>
    <w:rsid w:val="00ED3BFA"/>
    <w:rsid w:val="00EF5DC7"/>
    <w:rsid w:val="00F440D8"/>
    <w:rsid w:val="00F54007"/>
    <w:rsid w:val="00F56EA8"/>
    <w:rsid w:val="00FA380A"/>
    <w:rsid w:val="00FA7B49"/>
    <w:rsid w:val="00FB2306"/>
    <w:rsid w:val="00FD1BB0"/>
    <w:rsid w:val="011B6335"/>
    <w:rsid w:val="01247E92"/>
    <w:rsid w:val="0128270C"/>
    <w:rsid w:val="01302038"/>
    <w:rsid w:val="013D01DA"/>
    <w:rsid w:val="0146666F"/>
    <w:rsid w:val="0151278F"/>
    <w:rsid w:val="01537696"/>
    <w:rsid w:val="015E0FC4"/>
    <w:rsid w:val="016E79BB"/>
    <w:rsid w:val="017579A8"/>
    <w:rsid w:val="017B0014"/>
    <w:rsid w:val="017F3B76"/>
    <w:rsid w:val="0189362A"/>
    <w:rsid w:val="01957E27"/>
    <w:rsid w:val="01BA6963"/>
    <w:rsid w:val="01D3571A"/>
    <w:rsid w:val="01DB7EBC"/>
    <w:rsid w:val="01EE0F89"/>
    <w:rsid w:val="0200793B"/>
    <w:rsid w:val="020E7FE4"/>
    <w:rsid w:val="02330D66"/>
    <w:rsid w:val="02402483"/>
    <w:rsid w:val="024D4A7D"/>
    <w:rsid w:val="02565D28"/>
    <w:rsid w:val="026D1984"/>
    <w:rsid w:val="02750116"/>
    <w:rsid w:val="02886058"/>
    <w:rsid w:val="028E2239"/>
    <w:rsid w:val="029929F4"/>
    <w:rsid w:val="02BA5F5E"/>
    <w:rsid w:val="02D32094"/>
    <w:rsid w:val="03037514"/>
    <w:rsid w:val="03154BFE"/>
    <w:rsid w:val="031B7704"/>
    <w:rsid w:val="03284584"/>
    <w:rsid w:val="032C7BBE"/>
    <w:rsid w:val="0337542F"/>
    <w:rsid w:val="0384101C"/>
    <w:rsid w:val="0389225D"/>
    <w:rsid w:val="038B5BC4"/>
    <w:rsid w:val="03A21034"/>
    <w:rsid w:val="03AE6C4A"/>
    <w:rsid w:val="03E5328D"/>
    <w:rsid w:val="03F54682"/>
    <w:rsid w:val="04022BFE"/>
    <w:rsid w:val="04160FDC"/>
    <w:rsid w:val="04236CFF"/>
    <w:rsid w:val="04240EED"/>
    <w:rsid w:val="047D0094"/>
    <w:rsid w:val="04810C66"/>
    <w:rsid w:val="04A06914"/>
    <w:rsid w:val="04AF3C14"/>
    <w:rsid w:val="04B4542B"/>
    <w:rsid w:val="04C20084"/>
    <w:rsid w:val="04CB0091"/>
    <w:rsid w:val="04CD0710"/>
    <w:rsid w:val="04E56551"/>
    <w:rsid w:val="050665A2"/>
    <w:rsid w:val="050A3B09"/>
    <w:rsid w:val="051A7389"/>
    <w:rsid w:val="052C47CE"/>
    <w:rsid w:val="053D6438"/>
    <w:rsid w:val="05634469"/>
    <w:rsid w:val="05757CF3"/>
    <w:rsid w:val="0583125F"/>
    <w:rsid w:val="058C5B63"/>
    <w:rsid w:val="0593682F"/>
    <w:rsid w:val="05A63BA7"/>
    <w:rsid w:val="05C438E3"/>
    <w:rsid w:val="05CF6454"/>
    <w:rsid w:val="05DA305B"/>
    <w:rsid w:val="05E63E64"/>
    <w:rsid w:val="05ED6429"/>
    <w:rsid w:val="05F93A16"/>
    <w:rsid w:val="05FC5A7E"/>
    <w:rsid w:val="060834FC"/>
    <w:rsid w:val="06107E61"/>
    <w:rsid w:val="06152050"/>
    <w:rsid w:val="061A133C"/>
    <w:rsid w:val="061B574F"/>
    <w:rsid w:val="062539FF"/>
    <w:rsid w:val="06313475"/>
    <w:rsid w:val="06465301"/>
    <w:rsid w:val="064B142F"/>
    <w:rsid w:val="065456E8"/>
    <w:rsid w:val="067F3398"/>
    <w:rsid w:val="06805006"/>
    <w:rsid w:val="068F173C"/>
    <w:rsid w:val="06946962"/>
    <w:rsid w:val="06B44960"/>
    <w:rsid w:val="06CF3A1E"/>
    <w:rsid w:val="06E31D05"/>
    <w:rsid w:val="06E92D95"/>
    <w:rsid w:val="06ED0F82"/>
    <w:rsid w:val="06F84E27"/>
    <w:rsid w:val="06FA011B"/>
    <w:rsid w:val="070A0C8B"/>
    <w:rsid w:val="071F3C81"/>
    <w:rsid w:val="073B34E2"/>
    <w:rsid w:val="073F0AAA"/>
    <w:rsid w:val="074A2F16"/>
    <w:rsid w:val="076158D7"/>
    <w:rsid w:val="076A5EBC"/>
    <w:rsid w:val="076D638D"/>
    <w:rsid w:val="077A2252"/>
    <w:rsid w:val="078F7CD1"/>
    <w:rsid w:val="07A22D90"/>
    <w:rsid w:val="07B1083A"/>
    <w:rsid w:val="07B30AD6"/>
    <w:rsid w:val="07D63C79"/>
    <w:rsid w:val="07DA257E"/>
    <w:rsid w:val="07DF5C96"/>
    <w:rsid w:val="08147C2D"/>
    <w:rsid w:val="08237D7E"/>
    <w:rsid w:val="08326375"/>
    <w:rsid w:val="084558C8"/>
    <w:rsid w:val="08471B54"/>
    <w:rsid w:val="08477B23"/>
    <w:rsid w:val="086D2DAD"/>
    <w:rsid w:val="08720E3E"/>
    <w:rsid w:val="089820E6"/>
    <w:rsid w:val="08B43636"/>
    <w:rsid w:val="08B5088C"/>
    <w:rsid w:val="08B81AB7"/>
    <w:rsid w:val="08CE4F66"/>
    <w:rsid w:val="08E072B5"/>
    <w:rsid w:val="0933033E"/>
    <w:rsid w:val="09447444"/>
    <w:rsid w:val="09472B84"/>
    <w:rsid w:val="09473C48"/>
    <w:rsid w:val="097C14E4"/>
    <w:rsid w:val="097F0E7D"/>
    <w:rsid w:val="098C2909"/>
    <w:rsid w:val="09991C69"/>
    <w:rsid w:val="099E02A7"/>
    <w:rsid w:val="09B13158"/>
    <w:rsid w:val="09C35018"/>
    <w:rsid w:val="09CA0D26"/>
    <w:rsid w:val="09CB04E0"/>
    <w:rsid w:val="09DE594A"/>
    <w:rsid w:val="09E66920"/>
    <w:rsid w:val="09EA74F6"/>
    <w:rsid w:val="0A0328E2"/>
    <w:rsid w:val="0A147843"/>
    <w:rsid w:val="0A25011B"/>
    <w:rsid w:val="0A2E4D05"/>
    <w:rsid w:val="0A381EFB"/>
    <w:rsid w:val="0A39513C"/>
    <w:rsid w:val="0A411229"/>
    <w:rsid w:val="0A432A99"/>
    <w:rsid w:val="0A4A67CC"/>
    <w:rsid w:val="0A4F4254"/>
    <w:rsid w:val="0A6846F0"/>
    <w:rsid w:val="0A6F565E"/>
    <w:rsid w:val="0A704A0A"/>
    <w:rsid w:val="0AA634B8"/>
    <w:rsid w:val="0AA97D04"/>
    <w:rsid w:val="0ABA1FAF"/>
    <w:rsid w:val="0AC567DB"/>
    <w:rsid w:val="0AD54E41"/>
    <w:rsid w:val="0AE709DF"/>
    <w:rsid w:val="0AF7675C"/>
    <w:rsid w:val="0AF835DA"/>
    <w:rsid w:val="0AFA72AE"/>
    <w:rsid w:val="0B0D2A56"/>
    <w:rsid w:val="0B0E58C2"/>
    <w:rsid w:val="0B1E5942"/>
    <w:rsid w:val="0B200E5B"/>
    <w:rsid w:val="0B6D703F"/>
    <w:rsid w:val="0B6E6D14"/>
    <w:rsid w:val="0BCC230C"/>
    <w:rsid w:val="0BCC2F96"/>
    <w:rsid w:val="0BD3525E"/>
    <w:rsid w:val="0C2F012D"/>
    <w:rsid w:val="0C3B56A2"/>
    <w:rsid w:val="0C57776C"/>
    <w:rsid w:val="0C777ECF"/>
    <w:rsid w:val="0C7B75A3"/>
    <w:rsid w:val="0CB25A78"/>
    <w:rsid w:val="0CB4281B"/>
    <w:rsid w:val="0CD96BAA"/>
    <w:rsid w:val="0D285093"/>
    <w:rsid w:val="0D3B22CE"/>
    <w:rsid w:val="0D565170"/>
    <w:rsid w:val="0D6D43C6"/>
    <w:rsid w:val="0D7956A0"/>
    <w:rsid w:val="0DA25EB9"/>
    <w:rsid w:val="0DAF6CC4"/>
    <w:rsid w:val="0DC20E8F"/>
    <w:rsid w:val="0DC465E5"/>
    <w:rsid w:val="0DD136ED"/>
    <w:rsid w:val="0DE16873"/>
    <w:rsid w:val="0DE53ECB"/>
    <w:rsid w:val="0E001623"/>
    <w:rsid w:val="0E2A6683"/>
    <w:rsid w:val="0E381816"/>
    <w:rsid w:val="0E3C2E78"/>
    <w:rsid w:val="0E457A83"/>
    <w:rsid w:val="0E4816A8"/>
    <w:rsid w:val="0E5F3AD9"/>
    <w:rsid w:val="0E763266"/>
    <w:rsid w:val="0E861A41"/>
    <w:rsid w:val="0E930ADC"/>
    <w:rsid w:val="0E951C6F"/>
    <w:rsid w:val="0EAF71B9"/>
    <w:rsid w:val="0EB472AB"/>
    <w:rsid w:val="0EBA4655"/>
    <w:rsid w:val="0EBD3686"/>
    <w:rsid w:val="0ED60507"/>
    <w:rsid w:val="0EDF39E8"/>
    <w:rsid w:val="0EE030C6"/>
    <w:rsid w:val="0EEE110C"/>
    <w:rsid w:val="0F1A1CEB"/>
    <w:rsid w:val="0F1B4A74"/>
    <w:rsid w:val="0F227143"/>
    <w:rsid w:val="0F523A23"/>
    <w:rsid w:val="0F8366B0"/>
    <w:rsid w:val="0F921E5B"/>
    <w:rsid w:val="0F960548"/>
    <w:rsid w:val="0F9C51B3"/>
    <w:rsid w:val="0FA71DF7"/>
    <w:rsid w:val="0FB241F9"/>
    <w:rsid w:val="0FB80442"/>
    <w:rsid w:val="0FEB39C6"/>
    <w:rsid w:val="10220057"/>
    <w:rsid w:val="103E3BC2"/>
    <w:rsid w:val="10686DD7"/>
    <w:rsid w:val="107A5A50"/>
    <w:rsid w:val="1097352B"/>
    <w:rsid w:val="10B265D2"/>
    <w:rsid w:val="10D17073"/>
    <w:rsid w:val="10DC65A3"/>
    <w:rsid w:val="10E52127"/>
    <w:rsid w:val="10F16E41"/>
    <w:rsid w:val="10F5774F"/>
    <w:rsid w:val="11147358"/>
    <w:rsid w:val="11410EBA"/>
    <w:rsid w:val="11427674"/>
    <w:rsid w:val="114D7EBC"/>
    <w:rsid w:val="11B06FEC"/>
    <w:rsid w:val="11B568C8"/>
    <w:rsid w:val="11C4650B"/>
    <w:rsid w:val="11FD0FCC"/>
    <w:rsid w:val="122519E7"/>
    <w:rsid w:val="12344B73"/>
    <w:rsid w:val="124D5887"/>
    <w:rsid w:val="126D73FC"/>
    <w:rsid w:val="12723F3D"/>
    <w:rsid w:val="127B6546"/>
    <w:rsid w:val="12836D9F"/>
    <w:rsid w:val="12890C4A"/>
    <w:rsid w:val="128A0C76"/>
    <w:rsid w:val="1293075D"/>
    <w:rsid w:val="12977BDD"/>
    <w:rsid w:val="12A156A8"/>
    <w:rsid w:val="12B409A5"/>
    <w:rsid w:val="12B72423"/>
    <w:rsid w:val="12B97435"/>
    <w:rsid w:val="12C74322"/>
    <w:rsid w:val="1305613B"/>
    <w:rsid w:val="13193128"/>
    <w:rsid w:val="131C52B5"/>
    <w:rsid w:val="13235868"/>
    <w:rsid w:val="13346CAC"/>
    <w:rsid w:val="1336396D"/>
    <w:rsid w:val="135E5D77"/>
    <w:rsid w:val="13643A08"/>
    <w:rsid w:val="136D627A"/>
    <w:rsid w:val="13724398"/>
    <w:rsid w:val="137E6124"/>
    <w:rsid w:val="138111EE"/>
    <w:rsid w:val="138A4EA7"/>
    <w:rsid w:val="13A96D9D"/>
    <w:rsid w:val="13B03659"/>
    <w:rsid w:val="13C33F86"/>
    <w:rsid w:val="13E929AC"/>
    <w:rsid w:val="13E930BA"/>
    <w:rsid w:val="13F16E5E"/>
    <w:rsid w:val="13FC5058"/>
    <w:rsid w:val="1416492A"/>
    <w:rsid w:val="142C5957"/>
    <w:rsid w:val="1446686F"/>
    <w:rsid w:val="14660439"/>
    <w:rsid w:val="146C35B2"/>
    <w:rsid w:val="146C5222"/>
    <w:rsid w:val="146D2ACB"/>
    <w:rsid w:val="1489757B"/>
    <w:rsid w:val="14900FF3"/>
    <w:rsid w:val="149C3645"/>
    <w:rsid w:val="14A131E5"/>
    <w:rsid w:val="15035321"/>
    <w:rsid w:val="150A2FF4"/>
    <w:rsid w:val="151117F4"/>
    <w:rsid w:val="15167956"/>
    <w:rsid w:val="154D33BD"/>
    <w:rsid w:val="15500D3E"/>
    <w:rsid w:val="15512C1A"/>
    <w:rsid w:val="15690045"/>
    <w:rsid w:val="15940F8F"/>
    <w:rsid w:val="15A80E00"/>
    <w:rsid w:val="15AA3F09"/>
    <w:rsid w:val="15B11243"/>
    <w:rsid w:val="15D37B32"/>
    <w:rsid w:val="15D72551"/>
    <w:rsid w:val="15DC3758"/>
    <w:rsid w:val="15EB77CB"/>
    <w:rsid w:val="15ED414A"/>
    <w:rsid w:val="15F03BC4"/>
    <w:rsid w:val="162A47DD"/>
    <w:rsid w:val="163C264A"/>
    <w:rsid w:val="16493F29"/>
    <w:rsid w:val="164A09B4"/>
    <w:rsid w:val="16554771"/>
    <w:rsid w:val="16585CCF"/>
    <w:rsid w:val="165967D8"/>
    <w:rsid w:val="165D640E"/>
    <w:rsid w:val="168A1109"/>
    <w:rsid w:val="16AE0DFA"/>
    <w:rsid w:val="16B14A23"/>
    <w:rsid w:val="16BA18F3"/>
    <w:rsid w:val="16BB7FDD"/>
    <w:rsid w:val="16BC1CD4"/>
    <w:rsid w:val="16C227B0"/>
    <w:rsid w:val="16C35E35"/>
    <w:rsid w:val="16C80BA2"/>
    <w:rsid w:val="16E8283F"/>
    <w:rsid w:val="16FD38E2"/>
    <w:rsid w:val="170F4521"/>
    <w:rsid w:val="171E1B23"/>
    <w:rsid w:val="171F40CB"/>
    <w:rsid w:val="172942B2"/>
    <w:rsid w:val="17302FB6"/>
    <w:rsid w:val="1733347C"/>
    <w:rsid w:val="175055D6"/>
    <w:rsid w:val="176F07FB"/>
    <w:rsid w:val="177C171E"/>
    <w:rsid w:val="178B4A91"/>
    <w:rsid w:val="17AF2C3B"/>
    <w:rsid w:val="17B13C76"/>
    <w:rsid w:val="17B40C26"/>
    <w:rsid w:val="17BC1C5C"/>
    <w:rsid w:val="17FB00E8"/>
    <w:rsid w:val="18004664"/>
    <w:rsid w:val="18096C97"/>
    <w:rsid w:val="180C273E"/>
    <w:rsid w:val="1812319A"/>
    <w:rsid w:val="181746F0"/>
    <w:rsid w:val="1819154B"/>
    <w:rsid w:val="18433922"/>
    <w:rsid w:val="18477349"/>
    <w:rsid w:val="188C1B9A"/>
    <w:rsid w:val="189D15A6"/>
    <w:rsid w:val="18B33F11"/>
    <w:rsid w:val="19124546"/>
    <w:rsid w:val="191E39FF"/>
    <w:rsid w:val="191E489B"/>
    <w:rsid w:val="19320D13"/>
    <w:rsid w:val="194A24B2"/>
    <w:rsid w:val="194E797F"/>
    <w:rsid w:val="195257A2"/>
    <w:rsid w:val="199F78EA"/>
    <w:rsid w:val="19BE56ED"/>
    <w:rsid w:val="19DF68EA"/>
    <w:rsid w:val="19EA19E4"/>
    <w:rsid w:val="19FC3BBB"/>
    <w:rsid w:val="1A2E72EB"/>
    <w:rsid w:val="1A4968EB"/>
    <w:rsid w:val="1A586EEF"/>
    <w:rsid w:val="1A7C4E43"/>
    <w:rsid w:val="1A7F6362"/>
    <w:rsid w:val="1A922568"/>
    <w:rsid w:val="1AA827BF"/>
    <w:rsid w:val="1AAC1492"/>
    <w:rsid w:val="1ABF12A4"/>
    <w:rsid w:val="1AC35C43"/>
    <w:rsid w:val="1AD968F1"/>
    <w:rsid w:val="1ADA0917"/>
    <w:rsid w:val="1AED191D"/>
    <w:rsid w:val="1B075D1D"/>
    <w:rsid w:val="1B141CEE"/>
    <w:rsid w:val="1B1E69E8"/>
    <w:rsid w:val="1B24410A"/>
    <w:rsid w:val="1B2770C4"/>
    <w:rsid w:val="1B2D71D1"/>
    <w:rsid w:val="1B371349"/>
    <w:rsid w:val="1B487F31"/>
    <w:rsid w:val="1B542B81"/>
    <w:rsid w:val="1B634E28"/>
    <w:rsid w:val="1B68176B"/>
    <w:rsid w:val="1B8865E6"/>
    <w:rsid w:val="1B90152F"/>
    <w:rsid w:val="1B9F3B5C"/>
    <w:rsid w:val="1BAA0724"/>
    <w:rsid w:val="1BAA1175"/>
    <w:rsid w:val="1BB80002"/>
    <w:rsid w:val="1BEE6BEA"/>
    <w:rsid w:val="1BFF3836"/>
    <w:rsid w:val="1C052A7D"/>
    <w:rsid w:val="1C2D168A"/>
    <w:rsid w:val="1C2D19DF"/>
    <w:rsid w:val="1C514B7E"/>
    <w:rsid w:val="1C5F782F"/>
    <w:rsid w:val="1C663F30"/>
    <w:rsid w:val="1C676ADD"/>
    <w:rsid w:val="1C6F4E53"/>
    <w:rsid w:val="1C7B4A4F"/>
    <w:rsid w:val="1C9468DC"/>
    <w:rsid w:val="1CA75D01"/>
    <w:rsid w:val="1CAB2142"/>
    <w:rsid w:val="1CC42BDF"/>
    <w:rsid w:val="1CE6771E"/>
    <w:rsid w:val="1D037CB9"/>
    <w:rsid w:val="1D1553F8"/>
    <w:rsid w:val="1D312395"/>
    <w:rsid w:val="1D36686F"/>
    <w:rsid w:val="1D396D4A"/>
    <w:rsid w:val="1D4973CD"/>
    <w:rsid w:val="1D542100"/>
    <w:rsid w:val="1D544B32"/>
    <w:rsid w:val="1D5B0857"/>
    <w:rsid w:val="1D6A3F1B"/>
    <w:rsid w:val="1D6D1775"/>
    <w:rsid w:val="1D6E4657"/>
    <w:rsid w:val="1D90722B"/>
    <w:rsid w:val="1D927929"/>
    <w:rsid w:val="1DAD09D5"/>
    <w:rsid w:val="1DB52A07"/>
    <w:rsid w:val="1DB679B6"/>
    <w:rsid w:val="1DC0379C"/>
    <w:rsid w:val="1DDE06FD"/>
    <w:rsid w:val="1DE46B66"/>
    <w:rsid w:val="1E241105"/>
    <w:rsid w:val="1E283E93"/>
    <w:rsid w:val="1E576198"/>
    <w:rsid w:val="1E776FA8"/>
    <w:rsid w:val="1E8354A5"/>
    <w:rsid w:val="1E976754"/>
    <w:rsid w:val="1EE36AF5"/>
    <w:rsid w:val="1F232988"/>
    <w:rsid w:val="1F3200E5"/>
    <w:rsid w:val="1F39012D"/>
    <w:rsid w:val="1F3B231E"/>
    <w:rsid w:val="1F501AAA"/>
    <w:rsid w:val="1F774B6C"/>
    <w:rsid w:val="1F7D51C6"/>
    <w:rsid w:val="1F8F07D6"/>
    <w:rsid w:val="1FAB2A10"/>
    <w:rsid w:val="1FC76194"/>
    <w:rsid w:val="1FC90A6F"/>
    <w:rsid w:val="1FD61EA2"/>
    <w:rsid w:val="1FD926CB"/>
    <w:rsid w:val="1FDE0E75"/>
    <w:rsid w:val="1FE6737E"/>
    <w:rsid w:val="1FE87B63"/>
    <w:rsid w:val="1FF12140"/>
    <w:rsid w:val="20094296"/>
    <w:rsid w:val="20295438"/>
    <w:rsid w:val="2035677C"/>
    <w:rsid w:val="204D4CD3"/>
    <w:rsid w:val="2059562E"/>
    <w:rsid w:val="208259E0"/>
    <w:rsid w:val="20847771"/>
    <w:rsid w:val="20B56086"/>
    <w:rsid w:val="20C216BE"/>
    <w:rsid w:val="20E467EA"/>
    <w:rsid w:val="210757FE"/>
    <w:rsid w:val="21113BF7"/>
    <w:rsid w:val="213E22A0"/>
    <w:rsid w:val="213E7F04"/>
    <w:rsid w:val="21465993"/>
    <w:rsid w:val="21495E9E"/>
    <w:rsid w:val="21633F88"/>
    <w:rsid w:val="217869A3"/>
    <w:rsid w:val="21C85928"/>
    <w:rsid w:val="21D91DC1"/>
    <w:rsid w:val="21E1488C"/>
    <w:rsid w:val="220D4F50"/>
    <w:rsid w:val="221A59A6"/>
    <w:rsid w:val="222839F2"/>
    <w:rsid w:val="222F6F12"/>
    <w:rsid w:val="22333CFA"/>
    <w:rsid w:val="224075CC"/>
    <w:rsid w:val="224079F9"/>
    <w:rsid w:val="22696476"/>
    <w:rsid w:val="22736D94"/>
    <w:rsid w:val="227975A9"/>
    <w:rsid w:val="227C3D97"/>
    <w:rsid w:val="22844BA2"/>
    <w:rsid w:val="22952E2E"/>
    <w:rsid w:val="22A416CE"/>
    <w:rsid w:val="22BA2AC9"/>
    <w:rsid w:val="23031D2D"/>
    <w:rsid w:val="23037D08"/>
    <w:rsid w:val="230902AD"/>
    <w:rsid w:val="23111926"/>
    <w:rsid w:val="2312593A"/>
    <w:rsid w:val="231C1863"/>
    <w:rsid w:val="231D4C95"/>
    <w:rsid w:val="23492FEA"/>
    <w:rsid w:val="23630647"/>
    <w:rsid w:val="23653F2A"/>
    <w:rsid w:val="2367773E"/>
    <w:rsid w:val="2371604F"/>
    <w:rsid w:val="239E692A"/>
    <w:rsid w:val="23A46882"/>
    <w:rsid w:val="23BD043D"/>
    <w:rsid w:val="23DD1CA1"/>
    <w:rsid w:val="23E0234F"/>
    <w:rsid w:val="23EE7EF8"/>
    <w:rsid w:val="23F24841"/>
    <w:rsid w:val="23FA1861"/>
    <w:rsid w:val="243C71DC"/>
    <w:rsid w:val="24423D78"/>
    <w:rsid w:val="24455865"/>
    <w:rsid w:val="244B5715"/>
    <w:rsid w:val="24AA6BDC"/>
    <w:rsid w:val="24AF0749"/>
    <w:rsid w:val="24AF12B2"/>
    <w:rsid w:val="24BE0243"/>
    <w:rsid w:val="24CC0250"/>
    <w:rsid w:val="24D13640"/>
    <w:rsid w:val="24D3608E"/>
    <w:rsid w:val="24F0333E"/>
    <w:rsid w:val="24F370CF"/>
    <w:rsid w:val="24F55290"/>
    <w:rsid w:val="24F8107D"/>
    <w:rsid w:val="252058E2"/>
    <w:rsid w:val="2554503E"/>
    <w:rsid w:val="25570F74"/>
    <w:rsid w:val="255913B1"/>
    <w:rsid w:val="25665B84"/>
    <w:rsid w:val="256B741C"/>
    <w:rsid w:val="256C0FB5"/>
    <w:rsid w:val="256C234F"/>
    <w:rsid w:val="257432E3"/>
    <w:rsid w:val="25755904"/>
    <w:rsid w:val="258A6494"/>
    <w:rsid w:val="25AA73F4"/>
    <w:rsid w:val="25B61F3B"/>
    <w:rsid w:val="25B679B8"/>
    <w:rsid w:val="25C16416"/>
    <w:rsid w:val="25DB0737"/>
    <w:rsid w:val="25E22017"/>
    <w:rsid w:val="25ED7C21"/>
    <w:rsid w:val="25EF2012"/>
    <w:rsid w:val="25FC3C4D"/>
    <w:rsid w:val="260F2758"/>
    <w:rsid w:val="26137BEB"/>
    <w:rsid w:val="266046AC"/>
    <w:rsid w:val="26945741"/>
    <w:rsid w:val="26956887"/>
    <w:rsid w:val="26A02447"/>
    <w:rsid w:val="26B14121"/>
    <w:rsid w:val="26CF0445"/>
    <w:rsid w:val="26D03A4F"/>
    <w:rsid w:val="26EF2F1C"/>
    <w:rsid w:val="26F431BA"/>
    <w:rsid w:val="271E1A50"/>
    <w:rsid w:val="27263CA1"/>
    <w:rsid w:val="27293A95"/>
    <w:rsid w:val="272A4721"/>
    <w:rsid w:val="272B36FC"/>
    <w:rsid w:val="272C0D3F"/>
    <w:rsid w:val="272D3F2A"/>
    <w:rsid w:val="27391066"/>
    <w:rsid w:val="275F43DA"/>
    <w:rsid w:val="27732C02"/>
    <w:rsid w:val="279E4EF7"/>
    <w:rsid w:val="27AE639B"/>
    <w:rsid w:val="27B079C1"/>
    <w:rsid w:val="27D642F4"/>
    <w:rsid w:val="27E3288F"/>
    <w:rsid w:val="27F97FE9"/>
    <w:rsid w:val="281F5DBD"/>
    <w:rsid w:val="282F71E1"/>
    <w:rsid w:val="28565744"/>
    <w:rsid w:val="28610762"/>
    <w:rsid w:val="286C41F3"/>
    <w:rsid w:val="28811E52"/>
    <w:rsid w:val="2883240B"/>
    <w:rsid w:val="28986450"/>
    <w:rsid w:val="28A91EC8"/>
    <w:rsid w:val="28AF2C05"/>
    <w:rsid w:val="28C6316C"/>
    <w:rsid w:val="28CB4DDC"/>
    <w:rsid w:val="28DA35D4"/>
    <w:rsid w:val="28DD4774"/>
    <w:rsid w:val="28E45DF1"/>
    <w:rsid w:val="28F0335B"/>
    <w:rsid w:val="28F80E75"/>
    <w:rsid w:val="28FB65E3"/>
    <w:rsid w:val="28FD4B5E"/>
    <w:rsid w:val="29025905"/>
    <w:rsid w:val="291E3799"/>
    <w:rsid w:val="29361D11"/>
    <w:rsid w:val="29513E9D"/>
    <w:rsid w:val="296323DF"/>
    <w:rsid w:val="2990381D"/>
    <w:rsid w:val="29905216"/>
    <w:rsid w:val="29B16187"/>
    <w:rsid w:val="29CF2848"/>
    <w:rsid w:val="29E54E2D"/>
    <w:rsid w:val="29F8108E"/>
    <w:rsid w:val="29FE3F5A"/>
    <w:rsid w:val="2A1C5EC8"/>
    <w:rsid w:val="2A3C7518"/>
    <w:rsid w:val="2A3E2EBF"/>
    <w:rsid w:val="2A484A56"/>
    <w:rsid w:val="2A72150C"/>
    <w:rsid w:val="2A754076"/>
    <w:rsid w:val="2AE141B6"/>
    <w:rsid w:val="2AF03B34"/>
    <w:rsid w:val="2AF0559F"/>
    <w:rsid w:val="2B0B681C"/>
    <w:rsid w:val="2B164E19"/>
    <w:rsid w:val="2B1E2CD5"/>
    <w:rsid w:val="2B303442"/>
    <w:rsid w:val="2B345CDB"/>
    <w:rsid w:val="2B37601D"/>
    <w:rsid w:val="2B451883"/>
    <w:rsid w:val="2B512E9C"/>
    <w:rsid w:val="2B5F5ABE"/>
    <w:rsid w:val="2B6228C3"/>
    <w:rsid w:val="2B77063C"/>
    <w:rsid w:val="2BAD7356"/>
    <w:rsid w:val="2BBD04C8"/>
    <w:rsid w:val="2BCA63E5"/>
    <w:rsid w:val="2BD25E8D"/>
    <w:rsid w:val="2BD44863"/>
    <w:rsid w:val="2BDF28B4"/>
    <w:rsid w:val="2BE91B3D"/>
    <w:rsid w:val="2C0F631D"/>
    <w:rsid w:val="2C2E396A"/>
    <w:rsid w:val="2C313F6E"/>
    <w:rsid w:val="2C3D3EC5"/>
    <w:rsid w:val="2C412166"/>
    <w:rsid w:val="2C564D86"/>
    <w:rsid w:val="2C797B17"/>
    <w:rsid w:val="2C9224AC"/>
    <w:rsid w:val="2C96001E"/>
    <w:rsid w:val="2C9B12CE"/>
    <w:rsid w:val="2CA8303D"/>
    <w:rsid w:val="2CC656B3"/>
    <w:rsid w:val="2CD61401"/>
    <w:rsid w:val="2CF123CB"/>
    <w:rsid w:val="2D0D656C"/>
    <w:rsid w:val="2D1C6DA5"/>
    <w:rsid w:val="2D211F5E"/>
    <w:rsid w:val="2D2D0D2A"/>
    <w:rsid w:val="2D2F0ED7"/>
    <w:rsid w:val="2D3452F7"/>
    <w:rsid w:val="2D641E53"/>
    <w:rsid w:val="2D6C3387"/>
    <w:rsid w:val="2D7C0D07"/>
    <w:rsid w:val="2D964DEF"/>
    <w:rsid w:val="2DCE44C2"/>
    <w:rsid w:val="2E151B50"/>
    <w:rsid w:val="2E1C47CC"/>
    <w:rsid w:val="2E200FA9"/>
    <w:rsid w:val="2E257331"/>
    <w:rsid w:val="2E3256A1"/>
    <w:rsid w:val="2E370DEE"/>
    <w:rsid w:val="2E382DE5"/>
    <w:rsid w:val="2E4D6547"/>
    <w:rsid w:val="2E74387D"/>
    <w:rsid w:val="2E930F46"/>
    <w:rsid w:val="2E9E2C80"/>
    <w:rsid w:val="2EA57831"/>
    <w:rsid w:val="2EAE482B"/>
    <w:rsid w:val="2EAF5FC4"/>
    <w:rsid w:val="2EB46300"/>
    <w:rsid w:val="2EB95320"/>
    <w:rsid w:val="2EBB4650"/>
    <w:rsid w:val="2EBD1E5E"/>
    <w:rsid w:val="2ECE640C"/>
    <w:rsid w:val="2EE356A6"/>
    <w:rsid w:val="2EEC0DD1"/>
    <w:rsid w:val="2EF24461"/>
    <w:rsid w:val="2EFD2D39"/>
    <w:rsid w:val="2EFF109D"/>
    <w:rsid w:val="2F087B7B"/>
    <w:rsid w:val="2F324093"/>
    <w:rsid w:val="2F5C2562"/>
    <w:rsid w:val="2F6A2443"/>
    <w:rsid w:val="2F7A4D80"/>
    <w:rsid w:val="2F7B222C"/>
    <w:rsid w:val="2F8256E8"/>
    <w:rsid w:val="2F94032C"/>
    <w:rsid w:val="2FB36078"/>
    <w:rsid w:val="2FC524E1"/>
    <w:rsid w:val="2FE0721C"/>
    <w:rsid w:val="300D740D"/>
    <w:rsid w:val="301047AD"/>
    <w:rsid w:val="3015291F"/>
    <w:rsid w:val="302B7D68"/>
    <w:rsid w:val="3036148E"/>
    <w:rsid w:val="303F0287"/>
    <w:rsid w:val="30567D0A"/>
    <w:rsid w:val="30600615"/>
    <w:rsid w:val="307134C3"/>
    <w:rsid w:val="307B42B2"/>
    <w:rsid w:val="307E7949"/>
    <w:rsid w:val="308A7D8A"/>
    <w:rsid w:val="30BE41F9"/>
    <w:rsid w:val="30D02144"/>
    <w:rsid w:val="30D43C9A"/>
    <w:rsid w:val="30DF4157"/>
    <w:rsid w:val="30EA42FD"/>
    <w:rsid w:val="30F524B2"/>
    <w:rsid w:val="3126467E"/>
    <w:rsid w:val="31371E66"/>
    <w:rsid w:val="313A668D"/>
    <w:rsid w:val="313D179D"/>
    <w:rsid w:val="314F4AAE"/>
    <w:rsid w:val="3157339C"/>
    <w:rsid w:val="31641EFD"/>
    <w:rsid w:val="319637E8"/>
    <w:rsid w:val="31AC5F6D"/>
    <w:rsid w:val="31B65AEE"/>
    <w:rsid w:val="31BC773E"/>
    <w:rsid w:val="31C31761"/>
    <w:rsid w:val="31C5610F"/>
    <w:rsid w:val="31CC63F4"/>
    <w:rsid w:val="31DA376C"/>
    <w:rsid w:val="32075FF9"/>
    <w:rsid w:val="32090E37"/>
    <w:rsid w:val="32155EF0"/>
    <w:rsid w:val="322130A9"/>
    <w:rsid w:val="322D2641"/>
    <w:rsid w:val="323B661A"/>
    <w:rsid w:val="323C3AE6"/>
    <w:rsid w:val="323E0027"/>
    <w:rsid w:val="32506261"/>
    <w:rsid w:val="325B7388"/>
    <w:rsid w:val="32622C94"/>
    <w:rsid w:val="326C191E"/>
    <w:rsid w:val="32895D67"/>
    <w:rsid w:val="3293193F"/>
    <w:rsid w:val="32936E35"/>
    <w:rsid w:val="32970C22"/>
    <w:rsid w:val="32B13C6D"/>
    <w:rsid w:val="32BC242C"/>
    <w:rsid w:val="32CA6456"/>
    <w:rsid w:val="32CF18CC"/>
    <w:rsid w:val="32CF72BF"/>
    <w:rsid w:val="32F07E9E"/>
    <w:rsid w:val="32FB2F34"/>
    <w:rsid w:val="330975F6"/>
    <w:rsid w:val="330D0BEB"/>
    <w:rsid w:val="330D25C6"/>
    <w:rsid w:val="3314149D"/>
    <w:rsid w:val="331A2870"/>
    <w:rsid w:val="33287688"/>
    <w:rsid w:val="33434310"/>
    <w:rsid w:val="334B3FAB"/>
    <w:rsid w:val="335A2349"/>
    <w:rsid w:val="33635381"/>
    <w:rsid w:val="338656E4"/>
    <w:rsid w:val="339133B6"/>
    <w:rsid w:val="3394597F"/>
    <w:rsid w:val="33B50C44"/>
    <w:rsid w:val="33C07AF4"/>
    <w:rsid w:val="342A5E41"/>
    <w:rsid w:val="34446177"/>
    <w:rsid w:val="344B6ED4"/>
    <w:rsid w:val="344C4197"/>
    <w:rsid w:val="34673B12"/>
    <w:rsid w:val="34674ABF"/>
    <w:rsid w:val="3476002E"/>
    <w:rsid w:val="34887B2C"/>
    <w:rsid w:val="34A76F0A"/>
    <w:rsid w:val="34C208FD"/>
    <w:rsid w:val="34DB2F73"/>
    <w:rsid w:val="34E03DB5"/>
    <w:rsid w:val="34E82C66"/>
    <w:rsid w:val="350807A8"/>
    <w:rsid w:val="3510672F"/>
    <w:rsid w:val="35224BBB"/>
    <w:rsid w:val="352819E8"/>
    <w:rsid w:val="352E7721"/>
    <w:rsid w:val="35450298"/>
    <w:rsid w:val="355B616C"/>
    <w:rsid w:val="355B7C45"/>
    <w:rsid w:val="355D247E"/>
    <w:rsid w:val="35802D60"/>
    <w:rsid w:val="358D55F1"/>
    <w:rsid w:val="3590064E"/>
    <w:rsid w:val="35972A5A"/>
    <w:rsid w:val="35AE2C2F"/>
    <w:rsid w:val="35B93CDA"/>
    <w:rsid w:val="35CC5F98"/>
    <w:rsid w:val="35E61BC9"/>
    <w:rsid w:val="35F26FC0"/>
    <w:rsid w:val="36010FB1"/>
    <w:rsid w:val="360D1836"/>
    <w:rsid w:val="361A0C8A"/>
    <w:rsid w:val="362152FD"/>
    <w:rsid w:val="362241CC"/>
    <w:rsid w:val="3623361D"/>
    <w:rsid w:val="363A5D48"/>
    <w:rsid w:val="36675EE2"/>
    <w:rsid w:val="36712425"/>
    <w:rsid w:val="367528E0"/>
    <w:rsid w:val="369B64AE"/>
    <w:rsid w:val="369C741A"/>
    <w:rsid w:val="36A6210C"/>
    <w:rsid w:val="36B564B4"/>
    <w:rsid w:val="36BE599C"/>
    <w:rsid w:val="36C056FD"/>
    <w:rsid w:val="36C25D64"/>
    <w:rsid w:val="36C91E36"/>
    <w:rsid w:val="36E47938"/>
    <w:rsid w:val="36E602DC"/>
    <w:rsid w:val="36EB5659"/>
    <w:rsid w:val="36F87994"/>
    <w:rsid w:val="36FD7B0D"/>
    <w:rsid w:val="3708258A"/>
    <w:rsid w:val="37082CF7"/>
    <w:rsid w:val="37154F64"/>
    <w:rsid w:val="37274FD9"/>
    <w:rsid w:val="37277667"/>
    <w:rsid w:val="37346646"/>
    <w:rsid w:val="373C66E6"/>
    <w:rsid w:val="37464DA1"/>
    <w:rsid w:val="37995199"/>
    <w:rsid w:val="37A12C57"/>
    <w:rsid w:val="37D5242B"/>
    <w:rsid w:val="37DC0954"/>
    <w:rsid w:val="37FD7D7C"/>
    <w:rsid w:val="38190EC1"/>
    <w:rsid w:val="381E13AC"/>
    <w:rsid w:val="38267191"/>
    <w:rsid w:val="382E442C"/>
    <w:rsid w:val="383704C4"/>
    <w:rsid w:val="38564E76"/>
    <w:rsid w:val="3863435C"/>
    <w:rsid w:val="38782A52"/>
    <w:rsid w:val="38867B64"/>
    <w:rsid w:val="38A23BFF"/>
    <w:rsid w:val="38AB0436"/>
    <w:rsid w:val="38AD7C82"/>
    <w:rsid w:val="38B70A56"/>
    <w:rsid w:val="38D536BD"/>
    <w:rsid w:val="38DC150C"/>
    <w:rsid w:val="38DD36BB"/>
    <w:rsid w:val="38FC59F0"/>
    <w:rsid w:val="39005CE7"/>
    <w:rsid w:val="390B1242"/>
    <w:rsid w:val="39434054"/>
    <w:rsid w:val="39680B72"/>
    <w:rsid w:val="398217F2"/>
    <w:rsid w:val="399E405C"/>
    <w:rsid w:val="39AE41DE"/>
    <w:rsid w:val="39D36E4D"/>
    <w:rsid w:val="39DB6ED1"/>
    <w:rsid w:val="39E62C55"/>
    <w:rsid w:val="39EB3821"/>
    <w:rsid w:val="39F50E33"/>
    <w:rsid w:val="3A030CCA"/>
    <w:rsid w:val="3A06784F"/>
    <w:rsid w:val="3A092EFA"/>
    <w:rsid w:val="3A576C59"/>
    <w:rsid w:val="3A5B05CE"/>
    <w:rsid w:val="3A7C2F10"/>
    <w:rsid w:val="3A81001B"/>
    <w:rsid w:val="3A851961"/>
    <w:rsid w:val="3A863A18"/>
    <w:rsid w:val="3A93382A"/>
    <w:rsid w:val="3AA86EEA"/>
    <w:rsid w:val="3AB5279B"/>
    <w:rsid w:val="3AC27A31"/>
    <w:rsid w:val="3AD51B36"/>
    <w:rsid w:val="3AE65EB9"/>
    <w:rsid w:val="3AEC54A8"/>
    <w:rsid w:val="3AF2458C"/>
    <w:rsid w:val="3AF30F35"/>
    <w:rsid w:val="3B0D14D6"/>
    <w:rsid w:val="3B186BAE"/>
    <w:rsid w:val="3B3F2668"/>
    <w:rsid w:val="3B415444"/>
    <w:rsid w:val="3B44499C"/>
    <w:rsid w:val="3B4E2997"/>
    <w:rsid w:val="3B655A3A"/>
    <w:rsid w:val="3B8A435C"/>
    <w:rsid w:val="3BBF0221"/>
    <w:rsid w:val="3BCF4AA0"/>
    <w:rsid w:val="3BD62D21"/>
    <w:rsid w:val="3BE677F1"/>
    <w:rsid w:val="3BE858FF"/>
    <w:rsid w:val="3BEA4491"/>
    <w:rsid w:val="3BFF4A3E"/>
    <w:rsid w:val="3C0F1D99"/>
    <w:rsid w:val="3C117AFC"/>
    <w:rsid w:val="3C196564"/>
    <w:rsid w:val="3C1E1F51"/>
    <w:rsid w:val="3C31002E"/>
    <w:rsid w:val="3C3927B0"/>
    <w:rsid w:val="3C626BC9"/>
    <w:rsid w:val="3C672E60"/>
    <w:rsid w:val="3C687F58"/>
    <w:rsid w:val="3C694662"/>
    <w:rsid w:val="3C975A23"/>
    <w:rsid w:val="3CBF0DCB"/>
    <w:rsid w:val="3CCF5D27"/>
    <w:rsid w:val="3CD127FC"/>
    <w:rsid w:val="3CDD0F17"/>
    <w:rsid w:val="3CDE0DDF"/>
    <w:rsid w:val="3CEB6971"/>
    <w:rsid w:val="3CEE62D5"/>
    <w:rsid w:val="3D063397"/>
    <w:rsid w:val="3D1612F6"/>
    <w:rsid w:val="3D3C3AED"/>
    <w:rsid w:val="3D49491C"/>
    <w:rsid w:val="3D506198"/>
    <w:rsid w:val="3D742981"/>
    <w:rsid w:val="3D822082"/>
    <w:rsid w:val="3D982CB1"/>
    <w:rsid w:val="3DA51518"/>
    <w:rsid w:val="3DAA0345"/>
    <w:rsid w:val="3DB421A0"/>
    <w:rsid w:val="3DBF5617"/>
    <w:rsid w:val="3DC01453"/>
    <w:rsid w:val="3DD85298"/>
    <w:rsid w:val="3DF75171"/>
    <w:rsid w:val="3DFD1F83"/>
    <w:rsid w:val="3DFE042B"/>
    <w:rsid w:val="3E051DE8"/>
    <w:rsid w:val="3E064613"/>
    <w:rsid w:val="3E1D67D6"/>
    <w:rsid w:val="3E295173"/>
    <w:rsid w:val="3E3E516D"/>
    <w:rsid w:val="3E4D2EF7"/>
    <w:rsid w:val="3E4F60C2"/>
    <w:rsid w:val="3E684914"/>
    <w:rsid w:val="3E6D40DE"/>
    <w:rsid w:val="3EA52AE3"/>
    <w:rsid w:val="3EB0577A"/>
    <w:rsid w:val="3EBC4035"/>
    <w:rsid w:val="3EF267BD"/>
    <w:rsid w:val="3EF95FFE"/>
    <w:rsid w:val="3F1D7BCF"/>
    <w:rsid w:val="3F204A99"/>
    <w:rsid w:val="3F2D7071"/>
    <w:rsid w:val="3F32132C"/>
    <w:rsid w:val="3F324909"/>
    <w:rsid w:val="3F332837"/>
    <w:rsid w:val="3F38621C"/>
    <w:rsid w:val="3F57699B"/>
    <w:rsid w:val="3F8E13DE"/>
    <w:rsid w:val="3FA13DEA"/>
    <w:rsid w:val="3FB3410F"/>
    <w:rsid w:val="3FC84C9E"/>
    <w:rsid w:val="3FCA1B42"/>
    <w:rsid w:val="3FCE0156"/>
    <w:rsid w:val="3FD41E4F"/>
    <w:rsid w:val="3FD44C52"/>
    <w:rsid w:val="4008024D"/>
    <w:rsid w:val="40090017"/>
    <w:rsid w:val="401A783F"/>
    <w:rsid w:val="402146F9"/>
    <w:rsid w:val="403365E8"/>
    <w:rsid w:val="40684300"/>
    <w:rsid w:val="406B5C08"/>
    <w:rsid w:val="406C464C"/>
    <w:rsid w:val="40833290"/>
    <w:rsid w:val="40840CD2"/>
    <w:rsid w:val="4096730E"/>
    <w:rsid w:val="409C70B2"/>
    <w:rsid w:val="40A02788"/>
    <w:rsid w:val="40B2779A"/>
    <w:rsid w:val="40C402B9"/>
    <w:rsid w:val="40CD59A9"/>
    <w:rsid w:val="40F94FF7"/>
    <w:rsid w:val="411150E1"/>
    <w:rsid w:val="411E0EED"/>
    <w:rsid w:val="41342F1C"/>
    <w:rsid w:val="413A43FF"/>
    <w:rsid w:val="414F3518"/>
    <w:rsid w:val="41594AAB"/>
    <w:rsid w:val="416255A9"/>
    <w:rsid w:val="416408B3"/>
    <w:rsid w:val="416D7EF0"/>
    <w:rsid w:val="417B26FB"/>
    <w:rsid w:val="417E338B"/>
    <w:rsid w:val="41A926E2"/>
    <w:rsid w:val="41C7462F"/>
    <w:rsid w:val="41DA54D8"/>
    <w:rsid w:val="41E66E11"/>
    <w:rsid w:val="41F12FE5"/>
    <w:rsid w:val="41FA4A3C"/>
    <w:rsid w:val="42312482"/>
    <w:rsid w:val="4234358D"/>
    <w:rsid w:val="42424EE2"/>
    <w:rsid w:val="42555CF4"/>
    <w:rsid w:val="425B0788"/>
    <w:rsid w:val="426E6B65"/>
    <w:rsid w:val="4294451E"/>
    <w:rsid w:val="42A25448"/>
    <w:rsid w:val="42B65C4E"/>
    <w:rsid w:val="42BB0055"/>
    <w:rsid w:val="42C43F0C"/>
    <w:rsid w:val="42E419B0"/>
    <w:rsid w:val="42E8372F"/>
    <w:rsid w:val="430D78C6"/>
    <w:rsid w:val="431033BD"/>
    <w:rsid w:val="434B19EE"/>
    <w:rsid w:val="43584C70"/>
    <w:rsid w:val="4381785E"/>
    <w:rsid w:val="4383495D"/>
    <w:rsid w:val="438376F3"/>
    <w:rsid w:val="4387467C"/>
    <w:rsid w:val="43956DE7"/>
    <w:rsid w:val="43AC215C"/>
    <w:rsid w:val="43BD3D85"/>
    <w:rsid w:val="43DF347A"/>
    <w:rsid w:val="44240331"/>
    <w:rsid w:val="44343752"/>
    <w:rsid w:val="444520FD"/>
    <w:rsid w:val="444A101C"/>
    <w:rsid w:val="445E66A7"/>
    <w:rsid w:val="446833F7"/>
    <w:rsid w:val="446852AD"/>
    <w:rsid w:val="446F759B"/>
    <w:rsid w:val="447B17CD"/>
    <w:rsid w:val="447F09DF"/>
    <w:rsid w:val="44816F9D"/>
    <w:rsid w:val="44AB5D13"/>
    <w:rsid w:val="44B44858"/>
    <w:rsid w:val="44BE3E76"/>
    <w:rsid w:val="44F91551"/>
    <w:rsid w:val="452D25F5"/>
    <w:rsid w:val="45332247"/>
    <w:rsid w:val="453354FC"/>
    <w:rsid w:val="454A0A68"/>
    <w:rsid w:val="45652AF8"/>
    <w:rsid w:val="458E23F3"/>
    <w:rsid w:val="45C34DF0"/>
    <w:rsid w:val="45CE2A73"/>
    <w:rsid w:val="45ED064D"/>
    <w:rsid w:val="46094EB3"/>
    <w:rsid w:val="46162E4E"/>
    <w:rsid w:val="461A17B1"/>
    <w:rsid w:val="46205E07"/>
    <w:rsid w:val="46213240"/>
    <w:rsid w:val="46334018"/>
    <w:rsid w:val="4638462A"/>
    <w:rsid w:val="46387C31"/>
    <w:rsid w:val="464E7278"/>
    <w:rsid w:val="465B53CD"/>
    <w:rsid w:val="46613679"/>
    <w:rsid w:val="468518EA"/>
    <w:rsid w:val="46AD492E"/>
    <w:rsid w:val="46C500F1"/>
    <w:rsid w:val="46CE47EC"/>
    <w:rsid w:val="46DC24F1"/>
    <w:rsid w:val="46EA4DCC"/>
    <w:rsid w:val="46EC1452"/>
    <w:rsid w:val="47082795"/>
    <w:rsid w:val="4712301E"/>
    <w:rsid w:val="47226130"/>
    <w:rsid w:val="476513C6"/>
    <w:rsid w:val="4778684C"/>
    <w:rsid w:val="477D70FC"/>
    <w:rsid w:val="477E4FF4"/>
    <w:rsid w:val="47923B78"/>
    <w:rsid w:val="47A054BC"/>
    <w:rsid w:val="47AF3744"/>
    <w:rsid w:val="47CD6B6F"/>
    <w:rsid w:val="47EB3DDE"/>
    <w:rsid w:val="482617AF"/>
    <w:rsid w:val="48380285"/>
    <w:rsid w:val="48401776"/>
    <w:rsid w:val="48546305"/>
    <w:rsid w:val="485F5CAF"/>
    <w:rsid w:val="4889717B"/>
    <w:rsid w:val="489B7650"/>
    <w:rsid w:val="48A01734"/>
    <w:rsid w:val="48C53DC3"/>
    <w:rsid w:val="48C96EBA"/>
    <w:rsid w:val="48CB08FD"/>
    <w:rsid w:val="48D61428"/>
    <w:rsid w:val="48D77B39"/>
    <w:rsid w:val="490C2DB1"/>
    <w:rsid w:val="49166B47"/>
    <w:rsid w:val="491D58A0"/>
    <w:rsid w:val="492152F7"/>
    <w:rsid w:val="49275E34"/>
    <w:rsid w:val="493E4399"/>
    <w:rsid w:val="49521CA9"/>
    <w:rsid w:val="49544A87"/>
    <w:rsid w:val="4967648B"/>
    <w:rsid w:val="496A0BF5"/>
    <w:rsid w:val="49870D1A"/>
    <w:rsid w:val="498F599D"/>
    <w:rsid w:val="499B5CB2"/>
    <w:rsid w:val="49A93BD9"/>
    <w:rsid w:val="49E37654"/>
    <w:rsid w:val="49E77726"/>
    <w:rsid w:val="49EE37B0"/>
    <w:rsid w:val="49F134DB"/>
    <w:rsid w:val="49F51EDB"/>
    <w:rsid w:val="4A0F6F03"/>
    <w:rsid w:val="4A163D85"/>
    <w:rsid w:val="4A256B80"/>
    <w:rsid w:val="4A2F6758"/>
    <w:rsid w:val="4A417D43"/>
    <w:rsid w:val="4A4B0B6E"/>
    <w:rsid w:val="4A6A73D4"/>
    <w:rsid w:val="4A6B0275"/>
    <w:rsid w:val="4A7B074B"/>
    <w:rsid w:val="4A885999"/>
    <w:rsid w:val="4A92402C"/>
    <w:rsid w:val="4A9641DF"/>
    <w:rsid w:val="4AC36B97"/>
    <w:rsid w:val="4AD90A31"/>
    <w:rsid w:val="4AE74C1E"/>
    <w:rsid w:val="4AFE6B89"/>
    <w:rsid w:val="4B097BAB"/>
    <w:rsid w:val="4B0A3436"/>
    <w:rsid w:val="4B181409"/>
    <w:rsid w:val="4B1D2F8C"/>
    <w:rsid w:val="4B33411D"/>
    <w:rsid w:val="4B461F2B"/>
    <w:rsid w:val="4B7A2FFC"/>
    <w:rsid w:val="4B7A4E6B"/>
    <w:rsid w:val="4B7F38BA"/>
    <w:rsid w:val="4B897627"/>
    <w:rsid w:val="4B8B5A92"/>
    <w:rsid w:val="4BA14D61"/>
    <w:rsid w:val="4BA52C90"/>
    <w:rsid w:val="4BA77ED2"/>
    <w:rsid w:val="4BB1347D"/>
    <w:rsid w:val="4BBA72B0"/>
    <w:rsid w:val="4BBD439D"/>
    <w:rsid w:val="4BC32129"/>
    <w:rsid w:val="4BC54262"/>
    <w:rsid w:val="4BDA0ED5"/>
    <w:rsid w:val="4BDF599F"/>
    <w:rsid w:val="4BF46E98"/>
    <w:rsid w:val="4C030443"/>
    <w:rsid w:val="4C097B79"/>
    <w:rsid w:val="4C3C7455"/>
    <w:rsid w:val="4C5D40AD"/>
    <w:rsid w:val="4C5E6E93"/>
    <w:rsid w:val="4C6A119A"/>
    <w:rsid w:val="4C6F16A7"/>
    <w:rsid w:val="4C773B54"/>
    <w:rsid w:val="4C824290"/>
    <w:rsid w:val="4C9C45AC"/>
    <w:rsid w:val="4CA846DC"/>
    <w:rsid w:val="4CAC4275"/>
    <w:rsid w:val="4CAF5386"/>
    <w:rsid w:val="4CBA50E3"/>
    <w:rsid w:val="4CC85386"/>
    <w:rsid w:val="4D037ABE"/>
    <w:rsid w:val="4D06044C"/>
    <w:rsid w:val="4D1E44D1"/>
    <w:rsid w:val="4D465DA8"/>
    <w:rsid w:val="4D4C6B4F"/>
    <w:rsid w:val="4D537083"/>
    <w:rsid w:val="4D557D51"/>
    <w:rsid w:val="4D5932DC"/>
    <w:rsid w:val="4D5C57A0"/>
    <w:rsid w:val="4D9B33CB"/>
    <w:rsid w:val="4DA82DA2"/>
    <w:rsid w:val="4DBB14D7"/>
    <w:rsid w:val="4DFC7D24"/>
    <w:rsid w:val="4E021CE6"/>
    <w:rsid w:val="4E0220ED"/>
    <w:rsid w:val="4E0260A9"/>
    <w:rsid w:val="4E074369"/>
    <w:rsid w:val="4E322FBF"/>
    <w:rsid w:val="4E3C4E24"/>
    <w:rsid w:val="4E5D6980"/>
    <w:rsid w:val="4E6924D8"/>
    <w:rsid w:val="4E853B08"/>
    <w:rsid w:val="4E8A7E8A"/>
    <w:rsid w:val="4E975520"/>
    <w:rsid w:val="4E9E23DD"/>
    <w:rsid w:val="4EA20082"/>
    <w:rsid w:val="4EA23714"/>
    <w:rsid w:val="4EA54396"/>
    <w:rsid w:val="4EA62C8C"/>
    <w:rsid w:val="4EBA52B1"/>
    <w:rsid w:val="4EC40568"/>
    <w:rsid w:val="4F0202C8"/>
    <w:rsid w:val="4F115764"/>
    <w:rsid w:val="4F2204BE"/>
    <w:rsid w:val="4F371340"/>
    <w:rsid w:val="4F493C9D"/>
    <w:rsid w:val="4F546152"/>
    <w:rsid w:val="4F5C0387"/>
    <w:rsid w:val="4F7A7412"/>
    <w:rsid w:val="4F7B2E66"/>
    <w:rsid w:val="4F7D589F"/>
    <w:rsid w:val="4F837021"/>
    <w:rsid w:val="4F924CE0"/>
    <w:rsid w:val="4FBA3ACA"/>
    <w:rsid w:val="4FBB4517"/>
    <w:rsid w:val="4FC261F0"/>
    <w:rsid w:val="4FCB3237"/>
    <w:rsid w:val="4FCE44B1"/>
    <w:rsid w:val="4FE007A6"/>
    <w:rsid w:val="4FF16AEC"/>
    <w:rsid w:val="50037246"/>
    <w:rsid w:val="500D2F12"/>
    <w:rsid w:val="501039DF"/>
    <w:rsid w:val="504274B2"/>
    <w:rsid w:val="504D47CC"/>
    <w:rsid w:val="50624FF5"/>
    <w:rsid w:val="507032D0"/>
    <w:rsid w:val="50747D2C"/>
    <w:rsid w:val="50760251"/>
    <w:rsid w:val="508769D8"/>
    <w:rsid w:val="508B02F3"/>
    <w:rsid w:val="50927935"/>
    <w:rsid w:val="50A839D1"/>
    <w:rsid w:val="50AA3EE6"/>
    <w:rsid w:val="50DE31B0"/>
    <w:rsid w:val="50E269EF"/>
    <w:rsid w:val="50EC2BCA"/>
    <w:rsid w:val="50FA78F7"/>
    <w:rsid w:val="50FB25CF"/>
    <w:rsid w:val="510F5CB6"/>
    <w:rsid w:val="5126166B"/>
    <w:rsid w:val="512C2E00"/>
    <w:rsid w:val="514C175F"/>
    <w:rsid w:val="515B5BEE"/>
    <w:rsid w:val="519035B6"/>
    <w:rsid w:val="5191496F"/>
    <w:rsid w:val="519B2FFB"/>
    <w:rsid w:val="51AE4DB8"/>
    <w:rsid w:val="51E608FC"/>
    <w:rsid w:val="51F50FAE"/>
    <w:rsid w:val="51F903FC"/>
    <w:rsid w:val="51FB1986"/>
    <w:rsid w:val="520B1386"/>
    <w:rsid w:val="521D297A"/>
    <w:rsid w:val="5222639A"/>
    <w:rsid w:val="52272346"/>
    <w:rsid w:val="522741A6"/>
    <w:rsid w:val="52432C25"/>
    <w:rsid w:val="525E79D5"/>
    <w:rsid w:val="52614A8E"/>
    <w:rsid w:val="52776CE2"/>
    <w:rsid w:val="527F656A"/>
    <w:rsid w:val="52913101"/>
    <w:rsid w:val="529B5B9D"/>
    <w:rsid w:val="529F5124"/>
    <w:rsid w:val="52A00ECB"/>
    <w:rsid w:val="52A70384"/>
    <w:rsid w:val="52B636DD"/>
    <w:rsid w:val="52C43E23"/>
    <w:rsid w:val="52C71500"/>
    <w:rsid w:val="52D3090B"/>
    <w:rsid w:val="52E34DBC"/>
    <w:rsid w:val="52F14884"/>
    <w:rsid w:val="52F757BE"/>
    <w:rsid w:val="52FC7CDD"/>
    <w:rsid w:val="531F2BD3"/>
    <w:rsid w:val="535733B5"/>
    <w:rsid w:val="53576453"/>
    <w:rsid w:val="536275BE"/>
    <w:rsid w:val="5372614B"/>
    <w:rsid w:val="537644A3"/>
    <w:rsid w:val="5387235B"/>
    <w:rsid w:val="538C402A"/>
    <w:rsid w:val="5392026B"/>
    <w:rsid w:val="5393457C"/>
    <w:rsid w:val="53A206C2"/>
    <w:rsid w:val="53AC1D52"/>
    <w:rsid w:val="53B05DCE"/>
    <w:rsid w:val="53B46C9D"/>
    <w:rsid w:val="53B65CA7"/>
    <w:rsid w:val="53BE210C"/>
    <w:rsid w:val="53D963A2"/>
    <w:rsid w:val="53E50B71"/>
    <w:rsid w:val="540B5711"/>
    <w:rsid w:val="542E50F6"/>
    <w:rsid w:val="54325F10"/>
    <w:rsid w:val="5440264B"/>
    <w:rsid w:val="545E17F4"/>
    <w:rsid w:val="546143E9"/>
    <w:rsid w:val="5475299E"/>
    <w:rsid w:val="54752E3E"/>
    <w:rsid w:val="54761801"/>
    <w:rsid w:val="547B37BB"/>
    <w:rsid w:val="54841300"/>
    <w:rsid w:val="5489250E"/>
    <w:rsid w:val="54985506"/>
    <w:rsid w:val="54AB2FBA"/>
    <w:rsid w:val="54B5784B"/>
    <w:rsid w:val="54BA7EA4"/>
    <w:rsid w:val="54BF2D11"/>
    <w:rsid w:val="54C12CEA"/>
    <w:rsid w:val="54CF07A0"/>
    <w:rsid w:val="54E41CA2"/>
    <w:rsid w:val="54E921AD"/>
    <w:rsid w:val="54F10F26"/>
    <w:rsid w:val="54FF79A8"/>
    <w:rsid w:val="55056BCC"/>
    <w:rsid w:val="552B2379"/>
    <w:rsid w:val="553D672C"/>
    <w:rsid w:val="554E4571"/>
    <w:rsid w:val="55546CCD"/>
    <w:rsid w:val="559B524A"/>
    <w:rsid w:val="55AE4B76"/>
    <w:rsid w:val="55BA31FE"/>
    <w:rsid w:val="55BB5298"/>
    <w:rsid w:val="55BD52C8"/>
    <w:rsid w:val="55CC551E"/>
    <w:rsid w:val="55D94248"/>
    <w:rsid w:val="55EC390A"/>
    <w:rsid w:val="55F32475"/>
    <w:rsid w:val="55F6001A"/>
    <w:rsid w:val="560839BA"/>
    <w:rsid w:val="560E1C75"/>
    <w:rsid w:val="56134213"/>
    <w:rsid w:val="562A168B"/>
    <w:rsid w:val="563E1DEC"/>
    <w:rsid w:val="566861D2"/>
    <w:rsid w:val="569B72DC"/>
    <w:rsid w:val="56A90C09"/>
    <w:rsid w:val="56BF08AB"/>
    <w:rsid w:val="56C63ABD"/>
    <w:rsid w:val="56D06587"/>
    <w:rsid w:val="56D36446"/>
    <w:rsid w:val="56F221ED"/>
    <w:rsid w:val="57064096"/>
    <w:rsid w:val="57293AEF"/>
    <w:rsid w:val="57316FCA"/>
    <w:rsid w:val="57476459"/>
    <w:rsid w:val="574C5AC3"/>
    <w:rsid w:val="575907F5"/>
    <w:rsid w:val="57654793"/>
    <w:rsid w:val="57743436"/>
    <w:rsid w:val="57785367"/>
    <w:rsid w:val="577D144A"/>
    <w:rsid w:val="577D428D"/>
    <w:rsid w:val="578E07D6"/>
    <w:rsid w:val="57A02FAD"/>
    <w:rsid w:val="57A61D96"/>
    <w:rsid w:val="57A95DBD"/>
    <w:rsid w:val="57AA20FA"/>
    <w:rsid w:val="57AC4BFF"/>
    <w:rsid w:val="57B10004"/>
    <w:rsid w:val="57CC4E3B"/>
    <w:rsid w:val="57E81072"/>
    <w:rsid w:val="57EB141C"/>
    <w:rsid w:val="580D1891"/>
    <w:rsid w:val="581559E9"/>
    <w:rsid w:val="58240C91"/>
    <w:rsid w:val="58454D01"/>
    <w:rsid w:val="585E53D0"/>
    <w:rsid w:val="586E26F4"/>
    <w:rsid w:val="58723C7C"/>
    <w:rsid w:val="58747421"/>
    <w:rsid w:val="587D4A6C"/>
    <w:rsid w:val="588949DD"/>
    <w:rsid w:val="58A62BA4"/>
    <w:rsid w:val="58B57CAD"/>
    <w:rsid w:val="58B67475"/>
    <w:rsid w:val="58D82A10"/>
    <w:rsid w:val="58EA2684"/>
    <w:rsid w:val="58F75CB5"/>
    <w:rsid w:val="58FB6EA7"/>
    <w:rsid w:val="59145DC3"/>
    <w:rsid w:val="59274A42"/>
    <w:rsid w:val="592F76F7"/>
    <w:rsid w:val="593F3293"/>
    <w:rsid w:val="5974265D"/>
    <w:rsid w:val="598221CE"/>
    <w:rsid w:val="598475E5"/>
    <w:rsid w:val="598B6B18"/>
    <w:rsid w:val="59936587"/>
    <w:rsid w:val="59964116"/>
    <w:rsid w:val="59A77200"/>
    <w:rsid w:val="59AB73DE"/>
    <w:rsid w:val="59AF0404"/>
    <w:rsid w:val="59B040F9"/>
    <w:rsid w:val="59B811D2"/>
    <w:rsid w:val="59C14ADA"/>
    <w:rsid w:val="59D92F77"/>
    <w:rsid w:val="59E7556E"/>
    <w:rsid w:val="59EC3BA2"/>
    <w:rsid w:val="59F92E55"/>
    <w:rsid w:val="5A01761B"/>
    <w:rsid w:val="5A0F708E"/>
    <w:rsid w:val="5A184089"/>
    <w:rsid w:val="5A201F46"/>
    <w:rsid w:val="5A281FCD"/>
    <w:rsid w:val="5A3C63D1"/>
    <w:rsid w:val="5A3D7BE8"/>
    <w:rsid w:val="5A3F1C9A"/>
    <w:rsid w:val="5A421A14"/>
    <w:rsid w:val="5A435B69"/>
    <w:rsid w:val="5A5974B5"/>
    <w:rsid w:val="5A643739"/>
    <w:rsid w:val="5A786A3C"/>
    <w:rsid w:val="5A7F7417"/>
    <w:rsid w:val="5AB81209"/>
    <w:rsid w:val="5AC54F7B"/>
    <w:rsid w:val="5AC63126"/>
    <w:rsid w:val="5ACA61DE"/>
    <w:rsid w:val="5AEB6E3E"/>
    <w:rsid w:val="5AFE2270"/>
    <w:rsid w:val="5B0359C4"/>
    <w:rsid w:val="5B1102A4"/>
    <w:rsid w:val="5B132DCD"/>
    <w:rsid w:val="5B2819CA"/>
    <w:rsid w:val="5B340E49"/>
    <w:rsid w:val="5B3F3E24"/>
    <w:rsid w:val="5B491B70"/>
    <w:rsid w:val="5B5C259B"/>
    <w:rsid w:val="5B747E35"/>
    <w:rsid w:val="5B8E6217"/>
    <w:rsid w:val="5B8F6D7D"/>
    <w:rsid w:val="5B9D1E91"/>
    <w:rsid w:val="5BA71B9B"/>
    <w:rsid w:val="5BAC22FE"/>
    <w:rsid w:val="5BC03756"/>
    <w:rsid w:val="5BFF3207"/>
    <w:rsid w:val="5C063CBF"/>
    <w:rsid w:val="5C092DAD"/>
    <w:rsid w:val="5C096452"/>
    <w:rsid w:val="5C1902CA"/>
    <w:rsid w:val="5C1B4CCD"/>
    <w:rsid w:val="5C4833FA"/>
    <w:rsid w:val="5C760207"/>
    <w:rsid w:val="5C792732"/>
    <w:rsid w:val="5C9A1B80"/>
    <w:rsid w:val="5CA009AE"/>
    <w:rsid w:val="5CBE5FD4"/>
    <w:rsid w:val="5CC02A2D"/>
    <w:rsid w:val="5CC10B53"/>
    <w:rsid w:val="5CD34A43"/>
    <w:rsid w:val="5CD3503A"/>
    <w:rsid w:val="5CD52D99"/>
    <w:rsid w:val="5CF16BBD"/>
    <w:rsid w:val="5D157B4B"/>
    <w:rsid w:val="5D197C22"/>
    <w:rsid w:val="5D506423"/>
    <w:rsid w:val="5D8044CD"/>
    <w:rsid w:val="5D831818"/>
    <w:rsid w:val="5D865323"/>
    <w:rsid w:val="5D8E0ABF"/>
    <w:rsid w:val="5D912BD6"/>
    <w:rsid w:val="5DA02272"/>
    <w:rsid w:val="5DA362FB"/>
    <w:rsid w:val="5DA36E72"/>
    <w:rsid w:val="5DBC5B7A"/>
    <w:rsid w:val="5DD44A34"/>
    <w:rsid w:val="5DEA5A02"/>
    <w:rsid w:val="5DF36809"/>
    <w:rsid w:val="5DF671F6"/>
    <w:rsid w:val="5DFF1869"/>
    <w:rsid w:val="5E1C432A"/>
    <w:rsid w:val="5E2A488B"/>
    <w:rsid w:val="5E3E2B7D"/>
    <w:rsid w:val="5E446844"/>
    <w:rsid w:val="5E5B4E53"/>
    <w:rsid w:val="5E5F5F04"/>
    <w:rsid w:val="5E81788F"/>
    <w:rsid w:val="5E877319"/>
    <w:rsid w:val="5EA277F6"/>
    <w:rsid w:val="5EB70430"/>
    <w:rsid w:val="5EBE2B1D"/>
    <w:rsid w:val="5ED00BDD"/>
    <w:rsid w:val="5EE906B0"/>
    <w:rsid w:val="5EF56019"/>
    <w:rsid w:val="5F301EF4"/>
    <w:rsid w:val="5F4A1EEF"/>
    <w:rsid w:val="5F69507D"/>
    <w:rsid w:val="5F7F101B"/>
    <w:rsid w:val="5F8A1C50"/>
    <w:rsid w:val="5F965F3F"/>
    <w:rsid w:val="5FB55316"/>
    <w:rsid w:val="5FCD1325"/>
    <w:rsid w:val="5FD97465"/>
    <w:rsid w:val="5FDB68FA"/>
    <w:rsid w:val="5FF7246A"/>
    <w:rsid w:val="601C3A5D"/>
    <w:rsid w:val="602005D7"/>
    <w:rsid w:val="603349F6"/>
    <w:rsid w:val="60373A03"/>
    <w:rsid w:val="60485260"/>
    <w:rsid w:val="604C7106"/>
    <w:rsid w:val="60531502"/>
    <w:rsid w:val="60550939"/>
    <w:rsid w:val="60636507"/>
    <w:rsid w:val="6072694E"/>
    <w:rsid w:val="60760CD7"/>
    <w:rsid w:val="607E60DD"/>
    <w:rsid w:val="608A1236"/>
    <w:rsid w:val="608A48D5"/>
    <w:rsid w:val="60912CAB"/>
    <w:rsid w:val="60AF6A08"/>
    <w:rsid w:val="60B028DC"/>
    <w:rsid w:val="60C50EA7"/>
    <w:rsid w:val="60C702D9"/>
    <w:rsid w:val="60CD42D7"/>
    <w:rsid w:val="60E8781E"/>
    <w:rsid w:val="60F37822"/>
    <w:rsid w:val="611934DB"/>
    <w:rsid w:val="612B00AD"/>
    <w:rsid w:val="61516DE0"/>
    <w:rsid w:val="615545F7"/>
    <w:rsid w:val="615C44CF"/>
    <w:rsid w:val="61660A6E"/>
    <w:rsid w:val="61677FB2"/>
    <w:rsid w:val="617912AD"/>
    <w:rsid w:val="61871991"/>
    <w:rsid w:val="61902523"/>
    <w:rsid w:val="61BE1DA1"/>
    <w:rsid w:val="61CD250B"/>
    <w:rsid w:val="61D04BB6"/>
    <w:rsid w:val="61D11C46"/>
    <w:rsid w:val="61F90087"/>
    <w:rsid w:val="621A7528"/>
    <w:rsid w:val="62282544"/>
    <w:rsid w:val="62361E5F"/>
    <w:rsid w:val="62524EF2"/>
    <w:rsid w:val="62552403"/>
    <w:rsid w:val="625737B6"/>
    <w:rsid w:val="626B0982"/>
    <w:rsid w:val="628B309E"/>
    <w:rsid w:val="629D16DF"/>
    <w:rsid w:val="62CD7D0E"/>
    <w:rsid w:val="62DF384D"/>
    <w:rsid w:val="6306375E"/>
    <w:rsid w:val="63096A4E"/>
    <w:rsid w:val="63145DAC"/>
    <w:rsid w:val="633914DA"/>
    <w:rsid w:val="63400A19"/>
    <w:rsid w:val="63491078"/>
    <w:rsid w:val="634A37D1"/>
    <w:rsid w:val="6356422F"/>
    <w:rsid w:val="63605AB8"/>
    <w:rsid w:val="63651355"/>
    <w:rsid w:val="63664660"/>
    <w:rsid w:val="639420DB"/>
    <w:rsid w:val="6397584A"/>
    <w:rsid w:val="63B303C2"/>
    <w:rsid w:val="63D90944"/>
    <w:rsid w:val="63E560A7"/>
    <w:rsid w:val="64035A9B"/>
    <w:rsid w:val="640E58D1"/>
    <w:rsid w:val="642D2C6F"/>
    <w:rsid w:val="64326D27"/>
    <w:rsid w:val="64374055"/>
    <w:rsid w:val="6448099E"/>
    <w:rsid w:val="6448736A"/>
    <w:rsid w:val="64650188"/>
    <w:rsid w:val="64A40EDD"/>
    <w:rsid w:val="64AC4960"/>
    <w:rsid w:val="64DD3919"/>
    <w:rsid w:val="651925FD"/>
    <w:rsid w:val="652017A8"/>
    <w:rsid w:val="65381C0E"/>
    <w:rsid w:val="65462CEC"/>
    <w:rsid w:val="655B17E2"/>
    <w:rsid w:val="656755AB"/>
    <w:rsid w:val="65716C34"/>
    <w:rsid w:val="657D59D8"/>
    <w:rsid w:val="65842EE1"/>
    <w:rsid w:val="65852BD6"/>
    <w:rsid w:val="65A06CCA"/>
    <w:rsid w:val="65BA4B36"/>
    <w:rsid w:val="65C60C19"/>
    <w:rsid w:val="65D522B9"/>
    <w:rsid w:val="65DD37E3"/>
    <w:rsid w:val="65E7730A"/>
    <w:rsid w:val="660101C9"/>
    <w:rsid w:val="66153231"/>
    <w:rsid w:val="66261918"/>
    <w:rsid w:val="66284820"/>
    <w:rsid w:val="662B2A66"/>
    <w:rsid w:val="66402691"/>
    <w:rsid w:val="668C5856"/>
    <w:rsid w:val="669335F3"/>
    <w:rsid w:val="66951DEB"/>
    <w:rsid w:val="66AB16A8"/>
    <w:rsid w:val="66BC2660"/>
    <w:rsid w:val="66BD0D09"/>
    <w:rsid w:val="66D06C26"/>
    <w:rsid w:val="66EA286B"/>
    <w:rsid w:val="66F62740"/>
    <w:rsid w:val="67441E1C"/>
    <w:rsid w:val="67535248"/>
    <w:rsid w:val="677127D1"/>
    <w:rsid w:val="677133A0"/>
    <w:rsid w:val="6791557B"/>
    <w:rsid w:val="679B287B"/>
    <w:rsid w:val="67A46D80"/>
    <w:rsid w:val="67CC4A91"/>
    <w:rsid w:val="67D64059"/>
    <w:rsid w:val="67DE35A2"/>
    <w:rsid w:val="67E34E14"/>
    <w:rsid w:val="67E46CB1"/>
    <w:rsid w:val="67FB1B8B"/>
    <w:rsid w:val="68026C7B"/>
    <w:rsid w:val="68180529"/>
    <w:rsid w:val="6827064D"/>
    <w:rsid w:val="685A5F86"/>
    <w:rsid w:val="685B512C"/>
    <w:rsid w:val="686C7912"/>
    <w:rsid w:val="68792AA5"/>
    <w:rsid w:val="688558EE"/>
    <w:rsid w:val="688866BA"/>
    <w:rsid w:val="68937E00"/>
    <w:rsid w:val="689D55EC"/>
    <w:rsid w:val="68AB6102"/>
    <w:rsid w:val="68AF6678"/>
    <w:rsid w:val="68B34466"/>
    <w:rsid w:val="68B55D06"/>
    <w:rsid w:val="68BD37F2"/>
    <w:rsid w:val="68E76E46"/>
    <w:rsid w:val="68FF70FA"/>
    <w:rsid w:val="690D484B"/>
    <w:rsid w:val="69396506"/>
    <w:rsid w:val="69500B79"/>
    <w:rsid w:val="69584526"/>
    <w:rsid w:val="69730836"/>
    <w:rsid w:val="69A147E3"/>
    <w:rsid w:val="69A237F1"/>
    <w:rsid w:val="69D163C0"/>
    <w:rsid w:val="69D81A4D"/>
    <w:rsid w:val="69DC1BB5"/>
    <w:rsid w:val="69DE4B97"/>
    <w:rsid w:val="69E345E8"/>
    <w:rsid w:val="69EC3867"/>
    <w:rsid w:val="6A4031C4"/>
    <w:rsid w:val="6A5449E6"/>
    <w:rsid w:val="6A623161"/>
    <w:rsid w:val="6A7F33A9"/>
    <w:rsid w:val="6A905F36"/>
    <w:rsid w:val="6A916F52"/>
    <w:rsid w:val="6A97383E"/>
    <w:rsid w:val="6A9F1D97"/>
    <w:rsid w:val="6AB072F2"/>
    <w:rsid w:val="6ACE260D"/>
    <w:rsid w:val="6AD76352"/>
    <w:rsid w:val="6B02105A"/>
    <w:rsid w:val="6B102AAD"/>
    <w:rsid w:val="6B241461"/>
    <w:rsid w:val="6B434A8C"/>
    <w:rsid w:val="6B525520"/>
    <w:rsid w:val="6B5C1F43"/>
    <w:rsid w:val="6B752EC5"/>
    <w:rsid w:val="6B7D7253"/>
    <w:rsid w:val="6B83565B"/>
    <w:rsid w:val="6B9E58E7"/>
    <w:rsid w:val="6B9F3924"/>
    <w:rsid w:val="6BBC4A20"/>
    <w:rsid w:val="6BD20B98"/>
    <w:rsid w:val="6BD91E39"/>
    <w:rsid w:val="6BD9508A"/>
    <w:rsid w:val="6BEA3A67"/>
    <w:rsid w:val="6C045B35"/>
    <w:rsid w:val="6C0B52C6"/>
    <w:rsid w:val="6C1720CA"/>
    <w:rsid w:val="6C3E1D8C"/>
    <w:rsid w:val="6C42289C"/>
    <w:rsid w:val="6C4F1D22"/>
    <w:rsid w:val="6C5B77B1"/>
    <w:rsid w:val="6C6E7361"/>
    <w:rsid w:val="6C7C7E4B"/>
    <w:rsid w:val="6C856063"/>
    <w:rsid w:val="6C9360FF"/>
    <w:rsid w:val="6C977F2F"/>
    <w:rsid w:val="6CAE0D30"/>
    <w:rsid w:val="6CB93EE7"/>
    <w:rsid w:val="6CC12AE2"/>
    <w:rsid w:val="6CDA55DB"/>
    <w:rsid w:val="6CF5432A"/>
    <w:rsid w:val="6CF9722E"/>
    <w:rsid w:val="6D047801"/>
    <w:rsid w:val="6D093871"/>
    <w:rsid w:val="6D0D5FE0"/>
    <w:rsid w:val="6D3A754E"/>
    <w:rsid w:val="6D573318"/>
    <w:rsid w:val="6D5767B8"/>
    <w:rsid w:val="6DAD41E2"/>
    <w:rsid w:val="6DAF3888"/>
    <w:rsid w:val="6DB66549"/>
    <w:rsid w:val="6DBC2EBB"/>
    <w:rsid w:val="6DDC72F7"/>
    <w:rsid w:val="6DF8799B"/>
    <w:rsid w:val="6E014B77"/>
    <w:rsid w:val="6E0476FE"/>
    <w:rsid w:val="6E2C3AD0"/>
    <w:rsid w:val="6E5B2C4D"/>
    <w:rsid w:val="6E601A68"/>
    <w:rsid w:val="6E623FDB"/>
    <w:rsid w:val="6E7770F6"/>
    <w:rsid w:val="6EC802E2"/>
    <w:rsid w:val="6ED01875"/>
    <w:rsid w:val="6EE82E5B"/>
    <w:rsid w:val="6EEC7F85"/>
    <w:rsid w:val="6EF02346"/>
    <w:rsid w:val="6EF50254"/>
    <w:rsid w:val="6EF50DEC"/>
    <w:rsid w:val="6EF85645"/>
    <w:rsid w:val="6EFC14BD"/>
    <w:rsid w:val="6EFC30E9"/>
    <w:rsid w:val="6F0B58D2"/>
    <w:rsid w:val="6F0D666B"/>
    <w:rsid w:val="6F250C8F"/>
    <w:rsid w:val="6F3A63B1"/>
    <w:rsid w:val="6F5C219B"/>
    <w:rsid w:val="6F671BDB"/>
    <w:rsid w:val="6F6F326D"/>
    <w:rsid w:val="6F777EAE"/>
    <w:rsid w:val="6F7B6482"/>
    <w:rsid w:val="6F7B7A02"/>
    <w:rsid w:val="6F806276"/>
    <w:rsid w:val="6F9D22F1"/>
    <w:rsid w:val="6FC37F08"/>
    <w:rsid w:val="6FEC08A7"/>
    <w:rsid w:val="706E5D16"/>
    <w:rsid w:val="70704677"/>
    <w:rsid w:val="70747068"/>
    <w:rsid w:val="7096077F"/>
    <w:rsid w:val="70990584"/>
    <w:rsid w:val="70AE379B"/>
    <w:rsid w:val="70BE1773"/>
    <w:rsid w:val="70CE142D"/>
    <w:rsid w:val="70E826D9"/>
    <w:rsid w:val="70F9789F"/>
    <w:rsid w:val="710A100B"/>
    <w:rsid w:val="710C051A"/>
    <w:rsid w:val="71112066"/>
    <w:rsid w:val="71135521"/>
    <w:rsid w:val="711B729F"/>
    <w:rsid w:val="71216126"/>
    <w:rsid w:val="71392D06"/>
    <w:rsid w:val="713A23A1"/>
    <w:rsid w:val="71517EE3"/>
    <w:rsid w:val="71560FD3"/>
    <w:rsid w:val="717E2663"/>
    <w:rsid w:val="71863E99"/>
    <w:rsid w:val="71883B23"/>
    <w:rsid w:val="71C43A5E"/>
    <w:rsid w:val="71C61D26"/>
    <w:rsid w:val="71F166E3"/>
    <w:rsid w:val="71FB5DE1"/>
    <w:rsid w:val="72035716"/>
    <w:rsid w:val="7207180A"/>
    <w:rsid w:val="72114785"/>
    <w:rsid w:val="72146978"/>
    <w:rsid w:val="721A7282"/>
    <w:rsid w:val="721E1000"/>
    <w:rsid w:val="722874FA"/>
    <w:rsid w:val="723839D1"/>
    <w:rsid w:val="72625DB5"/>
    <w:rsid w:val="72810791"/>
    <w:rsid w:val="72931749"/>
    <w:rsid w:val="72C32124"/>
    <w:rsid w:val="72CD4305"/>
    <w:rsid w:val="72D27193"/>
    <w:rsid w:val="72D62627"/>
    <w:rsid w:val="730E0277"/>
    <w:rsid w:val="732A08A1"/>
    <w:rsid w:val="733D059E"/>
    <w:rsid w:val="73416402"/>
    <w:rsid w:val="735D61C9"/>
    <w:rsid w:val="737B26A0"/>
    <w:rsid w:val="737C1B7D"/>
    <w:rsid w:val="738670B7"/>
    <w:rsid w:val="739F35DC"/>
    <w:rsid w:val="73A0012B"/>
    <w:rsid w:val="73B21197"/>
    <w:rsid w:val="73B9562C"/>
    <w:rsid w:val="73E51333"/>
    <w:rsid w:val="73E613F5"/>
    <w:rsid w:val="73F97679"/>
    <w:rsid w:val="74025CA1"/>
    <w:rsid w:val="740F0863"/>
    <w:rsid w:val="741445C2"/>
    <w:rsid w:val="7419315D"/>
    <w:rsid w:val="74216DA1"/>
    <w:rsid w:val="74287801"/>
    <w:rsid w:val="742C7162"/>
    <w:rsid w:val="7437359C"/>
    <w:rsid w:val="744C64FD"/>
    <w:rsid w:val="746B1F62"/>
    <w:rsid w:val="74716BB5"/>
    <w:rsid w:val="747D3BF3"/>
    <w:rsid w:val="7481692F"/>
    <w:rsid w:val="749420DC"/>
    <w:rsid w:val="74A96AE7"/>
    <w:rsid w:val="74AE6FA0"/>
    <w:rsid w:val="74E15CF6"/>
    <w:rsid w:val="74FE7827"/>
    <w:rsid w:val="756D0BFC"/>
    <w:rsid w:val="757A3FB0"/>
    <w:rsid w:val="758A6ABD"/>
    <w:rsid w:val="758B6411"/>
    <w:rsid w:val="759C2559"/>
    <w:rsid w:val="75AA5940"/>
    <w:rsid w:val="75AB0AA6"/>
    <w:rsid w:val="75C839E5"/>
    <w:rsid w:val="75CE593C"/>
    <w:rsid w:val="75D07B7E"/>
    <w:rsid w:val="75D9535A"/>
    <w:rsid w:val="75E7607C"/>
    <w:rsid w:val="76040BF4"/>
    <w:rsid w:val="762C626B"/>
    <w:rsid w:val="767A1407"/>
    <w:rsid w:val="76831738"/>
    <w:rsid w:val="768A78DE"/>
    <w:rsid w:val="7692546B"/>
    <w:rsid w:val="76A21126"/>
    <w:rsid w:val="76B70F18"/>
    <w:rsid w:val="76C232D1"/>
    <w:rsid w:val="76CA684A"/>
    <w:rsid w:val="76D87B0D"/>
    <w:rsid w:val="7715031B"/>
    <w:rsid w:val="77171366"/>
    <w:rsid w:val="771D2B87"/>
    <w:rsid w:val="771F5DAD"/>
    <w:rsid w:val="771F6F0D"/>
    <w:rsid w:val="775765E4"/>
    <w:rsid w:val="775C1580"/>
    <w:rsid w:val="779F420C"/>
    <w:rsid w:val="77B45455"/>
    <w:rsid w:val="77B83E65"/>
    <w:rsid w:val="77C3668D"/>
    <w:rsid w:val="77FB0A5B"/>
    <w:rsid w:val="780E2EA7"/>
    <w:rsid w:val="78287F4D"/>
    <w:rsid w:val="78323777"/>
    <w:rsid w:val="784B2DB5"/>
    <w:rsid w:val="786100F2"/>
    <w:rsid w:val="78622141"/>
    <w:rsid w:val="786E00B9"/>
    <w:rsid w:val="7882385F"/>
    <w:rsid w:val="788E574F"/>
    <w:rsid w:val="78986E25"/>
    <w:rsid w:val="78B404DC"/>
    <w:rsid w:val="78CD7DE0"/>
    <w:rsid w:val="78E107E8"/>
    <w:rsid w:val="78F90A0C"/>
    <w:rsid w:val="790311D7"/>
    <w:rsid w:val="792D123F"/>
    <w:rsid w:val="79524DA4"/>
    <w:rsid w:val="79796CE2"/>
    <w:rsid w:val="79812BB1"/>
    <w:rsid w:val="7984196A"/>
    <w:rsid w:val="798C5A9C"/>
    <w:rsid w:val="79A72DAD"/>
    <w:rsid w:val="79D833A4"/>
    <w:rsid w:val="79E9681E"/>
    <w:rsid w:val="7A261C3A"/>
    <w:rsid w:val="7A2F5B83"/>
    <w:rsid w:val="7A475B7A"/>
    <w:rsid w:val="7A4D387C"/>
    <w:rsid w:val="7A4E5D81"/>
    <w:rsid w:val="7A5B7E85"/>
    <w:rsid w:val="7A635363"/>
    <w:rsid w:val="7A6E10EA"/>
    <w:rsid w:val="7AA37C6A"/>
    <w:rsid w:val="7AA62D8E"/>
    <w:rsid w:val="7ABA52F4"/>
    <w:rsid w:val="7AC46224"/>
    <w:rsid w:val="7AD3235D"/>
    <w:rsid w:val="7AD445A1"/>
    <w:rsid w:val="7AE3103E"/>
    <w:rsid w:val="7AED3A31"/>
    <w:rsid w:val="7AF24A8F"/>
    <w:rsid w:val="7AF66ABB"/>
    <w:rsid w:val="7AF71938"/>
    <w:rsid w:val="7B105B71"/>
    <w:rsid w:val="7B157BF2"/>
    <w:rsid w:val="7B241EFA"/>
    <w:rsid w:val="7B3C3442"/>
    <w:rsid w:val="7B433220"/>
    <w:rsid w:val="7B462B56"/>
    <w:rsid w:val="7B5C7E9F"/>
    <w:rsid w:val="7B746733"/>
    <w:rsid w:val="7B791FBE"/>
    <w:rsid w:val="7B7A78AA"/>
    <w:rsid w:val="7B7E5ABE"/>
    <w:rsid w:val="7B896288"/>
    <w:rsid w:val="7BB51EF2"/>
    <w:rsid w:val="7BBA6099"/>
    <w:rsid w:val="7BBB5161"/>
    <w:rsid w:val="7BBC4E09"/>
    <w:rsid w:val="7BC11BFB"/>
    <w:rsid w:val="7BD14D95"/>
    <w:rsid w:val="7BD34D19"/>
    <w:rsid w:val="7BE9066A"/>
    <w:rsid w:val="7BEB3800"/>
    <w:rsid w:val="7BFB1E88"/>
    <w:rsid w:val="7C035163"/>
    <w:rsid w:val="7C054384"/>
    <w:rsid w:val="7C0B3DB1"/>
    <w:rsid w:val="7C2F3340"/>
    <w:rsid w:val="7C3D4512"/>
    <w:rsid w:val="7C472FA6"/>
    <w:rsid w:val="7C4C6036"/>
    <w:rsid w:val="7C5F1687"/>
    <w:rsid w:val="7C650823"/>
    <w:rsid w:val="7C6E25C8"/>
    <w:rsid w:val="7C730367"/>
    <w:rsid w:val="7CDF366F"/>
    <w:rsid w:val="7CE374B4"/>
    <w:rsid w:val="7CFF64A5"/>
    <w:rsid w:val="7D1D3160"/>
    <w:rsid w:val="7D242E7E"/>
    <w:rsid w:val="7D6353C5"/>
    <w:rsid w:val="7D6E5996"/>
    <w:rsid w:val="7DDF61F2"/>
    <w:rsid w:val="7DE81ADB"/>
    <w:rsid w:val="7DF72FDB"/>
    <w:rsid w:val="7DFB3C5A"/>
    <w:rsid w:val="7E1D666F"/>
    <w:rsid w:val="7E4C0500"/>
    <w:rsid w:val="7E853322"/>
    <w:rsid w:val="7E9958A6"/>
    <w:rsid w:val="7EB74AC2"/>
    <w:rsid w:val="7EB77A2B"/>
    <w:rsid w:val="7EB96B62"/>
    <w:rsid w:val="7ECD0781"/>
    <w:rsid w:val="7EF94661"/>
    <w:rsid w:val="7F0A6C58"/>
    <w:rsid w:val="7F115112"/>
    <w:rsid w:val="7F1C2A22"/>
    <w:rsid w:val="7F2469A7"/>
    <w:rsid w:val="7F3E6020"/>
    <w:rsid w:val="7F434318"/>
    <w:rsid w:val="7F522778"/>
    <w:rsid w:val="7F5C5679"/>
    <w:rsid w:val="7F645E05"/>
    <w:rsid w:val="7F771520"/>
    <w:rsid w:val="7F7B6B6B"/>
    <w:rsid w:val="7FB43907"/>
    <w:rsid w:val="7FC20EB5"/>
    <w:rsid w:val="7FC407E2"/>
    <w:rsid w:val="7FDD37E9"/>
    <w:rsid w:val="7FE744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8"/>
      <w:lang w:val="en-US" w:eastAsia="zh-CN" w:bidi="ar-SA"/>
    </w:rPr>
  </w:style>
  <w:style w:type="paragraph" w:styleId="3">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2">
    <w:name w:val="heading 2"/>
    <w:basedOn w:val="1"/>
    <w:next w:val="1"/>
    <w:qFormat/>
    <w:uiPriority w:val="0"/>
    <w:pPr>
      <w:keepNext/>
      <w:keepLines/>
      <w:spacing w:before="260" w:beforeLines="0" w:after="260" w:afterLines="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26">
    <w:name w:val="Default Paragraph Font"/>
    <w:link w:val="27"/>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style>
  <w:style w:type="paragraph" w:styleId="8">
    <w:name w:val="toc 4"/>
    <w:basedOn w:val="1"/>
    <w:next w:val="1"/>
    <w:qFormat/>
    <w:uiPriority w:val="39"/>
    <w:pPr>
      <w:ind w:left="630"/>
      <w:jc w:val="left"/>
    </w:pPr>
    <w:rPr>
      <w:rFonts w:ascii="Calibri" w:hAnsi="Calibri" w:cs="Calibri"/>
      <w:sz w:val="18"/>
      <w:szCs w:val="18"/>
    </w:rPr>
  </w:style>
  <w:style w:type="paragraph" w:styleId="9">
    <w:name w:val="Salutation"/>
    <w:basedOn w:val="1"/>
    <w:next w:val="1"/>
    <w:qFormat/>
    <w:uiPriority w:val="0"/>
  </w:style>
  <w:style w:type="paragraph" w:styleId="10">
    <w:name w:val="Body Text"/>
    <w:basedOn w:val="1"/>
    <w:next w:val="11"/>
    <w:qFormat/>
    <w:uiPriority w:val="0"/>
    <w:pPr>
      <w:spacing w:after="120" w:afterLines="0"/>
    </w:pPr>
  </w:style>
  <w:style w:type="paragraph" w:styleId="11">
    <w:name w:val="Body Text 2"/>
    <w:basedOn w:val="1"/>
    <w:unhideWhenUsed/>
    <w:qFormat/>
    <w:uiPriority w:val="99"/>
    <w:rPr>
      <w:rFonts w:ascii="楷体_GB2312" w:hAnsi="Copperplate Gothic Bold" w:eastAsia="楷体_GB2312"/>
      <w:sz w:val="28"/>
    </w:rPr>
  </w:style>
  <w:style w:type="paragraph" w:styleId="12">
    <w:name w:val="Body Text Indent"/>
    <w:basedOn w:val="1"/>
    <w:next w:val="13"/>
    <w:qFormat/>
    <w:uiPriority w:val="0"/>
    <w:pPr>
      <w:widowControl/>
      <w:ind w:left="426" w:hanging="426" w:hangingChars="152"/>
      <w:jc w:val="left"/>
    </w:pPr>
    <w:rPr>
      <w:rFonts w:ascii="宋体"/>
      <w:kern w:val="0"/>
    </w:rPr>
  </w:style>
  <w:style w:type="paragraph" w:styleId="13">
    <w:name w:val="Body Text First Indent 2"/>
    <w:basedOn w:val="12"/>
    <w:next w:val="14"/>
    <w:qFormat/>
    <w:uiPriority w:val="0"/>
    <w:pPr>
      <w:ind w:firstLine="420" w:firstLineChars="200"/>
    </w:pPr>
  </w:style>
  <w:style w:type="paragraph" w:styleId="14">
    <w:name w:val="Body Text First Indent"/>
    <w:basedOn w:val="10"/>
    <w:next w:val="13"/>
    <w:qFormat/>
    <w:uiPriority w:val="0"/>
    <w:pPr>
      <w:ind w:firstLine="420" w:firstLineChars="100"/>
    </w:pPr>
    <w:rPr>
      <w:rFonts w:eastAsia="仿宋_GB2312"/>
      <w:sz w:val="28"/>
    </w:rPr>
  </w:style>
  <w:style w:type="paragraph" w:styleId="15">
    <w:name w:val="Plain Text"/>
    <w:basedOn w:val="1"/>
    <w:qFormat/>
    <w:uiPriority w:val="0"/>
    <w:rPr>
      <w:rFonts w:ascii="宋体" w:hAnsi="Courier New"/>
      <w:szCs w:val="20"/>
    </w:rPr>
  </w:style>
  <w:style w:type="paragraph" w:styleId="16">
    <w:name w:val="Date"/>
    <w:basedOn w:val="1"/>
    <w:next w:val="1"/>
    <w:link w:val="66"/>
    <w:qFormat/>
    <w:uiPriority w:val="0"/>
  </w:style>
  <w:style w:type="paragraph" w:styleId="17">
    <w:name w:val="Body Text Indent 2"/>
    <w:basedOn w:val="1"/>
    <w:qFormat/>
    <w:uiPriority w:val="0"/>
    <w:pPr>
      <w:spacing w:after="120" w:line="480" w:lineRule="auto"/>
      <w:ind w:left="420" w:leftChars="200"/>
    </w:pPr>
  </w:style>
  <w:style w:type="paragraph" w:styleId="18">
    <w:name w:val="footer"/>
    <w:basedOn w:val="1"/>
    <w:link w:val="64"/>
    <w:qFormat/>
    <w:uiPriority w:val="99"/>
    <w:pPr>
      <w:tabs>
        <w:tab w:val="center" w:pos="4153"/>
        <w:tab w:val="right" w:pos="8306"/>
      </w:tabs>
      <w:snapToGrid w:val="0"/>
      <w:jc w:val="left"/>
    </w:pPr>
    <w:rPr>
      <w:sz w:val="18"/>
      <w:szCs w:val="18"/>
    </w:rPr>
  </w:style>
  <w:style w:type="paragraph" w:styleId="19">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Body Text Indent 3"/>
    <w:basedOn w:val="1"/>
    <w:qFormat/>
    <w:uiPriority w:val="0"/>
    <w:pPr>
      <w:spacing w:line="440" w:lineRule="exact"/>
      <w:ind w:firstLine="480" w:firstLineChars="200"/>
    </w:pPr>
    <w:rPr>
      <w:rFonts w:ascii="宋体" w:hAnsi="宋体" w:cs="Times New Roman"/>
      <w:color w:val="000000"/>
      <w:sz w:val="24"/>
    </w:rPr>
  </w:style>
  <w:style w:type="paragraph" w:styleId="2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3">
    <w:name w:val="Normal (Web)"/>
    <w:basedOn w:val="1"/>
    <w:qFormat/>
    <w:uiPriority w:val="99"/>
    <w:pPr>
      <w:widowControl/>
      <w:spacing w:before="100" w:beforeLines="0" w:beforeAutospacing="1" w:after="100" w:afterLines="0" w:afterAutospacing="1"/>
      <w:jc w:val="left"/>
    </w:pPr>
    <w:rPr>
      <w:rFonts w:ascii="宋体" w:hAnsi="宋体" w:cs="宋体"/>
      <w:kern w:val="0"/>
      <w:sz w:val="24"/>
      <w:szCs w:val="24"/>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默认段落字体 Para Char Char Char Char"/>
    <w:basedOn w:val="1"/>
    <w:link w:val="26"/>
    <w:qFormat/>
    <w:uiPriority w:val="0"/>
  </w:style>
  <w:style w:type="character" w:styleId="28">
    <w:name w:val="Strong"/>
    <w:basedOn w:val="26"/>
    <w:qFormat/>
    <w:uiPriority w:val="0"/>
    <w:rPr>
      <w:b/>
      <w:bCs/>
    </w:rPr>
  </w:style>
  <w:style w:type="character" w:styleId="29">
    <w:name w:val="page number"/>
    <w:basedOn w:val="26"/>
    <w:qFormat/>
    <w:uiPriority w:val="0"/>
  </w:style>
  <w:style w:type="character" w:styleId="30">
    <w:name w:val="FollowedHyperlink"/>
    <w:basedOn w:val="26"/>
    <w:qFormat/>
    <w:uiPriority w:val="0"/>
    <w:rPr>
      <w:color w:val="333333"/>
      <w:u w:val="none"/>
    </w:rPr>
  </w:style>
  <w:style w:type="character" w:styleId="31">
    <w:name w:val="Emphasis"/>
    <w:basedOn w:val="26"/>
    <w:qFormat/>
    <w:uiPriority w:val="0"/>
  </w:style>
  <w:style w:type="character" w:styleId="32">
    <w:name w:val="HTML Definition"/>
    <w:basedOn w:val="26"/>
    <w:qFormat/>
    <w:uiPriority w:val="0"/>
    <w:rPr>
      <w:i/>
      <w:iCs/>
      <w:color w:val="0082DF"/>
      <w:bdr w:val="single" w:color="0082DF" w:sz="4" w:space="0"/>
    </w:rPr>
  </w:style>
  <w:style w:type="character" w:styleId="33">
    <w:name w:val="HTML Typewriter"/>
    <w:basedOn w:val="26"/>
    <w:qFormat/>
    <w:uiPriority w:val="0"/>
    <w:rPr>
      <w:rFonts w:hint="default" w:ascii="monospace" w:hAnsi="monospace" w:eastAsia="monospace" w:cs="monospace"/>
      <w:sz w:val="20"/>
    </w:rPr>
  </w:style>
  <w:style w:type="character" w:styleId="34">
    <w:name w:val="HTML Acronym"/>
    <w:basedOn w:val="26"/>
    <w:qFormat/>
    <w:uiPriority w:val="0"/>
  </w:style>
  <w:style w:type="character" w:styleId="35">
    <w:name w:val="HTML Variable"/>
    <w:basedOn w:val="26"/>
    <w:qFormat/>
    <w:uiPriority w:val="0"/>
  </w:style>
  <w:style w:type="character" w:styleId="36">
    <w:name w:val="Hyperlink"/>
    <w:qFormat/>
    <w:uiPriority w:val="0"/>
    <w:rPr>
      <w:color w:val="0000FF"/>
      <w:u w:val="single"/>
    </w:rPr>
  </w:style>
  <w:style w:type="character" w:styleId="37">
    <w:name w:val="HTML Code"/>
    <w:basedOn w:val="26"/>
    <w:qFormat/>
    <w:uiPriority w:val="0"/>
    <w:rPr>
      <w:rFonts w:hint="default" w:ascii="Consolas" w:hAnsi="Consolas" w:eastAsia="Consolas" w:cs="Consolas"/>
      <w:color w:val="C7254E"/>
      <w:sz w:val="21"/>
      <w:szCs w:val="21"/>
      <w:shd w:val="clear" w:fill="F9F2F4"/>
    </w:rPr>
  </w:style>
  <w:style w:type="character" w:styleId="38">
    <w:name w:val="HTML Cite"/>
    <w:basedOn w:val="26"/>
    <w:qFormat/>
    <w:uiPriority w:val="0"/>
  </w:style>
  <w:style w:type="character" w:styleId="39">
    <w:name w:val="HTML Keyboard"/>
    <w:basedOn w:val="26"/>
    <w:qFormat/>
    <w:uiPriority w:val="0"/>
    <w:rPr>
      <w:rFonts w:ascii="Consolas" w:hAnsi="Consolas" w:eastAsia="Consolas" w:cs="Consolas"/>
      <w:color w:val="FFFFFF"/>
      <w:sz w:val="21"/>
      <w:szCs w:val="21"/>
      <w:shd w:val="clear" w:fill="333333"/>
    </w:rPr>
  </w:style>
  <w:style w:type="character" w:styleId="40">
    <w:name w:val="HTML Sample"/>
    <w:basedOn w:val="26"/>
    <w:qFormat/>
    <w:uiPriority w:val="0"/>
    <w:rPr>
      <w:rFonts w:hint="default" w:ascii="Consolas" w:hAnsi="Consolas" w:eastAsia="Consolas" w:cs="Consolas"/>
      <w:sz w:val="21"/>
      <w:szCs w:val="21"/>
    </w:rPr>
  </w:style>
  <w:style w:type="paragraph" w:customStyle="1" w:styleId="41">
    <w:name w:val="正文缩进1"/>
    <w:basedOn w:val="1"/>
    <w:qFormat/>
    <w:uiPriority w:val="0"/>
    <w:pPr>
      <w:ind w:firstLine="420" w:firstLineChars="200"/>
    </w:pPr>
  </w:style>
  <w:style w:type="paragraph" w:customStyle="1" w:styleId="42">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3">
    <w:name w:val="xl48"/>
    <w:basedOn w:val="1"/>
    <w:qFormat/>
    <w:uiPriority w:val="0"/>
    <w:pPr>
      <w:widowControl/>
      <w:pBdr>
        <w:bottom w:val="single" w:color="auto" w:sz="4" w:space="0"/>
      </w:pBdr>
      <w:spacing w:before="100" w:beforeLines="0" w:beforeAutospacing="1" w:after="100" w:afterLines="0" w:afterAutospacing="1"/>
      <w:jc w:val="center"/>
    </w:pPr>
    <w:rPr>
      <w:rFonts w:eastAsia="Arial Unicode MS"/>
      <w:kern w:val="0"/>
      <w:sz w:val="24"/>
      <w:szCs w:val="24"/>
    </w:rPr>
  </w:style>
  <w:style w:type="paragraph" w:customStyle="1" w:styleId="44">
    <w:name w:val="（符号）二标题总则"/>
    <w:basedOn w:val="1"/>
    <w:qFormat/>
    <w:uiPriority w:val="0"/>
    <w:pPr>
      <w:spacing w:before="312" w:beforeLines="100" w:line="500" w:lineRule="atLeast"/>
      <w:jc w:val="center"/>
      <w:outlineLvl w:val="1"/>
    </w:pPr>
    <w:rPr>
      <w:rFonts w:ascii="华文中宋" w:hAnsi="华文中宋" w:eastAsia="华文中宋"/>
      <w:b/>
      <w:bCs/>
      <w:sz w:val="32"/>
      <w:szCs w:val="32"/>
    </w:rPr>
  </w:style>
  <w:style w:type="paragraph" w:customStyle="1" w:styleId="45">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46">
    <w:name w:val="(符号)四标题1.1"/>
    <w:basedOn w:val="1"/>
    <w:qFormat/>
    <w:uiPriority w:val="0"/>
    <w:pPr>
      <w:tabs>
        <w:tab w:val="left" w:pos="700"/>
      </w:tabs>
      <w:spacing w:line="500" w:lineRule="atLeast"/>
      <w:ind w:left="700" w:hanging="700"/>
    </w:pPr>
    <w:rPr>
      <w:rFonts w:ascii="宋体" w:hAnsi="宋体"/>
      <w:color w:val="000000"/>
      <w:kern w:val="0"/>
      <w:sz w:val="24"/>
    </w:rPr>
  </w:style>
  <w:style w:type="paragraph" w:customStyle="1" w:styleId="47">
    <w:name w:val="目录"/>
    <w:basedOn w:val="1"/>
    <w:qFormat/>
    <w:uiPriority w:val="0"/>
    <w:pPr>
      <w:widowControl/>
      <w:jc w:val="center"/>
    </w:pPr>
    <w:rPr>
      <w:rFonts w:ascii="宋体"/>
      <w:b/>
      <w:kern w:val="0"/>
      <w:sz w:val="36"/>
      <w:szCs w:val="20"/>
    </w:rPr>
  </w:style>
  <w:style w:type="paragraph" w:customStyle="1" w:styleId="48">
    <w:name w:val="目录文字"/>
    <w:basedOn w:val="1"/>
    <w:qFormat/>
    <w:uiPriority w:val="0"/>
    <w:pPr>
      <w:widowControl/>
      <w:spacing w:line="480" w:lineRule="auto"/>
      <w:jc w:val="left"/>
    </w:pPr>
    <w:rPr>
      <w:rFonts w:ascii="宋体" w:hAnsi="宋体"/>
      <w:kern w:val="0"/>
      <w:sz w:val="24"/>
      <w:szCs w:val="20"/>
    </w:rPr>
  </w:style>
  <w:style w:type="paragraph" w:customStyle="1" w:styleId="49">
    <w:name w:val="p0"/>
    <w:basedOn w:val="1"/>
    <w:qFormat/>
    <w:uiPriority w:val="0"/>
    <w:pPr>
      <w:widowControl/>
    </w:pPr>
    <w:rPr>
      <w:kern w:val="0"/>
      <w:szCs w:val="21"/>
    </w:rPr>
  </w:style>
  <w:style w:type="paragraph" w:customStyle="1" w:styleId="50">
    <w:name w:val="List Paragraph"/>
    <w:basedOn w:val="1"/>
    <w:qFormat/>
    <w:uiPriority w:val="0"/>
    <w:pPr>
      <w:ind w:firstLine="420" w:firstLineChars="200"/>
    </w:pPr>
    <w:rPr>
      <w:rFonts w:ascii="宋体"/>
      <w:kern w:val="0"/>
      <w:sz w:val="24"/>
    </w:rPr>
  </w:style>
  <w:style w:type="paragraph" w:customStyle="1" w:styleId="51">
    <w:name w:val="Table Paragraph"/>
    <w:basedOn w:val="1"/>
    <w:qFormat/>
    <w:uiPriority w:val="99"/>
    <w:pPr>
      <w:spacing w:before="13" w:line="192" w:lineRule="exact"/>
      <w:ind w:left="20"/>
      <w:jc w:val="center"/>
    </w:pPr>
    <w:rPr>
      <w:rFonts w:ascii="微软雅黑" w:hAnsi="微软雅黑" w:eastAsia="微软雅黑" w:cs="微软雅黑"/>
      <w:lang w:val="pt-PT" w:eastAsia="pt-PT"/>
    </w:rPr>
  </w:style>
  <w:style w:type="paragraph" w:customStyle="1" w:styleId="52">
    <w:name w:val="标书"/>
    <w:basedOn w:val="1"/>
    <w:qFormat/>
    <w:uiPriority w:val="0"/>
    <w:pPr>
      <w:shd w:val="clear" w:color="auto" w:fill="FFFFFF"/>
      <w:spacing w:line="360" w:lineRule="auto"/>
      <w:ind w:firstLine="480"/>
      <w:jc w:val="left"/>
    </w:pPr>
    <w:rPr>
      <w:rFonts w:ascii="宋体" w:hAnsi="宋体"/>
      <w:sz w:val="24"/>
      <w:shd w:val="clear" w:color="auto" w:fill="FFFFFF"/>
    </w:rPr>
  </w:style>
  <w:style w:type="paragraph" w:customStyle="1" w:styleId="53">
    <w:name w:val="表 靠左"/>
    <w:basedOn w:val="1"/>
    <w:qFormat/>
    <w:uiPriority w:val="0"/>
    <w:pPr>
      <w:widowControl w:val="0"/>
      <w:adjustRightInd/>
      <w:snapToGrid/>
      <w:spacing w:after="0"/>
    </w:pPr>
    <w:rPr>
      <w:rFonts w:ascii="宋体" w:hAnsi="宋体" w:eastAsia="宋体"/>
      <w:kern w:val="2"/>
      <w:sz w:val="21"/>
      <w:szCs w:val="21"/>
    </w:rPr>
  </w:style>
  <w:style w:type="paragraph" w:customStyle="1" w:styleId="54">
    <w:name w:val="(符号)三标题1."/>
    <w:basedOn w:val="1"/>
    <w:qFormat/>
    <w:uiPriority w:val="0"/>
    <w:pPr>
      <w:tabs>
        <w:tab w:val="left" w:pos="420"/>
      </w:tabs>
      <w:spacing w:before="140" w:beforeLines="0" w:after="140" w:afterLines="0" w:line="500" w:lineRule="atLeast"/>
      <w:ind w:left="430" w:hanging="430"/>
      <w:outlineLvl w:val="2"/>
    </w:pPr>
    <w:rPr>
      <w:rFonts w:ascii="楷体_GB2312" w:hAnsi="宋体" w:eastAsia="楷体_GB2312"/>
      <w:b/>
      <w:bCs/>
    </w:rPr>
  </w:style>
  <w:style w:type="paragraph" w:customStyle="1" w:styleId="55">
    <w:name w:val="xl36"/>
    <w:basedOn w:val="1"/>
    <w:qFormat/>
    <w:uiPriority w:val="0"/>
    <w:pPr>
      <w:widowControl/>
      <w:spacing w:before="100" w:beforeLines="0" w:after="100" w:afterLines="0"/>
      <w:jc w:val="center"/>
    </w:pPr>
    <w:rPr>
      <w:rFonts w:hint="eastAsia" w:ascii="宋体" w:hAnsi="宋体"/>
      <w:kern w:val="0"/>
      <w:sz w:val="24"/>
    </w:rPr>
  </w:style>
  <w:style w:type="paragraph" w:customStyle="1" w:styleId="56">
    <w:name w:val="p15"/>
    <w:basedOn w:val="1"/>
    <w:qFormat/>
    <w:uiPriority w:val="99"/>
    <w:pPr>
      <w:widowControl/>
    </w:pPr>
    <w:rPr>
      <w:kern w:val="0"/>
      <w:szCs w:val="21"/>
    </w:rPr>
  </w:style>
  <w:style w:type="paragraph" w:customStyle="1" w:styleId="57">
    <w:name w:val="Heading 1"/>
    <w:basedOn w:val="1"/>
    <w:qFormat/>
    <w:uiPriority w:val="0"/>
    <w:pPr>
      <w:autoSpaceDE w:val="0"/>
      <w:autoSpaceDN w:val="0"/>
      <w:adjustRightInd w:val="0"/>
      <w:ind w:left="1704"/>
      <w:jc w:val="left"/>
      <w:outlineLvl w:val="0"/>
    </w:pPr>
    <w:rPr>
      <w:rFonts w:ascii="黑体" w:eastAsia="黑体" w:cs="黑体"/>
      <w:b/>
      <w:bCs/>
      <w:kern w:val="0"/>
      <w:sz w:val="32"/>
      <w:szCs w:val="32"/>
    </w:rPr>
  </w:style>
  <w:style w:type="character" w:customStyle="1" w:styleId="58">
    <w:name w:val="font12"/>
    <w:basedOn w:val="26"/>
    <w:qFormat/>
    <w:uiPriority w:val="0"/>
    <w:rPr>
      <w:rFonts w:ascii="Calibri" w:hAnsi="Calibri" w:cs="Calibri"/>
      <w:color w:val="000000"/>
      <w:sz w:val="21"/>
      <w:szCs w:val="21"/>
      <w:u w:val="none"/>
    </w:rPr>
  </w:style>
  <w:style w:type="character" w:customStyle="1" w:styleId="59">
    <w:name w:val="font81"/>
    <w:basedOn w:val="26"/>
    <w:qFormat/>
    <w:uiPriority w:val="0"/>
    <w:rPr>
      <w:rFonts w:hint="eastAsia" w:ascii="宋体" w:hAnsi="宋体" w:eastAsia="宋体" w:cs="宋体"/>
      <w:color w:val="0070C0"/>
      <w:sz w:val="20"/>
      <w:szCs w:val="20"/>
      <w:u w:val="none"/>
    </w:rPr>
  </w:style>
  <w:style w:type="character" w:customStyle="1" w:styleId="60">
    <w:name w:val="font11"/>
    <w:qFormat/>
    <w:uiPriority w:val="0"/>
    <w:rPr>
      <w:rFonts w:hint="eastAsia" w:ascii="宋体" w:hAnsi="宋体" w:eastAsia="宋体" w:cs="宋体"/>
      <w:color w:val="000000"/>
      <w:sz w:val="24"/>
      <w:szCs w:val="24"/>
      <w:u w:val="none"/>
    </w:rPr>
  </w:style>
  <w:style w:type="character" w:customStyle="1" w:styleId="61">
    <w:name w:val="font41"/>
    <w:qFormat/>
    <w:uiPriority w:val="0"/>
    <w:rPr>
      <w:rFonts w:hint="eastAsia" w:ascii="仿宋" w:hAnsi="仿宋" w:eastAsia="仿宋" w:cs="仿宋"/>
      <w:color w:val="000000"/>
      <w:sz w:val="24"/>
      <w:szCs w:val="24"/>
      <w:u w:val="none"/>
    </w:rPr>
  </w:style>
  <w:style w:type="character" w:customStyle="1" w:styleId="62">
    <w:name w:val="font71"/>
    <w:qFormat/>
    <w:uiPriority w:val="0"/>
    <w:rPr>
      <w:rFonts w:hint="eastAsia" w:ascii="宋体" w:hAnsi="宋体" w:eastAsia="宋体" w:cs="宋体"/>
      <w:color w:val="000000"/>
      <w:sz w:val="20"/>
      <w:szCs w:val="20"/>
      <w:u w:val="none"/>
    </w:rPr>
  </w:style>
  <w:style w:type="character" w:customStyle="1" w:styleId="63">
    <w:name w:val="font131"/>
    <w:basedOn w:val="26"/>
    <w:qFormat/>
    <w:uiPriority w:val="0"/>
    <w:rPr>
      <w:rFonts w:hint="eastAsia" w:ascii="宋体" w:hAnsi="宋体" w:eastAsia="宋体" w:cs="宋体"/>
      <w:color w:val="000000"/>
      <w:sz w:val="20"/>
      <w:szCs w:val="20"/>
      <w:u w:val="none"/>
    </w:rPr>
  </w:style>
  <w:style w:type="character" w:customStyle="1" w:styleId="64">
    <w:name w:val="页脚 Char"/>
    <w:link w:val="18"/>
    <w:qFormat/>
    <w:uiPriority w:val="99"/>
    <w:rPr>
      <w:rFonts w:eastAsia="宋体"/>
      <w:kern w:val="2"/>
      <w:sz w:val="18"/>
      <w:szCs w:val="18"/>
      <w:lang w:val="en-US" w:eastAsia="zh-CN" w:bidi="ar-SA"/>
    </w:rPr>
  </w:style>
  <w:style w:type="character" w:customStyle="1" w:styleId="65">
    <w:name w:val="font31"/>
    <w:basedOn w:val="26"/>
    <w:qFormat/>
    <w:uiPriority w:val="0"/>
    <w:rPr>
      <w:rFonts w:hint="default" w:ascii="等线" w:hAnsi="等线" w:eastAsia="等线" w:cs="等线"/>
      <w:b/>
      <w:color w:val="000000"/>
      <w:sz w:val="20"/>
      <w:szCs w:val="20"/>
      <w:u w:val="none"/>
    </w:rPr>
  </w:style>
  <w:style w:type="character" w:customStyle="1" w:styleId="66">
    <w:name w:val="日期 Char"/>
    <w:link w:val="16"/>
    <w:qFormat/>
    <w:locked/>
    <w:uiPriority w:val="0"/>
    <w:rPr>
      <w:kern w:val="2"/>
      <w:sz w:val="28"/>
    </w:rPr>
  </w:style>
  <w:style w:type="character" w:customStyle="1" w:styleId="67">
    <w:name w:val="font51"/>
    <w:qFormat/>
    <w:uiPriority w:val="0"/>
    <w:rPr>
      <w:rFonts w:hint="eastAsia" w:ascii="宋体" w:hAnsi="宋体" w:eastAsia="宋体" w:cs="宋体"/>
      <w:color w:val="000000"/>
      <w:sz w:val="18"/>
      <w:szCs w:val="18"/>
      <w:u w:val="none"/>
    </w:rPr>
  </w:style>
  <w:style w:type="character" w:customStyle="1" w:styleId="68">
    <w:name w:val="font61"/>
    <w:qFormat/>
    <w:uiPriority w:val="0"/>
    <w:rPr>
      <w:rFonts w:hint="eastAsia" w:ascii="宋体" w:hAnsi="宋体" w:eastAsia="宋体" w:cs="宋体"/>
      <w:b/>
      <w:color w:val="000000"/>
      <w:sz w:val="28"/>
      <w:szCs w:val="28"/>
      <w:u w:val="none"/>
    </w:rPr>
  </w:style>
  <w:style w:type="character" w:customStyle="1" w:styleId="69">
    <w:name w:val="页眉 Char"/>
    <w:link w:val="19"/>
    <w:qFormat/>
    <w:uiPriority w:val="0"/>
    <w:rPr>
      <w:kern w:val="2"/>
      <w:sz w:val="18"/>
      <w:szCs w:val="18"/>
    </w:rPr>
  </w:style>
  <w:style w:type="character" w:customStyle="1" w:styleId="70">
    <w:name w:val="font141"/>
    <w:basedOn w:val="26"/>
    <w:qFormat/>
    <w:uiPriority w:val="0"/>
    <w:rPr>
      <w:rFonts w:hint="eastAsia" w:ascii="宋体" w:hAnsi="宋体" w:eastAsia="宋体" w:cs="宋体"/>
      <w:color w:val="FF0000"/>
      <w:sz w:val="20"/>
      <w:szCs w:val="20"/>
      <w:u w:val="none"/>
    </w:rPr>
  </w:style>
  <w:style w:type="character" w:customStyle="1" w:styleId="71">
    <w:name w:val="page number"/>
    <w:basedOn w:val="26"/>
    <w:qFormat/>
    <w:uiPriority w:val="0"/>
  </w:style>
  <w:style w:type="character" w:customStyle="1" w:styleId="72">
    <w:name w:val="font01"/>
    <w:basedOn w:val="26"/>
    <w:qFormat/>
    <w:uiPriority w:val="0"/>
    <w:rPr>
      <w:rFonts w:hint="default" w:ascii="等线" w:hAnsi="等线" w:eastAsia="等线" w:cs="等线"/>
      <w:b/>
      <w:color w:val="FF0000"/>
      <w:sz w:val="20"/>
      <w:szCs w:val="20"/>
      <w:u w:val="none"/>
    </w:rPr>
  </w:style>
  <w:style w:type="paragraph" w:customStyle="1" w:styleId="73">
    <w:name w:val="列出段落1"/>
    <w:basedOn w:val="1"/>
    <w:qFormat/>
    <w:uiPriority w:val="34"/>
    <w:pPr>
      <w:ind w:firstLine="420" w:firstLineChars="200"/>
      <w:jc w:val="left"/>
    </w:pPr>
    <w:rPr>
      <w:rFonts w:ascii="Times New Roman" w:hAnsi="Times New Roman" w:eastAsia="宋体" w:cs="Times New Roman"/>
      <w:szCs w:val="24"/>
    </w:rPr>
  </w:style>
  <w:style w:type="paragraph" w:customStyle="1" w:styleId="74">
    <w:name w:val="12 Table Text"/>
    <w:basedOn w:val="1"/>
    <w:qFormat/>
    <w:uiPriority w:val="0"/>
    <w:pPr>
      <w:spacing w:beforeLines="10" w:afterLines="10"/>
      <w:jc w:val="left"/>
    </w:pPr>
    <w:rPr>
      <w:rFonts w:ascii="Calibri" w:hAnsi="Calibri" w:eastAsia="宋体" w:cs="Times New Roman"/>
      <w:szCs w:val="24"/>
    </w:rPr>
  </w:style>
  <w:style w:type="character" w:customStyle="1" w:styleId="75">
    <w:name w:val="button"/>
    <w:basedOn w:val="26"/>
    <w:qFormat/>
    <w:uiPriority w:val="0"/>
  </w:style>
  <w:style w:type="character" w:customStyle="1" w:styleId="76">
    <w:name w:val="indent"/>
    <w:basedOn w:val="26"/>
    <w:qFormat/>
    <w:uiPriority w:val="0"/>
  </w:style>
  <w:style w:type="character" w:customStyle="1" w:styleId="77">
    <w:name w:val="old"/>
    <w:basedOn w:val="26"/>
    <w:qFormat/>
    <w:uiPriority w:val="0"/>
    <w:rPr>
      <w:color w:val="999999"/>
    </w:rPr>
  </w:style>
  <w:style w:type="character" w:customStyle="1" w:styleId="78">
    <w:name w:val="hour_am"/>
    <w:basedOn w:val="26"/>
    <w:qFormat/>
    <w:uiPriority w:val="0"/>
  </w:style>
  <w:style w:type="character" w:customStyle="1" w:styleId="79">
    <w:name w:val="hover3"/>
    <w:basedOn w:val="26"/>
    <w:qFormat/>
    <w:uiPriority w:val="0"/>
    <w:rPr>
      <w:shd w:val="clear" w:fill="EEEEEE"/>
    </w:rPr>
  </w:style>
  <w:style w:type="character" w:customStyle="1" w:styleId="80">
    <w:name w:val="glyphicon4"/>
    <w:basedOn w:val="26"/>
    <w:qFormat/>
    <w:uiPriority w:val="0"/>
  </w:style>
  <w:style w:type="character" w:customStyle="1" w:styleId="81">
    <w:name w:val="hour_pm"/>
    <w:basedOn w:val="26"/>
    <w:qFormat/>
    <w:uiPriority w:val="0"/>
  </w:style>
  <w:style w:type="character" w:customStyle="1" w:styleId="82">
    <w:name w:val="tmpztreemove_arrow"/>
    <w:basedOn w:val="26"/>
    <w:qFormat/>
    <w:uiPriority w:val="0"/>
    <w:rPr>
      <w:shd w:val="clear" w:fill="FFFFFF"/>
    </w:rPr>
  </w:style>
  <w:style w:type="character" w:customStyle="1" w:styleId="83">
    <w:name w:val="proollist"/>
    <w:basedOn w:val="26"/>
    <w:qFormat/>
    <w:uiPriority w:val="0"/>
  </w:style>
  <w:style w:type="character" w:customStyle="1" w:styleId="84">
    <w:name w:val="input-direction"/>
    <w:basedOn w:val="26"/>
    <w:qFormat/>
    <w:uiPriority w:val="0"/>
    <w:rPr>
      <w:color w:val="FF6600"/>
    </w:rPr>
  </w:style>
  <w:style w:type="character" w:customStyle="1" w:styleId="85">
    <w:name w:val="span-long"/>
    <w:basedOn w:val="26"/>
    <w:qFormat/>
    <w:uiPriority w:val="0"/>
  </w:style>
  <w:style w:type="character" w:customStyle="1" w:styleId="86">
    <w:name w:val="beforeinfotext"/>
    <w:basedOn w:val="26"/>
    <w:qFormat/>
    <w:uiPriority w:val="0"/>
    <w:rPr>
      <w:color w:val="666666"/>
    </w:rPr>
  </w:style>
  <w:style w:type="character" w:customStyle="1" w:styleId="87">
    <w:name w:val="phone"/>
    <w:basedOn w:val="26"/>
    <w:qFormat/>
    <w:uiPriority w:val="0"/>
    <w:rPr>
      <w:color w:val="FF8833"/>
      <w:sz w:val="18"/>
      <w:szCs w:val="18"/>
    </w:rPr>
  </w:style>
  <w:style w:type="character" w:customStyle="1" w:styleId="88">
    <w:name w:val="stclosebtn"/>
    <w:basedOn w:val="26"/>
    <w:qFormat/>
    <w:uiPriority w:val="0"/>
  </w:style>
  <w:style w:type="character" w:customStyle="1" w:styleId="89">
    <w:name w:val="number"/>
    <w:basedOn w:val="26"/>
    <w:qFormat/>
    <w:uiPriority w:val="0"/>
    <w:rPr>
      <w:color w:val="FF8833"/>
      <w:sz w:val="18"/>
      <w:szCs w:val="18"/>
    </w:rPr>
  </w:style>
  <w:style w:type="character" w:customStyle="1" w:styleId="90">
    <w:name w:val="hilite6"/>
    <w:basedOn w:val="26"/>
    <w:qFormat/>
    <w:uiPriority w:val="0"/>
    <w:rPr>
      <w:color w:val="FFFFFF"/>
      <w:shd w:val="clear" w:fill="666677"/>
    </w:rPr>
  </w:style>
  <w:style w:type="character" w:customStyle="1" w:styleId="91">
    <w:name w:val="active6"/>
    <w:basedOn w:val="26"/>
    <w:qFormat/>
    <w:uiPriority w:val="0"/>
    <w:rPr>
      <w:color w:val="00FF00"/>
      <w:shd w:val="clear" w:fill="000000"/>
    </w:rPr>
  </w:style>
  <w:style w:type="character" w:customStyle="1" w:styleId="92">
    <w:name w:val="hilite"/>
    <w:basedOn w:val="26"/>
    <w:qFormat/>
    <w:uiPriority w:val="0"/>
    <w:rPr>
      <w:color w:val="FFFFFF"/>
      <w:shd w:val="clear" w:fill="666677"/>
    </w:rPr>
  </w:style>
  <w:style w:type="character" w:customStyle="1" w:styleId="93">
    <w:name w:val="button2"/>
    <w:basedOn w:val="26"/>
    <w:qFormat/>
    <w:uiPriority w:val="0"/>
  </w:style>
  <w:style w:type="character" w:customStyle="1" w:styleId="94">
    <w:name w:val="hilite5"/>
    <w:basedOn w:val="26"/>
    <w:qFormat/>
    <w:uiPriority w:val="0"/>
    <w:rPr>
      <w:color w:val="FFFFFF"/>
      <w:shd w:val="clear" w:fill="666677"/>
    </w:rPr>
  </w:style>
  <w:style w:type="character" w:customStyle="1" w:styleId="95">
    <w:name w:val="active4"/>
    <w:basedOn w:val="26"/>
    <w:qFormat/>
    <w:uiPriority w:val="0"/>
    <w:rPr>
      <w:color w:val="00FF00"/>
      <w:shd w:val="clear" w:fill="000000"/>
    </w:rPr>
  </w:style>
  <w:style w:type="character" w:customStyle="1" w:styleId="96">
    <w:name w:val="hilite4"/>
    <w:basedOn w:val="26"/>
    <w:qFormat/>
    <w:uiPriority w:val="0"/>
    <w:rPr>
      <w:color w:val="FFFFFF"/>
      <w:shd w:val="clear" w:fill="666677"/>
    </w:rPr>
  </w:style>
  <w:style w:type="paragraph" w:customStyle="1" w:styleId="97">
    <w:name w:val="title1"/>
    <w:basedOn w:val="1"/>
    <w:qFormat/>
    <w:uiPriority w:val="0"/>
    <w:pPr>
      <w:spacing w:before="120" w:beforeAutospacing="0" w:after="0" w:afterAutospacing="0" w:line="360" w:lineRule="atLeast"/>
      <w:ind w:left="0" w:right="0"/>
      <w:jc w:val="left"/>
    </w:pPr>
    <w:rPr>
      <w:b/>
      <w:bCs/>
      <w:kern w:val="0"/>
      <w:sz w:val="19"/>
      <w:szCs w:val="19"/>
      <w:lang w:val="en-US" w:eastAsia="zh-CN" w:bidi="ar"/>
    </w:rPr>
  </w:style>
  <w:style w:type="character" w:customStyle="1" w:styleId="98">
    <w:name w:val="hover"/>
    <w:basedOn w:val="26"/>
    <w:qFormat/>
    <w:uiPriority w:val="0"/>
    <w:rPr>
      <w:shd w:val="clear" w:fill="EEEEEE"/>
    </w:rPr>
  </w:style>
  <w:style w:type="paragraph" w:customStyle="1" w:styleId="99">
    <w:name w:val="无间隔1"/>
    <w:qFormat/>
    <w:uiPriority w:val="1"/>
    <w:pPr>
      <w:widowControl w:val="0"/>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32169</Words>
  <Characters>35709</Characters>
  <Lines>394</Lines>
  <Paragraphs>111</Paragraphs>
  <TotalTime>67</TotalTime>
  <ScaleCrop>false</ScaleCrop>
  <LinksUpToDate>false</LinksUpToDate>
  <CharactersWithSpaces>37591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2019-10-09T01:56:00Z</dcterms:created>
  <dc:creator>MC SYSTEM</dc:creator>
  <cp:lastModifiedBy>WPS_1658106135</cp:lastModifiedBy>
  <cp:lastPrinted>2022-07-26T02:43:00Z</cp:lastPrinted>
  <dcterms:modified xsi:type="dcterms:W3CDTF">2022-07-26T10:20:04Z</dcterms:modified>
  <dc:title>政 府 采 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9B72B7F9B7C048279AC04B9A7989F483</vt:lpwstr>
  </property>
</Properties>
</file>